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007A4001" w:rsidR="00DB32D3" w:rsidRDefault="00DD466D" w:rsidP="005726E3">
      <w:pPr>
        <w:pStyle w:val="Heading1"/>
      </w:pPr>
      <w:r>
        <w:t>1.ИМЕ НА ЛЕКАРСТВЕНИЯ ПРОДУКТ</w:t>
      </w:r>
    </w:p>
    <w:p w14:paraId="6CF62719" w14:textId="3A46E7E3" w:rsidR="00392975" w:rsidRDefault="00392975" w:rsidP="00392975"/>
    <w:p w14:paraId="54A0BB49" w14:textId="77777777" w:rsidR="00392975" w:rsidRPr="00392975" w:rsidRDefault="00392975" w:rsidP="00392975">
      <w:pPr>
        <w:rPr>
          <w:sz w:val="24"/>
          <w:szCs w:val="24"/>
          <w:lang w:val="ru-RU"/>
        </w:rPr>
      </w:pPr>
      <w:r w:rsidRPr="00392975">
        <w:rPr>
          <w:lang w:eastAsia="bg-BG"/>
        </w:rPr>
        <w:t xml:space="preserve">Талитон 6,25 </w:t>
      </w:r>
      <w:r w:rsidRPr="00392975">
        <w:rPr>
          <w:lang w:val="en-US"/>
        </w:rPr>
        <w:t>mg</w:t>
      </w:r>
      <w:r w:rsidRPr="00392975">
        <w:rPr>
          <w:lang w:val="ru-RU"/>
        </w:rPr>
        <w:t xml:space="preserve"> </w:t>
      </w:r>
      <w:r w:rsidRPr="00392975">
        <w:rPr>
          <w:lang w:eastAsia="bg-BG"/>
        </w:rPr>
        <w:t>таблетки</w:t>
      </w:r>
    </w:p>
    <w:p w14:paraId="7F0254C2" w14:textId="77777777" w:rsidR="00392975" w:rsidRDefault="00392975" w:rsidP="00392975">
      <w:pPr>
        <w:rPr>
          <w:lang w:eastAsia="bg-BG"/>
        </w:rPr>
      </w:pPr>
      <w:r w:rsidRPr="00392975">
        <w:rPr>
          <w:lang w:eastAsia="bg-BG"/>
        </w:rPr>
        <w:t xml:space="preserve">Талитон 12,5 </w:t>
      </w:r>
      <w:r w:rsidRPr="00392975">
        <w:rPr>
          <w:lang w:val="en-US"/>
        </w:rPr>
        <w:t>mg</w:t>
      </w:r>
      <w:r w:rsidRPr="00392975">
        <w:rPr>
          <w:lang w:val="ru-RU"/>
        </w:rPr>
        <w:t xml:space="preserve"> </w:t>
      </w:r>
      <w:r w:rsidRPr="00392975">
        <w:rPr>
          <w:lang w:eastAsia="bg-BG"/>
        </w:rPr>
        <w:t xml:space="preserve">таблетки </w:t>
      </w:r>
    </w:p>
    <w:p w14:paraId="0392477C" w14:textId="77777777" w:rsidR="00392975" w:rsidRDefault="00392975" w:rsidP="00392975">
      <w:pPr>
        <w:rPr>
          <w:lang w:eastAsia="bg-BG"/>
        </w:rPr>
      </w:pPr>
      <w:r w:rsidRPr="00392975">
        <w:rPr>
          <w:lang w:eastAsia="bg-BG"/>
        </w:rPr>
        <w:t xml:space="preserve">Талитон 25 </w:t>
      </w:r>
      <w:r w:rsidRPr="00392975">
        <w:rPr>
          <w:lang w:val="en-US"/>
        </w:rPr>
        <w:t>mg</w:t>
      </w:r>
      <w:r w:rsidRPr="00392975">
        <w:rPr>
          <w:lang w:val="ru-RU"/>
        </w:rPr>
        <w:t xml:space="preserve"> </w:t>
      </w:r>
      <w:r w:rsidRPr="00392975">
        <w:rPr>
          <w:lang w:eastAsia="bg-BG"/>
        </w:rPr>
        <w:t xml:space="preserve">таблетки </w:t>
      </w:r>
    </w:p>
    <w:p w14:paraId="353DB829" w14:textId="4BC94614" w:rsidR="00392975" w:rsidRPr="00392975" w:rsidRDefault="00392975" w:rsidP="00392975">
      <w:pPr>
        <w:rPr>
          <w:sz w:val="24"/>
          <w:szCs w:val="24"/>
          <w:lang w:val="ru-RU"/>
        </w:rPr>
      </w:pPr>
      <w:r w:rsidRPr="00392975">
        <w:rPr>
          <w:lang w:eastAsia="bg-BG"/>
        </w:rPr>
        <w:t>Карведилол</w:t>
      </w:r>
    </w:p>
    <w:p w14:paraId="5F0E89CC" w14:textId="77777777" w:rsidR="00392975" w:rsidRDefault="00392975" w:rsidP="00392975">
      <w:pPr>
        <w:rPr>
          <w:lang w:eastAsia="bg-BG"/>
        </w:rPr>
      </w:pPr>
    </w:p>
    <w:p w14:paraId="1BCED22A" w14:textId="54E7E379" w:rsidR="00392975" w:rsidRPr="00392975" w:rsidRDefault="00392975" w:rsidP="00392975">
      <w:pPr>
        <w:rPr>
          <w:sz w:val="24"/>
          <w:szCs w:val="24"/>
          <w:lang w:val="en-US"/>
        </w:rPr>
      </w:pPr>
      <w:r w:rsidRPr="00392975">
        <w:rPr>
          <w:lang w:eastAsia="bg-BG"/>
        </w:rPr>
        <w:t>Та</w:t>
      </w:r>
      <w:proofErr w:type="spellStart"/>
      <w:r w:rsidRPr="00392975">
        <w:rPr>
          <w:lang w:val="en-US"/>
        </w:rPr>
        <w:t>lliton</w:t>
      </w:r>
      <w:proofErr w:type="spellEnd"/>
      <w:r w:rsidRPr="00392975">
        <w:rPr>
          <w:lang w:val="en-US"/>
        </w:rPr>
        <w:t xml:space="preserve"> </w:t>
      </w:r>
      <w:r w:rsidRPr="00392975">
        <w:rPr>
          <w:lang w:eastAsia="bg-BG"/>
        </w:rPr>
        <w:t xml:space="preserve">6.25 </w:t>
      </w:r>
      <w:r w:rsidRPr="00392975">
        <w:rPr>
          <w:lang w:val="en-US"/>
        </w:rPr>
        <w:t>mg tablets</w:t>
      </w:r>
    </w:p>
    <w:p w14:paraId="686163DB" w14:textId="177A9662" w:rsidR="00392975" w:rsidRPr="00392975" w:rsidRDefault="00392975" w:rsidP="00392975">
      <w:pPr>
        <w:rPr>
          <w:sz w:val="24"/>
          <w:szCs w:val="24"/>
          <w:lang w:val="en-US"/>
        </w:rPr>
      </w:pPr>
      <w:proofErr w:type="spellStart"/>
      <w:r w:rsidRPr="00392975">
        <w:rPr>
          <w:lang w:val="en-US"/>
        </w:rPr>
        <w:t>Talliton</w:t>
      </w:r>
      <w:proofErr w:type="spellEnd"/>
      <w:r w:rsidRPr="00392975">
        <w:rPr>
          <w:lang w:val="en-US"/>
        </w:rPr>
        <w:t xml:space="preserve"> 12.5 mg tablets</w:t>
      </w:r>
    </w:p>
    <w:p w14:paraId="7B40B726" w14:textId="77777777" w:rsidR="00392975" w:rsidRPr="00392975" w:rsidRDefault="00392975" w:rsidP="00392975">
      <w:pPr>
        <w:rPr>
          <w:sz w:val="24"/>
          <w:szCs w:val="24"/>
          <w:lang w:val="en-US"/>
        </w:rPr>
      </w:pPr>
      <w:proofErr w:type="spellStart"/>
      <w:r w:rsidRPr="00392975">
        <w:rPr>
          <w:lang w:val="en-US"/>
        </w:rPr>
        <w:t>Talliton</w:t>
      </w:r>
      <w:proofErr w:type="spellEnd"/>
      <w:r w:rsidRPr="00392975">
        <w:rPr>
          <w:lang w:val="en-US"/>
        </w:rPr>
        <w:t xml:space="preserve"> 25 mg tablets</w:t>
      </w:r>
    </w:p>
    <w:p w14:paraId="7CBF30E6" w14:textId="77777777" w:rsidR="00392975" w:rsidRPr="00392975" w:rsidRDefault="00392975" w:rsidP="00392975">
      <w:pPr>
        <w:rPr>
          <w:sz w:val="24"/>
          <w:szCs w:val="24"/>
          <w:lang w:val="en-US"/>
        </w:rPr>
      </w:pPr>
      <w:r w:rsidRPr="00392975">
        <w:rPr>
          <w:lang w:val="en-US"/>
        </w:rPr>
        <w:t>Carvedilol</w:t>
      </w:r>
    </w:p>
    <w:p w14:paraId="4D3AD3F1" w14:textId="77777777" w:rsidR="00392975" w:rsidRPr="00392975" w:rsidRDefault="00392975" w:rsidP="00392975"/>
    <w:p w14:paraId="48E6CABE" w14:textId="1DCD07D6" w:rsidR="00DB32D3" w:rsidRDefault="00DD466D" w:rsidP="005726E3">
      <w:pPr>
        <w:pStyle w:val="Heading1"/>
      </w:pPr>
      <w:r>
        <w:t>2. КАЧЕСТВЕН И КОЛИЧЕСТВЕН СЪСТАВ</w:t>
      </w:r>
    </w:p>
    <w:p w14:paraId="5DB26186" w14:textId="1F544825" w:rsidR="00392975" w:rsidRDefault="00392975" w:rsidP="00392975"/>
    <w:p w14:paraId="7577BC18"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Лекарствено вещество: Всяка таблетка съдържа 6,25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12,5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или 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карведилол.</w:t>
      </w:r>
    </w:p>
    <w:p w14:paraId="3348FAD2" w14:textId="77777777" w:rsidR="00392975" w:rsidRPr="00392975" w:rsidRDefault="00392975" w:rsidP="00392975">
      <w:pPr>
        <w:spacing w:line="240" w:lineRule="auto"/>
        <w:rPr>
          <w:rFonts w:eastAsia="Times New Roman" w:cs="Arial"/>
          <w:color w:val="000000"/>
          <w:szCs w:val="20"/>
          <w:u w:val="single"/>
          <w:lang w:eastAsia="bg-BG"/>
        </w:rPr>
      </w:pPr>
    </w:p>
    <w:p w14:paraId="0D77D7E3" w14:textId="61346D10"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u w:val="single"/>
          <w:lang w:eastAsia="bg-BG"/>
        </w:rPr>
        <w:t>Помощни вещества с известен ефект</w:t>
      </w:r>
    </w:p>
    <w:p w14:paraId="7F606D95" w14:textId="49A1D9FC" w:rsidR="00392975" w:rsidRPr="00392975" w:rsidRDefault="00392975" w:rsidP="00392975">
      <w:pPr>
        <w:rPr>
          <w:rFonts w:cs="Arial"/>
          <w:sz w:val="24"/>
        </w:rPr>
      </w:pPr>
      <w:r w:rsidRPr="00392975">
        <w:rPr>
          <w:rFonts w:eastAsia="Times New Roman" w:cs="Arial"/>
          <w:color w:val="000000"/>
          <w:szCs w:val="20"/>
          <w:lang w:eastAsia="bg-BG"/>
        </w:rPr>
        <w:t xml:space="preserve">Таблетките от всички концентрации съдържат лактоза, захароза (виж т. 4.4.). Таблетките от 12,5 </w:t>
      </w:r>
      <w:r w:rsidRPr="00392975">
        <w:rPr>
          <w:rFonts w:eastAsia="Times New Roman" w:cs="Arial"/>
          <w:color w:val="000000"/>
          <w:szCs w:val="20"/>
          <w:lang w:val="en-US"/>
        </w:rPr>
        <w:t xml:space="preserve">mg </w:t>
      </w:r>
      <w:r w:rsidRPr="00392975">
        <w:rPr>
          <w:rFonts w:eastAsia="Times New Roman" w:cs="Arial"/>
          <w:color w:val="000000"/>
          <w:szCs w:val="20"/>
          <w:lang w:eastAsia="bg-BG"/>
        </w:rPr>
        <w:t>съдържат Ариавит сънсет жълто (Е 110).</w:t>
      </w:r>
    </w:p>
    <w:p w14:paraId="614984C4" w14:textId="759058F2" w:rsidR="008A6AF2" w:rsidRDefault="00DD466D" w:rsidP="002C50EE">
      <w:pPr>
        <w:pStyle w:val="Heading1"/>
      </w:pPr>
      <w:r>
        <w:t>3. ЛЕКАРСТВЕНА ФОРМА</w:t>
      </w:r>
    </w:p>
    <w:p w14:paraId="3DB126FD" w14:textId="5031811D" w:rsidR="00392975" w:rsidRDefault="00392975" w:rsidP="00392975"/>
    <w:p w14:paraId="49F7667A"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Таблетки</w:t>
      </w:r>
    </w:p>
    <w:p w14:paraId="1A77FEDA" w14:textId="77777777" w:rsidR="00392975" w:rsidRPr="00392975" w:rsidRDefault="00392975" w:rsidP="00392975">
      <w:pPr>
        <w:spacing w:line="240" w:lineRule="auto"/>
        <w:rPr>
          <w:rFonts w:eastAsia="Times New Roman" w:cs="Arial"/>
          <w:b/>
          <w:bCs/>
          <w:color w:val="000000"/>
          <w:szCs w:val="20"/>
          <w:lang w:eastAsia="bg-BG"/>
        </w:rPr>
      </w:pPr>
      <w:bookmarkStart w:id="1" w:name="bookmark0"/>
    </w:p>
    <w:p w14:paraId="33233029" w14:textId="58003181" w:rsidR="00392975" w:rsidRPr="00392975" w:rsidRDefault="00392975" w:rsidP="00392975">
      <w:pPr>
        <w:spacing w:line="240" w:lineRule="auto"/>
        <w:rPr>
          <w:rFonts w:eastAsia="Times New Roman" w:cs="Arial"/>
          <w:sz w:val="28"/>
          <w:szCs w:val="24"/>
        </w:rPr>
      </w:pPr>
      <w:r w:rsidRPr="00392975">
        <w:rPr>
          <w:rFonts w:eastAsia="Times New Roman" w:cs="Arial"/>
          <w:b/>
          <w:bCs/>
          <w:color w:val="000000"/>
          <w:szCs w:val="20"/>
          <w:lang w:eastAsia="bg-BG"/>
        </w:rPr>
        <w:t>Описание на таблетките:</w:t>
      </w:r>
      <w:bookmarkEnd w:id="1"/>
    </w:p>
    <w:p w14:paraId="67FB6690"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Таблетките от 6,25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са бледо-жълти, продълговати, с делителна ивица от едната страна и са маркирани със стилизирано Е 341 от другата страна.</w:t>
      </w:r>
    </w:p>
    <w:p w14:paraId="329AA211"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Таблетката може да бъде разделена на две равни дози.</w:t>
      </w:r>
    </w:p>
    <w:p w14:paraId="19B6709D" w14:textId="77777777" w:rsidR="00392975" w:rsidRPr="00392975" w:rsidRDefault="00392975" w:rsidP="00392975">
      <w:pPr>
        <w:spacing w:line="240" w:lineRule="auto"/>
        <w:rPr>
          <w:rFonts w:eastAsia="Times New Roman" w:cs="Arial"/>
          <w:color w:val="000000"/>
          <w:szCs w:val="20"/>
          <w:lang w:eastAsia="bg-BG"/>
        </w:rPr>
      </w:pPr>
    </w:p>
    <w:p w14:paraId="71483466" w14:textId="0878B4A2"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Таблетките от 12,5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са </w:t>
      </w:r>
      <w:r w:rsidRPr="00392975">
        <w:rPr>
          <w:rFonts w:eastAsia="Times New Roman" w:cs="Arial"/>
          <w:i/>
          <w:iCs/>
          <w:color w:val="000000"/>
          <w:szCs w:val="20"/>
          <w:lang w:eastAsia="bg-BG"/>
        </w:rPr>
        <w:t>бледо-оранжеви,</w:t>
      </w:r>
      <w:r w:rsidRPr="00392975">
        <w:rPr>
          <w:rFonts w:eastAsia="Times New Roman" w:cs="Arial"/>
          <w:color w:val="000000"/>
          <w:szCs w:val="20"/>
          <w:lang w:eastAsia="bg-BG"/>
        </w:rPr>
        <w:t xml:space="preserve"> тук-там с петънца, кръгли, плоски, със скосени ръбове, с линия за разчупване от едната страна и са маркирани с със стилизирано Е 342 от другата страна.</w:t>
      </w:r>
    </w:p>
    <w:p w14:paraId="7A0F1F2B"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Линията за разчупване само улеснява разчупването за по-лесно гълтане, но не разделя таблетката на две равни дози.</w:t>
      </w:r>
    </w:p>
    <w:p w14:paraId="49718E26" w14:textId="77777777" w:rsidR="00392975" w:rsidRPr="00392975" w:rsidRDefault="00392975" w:rsidP="00392975">
      <w:pPr>
        <w:spacing w:line="240" w:lineRule="auto"/>
        <w:rPr>
          <w:rFonts w:eastAsia="Times New Roman" w:cs="Arial"/>
          <w:color w:val="000000"/>
          <w:szCs w:val="20"/>
          <w:lang w:eastAsia="bg-BG"/>
        </w:rPr>
      </w:pPr>
    </w:p>
    <w:p w14:paraId="312BA70A" w14:textId="070AEEA3"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Таблетките от 25 </w:t>
      </w:r>
      <w:r w:rsidRPr="00392975">
        <w:rPr>
          <w:rFonts w:eastAsia="Times New Roman" w:cs="Arial"/>
          <w:color w:val="000000"/>
          <w:szCs w:val="20"/>
          <w:lang w:val="en-US"/>
        </w:rPr>
        <w:t>mg</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са </w:t>
      </w:r>
      <w:r w:rsidRPr="00392975">
        <w:rPr>
          <w:rFonts w:eastAsia="Times New Roman" w:cs="Arial"/>
          <w:i/>
          <w:iCs/>
          <w:color w:val="000000"/>
          <w:szCs w:val="20"/>
          <w:lang w:eastAsia="bg-BG"/>
        </w:rPr>
        <w:t>бели,</w:t>
      </w:r>
      <w:r w:rsidRPr="00392975">
        <w:rPr>
          <w:rFonts w:eastAsia="Times New Roman" w:cs="Arial"/>
          <w:color w:val="000000"/>
          <w:szCs w:val="20"/>
          <w:lang w:eastAsia="bg-BG"/>
        </w:rPr>
        <w:t xml:space="preserve"> кръгли, плоски, със скосени ръбове, с линия за разчупване от едната страна и са маркирани с със стилизирано Е 343 от другата страна.</w:t>
      </w:r>
    </w:p>
    <w:p w14:paraId="72B3EC31"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Линията за разчупване само улеснява разчупването за по-лесно гълтане, но не разделя таблетката на две равни дози.</w:t>
      </w:r>
    </w:p>
    <w:p w14:paraId="16332123" w14:textId="77777777" w:rsidR="00392975" w:rsidRPr="00392975" w:rsidRDefault="00392975" w:rsidP="00392975"/>
    <w:p w14:paraId="2CD8004D" w14:textId="6ECA8CC9" w:rsidR="00392975" w:rsidRPr="00392975" w:rsidRDefault="002C50EE" w:rsidP="00392975">
      <w:pPr>
        <w:pStyle w:val="Heading1"/>
      </w:pPr>
      <w:r>
        <w:lastRenderedPageBreak/>
        <w:t>4. КЛИНИЧНИ ДАННИ</w:t>
      </w:r>
    </w:p>
    <w:p w14:paraId="0771830A" w14:textId="6B87F2E7" w:rsidR="00DB32D3" w:rsidRDefault="002C50EE" w:rsidP="005726E3">
      <w:pPr>
        <w:pStyle w:val="Heading2"/>
      </w:pPr>
      <w:r>
        <w:t>4.1. Терапевтични показания</w:t>
      </w:r>
    </w:p>
    <w:p w14:paraId="597E79BC" w14:textId="6410F7D6" w:rsidR="00392975" w:rsidRDefault="00392975" w:rsidP="00392975"/>
    <w:p w14:paraId="78160272" w14:textId="77777777"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u w:val="single"/>
          <w:lang w:eastAsia="bg-BG"/>
        </w:rPr>
        <w:t>Есенииална хипертония:</w:t>
      </w:r>
    </w:p>
    <w:p w14:paraId="7F68CDAA"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Главно за лечение на есенциална хипертония, самостоятелно или в</w:t>
      </w:r>
      <w:r w:rsidRPr="00392975">
        <w:rPr>
          <w:rFonts w:eastAsia="Times New Roman" w:cs="Arial"/>
          <w:color w:val="000000"/>
          <w:szCs w:val="20"/>
          <w:lang w:val="ru-RU"/>
        </w:rPr>
        <w:t xml:space="preserve"> </w:t>
      </w:r>
      <w:r w:rsidRPr="00392975">
        <w:rPr>
          <w:rFonts w:eastAsia="Times New Roman" w:cs="Arial"/>
          <w:color w:val="000000"/>
          <w:szCs w:val="20"/>
          <w:lang w:eastAsia="bg-BG"/>
        </w:rPr>
        <w:t>комбианиця</w:t>
      </w:r>
    </w:p>
    <w:p w14:paraId="552FDE40" w14:textId="77777777" w:rsidR="00392975" w:rsidRPr="00392975" w:rsidRDefault="00392975" w:rsidP="00392975">
      <w:pPr>
        <w:spacing w:line="240" w:lineRule="auto"/>
        <w:rPr>
          <w:rFonts w:eastAsia="Times New Roman" w:cs="Arial"/>
          <w:i/>
          <w:iCs/>
          <w:color w:val="000000"/>
          <w:szCs w:val="20"/>
          <w:u w:val="single"/>
          <w:lang w:eastAsia="bg-BG"/>
        </w:rPr>
      </w:pPr>
    </w:p>
    <w:p w14:paraId="72A6F581" w14:textId="286E1B10" w:rsidR="00392975" w:rsidRPr="00392975" w:rsidRDefault="00392975" w:rsidP="00392975">
      <w:pPr>
        <w:spacing w:line="240" w:lineRule="auto"/>
        <w:rPr>
          <w:rFonts w:eastAsia="Times New Roman" w:cs="Arial"/>
          <w:i/>
          <w:iCs/>
          <w:color w:val="000000"/>
          <w:szCs w:val="20"/>
          <w:u w:val="single"/>
          <w:lang w:val="ru-RU"/>
        </w:rPr>
      </w:pPr>
      <w:r w:rsidRPr="00392975">
        <w:rPr>
          <w:rFonts w:eastAsia="Times New Roman" w:cs="Arial"/>
          <w:i/>
          <w:iCs/>
          <w:color w:val="000000"/>
          <w:szCs w:val="20"/>
          <w:u w:val="single"/>
          <w:lang w:eastAsia="bg-BG"/>
        </w:rPr>
        <w:t xml:space="preserve">Хронична сърдечна недостатъчност (стадий </w:t>
      </w:r>
      <w:r w:rsidRPr="00392975">
        <w:rPr>
          <w:rFonts w:eastAsia="Times New Roman" w:cs="Arial"/>
          <w:i/>
          <w:iCs/>
          <w:color w:val="000000"/>
          <w:szCs w:val="20"/>
          <w:u w:val="single"/>
          <w:lang w:val="en-US"/>
        </w:rPr>
        <w:t>no</w:t>
      </w:r>
      <w:r w:rsidRPr="00392975">
        <w:rPr>
          <w:rFonts w:eastAsia="Times New Roman" w:cs="Arial"/>
          <w:i/>
          <w:iCs/>
          <w:color w:val="000000"/>
          <w:szCs w:val="20"/>
          <w:u w:val="single"/>
          <w:lang w:val="ru-RU"/>
        </w:rPr>
        <w:t xml:space="preserve"> </w:t>
      </w:r>
      <w:r w:rsidRPr="00392975">
        <w:rPr>
          <w:rFonts w:eastAsia="Times New Roman" w:cs="Arial"/>
          <w:i/>
          <w:iCs/>
          <w:color w:val="000000"/>
          <w:szCs w:val="20"/>
          <w:u w:val="single"/>
          <w:lang w:val="en-US"/>
        </w:rPr>
        <w:t>NYHAII</w:t>
      </w:r>
      <w:r w:rsidRPr="00392975">
        <w:rPr>
          <w:rFonts w:eastAsia="Times New Roman" w:cs="Arial"/>
          <w:i/>
          <w:iCs/>
          <w:color w:val="000000"/>
          <w:szCs w:val="20"/>
          <w:u w:val="single"/>
          <w:lang w:val="ru-RU"/>
        </w:rPr>
        <w:t>-</w:t>
      </w:r>
      <w:r w:rsidRPr="00392975">
        <w:rPr>
          <w:rFonts w:eastAsia="Times New Roman" w:cs="Arial"/>
          <w:i/>
          <w:iCs/>
          <w:color w:val="000000"/>
          <w:szCs w:val="20"/>
          <w:u w:val="single"/>
          <w:lang w:val="en-US"/>
        </w:rPr>
        <w:t>IV</w:t>
      </w:r>
      <w:r w:rsidRPr="00392975">
        <w:rPr>
          <w:rFonts w:eastAsia="Times New Roman" w:cs="Arial"/>
          <w:i/>
          <w:iCs/>
          <w:color w:val="000000"/>
          <w:szCs w:val="20"/>
          <w:u w:val="single"/>
          <w:lang w:val="ru-RU"/>
        </w:rPr>
        <w:t>)</w:t>
      </w:r>
    </w:p>
    <w:p w14:paraId="23068E74" w14:textId="0AA3AF75"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За лечение на стабилна лека, умерена и тежка хронична сърдечна недостатъчност </w:t>
      </w:r>
      <w:r w:rsidRPr="00392975">
        <w:rPr>
          <w:rFonts w:eastAsia="Times New Roman" w:cs="Arial"/>
          <w:color w:val="000000"/>
          <w:szCs w:val="20"/>
          <w:lang w:val="ru-RU"/>
        </w:rPr>
        <w:t>(</w:t>
      </w:r>
      <w:r w:rsidRPr="00392975">
        <w:rPr>
          <w:rFonts w:eastAsia="Times New Roman" w:cs="Arial"/>
          <w:color w:val="000000"/>
          <w:szCs w:val="20"/>
          <w:lang w:val="en-US"/>
        </w:rPr>
        <w:t>II</w:t>
      </w:r>
      <w:r w:rsidRPr="00392975">
        <w:rPr>
          <w:rFonts w:eastAsia="Times New Roman" w:cs="Arial"/>
          <w:color w:val="000000"/>
          <w:szCs w:val="20"/>
          <w:lang w:val="ru-RU"/>
        </w:rPr>
        <w:t>-</w:t>
      </w:r>
      <w:r w:rsidRPr="00392975">
        <w:rPr>
          <w:rFonts w:eastAsia="Times New Roman" w:cs="Arial"/>
          <w:color w:val="000000"/>
          <w:szCs w:val="20"/>
          <w:lang w:val="en-US"/>
        </w:rPr>
        <w:t>I</w:t>
      </w:r>
      <w:r w:rsidRPr="00392975">
        <w:rPr>
          <w:rFonts w:eastAsia="Times New Roman" w:cs="Arial"/>
          <w:color w:val="000000"/>
          <w:szCs w:val="20"/>
          <w:lang w:eastAsia="bg-BG"/>
        </w:rPr>
        <w:t xml:space="preserve">V функционален клас по </w:t>
      </w:r>
      <w:r w:rsidRPr="00392975">
        <w:rPr>
          <w:rFonts w:eastAsia="Times New Roman" w:cs="Arial"/>
          <w:color w:val="000000"/>
          <w:szCs w:val="20"/>
          <w:lang w:val="en-US"/>
        </w:rPr>
        <w:t>NYHA</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като допълнение към стандартното лечение (АКЕ инхибитори, диуретици и дигоксин).</w:t>
      </w:r>
    </w:p>
    <w:p w14:paraId="782FB8C6" w14:textId="77777777" w:rsidR="00392975" w:rsidRPr="00392975" w:rsidRDefault="00392975" w:rsidP="00392975">
      <w:pPr>
        <w:spacing w:line="240" w:lineRule="auto"/>
        <w:rPr>
          <w:rFonts w:eastAsia="Times New Roman" w:cs="Arial"/>
          <w:i/>
          <w:iCs/>
          <w:color w:val="000000"/>
          <w:szCs w:val="20"/>
          <w:u w:val="single"/>
          <w:lang w:eastAsia="bg-BG"/>
        </w:rPr>
      </w:pPr>
    </w:p>
    <w:p w14:paraId="4D93AD0A" w14:textId="6E4F6DAF"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u w:val="single"/>
          <w:lang w:eastAsia="bg-BG"/>
        </w:rPr>
        <w:t>Хронична стабилна стенокардия</w:t>
      </w:r>
    </w:p>
    <w:p w14:paraId="6D1F41CB" w14:textId="35623B9D"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За поддържащо лечение на хронична стабилна стенокардия.</w:t>
      </w:r>
    </w:p>
    <w:p w14:paraId="7A00C513" w14:textId="77777777" w:rsidR="00392975" w:rsidRPr="00392975" w:rsidRDefault="00392975" w:rsidP="00392975"/>
    <w:p w14:paraId="7647A102" w14:textId="106349DE" w:rsidR="00DB32D3" w:rsidRDefault="002C50EE" w:rsidP="005726E3">
      <w:pPr>
        <w:pStyle w:val="Heading2"/>
      </w:pPr>
      <w:r>
        <w:t>4.2. Дозировка и начин на приложение</w:t>
      </w:r>
    </w:p>
    <w:p w14:paraId="4C158AE9" w14:textId="717EEE80" w:rsidR="00392975" w:rsidRDefault="00392975" w:rsidP="00392975"/>
    <w:p w14:paraId="1B5738CF" w14:textId="77777777"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t>Продължителност на лечението</w:t>
      </w:r>
    </w:p>
    <w:p w14:paraId="7C2B1445"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Лечението с карведилол е продължително. Както при всички бета-блокери, лечението не трябва да се преустановява внезапно, а постепенно намалявайки дозата на едноседмични интервали. Това е особено важно при пациенти със съпътстващо заболяване исхемична болест на сърцето.</w:t>
      </w:r>
    </w:p>
    <w:p w14:paraId="1DE15FA6" w14:textId="77777777" w:rsidR="00392975" w:rsidRPr="00392975" w:rsidRDefault="00392975" w:rsidP="00392975">
      <w:pPr>
        <w:spacing w:line="240" w:lineRule="auto"/>
        <w:rPr>
          <w:rFonts w:eastAsia="Times New Roman" w:cs="Arial"/>
          <w:b/>
          <w:bCs/>
          <w:color w:val="000000"/>
          <w:u w:val="single"/>
          <w:lang w:eastAsia="bg-BG"/>
        </w:rPr>
      </w:pPr>
    </w:p>
    <w:p w14:paraId="1BB58850" w14:textId="1D108595" w:rsidR="00392975" w:rsidRPr="00392975" w:rsidRDefault="00392975" w:rsidP="00392975">
      <w:pPr>
        <w:pStyle w:val="Heading3"/>
        <w:rPr>
          <w:rFonts w:eastAsia="Times New Roman"/>
          <w:u w:val="single"/>
        </w:rPr>
      </w:pPr>
      <w:r w:rsidRPr="00392975">
        <w:rPr>
          <w:rFonts w:eastAsia="Times New Roman"/>
          <w:u w:val="single"/>
          <w:lang w:eastAsia="bg-BG"/>
        </w:rPr>
        <w:t>Дозировка</w:t>
      </w:r>
    </w:p>
    <w:p w14:paraId="4AAD6F4C" w14:textId="77777777" w:rsidR="00392975" w:rsidRPr="00392975" w:rsidRDefault="00392975" w:rsidP="00392975">
      <w:pPr>
        <w:spacing w:line="240" w:lineRule="auto"/>
        <w:rPr>
          <w:rFonts w:eastAsia="Times New Roman" w:cs="Arial"/>
          <w:i/>
          <w:iCs/>
          <w:color w:val="000000"/>
          <w:u w:val="single"/>
          <w:lang w:eastAsia="bg-BG"/>
        </w:rPr>
      </w:pPr>
    </w:p>
    <w:p w14:paraId="1E3B389C" w14:textId="6A1F37D2"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t>Есенииална хипертония</w:t>
      </w:r>
    </w:p>
    <w:p w14:paraId="60F78074" w14:textId="77777777"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Възрастни</w:t>
      </w:r>
    </w:p>
    <w:p w14:paraId="1207BC6F"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Препоръчваната начална доза е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веднъж дневно през първите два дни. Ако тя се понася добре, може да бъде увеличена. Препоръчваната поддържаща доза е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еднократно дневно. Тя е подходяща при повечето пациенти. При липса на задоволителен ефект, най-рано след 14- дневно лечение, дозата може да бъде увеличена до максимум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давани еднократно дневно или на два приема по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дневно. Дозата трябва да се повишава през интервали от най-малко две седмици.</w:t>
      </w:r>
    </w:p>
    <w:p w14:paraId="07E316EE" w14:textId="77777777" w:rsidR="00392975" w:rsidRPr="00392975" w:rsidRDefault="00392975" w:rsidP="00392975">
      <w:pPr>
        <w:spacing w:line="240" w:lineRule="auto"/>
        <w:rPr>
          <w:rFonts w:eastAsia="Times New Roman" w:cs="Arial"/>
          <w:i/>
          <w:iCs/>
          <w:color w:val="000000"/>
          <w:lang w:eastAsia="bg-BG"/>
        </w:rPr>
      </w:pPr>
    </w:p>
    <w:p w14:paraId="4DD49D14" w14:textId="7A9381AF"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Старческа възраст</w:t>
      </w:r>
    </w:p>
    <w:p w14:paraId="709AEF4A"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Препоръчваната начална дневна доза е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При някои пациента с тази доза като поддържащо лечение може да бъде постигнат адеквантен контрол на кръвното налягане. В случай, че контролът е неадекватен дозата може да бъде увеличавана на двуседмични интервали до максимум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еднократно дневно или разделени на два приема.</w:t>
      </w:r>
    </w:p>
    <w:p w14:paraId="6CFB0DC5" w14:textId="77777777" w:rsidR="00392975" w:rsidRPr="00392975" w:rsidRDefault="00392975" w:rsidP="00392975">
      <w:pPr>
        <w:spacing w:line="240" w:lineRule="auto"/>
        <w:rPr>
          <w:rFonts w:eastAsia="Times New Roman" w:cs="Arial"/>
          <w:i/>
          <w:iCs/>
          <w:color w:val="000000"/>
          <w:u w:val="single"/>
          <w:lang w:eastAsia="bg-BG"/>
        </w:rPr>
      </w:pPr>
    </w:p>
    <w:p w14:paraId="02DAE0B9" w14:textId="2DF361C8"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t>Хронична стабилна стенокардия</w:t>
      </w:r>
    </w:p>
    <w:p w14:paraId="21EBCFFB" w14:textId="77777777"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Възрастни</w:t>
      </w:r>
    </w:p>
    <w:p w14:paraId="58DF48D3" w14:textId="77777777" w:rsidR="00392975" w:rsidRPr="00392975" w:rsidRDefault="00392975" w:rsidP="00392975">
      <w:pPr>
        <w:spacing w:line="240" w:lineRule="auto"/>
        <w:rPr>
          <w:rFonts w:eastAsia="Times New Roman" w:cs="Arial"/>
          <w:color w:val="000000"/>
          <w:lang w:eastAsia="bg-BG"/>
        </w:rPr>
      </w:pPr>
      <w:r w:rsidRPr="00392975">
        <w:rPr>
          <w:rFonts w:eastAsia="Times New Roman" w:cs="Arial"/>
          <w:color w:val="000000"/>
          <w:lang w:eastAsia="bg-BG"/>
        </w:rPr>
        <w:t xml:space="preserve">Препоръчваната начална доза е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през първите два дни. Препоръчваната поддържаща доза е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При липса на задоволителен ефект, най-рано след 14-дневно лечение, дозата </w:t>
      </w:r>
    </w:p>
    <w:p w14:paraId="6E96A18E" w14:textId="09BDFEA9"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може да бъде увеличена до максимум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два пъти дневно.</w:t>
      </w:r>
    </w:p>
    <w:p w14:paraId="6B6F34DE" w14:textId="77777777" w:rsidR="00392975" w:rsidRPr="00392975" w:rsidRDefault="00392975" w:rsidP="00392975">
      <w:pPr>
        <w:spacing w:line="240" w:lineRule="auto"/>
        <w:rPr>
          <w:rFonts w:eastAsia="Times New Roman" w:cs="Arial"/>
          <w:i/>
          <w:iCs/>
          <w:color w:val="000000"/>
          <w:lang w:eastAsia="bg-BG"/>
        </w:rPr>
      </w:pPr>
    </w:p>
    <w:p w14:paraId="23C0BF78" w14:textId="08F99FAC"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Старческа възраст</w:t>
      </w:r>
    </w:p>
    <w:p w14:paraId="347E343D" w14:textId="09046C5E"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Препоръчваната максимална дневна доза е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разделена на два приема.</w:t>
      </w:r>
    </w:p>
    <w:p w14:paraId="14025BFC" w14:textId="77777777" w:rsidR="00392975" w:rsidRPr="00392975" w:rsidRDefault="00392975" w:rsidP="00392975">
      <w:pPr>
        <w:spacing w:line="240" w:lineRule="auto"/>
        <w:rPr>
          <w:rFonts w:eastAsia="Times New Roman" w:cs="Arial"/>
          <w:i/>
          <w:iCs/>
          <w:color w:val="000000"/>
          <w:u w:val="single"/>
          <w:lang w:eastAsia="bg-BG"/>
        </w:rPr>
      </w:pPr>
    </w:p>
    <w:p w14:paraId="68A6D33C" w14:textId="244C0902"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lastRenderedPageBreak/>
        <w:t xml:space="preserve">Хронична сърдечна недостатъчност (стадий </w:t>
      </w:r>
      <w:r w:rsidRPr="00392975">
        <w:rPr>
          <w:rFonts w:eastAsia="Times New Roman" w:cs="Arial"/>
          <w:i/>
          <w:iCs/>
          <w:color w:val="000000"/>
          <w:u w:val="single"/>
          <w:lang w:val="en-US"/>
        </w:rPr>
        <w:t>no</w:t>
      </w:r>
      <w:r w:rsidRPr="00392975">
        <w:rPr>
          <w:rFonts w:eastAsia="Times New Roman" w:cs="Arial"/>
          <w:i/>
          <w:iCs/>
          <w:color w:val="000000"/>
          <w:u w:val="single"/>
          <w:lang w:val="ru-RU"/>
        </w:rPr>
        <w:t xml:space="preserve"> </w:t>
      </w:r>
      <w:r w:rsidRPr="00392975">
        <w:rPr>
          <w:rFonts w:eastAsia="Times New Roman" w:cs="Arial"/>
          <w:i/>
          <w:iCs/>
          <w:color w:val="000000"/>
          <w:u w:val="single"/>
          <w:lang w:val="en-US"/>
        </w:rPr>
        <w:t>NYHA</w:t>
      </w:r>
      <w:r w:rsidRPr="00392975">
        <w:rPr>
          <w:rFonts w:eastAsia="Times New Roman" w:cs="Arial"/>
          <w:i/>
          <w:iCs/>
          <w:color w:val="000000"/>
          <w:u w:val="single"/>
          <w:lang w:val="ru-RU"/>
        </w:rPr>
        <w:t xml:space="preserve"> </w:t>
      </w:r>
      <w:r w:rsidRPr="00392975">
        <w:rPr>
          <w:rFonts w:eastAsia="Times New Roman" w:cs="Arial"/>
          <w:i/>
          <w:iCs/>
          <w:color w:val="000000"/>
          <w:u w:val="single"/>
          <w:lang w:val="en-US"/>
        </w:rPr>
        <w:t>II</w:t>
      </w:r>
      <w:r w:rsidRPr="00392975">
        <w:rPr>
          <w:rFonts w:eastAsia="Times New Roman" w:cs="Arial"/>
          <w:i/>
          <w:iCs/>
          <w:color w:val="000000"/>
          <w:u w:val="single"/>
          <w:lang w:val="ru-RU"/>
        </w:rPr>
        <w:t>-</w:t>
      </w:r>
      <w:r w:rsidRPr="00392975">
        <w:rPr>
          <w:rFonts w:eastAsia="Times New Roman" w:cs="Arial"/>
          <w:i/>
          <w:iCs/>
          <w:color w:val="000000"/>
          <w:u w:val="single"/>
          <w:lang w:val="en-US"/>
        </w:rPr>
        <w:t>IV</w:t>
      </w:r>
      <w:r w:rsidRPr="00392975">
        <w:rPr>
          <w:rFonts w:eastAsia="Times New Roman" w:cs="Arial"/>
          <w:i/>
          <w:iCs/>
          <w:color w:val="000000"/>
          <w:u w:val="single"/>
          <w:lang w:val="ru-RU"/>
        </w:rPr>
        <w:t>)</w:t>
      </w:r>
    </w:p>
    <w:p w14:paraId="6302A526"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Лечението с Талитон трябва да се започва само под наблюдението на лекар в болница при задълбочена оценка на състоянието на пациента.</w:t>
      </w:r>
    </w:p>
    <w:p w14:paraId="77868269"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Преди всяко последващо повишение на дозата клиничното състояние на пациента трябва да се оценява в деня на повишаването от специалист с опит в лечението на сърдечна недостатъчност, за да се потвърди, че клиничното състояние остава стабилно. Дозата на карведилол не трябва да се увеличава при пациенти с влошаваща се сърдечна недостатъчност след последното посещение или с признаци на декомпенсирана или нестабилна хронична сърдечна недостатъчност.</w:t>
      </w:r>
    </w:p>
    <w:p w14:paraId="521E0576" w14:textId="77777777" w:rsidR="00392975" w:rsidRPr="00392975" w:rsidRDefault="00392975" w:rsidP="00392975">
      <w:pPr>
        <w:spacing w:line="240" w:lineRule="auto"/>
        <w:rPr>
          <w:rFonts w:eastAsia="Times New Roman" w:cs="Arial"/>
          <w:color w:val="000000"/>
          <w:lang w:eastAsia="bg-BG"/>
        </w:rPr>
      </w:pPr>
    </w:p>
    <w:p w14:paraId="7E45EDA7" w14:textId="398F8640"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Адекватната доза винаги се избира индивидуално. Дозите на дигоксина, диуретици и </w:t>
      </w:r>
      <w:r w:rsidRPr="00392975">
        <w:rPr>
          <w:rFonts w:eastAsia="Times New Roman" w:cs="Arial"/>
          <w:color w:val="000000"/>
          <w:lang w:val="en-US"/>
        </w:rPr>
        <w:t>AKE</w:t>
      </w:r>
      <w:r w:rsidRPr="00392975">
        <w:rPr>
          <w:rFonts w:eastAsia="Times New Roman" w:cs="Arial"/>
          <w:color w:val="000000"/>
          <w:lang w:eastAsia="bg-BG"/>
        </w:rPr>
        <w:t xml:space="preserve"> инхибиторите трябва да бъдат уточнени преди започване на лечението с</w:t>
      </w:r>
      <w:r w:rsidRPr="00392975">
        <w:rPr>
          <w:rFonts w:eastAsia="Times New Roman" w:cs="Arial"/>
          <w:color w:val="000000"/>
          <w:lang w:val="ru-RU"/>
        </w:rPr>
        <w:t xml:space="preserve"> </w:t>
      </w:r>
      <w:r w:rsidRPr="00392975">
        <w:rPr>
          <w:rFonts w:eastAsia="Times New Roman" w:cs="Arial"/>
          <w:color w:val="000000"/>
          <w:lang w:eastAsia="bg-BG"/>
        </w:rPr>
        <w:t>Талитон.</w:t>
      </w:r>
    </w:p>
    <w:p w14:paraId="5F867A53" w14:textId="77777777" w:rsidR="00392975" w:rsidRPr="00392975" w:rsidRDefault="00392975" w:rsidP="00392975">
      <w:pPr>
        <w:spacing w:line="240" w:lineRule="auto"/>
        <w:rPr>
          <w:rFonts w:eastAsia="Times New Roman" w:cs="Arial"/>
          <w:i/>
          <w:iCs/>
          <w:color w:val="000000"/>
          <w:lang w:eastAsia="bg-BG"/>
        </w:rPr>
      </w:pPr>
    </w:p>
    <w:p w14:paraId="5BBB1514" w14:textId="64C47341"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Възрастни</w:t>
      </w:r>
    </w:p>
    <w:p w14:paraId="35D9FA2F" w14:textId="77777777" w:rsidR="00392975" w:rsidRPr="00392975" w:rsidRDefault="00392975" w:rsidP="00392975">
      <w:pPr>
        <w:rPr>
          <w:rFonts w:eastAsia="Times New Roman" w:cs="Arial"/>
        </w:rPr>
      </w:pPr>
      <w:r w:rsidRPr="00392975">
        <w:rPr>
          <w:rFonts w:eastAsia="Times New Roman" w:cs="Arial"/>
          <w:color w:val="000000"/>
          <w:lang w:eastAsia="bg-BG"/>
        </w:rPr>
        <w:t xml:space="preserve">Препоръчваната начална доза е 3,125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два пъти дневно през първите 2 седмици. Ако дозата се понася добре и ако е необходимо, тя може да бъде увеличавана на интервали не по-малки от</w:t>
      </w:r>
      <w:r w:rsidRPr="00392975">
        <w:rPr>
          <w:rFonts w:eastAsia="Times New Roman" w:cs="Arial"/>
          <w:color w:val="000000"/>
          <w:lang w:val="ru-RU" w:eastAsia="bg-BG"/>
        </w:rPr>
        <w:t xml:space="preserve"> </w:t>
      </w:r>
      <w:r w:rsidRPr="00392975">
        <w:rPr>
          <w:rFonts w:eastAsia="Times New Roman" w:cs="Arial"/>
          <w:color w:val="000000"/>
          <w:lang w:eastAsia="bg-BG"/>
        </w:rPr>
        <w:t xml:space="preserve">2 седмици до 6,25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след това до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и до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два пъти дневно. Дозата трябва да бъде увеличавана до най-високото ниво, понасяно от пациента.</w:t>
      </w:r>
    </w:p>
    <w:p w14:paraId="72D32D7C" w14:textId="77777777" w:rsidR="00392975" w:rsidRPr="00392975" w:rsidRDefault="00392975" w:rsidP="00392975">
      <w:pPr>
        <w:spacing w:line="240" w:lineRule="auto"/>
        <w:rPr>
          <w:rFonts w:eastAsia="Times New Roman" w:cs="Arial"/>
          <w:color w:val="000000"/>
          <w:lang w:eastAsia="bg-BG"/>
        </w:rPr>
      </w:pPr>
    </w:p>
    <w:p w14:paraId="065FAE27" w14:textId="09934BE4"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Максималната препоръчвана доза е 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 xml:space="preserve">два пъти дневно при всички пациенти, страдащи от тежка хронична сърдечна недостатъчност и при пациенти с лека до умерена хронична сърдечна недостатъчност с телесна маса до 85 </w:t>
      </w:r>
      <w:r w:rsidRPr="00392975">
        <w:rPr>
          <w:rFonts w:eastAsia="Times New Roman" w:cs="Arial"/>
          <w:color w:val="000000"/>
          <w:lang w:val="en-US"/>
        </w:rPr>
        <w:t>kg</w:t>
      </w:r>
      <w:r w:rsidRPr="00392975">
        <w:rPr>
          <w:rFonts w:eastAsia="Times New Roman" w:cs="Arial"/>
          <w:color w:val="000000"/>
          <w:lang w:val="ru-RU"/>
        </w:rPr>
        <w:t xml:space="preserve">. </w:t>
      </w:r>
      <w:r w:rsidRPr="00392975">
        <w:rPr>
          <w:rFonts w:eastAsia="Times New Roman" w:cs="Arial"/>
          <w:color w:val="000000"/>
          <w:lang w:eastAsia="bg-BG"/>
        </w:rPr>
        <w:t xml:space="preserve">При пациенти с лека до умерена хронична сърдечна недостатъчност и с телесна маса над 85 </w:t>
      </w:r>
      <w:r w:rsidRPr="00392975">
        <w:rPr>
          <w:rFonts w:eastAsia="Times New Roman" w:cs="Arial"/>
          <w:color w:val="000000"/>
          <w:lang w:val="en-US"/>
        </w:rPr>
        <w:t>kg</w:t>
      </w:r>
      <w:r w:rsidRPr="00392975">
        <w:rPr>
          <w:rFonts w:eastAsia="Times New Roman" w:cs="Arial"/>
          <w:color w:val="000000"/>
          <w:lang w:val="ru-RU"/>
        </w:rPr>
        <w:t xml:space="preserve"> </w:t>
      </w:r>
      <w:r w:rsidRPr="00392975">
        <w:rPr>
          <w:rFonts w:eastAsia="Times New Roman" w:cs="Arial"/>
          <w:color w:val="000000"/>
          <w:lang w:eastAsia="bg-BG"/>
        </w:rPr>
        <w:t xml:space="preserve">препоръчвана максимална доза е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два пъти дневно.</w:t>
      </w:r>
    </w:p>
    <w:p w14:paraId="48D47DA6" w14:textId="77777777" w:rsidR="00392975" w:rsidRPr="00392975" w:rsidRDefault="00392975" w:rsidP="00392975">
      <w:pPr>
        <w:spacing w:line="240" w:lineRule="auto"/>
        <w:rPr>
          <w:rFonts w:eastAsia="Times New Roman" w:cs="Arial"/>
          <w:color w:val="000000"/>
          <w:lang w:eastAsia="bg-BG"/>
        </w:rPr>
      </w:pPr>
    </w:p>
    <w:p w14:paraId="1FA8AFD0" w14:textId="2A84EF13"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Преди всякакво увеличение на дозата, трябва да се прецени за наличие на признаци за влошаване на сърдечната недостатъчност или признаци на вазодилатация (хипотония, замаяност).</w:t>
      </w:r>
    </w:p>
    <w:p w14:paraId="328A14F7" w14:textId="77777777" w:rsidR="00392975" w:rsidRPr="00392975" w:rsidRDefault="00392975" w:rsidP="00392975">
      <w:pPr>
        <w:spacing w:line="240" w:lineRule="auto"/>
        <w:rPr>
          <w:rFonts w:eastAsia="Times New Roman" w:cs="Arial"/>
          <w:color w:val="000000"/>
          <w:lang w:eastAsia="bg-BG"/>
        </w:rPr>
      </w:pPr>
    </w:p>
    <w:p w14:paraId="256D8765" w14:textId="0A38726A"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При появата на преходно нарушваване на симптомите на сърдечната недостатъчност или задръжката на течности, се препоръчва да се увеличи дозата на диуретиците. Понякога може да бъде необходимо да се намали дозата на Талитон и в редки случаи, временно лечението да се преустанови.</w:t>
      </w:r>
    </w:p>
    <w:p w14:paraId="647C28DC" w14:textId="77777777" w:rsidR="00392975" w:rsidRPr="00392975" w:rsidRDefault="00392975" w:rsidP="00392975">
      <w:pPr>
        <w:spacing w:line="240" w:lineRule="auto"/>
        <w:rPr>
          <w:rFonts w:eastAsia="Times New Roman" w:cs="Arial"/>
          <w:color w:val="000000"/>
          <w:lang w:eastAsia="bg-BG"/>
        </w:rPr>
      </w:pPr>
    </w:p>
    <w:p w14:paraId="75EFF672" w14:textId="1AE529AA"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Ако лечението с карведилол е преустановено за повече от една седмица, то трябва да бъде започнато отново с по-ниска доза два пъти дневно, която да се титрира до адекватна доза съобразно горната схема на увеличаване на дозата. В случай, че лечението трябва да бъде спряно за период по-дълъг от 2 седмици, то трябва да бъде започнато отново с най-ниската препоръчвана доза, а именно 3,125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карведилол два пъти дневно, след което индивидуалната доза трябва да бъде преценена съобразно горната схема.</w:t>
      </w:r>
    </w:p>
    <w:p w14:paraId="6C33671E" w14:textId="77777777" w:rsidR="00392975" w:rsidRPr="00392975" w:rsidRDefault="00392975" w:rsidP="00392975">
      <w:pPr>
        <w:spacing w:line="240" w:lineRule="auto"/>
        <w:rPr>
          <w:rFonts w:eastAsia="Times New Roman" w:cs="Arial"/>
          <w:color w:val="000000"/>
          <w:lang w:eastAsia="bg-BG"/>
        </w:rPr>
      </w:pPr>
    </w:p>
    <w:p w14:paraId="11CE5B91" w14:textId="76531401"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Присъщите симптоми на вазодилатация (хипотония, топли крайници) отначало трябва да бъдат лекувани с намаляване на дозата на диуретиците. Ако симптомите персистират и ако пациентът приема и АКЕ инхибитори, дозата на АКЕ инхибитора също трябва да бъде намалена. Ако след това е необходимо, може да се намали дозата на Талитон.</w:t>
      </w:r>
    </w:p>
    <w:p w14:paraId="466B1EB2" w14:textId="77777777" w:rsidR="00392975" w:rsidRPr="00392975" w:rsidRDefault="00392975" w:rsidP="00392975">
      <w:pPr>
        <w:spacing w:line="240" w:lineRule="auto"/>
        <w:rPr>
          <w:rFonts w:eastAsia="Times New Roman" w:cs="Arial"/>
          <w:color w:val="000000"/>
          <w:lang w:eastAsia="bg-BG"/>
        </w:rPr>
      </w:pPr>
    </w:p>
    <w:p w14:paraId="349B8FBC" w14:textId="0B07D460" w:rsidR="00392975" w:rsidRPr="00392975" w:rsidRDefault="00392975" w:rsidP="00392975">
      <w:pPr>
        <w:spacing w:line="240" w:lineRule="auto"/>
        <w:rPr>
          <w:rFonts w:eastAsia="Times New Roman" w:cs="Arial"/>
        </w:rPr>
      </w:pPr>
      <w:r w:rsidRPr="00392975">
        <w:rPr>
          <w:rFonts w:eastAsia="Times New Roman" w:cs="Arial"/>
          <w:color w:val="000000"/>
          <w:lang w:eastAsia="bg-BG"/>
        </w:rPr>
        <w:t>В горните случаи дозата на Талитон не трябва да се увеличава, докато признаците на влошена сърдечна недостатъчност или вазодилатация не се подобрят.</w:t>
      </w:r>
    </w:p>
    <w:p w14:paraId="197AAD33" w14:textId="77777777" w:rsidR="00392975" w:rsidRPr="00392975" w:rsidRDefault="00392975" w:rsidP="00392975">
      <w:pPr>
        <w:spacing w:line="240" w:lineRule="auto"/>
        <w:rPr>
          <w:rFonts w:eastAsia="Times New Roman" w:cs="Arial"/>
          <w:i/>
          <w:iCs/>
          <w:color w:val="000000"/>
          <w:lang w:eastAsia="bg-BG"/>
        </w:rPr>
      </w:pPr>
    </w:p>
    <w:p w14:paraId="4EE5F2C4" w14:textId="168578DE"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Старческа възраст</w:t>
      </w:r>
    </w:p>
    <w:p w14:paraId="669F306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Дозите са подобни на тези при възрастни.</w:t>
      </w:r>
    </w:p>
    <w:p w14:paraId="1E0FD394" w14:textId="77777777" w:rsidR="00392975" w:rsidRPr="00392975" w:rsidRDefault="00392975" w:rsidP="00392975">
      <w:pPr>
        <w:spacing w:line="240" w:lineRule="auto"/>
        <w:rPr>
          <w:rFonts w:eastAsia="Times New Roman" w:cs="Arial"/>
          <w:i/>
          <w:iCs/>
          <w:color w:val="000000"/>
          <w:u w:val="single"/>
          <w:lang w:eastAsia="bg-BG"/>
        </w:rPr>
      </w:pPr>
    </w:p>
    <w:p w14:paraId="040FD7A7" w14:textId="12533B1F" w:rsidR="00392975" w:rsidRPr="00392975" w:rsidRDefault="00392975" w:rsidP="00392975">
      <w:pPr>
        <w:spacing w:line="240" w:lineRule="auto"/>
        <w:rPr>
          <w:rFonts w:eastAsia="Times New Roman" w:cs="Arial"/>
        </w:rPr>
      </w:pPr>
      <w:r w:rsidRPr="00392975">
        <w:rPr>
          <w:rFonts w:eastAsia="Times New Roman" w:cs="Arial"/>
          <w:i/>
          <w:iCs/>
          <w:color w:val="000000"/>
          <w:u w:val="single"/>
          <w:lang w:eastAsia="bg-BG"/>
        </w:rPr>
        <w:t>Специални популации</w:t>
      </w:r>
    </w:p>
    <w:p w14:paraId="5D2743FE" w14:textId="77777777" w:rsidR="00392975" w:rsidRPr="00392975" w:rsidRDefault="00392975" w:rsidP="00392975">
      <w:pPr>
        <w:spacing w:line="240" w:lineRule="auto"/>
        <w:rPr>
          <w:rFonts w:eastAsia="Times New Roman" w:cs="Arial"/>
          <w:i/>
          <w:iCs/>
          <w:color w:val="000000"/>
          <w:lang w:eastAsia="bg-BG"/>
        </w:rPr>
      </w:pPr>
    </w:p>
    <w:p w14:paraId="6ED0D00C" w14:textId="60349AE6"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Бъбречно увреждане</w:t>
      </w:r>
    </w:p>
    <w:p w14:paraId="5BCA46E8"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На базата на фармакокинетични проучвания при пациенти с бъбречни увреждания в различна степен, включително тежка бъбречна недостатъчност е установено, че не е необходимо намаление на дозата на карведилол при умерена и тежка бъбречна недостатъчност (вж. т. 4.4). Не се предвижда коригиране на дозата, докато систолното артериално налягане е над 100 </w:t>
      </w:r>
      <w:r w:rsidRPr="00392975">
        <w:rPr>
          <w:rFonts w:eastAsia="Times New Roman" w:cs="Arial"/>
          <w:color w:val="000000"/>
          <w:lang w:val="en-US"/>
        </w:rPr>
        <w:t>mmHg</w:t>
      </w:r>
      <w:r w:rsidRPr="00392975">
        <w:rPr>
          <w:rFonts w:eastAsia="Times New Roman" w:cs="Arial"/>
          <w:color w:val="000000"/>
          <w:lang w:val="ru-RU"/>
        </w:rPr>
        <w:t xml:space="preserve"> </w:t>
      </w:r>
      <w:r w:rsidRPr="00392975">
        <w:rPr>
          <w:rFonts w:eastAsia="Times New Roman" w:cs="Arial"/>
          <w:color w:val="000000"/>
          <w:lang w:eastAsia="bg-BG"/>
        </w:rPr>
        <w:t>(вж. също точки 4.4 и 5.2).</w:t>
      </w:r>
    </w:p>
    <w:p w14:paraId="29F8574D" w14:textId="77777777" w:rsidR="00392975" w:rsidRPr="00392975" w:rsidRDefault="00392975" w:rsidP="00392975">
      <w:pPr>
        <w:spacing w:line="240" w:lineRule="auto"/>
        <w:rPr>
          <w:rFonts w:eastAsia="Times New Roman" w:cs="Arial"/>
          <w:i/>
          <w:iCs/>
          <w:color w:val="000000"/>
          <w:lang w:eastAsia="bg-BG"/>
        </w:rPr>
      </w:pPr>
    </w:p>
    <w:p w14:paraId="7A0F1782" w14:textId="46684A54"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Чернодробно увреждане</w:t>
      </w:r>
    </w:p>
    <w:p w14:paraId="3005BF47"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е противопоказан при пациенти с тежка чернодробна недостатъчност (виж т. 4.3 и 5.2). В случай на умерена чернодробна недостатъчност може да е необходимо намаляване на дозата.</w:t>
      </w:r>
    </w:p>
    <w:p w14:paraId="6787D3BE"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Едно фармакокинетично проучване при пациенти с цироза е показало, че експозицията </w:t>
      </w:r>
      <w:r w:rsidRPr="00392975">
        <w:rPr>
          <w:rFonts w:eastAsia="Times New Roman" w:cs="Arial"/>
          <w:color w:val="000000"/>
          <w:lang w:val="ru-RU"/>
        </w:rPr>
        <w:t>(</w:t>
      </w:r>
      <w:r w:rsidRPr="00392975">
        <w:rPr>
          <w:rFonts w:eastAsia="Times New Roman" w:cs="Arial"/>
          <w:color w:val="000000"/>
          <w:lang w:val="en-US"/>
        </w:rPr>
        <w:t>AUC</w:t>
      </w:r>
      <w:r w:rsidRPr="00392975">
        <w:rPr>
          <w:rFonts w:eastAsia="Times New Roman" w:cs="Arial"/>
          <w:color w:val="000000"/>
          <w:lang w:val="ru-RU"/>
        </w:rPr>
        <w:t xml:space="preserve">) </w:t>
      </w:r>
      <w:r w:rsidRPr="00392975">
        <w:rPr>
          <w:rFonts w:eastAsia="Times New Roman" w:cs="Arial"/>
          <w:color w:val="000000"/>
          <w:lang w:eastAsia="bg-BG"/>
        </w:rPr>
        <w:t>на карведилол е увеличена с 6,8 пункта при пациенти с чернодробно увреждане, в сравнение със здрави индивиди.</w:t>
      </w:r>
    </w:p>
    <w:p w14:paraId="45A6B21B" w14:textId="77777777" w:rsidR="00392975" w:rsidRPr="00392975" w:rsidRDefault="00392975" w:rsidP="00392975">
      <w:pPr>
        <w:spacing w:line="240" w:lineRule="auto"/>
        <w:rPr>
          <w:rFonts w:eastAsia="Times New Roman" w:cs="Arial"/>
          <w:i/>
          <w:iCs/>
          <w:color w:val="000000"/>
          <w:lang w:eastAsia="bg-BG"/>
        </w:rPr>
      </w:pPr>
    </w:p>
    <w:p w14:paraId="60D30EC4" w14:textId="3739F632"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Пациенти с диабет</w:t>
      </w:r>
    </w:p>
    <w:p w14:paraId="30324760" w14:textId="77777777" w:rsidR="00392975" w:rsidRPr="00392975" w:rsidRDefault="00392975" w:rsidP="00392975">
      <w:pPr>
        <w:rPr>
          <w:rFonts w:eastAsia="Times New Roman" w:cs="Arial"/>
        </w:rPr>
      </w:pPr>
      <w:r w:rsidRPr="00392975">
        <w:rPr>
          <w:rFonts w:eastAsia="Times New Roman" w:cs="Arial"/>
          <w:color w:val="000000"/>
          <w:lang w:eastAsia="bg-BG"/>
        </w:rPr>
        <w:t>Бета-блокерите могат да увеличат инсулиновата резистентност и да маскират симптомите на хипогликемия. Въпреки това, много проучвания са установили, че вазодилатиращи бета-блокери като карведилол са свързани с по-благоприятни ефекти върху глюкозния и липиден профил.</w:t>
      </w:r>
    </w:p>
    <w:p w14:paraId="36C1FD15" w14:textId="77777777" w:rsidR="00392975" w:rsidRPr="00392975" w:rsidRDefault="00392975" w:rsidP="00392975">
      <w:pPr>
        <w:spacing w:line="240" w:lineRule="auto"/>
        <w:rPr>
          <w:rFonts w:eastAsia="Times New Roman" w:cs="Arial"/>
          <w:color w:val="000000"/>
          <w:lang w:eastAsia="bg-BG"/>
        </w:rPr>
      </w:pPr>
    </w:p>
    <w:p w14:paraId="13E8F9DB" w14:textId="4E97F5EA" w:rsidR="00392975" w:rsidRPr="00392975" w:rsidRDefault="00392975" w:rsidP="00392975">
      <w:pPr>
        <w:spacing w:line="240" w:lineRule="auto"/>
        <w:rPr>
          <w:rFonts w:eastAsia="Times New Roman" w:cs="Arial"/>
        </w:rPr>
      </w:pPr>
      <w:r w:rsidRPr="00392975">
        <w:rPr>
          <w:rFonts w:eastAsia="Times New Roman" w:cs="Arial"/>
          <w:color w:val="000000"/>
          <w:lang w:eastAsia="bg-BG"/>
        </w:rPr>
        <w:t>Установено е, че карведилол проявява умерени инсулин-сенсибилизиращи свойства и може да облекчи някои прояви на метаболитен синдром.</w:t>
      </w:r>
    </w:p>
    <w:p w14:paraId="519B51A5" w14:textId="77777777" w:rsidR="00392975" w:rsidRPr="00392975" w:rsidRDefault="00392975" w:rsidP="00392975">
      <w:pPr>
        <w:spacing w:line="240" w:lineRule="auto"/>
        <w:rPr>
          <w:rFonts w:eastAsia="Times New Roman" w:cs="Arial"/>
          <w:i/>
          <w:iCs/>
          <w:color w:val="000000"/>
          <w:lang w:eastAsia="bg-BG"/>
        </w:rPr>
      </w:pPr>
    </w:p>
    <w:p w14:paraId="6BC60113" w14:textId="57ED9C8A" w:rsidR="00392975" w:rsidRPr="00392975" w:rsidRDefault="00392975" w:rsidP="00392975">
      <w:pPr>
        <w:spacing w:line="240" w:lineRule="auto"/>
        <w:rPr>
          <w:rFonts w:eastAsia="Times New Roman" w:cs="Arial"/>
        </w:rPr>
      </w:pPr>
      <w:r w:rsidRPr="00392975">
        <w:rPr>
          <w:rFonts w:eastAsia="Times New Roman" w:cs="Arial"/>
          <w:i/>
          <w:iCs/>
          <w:color w:val="000000"/>
          <w:lang w:eastAsia="bg-BG"/>
        </w:rPr>
        <w:t>Педиатрична популация</w:t>
      </w:r>
    </w:p>
    <w:p w14:paraId="262430C9"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Талитон не се препоръчва за приложение при деца под 18 години, поради недостатъчно данни за безопасност и ефективност.</w:t>
      </w:r>
    </w:p>
    <w:p w14:paraId="4660121B" w14:textId="77777777" w:rsidR="00392975" w:rsidRPr="00392975" w:rsidRDefault="00392975" w:rsidP="00392975">
      <w:pPr>
        <w:spacing w:line="240" w:lineRule="auto"/>
        <w:rPr>
          <w:rFonts w:eastAsia="Times New Roman" w:cs="Arial"/>
          <w:color w:val="000000"/>
          <w:u w:val="single"/>
          <w:lang w:eastAsia="bg-BG"/>
        </w:rPr>
      </w:pPr>
    </w:p>
    <w:p w14:paraId="557064A9" w14:textId="4B16D7C2" w:rsidR="00392975" w:rsidRPr="00392975" w:rsidRDefault="00392975" w:rsidP="00392975">
      <w:pPr>
        <w:pStyle w:val="Heading3"/>
        <w:rPr>
          <w:rFonts w:eastAsia="Times New Roman"/>
          <w:u w:val="single"/>
        </w:rPr>
      </w:pPr>
      <w:r w:rsidRPr="00392975">
        <w:rPr>
          <w:rFonts w:eastAsia="Times New Roman"/>
          <w:u w:val="single"/>
          <w:lang w:eastAsia="bg-BG"/>
        </w:rPr>
        <w:t>Начин на приложение</w:t>
      </w:r>
    </w:p>
    <w:p w14:paraId="53D298D6"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За перорално приложение.</w:t>
      </w:r>
    </w:p>
    <w:p w14:paraId="513E23BB"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Таблетките трябва да се приемат с достатъчно количество течност без да се дъвчат. При пациенти с хронична сърдечна недостатъчност таблетките трябва да се приемат по време на хранене.</w:t>
      </w:r>
    </w:p>
    <w:p w14:paraId="4B973EB1" w14:textId="16A6F36C" w:rsidR="00392975" w:rsidRPr="00392975" w:rsidRDefault="00392975" w:rsidP="00392975"/>
    <w:p w14:paraId="74903285" w14:textId="2304E259" w:rsidR="00DB32D3" w:rsidRDefault="002C50EE" w:rsidP="005726E3">
      <w:pPr>
        <w:pStyle w:val="Heading2"/>
      </w:pPr>
      <w:r>
        <w:t>4.3. Противопоказания</w:t>
      </w:r>
    </w:p>
    <w:p w14:paraId="0D6C3C2A" w14:textId="1DD5407E" w:rsidR="00392975" w:rsidRDefault="00392975" w:rsidP="00392975"/>
    <w:p w14:paraId="0EA37146"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Свръхчувствителност към лекарственото или помощните вещества, посочени в т. 6.1,</w:t>
      </w:r>
    </w:p>
    <w:p w14:paraId="7A355894"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Клинично проявена чернодробна дисфункция,</w:t>
      </w:r>
    </w:p>
    <w:p w14:paraId="1E309F06"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val="en-US"/>
        </w:rPr>
        <w:t>AV</w:t>
      </w:r>
      <w:r w:rsidRPr="00392975">
        <w:rPr>
          <w:rFonts w:eastAsia="Times New Roman" w:cs="Arial"/>
          <w:color w:val="000000"/>
          <w:szCs w:val="20"/>
          <w:lang w:val="ru-RU"/>
        </w:rPr>
        <w:t xml:space="preserve"> </w:t>
      </w:r>
      <w:r w:rsidRPr="00392975">
        <w:rPr>
          <w:rFonts w:eastAsia="Times New Roman" w:cs="Arial"/>
          <w:color w:val="000000"/>
          <w:szCs w:val="20"/>
          <w:lang w:eastAsia="bg-BG"/>
        </w:rPr>
        <w:t>блок втора и трета степен (освен при пациенти с пейсмейкър),</w:t>
      </w:r>
    </w:p>
    <w:p w14:paraId="1B18C3E8"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 xml:space="preserve">Тежка брадикардия (сърдечна честота &lt; </w:t>
      </w:r>
      <w:r w:rsidRPr="00392975">
        <w:rPr>
          <w:rFonts w:eastAsia="Times New Roman" w:cs="Arial"/>
          <w:color w:val="000000"/>
          <w:szCs w:val="20"/>
          <w:lang w:val="ru-RU"/>
        </w:rPr>
        <w:t>50/</w:t>
      </w:r>
      <w:r w:rsidRPr="00392975">
        <w:rPr>
          <w:rFonts w:eastAsia="Times New Roman" w:cs="Arial"/>
          <w:color w:val="000000"/>
          <w:szCs w:val="20"/>
          <w:lang w:val="en-US"/>
        </w:rPr>
        <w:t>min</w:t>
      </w:r>
      <w:r w:rsidRPr="00392975">
        <w:rPr>
          <w:rFonts w:eastAsia="Times New Roman" w:cs="Arial"/>
          <w:color w:val="000000"/>
          <w:szCs w:val="20"/>
          <w:lang w:val="ru-RU"/>
        </w:rPr>
        <w:t>),</w:t>
      </w:r>
    </w:p>
    <w:p w14:paraId="33F5B0CC"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Синдром на болния синусов възел (включително синоатриален блок),</w:t>
      </w:r>
    </w:p>
    <w:p w14:paraId="5AA0D4C1"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 xml:space="preserve">Тежка хипотония (систолично кръвно налягане &lt;85 </w:t>
      </w:r>
      <w:r w:rsidRPr="00392975">
        <w:rPr>
          <w:rFonts w:eastAsia="Times New Roman" w:cs="Arial"/>
          <w:color w:val="000000"/>
          <w:szCs w:val="20"/>
          <w:lang w:val="en-US"/>
        </w:rPr>
        <w:t>mmHg</w:t>
      </w:r>
      <w:r w:rsidRPr="00392975">
        <w:rPr>
          <w:rFonts w:eastAsia="Times New Roman" w:cs="Arial"/>
          <w:color w:val="000000"/>
          <w:szCs w:val="20"/>
          <w:lang w:val="ru-RU"/>
        </w:rPr>
        <w:t>),</w:t>
      </w:r>
    </w:p>
    <w:p w14:paraId="15EC2A89"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Кардиогенен щок,</w:t>
      </w:r>
    </w:p>
    <w:p w14:paraId="0D4B5030"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lastRenderedPageBreak/>
        <w:t>Анамнестични данни за бронхоспазъм или астма,</w:t>
      </w:r>
    </w:p>
    <w:p w14:paraId="0B2C0074" w14:textId="77777777"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Нестабилна, декомпенсирана сърдечна недостатъчност (изискваща интравенозно лечение с лекарства, с положителен инотропен ефект и/или диуретици),</w:t>
      </w:r>
    </w:p>
    <w:p w14:paraId="59A2D1A9" w14:textId="36B2F9F5" w:rsidR="00392975" w:rsidRPr="00392975" w:rsidRDefault="00392975" w:rsidP="00392975">
      <w:pPr>
        <w:pStyle w:val="ListParagraph"/>
        <w:numPr>
          <w:ilvl w:val="0"/>
          <w:numId w:val="37"/>
        </w:numPr>
        <w:spacing w:line="240" w:lineRule="auto"/>
        <w:rPr>
          <w:rFonts w:eastAsia="Times New Roman" w:cs="Arial"/>
          <w:sz w:val="28"/>
          <w:szCs w:val="24"/>
        </w:rPr>
      </w:pPr>
      <w:r w:rsidRPr="00392975">
        <w:rPr>
          <w:rFonts w:eastAsia="Times New Roman" w:cs="Arial"/>
          <w:color w:val="000000"/>
          <w:szCs w:val="20"/>
          <w:lang w:eastAsia="bg-BG"/>
        </w:rPr>
        <w:t>Лечение с интравенозно прилагани калциеви антагонисти от типа на верапамил или дилтиазем.</w:t>
      </w:r>
    </w:p>
    <w:p w14:paraId="1917D57A" w14:textId="77777777" w:rsidR="00392975" w:rsidRPr="00392975" w:rsidRDefault="00392975" w:rsidP="00392975"/>
    <w:p w14:paraId="76DC8E58" w14:textId="7D752CC8" w:rsidR="00DB32D3" w:rsidRDefault="002C50EE" w:rsidP="005726E3">
      <w:pPr>
        <w:pStyle w:val="Heading2"/>
      </w:pPr>
      <w:r>
        <w:t>4.4. Специални предупреждения и предпазни мерки при употреба</w:t>
      </w:r>
    </w:p>
    <w:p w14:paraId="1343EF2B" w14:textId="303AF780" w:rsidR="00392975" w:rsidRDefault="00392975" w:rsidP="00392975"/>
    <w:p w14:paraId="49CD7EF1" w14:textId="77777777"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Хронична застойна сърдечна недостатъчност</w:t>
      </w:r>
    </w:p>
    <w:p w14:paraId="6B8BCC4C"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При пациенти със застойна сърдечна недостатъчност по време на повишаване на дозата на карведилол може да възникне влошаване на сърдечната недостатъчност или задръжка на течности. Ако се появят такива симптоми дозата на диуретиците трябва да се повиши, а дозата на карведилол не трябва да се увеличава до постигане на клиничната стабилност. Понякога може да се наложи да се намали дозата на карведилол или в редки случаи, лечението временно да се преустанови. Такива епизоди не изключват последващо успешно титриране на карведилол. Карведилол трябва да се прилага с повишено внимание в комбинация с дигиталисови гликозиди, защото и двете лекарства намаляват </w:t>
      </w:r>
      <w:r w:rsidRPr="00392975">
        <w:rPr>
          <w:rFonts w:eastAsia="Times New Roman" w:cs="Arial"/>
          <w:color w:val="000000"/>
          <w:lang w:val="en-US"/>
        </w:rPr>
        <w:t>AV</w:t>
      </w:r>
      <w:r w:rsidRPr="00392975">
        <w:rPr>
          <w:rFonts w:eastAsia="Times New Roman" w:cs="Arial"/>
          <w:color w:val="000000"/>
          <w:lang w:val="ru-RU"/>
        </w:rPr>
        <w:t xml:space="preserve"> </w:t>
      </w:r>
      <w:r w:rsidRPr="00392975">
        <w:rPr>
          <w:rFonts w:eastAsia="Times New Roman" w:cs="Arial"/>
          <w:color w:val="000000"/>
          <w:lang w:eastAsia="bg-BG"/>
        </w:rPr>
        <w:t>проводимостта (вж. т. 4.5).</w:t>
      </w:r>
    </w:p>
    <w:p w14:paraId="1EA0C70C" w14:textId="77777777" w:rsidR="00392975" w:rsidRPr="00392975" w:rsidRDefault="00392975" w:rsidP="00392975">
      <w:pPr>
        <w:spacing w:line="240" w:lineRule="auto"/>
        <w:rPr>
          <w:rFonts w:eastAsia="Times New Roman" w:cs="Arial"/>
          <w:b/>
          <w:bCs/>
          <w:color w:val="000000"/>
          <w:lang w:eastAsia="bg-BG"/>
        </w:rPr>
      </w:pPr>
      <w:bookmarkStart w:id="2" w:name="bookmark2"/>
    </w:p>
    <w:p w14:paraId="6D297D43" w14:textId="4B1C7AD3"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Бъбречна функция при застойна сърдечна недостатъчност</w:t>
      </w:r>
      <w:bookmarkEnd w:id="2"/>
    </w:p>
    <w:p w14:paraId="6BB764B4"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Наблюдавано е обратимо влошаване на бъбречната функция при лечение с карведилол на пациенти с хронична сърдечна недостатъчност с ниско артериално налягане (систолично АН &lt;100 </w:t>
      </w:r>
      <w:r w:rsidRPr="00392975">
        <w:rPr>
          <w:rFonts w:eastAsia="Times New Roman" w:cs="Arial"/>
          <w:color w:val="000000"/>
          <w:lang w:val="en-US"/>
        </w:rPr>
        <w:t>mmHg</w:t>
      </w:r>
      <w:r w:rsidRPr="00392975">
        <w:rPr>
          <w:rFonts w:eastAsia="Times New Roman" w:cs="Arial"/>
          <w:color w:val="000000"/>
          <w:lang w:val="ru-RU"/>
        </w:rPr>
        <w:t xml:space="preserve">), </w:t>
      </w:r>
      <w:r w:rsidRPr="00392975">
        <w:rPr>
          <w:rFonts w:eastAsia="Times New Roman" w:cs="Arial"/>
          <w:color w:val="000000"/>
          <w:lang w:eastAsia="bg-BG"/>
        </w:rPr>
        <w:t>исхемична болест сърцето и дифузно съдово заболяване и/или съпътстваща бъбречна недостатъчност. При пациенти с ХСН с тези рискови фактори бъбречната функция трябва да се мониторира по време на повишаването на дозата на карведилол и при влошаване на бъбречната недостатъчност трябва дозата да се намали или приемът на лекарствения продукт да се преустанови.</w:t>
      </w:r>
    </w:p>
    <w:p w14:paraId="50ED88D5" w14:textId="77777777" w:rsidR="00392975" w:rsidRPr="00392975" w:rsidRDefault="00392975" w:rsidP="00392975">
      <w:pPr>
        <w:spacing w:line="240" w:lineRule="auto"/>
        <w:rPr>
          <w:rFonts w:eastAsia="Times New Roman" w:cs="Arial"/>
          <w:b/>
          <w:bCs/>
          <w:color w:val="000000"/>
          <w:lang w:eastAsia="bg-BG"/>
        </w:rPr>
      </w:pPr>
      <w:bookmarkStart w:id="3" w:name="bookmark4"/>
    </w:p>
    <w:p w14:paraId="759F46D9" w14:textId="1900DB66"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Хронична обструктивна белодробна болест (ХОББ)</w:t>
      </w:r>
      <w:bookmarkEnd w:id="3"/>
    </w:p>
    <w:p w14:paraId="6135A9C9" w14:textId="43A736BC" w:rsidR="00392975" w:rsidRPr="00392975" w:rsidRDefault="00392975" w:rsidP="00392975">
      <w:pPr>
        <w:rPr>
          <w:rFonts w:eastAsia="Times New Roman" w:cs="Arial"/>
          <w:color w:val="000000"/>
          <w:lang w:eastAsia="bg-BG"/>
        </w:rPr>
      </w:pPr>
      <w:r w:rsidRPr="00392975">
        <w:rPr>
          <w:rFonts w:eastAsia="Times New Roman" w:cs="Arial"/>
          <w:color w:val="000000"/>
          <w:lang w:eastAsia="bg-BG"/>
        </w:rPr>
        <w:t>Карведилол трябва да се използва внимателно при пациенти с ХОББ с бронхоспастична компонента, които не получават перорално или инхалаторно лечение и само ако потенциалната полза надхвърля евентуалния риск.</w:t>
      </w:r>
    </w:p>
    <w:p w14:paraId="00EB9E98" w14:textId="6A2FEDF4" w:rsidR="00392975" w:rsidRPr="00392975" w:rsidRDefault="00392975" w:rsidP="00392975">
      <w:pPr>
        <w:rPr>
          <w:rFonts w:eastAsia="Times New Roman" w:cs="Arial"/>
          <w:color w:val="000000"/>
          <w:lang w:eastAsia="bg-BG"/>
        </w:rPr>
      </w:pPr>
    </w:p>
    <w:p w14:paraId="06A7DC6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При пациенти със склонност към бронхоспастични реакции може да се появи респираторен дистрес като резултат от възможно увеличаване съпротивлението на дихателните пътища. Пациентите трябва да се наблюдават стриктно при започването и постепенното повишаване на дозата на карведилол, като дозата на карведилол трябва да се намали при появата на данни за бронхоспазъм по време на лечението.</w:t>
      </w:r>
    </w:p>
    <w:p w14:paraId="00F5B79C" w14:textId="77777777" w:rsidR="00392975" w:rsidRPr="00392975" w:rsidRDefault="00392975" w:rsidP="00392975">
      <w:pPr>
        <w:spacing w:line="240" w:lineRule="auto"/>
        <w:rPr>
          <w:rFonts w:eastAsia="Times New Roman" w:cs="Arial"/>
          <w:b/>
          <w:bCs/>
          <w:color w:val="000000"/>
          <w:lang w:eastAsia="bg-BG"/>
        </w:rPr>
      </w:pPr>
    </w:p>
    <w:p w14:paraId="70BE263D" w14:textId="38752413"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Диабет</w:t>
      </w:r>
    </w:p>
    <w:p w14:paraId="49CDEA6B"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Трябва да се внимава когато се прилага карведилол при пациенти зъз захарен диабет, тъй като той може да бъде свързан с влошаване на контрола на глюкозата в кръвта или ранните признаци и симптоми на остра хипогликемия може да бъдат маскирани или намалени (вж. точки 4.5 и 4.8).</w:t>
      </w:r>
    </w:p>
    <w:p w14:paraId="04BA5025" w14:textId="77777777" w:rsidR="00392975" w:rsidRPr="00392975" w:rsidRDefault="00392975" w:rsidP="00392975">
      <w:pPr>
        <w:spacing w:line="240" w:lineRule="auto"/>
        <w:rPr>
          <w:rFonts w:eastAsia="Times New Roman" w:cs="Arial"/>
          <w:b/>
          <w:bCs/>
          <w:color w:val="000000"/>
          <w:lang w:eastAsia="bg-BG"/>
        </w:rPr>
      </w:pPr>
    </w:p>
    <w:p w14:paraId="7BA6F93D" w14:textId="6D9192D1"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Периферно съдово заболяване</w:t>
      </w:r>
    </w:p>
    <w:p w14:paraId="4FB4885A"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трябва внимателно да се прилага при пациенти с периферно съдово заболяване, тъй като бета-блокерите могат да отключат или да утежнят симптомите на артериална недостатъчност.</w:t>
      </w:r>
    </w:p>
    <w:p w14:paraId="19859D3C" w14:textId="77777777" w:rsidR="00392975" w:rsidRPr="00392975" w:rsidRDefault="00392975" w:rsidP="00392975">
      <w:pPr>
        <w:spacing w:line="240" w:lineRule="auto"/>
        <w:rPr>
          <w:rFonts w:eastAsia="Times New Roman" w:cs="Arial"/>
          <w:b/>
          <w:bCs/>
          <w:color w:val="000000"/>
          <w:lang w:eastAsia="bg-BG"/>
        </w:rPr>
      </w:pPr>
    </w:p>
    <w:p w14:paraId="5BDFD3D0" w14:textId="7AA14FF6"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lastRenderedPageBreak/>
        <w:t>Феномен на Райно</w:t>
      </w:r>
    </w:p>
    <w:p w14:paraId="34CDBAB7"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трябва да се прилага внимателно при пациенти, страдащи от периферни циркулаторни нарушения (например феномен на Райно), тъй като може да се наблюдава обостряне на симптомите.</w:t>
      </w:r>
    </w:p>
    <w:p w14:paraId="7ED8C106" w14:textId="77777777" w:rsidR="00392975" w:rsidRPr="00392975" w:rsidRDefault="00392975" w:rsidP="00392975">
      <w:pPr>
        <w:spacing w:line="240" w:lineRule="auto"/>
        <w:rPr>
          <w:rFonts w:eastAsia="Times New Roman" w:cs="Arial"/>
          <w:b/>
          <w:bCs/>
          <w:color w:val="000000"/>
          <w:lang w:eastAsia="bg-BG"/>
        </w:rPr>
      </w:pPr>
      <w:bookmarkStart w:id="4" w:name="bookmark6"/>
    </w:p>
    <w:p w14:paraId="5380C463" w14:textId="35EDCCDB"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Тиреотокснкоза</w:t>
      </w:r>
      <w:bookmarkEnd w:id="4"/>
    </w:p>
    <w:p w14:paraId="0DFAF5DD"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както и другите средства с бета-блокиращи свойства, може да маскира симптомите на тиреотокснкоза.</w:t>
      </w:r>
    </w:p>
    <w:p w14:paraId="1EF84155" w14:textId="77777777" w:rsidR="00392975" w:rsidRPr="00392975" w:rsidRDefault="00392975" w:rsidP="00392975">
      <w:pPr>
        <w:spacing w:line="240" w:lineRule="auto"/>
        <w:rPr>
          <w:rFonts w:eastAsia="Times New Roman" w:cs="Arial"/>
          <w:b/>
          <w:bCs/>
          <w:color w:val="000000"/>
          <w:lang w:eastAsia="bg-BG"/>
        </w:rPr>
      </w:pPr>
      <w:bookmarkStart w:id="5" w:name="bookmark8"/>
    </w:p>
    <w:p w14:paraId="6FB6E856" w14:textId="5C7210B8"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Анестезия и хирургични интервенции</w:t>
      </w:r>
      <w:bookmarkEnd w:id="5"/>
    </w:p>
    <w:p w14:paraId="56FC2F44"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Трябва да се внимава при пациенти, на които предстои хирургична намеса поради синергичните отрицателни инотропни ефекти на карведилол и анестетиците.</w:t>
      </w:r>
    </w:p>
    <w:p w14:paraId="39BC6B73" w14:textId="77777777" w:rsidR="00392975" w:rsidRPr="00392975" w:rsidRDefault="00392975" w:rsidP="00392975">
      <w:pPr>
        <w:spacing w:line="240" w:lineRule="auto"/>
        <w:rPr>
          <w:rFonts w:eastAsia="Times New Roman" w:cs="Arial"/>
          <w:b/>
          <w:bCs/>
          <w:color w:val="000000"/>
          <w:lang w:eastAsia="bg-BG"/>
        </w:rPr>
      </w:pPr>
      <w:bookmarkStart w:id="6" w:name="bookmark10"/>
    </w:p>
    <w:p w14:paraId="23AE1FA4" w14:textId="65278F96"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Брадикардия</w:t>
      </w:r>
      <w:bookmarkEnd w:id="6"/>
    </w:p>
    <w:p w14:paraId="6A00AB8B"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Карведилол може да причини брадикардия. Ако пулсовата честота на пациента се понижи под 55 удара в минута, дозата на карведилол трябва да се намали.</w:t>
      </w:r>
    </w:p>
    <w:p w14:paraId="52280A7F" w14:textId="77777777" w:rsidR="00392975" w:rsidRPr="00392975" w:rsidRDefault="00392975" w:rsidP="00392975">
      <w:pPr>
        <w:spacing w:line="240" w:lineRule="auto"/>
        <w:rPr>
          <w:rFonts w:eastAsia="Times New Roman" w:cs="Arial"/>
          <w:b/>
          <w:bCs/>
          <w:color w:val="000000"/>
          <w:lang w:eastAsia="bg-BG"/>
        </w:rPr>
      </w:pPr>
      <w:bookmarkStart w:id="7" w:name="bookmark12"/>
    </w:p>
    <w:p w14:paraId="36C1F2F3" w14:textId="34EF0F3B"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Свръхчувствителност</w:t>
      </w:r>
      <w:bookmarkEnd w:id="7"/>
    </w:p>
    <w:p w14:paraId="2D50AEEA" w14:textId="77777777" w:rsidR="00392975" w:rsidRPr="00392975" w:rsidRDefault="00392975" w:rsidP="00392975">
      <w:pPr>
        <w:spacing w:line="240" w:lineRule="auto"/>
        <w:rPr>
          <w:rFonts w:eastAsia="Times New Roman" w:cs="Arial"/>
          <w:color w:val="000000"/>
          <w:lang w:eastAsia="bg-BG"/>
        </w:rPr>
      </w:pPr>
      <w:r w:rsidRPr="00392975">
        <w:rPr>
          <w:rFonts w:eastAsia="Times New Roman" w:cs="Arial"/>
          <w:color w:val="000000"/>
          <w:lang w:eastAsia="bg-BG"/>
        </w:rPr>
        <w:t xml:space="preserve">Трябва да се внимава при прилагането на карведилол при пациенти с анамнеза за сериозни реакции на свръхчувствителност и при такива, подложени на десензибилизиращо лечение, тъй като бета-блокерите </w:t>
      </w:r>
    </w:p>
    <w:p w14:paraId="49922CFE" w14:textId="0C72DB38" w:rsidR="00392975" w:rsidRPr="00392975" w:rsidRDefault="00392975" w:rsidP="00392975">
      <w:pPr>
        <w:spacing w:line="240" w:lineRule="auto"/>
        <w:rPr>
          <w:rFonts w:eastAsia="Times New Roman" w:cs="Arial"/>
        </w:rPr>
      </w:pPr>
      <w:r w:rsidRPr="00392975">
        <w:rPr>
          <w:rFonts w:eastAsia="Times New Roman" w:cs="Arial"/>
          <w:color w:val="000000"/>
          <w:lang w:eastAsia="bg-BG"/>
        </w:rPr>
        <w:t>могат да увеличат както чувствителността към алергени, така и тежестта на анафилактичните реакции.</w:t>
      </w:r>
    </w:p>
    <w:p w14:paraId="0BB33DF4" w14:textId="77777777" w:rsidR="00392975" w:rsidRPr="00392975" w:rsidRDefault="00392975" w:rsidP="00392975">
      <w:pPr>
        <w:spacing w:line="240" w:lineRule="auto"/>
        <w:rPr>
          <w:rFonts w:eastAsia="Times New Roman" w:cs="Arial"/>
          <w:b/>
          <w:bCs/>
          <w:color w:val="000000"/>
          <w:lang w:eastAsia="bg-BG"/>
        </w:rPr>
      </w:pPr>
      <w:bookmarkStart w:id="8" w:name="bookmark14"/>
    </w:p>
    <w:p w14:paraId="07D4E884" w14:textId="0B5309FF"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 xml:space="preserve">Тежки кожни нежелани реакции </w:t>
      </w:r>
      <w:r w:rsidRPr="00392975">
        <w:rPr>
          <w:rFonts w:eastAsia="Times New Roman" w:cs="Arial"/>
          <w:b/>
          <w:bCs/>
          <w:color w:val="000000"/>
          <w:lang w:val="ru-RU"/>
        </w:rPr>
        <w:t>(</w:t>
      </w:r>
      <w:r w:rsidRPr="00392975">
        <w:rPr>
          <w:rFonts w:eastAsia="Times New Roman" w:cs="Arial"/>
          <w:b/>
          <w:bCs/>
          <w:color w:val="000000"/>
          <w:lang w:val="en-US"/>
        </w:rPr>
        <w:t>SCAR</w:t>
      </w:r>
      <w:r w:rsidRPr="00392975">
        <w:rPr>
          <w:rFonts w:eastAsia="Times New Roman" w:cs="Arial"/>
          <w:b/>
          <w:bCs/>
          <w:color w:val="000000"/>
          <w:lang w:val="ru-RU"/>
        </w:rPr>
        <w:t>)</w:t>
      </w:r>
      <w:bookmarkEnd w:id="8"/>
    </w:p>
    <w:p w14:paraId="0DE8B412"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По време на лечението с карведилол се съобщава за много редки случаи на тежки кожни нежелани реакции като токсична епидермална некролиза </w:t>
      </w:r>
      <w:r w:rsidRPr="00392975">
        <w:rPr>
          <w:rFonts w:eastAsia="Times New Roman" w:cs="Arial"/>
          <w:color w:val="000000"/>
          <w:lang w:val="ru-RU"/>
        </w:rPr>
        <w:t>(</w:t>
      </w:r>
      <w:r w:rsidRPr="00392975">
        <w:rPr>
          <w:rFonts w:eastAsia="Times New Roman" w:cs="Arial"/>
          <w:color w:val="000000"/>
          <w:lang w:val="en-US"/>
        </w:rPr>
        <w:t>TEN</w:t>
      </w:r>
      <w:r w:rsidRPr="00392975">
        <w:rPr>
          <w:rFonts w:eastAsia="Times New Roman" w:cs="Arial"/>
          <w:color w:val="000000"/>
          <w:lang w:val="ru-RU"/>
        </w:rPr>
        <w:t xml:space="preserve">) </w:t>
      </w:r>
      <w:r w:rsidRPr="00392975">
        <w:rPr>
          <w:rFonts w:eastAsia="Times New Roman" w:cs="Arial"/>
          <w:color w:val="000000"/>
          <w:lang w:eastAsia="bg-BG"/>
        </w:rPr>
        <w:t xml:space="preserve">и синдром на Стивънс- Джонсън </w:t>
      </w:r>
      <w:r w:rsidRPr="00392975">
        <w:rPr>
          <w:rFonts w:eastAsia="Times New Roman" w:cs="Arial"/>
          <w:color w:val="000000"/>
          <w:lang w:val="ru-RU"/>
        </w:rPr>
        <w:t>(</w:t>
      </w:r>
      <w:r w:rsidRPr="00392975">
        <w:rPr>
          <w:rFonts w:eastAsia="Times New Roman" w:cs="Arial"/>
          <w:color w:val="000000"/>
          <w:lang w:val="en-US"/>
        </w:rPr>
        <w:t>SJS</w:t>
      </w:r>
      <w:r w:rsidRPr="00392975">
        <w:rPr>
          <w:rFonts w:eastAsia="Times New Roman" w:cs="Arial"/>
          <w:color w:val="000000"/>
          <w:lang w:val="ru-RU"/>
        </w:rPr>
        <w:t xml:space="preserve">) </w:t>
      </w:r>
      <w:r w:rsidRPr="00392975">
        <w:rPr>
          <w:rFonts w:eastAsia="Times New Roman" w:cs="Arial"/>
          <w:color w:val="000000"/>
          <w:lang w:eastAsia="bg-BG"/>
        </w:rPr>
        <w:t>(вж. т. 4.8 Постмаркетингови данни). Приемът на карведилол трябва окончателно да се преустанови от пациенти, при които се наблюдават тежки кожни нежелани реакции, които е възможно да се дължат на карведилол.</w:t>
      </w:r>
    </w:p>
    <w:p w14:paraId="5165D9FE" w14:textId="77777777" w:rsidR="00392975" w:rsidRPr="00392975" w:rsidRDefault="00392975" w:rsidP="00392975">
      <w:pPr>
        <w:spacing w:line="240" w:lineRule="auto"/>
        <w:rPr>
          <w:rFonts w:eastAsia="Times New Roman" w:cs="Arial"/>
          <w:b/>
          <w:bCs/>
          <w:color w:val="000000"/>
          <w:lang w:eastAsia="bg-BG"/>
        </w:rPr>
      </w:pPr>
      <w:bookmarkStart w:id="9" w:name="bookmark16"/>
    </w:p>
    <w:p w14:paraId="3350DF25" w14:textId="765C6399"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Псориазис</w:t>
      </w:r>
      <w:bookmarkEnd w:id="9"/>
    </w:p>
    <w:p w14:paraId="408D68A8"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Пациенти с анамнеза за псориазис свързана с лечение с бета-блокери, карведилол може да се прилага само след преценка на съотношението риск-полза.</w:t>
      </w:r>
    </w:p>
    <w:p w14:paraId="101BE34F" w14:textId="77777777" w:rsidR="00392975" w:rsidRPr="00392975" w:rsidRDefault="00392975" w:rsidP="00392975">
      <w:pPr>
        <w:spacing w:line="240" w:lineRule="auto"/>
        <w:rPr>
          <w:rFonts w:eastAsia="Times New Roman" w:cs="Arial"/>
          <w:b/>
          <w:bCs/>
          <w:color w:val="000000"/>
          <w:lang w:eastAsia="bg-BG"/>
        </w:rPr>
      </w:pPr>
      <w:bookmarkStart w:id="10" w:name="bookmark18"/>
    </w:p>
    <w:p w14:paraId="0BF4C32F" w14:textId="4B68D764"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Едновременна употреба с калциеви антагонисти</w:t>
      </w:r>
      <w:bookmarkEnd w:id="10"/>
    </w:p>
    <w:p w14:paraId="47F0A6DC"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Необходимо е внимателно да се проследява ЕКГ и кръвното налягане при пациенти</w:t>
      </w:r>
    </w:p>
    <w:p w14:paraId="763E1604"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получаващи едновременно лечение с калциеви антагонисти от типа на верипамил или дилтиазем, или други антиаритмични лекарства.</w:t>
      </w:r>
    </w:p>
    <w:p w14:paraId="320420DD" w14:textId="77777777" w:rsidR="00392975" w:rsidRPr="00392975" w:rsidRDefault="00392975" w:rsidP="00392975">
      <w:pPr>
        <w:spacing w:line="240" w:lineRule="auto"/>
        <w:rPr>
          <w:rFonts w:eastAsia="Times New Roman" w:cs="Arial"/>
          <w:b/>
          <w:bCs/>
          <w:color w:val="000000"/>
          <w:lang w:eastAsia="bg-BG"/>
        </w:rPr>
      </w:pPr>
    </w:p>
    <w:p w14:paraId="46DF9E53" w14:textId="18EC0839"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Феохромоцитом</w:t>
      </w:r>
    </w:p>
    <w:p w14:paraId="2DB885D9"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При пациенти с феохромоцитом преди приложението на каквито и да е бета-блокери трябва да се започне лечение с алфа блокер. Въпреки че карведилол има както алфа-, така и бета- блокираща активност, няма опит с неговото приложение при това състояние. Затова трябва да се прилага с повишено внимание при пациенти, с подозрение за феохромоцитом.</w:t>
      </w:r>
    </w:p>
    <w:p w14:paraId="70E10BF3" w14:textId="77777777" w:rsidR="00392975" w:rsidRPr="00392975" w:rsidRDefault="00392975" w:rsidP="00392975">
      <w:pPr>
        <w:spacing w:line="240" w:lineRule="auto"/>
        <w:rPr>
          <w:rFonts w:eastAsia="Times New Roman" w:cs="Arial"/>
          <w:b/>
          <w:bCs/>
          <w:color w:val="000000"/>
          <w:lang w:eastAsia="bg-BG"/>
        </w:rPr>
      </w:pPr>
    </w:p>
    <w:p w14:paraId="1AF39EE4" w14:textId="11AB3A1C"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Вариантна ангина на Принцметал</w:t>
      </w:r>
    </w:p>
    <w:p w14:paraId="0F23482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Лекарствени продукти с неселективна бета-блокираща активност могат да предизвикат болка в гърдите при пациенти с вариантна ангина на Принцметал. Няма клиничен опит с карведилол при тези пациенти, макар че алфа блокиращата активност на карведилол </w:t>
      </w:r>
      <w:r w:rsidRPr="00392975">
        <w:rPr>
          <w:rFonts w:eastAsia="Times New Roman" w:cs="Arial"/>
          <w:color w:val="000000"/>
          <w:lang w:eastAsia="bg-BG"/>
        </w:rPr>
        <w:lastRenderedPageBreak/>
        <w:t>може да предотврати такива симптоми. Необходимо е обаче повишено внимание при приложението на карведилол при подозрение за вариантна ангина на Принцметал.</w:t>
      </w:r>
    </w:p>
    <w:p w14:paraId="4CB0A4A7" w14:textId="77777777" w:rsidR="00392975" w:rsidRPr="00392975" w:rsidRDefault="00392975" w:rsidP="00392975">
      <w:pPr>
        <w:spacing w:line="240" w:lineRule="auto"/>
        <w:rPr>
          <w:rFonts w:eastAsia="Times New Roman" w:cs="Arial"/>
          <w:b/>
          <w:bCs/>
          <w:color w:val="000000"/>
          <w:lang w:eastAsia="bg-BG"/>
        </w:rPr>
      </w:pPr>
    </w:p>
    <w:p w14:paraId="5792CF69" w14:textId="049469EF"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Взаимодействия с други лекарствени продукти</w:t>
      </w:r>
    </w:p>
    <w:p w14:paraId="362BDC8A"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Налице са редица значими фармакокинетични и фармакодинамични взаимодействия с други лекарствени продукти (напр. дитоксин, циклоспорин, рифампицин, анестетици, антиаритмични лекарства, вж. т. 4.5).</w:t>
      </w:r>
    </w:p>
    <w:p w14:paraId="15ECAE1D" w14:textId="77777777" w:rsidR="00392975" w:rsidRPr="00392975" w:rsidRDefault="00392975" w:rsidP="00392975">
      <w:pPr>
        <w:spacing w:line="240" w:lineRule="auto"/>
        <w:rPr>
          <w:rFonts w:eastAsia="Times New Roman" w:cs="Arial"/>
          <w:b/>
          <w:bCs/>
          <w:color w:val="000000"/>
          <w:lang w:eastAsia="bg-BG"/>
        </w:rPr>
      </w:pPr>
    </w:p>
    <w:p w14:paraId="4BB87B77" w14:textId="2FA988AA"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Контактни летци</w:t>
      </w:r>
    </w:p>
    <w:p w14:paraId="7F655C3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Носещи контактни лещи трябва да имат предвид възможността за намалена лакримация.</w:t>
      </w:r>
    </w:p>
    <w:p w14:paraId="3DD858AF" w14:textId="77777777" w:rsidR="00392975" w:rsidRPr="00392975" w:rsidRDefault="00392975" w:rsidP="00392975">
      <w:pPr>
        <w:spacing w:line="240" w:lineRule="auto"/>
        <w:rPr>
          <w:rFonts w:eastAsia="Times New Roman" w:cs="Arial"/>
          <w:b/>
          <w:bCs/>
          <w:color w:val="000000"/>
          <w:lang w:eastAsia="bg-BG"/>
        </w:rPr>
      </w:pPr>
    </w:p>
    <w:p w14:paraId="6E8ECD71" w14:textId="33E04589"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Синдром на отнемане</w:t>
      </w:r>
    </w:p>
    <w:p w14:paraId="776C5BD0"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Лечението с карведилол на трябва да се сдпира внезапно, особено при пациенти, страдащи от исхемична болест на сърцето. Спирането на карведилол трябва да става постепенно (за период от 2 седмици).</w:t>
      </w:r>
    </w:p>
    <w:p w14:paraId="349C9731" w14:textId="77777777" w:rsidR="00392975" w:rsidRPr="00392975" w:rsidRDefault="00392975" w:rsidP="00392975">
      <w:pPr>
        <w:spacing w:line="240" w:lineRule="auto"/>
        <w:rPr>
          <w:rFonts w:eastAsia="Times New Roman" w:cs="Arial"/>
          <w:b/>
          <w:bCs/>
          <w:color w:val="000000"/>
          <w:lang w:eastAsia="bg-BG"/>
        </w:rPr>
      </w:pPr>
    </w:p>
    <w:p w14:paraId="130B2CD5" w14:textId="2FCF0917"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Клонидин</w:t>
      </w:r>
    </w:p>
    <w:p w14:paraId="2EC39B02"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В случай на преустановяване на едновременно лечение с клонидин, най-напред карведилол трябва да бъде постепенно спрян, няколко дни преди спиране на клонидин (вж. т. 4.5).</w:t>
      </w:r>
    </w:p>
    <w:p w14:paraId="00438E64" w14:textId="77777777" w:rsidR="00392975" w:rsidRPr="00392975" w:rsidRDefault="00392975" w:rsidP="00392975">
      <w:pPr>
        <w:spacing w:line="240" w:lineRule="auto"/>
        <w:rPr>
          <w:rFonts w:eastAsia="Times New Roman" w:cs="Arial"/>
          <w:b/>
          <w:bCs/>
          <w:color w:val="000000"/>
          <w:lang w:eastAsia="bg-BG"/>
        </w:rPr>
      </w:pPr>
    </w:p>
    <w:p w14:paraId="211E54F9" w14:textId="7660F27D"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Лактоза</w:t>
      </w:r>
    </w:p>
    <w:p w14:paraId="23AEA59B"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Всяка таблетка съдържа 50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лактоза монохидрат. Пациентите с редките наследствени състояния на галактозна непоносимост, тотална лактазна недостатъчност или глюкозо- галактозен малабсорбционен синдром не трябва да приемат това лекарство.</w:t>
      </w:r>
    </w:p>
    <w:p w14:paraId="06163E47" w14:textId="77777777" w:rsidR="00392975" w:rsidRPr="00392975" w:rsidRDefault="00392975" w:rsidP="00392975">
      <w:pPr>
        <w:spacing w:line="240" w:lineRule="auto"/>
        <w:rPr>
          <w:rFonts w:eastAsia="Times New Roman" w:cs="Arial"/>
          <w:b/>
          <w:bCs/>
          <w:color w:val="000000"/>
          <w:lang w:eastAsia="bg-BG"/>
        </w:rPr>
      </w:pPr>
    </w:p>
    <w:p w14:paraId="7E13FA48" w14:textId="46ECD0E2" w:rsidR="00392975" w:rsidRPr="00392975" w:rsidRDefault="00392975" w:rsidP="00392975">
      <w:pPr>
        <w:spacing w:line="240" w:lineRule="auto"/>
        <w:rPr>
          <w:rFonts w:eastAsia="Times New Roman" w:cs="Arial"/>
          <w:b/>
          <w:bCs/>
          <w:color w:val="000000"/>
          <w:lang w:eastAsia="bg-BG"/>
        </w:rPr>
      </w:pPr>
      <w:r w:rsidRPr="00392975">
        <w:rPr>
          <w:rFonts w:eastAsia="Times New Roman" w:cs="Arial"/>
          <w:b/>
          <w:bCs/>
          <w:color w:val="000000"/>
          <w:lang w:eastAsia="bg-BG"/>
        </w:rPr>
        <w:t>Захароза</w:t>
      </w:r>
    </w:p>
    <w:p w14:paraId="5F75873A"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Всяка таблетка съдържа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захароза. Пациентите с редките наследствени състояния на фрукгозна непоносимост, глюкозо-галактозен малабсорбционен синдром или захаразо- изомалтазен дефицит не трябва да приемат това лекарство.</w:t>
      </w:r>
    </w:p>
    <w:p w14:paraId="60C39A33" w14:textId="77777777" w:rsidR="00392975" w:rsidRPr="00392975" w:rsidRDefault="00392975" w:rsidP="00392975">
      <w:pPr>
        <w:spacing w:line="240" w:lineRule="auto"/>
        <w:rPr>
          <w:rFonts w:eastAsia="Times New Roman" w:cs="Arial"/>
          <w:b/>
          <w:bCs/>
          <w:color w:val="000000"/>
          <w:lang w:eastAsia="bg-BG"/>
        </w:rPr>
      </w:pPr>
    </w:p>
    <w:p w14:paraId="3AD1ABA4" w14:textId="1E5FEAE8" w:rsidR="00392975" w:rsidRPr="00392975" w:rsidRDefault="00392975" w:rsidP="00392975">
      <w:pPr>
        <w:spacing w:line="240" w:lineRule="auto"/>
        <w:rPr>
          <w:rFonts w:eastAsia="Times New Roman" w:cs="Arial"/>
        </w:rPr>
      </w:pPr>
      <w:r w:rsidRPr="00392975">
        <w:rPr>
          <w:rFonts w:eastAsia="Times New Roman" w:cs="Arial"/>
          <w:b/>
          <w:bCs/>
          <w:color w:val="000000"/>
          <w:lang w:eastAsia="bg-BG"/>
        </w:rPr>
        <w:t>Ариавит сънсет жълто (Е110)</w:t>
      </w:r>
    </w:p>
    <w:p w14:paraId="18B277D1" w14:textId="77777777" w:rsidR="00392975" w:rsidRPr="00392975" w:rsidRDefault="00392975" w:rsidP="00392975">
      <w:pPr>
        <w:spacing w:line="240" w:lineRule="auto"/>
        <w:rPr>
          <w:rFonts w:eastAsia="Times New Roman" w:cs="Arial"/>
        </w:rPr>
      </w:pPr>
      <w:r w:rsidRPr="00392975">
        <w:rPr>
          <w:rFonts w:eastAsia="Times New Roman" w:cs="Arial"/>
          <w:color w:val="000000"/>
          <w:lang w:eastAsia="bg-BG"/>
        </w:rPr>
        <w:t xml:space="preserve">Талитон 12,5 </w:t>
      </w:r>
      <w:r w:rsidRPr="00392975">
        <w:rPr>
          <w:rFonts w:eastAsia="Times New Roman" w:cs="Arial"/>
          <w:color w:val="000000"/>
          <w:lang w:val="en-US"/>
        </w:rPr>
        <w:t>mg</w:t>
      </w:r>
      <w:r w:rsidRPr="00392975">
        <w:rPr>
          <w:rFonts w:eastAsia="Times New Roman" w:cs="Arial"/>
          <w:color w:val="000000"/>
          <w:lang w:val="ru-RU"/>
        </w:rPr>
        <w:t xml:space="preserve"> </w:t>
      </w:r>
      <w:r w:rsidRPr="00392975">
        <w:rPr>
          <w:rFonts w:eastAsia="Times New Roman" w:cs="Arial"/>
          <w:color w:val="000000"/>
          <w:lang w:eastAsia="bg-BG"/>
        </w:rPr>
        <w:t>таблетки съдържа Ариавит сънсет жълто (Е 110), който може да предизвика алергични реакции.</w:t>
      </w:r>
    </w:p>
    <w:p w14:paraId="554BF75D" w14:textId="5E5D7BB5" w:rsidR="00392975" w:rsidRPr="00392975" w:rsidRDefault="00392975" w:rsidP="00392975"/>
    <w:p w14:paraId="62F27C9B" w14:textId="78915018" w:rsidR="00DB32D3"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79BA8F11" w14:textId="050F842D" w:rsidR="00392975" w:rsidRDefault="00392975" w:rsidP="00392975"/>
    <w:p w14:paraId="45DBD449" w14:textId="77777777"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Фармакокинетични взаимодействия</w:t>
      </w:r>
    </w:p>
    <w:p w14:paraId="29CF28CC" w14:textId="77777777" w:rsidR="00392975" w:rsidRPr="00392975" w:rsidRDefault="00392975" w:rsidP="00392975">
      <w:pPr>
        <w:spacing w:line="240" w:lineRule="auto"/>
        <w:rPr>
          <w:rFonts w:eastAsia="Times New Roman" w:cs="Arial"/>
          <w:i/>
          <w:iCs/>
          <w:color w:val="000000"/>
          <w:szCs w:val="20"/>
          <w:lang w:eastAsia="bg-BG"/>
        </w:rPr>
      </w:pPr>
    </w:p>
    <w:p w14:paraId="1D6BC8AB" w14:textId="1EA7E37E"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Влияние на карведилол върху фармакокинетиката на другите лекарствени продукти</w:t>
      </w:r>
    </w:p>
    <w:p w14:paraId="65E1B349" w14:textId="77777777" w:rsidR="00392975" w:rsidRPr="00392975" w:rsidRDefault="00392975" w:rsidP="00392975">
      <w:pPr>
        <w:spacing w:line="240" w:lineRule="auto"/>
        <w:rPr>
          <w:rFonts w:eastAsia="Times New Roman" w:cs="Arial"/>
          <w:color w:val="000000"/>
          <w:szCs w:val="20"/>
          <w:lang w:eastAsia="bg-BG"/>
        </w:rPr>
      </w:pPr>
    </w:p>
    <w:p w14:paraId="4AFDFAEC" w14:textId="271EDBC4"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Карведилол е субстрат, а също и инхибитор на Р-гликопротеин. Затова бионаличноста на лекарства, транспортирани от Р-гликопротеин може да бъде увеличена при едновременното приложение на карведилол. Също така, бионаличносгга на карведилол мож&amp;£&amp;^вде променяна от индукторите или инхибиторите на Р-гликопротеин.</w:t>
      </w:r>
    </w:p>
    <w:p w14:paraId="0C900F6C"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Инхибиторите както и индукторите на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D</w:t>
      </w:r>
      <w:r w:rsidRPr="00392975">
        <w:rPr>
          <w:rFonts w:eastAsia="Times New Roman" w:cs="Arial"/>
          <w:color w:val="000000"/>
          <w:szCs w:val="20"/>
          <w:lang w:val="ru-RU"/>
        </w:rPr>
        <w:t xml:space="preserve">6 </w:t>
      </w:r>
      <w:r w:rsidRPr="00392975">
        <w:rPr>
          <w:rFonts w:eastAsia="Times New Roman" w:cs="Arial"/>
          <w:color w:val="000000"/>
          <w:szCs w:val="20"/>
          <w:lang w:eastAsia="bg-BG"/>
        </w:rPr>
        <w:t xml:space="preserve">и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C</w:t>
      </w:r>
      <w:r w:rsidRPr="00392975">
        <w:rPr>
          <w:rFonts w:eastAsia="Times New Roman" w:cs="Arial"/>
          <w:color w:val="000000"/>
          <w:szCs w:val="20"/>
          <w:lang w:val="ru-RU"/>
        </w:rPr>
        <w:t xml:space="preserve">9 </w:t>
      </w:r>
      <w:r w:rsidRPr="00392975">
        <w:rPr>
          <w:rFonts w:eastAsia="Times New Roman" w:cs="Arial"/>
          <w:color w:val="000000"/>
          <w:szCs w:val="20"/>
          <w:lang w:eastAsia="bg-BG"/>
        </w:rPr>
        <w:t xml:space="preserve">могат да променят системния и/или предсистемния метаболизъм на карведилол стереоселективно, което води до повишени или намалени плазмени концентрации 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карведилол (вж. т. 5.2). По-долу са дадени някои</w:t>
      </w:r>
    </w:p>
    <w:p w14:paraId="0DAC53FD"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lastRenderedPageBreak/>
        <w:t>примери, наблюдавани при пациенти или здрави лица, но списъкът не е изчепателен.</w:t>
      </w:r>
    </w:p>
    <w:p w14:paraId="48D09582" w14:textId="0B5CF3A7" w:rsidR="00392975" w:rsidRPr="00392975" w:rsidRDefault="00392975" w:rsidP="00392975">
      <w:pPr>
        <w:rPr>
          <w:rFonts w:cs="Arial"/>
          <w:sz w:val="24"/>
        </w:rPr>
      </w:pPr>
    </w:p>
    <w:p w14:paraId="6211856E" w14:textId="77777777"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Дигоксин:</w:t>
      </w:r>
      <w:r w:rsidRPr="00392975">
        <w:rPr>
          <w:rFonts w:eastAsia="Times New Roman" w:cs="Arial"/>
          <w:color w:val="000000"/>
          <w:szCs w:val="20"/>
          <w:lang w:eastAsia="bg-BG"/>
        </w:rPr>
        <w:t xml:space="preserve"> В някои проучвания при здрави индивиди и при пациенти със сърдечна недостатъчност е доказана повишена експозиция на дигоксин до 20%. Значително по-голям ефект е наблюдаван при пациенти от мъжки пол в сравнение с пациенти от женски пол. Препоръчва се внимателно следене на нивото на дигоксин при започване, титриране или прекъсване на лечението с карведилол (вж. т.4.4). Карведилол не влияе върху приложения интравенозно дигоксин.</w:t>
      </w:r>
    </w:p>
    <w:p w14:paraId="2704D536" w14:textId="77777777" w:rsidR="00392975" w:rsidRPr="00392975" w:rsidRDefault="00392975" w:rsidP="00392975">
      <w:pPr>
        <w:spacing w:line="240" w:lineRule="auto"/>
        <w:rPr>
          <w:rFonts w:eastAsia="Times New Roman" w:cs="Arial"/>
          <w:i/>
          <w:iCs/>
          <w:color w:val="000000"/>
          <w:szCs w:val="20"/>
          <w:lang w:eastAsia="bg-BG"/>
        </w:rPr>
      </w:pPr>
    </w:p>
    <w:p w14:paraId="5538AB4B" w14:textId="39F92B74"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Циклоспорин:</w:t>
      </w:r>
      <w:r w:rsidRPr="00392975">
        <w:rPr>
          <w:rFonts w:eastAsia="Times New Roman" w:cs="Arial"/>
          <w:color w:val="000000"/>
          <w:szCs w:val="20"/>
          <w:lang w:eastAsia="bg-BG"/>
        </w:rPr>
        <w:t xml:space="preserve"> Две проучвания при бъбречно и сърдечно трансплантирани пациенти, получаващи циклоспорин перорално са показали, увеличение на плазмената концентрация на циклоспорин след започване на лечение с карведилол. Данните показват, че карведилол увеличава действието на перорално приетия циклоспорин с около 10 до 20%, поради което се налага намаляване на дозата на циклоспорин с 10-20%, за да се поддържат терапевтичните концентрации на циклоспорин.</w:t>
      </w:r>
    </w:p>
    <w:p w14:paraId="7A105062"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Механизмът на взаимодействието не е известен, но причината може да бъде инхибирането на чревния Р-гликопротеин от карведилол. Поради широката интериндивидуална вариабилност на нивата на циклоспорин се препоръчва концентрацията на циклоспорин да бъде внимателно следена след започване на лечение с карведилол и дозата на циклоспорин да бъде подходящо прецизирана.</w:t>
      </w:r>
    </w:p>
    <w:p w14:paraId="5EE8AE45"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В случай на интравенозно приложение на циклоспорин не се очаква взаимодействия с карведилол.</w:t>
      </w:r>
    </w:p>
    <w:p w14:paraId="2B66F15E" w14:textId="77777777" w:rsidR="00392975" w:rsidRPr="00392975" w:rsidRDefault="00392975" w:rsidP="00392975">
      <w:pPr>
        <w:spacing w:line="240" w:lineRule="auto"/>
        <w:rPr>
          <w:rFonts w:eastAsia="Times New Roman" w:cs="Arial"/>
          <w:i/>
          <w:iCs/>
          <w:color w:val="000000"/>
          <w:szCs w:val="20"/>
          <w:lang w:eastAsia="bg-BG"/>
        </w:rPr>
      </w:pPr>
    </w:p>
    <w:p w14:paraId="1F7271D9" w14:textId="7F744ACF"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Влияние на други лекарства върху фармакокинетиката на карведилол</w:t>
      </w:r>
    </w:p>
    <w:p w14:paraId="04865113"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 xml:space="preserve">Инхибиторите, както и индукторите на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D</w:t>
      </w:r>
      <w:r w:rsidRPr="00392975">
        <w:rPr>
          <w:rFonts w:eastAsia="Times New Roman" w:cs="Arial"/>
          <w:color w:val="000000"/>
          <w:szCs w:val="20"/>
          <w:lang w:val="ru-RU"/>
        </w:rPr>
        <w:t xml:space="preserve">6 </w:t>
      </w:r>
      <w:r w:rsidRPr="00392975">
        <w:rPr>
          <w:rFonts w:eastAsia="Times New Roman" w:cs="Arial"/>
          <w:color w:val="000000"/>
          <w:szCs w:val="20"/>
          <w:lang w:eastAsia="bg-BG"/>
        </w:rPr>
        <w:t xml:space="preserve">и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C</w:t>
      </w:r>
      <w:r w:rsidRPr="00392975">
        <w:rPr>
          <w:rFonts w:eastAsia="Times New Roman" w:cs="Arial"/>
          <w:color w:val="000000"/>
          <w:szCs w:val="20"/>
          <w:lang w:val="ru-RU"/>
        </w:rPr>
        <w:t xml:space="preserve">9 </w:t>
      </w:r>
      <w:r w:rsidRPr="00392975">
        <w:rPr>
          <w:rFonts w:eastAsia="Times New Roman" w:cs="Arial"/>
          <w:color w:val="000000"/>
          <w:szCs w:val="20"/>
          <w:lang w:eastAsia="bg-BG"/>
        </w:rPr>
        <w:t xml:space="preserve">могат да променят системния и/или предсистемния метаболизъм на карведилол стереоселективно, което увеличава или намалява плазмените концентрации 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карведилол (вж. т. 5.2, Биотрансформация). Някои примери, наблюдавани при пациенти или при здрави индивиди са изброени по-долу, но списъкът не е изчерпателен.</w:t>
      </w:r>
    </w:p>
    <w:p w14:paraId="55E54B34" w14:textId="77777777" w:rsidR="00392975" w:rsidRPr="00392975" w:rsidRDefault="00392975" w:rsidP="00392975">
      <w:pPr>
        <w:spacing w:line="240" w:lineRule="auto"/>
        <w:rPr>
          <w:rFonts w:eastAsia="Times New Roman" w:cs="Arial"/>
          <w:i/>
          <w:iCs/>
          <w:color w:val="000000"/>
          <w:szCs w:val="20"/>
          <w:lang w:eastAsia="bg-BG"/>
        </w:rPr>
      </w:pPr>
    </w:p>
    <w:p w14:paraId="2FE10511" w14:textId="27467AE4"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Амиодарон:</w:t>
      </w:r>
      <w:r w:rsidRPr="00392975">
        <w:rPr>
          <w:rFonts w:eastAsia="Times New Roman" w:cs="Arial"/>
          <w:color w:val="000000"/>
          <w:szCs w:val="20"/>
          <w:lang w:eastAsia="bg-BG"/>
        </w:rPr>
        <w:t xml:space="preserve"> В </w:t>
      </w:r>
      <w:r w:rsidRPr="00392975">
        <w:rPr>
          <w:rFonts w:eastAsia="Times New Roman" w:cs="Arial"/>
          <w:i/>
          <w:iCs/>
          <w:color w:val="000000"/>
          <w:szCs w:val="20"/>
          <w:lang w:val="en-US"/>
        </w:rPr>
        <w:t>in</w:t>
      </w:r>
      <w:r w:rsidRPr="00392975">
        <w:rPr>
          <w:rFonts w:eastAsia="Times New Roman" w:cs="Arial"/>
          <w:i/>
          <w:iCs/>
          <w:color w:val="000000"/>
          <w:szCs w:val="20"/>
          <w:lang w:val="ru-RU"/>
        </w:rPr>
        <w:t xml:space="preserve"> </w:t>
      </w:r>
      <w:r w:rsidRPr="00392975">
        <w:rPr>
          <w:rFonts w:eastAsia="Times New Roman" w:cs="Arial"/>
          <w:i/>
          <w:iCs/>
          <w:color w:val="000000"/>
          <w:szCs w:val="20"/>
          <w:lang w:val="en-US"/>
        </w:rPr>
        <w:t>vitro</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проучване с човешки чернодробни микрозоми е установено, че амиодарон и дезетиламиодарон инхибират окисление 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карведилол. Минималната концентрацията 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карведилол значително се увеличава 2,2-кратно при пациенти със сърдечна недостатъчност, получаващи карведилол и едновременно амиодарон в сравнение с пациенти, подложени на монотерапия с карведилол. Ефектът на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карведилол се приписва на дезетиламиодарон, метаболит на амиодарон, който е силен инхибитор на С</w:t>
      </w:r>
      <w:r w:rsidRPr="00392975">
        <w:rPr>
          <w:rFonts w:eastAsia="Times New Roman" w:cs="Arial"/>
          <w:color w:val="000000"/>
          <w:szCs w:val="20"/>
          <w:lang w:val="en-US"/>
        </w:rPr>
        <w:t>YP</w:t>
      </w:r>
      <w:r w:rsidRPr="00392975">
        <w:rPr>
          <w:rFonts w:eastAsia="Times New Roman" w:cs="Arial"/>
          <w:color w:val="000000"/>
          <w:szCs w:val="20"/>
          <w:lang w:val="ru-RU"/>
        </w:rPr>
        <w:t>2</w:t>
      </w:r>
      <w:r w:rsidRPr="00392975">
        <w:rPr>
          <w:rFonts w:eastAsia="Times New Roman" w:cs="Arial"/>
          <w:color w:val="000000"/>
          <w:szCs w:val="20"/>
          <w:lang w:val="en-US"/>
        </w:rPr>
        <w:t>C</w:t>
      </w:r>
      <w:r w:rsidRPr="00392975">
        <w:rPr>
          <w:rFonts w:eastAsia="Times New Roman" w:cs="Arial"/>
          <w:color w:val="000000"/>
          <w:szCs w:val="20"/>
          <w:lang w:val="ru-RU"/>
        </w:rPr>
        <w:t xml:space="preserve">9. </w:t>
      </w:r>
      <w:r w:rsidRPr="00392975">
        <w:rPr>
          <w:rFonts w:eastAsia="Times New Roman" w:cs="Arial"/>
          <w:color w:val="000000"/>
          <w:szCs w:val="20"/>
          <w:lang w:eastAsia="bg-BG"/>
        </w:rPr>
        <w:t>Препоръчва се наблюдение за проява на бета-блокада при пациенти, лекувани с комбинация карведилол и амиодарон.</w:t>
      </w:r>
    </w:p>
    <w:p w14:paraId="30618EDE" w14:textId="77777777" w:rsidR="00392975" w:rsidRPr="00392975" w:rsidRDefault="00392975" w:rsidP="00392975">
      <w:pPr>
        <w:spacing w:line="240" w:lineRule="auto"/>
        <w:rPr>
          <w:rFonts w:eastAsia="Times New Roman" w:cs="Arial"/>
          <w:i/>
          <w:iCs/>
          <w:color w:val="000000"/>
          <w:szCs w:val="20"/>
          <w:lang w:eastAsia="bg-BG"/>
        </w:rPr>
      </w:pPr>
    </w:p>
    <w:p w14:paraId="668C3BBC" w14:textId="5882E394"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Рифампицин:</w:t>
      </w:r>
      <w:r w:rsidRPr="00392975">
        <w:rPr>
          <w:rFonts w:eastAsia="Times New Roman" w:cs="Arial"/>
          <w:color w:val="000000"/>
          <w:szCs w:val="20"/>
          <w:lang w:eastAsia="bg-BG"/>
        </w:rPr>
        <w:t xml:space="preserve"> В проучване на 12 здрави доброволци приложението на рифампицин е намалило плазмените нива на карведилол с около 60% и е наблюдавано намаление на ефекта на карведилол върху систолното артериално налягане. Механизмът на взаимодействието не е известен, но може да се дължи на индуцирането на чревния Р-гликопротеин от страна на рифампицин. Необходимо е строго наблюдение на бета-блокадата при пациенти, приемащи едновременно карведилол и рифампицин.</w:t>
      </w:r>
    </w:p>
    <w:p w14:paraId="432E25D9" w14:textId="77777777" w:rsidR="00392975" w:rsidRPr="00392975" w:rsidRDefault="00392975" w:rsidP="00392975">
      <w:pPr>
        <w:spacing w:line="240" w:lineRule="auto"/>
        <w:rPr>
          <w:rFonts w:eastAsia="Times New Roman" w:cs="Arial"/>
          <w:i/>
          <w:iCs/>
          <w:color w:val="000000"/>
          <w:szCs w:val="20"/>
          <w:lang w:eastAsia="bg-BG"/>
        </w:rPr>
      </w:pPr>
    </w:p>
    <w:p w14:paraId="2CDC7DFB" w14:textId="29B295EB"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Флуоксетин и пароксетин:</w:t>
      </w:r>
      <w:r w:rsidRPr="00392975">
        <w:rPr>
          <w:rFonts w:eastAsia="Times New Roman" w:cs="Arial"/>
          <w:color w:val="000000"/>
          <w:szCs w:val="20"/>
          <w:lang w:eastAsia="bg-BG"/>
        </w:rPr>
        <w:t xml:space="preserve"> В едно рандомизирано, кръстосано проучване при 10 пациенти със сърдечна недостатъчност едновременното приложение на флуоксетин, мощен инхибитор на </w:t>
      </w:r>
      <w:r w:rsidRPr="00392975">
        <w:rPr>
          <w:rFonts w:eastAsia="Times New Roman" w:cs="Arial"/>
          <w:color w:val="000000"/>
          <w:szCs w:val="20"/>
          <w:lang w:val="en-US"/>
        </w:rPr>
        <w:t>CYP</w:t>
      </w:r>
      <w:r w:rsidRPr="00392975">
        <w:rPr>
          <w:rFonts w:eastAsia="Times New Roman" w:cs="Arial"/>
          <w:color w:val="000000"/>
          <w:szCs w:val="20"/>
          <w:lang w:val="ru-RU"/>
        </w:rPr>
        <w:t>2</w:t>
      </w:r>
      <w:r w:rsidRPr="00392975">
        <w:rPr>
          <w:rFonts w:eastAsia="Times New Roman" w:cs="Arial"/>
          <w:color w:val="000000"/>
          <w:szCs w:val="20"/>
          <w:lang w:val="en-US"/>
        </w:rPr>
        <w:t>D</w:t>
      </w:r>
      <w:r w:rsidRPr="00392975">
        <w:rPr>
          <w:rFonts w:eastAsia="Times New Roman" w:cs="Arial"/>
          <w:color w:val="000000"/>
          <w:szCs w:val="20"/>
          <w:lang w:val="ru-RU"/>
        </w:rPr>
        <w:t xml:space="preserve">6, </w:t>
      </w:r>
      <w:r w:rsidRPr="00392975">
        <w:rPr>
          <w:rFonts w:eastAsia="Times New Roman" w:cs="Arial"/>
          <w:color w:val="000000"/>
          <w:szCs w:val="20"/>
          <w:lang w:eastAsia="bg-BG"/>
        </w:rPr>
        <w:t xml:space="preserve">е довело до стереоселективно инхибиране на метаболизма на карведилол с увеличение на средната </w:t>
      </w:r>
      <w:r w:rsidRPr="00392975">
        <w:rPr>
          <w:rFonts w:eastAsia="Times New Roman" w:cs="Arial"/>
          <w:color w:val="000000"/>
          <w:szCs w:val="20"/>
          <w:lang w:val="en-US"/>
        </w:rPr>
        <w:t>AUC</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на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енантиомера със 77% и статистически незначимо увеличение с 35% на </w:t>
      </w:r>
      <w:r w:rsidRPr="00392975">
        <w:rPr>
          <w:rFonts w:eastAsia="Times New Roman" w:cs="Arial"/>
          <w:color w:val="000000"/>
          <w:szCs w:val="20"/>
          <w:lang w:val="en-US"/>
        </w:rPr>
        <w:t>S</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 </w:t>
      </w:r>
      <w:r w:rsidRPr="00392975">
        <w:rPr>
          <w:rFonts w:eastAsia="Times New Roman" w:cs="Arial"/>
          <w:color w:val="000000"/>
          <w:szCs w:val="20"/>
          <w:lang w:val="en-US"/>
        </w:rPr>
        <w:t>AUC</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на енантиомера, в сравнение с </w:t>
      </w:r>
      <w:r w:rsidRPr="00392975">
        <w:rPr>
          <w:rFonts w:eastAsia="Times New Roman" w:cs="Arial"/>
          <w:color w:val="000000"/>
          <w:szCs w:val="20"/>
          <w:lang w:eastAsia="bg-BG"/>
        </w:rPr>
        <w:lastRenderedPageBreak/>
        <w:t>плацебо групата.. Разлика обаче в нежеланите събития, кръвното налягане или сърдечната честота между отделните терапевтични групи не се наблюдава.</w:t>
      </w:r>
    </w:p>
    <w:p w14:paraId="21139751" w14:textId="77777777" w:rsidR="00392975" w:rsidRPr="00392975" w:rsidRDefault="00392975" w:rsidP="00392975">
      <w:pPr>
        <w:rPr>
          <w:rFonts w:eastAsia="Times New Roman" w:cs="Arial"/>
          <w:color w:val="000000"/>
          <w:szCs w:val="20"/>
          <w:lang w:eastAsia="bg-BG"/>
        </w:rPr>
      </w:pPr>
    </w:p>
    <w:p w14:paraId="07FC0378" w14:textId="07A0B534" w:rsidR="00392975" w:rsidRPr="00392975" w:rsidRDefault="00392975" w:rsidP="00392975">
      <w:pPr>
        <w:rPr>
          <w:rFonts w:eastAsia="Times New Roman" w:cs="Arial"/>
          <w:color w:val="000000"/>
          <w:szCs w:val="20"/>
          <w:lang w:eastAsia="bg-BG"/>
        </w:rPr>
      </w:pPr>
      <w:r w:rsidRPr="00392975">
        <w:rPr>
          <w:rFonts w:eastAsia="Times New Roman" w:cs="Arial"/>
          <w:color w:val="000000"/>
          <w:szCs w:val="20"/>
          <w:lang w:eastAsia="bg-BG"/>
        </w:rPr>
        <w:t>Ефектът на еднократната доза пароксетин, мощен инхибитор на СУР2</w:t>
      </w:r>
      <w:r w:rsidRPr="00392975">
        <w:rPr>
          <w:rFonts w:eastAsia="Times New Roman" w:cs="Arial"/>
          <w:color w:val="000000"/>
          <w:szCs w:val="20"/>
          <w:lang w:val="en-US"/>
        </w:rPr>
        <w:t>D</w:t>
      </w:r>
      <w:r w:rsidRPr="00392975">
        <w:rPr>
          <w:rFonts w:eastAsia="Times New Roman" w:cs="Arial"/>
          <w:color w:val="000000"/>
          <w:szCs w:val="20"/>
          <w:lang w:val="ru-RU"/>
        </w:rPr>
        <w:t xml:space="preserve">6 </w:t>
      </w:r>
      <w:r w:rsidRPr="00392975">
        <w:rPr>
          <w:rFonts w:eastAsia="Times New Roman" w:cs="Arial"/>
          <w:color w:val="000000"/>
          <w:szCs w:val="20"/>
          <w:lang w:eastAsia="bg-BG"/>
        </w:rPr>
        <w:t xml:space="preserve">върху фармакокинетиката на карведилол е бил изследван при 12 здрави доброволци след еднократен перорален прием. Независимо от голямото увеличение на влиянието </w:t>
      </w:r>
      <w:r w:rsidRPr="00392975">
        <w:rPr>
          <w:rFonts w:eastAsia="Times New Roman" w:cs="Arial"/>
          <w:color w:val="000000"/>
          <w:szCs w:val="20"/>
          <w:lang w:val="en-US"/>
        </w:rPr>
        <w:t>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w:t>
      </w:r>
      <w:r w:rsidRPr="00392975">
        <w:rPr>
          <w:rFonts w:eastAsia="Times New Roman" w:cs="Arial"/>
          <w:color w:val="000000"/>
          <w:szCs w:val="20"/>
          <w:lang w:val="en-US"/>
        </w:rPr>
        <w:t>S</w:t>
      </w:r>
      <w:r w:rsidRPr="00392975">
        <w:rPr>
          <w:rFonts w:eastAsia="Times New Roman" w:cs="Arial"/>
          <w:color w:val="000000"/>
          <w:szCs w:val="20"/>
          <w:lang w:val="ru-RU"/>
        </w:rPr>
        <w:t>-</w:t>
      </w:r>
      <w:r w:rsidRPr="00392975">
        <w:rPr>
          <w:rFonts w:eastAsia="Times New Roman" w:cs="Arial"/>
          <w:color w:val="000000"/>
          <w:szCs w:val="20"/>
          <w:lang w:eastAsia="bg-BG"/>
        </w:rPr>
        <w:t>карведилол в тези здрави индивиди не са наблюдавани клинични ефекти.</w:t>
      </w:r>
    </w:p>
    <w:p w14:paraId="3B5436E6" w14:textId="28CAF970" w:rsidR="00392975" w:rsidRPr="00392975" w:rsidRDefault="00392975" w:rsidP="00392975">
      <w:pPr>
        <w:rPr>
          <w:rFonts w:eastAsia="Times New Roman" w:cs="Arial"/>
          <w:color w:val="000000"/>
          <w:szCs w:val="20"/>
          <w:lang w:eastAsia="bg-BG"/>
        </w:rPr>
      </w:pPr>
    </w:p>
    <w:p w14:paraId="353741CB" w14:textId="77777777"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Фармакодинамични взаимодействия</w:t>
      </w:r>
    </w:p>
    <w:p w14:paraId="2A299608" w14:textId="77777777" w:rsidR="00392975" w:rsidRPr="00392975" w:rsidRDefault="00392975" w:rsidP="00392975">
      <w:pPr>
        <w:spacing w:line="240" w:lineRule="auto"/>
        <w:rPr>
          <w:rFonts w:eastAsia="Times New Roman" w:cs="Arial"/>
          <w:i/>
          <w:iCs/>
          <w:color w:val="000000"/>
          <w:szCs w:val="20"/>
          <w:lang w:eastAsia="bg-BG"/>
        </w:rPr>
      </w:pPr>
    </w:p>
    <w:p w14:paraId="23E3E8F5" w14:textId="7A264B74"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Инсулин или перорални хипогликемици: Лекарства с</w:t>
      </w:r>
      <w:r w:rsidRPr="00392975">
        <w:rPr>
          <w:rFonts w:eastAsia="Times New Roman" w:cs="Arial"/>
          <w:color w:val="000000"/>
          <w:szCs w:val="20"/>
          <w:lang w:eastAsia="bg-BG"/>
        </w:rPr>
        <w:t xml:space="preserve"> бета блокираща активност могат да увеличат ефекта на намаляване на кръвната захар на инсулина и пероралните хипогликемици.</w:t>
      </w:r>
    </w:p>
    <w:p w14:paraId="796CBB2B"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Признаците на хипогликемията могат да бъдат маскирани или отслабени (особено тахикардията). Следователно при пациенти приемащи инсулин или перорални хипогликемици се препоръчва редовно следене на нивото на кръвната захар (вж. т. 4.4).</w:t>
      </w:r>
    </w:p>
    <w:p w14:paraId="39C1BD7A" w14:textId="77777777" w:rsidR="00392975" w:rsidRPr="00392975" w:rsidRDefault="00392975" w:rsidP="00392975">
      <w:pPr>
        <w:spacing w:line="240" w:lineRule="auto"/>
        <w:rPr>
          <w:rFonts w:eastAsia="Times New Roman" w:cs="Arial"/>
          <w:i/>
          <w:iCs/>
          <w:color w:val="000000"/>
          <w:szCs w:val="20"/>
          <w:lang w:eastAsia="bg-BG"/>
        </w:rPr>
      </w:pPr>
    </w:p>
    <w:p w14:paraId="5B555B5A" w14:textId="186D722C"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Катехоломин-изчерпващи лекърства:</w:t>
      </w:r>
      <w:r w:rsidRPr="00392975">
        <w:rPr>
          <w:rFonts w:eastAsia="Times New Roman" w:cs="Arial"/>
          <w:color w:val="000000"/>
          <w:szCs w:val="20"/>
          <w:lang w:eastAsia="bg-BG"/>
        </w:rPr>
        <w:t xml:space="preserve"> Пациенти, които приемат едновременно лекарства с бета- блокираща активност и лекарство с изчерпващо катехоламините действие (например резерпин и инхибитори на моноаминооксидазата), трябва да бъдат внимателно наблюдавани за признаци на хипотония и/или тежка брадикардия.</w:t>
      </w:r>
    </w:p>
    <w:p w14:paraId="7A5C66D2" w14:textId="77777777" w:rsidR="00392975" w:rsidRPr="00392975" w:rsidRDefault="00392975" w:rsidP="00392975">
      <w:pPr>
        <w:spacing w:line="240" w:lineRule="auto"/>
        <w:rPr>
          <w:rFonts w:eastAsia="Times New Roman" w:cs="Arial"/>
          <w:i/>
          <w:iCs/>
          <w:color w:val="000000"/>
          <w:szCs w:val="20"/>
          <w:lang w:eastAsia="bg-BG"/>
        </w:rPr>
      </w:pPr>
    </w:p>
    <w:p w14:paraId="749E79E9" w14:textId="588ED3B3"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Дигоксин:</w:t>
      </w:r>
      <w:r w:rsidRPr="00392975">
        <w:rPr>
          <w:rFonts w:eastAsia="Times New Roman" w:cs="Arial"/>
          <w:color w:val="000000"/>
          <w:szCs w:val="20"/>
          <w:lang w:eastAsia="bg-BG"/>
        </w:rPr>
        <w:t xml:space="preserve"> Едновременното приложение на бета-блокери и дигоксин може да доведе до адитивно удължаване на ьтриовентрикуларната </w:t>
      </w:r>
      <w:r w:rsidRPr="00392975">
        <w:rPr>
          <w:rFonts w:eastAsia="Times New Roman" w:cs="Arial"/>
          <w:color w:val="000000"/>
          <w:szCs w:val="20"/>
          <w:lang w:val="ru-RU"/>
        </w:rPr>
        <w:t>(</w:t>
      </w:r>
      <w:r w:rsidRPr="00392975">
        <w:rPr>
          <w:rFonts w:eastAsia="Times New Roman" w:cs="Arial"/>
          <w:color w:val="000000"/>
          <w:szCs w:val="20"/>
          <w:lang w:val="en-US"/>
        </w:rPr>
        <w:t>AV</w:t>
      </w:r>
      <w:r w:rsidRPr="00392975">
        <w:rPr>
          <w:rFonts w:eastAsia="Times New Roman" w:cs="Arial"/>
          <w:color w:val="000000"/>
          <w:szCs w:val="20"/>
          <w:lang w:val="ru-RU"/>
        </w:rPr>
        <w:t xml:space="preserve">) </w:t>
      </w:r>
      <w:r w:rsidRPr="00392975">
        <w:rPr>
          <w:rFonts w:eastAsia="Times New Roman" w:cs="Arial"/>
          <w:color w:val="000000"/>
          <w:szCs w:val="20"/>
          <w:lang w:eastAsia="bg-BG"/>
        </w:rPr>
        <w:t>проводимост.</w:t>
      </w:r>
    </w:p>
    <w:p w14:paraId="7675F297" w14:textId="77777777" w:rsidR="00392975" w:rsidRPr="00392975" w:rsidRDefault="00392975" w:rsidP="00392975">
      <w:pPr>
        <w:spacing w:line="240" w:lineRule="auto"/>
        <w:rPr>
          <w:rFonts w:eastAsia="Times New Roman" w:cs="Arial"/>
          <w:i/>
          <w:iCs/>
          <w:color w:val="000000"/>
          <w:szCs w:val="20"/>
          <w:lang w:eastAsia="bg-BG"/>
        </w:rPr>
      </w:pPr>
    </w:p>
    <w:p w14:paraId="7EB7E743" w14:textId="45E17C9A"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Недихидропиридинови блокери на калциевите канали, амиодарон или други антиаритмици:</w:t>
      </w:r>
      <w:r w:rsidRPr="00392975">
        <w:rPr>
          <w:rFonts w:eastAsia="Times New Roman" w:cs="Arial"/>
          <w:color w:val="000000"/>
          <w:szCs w:val="20"/>
          <w:lang w:eastAsia="bg-BG"/>
        </w:rPr>
        <w:t xml:space="preserve"> В комбинация с карведилол може да увеличат риска от нарушения на </w:t>
      </w:r>
      <w:r w:rsidRPr="00392975">
        <w:rPr>
          <w:rFonts w:eastAsia="Times New Roman" w:cs="Arial"/>
          <w:color w:val="000000"/>
          <w:szCs w:val="20"/>
          <w:lang w:val="en-US"/>
        </w:rPr>
        <w:t>AV</w:t>
      </w:r>
      <w:r w:rsidRPr="00392975">
        <w:rPr>
          <w:rFonts w:eastAsia="Times New Roman" w:cs="Arial"/>
          <w:color w:val="000000"/>
          <w:szCs w:val="20"/>
          <w:lang w:val="ru-RU"/>
        </w:rPr>
        <w:t xml:space="preserve"> </w:t>
      </w:r>
      <w:r w:rsidRPr="00392975">
        <w:rPr>
          <w:rFonts w:eastAsia="Times New Roman" w:cs="Arial"/>
          <w:color w:val="000000"/>
          <w:szCs w:val="20"/>
          <w:lang w:eastAsia="bg-BG"/>
        </w:rPr>
        <w:t>проводимостта (виж т. 4.4).</w:t>
      </w:r>
    </w:p>
    <w:p w14:paraId="702FECD9"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Изолирани случаи на нарушения на проводимостта (рядко с хемодинамични нарушения) са били наблюдавани при едновременно приемане на карведилол и дилтиазем. Както и при другите бета-блокери, когато карведилол се прилага с перорални недихидропиридинови блокери на калциевите канали от типа на верапамил или дилтиазем, амиодарон или други антиаритмици, препоръчва се проследяване на ЕКГ и кръвното налягане.</w:t>
      </w:r>
    </w:p>
    <w:p w14:paraId="616E5B56" w14:textId="77777777" w:rsidR="00392975" w:rsidRPr="00392975" w:rsidRDefault="00392975" w:rsidP="00392975">
      <w:pPr>
        <w:spacing w:line="240" w:lineRule="auto"/>
        <w:rPr>
          <w:rFonts w:eastAsia="Times New Roman" w:cs="Arial"/>
          <w:i/>
          <w:iCs/>
          <w:color w:val="000000"/>
          <w:szCs w:val="20"/>
          <w:lang w:eastAsia="bg-BG"/>
        </w:rPr>
      </w:pPr>
    </w:p>
    <w:p w14:paraId="799E363E" w14:textId="25E8721C"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Клонидин:</w:t>
      </w:r>
      <w:r w:rsidRPr="00392975">
        <w:rPr>
          <w:rFonts w:eastAsia="Times New Roman" w:cs="Arial"/>
          <w:color w:val="000000"/>
          <w:szCs w:val="20"/>
          <w:lang w:eastAsia="bg-BG"/>
        </w:rPr>
        <w:t xml:space="preserve"> Едновременното приложение на клонидин с лекарства с бета-блокерираща активност може да потенцира антихипертензивните и брадикардни ефекти. Когато лечението със средства с бета-блокерираща активност и клонидин трябва да бъде преустановявано, първо се спира бета-блокерът. В следващите няколко дни клонидин може да бъде спрян с постепенно намаляване на дозата.</w:t>
      </w:r>
    </w:p>
    <w:p w14:paraId="24012B28" w14:textId="77777777" w:rsidR="00392975" w:rsidRPr="00392975" w:rsidRDefault="00392975" w:rsidP="00392975">
      <w:pPr>
        <w:spacing w:line="240" w:lineRule="auto"/>
        <w:rPr>
          <w:rFonts w:eastAsia="Times New Roman" w:cs="Arial"/>
          <w:i/>
          <w:iCs/>
          <w:color w:val="000000"/>
          <w:szCs w:val="20"/>
          <w:lang w:eastAsia="bg-BG"/>
        </w:rPr>
      </w:pPr>
    </w:p>
    <w:p w14:paraId="4593DAA4" w14:textId="61B2D0CD"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Антихипертензивни средства:</w:t>
      </w:r>
      <w:r w:rsidRPr="00392975">
        <w:rPr>
          <w:rFonts w:eastAsia="Times New Roman" w:cs="Arial"/>
          <w:color w:val="000000"/>
          <w:szCs w:val="20"/>
          <w:lang w:eastAsia="bg-BG"/>
        </w:rPr>
        <w:t xml:space="preserve"> Както и при другите лекарства с бета-блокираща активност, карведилол може да потенцира ефекта на други едновременно прилагани лекарствени продукти с антихипертензивен ефект (например алфа</w:t>
      </w:r>
      <w:r w:rsidRPr="00392975">
        <w:rPr>
          <w:rFonts w:eastAsia="Times New Roman" w:cs="Arial"/>
          <w:color w:val="000000"/>
          <w:szCs w:val="20"/>
          <w:vertAlign w:val="subscript"/>
          <w:lang w:eastAsia="bg-BG"/>
        </w:rPr>
        <w:t>1</w:t>
      </w:r>
      <w:r w:rsidRPr="00392975">
        <w:rPr>
          <w:rFonts w:eastAsia="Times New Roman" w:cs="Arial"/>
          <w:color w:val="000000"/>
          <w:szCs w:val="20"/>
          <w:lang w:eastAsia="bg-BG"/>
        </w:rPr>
        <w:t xml:space="preserve"> -рецепторни антагонисти) или да се получи с нежелана реакция хипотония.</w:t>
      </w:r>
    </w:p>
    <w:p w14:paraId="4780A803" w14:textId="77777777" w:rsidR="00392975" w:rsidRPr="00392975" w:rsidRDefault="00392975" w:rsidP="00392975">
      <w:pPr>
        <w:spacing w:line="240" w:lineRule="auto"/>
        <w:rPr>
          <w:rFonts w:eastAsia="Times New Roman" w:cs="Arial"/>
          <w:i/>
          <w:iCs/>
          <w:color w:val="000000"/>
          <w:szCs w:val="20"/>
          <w:lang w:eastAsia="bg-BG"/>
        </w:rPr>
      </w:pPr>
    </w:p>
    <w:p w14:paraId="543791A1" w14:textId="09240FD9" w:rsidR="00392975" w:rsidRPr="00392975" w:rsidRDefault="00392975" w:rsidP="00392975">
      <w:pPr>
        <w:spacing w:line="240" w:lineRule="auto"/>
        <w:rPr>
          <w:rFonts w:eastAsia="Times New Roman" w:cs="Arial"/>
          <w:i/>
          <w:iCs/>
          <w:color w:val="000000"/>
          <w:szCs w:val="20"/>
          <w:lang w:eastAsia="bg-BG"/>
        </w:rPr>
      </w:pPr>
      <w:r w:rsidRPr="00392975">
        <w:rPr>
          <w:rFonts w:eastAsia="Times New Roman" w:cs="Arial"/>
          <w:i/>
          <w:iCs/>
          <w:color w:val="000000"/>
          <w:szCs w:val="20"/>
          <w:lang w:eastAsia="bg-BG"/>
        </w:rPr>
        <w:t>Анестезиращи средства:</w:t>
      </w:r>
      <w:r w:rsidRPr="00392975">
        <w:rPr>
          <w:rFonts w:eastAsia="Times New Roman" w:cs="Arial"/>
          <w:color w:val="000000"/>
          <w:szCs w:val="20"/>
          <w:lang w:eastAsia="bg-BG"/>
        </w:rPr>
        <w:t xml:space="preserve"> Препоръчва се внимателно проследяване на жизнените показатели по време на анестезия поради синергичния негативен инотропен ефект и хипотензивните ефекти на карведилол и анестетиците (вж. т. 4.4).</w:t>
      </w:r>
    </w:p>
    <w:p w14:paraId="1B07EEF6" w14:textId="77777777" w:rsidR="00392975" w:rsidRPr="00392975" w:rsidRDefault="00392975" w:rsidP="00392975">
      <w:pPr>
        <w:spacing w:line="240" w:lineRule="auto"/>
        <w:rPr>
          <w:rFonts w:eastAsia="Times New Roman" w:cs="Arial"/>
          <w:i/>
          <w:iCs/>
          <w:color w:val="000000"/>
          <w:szCs w:val="20"/>
          <w:lang w:eastAsia="bg-BG"/>
        </w:rPr>
      </w:pPr>
    </w:p>
    <w:p w14:paraId="72DAB556" w14:textId="16858339"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lastRenderedPageBreak/>
        <w:t>НСПВС:</w:t>
      </w:r>
      <w:r w:rsidRPr="00392975">
        <w:rPr>
          <w:rFonts w:eastAsia="Times New Roman" w:cs="Arial"/>
          <w:color w:val="000000"/>
          <w:szCs w:val="20"/>
          <w:lang w:eastAsia="bg-BG"/>
        </w:rPr>
        <w:t xml:space="preserve"> Едновременната употреба на нестероидни противовъзпалителни средства (НСПВС) и бета-адренергични блокери може да доведе до повишение и влошен контрол на кръвното налягане.</w:t>
      </w:r>
    </w:p>
    <w:p w14:paraId="5F2B2DB6" w14:textId="77777777" w:rsidR="00392975" w:rsidRPr="00392975" w:rsidRDefault="00392975" w:rsidP="00392975">
      <w:pPr>
        <w:spacing w:line="240" w:lineRule="auto"/>
        <w:rPr>
          <w:rFonts w:eastAsia="Times New Roman" w:cs="Arial"/>
          <w:i/>
          <w:iCs/>
          <w:color w:val="000000"/>
          <w:szCs w:val="20"/>
          <w:lang w:eastAsia="bg-BG"/>
        </w:rPr>
      </w:pPr>
    </w:p>
    <w:p w14:paraId="4B6B9B01" w14:textId="2DBA4D10" w:rsidR="00392975" w:rsidRPr="00392975" w:rsidRDefault="00392975" w:rsidP="00392975">
      <w:pPr>
        <w:spacing w:line="240" w:lineRule="auto"/>
        <w:rPr>
          <w:rFonts w:eastAsia="Times New Roman" w:cs="Arial"/>
          <w:sz w:val="28"/>
          <w:szCs w:val="24"/>
        </w:rPr>
      </w:pPr>
      <w:r w:rsidRPr="00392975">
        <w:rPr>
          <w:rFonts w:eastAsia="Times New Roman" w:cs="Arial"/>
          <w:i/>
          <w:iCs/>
          <w:color w:val="000000"/>
          <w:szCs w:val="20"/>
          <w:lang w:eastAsia="bg-BG"/>
        </w:rPr>
        <w:t>Бронходилататори бета-агонисти:</w:t>
      </w:r>
      <w:r w:rsidRPr="00392975">
        <w:rPr>
          <w:rFonts w:eastAsia="Times New Roman" w:cs="Arial"/>
          <w:color w:val="000000"/>
          <w:szCs w:val="20"/>
          <w:lang w:eastAsia="bg-BG"/>
        </w:rPr>
        <w:t xml:space="preserve"> Некардиоселективните бета-блоккери антагонизират бронходилатиращия ефект на бронходилататорите бета-агонисти. Препоръчва се внимателно проследяване на пациентите.</w:t>
      </w:r>
    </w:p>
    <w:p w14:paraId="0DCFF609" w14:textId="77777777" w:rsidR="00392975" w:rsidRPr="00392975" w:rsidRDefault="00392975" w:rsidP="00392975"/>
    <w:p w14:paraId="006BE4EC" w14:textId="5429E345" w:rsidR="00DB32D3" w:rsidRDefault="002C50EE" w:rsidP="005726E3">
      <w:pPr>
        <w:pStyle w:val="Heading2"/>
      </w:pPr>
      <w:r>
        <w:t>4.6. Фертилитет, бременност и кърмене</w:t>
      </w:r>
    </w:p>
    <w:p w14:paraId="6600AA00" w14:textId="4286BD55" w:rsidR="00392975" w:rsidRDefault="00392975" w:rsidP="00392975"/>
    <w:p w14:paraId="1AF94D30" w14:textId="77777777" w:rsidR="00392975" w:rsidRPr="00392975" w:rsidRDefault="00392975" w:rsidP="00392975">
      <w:pPr>
        <w:pStyle w:val="Heading3"/>
        <w:rPr>
          <w:rFonts w:eastAsia="Times New Roman"/>
          <w:sz w:val="28"/>
          <w:u w:val="single"/>
        </w:rPr>
      </w:pPr>
      <w:r w:rsidRPr="00392975">
        <w:rPr>
          <w:rFonts w:eastAsia="Times New Roman"/>
          <w:u w:val="single"/>
          <w:lang w:eastAsia="bg-BG"/>
        </w:rPr>
        <w:t>Бременност</w:t>
      </w:r>
    </w:p>
    <w:p w14:paraId="6912E27B"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Няма адекватна информация за използването на карведилол при бременни.</w:t>
      </w:r>
    </w:p>
    <w:p w14:paraId="1CB3CC10" w14:textId="77777777" w:rsidR="00392975" w:rsidRPr="00392975" w:rsidRDefault="00392975" w:rsidP="00392975">
      <w:pPr>
        <w:spacing w:line="240" w:lineRule="auto"/>
        <w:rPr>
          <w:rFonts w:eastAsia="Times New Roman" w:cs="Arial"/>
          <w:color w:val="000000"/>
          <w:szCs w:val="20"/>
          <w:lang w:eastAsia="bg-BG"/>
        </w:rPr>
      </w:pPr>
    </w:p>
    <w:p w14:paraId="148783CB" w14:textId="38A845FF" w:rsidR="00392975" w:rsidRPr="00392975" w:rsidRDefault="00392975" w:rsidP="00392975">
      <w:pPr>
        <w:spacing w:line="240" w:lineRule="auto"/>
        <w:rPr>
          <w:rFonts w:eastAsia="Times New Roman" w:cs="Arial"/>
          <w:color w:val="000000"/>
          <w:szCs w:val="20"/>
          <w:lang w:eastAsia="bg-BG"/>
        </w:rPr>
      </w:pPr>
      <w:r w:rsidRPr="00392975">
        <w:rPr>
          <w:rFonts w:eastAsia="Times New Roman" w:cs="Arial"/>
          <w:color w:val="000000"/>
          <w:szCs w:val="20"/>
          <w:lang w:eastAsia="bg-BG"/>
        </w:rPr>
        <w:t>Проучванията при животни са показали репродуктивна токсичност (вж.т. 5.3). Потенциалния риск при хората не е е известен.</w:t>
      </w:r>
    </w:p>
    <w:p w14:paraId="2A922CB7" w14:textId="44CA4398" w:rsidR="00392975" w:rsidRPr="00392975" w:rsidRDefault="00392975" w:rsidP="00392975">
      <w:pPr>
        <w:spacing w:line="240" w:lineRule="auto"/>
        <w:rPr>
          <w:rFonts w:eastAsia="Times New Roman" w:cs="Arial"/>
          <w:color w:val="000000"/>
          <w:szCs w:val="20"/>
          <w:lang w:eastAsia="bg-BG"/>
        </w:rPr>
      </w:pPr>
    </w:p>
    <w:p w14:paraId="7D9CB9E9"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Бета-блокерите намаляват плацентарния кръвоток, което може да причини интраутеринна фетална смърт, аборт или преждевременно раждане. Може също да се проявят нежелани ефекти (особено хипогликемия и брадикардия) при фетуса и новороденото. Съществува увеличен риск от сърдечни и белодробни усложнения у новороденото след раждането. Няма неоспорими данни за тератогенни ефекти на карведилол от проучванията с животни (вж. също т. 5.3).</w:t>
      </w:r>
    </w:p>
    <w:p w14:paraId="179B4716" w14:textId="77777777" w:rsidR="00392975" w:rsidRPr="00392975" w:rsidRDefault="00392975" w:rsidP="00392975">
      <w:pPr>
        <w:spacing w:line="240" w:lineRule="auto"/>
        <w:rPr>
          <w:rFonts w:eastAsia="Times New Roman" w:cs="Arial"/>
          <w:color w:val="000000"/>
          <w:szCs w:val="20"/>
          <w:lang w:eastAsia="bg-BG"/>
        </w:rPr>
      </w:pPr>
    </w:p>
    <w:p w14:paraId="009511FD" w14:textId="403A4CA6"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Карведилол не трябва да се прилага по време на бременност, освен ако очакваните ползи надхвърлят възможните рискове.</w:t>
      </w:r>
    </w:p>
    <w:p w14:paraId="76B65CE6" w14:textId="77777777" w:rsidR="00392975" w:rsidRPr="00392975" w:rsidRDefault="00392975" w:rsidP="00392975">
      <w:pPr>
        <w:spacing w:line="240" w:lineRule="auto"/>
        <w:rPr>
          <w:rFonts w:eastAsia="Times New Roman" w:cs="Arial"/>
          <w:color w:val="000000"/>
          <w:szCs w:val="20"/>
          <w:u w:val="single"/>
          <w:lang w:eastAsia="bg-BG"/>
        </w:rPr>
      </w:pPr>
    </w:p>
    <w:p w14:paraId="71DFD194" w14:textId="3B02D51C" w:rsidR="00392975" w:rsidRPr="00392975" w:rsidRDefault="00392975" w:rsidP="00392975">
      <w:pPr>
        <w:pStyle w:val="Heading3"/>
        <w:rPr>
          <w:rFonts w:eastAsia="Times New Roman"/>
          <w:sz w:val="28"/>
          <w:u w:val="single"/>
        </w:rPr>
      </w:pPr>
      <w:r w:rsidRPr="00392975">
        <w:rPr>
          <w:rFonts w:eastAsia="Times New Roman"/>
          <w:u w:val="single"/>
          <w:lang w:eastAsia="bg-BG"/>
        </w:rPr>
        <w:t>Кърмене</w:t>
      </w:r>
    </w:p>
    <w:p w14:paraId="3277FD39"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Проучванията при животни показват, че карведилол и метаболитите му се екскретират в майчиното мляко. Не е известно дали той се екскретира в кърмата. Въпреки това, повечето бета-блокери, по-специално на липофилните съединения, преминават в кърмата, макар и в различна степен. Следователно, не се препоръчва кърменето по време на приложението на карведилол.</w:t>
      </w:r>
    </w:p>
    <w:p w14:paraId="461A3EF8" w14:textId="055C5D5E" w:rsidR="00392975" w:rsidRPr="00392975" w:rsidRDefault="00392975" w:rsidP="00392975"/>
    <w:p w14:paraId="128BA3A8" w14:textId="4CC13F90" w:rsidR="00DB32D3" w:rsidRDefault="002C50EE" w:rsidP="005726E3">
      <w:pPr>
        <w:pStyle w:val="Heading2"/>
      </w:pPr>
      <w:r>
        <w:t>4.7. Ефекти върху способността за шофиране и работа с машини</w:t>
      </w:r>
    </w:p>
    <w:p w14:paraId="2CB05FEA" w14:textId="43768BF5" w:rsidR="00392975" w:rsidRDefault="00392975" w:rsidP="00392975"/>
    <w:p w14:paraId="11E829B5" w14:textId="77777777" w:rsidR="00392975" w:rsidRPr="00392975" w:rsidRDefault="00392975" w:rsidP="00392975">
      <w:pPr>
        <w:rPr>
          <w:sz w:val="24"/>
          <w:szCs w:val="24"/>
        </w:rPr>
      </w:pPr>
      <w:r w:rsidRPr="00392975">
        <w:rPr>
          <w:lang w:eastAsia="bg-BG"/>
        </w:rPr>
        <w:t>Няма провеждани проучвания за ефектите на карведилол върху способността на пациентите за шофиране и работа с машини.</w:t>
      </w:r>
    </w:p>
    <w:p w14:paraId="35E4014F" w14:textId="3004410D" w:rsidR="00392975" w:rsidRDefault="00392975" w:rsidP="00392975">
      <w:pPr>
        <w:rPr>
          <w:lang w:eastAsia="bg-BG"/>
        </w:rPr>
      </w:pPr>
      <w:r w:rsidRPr="00392975">
        <w:rPr>
          <w:lang w:eastAsia="bg-BG"/>
        </w:rPr>
        <w:t xml:space="preserve">Поради индивидуално вариращите реакции (например замайване, уморяемост) способността за шофиране или работа с машини може да бъде увредена. Както при други лекарствени продукти, които предизвикват промени </w:t>
      </w:r>
      <w:r w:rsidRPr="00392975">
        <w:rPr>
          <w:i/>
          <w:iCs/>
          <w:lang w:eastAsia="bg-BG"/>
        </w:rPr>
        <w:t>в кръвното</w:t>
      </w:r>
      <w:r w:rsidRPr="00392975">
        <w:rPr>
          <w:lang w:eastAsia="bg-BG"/>
        </w:rPr>
        <w:t xml:space="preserve"> налягане, пациентите, приемащи карведилол, трябва да бъдат предупредени да не шофират и да не работят с машини, ако имат замайване или свързани с това симптоми. Това се отнася особено в началото на лечението, след увеличаване на дозата, при промяна на лекарствените продукти и при комбинация с алкохол.</w:t>
      </w:r>
    </w:p>
    <w:p w14:paraId="2E406165" w14:textId="77777777" w:rsidR="00392975" w:rsidRPr="00392975" w:rsidRDefault="00392975" w:rsidP="00392975"/>
    <w:p w14:paraId="44CE30A3" w14:textId="70666A57" w:rsidR="007122AD" w:rsidRDefault="002C50EE" w:rsidP="00936AD0">
      <w:pPr>
        <w:pStyle w:val="Heading2"/>
      </w:pPr>
      <w:r>
        <w:t>4.8. Нежелани лекарствени реакции</w:t>
      </w:r>
    </w:p>
    <w:p w14:paraId="240A8EF5" w14:textId="441B1084" w:rsidR="00392975" w:rsidRDefault="00392975" w:rsidP="00392975"/>
    <w:p w14:paraId="763F3992"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lastRenderedPageBreak/>
        <w:t xml:space="preserve">Нежеланите лекарствени реакции </w:t>
      </w:r>
      <w:r w:rsidRPr="00392975">
        <w:rPr>
          <w:rFonts w:eastAsia="Times New Roman" w:cs="Arial"/>
          <w:color w:val="000000"/>
          <w:szCs w:val="20"/>
          <w:lang w:val="ru-RU"/>
        </w:rPr>
        <w:t>(</w:t>
      </w:r>
      <w:r w:rsidRPr="00392975">
        <w:rPr>
          <w:rFonts w:eastAsia="Times New Roman" w:cs="Arial"/>
          <w:color w:val="000000"/>
          <w:szCs w:val="20"/>
          <w:lang w:val="en-US"/>
        </w:rPr>
        <w:t>ADR</w:t>
      </w:r>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са изброени съгласно системно-органните класове на </w:t>
      </w:r>
      <w:proofErr w:type="spellStart"/>
      <w:r w:rsidRPr="00392975">
        <w:rPr>
          <w:rFonts w:eastAsia="Times New Roman" w:cs="Arial"/>
          <w:color w:val="000000"/>
          <w:szCs w:val="20"/>
          <w:lang w:val="en-US"/>
        </w:rPr>
        <w:t>MedDRA</w:t>
      </w:r>
      <w:proofErr w:type="spellEnd"/>
      <w:r w:rsidRPr="00392975">
        <w:rPr>
          <w:rFonts w:eastAsia="Times New Roman" w:cs="Arial"/>
          <w:color w:val="000000"/>
          <w:szCs w:val="20"/>
          <w:lang w:val="ru-RU"/>
        </w:rPr>
        <w:t xml:space="preserve"> </w:t>
      </w:r>
      <w:r w:rsidRPr="00392975">
        <w:rPr>
          <w:rFonts w:eastAsia="Times New Roman" w:cs="Arial"/>
          <w:color w:val="000000"/>
          <w:szCs w:val="20"/>
          <w:lang w:eastAsia="bg-BG"/>
        </w:rPr>
        <w:t xml:space="preserve">и категориите за честота </w:t>
      </w:r>
      <w:r w:rsidRPr="00392975">
        <w:rPr>
          <w:rFonts w:eastAsia="Times New Roman" w:cs="Arial"/>
          <w:color w:val="000000"/>
          <w:szCs w:val="20"/>
          <w:lang w:val="en-US"/>
        </w:rPr>
        <w:t>CIOMS</w:t>
      </w:r>
      <w:r w:rsidRPr="00392975">
        <w:rPr>
          <w:rFonts w:eastAsia="Times New Roman" w:cs="Arial"/>
          <w:color w:val="000000"/>
          <w:szCs w:val="20"/>
          <w:lang w:val="ru-RU"/>
        </w:rPr>
        <w:t xml:space="preserve"> </w:t>
      </w:r>
      <w:r w:rsidRPr="00392975">
        <w:rPr>
          <w:rFonts w:eastAsia="Times New Roman" w:cs="Arial"/>
          <w:color w:val="000000"/>
          <w:szCs w:val="20"/>
          <w:lang w:eastAsia="bg-BG"/>
        </w:rPr>
        <w:t>на нежеланите лекарствени реакции:</w:t>
      </w:r>
    </w:p>
    <w:p w14:paraId="05825200" w14:textId="77777777" w:rsidR="00392975" w:rsidRPr="00392975" w:rsidRDefault="00392975" w:rsidP="00392975">
      <w:pPr>
        <w:spacing w:line="240" w:lineRule="auto"/>
        <w:rPr>
          <w:rFonts w:eastAsia="Times New Roman" w:cs="Arial"/>
          <w:color w:val="000000"/>
          <w:szCs w:val="20"/>
          <w:lang w:eastAsia="bg-BG"/>
        </w:rPr>
      </w:pPr>
    </w:p>
    <w:p w14:paraId="72908EE5" w14:textId="1C51B465"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Според тяхната честота нежеланите реакции се определят както следва:</w:t>
      </w:r>
    </w:p>
    <w:p w14:paraId="2EC6E6F2" w14:textId="19570E5E"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Много чести ≥1/10</w:t>
      </w:r>
    </w:p>
    <w:p w14:paraId="1F96A037" w14:textId="7FA43459"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Чести ≥1/100 до &lt;1/10</w:t>
      </w:r>
    </w:p>
    <w:p w14:paraId="708D30B3" w14:textId="613EB007" w:rsidR="00392975" w:rsidRPr="00392975" w:rsidRDefault="00392975" w:rsidP="00392975">
      <w:pPr>
        <w:spacing w:line="240" w:lineRule="auto"/>
        <w:rPr>
          <w:rFonts w:eastAsia="Times New Roman" w:cs="Arial"/>
          <w:sz w:val="28"/>
          <w:szCs w:val="24"/>
        </w:rPr>
      </w:pPr>
      <w:r>
        <w:rPr>
          <w:rFonts w:eastAsia="Times New Roman" w:cs="Arial"/>
          <w:color w:val="000000"/>
          <w:szCs w:val="20"/>
          <w:lang w:eastAsia="bg-BG"/>
        </w:rPr>
        <w:t xml:space="preserve">Нечести </w:t>
      </w:r>
      <w:r w:rsidRPr="00392975">
        <w:rPr>
          <w:rFonts w:eastAsia="Times New Roman" w:cs="Arial"/>
          <w:color w:val="000000"/>
          <w:szCs w:val="20"/>
          <w:lang w:eastAsia="bg-BG"/>
        </w:rPr>
        <w:t>≥1/1 000 до &lt;1/100</w:t>
      </w:r>
    </w:p>
    <w:p w14:paraId="7392313E" w14:textId="3A2BDCDA"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Редки ≥1/10 000 до &lt;1/1 000</w:t>
      </w:r>
    </w:p>
    <w:p w14:paraId="4A781F38" w14:textId="00E05FC8"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Много редки &lt;1/10 000</w:t>
      </w:r>
    </w:p>
    <w:p w14:paraId="7D527F62" w14:textId="77777777"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С неизвестна честота не могат да бъдат определени от известните данни</w:t>
      </w:r>
    </w:p>
    <w:p w14:paraId="069280DF" w14:textId="77777777" w:rsidR="00392975" w:rsidRPr="00392975" w:rsidRDefault="00392975" w:rsidP="00392975">
      <w:pPr>
        <w:spacing w:line="240" w:lineRule="auto"/>
        <w:rPr>
          <w:rFonts w:eastAsia="Times New Roman" w:cs="Arial"/>
          <w:color w:val="000000"/>
          <w:szCs w:val="20"/>
          <w:lang w:eastAsia="bg-BG"/>
        </w:rPr>
      </w:pPr>
    </w:p>
    <w:p w14:paraId="60EDBCD9" w14:textId="73906C2A" w:rsidR="00392975" w:rsidRPr="00392975" w:rsidRDefault="00392975" w:rsidP="00392975">
      <w:pPr>
        <w:spacing w:line="240" w:lineRule="auto"/>
        <w:rPr>
          <w:rFonts w:eastAsia="Times New Roman" w:cs="Arial"/>
          <w:sz w:val="28"/>
          <w:szCs w:val="24"/>
        </w:rPr>
      </w:pPr>
      <w:r w:rsidRPr="00392975">
        <w:rPr>
          <w:rFonts w:eastAsia="Times New Roman" w:cs="Arial"/>
          <w:color w:val="000000"/>
          <w:szCs w:val="20"/>
          <w:lang w:eastAsia="bg-BG"/>
        </w:rPr>
        <w:t>В таблица 1 по-долу са обобщени нежеланите реакции, които са съобщени във връзка с употребата на карведилол в пилотни клинични изследвания при следните показания: хронична сърдечна недостатъчност, левокамерна дисфункция след остър инфаркт на миокарда, хипертония и дългосрочно лечение на исхемична болест на сърцето:</w:t>
      </w:r>
    </w:p>
    <w:p w14:paraId="23BB8004" w14:textId="77777777" w:rsidR="00392975" w:rsidRPr="00392975" w:rsidRDefault="00392975" w:rsidP="00392975">
      <w:pPr>
        <w:spacing w:line="240" w:lineRule="auto"/>
        <w:rPr>
          <w:rFonts w:eastAsia="Times New Roman" w:cs="Arial"/>
          <w:b/>
          <w:bCs/>
          <w:color w:val="000000"/>
          <w:szCs w:val="20"/>
          <w:lang w:eastAsia="bg-BG"/>
        </w:rPr>
      </w:pPr>
    </w:p>
    <w:p w14:paraId="1B72C08D" w14:textId="3D6696FF" w:rsidR="00392975" w:rsidRPr="00392975" w:rsidRDefault="00392975" w:rsidP="00392975">
      <w:pPr>
        <w:spacing w:line="240" w:lineRule="auto"/>
        <w:rPr>
          <w:rFonts w:eastAsia="Times New Roman" w:cs="Arial"/>
          <w:sz w:val="28"/>
          <w:szCs w:val="24"/>
        </w:rPr>
      </w:pPr>
      <w:r w:rsidRPr="00392975">
        <w:rPr>
          <w:rFonts w:eastAsia="Times New Roman" w:cs="Arial"/>
          <w:b/>
          <w:bCs/>
          <w:color w:val="000000"/>
          <w:szCs w:val="20"/>
          <w:lang w:eastAsia="bg-BG"/>
        </w:rPr>
        <w:t>Таблица 1 Нежелани лекарствени реакции от клинични изследвания</w:t>
      </w:r>
    </w:p>
    <w:tbl>
      <w:tblPr>
        <w:tblStyle w:val="TableGrid"/>
        <w:tblW w:w="0" w:type="auto"/>
        <w:tblLook w:val="04A0" w:firstRow="1" w:lastRow="0" w:firstColumn="1" w:lastColumn="0" w:noHBand="0" w:noVBand="1"/>
      </w:tblPr>
      <w:tblGrid>
        <w:gridCol w:w="3145"/>
        <w:gridCol w:w="3150"/>
        <w:gridCol w:w="3055"/>
      </w:tblGrid>
      <w:tr w:rsidR="00392975" w14:paraId="1113EE93" w14:textId="77777777" w:rsidTr="00392975">
        <w:tc>
          <w:tcPr>
            <w:tcW w:w="3192" w:type="dxa"/>
          </w:tcPr>
          <w:p w14:paraId="6F2D67A1" w14:textId="3E03B424" w:rsidR="00392975" w:rsidRPr="00392975" w:rsidRDefault="00392975" w:rsidP="00392975">
            <w:r w:rsidRPr="00392975">
              <w:rPr>
                <w:b/>
                <w:bCs/>
                <w:szCs w:val="20"/>
              </w:rPr>
              <w:t>Системо-органен клас</w:t>
            </w:r>
          </w:p>
        </w:tc>
        <w:tc>
          <w:tcPr>
            <w:tcW w:w="3192" w:type="dxa"/>
          </w:tcPr>
          <w:p w14:paraId="3BED8B04" w14:textId="2F22A444" w:rsidR="00392975" w:rsidRPr="00392975" w:rsidRDefault="00392975" w:rsidP="00392975">
            <w:r w:rsidRPr="00392975">
              <w:rPr>
                <w:b/>
                <w:bCs/>
                <w:szCs w:val="20"/>
              </w:rPr>
              <w:t>Нежелана реакция</w:t>
            </w:r>
          </w:p>
        </w:tc>
        <w:tc>
          <w:tcPr>
            <w:tcW w:w="3192" w:type="dxa"/>
          </w:tcPr>
          <w:p w14:paraId="22FAF84A" w14:textId="5F04A0B7" w:rsidR="00392975" w:rsidRPr="00392975" w:rsidRDefault="00392975" w:rsidP="00392975">
            <w:r w:rsidRPr="00392975">
              <w:rPr>
                <w:b/>
                <w:bCs/>
                <w:szCs w:val="20"/>
              </w:rPr>
              <w:t>Честота</w:t>
            </w:r>
          </w:p>
        </w:tc>
      </w:tr>
      <w:tr w:rsidR="00392975" w14:paraId="638C40F4" w14:textId="77777777" w:rsidTr="00392975">
        <w:tc>
          <w:tcPr>
            <w:tcW w:w="3192" w:type="dxa"/>
            <w:vMerge w:val="restart"/>
          </w:tcPr>
          <w:p w14:paraId="44B44003" w14:textId="4F96686B" w:rsidR="00392975" w:rsidRPr="00392975" w:rsidRDefault="00392975" w:rsidP="00392975">
            <w:r w:rsidRPr="00392975">
              <w:rPr>
                <w:szCs w:val="20"/>
              </w:rPr>
              <w:t>Инфекции и инфестации</w:t>
            </w:r>
          </w:p>
        </w:tc>
        <w:tc>
          <w:tcPr>
            <w:tcW w:w="3192" w:type="dxa"/>
          </w:tcPr>
          <w:p w14:paraId="52089F49" w14:textId="5830A5D7" w:rsidR="00392975" w:rsidRPr="00392975" w:rsidRDefault="00392975" w:rsidP="00392975">
            <w:r w:rsidRPr="00392975">
              <w:rPr>
                <w:szCs w:val="20"/>
              </w:rPr>
              <w:t>Пневмония</w:t>
            </w:r>
          </w:p>
        </w:tc>
        <w:tc>
          <w:tcPr>
            <w:tcW w:w="3192" w:type="dxa"/>
          </w:tcPr>
          <w:p w14:paraId="2FD39873" w14:textId="5D570232" w:rsidR="00392975" w:rsidRPr="00392975" w:rsidRDefault="00392975" w:rsidP="00392975">
            <w:r w:rsidRPr="00392975">
              <w:rPr>
                <w:szCs w:val="20"/>
              </w:rPr>
              <w:t>Чести</w:t>
            </w:r>
          </w:p>
        </w:tc>
      </w:tr>
      <w:tr w:rsidR="00392975" w14:paraId="4BAC1154" w14:textId="77777777" w:rsidTr="00392975">
        <w:tc>
          <w:tcPr>
            <w:tcW w:w="3192" w:type="dxa"/>
            <w:vMerge/>
          </w:tcPr>
          <w:p w14:paraId="16A4ADEE" w14:textId="77777777" w:rsidR="00392975" w:rsidRPr="00392975" w:rsidRDefault="00392975" w:rsidP="00392975"/>
        </w:tc>
        <w:tc>
          <w:tcPr>
            <w:tcW w:w="3192" w:type="dxa"/>
          </w:tcPr>
          <w:p w14:paraId="46B13C68" w14:textId="6DFC10E0" w:rsidR="00392975" w:rsidRPr="00392975" w:rsidRDefault="00392975" w:rsidP="00392975">
            <w:r w:rsidRPr="00392975">
              <w:rPr>
                <w:szCs w:val="20"/>
              </w:rPr>
              <w:t>Бронхит</w:t>
            </w:r>
          </w:p>
        </w:tc>
        <w:tc>
          <w:tcPr>
            <w:tcW w:w="3192" w:type="dxa"/>
          </w:tcPr>
          <w:p w14:paraId="18673D6C" w14:textId="7A2063F9" w:rsidR="00392975" w:rsidRPr="00392975" w:rsidRDefault="00392975" w:rsidP="00392975">
            <w:r w:rsidRPr="00392975">
              <w:rPr>
                <w:szCs w:val="20"/>
              </w:rPr>
              <w:t>Чести</w:t>
            </w:r>
          </w:p>
        </w:tc>
      </w:tr>
      <w:tr w:rsidR="00392975" w14:paraId="735F30F5" w14:textId="77777777" w:rsidTr="00392975">
        <w:tc>
          <w:tcPr>
            <w:tcW w:w="3192" w:type="dxa"/>
            <w:vMerge/>
          </w:tcPr>
          <w:p w14:paraId="2321AD17" w14:textId="77777777" w:rsidR="00392975" w:rsidRPr="00392975" w:rsidRDefault="00392975" w:rsidP="00392975"/>
        </w:tc>
        <w:tc>
          <w:tcPr>
            <w:tcW w:w="3192" w:type="dxa"/>
          </w:tcPr>
          <w:p w14:paraId="5DFA2292" w14:textId="47A83860" w:rsidR="00392975" w:rsidRPr="00392975" w:rsidRDefault="00392975" w:rsidP="00392975">
            <w:r w:rsidRPr="00392975">
              <w:rPr>
                <w:szCs w:val="20"/>
              </w:rPr>
              <w:t>Инфекция на горните дихателни пътища</w:t>
            </w:r>
          </w:p>
        </w:tc>
        <w:tc>
          <w:tcPr>
            <w:tcW w:w="3192" w:type="dxa"/>
          </w:tcPr>
          <w:p w14:paraId="600D255C" w14:textId="1B878A87" w:rsidR="00392975" w:rsidRPr="00392975" w:rsidRDefault="00392975" w:rsidP="00392975">
            <w:r w:rsidRPr="00392975">
              <w:rPr>
                <w:szCs w:val="20"/>
              </w:rPr>
              <w:t>Чести</w:t>
            </w:r>
          </w:p>
        </w:tc>
      </w:tr>
      <w:tr w:rsidR="00392975" w14:paraId="5CE36E9D" w14:textId="77777777" w:rsidTr="00392975">
        <w:tc>
          <w:tcPr>
            <w:tcW w:w="3192" w:type="dxa"/>
            <w:vMerge/>
          </w:tcPr>
          <w:p w14:paraId="25E60E7B" w14:textId="77777777" w:rsidR="00392975" w:rsidRPr="00392975" w:rsidRDefault="00392975" w:rsidP="00392975"/>
        </w:tc>
        <w:tc>
          <w:tcPr>
            <w:tcW w:w="3192" w:type="dxa"/>
          </w:tcPr>
          <w:p w14:paraId="05C658AF" w14:textId="39DA13BE" w:rsidR="00392975" w:rsidRPr="00392975" w:rsidRDefault="00392975" w:rsidP="00392975">
            <w:r w:rsidRPr="00392975">
              <w:rPr>
                <w:szCs w:val="20"/>
              </w:rPr>
              <w:t>Инфекция на пикочните пътища</w:t>
            </w:r>
          </w:p>
        </w:tc>
        <w:tc>
          <w:tcPr>
            <w:tcW w:w="3192" w:type="dxa"/>
          </w:tcPr>
          <w:p w14:paraId="2544D671" w14:textId="7E342A6C" w:rsidR="00392975" w:rsidRPr="00392975" w:rsidRDefault="00392975" w:rsidP="00392975">
            <w:r w:rsidRPr="00392975">
              <w:rPr>
                <w:szCs w:val="20"/>
              </w:rPr>
              <w:t>Чести</w:t>
            </w:r>
          </w:p>
        </w:tc>
      </w:tr>
      <w:tr w:rsidR="00392975" w14:paraId="4C4A9749" w14:textId="77777777" w:rsidTr="00392975">
        <w:tc>
          <w:tcPr>
            <w:tcW w:w="3192" w:type="dxa"/>
            <w:vMerge w:val="restart"/>
          </w:tcPr>
          <w:p w14:paraId="1C175467" w14:textId="324C7F99" w:rsidR="00392975" w:rsidRPr="00392975" w:rsidRDefault="00392975" w:rsidP="00392975">
            <w:r w:rsidRPr="00392975">
              <w:rPr>
                <w:szCs w:val="20"/>
              </w:rPr>
              <w:t>Нарушения на кръвта и лимфната система</w:t>
            </w:r>
          </w:p>
        </w:tc>
        <w:tc>
          <w:tcPr>
            <w:tcW w:w="3192" w:type="dxa"/>
          </w:tcPr>
          <w:p w14:paraId="460DC551" w14:textId="3BC7EEEB" w:rsidR="00392975" w:rsidRPr="00392975" w:rsidRDefault="00392975" w:rsidP="00392975">
            <w:r w:rsidRPr="00392975">
              <w:rPr>
                <w:szCs w:val="20"/>
              </w:rPr>
              <w:t>Анемия</w:t>
            </w:r>
          </w:p>
        </w:tc>
        <w:tc>
          <w:tcPr>
            <w:tcW w:w="3192" w:type="dxa"/>
          </w:tcPr>
          <w:p w14:paraId="19577C5C" w14:textId="00257B27" w:rsidR="00392975" w:rsidRPr="00392975" w:rsidRDefault="00392975" w:rsidP="00392975">
            <w:r w:rsidRPr="00392975">
              <w:rPr>
                <w:szCs w:val="20"/>
              </w:rPr>
              <w:t>Чести</w:t>
            </w:r>
          </w:p>
        </w:tc>
      </w:tr>
      <w:tr w:rsidR="00392975" w14:paraId="7EA42351" w14:textId="77777777" w:rsidTr="00392975">
        <w:tc>
          <w:tcPr>
            <w:tcW w:w="3192" w:type="dxa"/>
            <w:vMerge/>
          </w:tcPr>
          <w:p w14:paraId="649A9865" w14:textId="77777777" w:rsidR="00392975" w:rsidRPr="00392975" w:rsidRDefault="00392975" w:rsidP="00392975"/>
        </w:tc>
        <w:tc>
          <w:tcPr>
            <w:tcW w:w="3192" w:type="dxa"/>
          </w:tcPr>
          <w:p w14:paraId="19D54278" w14:textId="38F2291C" w:rsidR="00392975" w:rsidRPr="00392975" w:rsidRDefault="00392975" w:rsidP="00392975">
            <w:r w:rsidRPr="00392975">
              <w:rPr>
                <w:szCs w:val="20"/>
              </w:rPr>
              <w:t>Тромбоцитопения</w:t>
            </w:r>
          </w:p>
        </w:tc>
        <w:tc>
          <w:tcPr>
            <w:tcW w:w="3192" w:type="dxa"/>
          </w:tcPr>
          <w:p w14:paraId="2563BF07" w14:textId="3D1FFBE1" w:rsidR="00392975" w:rsidRPr="00392975" w:rsidRDefault="00392975" w:rsidP="00392975">
            <w:r w:rsidRPr="00392975">
              <w:rPr>
                <w:szCs w:val="20"/>
              </w:rPr>
              <w:t>Редки</w:t>
            </w:r>
          </w:p>
        </w:tc>
      </w:tr>
      <w:tr w:rsidR="00392975" w14:paraId="609EF9E8" w14:textId="77777777" w:rsidTr="00A76645">
        <w:tc>
          <w:tcPr>
            <w:tcW w:w="3192" w:type="dxa"/>
            <w:vMerge/>
          </w:tcPr>
          <w:p w14:paraId="79EBC7F8" w14:textId="77777777" w:rsidR="00392975" w:rsidRDefault="00392975" w:rsidP="00392975"/>
        </w:tc>
        <w:tc>
          <w:tcPr>
            <w:tcW w:w="3192" w:type="dxa"/>
            <w:vAlign w:val="bottom"/>
          </w:tcPr>
          <w:p w14:paraId="65636483" w14:textId="441E369D" w:rsidR="00392975" w:rsidRDefault="00392975" w:rsidP="00392975">
            <w:r>
              <w:t>Левкопения</w:t>
            </w:r>
          </w:p>
        </w:tc>
        <w:tc>
          <w:tcPr>
            <w:tcW w:w="3192" w:type="dxa"/>
            <w:vAlign w:val="bottom"/>
          </w:tcPr>
          <w:p w14:paraId="3113D354" w14:textId="5621FE46" w:rsidR="00392975" w:rsidRDefault="00392975" w:rsidP="00392975">
            <w:r>
              <w:t>Много редки</w:t>
            </w:r>
          </w:p>
        </w:tc>
      </w:tr>
      <w:tr w:rsidR="008309D8" w14:paraId="78915CF9" w14:textId="77777777" w:rsidTr="00C12A45">
        <w:tc>
          <w:tcPr>
            <w:tcW w:w="3192" w:type="dxa"/>
            <w:vAlign w:val="bottom"/>
          </w:tcPr>
          <w:p w14:paraId="4DE6228E" w14:textId="66FCABA8" w:rsidR="008309D8" w:rsidRPr="008309D8" w:rsidRDefault="008309D8" w:rsidP="008309D8">
            <w:r w:rsidRPr="008309D8">
              <w:rPr>
                <w:szCs w:val="20"/>
              </w:rPr>
              <w:t>Нарушения на имунната система</w:t>
            </w:r>
          </w:p>
        </w:tc>
        <w:tc>
          <w:tcPr>
            <w:tcW w:w="3192" w:type="dxa"/>
            <w:vAlign w:val="bottom"/>
          </w:tcPr>
          <w:p w14:paraId="10C8834C" w14:textId="06524B6A" w:rsidR="008309D8" w:rsidRPr="008309D8" w:rsidRDefault="008309D8" w:rsidP="008309D8">
            <w:r w:rsidRPr="008309D8">
              <w:rPr>
                <w:szCs w:val="20"/>
              </w:rPr>
              <w:t>Свръхчувствителност (алергични реакции)</w:t>
            </w:r>
          </w:p>
        </w:tc>
        <w:tc>
          <w:tcPr>
            <w:tcW w:w="3192" w:type="dxa"/>
          </w:tcPr>
          <w:p w14:paraId="7761A8B0" w14:textId="1E23CCE5" w:rsidR="008309D8" w:rsidRPr="008309D8" w:rsidRDefault="008309D8" w:rsidP="008309D8">
            <w:r w:rsidRPr="008309D8">
              <w:rPr>
                <w:szCs w:val="20"/>
              </w:rPr>
              <w:t>Много редки</w:t>
            </w:r>
          </w:p>
        </w:tc>
      </w:tr>
      <w:tr w:rsidR="008309D8" w14:paraId="1FB56047" w14:textId="77777777" w:rsidTr="00C12A45">
        <w:tc>
          <w:tcPr>
            <w:tcW w:w="3192" w:type="dxa"/>
            <w:vMerge w:val="restart"/>
          </w:tcPr>
          <w:p w14:paraId="7BA8B22B" w14:textId="5E78272F" w:rsidR="008309D8" w:rsidRPr="008309D8" w:rsidRDefault="008309D8" w:rsidP="008309D8">
            <w:r w:rsidRPr="008309D8">
              <w:rPr>
                <w:szCs w:val="20"/>
              </w:rPr>
              <w:t>Нарушения на метаболизма и храненето</w:t>
            </w:r>
          </w:p>
        </w:tc>
        <w:tc>
          <w:tcPr>
            <w:tcW w:w="3192" w:type="dxa"/>
            <w:vAlign w:val="bottom"/>
          </w:tcPr>
          <w:p w14:paraId="11C80340" w14:textId="4284268B" w:rsidR="008309D8" w:rsidRPr="008309D8" w:rsidRDefault="008309D8" w:rsidP="008309D8">
            <w:r w:rsidRPr="008309D8">
              <w:rPr>
                <w:szCs w:val="20"/>
              </w:rPr>
              <w:t>Повишаване на телесното тегло</w:t>
            </w:r>
          </w:p>
        </w:tc>
        <w:tc>
          <w:tcPr>
            <w:tcW w:w="3192" w:type="dxa"/>
          </w:tcPr>
          <w:p w14:paraId="413169D1" w14:textId="62C76E9F" w:rsidR="008309D8" w:rsidRPr="008309D8" w:rsidRDefault="008309D8" w:rsidP="008309D8">
            <w:r w:rsidRPr="008309D8">
              <w:rPr>
                <w:szCs w:val="20"/>
              </w:rPr>
              <w:t>Чести</w:t>
            </w:r>
          </w:p>
        </w:tc>
      </w:tr>
      <w:tr w:rsidR="008309D8" w14:paraId="2D684019" w14:textId="77777777" w:rsidTr="00C12A45">
        <w:tc>
          <w:tcPr>
            <w:tcW w:w="3192" w:type="dxa"/>
            <w:vMerge/>
          </w:tcPr>
          <w:p w14:paraId="0C3B461C" w14:textId="77777777" w:rsidR="008309D8" w:rsidRPr="008309D8" w:rsidRDefault="008309D8" w:rsidP="008309D8"/>
        </w:tc>
        <w:tc>
          <w:tcPr>
            <w:tcW w:w="3192" w:type="dxa"/>
            <w:vAlign w:val="bottom"/>
          </w:tcPr>
          <w:p w14:paraId="58FD4A21" w14:textId="17EBB895" w:rsidR="008309D8" w:rsidRPr="008309D8" w:rsidRDefault="008309D8" w:rsidP="008309D8">
            <w:r w:rsidRPr="008309D8">
              <w:rPr>
                <w:szCs w:val="20"/>
              </w:rPr>
              <w:t>Хиперхолестеролемия</w:t>
            </w:r>
          </w:p>
        </w:tc>
        <w:tc>
          <w:tcPr>
            <w:tcW w:w="3192" w:type="dxa"/>
            <w:vAlign w:val="bottom"/>
          </w:tcPr>
          <w:p w14:paraId="0811C968" w14:textId="4914F868" w:rsidR="008309D8" w:rsidRPr="008309D8" w:rsidRDefault="008309D8" w:rsidP="008309D8">
            <w:r w:rsidRPr="008309D8">
              <w:rPr>
                <w:szCs w:val="20"/>
              </w:rPr>
              <w:t>Чести</w:t>
            </w:r>
          </w:p>
        </w:tc>
      </w:tr>
      <w:tr w:rsidR="008309D8" w14:paraId="5E79BFD7" w14:textId="77777777" w:rsidTr="00C12A45">
        <w:tc>
          <w:tcPr>
            <w:tcW w:w="3192" w:type="dxa"/>
            <w:vMerge/>
          </w:tcPr>
          <w:p w14:paraId="136FC418" w14:textId="77777777" w:rsidR="008309D8" w:rsidRPr="008309D8" w:rsidRDefault="008309D8" w:rsidP="008309D8"/>
        </w:tc>
        <w:tc>
          <w:tcPr>
            <w:tcW w:w="3192" w:type="dxa"/>
            <w:vAlign w:val="bottom"/>
          </w:tcPr>
          <w:p w14:paraId="41C28B5C" w14:textId="448A842C" w:rsidR="008309D8" w:rsidRPr="008309D8" w:rsidRDefault="008309D8" w:rsidP="008309D8">
            <w:r w:rsidRPr="008309D8">
              <w:rPr>
                <w:szCs w:val="20"/>
              </w:rPr>
              <w:t>Нарушен контрол на кръвната захар (хипергликемия, хипогликемия) при пациенти с установен диабет</w:t>
            </w:r>
          </w:p>
        </w:tc>
        <w:tc>
          <w:tcPr>
            <w:tcW w:w="3192" w:type="dxa"/>
          </w:tcPr>
          <w:p w14:paraId="5F691C91" w14:textId="10FD7663" w:rsidR="008309D8" w:rsidRPr="008309D8" w:rsidRDefault="008309D8" w:rsidP="008309D8">
            <w:r w:rsidRPr="008309D8">
              <w:rPr>
                <w:szCs w:val="20"/>
              </w:rPr>
              <w:t>Чести</w:t>
            </w:r>
          </w:p>
        </w:tc>
      </w:tr>
      <w:tr w:rsidR="008309D8" w14:paraId="35080425" w14:textId="77777777" w:rsidTr="00C12A45">
        <w:tc>
          <w:tcPr>
            <w:tcW w:w="3192" w:type="dxa"/>
            <w:vMerge w:val="restart"/>
          </w:tcPr>
          <w:p w14:paraId="7FC17AC9" w14:textId="66B364BE" w:rsidR="008309D8" w:rsidRPr="008309D8" w:rsidRDefault="008309D8" w:rsidP="008309D8">
            <w:r w:rsidRPr="008309D8">
              <w:rPr>
                <w:szCs w:val="20"/>
              </w:rPr>
              <w:t>Психични нарушения</w:t>
            </w:r>
          </w:p>
        </w:tc>
        <w:tc>
          <w:tcPr>
            <w:tcW w:w="3192" w:type="dxa"/>
            <w:vAlign w:val="bottom"/>
          </w:tcPr>
          <w:p w14:paraId="3C906F80" w14:textId="0B2CB062" w:rsidR="008309D8" w:rsidRPr="008309D8" w:rsidRDefault="008309D8" w:rsidP="008309D8">
            <w:r w:rsidRPr="008309D8">
              <w:rPr>
                <w:szCs w:val="20"/>
              </w:rPr>
              <w:t>Депресия, потиснато настроение</w:t>
            </w:r>
          </w:p>
        </w:tc>
        <w:tc>
          <w:tcPr>
            <w:tcW w:w="3192" w:type="dxa"/>
          </w:tcPr>
          <w:p w14:paraId="0C124C5B" w14:textId="4C774D88" w:rsidR="008309D8" w:rsidRPr="008309D8" w:rsidRDefault="008309D8" w:rsidP="008309D8">
            <w:r w:rsidRPr="008309D8">
              <w:rPr>
                <w:szCs w:val="20"/>
              </w:rPr>
              <w:t>Чести</w:t>
            </w:r>
          </w:p>
        </w:tc>
      </w:tr>
      <w:tr w:rsidR="008309D8" w14:paraId="21AC2343" w14:textId="77777777" w:rsidTr="00C12A45">
        <w:tc>
          <w:tcPr>
            <w:tcW w:w="3192" w:type="dxa"/>
            <w:vMerge/>
          </w:tcPr>
          <w:p w14:paraId="0F93C50E" w14:textId="77777777" w:rsidR="008309D8" w:rsidRPr="008309D8" w:rsidRDefault="008309D8" w:rsidP="008309D8"/>
        </w:tc>
        <w:tc>
          <w:tcPr>
            <w:tcW w:w="3192" w:type="dxa"/>
            <w:vAlign w:val="bottom"/>
          </w:tcPr>
          <w:p w14:paraId="32FB53BF" w14:textId="17E64183" w:rsidR="008309D8" w:rsidRPr="008309D8" w:rsidRDefault="008309D8" w:rsidP="008309D8">
            <w:r w:rsidRPr="008309D8">
              <w:rPr>
                <w:szCs w:val="20"/>
              </w:rPr>
              <w:t>Нарушения на съня</w:t>
            </w:r>
          </w:p>
        </w:tc>
        <w:tc>
          <w:tcPr>
            <w:tcW w:w="3192" w:type="dxa"/>
            <w:vAlign w:val="bottom"/>
          </w:tcPr>
          <w:p w14:paraId="6EC89FEC" w14:textId="776BEFAA" w:rsidR="008309D8" w:rsidRPr="008309D8" w:rsidRDefault="008309D8" w:rsidP="008309D8">
            <w:r w:rsidRPr="008309D8">
              <w:rPr>
                <w:szCs w:val="20"/>
              </w:rPr>
              <w:t>Нечести</w:t>
            </w:r>
          </w:p>
        </w:tc>
      </w:tr>
      <w:tr w:rsidR="008309D8" w14:paraId="492E778E" w14:textId="77777777" w:rsidTr="00C12A45">
        <w:tc>
          <w:tcPr>
            <w:tcW w:w="3192" w:type="dxa"/>
            <w:vMerge w:val="restart"/>
          </w:tcPr>
          <w:p w14:paraId="63D18500" w14:textId="02D64BFD" w:rsidR="008309D8" w:rsidRPr="008309D8" w:rsidRDefault="008309D8" w:rsidP="008309D8">
            <w:r w:rsidRPr="008309D8">
              <w:rPr>
                <w:szCs w:val="20"/>
              </w:rPr>
              <w:t>Нарушения на нервната система</w:t>
            </w:r>
          </w:p>
        </w:tc>
        <w:tc>
          <w:tcPr>
            <w:tcW w:w="3192" w:type="dxa"/>
            <w:vAlign w:val="bottom"/>
          </w:tcPr>
          <w:p w14:paraId="77E82BA9" w14:textId="722DECDE" w:rsidR="008309D8" w:rsidRPr="008309D8" w:rsidRDefault="008309D8" w:rsidP="008309D8">
            <w:r w:rsidRPr="008309D8">
              <w:rPr>
                <w:szCs w:val="20"/>
              </w:rPr>
              <w:t>Световъртеж</w:t>
            </w:r>
          </w:p>
        </w:tc>
        <w:tc>
          <w:tcPr>
            <w:tcW w:w="3192" w:type="dxa"/>
            <w:vAlign w:val="bottom"/>
          </w:tcPr>
          <w:p w14:paraId="20DFEA5B" w14:textId="66E4F72F" w:rsidR="008309D8" w:rsidRPr="008309D8" w:rsidRDefault="008309D8" w:rsidP="008309D8">
            <w:r w:rsidRPr="008309D8">
              <w:rPr>
                <w:szCs w:val="20"/>
              </w:rPr>
              <w:t>Много чести</w:t>
            </w:r>
          </w:p>
        </w:tc>
      </w:tr>
      <w:tr w:rsidR="008309D8" w14:paraId="6A86004F" w14:textId="77777777" w:rsidTr="00C12A45">
        <w:tc>
          <w:tcPr>
            <w:tcW w:w="3192" w:type="dxa"/>
            <w:vMerge/>
          </w:tcPr>
          <w:p w14:paraId="16AD5BE7" w14:textId="77777777" w:rsidR="008309D8" w:rsidRPr="008309D8" w:rsidRDefault="008309D8" w:rsidP="008309D8"/>
        </w:tc>
        <w:tc>
          <w:tcPr>
            <w:tcW w:w="3192" w:type="dxa"/>
            <w:vAlign w:val="bottom"/>
          </w:tcPr>
          <w:p w14:paraId="13AB742E" w14:textId="78EBC4A0" w:rsidR="008309D8" w:rsidRPr="008309D8" w:rsidRDefault="008309D8" w:rsidP="008309D8">
            <w:r w:rsidRPr="008309D8">
              <w:rPr>
                <w:szCs w:val="20"/>
              </w:rPr>
              <w:t>Главоболие</w:t>
            </w:r>
          </w:p>
        </w:tc>
        <w:tc>
          <w:tcPr>
            <w:tcW w:w="3192" w:type="dxa"/>
            <w:vAlign w:val="bottom"/>
          </w:tcPr>
          <w:p w14:paraId="3394B239" w14:textId="07E32650" w:rsidR="008309D8" w:rsidRPr="008309D8" w:rsidRDefault="008309D8" w:rsidP="008309D8">
            <w:r w:rsidRPr="008309D8">
              <w:rPr>
                <w:szCs w:val="20"/>
              </w:rPr>
              <w:t>Много чести</w:t>
            </w:r>
          </w:p>
        </w:tc>
      </w:tr>
      <w:tr w:rsidR="008309D8" w14:paraId="53C0AAE2" w14:textId="77777777" w:rsidTr="00C12A45">
        <w:tc>
          <w:tcPr>
            <w:tcW w:w="3192" w:type="dxa"/>
            <w:vMerge/>
          </w:tcPr>
          <w:p w14:paraId="31C6BB1B" w14:textId="77777777" w:rsidR="008309D8" w:rsidRPr="008309D8" w:rsidRDefault="008309D8" w:rsidP="008309D8"/>
        </w:tc>
        <w:tc>
          <w:tcPr>
            <w:tcW w:w="3192" w:type="dxa"/>
            <w:vAlign w:val="bottom"/>
          </w:tcPr>
          <w:p w14:paraId="3004BD92" w14:textId="30418C07" w:rsidR="008309D8" w:rsidRPr="008309D8" w:rsidRDefault="008309D8" w:rsidP="008309D8">
            <w:r w:rsidRPr="008309D8">
              <w:rPr>
                <w:szCs w:val="20"/>
              </w:rPr>
              <w:t>Синкоп, пресинкоп</w:t>
            </w:r>
          </w:p>
        </w:tc>
        <w:tc>
          <w:tcPr>
            <w:tcW w:w="3192" w:type="dxa"/>
            <w:vAlign w:val="bottom"/>
          </w:tcPr>
          <w:p w14:paraId="40E95DCF" w14:textId="5DA5AE86" w:rsidR="008309D8" w:rsidRPr="008309D8" w:rsidRDefault="008309D8" w:rsidP="008309D8">
            <w:r w:rsidRPr="008309D8">
              <w:rPr>
                <w:szCs w:val="20"/>
              </w:rPr>
              <w:t>Чести</w:t>
            </w:r>
          </w:p>
        </w:tc>
      </w:tr>
      <w:tr w:rsidR="008309D8" w14:paraId="76597CE1" w14:textId="77777777" w:rsidTr="00C12A45">
        <w:tc>
          <w:tcPr>
            <w:tcW w:w="3192" w:type="dxa"/>
            <w:vMerge/>
          </w:tcPr>
          <w:p w14:paraId="21689464" w14:textId="77777777" w:rsidR="008309D8" w:rsidRPr="008309D8" w:rsidRDefault="008309D8" w:rsidP="008309D8"/>
        </w:tc>
        <w:tc>
          <w:tcPr>
            <w:tcW w:w="3192" w:type="dxa"/>
            <w:vAlign w:val="bottom"/>
          </w:tcPr>
          <w:p w14:paraId="44119692" w14:textId="38253D8C" w:rsidR="008309D8" w:rsidRPr="008309D8" w:rsidRDefault="008309D8" w:rsidP="008309D8">
            <w:r w:rsidRPr="008309D8">
              <w:rPr>
                <w:szCs w:val="20"/>
              </w:rPr>
              <w:t>Парестезия</w:t>
            </w:r>
          </w:p>
        </w:tc>
        <w:tc>
          <w:tcPr>
            <w:tcW w:w="3192" w:type="dxa"/>
            <w:vAlign w:val="bottom"/>
          </w:tcPr>
          <w:p w14:paraId="71CA3B7F" w14:textId="07B6E8CC" w:rsidR="008309D8" w:rsidRPr="008309D8" w:rsidRDefault="008309D8" w:rsidP="008309D8">
            <w:r w:rsidRPr="008309D8">
              <w:rPr>
                <w:szCs w:val="20"/>
              </w:rPr>
              <w:t>Нечести</w:t>
            </w:r>
          </w:p>
        </w:tc>
      </w:tr>
      <w:tr w:rsidR="008309D8" w14:paraId="58D3B920" w14:textId="77777777" w:rsidTr="00ED7D7D">
        <w:tc>
          <w:tcPr>
            <w:tcW w:w="3192" w:type="dxa"/>
            <w:vMerge w:val="restart"/>
          </w:tcPr>
          <w:p w14:paraId="6218CCC8" w14:textId="68604B20" w:rsidR="008309D8" w:rsidRPr="008309D8" w:rsidRDefault="008309D8" w:rsidP="008309D8">
            <w:r w:rsidRPr="008309D8">
              <w:rPr>
                <w:szCs w:val="20"/>
              </w:rPr>
              <w:t>Нарушения на очите</w:t>
            </w:r>
          </w:p>
        </w:tc>
        <w:tc>
          <w:tcPr>
            <w:tcW w:w="3192" w:type="dxa"/>
            <w:vAlign w:val="bottom"/>
          </w:tcPr>
          <w:p w14:paraId="6C74F709" w14:textId="512F0821" w:rsidR="008309D8" w:rsidRPr="008309D8" w:rsidRDefault="008309D8" w:rsidP="008309D8">
            <w:r w:rsidRPr="008309D8">
              <w:rPr>
                <w:szCs w:val="20"/>
              </w:rPr>
              <w:t>Увреждане на зрението</w:t>
            </w:r>
          </w:p>
        </w:tc>
        <w:tc>
          <w:tcPr>
            <w:tcW w:w="3192" w:type="dxa"/>
            <w:vAlign w:val="bottom"/>
          </w:tcPr>
          <w:p w14:paraId="5E360110" w14:textId="1457BD59" w:rsidR="008309D8" w:rsidRPr="008309D8" w:rsidRDefault="008309D8" w:rsidP="008309D8">
            <w:r w:rsidRPr="008309D8">
              <w:rPr>
                <w:szCs w:val="20"/>
              </w:rPr>
              <w:t>Чести</w:t>
            </w:r>
          </w:p>
        </w:tc>
      </w:tr>
      <w:tr w:rsidR="008309D8" w14:paraId="303E1442" w14:textId="77777777" w:rsidTr="00ED7D7D">
        <w:tc>
          <w:tcPr>
            <w:tcW w:w="3192" w:type="dxa"/>
            <w:vMerge/>
          </w:tcPr>
          <w:p w14:paraId="4D71D332" w14:textId="77777777" w:rsidR="008309D8" w:rsidRPr="008309D8" w:rsidRDefault="008309D8" w:rsidP="008309D8"/>
        </w:tc>
        <w:tc>
          <w:tcPr>
            <w:tcW w:w="3192" w:type="dxa"/>
            <w:vAlign w:val="bottom"/>
          </w:tcPr>
          <w:p w14:paraId="22C00573" w14:textId="0507AD44" w:rsidR="008309D8" w:rsidRPr="008309D8" w:rsidRDefault="008309D8" w:rsidP="008309D8">
            <w:r w:rsidRPr="008309D8">
              <w:rPr>
                <w:szCs w:val="20"/>
              </w:rPr>
              <w:t>Намалено сълзене (сухота в очите)</w:t>
            </w:r>
          </w:p>
        </w:tc>
        <w:tc>
          <w:tcPr>
            <w:tcW w:w="3192" w:type="dxa"/>
          </w:tcPr>
          <w:p w14:paraId="3B9DCFEA" w14:textId="128ECA72" w:rsidR="008309D8" w:rsidRPr="008309D8" w:rsidRDefault="008309D8" w:rsidP="008309D8">
            <w:r w:rsidRPr="008309D8">
              <w:rPr>
                <w:szCs w:val="20"/>
              </w:rPr>
              <w:t>Чести</w:t>
            </w:r>
          </w:p>
        </w:tc>
      </w:tr>
      <w:tr w:rsidR="008309D8" w14:paraId="30414CA1" w14:textId="77777777" w:rsidTr="00ED7D7D">
        <w:tc>
          <w:tcPr>
            <w:tcW w:w="3192" w:type="dxa"/>
            <w:vMerge/>
          </w:tcPr>
          <w:p w14:paraId="589BF00E" w14:textId="77777777" w:rsidR="008309D8" w:rsidRPr="008309D8" w:rsidRDefault="008309D8" w:rsidP="008309D8"/>
        </w:tc>
        <w:tc>
          <w:tcPr>
            <w:tcW w:w="3192" w:type="dxa"/>
            <w:vAlign w:val="bottom"/>
          </w:tcPr>
          <w:p w14:paraId="71553F3F" w14:textId="0AF9287F" w:rsidR="008309D8" w:rsidRPr="008309D8" w:rsidRDefault="008309D8" w:rsidP="008309D8">
            <w:r w:rsidRPr="008309D8">
              <w:rPr>
                <w:szCs w:val="20"/>
              </w:rPr>
              <w:t>Дразнене на очите</w:t>
            </w:r>
          </w:p>
        </w:tc>
        <w:tc>
          <w:tcPr>
            <w:tcW w:w="3192" w:type="dxa"/>
            <w:vAlign w:val="bottom"/>
          </w:tcPr>
          <w:p w14:paraId="6E683EE2" w14:textId="139342A4" w:rsidR="008309D8" w:rsidRPr="008309D8" w:rsidRDefault="008309D8" w:rsidP="008309D8">
            <w:r w:rsidRPr="008309D8">
              <w:rPr>
                <w:szCs w:val="20"/>
              </w:rPr>
              <w:t>Чести</w:t>
            </w:r>
          </w:p>
        </w:tc>
      </w:tr>
      <w:tr w:rsidR="008309D8" w14:paraId="2A950BFB" w14:textId="77777777" w:rsidTr="00ED7D7D">
        <w:tc>
          <w:tcPr>
            <w:tcW w:w="3192" w:type="dxa"/>
            <w:vMerge w:val="restart"/>
          </w:tcPr>
          <w:p w14:paraId="54257EF3" w14:textId="13705164" w:rsidR="008309D8" w:rsidRPr="008309D8" w:rsidRDefault="008309D8" w:rsidP="008309D8">
            <w:r w:rsidRPr="008309D8">
              <w:rPr>
                <w:szCs w:val="20"/>
              </w:rPr>
              <w:t>Сърдечни нарушения</w:t>
            </w:r>
          </w:p>
        </w:tc>
        <w:tc>
          <w:tcPr>
            <w:tcW w:w="3192" w:type="dxa"/>
            <w:vAlign w:val="bottom"/>
          </w:tcPr>
          <w:p w14:paraId="3D840E8A" w14:textId="56EF2B90" w:rsidR="008309D8" w:rsidRPr="008309D8" w:rsidRDefault="008309D8" w:rsidP="008309D8">
            <w:r w:rsidRPr="008309D8">
              <w:rPr>
                <w:szCs w:val="20"/>
              </w:rPr>
              <w:t>Сърдечна недостатъчност</w:t>
            </w:r>
          </w:p>
        </w:tc>
        <w:tc>
          <w:tcPr>
            <w:tcW w:w="3192" w:type="dxa"/>
            <w:vAlign w:val="bottom"/>
          </w:tcPr>
          <w:p w14:paraId="0E2E8AF2" w14:textId="30672308" w:rsidR="008309D8" w:rsidRPr="008309D8" w:rsidRDefault="008309D8" w:rsidP="008309D8">
            <w:r w:rsidRPr="008309D8">
              <w:rPr>
                <w:szCs w:val="20"/>
              </w:rPr>
              <w:t>Много чести</w:t>
            </w:r>
          </w:p>
        </w:tc>
      </w:tr>
      <w:tr w:rsidR="008309D8" w14:paraId="7D4EAE49" w14:textId="77777777" w:rsidTr="00ED7D7D">
        <w:tc>
          <w:tcPr>
            <w:tcW w:w="3192" w:type="dxa"/>
            <w:vMerge/>
          </w:tcPr>
          <w:p w14:paraId="32F95A27" w14:textId="77777777" w:rsidR="008309D8" w:rsidRPr="008309D8" w:rsidRDefault="008309D8" w:rsidP="008309D8"/>
        </w:tc>
        <w:tc>
          <w:tcPr>
            <w:tcW w:w="3192" w:type="dxa"/>
            <w:vAlign w:val="bottom"/>
          </w:tcPr>
          <w:p w14:paraId="230445F6" w14:textId="7FB7BD13" w:rsidR="008309D8" w:rsidRPr="008309D8" w:rsidRDefault="008309D8" w:rsidP="008309D8">
            <w:r w:rsidRPr="008309D8">
              <w:rPr>
                <w:szCs w:val="20"/>
              </w:rPr>
              <w:t>Брадикардия</w:t>
            </w:r>
          </w:p>
        </w:tc>
        <w:tc>
          <w:tcPr>
            <w:tcW w:w="3192" w:type="dxa"/>
            <w:vAlign w:val="bottom"/>
          </w:tcPr>
          <w:p w14:paraId="75FCC641" w14:textId="46DD7392" w:rsidR="008309D8" w:rsidRPr="008309D8" w:rsidRDefault="008309D8" w:rsidP="008309D8">
            <w:r w:rsidRPr="008309D8">
              <w:rPr>
                <w:szCs w:val="20"/>
              </w:rPr>
              <w:t>Чести</w:t>
            </w:r>
          </w:p>
        </w:tc>
      </w:tr>
      <w:tr w:rsidR="008309D8" w14:paraId="5851D865" w14:textId="77777777" w:rsidTr="00ED7D7D">
        <w:tc>
          <w:tcPr>
            <w:tcW w:w="3192" w:type="dxa"/>
            <w:vMerge/>
          </w:tcPr>
          <w:p w14:paraId="4E811E54" w14:textId="77777777" w:rsidR="008309D8" w:rsidRPr="008309D8" w:rsidRDefault="008309D8" w:rsidP="008309D8"/>
        </w:tc>
        <w:tc>
          <w:tcPr>
            <w:tcW w:w="3192" w:type="dxa"/>
            <w:vAlign w:val="bottom"/>
          </w:tcPr>
          <w:p w14:paraId="4A756770" w14:textId="38A770A5" w:rsidR="008309D8" w:rsidRPr="008309D8" w:rsidRDefault="008309D8" w:rsidP="008309D8">
            <w:r w:rsidRPr="008309D8">
              <w:rPr>
                <w:szCs w:val="20"/>
              </w:rPr>
              <w:t>Хиперволемия</w:t>
            </w:r>
          </w:p>
        </w:tc>
        <w:tc>
          <w:tcPr>
            <w:tcW w:w="3192" w:type="dxa"/>
            <w:vAlign w:val="bottom"/>
          </w:tcPr>
          <w:p w14:paraId="150E153F" w14:textId="0A994429" w:rsidR="008309D8" w:rsidRPr="008309D8" w:rsidRDefault="008309D8" w:rsidP="008309D8">
            <w:r w:rsidRPr="008309D8">
              <w:rPr>
                <w:szCs w:val="20"/>
              </w:rPr>
              <w:t>Чести</w:t>
            </w:r>
          </w:p>
        </w:tc>
      </w:tr>
      <w:tr w:rsidR="008309D8" w14:paraId="47348A59" w14:textId="77777777" w:rsidTr="00ED7D7D">
        <w:tc>
          <w:tcPr>
            <w:tcW w:w="3192" w:type="dxa"/>
            <w:vMerge/>
          </w:tcPr>
          <w:p w14:paraId="56E7719B" w14:textId="77777777" w:rsidR="008309D8" w:rsidRPr="008309D8" w:rsidRDefault="008309D8" w:rsidP="008309D8"/>
        </w:tc>
        <w:tc>
          <w:tcPr>
            <w:tcW w:w="3192" w:type="dxa"/>
            <w:vAlign w:val="bottom"/>
          </w:tcPr>
          <w:p w14:paraId="07FE3C20" w14:textId="34D880AF" w:rsidR="008309D8" w:rsidRPr="008309D8" w:rsidRDefault="008309D8" w:rsidP="008309D8">
            <w:r w:rsidRPr="008309D8">
              <w:rPr>
                <w:szCs w:val="20"/>
              </w:rPr>
              <w:t>Плетора</w:t>
            </w:r>
          </w:p>
        </w:tc>
        <w:tc>
          <w:tcPr>
            <w:tcW w:w="3192" w:type="dxa"/>
            <w:vAlign w:val="bottom"/>
          </w:tcPr>
          <w:p w14:paraId="3F5551EB" w14:textId="70CD7E5B" w:rsidR="008309D8" w:rsidRPr="008309D8" w:rsidRDefault="008309D8" w:rsidP="008309D8">
            <w:r w:rsidRPr="008309D8">
              <w:rPr>
                <w:szCs w:val="20"/>
              </w:rPr>
              <w:t>Чести</w:t>
            </w:r>
          </w:p>
        </w:tc>
      </w:tr>
      <w:tr w:rsidR="008309D8" w14:paraId="047F5C91" w14:textId="77777777" w:rsidTr="00ED7D7D">
        <w:tc>
          <w:tcPr>
            <w:tcW w:w="3192" w:type="dxa"/>
            <w:vMerge/>
          </w:tcPr>
          <w:p w14:paraId="45AC5A57" w14:textId="77777777" w:rsidR="008309D8" w:rsidRPr="008309D8" w:rsidRDefault="008309D8" w:rsidP="008309D8"/>
        </w:tc>
        <w:tc>
          <w:tcPr>
            <w:tcW w:w="3192" w:type="dxa"/>
            <w:vAlign w:val="bottom"/>
          </w:tcPr>
          <w:p w14:paraId="00128590" w14:textId="16755F86" w:rsidR="008309D8" w:rsidRPr="008309D8" w:rsidRDefault="008309D8" w:rsidP="008309D8">
            <w:r w:rsidRPr="008309D8">
              <w:rPr>
                <w:szCs w:val="20"/>
              </w:rPr>
              <w:t>Атриовентрикуларен блок</w:t>
            </w:r>
          </w:p>
        </w:tc>
        <w:tc>
          <w:tcPr>
            <w:tcW w:w="3192" w:type="dxa"/>
            <w:vAlign w:val="bottom"/>
          </w:tcPr>
          <w:p w14:paraId="619AA380" w14:textId="2FDE51E6" w:rsidR="008309D8" w:rsidRPr="008309D8" w:rsidRDefault="008309D8" w:rsidP="008309D8">
            <w:r w:rsidRPr="008309D8">
              <w:rPr>
                <w:szCs w:val="20"/>
              </w:rPr>
              <w:t>Нечести</w:t>
            </w:r>
          </w:p>
        </w:tc>
      </w:tr>
      <w:tr w:rsidR="008309D8" w14:paraId="2E5C248A" w14:textId="77777777" w:rsidTr="00ED7D7D">
        <w:tc>
          <w:tcPr>
            <w:tcW w:w="3192" w:type="dxa"/>
            <w:vMerge/>
          </w:tcPr>
          <w:p w14:paraId="250ED97B" w14:textId="77777777" w:rsidR="008309D8" w:rsidRPr="008309D8" w:rsidRDefault="008309D8" w:rsidP="008309D8"/>
        </w:tc>
        <w:tc>
          <w:tcPr>
            <w:tcW w:w="3192" w:type="dxa"/>
            <w:vAlign w:val="bottom"/>
          </w:tcPr>
          <w:p w14:paraId="45B9FD01" w14:textId="7EF8C38F" w:rsidR="008309D8" w:rsidRPr="008309D8" w:rsidRDefault="008309D8" w:rsidP="008309D8">
            <w:r w:rsidRPr="008309D8">
              <w:rPr>
                <w:szCs w:val="20"/>
              </w:rPr>
              <w:t>Ангина пекторис</w:t>
            </w:r>
          </w:p>
        </w:tc>
        <w:tc>
          <w:tcPr>
            <w:tcW w:w="3192" w:type="dxa"/>
            <w:vAlign w:val="bottom"/>
          </w:tcPr>
          <w:p w14:paraId="0B2BE77C" w14:textId="28735171" w:rsidR="008309D8" w:rsidRPr="008309D8" w:rsidRDefault="008309D8" w:rsidP="008309D8">
            <w:r w:rsidRPr="008309D8">
              <w:rPr>
                <w:szCs w:val="20"/>
              </w:rPr>
              <w:t>Нечести</w:t>
            </w:r>
          </w:p>
        </w:tc>
      </w:tr>
      <w:tr w:rsidR="008309D8" w14:paraId="286D074D" w14:textId="77777777" w:rsidTr="00ED7D7D">
        <w:tc>
          <w:tcPr>
            <w:tcW w:w="3192" w:type="dxa"/>
            <w:vMerge w:val="restart"/>
          </w:tcPr>
          <w:p w14:paraId="1FF28738" w14:textId="6B0825B4" w:rsidR="008309D8" w:rsidRPr="008309D8" w:rsidRDefault="008309D8" w:rsidP="008309D8">
            <w:r w:rsidRPr="008309D8">
              <w:rPr>
                <w:szCs w:val="20"/>
              </w:rPr>
              <w:t>Съдови нарушения</w:t>
            </w:r>
          </w:p>
        </w:tc>
        <w:tc>
          <w:tcPr>
            <w:tcW w:w="3192" w:type="dxa"/>
            <w:vAlign w:val="bottom"/>
          </w:tcPr>
          <w:p w14:paraId="363A34F4" w14:textId="329B596F" w:rsidR="008309D8" w:rsidRPr="008309D8" w:rsidRDefault="008309D8" w:rsidP="008309D8">
            <w:r w:rsidRPr="008309D8">
              <w:rPr>
                <w:szCs w:val="20"/>
              </w:rPr>
              <w:t>Хипотония</w:t>
            </w:r>
          </w:p>
        </w:tc>
        <w:tc>
          <w:tcPr>
            <w:tcW w:w="3192" w:type="dxa"/>
            <w:vAlign w:val="bottom"/>
          </w:tcPr>
          <w:p w14:paraId="720E44A9" w14:textId="0CC2D8A9" w:rsidR="008309D8" w:rsidRPr="008309D8" w:rsidRDefault="008309D8" w:rsidP="008309D8">
            <w:r w:rsidRPr="008309D8">
              <w:rPr>
                <w:szCs w:val="20"/>
              </w:rPr>
              <w:t>Много чести</w:t>
            </w:r>
          </w:p>
        </w:tc>
      </w:tr>
      <w:tr w:rsidR="008309D8" w14:paraId="7FD4C413" w14:textId="77777777" w:rsidTr="00ED7D7D">
        <w:tc>
          <w:tcPr>
            <w:tcW w:w="3192" w:type="dxa"/>
            <w:vMerge/>
          </w:tcPr>
          <w:p w14:paraId="79BDCAD8" w14:textId="77777777" w:rsidR="008309D8" w:rsidRPr="008309D8" w:rsidRDefault="008309D8" w:rsidP="008309D8"/>
        </w:tc>
        <w:tc>
          <w:tcPr>
            <w:tcW w:w="3192" w:type="dxa"/>
            <w:vAlign w:val="bottom"/>
          </w:tcPr>
          <w:p w14:paraId="011BB151" w14:textId="29FE7D00" w:rsidR="008309D8" w:rsidRPr="008309D8" w:rsidRDefault="008309D8" w:rsidP="008309D8">
            <w:r w:rsidRPr="008309D8">
              <w:rPr>
                <w:szCs w:val="20"/>
              </w:rPr>
              <w:t>Ортостатична хипотония</w:t>
            </w:r>
          </w:p>
        </w:tc>
        <w:tc>
          <w:tcPr>
            <w:tcW w:w="3192" w:type="dxa"/>
            <w:vAlign w:val="bottom"/>
          </w:tcPr>
          <w:p w14:paraId="1E6E12D2" w14:textId="230E25EB" w:rsidR="008309D8" w:rsidRPr="008309D8" w:rsidRDefault="008309D8" w:rsidP="008309D8">
            <w:r w:rsidRPr="008309D8">
              <w:rPr>
                <w:szCs w:val="20"/>
              </w:rPr>
              <w:t>Чести</w:t>
            </w:r>
          </w:p>
        </w:tc>
      </w:tr>
      <w:tr w:rsidR="008309D8" w14:paraId="5E4AF527" w14:textId="77777777" w:rsidTr="00ED7D7D">
        <w:tc>
          <w:tcPr>
            <w:tcW w:w="3192" w:type="dxa"/>
            <w:vMerge/>
          </w:tcPr>
          <w:p w14:paraId="207304AD" w14:textId="77777777" w:rsidR="008309D8" w:rsidRPr="008309D8" w:rsidRDefault="008309D8" w:rsidP="008309D8"/>
        </w:tc>
        <w:tc>
          <w:tcPr>
            <w:tcW w:w="3192" w:type="dxa"/>
            <w:vAlign w:val="bottom"/>
          </w:tcPr>
          <w:p w14:paraId="77873524" w14:textId="70D175B2" w:rsidR="008309D8" w:rsidRPr="008309D8" w:rsidRDefault="008309D8" w:rsidP="008309D8">
            <w:r w:rsidRPr="008309D8">
              <w:rPr>
                <w:szCs w:val="20"/>
              </w:rPr>
              <w:t>Нарушения на периферното кръвообращение (студени крайници, периферна съдова болест, обостряне на интермитентното накуцване и феномен на Рейно)</w:t>
            </w:r>
          </w:p>
        </w:tc>
        <w:tc>
          <w:tcPr>
            <w:tcW w:w="3192" w:type="dxa"/>
          </w:tcPr>
          <w:p w14:paraId="190E8D2F" w14:textId="2E9D18E3" w:rsidR="008309D8" w:rsidRPr="008309D8" w:rsidRDefault="008309D8" w:rsidP="008309D8">
            <w:r w:rsidRPr="008309D8">
              <w:rPr>
                <w:szCs w:val="20"/>
              </w:rPr>
              <w:t>Чести</w:t>
            </w:r>
          </w:p>
        </w:tc>
      </w:tr>
      <w:tr w:rsidR="008309D8" w14:paraId="612A17DF" w14:textId="77777777" w:rsidTr="00ED7D7D">
        <w:tc>
          <w:tcPr>
            <w:tcW w:w="3192" w:type="dxa"/>
            <w:vMerge/>
          </w:tcPr>
          <w:p w14:paraId="7CABB208" w14:textId="77777777" w:rsidR="008309D8" w:rsidRPr="008309D8" w:rsidRDefault="008309D8" w:rsidP="008309D8"/>
        </w:tc>
        <w:tc>
          <w:tcPr>
            <w:tcW w:w="3192" w:type="dxa"/>
            <w:vAlign w:val="bottom"/>
          </w:tcPr>
          <w:p w14:paraId="61D9C714" w14:textId="5BD0939B" w:rsidR="008309D8" w:rsidRPr="008309D8" w:rsidRDefault="008309D8" w:rsidP="008309D8">
            <w:r w:rsidRPr="008309D8">
              <w:rPr>
                <w:szCs w:val="20"/>
              </w:rPr>
              <w:t>Хипертония</w:t>
            </w:r>
          </w:p>
        </w:tc>
        <w:tc>
          <w:tcPr>
            <w:tcW w:w="3192" w:type="dxa"/>
            <w:vAlign w:val="bottom"/>
          </w:tcPr>
          <w:p w14:paraId="7AB732F0" w14:textId="6BBB84A9" w:rsidR="008309D8" w:rsidRPr="008309D8" w:rsidRDefault="008309D8" w:rsidP="008309D8">
            <w:r w:rsidRPr="008309D8">
              <w:rPr>
                <w:szCs w:val="20"/>
              </w:rPr>
              <w:t>Чести</w:t>
            </w:r>
          </w:p>
        </w:tc>
      </w:tr>
      <w:tr w:rsidR="008309D8" w14:paraId="5BDDF57A" w14:textId="77777777" w:rsidTr="00D75C10">
        <w:tc>
          <w:tcPr>
            <w:tcW w:w="3192" w:type="dxa"/>
            <w:vMerge w:val="restart"/>
          </w:tcPr>
          <w:p w14:paraId="26E2BB6D" w14:textId="29B84082" w:rsidR="008309D8" w:rsidRPr="008309D8" w:rsidRDefault="008309D8" w:rsidP="008309D8">
            <w:r w:rsidRPr="008309D8">
              <w:rPr>
                <w:szCs w:val="20"/>
              </w:rPr>
              <w:t>Респираторни, гръдни и медиастинални нарушения</w:t>
            </w:r>
          </w:p>
        </w:tc>
        <w:tc>
          <w:tcPr>
            <w:tcW w:w="3192" w:type="dxa"/>
            <w:vAlign w:val="bottom"/>
          </w:tcPr>
          <w:p w14:paraId="633D1046" w14:textId="1C8F85A2" w:rsidR="008309D8" w:rsidRPr="008309D8" w:rsidRDefault="008309D8" w:rsidP="008309D8">
            <w:r w:rsidRPr="008309D8">
              <w:rPr>
                <w:szCs w:val="20"/>
              </w:rPr>
              <w:t>Диспнея</w:t>
            </w:r>
          </w:p>
        </w:tc>
        <w:tc>
          <w:tcPr>
            <w:tcW w:w="3192" w:type="dxa"/>
            <w:vAlign w:val="bottom"/>
          </w:tcPr>
          <w:p w14:paraId="38A638CD" w14:textId="4906597D" w:rsidR="008309D8" w:rsidRPr="008309D8" w:rsidRDefault="008309D8" w:rsidP="008309D8">
            <w:r w:rsidRPr="008309D8">
              <w:rPr>
                <w:szCs w:val="20"/>
              </w:rPr>
              <w:t>Чести</w:t>
            </w:r>
          </w:p>
        </w:tc>
      </w:tr>
      <w:tr w:rsidR="008309D8" w14:paraId="3769E3BC" w14:textId="77777777" w:rsidTr="00D75C10">
        <w:tc>
          <w:tcPr>
            <w:tcW w:w="3192" w:type="dxa"/>
            <w:vMerge/>
          </w:tcPr>
          <w:p w14:paraId="6D1F1D76" w14:textId="77777777" w:rsidR="008309D8" w:rsidRPr="008309D8" w:rsidRDefault="008309D8" w:rsidP="008309D8"/>
        </w:tc>
        <w:tc>
          <w:tcPr>
            <w:tcW w:w="3192" w:type="dxa"/>
            <w:vAlign w:val="bottom"/>
          </w:tcPr>
          <w:p w14:paraId="5DBA3765" w14:textId="13A3EEBF" w:rsidR="008309D8" w:rsidRPr="008309D8" w:rsidRDefault="008309D8" w:rsidP="008309D8">
            <w:r w:rsidRPr="008309D8">
              <w:rPr>
                <w:szCs w:val="20"/>
              </w:rPr>
              <w:t>Белодробен оток</w:t>
            </w:r>
          </w:p>
        </w:tc>
        <w:tc>
          <w:tcPr>
            <w:tcW w:w="3192" w:type="dxa"/>
            <w:vAlign w:val="bottom"/>
          </w:tcPr>
          <w:p w14:paraId="4BEBFD86" w14:textId="130AE32A" w:rsidR="008309D8" w:rsidRPr="008309D8" w:rsidRDefault="008309D8" w:rsidP="008309D8">
            <w:r w:rsidRPr="008309D8">
              <w:rPr>
                <w:szCs w:val="20"/>
              </w:rPr>
              <w:t>Чести</w:t>
            </w:r>
          </w:p>
        </w:tc>
      </w:tr>
      <w:tr w:rsidR="008309D8" w14:paraId="56FCE66D" w14:textId="77777777" w:rsidTr="00D75C10">
        <w:tc>
          <w:tcPr>
            <w:tcW w:w="3192" w:type="dxa"/>
            <w:vMerge/>
          </w:tcPr>
          <w:p w14:paraId="745265E8" w14:textId="77777777" w:rsidR="008309D8" w:rsidRPr="008309D8" w:rsidRDefault="008309D8" w:rsidP="008309D8"/>
        </w:tc>
        <w:tc>
          <w:tcPr>
            <w:tcW w:w="3192" w:type="dxa"/>
            <w:vAlign w:val="bottom"/>
          </w:tcPr>
          <w:p w14:paraId="181C617B" w14:textId="23B98A91" w:rsidR="008309D8" w:rsidRPr="008309D8" w:rsidRDefault="008309D8" w:rsidP="008309D8">
            <w:r w:rsidRPr="008309D8">
              <w:rPr>
                <w:szCs w:val="20"/>
              </w:rPr>
              <w:t>Астма при предразположени пациенти</w:t>
            </w:r>
          </w:p>
        </w:tc>
        <w:tc>
          <w:tcPr>
            <w:tcW w:w="3192" w:type="dxa"/>
          </w:tcPr>
          <w:p w14:paraId="13D46A40" w14:textId="20059B05" w:rsidR="008309D8" w:rsidRPr="008309D8" w:rsidRDefault="008309D8" w:rsidP="008309D8">
            <w:r w:rsidRPr="008309D8">
              <w:rPr>
                <w:szCs w:val="20"/>
              </w:rPr>
              <w:t>Чести</w:t>
            </w:r>
          </w:p>
        </w:tc>
      </w:tr>
      <w:tr w:rsidR="008309D8" w14:paraId="20D6D81E" w14:textId="77777777" w:rsidTr="00D75C10">
        <w:tc>
          <w:tcPr>
            <w:tcW w:w="3192" w:type="dxa"/>
            <w:vMerge/>
          </w:tcPr>
          <w:p w14:paraId="3F20C0E2" w14:textId="77777777" w:rsidR="008309D8" w:rsidRPr="008309D8" w:rsidRDefault="008309D8" w:rsidP="008309D8"/>
        </w:tc>
        <w:tc>
          <w:tcPr>
            <w:tcW w:w="3192" w:type="dxa"/>
            <w:vAlign w:val="bottom"/>
          </w:tcPr>
          <w:p w14:paraId="66947D69" w14:textId="1218C717" w:rsidR="008309D8" w:rsidRPr="008309D8" w:rsidRDefault="008309D8" w:rsidP="008309D8">
            <w:r w:rsidRPr="008309D8">
              <w:rPr>
                <w:szCs w:val="20"/>
              </w:rPr>
              <w:t>Назална конгестия, грипоподобни симптоми</w:t>
            </w:r>
          </w:p>
        </w:tc>
        <w:tc>
          <w:tcPr>
            <w:tcW w:w="3192" w:type="dxa"/>
          </w:tcPr>
          <w:p w14:paraId="699C00C8" w14:textId="5B9A80A4" w:rsidR="008309D8" w:rsidRPr="008309D8" w:rsidRDefault="008309D8" w:rsidP="008309D8">
            <w:r w:rsidRPr="008309D8">
              <w:rPr>
                <w:szCs w:val="20"/>
              </w:rPr>
              <w:t>Редки</w:t>
            </w:r>
          </w:p>
        </w:tc>
      </w:tr>
      <w:tr w:rsidR="008309D8" w14:paraId="46E65A0E" w14:textId="77777777" w:rsidTr="00D75C10">
        <w:tc>
          <w:tcPr>
            <w:tcW w:w="3192" w:type="dxa"/>
            <w:vMerge w:val="restart"/>
          </w:tcPr>
          <w:p w14:paraId="6D2DBA1B" w14:textId="5145F1C3" w:rsidR="008309D8" w:rsidRPr="008309D8" w:rsidRDefault="008309D8" w:rsidP="008309D8">
            <w:r w:rsidRPr="008309D8">
              <w:rPr>
                <w:szCs w:val="20"/>
              </w:rPr>
              <w:t>Стомашно-чревни нарушения</w:t>
            </w:r>
          </w:p>
        </w:tc>
        <w:tc>
          <w:tcPr>
            <w:tcW w:w="3192" w:type="dxa"/>
            <w:vAlign w:val="bottom"/>
          </w:tcPr>
          <w:p w14:paraId="0E499B64" w14:textId="0358AC0C" w:rsidR="008309D8" w:rsidRPr="008309D8" w:rsidRDefault="008309D8" w:rsidP="008309D8">
            <w:r w:rsidRPr="008309D8">
              <w:rPr>
                <w:szCs w:val="20"/>
              </w:rPr>
              <w:t>Гадене</w:t>
            </w:r>
          </w:p>
        </w:tc>
        <w:tc>
          <w:tcPr>
            <w:tcW w:w="3192" w:type="dxa"/>
            <w:vAlign w:val="bottom"/>
          </w:tcPr>
          <w:p w14:paraId="38DB0F4A" w14:textId="7BCCF28A" w:rsidR="008309D8" w:rsidRPr="008309D8" w:rsidRDefault="008309D8" w:rsidP="008309D8">
            <w:r w:rsidRPr="008309D8">
              <w:rPr>
                <w:szCs w:val="20"/>
              </w:rPr>
              <w:t>Чести</w:t>
            </w:r>
          </w:p>
        </w:tc>
      </w:tr>
      <w:tr w:rsidR="008309D8" w14:paraId="091EA123" w14:textId="77777777" w:rsidTr="00D75C10">
        <w:tc>
          <w:tcPr>
            <w:tcW w:w="3192" w:type="dxa"/>
            <w:vMerge/>
          </w:tcPr>
          <w:p w14:paraId="0E19B291" w14:textId="77777777" w:rsidR="008309D8" w:rsidRPr="008309D8" w:rsidRDefault="008309D8" w:rsidP="008309D8"/>
        </w:tc>
        <w:tc>
          <w:tcPr>
            <w:tcW w:w="3192" w:type="dxa"/>
            <w:vAlign w:val="bottom"/>
          </w:tcPr>
          <w:p w14:paraId="0AE4123C" w14:textId="0081A274" w:rsidR="008309D8" w:rsidRPr="008309D8" w:rsidRDefault="008309D8" w:rsidP="008309D8">
            <w:r w:rsidRPr="008309D8">
              <w:rPr>
                <w:szCs w:val="20"/>
              </w:rPr>
              <w:t>Диария</w:t>
            </w:r>
          </w:p>
        </w:tc>
        <w:tc>
          <w:tcPr>
            <w:tcW w:w="3192" w:type="dxa"/>
            <w:vAlign w:val="bottom"/>
          </w:tcPr>
          <w:p w14:paraId="6A9C4C0E" w14:textId="0841FB9C" w:rsidR="008309D8" w:rsidRPr="008309D8" w:rsidRDefault="008309D8" w:rsidP="008309D8">
            <w:r w:rsidRPr="008309D8">
              <w:rPr>
                <w:szCs w:val="20"/>
              </w:rPr>
              <w:t>Чести</w:t>
            </w:r>
          </w:p>
        </w:tc>
      </w:tr>
      <w:tr w:rsidR="008309D8" w14:paraId="3494C7EE" w14:textId="77777777" w:rsidTr="00D75C10">
        <w:tc>
          <w:tcPr>
            <w:tcW w:w="3192" w:type="dxa"/>
            <w:vMerge/>
          </w:tcPr>
          <w:p w14:paraId="77186C57" w14:textId="77777777" w:rsidR="008309D8" w:rsidRPr="008309D8" w:rsidRDefault="008309D8" w:rsidP="008309D8"/>
        </w:tc>
        <w:tc>
          <w:tcPr>
            <w:tcW w:w="3192" w:type="dxa"/>
            <w:vAlign w:val="bottom"/>
          </w:tcPr>
          <w:p w14:paraId="7F014162" w14:textId="665E3D61" w:rsidR="008309D8" w:rsidRPr="008309D8" w:rsidRDefault="008309D8" w:rsidP="008309D8">
            <w:r w:rsidRPr="008309D8">
              <w:rPr>
                <w:szCs w:val="20"/>
              </w:rPr>
              <w:t>Повръщане</w:t>
            </w:r>
          </w:p>
        </w:tc>
        <w:tc>
          <w:tcPr>
            <w:tcW w:w="3192" w:type="dxa"/>
            <w:vAlign w:val="bottom"/>
          </w:tcPr>
          <w:p w14:paraId="6E364F80" w14:textId="48658FF0" w:rsidR="008309D8" w:rsidRPr="008309D8" w:rsidRDefault="008309D8" w:rsidP="008309D8">
            <w:r w:rsidRPr="008309D8">
              <w:rPr>
                <w:szCs w:val="20"/>
              </w:rPr>
              <w:t>Чести</w:t>
            </w:r>
          </w:p>
        </w:tc>
      </w:tr>
      <w:tr w:rsidR="008309D8" w14:paraId="005AE7EC" w14:textId="77777777" w:rsidTr="00D75C10">
        <w:tc>
          <w:tcPr>
            <w:tcW w:w="3192" w:type="dxa"/>
            <w:vMerge/>
          </w:tcPr>
          <w:p w14:paraId="4AC6B4A0" w14:textId="77777777" w:rsidR="008309D8" w:rsidRPr="008309D8" w:rsidRDefault="008309D8" w:rsidP="008309D8"/>
        </w:tc>
        <w:tc>
          <w:tcPr>
            <w:tcW w:w="3192" w:type="dxa"/>
            <w:vAlign w:val="bottom"/>
          </w:tcPr>
          <w:p w14:paraId="440C3CAF" w14:textId="7B4FB650" w:rsidR="008309D8" w:rsidRPr="008309D8" w:rsidRDefault="008309D8" w:rsidP="008309D8">
            <w:r w:rsidRPr="008309D8">
              <w:rPr>
                <w:szCs w:val="20"/>
              </w:rPr>
              <w:t>Диспепсия</w:t>
            </w:r>
          </w:p>
        </w:tc>
        <w:tc>
          <w:tcPr>
            <w:tcW w:w="3192" w:type="dxa"/>
            <w:vAlign w:val="bottom"/>
          </w:tcPr>
          <w:p w14:paraId="2480E842" w14:textId="3C1209E2" w:rsidR="008309D8" w:rsidRPr="008309D8" w:rsidRDefault="008309D8" w:rsidP="008309D8">
            <w:r w:rsidRPr="008309D8">
              <w:rPr>
                <w:szCs w:val="20"/>
              </w:rPr>
              <w:t>Чести</w:t>
            </w:r>
          </w:p>
        </w:tc>
      </w:tr>
      <w:tr w:rsidR="008309D8" w14:paraId="72136044" w14:textId="77777777" w:rsidTr="00D75C10">
        <w:tc>
          <w:tcPr>
            <w:tcW w:w="3192" w:type="dxa"/>
            <w:vMerge/>
          </w:tcPr>
          <w:p w14:paraId="3A800833" w14:textId="77777777" w:rsidR="008309D8" w:rsidRPr="008309D8" w:rsidRDefault="008309D8" w:rsidP="008309D8"/>
        </w:tc>
        <w:tc>
          <w:tcPr>
            <w:tcW w:w="3192" w:type="dxa"/>
            <w:vAlign w:val="bottom"/>
          </w:tcPr>
          <w:p w14:paraId="5CC76099" w14:textId="1B11EF75" w:rsidR="008309D8" w:rsidRPr="008309D8" w:rsidRDefault="008309D8" w:rsidP="008309D8">
            <w:r w:rsidRPr="008309D8">
              <w:rPr>
                <w:szCs w:val="20"/>
              </w:rPr>
              <w:t>Коремна болка</w:t>
            </w:r>
          </w:p>
        </w:tc>
        <w:tc>
          <w:tcPr>
            <w:tcW w:w="3192" w:type="dxa"/>
            <w:vAlign w:val="bottom"/>
          </w:tcPr>
          <w:p w14:paraId="67D1AE2A" w14:textId="1A1C1281" w:rsidR="008309D8" w:rsidRPr="008309D8" w:rsidRDefault="008309D8" w:rsidP="008309D8">
            <w:r w:rsidRPr="008309D8">
              <w:rPr>
                <w:szCs w:val="20"/>
              </w:rPr>
              <w:t>Чести</w:t>
            </w:r>
          </w:p>
        </w:tc>
      </w:tr>
      <w:tr w:rsidR="008309D8" w14:paraId="0B0C1355" w14:textId="77777777" w:rsidTr="00D75C10">
        <w:tc>
          <w:tcPr>
            <w:tcW w:w="3192" w:type="dxa"/>
            <w:vMerge/>
          </w:tcPr>
          <w:p w14:paraId="6C60F6D4" w14:textId="77777777" w:rsidR="008309D8" w:rsidRPr="008309D8" w:rsidRDefault="008309D8" w:rsidP="008309D8"/>
        </w:tc>
        <w:tc>
          <w:tcPr>
            <w:tcW w:w="3192" w:type="dxa"/>
            <w:vAlign w:val="bottom"/>
          </w:tcPr>
          <w:p w14:paraId="5EEA1308" w14:textId="41FE9EC7" w:rsidR="008309D8" w:rsidRPr="008309D8" w:rsidRDefault="008309D8" w:rsidP="008309D8">
            <w:r w:rsidRPr="008309D8">
              <w:rPr>
                <w:szCs w:val="20"/>
              </w:rPr>
              <w:t>Запек</w:t>
            </w:r>
          </w:p>
        </w:tc>
        <w:tc>
          <w:tcPr>
            <w:tcW w:w="3192" w:type="dxa"/>
            <w:vAlign w:val="bottom"/>
          </w:tcPr>
          <w:p w14:paraId="54E90906" w14:textId="601E0FCF" w:rsidR="008309D8" w:rsidRPr="008309D8" w:rsidRDefault="008309D8" w:rsidP="008309D8">
            <w:r w:rsidRPr="008309D8">
              <w:rPr>
                <w:szCs w:val="20"/>
              </w:rPr>
              <w:t>Нечести</w:t>
            </w:r>
          </w:p>
        </w:tc>
      </w:tr>
      <w:tr w:rsidR="008309D8" w14:paraId="084A1A43" w14:textId="77777777" w:rsidTr="00D75C10">
        <w:tc>
          <w:tcPr>
            <w:tcW w:w="3192" w:type="dxa"/>
            <w:vMerge/>
          </w:tcPr>
          <w:p w14:paraId="694E69C9" w14:textId="77777777" w:rsidR="008309D8" w:rsidRPr="008309D8" w:rsidRDefault="008309D8" w:rsidP="008309D8"/>
        </w:tc>
        <w:tc>
          <w:tcPr>
            <w:tcW w:w="3192" w:type="dxa"/>
            <w:vAlign w:val="bottom"/>
          </w:tcPr>
          <w:p w14:paraId="003D2FEC" w14:textId="7C515807" w:rsidR="008309D8" w:rsidRPr="008309D8" w:rsidRDefault="008309D8" w:rsidP="008309D8">
            <w:r w:rsidRPr="008309D8">
              <w:rPr>
                <w:szCs w:val="20"/>
              </w:rPr>
              <w:t>Сухота в устата</w:t>
            </w:r>
          </w:p>
        </w:tc>
        <w:tc>
          <w:tcPr>
            <w:tcW w:w="3192" w:type="dxa"/>
            <w:vAlign w:val="bottom"/>
          </w:tcPr>
          <w:p w14:paraId="4664136D" w14:textId="57AB10F5" w:rsidR="008309D8" w:rsidRPr="008309D8" w:rsidRDefault="008309D8" w:rsidP="008309D8">
            <w:r w:rsidRPr="008309D8">
              <w:rPr>
                <w:szCs w:val="20"/>
              </w:rPr>
              <w:t>Редки</w:t>
            </w:r>
          </w:p>
        </w:tc>
      </w:tr>
      <w:tr w:rsidR="008309D8" w14:paraId="051EBEF7" w14:textId="77777777" w:rsidTr="00392975">
        <w:tc>
          <w:tcPr>
            <w:tcW w:w="3192" w:type="dxa"/>
          </w:tcPr>
          <w:p w14:paraId="1DDE4027" w14:textId="58B67021" w:rsidR="008309D8" w:rsidRPr="008309D8" w:rsidRDefault="008309D8" w:rsidP="008309D8">
            <w:r w:rsidRPr="008309D8">
              <w:rPr>
                <w:szCs w:val="20"/>
              </w:rPr>
              <w:t>Хепатобилиарни нарушения</w:t>
            </w:r>
          </w:p>
        </w:tc>
        <w:tc>
          <w:tcPr>
            <w:tcW w:w="3192" w:type="dxa"/>
          </w:tcPr>
          <w:p w14:paraId="724FDA67" w14:textId="69F875C2" w:rsidR="008309D8" w:rsidRPr="008309D8" w:rsidRDefault="008309D8" w:rsidP="008309D8">
            <w:r w:rsidRPr="008309D8">
              <w:rPr>
                <w:szCs w:val="20"/>
              </w:rPr>
              <w:t xml:space="preserve">Увеличени аланин аминотрансфераза </w:t>
            </w:r>
            <w:r w:rsidRPr="008309D8">
              <w:rPr>
                <w:szCs w:val="20"/>
                <w:lang w:val="ru-RU"/>
              </w:rPr>
              <w:t>(</w:t>
            </w:r>
            <w:r w:rsidRPr="008309D8">
              <w:rPr>
                <w:szCs w:val="20"/>
                <w:lang w:val="en-US"/>
              </w:rPr>
              <w:t>ALT</w:t>
            </w:r>
            <w:r w:rsidRPr="008309D8">
              <w:rPr>
                <w:szCs w:val="20"/>
                <w:lang w:val="ru-RU"/>
              </w:rPr>
              <w:t xml:space="preserve">), </w:t>
            </w:r>
            <w:r w:rsidRPr="008309D8">
              <w:rPr>
                <w:szCs w:val="20"/>
              </w:rPr>
              <w:t xml:space="preserve">аспартат аминотрансфераза </w:t>
            </w:r>
            <w:r w:rsidRPr="008309D8">
              <w:rPr>
                <w:szCs w:val="20"/>
                <w:lang w:val="ru-RU"/>
              </w:rPr>
              <w:t>(</w:t>
            </w:r>
            <w:r w:rsidRPr="008309D8">
              <w:rPr>
                <w:szCs w:val="20"/>
                <w:lang w:val="en-US"/>
              </w:rPr>
              <w:t>AST</w:t>
            </w:r>
            <w:r w:rsidRPr="008309D8">
              <w:rPr>
                <w:szCs w:val="20"/>
                <w:lang w:val="ru-RU"/>
              </w:rPr>
              <w:t xml:space="preserve">) </w:t>
            </w:r>
            <w:r w:rsidRPr="008309D8">
              <w:rPr>
                <w:szCs w:val="20"/>
              </w:rPr>
              <w:t xml:space="preserve">и гама- глутамилтрансфераза </w:t>
            </w:r>
            <w:r w:rsidRPr="008309D8">
              <w:rPr>
                <w:szCs w:val="20"/>
                <w:lang w:val="ru-RU"/>
              </w:rPr>
              <w:t>(</w:t>
            </w:r>
            <w:r w:rsidRPr="008309D8">
              <w:rPr>
                <w:szCs w:val="20"/>
                <w:lang w:val="en-US"/>
              </w:rPr>
              <w:t>GGT</w:t>
            </w:r>
            <w:r w:rsidRPr="008309D8">
              <w:rPr>
                <w:szCs w:val="20"/>
                <w:lang w:val="ru-RU"/>
              </w:rPr>
              <w:t>)</w:t>
            </w:r>
          </w:p>
        </w:tc>
        <w:tc>
          <w:tcPr>
            <w:tcW w:w="3192" w:type="dxa"/>
          </w:tcPr>
          <w:p w14:paraId="7C7A9122" w14:textId="7BCA7029" w:rsidR="008309D8" w:rsidRPr="008309D8" w:rsidRDefault="008309D8" w:rsidP="008309D8">
            <w:r w:rsidRPr="008309D8">
              <w:rPr>
                <w:szCs w:val="20"/>
              </w:rPr>
              <w:t>Много редки</w:t>
            </w:r>
          </w:p>
        </w:tc>
      </w:tr>
      <w:tr w:rsidR="008309D8" w14:paraId="34B2015C" w14:textId="77777777" w:rsidTr="00392975">
        <w:tc>
          <w:tcPr>
            <w:tcW w:w="3192" w:type="dxa"/>
          </w:tcPr>
          <w:p w14:paraId="0790B5B8" w14:textId="150D6166" w:rsidR="008309D8" w:rsidRPr="008309D8" w:rsidRDefault="008309D8" w:rsidP="008309D8">
            <w:r w:rsidRPr="008309D8">
              <w:rPr>
                <w:szCs w:val="20"/>
              </w:rPr>
              <w:t>Кожни и подкожни нарушения</w:t>
            </w:r>
          </w:p>
        </w:tc>
        <w:tc>
          <w:tcPr>
            <w:tcW w:w="3192" w:type="dxa"/>
          </w:tcPr>
          <w:p w14:paraId="5597F8DB" w14:textId="3D5E4705" w:rsidR="008309D8" w:rsidRPr="008309D8" w:rsidRDefault="008309D8" w:rsidP="008309D8">
            <w:r w:rsidRPr="008309D8">
              <w:rPr>
                <w:szCs w:val="20"/>
              </w:rPr>
              <w:t>Кожни реакции (напр. алергични екзантема, дерматит, уртикария, сърбеж, псориатични и лихен планус като кожни лезии)</w:t>
            </w:r>
          </w:p>
        </w:tc>
        <w:tc>
          <w:tcPr>
            <w:tcW w:w="3192" w:type="dxa"/>
          </w:tcPr>
          <w:p w14:paraId="4232DF6C" w14:textId="64D750CC" w:rsidR="008309D8" w:rsidRPr="008309D8" w:rsidRDefault="008309D8" w:rsidP="008309D8">
            <w:r w:rsidRPr="008309D8">
              <w:rPr>
                <w:szCs w:val="20"/>
              </w:rPr>
              <w:t>Нечести</w:t>
            </w:r>
          </w:p>
        </w:tc>
      </w:tr>
      <w:tr w:rsidR="008309D8" w14:paraId="68938184" w14:textId="77777777" w:rsidTr="00392975">
        <w:tc>
          <w:tcPr>
            <w:tcW w:w="3192" w:type="dxa"/>
          </w:tcPr>
          <w:p w14:paraId="2BEAF912" w14:textId="334394FA" w:rsidR="008309D8" w:rsidRPr="008309D8" w:rsidRDefault="008309D8" w:rsidP="008309D8">
            <w:r w:rsidRPr="008309D8">
              <w:rPr>
                <w:szCs w:val="20"/>
              </w:rPr>
              <w:t>Нарушения на мускулно- скелетната система и съединителната тъкан</w:t>
            </w:r>
          </w:p>
        </w:tc>
        <w:tc>
          <w:tcPr>
            <w:tcW w:w="3192" w:type="dxa"/>
          </w:tcPr>
          <w:p w14:paraId="7061E86D" w14:textId="42B6FFC1" w:rsidR="008309D8" w:rsidRPr="008309D8" w:rsidRDefault="008309D8" w:rsidP="008309D8">
            <w:r w:rsidRPr="008309D8">
              <w:rPr>
                <w:szCs w:val="20"/>
              </w:rPr>
              <w:t>Болка в крайниците</w:t>
            </w:r>
          </w:p>
        </w:tc>
        <w:tc>
          <w:tcPr>
            <w:tcW w:w="3192" w:type="dxa"/>
          </w:tcPr>
          <w:p w14:paraId="771E82F9" w14:textId="017E6D27" w:rsidR="008309D8" w:rsidRPr="008309D8" w:rsidRDefault="008309D8" w:rsidP="008309D8">
            <w:r w:rsidRPr="008309D8">
              <w:rPr>
                <w:szCs w:val="20"/>
              </w:rPr>
              <w:t>Чести</w:t>
            </w:r>
          </w:p>
        </w:tc>
      </w:tr>
      <w:tr w:rsidR="008309D8" w14:paraId="39D82EDB" w14:textId="77777777" w:rsidTr="008309D8">
        <w:trPr>
          <w:trHeight w:val="125"/>
        </w:trPr>
        <w:tc>
          <w:tcPr>
            <w:tcW w:w="3192" w:type="dxa"/>
            <w:vMerge w:val="restart"/>
          </w:tcPr>
          <w:p w14:paraId="7DDC96EA" w14:textId="6A2E2311" w:rsidR="008309D8" w:rsidRPr="008309D8" w:rsidRDefault="008309D8" w:rsidP="008309D8">
            <w:r w:rsidRPr="008309D8">
              <w:rPr>
                <w:szCs w:val="20"/>
              </w:rPr>
              <w:lastRenderedPageBreak/>
              <w:t>Нарушения на бъбреците и пикочните пътища</w:t>
            </w:r>
          </w:p>
        </w:tc>
        <w:tc>
          <w:tcPr>
            <w:tcW w:w="3192" w:type="dxa"/>
          </w:tcPr>
          <w:p w14:paraId="129699C7" w14:textId="07044256" w:rsidR="008309D8" w:rsidRPr="008309D8" w:rsidRDefault="008309D8" w:rsidP="008309D8">
            <w:r w:rsidRPr="008309D8">
              <w:rPr>
                <w:szCs w:val="20"/>
              </w:rPr>
              <w:t>Бъбречна недостатъчност и аномалии на бъбречната функция при пациенти с дифузно съдово заболяване и/или съпътстваща бъбречна недостатъчност</w:t>
            </w:r>
          </w:p>
        </w:tc>
        <w:tc>
          <w:tcPr>
            <w:tcW w:w="3192" w:type="dxa"/>
          </w:tcPr>
          <w:p w14:paraId="36962A0E" w14:textId="49717F2F" w:rsidR="008309D8" w:rsidRPr="008309D8" w:rsidRDefault="008309D8" w:rsidP="008309D8">
            <w:r w:rsidRPr="008309D8">
              <w:rPr>
                <w:szCs w:val="20"/>
              </w:rPr>
              <w:t>Чести</w:t>
            </w:r>
          </w:p>
        </w:tc>
      </w:tr>
      <w:tr w:rsidR="008309D8" w14:paraId="0A5EBA4D" w14:textId="77777777" w:rsidTr="00392975">
        <w:tc>
          <w:tcPr>
            <w:tcW w:w="3192" w:type="dxa"/>
            <w:vMerge/>
          </w:tcPr>
          <w:p w14:paraId="358A643F" w14:textId="77777777" w:rsidR="008309D8" w:rsidRPr="008309D8" w:rsidRDefault="008309D8" w:rsidP="008309D8"/>
        </w:tc>
        <w:tc>
          <w:tcPr>
            <w:tcW w:w="3192" w:type="dxa"/>
          </w:tcPr>
          <w:p w14:paraId="193492D1" w14:textId="222912C8" w:rsidR="008309D8" w:rsidRPr="008309D8" w:rsidRDefault="008309D8" w:rsidP="008309D8">
            <w:r w:rsidRPr="008309D8">
              <w:t>Нарушения на уринирането</w:t>
            </w:r>
          </w:p>
        </w:tc>
        <w:tc>
          <w:tcPr>
            <w:tcW w:w="3192" w:type="dxa"/>
          </w:tcPr>
          <w:p w14:paraId="10F10BCF" w14:textId="1CC23AEE" w:rsidR="008309D8" w:rsidRPr="008309D8" w:rsidRDefault="008309D8" w:rsidP="008309D8">
            <w:r w:rsidRPr="008309D8">
              <w:t>Редки</w:t>
            </w:r>
          </w:p>
        </w:tc>
      </w:tr>
      <w:tr w:rsidR="008309D8" w14:paraId="1FAC4FDA" w14:textId="77777777" w:rsidTr="00392975">
        <w:tc>
          <w:tcPr>
            <w:tcW w:w="3192" w:type="dxa"/>
          </w:tcPr>
          <w:p w14:paraId="6F1DD4FE" w14:textId="625B7FBF" w:rsidR="008309D8" w:rsidRPr="008309D8" w:rsidRDefault="008309D8" w:rsidP="008309D8">
            <w:r w:rsidRPr="008309D8">
              <w:rPr>
                <w:szCs w:val="20"/>
              </w:rPr>
              <w:t>Нарушения на възпроизводителната система и гърдата</w:t>
            </w:r>
          </w:p>
        </w:tc>
        <w:tc>
          <w:tcPr>
            <w:tcW w:w="3192" w:type="dxa"/>
          </w:tcPr>
          <w:p w14:paraId="6680F6E1" w14:textId="6B40A092" w:rsidR="008309D8" w:rsidRPr="008309D8" w:rsidRDefault="008309D8" w:rsidP="008309D8">
            <w:r w:rsidRPr="008309D8">
              <w:rPr>
                <w:szCs w:val="20"/>
              </w:rPr>
              <w:t>Еректилна дисфункция</w:t>
            </w:r>
          </w:p>
        </w:tc>
        <w:tc>
          <w:tcPr>
            <w:tcW w:w="3192" w:type="dxa"/>
          </w:tcPr>
          <w:p w14:paraId="7C8BF113" w14:textId="295CE73E" w:rsidR="008309D8" w:rsidRPr="008309D8" w:rsidRDefault="008309D8" w:rsidP="008309D8">
            <w:r w:rsidRPr="008309D8">
              <w:rPr>
                <w:szCs w:val="20"/>
              </w:rPr>
              <w:t>Нечести</w:t>
            </w:r>
          </w:p>
        </w:tc>
      </w:tr>
      <w:tr w:rsidR="008309D8" w14:paraId="08074B8F" w14:textId="77777777" w:rsidTr="00392975">
        <w:tc>
          <w:tcPr>
            <w:tcW w:w="3192" w:type="dxa"/>
            <w:vMerge w:val="restart"/>
          </w:tcPr>
          <w:p w14:paraId="3080320B" w14:textId="6C200612" w:rsidR="008309D8" w:rsidRPr="008309D8" w:rsidRDefault="008309D8" w:rsidP="008309D8">
            <w:r w:rsidRPr="008309D8">
              <w:rPr>
                <w:szCs w:val="20"/>
              </w:rPr>
              <w:t>Общи нарушения и състояние на мястото на приложение</w:t>
            </w:r>
          </w:p>
        </w:tc>
        <w:tc>
          <w:tcPr>
            <w:tcW w:w="3192" w:type="dxa"/>
          </w:tcPr>
          <w:p w14:paraId="410C8D4A" w14:textId="2395C47F" w:rsidR="008309D8" w:rsidRPr="008309D8" w:rsidRDefault="008309D8" w:rsidP="008309D8">
            <w:r w:rsidRPr="008309D8">
              <w:rPr>
                <w:szCs w:val="20"/>
              </w:rPr>
              <w:t>Астения (умора)</w:t>
            </w:r>
          </w:p>
        </w:tc>
        <w:tc>
          <w:tcPr>
            <w:tcW w:w="3192" w:type="dxa"/>
          </w:tcPr>
          <w:p w14:paraId="199519B1" w14:textId="439FFB9A" w:rsidR="008309D8" w:rsidRPr="008309D8" w:rsidRDefault="008309D8" w:rsidP="008309D8">
            <w:r w:rsidRPr="008309D8">
              <w:rPr>
                <w:szCs w:val="20"/>
              </w:rPr>
              <w:t>Много чести</w:t>
            </w:r>
          </w:p>
        </w:tc>
      </w:tr>
      <w:tr w:rsidR="008309D8" w14:paraId="6659834B" w14:textId="77777777" w:rsidTr="00392975">
        <w:tc>
          <w:tcPr>
            <w:tcW w:w="3192" w:type="dxa"/>
            <w:vMerge/>
          </w:tcPr>
          <w:p w14:paraId="1AEA5F87" w14:textId="77777777" w:rsidR="008309D8" w:rsidRPr="008309D8" w:rsidRDefault="008309D8" w:rsidP="008309D8"/>
        </w:tc>
        <w:tc>
          <w:tcPr>
            <w:tcW w:w="3192" w:type="dxa"/>
          </w:tcPr>
          <w:p w14:paraId="2C5F88D3" w14:textId="6B841703" w:rsidR="008309D8" w:rsidRPr="008309D8" w:rsidRDefault="008309D8" w:rsidP="008309D8">
            <w:r w:rsidRPr="008309D8">
              <w:rPr>
                <w:szCs w:val="20"/>
              </w:rPr>
              <w:t>Оток</w:t>
            </w:r>
          </w:p>
        </w:tc>
        <w:tc>
          <w:tcPr>
            <w:tcW w:w="3192" w:type="dxa"/>
          </w:tcPr>
          <w:p w14:paraId="6810C4C4" w14:textId="4573C6A6" w:rsidR="008309D8" w:rsidRPr="008309D8" w:rsidRDefault="008309D8" w:rsidP="008309D8">
            <w:r w:rsidRPr="008309D8">
              <w:rPr>
                <w:szCs w:val="20"/>
              </w:rPr>
              <w:t>Чести</w:t>
            </w:r>
          </w:p>
        </w:tc>
      </w:tr>
      <w:tr w:rsidR="008309D8" w14:paraId="09AF9E46" w14:textId="77777777" w:rsidTr="00392975">
        <w:tc>
          <w:tcPr>
            <w:tcW w:w="3192" w:type="dxa"/>
            <w:vMerge/>
          </w:tcPr>
          <w:p w14:paraId="130ECA43" w14:textId="77777777" w:rsidR="008309D8" w:rsidRPr="008309D8" w:rsidRDefault="008309D8" w:rsidP="008309D8"/>
        </w:tc>
        <w:tc>
          <w:tcPr>
            <w:tcW w:w="3192" w:type="dxa"/>
          </w:tcPr>
          <w:p w14:paraId="3972230A" w14:textId="0598B230" w:rsidR="008309D8" w:rsidRPr="008309D8" w:rsidRDefault="008309D8" w:rsidP="008309D8">
            <w:r w:rsidRPr="008309D8">
              <w:rPr>
                <w:szCs w:val="20"/>
              </w:rPr>
              <w:t>Болка</w:t>
            </w:r>
          </w:p>
        </w:tc>
        <w:tc>
          <w:tcPr>
            <w:tcW w:w="3192" w:type="dxa"/>
          </w:tcPr>
          <w:p w14:paraId="6AB70109" w14:textId="4DF893C8" w:rsidR="008309D8" w:rsidRPr="008309D8" w:rsidRDefault="008309D8" w:rsidP="008309D8">
            <w:r w:rsidRPr="008309D8">
              <w:rPr>
                <w:szCs w:val="20"/>
              </w:rPr>
              <w:t>Чести</w:t>
            </w:r>
          </w:p>
        </w:tc>
      </w:tr>
    </w:tbl>
    <w:p w14:paraId="2DAA2296" w14:textId="77777777" w:rsidR="008309D8" w:rsidRDefault="008309D8" w:rsidP="008309D8">
      <w:pPr>
        <w:spacing w:line="240" w:lineRule="auto"/>
        <w:rPr>
          <w:rFonts w:ascii="Times New Roman" w:eastAsia="Times New Roman" w:hAnsi="Times New Roman" w:cs="Times New Roman"/>
          <w:i/>
          <w:iCs/>
          <w:color w:val="000000"/>
          <w:sz w:val="20"/>
          <w:szCs w:val="20"/>
          <w:lang w:eastAsia="bg-BG"/>
        </w:rPr>
      </w:pPr>
    </w:p>
    <w:p w14:paraId="0C1554FB" w14:textId="0392B158" w:rsidR="008309D8" w:rsidRPr="008309D8" w:rsidRDefault="008309D8" w:rsidP="008309D8">
      <w:pPr>
        <w:spacing w:line="240" w:lineRule="auto"/>
        <w:rPr>
          <w:rFonts w:eastAsia="Times New Roman" w:cs="Arial"/>
          <w:szCs w:val="20"/>
        </w:rPr>
      </w:pPr>
      <w:r w:rsidRPr="008309D8">
        <w:rPr>
          <w:rFonts w:eastAsia="Times New Roman" w:cs="Arial"/>
          <w:i/>
          <w:iCs/>
          <w:color w:val="000000"/>
          <w:szCs w:val="20"/>
          <w:lang w:eastAsia="bg-BG"/>
        </w:rPr>
        <w:t>Описание на избрани нежелани реакции</w:t>
      </w:r>
    </w:p>
    <w:p w14:paraId="2969CAB2" w14:textId="77777777"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Честотата на нежеланите реакции не зависи от дозата, с изключение на световъртежа, нарушеното зрение и брадикардията. Замайване, синкоп, главоболие и астения обикновено са слабо изразени и е по-вероятно да възникнат в началото на лечението.</w:t>
      </w:r>
    </w:p>
    <w:p w14:paraId="04643A9D" w14:textId="77777777" w:rsidR="008309D8" w:rsidRPr="008309D8" w:rsidRDefault="008309D8" w:rsidP="008309D8">
      <w:pPr>
        <w:spacing w:line="240" w:lineRule="auto"/>
        <w:rPr>
          <w:rFonts w:eastAsia="Times New Roman" w:cs="Arial"/>
          <w:color w:val="000000"/>
          <w:szCs w:val="20"/>
          <w:lang w:eastAsia="bg-BG"/>
        </w:rPr>
      </w:pPr>
    </w:p>
    <w:p w14:paraId="5A91DA44" w14:textId="72FD8F02"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При пациенти със застойна сърдечна недостатъчност по време на повишаване на дозата на карведилол може да възникне влошаване на сърдечната недостатъчност и задръжка на течност (вж. т. 4.4).</w:t>
      </w:r>
    </w:p>
    <w:p w14:paraId="286F471C" w14:textId="77777777"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Сърдечна недостатъчност е много често съобщавано нежелано събитие както при пациентите, лекувани с плацебо, така и при тези лекувани с карведилол (съответно 14.5% и 25.4%), при пациенти с левокамерна дисфункция след остър миокарден инфаркт).</w:t>
      </w:r>
    </w:p>
    <w:p w14:paraId="0EC81682" w14:textId="77777777" w:rsidR="008309D8" w:rsidRPr="008309D8" w:rsidRDefault="008309D8" w:rsidP="008309D8">
      <w:pPr>
        <w:spacing w:line="240" w:lineRule="auto"/>
        <w:rPr>
          <w:rFonts w:eastAsia="Times New Roman" w:cs="Arial"/>
          <w:color w:val="000000"/>
          <w:szCs w:val="20"/>
          <w:lang w:eastAsia="bg-BG"/>
        </w:rPr>
      </w:pPr>
    </w:p>
    <w:p w14:paraId="5007BFEF" w14:textId="14294851"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Наблюдавано е обратимо влошаване на бъбречната функция при лечение с карведилол при пациенти с хронична сърдечна недостатъчност с ниско артериално налягане, исхемична болест на сърцето и дифузно съдово залболяване и/или съпътстваща бъбречна недостатъчност (вж. т. 4.4).</w:t>
      </w:r>
    </w:p>
    <w:p w14:paraId="7A0986CD" w14:textId="77777777" w:rsidR="008309D8" w:rsidRPr="008309D8" w:rsidRDefault="008309D8" w:rsidP="008309D8">
      <w:pPr>
        <w:spacing w:line="240" w:lineRule="auto"/>
        <w:rPr>
          <w:rFonts w:eastAsia="Times New Roman" w:cs="Arial"/>
          <w:b/>
          <w:bCs/>
          <w:color w:val="000000"/>
          <w:szCs w:val="20"/>
          <w:lang w:eastAsia="bg-BG"/>
        </w:rPr>
      </w:pPr>
    </w:p>
    <w:p w14:paraId="545B0798" w14:textId="2D142CDB" w:rsidR="008309D8" w:rsidRPr="008309D8" w:rsidRDefault="008309D8" w:rsidP="008309D8">
      <w:pPr>
        <w:spacing w:line="240" w:lineRule="auto"/>
        <w:rPr>
          <w:rFonts w:eastAsia="Times New Roman" w:cs="Arial"/>
          <w:szCs w:val="20"/>
        </w:rPr>
      </w:pPr>
      <w:r w:rsidRPr="008309D8">
        <w:rPr>
          <w:rFonts w:eastAsia="Times New Roman" w:cs="Arial"/>
          <w:b/>
          <w:bCs/>
          <w:color w:val="000000"/>
          <w:szCs w:val="20"/>
          <w:lang w:eastAsia="bg-BG"/>
        </w:rPr>
        <w:t>Постмаркетиигови нежелани лекарствени реакции</w:t>
      </w:r>
    </w:p>
    <w:p w14:paraId="49735B99" w14:textId="77777777" w:rsidR="008309D8" w:rsidRPr="008309D8" w:rsidRDefault="008309D8" w:rsidP="008309D8">
      <w:pPr>
        <w:spacing w:line="240" w:lineRule="auto"/>
        <w:rPr>
          <w:rFonts w:eastAsia="Times New Roman" w:cs="Arial"/>
          <w:color w:val="000000"/>
          <w:szCs w:val="20"/>
          <w:lang w:eastAsia="bg-BG"/>
        </w:rPr>
      </w:pPr>
    </w:p>
    <w:p w14:paraId="433F2EE8" w14:textId="5A855DFB"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Следните нежелани реакции са установени през периода след разрешаване употребата на карведилол. Тъй като тези събития са докладвани при популация с неопределен размер, не винаги е възможно да се направи надеждна оценка на тяхната честота и/или да се установи причинно-следствена връзка с действието на лекарствения продукт.</w:t>
      </w:r>
    </w:p>
    <w:p w14:paraId="7F487758" w14:textId="77777777" w:rsidR="008309D8" w:rsidRPr="008309D8" w:rsidRDefault="008309D8" w:rsidP="008309D8">
      <w:pPr>
        <w:spacing w:line="240" w:lineRule="auto"/>
        <w:rPr>
          <w:rFonts w:eastAsia="Times New Roman" w:cs="Arial"/>
          <w:i/>
          <w:iCs/>
          <w:color w:val="000000"/>
          <w:szCs w:val="20"/>
          <w:lang w:eastAsia="bg-BG"/>
        </w:rPr>
      </w:pPr>
    </w:p>
    <w:p w14:paraId="69F74834" w14:textId="698DC842" w:rsidR="008309D8" w:rsidRPr="008309D8" w:rsidRDefault="008309D8" w:rsidP="008309D8">
      <w:pPr>
        <w:spacing w:line="240" w:lineRule="auto"/>
        <w:rPr>
          <w:rFonts w:eastAsia="Times New Roman" w:cs="Arial"/>
          <w:szCs w:val="20"/>
        </w:rPr>
      </w:pPr>
      <w:r w:rsidRPr="008309D8">
        <w:rPr>
          <w:rFonts w:eastAsia="Times New Roman" w:cs="Arial"/>
          <w:i/>
          <w:iCs/>
          <w:color w:val="000000"/>
          <w:szCs w:val="20"/>
          <w:lang w:eastAsia="bg-BG"/>
        </w:rPr>
        <w:t>Нарушения на метаболизма и храненето</w:t>
      </w:r>
    </w:p>
    <w:p w14:paraId="4E99EF7F" w14:textId="77777777"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Като клас бета-адретнергичните блокери може да предизвикат манифестиране на латентния диабет, влошаване на манифестния диабет и инхибиранс на контрарсгулацията на кръвната захар.</w:t>
      </w:r>
    </w:p>
    <w:p w14:paraId="11239564" w14:textId="77777777" w:rsidR="008309D8" w:rsidRPr="008309D8" w:rsidRDefault="008309D8" w:rsidP="008309D8">
      <w:pPr>
        <w:spacing w:line="240" w:lineRule="auto"/>
        <w:rPr>
          <w:rFonts w:eastAsia="Times New Roman" w:cs="Arial"/>
          <w:i/>
          <w:iCs/>
          <w:color w:val="000000"/>
          <w:szCs w:val="20"/>
          <w:lang w:eastAsia="bg-BG"/>
        </w:rPr>
      </w:pPr>
    </w:p>
    <w:p w14:paraId="750B61AB" w14:textId="77777777" w:rsidR="008309D8" w:rsidRPr="008309D8" w:rsidRDefault="008309D8" w:rsidP="008309D8">
      <w:pPr>
        <w:spacing w:line="240" w:lineRule="auto"/>
        <w:rPr>
          <w:rFonts w:eastAsia="Times New Roman" w:cs="Arial"/>
          <w:i/>
          <w:iCs/>
          <w:color w:val="000000"/>
          <w:szCs w:val="20"/>
          <w:lang w:eastAsia="bg-BG"/>
        </w:rPr>
      </w:pPr>
      <w:r w:rsidRPr="008309D8">
        <w:rPr>
          <w:rFonts w:eastAsia="Times New Roman" w:cs="Arial"/>
          <w:i/>
          <w:iCs/>
          <w:color w:val="000000"/>
          <w:szCs w:val="20"/>
          <w:lang w:eastAsia="bg-BG"/>
        </w:rPr>
        <w:t xml:space="preserve">Нарушения на кожата и подкожната тъкан </w:t>
      </w:r>
    </w:p>
    <w:p w14:paraId="0688230E" w14:textId="606869C9" w:rsidR="008309D8" w:rsidRPr="008309D8" w:rsidRDefault="008309D8" w:rsidP="008309D8">
      <w:pPr>
        <w:pStyle w:val="ListParagraph"/>
        <w:numPr>
          <w:ilvl w:val="0"/>
          <w:numId w:val="37"/>
        </w:numPr>
        <w:spacing w:line="240" w:lineRule="auto"/>
        <w:rPr>
          <w:rFonts w:eastAsia="Times New Roman" w:cs="Arial"/>
          <w:szCs w:val="20"/>
        </w:rPr>
      </w:pPr>
      <w:r w:rsidRPr="008309D8">
        <w:rPr>
          <w:rFonts w:eastAsia="Times New Roman" w:cs="Arial"/>
          <w:color w:val="000000"/>
          <w:szCs w:val="20"/>
          <w:lang w:eastAsia="bg-BG"/>
        </w:rPr>
        <w:t>Алопеция</w:t>
      </w:r>
    </w:p>
    <w:p w14:paraId="0285B79A" w14:textId="7CAE4956" w:rsidR="008309D8" w:rsidRPr="008309D8" w:rsidRDefault="008309D8" w:rsidP="008309D8">
      <w:pPr>
        <w:pStyle w:val="ListParagraph"/>
        <w:numPr>
          <w:ilvl w:val="0"/>
          <w:numId w:val="37"/>
        </w:numPr>
        <w:spacing w:line="240" w:lineRule="auto"/>
        <w:rPr>
          <w:rFonts w:eastAsia="Times New Roman" w:cs="Arial"/>
          <w:szCs w:val="20"/>
        </w:rPr>
      </w:pPr>
      <w:r w:rsidRPr="008309D8">
        <w:rPr>
          <w:rFonts w:eastAsia="Times New Roman" w:cs="Arial"/>
          <w:color w:val="000000"/>
          <w:szCs w:val="20"/>
          <w:lang w:eastAsia="bg-BG"/>
        </w:rPr>
        <w:t>много рядко са съобщавани тежки кожни нежелани реакции (токсична епидермална некролиза, синдром на Стивънс-Джонсън, еритема мултиформе) (вж.т 4.4).</w:t>
      </w:r>
    </w:p>
    <w:p w14:paraId="5158A194" w14:textId="77777777" w:rsidR="008309D8" w:rsidRPr="008309D8" w:rsidRDefault="008309D8" w:rsidP="008309D8">
      <w:pPr>
        <w:spacing w:line="240" w:lineRule="auto"/>
        <w:rPr>
          <w:rFonts w:eastAsia="Times New Roman" w:cs="Arial"/>
          <w:i/>
          <w:iCs/>
          <w:color w:val="000000"/>
          <w:szCs w:val="20"/>
          <w:lang w:eastAsia="bg-BG"/>
        </w:rPr>
      </w:pPr>
    </w:p>
    <w:p w14:paraId="5EE147F7" w14:textId="45405DBB" w:rsidR="008309D8" w:rsidRPr="008309D8" w:rsidRDefault="008309D8" w:rsidP="008309D8">
      <w:pPr>
        <w:spacing w:line="240" w:lineRule="auto"/>
        <w:rPr>
          <w:rFonts w:eastAsia="Times New Roman" w:cs="Arial"/>
          <w:szCs w:val="20"/>
        </w:rPr>
      </w:pPr>
      <w:r w:rsidRPr="008309D8">
        <w:rPr>
          <w:rFonts w:eastAsia="Times New Roman" w:cs="Arial"/>
          <w:i/>
          <w:iCs/>
          <w:color w:val="000000"/>
          <w:szCs w:val="20"/>
          <w:lang w:eastAsia="bg-BG"/>
        </w:rPr>
        <w:lastRenderedPageBreak/>
        <w:t>Нарушения на бъбреците и пикочните пътища</w:t>
      </w:r>
    </w:p>
    <w:p w14:paraId="50592AF6" w14:textId="77777777" w:rsidR="008309D8" w:rsidRPr="008309D8" w:rsidRDefault="008309D8" w:rsidP="008309D8">
      <w:pPr>
        <w:spacing w:line="240" w:lineRule="auto"/>
        <w:rPr>
          <w:rFonts w:eastAsia="Times New Roman" w:cs="Arial"/>
          <w:szCs w:val="20"/>
        </w:rPr>
      </w:pPr>
      <w:r w:rsidRPr="008309D8">
        <w:rPr>
          <w:rFonts w:eastAsia="Times New Roman" w:cs="Arial"/>
          <w:color w:val="000000"/>
          <w:szCs w:val="20"/>
          <w:lang w:eastAsia="bg-BG"/>
        </w:rPr>
        <w:t>Докладвани са изолирани случаи на инконтиненция на урина при жени, която отзвучава при спиране на лечението.</w:t>
      </w:r>
    </w:p>
    <w:p w14:paraId="1CC670EB" w14:textId="77777777" w:rsidR="008309D8" w:rsidRPr="008309D8" w:rsidRDefault="008309D8" w:rsidP="008309D8">
      <w:pPr>
        <w:spacing w:line="240" w:lineRule="auto"/>
        <w:rPr>
          <w:rFonts w:eastAsia="Times New Roman" w:cs="Arial"/>
          <w:color w:val="000000"/>
          <w:szCs w:val="20"/>
          <w:u w:val="single"/>
          <w:lang w:eastAsia="bg-BG"/>
        </w:rPr>
      </w:pPr>
    </w:p>
    <w:p w14:paraId="07D1F9BB" w14:textId="718880E9" w:rsidR="008309D8" w:rsidRPr="008309D8" w:rsidRDefault="008309D8" w:rsidP="008309D8">
      <w:pPr>
        <w:spacing w:line="240" w:lineRule="auto"/>
        <w:rPr>
          <w:rFonts w:eastAsia="Times New Roman" w:cs="Arial"/>
          <w:szCs w:val="20"/>
        </w:rPr>
      </w:pPr>
      <w:r w:rsidRPr="008309D8">
        <w:rPr>
          <w:rFonts w:eastAsia="Times New Roman" w:cs="Arial"/>
          <w:color w:val="000000"/>
          <w:szCs w:val="20"/>
          <w:u w:val="single"/>
          <w:lang w:eastAsia="bg-BG"/>
        </w:rPr>
        <w:t>Съобщаване на подозирани нежелани реакции</w:t>
      </w:r>
    </w:p>
    <w:p w14:paraId="52CBA8DA" w14:textId="5EA59EFA" w:rsidR="00392975" w:rsidRDefault="008309D8" w:rsidP="008309D8">
      <w:pPr>
        <w:rPr>
          <w:rFonts w:eastAsia="Times New Roman" w:cs="Arial"/>
          <w:szCs w:val="20"/>
        </w:rPr>
      </w:pPr>
      <w:r w:rsidRPr="008309D8">
        <w:rPr>
          <w:rFonts w:eastAsia="Times New Roman" w:cs="Arial"/>
          <w:color w:val="000000"/>
          <w:szCs w:val="2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 в Изпълнителна агенция по лекарствата ул.,Дамян Груев“ № 8, 1303 София, Тел.: +35 928903417, уебсайт: </w:t>
      </w:r>
      <w:r w:rsidRPr="008309D8">
        <w:rPr>
          <w:rFonts w:eastAsia="Times New Roman" w:cs="Arial"/>
          <w:szCs w:val="20"/>
        </w:rPr>
        <w:fldChar w:fldCharType="begin"/>
      </w:r>
      <w:r w:rsidRPr="008309D8">
        <w:rPr>
          <w:rFonts w:eastAsia="Times New Roman" w:cs="Arial"/>
          <w:szCs w:val="20"/>
        </w:rPr>
        <w:instrText xml:space="preserve"> HYPERLINK "http://www.bda.bg" </w:instrText>
      </w:r>
      <w:r w:rsidRPr="008309D8">
        <w:rPr>
          <w:rFonts w:eastAsia="Times New Roman" w:cs="Arial"/>
          <w:szCs w:val="20"/>
        </w:rPr>
      </w:r>
      <w:r w:rsidRPr="008309D8">
        <w:rPr>
          <w:rFonts w:eastAsia="Times New Roman" w:cs="Arial"/>
          <w:szCs w:val="20"/>
        </w:rPr>
        <w:fldChar w:fldCharType="separate"/>
      </w:r>
      <w:r w:rsidRPr="008309D8">
        <w:rPr>
          <w:rFonts w:eastAsia="Times New Roman" w:cs="Arial"/>
          <w:color w:val="000000"/>
          <w:szCs w:val="20"/>
          <w:u w:val="single"/>
          <w:lang w:val="en-US"/>
        </w:rPr>
        <w:t>www</w:t>
      </w:r>
      <w:r w:rsidRPr="008309D8">
        <w:rPr>
          <w:rFonts w:eastAsia="Times New Roman" w:cs="Arial"/>
          <w:color w:val="000000"/>
          <w:szCs w:val="20"/>
          <w:u w:val="single"/>
          <w:lang w:val="ru-RU"/>
        </w:rPr>
        <w:t>.</w:t>
      </w:r>
      <w:proofErr w:type="spellStart"/>
      <w:r w:rsidRPr="008309D8">
        <w:rPr>
          <w:rFonts w:eastAsia="Times New Roman" w:cs="Arial"/>
          <w:color w:val="000000"/>
          <w:szCs w:val="20"/>
          <w:u w:val="single"/>
          <w:lang w:val="en-US"/>
        </w:rPr>
        <w:t>bda</w:t>
      </w:r>
      <w:proofErr w:type="spellEnd"/>
      <w:r w:rsidRPr="008309D8">
        <w:rPr>
          <w:rFonts w:eastAsia="Times New Roman" w:cs="Arial"/>
          <w:color w:val="000000"/>
          <w:szCs w:val="20"/>
          <w:u w:val="single"/>
          <w:lang w:val="ru-RU"/>
        </w:rPr>
        <w:t>.</w:t>
      </w:r>
      <w:proofErr w:type="spellStart"/>
      <w:r w:rsidRPr="008309D8">
        <w:rPr>
          <w:rFonts w:eastAsia="Times New Roman" w:cs="Arial"/>
          <w:color w:val="000000"/>
          <w:szCs w:val="20"/>
          <w:u w:val="single"/>
          <w:lang w:val="en-US"/>
        </w:rPr>
        <w:t>bg</w:t>
      </w:r>
      <w:proofErr w:type="spellEnd"/>
      <w:r w:rsidRPr="008309D8">
        <w:rPr>
          <w:rFonts w:eastAsia="Times New Roman" w:cs="Arial"/>
          <w:szCs w:val="20"/>
        </w:rPr>
        <w:fldChar w:fldCharType="end"/>
      </w:r>
    </w:p>
    <w:p w14:paraId="12D0C486" w14:textId="77777777" w:rsidR="008309D8" w:rsidRPr="008309D8" w:rsidRDefault="008309D8" w:rsidP="008309D8">
      <w:pPr>
        <w:rPr>
          <w:rFonts w:cs="Arial"/>
          <w:szCs w:val="20"/>
        </w:rPr>
      </w:pPr>
    </w:p>
    <w:p w14:paraId="5A87DBA3" w14:textId="6E100B23" w:rsidR="007122AD" w:rsidRDefault="002C50EE" w:rsidP="00936AD0">
      <w:pPr>
        <w:pStyle w:val="Heading2"/>
      </w:pPr>
      <w:r>
        <w:t>4.9. Предозиране</w:t>
      </w:r>
    </w:p>
    <w:p w14:paraId="78884256" w14:textId="1E65CA91" w:rsidR="008309D8" w:rsidRDefault="008309D8" w:rsidP="008309D8"/>
    <w:p w14:paraId="696FBEC2" w14:textId="77777777"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Симптоми и признаци</w:t>
      </w:r>
    </w:p>
    <w:p w14:paraId="7EF5FA08"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В случай на предозиране може да се очаква тежка хипотония, брадикардия, сърдечна недостатъчност, кардиогенен шок, асистолия. Също така, могат да се появят диспнея, бронхоспазъм, повръщане, загуба на съзнание и генерализирани гърчове.</w:t>
      </w:r>
    </w:p>
    <w:p w14:paraId="20CD9692" w14:textId="77777777" w:rsidR="008309D8" w:rsidRPr="008309D8" w:rsidRDefault="008309D8" w:rsidP="008309D8">
      <w:pPr>
        <w:spacing w:line="240" w:lineRule="auto"/>
        <w:rPr>
          <w:rFonts w:eastAsia="Times New Roman" w:cs="Arial"/>
          <w:i/>
          <w:iCs/>
          <w:color w:val="000000"/>
          <w:szCs w:val="20"/>
          <w:lang w:eastAsia="bg-BG"/>
        </w:rPr>
      </w:pPr>
    </w:p>
    <w:p w14:paraId="3D85F1C7" w14:textId="4718E31C"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Лечение на предозирането:</w:t>
      </w:r>
    </w:p>
    <w:p w14:paraId="5699364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Необходимо е наблюдение за наличие на горепосочените признаци и симптоми и лечение според преценката на лекуващия лекар и в съответствие със стандартната практика при пациенти с анамнеза за предозиране с бета-блокер (напр. атропин, трансвенозно стимулиране, глюкагон, фосфодиестеразен инхибитор, като амринон или милринон, бета- симпатикомиметици).</w:t>
      </w:r>
    </w:p>
    <w:p w14:paraId="62C8A96F" w14:textId="77777777" w:rsidR="008309D8" w:rsidRPr="008309D8" w:rsidRDefault="008309D8" w:rsidP="008309D8">
      <w:pPr>
        <w:spacing w:line="240" w:lineRule="auto"/>
        <w:rPr>
          <w:rFonts w:eastAsia="Times New Roman" w:cs="Arial"/>
          <w:i/>
          <w:iCs/>
          <w:color w:val="000000"/>
          <w:szCs w:val="20"/>
          <w:lang w:eastAsia="bg-BG"/>
        </w:rPr>
      </w:pPr>
    </w:p>
    <w:p w14:paraId="4EC463F0" w14:textId="6D80018E"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Важна забележка</w:t>
      </w:r>
    </w:p>
    <w:p w14:paraId="5F3ACAB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В случай на тежко предозиране със симптоми на шок, поддържащото лечение трябва да продължи дълго време, докато се стабилизира състоянието на пациента, тъй като може да се очаква удължаване на елиминационния полуживот и преразпределение на карведилол от по- дълбоките компартаменти.</w:t>
      </w:r>
    </w:p>
    <w:p w14:paraId="4218D0C0" w14:textId="77777777" w:rsidR="008309D8" w:rsidRPr="008309D8" w:rsidRDefault="008309D8" w:rsidP="008309D8"/>
    <w:p w14:paraId="02081B24" w14:textId="36FE76F4" w:rsidR="00395555" w:rsidRPr="00395555" w:rsidRDefault="002C50EE" w:rsidP="008A6AF2">
      <w:pPr>
        <w:pStyle w:val="Heading1"/>
      </w:pPr>
      <w:r>
        <w:t>5. ФАРМАКОЛОГИЧНИ СВОЙСТВА</w:t>
      </w:r>
    </w:p>
    <w:p w14:paraId="6339E404" w14:textId="04D1E796" w:rsidR="00875EEC" w:rsidRDefault="002C50EE" w:rsidP="005726E3">
      <w:pPr>
        <w:pStyle w:val="Heading2"/>
      </w:pPr>
      <w:r>
        <w:t>5.1. Фармакодинамични свойства</w:t>
      </w:r>
    </w:p>
    <w:p w14:paraId="03AE0C75" w14:textId="4720A95D" w:rsidR="008309D8" w:rsidRDefault="008309D8" w:rsidP="008309D8"/>
    <w:p w14:paraId="7FD06377"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Фармакотерапевтична група: Бета-блокери, </w:t>
      </w:r>
      <w:r w:rsidRPr="008309D8">
        <w:rPr>
          <w:rFonts w:eastAsia="Times New Roman" w:cs="Arial"/>
          <w:i/>
          <w:iCs/>
          <w:color w:val="000000"/>
          <w:szCs w:val="20"/>
          <w:lang w:eastAsia="bg-BG"/>
        </w:rPr>
        <w:t>алфа</w:t>
      </w:r>
      <w:r w:rsidRPr="008309D8">
        <w:rPr>
          <w:rFonts w:eastAsia="Times New Roman" w:cs="Arial"/>
          <w:color w:val="000000"/>
          <w:szCs w:val="20"/>
          <w:lang w:eastAsia="bg-BG"/>
        </w:rPr>
        <w:t xml:space="preserve"> и бета-блокери, АТС код: С07А </w:t>
      </w:r>
      <w:r w:rsidRPr="008309D8">
        <w:rPr>
          <w:rFonts w:eastAsia="Times New Roman" w:cs="Arial"/>
          <w:color w:val="000000"/>
          <w:szCs w:val="20"/>
          <w:lang w:val="en-US"/>
        </w:rPr>
        <w:t>G</w:t>
      </w:r>
      <w:r w:rsidRPr="008309D8">
        <w:rPr>
          <w:rFonts w:eastAsia="Times New Roman" w:cs="Arial"/>
          <w:color w:val="000000"/>
          <w:szCs w:val="20"/>
          <w:lang w:val="ru-RU"/>
        </w:rPr>
        <w:t>02</w:t>
      </w:r>
    </w:p>
    <w:p w14:paraId="0C856F8D" w14:textId="77777777" w:rsidR="008309D8" w:rsidRPr="008309D8" w:rsidRDefault="008309D8" w:rsidP="008309D8">
      <w:pPr>
        <w:spacing w:line="240" w:lineRule="auto"/>
        <w:rPr>
          <w:rFonts w:eastAsia="Times New Roman" w:cs="Arial"/>
          <w:color w:val="000000"/>
          <w:szCs w:val="20"/>
          <w:u w:val="single"/>
          <w:lang w:eastAsia="bg-BG"/>
        </w:rPr>
      </w:pPr>
    </w:p>
    <w:p w14:paraId="7884BC3F" w14:textId="7A3CE0B5"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Механизъм на действие</w:t>
      </w:r>
    </w:p>
    <w:p w14:paraId="1736AC02"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Карведилол е мултипотентен, блокер на адрено-рецепторите, от трето поколение, който антагонизира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 бета</w:t>
      </w:r>
      <w:r w:rsidRPr="008309D8">
        <w:rPr>
          <w:rFonts w:eastAsia="Times New Roman" w:cs="Arial"/>
          <w:color w:val="000000"/>
          <w:szCs w:val="20"/>
          <w:vertAlign w:val="subscript"/>
          <w:lang w:eastAsia="bg-BG"/>
        </w:rPr>
        <w:t>1</w:t>
      </w:r>
      <w:r w:rsidRPr="008309D8">
        <w:rPr>
          <w:rFonts w:eastAsia="Times New Roman" w:cs="Arial"/>
          <w:color w:val="000000"/>
          <w:szCs w:val="20"/>
          <w:lang w:val="ru-RU"/>
        </w:rPr>
        <w:t xml:space="preserve"> </w:t>
      </w:r>
      <w:r w:rsidRPr="008309D8">
        <w:rPr>
          <w:rFonts w:eastAsia="Times New Roman" w:cs="Arial"/>
          <w:color w:val="000000"/>
          <w:szCs w:val="20"/>
          <w:lang w:eastAsia="bg-BG"/>
        </w:rPr>
        <w:t>и бета</w:t>
      </w:r>
      <w:r w:rsidRPr="008309D8">
        <w:rPr>
          <w:rFonts w:eastAsia="Times New Roman" w:cs="Arial"/>
          <w:color w:val="000000"/>
          <w:szCs w:val="20"/>
          <w:vertAlign w:val="subscript"/>
          <w:lang w:eastAsia="bg-BG"/>
        </w:rPr>
        <w:t>2</w:t>
      </w:r>
      <w:r w:rsidRPr="008309D8">
        <w:rPr>
          <w:rFonts w:eastAsia="Times New Roman" w:cs="Arial"/>
          <w:color w:val="000000"/>
          <w:szCs w:val="20"/>
          <w:lang w:eastAsia="bg-BG"/>
        </w:rPr>
        <w:t xml:space="preserve"> рецепторите също. Карведилол притежава органопротективен ефект, в добавка към неговия силен антоксидантен и очистващ свободните радикали ефект. Той презставлява рацемична смес от два стереоизомера. Неговите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val="ru-RU"/>
        </w:rPr>
        <w:t xml:space="preserve">(-) </w:t>
      </w:r>
      <w:r w:rsidRPr="008309D8">
        <w:rPr>
          <w:rFonts w:eastAsia="Times New Roman" w:cs="Arial"/>
          <w:color w:val="000000"/>
          <w:szCs w:val="20"/>
          <w:lang w:eastAsia="bg-BG"/>
        </w:rPr>
        <w:t>енантиомери притежават същата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-блокираща и антиоксидантна активност. Карведилол неселективно потиска бета</w:t>
      </w:r>
      <w:r w:rsidRPr="008309D8">
        <w:rPr>
          <w:rFonts w:eastAsia="Times New Roman" w:cs="Arial"/>
          <w:color w:val="000000"/>
          <w:szCs w:val="20"/>
          <w:vertAlign w:val="subscript"/>
          <w:lang w:eastAsia="bg-BG"/>
        </w:rPr>
        <w:t>1</w:t>
      </w:r>
      <w:r w:rsidRPr="008309D8">
        <w:rPr>
          <w:rFonts w:eastAsia="Times New Roman" w:cs="Arial"/>
          <w:color w:val="000000"/>
          <w:szCs w:val="20"/>
          <w:lang w:val="ru-RU"/>
        </w:rPr>
        <w:t xml:space="preserve"> </w:t>
      </w:r>
      <w:r w:rsidRPr="008309D8">
        <w:rPr>
          <w:rFonts w:eastAsia="Times New Roman" w:cs="Arial"/>
          <w:color w:val="000000"/>
          <w:szCs w:val="20"/>
          <w:lang w:eastAsia="bg-BG"/>
        </w:rPr>
        <w:t>и бета</w:t>
      </w:r>
      <w:r w:rsidRPr="008309D8">
        <w:rPr>
          <w:rFonts w:eastAsia="Times New Roman" w:cs="Arial"/>
          <w:color w:val="000000"/>
          <w:szCs w:val="20"/>
          <w:vertAlign w:val="subscript"/>
          <w:lang w:eastAsia="bg-BG"/>
        </w:rPr>
        <w:t>2</w:t>
      </w:r>
      <w:r w:rsidRPr="008309D8">
        <w:rPr>
          <w:rFonts w:eastAsia="Times New Roman" w:cs="Arial"/>
          <w:color w:val="000000"/>
          <w:szCs w:val="20"/>
          <w:lang w:eastAsia="bg-BG"/>
        </w:rPr>
        <w:t xml:space="preserve"> рецепторите, който му ефект се дължи на </w:t>
      </w:r>
      <w:r w:rsidRPr="008309D8">
        <w:rPr>
          <w:rFonts w:eastAsia="Times New Roman" w:cs="Arial"/>
          <w:color w:val="000000"/>
          <w:szCs w:val="20"/>
          <w:lang w:val="en-US"/>
        </w:rPr>
        <w:t>S</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енантиомера. Карведилол не притежава вътрешна симпатикомиметична активност и подобно на пропранолол има мембрано- стабилизиращи свойства. Поради бета-блокиращата си активност лекарството потиска ренин- ангиотензин-алдостероновата система, при което намалява секрецията на ренин, така че задръжка на </w:t>
      </w:r>
      <w:r w:rsidRPr="008309D8">
        <w:rPr>
          <w:rFonts w:eastAsia="Times New Roman" w:cs="Arial"/>
          <w:color w:val="000000"/>
          <w:szCs w:val="20"/>
          <w:lang w:eastAsia="bg-BG"/>
        </w:rPr>
        <w:lastRenderedPageBreak/>
        <w:t>течности рядко се проявява при приложението му. Карведилол потиска пролиферацията на гладко-мускулните клетки в съдовата стена.</w:t>
      </w:r>
    </w:p>
    <w:p w14:paraId="27718A97"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В клинични проучвания с измервания на различни маркери е доказано, че оксидативният стрес намалява при пациенти, лекувани с карведилол.</w:t>
      </w:r>
    </w:p>
    <w:p w14:paraId="24AC4F2F" w14:textId="77777777" w:rsidR="008309D8" w:rsidRPr="008309D8" w:rsidRDefault="008309D8" w:rsidP="008309D8">
      <w:pPr>
        <w:spacing w:line="240" w:lineRule="auto"/>
        <w:rPr>
          <w:rFonts w:eastAsia="Times New Roman" w:cs="Arial"/>
          <w:color w:val="000000"/>
          <w:szCs w:val="20"/>
          <w:lang w:eastAsia="bg-BG"/>
        </w:rPr>
      </w:pPr>
    </w:p>
    <w:p w14:paraId="49DE8FBB" w14:textId="38B84C31" w:rsidR="008309D8" w:rsidRPr="008309D8" w:rsidRDefault="008309D8" w:rsidP="008309D8">
      <w:pPr>
        <w:spacing w:line="240" w:lineRule="auto"/>
        <w:rPr>
          <w:rFonts w:eastAsia="Times New Roman" w:cs="Arial"/>
          <w:sz w:val="28"/>
          <w:szCs w:val="24"/>
          <w:lang w:val="ru-RU"/>
        </w:rPr>
      </w:pPr>
      <w:r w:rsidRPr="008309D8">
        <w:rPr>
          <w:rFonts w:eastAsia="Times New Roman" w:cs="Arial"/>
          <w:color w:val="000000"/>
          <w:szCs w:val="20"/>
          <w:lang w:eastAsia="bg-BG"/>
        </w:rPr>
        <w:t>Чрез селективна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-рецепторна блокада карведилол намалява периферното съдово съпротивление. Той атенюира повишението на кръвното налягане, предизвикано с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 xml:space="preserve">- рецепторния агонист фенилефрин, но не повлиява това, предизвикано от ангиотензин </w:t>
      </w:r>
      <w:r w:rsidRPr="008309D8">
        <w:rPr>
          <w:rFonts w:eastAsia="Times New Roman" w:cs="Arial"/>
          <w:color w:val="000000"/>
          <w:szCs w:val="20"/>
          <w:lang w:val="en-US"/>
        </w:rPr>
        <w:t>II</w:t>
      </w:r>
      <w:r w:rsidRPr="008309D8">
        <w:rPr>
          <w:rFonts w:eastAsia="Times New Roman" w:cs="Arial"/>
          <w:color w:val="000000"/>
          <w:szCs w:val="20"/>
          <w:lang w:val="ru-RU"/>
        </w:rPr>
        <w:t>.</w:t>
      </w:r>
    </w:p>
    <w:p w14:paraId="4B0E2BDA" w14:textId="01668722" w:rsidR="008309D8" w:rsidRPr="008309D8" w:rsidRDefault="008309D8" w:rsidP="008309D8">
      <w:pPr>
        <w:rPr>
          <w:rFonts w:cs="Arial"/>
          <w:sz w:val="24"/>
        </w:rPr>
      </w:pPr>
    </w:p>
    <w:p w14:paraId="5628ECC6"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Карведилол не повлиява липидния метаболизъм. Съотношението липопротеини с висока плътност/липротеини с ниска плътност </w:t>
      </w:r>
      <w:r w:rsidRPr="008309D8">
        <w:rPr>
          <w:rFonts w:eastAsia="Times New Roman" w:cs="Arial"/>
          <w:color w:val="000000"/>
          <w:szCs w:val="20"/>
          <w:lang w:val="ru-RU"/>
        </w:rPr>
        <w:t>(</w:t>
      </w:r>
      <w:r w:rsidRPr="008309D8">
        <w:rPr>
          <w:rFonts w:eastAsia="Times New Roman" w:cs="Arial"/>
          <w:color w:val="000000"/>
          <w:szCs w:val="20"/>
          <w:lang w:val="en-US"/>
        </w:rPr>
        <w:t>HDL</w:t>
      </w:r>
      <w:r w:rsidRPr="008309D8">
        <w:rPr>
          <w:rFonts w:eastAsia="Times New Roman" w:cs="Arial"/>
          <w:color w:val="000000"/>
          <w:szCs w:val="20"/>
          <w:lang w:val="ru-RU"/>
        </w:rPr>
        <w:t>/</w:t>
      </w:r>
      <w:r w:rsidRPr="008309D8">
        <w:rPr>
          <w:rFonts w:eastAsia="Times New Roman" w:cs="Arial"/>
          <w:color w:val="000000"/>
          <w:szCs w:val="20"/>
          <w:lang w:val="en-US"/>
        </w:rPr>
        <w:t>LDL</w:t>
      </w:r>
      <w:r w:rsidRPr="008309D8">
        <w:rPr>
          <w:rFonts w:eastAsia="Times New Roman" w:cs="Arial"/>
          <w:color w:val="000000"/>
          <w:szCs w:val="20"/>
          <w:lang w:val="ru-RU"/>
        </w:rPr>
        <w:t xml:space="preserve">) </w:t>
      </w:r>
      <w:r w:rsidRPr="008309D8">
        <w:rPr>
          <w:rFonts w:eastAsia="Times New Roman" w:cs="Arial"/>
          <w:color w:val="000000"/>
          <w:szCs w:val="20"/>
          <w:lang w:eastAsia="bg-BG"/>
        </w:rPr>
        <w:t>не се променя по време на лечението.</w:t>
      </w:r>
    </w:p>
    <w:p w14:paraId="3D0F8412" w14:textId="77777777" w:rsidR="008309D8" w:rsidRPr="008309D8" w:rsidRDefault="008309D8" w:rsidP="008309D8">
      <w:pPr>
        <w:spacing w:line="240" w:lineRule="auto"/>
        <w:rPr>
          <w:rFonts w:eastAsia="Times New Roman" w:cs="Arial"/>
          <w:i/>
          <w:iCs/>
          <w:color w:val="000000"/>
          <w:szCs w:val="20"/>
          <w:u w:val="single"/>
          <w:lang w:eastAsia="bg-BG"/>
        </w:rPr>
      </w:pPr>
    </w:p>
    <w:p w14:paraId="7B104D74" w14:textId="114FCA45"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Клиничните проучвания с карведилол водят до следните резултати</w:t>
      </w:r>
    </w:p>
    <w:p w14:paraId="3B786010"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Приложението на лекарственото вещество при хипертония води до намаляване на кръвното налягане в резултат на бета-рецепторната блокада и на вазодилатацията, дължаща се на алфа</w:t>
      </w:r>
      <w:r w:rsidRPr="008309D8">
        <w:rPr>
          <w:rFonts w:eastAsia="Times New Roman" w:cs="Arial"/>
          <w:color w:val="000000"/>
          <w:szCs w:val="20"/>
          <w:vertAlign w:val="subscript"/>
          <w:lang w:eastAsia="bg-BG"/>
        </w:rPr>
        <w:t>1</w:t>
      </w:r>
      <w:r w:rsidRPr="008309D8">
        <w:rPr>
          <w:rFonts w:eastAsia="Times New Roman" w:cs="Arial"/>
          <w:color w:val="000000"/>
          <w:szCs w:val="20"/>
          <w:lang w:eastAsia="bg-BG"/>
        </w:rPr>
        <w:t>- рецпторвната блокада. Някои от ограниченията на традиционните бета-блокери не касаят вазодилататорните бета-блокери, като карведилол. Неговият антихипертензивен ефект не е свързан с повишаване на общото периферно съдово съпротивление, какъвто е случаят с „чистите“ бета-блокери. Под влияние на карведилол сърдечната честота се намалява в известна степен. Бъбречната перфузия и бъбречната функция остават непроменени при хипертензивни пациенти. Карведилол не повлиява ударния обем на сърцето и намалява общото периферно съдово съпротивление. Той не влошава перфузията на отделните органи и кръвотока в артериите, кръвоснабдяващи тези органи, като тези на бъбреците, скелетните мускули, предмишниците, краката, кожата и мозъка, а също и на каротидната артерия. Честотата на възникване на студени крайници и ранна уморяемост при физическо натоварване, често проявяващи са при лечение с бета-блокери без вазодилататорен ефект е ниска. Дългосрочният ефект на карведилол върху хипертонията е установен в няколко двойно-слепи контролирани проучвания, извършени с оригиналния продукт.</w:t>
      </w:r>
    </w:p>
    <w:p w14:paraId="140A28A5"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Антихипертензивният ефект е с бързо начало, достига максимум след 2-3 часа и продължава 24 часа. При дългосрочно лечение максималният ефект на лекарството може да се очаква слез 3-4 седмици лечение.</w:t>
      </w:r>
    </w:p>
    <w:p w14:paraId="1F2646AE" w14:textId="77777777" w:rsidR="008309D8" w:rsidRPr="008309D8" w:rsidRDefault="008309D8" w:rsidP="008309D8">
      <w:pPr>
        <w:spacing w:line="240" w:lineRule="auto"/>
        <w:rPr>
          <w:rFonts w:eastAsia="Times New Roman" w:cs="Arial"/>
          <w:color w:val="000000"/>
          <w:szCs w:val="20"/>
          <w:lang w:eastAsia="bg-BG"/>
        </w:rPr>
      </w:pPr>
    </w:p>
    <w:p w14:paraId="64C60BD2" w14:textId="174A7990"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Няколко отворени проучвания са показали, че карведилол е ефективен лекарствен продукт при пациентите с бъбречна хипертония. Ефективността на карведилол е доказана и при пациентите с хронична бъбречна недостатъчност или такива на хемодиализа или след бъбречна трансплантация.</w:t>
      </w:r>
    </w:p>
    <w:p w14:paraId="1CC054E1"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Карведилол води до постепенно намаляване на кръвното налягане както в дните на хемодиализа, така и в дните без хемодиализа и понижаващият ефект на кръвното налягане е сравним с този, наблюдаван при пациенти с нормална бъбречна функция. Въз основа на получените резултати в сравнителните проучвания при пациенти на хемодиализа е направено заключението, че карведилол е по-ефективен и по-добре поносим от блокерите на калциевите канали (калциеви антагонисти).</w:t>
      </w:r>
    </w:p>
    <w:p w14:paraId="2EC0030B" w14:textId="77777777" w:rsidR="008309D8" w:rsidRPr="008309D8" w:rsidRDefault="008309D8" w:rsidP="008309D8">
      <w:pPr>
        <w:spacing w:line="240" w:lineRule="auto"/>
        <w:rPr>
          <w:rFonts w:eastAsia="Times New Roman" w:cs="Arial"/>
          <w:color w:val="000000"/>
          <w:szCs w:val="20"/>
          <w:lang w:eastAsia="bg-BG"/>
        </w:rPr>
      </w:pPr>
    </w:p>
    <w:p w14:paraId="1984EA32" w14:textId="1A7251FC"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 пациенти с исхемична болест на сърцето карведилол показва анти-исхемичен и анти- стенокарден ефект, което може да се демонстрира при дълготрайно лечение. В акутни хемодинамични проучвания карведилол значимо намалява кислородната потребност на миокарда и увеличената симпатикова стимулация. Той намалява камерното преднатоварване (артериалното белодробно налягане, белодробното капилярно налягане), а също и следнатоварването (общото периферно съпротивление).</w:t>
      </w:r>
    </w:p>
    <w:p w14:paraId="4A304252" w14:textId="77777777" w:rsidR="008309D8" w:rsidRPr="008309D8" w:rsidRDefault="008309D8" w:rsidP="008309D8">
      <w:pPr>
        <w:spacing w:line="240" w:lineRule="auto"/>
        <w:rPr>
          <w:rFonts w:eastAsia="Times New Roman" w:cs="Arial"/>
          <w:color w:val="000000"/>
          <w:szCs w:val="20"/>
          <w:lang w:eastAsia="bg-BG"/>
        </w:rPr>
      </w:pPr>
    </w:p>
    <w:p w14:paraId="1B194B52" w14:textId="17419650"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lastRenderedPageBreak/>
        <w:t>При пациенти с исхемична или не-исхемична хронична сърдечна недостатъчност карведилол значително намалява смъртността и честотата на хоспитализациите поради сърдечно-съдови причини, наблюдавано в проучвания, направени с оригиналния продукт. Ефектът на карведилол е дозозависим.</w:t>
      </w:r>
    </w:p>
    <w:p w14:paraId="4B982C5C" w14:textId="77777777" w:rsidR="008309D8" w:rsidRPr="008309D8" w:rsidRDefault="008309D8" w:rsidP="008309D8">
      <w:pPr>
        <w:spacing w:line="240" w:lineRule="auto"/>
        <w:rPr>
          <w:rFonts w:eastAsia="Times New Roman" w:cs="Arial"/>
          <w:color w:val="000000"/>
          <w:szCs w:val="20"/>
          <w:lang w:eastAsia="bg-BG"/>
        </w:rPr>
      </w:pPr>
    </w:p>
    <w:p w14:paraId="346B4362" w14:textId="386D13AA"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Карведилол намалява заболеваемостта и смъртността при пациенти на диализа с дилатативна кардиомиопатия. Мета-анализът на плацебо-контролирани клинични изследвания, включващи голям брой пациенти (&gt;4000) с лека до умерена хронична бъбречна болест, подкрепя лечението на пациенти с левокамерна дисфункция, със или без симптоматична сърдечна недостатъчност, с карведилол за намаляване честотата на смъртността от всякакъв произход, както и на събитията, свързани със сърдечна недостатъчност.</w:t>
      </w:r>
    </w:p>
    <w:p w14:paraId="7081ECC6" w14:textId="77777777" w:rsidR="008309D8" w:rsidRPr="008309D8" w:rsidRDefault="008309D8" w:rsidP="008309D8">
      <w:pPr>
        <w:spacing w:line="240" w:lineRule="auto"/>
        <w:rPr>
          <w:rFonts w:eastAsia="Times New Roman" w:cs="Arial"/>
          <w:color w:val="000000"/>
          <w:szCs w:val="20"/>
          <w:lang w:eastAsia="bg-BG"/>
        </w:rPr>
      </w:pPr>
    </w:p>
    <w:p w14:paraId="555ADAA6" w14:textId="1DF047A0" w:rsidR="008309D8" w:rsidRPr="008309D8" w:rsidRDefault="008309D8" w:rsidP="008309D8">
      <w:pPr>
        <w:spacing w:line="240" w:lineRule="auto"/>
        <w:rPr>
          <w:rFonts w:eastAsia="Times New Roman" w:cs="Arial"/>
          <w:color w:val="000000"/>
          <w:szCs w:val="20"/>
          <w:lang w:eastAsia="bg-BG"/>
        </w:rPr>
      </w:pPr>
      <w:r w:rsidRPr="008309D8">
        <w:rPr>
          <w:rFonts w:eastAsia="Times New Roman" w:cs="Arial"/>
          <w:color w:val="000000"/>
          <w:szCs w:val="20"/>
          <w:lang w:eastAsia="bg-BG"/>
        </w:rPr>
        <w:t>При пациенти с левокамерна дисфункция или хронична сърдечна недостатъчност карведилол е показал благоприятни ефекти върху хемодинамиката и подобрението на левокамерната</w:t>
      </w:r>
      <w:r w:rsidRPr="008309D8">
        <w:rPr>
          <w:rFonts w:eastAsia="Times New Roman" w:cs="Arial"/>
          <w:sz w:val="28"/>
          <w:szCs w:val="24"/>
          <w:lang w:val="ru-RU"/>
        </w:rPr>
        <w:t xml:space="preserve"> </w:t>
      </w:r>
      <w:r w:rsidRPr="008309D8">
        <w:rPr>
          <w:rFonts w:eastAsia="Times New Roman" w:cs="Arial"/>
          <w:color w:val="000000"/>
          <w:szCs w:val="20"/>
          <w:lang w:eastAsia="bg-BG"/>
        </w:rPr>
        <w:t>фракция на изтласкване, както и върху размерите на лявата камера.</w:t>
      </w:r>
    </w:p>
    <w:p w14:paraId="25F87BF9" w14:textId="48B8D7CC" w:rsidR="008309D8" w:rsidRPr="008309D8" w:rsidRDefault="008309D8" w:rsidP="008309D8">
      <w:pPr>
        <w:spacing w:line="240" w:lineRule="auto"/>
        <w:rPr>
          <w:rFonts w:eastAsia="Times New Roman" w:cs="Arial"/>
          <w:color w:val="000000"/>
          <w:szCs w:val="20"/>
          <w:lang w:eastAsia="bg-BG"/>
        </w:rPr>
      </w:pPr>
    </w:p>
    <w:p w14:paraId="2B1400D5"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В едно голямо многоцентрово, двойно-сляпо, плацебо-контролирано клинично изпитване за смъртността </w:t>
      </w:r>
      <w:r w:rsidRPr="008309D8">
        <w:rPr>
          <w:rFonts w:eastAsia="Times New Roman" w:cs="Arial"/>
          <w:color w:val="000000"/>
          <w:szCs w:val="20"/>
          <w:lang w:val="ru-RU"/>
        </w:rPr>
        <w:t>(</w:t>
      </w:r>
      <w:r w:rsidRPr="008309D8">
        <w:rPr>
          <w:rFonts w:eastAsia="Times New Roman" w:cs="Arial"/>
          <w:color w:val="000000"/>
          <w:szCs w:val="20"/>
          <w:lang w:val="en-US"/>
        </w:rPr>
        <w:t>COPERNICUS</w:t>
      </w:r>
      <w:r w:rsidRPr="008309D8">
        <w:rPr>
          <w:rFonts w:eastAsia="Times New Roman" w:cs="Arial"/>
          <w:color w:val="000000"/>
          <w:szCs w:val="20"/>
          <w:lang w:val="ru-RU"/>
        </w:rPr>
        <w:t xml:space="preserve">) </w:t>
      </w:r>
      <w:r w:rsidRPr="008309D8">
        <w:rPr>
          <w:rFonts w:eastAsia="Times New Roman" w:cs="Arial"/>
          <w:color w:val="000000"/>
          <w:szCs w:val="20"/>
          <w:lang w:eastAsia="bg-BG"/>
        </w:rPr>
        <w:t>2289 пациенти с тежка стабилна ХСН от исхемичен или не- исхемичен произход на стандартно лечение, са били рандомизирани за лечение с карведилол (1156 пациенти) или с плацебо (1133 пациенти). Пациентите са имали левокамерна систолна дисфункция със средна фракция на изтласкване по-малко от 20%. Смъртността от всякакъв произход е била намалена с 35% от 19,7% в групата с плацебо до 12,8% в групата с карведилол (Сох пропорционален риск, р=0,00013).</w:t>
      </w:r>
    </w:p>
    <w:p w14:paraId="4E5AB7FE" w14:textId="77777777" w:rsidR="008309D8" w:rsidRPr="008309D8" w:rsidRDefault="008309D8" w:rsidP="008309D8">
      <w:pPr>
        <w:spacing w:line="240" w:lineRule="auto"/>
        <w:rPr>
          <w:rFonts w:eastAsia="Times New Roman" w:cs="Arial"/>
          <w:color w:val="000000"/>
          <w:szCs w:val="20"/>
          <w:lang w:eastAsia="bg-BG"/>
        </w:rPr>
      </w:pPr>
    </w:p>
    <w:p w14:paraId="3970BA94" w14:textId="38A934C8"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Комбинираните второстепенни крайни точки на смъртност или хоспитализиране поради сърдечна недостатъчност, смъртност или хоспитализиране поради сърдечно-съдови причини и смъртност или хоспитализиране поради други причини са били значително по-ниски в групата с карведилол в сравнение с плацебо (31%, 27% и 24% намаление съответно, за всичките р&lt;0,00004).</w:t>
      </w:r>
    </w:p>
    <w:p w14:paraId="150ADF68" w14:textId="77777777" w:rsidR="008309D8" w:rsidRPr="008309D8" w:rsidRDefault="008309D8" w:rsidP="008309D8">
      <w:pPr>
        <w:spacing w:line="240" w:lineRule="auto"/>
        <w:rPr>
          <w:rFonts w:eastAsia="Times New Roman" w:cs="Arial"/>
          <w:color w:val="000000"/>
          <w:szCs w:val="20"/>
          <w:lang w:eastAsia="bg-BG"/>
        </w:rPr>
      </w:pPr>
    </w:p>
    <w:p w14:paraId="34B29962" w14:textId="0951753A"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Честотата на сериозните нежелани събития по време на проучването е била по-ниска в групата с карведилол (39,0% спрямо 45,4%). По време на започване на лечението честотата на влошаване на сърдечната недостатъчност е била подобна в групите с карведилол и плацебо. Честотата на сериозно влошаване на сърдечната недостатъчност по време на проучването е била по-ниска в групата с карведилол (14,6% спрямо 21,6%).</w:t>
      </w:r>
    </w:p>
    <w:p w14:paraId="13C138C4" w14:textId="77777777" w:rsidR="008309D8" w:rsidRPr="008309D8" w:rsidRDefault="008309D8" w:rsidP="008309D8">
      <w:pPr>
        <w:spacing w:line="240" w:lineRule="auto"/>
        <w:rPr>
          <w:rFonts w:eastAsia="Times New Roman" w:cs="Arial"/>
          <w:color w:val="000000"/>
          <w:szCs w:val="20"/>
          <w:lang w:eastAsia="bg-BG"/>
        </w:rPr>
      </w:pPr>
    </w:p>
    <w:p w14:paraId="42B3015E" w14:textId="5D294822"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И електролитите, и профилът на серумните липиди не се повлияват.</w:t>
      </w:r>
    </w:p>
    <w:p w14:paraId="28900DBD" w14:textId="77777777" w:rsidR="008309D8" w:rsidRPr="008309D8" w:rsidRDefault="008309D8" w:rsidP="008309D8">
      <w:pPr>
        <w:spacing w:line="240" w:lineRule="auto"/>
        <w:rPr>
          <w:rFonts w:eastAsia="Times New Roman" w:cs="Arial"/>
          <w:i/>
          <w:iCs/>
          <w:color w:val="000000"/>
          <w:szCs w:val="20"/>
          <w:lang w:eastAsia="bg-BG"/>
        </w:rPr>
      </w:pPr>
    </w:p>
    <w:p w14:paraId="684858E6" w14:textId="76AB66B4"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Пациенти със захарен диабет</w:t>
      </w:r>
    </w:p>
    <w:p w14:paraId="3A876305"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При пациенти с тип 2 диабет, страдащи от хипертония карведилол не повлиява нивото на кръвната захар нито на гладно, нито след нахранване, както и нивото на гликирания хемоглобин </w:t>
      </w:r>
      <w:r w:rsidRPr="008309D8">
        <w:rPr>
          <w:rFonts w:eastAsia="Times New Roman" w:cs="Arial"/>
          <w:color w:val="000000"/>
          <w:szCs w:val="20"/>
          <w:lang w:val="en-US"/>
        </w:rPr>
        <w:t>A</w:t>
      </w:r>
      <w:r w:rsidRPr="008309D8">
        <w:rPr>
          <w:rFonts w:eastAsia="Times New Roman" w:cs="Arial"/>
          <w:color w:val="000000"/>
          <w:szCs w:val="20"/>
          <w:vertAlign w:val="subscript"/>
          <w:lang w:val="ru-RU"/>
        </w:rPr>
        <w:t>1</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така че няма нужда от намаляване на дозата на антидиабетиците. При пациенти с диабет и хипертония в проучването </w:t>
      </w:r>
      <w:r w:rsidRPr="008309D8">
        <w:rPr>
          <w:rFonts w:eastAsia="Times New Roman" w:cs="Arial"/>
          <w:color w:val="000000"/>
          <w:szCs w:val="20"/>
          <w:lang w:val="en-US"/>
        </w:rPr>
        <w:t>GEMINI</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направено с оригиналния карведилол, лекарството не повлиява </w:t>
      </w:r>
      <w:r w:rsidRPr="008309D8">
        <w:rPr>
          <w:rFonts w:eastAsia="Times New Roman" w:cs="Arial"/>
          <w:color w:val="000000"/>
          <w:szCs w:val="20"/>
          <w:lang w:val="en-US"/>
        </w:rPr>
        <w:t>HBA</w:t>
      </w:r>
      <w:r w:rsidRPr="008309D8">
        <w:rPr>
          <w:rFonts w:eastAsia="Times New Roman" w:cs="Arial"/>
          <w:color w:val="000000"/>
          <w:szCs w:val="20"/>
          <w:vertAlign w:val="subscript"/>
          <w:lang w:val="ru-RU"/>
        </w:rPr>
        <w:t>1</w:t>
      </w:r>
      <w:r w:rsidRPr="008309D8">
        <w:rPr>
          <w:rFonts w:eastAsia="Times New Roman" w:cs="Arial"/>
          <w:color w:val="000000"/>
          <w:szCs w:val="20"/>
          <w:vertAlign w:val="subscript"/>
          <w:lang w:val="en-US"/>
        </w:rPr>
        <w:t>c</w:t>
      </w:r>
      <w:r w:rsidRPr="008309D8">
        <w:rPr>
          <w:rFonts w:eastAsia="Times New Roman" w:cs="Arial"/>
          <w:color w:val="000000"/>
          <w:szCs w:val="20"/>
          <w:lang w:val="ru-RU"/>
        </w:rPr>
        <w:t xml:space="preserve"> </w:t>
      </w:r>
      <w:r w:rsidRPr="008309D8">
        <w:rPr>
          <w:rFonts w:eastAsia="Times New Roman" w:cs="Arial"/>
          <w:color w:val="000000"/>
          <w:szCs w:val="20"/>
          <w:lang w:eastAsia="bg-BG"/>
        </w:rPr>
        <w:t>нивата, докато метопролол ги увеличава.</w:t>
      </w:r>
    </w:p>
    <w:p w14:paraId="797E861F" w14:textId="77777777" w:rsidR="008309D8" w:rsidRPr="008309D8" w:rsidRDefault="008309D8" w:rsidP="008309D8">
      <w:pPr>
        <w:spacing w:line="240" w:lineRule="auto"/>
        <w:rPr>
          <w:rFonts w:eastAsia="Times New Roman" w:cs="Arial"/>
          <w:color w:val="000000"/>
          <w:szCs w:val="20"/>
          <w:lang w:eastAsia="bg-BG"/>
        </w:rPr>
      </w:pPr>
    </w:p>
    <w:p w14:paraId="763B8CDD" w14:textId="05EC3C17" w:rsidR="008309D8" w:rsidRPr="008309D8" w:rsidRDefault="008309D8" w:rsidP="008309D8">
      <w:pPr>
        <w:spacing w:line="240" w:lineRule="auto"/>
        <w:rPr>
          <w:rFonts w:eastAsia="Times New Roman" w:cs="Arial"/>
          <w:color w:val="000000"/>
          <w:szCs w:val="20"/>
          <w:lang w:eastAsia="bg-BG"/>
        </w:rPr>
      </w:pPr>
      <w:r w:rsidRPr="008309D8">
        <w:rPr>
          <w:rFonts w:eastAsia="Times New Roman" w:cs="Arial"/>
          <w:color w:val="000000"/>
          <w:szCs w:val="20"/>
          <w:lang w:eastAsia="bg-BG"/>
        </w:rPr>
        <w:t>При пациенти с тип 2 диабет, карведилол няма статистически значим ефект върху глюкозния толеранс. При недиабетни пациенти с хипертония, с намалена чувствителност за инсулин (метаболитен синдром) карведилол подобрява чувствителността към инсулин.Същите резултати са получени при проучвания на пациенти с хипертония и диабет тип 2.</w:t>
      </w:r>
    </w:p>
    <w:p w14:paraId="52C9F653" w14:textId="77777777" w:rsidR="008309D8" w:rsidRPr="008309D8" w:rsidRDefault="008309D8" w:rsidP="008309D8">
      <w:pPr>
        <w:spacing w:line="240" w:lineRule="auto"/>
        <w:rPr>
          <w:rFonts w:ascii="Times New Roman" w:eastAsia="Times New Roman" w:hAnsi="Times New Roman" w:cs="Times New Roman"/>
          <w:sz w:val="24"/>
          <w:szCs w:val="24"/>
        </w:rPr>
      </w:pPr>
    </w:p>
    <w:p w14:paraId="346B622B" w14:textId="4D7F28ED" w:rsidR="00875EEC" w:rsidRDefault="002C50EE" w:rsidP="005726E3">
      <w:pPr>
        <w:pStyle w:val="Heading2"/>
      </w:pPr>
      <w:r>
        <w:t>5.2. Фармакокинетични свойства</w:t>
      </w:r>
    </w:p>
    <w:p w14:paraId="2251EABC" w14:textId="3BA6F195" w:rsidR="008309D8" w:rsidRDefault="008309D8" w:rsidP="008309D8"/>
    <w:p w14:paraId="4984A9D6" w14:textId="77777777" w:rsidR="008309D8" w:rsidRPr="008309D8" w:rsidRDefault="008309D8" w:rsidP="008309D8">
      <w:pPr>
        <w:pStyle w:val="Heading3"/>
        <w:rPr>
          <w:rFonts w:eastAsia="Times New Roman"/>
          <w:sz w:val="28"/>
          <w:u w:val="single"/>
        </w:rPr>
      </w:pPr>
      <w:r w:rsidRPr="008309D8">
        <w:rPr>
          <w:rFonts w:eastAsia="Times New Roman"/>
          <w:u w:val="single"/>
          <w:lang w:eastAsia="bg-BG"/>
        </w:rPr>
        <w:t>Абсорбция</w:t>
      </w:r>
    </w:p>
    <w:p w14:paraId="017464BE"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След перорален прием на таблетка от 25 </w:t>
      </w:r>
      <w:r w:rsidRPr="008309D8">
        <w:rPr>
          <w:rFonts w:eastAsia="Times New Roman" w:cs="Arial"/>
          <w:color w:val="000000"/>
          <w:szCs w:val="20"/>
          <w:lang w:val="en-US"/>
        </w:rPr>
        <w:t>mg</w:t>
      </w:r>
      <w:r w:rsidRPr="008309D8">
        <w:rPr>
          <w:rFonts w:eastAsia="Times New Roman" w:cs="Arial"/>
          <w:color w:val="000000"/>
          <w:szCs w:val="20"/>
          <w:lang w:val="ru-RU"/>
        </w:rPr>
        <w:t xml:space="preserve"> </w:t>
      </w:r>
      <w:r w:rsidRPr="008309D8">
        <w:rPr>
          <w:rFonts w:eastAsia="Times New Roman" w:cs="Arial"/>
          <w:color w:val="000000"/>
          <w:szCs w:val="20"/>
          <w:lang w:eastAsia="bg-BG"/>
        </w:rPr>
        <w:t>от здрави лица, карведилол, лекарственото вещество се резорбира бързо от стомашно-чревния тракт с връх в плазмената концентрация С</w:t>
      </w:r>
      <w:r w:rsidRPr="008309D8">
        <w:rPr>
          <w:rFonts w:eastAsia="Times New Roman" w:cs="Arial"/>
          <w:color w:val="000000"/>
          <w:szCs w:val="20"/>
          <w:vertAlign w:val="subscript"/>
          <w:lang w:val="en-US"/>
        </w:rPr>
        <w:t>max</w:t>
      </w:r>
      <w:r w:rsidRPr="008309D8">
        <w:rPr>
          <w:rFonts w:eastAsia="Times New Roman" w:cs="Arial"/>
          <w:color w:val="000000"/>
          <w:szCs w:val="20"/>
          <w:lang w:eastAsia="bg-BG"/>
        </w:rPr>
        <w:t xml:space="preserve"> от 21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L</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които се достигат след приблизително 1,5 часа </w:t>
      </w:r>
      <w:r w:rsidRPr="008309D8">
        <w:rPr>
          <w:rFonts w:eastAsia="Times New Roman" w:cs="Arial"/>
          <w:color w:val="000000"/>
          <w:szCs w:val="20"/>
          <w:lang w:val="ru-RU"/>
        </w:rPr>
        <w:t>(</w:t>
      </w:r>
      <w:proofErr w:type="spellStart"/>
      <w:r w:rsidRPr="008309D8">
        <w:rPr>
          <w:rFonts w:eastAsia="Times New Roman" w:cs="Arial"/>
          <w:color w:val="000000"/>
          <w:szCs w:val="20"/>
          <w:lang w:val="en-US"/>
        </w:rPr>
        <w:t>t</w:t>
      </w:r>
      <w:r w:rsidRPr="008309D8">
        <w:rPr>
          <w:rFonts w:eastAsia="Times New Roman" w:cs="Arial"/>
          <w:color w:val="000000"/>
          <w:szCs w:val="20"/>
          <w:vertAlign w:val="subscript"/>
          <w:lang w:val="en-US"/>
        </w:rPr>
        <w:t>max</w:t>
      </w:r>
      <w:proofErr w:type="spellEnd"/>
      <w:r w:rsidRPr="008309D8">
        <w:rPr>
          <w:rFonts w:eastAsia="Times New Roman" w:cs="Arial"/>
          <w:color w:val="000000"/>
          <w:szCs w:val="20"/>
          <w:lang w:val="ru-RU"/>
        </w:rPr>
        <w:t xml:space="preserve">)- </w:t>
      </w:r>
      <w:r w:rsidRPr="008309D8">
        <w:rPr>
          <w:rFonts w:eastAsia="Times New Roman" w:cs="Arial"/>
          <w:color w:val="000000"/>
          <w:szCs w:val="20"/>
          <w:lang w:eastAsia="bg-BG"/>
        </w:rPr>
        <w:t>Стойностите на С</w:t>
      </w:r>
      <w:r w:rsidRPr="008309D8">
        <w:rPr>
          <w:rFonts w:eastAsia="Times New Roman" w:cs="Arial"/>
          <w:color w:val="000000"/>
          <w:szCs w:val="20"/>
          <w:vertAlign w:val="subscript"/>
          <w:lang w:val="en-US"/>
        </w:rPr>
        <w:t>max</w:t>
      </w:r>
      <w:r w:rsidRPr="008309D8">
        <w:rPr>
          <w:rFonts w:eastAsia="Times New Roman" w:cs="Arial"/>
          <w:color w:val="000000"/>
          <w:szCs w:val="20"/>
          <w:lang w:eastAsia="bg-BG"/>
        </w:rPr>
        <w:t xml:space="preserve"> са линейно свързани с дозата. След перорален прием карведилол преминава през екстензивен </w:t>
      </w:r>
      <w:r w:rsidRPr="008309D8">
        <w:rPr>
          <w:rFonts w:eastAsia="Times New Roman" w:cs="Arial"/>
          <w:color w:val="000000"/>
          <w:szCs w:val="20"/>
          <w:lang w:val="ru-RU"/>
        </w:rPr>
        <w:t>„</w:t>
      </w:r>
      <w:r w:rsidRPr="008309D8">
        <w:rPr>
          <w:rFonts w:eastAsia="Times New Roman" w:cs="Arial"/>
          <w:color w:val="000000"/>
          <w:szCs w:val="20"/>
          <w:lang w:val="en-US"/>
        </w:rPr>
        <w:t>first</w:t>
      </w:r>
      <w:r w:rsidRPr="008309D8">
        <w:rPr>
          <w:rFonts w:eastAsia="Times New Roman" w:cs="Arial"/>
          <w:color w:val="000000"/>
          <w:szCs w:val="20"/>
          <w:lang w:val="ru-RU"/>
        </w:rPr>
        <w:t>-</w:t>
      </w:r>
      <w:r w:rsidRPr="008309D8">
        <w:rPr>
          <w:rFonts w:eastAsia="Times New Roman" w:cs="Arial"/>
          <w:color w:val="000000"/>
          <w:szCs w:val="20"/>
          <w:lang w:val="en-US"/>
        </w:rPr>
        <w:t>pass</w:t>
      </w:r>
      <w:r w:rsidRPr="008309D8">
        <w:rPr>
          <w:rFonts w:eastAsia="Times New Roman" w:cs="Arial"/>
          <w:color w:val="000000"/>
          <w:szCs w:val="20"/>
          <w:lang w:val="ru-RU"/>
        </w:rPr>
        <w:t xml:space="preserve">“ </w:t>
      </w:r>
      <w:r w:rsidRPr="008309D8">
        <w:rPr>
          <w:rFonts w:eastAsia="Times New Roman" w:cs="Arial"/>
          <w:color w:val="000000"/>
          <w:szCs w:val="20"/>
          <w:lang w:eastAsia="bg-BG"/>
        </w:rPr>
        <w:t>метаболизъм, което дава като резултат абсолютна бионаличност от около 25% при здравите мъже.</w:t>
      </w:r>
    </w:p>
    <w:p w14:paraId="69497303"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Карведилол е рацемат и </w:t>
      </w:r>
      <w:r w:rsidRPr="008309D8">
        <w:rPr>
          <w:rFonts w:eastAsia="Times New Roman" w:cs="Arial"/>
          <w:color w:val="000000"/>
          <w:szCs w:val="20"/>
          <w:lang w:val="en-US"/>
        </w:rPr>
        <w:t>S</w:t>
      </w:r>
      <w:r w:rsidRPr="008309D8">
        <w:rPr>
          <w:rFonts w:eastAsia="Times New Roman" w:cs="Arial"/>
          <w:color w:val="000000"/>
          <w:szCs w:val="20"/>
          <w:lang w:val="ru-RU"/>
        </w:rPr>
        <w:t>-(-)</w:t>
      </w:r>
      <w:r w:rsidRPr="008309D8">
        <w:rPr>
          <w:rFonts w:eastAsia="Times New Roman" w:cs="Arial"/>
          <w:color w:val="000000"/>
          <w:szCs w:val="20"/>
          <w:lang w:eastAsia="bg-BG"/>
        </w:rPr>
        <w:t xml:space="preserve">-енантиомерът се метаболизира по-бързо от К-(+)-енантиомера, като показва абсолютна перорална бионаличност от 15% в сравнение с 31% за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енантиомер. Максималната плазмена концентрация на </w:t>
      </w:r>
      <w:r w:rsidRPr="008309D8">
        <w:rPr>
          <w:rFonts w:eastAsia="Times New Roman" w:cs="Arial"/>
          <w:color w:val="000000"/>
          <w:szCs w:val="20"/>
          <w:lang w:val="en-US"/>
        </w:rPr>
        <w:t>R</w:t>
      </w:r>
      <w:r w:rsidRPr="008309D8">
        <w:rPr>
          <w:rFonts w:eastAsia="Times New Roman" w:cs="Arial"/>
          <w:color w:val="000000"/>
          <w:szCs w:val="20"/>
          <w:lang w:eastAsia="bg-BG"/>
        </w:rPr>
        <w:t xml:space="preserve">-карведилол е приблизително 2 пъти по-висока от тази на </w:t>
      </w:r>
      <w:r w:rsidRPr="008309D8">
        <w:rPr>
          <w:rFonts w:eastAsia="Times New Roman" w:cs="Arial"/>
          <w:color w:val="000000"/>
          <w:szCs w:val="20"/>
          <w:lang w:val="en-US"/>
        </w:rPr>
        <w:t>S</w:t>
      </w:r>
      <w:r w:rsidRPr="008309D8">
        <w:rPr>
          <w:rFonts w:eastAsia="Times New Roman" w:cs="Arial"/>
          <w:color w:val="000000"/>
          <w:szCs w:val="20"/>
          <w:lang w:eastAsia="bg-BG"/>
        </w:rPr>
        <w:t>-карведилол.</w:t>
      </w:r>
    </w:p>
    <w:p w14:paraId="387ACF5F" w14:textId="77777777" w:rsidR="008309D8" w:rsidRPr="008309D8" w:rsidRDefault="008309D8" w:rsidP="008309D8">
      <w:pPr>
        <w:spacing w:line="240" w:lineRule="auto"/>
        <w:rPr>
          <w:rFonts w:eastAsia="Times New Roman" w:cs="Arial"/>
          <w:i/>
          <w:iCs/>
          <w:color w:val="000000"/>
          <w:szCs w:val="20"/>
          <w:lang w:val="en-US"/>
        </w:rPr>
      </w:pPr>
    </w:p>
    <w:p w14:paraId="41CE1774" w14:textId="3707920D"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val="en-US"/>
        </w:rPr>
        <w:t>In</w:t>
      </w:r>
      <w:r w:rsidRPr="008309D8">
        <w:rPr>
          <w:rFonts w:eastAsia="Times New Roman" w:cs="Arial"/>
          <w:i/>
          <w:iCs/>
          <w:color w:val="000000"/>
          <w:szCs w:val="20"/>
          <w:lang w:val="ru-RU"/>
        </w:rPr>
        <w:t xml:space="preserve"> </w:t>
      </w:r>
      <w:r w:rsidRPr="008309D8">
        <w:rPr>
          <w:rFonts w:eastAsia="Times New Roman" w:cs="Arial"/>
          <w:i/>
          <w:iCs/>
          <w:color w:val="000000"/>
          <w:szCs w:val="20"/>
          <w:lang w:val="en-US"/>
        </w:rPr>
        <w:t>vitro</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проучванията са показали, че карведилол е субстрат на ефлуксния транспортен Р- гликопротеин. Ролята на Р-гликопротеин в разпределението на карведилол също е потвърдена </w:t>
      </w:r>
      <w:r w:rsidRPr="008309D8">
        <w:rPr>
          <w:rFonts w:eastAsia="Times New Roman" w:cs="Arial"/>
          <w:i/>
          <w:iCs/>
          <w:color w:val="000000"/>
          <w:szCs w:val="20"/>
          <w:lang w:val="en-US"/>
        </w:rPr>
        <w:t>in</w:t>
      </w:r>
      <w:r w:rsidRPr="008309D8">
        <w:rPr>
          <w:rFonts w:eastAsia="Times New Roman" w:cs="Arial"/>
          <w:i/>
          <w:iCs/>
          <w:color w:val="000000"/>
          <w:szCs w:val="20"/>
          <w:lang w:val="ru-RU"/>
        </w:rPr>
        <w:t xml:space="preserve"> </w:t>
      </w:r>
      <w:r w:rsidRPr="008309D8">
        <w:rPr>
          <w:rFonts w:eastAsia="Times New Roman" w:cs="Arial"/>
          <w:i/>
          <w:iCs/>
          <w:color w:val="000000"/>
          <w:szCs w:val="20"/>
          <w:lang w:val="en-US"/>
        </w:rPr>
        <w:t>vivo</w:t>
      </w:r>
      <w:r w:rsidRPr="008309D8">
        <w:rPr>
          <w:rFonts w:eastAsia="Times New Roman" w:cs="Arial"/>
          <w:color w:val="000000"/>
          <w:szCs w:val="20"/>
          <w:lang w:val="ru-RU"/>
        </w:rPr>
        <w:t xml:space="preserve"> </w:t>
      </w:r>
      <w:r w:rsidRPr="008309D8">
        <w:rPr>
          <w:rFonts w:eastAsia="Times New Roman" w:cs="Arial"/>
          <w:color w:val="000000"/>
          <w:szCs w:val="20"/>
          <w:lang w:eastAsia="bg-BG"/>
        </w:rPr>
        <w:t>при здрави индивиди.</w:t>
      </w:r>
    </w:p>
    <w:p w14:paraId="69B79E6E" w14:textId="77777777" w:rsidR="008309D8" w:rsidRPr="008309D8" w:rsidRDefault="008309D8" w:rsidP="008309D8">
      <w:pPr>
        <w:spacing w:line="240" w:lineRule="auto"/>
        <w:rPr>
          <w:rFonts w:eastAsia="Times New Roman" w:cs="Arial"/>
          <w:color w:val="000000"/>
          <w:szCs w:val="20"/>
          <w:lang w:eastAsia="bg-BG"/>
        </w:rPr>
      </w:pPr>
    </w:p>
    <w:p w14:paraId="1A668885" w14:textId="5A723066"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Приемът на храна не дава отражение върху бионаличностга и максималната плазмена концентрация, но може да удължи времето за достигане на последната.</w:t>
      </w:r>
    </w:p>
    <w:p w14:paraId="46A0A6D6" w14:textId="77777777" w:rsidR="008309D8" w:rsidRPr="008309D8" w:rsidRDefault="008309D8" w:rsidP="008309D8">
      <w:pPr>
        <w:spacing w:line="240" w:lineRule="auto"/>
        <w:rPr>
          <w:rFonts w:eastAsia="Times New Roman" w:cs="Arial"/>
          <w:color w:val="000000"/>
          <w:szCs w:val="20"/>
          <w:u w:val="single"/>
          <w:lang w:eastAsia="bg-BG"/>
        </w:rPr>
      </w:pPr>
    </w:p>
    <w:p w14:paraId="6A9025D0" w14:textId="4445D8F2" w:rsidR="008309D8" w:rsidRPr="008309D8" w:rsidRDefault="008309D8" w:rsidP="008309D8">
      <w:pPr>
        <w:pStyle w:val="Heading3"/>
        <w:rPr>
          <w:rFonts w:eastAsia="Times New Roman"/>
          <w:sz w:val="28"/>
          <w:u w:val="single"/>
        </w:rPr>
      </w:pPr>
      <w:r w:rsidRPr="008309D8">
        <w:rPr>
          <w:rFonts w:eastAsia="Times New Roman"/>
          <w:u w:val="single"/>
          <w:lang w:eastAsia="bg-BG"/>
        </w:rPr>
        <w:t>Разпределение</w:t>
      </w:r>
    </w:p>
    <w:p w14:paraId="29BE25D1"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Лекарственото вещество е липофилно, а свързването с плазмените протеини е около 95%. Обемът на разпределение варира между 1,5 и 2 </w:t>
      </w:r>
      <w:r w:rsidRPr="008309D8">
        <w:rPr>
          <w:rFonts w:eastAsia="Times New Roman" w:cs="Arial"/>
          <w:color w:val="000000"/>
          <w:szCs w:val="20"/>
          <w:lang w:val="en-US"/>
        </w:rPr>
        <w:t>l</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w:t>
      </w:r>
    </w:p>
    <w:p w14:paraId="326C4191" w14:textId="77777777" w:rsidR="008309D8" w:rsidRPr="008309D8" w:rsidRDefault="008309D8" w:rsidP="008309D8">
      <w:pPr>
        <w:spacing w:line="240" w:lineRule="auto"/>
        <w:rPr>
          <w:rFonts w:eastAsia="Times New Roman" w:cs="Arial"/>
          <w:color w:val="000000"/>
          <w:szCs w:val="20"/>
          <w:u w:val="single"/>
          <w:lang w:eastAsia="bg-BG"/>
        </w:rPr>
      </w:pPr>
    </w:p>
    <w:p w14:paraId="7EBD8861" w14:textId="11B39BCA" w:rsidR="008309D8" w:rsidRPr="008309D8" w:rsidRDefault="008309D8" w:rsidP="008309D8">
      <w:pPr>
        <w:pStyle w:val="Heading3"/>
        <w:rPr>
          <w:rFonts w:eastAsia="Times New Roman"/>
          <w:sz w:val="28"/>
          <w:u w:val="single"/>
        </w:rPr>
      </w:pPr>
      <w:r w:rsidRPr="008309D8">
        <w:rPr>
          <w:rFonts w:eastAsia="Times New Roman"/>
          <w:u w:val="single"/>
          <w:lang w:eastAsia="bg-BG"/>
        </w:rPr>
        <w:t>Биотрансформация</w:t>
      </w:r>
    </w:p>
    <w:p w14:paraId="4826000D"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 човека, карведилол се метаболизира екстензивно в черния дроб чрез оксидиране и конюгиране в няколко метаболита, които се елиминират основно през жлъчката. В проучвания при животни е наблюзавана ентеро-хепатална цирркулация.</w:t>
      </w:r>
    </w:p>
    <w:p w14:paraId="74DCD4A7"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Лекарственото вещество се метаболизира основно в черния дроб, главно чрез глюкурониране. Деметилирането и хидроксилирането на фениловия пръстен води до образуване на три активни метаболита, които притежават бета-блокиращи свойства. Според резултатите от предклиничните проучвания, 4-хидроксифенол метаболитът е приблизително 13 пъти по-мощен бета-блокер от карведилол. В същото време трите активни метаболити са по-слаби вазодилататори от карведилол. Серумните концентрации на трите активни метаболита са 1/10 от тази на карведилол. Двата хирокси-карбазол метаболита са 30 до 80 пъти по-мощни антиоксиданти от карведилол.</w:t>
      </w:r>
    </w:p>
    <w:p w14:paraId="17EFA5CC" w14:textId="77777777" w:rsidR="008309D8" w:rsidRPr="008309D8" w:rsidRDefault="008309D8" w:rsidP="008309D8">
      <w:pPr>
        <w:spacing w:line="240" w:lineRule="auto"/>
        <w:rPr>
          <w:rFonts w:eastAsia="Times New Roman" w:cs="Arial"/>
          <w:color w:val="000000"/>
          <w:szCs w:val="20"/>
          <w:lang w:eastAsia="bg-BG"/>
        </w:rPr>
      </w:pPr>
    </w:p>
    <w:p w14:paraId="56D6F404" w14:textId="7E1C1F74"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Фармакокинетичните проучвания при хората са показали, че оксидативния метаболизъм на карведилол е стереоселективен. Резултатите от </w:t>
      </w:r>
      <w:r w:rsidRPr="008309D8">
        <w:rPr>
          <w:rFonts w:eastAsia="Times New Roman" w:cs="Arial"/>
          <w:i/>
          <w:iCs/>
          <w:color w:val="000000"/>
          <w:szCs w:val="20"/>
          <w:lang w:val="en-US"/>
        </w:rPr>
        <w:t>in</w:t>
      </w:r>
      <w:r w:rsidRPr="008309D8">
        <w:rPr>
          <w:rFonts w:eastAsia="Times New Roman" w:cs="Arial"/>
          <w:i/>
          <w:iCs/>
          <w:color w:val="000000"/>
          <w:szCs w:val="20"/>
          <w:lang w:val="ru-RU"/>
        </w:rPr>
        <w:t xml:space="preserve"> </w:t>
      </w:r>
      <w:r w:rsidRPr="008309D8">
        <w:rPr>
          <w:rFonts w:eastAsia="Times New Roman" w:cs="Arial"/>
          <w:i/>
          <w:iCs/>
          <w:color w:val="000000"/>
          <w:szCs w:val="20"/>
          <w:lang w:val="en-US"/>
        </w:rPr>
        <w:t>vitro</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проучване посочват, че различни цитохром Р450 изоензими могат да бъдат включени в процеса на окисление и хидроксилиране включително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val="en-US"/>
        </w:rPr>
        <w:t>CYP</w:t>
      </w:r>
      <w:r w:rsidRPr="008309D8">
        <w:rPr>
          <w:rFonts w:eastAsia="Times New Roman" w:cs="Arial"/>
          <w:color w:val="000000"/>
          <w:szCs w:val="20"/>
          <w:lang w:val="ru-RU"/>
        </w:rPr>
        <w:t>3</w:t>
      </w:r>
      <w:r w:rsidRPr="008309D8">
        <w:rPr>
          <w:rFonts w:eastAsia="Times New Roman" w:cs="Arial"/>
          <w:color w:val="000000"/>
          <w:szCs w:val="20"/>
          <w:lang w:val="en-US"/>
        </w:rPr>
        <w:t>A</w:t>
      </w:r>
      <w:r w:rsidRPr="008309D8">
        <w:rPr>
          <w:rFonts w:eastAsia="Times New Roman" w:cs="Arial"/>
          <w:color w:val="000000"/>
          <w:szCs w:val="20"/>
          <w:lang w:val="ru-RU"/>
        </w:rPr>
        <w:t xml:space="preserve">4,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E</w:t>
      </w:r>
      <w:r w:rsidRPr="008309D8">
        <w:rPr>
          <w:rFonts w:eastAsia="Times New Roman" w:cs="Arial"/>
          <w:color w:val="000000"/>
          <w:szCs w:val="20"/>
          <w:lang w:val="ru-RU"/>
        </w:rPr>
        <w:t xml:space="preserve">1,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C</w:t>
      </w:r>
      <w:r w:rsidRPr="008309D8">
        <w:rPr>
          <w:rFonts w:eastAsia="Times New Roman" w:cs="Arial"/>
          <w:color w:val="000000"/>
          <w:szCs w:val="20"/>
          <w:lang w:val="ru-RU"/>
        </w:rPr>
        <w:t xml:space="preserve">9, </w:t>
      </w:r>
      <w:r w:rsidRPr="008309D8">
        <w:rPr>
          <w:rFonts w:eastAsia="Times New Roman" w:cs="Arial"/>
          <w:color w:val="000000"/>
          <w:szCs w:val="20"/>
          <w:lang w:eastAsia="bg-BG"/>
        </w:rPr>
        <w:t xml:space="preserve">както и </w:t>
      </w:r>
      <w:r w:rsidRPr="008309D8">
        <w:rPr>
          <w:rFonts w:eastAsia="Times New Roman" w:cs="Arial"/>
          <w:color w:val="000000"/>
          <w:szCs w:val="20"/>
          <w:lang w:val="en-US"/>
        </w:rPr>
        <w:t>CYP</w:t>
      </w:r>
      <w:r w:rsidRPr="008309D8">
        <w:rPr>
          <w:rFonts w:eastAsia="Times New Roman" w:cs="Arial"/>
          <w:color w:val="000000"/>
          <w:szCs w:val="20"/>
          <w:lang w:val="ru-RU"/>
        </w:rPr>
        <w:t>1</w:t>
      </w:r>
      <w:r w:rsidRPr="008309D8">
        <w:rPr>
          <w:rFonts w:eastAsia="Times New Roman" w:cs="Arial"/>
          <w:color w:val="000000"/>
          <w:szCs w:val="20"/>
          <w:lang w:val="en-US"/>
        </w:rPr>
        <w:t>A</w:t>
      </w:r>
      <w:r w:rsidRPr="008309D8">
        <w:rPr>
          <w:rFonts w:eastAsia="Times New Roman" w:cs="Arial"/>
          <w:color w:val="000000"/>
          <w:szCs w:val="20"/>
          <w:lang w:val="ru-RU"/>
        </w:rPr>
        <w:t>2.</w:t>
      </w:r>
    </w:p>
    <w:p w14:paraId="0F5C2648"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Проучванията при здрави доброволци и при пациенти са показали, че </w:t>
      </w:r>
      <w:r w:rsidRPr="008309D8">
        <w:rPr>
          <w:rFonts w:eastAsia="Times New Roman" w:cs="Arial"/>
          <w:color w:val="000000"/>
          <w:szCs w:val="20"/>
          <w:lang w:val="en-US"/>
        </w:rPr>
        <w:t>R</w:t>
      </w:r>
      <w:r w:rsidRPr="008309D8">
        <w:rPr>
          <w:rFonts w:eastAsia="Times New Roman" w:cs="Arial"/>
          <w:color w:val="000000"/>
          <w:szCs w:val="20"/>
          <w:lang w:eastAsia="bg-BG"/>
        </w:rPr>
        <w:t xml:space="preserve">-енантиомерът се метаболизира предимно от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val="en-US"/>
        </w:rPr>
        <w:t>S</w:t>
      </w:r>
      <w:r w:rsidRPr="008309D8">
        <w:rPr>
          <w:rFonts w:eastAsia="Times New Roman" w:cs="Arial"/>
          <w:color w:val="000000"/>
          <w:szCs w:val="20"/>
          <w:lang w:eastAsia="bg-BG"/>
        </w:rPr>
        <w:t xml:space="preserve">-енантиомерът се метаболизира главно от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 xml:space="preserve">и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C</w:t>
      </w:r>
      <w:r w:rsidRPr="008309D8">
        <w:rPr>
          <w:rFonts w:eastAsia="Times New Roman" w:cs="Arial"/>
          <w:color w:val="000000"/>
          <w:szCs w:val="20"/>
          <w:lang w:val="ru-RU"/>
        </w:rPr>
        <w:t>9.</w:t>
      </w:r>
    </w:p>
    <w:p w14:paraId="3860B22F" w14:textId="77777777" w:rsidR="008309D8" w:rsidRPr="008309D8" w:rsidRDefault="008309D8" w:rsidP="008309D8">
      <w:pPr>
        <w:spacing w:line="240" w:lineRule="auto"/>
        <w:rPr>
          <w:rFonts w:eastAsia="Times New Roman" w:cs="Arial"/>
          <w:color w:val="000000"/>
          <w:szCs w:val="20"/>
          <w:u w:val="single"/>
          <w:lang w:eastAsia="bg-BG"/>
        </w:rPr>
      </w:pPr>
    </w:p>
    <w:p w14:paraId="5D35500D" w14:textId="5FB831F0"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Генетичен полиморфизъм</w:t>
      </w:r>
    </w:p>
    <w:p w14:paraId="614CEFE4"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lastRenderedPageBreak/>
        <w:t xml:space="preserve">Резултатите от клиничните фармакокинетични изследвания при хора показват, че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 xml:space="preserve">играе важна роля в метаболизма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карведилол. Като следствие на бавните метаболизатори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 xml:space="preserve">се увеличават плазмените концентрации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eastAsia="bg-BG"/>
        </w:rPr>
        <w:t>-карведилол. Значението на С</w:t>
      </w:r>
      <w:r w:rsidRPr="008309D8">
        <w:rPr>
          <w:rFonts w:eastAsia="Times New Roman" w:cs="Arial"/>
          <w:color w:val="000000"/>
          <w:szCs w:val="20"/>
          <w:lang w:val="en-US"/>
        </w:rPr>
        <w:t>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 xml:space="preserve">генотип във фармакокинетиката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карведилол е било потвърдено във фармакокинетичните изследвания на населението, докато други изследвания не потвърждават това наблюдение. Направен е изводът, че генетичният полиморфизъм </w:t>
      </w:r>
      <w:r w:rsidRPr="008309D8">
        <w:rPr>
          <w:rFonts w:eastAsia="Times New Roman" w:cs="Arial"/>
          <w:color w:val="000000"/>
          <w:szCs w:val="20"/>
          <w:lang w:val="en-US"/>
        </w:rPr>
        <w:t>CYP</w:t>
      </w:r>
      <w:r w:rsidRPr="008309D8">
        <w:rPr>
          <w:rFonts w:eastAsia="Times New Roman" w:cs="Arial"/>
          <w:color w:val="000000"/>
          <w:szCs w:val="20"/>
          <w:lang w:val="ru-RU"/>
        </w:rPr>
        <w:t>2</w:t>
      </w:r>
      <w:r w:rsidRPr="008309D8">
        <w:rPr>
          <w:rFonts w:eastAsia="Times New Roman" w:cs="Arial"/>
          <w:color w:val="000000"/>
          <w:szCs w:val="20"/>
          <w:lang w:val="en-US"/>
        </w:rPr>
        <w:t>D</w:t>
      </w:r>
      <w:r w:rsidRPr="008309D8">
        <w:rPr>
          <w:rFonts w:eastAsia="Times New Roman" w:cs="Arial"/>
          <w:color w:val="000000"/>
          <w:szCs w:val="20"/>
          <w:lang w:val="ru-RU"/>
        </w:rPr>
        <w:t xml:space="preserve">6 </w:t>
      </w:r>
      <w:r w:rsidRPr="008309D8">
        <w:rPr>
          <w:rFonts w:eastAsia="Times New Roman" w:cs="Arial"/>
          <w:color w:val="000000"/>
          <w:szCs w:val="20"/>
          <w:lang w:eastAsia="bg-BG"/>
        </w:rPr>
        <w:t>може да има ограничено клинично значение.</w:t>
      </w:r>
    </w:p>
    <w:p w14:paraId="58920FF5" w14:textId="77777777" w:rsidR="008309D8" w:rsidRPr="008309D8" w:rsidRDefault="008309D8" w:rsidP="008309D8">
      <w:pPr>
        <w:spacing w:line="240" w:lineRule="auto"/>
        <w:rPr>
          <w:rFonts w:eastAsia="Times New Roman" w:cs="Arial"/>
          <w:i/>
          <w:iCs/>
          <w:color w:val="000000"/>
          <w:szCs w:val="20"/>
          <w:u w:val="single"/>
          <w:lang w:eastAsia="bg-BG"/>
        </w:rPr>
      </w:pPr>
    </w:p>
    <w:p w14:paraId="5F9BF09E" w14:textId="70A0816C" w:rsidR="008309D8" w:rsidRPr="008309D8" w:rsidRDefault="008309D8" w:rsidP="008309D8">
      <w:pPr>
        <w:pStyle w:val="Heading3"/>
        <w:rPr>
          <w:rFonts w:eastAsia="Times New Roman"/>
          <w:sz w:val="28"/>
          <w:u w:val="single"/>
        </w:rPr>
      </w:pPr>
      <w:r w:rsidRPr="008309D8">
        <w:rPr>
          <w:rFonts w:eastAsia="Times New Roman"/>
          <w:u w:val="single"/>
          <w:lang w:eastAsia="bg-BG"/>
        </w:rPr>
        <w:t>Елиминиране</w:t>
      </w:r>
    </w:p>
    <w:p w14:paraId="7C6AC1B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След единична, перорално приета доза от 50 </w:t>
      </w:r>
      <w:r w:rsidRPr="008309D8">
        <w:rPr>
          <w:rFonts w:eastAsia="Times New Roman" w:cs="Arial"/>
          <w:color w:val="000000"/>
          <w:szCs w:val="20"/>
          <w:lang w:val="en-US"/>
        </w:rPr>
        <w:t>mg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карведилол се отделя в жлъчката около 60% и се елиминира с фекалиите под формата на метаболити в рамките на 11 дни. След еднократна перорална доза, само около 16% се отделя в урината под формата на карведилол или неговите метаболити. Екскрецията на непроменения лекарствен продукт в урината представлява по- малко от 2%. След интравенозна инфузия на 12,5 </w:t>
      </w:r>
      <w:r w:rsidRPr="008309D8">
        <w:rPr>
          <w:rFonts w:eastAsia="Times New Roman" w:cs="Arial"/>
          <w:color w:val="000000"/>
          <w:szCs w:val="20"/>
          <w:lang w:val="en-US"/>
        </w:rPr>
        <w:t>mg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при здрави доброволци, плазменият клирънс на карведилол достига около 600 </w:t>
      </w:r>
      <w:r w:rsidRPr="008309D8">
        <w:rPr>
          <w:rFonts w:eastAsia="Times New Roman" w:cs="Arial"/>
          <w:color w:val="000000"/>
          <w:szCs w:val="20"/>
          <w:lang w:val="en-US"/>
        </w:rPr>
        <w:t>ml</w:t>
      </w:r>
      <w:r w:rsidRPr="008309D8">
        <w:rPr>
          <w:rFonts w:eastAsia="Times New Roman" w:cs="Arial"/>
          <w:color w:val="000000"/>
          <w:szCs w:val="20"/>
          <w:lang w:val="ru-RU"/>
        </w:rPr>
        <w:t>/</w:t>
      </w:r>
      <w:r w:rsidRPr="008309D8">
        <w:rPr>
          <w:rFonts w:eastAsia="Times New Roman" w:cs="Arial"/>
          <w:color w:val="000000"/>
          <w:szCs w:val="20"/>
          <w:lang w:val="en-US"/>
        </w:rPr>
        <w:t>min</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а елиминационният полуживот е около 2,5 часа. Времето на полуживот на карведилол при прием на капсули от 50 </w:t>
      </w:r>
      <w:r w:rsidRPr="008309D8">
        <w:rPr>
          <w:rFonts w:eastAsia="Times New Roman" w:cs="Arial"/>
          <w:color w:val="000000"/>
          <w:szCs w:val="20"/>
          <w:lang w:val="en-US"/>
        </w:rPr>
        <w:t>mg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наблюдавано при същите лица, е 6,5 часа и съответства на полупериода на абсорбция от капсулата. След перорално приложение общият клирънс на </w:t>
      </w:r>
      <w:r w:rsidRPr="008309D8">
        <w:rPr>
          <w:rFonts w:eastAsia="Times New Roman" w:cs="Arial"/>
          <w:color w:val="000000"/>
          <w:szCs w:val="20"/>
          <w:lang w:val="en-US"/>
        </w:rPr>
        <w:t>S</w:t>
      </w:r>
      <w:r w:rsidRPr="008309D8">
        <w:rPr>
          <w:rFonts w:eastAsia="Times New Roman" w:cs="Arial"/>
          <w:color w:val="000000"/>
          <w:szCs w:val="20"/>
          <w:lang w:eastAsia="bg-BG"/>
        </w:rPr>
        <w:t xml:space="preserve">-карведилол е приблизително два пъти по-голям от този на </w:t>
      </w:r>
      <w:r w:rsidRPr="008309D8">
        <w:rPr>
          <w:rFonts w:eastAsia="Times New Roman" w:cs="Arial"/>
          <w:color w:val="000000"/>
          <w:szCs w:val="20"/>
          <w:lang w:val="en-US"/>
        </w:rPr>
        <w:t>R</w:t>
      </w:r>
      <w:r w:rsidRPr="008309D8">
        <w:rPr>
          <w:rFonts w:eastAsia="Times New Roman" w:cs="Arial"/>
          <w:color w:val="000000"/>
          <w:szCs w:val="20"/>
          <w:lang w:eastAsia="bg-BG"/>
        </w:rPr>
        <w:t>-карведилол.</w:t>
      </w:r>
    </w:p>
    <w:p w14:paraId="6A323169" w14:textId="77777777" w:rsidR="008309D8" w:rsidRPr="008309D8" w:rsidRDefault="008309D8" w:rsidP="008309D8">
      <w:pPr>
        <w:spacing w:line="240" w:lineRule="auto"/>
        <w:rPr>
          <w:rFonts w:eastAsia="Times New Roman" w:cs="Arial"/>
          <w:i/>
          <w:iCs/>
          <w:color w:val="000000"/>
          <w:szCs w:val="20"/>
          <w:u w:val="single"/>
          <w:lang w:eastAsia="bg-BG"/>
        </w:rPr>
      </w:pPr>
    </w:p>
    <w:p w14:paraId="2696DEBA" w14:textId="767B106E"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Фармакокинетика при специални популации</w:t>
      </w:r>
    </w:p>
    <w:p w14:paraId="36B770A0" w14:textId="77777777" w:rsidR="008309D8" w:rsidRPr="008309D8" w:rsidRDefault="008309D8" w:rsidP="008309D8">
      <w:pPr>
        <w:spacing w:line="240" w:lineRule="auto"/>
        <w:rPr>
          <w:rFonts w:eastAsia="Times New Roman" w:cs="Arial"/>
          <w:i/>
          <w:iCs/>
          <w:color w:val="000000"/>
          <w:szCs w:val="20"/>
          <w:u w:val="single"/>
          <w:lang w:eastAsia="bg-BG"/>
        </w:rPr>
      </w:pPr>
    </w:p>
    <w:p w14:paraId="04EB5D9D" w14:textId="229E8740"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Бъбречно увреждане</w:t>
      </w:r>
    </w:p>
    <w:p w14:paraId="547313EB"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 дългосрочно лечение с карведилол бъбречната перфузия не е повлияна и гломерулната филтрация също остава непроменена.</w:t>
      </w:r>
    </w:p>
    <w:p w14:paraId="6295ACA9" w14:textId="77777777" w:rsidR="008309D8" w:rsidRPr="008309D8" w:rsidRDefault="008309D8" w:rsidP="008309D8">
      <w:pPr>
        <w:rPr>
          <w:rFonts w:eastAsia="Times New Roman" w:cs="Arial"/>
          <w:color w:val="000000"/>
          <w:szCs w:val="20"/>
          <w:lang w:eastAsia="bg-BG"/>
        </w:rPr>
      </w:pPr>
    </w:p>
    <w:p w14:paraId="0E8EBF51" w14:textId="230DB107" w:rsidR="008309D8" w:rsidRPr="008309D8" w:rsidRDefault="008309D8" w:rsidP="008309D8">
      <w:pPr>
        <w:rPr>
          <w:rFonts w:eastAsia="Times New Roman" w:cs="Arial"/>
          <w:color w:val="000000"/>
          <w:szCs w:val="20"/>
          <w:lang w:eastAsia="bg-BG"/>
        </w:rPr>
      </w:pPr>
      <w:r w:rsidRPr="008309D8">
        <w:rPr>
          <w:rFonts w:eastAsia="Times New Roman" w:cs="Arial"/>
          <w:color w:val="000000"/>
          <w:szCs w:val="20"/>
          <w:lang w:eastAsia="bg-BG"/>
        </w:rPr>
        <w:t xml:space="preserve">Плазмените </w:t>
      </w:r>
      <w:r w:rsidRPr="008309D8">
        <w:rPr>
          <w:rFonts w:eastAsia="Times New Roman" w:cs="Arial"/>
          <w:color w:val="000000"/>
          <w:szCs w:val="20"/>
          <w:lang w:val="en-US"/>
        </w:rPr>
        <w:t>AUC</w:t>
      </w:r>
      <w:r w:rsidRPr="008309D8">
        <w:rPr>
          <w:rFonts w:eastAsia="Times New Roman" w:cs="Arial"/>
          <w:color w:val="000000"/>
          <w:szCs w:val="20"/>
          <w:lang w:val="ru-RU"/>
        </w:rPr>
        <w:t xml:space="preserve"> </w:t>
      </w:r>
      <w:r w:rsidRPr="008309D8">
        <w:rPr>
          <w:rFonts w:eastAsia="Times New Roman" w:cs="Arial"/>
          <w:color w:val="000000"/>
          <w:szCs w:val="20"/>
          <w:lang w:eastAsia="bg-BG"/>
        </w:rPr>
        <w:t>нива, елиминационният полуживот и максималната плазмена концентрация (С</w:t>
      </w:r>
      <w:r w:rsidRPr="008309D8">
        <w:rPr>
          <w:rFonts w:eastAsia="Times New Roman" w:cs="Arial"/>
          <w:color w:val="000000"/>
          <w:szCs w:val="20"/>
          <w:vertAlign w:val="subscript"/>
          <w:lang w:val="en-US"/>
        </w:rPr>
        <w:t>max</w:t>
      </w:r>
      <w:r w:rsidRPr="008309D8">
        <w:rPr>
          <w:rFonts w:eastAsia="Times New Roman" w:cs="Arial"/>
          <w:color w:val="000000"/>
          <w:szCs w:val="20"/>
          <w:lang w:eastAsia="bg-BG"/>
        </w:rPr>
        <w:t>) не се променят в значителна степен при пациенти с хипертония и бъбречна недостатъчност. При последните елиминирането на карведилол чрез бъбреците е намалено, но фармако-кинетичните му параметри показват само малки промени.</w:t>
      </w:r>
    </w:p>
    <w:p w14:paraId="5F4D2704" w14:textId="2DDEBD9D" w:rsidR="008309D8" w:rsidRPr="008309D8" w:rsidRDefault="008309D8" w:rsidP="008309D8">
      <w:pPr>
        <w:rPr>
          <w:rFonts w:eastAsia="Times New Roman" w:cs="Arial"/>
          <w:color w:val="000000"/>
          <w:szCs w:val="20"/>
          <w:lang w:eastAsia="bg-BG"/>
        </w:rPr>
      </w:pPr>
    </w:p>
    <w:p w14:paraId="1250E00E"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Карведилол не се елиминира по време на диализата, тъй като не преминава през диализната мембрана, вероятно поради високата степен на свързване с плазмените протеини.</w:t>
      </w:r>
    </w:p>
    <w:p w14:paraId="45FC1A67" w14:textId="77777777" w:rsidR="008309D8" w:rsidRPr="008309D8" w:rsidRDefault="008309D8" w:rsidP="008309D8">
      <w:pPr>
        <w:spacing w:line="240" w:lineRule="auto"/>
        <w:rPr>
          <w:rFonts w:eastAsia="Times New Roman" w:cs="Arial"/>
          <w:i/>
          <w:iCs/>
          <w:color w:val="000000"/>
          <w:szCs w:val="20"/>
          <w:u w:val="single"/>
          <w:lang w:eastAsia="bg-BG"/>
        </w:rPr>
      </w:pPr>
    </w:p>
    <w:p w14:paraId="43B0297D" w14:textId="334054A5"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Чернодробно увреждане</w:t>
      </w:r>
    </w:p>
    <w:p w14:paraId="5834874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При тежки чернодробни увреждания бионаличността на карведилол е увеличена в голяма степен (до 80%) поради намаления </w:t>
      </w:r>
      <w:r w:rsidRPr="008309D8">
        <w:rPr>
          <w:rFonts w:eastAsia="Times New Roman" w:cs="Arial"/>
          <w:color w:val="000000"/>
          <w:szCs w:val="20"/>
          <w:lang w:val="ru-RU"/>
        </w:rPr>
        <w:t>„</w:t>
      </w:r>
      <w:r w:rsidRPr="008309D8">
        <w:rPr>
          <w:rFonts w:eastAsia="Times New Roman" w:cs="Arial"/>
          <w:color w:val="000000"/>
          <w:szCs w:val="20"/>
          <w:lang w:val="en-US"/>
        </w:rPr>
        <w:t>first</w:t>
      </w:r>
      <w:r w:rsidRPr="008309D8">
        <w:rPr>
          <w:rFonts w:eastAsia="Times New Roman" w:cs="Arial"/>
          <w:color w:val="000000"/>
          <w:szCs w:val="20"/>
          <w:lang w:val="ru-RU"/>
        </w:rPr>
        <w:t>-</w:t>
      </w:r>
      <w:r w:rsidRPr="008309D8">
        <w:rPr>
          <w:rFonts w:eastAsia="Times New Roman" w:cs="Arial"/>
          <w:color w:val="000000"/>
          <w:szCs w:val="20"/>
          <w:lang w:val="en-US"/>
        </w:rPr>
        <w:t>pass</w:t>
      </w:r>
      <w:r w:rsidRPr="008309D8">
        <w:rPr>
          <w:rFonts w:eastAsia="Times New Roman" w:cs="Arial"/>
          <w:color w:val="000000"/>
          <w:szCs w:val="20"/>
          <w:lang w:val="ru-RU"/>
        </w:rPr>
        <w:t xml:space="preserve">“ </w:t>
      </w:r>
      <w:r w:rsidRPr="008309D8">
        <w:rPr>
          <w:rFonts w:eastAsia="Times New Roman" w:cs="Arial"/>
          <w:color w:val="000000"/>
          <w:szCs w:val="20"/>
          <w:lang w:eastAsia="bg-BG"/>
        </w:rPr>
        <w:t>ефект. При чернодробна цироза бионаличността му е 4 пъти по-висока, а пиковата му плазмената концентрация е 5 пъти по-висока от тази при пациенти с неувредена чернодробна функция. Следователно приложението на лекарството при тежка чернодробна недостатъчност е противопоказано (вж. точки 4.2 и 4.3).</w:t>
      </w:r>
    </w:p>
    <w:p w14:paraId="202A5B15" w14:textId="77777777" w:rsidR="008309D8" w:rsidRPr="008309D8" w:rsidRDefault="008309D8" w:rsidP="008309D8">
      <w:pPr>
        <w:spacing w:line="240" w:lineRule="auto"/>
        <w:rPr>
          <w:rFonts w:eastAsia="Times New Roman" w:cs="Arial"/>
          <w:i/>
          <w:iCs/>
          <w:color w:val="000000"/>
          <w:szCs w:val="20"/>
          <w:lang w:eastAsia="bg-BG"/>
        </w:rPr>
      </w:pPr>
    </w:p>
    <w:p w14:paraId="7236E46B" w14:textId="738DC0CD"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lang w:eastAsia="bg-BG"/>
        </w:rPr>
        <w:t>Сърдечна недостатъчност</w:t>
      </w:r>
    </w:p>
    <w:p w14:paraId="3EE5C21A"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В проучване при 24 пациенти със сърдечна недостатъчност клирънсът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eastAsia="bg-BG"/>
        </w:rPr>
        <w:t xml:space="preserve">-карведилол е бил значимо по-нисък от изчисления преди това при здрави доброволци. Тези резултати показват, че фармакокинетиката на </w:t>
      </w:r>
      <w:r w:rsidRPr="008309D8">
        <w:rPr>
          <w:rFonts w:eastAsia="Times New Roman" w:cs="Arial"/>
          <w:color w:val="000000"/>
          <w:szCs w:val="20"/>
          <w:lang w:val="en-US"/>
        </w:rPr>
        <w:t>R</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S</w:t>
      </w:r>
      <w:r w:rsidRPr="008309D8">
        <w:rPr>
          <w:rFonts w:eastAsia="Times New Roman" w:cs="Arial"/>
          <w:color w:val="000000"/>
          <w:szCs w:val="20"/>
          <w:lang w:eastAsia="bg-BG"/>
        </w:rPr>
        <w:t>-карведилол се променя значимо при сърдечна недостатъчност.</w:t>
      </w:r>
    </w:p>
    <w:p w14:paraId="35B2A2E5" w14:textId="77777777" w:rsidR="008309D8" w:rsidRPr="008309D8" w:rsidRDefault="008309D8" w:rsidP="008309D8">
      <w:pPr>
        <w:spacing w:line="240" w:lineRule="auto"/>
        <w:rPr>
          <w:rFonts w:eastAsia="Times New Roman" w:cs="Arial"/>
          <w:i/>
          <w:iCs/>
          <w:color w:val="000000"/>
          <w:szCs w:val="20"/>
          <w:u w:val="single"/>
          <w:lang w:eastAsia="bg-BG"/>
        </w:rPr>
      </w:pPr>
    </w:p>
    <w:p w14:paraId="0F542236" w14:textId="13F4E99B"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lastRenderedPageBreak/>
        <w:t>Старческа възраст</w:t>
      </w:r>
    </w:p>
    <w:p w14:paraId="29B11F07"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При пациенти с хипертония фармакокинетиката на карведилол не се променя от възрастта.</w:t>
      </w:r>
    </w:p>
    <w:p w14:paraId="6382202E" w14:textId="77777777" w:rsidR="008309D8" w:rsidRPr="008309D8" w:rsidRDefault="008309D8" w:rsidP="008309D8">
      <w:pPr>
        <w:spacing w:line="240" w:lineRule="auto"/>
        <w:rPr>
          <w:rFonts w:eastAsia="Times New Roman" w:cs="Arial"/>
          <w:i/>
          <w:iCs/>
          <w:color w:val="000000"/>
          <w:szCs w:val="20"/>
          <w:u w:val="single"/>
          <w:lang w:eastAsia="bg-BG"/>
        </w:rPr>
      </w:pPr>
    </w:p>
    <w:p w14:paraId="0B0005DF" w14:textId="211FFEE3" w:rsidR="008309D8" w:rsidRPr="008309D8" w:rsidRDefault="008309D8" w:rsidP="008309D8">
      <w:pPr>
        <w:spacing w:line="240" w:lineRule="auto"/>
        <w:rPr>
          <w:rFonts w:eastAsia="Times New Roman" w:cs="Arial"/>
          <w:sz w:val="28"/>
          <w:szCs w:val="24"/>
        </w:rPr>
      </w:pPr>
      <w:r w:rsidRPr="008309D8">
        <w:rPr>
          <w:rFonts w:eastAsia="Times New Roman" w:cs="Arial"/>
          <w:i/>
          <w:iCs/>
          <w:color w:val="000000"/>
          <w:szCs w:val="20"/>
          <w:u w:val="single"/>
          <w:lang w:eastAsia="bg-BG"/>
        </w:rPr>
        <w:t>Педиатрична популаиия</w:t>
      </w:r>
    </w:p>
    <w:p w14:paraId="1AEDE394" w14:textId="77777777" w:rsidR="008309D8" w:rsidRPr="008309D8" w:rsidRDefault="008309D8" w:rsidP="008309D8">
      <w:pPr>
        <w:spacing w:line="240" w:lineRule="auto"/>
        <w:rPr>
          <w:rFonts w:ascii="Times New Roman" w:eastAsia="Times New Roman" w:hAnsi="Times New Roman" w:cs="Times New Roman"/>
          <w:sz w:val="24"/>
          <w:szCs w:val="24"/>
        </w:rPr>
      </w:pPr>
      <w:r w:rsidRPr="008309D8">
        <w:rPr>
          <w:rFonts w:eastAsia="Times New Roman" w:cs="Arial"/>
          <w:color w:val="000000"/>
          <w:szCs w:val="20"/>
          <w:lang w:eastAsia="bg-BG"/>
        </w:rPr>
        <w:t>Има ограничени фармакокинетични данни при пациенти под 18 години. Педиатрично проучване е показало, че адаптираният спрямо теглото клирънс е значително по-голям при децата в сравнение с възрастните.</w:t>
      </w:r>
    </w:p>
    <w:p w14:paraId="551CFEDC" w14:textId="77777777" w:rsidR="008309D8" w:rsidRPr="008309D8" w:rsidRDefault="008309D8" w:rsidP="008309D8"/>
    <w:p w14:paraId="4F31844C" w14:textId="52F9A5F8" w:rsidR="00875EEC" w:rsidRDefault="002C50EE" w:rsidP="005726E3">
      <w:pPr>
        <w:pStyle w:val="Heading2"/>
      </w:pPr>
      <w:r>
        <w:t>5.3. Предклинични данни за безопасност</w:t>
      </w:r>
    </w:p>
    <w:p w14:paraId="4E610F28" w14:textId="7C8F593B" w:rsidR="008309D8" w:rsidRDefault="008309D8" w:rsidP="008309D8"/>
    <w:p w14:paraId="1658F808"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Канцерогенност</w:t>
      </w:r>
    </w:p>
    <w:p w14:paraId="6E2FFE01"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В проучвания за канцерогенност, проведени при плъхове и мишки, с приложени дози до 75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eastAsia="bg-BG"/>
        </w:rPr>
        <w:t xml:space="preserve">/ден и 200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eastAsia="bg-BG"/>
        </w:rPr>
        <w:t xml:space="preserve">/ден, съответно (38 до 100 пъти максималната препоръчвана доза при човек </w:t>
      </w:r>
      <w:r w:rsidRPr="008309D8">
        <w:rPr>
          <w:rFonts w:eastAsia="Times New Roman" w:cs="Arial"/>
          <w:color w:val="000000"/>
          <w:szCs w:val="20"/>
          <w:lang w:val="ru-RU"/>
        </w:rPr>
        <w:t>(</w:t>
      </w:r>
      <w:r w:rsidRPr="008309D8">
        <w:rPr>
          <w:rFonts w:eastAsia="Times New Roman" w:cs="Arial"/>
          <w:color w:val="000000"/>
          <w:szCs w:val="20"/>
          <w:lang w:val="en-US"/>
        </w:rPr>
        <w:t>MRHD</w:t>
      </w:r>
      <w:r w:rsidRPr="008309D8">
        <w:rPr>
          <w:rFonts w:eastAsia="Times New Roman" w:cs="Arial"/>
          <w:color w:val="000000"/>
          <w:szCs w:val="20"/>
          <w:lang w:val="ru-RU"/>
        </w:rPr>
        <w:t xml:space="preserve">)), </w:t>
      </w:r>
      <w:r w:rsidRPr="008309D8">
        <w:rPr>
          <w:rFonts w:eastAsia="Times New Roman" w:cs="Arial"/>
          <w:color w:val="000000"/>
          <w:szCs w:val="20"/>
          <w:lang w:eastAsia="bg-BG"/>
        </w:rPr>
        <w:t>карведилол няма карциногенен ефект.</w:t>
      </w:r>
    </w:p>
    <w:p w14:paraId="0832BEB1" w14:textId="77777777" w:rsidR="008309D8" w:rsidRPr="008309D8" w:rsidRDefault="008309D8" w:rsidP="008309D8">
      <w:pPr>
        <w:spacing w:line="240" w:lineRule="auto"/>
        <w:rPr>
          <w:rFonts w:eastAsia="Times New Roman" w:cs="Arial"/>
          <w:color w:val="000000"/>
          <w:szCs w:val="20"/>
          <w:u w:val="single"/>
          <w:lang w:eastAsia="bg-BG"/>
        </w:rPr>
      </w:pPr>
    </w:p>
    <w:p w14:paraId="423067EC" w14:textId="67782BBC"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Мутагенност</w:t>
      </w:r>
    </w:p>
    <w:p w14:paraId="560F9071"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val="en-US"/>
        </w:rPr>
        <w:t>In</w:t>
      </w:r>
      <w:r w:rsidRPr="008309D8">
        <w:rPr>
          <w:rFonts w:eastAsia="Times New Roman" w:cs="Arial"/>
          <w:color w:val="000000"/>
          <w:szCs w:val="20"/>
          <w:lang w:val="ru-RU"/>
        </w:rPr>
        <w:t xml:space="preserve"> </w:t>
      </w:r>
      <w:r w:rsidRPr="008309D8">
        <w:rPr>
          <w:rFonts w:eastAsia="Times New Roman" w:cs="Arial"/>
          <w:color w:val="000000"/>
          <w:szCs w:val="20"/>
          <w:lang w:val="en-US"/>
        </w:rPr>
        <w:t>vitro</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w:t>
      </w:r>
      <w:r w:rsidRPr="008309D8">
        <w:rPr>
          <w:rFonts w:eastAsia="Times New Roman" w:cs="Arial"/>
          <w:color w:val="000000"/>
          <w:szCs w:val="20"/>
          <w:lang w:val="en-US"/>
        </w:rPr>
        <w:t>in</w:t>
      </w:r>
      <w:r w:rsidRPr="008309D8">
        <w:rPr>
          <w:rFonts w:eastAsia="Times New Roman" w:cs="Arial"/>
          <w:color w:val="000000"/>
          <w:szCs w:val="20"/>
          <w:lang w:val="ru-RU"/>
        </w:rPr>
        <w:t xml:space="preserve"> </w:t>
      </w:r>
      <w:r w:rsidRPr="008309D8">
        <w:rPr>
          <w:rFonts w:eastAsia="Times New Roman" w:cs="Arial"/>
          <w:color w:val="000000"/>
          <w:szCs w:val="20"/>
          <w:lang w:val="en-US"/>
        </w:rPr>
        <w:t>vivo</w:t>
      </w:r>
      <w:r w:rsidRPr="008309D8">
        <w:rPr>
          <w:rFonts w:eastAsia="Times New Roman" w:cs="Arial"/>
          <w:color w:val="000000"/>
          <w:szCs w:val="20"/>
          <w:lang w:val="ru-RU"/>
        </w:rPr>
        <w:t xml:space="preserve"> </w:t>
      </w:r>
      <w:r w:rsidRPr="008309D8">
        <w:rPr>
          <w:rFonts w:eastAsia="Times New Roman" w:cs="Arial"/>
          <w:color w:val="000000"/>
          <w:szCs w:val="20"/>
          <w:lang w:eastAsia="bg-BG"/>
        </w:rPr>
        <w:t>опити при бозайници и не-бозайници не показват данни за мутагенност на карведилол.</w:t>
      </w:r>
    </w:p>
    <w:p w14:paraId="716B1911" w14:textId="77777777" w:rsidR="008309D8" w:rsidRPr="008309D8" w:rsidRDefault="008309D8" w:rsidP="008309D8">
      <w:pPr>
        <w:spacing w:line="240" w:lineRule="auto"/>
        <w:rPr>
          <w:rFonts w:eastAsia="Times New Roman" w:cs="Arial"/>
          <w:color w:val="000000"/>
          <w:szCs w:val="20"/>
          <w:u w:val="single"/>
          <w:lang w:eastAsia="bg-BG"/>
        </w:rPr>
      </w:pPr>
    </w:p>
    <w:p w14:paraId="2E25125F" w14:textId="1DCA354A"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Фертилитет</w:t>
      </w:r>
    </w:p>
    <w:p w14:paraId="5F3E9FC0"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Приемането на токсични дози карведилол от възрастни женски плъхове (≥200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100 пъти по-високи от </w:t>
      </w:r>
      <w:r w:rsidRPr="008309D8">
        <w:rPr>
          <w:rFonts w:eastAsia="Times New Roman" w:cs="Arial"/>
          <w:color w:val="000000"/>
          <w:szCs w:val="20"/>
          <w:lang w:val="en-US"/>
        </w:rPr>
        <w:t>MRHD</w:t>
      </w:r>
      <w:r w:rsidRPr="008309D8">
        <w:rPr>
          <w:rFonts w:eastAsia="Times New Roman" w:cs="Arial"/>
          <w:color w:val="000000"/>
          <w:szCs w:val="20"/>
          <w:lang w:val="ru-RU"/>
        </w:rPr>
        <w:t xml:space="preserve">) </w:t>
      </w:r>
      <w:r w:rsidRPr="008309D8">
        <w:rPr>
          <w:rFonts w:eastAsia="Times New Roman" w:cs="Arial"/>
          <w:color w:val="000000"/>
          <w:szCs w:val="20"/>
          <w:lang w:eastAsia="bg-BG"/>
        </w:rPr>
        <w:t>е причинило увреждане на фертилността (нарушено чифтосване, по-малко жълти тела и по-малко зарод</w:t>
      </w:r>
      <w:r w:rsidRPr="008309D8">
        <w:rPr>
          <w:rFonts w:eastAsia="Times New Roman" w:cs="Arial"/>
          <w:color w:val="000000"/>
          <w:szCs w:val="20"/>
          <w:u w:val="single"/>
          <w:lang w:eastAsia="bg-BG"/>
        </w:rPr>
        <w:t>иши</w:t>
      </w:r>
      <w:r w:rsidRPr="008309D8">
        <w:rPr>
          <w:rFonts w:eastAsia="Times New Roman" w:cs="Arial"/>
          <w:color w:val="000000"/>
          <w:szCs w:val="20"/>
          <w:lang w:eastAsia="bg-BG"/>
        </w:rPr>
        <w:t>).</w:t>
      </w:r>
    </w:p>
    <w:p w14:paraId="043D162E" w14:textId="77777777" w:rsidR="008309D8" w:rsidRPr="008309D8" w:rsidRDefault="008309D8" w:rsidP="008309D8">
      <w:pPr>
        <w:spacing w:line="240" w:lineRule="auto"/>
        <w:rPr>
          <w:rFonts w:eastAsia="Times New Roman" w:cs="Arial"/>
          <w:color w:val="000000"/>
          <w:szCs w:val="20"/>
          <w:u w:val="single"/>
          <w:lang w:eastAsia="bg-BG"/>
        </w:rPr>
      </w:pPr>
    </w:p>
    <w:p w14:paraId="00836F68" w14:textId="34ADA26E"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u w:val="single"/>
          <w:lang w:eastAsia="bg-BG"/>
        </w:rPr>
        <w:t>Тератогенност</w:t>
      </w:r>
    </w:p>
    <w:p w14:paraId="4D559669" w14:textId="77777777" w:rsidR="008309D8" w:rsidRPr="008309D8" w:rsidRDefault="008309D8" w:rsidP="008309D8">
      <w:pPr>
        <w:spacing w:line="240" w:lineRule="auto"/>
        <w:rPr>
          <w:rFonts w:eastAsia="Times New Roman" w:cs="Arial"/>
          <w:sz w:val="28"/>
          <w:szCs w:val="24"/>
        </w:rPr>
      </w:pPr>
      <w:r w:rsidRPr="008309D8">
        <w:rPr>
          <w:rFonts w:eastAsia="Times New Roman" w:cs="Arial"/>
          <w:color w:val="000000"/>
          <w:szCs w:val="20"/>
          <w:lang w:eastAsia="bg-BG"/>
        </w:rPr>
        <w:t xml:space="preserve">Изследванията при животни не са показали данни, че карведилол има каквито и да било тератогенни ефекти. Дози &gt;60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(&gt;30 пъти </w:t>
      </w:r>
      <w:r w:rsidRPr="008309D8">
        <w:rPr>
          <w:rFonts w:eastAsia="Times New Roman" w:cs="Arial"/>
          <w:color w:val="000000"/>
          <w:szCs w:val="20"/>
          <w:lang w:val="en-US"/>
        </w:rPr>
        <w:t>MRHD</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са причинили закъснения във физическия растеж/развитие на потомството. Наблюдавана е ембриотоксичност (повишаване на смъртните случаи след имплантация) при плъхове и зайци при дози от 200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и 75 </w:t>
      </w:r>
      <w:r w:rsidRPr="008309D8">
        <w:rPr>
          <w:rFonts w:eastAsia="Times New Roman" w:cs="Arial"/>
          <w:color w:val="000000"/>
          <w:szCs w:val="20"/>
          <w:lang w:val="en-US"/>
        </w:rPr>
        <w:t>mg</w:t>
      </w:r>
      <w:r w:rsidRPr="008309D8">
        <w:rPr>
          <w:rFonts w:eastAsia="Times New Roman" w:cs="Arial"/>
          <w:color w:val="000000"/>
          <w:szCs w:val="20"/>
          <w:lang w:val="ru-RU"/>
        </w:rPr>
        <w:t>/</w:t>
      </w:r>
      <w:r w:rsidRPr="008309D8">
        <w:rPr>
          <w:rFonts w:eastAsia="Times New Roman" w:cs="Arial"/>
          <w:color w:val="000000"/>
          <w:szCs w:val="20"/>
          <w:lang w:val="en-US"/>
        </w:rPr>
        <w:t>kg</w:t>
      </w:r>
      <w:r w:rsidRPr="008309D8">
        <w:rPr>
          <w:rFonts w:eastAsia="Times New Roman" w:cs="Arial"/>
          <w:color w:val="000000"/>
          <w:szCs w:val="20"/>
          <w:lang w:val="ru-RU"/>
        </w:rPr>
        <w:t xml:space="preserve">, </w:t>
      </w:r>
      <w:r w:rsidRPr="008309D8">
        <w:rPr>
          <w:rFonts w:eastAsia="Times New Roman" w:cs="Arial"/>
          <w:color w:val="000000"/>
          <w:szCs w:val="20"/>
          <w:lang w:eastAsia="bg-BG"/>
        </w:rPr>
        <w:t xml:space="preserve">съответно (38 до 100 пъти </w:t>
      </w:r>
      <w:r w:rsidRPr="008309D8">
        <w:rPr>
          <w:rFonts w:eastAsia="Times New Roman" w:cs="Arial"/>
          <w:color w:val="000000"/>
          <w:szCs w:val="20"/>
          <w:lang w:val="en-US"/>
        </w:rPr>
        <w:t>MRHD</w:t>
      </w:r>
      <w:r w:rsidRPr="008309D8">
        <w:rPr>
          <w:rFonts w:eastAsia="Times New Roman" w:cs="Arial"/>
          <w:color w:val="000000"/>
          <w:szCs w:val="20"/>
          <w:lang w:val="ru-RU"/>
        </w:rPr>
        <w:t xml:space="preserve">), </w:t>
      </w:r>
      <w:r w:rsidRPr="008309D8">
        <w:rPr>
          <w:rFonts w:eastAsia="Times New Roman" w:cs="Arial"/>
          <w:color w:val="000000"/>
          <w:szCs w:val="20"/>
          <w:lang w:eastAsia="bg-BG"/>
        </w:rPr>
        <w:t>но малформации при тях не са наблюдавани.</w:t>
      </w:r>
    </w:p>
    <w:p w14:paraId="225F1543" w14:textId="77777777" w:rsidR="008309D8" w:rsidRPr="008309D8" w:rsidRDefault="008309D8" w:rsidP="008309D8"/>
    <w:p w14:paraId="1BA6531D" w14:textId="0AD45FCA" w:rsidR="00B6672E" w:rsidRDefault="002C50EE" w:rsidP="00936AD0">
      <w:pPr>
        <w:pStyle w:val="Heading1"/>
      </w:pPr>
      <w:r>
        <w:t>7. ПРИТЕЖАТЕЛ НА РАЗРЕШЕНИЕТО ЗА УПОТРЕБА</w:t>
      </w:r>
    </w:p>
    <w:p w14:paraId="106B8E72" w14:textId="09445886" w:rsidR="008309D8" w:rsidRDefault="008309D8" w:rsidP="008309D8"/>
    <w:p w14:paraId="66675153" w14:textId="77777777" w:rsidR="008309D8" w:rsidRPr="008309D8" w:rsidRDefault="008309D8" w:rsidP="008309D8">
      <w:pPr>
        <w:rPr>
          <w:sz w:val="24"/>
          <w:szCs w:val="24"/>
          <w:lang w:val="en-US"/>
        </w:rPr>
      </w:pPr>
      <w:r w:rsidRPr="008309D8">
        <w:rPr>
          <w:lang w:val="en-US"/>
        </w:rPr>
        <w:t>Egis Pharmaceuticals PLC</w:t>
      </w:r>
    </w:p>
    <w:p w14:paraId="24A7C96D" w14:textId="77777777" w:rsidR="008309D8" w:rsidRPr="008309D8" w:rsidRDefault="008309D8" w:rsidP="008309D8">
      <w:pPr>
        <w:rPr>
          <w:sz w:val="24"/>
          <w:szCs w:val="24"/>
          <w:lang w:val="en-US"/>
        </w:rPr>
      </w:pPr>
      <w:r w:rsidRPr="008309D8">
        <w:rPr>
          <w:lang w:eastAsia="bg-BG"/>
        </w:rPr>
        <w:t xml:space="preserve">1106 </w:t>
      </w:r>
      <w:r w:rsidRPr="008309D8">
        <w:rPr>
          <w:lang w:val="en-US"/>
        </w:rPr>
        <w:t xml:space="preserve">Budapest, </w:t>
      </w:r>
      <w:proofErr w:type="spellStart"/>
      <w:r w:rsidRPr="008309D8">
        <w:rPr>
          <w:lang w:val="en-US"/>
        </w:rPr>
        <w:t>Kereszturi</w:t>
      </w:r>
      <w:proofErr w:type="spellEnd"/>
      <w:r w:rsidRPr="008309D8">
        <w:rPr>
          <w:lang w:val="en-US"/>
        </w:rPr>
        <w:t xml:space="preserve"> </w:t>
      </w:r>
      <w:proofErr w:type="spellStart"/>
      <w:r w:rsidRPr="008309D8">
        <w:rPr>
          <w:lang w:val="en-US"/>
        </w:rPr>
        <w:t>ut</w:t>
      </w:r>
      <w:proofErr w:type="spellEnd"/>
      <w:r w:rsidRPr="008309D8">
        <w:rPr>
          <w:lang w:val="en-US"/>
        </w:rPr>
        <w:t xml:space="preserve"> 30-38.</w:t>
      </w:r>
    </w:p>
    <w:p w14:paraId="1E04CD7F" w14:textId="53E72021" w:rsidR="008309D8" w:rsidRPr="008309D8" w:rsidRDefault="008309D8" w:rsidP="008309D8">
      <w:r w:rsidRPr="008309D8">
        <w:rPr>
          <w:lang w:eastAsia="bg-BG"/>
        </w:rPr>
        <w:t>Унгария</w:t>
      </w:r>
    </w:p>
    <w:p w14:paraId="508F3A54" w14:textId="64C88168" w:rsidR="00B6672E" w:rsidRDefault="00936AD0" w:rsidP="00936AD0">
      <w:pPr>
        <w:pStyle w:val="Heading1"/>
      </w:pPr>
      <w:r>
        <w:t>8.</w:t>
      </w:r>
      <w:r w:rsidR="002C50EE">
        <w:t>НОМЕР НА РАЗРЕШЕНИЕТО ЗА УПОТРЕБА</w:t>
      </w:r>
    </w:p>
    <w:p w14:paraId="7B195070" w14:textId="152FDAD7" w:rsidR="008309D8" w:rsidRDefault="008309D8" w:rsidP="008309D8"/>
    <w:p w14:paraId="5C8D98EE" w14:textId="77777777" w:rsidR="008309D8" w:rsidRPr="008309D8" w:rsidRDefault="008309D8" w:rsidP="008309D8">
      <w:pPr>
        <w:rPr>
          <w:sz w:val="24"/>
          <w:szCs w:val="24"/>
        </w:rPr>
      </w:pPr>
      <w:r w:rsidRPr="008309D8">
        <w:rPr>
          <w:lang w:eastAsia="bg-BG"/>
        </w:rPr>
        <w:t xml:space="preserve">Талитон 6,25 </w:t>
      </w:r>
      <w:r w:rsidRPr="008309D8">
        <w:rPr>
          <w:lang w:val="en-US"/>
        </w:rPr>
        <w:t>mg</w:t>
      </w:r>
      <w:r w:rsidRPr="008309D8">
        <w:t xml:space="preserve"> </w:t>
      </w:r>
      <w:r w:rsidRPr="008309D8">
        <w:rPr>
          <w:lang w:eastAsia="bg-BG"/>
        </w:rPr>
        <w:t xml:space="preserve">таблетки: </w:t>
      </w:r>
      <w:r w:rsidRPr="008309D8">
        <w:rPr>
          <w:lang w:val="en-US"/>
        </w:rPr>
        <w:t>Per</w:t>
      </w:r>
      <w:r w:rsidRPr="008309D8">
        <w:t xml:space="preserve">. </w:t>
      </w:r>
      <w:r w:rsidRPr="008309D8">
        <w:rPr>
          <w:lang w:eastAsia="bg-BG"/>
        </w:rPr>
        <w:t>№: 20040249</w:t>
      </w:r>
    </w:p>
    <w:p w14:paraId="3F30DCF8" w14:textId="77777777" w:rsidR="008309D8" w:rsidRPr="008309D8" w:rsidRDefault="008309D8" w:rsidP="008309D8">
      <w:pPr>
        <w:rPr>
          <w:sz w:val="24"/>
          <w:szCs w:val="24"/>
        </w:rPr>
      </w:pPr>
      <w:r w:rsidRPr="008309D8">
        <w:rPr>
          <w:lang w:eastAsia="bg-BG"/>
        </w:rPr>
        <w:t xml:space="preserve">Талитон 12,5 </w:t>
      </w:r>
      <w:r w:rsidRPr="008309D8">
        <w:rPr>
          <w:lang w:val="en-US"/>
        </w:rPr>
        <w:t>mg</w:t>
      </w:r>
      <w:r w:rsidRPr="008309D8">
        <w:t xml:space="preserve"> </w:t>
      </w:r>
      <w:r w:rsidRPr="008309D8">
        <w:rPr>
          <w:lang w:eastAsia="bg-BG"/>
        </w:rPr>
        <w:t xml:space="preserve">таблетки: </w:t>
      </w:r>
      <w:r w:rsidRPr="008309D8">
        <w:rPr>
          <w:lang w:val="en-US"/>
        </w:rPr>
        <w:t>Per</w:t>
      </w:r>
      <w:r w:rsidRPr="008309D8">
        <w:t xml:space="preserve">. </w:t>
      </w:r>
      <w:r w:rsidRPr="008309D8">
        <w:rPr>
          <w:lang w:eastAsia="bg-BG"/>
        </w:rPr>
        <w:t>№: 20040250</w:t>
      </w:r>
    </w:p>
    <w:p w14:paraId="5099EF42" w14:textId="77777777" w:rsidR="008309D8" w:rsidRPr="008309D8" w:rsidRDefault="008309D8" w:rsidP="008309D8">
      <w:pPr>
        <w:rPr>
          <w:sz w:val="24"/>
          <w:szCs w:val="24"/>
        </w:rPr>
      </w:pPr>
      <w:r w:rsidRPr="008309D8">
        <w:rPr>
          <w:lang w:eastAsia="bg-BG"/>
        </w:rPr>
        <w:t xml:space="preserve">Талитон 25 </w:t>
      </w:r>
      <w:r w:rsidRPr="008309D8">
        <w:rPr>
          <w:lang w:val="en-US"/>
        </w:rPr>
        <w:t>mg</w:t>
      </w:r>
      <w:r w:rsidRPr="008309D8">
        <w:rPr>
          <w:lang w:val="ru-RU"/>
        </w:rPr>
        <w:t xml:space="preserve"> </w:t>
      </w:r>
      <w:r w:rsidRPr="008309D8">
        <w:rPr>
          <w:lang w:eastAsia="bg-BG"/>
        </w:rPr>
        <w:t xml:space="preserve">таблетки: </w:t>
      </w:r>
      <w:r w:rsidRPr="008309D8">
        <w:rPr>
          <w:lang w:val="en-US"/>
        </w:rPr>
        <w:t>Per</w:t>
      </w:r>
      <w:r w:rsidRPr="008309D8">
        <w:rPr>
          <w:lang w:val="ru-RU"/>
        </w:rPr>
        <w:t xml:space="preserve">. </w:t>
      </w:r>
      <w:r w:rsidRPr="008309D8">
        <w:rPr>
          <w:lang w:eastAsia="bg-BG"/>
        </w:rPr>
        <w:t>№: 20040251</w:t>
      </w:r>
    </w:p>
    <w:p w14:paraId="67EB3136" w14:textId="77777777" w:rsidR="008309D8" w:rsidRPr="008309D8" w:rsidRDefault="008309D8" w:rsidP="008309D8"/>
    <w:p w14:paraId="3BC5EC53" w14:textId="3C7C96A9" w:rsidR="00875EEC" w:rsidRDefault="002C50EE" w:rsidP="005726E3">
      <w:pPr>
        <w:pStyle w:val="Heading1"/>
      </w:pPr>
      <w:r>
        <w:lastRenderedPageBreak/>
        <w:t>9. ДАТА НА ПЪРВО РАЗРЕШАВАНЕ/ПОДНОВЯВАНЕ НА РАЗРЕШЕНИЕТО ЗА УПОТРЕБА</w:t>
      </w:r>
    </w:p>
    <w:p w14:paraId="12ACA983" w14:textId="04EFD172" w:rsidR="008309D8" w:rsidRDefault="008309D8" w:rsidP="008309D8"/>
    <w:p w14:paraId="083573CA" w14:textId="77777777" w:rsidR="008309D8" w:rsidRPr="008309D8" w:rsidRDefault="008309D8" w:rsidP="008309D8">
      <w:pPr>
        <w:rPr>
          <w:sz w:val="24"/>
          <w:szCs w:val="24"/>
        </w:rPr>
      </w:pPr>
      <w:r w:rsidRPr="008309D8">
        <w:rPr>
          <w:lang w:eastAsia="bg-BG"/>
        </w:rPr>
        <w:t>Дата на първа регистрация: 25 май 2004 г.</w:t>
      </w:r>
    </w:p>
    <w:p w14:paraId="7F42C77F" w14:textId="05A7D478" w:rsidR="008309D8" w:rsidRPr="008309D8" w:rsidRDefault="008309D8" w:rsidP="008309D8">
      <w:r w:rsidRPr="008309D8">
        <w:rPr>
          <w:lang w:eastAsia="bg-BG"/>
        </w:rPr>
        <w:t>Дата на последно подновяване: 09.06.2010 г.</w:t>
      </w:r>
    </w:p>
    <w:p w14:paraId="43FB38A2" w14:textId="128EA908" w:rsidR="007C605B" w:rsidRDefault="002C50EE" w:rsidP="005726E3">
      <w:pPr>
        <w:pStyle w:val="Heading1"/>
      </w:pPr>
      <w:r>
        <w:t>10. ДАТА НА АКТУАЛИЗИРАНЕ НА ТЕКСТА</w:t>
      </w:r>
      <w:bookmarkEnd w:id="0"/>
    </w:p>
    <w:p w14:paraId="05F75C8B" w14:textId="719BEDC4" w:rsidR="008309D8" w:rsidRPr="008309D8" w:rsidRDefault="008309D8" w:rsidP="008309D8">
      <w:r>
        <w:t>Май, 2021 г.</w:t>
      </w:r>
      <w:bookmarkStart w:id="11" w:name="_GoBack"/>
      <w:bookmarkEnd w:id="11"/>
    </w:p>
    <w:sectPr w:rsidR="008309D8" w:rsidRPr="008309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7CD7CBA"/>
    <w:multiLevelType w:val="hybridMultilevel"/>
    <w:tmpl w:val="6B1A329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5"/>
  </w:num>
  <w:num w:numId="4">
    <w:abstractNumId w:val="3"/>
  </w:num>
  <w:num w:numId="5">
    <w:abstractNumId w:val="1"/>
  </w:num>
  <w:num w:numId="6">
    <w:abstractNumId w:val="18"/>
  </w:num>
  <w:num w:numId="7">
    <w:abstractNumId w:val="13"/>
  </w:num>
  <w:num w:numId="8">
    <w:abstractNumId w:val="17"/>
  </w:num>
  <w:num w:numId="9">
    <w:abstractNumId w:val="2"/>
  </w:num>
  <w:num w:numId="10">
    <w:abstractNumId w:val="4"/>
  </w:num>
  <w:num w:numId="11">
    <w:abstractNumId w:val="32"/>
  </w:num>
  <w:num w:numId="12">
    <w:abstractNumId w:val="16"/>
  </w:num>
  <w:num w:numId="13">
    <w:abstractNumId w:val="21"/>
  </w:num>
  <w:num w:numId="14">
    <w:abstractNumId w:val="14"/>
  </w:num>
  <w:num w:numId="15">
    <w:abstractNumId w:val="31"/>
  </w:num>
  <w:num w:numId="16">
    <w:abstractNumId w:val="12"/>
  </w:num>
  <w:num w:numId="17">
    <w:abstractNumId w:val="26"/>
  </w:num>
  <w:num w:numId="18">
    <w:abstractNumId w:val="9"/>
  </w:num>
  <w:num w:numId="19">
    <w:abstractNumId w:val="28"/>
  </w:num>
  <w:num w:numId="20">
    <w:abstractNumId w:val="25"/>
  </w:num>
  <w:num w:numId="21">
    <w:abstractNumId w:val="19"/>
  </w:num>
  <w:num w:numId="22">
    <w:abstractNumId w:val="27"/>
  </w:num>
  <w:num w:numId="23">
    <w:abstractNumId w:val="20"/>
  </w:num>
  <w:num w:numId="24">
    <w:abstractNumId w:val="10"/>
  </w:num>
  <w:num w:numId="25">
    <w:abstractNumId w:val="24"/>
  </w:num>
  <w:num w:numId="26">
    <w:abstractNumId w:val="23"/>
  </w:num>
  <w:num w:numId="27">
    <w:abstractNumId w:val="33"/>
  </w:num>
  <w:num w:numId="28">
    <w:abstractNumId w:val="7"/>
  </w:num>
  <w:num w:numId="29">
    <w:abstractNumId w:val="22"/>
  </w:num>
  <w:num w:numId="30">
    <w:abstractNumId w:val="36"/>
  </w:num>
  <w:num w:numId="31">
    <w:abstractNumId w:val="6"/>
  </w:num>
  <w:num w:numId="32">
    <w:abstractNumId w:val="35"/>
  </w:num>
  <w:num w:numId="33">
    <w:abstractNumId w:val="30"/>
  </w:num>
  <w:num w:numId="34">
    <w:abstractNumId w:val="34"/>
  </w:num>
  <w:num w:numId="35">
    <w:abstractNumId w:val="8"/>
  </w:num>
  <w:num w:numId="36">
    <w:abstractNumId w:val="11"/>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2975"/>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7D5803"/>
    <w:rsid w:val="008134C8"/>
    <w:rsid w:val="00814073"/>
    <w:rsid w:val="00826F0D"/>
    <w:rsid w:val="008309D8"/>
    <w:rsid w:val="00875EEC"/>
    <w:rsid w:val="00893B92"/>
    <w:rsid w:val="008A6AF2"/>
    <w:rsid w:val="008C70A2"/>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6852</Words>
  <Characters>39058</Characters>
  <Application>Microsoft Office Word</Application>
  <DocSecurity>0</DocSecurity>
  <Lines>325</Lines>
  <Paragraphs>91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2022-11-29T23:15:00Z</dcterms:created>
  <dcterms:modified xsi:type="dcterms:W3CDTF">2022-11-29T23:15:00Z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