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44D28E88" w:rsidR="00DB32D3" w:rsidRDefault="00DD466D" w:rsidP="005726E3">
      <w:pPr>
        <w:pStyle w:val="Heading1"/>
      </w:pPr>
      <w:r>
        <w:t>1.ИМЕ НА ЛЕКАРСТВЕНИЯ ПРОДУКТ</w:t>
      </w:r>
    </w:p>
    <w:p w14:paraId="5CB2D30B" w14:textId="53572C74" w:rsidR="00440F94" w:rsidRDefault="00440F94" w:rsidP="00440F94"/>
    <w:p w14:paraId="756A6C6B" w14:textId="77777777" w:rsidR="00440F94" w:rsidRPr="00440F94" w:rsidRDefault="00440F94" w:rsidP="00440F94">
      <w:pPr>
        <w:rPr>
          <w:sz w:val="24"/>
          <w:szCs w:val="24"/>
        </w:rPr>
      </w:pPr>
      <w:r w:rsidRPr="00440F94">
        <w:rPr>
          <w:lang w:eastAsia="bg-BG"/>
        </w:rPr>
        <w:t xml:space="preserve">Талопам 50 </w:t>
      </w:r>
      <w:r w:rsidRPr="00440F94">
        <w:rPr>
          <w:lang w:val="en-US"/>
        </w:rPr>
        <w:t>mg</w:t>
      </w:r>
      <w:r w:rsidRPr="00440F94">
        <w:t xml:space="preserve"> </w:t>
      </w:r>
      <w:r w:rsidRPr="00440F94">
        <w:rPr>
          <w:lang w:eastAsia="bg-BG"/>
        </w:rPr>
        <w:t>филмирани таблетки</w:t>
      </w:r>
    </w:p>
    <w:p w14:paraId="0ECE31E5" w14:textId="77777777" w:rsidR="00440F94" w:rsidRPr="00440F94" w:rsidRDefault="00440F94" w:rsidP="00440F94">
      <w:pPr>
        <w:rPr>
          <w:sz w:val="24"/>
          <w:szCs w:val="24"/>
        </w:rPr>
      </w:pPr>
      <w:proofErr w:type="spellStart"/>
      <w:r w:rsidRPr="00440F94">
        <w:rPr>
          <w:lang w:val="en-US"/>
        </w:rPr>
        <w:t>Talopam</w:t>
      </w:r>
      <w:proofErr w:type="spellEnd"/>
      <w:r w:rsidRPr="00440F94">
        <w:t xml:space="preserve"> </w:t>
      </w:r>
      <w:r w:rsidRPr="00440F94">
        <w:rPr>
          <w:lang w:eastAsia="bg-BG"/>
        </w:rPr>
        <w:t xml:space="preserve">50 </w:t>
      </w:r>
      <w:r w:rsidRPr="00440F94">
        <w:rPr>
          <w:lang w:val="en-US"/>
        </w:rPr>
        <w:t>mg</w:t>
      </w:r>
      <w:r w:rsidRPr="00440F94">
        <w:t xml:space="preserve"> </w:t>
      </w:r>
      <w:r w:rsidRPr="00440F94">
        <w:rPr>
          <w:lang w:val="en-US"/>
        </w:rPr>
        <w:t>film</w:t>
      </w:r>
      <w:r w:rsidRPr="00440F94">
        <w:t>-</w:t>
      </w:r>
      <w:r w:rsidRPr="00440F94">
        <w:rPr>
          <w:lang w:val="en-US"/>
        </w:rPr>
        <w:t>coated</w:t>
      </w:r>
      <w:r w:rsidRPr="00440F94">
        <w:t xml:space="preserve"> </w:t>
      </w:r>
      <w:r w:rsidRPr="00440F94">
        <w:rPr>
          <w:lang w:val="en-US"/>
        </w:rPr>
        <w:t>tablets</w:t>
      </w:r>
    </w:p>
    <w:p w14:paraId="0ADA49F4" w14:textId="77777777" w:rsidR="00440F94" w:rsidRDefault="00440F94" w:rsidP="00440F94">
      <w:pPr>
        <w:rPr>
          <w:lang w:eastAsia="bg-BG"/>
        </w:rPr>
      </w:pPr>
    </w:p>
    <w:p w14:paraId="175CDCC2" w14:textId="3ACAA2F4" w:rsidR="00440F94" w:rsidRPr="00440F94" w:rsidRDefault="00440F94" w:rsidP="00440F94">
      <w:pPr>
        <w:rPr>
          <w:sz w:val="24"/>
          <w:szCs w:val="24"/>
        </w:rPr>
      </w:pPr>
      <w:r w:rsidRPr="00440F94">
        <w:rPr>
          <w:lang w:eastAsia="bg-BG"/>
        </w:rPr>
        <w:t xml:space="preserve">Талопам </w:t>
      </w:r>
      <w:r w:rsidRPr="00440F94">
        <w:t xml:space="preserve">100 </w:t>
      </w:r>
      <w:r w:rsidRPr="00440F94">
        <w:rPr>
          <w:lang w:val="en-US"/>
        </w:rPr>
        <w:t>mg</w:t>
      </w:r>
      <w:r w:rsidRPr="00440F94">
        <w:t xml:space="preserve"> </w:t>
      </w:r>
      <w:r w:rsidRPr="00440F94">
        <w:rPr>
          <w:lang w:eastAsia="bg-BG"/>
        </w:rPr>
        <w:t>филмирани таблетки</w:t>
      </w:r>
    </w:p>
    <w:p w14:paraId="608DCBA7" w14:textId="77777777" w:rsidR="00440F94" w:rsidRPr="00440F94" w:rsidRDefault="00440F94" w:rsidP="00440F94">
      <w:pPr>
        <w:rPr>
          <w:sz w:val="24"/>
          <w:szCs w:val="24"/>
        </w:rPr>
      </w:pPr>
      <w:proofErr w:type="spellStart"/>
      <w:r w:rsidRPr="00440F94">
        <w:rPr>
          <w:lang w:val="en-US"/>
        </w:rPr>
        <w:t>Talopam</w:t>
      </w:r>
      <w:proofErr w:type="spellEnd"/>
      <w:r w:rsidRPr="00440F94">
        <w:t xml:space="preserve"> 100 </w:t>
      </w:r>
      <w:r w:rsidRPr="00440F94">
        <w:rPr>
          <w:lang w:val="en-US"/>
        </w:rPr>
        <w:t>mg</w:t>
      </w:r>
      <w:r w:rsidRPr="00440F94">
        <w:t xml:space="preserve"> </w:t>
      </w:r>
      <w:r w:rsidRPr="00440F94">
        <w:rPr>
          <w:lang w:val="en-US"/>
        </w:rPr>
        <w:t>film</w:t>
      </w:r>
      <w:r w:rsidRPr="00440F94">
        <w:t>-</w:t>
      </w:r>
      <w:r w:rsidRPr="00440F94">
        <w:rPr>
          <w:lang w:val="en-US"/>
        </w:rPr>
        <w:t>coated</w:t>
      </w:r>
      <w:r w:rsidRPr="00440F94">
        <w:t xml:space="preserve"> </w:t>
      </w:r>
      <w:r w:rsidRPr="00440F94">
        <w:rPr>
          <w:lang w:val="en-US"/>
        </w:rPr>
        <w:t>tablets</w:t>
      </w:r>
    </w:p>
    <w:p w14:paraId="525147B7" w14:textId="77777777" w:rsidR="00440F94" w:rsidRPr="00440F94" w:rsidRDefault="00440F94" w:rsidP="00440F94"/>
    <w:p w14:paraId="48E6CABE" w14:textId="7353CAE9" w:rsidR="00DB32D3" w:rsidRDefault="00DD466D" w:rsidP="005726E3">
      <w:pPr>
        <w:pStyle w:val="Heading1"/>
      </w:pPr>
      <w:r>
        <w:t>2. КАЧЕСТВЕН И КОЛИЧЕСТВЕН СЪСТАВ</w:t>
      </w:r>
    </w:p>
    <w:p w14:paraId="709C5277" w14:textId="381488F5" w:rsidR="00440F94" w:rsidRDefault="00440F94" w:rsidP="00440F94"/>
    <w:p w14:paraId="74461A8D" w14:textId="77777777" w:rsidR="00440F94" w:rsidRPr="00440F94" w:rsidRDefault="00440F94" w:rsidP="00440F94">
      <w:pPr>
        <w:spacing w:line="240" w:lineRule="auto"/>
        <w:rPr>
          <w:rFonts w:eastAsia="Times New Roman" w:cs="Arial"/>
          <w:sz w:val="28"/>
          <w:szCs w:val="24"/>
        </w:rPr>
      </w:pPr>
      <w:r w:rsidRPr="00440F94">
        <w:rPr>
          <w:rFonts w:eastAsia="Times New Roman" w:cs="Arial"/>
          <w:color w:val="000000"/>
          <w:szCs w:val="20"/>
          <w:lang w:eastAsia="bg-BG"/>
        </w:rPr>
        <w:t xml:space="preserve">Всяка филмирана таблетка съдържа 50 </w:t>
      </w:r>
      <w:r w:rsidRPr="00440F94">
        <w:rPr>
          <w:rFonts w:eastAsia="Times New Roman" w:cs="Arial"/>
          <w:color w:val="000000"/>
          <w:szCs w:val="20"/>
          <w:lang w:val="en-US"/>
        </w:rPr>
        <w:t>mg</w:t>
      </w:r>
      <w:r w:rsidRPr="00440F94">
        <w:rPr>
          <w:rFonts w:eastAsia="Times New Roman" w:cs="Arial"/>
          <w:color w:val="000000"/>
          <w:szCs w:val="20"/>
        </w:rPr>
        <w:t xml:space="preserve"> </w:t>
      </w:r>
      <w:r w:rsidRPr="00440F94">
        <w:rPr>
          <w:rFonts w:eastAsia="Times New Roman" w:cs="Arial"/>
          <w:color w:val="000000"/>
          <w:szCs w:val="20"/>
          <w:lang w:eastAsia="bg-BG"/>
        </w:rPr>
        <w:t xml:space="preserve">или 100 </w:t>
      </w:r>
      <w:r w:rsidRPr="00440F94">
        <w:rPr>
          <w:rFonts w:eastAsia="Times New Roman" w:cs="Arial"/>
          <w:color w:val="000000"/>
          <w:szCs w:val="20"/>
          <w:lang w:val="en-US"/>
        </w:rPr>
        <w:t>mg</w:t>
      </w:r>
      <w:r w:rsidRPr="00440F94">
        <w:rPr>
          <w:rFonts w:eastAsia="Times New Roman" w:cs="Arial"/>
          <w:color w:val="000000"/>
          <w:szCs w:val="20"/>
        </w:rPr>
        <w:t xml:space="preserve"> </w:t>
      </w:r>
      <w:r w:rsidRPr="00440F94">
        <w:rPr>
          <w:rFonts w:eastAsia="Times New Roman" w:cs="Arial"/>
          <w:color w:val="000000"/>
          <w:szCs w:val="20"/>
          <w:lang w:eastAsia="bg-BG"/>
        </w:rPr>
        <w:t xml:space="preserve">топирамат </w:t>
      </w:r>
      <w:r w:rsidRPr="00440F94">
        <w:rPr>
          <w:rFonts w:eastAsia="Times New Roman" w:cs="Arial"/>
          <w:color w:val="000000"/>
          <w:szCs w:val="20"/>
        </w:rPr>
        <w:t>(</w:t>
      </w:r>
      <w:proofErr w:type="spellStart"/>
      <w:r w:rsidRPr="00440F94">
        <w:rPr>
          <w:rFonts w:eastAsia="Times New Roman" w:cs="Arial"/>
          <w:color w:val="000000"/>
          <w:szCs w:val="20"/>
          <w:lang w:val="en-US"/>
        </w:rPr>
        <w:t>topiramate</w:t>
      </w:r>
      <w:proofErr w:type="spellEnd"/>
      <w:r w:rsidRPr="00440F94">
        <w:rPr>
          <w:rFonts w:eastAsia="Times New Roman" w:cs="Arial"/>
          <w:color w:val="000000"/>
          <w:szCs w:val="20"/>
        </w:rPr>
        <w:t>).</w:t>
      </w:r>
    </w:p>
    <w:p w14:paraId="53FC43D0" w14:textId="77777777" w:rsidR="00440F94" w:rsidRPr="00440F94" w:rsidRDefault="00440F94" w:rsidP="00440F94">
      <w:pPr>
        <w:spacing w:line="240" w:lineRule="auto"/>
        <w:rPr>
          <w:rFonts w:eastAsia="Times New Roman" w:cs="Arial"/>
          <w:color w:val="000000"/>
          <w:szCs w:val="20"/>
          <w:u w:val="single"/>
          <w:lang w:eastAsia="bg-BG"/>
        </w:rPr>
      </w:pPr>
    </w:p>
    <w:p w14:paraId="40759779" w14:textId="32DC9992" w:rsidR="00440F94" w:rsidRPr="00440F94" w:rsidRDefault="00440F94" w:rsidP="00440F94">
      <w:pPr>
        <w:spacing w:line="240" w:lineRule="auto"/>
        <w:rPr>
          <w:rFonts w:eastAsia="Times New Roman" w:cs="Arial"/>
          <w:sz w:val="28"/>
          <w:szCs w:val="24"/>
        </w:rPr>
      </w:pPr>
      <w:r w:rsidRPr="00440F94">
        <w:rPr>
          <w:rFonts w:eastAsia="Times New Roman" w:cs="Arial"/>
          <w:color w:val="000000"/>
          <w:szCs w:val="20"/>
          <w:u w:val="single"/>
          <w:lang w:eastAsia="bg-BG"/>
        </w:rPr>
        <w:t>Помощно вещество с известно действие</w:t>
      </w:r>
    </w:p>
    <w:p w14:paraId="7A40C75C" w14:textId="77777777" w:rsidR="00440F94" w:rsidRPr="00440F94" w:rsidRDefault="00440F94" w:rsidP="00440F94">
      <w:pPr>
        <w:spacing w:line="240" w:lineRule="auto"/>
        <w:rPr>
          <w:rFonts w:eastAsia="Times New Roman" w:cs="Arial"/>
          <w:sz w:val="28"/>
          <w:szCs w:val="24"/>
        </w:rPr>
      </w:pPr>
      <w:r w:rsidRPr="00440F94">
        <w:rPr>
          <w:rFonts w:eastAsia="Times New Roman" w:cs="Arial"/>
          <w:color w:val="000000"/>
          <w:szCs w:val="20"/>
          <w:lang w:eastAsia="bg-BG"/>
        </w:rPr>
        <w:t xml:space="preserve">Всяка филмирана таблетка Талопам 50 </w:t>
      </w:r>
      <w:r w:rsidRPr="00440F94">
        <w:rPr>
          <w:rFonts w:eastAsia="Times New Roman" w:cs="Arial"/>
          <w:color w:val="000000"/>
          <w:szCs w:val="20"/>
          <w:lang w:val="en-US"/>
        </w:rPr>
        <w:t>mg</w:t>
      </w:r>
      <w:r w:rsidRPr="00440F94">
        <w:rPr>
          <w:rFonts w:eastAsia="Times New Roman" w:cs="Arial"/>
          <w:color w:val="000000"/>
          <w:szCs w:val="20"/>
          <w:lang w:val="ru-RU"/>
        </w:rPr>
        <w:t xml:space="preserve"> </w:t>
      </w:r>
      <w:r w:rsidRPr="00440F94">
        <w:rPr>
          <w:rFonts w:eastAsia="Times New Roman" w:cs="Arial"/>
          <w:color w:val="000000"/>
          <w:szCs w:val="20"/>
          <w:lang w:eastAsia="bg-BG"/>
        </w:rPr>
        <w:t xml:space="preserve">съдържа 0,27 </w:t>
      </w:r>
      <w:r w:rsidRPr="00440F94">
        <w:rPr>
          <w:rFonts w:eastAsia="Times New Roman" w:cs="Arial"/>
          <w:color w:val="000000"/>
          <w:szCs w:val="20"/>
          <w:lang w:val="en-US"/>
        </w:rPr>
        <w:t>mg</w:t>
      </w:r>
      <w:r w:rsidRPr="00440F94">
        <w:rPr>
          <w:rFonts w:eastAsia="Times New Roman" w:cs="Arial"/>
          <w:color w:val="000000"/>
          <w:szCs w:val="20"/>
          <w:lang w:val="ru-RU"/>
        </w:rPr>
        <w:t xml:space="preserve"> </w:t>
      </w:r>
      <w:r w:rsidRPr="00440F94">
        <w:rPr>
          <w:rFonts w:eastAsia="Times New Roman" w:cs="Arial"/>
          <w:color w:val="000000"/>
          <w:szCs w:val="20"/>
          <w:lang w:eastAsia="bg-BG"/>
        </w:rPr>
        <w:t>соев лецитин (Е322).</w:t>
      </w:r>
    </w:p>
    <w:p w14:paraId="06D6DDDF" w14:textId="222CFC6D" w:rsidR="00440F94" w:rsidRPr="00440F94" w:rsidRDefault="00440F94" w:rsidP="00440F94">
      <w:pPr>
        <w:rPr>
          <w:rFonts w:cs="Arial"/>
          <w:sz w:val="24"/>
        </w:rPr>
      </w:pPr>
      <w:r w:rsidRPr="00440F94">
        <w:rPr>
          <w:rFonts w:eastAsia="Times New Roman" w:cs="Arial"/>
          <w:color w:val="000000"/>
          <w:szCs w:val="20"/>
          <w:lang w:eastAsia="bg-BG"/>
        </w:rPr>
        <w:t xml:space="preserve">Всяка филмирана таблетка Талопам 100 </w:t>
      </w:r>
      <w:r w:rsidRPr="00440F94">
        <w:rPr>
          <w:rFonts w:eastAsia="Times New Roman" w:cs="Arial"/>
          <w:color w:val="000000"/>
          <w:szCs w:val="20"/>
          <w:lang w:val="en-US"/>
        </w:rPr>
        <w:t>mg</w:t>
      </w:r>
      <w:r w:rsidRPr="00440F94">
        <w:rPr>
          <w:rFonts w:eastAsia="Times New Roman" w:cs="Arial"/>
          <w:color w:val="000000"/>
          <w:szCs w:val="20"/>
          <w:lang w:val="ru-RU"/>
        </w:rPr>
        <w:t xml:space="preserve"> </w:t>
      </w:r>
      <w:r w:rsidRPr="00440F94">
        <w:rPr>
          <w:rFonts w:eastAsia="Times New Roman" w:cs="Arial"/>
          <w:color w:val="000000"/>
          <w:szCs w:val="20"/>
          <w:lang w:eastAsia="bg-BG"/>
        </w:rPr>
        <w:t xml:space="preserve">съдържа 0,53 </w:t>
      </w:r>
      <w:r w:rsidRPr="00440F94">
        <w:rPr>
          <w:rFonts w:eastAsia="Times New Roman" w:cs="Arial"/>
          <w:color w:val="000000"/>
          <w:szCs w:val="20"/>
          <w:lang w:val="en-US"/>
        </w:rPr>
        <w:t>mg</w:t>
      </w:r>
      <w:r w:rsidRPr="00440F94">
        <w:rPr>
          <w:rFonts w:eastAsia="Times New Roman" w:cs="Arial"/>
          <w:color w:val="000000"/>
          <w:szCs w:val="20"/>
          <w:lang w:val="ru-RU"/>
        </w:rPr>
        <w:t xml:space="preserve"> </w:t>
      </w:r>
      <w:r w:rsidRPr="00440F94">
        <w:rPr>
          <w:rFonts w:eastAsia="Times New Roman" w:cs="Arial"/>
          <w:color w:val="000000"/>
          <w:szCs w:val="20"/>
          <w:lang w:eastAsia="bg-BG"/>
        </w:rPr>
        <w:t>соев лецитин (Е322).</w:t>
      </w:r>
    </w:p>
    <w:p w14:paraId="614984C4" w14:textId="67F72259" w:rsidR="008A6AF2" w:rsidRDefault="00DD466D" w:rsidP="002C50EE">
      <w:pPr>
        <w:pStyle w:val="Heading1"/>
      </w:pPr>
      <w:r>
        <w:t>3. ЛЕКАРСТВЕНА ФОРМА</w:t>
      </w:r>
    </w:p>
    <w:p w14:paraId="0EED99FC" w14:textId="4C39105E" w:rsidR="00440F94" w:rsidRDefault="00440F94" w:rsidP="00440F94"/>
    <w:p w14:paraId="6ACD64DB" w14:textId="77777777" w:rsidR="00440F94" w:rsidRPr="00440F94" w:rsidRDefault="00440F94" w:rsidP="00440F94">
      <w:pPr>
        <w:rPr>
          <w:sz w:val="24"/>
          <w:szCs w:val="24"/>
        </w:rPr>
      </w:pPr>
      <w:r w:rsidRPr="00440F94">
        <w:rPr>
          <w:lang w:eastAsia="bg-BG"/>
        </w:rPr>
        <w:t>Филмирана таблетка</w:t>
      </w:r>
    </w:p>
    <w:p w14:paraId="64A31EA4" w14:textId="77777777" w:rsidR="00440F94" w:rsidRPr="00440F94" w:rsidRDefault="00440F94" w:rsidP="00440F94">
      <w:pPr>
        <w:rPr>
          <w:sz w:val="24"/>
          <w:szCs w:val="24"/>
        </w:rPr>
      </w:pPr>
      <w:r w:rsidRPr="00440F94">
        <w:rPr>
          <w:lang w:eastAsia="bg-BG"/>
        </w:rPr>
        <w:t xml:space="preserve">Талопам 50 </w:t>
      </w:r>
      <w:r w:rsidRPr="00440F94">
        <w:rPr>
          <w:lang w:val="en-US"/>
        </w:rPr>
        <w:t>mg</w:t>
      </w:r>
      <w:r w:rsidRPr="00440F94">
        <w:rPr>
          <w:lang w:val="ru-RU"/>
        </w:rPr>
        <w:t xml:space="preserve"> </w:t>
      </w:r>
      <w:r w:rsidRPr="00440F94">
        <w:rPr>
          <w:lang w:eastAsia="bg-BG"/>
        </w:rPr>
        <w:t xml:space="preserve">- светложълти, кръгли, двойноизпъкнали филмирани таблетки с маркировка </w:t>
      </w:r>
      <w:r w:rsidRPr="00440F94">
        <w:rPr>
          <w:lang w:val="en-US"/>
        </w:rPr>
        <w:t>V</w:t>
      </w:r>
      <w:r w:rsidRPr="00440F94">
        <w:rPr>
          <w:lang w:val="ru-RU"/>
        </w:rPr>
        <w:t xml:space="preserve">3, </w:t>
      </w:r>
      <w:r w:rsidRPr="00440F94">
        <w:rPr>
          <w:lang w:eastAsia="bg-BG"/>
        </w:rPr>
        <w:t xml:space="preserve">размер 8 </w:t>
      </w:r>
      <w:r w:rsidRPr="00440F94">
        <w:rPr>
          <w:lang w:val="en-US"/>
        </w:rPr>
        <w:t>mm</w:t>
      </w:r>
    </w:p>
    <w:p w14:paraId="60DB67CC" w14:textId="77777777" w:rsidR="00440F94" w:rsidRPr="00440F94" w:rsidRDefault="00440F94" w:rsidP="00440F94">
      <w:pPr>
        <w:rPr>
          <w:sz w:val="24"/>
          <w:szCs w:val="24"/>
        </w:rPr>
      </w:pPr>
      <w:r w:rsidRPr="00440F94">
        <w:rPr>
          <w:lang w:eastAsia="bg-BG"/>
        </w:rPr>
        <w:t xml:space="preserve">Талопам 100 </w:t>
      </w:r>
      <w:r w:rsidRPr="00440F94">
        <w:rPr>
          <w:lang w:val="en-US"/>
        </w:rPr>
        <w:t>mg</w:t>
      </w:r>
      <w:r w:rsidRPr="00440F94">
        <w:rPr>
          <w:lang w:val="ru-RU"/>
        </w:rPr>
        <w:t xml:space="preserve"> </w:t>
      </w:r>
      <w:r w:rsidRPr="00440F94">
        <w:rPr>
          <w:lang w:eastAsia="bg-BG"/>
        </w:rPr>
        <w:t xml:space="preserve">- жълти, кръгли, двойноизпъкнали филмирани таблетки с маркировка </w:t>
      </w:r>
      <w:r w:rsidRPr="00440F94">
        <w:rPr>
          <w:lang w:val="en-US"/>
        </w:rPr>
        <w:t>V</w:t>
      </w:r>
      <w:r w:rsidRPr="00440F94">
        <w:rPr>
          <w:lang w:val="ru-RU"/>
        </w:rPr>
        <w:t xml:space="preserve">4, </w:t>
      </w:r>
      <w:r w:rsidRPr="00440F94">
        <w:rPr>
          <w:lang w:eastAsia="bg-BG"/>
        </w:rPr>
        <w:t xml:space="preserve">размер 10 </w:t>
      </w:r>
      <w:r w:rsidRPr="00440F94">
        <w:rPr>
          <w:lang w:val="en-US"/>
        </w:rPr>
        <w:t>mm</w:t>
      </w:r>
    </w:p>
    <w:p w14:paraId="4435CC5A" w14:textId="77777777" w:rsidR="00440F94" w:rsidRPr="00440F94" w:rsidRDefault="00440F94" w:rsidP="00440F94"/>
    <w:p w14:paraId="490FC2C4" w14:textId="6899DE43" w:rsidR="002C50EE" w:rsidRDefault="002C50EE" w:rsidP="002C50EE">
      <w:pPr>
        <w:pStyle w:val="Heading1"/>
      </w:pPr>
      <w:r>
        <w:t>4. КЛИНИЧНИ ДАННИ</w:t>
      </w:r>
    </w:p>
    <w:p w14:paraId="0771830A" w14:textId="5C29DE5D" w:rsidR="00DB32D3" w:rsidRDefault="002C50EE" w:rsidP="005726E3">
      <w:pPr>
        <w:pStyle w:val="Heading2"/>
      </w:pPr>
      <w:r>
        <w:t>4.1. Терапевтични показания</w:t>
      </w:r>
    </w:p>
    <w:p w14:paraId="4D448D25" w14:textId="59E7ABD7" w:rsidR="00440F94" w:rsidRDefault="00440F94" w:rsidP="00440F94"/>
    <w:p w14:paraId="66CA6CA3" w14:textId="77777777" w:rsidR="00440F94" w:rsidRPr="00440F94" w:rsidRDefault="00440F94" w:rsidP="00440F94">
      <w:pPr>
        <w:spacing w:line="240" w:lineRule="auto"/>
        <w:rPr>
          <w:rFonts w:eastAsia="Times New Roman" w:cs="Arial"/>
          <w:sz w:val="28"/>
          <w:szCs w:val="24"/>
        </w:rPr>
      </w:pPr>
      <w:r w:rsidRPr="00440F94">
        <w:rPr>
          <w:rFonts w:eastAsia="Times New Roman" w:cs="Arial"/>
          <w:color w:val="000000"/>
          <w:szCs w:val="20"/>
          <w:lang w:eastAsia="bg-BG"/>
        </w:rPr>
        <w:t>Монотерапия при възрастни, юноши и деца над 6-годишна възраст с парциални припадъци, със или без вторични генерализирани припадъци и първични генерализирани тонично-клонични припадъци.</w:t>
      </w:r>
    </w:p>
    <w:p w14:paraId="29A417D3" w14:textId="77777777" w:rsidR="00440F94" w:rsidRPr="00440F94" w:rsidRDefault="00440F94" w:rsidP="00440F94">
      <w:pPr>
        <w:spacing w:line="240" w:lineRule="auto"/>
        <w:rPr>
          <w:rFonts w:eastAsia="Times New Roman" w:cs="Arial"/>
          <w:color w:val="000000"/>
          <w:szCs w:val="20"/>
          <w:lang w:eastAsia="bg-BG"/>
        </w:rPr>
      </w:pPr>
    </w:p>
    <w:p w14:paraId="7EB6969B" w14:textId="6B11EC53" w:rsidR="00440F94" w:rsidRPr="00440F94" w:rsidRDefault="00440F94" w:rsidP="00440F94">
      <w:pPr>
        <w:spacing w:line="240" w:lineRule="auto"/>
        <w:rPr>
          <w:rFonts w:eastAsia="Times New Roman" w:cs="Arial"/>
          <w:sz w:val="28"/>
          <w:szCs w:val="24"/>
        </w:rPr>
      </w:pPr>
      <w:r w:rsidRPr="00440F94">
        <w:rPr>
          <w:rFonts w:eastAsia="Times New Roman" w:cs="Arial"/>
          <w:color w:val="000000"/>
          <w:szCs w:val="20"/>
          <w:lang w:eastAsia="bg-BG"/>
        </w:rPr>
        <w:t xml:space="preserve">Допълваща терапия за деца на възраст на 2 и повече години, </w:t>
      </w:r>
      <w:r w:rsidRPr="00440F94">
        <w:rPr>
          <w:rFonts w:eastAsia="Times New Roman" w:cs="Arial"/>
          <w:i/>
          <w:iCs/>
          <w:color w:val="000000"/>
          <w:szCs w:val="20"/>
          <w:lang w:eastAsia="bg-BG"/>
        </w:rPr>
        <w:t>юноши и</w:t>
      </w:r>
      <w:r w:rsidRPr="00440F94">
        <w:rPr>
          <w:rFonts w:eastAsia="Times New Roman" w:cs="Arial"/>
          <w:color w:val="000000"/>
          <w:szCs w:val="20"/>
          <w:lang w:eastAsia="bg-BG"/>
        </w:rPr>
        <w:t xml:space="preserve"> възрастни, с парциални пристъпи с или без вторична генерализация или първично генерализирани тонично-клонични припадъци и за лечение на припадъци, свързани със синдрома на </w:t>
      </w:r>
      <w:r w:rsidRPr="00440F94">
        <w:rPr>
          <w:rFonts w:eastAsia="Times New Roman" w:cs="Arial"/>
          <w:color w:val="000000"/>
          <w:szCs w:val="20"/>
          <w:lang w:val="en-US"/>
        </w:rPr>
        <w:t>Lennox</w:t>
      </w:r>
      <w:r w:rsidRPr="00440F94">
        <w:rPr>
          <w:rFonts w:eastAsia="Times New Roman" w:cs="Arial"/>
          <w:color w:val="000000"/>
          <w:szCs w:val="20"/>
          <w:lang w:val="ru-RU"/>
        </w:rPr>
        <w:t>-</w:t>
      </w:r>
      <w:proofErr w:type="spellStart"/>
      <w:r w:rsidRPr="00440F94">
        <w:rPr>
          <w:rFonts w:eastAsia="Times New Roman" w:cs="Arial"/>
          <w:color w:val="000000"/>
          <w:szCs w:val="20"/>
          <w:lang w:val="en-US"/>
        </w:rPr>
        <w:t>Gastaut</w:t>
      </w:r>
      <w:proofErr w:type="spellEnd"/>
      <w:r w:rsidRPr="00440F94">
        <w:rPr>
          <w:rFonts w:eastAsia="Times New Roman" w:cs="Arial"/>
          <w:color w:val="000000"/>
          <w:szCs w:val="20"/>
          <w:lang w:val="ru-RU"/>
        </w:rPr>
        <w:t>.</w:t>
      </w:r>
    </w:p>
    <w:p w14:paraId="6F7B5FAA" w14:textId="77777777" w:rsidR="00440F94" w:rsidRPr="00440F94" w:rsidRDefault="00440F94" w:rsidP="00440F94">
      <w:pPr>
        <w:spacing w:line="240" w:lineRule="auto"/>
        <w:rPr>
          <w:rFonts w:eastAsia="Times New Roman" w:cs="Arial"/>
          <w:color w:val="000000"/>
          <w:szCs w:val="20"/>
          <w:lang w:eastAsia="bg-BG"/>
        </w:rPr>
      </w:pPr>
    </w:p>
    <w:p w14:paraId="3DBCC001" w14:textId="0D1EBE68" w:rsidR="00440F94" w:rsidRPr="00440F94" w:rsidRDefault="00440F94" w:rsidP="00440F94">
      <w:pPr>
        <w:spacing w:line="240" w:lineRule="auto"/>
        <w:rPr>
          <w:rFonts w:eastAsia="Times New Roman" w:cs="Arial"/>
          <w:sz w:val="28"/>
          <w:szCs w:val="24"/>
        </w:rPr>
      </w:pPr>
      <w:r w:rsidRPr="00440F94">
        <w:rPr>
          <w:rFonts w:eastAsia="Times New Roman" w:cs="Arial"/>
          <w:color w:val="000000"/>
          <w:szCs w:val="20"/>
          <w:lang w:eastAsia="bg-BG"/>
        </w:rPr>
        <w:t>При възрастни топирамат е показан за профилактика на мигренозно главоболие след внимателна оценка на алтернативните терапевтични възможности. Топирамат не е предназначен за лечение на остри мигренозни пристъпи.</w:t>
      </w:r>
    </w:p>
    <w:p w14:paraId="27B84A6C" w14:textId="77777777" w:rsidR="00440F94" w:rsidRPr="00440F94" w:rsidRDefault="00440F94" w:rsidP="00440F94"/>
    <w:p w14:paraId="7647A102" w14:textId="22A2C3B6" w:rsidR="00DB32D3" w:rsidRDefault="002C50EE" w:rsidP="005726E3">
      <w:pPr>
        <w:pStyle w:val="Heading2"/>
      </w:pPr>
      <w:r>
        <w:lastRenderedPageBreak/>
        <w:t>4.2. Дозировка и начин на приложение</w:t>
      </w:r>
    </w:p>
    <w:p w14:paraId="593AEF16" w14:textId="44F31441" w:rsidR="00440F94" w:rsidRDefault="00440F94" w:rsidP="00440F94"/>
    <w:p w14:paraId="5AEB6364" w14:textId="77777777" w:rsidR="00440F94" w:rsidRPr="00403A83" w:rsidRDefault="00440F94" w:rsidP="00403A83">
      <w:pPr>
        <w:pStyle w:val="Heading3"/>
        <w:rPr>
          <w:rFonts w:eastAsia="Times New Roman"/>
          <w:u w:val="single"/>
        </w:rPr>
      </w:pPr>
      <w:r w:rsidRPr="00403A83">
        <w:rPr>
          <w:rFonts w:eastAsia="Times New Roman"/>
          <w:u w:val="single"/>
          <w:lang w:eastAsia="bg-BG"/>
        </w:rPr>
        <w:t>Дозировка</w:t>
      </w:r>
    </w:p>
    <w:p w14:paraId="24BD6F6F" w14:textId="77777777" w:rsidR="00440F94" w:rsidRPr="00440F94" w:rsidRDefault="00440F94" w:rsidP="00440F94">
      <w:pPr>
        <w:spacing w:line="240" w:lineRule="auto"/>
        <w:rPr>
          <w:rFonts w:eastAsia="Times New Roman" w:cs="Arial"/>
          <w:i/>
          <w:iCs/>
          <w:color w:val="000000"/>
          <w:u w:val="single"/>
          <w:lang w:eastAsia="bg-BG"/>
        </w:rPr>
      </w:pPr>
    </w:p>
    <w:p w14:paraId="1350E29A" w14:textId="447DAF5E" w:rsidR="00440F94" w:rsidRPr="00440F94" w:rsidRDefault="00440F94" w:rsidP="00440F94">
      <w:pPr>
        <w:spacing w:line="240" w:lineRule="auto"/>
        <w:rPr>
          <w:rFonts w:eastAsia="Times New Roman" w:cs="Arial"/>
        </w:rPr>
      </w:pPr>
      <w:r w:rsidRPr="00440F94">
        <w:rPr>
          <w:rFonts w:eastAsia="Times New Roman" w:cs="Arial"/>
          <w:i/>
          <w:iCs/>
          <w:color w:val="000000"/>
          <w:u w:val="single"/>
          <w:lang w:eastAsia="bg-BG"/>
        </w:rPr>
        <w:t>Общи принципи</w:t>
      </w:r>
    </w:p>
    <w:p w14:paraId="3C5CE5B8" w14:textId="1268B757" w:rsidR="00440F94" w:rsidRPr="00440F94" w:rsidRDefault="00440F94" w:rsidP="00440F94">
      <w:pPr>
        <w:rPr>
          <w:rFonts w:eastAsia="Times New Roman" w:cs="Arial"/>
          <w:color w:val="000000"/>
          <w:lang w:eastAsia="bg-BG"/>
        </w:rPr>
      </w:pPr>
      <w:r w:rsidRPr="00440F94">
        <w:rPr>
          <w:rFonts w:eastAsia="Times New Roman" w:cs="Arial"/>
          <w:color w:val="000000"/>
          <w:lang w:eastAsia="bg-BG"/>
        </w:rPr>
        <w:t>Препоръчва се терапията да се започне с ниски дози и след това чрез постепенно титриране да се достигне до ефективната доза. Дозата и степента на нейното повишаване зависят от</w:t>
      </w:r>
      <w:r w:rsidRPr="00440F94">
        <w:rPr>
          <w:rFonts w:eastAsia="Times New Roman" w:cs="Arial"/>
          <w:b/>
          <w:bCs/>
          <w:color w:val="000000"/>
          <w:lang w:eastAsia="bg-BG"/>
        </w:rPr>
        <w:t xml:space="preserve"> </w:t>
      </w:r>
      <w:r w:rsidRPr="00440F94">
        <w:rPr>
          <w:rFonts w:eastAsia="Times New Roman" w:cs="Arial"/>
          <w:color w:val="000000"/>
          <w:lang w:eastAsia="bg-BG"/>
        </w:rPr>
        <w:t>клиничната картина.</w:t>
      </w:r>
    </w:p>
    <w:p w14:paraId="564E390E" w14:textId="11EFAD9F" w:rsidR="00440F94" w:rsidRPr="00440F94" w:rsidRDefault="00440F94" w:rsidP="00440F94">
      <w:pPr>
        <w:rPr>
          <w:rFonts w:eastAsia="Times New Roman" w:cs="Arial"/>
          <w:color w:val="000000"/>
          <w:lang w:eastAsia="bg-BG"/>
        </w:rPr>
      </w:pPr>
    </w:p>
    <w:p w14:paraId="0C67A158"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Топирамат е наличен под формата на филмирани таблетки. Препоръчва се филмираните таблетки да не се разчупват.</w:t>
      </w:r>
    </w:p>
    <w:p w14:paraId="23B993E0" w14:textId="77777777" w:rsidR="00440F94" w:rsidRPr="00440F94" w:rsidRDefault="00440F94" w:rsidP="00440F94">
      <w:pPr>
        <w:spacing w:line="240" w:lineRule="auto"/>
        <w:rPr>
          <w:rFonts w:eastAsia="Times New Roman" w:cs="Arial"/>
          <w:color w:val="000000"/>
          <w:lang w:eastAsia="bg-BG"/>
        </w:rPr>
      </w:pPr>
    </w:p>
    <w:p w14:paraId="7EA5617D" w14:textId="2B9C3C14" w:rsidR="00440F94" w:rsidRPr="00440F94" w:rsidRDefault="00440F94" w:rsidP="00440F94">
      <w:pPr>
        <w:spacing w:line="240" w:lineRule="auto"/>
        <w:rPr>
          <w:rFonts w:eastAsia="Times New Roman" w:cs="Arial"/>
        </w:rPr>
      </w:pPr>
      <w:r w:rsidRPr="00440F94">
        <w:rPr>
          <w:rFonts w:eastAsia="Times New Roman" w:cs="Arial"/>
          <w:color w:val="000000"/>
          <w:lang w:eastAsia="bg-BG"/>
        </w:rPr>
        <w:t>Не се налага мониториране на плазмените концентрации на топирамат, за да се оптимизира терапията с топирамат. В редки случаи добавянето на топирамат към схемата на лечение с фенитоин може да наложи коригиране на дозата фенитоин с цел да се постигне оптимален клиничен резултат. Добавянето или прекратяването на лечение с фенитоин или карбамазепин при провеждане на допълваща терапия с топирамат може да наложи коригиране на дозата на топирамат.</w:t>
      </w:r>
    </w:p>
    <w:p w14:paraId="145DFB39" w14:textId="77777777" w:rsidR="00440F94" w:rsidRPr="00440F94" w:rsidRDefault="00440F94" w:rsidP="00440F94">
      <w:pPr>
        <w:spacing w:line="240" w:lineRule="auto"/>
        <w:rPr>
          <w:rFonts w:eastAsia="Times New Roman" w:cs="Arial"/>
          <w:i/>
          <w:iCs/>
          <w:color w:val="000000"/>
          <w:lang w:eastAsia="bg-BG"/>
        </w:rPr>
      </w:pPr>
    </w:p>
    <w:p w14:paraId="299A0547" w14:textId="216AAC3A"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Прекратяване на терапията</w:t>
      </w:r>
    </w:p>
    <w:p w14:paraId="14C93ADB"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При пациенти със или без анамнеза за пристъпи или епилепсия, лечението с антиепилептични средства, включително и топирамат, трябва да се прекратява постепенно, за да се сведе до минимум рискът от поява на пристъпи или увеличаване честотата на пристъпите. В клинични изпитвания дневната доза е понижавана с 50-100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седмично при възрастни с епилепсия и с 25-50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седмично при възрастни, приемащи топирамат в дози до 100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дневно за профилактика на мигрена. В клинични педиатрични изпитвания дозата на топирамат е понижавана постепенно в продължение на 2-8-седмичен период.</w:t>
      </w:r>
    </w:p>
    <w:p w14:paraId="40B077DF" w14:textId="77777777" w:rsidR="00440F94" w:rsidRPr="00440F94" w:rsidRDefault="00440F94" w:rsidP="00440F94">
      <w:pPr>
        <w:spacing w:line="240" w:lineRule="auto"/>
        <w:rPr>
          <w:rFonts w:eastAsia="Times New Roman" w:cs="Arial"/>
          <w:b/>
          <w:bCs/>
          <w:color w:val="000000"/>
          <w:u w:val="single"/>
          <w:lang w:eastAsia="bg-BG"/>
        </w:rPr>
      </w:pPr>
      <w:bookmarkStart w:id="1" w:name="bookmark0"/>
    </w:p>
    <w:p w14:paraId="06E390AB" w14:textId="747B7E7D" w:rsidR="00440F94" w:rsidRPr="00440F94" w:rsidRDefault="00440F94" w:rsidP="00440F94">
      <w:pPr>
        <w:spacing w:line="240" w:lineRule="auto"/>
        <w:rPr>
          <w:rFonts w:eastAsia="Times New Roman" w:cs="Arial"/>
        </w:rPr>
      </w:pPr>
      <w:r w:rsidRPr="00440F94">
        <w:rPr>
          <w:rFonts w:eastAsia="Times New Roman" w:cs="Arial"/>
          <w:b/>
          <w:bCs/>
          <w:color w:val="000000"/>
          <w:u w:val="single"/>
          <w:lang w:eastAsia="bg-BG"/>
        </w:rPr>
        <w:t>Монотерапия на епилепсия</w:t>
      </w:r>
      <w:bookmarkEnd w:id="1"/>
    </w:p>
    <w:p w14:paraId="357F543B" w14:textId="77777777" w:rsidR="00440F94" w:rsidRPr="00440F94" w:rsidRDefault="00440F94" w:rsidP="00440F94">
      <w:pPr>
        <w:spacing w:line="240" w:lineRule="auto"/>
        <w:rPr>
          <w:rFonts w:eastAsia="Times New Roman" w:cs="Arial"/>
          <w:i/>
          <w:iCs/>
          <w:color w:val="000000"/>
          <w:u w:val="single"/>
          <w:lang w:eastAsia="bg-BG"/>
        </w:rPr>
      </w:pPr>
    </w:p>
    <w:p w14:paraId="6331B0EF" w14:textId="4CF38698" w:rsidR="00440F94" w:rsidRPr="00440F94" w:rsidRDefault="00440F94" w:rsidP="00440F94">
      <w:pPr>
        <w:spacing w:line="240" w:lineRule="auto"/>
        <w:rPr>
          <w:rFonts w:eastAsia="Times New Roman" w:cs="Arial"/>
        </w:rPr>
      </w:pPr>
      <w:r w:rsidRPr="00440F94">
        <w:rPr>
          <w:rFonts w:eastAsia="Times New Roman" w:cs="Arial"/>
          <w:i/>
          <w:iCs/>
          <w:color w:val="000000"/>
          <w:u w:val="single"/>
          <w:lang w:eastAsia="bg-BG"/>
        </w:rPr>
        <w:t>Общи принципи</w:t>
      </w:r>
    </w:p>
    <w:p w14:paraId="54533D1B" w14:textId="77777777" w:rsidR="00440F94" w:rsidRPr="00440F94" w:rsidRDefault="00440F94" w:rsidP="00440F94">
      <w:pPr>
        <w:spacing w:line="240" w:lineRule="auto"/>
        <w:rPr>
          <w:rFonts w:eastAsia="Times New Roman" w:cs="Arial"/>
          <w:color w:val="000000"/>
          <w:lang w:eastAsia="bg-BG"/>
        </w:rPr>
      </w:pPr>
    </w:p>
    <w:p w14:paraId="045D9F3D" w14:textId="70CF1B32" w:rsidR="00440F94" w:rsidRPr="00440F94" w:rsidRDefault="00440F94" w:rsidP="00440F94">
      <w:pPr>
        <w:spacing w:line="240" w:lineRule="auto"/>
        <w:rPr>
          <w:rFonts w:eastAsia="Times New Roman" w:cs="Arial"/>
        </w:rPr>
      </w:pPr>
      <w:r w:rsidRPr="00440F94">
        <w:rPr>
          <w:rFonts w:eastAsia="Times New Roman" w:cs="Arial"/>
          <w:color w:val="000000"/>
          <w:lang w:eastAsia="bg-BG"/>
        </w:rPr>
        <w:t>При прекратяване на употребата на съпътстващите антиепилептични лекарства (АЕЛ) с цел прилагане на монотерапия с топирамат, следва да се обърне внимание на последиците от това върху контрола на припадъците. Препоръчва се постепенно понижаване на дозите на съпътстващите АЕЛ с около 1/3 на всеки 2 седмици, освен ако внезапното прекратяване на техния прием не се налага по съображения за безопасност.</w:t>
      </w:r>
    </w:p>
    <w:p w14:paraId="20D2AF26" w14:textId="77777777" w:rsidR="00440F94" w:rsidRPr="00440F94" w:rsidRDefault="00440F94" w:rsidP="00440F94">
      <w:pPr>
        <w:spacing w:line="240" w:lineRule="auto"/>
        <w:rPr>
          <w:rFonts w:eastAsia="Times New Roman" w:cs="Arial"/>
          <w:color w:val="000000"/>
          <w:lang w:eastAsia="bg-BG"/>
        </w:rPr>
      </w:pPr>
    </w:p>
    <w:p w14:paraId="16B2958B" w14:textId="185C1D09" w:rsidR="00440F94" w:rsidRPr="00440F94" w:rsidRDefault="00440F94" w:rsidP="00440F94">
      <w:pPr>
        <w:spacing w:line="240" w:lineRule="auto"/>
        <w:rPr>
          <w:rFonts w:eastAsia="Times New Roman" w:cs="Arial"/>
        </w:rPr>
      </w:pPr>
      <w:r w:rsidRPr="00440F94">
        <w:rPr>
          <w:rFonts w:eastAsia="Times New Roman" w:cs="Arial"/>
          <w:color w:val="000000"/>
          <w:lang w:eastAsia="bg-BG"/>
        </w:rPr>
        <w:t>След прекратяване приема на ензим-индуциращите лекарствени продукти, стойностите на топирамат се покачват. Може да се наложи понижаване на дозата топирамат, ако за това има клинични показания.</w:t>
      </w:r>
    </w:p>
    <w:p w14:paraId="0F795BC7" w14:textId="77777777" w:rsidR="00440F94" w:rsidRPr="00440F94" w:rsidRDefault="00440F94" w:rsidP="00440F94">
      <w:pPr>
        <w:spacing w:line="240" w:lineRule="auto"/>
        <w:rPr>
          <w:rFonts w:eastAsia="Times New Roman" w:cs="Arial"/>
          <w:i/>
          <w:iCs/>
          <w:color w:val="000000"/>
          <w:lang w:eastAsia="bg-BG"/>
        </w:rPr>
      </w:pPr>
    </w:p>
    <w:p w14:paraId="5C1FB9AE" w14:textId="4D960637"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Възрастни</w:t>
      </w:r>
    </w:p>
    <w:p w14:paraId="48232D4A"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Дозата и титрирането й трябва да се ръководят от клиничния отговор. Титрирането трябва да започне с 25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вечер в продължение на една седмица, след което дозата се повишава на едно- или двуседмични интервали с по 25 или 50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дневно, приложена в два отделни приема. Ако пациентът не понася схемата на титриране, дозите може да се покачват в по-малка степен или интервалите между повишените дози може да се удължат.</w:t>
      </w:r>
    </w:p>
    <w:p w14:paraId="6CDD9AB8" w14:textId="77777777" w:rsidR="00440F94" w:rsidRPr="00440F94" w:rsidRDefault="00440F94" w:rsidP="00440F94">
      <w:pPr>
        <w:spacing w:line="240" w:lineRule="auto"/>
        <w:rPr>
          <w:rFonts w:eastAsia="Times New Roman" w:cs="Arial"/>
          <w:color w:val="000000"/>
          <w:lang w:eastAsia="bg-BG"/>
        </w:rPr>
      </w:pPr>
    </w:p>
    <w:p w14:paraId="088D4B00" w14:textId="3DC29512"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Препоръчителната начална таргетна доза топирамат като монотерапия при възрастни е 100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дневно до 200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дневно в 2 отделни приема. Препоръчителната максимална дневна доза е 500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дневно в 2 отделни приема. Някои пациенти с рефрактерни форми на епилепсия са понесли монотерапия с топирамат в дози от 1 000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дневно. Препоръките за дозиране са приложими за всички възрастни, включително и за пациентите в старческа възраст, при липсата на съпътстващо бъбречно заболяване.</w:t>
      </w:r>
    </w:p>
    <w:p w14:paraId="76C44C55" w14:textId="77777777" w:rsidR="00440F94" w:rsidRPr="00440F94" w:rsidRDefault="00440F94" w:rsidP="00440F94">
      <w:pPr>
        <w:spacing w:line="240" w:lineRule="auto"/>
        <w:rPr>
          <w:rFonts w:eastAsia="Times New Roman" w:cs="Arial"/>
          <w:i/>
          <w:iCs/>
          <w:color w:val="000000"/>
          <w:lang w:eastAsia="bg-BG"/>
        </w:rPr>
      </w:pPr>
    </w:p>
    <w:p w14:paraId="2F82EDAF" w14:textId="0C85741E"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Педиатрична популация (деца над 6 годишна възраст)</w:t>
      </w:r>
    </w:p>
    <w:p w14:paraId="4CE50C45"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Дозата и титрирането и при деца трябва да се определят от клиничния отговор. Лечението на деца над 6 годишна възраст трябва да започне с доза от 0,5 до 1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lang w:val="ru-RU"/>
        </w:rPr>
        <w:t xml:space="preserve"> </w:t>
      </w:r>
      <w:r w:rsidRPr="00440F94">
        <w:rPr>
          <w:rFonts w:eastAsia="Times New Roman" w:cs="Arial"/>
          <w:color w:val="000000"/>
          <w:lang w:eastAsia="bg-BG"/>
        </w:rPr>
        <w:t xml:space="preserve">вечер през първата седмица, след което се повишава на едно- или двуседмични интервали с по 0,5 до 1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u w:val="single"/>
          <w:lang w:val="ru-RU"/>
        </w:rPr>
        <w:t xml:space="preserve"> </w:t>
      </w:r>
      <w:r w:rsidRPr="00440F94">
        <w:rPr>
          <w:rFonts w:eastAsia="Times New Roman" w:cs="Arial"/>
          <w:color w:val="000000"/>
          <w:lang w:eastAsia="bg-BG"/>
        </w:rPr>
        <w:t>дневно, прилагани в два отделни приема. Ако детето не понася схемата на титриране, дозите може да се повишават в по-малка степен или интервалите между повишените дози могат да се удължат.</w:t>
      </w:r>
    </w:p>
    <w:p w14:paraId="32E476F1" w14:textId="63B143E0" w:rsidR="00440F94" w:rsidRPr="00440F94" w:rsidRDefault="00440F94" w:rsidP="00440F94">
      <w:pPr>
        <w:rPr>
          <w:rFonts w:eastAsia="Times New Roman" w:cs="Arial"/>
          <w:color w:val="000000"/>
          <w:lang w:eastAsia="bg-BG"/>
        </w:rPr>
      </w:pPr>
      <w:r w:rsidRPr="00440F94">
        <w:rPr>
          <w:rFonts w:eastAsia="Times New Roman" w:cs="Arial"/>
          <w:color w:val="000000"/>
          <w:lang w:eastAsia="bg-BG"/>
        </w:rPr>
        <w:t xml:space="preserve">Препоръчителната начална таргетна доза за монотерапия с топирамат при деца над 6 годишна възраст е 100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дневно в зависимост от клиничния отговор (това е около 2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lang w:val="ru-RU"/>
        </w:rPr>
        <w:t xml:space="preserve"> </w:t>
      </w:r>
      <w:r w:rsidRPr="00440F94">
        <w:rPr>
          <w:rFonts w:eastAsia="Times New Roman" w:cs="Arial"/>
          <w:color w:val="000000"/>
          <w:lang w:eastAsia="bg-BG"/>
        </w:rPr>
        <w:t>дневно при деца на възраст 6-16 години).</w:t>
      </w:r>
    </w:p>
    <w:p w14:paraId="2285D0E7" w14:textId="02ABF04F" w:rsidR="00440F94" w:rsidRPr="00440F94" w:rsidRDefault="00440F94" w:rsidP="00440F94">
      <w:pPr>
        <w:rPr>
          <w:rFonts w:eastAsia="Times New Roman" w:cs="Arial"/>
          <w:color w:val="000000"/>
          <w:lang w:eastAsia="bg-BG"/>
        </w:rPr>
      </w:pPr>
    </w:p>
    <w:p w14:paraId="1ED8D86A" w14:textId="77777777" w:rsidR="00440F94" w:rsidRPr="00440F94" w:rsidRDefault="00440F94" w:rsidP="00440F94">
      <w:pPr>
        <w:spacing w:line="240" w:lineRule="auto"/>
        <w:rPr>
          <w:rFonts w:eastAsia="Times New Roman" w:cs="Arial"/>
        </w:rPr>
      </w:pPr>
      <w:r w:rsidRPr="00440F94">
        <w:rPr>
          <w:rFonts w:eastAsia="Times New Roman" w:cs="Arial"/>
          <w:b/>
          <w:bCs/>
          <w:color w:val="000000"/>
          <w:u w:val="single"/>
          <w:lang w:eastAsia="bg-BG"/>
        </w:rPr>
        <w:t xml:space="preserve">Допълваща терапия при епилепсия (парциални пристъпи със или без вторична генерализация, първично генерализирани тонично-клонични припадъци или припадъци, свързани със синдрома на </w:t>
      </w:r>
      <w:r w:rsidRPr="00440F94">
        <w:rPr>
          <w:rFonts w:eastAsia="Times New Roman" w:cs="Arial"/>
          <w:b/>
          <w:bCs/>
          <w:color w:val="000000"/>
          <w:u w:val="single"/>
          <w:lang w:val="en-US"/>
        </w:rPr>
        <w:t>Lennox</w:t>
      </w:r>
      <w:r w:rsidRPr="00440F94">
        <w:rPr>
          <w:rFonts w:eastAsia="Times New Roman" w:cs="Arial"/>
          <w:b/>
          <w:bCs/>
          <w:color w:val="000000"/>
          <w:u w:val="single"/>
          <w:lang w:val="ru-RU"/>
        </w:rPr>
        <w:t>-</w:t>
      </w:r>
      <w:proofErr w:type="spellStart"/>
      <w:r w:rsidRPr="00440F94">
        <w:rPr>
          <w:rFonts w:eastAsia="Times New Roman" w:cs="Arial"/>
          <w:b/>
          <w:bCs/>
          <w:color w:val="000000"/>
          <w:u w:val="single"/>
          <w:lang w:val="en-US"/>
        </w:rPr>
        <w:t>Gastaut</w:t>
      </w:r>
      <w:proofErr w:type="spellEnd"/>
      <w:r w:rsidRPr="00440F94">
        <w:rPr>
          <w:rFonts w:eastAsia="Times New Roman" w:cs="Arial"/>
          <w:b/>
          <w:bCs/>
          <w:color w:val="000000"/>
          <w:u w:val="single"/>
          <w:lang w:val="ru-RU"/>
        </w:rPr>
        <w:t>)</w:t>
      </w:r>
    </w:p>
    <w:p w14:paraId="11BDF9BC" w14:textId="77777777" w:rsidR="00440F94" w:rsidRPr="00440F94" w:rsidRDefault="00440F94" w:rsidP="00440F94">
      <w:pPr>
        <w:spacing w:line="240" w:lineRule="auto"/>
        <w:rPr>
          <w:rFonts w:eastAsia="Times New Roman" w:cs="Arial"/>
          <w:i/>
          <w:iCs/>
          <w:color w:val="000000"/>
          <w:lang w:eastAsia="bg-BG"/>
        </w:rPr>
      </w:pPr>
    </w:p>
    <w:p w14:paraId="7FF32030" w14:textId="4E75A168"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Възрастни</w:t>
      </w:r>
    </w:p>
    <w:p w14:paraId="2D26CECB"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Лечението трябва да започне с 25-50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вечер в продължение на една седмица. Съобщава се за приложение на по-ниска начална доза, но това не е системно проучвано. Впоследствие дозата трябва да се повишава на едно- или двуседмични интервали с 25-50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дневно и да се прилага на два отделни приема. При някои пациенти може да се постигне ефект и при дозиране веднъж дневно.</w:t>
      </w:r>
    </w:p>
    <w:p w14:paraId="03681B95" w14:textId="77777777" w:rsidR="00440F94" w:rsidRPr="00440F94" w:rsidRDefault="00440F94" w:rsidP="00440F94">
      <w:pPr>
        <w:spacing w:line="240" w:lineRule="auto"/>
        <w:rPr>
          <w:rFonts w:eastAsia="Times New Roman" w:cs="Arial"/>
          <w:color w:val="000000"/>
          <w:lang w:eastAsia="bg-BG"/>
        </w:rPr>
      </w:pPr>
    </w:p>
    <w:p w14:paraId="44D8173D" w14:textId="40226ACD"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В клиничните изпитвания като допълваща терапия най-ниската ефективна доза е 200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Обичайната дневна доза е 200-400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в два отделни приема.</w:t>
      </w:r>
    </w:p>
    <w:p w14:paraId="59E9AF14" w14:textId="77777777" w:rsidR="00440F94" w:rsidRPr="00440F94" w:rsidRDefault="00440F94" w:rsidP="00440F94">
      <w:pPr>
        <w:spacing w:line="240" w:lineRule="auto"/>
        <w:rPr>
          <w:rFonts w:eastAsia="Times New Roman" w:cs="Arial"/>
          <w:color w:val="000000"/>
          <w:lang w:eastAsia="bg-BG"/>
        </w:rPr>
      </w:pPr>
    </w:p>
    <w:p w14:paraId="310062AB" w14:textId="4BF6E630" w:rsidR="00440F94" w:rsidRPr="00440F94" w:rsidRDefault="00440F94" w:rsidP="00440F94">
      <w:pPr>
        <w:spacing w:line="240" w:lineRule="auto"/>
        <w:rPr>
          <w:rFonts w:eastAsia="Times New Roman" w:cs="Arial"/>
        </w:rPr>
      </w:pPr>
      <w:r w:rsidRPr="00440F94">
        <w:rPr>
          <w:rFonts w:eastAsia="Times New Roman" w:cs="Arial"/>
          <w:color w:val="000000"/>
          <w:lang w:eastAsia="bg-BG"/>
        </w:rPr>
        <w:t>Предложените схеми на дозиране са приложими за всички възрастни, включително и за пациентите в старческа възраст, при липсата на съпътстващо бъбречно заболяване (вж. точка 4.4).</w:t>
      </w:r>
    </w:p>
    <w:p w14:paraId="7D6AAECD" w14:textId="77777777" w:rsidR="00440F94" w:rsidRPr="00440F94" w:rsidRDefault="00440F94" w:rsidP="00440F94">
      <w:pPr>
        <w:spacing w:line="240" w:lineRule="auto"/>
        <w:rPr>
          <w:rFonts w:eastAsia="Times New Roman" w:cs="Arial"/>
          <w:i/>
          <w:iCs/>
          <w:color w:val="000000"/>
          <w:lang w:eastAsia="bg-BG"/>
        </w:rPr>
      </w:pPr>
    </w:p>
    <w:p w14:paraId="76D5F5FC" w14:textId="74EE84D4"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Педиатрична популация (деца на възраст на 2 и повече години)</w:t>
      </w:r>
    </w:p>
    <w:p w14:paraId="094AC9C6"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Препоръчителната обща дневна доза топирамат като допълваща терапия е приблизително 5 до 9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lang w:val="ru-RU"/>
        </w:rPr>
        <w:t xml:space="preserve"> </w:t>
      </w:r>
      <w:r w:rsidRPr="00440F94">
        <w:rPr>
          <w:rFonts w:eastAsia="Times New Roman" w:cs="Arial"/>
          <w:color w:val="000000"/>
          <w:lang w:eastAsia="bg-BG"/>
        </w:rPr>
        <w:t xml:space="preserve">в два отделни приема. Титрирането трябва да започне с 25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(или по-малко, в границите на 1 до 3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lang w:val="ru-RU"/>
        </w:rPr>
        <w:t xml:space="preserve"> </w:t>
      </w:r>
      <w:r w:rsidRPr="00440F94">
        <w:rPr>
          <w:rFonts w:eastAsia="Times New Roman" w:cs="Arial"/>
          <w:color w:val="000000"/>
          <w:lang w:eastAsia="bg-BG"/>
        </w:rPr>
        <w:t xml:space="preserve">дневно) вечер през първата седмица, след което дозата се повишава на едно- или двуседмични интервали с по 1 до 3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lang w:val="ru-RU"/>
        </w:rPr>
        <w:t xml:space="preserve"> </w:t>
      </w:r>
      <w:r w:rsidRPr="00440F94">
        <w:rPr>
          <w:rFonts w:eastAsia="Times New Roman" w:cs="Arial"/>
          <w:color w:val="000000"/>
          <w:lang w:eastAsia="bg-BG"/>
        </w:rPr>
        <w:t>дневно (приложена в два отделни приема), за да се постигне оптимален клиничен отговор.</w:t>
      </w:r>
    </w:p>
    <w:p w14:paraId="4CEC9284" w14:textId="77777777" w:rsidR="00440F94" w:rsidRPr="00440F94" w:rsidRDefault="00440F94" w:rsidP="00440F94">
      <w:pPr>
        <w:spacing w:line="240" w:lineRule="auto"/>
        <w:rPr>
          <w:rFonts w:eastAsia="Times New Roman" w:cs="Arial"/>
          <w:color w:val="000000"/>
          <w:lang w:eastAsia="bg-BG"/>
        </w:rPr>
      </w:pPr>
    </w:p>
    <w:p w14:paraId="152B62E9" w14:textId="28B1ED62"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Проведени са проучвания на дневни дози до 30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lang w:val="ru-RU"/>
        </w:rPr>
        <w:t xml:space="preserve"> </w:t>
      </w:r>
      <w:r w:rsidRPr="00440F94">
        <w:rPr>
          <w:rFonts w:eastAsia="Times New Roman" w:cs="Arial"/>
          <w:color w:val="000000"/>
          <w:lang w:eastAsia="bg-BG"/>
        </w:rPr>
        <w:t>и като цяло поносимостта към тях е добра.</w:t>
      </w:r>
    </w:p>
    <w:p w14:paraId="01EAD31F" w14:textId="77777777" w:rsidR="00440F94" w:rsidRPr="00440F94" w:rsidRDefault="00440F94" w:rsidP="00440F94">
      <w:pPr>
        <w:spacing w:line="240" w:lineRule="auto"/>
        <w:rPr>
          <w:rFonts w:eastAsia="Times New Roman" w:cs="Arial"/>
          <w:b/>
          <w:bCs/>
          <w:color w:val="000000"/>
          <w:u w:val="single"/>
          <w:lang w:eastAsia="bg-BG"/>
        </w:rPr>
      </w:pPr>
    </w:p>
    <w:p w14:paraId="3C7E3E0A" w14:textId="00C0DCFF" w:rsidR="00440F94" w:rsidRPr="00440F94" w:rsidRDefault="00440F94" w:rsidP="00440F94">
      <w:pPr>
        <w:spacing w:line="240" w:lineRule="auto"/>
        <w:rPr>
          <w:rFonts w:eastAsia="Times New Roman" w:cs="Arial"/>
        </w:rPr>
      </w:pPr>
      <w:r w:rsidRPr="00440F94">
        <w:rPr>
          <w:rFonts w:eastAsia="Times New Roman" w:cs="Arial"/>
          <w:b/>
          <w:bCs/>
          <w:color w:val="000000"/>
          <w:u w:val="single"/>
          <w:lang w:eastAsia="bg-BG"/>
        </w:rPr>
        <w:t>Мигрена</w:t>
      </w:r>
    </w:p>
    <w:p w14:paraId="49F72692" w14:textId="77777777" w:rsidR="00440F94" w:rsidRPr="00440F94" w:rsidRDefault="00440F94" w:rsidP="00440F94">
      <w:pPr>
        <w:spacing w:line="240" w:lineRule="auto"/>
        <w:rPr>
          <w:rFonts w:eastAsia="Times New Roman" w:cs="Arial"/>
          <w:i/>
          <w:iCs/>
          <w:color w:val="000000"/>
          <w:lang w:eastAsia="bg-BG"/>
        </w:rPr>
      </w:pPr>
    </w:p>
    <w:p w14:paraId="521EE4B7" w14:textId="2ABDAF34"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Възрастни</w:t>
      </w:r>
    </w:p>
    <w:p w14:paraId="06392D94"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lastRenderedPageBreak/>
        <w:t xml:space="preserve">Препоръчителната обща дневна доза топирамат за профилактика на мигренозно главоболие е 100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приложена в два отделни приема. Титрирането трябва да започне с 25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вечер в продължение на една седмица, след което дозата се повишава с по 25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дневно, прилагани на едноседмични интервали. Ако пациентът не понася схемата на титриране, интервалите между коригираните дози могат да се удължат.</w:t>
      </w:r>
    </w:p>
    <w:p w14:paraId="039CA4BD" w14:textId="77777777" w:rsidR="00440F94" w:rsidRPr="00440F94" w:rsidRDefault="00440F94" w:rsidP="00440F94">
      <w:pPr>
        <w:spacing w:line="240" w:lineRule="auto"/>
        <w:rPr>
          <w:rFonts w:eastAsia="Times New Roman" w:cs="Arial"/>
          <w:color w:val="000000"/>
          <w:lang w:eastAsia="bg-BG"/>
        </w:rPr>
      </w:pPr>
    </w:p>
    <w:p w14:paraId="5A964C39" w14:textId="298F9039"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При някои пациенти може да се постигне ефект и при обща дневна доза от 50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Пациенти са приемали и обща дневна доза до 200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Тази дозировка може да е от полза за някои пациенти, но се препоръчва повишено внимание поради повишената честота на нежеланите реакции.</w:t>
      </w:r>
    </w:p>
    <w:p w14:paraId="699463DD" w14:textId="77777777" w:rsidR="00440F94" w:rsidRPr="00440F94" w:rsidRDefault="00440F94" w:rsidP="00440F94">
      <w:pPr>
        <w:spacing w:line="240" w:lineRule="auto"/>
        <w:rPr>
          <w:rFonts w:eastAsia="Times New Roman" w:cs="Arial"/>
          <w:i/>
          <w:iCs/>
          <w:color w:val="000000"/>
          <w:lang w:eastAsia="bg-BG"/>
        </w:rPr>
      </w:pPr>
    </w:p>
    <w:p w14:paraId="52F70F28" w14:textId="2B68ABD2"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Педиатрична популация</w:t>
      </w:r>
    </w:p>
    <w:p w14:paraId="6B0D534F"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Не се препоръчва употребата на топирамат за лечение и профилактика на мигрена при деца, поради недостатъчни данни за безопасността и ефикасността.</w:t>
      </w:r>
    </w:p>
    <w:p w14:paraId="20D68624" w14:textId="77777777" w:rsidR="00440F94" w:rsidRPr="00440F94" w:rsidRDefault="00440F94" w:rsidP="00440F94">
      <w:pPr>
        <w:spacing w:line="240" w:lineRule="auto"/>
        <w:rPr>
          <w:rFonts w:eastAsia="Times New Roman" w:cs="Arial"/>
          <w:b/>
          <w:bCs/>
          <w:color w:val="000000"/>
          <w:lang w:eastAsia="bg-BG"/>
        </w:rPr>
      </w:pPr>
      <w:bookmarkStart w:id="2" w:name="bookmark2"/>
    </w:p>
    <w:p w14:paraId="7941FF79" w14:textId="7CC8078C" w:rsidR="00440F94" w:rsidRPr="00440F94" w:rsidRDefault="00440F94" w:rsidP="00440F94">
      <w:pPr>
        <w:spacing w:line="240" w:lineRule="auto"/>
        <w:rPr>
          <w:rFonts w:eastAsia="Times New Roman" w:cs="Arial"/>
        </w:rPr>
      </w:pPr>
      <w:r w:rsidRPr="00440F94">
        <w:rPr>
          <w:rFonts w:eastAsia="Times New Roman" w:cs="Arial"/>
          <w:b/>
          <w:bCs/>
          <w:color w:val="000000"/>
          <w:lang w:eastAsia="bg-BG"/>
        </w:rPr>
        <w:t>Специални популации</w:t>
      </w:r>
      <w:bookmarkEnd w:id="2"/>
    </w:p>
    <w:p w14:paraId="43740954" w14:textId="77777777" w:rsidR="00440F94" w:rsidRPr="00440F94" w:rsidRDefault="00440F94" w:rsidP="00440F94">
      <w:pPr>
        <w:spacing w:line="240" w:lineRule="auto"/>
        <w:rPr>
          <w:rFonts w:eastAsia="Times New Roman" w:cs="Arial"/>
          <w:i/>
          <w:iCs/>
          <w:color w:val="000000"/>
          <w:lang w:eastAsia="bg-BG"/>
        </w:rPr>
      </w:pPr>
    </w:p>
    <w:p w14:paraId="73F2B5DF" w14:textId="60E4C55A"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Бъбречно увреждане</w:t>
      </w:r>
    </w:p>
    <w:p w14:paraId="41382206"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Топирамат трябва да се прилага с внимание при пациенти с увредена бъбречна функция </w:t>
      </w:r>
      <w:r w:rsidRPr="00440F94">
        <w:rPr>
          <w:rFonts w:eastAsia="Times New Roman" w:cs="Arial"/>
          <w:smallCaps/>
          <w:color w:val="000000"/>
          <w:lang w:val="ru-RU"/>
        </w:rPr>
        <w:t>(</w:t>
      </w:r>
      <w:proofErr w:type="spellStart"/>
      <w:r w:rsidRPr="00440F94">
        <w:rPr>
          <w:rFonts w:eastAsia="Times New Roman" w:cs="Arial"/>
          <w:smallCaps/>
          <w:color w:val="000000"/>
          <w:lang w:val="en-US"/>
        </w:rPr>
        <w:t>CLcr</w:t>
      </w:r>
      <w:proofErr w:type="spellEnd"/>
      <w:r w:rsidRPr="00440F94">
        <w:rPr>
          <w:rFonts w:eastAsia="Times New Roman" w:cs="Arial"/>
          <w:color w:val="000000"/>
          <w:lang w:val="ru-RU"/>
        </w:rPr>
        <w:t xml:space="preserve"> </w:t>
      </w:r>
      <w:r w:rsidRPr="00440F94">
        <w:rPr>
          <w:rFonts w:eastAsia="Times New Roman" w:cs="Arial"/>
          <w:color w:val="000000"/>
          <w:lang w:eastAsia="bg-BG"/>
        </w:rPr>
        <w:t>≤</w:t>
      </w:r>
      <w:r w:rsidRPr="00440F94">
        <w:rPr>
          <w:rFonts w:eastAsia="Times New Roman" w:cs="Arial"/>
          <w:color w:val="000000"/>
          <w:lang w:val="ru-RU"/>
        </w:rPr>
        <w:t>7</w:t>
      </w:r>
      <w:r w:rsidRPr="00440F94">
        <w:rPr>
          <w:rFonts w:eastAsia="Times New Roman" w:cs="Arial"/>
          <w:color w:val="000000"/>
          <w:lang w:eastAsia="bg-BG"/>
        </w:rPr>
        <w:t xml:space="preserve">0 </w:t>
      </w:r>
      <w:r w:rsidRPr="00440F94">
        <w:rPr>
          <w:rFonts w:eastAsia="Times New Roman" w:cs="Arial"/>
          <w:color w:val="000000"/>
          <w:lang w:val="en-US"/>
        </w:rPr>
        <w:t>ml</w:t>
      </w:r>
      <w:r w:rsidRPr="00440F94">
        <w:rPr>
          <w:rFonts w:eastAsia="Times New Roman" w:cs="Arial"/>
          <w:color w:val="000000"/>
          <w:lang w:val="ru-RU"/>
        </w:rPr>
        <w:t>/</w:t>
      </w:r>
      <w:r w:rsidRPr="00440F94">
        <w:rPr>
          <w:rFonts w:eastAsia="Times New Roman" w:cs="Arial"/>
          <w:color w:val="000000"/>
          <w:lang w:val="en-US"/>
        </w:rPr>
        <w:t>min</w:t>
      </w:r>
      <w:r w:rsidRPr="00440F94">
        <w:rPr>
          <w:rFonts w:eastAsia="Times New Roman" w:cs="Arial"/>
          <w:color w:val="000000"/>
          <w:lang w:val="ru-RU"/>
        </w:rPr>
        <w:t xml:space="preserve">), </w:t>
      </w:r>
      <w:r w:rsidRPr="00440F94">
        <w:rPr>
          <w:rFonts w:eastAsia="Times New Roman" w:cs="Arial"/>
          <w:color w:val="000000"/>
          <w:lang w:eastAsia="bg-BG"/>
        </w:rPr>
        <w:t>тъй като плазменият и бъбречен клирънс на топирамат са намалени. При индивиди с установено бъбречно увреждане може да е необходимо повече време за достигане на стационарни плазмени концентрации за всяка доза. Препоръчва се половината от обичайната начална и поддържаща доза (вж. точка 5.2).</w:t>
      </w:r>
    </w:p>
    <w:p w14:paraId="10090922" w14:textId="77777777" w:rsidR="00440F94" w:rsidRPr="00440F94" w:rsidRDefault="00440F94" w:rsidP="00440F94">
      <w:pPr>
        <w:rPr>
          <w:rFonts w:eastAsia="Times New Roman" w:cs="Arial"/>
          <w:color w:val="000000"/>
          <w:lang w:eastAsia="bg-BG"/>
        </w:rPr>
      </w:pPr>
    </w:p>
    <w:p w14:paraId="6D5A9393" w14:textId="77777777" w:rsidR="00440F94" w:rsidRPr="00440F94" w:rsidRDefault="00440F94" w:rsidP="00440F94">
      <w:pPr>
        <w:rPr>
          <w:rFonts w:eastAsia="Times New Roman" w:cs="Arial"/>
        </w:rPr>
      </w:pPr>
      <w:r w:rsidRPr="00440F94">
        <w:rPr>
          <w:rFonts w:eastAsia="Times New Roman" w:cs="Arial"/>
          <w:color w:val="000000"/>
          <w:lang w:val="ru-RU" w:eastAsia="bg-BG"/>
        </w:rPr>
        <w:t xml:space="preserve"> </w:t>
      </w:r>
      <w:r w:rsidRPr="00440F94">
        <w:rPr>
          <w:rFonts w:eastAsia="Times New Roman" w:cs="Arial"/>
          <w:color w:val="000000"/>
          <w:lang w:eastAsia="bg-BG"/>
        </w:rPr>
        <w:t>Тъй като топирамат се отстранява от плазмата чрез хемодиализа, при пациенти в последен стадий на бъбречна недостатъчност, в дните на хемодиализата трябва да се прилага</w:t>
      </w:r>
      <w:r w:rsidRPr="00440F94">
        <w:rPr>
          <w:rFonts w:eastAsia="Times New Roman" w:cs="Arial"/>
          <w:color w:val="000000"/>
          <w:lang w:val="ru-RU" w:eastAsia="bg-BG"/>
        </w:rPr>
        <w:t xml:space="preserve"> </w:t>
      </w:r>
      <w:r w:rsidRPr="00440F94">
        <w:rPr>
          <w:rFonts w:eastAsia="Times New Roman" w:cs="Arial"/>
          <w:color w:val="000000"/>
          <w:lang w:eastAsia="bg-BG"/>
        </w:rPr>
        <w:t>допълнителна доза топирамат, приблизително равна на половината дневна доза. Допълнителната доза се прилага на два отделни приема в началото и след края на хемодиализната процедура. Допълнителната доза може да бъде различна в зависимост от характеристиките на вида на диализата и на използваното диализно оборудване (вж. точка 5.2).</w:t>
      </w:r>
    </w:p>
    <w:p w14:paraId="5E51B58E" w14:textId="77777777" w:rsidR="00440F94" w:rsidRPr="00440F94" w:rsidRDefault="00440F94" w:rsidP="00440F94">
      <w:pPr>
        <w:spacing w:line="240" w:lineRule="auto"/>
        <w:rPr>
          <w:rFonts w:eastAsia="Times New Roman" w:cs="Arial"/>
          <w:i/>
          <w:iCs/>
          <w:color w:val="000000"/>
          <w:lang w:eastAsia="bg-BG"/>
        </w:rPr>
      </w:pPr>
    </w:p>
    <w:p w14:paraId="46DC64B7" w14:textId="17A98B4D"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Чернодробно увреждане.</w:t>
      </w:r>
    </w:p>
    <w:p w14:paraId="10109321"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При пациенти с умерено до тежко чернодробно увреждане топирамат трябва да се прилага с повишено внимание, поради понижен клирънс на топирамат.</w:t>
      </w:r>
    </w:p>
    <w:p w14:paraId="73A15C39" w14:textId="77777777" w:rsidR="00440F94" w:rsidRPr="00440F94" w:rsidRDefault="00440F94" w:rsidP="00440F94">
      <w:pPr>
        <w:spacing w:line="240" w:lineRule="auto"/>
        <w:rPr>
          <w:rFonts w:eastAsia="Times New Roman" w:cs="Arial"/>
          <w:i/>
          <w:iCs/>
          <w:color w:val="000000"/>
          <w:lang w:eastAsia="bg-BG"/>
        </w:rPr>
      </w:pPr>
    </w:p>
    <w:p w14:paraId="66E919E0" w14:textId="7FAEE558"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Старческа възраст</w:t>
      </w:r>
    </w:p>
    <w:p w14:paraId="17928BC1"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Не се изисква адаптиране на дозата при пациенти в старческа възраст с нормална бъбречна функция.</w:t>
      </w:r>
    </w:p>
    <w:p w14:paraId="31F6E795" w14:textId="77777777" w:rsidR="00440F94" w:rsidRPr="00440F94" w:rsidRDefault="00440F94" w:rsidP="00440F94">
      <w:pPr>
        <w:spacing w:line="240" w:lineRule="auto"/>
        <w:rPr>
          <w:rFonts w:eastAsia="Times New Roman" w:cs="Arial"/>
          <w:color w:val="000000"/>
          <w:u w:val="single"/>
          <w:lang w:eastAsia="bg-BG"/>
        </w:rPr>
      </w:pPr>
    </w:p>
    <w:p w14:paraId="6C083BBC" w14:textId="105BEF45" w:rsidR="00440F94" w:rsidRPr="00403A83" w:rsidRDefault="00440F94" w:rsidP="00403A83">
      <w:pPr>
        <w:pStyle w:val="Heading3"/>
        <w:rPr>
          <w:rFonts w:eastAsia="Times New Roman"/>
          <w:u w:val="single"/>
        </w:rPr>
      </w:pPr>
      <w:r w:rsidRPr="00403A83">
        <w:rPr>
          <w:rFonts w:eastAsia="Times New Roman"/>
          <w:u w:val="single"/>
          <w:lang w:eastAsia="bg-BG"/>
        </w:rPr>
        <w:t>Начин на приложение</w:t>
      </w:r>
    </w:p>
    <w:p w14:paraId="12E88639" w14:textId="77777777" w:rsidR="00440F94" w:rsidRPr="00440F94" w:rsidRDefault="00440F94" w:rsidP="00440F94">
      <w:pPr>
        <w:spacing w:line="240" w:lineRule="auto"/>
        <w:rPr>
          <w:rFonts w:eastAsia="Times New Roman" w:cs="Arial"/>
        </w:rPr>
      </w:pPr>
      <w:r w:rsidRPr="00440F94">
        <w:rPr>
          <w:rFonts w:eastAsia="Times New Roman" w:cs="Arial"/>
          <w:b/>
          <w:bCs/>
          <w:color w:val="000000"/>
          <w:lang w:eastAsia="bg-BG"/>
        </w:rPr>
        <w:t>Перорално приложение</w:t>
      </w:r>
    </w:p>
    <w:p w14:paraId="0CC88B5D" w14:textId="77777777" w:rsidR="00440F94" w:rsidRPr="00440F94" w:rsidRDefault="00440F94" w:rsidP="00440F94">
      <w:pPr>
        <w:rPr>
          <w:rFonts w:eastAsia="Times New Roman" w:cs="Arial"/>
          <w:color w:val="000000"/>
          <w:lang w:eastAsia="bg-BG"/>
        </w:rPr>
      </w:pPr>
    </w:p>
    <w:p w14:paraId="192EB7A1" w14:textId="0497227D" w:rsidR="00440F94" w:rsidRPr="00440F94" w:rsidRDefault="00440F94" w:rsidP="00440F94">
      <w:pPr>
        <w:rPr>
          <w:rFonts w:eastAsia="Times New Roman" w:cs="Arial"/>
          <w:color w:val="000000"/>
          <w:lang w:eastAsia="bg-BG"/>
        </w:rPr>
      </w:pPr>
      <w:r w:rsidRPr="00440F94">
        <w:rPr>
          <w:rFonts w:eastAsia="Times New Roman" w:cs="Arial"/>
          <w:color w:val="000000"/>
          <w:lang w:eastAsia="bg-BG"/>
        </w:rPr>
        <w:t>Употребата на топирамат не се влияе от приема на храната.</w:t>
      </w:r>
    </w:p>
    <w:p w14:paraId="3512D5A0" w14:textId="77777777" w:rsidR="00440F94" w:rsidRPr="00440F94" w:rsidRDefault="00440F94" w:rsidP="00440F94">
      <w:pPr>
        <w:rPr>
          <w:lang w:val="ru-RU"/>
        </w:rPr>
      </w:pPr>
    </w:p>
    <w:p w14:paraId="74903285" w14:textId="7DF83962" w:rsidR="00DB32D3" w:rsidRDefault="002C50EE" w:rsidP="005726E3">
      <w:pPr>
        <w:pStyle w:val="Heading2"/>
      </w:pPr>
      <w:r>
        <w:t>4.3. Противопоказания</w:t>
      </w:r>
    </w:p>
    <w:p w14:paraId="36BE7118" w14:textId="43056F60" w:rsidR="00403A83" w:rsidRDefault="00403A83" w:rsidP="00403A83"/>
    <w:p w14:paraId="2EF35243" w14:textId="77777777" w:rsidR="00403A83" w:rsidRPr="00403A83" w:rsidRDefault="00403A83" w:rsidP="00403A83">
      <w:pPr>
        <w:spacing w:line="240" w:lineRule="auto"/>
        <w:rPr>
          <w:rFonts w:eastAsia="Times New Roman" w:cs="Arial"/>
          <w:sz w:val="28"/>
          <w:szCs w:val="24"/>
        </w:rPr>
      </w:pPr>
      <w:r w:rsidRPr="00403A83">
        <w:rPr>
          <w:rFonts w:eastAsia="Times New Roman" w:cs="Arial"/>
          <w:color w:val="000000"/>
          <w:szCs w:val="20"/>
          <w:lang w:eastAsia="bg-BG"/>
        </w:rPr>
        <w:t>Свръхчувствителност към топирамат или към някое от помощните вещества, изброени в точка 6.1.</w:t>
      </w:r>
    </w:p>
    <w:p w14:paraId="156CB487" w14:textId="77777777" w:rsidR="00403A83" w:rsidRPr="00403A83" w:rsidRDefault="00403A83" w:rsidP="00403A83">
      <w:pPr>
        <w:spacing w:line="240" w:lineRule="auto"/>
        <w:rPr>
          <w:rFonts w:eastAsia="Times New Roman" w:cs="Arial"/>
          <w:color w:val="000000"/>
          <w:szCs w:val="20"/>
          <w:lang w:eastAsia="bg-BG"/>
        </w:rPr>
      </w:pPr>
    </w:p>
    <w:p w14:paraId="47A7AEEE" w14:textId="0D2667E7" w:rsidR="00403A83" w:rsidRPr="00403A83" w:rsidRDefault="00403A83" w:rsidP="00403A83">
      <w:pPr>
        <w:spacing w:line="240" w:lineRule="auto"/>
        <w:rPr>
          <w:rFonts w:eastAsia="Times New Roman" w:cs="Arial"/>
          <w:sz w:val="28"/>
          <w:szCs w:val="24"/>
        </w:rPr>
      </w:pPr>
      <w:r w:rsidRPr="00403A83">
        <w:rPr>
          <w:rFonts w:eastAsia="Times New Roman" w:cs="Arial"/>
          <w:color w:val="000000"/>
          <w:szCs w:val="20"/>
          <w:lang w:eastAsia="bg-BG"/>
        </w:rPr>
        <w:t>Профилактика на мигрена по време на бременност и при жени с детероден потенциал, ако не използват ефективни методи за контрацепция.</w:t>
      </w:r>
    </w:p>
    <w:p w14:paraId="3CC49AA8" w14:textId="77777777" w:rsidR="00403A83" w:rsidRPr="00403A83" w:rsidRDefault="00403A83" w:rsidP="00403A83">
      <w:pPr>
        <w:rPr>
          <w:rFonts w:eastAsia="Times New Roman" w:cs="Arial"/>
          <w:color w:val="000000"/>
          <w:szCs w:val="20"/>
          <w:lang w:eastAsia="bg-BG"/>
        </w:rPr>
      </w:pPr>
    </w:p>
    <w:p w14:paraId="428E7E8E" w14:textId="4010DFC4" w:rsidR="00403A83" w:rsidRPr="00403A83" w:rsidRDefault="00403A83" w:rsidP="00403A83">
      <w:pPr>
        <w:rPr>
          <w:rFonts w:eastAsia="Times New Roman" w:cs="Arial"/>
          <w:color w:val="000000"/>
          <w:szCs w:val="20"/>
          <w:lang w:eastAsia="bg-BG"/>
        </w:rPr>
      </w:pPr>
      <w:r w:rsidRPr="00403A83">
        <w:rPr>
          <w:rFonts w:eastAsia="Times New Roman" w:cs="Arial"/>
          <w:color w:val="000000"/>
          <w:szCs w:val="20"/>
          <w:lang w:eastAsia="bg-BG"/>
        </w:rPr>
        <w:t>Алергия към фъстъци или соя.</w:t>
      </w:r>
    </w:p>
    <w:p w14:paraId="6265373F" w14:textId="77777777" w:rsidR="00403A83" w:rsidRPr="00403A83" w:rsidRDefault="00403A83" w:rsidP="00403A83">
      <w:pPr>
        <w:rPr>
          <w:rFonts w:ascii="Times New Roman" w:eastAsia="Times New Roman" w:hAnsi="Times New Roman" w:cs="Times New Roman"/>
          <w:color w:val="000000"/>
          <w:sz w:val="20"/>
          <w:szCs w:val="20"/>
          <w:lang w:eastAsia="bg-BG"/>
        </w:rPr>
      </w:pPr>
    </w:p>
    <w:p w14:paraId="76DC8E58" w14:textId="4E15E52D" w:rsidR="00DB32D3" w:rsidRDefault="002C50EE" w:rsidP="005726E3">
      <w:pPr>
        <w:pStyle w:val="Heading2"/>
      </w:pPr>
      <w:r>
        <w:t>4.4. Специални предупреждения и предпазни мерки при употреба</w:t>
      </w:r>
    </w:p>
    <w:p w14:paraId="3905CB6F" w14:textId="2E5A443B" w:rsidR="00403A83" w:rsidRDefault="00403A83" w:rsidP="00403A83"/>
    <w:p w14:paraId="23D848D4" w14:textId="77777777" w:rsidR="00403A83" w:rsidRPr="00403A83" w:rsidRDefault="00403A83" w:rsidP="00403A83">
      <w:pPr>
        <w:spacing w:line="240" w:lineRule="auto"/>
        <w:rPr>
          <w:rFonts w:eastAsia="Times New Roman" w:cs="Arial"/>
        </w:rPr>
      </w:pPr>
      <w:r w:rsidRPr="00403A83">
        <w:rPr>
          <w:rFonts w:eastAsia="Times New Roman" w:cs="Arial"/>
          <w:color w:val="000000"/>
          <w:lang w:eastAsia="bg-BG"/>
        </w:rPr>
        <w:t>В случаи, при които се налага рязко прекратяване на лечението с топирамат по медицински показания се препоръчва подходящо наблюдение (вж. точка 4.2 за повече информация).</w:t>
      </w:r>
    </w:p>
    <w:p w14:paraId="0A56CB9A" w14:textId="77777777" w:rsidR="00403A83" w:rsidRPr="00AB2736" w:rsidRDefault="00403A83" w:rsidP="00403A83">
      <w:pPr>
        <w:spacing w:line="240" w:lineRule="auto"/>
        <w:rPr>
          <w:rFonts w:eastAsia="Times New Roman" w:cs="Arial"/>
          <w:color w:val="000000"/>
          <w:lang w:eastAsia="bg-BG"/>
        </w:rPr>
      </w:pPr>
    </w:p>
    <w:p w14:paraId="3B6EBED7" w14:textId="5D51131B" w:rsidR="00403A83" w:rsidRPr="00403A83" w:rsidRDefault="00403A83" w:rsidP="00403A83">
      <w:pPr>
        <w:spacing w:line="240" w:lineRule="auto"/>
        <w:rPr>
          <w:rFonts w:eastAsia="Times New Roman" w:cs="Arial"/>
        </w:rPr>
      </w:pPr>
      <w:r w:rsidRPr="00403A83">
        <w:rPr>
          <w:rFonts w:eastAsia="Times New Roman" w:cs="Arial"/>
          <w:color w:val="000000"/>
          <w:lang w:eastAsia="bg-BG"/>
        </w:rPr>
        <w:t>Както и при други антиепилептични лекарства, така и при лечение с топирамат при някои пациенти припадъците могат да се учестят или да се появи нов вид припадъци. Този феномен може да се дължи на предозиране, понижаване на плазмените концентрации при едновременна употреба на антиепилептици, прогресиране на заболяването или на парадоксален ефект.</w:t>
      </w:r>
    </w:p>
    <w:p w14:paraId="6F11FEBD" w14:textId="77777777" w:rsidR="00403A83" w:rsidRPr="00AB2736" w:rsidRDefault="00403A83" w:rsidP="00403A83">
      <w:pPr>
        <w:spacing w:line="240" w:lineRule="auto"/>
        <w:rPr>
          <w:rFonts w:eastAsia="Times New Roman" w:cs="Arial"/>
          <w:color w:val="000000"/>
          <w:lang w:eastAsia="bg-BG"/>
        </w:rPr>
      </w:pPr>
    </w:p>
    <w:p w14:paraId="229BFF12" w14:textId="3ECD8FCA" w:rsidR="00403A83" w:rsidRPr="00403A83" w:rsidRDefault="00403A83" w:rsidP="00403A83">
      <w:pPr>
        <w:spacing w:line="240" w:lineRule="auto"/>
        <w:rPr>
          <w:rFonts w:eastAsia="Times New Roman" w:cs="Arial"/>
        </w:rPr>
      </w:pPr>
      <w:r w:rsidRPr="00403A83">
        <w:rPr>
          <w:rFonts w:eastAsia="Times New Roman" w:cs="Arial"/>
          <w:color w:val="000000"/>
          <w:lang w:eastAsia="bg-BG"/>
        </w:rPr>
        <w:t>Адекватната хидратация по време на употребата на топирамат е много важна. Хидратацията може да намали риска от нефролитиаза (вж. по-долу). Подходящата хидратация преди и по време на дейности като физически упражнения или излагане на високи температури може да намали риска от сърдечно-съдови нежелани реакции, свързани с топлината (вж. точка 4.8).</w:t>
      </w:r>
    </w:p>
    <w:p w14:paraId="187C6535" w14:textId="77777777" w:rsidR="00403A83" w:rsidRPr="00AB2736" w:rsidRDefault="00403A83" w:rsidP="00403A83">
      <w:pPr>
        <w:spacing w:line="240" w:lineRule="auto"/>
        <w:rPr>
          <w:rFonts w:eastAsia="Times New Roman" w:cs="Arial"/>
          <w:i/>
          <w:iCs/>
          <w:color w:val="000000"/>
          <w:lang w:eastAsia="bg-BG"/>
        </w:rPr>
      </w:pPr>
    </w:p>
    <w:p w14:paraId="55951B85" w14:textId="20668802"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Олигохидроза</w:t>
      </w:r>
    </w:p>
    <w:p w14:paraId="703C3613" w14:textId="77777777" w:rsidR="00403A83" w:rsidRPr="00AB2736" w:rsidRDefault="00403A83" w:rsidP="00403A83">
      <w:pPr>
        <w:spacing w:line="240" w:lineRule="auto"/>
        <w:rPr>
          <w:rFonts w:eastAsia="Times New Roman" w:cs="Arial"/>
          <w:color w:val="000000"/>
          <w:lang w:eastAsia="bg-BG"/>
        </w:rPr>
      </w:pPr>
    </w:p>
    <w:p w14:paraId="544DB02E" w14:textId="774369BC" w:rsidR="00403A83" w:rsidRPr="00403A83" w:rsidRDefault="00403A83" w:rsidP="00403A83">
      <w:pPr>
        <w:spacing w:line="240" w:lineRule="auto"/>
        <w:rPr>
          <w:rFonts w:eastAsia="Times New Roman" w:cs="Arial"/>
        </w:rPr>
      </w:pPr>
      <w:r w:rsidRPr="00403A83">
        <w:rPr>
          <w:rFonts w:eastAsia="Times New Roman" w:cs="Arial"/>
          <w:color w:val="000000"/>
          <w:lang w:eastAsia="bg-BG"/>
        </w:rPr>
        <w:t>При лечение с топирамат е наблюдавана олигохидроза (понижено изпотяване). По-слабо потен и хипертермия (повишаване на телесната температура) могат да се наблюдават особено при малки деца, изложени на висока външна температура.</w:t>
      </w:r>
    </w:p>
    <w:p w14:paraId="23338657" w14:textId="77777777" w:rsidR="00403A83" w:rsidRPr="00AB2736" w:rsidRDefault="00403A83" w:rsidP="00403A83">
      <w:pPr>
        <w:spacing w:line="240" w:lineRule="auto"/>
        <w:rPr>
          <w:rFonts w:eastAsia="Times New Roman" w:cs="Arial"/>
          <w:i/>
          <w:iCs/>
          <w:color w:val="000000"/>
          <w:lang w:eastAsia="bg-BG"/>
        </w:rPr>
      </w:pPr>
    </w:p>
    <w:p w14:paraId="436CC002" w14:textId="50F35C94"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Промяна в настроението/депресия</w:t>
      </w:r>
    </w:p>
    <w:p w14:paraId="6DFC293D" w14:textId="77777777" w:rsidR="00403A83" w:rsidRPr="00AB2736" w:rsidRDefault="00403A83" w:rsidP="00403A83">
      <w:pPr>
        <w:spacing w:line="240" w:lineRule="auto"/>
        <w:rPr>
          <w:rFonts w:eastAsia="Times New Roman" w:cs="Arial"/>
          <w:color w:val="000000"/>
          <w:lang w:eastAsia="bg-BG"/>
        </w:rPr>
      </w:pPr>
    </w:p>
    <w:p w14:paraId="3E0EEAC3" w14:textId="0AB572A7" w:rsidR="00403A83" w:rsidRPr="00403A83" w:rsidRDefault="00403A83" w:rsidP="00403A83">
      <w:pPr>
        <w:spacing w:line="240" w:lineRule="auto"/>
        <w:rPr>
          <w:rFonts w:eastAsia="Times New Roman" w:cs="Arial"/>
        </w:rPr>
      </w:pPr>
      <w:r w:rsidRPr="00403A83">
        <w:rPr>
          <w:rFonts w:eastAsia="Times New Roman" w:cs="Arial"/>
          <w:color w:val="000000"/>
          <w:lang w:eastAsia="bg-BG"/>
        </w:rPr>
        <w:t>По време на лечението с топирамат се наблюдават по-чести промени в настроението и депресия.</w:t>
      </w:r>
    </w:p>
    <w:p w14:paraId="57F85C48" w14:textId="7DC6E851" w:rsidR="00403A83" w:rsidRPr="00AB2736" w:rsidRDefault="00403A83" w:rsidP="00403A83">
      <w:pPr>
        <w:rPr>
          <w:rFonts w:cs="Arial"/>
        </w:rPr>
      </w:pPr>
    </w:p>
    <w:p w14:paraId="0995F057" w14:textId="77777777"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Самоубийство/суицидна идеация</w:t>
      </w:r>
    </w:p>
    <w:p w14:paraId="13072EF0" w14:textId="77777777" w:rsidR="00AB2736" w:rsidRPr="00AB2736" w:rsidRDefault="00AB2736" w:rsidP="00403A83">
      <w:pPr>
        <w:spacing w:line="240" w:lineRule="auto"/>
        <w:rPr>
          <w:rFonts w:eastAsia="Times New Roman" w:cs="Arial"/>
          <w:color w:val="000000"/>
          <w:lang w:eastAsia="bg-BG"/>
        </w:rPr>
      </w:pPr>
    </w:p>
    <w:p w14:paraId="175946D5" w14:textId="56FF164B" w:rsidR="00AB2736" w:rsidRPr="00AB2736" w:rsidRDefault="00403A83" w:rsidP="00403A83">
      <w:pPr>
        <w:spacing w:line="240" w:lineRule="auto"/>
        <w:rPr>
          <w:rFonts w:eastAsia="Times New Roman" w:cs="Arial"/>
          <w:color w:val="000000"/>
          <w:lang w:eastAsia="bg-BG"/>
        </w:rPr>
      </w:pPr>
      <w:r w:rsidRPr="00403A83">
        <w:rPr>
          <w:rFonts w:eastAsia="Times New Roman" w:cs="Arial"/>
          <w:color w:val="000000"/>
          <w:lang w:eastAsia="bg-BG"/>
        </w:rPr>
        <w:t xml:space="preserve">При пациенти, лекувани с антиепилептични лекарствени продукти за различни показания се съобщава за </w:t>
      </w:r>
    </w:p>
    <w:p w14:paraId="5831DE9E" w14:textId="0817E282" w:rsidR="00403A83" w:rsidRPr="00403A83" w:rsidRDefault="00403A83" w:rsidP="00403A83">
      <w:pPr>
        <w:spacing w:line="240" w:lineRule="auto"/>
        <w:rPr>
          <w:rFonts w:eastAsia="Times New Roman" w:cs="Arial"/>
        </w:rPr>
      </w:pPr>
      <w:r w:rsidRPr="00403A83">
        <w:rPr>
          <w:rFonts w:eastAsia="Times New Roman" w:cs="Arial"/>
          <w:color w:val="000000"/>
          <w:lang w:eastAsia="bg-BG"/>
        </w:rPr>
        <w:t>суицидни мисли и поведение. Метаанализ на рандомизирани, плацебо контролирани изпитвания на антиепилептични лекарствени продукти също показва малък, но повишен риск от суицидни мисли и поведение. Механизмът на този риск не е ясен и наличните данни не изключват възможността за повишен риск при топирамат.</w:t>
      </w:r>
    </w:p>
    <w:p w14:paraId="47440D6D" w14:textId="77777777" w:rsidR="00AB2736" w:rsidRPr="00AB2736" w:rsidRDefault="00AB2736" w:rsidP="00403A83">
      <w:pPr>
        <w:spacing w:line="240" w:lineRule="auto"/>
        <w:rPr>
          <w:rFonts w:eastAsia="Times New Roman" w:cs="Arial"/>
          <w:color w:val="000000"/>
          <w:lang w:eastAsia="bg-BG"/>
        </w:rPr>
      </w:pPr>
    </w:p>
    <w:p w14:paraId="0C364944" w14:textId="15A0720D" w:rsidR="00403A83" w:rsidRPr="00403A83" w:rsidRDefault="00403A83" w:rsidP="00403A83">
      <w:pPr>
        <w:spacing w:line="240" w:lineRule="auto"/>
        <w:rPr>
          <w:rFonts w:eastAsia="Times New Roman" w:cs="Arial"/>
        </w:rPr>
      </w:pPr>
      <w:r w:rsidRPr="00403A83">
        <w:rPr>
          <w:rFonts w:eastAsia="Times New Roman" w:cs="Arial"/>
          <w:color w:val="000000"/>
          <w:lang w:eastAsia="bg-BG"/>
        </w:rPr>
        <w:t xml:space="preserve">В двойно слепи клинични изпитвания събитията, свързани със самоубийство (суицидни мисли, опити за самоубийство и самоубийство), са с честота 0,5% при лекуваните с топирамат пациенти (46 от общо </w:t>
      </w:r>
      <w:r w:rsidRPr="00403A83">
        <w:rPr>
          <w:rFonts w:eastAsia="Times New Roman" w:cs="Arial"/>
          <w:i/>
          <w:iCs/>
          <w:color w:val="000000"/>
          <w:lang w:eastAsia="bg-BG"/>
        </w:rPr>
        <w:t>8</w:t>
      </w:r>
      <w:r w:rsidRPr="00403A83">
        <w:rPr>
          <w:rFonts w:eastAsia="Times New Roman" w:cs="Arial"/>
          <w:color w:val="000000"/>
          <w:lang w:eastAsia="bg-BG"/>
        </w:rPr>
        <w:t xml:space="preserve"> 652 лекувани пациенти), която е почти три пъти по-висока честота в сравнение с тези, лекувани с плацебо (0,2%; 8 от общо 4 045 лекувани пациенти).</w:t>
      </w:r>
    </w:p>
    <w:p w14:paraId="2F1A9DF7" w14:textId="77777777" w:rsidR="00AB2736" w:rsidRPr="00AB2736" w:rsidRDefault="00AB2736" w:rsidP="00403A83">
      <w:pPr>
        <w:spacing w:line="240" w:lineRule="auto"/>
        <w:rPr>
          <w:rFonts w:eastAsia="Times New Roman" w:cs="Arial"/>
          <w:color w:val="000000"/>
          <w:lang w:eastAsia="bg-BG"/>
        </w:rPr>
      </w:pPr>
    </w:p>
    <w:p w14:paraId="19A55E77" w14:textId="18C3EAFD" w:rsidR="00403A83" w:rsidRPr="00403A83" w:rsidRDefault="00403A83" w:rsidP="00403A83">
      <w:pPr>
        <w:spacing w:line="240" w:lineRule="auto"/>
        <w:rPr>
          <w:rFonts w:eastAsia="Times New Roman" w:cs="Arial"/>
        </w:rPr>
      </w:pPr>
      <w:r w:rsidRPr="00403A83">
        <w:rPr>
          <w:rFonts w:eastAsia="Times New Roman" w:cs="Arial"/>
          <w:color w:val="000000"/>
          <w:lang w:eastAsia="bg-BG"/>
        </w:rPr>
        <w:lastRenderedPageBreak/>
        <w:t>Затова пациентите трябва да бъдат проследявани за признаци на суицидни мисли и поведение и трябва да се предприеме подходящо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суицидни мисли и поведение.</w:t>
      </w:r>
    </w:p>
    <w:p w14:paraId="240AECAF" w14:textId="77777777" w:rsidR="00AB2736" w:rsidRPr="00AB2736" w:rsidRDefault="00AB2736" w:rsidP="00403A83">
      <w:pPr>
        <w:spacing w:line="240" w:lineRule="auto"/>
        <w:rPr>
          <w:rFonts w:eastAsia="Times New Roman" w:cs="Arial"/>
          <w:i/>
          <w:iCs/>
          <w:color w:val="000000"/>
          <w:lang w:eastAsia="bg-BG"/>
        </w:rPr>
      </w:pPr>
    </w:p>
    <w:p w14:paraId="7825CDE0" w14:textId="2B2ACD18"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Нефролитиаза</w:t>
      </w:r>
    </w:p>
    <w:p w14:paraId="33214783" w14:textId="77777777" w:rsidR="00AB2736" w:rsidRPr="00AB2736" w:rsidRDefault="00AB2736" w:rsidP="00403A83">
      <w:pPr>
        <w:spacing w:line="240" w:lineRule="auto"/>
        <w:rPr>
          <w:rFonts w:eastAsia="Times New Roman" w:cs="Arial"/>
          <w:color w:val="000000"/>
          <w:lang w:eastAsia="bg-BG"/>
        </w:rPr>
      </w:pPr>
    </w:p>
    <w:p w14:paraId="5D57F1A0" w14:textId="5226BCAE" w:rsidR="00403A83" w:rsidRPr="00403A83" w:rsidRDefault="00403A83" w:rsidP="00403A83">
      <w:pPr>
        <w:spacing w:line="240" w:lineRule="auto"/>
        <w:rPr>
          <w:rFonts w:eastAsia="Times New Roman" w:cs="Arial"/>
        </w:rPr>
      </w:pPr>
      <w:r w:rsidRPr="00403A83">
        <w:rPr>
          <w:rFonts w:eastAsia="Times New Roman" w:cs="Arial"/>
          <w:color w:val="000000"/>
          <w:lang w:eastAsia="bg-BG"/>
        </w:rPr>
        <w:t>При някои пациенти, особено ако са предразположени към нефролитиаза, се наблюдава повишен риск от образуване на бъбречни камъни и свързаните с това признаци и симптоми като бъбречна колика, бъбречна болка или болки в слабините.</w:t>
      </w:r>
    </w:p>
    <w:p w14:paraId="76D1C5FA" w14:textId="77777777" w:rsidR="00AB2736" w:rsidRPr="00AB2736" w:rsidRDefault="00AB2736" w:rsidP="00403A83">
      <w:pPr>
        <w:spacing w:line="240" w:lineRule="auto"/>
        <w:rPr>
          <w:rFonts w:eastAsia="Times New Roman" w:cs="Arial"/>
          <w:color w:val="000000"/>
          <w:lang w:eastAsia="bg-BG"/>
        </w:rPr>
      </w:pPr>
    </w:p>
    <w:p w14:paraId="11DD6CA8" w14:textId="1EC14070" w:rsidR="00403A83" w:rsidRPr="00403A83" w:rsidRDefault="00403A83" w:rsidP="00403A83">
      <w:pPr>
        <w:spacing w:line="240" w:lineRule="auto"/>
        <w:rPr>
          <w:rFonts w:eastAsia="Times New Roman" w:cs="Arial"/>
        </w:rPr>
      </w:pPr>
      <w:r w:rsidRPr="00403A83">
        <w:rPr>
          <w:rFonts w:eastAsia="Times New Roman" w:cs="Arial"/>
          <w:color w:val="000000"/>
          <w:lang w:eastAsia="bg-BG"/>
        </w:rPr>
        <w:t>Рисковите фактори за нефролитиаза са анамнестични данни за предшестващо образуване на камъни, фамилна анамнеза за нефролитиаза и хиперкалциурия. Нито един от тези фактори не може да бъде надежден прогностичен белег за образуване на бъбречни камъни при лечение с топирамат. Освен това с повишен риск може да са и пациенти, лекуващи се с други лекарствени продукти, които биха могли да доведат до нефролитиаза.</w:t>
      </w:r>
    </w:p>
    <w:p w14:paraId="1BCA7B9B" w14:textId="77777777" w:rsidR="00AB2736" w:rsidRPr="00AB2736" w:rsidRDefault="00AB2736" w:rsidP="00403A83">
      <w:pPr>
        <w:spacing w:line="240" w:lineRule="auto"/>
        <w:rPr>
          <w:rFonts w:eastAsia="Times New Roman" w:cs="Arial"/>
          <w:i/>
          <w:iCs/>
          <w:color w:val="000000"/>
          <w:lang w:eastAsia="bg-BG"/>
        </w:rPr>
      </w:pPr>
    </w:p>
    <w:p w14:paraId="769E2139" w14:textId="68A4F7FC"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Понижена бъбречна функция</w:t>
      </w:r>
    </w:p>
    <w:p w14:paraId="61187237" w14:textId="77777777" w:rsidR="00AB2736" w:rsidRPr="00AB2736" w:rsidRDefault="00AB2736" w:rsidP="00403A83">
      <w:pPr>
        <w:spacing w:line="240" w:lineRule="auto"/>
        <w:rPr>
          <w:rFonts w:eastAsia="Times New Roman" w:cs="Arial"/>
          <w:color w:val="000000"/>
          <w:lang w:eastAsia="bg-BG"/>
        </w:rPr>
      </w:pPr>
    </w:p>
    <w:p w14:paraId="2B6D90C1" w14:textId="41F4A2DB" w:rsidR="00403A83" w:rsidRPr="00403A83" w:rsidRDefault="00403A83" w:rsidP="00403A83">
      <w:pPr>
        <w:spacing w:line="240" w:lineRule="auto"/>
        <w:rPr>
          <w:rFonts w:eastAsia="Times New Roman" w:cs="Arial"/>
        </w:rPr>
      </w:pPr>
      <w:r w:rsidRPr="00403A83">
        <w:rPr>
          <w:rFonts w:eastAsia="Times New Roman" w:cs="Arial"/>
          <w:color w:val="000000"/>
          <w:lang w:eastAsia="bg-BG"/>
        </w:rPr>
        <w:t xml:space="preserve">При пациенти с увредена бъбречна функция </w:t>
      </w:r>
      <w:r w:rsidRPr="00403A83">
        <w:rPr>
          <w:rFonts w:eastAsia="Times New Roman" w:cs="Arial"/>
          <w:smallCaps/>
          <w:color w:val="000000"/>
          <w:lang w:val="ru-RU"/>
        </w:rPr>
        <w:t>(</w:t>
      </w:r>
      <w:proofErr w:type="spellStart"/>
      <w:r w:rsidRPr="00403A83">
        <w:rPr>
          <w:rFonts w:eastAsia="Times New Roman" w:cs="Arial"/>
          <w:smallCaps/>
          <w:color w:val="000000"/>
          <w:lang w:val="en-US"/>
        </w:rPr>
        <w:t>CLcr</w:t>
      </w:r>
      <w:proofErr w:type="spellEnd"/>
      <w:r w:rsidRPr="00403A83">
        <w:rPr>
          <w:rFonts w:eastAsia="Times New Roman" w:cs="Arial"/>
          <w:color w:val="000000"/>
          <w:lang w:eastAsia="bg-BG"/>
        </w:rPr>
        <w:t xml:space="preserve">≤70 </w:t>
      </w:r>
      <w:r w:rsidRPr="00403A83">
        <w:rPr>
          <w:rFonts w:eastAsia="Times New Roman" w:cs="Arial"/>
          <w:color w:val="000000"/>
          <w:lang w:val="en-US"/>
        </w:rPr>
        <w:t>ml</w:t>
      </w:r>
      <w:r w:rsidRPr="00403A83">
        <w:rPr>
          <w:rFonts w:eastAsia="Times New Roman" w:cs="Arial"/>
          <w:color w:val="000000"/>
          <w:lang w:val="ru-RU"/>
        </w:rPr>
        <w:t>/</w:t>
      </w:r>
      <w:r w:rsidRPr="00403A83">
        <w:rPr>
          <w:rFonts w:eastAsia="Times New Roman" w:cs="Arial"/>
          <w:color w:val="000000"/>
          <w:lang w:val="en-US"/>
        </w:rPr>
        <w:t>min</w:t>
      </w:r>
      <w:r w:rsidRPr="00403A83">
        <w:rPr>
          <w:rFonts w:eastAsia="Times New Roman" w:cs="Arial"/>
          <w:color w:val="000000"/>
          <w:lang w:val="ru-RU"/>
        </w:rPr>
        <w:t xml:space="preserve">) </w:t>
      </w:r>
      <w:r w:rsidRPr="00403A83">
        <w:rPr>
          <w:rFonts w:eastAsia="Times New Roman" w:cs="Arial"/>
          <w:color w:val="000000"/>
          <w:lang w:eastAsia="bg-BG"/>
        </w:rPr>
        <w:t xml:space="preserve">топирамат трябва да се прилага с повишено внимание, тъй като плазменият и бъбречният му клирънс са понижени. За по- конкретни препоръки при пациенти с понижена бъбречна функция вж. точка 4.2. </w:t>
      </w:r>
      <w:r w:rsidRPr="00403A83">
        <w:rPr>
          <w:rFonts w:eastAsia="Times New Roman" w:cs="Arial"/>
          <w:i/>
          <w:iCs/>
          <w:color w:val="000000"/>
          <w:lang w:eastAsia="bg-BG"/>
        </w:rPr>
        <w:t>Бъбречни нарушения.</w:t>
      </w:r>
    </w:p>
    <w:p w14:paraId="6B41B3F3" w14:textId="77777777" w:rsidR="00AB2736" w:rsidRPr="00AB2736" w:rsidRDefault="00AB2736" w:rsidP="00403A83">
      <w:pPr>
        <w:spacing w:line="240" w:lineRule="auto"/>
        <w:rPr>
          <w:rFonts w:eastAsia="Times New Roman" w:cs="Arial"/>
          <w:i/>
          <w:iCs/>
          <w:color w:val="000000"/>
          <w:lang w:eastAsia="bg-BG"/>
        </w:rPr>
      </w:pPr>
    </w:p>
    <w:p w14:paraId="2556F822" w14:textId="01E28CD7"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Намалена чернодробна функция</w:t>
      </w:r>
    </w:p>
    <w:p w14:paraId="11EDF997" w14:textId="77777777" w:rsidR="00AB2736" w:rsidRPr="00AB2736" w:rsidRDefault="00AB2736" w:rsidP="00403A83">
      <w:pPr>
        <w:spacing w:line="240" w:lineRule="auto"/>
        <w:rPr>
          <w:rFonts w:eastAsia="Times New Roman" w:cs="Arial"/>
          <w:color w:val="000000"/>
          <w:lang w:eastAsia="bg-BG"/>
        </w:rPr>
      </w:pPr>
    </w:p>
    <w:p w14:paraId="1479F6CA" w14:textId="52A152B0" w:rsidR="00403A83" w:rsidRPr="00403A83" w:rsidRDefault="00403A83" w:rsidP="00403A83">
      <w:pPr>
        <w:spacing w:line="240" w:lineRule="auto"/>
        <w:rPr>
          <w:rFonts w:eastAsia="Times New Roman" w:cs="Arial"/>
        </w:rPr>
      </w:pPr>
      <w:r w:rsidRPr="00403A83">
        <w:rPr>
          <w:rFonts w:eastAsia="Times New Roman" w:cs="Arial"/>
          <w:color w:val="000000"/>
          <w:lang w:eastAsia="bg-BG"/>
        </w:rPr>
        <w:t>При пациенти с увреден черен дроб топирамат трябва да се прилага с повишено внимание, тъй като клирънсът на топирамат може да се понижи.</w:t>
      </w:r>
    </w:p>
    <w:p w14:paraId="41902DFD" w14:textId="77777777" w:rsidR="00AB2736" w:rsidRPr="00AB2736" w:rsidRDefault="00AB2736" w:rsidP="00403A83">
      <w:pPr>
        <w:spacing w:line="240" w:lineRule="auto"/>
        <w:rPr>
          <w:rFonts w:eastAsia="Times New Roman" w:cs="Arial"/>
          <w:i/>
          <w:iCs/>
          <w:color w:val="000000"/>
          <w:lang w:eastAsia="bg-BG"/>
        </w:rPr>
      </w:pPr>
    </w:p>
    <w:p w14:paraId="25FD4CF8" w14:textId="718CCC8D"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Остра миопия и вторична закритоъгълна глаукома</w:t>
      </w:r>
    </w:p>
    <w:p w14:paraId="061AEADB" w14:textId="77777777" w:rsidR="00AB2736" w:rsidRPr="00AB2736" w:rsidRDefault="00AB2736" w:rsidP="00403A83">
      <w:pPr>
        <w:rPr>
          <w:rFonts w:eastAsia="Times New Roman" w:cs="Arial"/>
          <w:color w:val="000000"/>
          <w:lang w:eastAsia="bg-BG"/>
        </w:rPr>
      </w:pPr>
    </w:p>
    <w:p w14:paraId="52CB5FA4" w14:textId="51B076D9" w:rsidR="00403A83" w:rsidRPr="00AB2736" w:rsidRDefault="00403A83" w:rsidP="00403A83">
      <w:pPr>
        <w:rPr>
          <w:rFonts w:eastAsia="Times New Roman" w:cs="Arial"/>
          <w:color w:val="000000"/>
          <w:lang w:eastAsia="bg-BG"/>
        </w:rPr>
      </w:pPr>
      <w:r w:rsidRPr="00AB2736">
        <w:rPr>
          <w:rFonts w:eastAsia="Times New Roman" w:cs="Arial"/>
          <w:color w:val="000000"/>
          <w:lang w:eastAsia="bg-BG"/>
        </w:rPr>
        <w:t>Съобщава се за синдром, който включва остра миопия, свързана с вторична закритоъгълна глаукома, при пациенти на лечение с топирамат. Симптомите включват остро начало на намалена зрителна острота и/или болка в очите. Данните от офталмологични изследвания включват миопия, стесняване на предната камера, очна хиперемия (зачервяване) и повишено вътреочно налягане. Възможно е да се наблюдава мидриаза. Този синдром може да се свърже със супрацилиарна ефузия, водеща до предно изместване на лещата и ириса, с вторична закритоъгълна глаукома. Обикновено симптомите се появяват през първия месец от началната терапия с топирамат. За разлика от първичната тесноъгьлна глаукома, която се среща рядко при пациенти под 40 години, вторичната закритоъгълна глаукома, свързана с топирамат се</w:t>
      </w:r>
      <w:r w:rsidRPr="00AB2736">
        <w:rPr>
          <w:rFonts w:eastAsia="Times New Roman" w:cs="Arial"/>
          <w:color w:val="000000"/>
          <w:vertAlign w:val="superscript"/>
          <w:lang w:eastAsia="bg-BG"/>
        </w:rPr>
        <w:t xml:space="preserve"> </w:t>
      </w:r>
      <w:r w:rsidRPr="00AB2736">
        <w:rPr>
          <w:rFonts w:eastAsia="Times New Roman" w:cs="Arial"/>
          <w:color w:val="000000"/>
          <w:lang w:eastAsia="bg-BG"/>
        </w:rPr>
        <w:t>наблюдава при педиатрични пациенти, както и при възрастни. Лечението включва прекъсване на приема на топирамат, колкото е възможно по-бързо по преценка на лекуващия лекар и</w:t>
      </w:r>
      <w:r w:rsidRPr="00AB2736">
        <w:rPr>
          <w:rFonts w:eastAsia="Times New Roman" w:cs="Arial"/>
          <w:color w:val="000000"/>
          <w:vertAlign w:val="subscript"/>
          <w:lang w:eastAsia="bg-BG"/>
        </w:rPr>
        <w:t xml:space="preserve"> </w:t>
      </w:r>
      <w:r w:rsidRPr="00AB2736">
        <w:rPr>
          <w:rFonts w:eastAsia="Times New Roman" w:cs="Arial"/>
          <w:color w:val="000000"/>
          <w:lang w:eastAsia="bg-BG"/>
        </w:rPr>
        <w:t>подходящи мерки за намаляване на вътреочното налягане. Обикновено тези мерки водят до намаляване на вътреочното налягане.</w:t>
      </w:r>
    </w:p>
    <w:p w14:paraId="79CC51DF" w14:textId="2E6DDF8F" w:rsidR="00AB2736" w:rsidRPr="00AB2736" w:rsidRDefault="00AB2736" w:rsidP="00403A83">
      <w:pPr>
        <w:rPr>
          <w:rFonts w:eastAsia="Times New Roman" w:cs="Arial"/>
          <w:color w:val="000000"/>
          <w:lang w:eastAsia="bg-BG"/>
        </w:rPr>
      </w:pPr>
    </w:p>
    <w:p w14:paraId="1DDBD662" w14:textId="77777777" w:rsidR="00AB2736" w:rsidRPr="00AB2736" w:rsidRDefault="00AB2736" w:rsidP="00AB2736">
      <w:pPr>
        <w:spacing w:line="240" w:lineRule="auto"/>
        <w:rPr>
          <w:rFonts w:eastAsia="Times New Roman" w:cs="Arial"/>
        </w:rPr>
      </w:pPr>
      <w:r w:rsidRPr="00AB2736">
        <w:rPr>
          <w:rFonts w:eastAsia="Times New Roman" w:cs="Arial"/>
          <w:color w:val="000000"/>
          <w:lang w:eastAsia="bg-BG"/>
        </w:rPr>
        <w:t>Ако се остави без лечение, повишеното вътреочно налягане от всякаква етиология може да доведе до сериозни последствия, включително и до перманентна загуба на зрението.</w:t>
      </w:r>
    </w:p>
    <w:p w14:paraId="0F646542" w14:textId="77777777" w:rsidR="00AB2736" w:rsidRPr="00AB2736" w:rsidRDefault="00AB2736" w:rsidP="00AB2736">
      <w:pPr>
        <w:spacing w:line="240" w:lineRule="auto"/>
        <w:rPr>
          <w:rFonts w:eastAsia="Times New Roman" w:cs="Arial"/>
          <w:color w:val="000000"/>
          <w:lang w:eastAsia="bg-BG"/>
        </w:rPr>
      </w:pPr>
    </w:p>
    <w:p w14:paraId="15BC3D8E" w14:textId="103654EB" w:rsidR="00AB2736" w:rsidRPr="00AB2736" w:rsidRDefault="00AB2736" w:rsidP="00AB2736">
      <w:pPr>
        <w:spacing w:line="240" w:lineRule="auto"/>
        <w:rPr>
          <w:rFonts w:eastAsia="Times New Roman" w:cs="Arial"/>
        </w:rPr>
      </w:pPr>
      <w:r w:rsidRPr="00AB2736">
        <w:rPr>
          <w:rFonts w:eastAsia="Times New Roman" w:cs="Arial"/>
          <w:color w:val="000000"/>
          <w:lang w:eastAsia="bg-BG"/>
        </w:rPr>
        <w:lastRenderedPageBreak/>
        <w:t>Трябва да се прецени дали пациенти с анамнеза за очно заболяване трябва да се лекуват с топирамат.</w:t>
      </w:r>
    </w:p>
    <w:p w14:paraId="5F37D83F" w14:textId="77777777" w:rsidR="00AB2736" w:rsidRPr="00AB2736" w:rsidRDefault="00AB2736" w:rsidP="00AB2736">
      <w:pPr>
        <w:spacing w:line="240" w:lineRule="auto"/>
        <w:rPr>
          <w:rFonts w:eastAsia="Times New Roman" w:cs="Arial"/>
          <w:i/>
          <w:iCs/>
          <w:color w:val="000000"/>
          <w:lang w:eastAsia="bg-BG"/>
        </w:rPr>
      </w:pPr>
    </w:p>
    <w:p w14:paraId="71921CCA" w14:textId="198D5D0F" w:rsidR="00AB2736" w:rsidRPr="00AB2736" w:rsidRDefault="00AB2736" w:rsidP="00AB2736">
      <w:pPr>
        <w:spacing w:line="240" w:lineRule="auto"/>
        <w:rPr>
          <w:rFonts w:eastAsia="Times New Roman" w:cs="Arial"/>
        </w:rPr>
      </w:pPr>
      <w:r w:rsidRPr="00AB2736">
        <w:rPr>
          <w:rFonts w:eastAsia="Times New Roman" w:cs="Arial"/>
          <w:i/>
          <w:iCs/>
          <w:color w:val="000000"/>
          <w:lang w:eastAsia="bg-BG"/>
        </w:rPr>
        <w:t>Дефекти в зрителното поле</w:t>
      </w:r>
    </w:p>
    <w:p w14:paraId="69206DA0" w14:textId="77777777" w:rsidR="00AB2736" w:rsidRPr="00AB2736" w:rsidRDefault="00AB2736" w:rsidP="00AB2736">
      <w:pPr>
        <w:spacing w:line="240" w:lineRule="auto"/>
        <w:rPr>
          <w:rFonts w:eastAsia="Times New Roman" w:cs="Arial"/>
          <w:color w:val="000000"/>
          <w:lang w:eastAsia="bg-BG"/>
        </w:rPr>
      </w:pPr>
    </w:p>
    <w:p w14:paraId="0D677808" w14:textId="7C6FD3E2" w:rsidR="00AB2736" w:rsidRPr="00AB2736" w:rsidRDefault="00AB2736" w:rsidP="00AB2736">
      <w:pPr>
        <w:spacing w:line="240" w:lineRule="auto"/>
        <w:rPr>
          <w:rFonts w:eastAsia="Times New Roman" w:cs="Arial"/>
        </w:rPr>
      </w:pPr>
      <w:r w:rsidRPr="00AB2736">
        <w:rPr>
          <w:rFonts w:eastAsia="Times New Roman" w:cs="Arial"/>
          <w:color w:val="000000"/>
          <w:lang w:eastAsia="bg-BG"/>
        </w:rPr>
        <w:t>Дефекти в зрителното поле са докладвани при пациенти, приемащи топирамат, независимо от повишеното вътреочно налягане. В клиничните проучвания, повечето от тези събития са обратими след прекратяване на лечението с топирамат, Ако се появят дефекти в зрителното поле по всяко време на лечението с топирамат, трябва да се обсъди прекратяване на лечението.</w:t>
      </w:r>
    </w:p>
    <w:p w14:paraId="3F11F78A" w14:textId="77777777" w:rsidR="00AB2736" w:rsidRPr="00AB2736" w:rsidRDefault="00AB2736" w:rsidP="00AB2736">
      <w:pPr>
        <w:spacing w:line="240" w:lineRule="auto"/>
        <w:rPr>
          <w:rFonts w:eastAsia="Times New Roman" w:cs="Arial"/>
          <w:i/>
          <w:iCs/>
          <w:color w:val="000000"/>
          <w:lang w:eastAsia="bg-BG"/>
        </w:rPr>
      </w:pPr>
    </w:p>
    <w:p w14:paraId="55748E1E" w14:textId="1C1A7BF4" w:rsidR="00AB2736" w:rsidRPr="00AB2736" w:rsidRDefault="00AB2736" w:rsidP="00AB2736">
      <w:pPr>
        <w:spacing w:line="240" w:lineRule="auto"/>
        <w:rPr>
          <w:rFonts w:eastAsia="Times New Roman" w:cs="Arial"/>
        </w:rPr>
      </w:pPr>
      <w:r w:rsidRPr="00AB2736">
        <w:rPr>
          <w:rFonts w:eastAsia="Times New Roman" w:cs="Arial"/>
          <w:i/>
          <w:iCs/>
          <w:color w:val="000000"/>
          <w:lang w:eastAsia="bg-BG"/>
        </w:rPr>
        <w:t>Метаболитна ацидоза</w:t>
      </w:r>
    </w:p>
    <w:p w14:paraId="7F05FCF9" w14:textId="77777777" w:rsidR="00AB2736" w:rsidRPr="00AB2736" w:rsidRDefault="00AB2736" w:rsidP="00AB2736">
      <w:pPr>
        <w:spacing w:line="240" w:lineRule="auto"/>
        <w:rPr>
          <w:rFonts w:eastAsia="Times New Roman" w:cs="Arial"/>
          <w:color w:val="000000"/>
          <w:lang w:eastAsia="bg-BG"/>
        </w:rPr>
      </w:pPr>
    </w:p>
    <w:p w14:paraId="737CEC1D" w14:textId="2F522FF1" w:rsidR="00AB2736" w:rsidRPr="00AB2736" w:rsidRDefault="00AB2736" w:rsidP="00AB2736">
      <w:pPr>
        <w:spacing w:line="240" w:lineRule="auto"/>
        <w:rPr>
          <w:rFonts w:eastAsia="Times New Roman" w:cs="Arial"/>
        </w:rPr>
      </w:pPr>
      <w:r w:rsidRPr="00AB2736">
        <w:rPr>
          <w:rFonts w:eastAsia="Times New Roman" w:cs="Arial"/>
          <w:color w:val="000000"/>
          <w:lang w:eastAsia="bg-BG"/>
        </w:rPr>
        <w:t xml:space="preserve">Хиперхлоремичната метаболитна ацидоза без загуба на аниони (т.е. намалено ниво на серумните бикарбонати под нормалните референтни стойности при отсъствие на респираторна алкалоза) се свързва с лечението с топирамат. Понижените стойности на серумните бикарбонати се дължи на инхибиращия ефект на топирамат върху бъбречната карбоанхидраза. По принцип понижени стойности на бикарбонатите се наблюдават в началото на лечението, въпреки че могат да се появят по всяко време на лечението. Обикновено пониженията са леки до умерени (средно намаление от 4 </w:t>
      </w:r>
      <w:proofErr w:type="spellStart"/>
      <w:r w:rsidRPr="00AB2736">
        <w:rPr>
          <w:rFonts w:eastAsia="Times New Roman" w:cs="Arial"/>
          <w:color w:val="000000"/>
          <w:lang w:val="en-US"/>
        </w:rPr>
        <w:t>mmol</w:t>
      </w:r>
      <w:proofErr w:type="spellEnd"/>
      <w:r w:rsidRPr="00AB2736">
        <w:rPr>
          <w:rFonts w:eastAsia="Times New Roman" w:cs="Arial"/>
          <w:color w:val="000000"/>
          <w:lang w:val="ru-RU"/>
        </w:rPr>
        <w:t>/</w:t>
      </w:r>
      <w:r w:rsidRPr="00AB2736">
        <w:rPr>
          <w:rFonts w:eastAsia="Times New Roman" w:cs="Arial"/>
          <w:color w:val="000000"/>
          <w:lang w:val="en-US"/>
        </w:rPr>
        <w:t>l</w:t>
      </w:r>
      <w:r w:rsidRPr="00AB2736">
        <w:rPr>
          <w:rFonts w:eastAsia="Times New Roman" w:cs="Arial"/>
          <w:color w:val="000000"/>
          <w:lang w:val="ru-RU"/>
        </w:rPr>
        <w:t xml:space="preserve"> </w:t>
      </w:r>
      <w:r w:rsidRPr="00AB2736">
        <w:rPr>
          <w:rFonts w:eastAsia="Times New Roman" w:cs="Arial"/>
          <w:color w:val="000000"/>
          <w:lang w:eastAsia="bg-BG"/>
        </w:rPr>
        <w:t xml:space="preserve">при дневни дози от 100 </w:t>
      </w:r>
      <w:r w:rsidRPr="00AB2736">
        <w:rPr>
          <w:rFonts w:eastAsia="Times New Roman" w:cs="Arial"/>
          <w:color w:val="000000"/>
          <w:lang w:val="en-US"/>
        </w:rPr>
        <w:t>mg</w:t>
      </w:r>
      <w:r w:rsidRPr="00AB2736">
        <w:rPr>
          <w:rFonts w:eastAsia="Times New Roman" w:cs="Arial"/>
          <w:color w:val="000000"/>
          <w:lang w:val="ru-RU"/>
        </w:rPr>
        <w:t xml:space="preserve"> </w:t>
      </w:r>
      <w:r w:rsidRPr="00AB2736">
        <w:rPr>
          <w:rFonts w:eastAsia="Times New Roman" w:cs="Arial"/>
          <w:color w:val="000000"/>
          <w:lang w:eastAsia="bg-BG"/>
        </w:rPr>
        <w:t xml:space="preserve">или повече при възрастни и приблизително </w:t>
      </w:r>
      <w:r w:rsidRPr="00AB2736">
        <w:rPr>
          <w:rFonts w:eastAsia="Times New Roman" w:cs="Arial"/>
          <w:i/>
          <w:iCs/>
          <w:color w:val="000000"/>
          <w:lang w:eastAsia="bg-BG"/>
        </w:rPr>
        <w:t>6</w:t>
      </w:r>
      <w:r w:rsidRPr="00AB2736">
        <w:rPr>
          <w:rFonts w:eastAsia="Times New Roman" w:cs="Arial"/>
          <w:color w:val="000000"/>
          <w:lang w:eastAsia="bg-BG"/>
        </w:rPr>
        <w:t xml:space="preserve"> </w:t>
      </w:r>
      <w:r w:rsidRPr="00AB2736">
        <w:rPr>
          <w:rFonts w:eastAsia="Times New Roman" w:cs="Arial"/>
          <w:color w:val="000000"/>
          <w:lang w:val="en-US"/>
        </w:rPr>
        <w:t>mg</w:t>
      </w:r>
      <w:r w:rsidRPr="00AB2736">
        <w:rPr>
          <w:rFonts w:eastAsia="Times New Roman" w:cs="Arial"/>
          <w:color w:val="000000"/>
          <w:lang w:val="ru-RU"/>
        </w:rPr>
        <w:t>/</w:t>
      </w:r>
      <w:r w:rsidRPr="00AB2736">
        <w:rPr>
          <w:rFonts w:eastAsia="Times New Roman" w:cs="Arial"/>
          <w:color w:val="000000"/>
          <w:lang w:val="en-US"/>
        </w:rPr>
        <w:t>kg</w:t>
      </w:r>
      <w:r w:rsidRPr="00AB2736">
        <w:rPr>
          <w:rFonts w:eastAsia="Times New Roman" w:cs="Arial"/>
          <w:color w:val="000000"/>
          <w:lang w:val="ru-RU"/>
        </w:rPr>
        <w:t xml:space="preserve"> </w:t>
      </w:r>
      <w:r w:rsidRPr="00AB2736">
        <w:rPr>
          <w:rFonts w:eastAsia="Times New Roman" w:cs="Arial"/>
          <w:color w:val="000000"/>
          <w:lang w:eastAsia="bg-BG"/>
        </w:rPr>
        <w:t xml:space="preserve">дневно при педиатрични пациенти). В редки случаи при пациентите се наблюдават понижени стойности под 10 </w:t>
      </w:r>
      <w:proofErr w:type="spellStart"/>
      <w:r w:rsidRPr="00AB2736">
        <w:rPr>
          <w:rFonts w:eastAsia="Times New Roman" w:cs="Arial"/>
          <w:color w:val="000000"/>
          <w:lang w:val="en-US"/>
        </w:rPr>
        <w:t>mmol</w:t>
      </w:r>
      <w:proofErr w:type="spellEnd"/>
      <w:r w:rsidRPr="00AB2736">
        <w:rPr>
          <w:rFonts w:eastAsia="Times New Roman" w:cs="Arial"/>
          <w:color w:val="000000"/>
          <w:lang w:val="ru-RU"/>
        </w:rPr>
        <w:t>/</w:t>
      </w:r>
      <w:r w:rsidRPr="00AB2736">
        <w:rPr>
          <w:rFonts w:eastAsia="Times New Roman" w:cs="Arial"/>
          <w:color w:val="000000"/>
          <w:lang w:val="en-US"/>
        </w:rPr>
        <w:t>l</w:t>
      </w:r>
      <w:r w:rsidRPr="00AB2736">
        <w:rPr>
          <w:rFonts w:eastAsia="Times New Roman" w:cs="Arial"/>
          <w:color w:val="000000"/>
          <w:lang w:val="ru-RU"/>
        </w:rPr>
        <w:t xml:space="preserve">. </w:t>
      </w:r>
      <w:r w:rsidRPr="00AB2736">
        <w:rPr>
          <w:rFonts w:eastAsia="Times New Roman" w:cs="Arial"/>
          <w:color w:val="000000"/>
          <w:lang w:eastAsia="bg-BG"/>
        </w:rPr>
        <w:t>Някои състояния или терапии, предразполагащи към ацидоза (като бъбречно заболяване, тежки респираторни нарушения, епилептичен статус, диария, операция, кетогенна диета или определени лекарствени продукти), може да имат адитивен ефект към понижаващия бикарбонатите ефект на топирамат.</w:t>
      </w:r>
    </w:p>
    <w:p w14:paraId="209E7F0A" w14:textId="77777777" w:rsidR="00AB2736" w:rsidRPr="00AB2736" w:rsidRDefault="00AB2736" w:rsidP="00AB2736">
      <w:pPr>
        <w:spacing w:line="240" w:lineRule="auto"/>
        <w:rPr>
          <w:rFonts w:eastAsia="Times New Roman" w:cs="Arial"/>
          <w:color w:val="000000"/>
          <w:lang w:eastAsia="bg-BG"/>
        </w:rPr>
      </w:pPr>
    </w:p>
    <w:p w14:paraId="1A7AFEDC" w14:textId="23C6E727" w:rsidR="00AB2736" w:rsidRPr="00AB2736" w:rsidRDefault="00AB2736" w:rsidP="00AB2736">
      <w:pPr>
        <w:spacing w:line="240" w:lineRule="auto"/>
        <w:rPr>
          <w:rFonts w:eastAsia="Times New Roman" w:cs="Arial"/>
        </w:rPr>
      </w:pPr>
      <w:r w:rsidRPr="00AB2736">
        <w:rPr>
          <w:rFonts w:eastAsia="Times New Roman" w:cs="Arial"/>
          <w:color w:val="000000"/>
          <w:lang w:eastAsia="bg-BG"/>
        </w:rPr>
        <w:t>Хроничната метаболитна ацидоза повишава риска от образуване на камъни в бъбреците и може потенциално да доведе до остеопения.</w:t>
      </w:r>
    </w:p>
    <w:p w14:paraId="6CC0D92D" w14:textId="77777777" w:rsidR="00AB2736" w:rsidRPr="00AB2736" w:rsidRDefault="00AB2736" w:rsidP="00AB2736">
      <w:pPr>
        <w:spacing w:line="240" w:lineRule="auto"/>
        <w:rPr>
          <w:rFonts w:eastAsia="Times New Roman" w:cs="Arial"/>
          <w:color w:val="000000"/>
          <w:lang w:eastAsia="bg-BG"/>
        </w:rPr>
      </w:pPr>
    </w:p>
    <w:p w14:paraId="08F0A7AF" w14:textId="77777777" w:rsidR="00AB2736" w:rsidRPr="00AB2736" w:rsidRDefault="00AB2736" w:rsidP="00AB2736">
      <w:pPr>
        <w:spacing w:line="240" w:lineRule="auto"/>
        <w:rPr>
          <w:rFonts w:eastAsia="Times New Roman" w:cs="Arial"/>
          <w:color w:val="000000"/>
          <w:lang w:eastAsia="bg-BG"/>
        </w:rPr>
      </w:pPr>
      <w:r w:rsidRPr="00AB2736">
        <w:rPr>
          <w:rFonts w:eastAsia="Times New Roman" w:cs="Arial"/>
          <w:color w:val="000000"/>
          <w:lang w:eastAsia="bg-BG"/>
        </w:rPr>
        <w:t xml:space="preserve">Хроничната метаболитна ацидоза при педиатрични пациенти може да забави растежа. Ефектът на топирамат </w:t>
      </w:r>
    </w:p>
    <w:p w14:paraId="7B900E2B" w14:textId="3D588B9C" w:rsidR="00AB2736" w:rsidRPr="00AB2736" w:rsidRDefault="00AB2736" w:rsidP="00AB2736">
      <w:pPr>
        <w:spacing w:line="240" w:lineRule="auto"/>
        <w:rPr>
          <w:rFonts w:eastAsia="Times New Roman" w:cs="Arial"/>
        </w:rPr>
      </w:pPr>
      <w:r w:rsidRPr="00AB2736">
        <w:rPr>
          <w:rFonts w:eastAsia="Times New Roman" w:cs="Arial"/>
          <w:color w:val="000000"/>
          <w:lang w:eastAsia="bg-BG"/>
        </w:rPr>
        <w:t>върху последствията за костите не е систематично проучен при деца или възрастни.</w:t>
      </w:r>
    </w:p>
    <w:p w14:paraId="061279C1" w14:textId="77777777" w:rsidR="00AB2736" w:rsidRPr="00AB2736" w:rsidRDefault="00AB2736" w:rsidP="00AB2736">
      <w:pPr>
        <w:spacing w:line="240" w:lineRule="auto"/>
        <w:rPr>
          <w:rFonts w:eastAsia="Times New Roman" w:cs="Arial"/>
          <w:color w:val="000000"/>
          <w:lang w:eastAsia="bg-BG"/>
        </w:rPr>
      </w:pPr>
    </w:p>
    <w:p w14:paraId="607C7610" w14:textId="135D870B" w:rsidR="00AB2736" w:rsidRPr="00AB2736" w:rsidRDefault="00AB2736" w:rsidP="00AB2736">
      <w:pPr>
        <w:spacing w:line="240" w:lineRule="auto"/>
        <w:rPr>
          <w:rFonts w:eastAsia="Times New Roman" w:cs="Arial"/>
        </w:rPr>
      </w:pPr>
      <w:r w:rsidRPr="00AB2736">
        <w:rPr>
          <w:rFonts w:eastAsia="Times New Roman" w:cs="Arial"/>
          <w:color w:val="000000"/>
          <w:lang w:eastAsia="bg-BG"/>
        </w:rPr>
        <w:t>В зависимост от основното заболяване при терапия с топирамат се препоръчва подходящо изследване, включващо определяне на стойностите на серумните бикарбонати. При поява на признаци и симптоми (напр, Кусмаулово дълбоко дишане, диспнея, анорексия, гадене, повръщане, прекомерна умора, тахикардия или аритмия), показателни за метаболитна ацидоза се препоръчва определяне на серумните бикарбонати. Ако се развие метаболитна ацидоза и тя персистира, трябва да се прецени необходимостта от понижаване на дозата или преустановяване на лечението с топирамат (чрез постепенно понижаване на дозата).</w:t>
      </w:r>
    </w:p>
    <w:p w14:paraId="57D73DD3" w14:textId="77777777" w:rsidR="00AB2736" w:rsidRPr="00AB2736" w:rsidRDefault="00AB2736" w:rsidP="00AB2736">
      <w:pPr>
        <w:spacing w:line="240" w:lineRule="auto"/>
        <w:rPr>
          <w:rFonts w:eastAsia="Times New Roman" w:cs="Arial"/>
          <w:color w:val="000000"/>
          <w:lang w:eastAsia="bg-BG"/>
        </w:rPr>
      </w:pPr>
    </w:p>
    <w:p w14:paraId="21CA3A20" w14:textId="0DD5A2E7" w:rsidR="00AB2736" w:rsidRPr="00AB2736" w:rsidRDefault="00AB2736" w:rsidP="00AB2736">
      <w:pPr>
        <w:spacing w:line="240" w:lineRule="auto"/>
        <w:rPr>
          <w:rFonts w:eastAsia="Times New Roman" w:cs="Arial"/>
        </w:rPr>
      </w:pPr>
      <w:r w:rsidRPr="00AB2736">
        <w:rPr>
          <w:rFonts w:eastAsia="Times New Roman" w:cs="Arial"/>
          <w:color w:val="000000"/>
          <w:lang w:eastAsia="bg-BG"/>
        </w:rPr>
        <w:t>Топирамат трябва да се използва с повишено внимание при пациенти със заболявания или лечения, които са рисков фактор за възникването на метаболитна ацидоза.</w:t>
      </w:r>
    </w:p>
    <w:p w14:paraId="79D3F146" w14:textId="77777777" w:rsidR="00AB2736" w:rsidRPr="00AB2736" w:rsidRDefault="00AB2736" w:rsidP="00AB2736">
      <w:pPr>
        <w:spacing w:line="240" w:lineRule="auto"/>
        <w:rPr>
          <w:rFonts w:eastAsia="Times New Roman" w:cs="Arial"/>
          <w:i/>
          <w:iCs/>
          <w:color w:val="000000"/>
          <w:lang w:eastAsia="bg-BG"/>
        </w:rPr>
      </w:pPr>
    </w:p>
    <w:p w14:paraId="6624B032" w14:textId="776BB38C" w:rsidR="00AB2736" w:rsidRPr="00AB2736" w:rsidRDefault="00AB2736" w:rsidP="00AB2736">
      <w:pPr>
        <w:spacing w:line="240" w:lineRule="auto"/>
        <w:rPr>
          <w:rFonts w:eastAsia="Times New Roman" w:cs="Arial"/>
        </w:rPr>
      </w:pPr>
      <w:r w:rsidRPr="00AB2736">
        <w:rPr>
          <w:rFonts w:eastAsia="Times New Roman" w:cs="Arial"/>
          <w:i/>
          <w:iCs/>
          <w:color w:val="000000"/>
          <w:lang w:eastAsia="bg-BG"/>
        </w:rPr>
        <w:t>Нарушена когнитивна функция</w:t>
      </w:r>
    </w:p>
    <w:p w14:paraId="5F2633DF" w14:textId="77777777" w:rsidR="00AB2736" w:rsidRPr="00AB2736" w:rsidRDefault="00AB2736" w:rsidP="00AB2736">
      <w:pPr>
        <w:rPr>
          <w:rFonts w:eastAsia="Times New Roman" w:cs="Arial"/>
          <w:color w:val="000000"/>
          <w:lang w:eastAsia="bg-BG"/>
        </w:rPr>
      </w:pPr>
    </w:p>
    <w:p w14:paraId="48263B0E" w14:textId="57A0E241" w:rsidR="00AB2736" w:rsidRPr="00AB2736" w:rsidRDefault="00AB2736" w:rsidP="00AB2736">
      <w:pPr>
        <w:rPr>
          <w:rFonts w:eastAsia="Times New Roman" w:cs="Arial"/>
          <w:color w:val="000000"/>
          <w:lang w:eastAsia="bg-BG"/>
        </w:rPr>
      </w:pPr>
      <w:r w:rsidRPr="00AB2736">
        <w:rPr>
          <w:rFonts w:eastAsia="Times New Roman" w:cs="Arial"/>
          <w:color w:val="000000"/>
          <w:lang w:eastAsia="bg-BG"/>
        </w:rPr>
        <w:t>Когнитивните нарушения при епилепсия са мултифакторни и могат да се дължат на основната етиология, на епилепсията или на антиепилептичното лечение. В литературата са описани</w:t>
      </w:r>
      <w:r w:rsidRPr="00AB2736">
        <w:rPr>
          <w:rFonts w:eastAsia="Times New Roman" w:cs="Arial"/>
          <w:color w:val="000000"/>
          <w:u w:val="single"/>
          <w:lang w:eastAsia="bg-BG"/>
        </w:rPr>
        <w:t xml:space="preserve"> </w:t>
      </w:r>
      <w:r w:rsidRPr="00AB2736">
        <w:rPr>
          <w:rFonts w:eastAsia="Times New Roman" w:cs="Arial"/>
          <w:color w:val="000000"/>
          <w:lang w:eastAsia="bg-BG"/>
        </w:rPr>
        <w:t xml:space="preserve">случай на когнитивни нарушения при възрастни вследствие употреба на </w:t>
      </w:r>
      <w:r w:rsidRPr="00AB2736">
        <w:rPr>
          <w:rFonts w:eastAsia="Times New Roman" w:cs="Arial"/>
          <w:color w:val="000000"/>
          <w:lang w:eastAsia="bg-BG"/>
        </w:rPr>
        <w:lastRenderedPageBreak/>
        <w:t>топирамит, които изискват понижаване на дозата или прекратяване на лечението. При деца резултатите от приложението на топирамат върху когнитивната функция са недостатъчни и ефектите му в тази насока все още се нуждаят от изясняване.</w:t>
      </w:r>
    </w:p>
    <w:p w14:paraId="5214B533" w14:textId="7F783A58" w:rsidR="00AB2736" w:rsidRPr="00AB2736" w:rsidRDefault="00AB2736" w:rsidP="00AB2736">
      <w:pPr>
        <w:rPr>
          <w:rFonts w:eastAsia="Times New Roman" w:cs="Arial"/>
          <w:color w:val="000000"/>
          <w:lang w:eastAsia="bg-BG"/>
        </w:rPr>
      </w:pPr>
    </w:p>
    <w:p w14:paraId="33788C96" w14:textId="77777777" w:rsidR="00AB2736" w:rsidRPr="00AB2736" w:rsidRDefault="00AB2736" w:rsidP="00AB2736">
      <w:pPr>
        <w:spacing w:line="240" w:lineRule="auto"/>
        <w:rPr>
          <w:rFonts w:eastAsia="Times New Roman" w:cs="Arial"/>
        </w:rPr>
      </w:pPr>
      <w:r w:rsidRPr="00AB2736">
        <w:rPr>
          <w:rFonts w:eastAsia="Times New Roman" w:cs="Arial"/>
          <w:i/>
          <w:iCs/>
          <w:color w:val="000000"/>
          <w:lang w:eastAsia="bg-BG"/>
        </w:rPr>
        <w:t>Хранителни добавки</w:t>
      </w:r>
    </w:p>
    <w:p w14:paraId="32B620F9" w14:textId="77777777" w:rsidR="00AB2736" w:rsidRPr="00AB2736" w:rsidRDefault="00AB2736" w:rsidP="00AB2736">
      <w:pPr>
        <w:spacing w:line="240" w:lineRule="auto"/>
        <w:rPr>
          <w:rFonts w:eastAsia="Times New Roman" w:cs="Arial"/>
        </w:rPr>
      </w:pPr>
      <w:r w:rsidRPr="00AB2736">
        <w:rPr>
          <w:rFonts w:eastAsia="Times New Roman" w:cs="Arial"/>
          <w:color w:val="000000"/>
          <w:lang w:eastAsia="bg-BG"/>
        </w:rPr>
        <w:t>Някои пациенти може да започнат да губят тегло по време на лечението с топирамат. Препоръчва се пациентите лекувани с топирамат да се проследяват за загуба на тегло. Ако пациентите губят тегло, докато приемат топирамат, следва да се прецени необходимостта от включване на хранителни добавки или повишен прием на храна.</w:t>
      </w:r>
    </w:p>
    <w:p w14:paraId="67BEE624" w14:textId="77777777" w:rsidR="00AB2736" w:rsidRPr="00AB2736" w:rsidRDefault="00AB2736" w:rsidP="00AB2736">
      <w:pPr>
        <w:spacing w:line="240" w:lineRule="auto"/>
        <w:rPr>
          <w:rFonts w:eastAsia="Times New Roman" w:cs="Arial"/>
          <w:color w:val="000000"/>
          <w:u w:val="single"/>
          <w:lang w:eastAsia="bg-BG"/>
        </w:rPr>
      </w:pPr>
    </w:p>
    <w:p w14:paraId="101BB911" w14:textId="6F6DF0E1" w:rsidR="00AB2736" w:rsidRPr="00AB2736" w:rsidRDefault="00AB2736" w:rsidP="00AB2736">
      <w:pPr>
        <w:spacing w:line="240" w:lineRule="auto"/>
        <w:rPr>
          <w:rFonts w:eastAsia="Times New Roman" w:cs="Arial"/>
        </w:rPr>
      </w:pPr>
      <w:r w:rsidRPr="00AB2736">
        <w:rPr>
          <w:rFonts w:eastAsia="Times New Roman" w:cs="Arial"/>
          <w:color w:val="000000"/>
          <w:u w:val="single"/>
          <w:lang w:eastAsia="bg-BG"/>
        </w:rPr>
        <w:t>Помощни вещества</w:t>
      </w:r>
    </w:p>
    <w:p w14:paraId="272D8898" w14:textId="77777777" w:rsidR="00AB2736" w:rsidRPr="00AB2736" w:rsidRDefault="00AB2736" w:rsidP="00AB2736">
      <w:pPr>
        <w:spacing w:line="240" w:lineRule="auto"/>
        <w:rPr>
          <w:rFonts w:eastAsia="Times New Roman" w:cs="Arial"/>
          <w:i/>
          <w:iCs/>
          <w:color w:val="000000"/>
          <w:lang w:eastAsia="bg-BG"/>
        </w:rPr>
      </w:pPr>
    </w:p>
    <w:p w14:paraId="12977507" w14:textId="218FDD67" w:rsidR="00AB2736" w:rsidRPr="00AB2736" w:rsidRDefault="00AB2736" w:rsidP="00AB2736">
      <w:pPr>
        <w:spacing w:line="240" w:lineRule="auto"/>
        <w:rPr>
          <w:rFonts w:eastAsia="Times New Roman" w:cs="Arial"/>
        </w:rPr>
      </w:pPr>
      <w:r w:rsidRPr="00AB2736">
        <w:rPr>
          <w:rFonts w:eastAsia="Times New Roman" w:cs="Arial"/>
          <w:i/>
          <w:iCs/>
          <w:color w:val="000000"/>
          <w:lang w:eastAsia="bg-BG"/>
        </w:rPr>
        <w:t>Соев лецитин</w:t>
      </w:r>
    </w:p>
    <w:p w14:paraId="57715BB1" w14:textId="77777777" w:rsidR="00AB2736" w:rsidRPr="00AB2736" w:rsidRDefault="00AB2736" w:rsidP="00AB2736">
      <w:pPr>
        <w:spacing w:line="240" w:lineRule="auto"/>
        <w:rPr>
          <w:rFonts w:eastAsia="Times New Roman" w:cs="Arial"/>
        </w:rPr>
      </w:pPr>
      <w:r w:rsidRPr="00AB2736">
        <w:rPr>
          <w:rFonts w:eastAsia="Times New Roman" w:cs="Arial"/>
          <w:color w:val="000000"/>
          <w:lang w:eastAsia="bg-BG"/>
        </w:rPr>
        <w:t>Пациентите не трябва да приемат този лекарствен продукт, ако са алергични към фъстъци или соя.</w:t>
      </w:r>
    </w:p>
    <w:p w14:paraId="1559C0CD" w14:textId="77777777" w:rsidR="00AB2736" w:rsidRPr="00AB2736" w:rsidRDefault="00AB2736" w:rsidP="00AB2736">
      <w:pPr>
        <w:spacing w:line="240" w:lineRule="auto"/>
        <w:rPr>
          <w:rFonts w:eastAsia="Times New Roman" w:cs="Arial"/>
          <w:i/>
          <w:iCs/>
          <w:color w:val="000000"/>
          <w:lang w:eastAsia="bg-BG"/>
        </w:rPr>
      </w:pPr>
    </w:p>
    <w:p w14:paraId="32D78073" w14:textId="18DDF056" w:rsidR="00AB2736" w:rsidRPr="00AB2736" w:rsidRDefault="00AB2736" w:rsidP="00AB2736">
      <w:pPr>
        <w:spacing w:line="240" w:lineRule="auto"/>
        <w:rPr>
          <w:rFonts w:eastAsia="Times New Roman" w:cs="Arial"/>
        </w:rPr>
      </w:pPr>
      <w:r w:rsidRPr="00AB2736">
        <w:rPr>
          <w:rFonts w:eastAsia="Times New Roman" w:cs="Arial"/>
          <w:i/>
          <w:iCs/>
          <w:color w:val="000000"/>
          <w:lang w:eastAsia="bg-BG"/>
        </w:rPr>
        <w:t>Натрий</w:t>
      </w:r>
    </w:p>
    <w:p w14:paraId="10678BE1" w14:textId="77777777" w:rsidR="00AB2736" w:rsidRPr="00AB2736" w:rsidRDefault="00AB2736" w:rsidP="00AB2736">
      <w:pPr>
        <w:spacing w:line="240" w:lineRule="auto"/>
        <w:rPr>
          <w:rFonts w:eastAsia="Times New Roman" w:cs="Arial"/>
        </w:rPr>
      </w:pPr>
      <w:r w:rsidRPr="00AB2736">
        <w:rPr>
          <w:rFonts w:eastAsia="Times New Roman" w:cs="Arial"/>
          <w:color w:val="000000"/>
          <w:lang w:eastAsia="bg-BG"/>
        </w:rPr>
        <w:t xml:space="preserve">Това лекарство съдържа по-малко от 1 </w:t>
      </w:r>
      <w:proofErr w:type="spellStart"/>
      <w:r w:rsidRPr="00AB2736">
        <w:rPr>
          <w:rFonts w:eastAsia="Times New Roman" w:cs="Arial"/>
          <w:color w:val="000000"/>
          <w:lang w:val="en-US"/>
        </w:rPr>
        <w:t>mmol</w:t>
      </w:r>
      <w:proofErr w:type="spellEnd"/>
      <w:r w:rsidRPr="00AB2736">
        <w:rPr>
          <w:rFonts w:eastAsia="Times New Roman" w:cs="Arial"/>
          <w:color w:val="000000"/>
          <w:lang w:val="ru-RU"/>
        </w:rPr>
        <w:t xml:space="preserve"> </w:t>
      </w:r>
      <w:r w:rsidRPr="00AB2736">
        <w:rPr>
          <w:rFonts w:eastAsia="Times New Roman" w:cs="Arial"/>
          <w:color w:val="000000"/>
          <w:lang w:eastAsia="bg-BG"/>
        </w:rPr>
        <w:t xml:space="preserve">натрий (23 </w:t>
      </w:r>
      <w:r w:rsidRPr="00AB2736">
        <w:rPr>
          <w:rFonts w:eastAsia="Times New Roman" w:cs="Arial"/>
          <w:color w:val="000000"/>
          <w:lang w:val="en-US"/>
        </w:rPr>
        <w:t>mg</w:t>
      </w:r>
      <w:r w:rsidRPr="00AB2736">
        <w:rPr>
          <w:rFonts w:eastAsia="Times New Roman" w:cs="Arial"/>
          <w:color w:val="000000"/>
          <w:lang w:val="ru-RU"/>
        </w:rPr>
        <w:t xml:space="preserve">) </w:t>
      </w:r>
      <w:r w:rsidRPr="00AB2736">
        <w:rPr>
          <w:rFonts w:eastAsia="Times New Roman" w:cs="Arial"/>
          <w:color w:val="000000"/>
          <w:lang w:eastAsia="bg-BG"/>
        </w:rPr>
        <w:t>на филмирана таблетка, т.е. може да се каже, че практически не съдържа натрий.</w:t>
      </w:r>
    </w:p>
    <w:p w14:paraId="4263337C" w14:textId="77777777" w:rsidR="00AB2736" w:rsidRPr="00403A83" w:rsidRDefault="00AB2736" w:rsidP="00AB2736"/>
    <w:p w14:paraId="62F27C9B" w14:textId="65BEBF25"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1B7EB0C" w14:textId="67C107D2" w:rsidR="00AB2736" w:rsidRDefault="00AB2736" w:rsidP="00AB2736"/>
    <w:p w14:paraId="2E4EA69C" w14:textId="77777777" w:rsidR="00AB2736" w:rsidRPr="00AB2736" w:rsidRDefault="00AB2736" w:rsidP="00AB2736">
      <w:pPr>
        <w:spacing w:line="240" w:lineRule="auto"/>
        <w:rPr>
          <w:rFonts w:ascii="Times New Roman" w:eastAsia="Times New Roman" w:hAnsi="Times New Roman" w:cs="Times New Roman"/>
          <w:sz w:val="24"/>
          <w:szCs w:val="24"/>
        </w:rPr>
      </w:pPr>
      <w:r w:rsidRPr="00AB2736">
        <w:rPr>
          <w:rFonts w:ascii="Times New Roman" w:eastAsia="Times New Roman" w:hAnsi="Times New Roman" w:cs="Times New Roman"/>
          <w:b/>
          <w:bCs/>
          <w:color w:val="000000"/>
          <w:sz w:val="20"/>
          <w:szCs w:val="20"/>
          <w:lang w:eastAsia="bg-BG"/>
        </w:rPr>
        <w:t>Ефекти на топирамат върху други антиепилептични лекарствени продукти</w:t>
      </w:r>
    </w:p>
    <w:p w14:paraId="7A4CA30B" w14:textId="77777777" w:rsidR="00AB2736" w:rsidRDefault="00AB2736" w:rsidP="00AB2736">
      <w:pPr>
        <w:spacing w:line="240" w:lineRule="auto"/>
        <w:rPr>
          <w:rFonts w:ascii="Times New Roman" w:eastAsia="Times New Roman" w:hAnsi="Times New Roman" w:cs="Times New Roman"/>
          <w:color w:val="000000"/>
          <w:sz w:val="20"/>
          <w:szCs w:val="20"/>
          <w:lang w:eastAsia="bg-BG"/>
        </w:rPr>
      </w:pPr>
    </w:p>
    <w:p w14:paraId="1A5A866A" w14:textId="275EC8DE" w:rsidR="00AB2736" w:rsidRPr="00AB2736" w:rsidRDefault="00AB2736" w:rsidP="00AB2736">
      <w:pPr>
        <w:spacing w:line="240" w:lineRule="auto"/>
        <w:rPr>
          <w:rFonts w:ascii="Times New Roman" w:eastAsia="Times New Roman" w:hAnsi="Times New Roman" w:cs="Times New Roman"/>
          <w:sz w:val="24"/>
          <w:szCs w:val="24"/>
        </w:rPr>
      </w:pPr>
      <w:r w:rsidRPr="00AB2736">
        <w:rPr>
          <w:rFonts w:ascii="Times New Roman" w:eastAsia="Times New Roman" w:hAnsi="Times New Roman" w:cs="Times New Roman"/>
          <w:color w:val="000000"/>
          <w:sz w:val="20"/>
          <w:szCs w:val="20"/>
          <w:lang w:eastAsia="bg-BG"/>
        </w:rPr>
        <w:t xml:space="preserve">Добавянето на топирамат в схемата на лечение с други антиепилептични средства (фенитоин, карбамазепин, валпроева киселина, фенобарбитал, примидон) не оказва влияние върху техните плазмени концентрации в стационарно състояние. Изключение правят само отделни пациенти, при които добавянето на топирамат към фенитоин може да предизвика покачване на плазмената концентрация на фенитоин. Това най-вероятно се дължи на потискане на специфичната ензимна полиморфна изоформа </w:t>
      </w:r>
      <w:r w:rsidRPr="00AB2736">
        <w:rPr>
          <w:rFonts w:ascii="Times New Roman" w:eastAsia="Times New Roman" w:hAnsi="Times New Roman" w:cs="Times New Roman"/>
          <w:color w:val="000000"/>
          <w:sz w:val="20"/>
          <w:szCs w:val="20"/>
          <w:lang w:val="ru-RU"/>
        </w:rPr>
        <w:t>(</w:t>
      </w:r>
      <w:r w:rsidRPr="00AB2736">
        <w:rPr>
          <w:rFonts w:ascii="Times New Roman" w:eastAsia="Times New Roman" w:hAnsi="Times New Roman" w:cs="Times New Roman"/>
          <w:color w:val="000000"/>
          <w:sz w:val="20"/>
          <w:szCs w:val="20"/>
          <w:lang w:val="en-US"/>
        </w:rPr>
        <w:t>CYP</w:t>
      </w:r>
      <w:r w:rsidRPr="00AB2736">
        <w:rPr>
          <w:rFonts w:ascii="Times New Roman" w:eastAsia="Times New Roman" w:hAnsi="Times New Roman" w:cs="Times New Roman"/>
          <w:color w:val="000000"/>
          <w:sz w:val="20"/>
          <w:szCs w:val="20"/>
          <w:lang w:val="ru-RU"/>
        </w:rPr>
        <w:t>2</w:t>
      </w:r>
      <w:r w:rsidRPr="00AB2736">
        <w:rPr>
          <w:rFonts w:ascii="Times New Roman" w:eastAsia="Times New Roman" w:hAnsi="Times New Roman" w:cs="Times New Roman"/>
          <w:color w:val="000000"/>
          <w:sz w:val="20"/>
          <w:szCs w:val="20"/>
          <w:lang w:val="en-US"/>
        </w:rPr>
        <w:t>C</w:t>
      </w:r>
      <w:r w:rsidRPr="00AB2736">
        <w:rPr>
          <w:rFonts w:ascii="Times New Roman" w:eastAsia="Times New Roman" w:hAnsi="Times New Roman" w:cs="Times New Roman"/>
          <w:color w:val="000000"/>
          <w:sz w:val="20"/>
          <w:szCs w:val="20"/>
          <w:lang w:val="ru-RU"/>
        </w:rPr>
        <w:t xml:space="preserve">19). </w:t>
      </w:r>
      <w:r w:rsidRPr="00AB2736">
        <w:rPr>
          <w:rFonts w:ascii="Times New Roman" w:eastAsia="Times New Roman" w:hAnsi="Times New Roman" w:cs="Times New Roman"/>
          <w:color w:val="000000"/>
          <w:sz w:val="20"/>
          <w:szCs w:val="20"/>
          <w:lang w:eastAsia="bg-BG"/>
        </w:rPr>
        <w:t>Поради това появата на клинични признаци или симптоми на токсичност при пациенти, лекувани с фенитоин, трябва да бъде сигнал за мониториране на концентрациите на фенитоин.</w:t>
      </w:r>
    </w:p>
    <w:p w14:paraId="52D007CF" w14:textId="77777777" w:rsidR="00AB2736" w:rsidRDefault="00AB2736" w:rsidP="00AB2736">
      <w:pPr>
        <w:spacing w:line="240" w:lineRule="auto"/>
        <w:rPr>
          <w:rFonts w:ascii="Times New Roman" w:eastAsia="Times New Roman" w:hAnsi="Times New Roman" w:cs="Times New Roman"/>
          <w:color w:val="000000"/>
          <w:sz w:val="20"/>
          <w:szCs w:val="20"/>
          <w:lang w:eastAsia="bg-BG"/>
        </w:rPr>
      </w:pPr>
    </w:p>
    <w:p w14:paraId="1DE35EE3" w14:textId="6917D840" w:rsidR="00AB2736" w:rsidRPr="00AB2736" w:rsidRDefault="00AB2736" w:rsidP="00AB2736">
      <w:pPr>
        <w:spacing w:line="240" w:lineRule="auto"/>
        <w:rPr>
          <w:rFonts w:ascii="Times New Roman" w:eastAsia="Times New Roman" w:hAnsi="Times New Roman" w:cs="Times New Roman"/>
          <w:sz w:val="24"/>
          <w:szCs w:val="24"/>
        </w:rPr>
      </w:pPr>
      <w:r w:rsidRPr="00AB2736">
        <w:rPr>
          <w:rFonts w:ascii="Times New Roman" w:eastAsia="Times New Roman" w:hAnsi="Times New Roman" w:cs="Times New Roman"/>
          <w:color w:val="000000"/>
          <w:sz w:val="20"/>
          <w:szCs w:val="20"/>
          <w:lang w:eastAsia="bg-BG"/>
        </w:rPr>
        <w:t xml:space="preserve">Проучване на фармакокинетичните взаимодействия при пациенти с епилепсия показва, че добавянето на топирамат към ламотригин не оказва ефект върху равновесната плазмена концентрация на ламотригин при дози на топирамат от 100 до 400 </w:t>
      </w:r>
      <w:r w:rsidRPr="00AB2736">
        <w:rPr>
          <w:rFonts w:ascii="Times New Roman" w:eastAsia="Times New Roman" w:hAnsi="Times New Roman" w:cs="Times New Roman"/>
          <w:color w:val="000000"/>
          <w:sz w:val="20"/>
          <w:szCs w:val="20"/>
          <w:lang w:val="en-US"/>
        </w:rPr>
        <w:t>mg</w:t>
      </w:r>
      <w:r w:rsidRPr="00AB2736">
        <w:rPr>
          <w:rFonts w:ascii="Times New Roman" w:eastAsia="Times New Roman" w:hAnsi="Times New Roman" w:cs="Times New Roman"/>
          <w:color w:val="000000"/>
          <w:sz w:val="20"/>
          <w:szCs w:val="20"/>
          <w:lang w:val="ru-RU"/>
        </w:rPr>
        <w:t xml:space="preserve"> </w:t>
      </w:r>
      <w:r w:rsidRPr="00AB2736">
        <w:rPr>
          <w:rFonts w:ascii="Times New Roman" w:eastAsia="Times New Roman" w:hAnsi="Times New Roman" w:cs="Times New Roman"/>
          <w:color w:val="000000"/>
          <w:sz w:val="20"/>
          <w:szCs w:val="20"/>
          <w:lang w:eastAsia="bg-BG"/>
        </w:rPr>
        <w:t xml:space="preserve">дневно. Освен това не се наблюдават и промени в равновесната плазмена концентрация на топирамат както по време на, така и след прекратяване на лечението с ламотригин (средна доза от 327 </w:t>
      </w:r>
      <w:r w:rsidRPr="00AB2736">
        <w:rPr>
          <w:rFonts w:ascii="Times New Roman" w:eastAsia="Times New Roman" w:hAnsi="Times New Roman" w:cs="Times New Roman"/>
          <w:color w:val="000000"/>
          <w:sz w:val="20"/>
          <w:szCs w:val="20"/>
          <w:lang w:val="en-US"/>
        </w:rPr>
        <w:t>mg</w:t>
      </w:r>
      <w:r w:rsidRPr="00AB2736">
        <w:rPr>
          <w:rFonts w:ascii="Times New Roman" w:eastAsia="Times New Roman" w:hAnsi="Times New Roman" w:cs="Times New Roman"/>
          <w:color w:val="000000"/>
          <w:sz w:val="20"/>
          <w:szCs w:val="20"/>
          <w:lang w:val="ru-RU"/>
        </w:rPr>
        <w:t xml:space="preserve"> </w:t>
      </w:r>
      <w:r w:rsidRPr="00AB2736">
        <w:rPr>
          <w:rFonts w:ascii="Times New Roman" w:eastAsia="Times New Roman" w:hAnsi="Times New Roman" w:cs="Times New Roman"/>
          <w:color w:val="000000"/>
          <w:sz w:val="20"/>
          <w:szCs w:val="20"/>
          <w:lang w:eastAsia="bg-BG"/>
        </w:rPr>
        <w:t>дневно).</w:t>
      </w:r>
    </w:p>
    <w:p w14:paraId="5217221B" w14:textId="77777777" w:rsidR="00AB2736" w:rsidRDefault="00AB2736" w:rsidP="00AB2736">
      <w:pPr>
        <w:spacing w:line="240" w:lineRule="auto"/>
        <w:rPr>
          <w:rFonts w:ascii="Times New Roman" w:eastAsia="Times New Roman" w:hAnsi="Times New Roman" w:cs="Times New Roman"/>
          <w:color w:val="000000"/>
          <w:sz w:val="20"/>
          <w:szCs w:val="20"/>
          <w:lang w:eastAsia="bg-BG"/>
        </w:rPr>
      </w:pPr>
    </w:p>
    <w:p w14:paraId="36BBDDCB" w14:textId="11C87402" w:rsidR="00AB2736" w:rsidRPr="00AB2736" w:rsidRDefault="00AB2736" w:rsidP="00AB2736">
      <w:pPr>
        <w:spacing w:line="240" w:lineRule="auto"/>
        <w:rPr>
          <w:rFonts w:ascii="Times New Roman" w:eastAsia="Times New Roman" w:hAnsi="Times New Roman" w:cs="Times New Roman"/>
          <w:sz w:val="24"/>
          <w:szCs w:val="24"/>
        </w:rPr>
      </w:pPr>
      <w:r w:rsidRPr="00AB2736">
        <w:rPr>
          <w:rFonts w:ascii="Times New Roman" w:eastAsia="Times New Roman" w:hAnsi="Times New Roman" w:cs="Times New Roman"/>
          <w:color w:val="000000"/>
          <w:sz w:val="20"/>
          <w:szCs w:val="20"/>
          <w:lang w:eastAsia="bg-BG"/>
        </w:rPr>
        <w:t xml:space="preserve">Топирамат инхибира ензима </w:t>
      </w:r>
      <w:r w:rsidRPr="00AB2736">
        <w:rPr>
          <w:rFonts w:ascii="Times New Roman" w:eastAsia="Times New Roman" w:hAnsi="Times New Roman" w:cs="Times New Roman"/>
          <w:color w:val="000000"/>
          <w:sz w:val="20"/>
          <w:szCs w:val="20"/>
          <w:lang w:val="en-US"/>
        </w:rPr>
        <w:t>CYP</w:t>
      </w:r>
      <w:r w:rsidRPr="00AB2736">
        <w:rPr>
          <w:rFonts w:ascii="Times New Roman" w:eastAsia="Times New Roman" w:hAnsi="Times New Roman" w:cs="Times New Roman"/>
          <w:color w:val="000000"/>
          <w:sz w:val="20"/>
          <w:szCs w:val="20"/>
          <w:lang w:val="ru-RU"/>
        </w:rPr>
        <w:t>2</w:t>
      </w:r>
      <w:r w:rsidRPr="00AB2736">
        <w:rPr>
          <w:rFonts w:ascii="Times New Roman" w:eastAsia="Times New Roman" w:hAnsi="Times New Roman" w:cs="Times New Roman"/>
          <w:color w:val="000000"/>
          <w:sz w:val="20"/>
          <w:szCs w:val="20"/>
          <w:lang w:val="en-US"/>
        </w:rPr>
        <w:t>C</w:t>
      </w:r>
      <w:r w:rsidRPr="00AB2736">
        <w:rPr>
          <w:rFonts w:ascii="Times New Roman" w:eastAsia="Times New Roman" w:hAnsi="Times New Roman" w:cs="Times New Roman"/>
          <w:color w:val="000000"/>
          <w:sz w:val="20"/>
          <w:szCs w:val="20"/>
          <w:lang w:val="ru-RU"/>
        </w:rPr>
        <w:t xml:space="preserve">19 </w:t>
      </w:r>
      <w:r w:rsidRPr="00AB2736">
        <w:rPr>
          <w:rFonts w:ascii="Times New Roman" w:eastAsia="Times New Roman" w:hAnsi="Times New Roman" w:cs="Times New Roman"/>
          <w:color w:val="000000"/>
          <w:sz w:val="20"/>
          <w:szCs w:val="20"/>
          <w:lang w:eastAsia="bg-BG"/>
        </w:rPr>
        <w:t>и може да окаже влияние на други вещества, които се метаболизират чрез този ензим (напр. диазепам, имипрамин, моклобемид, прогуанил, омепразол).</w:t>
      </w:r>
    </w:p>
    <w:p w14:paraId="56D2C8C3" w14:textId="77777777" w:rsidR="00AB2736" w:rsidRDefault="00AB2736" w:rsidP="00AB2736">
      <w:pPr>
        <w:spacing w:line="240" w:lineRule="auto"/>
        <w:rPr>
          <w:rFonts w:ascii="Times New Roman" w:eastAsia="Times New Roman" w:hAnsi="Times New Roman" w:cs="Times New Roman"/>
          <w:b/>
          <w:bCs/>
          <w:color w:val="000000"/>
          <w:sz w:val="20"/>
          <w:szCs w:val="20"/>
          <w:lang w:eastAsia="bg-BG"/>
        </w:rPr>
      </w:pPr>
    </w:p>
    <w:p w14:paraId="6038787B" w14:textId="5C84342F" w:rsidR="00AB2736" w:rsidRPr="00AB2736" w:rsidRDefault="00AB2736" w:rsidP="00AB2736">
      <w:pPr>
        <w:spacing w:line="240" w:lineRule="auto"/>
        <w:rPr>
          <w:rFonts w:ascii="Times New Roman" w:eastAsia="Times New Roman" w:hAnsi="Times New Roman" w:cs="Times New Roman"/>
          <w:sz w:val="24"/>
          <w:szCs w:val="24"/>
        </w:rPr>
      </w:pPr>
      <w:r w:rsidRPr="00AB2736">
        <w:rPr>
          <w:rFonts w:ascii="Times New Roman" w:eastAsia="Times New Roman" w:hAnsi="Times New Roman" w:cs="Times New Roman"/>
          <w:b/>
          <w:bCs/>
          <w:color w:val="000000"/>
          <w:sz w:val="20"/>
          <w:szCs w:val="20"/>
          <w:lang w:eastAsia="bg-BG"/>
        </w:rPr>
        <w:t>Ефекти на други антиепилептични лекарствени продукти върху топирамат</w:t>
      </w:r>
    </w:p>
    <w:p w14:paraId="3BB23AD2" w14:textId="77777777" w:rsidR="00AB2736" w:rsidRDefault="00AB2736" w:rsidP="00AB2736">
      <w:pPr>
        <w:spacing w:line="240" w:lineRule="auto"/>
        <w:rPr>
          <w:rFonts w:ascii="Times New Roman" w:eastAsia="Times New Roman" w:hAnsi="Times New Roman" w:cs="Times New Roman"/>
          <w:color w:val="000000"/>
          <w:sz w:val="20"/>
          <w:szCs w:val="20"/>
          <w:lang w:eastAsia="bg-BG"/>
        </w:rPr>
      </w:pPr>
    </w:p>
    <w:p w14:paraId="7172E850" w14:textId="6F6CCAF0" w:rsidR="00AB2736" w:rsidRPr="00AB2736" w:rsidRDefault="00AB2736" w:rsidP="00AB2736">
      <w:pPr>
        <w:spacing w:line="240" w:lineRule="auto"/>
        <w:rPr>
          <w:rFonts w:ascii="Times New Roman" w:eastAsia="Times New Roman" w:hAnsi="Times New Roman" w:cs="Times New Roman"/>
          <w:sz w:val="24"/>
          <w:szCs w:val="24"/>
        </w:rPr>
      </w:pPr>
      <w:r w:rsidRPr="00AB2736">
        <w:rPr>
          <w:rFonts w:ascii="Times New Roman" w:eastAsia="Times New Roman" w:hAnsi="Times New Roman" w:cs="Times New Roman"/>
          <w:color w:val="000000"/>
          <w:sz w:val="20"/>
          <w:szCs w:val="20"/>
          <w:lang w:eastAsia="bg-BG"/>
        </w:rPr>
        <w:t>Фенитоин и карбамазепин понижават плазмената концентрация на топирамат. Добавянето или спирането на фенитоин или карбамазепин при провеждане на лечение с топирамат може да наложи коригиране на дозата на последния. Това трябва да стане чрез титриране до клиничен ефект.</w:t>
      </w:r>
    </w:p>
    <w:p w14:paraId="7355E2AC" w14:textId="3F8757D7" w:rsidR="00AB2736" w:rsidRDefault="00AB2736" w:rsidP="00AB2736">
      <w:pPr>
        <w:rPr>
          <w:rFonts w:ascii="Times New Roman" w:eastAsia="Times New Roman" w:hAnsi="Times New Roman" w:cs="Times New Roman"/>
          <w:color w:val="000000"/>
          <w:sz w:val="20"/>
          <w:szCs w:val="20"/>
          <w:lang w:eastAsia="bg-BG"/>
        </w:rPr>
      </w:pPr>
      <w:r w:rsidRPr="00AB2736">
        <w:rPr>
          <w:rFonts w:ascii="Times New Roman" w:eastAsia="Times New Roman" w:hAnsi="Times New Roman" w:cs="Times New Roman"/>
          <w:color w:val="000000"/>
          <w:sz w:val="20"/>
          <w:szCs w:val="20"/>
          <w:lang w:eastAsia="bg-BG"/>
        </w:rPr>
        <w:t>Добавянето или спирането на валпроева киселина не води до клинично значими промени в плазмената концентрация на топирамат и поради това не налага промени в дозировката на топирамат. Резултатите от тези взаимодействия са обобщени в таблицата по-долу:</w:t>
      </w:r>
    </w:p>
    <w:p w14:paraId="4641ACDF" w14:textId="6091B1B7" w:rsidR="00AB2736" w:rsidRDefault="00AB2736" w:rsidP="00AB2736">
      <w:pPr>
        <w:rPr>
          <w:rFonts w:ascii="Times New Roman" w:eastAsia="Times New Roman" w:hAnsi="Times New Roman" w:cs="Times New Roman"/>
          <w:color w:val="000000"/>
          <w:sz w:val="20"/>
          <w:szCs w:val="20"/>
          <w:lang w:eastAsia="bg-BG"/>
        </w:rPr>
      </w:pPr>
    </w:p>
    <w:tbl>
      <w:tblPr>
        <w:tblStyle w:val="TableGrid"/>
        <w:tblW w:w="0" w:type="auto"/>
        <w:tblLook w:val="04A0" w:firstRow="1" w:lastRow="0" w:firstColumn="1" w:lastColumn="0" w:noHBand="0" w:noVBand="1"/>
      </w:tblPr>
      <w:tblGrid>
        <w:gridCol w:w="3118"/>
        <w:gridCol w:w="3116"/>
        <w:gridCol w:w="3116"/>
      </w:tblGrid>
      <w:tr w:rsidR="00AB2736" w14:paraId="258F381B" w14:textId="77777777" w:rsidTr="00B950CB">
        <w:tc>
          <w:tcPr>
            <w:tcW w:w="3192" w:type="dxa"/>
            <w:vAlign w:val="bottom"/>
          </w:tcPr>
          <w:p w14:paraId="032561F6" w14:textId="0C4E2EF4" w:rsidR="00AB2736" w:rsidRDefault="00AB2736" w:rsidP="00AB2736">
            <w:r>
              <w:rPr>
                <w:sz w:val="20"/>
                <w:szCs w:val="20"/>
              </w:rPr>
              <w:lastRenderedPageBreak/>
              <w:t>АЕЛ, приложено едновременно с топирамат</w:t>
            </w:r>
          </w:p>
        </w:tc>
        <w:tc>
          <w:tcPr>
            <w:tcW w:w="3192" w:type="dxa"/>
          </w:tcPr>
          <w:p w14:paraId="4C2BDA6E" w14:textId="2E6C02E2" w:rsidR="00AB2736" w:rsidRDefault="00AB2736" w:rsidP="00AB2736">
            <w:r>
              <w:rPr>
                <w:sz w:val="20"/>
                <w:szCs w:val="20"/>
              </w:rPr>
              <w:t>Концентрация на АЕЛ</w:t>
            </w:r>
          </w:p>
        </w:tc>
        <w:tc>
          <w:tcPr>
            <w:tcW w:w="3192" w:type="dxa"/>
            <w:vAlign w:val="bottom"/>
          </w:tcPr>
          <w:p w14:paraId="4967936A" w14:textId="00B77371" w:rsidR="00AB2736" w:rsidRDefault="00AB2736" w:rsidP="00AB2736">
            <w:r>
              <w:rPr>
                <w:sz w:val="20"/>
                <w:szCs w:val="20"/>
              </w:rPr>
              <w:t>Концентрация на топирамат</w:t>
            </w:r>
          </w:p>
        </w:tc>
      </w:tr>
      <w:tr w:rsidR="00AB2736" w14:paraId="7D121992" w14:textId="77777777" w:rsidTr="00B950CB">
        <w:tc>
          <w:tcPr>
            <w:tcW w:w="3192" w:type="dxa"/>
            <w:vAlign w:val="bottom"/>
          </w:tcPr>
          <w:p w14:paraId="02681B2F" w14:textId="18D479A4" w:rsidR="00AB2736" w:rsidRDefault="00AB2736" w:rsidP="00AB2736">
            <w:r>
              <w:rPr>
                <w:sz w:val="20"/>
                <w:szCs w:val="20"/>
              </w:rPr>
              <w:t>Фенитоин</w:t>
            </w:r>
          </w:p>
        </w:tc>
        <w:tc>
          <w:tcPr>
            <w:tcW w:w="3192" w:type="dxa"/>
          </w:tcPr>
          <w:p w14:paraId="6EE79677" w14:textId="2A4B35EA" w:rsidR="00AB2736" w:rsidRDefault="00AB2736" w:rsidP="00AB2736">
            <w:r>
              <w:rPr>
                <w:sz w:val="13"/>
                <w:szCs w:val="13"/>
              </w:rPr>
              <w:t>↔**</w:t>
            </w:r>
          </w:p>
        </w:tc>
        <w:tc>
          <w:tcPr>
            <w:tcW w:w="3192" w:type="dxa"/>
          </w:tcPr>
          <w:p w14:paraId="45843C82" w14:textId="22600CDE" w:rsidR="00AB2736" w:rsidRDefault="00AB2736" w:rsidP="00AB2736">
            <w:r>
              <w:rPr>
                <w:sz w:val="20"/>
                <w:szCs w:val="20"/>
              </w:rPr>
              <w:t>↓</w:t>
            </w:r>
          </w:p>
        </w:tc>
      </w:tr>
      <w:tr w:rsidR="00AB2736" w14:paraId="0FC7D776" w14:textId="77777777" w:rsidTr="00B950CB">
        <w:tc>
          <w:tcPr>
            <w:tcW w:w="3192" w:type="dxa"/>
            <w:vAlign w:val="bottom"/>
          </w:tcPr>
          <w:p w14:paraId="3A6BE7C8" w14:textId="59DA5AFB" w:rsidR="00AB2736" w:rsidRDefault="00AB2736" w:rsidP="00AB2736">
            <w:r>
              <w:rPr>
                <w:sz w:val="20"/>
                <w:szCs w:val="20"/>
              </w:rPr>
              <w:t xml:space="preserve">Карбамазепин </w:t>
            </w:r>
            <w:r>
              <w:rPr>
                <w:sz w:val="20"/>
                <w:szCs w:val="20"/>
                <w:lang w:val="en-US"/>
              </w:rPr>
              <w:t>(CBZ)</w:t>
            </w:r>
          </w:p>
        </w:tc>
        <w:tc>
          <w:tcPr>
            <w:tcW w:w="3192" w:type="dxa"/>
          </w:tcPr>
          <w:p w14:paraId="58A7B34E" w14:textId="28E12577" w:rsidR="00AB2736" w:rsidRDefault="00AB2736" w:rsidP="00AB2736">
            <w:r>
              <w:rPr>
                <w:sz w:val="13"/>
                <w:szCs w:val="13"/>
              </w:rPr>
              <w:t>↔</w:t>
            </w:r>
          </w:p>
        </w:tc>
        <w:tc>
          <w:tcPr>
            <w:tcW w:w="3192" w:type="dxa"/>
          </w:tcPr>
          <w:p w14:paraId="34969466" w14:textId="606712F5" w:rsidR="00AB2736" w:rsidRDefault="00AB2736" w:rsidP="00AB2736">
            <w:r>
              <w:rPr>
                <w:w w:val="70"/>
              </w:rPr>
              <w:t>↓</w:t>
            </w:r>
          </w:p>
        </w:tc>
      </w:tr>
      <w:tr w:rsidR="00AB2736" w14:paraId="6220B01B" w14:textId="77777777" w:rsidTr="00B950CB">
        <w:tc>
          <w:tcPr>
            <w:tcW w:w="3192" w:type="dxa"/>
            <w:vAlign w:val="bottom"/>
          </w:tcPr>
          <w:p w14:paraId="00A18B82" w14:textId="6D4F1AD7" w:rsidR="00AB2736" w:rsidRDefault="00AB2736" w:rsidP="00AB2736">
            <w:r>
              <w:rPr>
                <w:sz w:val="20"/>
                <w:szCs w:val="20"/>
              </w:rPr>
              <w:t>Валпроева киселина</w:t>
            </w:r>
          </w:p>
        </w:tc>
        <w:tc>
          <w:tcPr>
            <w:tcW w:w="3192" w:type="dxa"/>
            <w:vAlign w:val="bottom"/>
          </w:tcPr>
          <w:p w14:paraId="5071B233" w14:textId="0EC5A225" w:rsidR="00AB2736" w:rsidRDefault="00AB2736" w:rsidP="00AB2736">
            <w:r>
              <w:rPr>
                <w:sz w:val="13"/>
                <w:szCs w:val="13"/>
              </w:rPr>
              <w:t>↔</w:t>
            </w:r>
          </w:p>
        </w:tc>
        <w:tc>
          <w:tcPr>
            <w:tcW w:w="3192" w:type="dxa"/>
          </w:tcPr>
          <w:p w14:paraId="34CE1C4E" w14:textId="4EEA189E" w:rsidR="00AB2736" w:rsidRDefault="00AB2736" w:rsidP="00AB2736">
            <w:r>
              <w:rPr>
                <w:sz w:val="13"/>
                <w:szCs w:val="13"/>
              </w:rPr>
              <w:t>↔</w:t>
            </w:r>
          </w:p>
        </w:tc>
      </w:tr>
      <w:tr w:rsidR="00AB2736" w14:paraId="6190FF9F" w14:textId="77777777" w:rsidTr="00B950CB">
        <w:tc>
          <w:tcPr>
            <w:tcW w:w="3192" w:type="dxa"/>
            <w:vAlign w:val="bottom"/>
          </w:tcPr>
          <w:p w14:paraId="1B10D87F" w14:textId="05BF4190" w:rsidR="00AB2736" w:rsidRDefault="00AB2736" w:rsidP="00AB2736">
            <w:r>
              <w:rPr>
                <w:sz w:val="20"/>
                <w:szCs w:val="20"/>
              </w:rPr>
              <w:t>Ламотригин</w:t>
            </w:r>
          </w:p>
        </w:tc>
        <w:tc>
          <w:tcPr>
            <w:tcW w:w="3192" w:type="dxa"/>
          </w:tcPr>
          <w:p w14:paraId="704E4E0F" w14:textId="1542F4D3" w:rsidR="00AB2736" w:rsidRDefault="00AB2736" w:rsidP="00AB2736">
            <w:r>
              <w:rPr>
                <w:sz w:val="13"/>
                <w:szCs w:val="13"/>
              </w:rPr>
              <w:t>↔</w:t>
            </w:r>
          </w:p>
        </w:tc>
        <w:tc>
          <w:tcPr>
            <w:tcW w:w="3192" w:type="dxa"/>
          </w:tcPr>
          <w:p w14:paraId="0715920F" w14:textId="44B70F61" w:rsidR="00AB2736" w:rsidRDefault="00AB2736" w:rsidP="00AB2736">
            <w:r>
              <w:rPr>
                <w:sz w:val="13"/>
                <w:szCs w:val="13"/>
              </w:rPr>
              <w:t>↔</w:t>
            </w:r>
          </w:p>
        </w:tc>
      </w:tr>
      <w:tr w:rsidR="00AB2736" w14:paraId="58347078" w14:textId="77777777" w:rsidTr="00B950CB">
        <w:tc>
          <w:tcPr>
            <w:tcW w:w="3192" w:type="dxa"/>
            <w:vAlign w:val="bottom"/>
          </w:tcPr>
          <w:p w14:paraId="12AB5D1E" w14:textId="3DD5D614" w:rsidR="00AB2736" w:rsidRDefault="00AB2736" w:rsidP="00AB2736">
            <w:r>
              <w:rPr>
                <w:sz w:val="20"/>
                <w:szCs w:val="20"/>
              </w:rPr>
              <w:t>Фенобарбитал</w:t>
            </w:r>
          </w:p>
        </w:tc>
        <w:tc>
          <w:tcPr>
            <w:tcW w:w="3192" w:type="dxa"/>
          </w:tcPr>
          <w:p w14:paraId="53200005" w14:textId="4F828EF0" w:rsidR="00AB2736" w:rsidRDefault="00AB2736" w:rsidP="00AB2736">
            <w:r>
              <w:rPr>
                <w:sz w:val="13"/>
                <w:szCs w:val="13"/>
              </w:rPr>
              <w:t>↔</w:t>
            </w:r>
          </w:p>
        </w:tc>
        <w:tc>
          <w:tcPr>
            <w:tcW w:w="3192" w:type="dxa"/>
            <w:vAlign w:val="bottom"/>
          </w:tcPr>
          <w:p w14:paraId="0DAD9B88" w14:textId="5EB26693" w:rsidR="00AB2736" w:rsidRDefault="00AB2736" w:rsidP="00AB2736">
            <w:r>
              <w:rPr>
                <w:sz w:val="20"/>
                <w:szCs w:val="20"/>
              </w:rPr>
              <w:t>НП</w:t>
            </w:r>
          </w:p>
        </w:tc>
      </w:tr>
      <w:tr w:rsidR="00AB2736" w14:paraId="2E19FE12" w14:textId="77777777" w:rsidTr="00AB2736">
        <w:tc>
          <w:tcPr>
            <w:tcW w:w="3192" w:type="dxa"/>
          </w:tcPr>
          <w:p w14:paraId="6ECB910B" w14:textId="7D1609FD" w:rsidR="00AB2736" w:rsidRDefault="00AB2736" w:rsidP="00AB2736">
            <w:r>
              <w:rPr>
                <w:sz w:val="20"/>
                <w:szCs w:val="20"/>
              </w:rPr>
              <w:t>Примидон</w:t>
            </w:r>
          </w:p>
        </w:tc>
        <w:tc>
          <w:tcPr>
            <w:tcW w:w="3192" w:type="dxa"/>
          </w:tcPr>
          <w:p w14:paraId="128850F4" w14:textId="518A2106" w:rsidR="00AB2736" w:rsidRDefault="00AB2736" w:rsidP="00AB2736">
            <w:r>
              <w:rPr>
                <w:sz w:val="13"/>
                <w:szCs w:val="13"/>
              </w:rPr>
              <w:t>↔</w:t>
            </w:r>
          </w:p>
        </w:tc>
        <w:tc>
          <w:tcPr>
            <w:tcW w:w="3192" w:type="dxa"/>
          </w:tcPr>
          <w:p w14:paraId="12966128" w14:textId="3B21D599" w:rsidR="00AB2736" w:rsidRDefault="00AB2736" w:rsidP="00AB2736">
            <w:r>
              <w:rPr>
                <w:sz w:val="20"/>
                <w:szCs w:val="20"/>
              </w:rPr>
              <w:t>НП</w:t>
            </w:r>
          </w:p>
        </w:tc>
      </w:tr>
    </w:tbl>
    <w:p w14:paraId="2BA3FFB0"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 без ефект върху плазмените концентрации (≤15% промяна)</w:t>
      </w:r>
    </w:p>
    <w:p w14:paraId="4D94C746"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 Плазмената концентрация нараства при отделни пациенти ↓= Плазмената концентрация се понижава</w:t>
      </w:r>
    </w:p>
    <w:p w14:paraId="5FAD9514"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НП = Не е проучван</w:t>
      </w:r>
    </w:p>
    <w:p w14:paraId="213D1980"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АЕЛ = антиепилептично лекарство</w:t>
      </w:r>
    </w:p>
    <w:p w14:paraId="099778AA" w14:textId="77777777" w:rsidR="00AB2736" w:rsidRPr="00AB2736" w:rsidRDefault="00AB2736" w:rsidP="00AB2736">
      <w:pPr>
        <w:spacing w:line="240" w:lineRule="auto"/>
        <w:rPr>
          <w:rFonts w:eastAsia="Times New Roman" w:cs="Arial"/>
          <w:b/>
          <w:bCs/>
          <w:color w:val="000000"/>
          <w:szCs w:val="20"/>
          <w:lang w:eastAsia="bg-BG"/>
        </w:rPr>
      </w:pPr>
    </w:p>
    <w:p w14:paraId="4008194B" w14:textId="08F06676" w:rsidR="00AB2736" w:rsidRPr="00AB2736" w:rsidRDefault="00AB2736" w:rsidP="00AB2736">
      <w:pPr>
        <w:spacing w:line="240" w:lineRule="auto"/>
        <w:rPr>
          <w:rFonts w:eastAsia="Times New Roman" w:cs="Arial"/>
          <w:sz w:val="28"/>
          <w:szCs w:val="24"/>
        </w:rPr>
      </w:pPr>
      <w:r w:rsidRPr="00AB2736">
        <w:rPr>
          <w:rFonts w:eastAsia="Times New Roman" w:cs="Arial"/>
          <w:b/>
          <w:bCs/>
          <w:color w:val="000000"/>
          <w:szCs w:val="20"/>
          <w:lang w:eastAsia="bg-BG"/>
        </w:rPr>
        <w:t>Други лекарствени взаимодействия</w:t>
      </w:r>
    </w:p>
    <w:p w14:paraId="05DCA3D6" w14:textId="77777777" w:rsidR="00AB2736" w:rsidRPr="00AB2736" w:rsidRDefault="00AB2736" w:rsidP="00AB2736">
      <w:pPr>
        <w:spacing w:line="240" w:lineRule="auto"/>
        <w:rPr>
          <w:rFonts w:eastAsia="Times New Roman" w:cs="Arial"/>
          <w:i/>
          <w:iCs/>
          <w:color w:val="000000"/>
          <w:szCs w:val="20"/>
          <w:lang w:eastAsia="bg-BG"/>
        </w:rPr>
      </w:pPr>
    </w:p>
    <w:p w14:paraId="11BF2B44" w14:textId="12FCC34A"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Дигоксин</w:t>
      </w:r>
    </w:p>
    <w:p w14:paraId="6DEB7B16"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При проучване с еднократна доза, площта под кривата плазмена концентрация/време </w:t>
      </w:r>
      <w:r w:rsidRPr="00AB2736">
        <w:rPr>
          <w:rFonts w:eastAsia="Times New Roman" w:cs="Arial"/>
          <w:color w:val="000000"/>
          <w:szCs w:val="20"/>
          <w:lang w:val="ru-RU"/>
        </w:rPr>
        <w:t>(</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на серумния дигоксин намалява с 12% при едновременно лечение с топирамат. Клиничното значение на това наблюдение не е установено. Когато към терапия с дигоксин се добави или прекрати лечение с топирамат, трябва да се обърне специално внимание на рутинното мониторйране на серумния дигоксин.</w:t>
      </w:r>
    </w:p>
    <w:p w14:paraId="39E7D080" w14:textId="77777777" w:rsidR="00AB2736" w:rsidRPr="00AB2736" w:rsidRDefault="00AB2736" w:rsidP="00AB2736">
      <w:pPr>
        <w:spacing w:line="240" w:lineRule="auto"/>
        <w:rPr>
          <w:rFonts w:eastAsia="Times New Roman" w:cs="Arial"/>
          <w:i/>
          <w:iCs/>
          <w:color w:val="000000"/>
          <w:szCs w:val="20"/>
          <w:lang w:eastAsia="bg-BG"/>
        </w:rPr>
      </w:pPr>
    </w:p>
    <w:p w14:paraId="7DDDDB59" w14:textId="7C85F3D3"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ЦНС депресанти</w:t>
      </w:r>
    </w:p>
    <w:p w14:paraId="4334D5F3"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Едновременното приложение на топирамат и алкохол или други ЦНС депресанти не е оценявано в клинични изпитвания. Препоръчва се топирамат да не се приема едновременно с алкохол или други ЦНС депресанти.</w:t>
      </w:r>
    </w:p>
    <w:p w14:paraId="0A8AEFBD" w14:textId="77777777" w:rsidR="00AB2736" w:rsidRPr="00AB2736" w:rsidRDefault="00AB2736" w:rsidP="00AB2736">
      <w:pPr>
        <w:spacing w:line="240" w:lineRule="auto"/>
        <w:rPr>
          <w:rFonts w:eastAsia="Times New Roman" w:cs="Arial"/>
          <w:i/>
          <w:iCs/>
          <w:color w:val="000000"/>
          <w:szCs w:val="20"/>
          <w:lang w:eastAsia="bg-BG"/>
        </w:rPr>
      </w:pPr>
    </w:p>
    <w:p w14:paraId="5D00A56A" w14:textId="0B605AE0"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 xml:space="preserve">Жълт кантарион </w:t>
      </w:r>
      <w:r w:rsidRPr="00AB2736">
        <w:rPr>
          <w:rFonts w:eastAsia="Times New Roman" w:cs="Arial"/>
          <w:i/>
          <w:iCs/>
          <w:color w:val="000000"/>
          <w:szCs w:val="20"/>
          <w:lang w:val="ru-RU"/>
        </w:rPr>
        <w:t>(</w:t>
      </w:r>
      <w:proofErr w:type="spellStart"/>
      <w:r w:rsidRPr="00AB2736">
        <w:rPr>
          <w:rFonts w:eastAsia="Times New Roman" w:cs="Arial"/>
          <w:i/>
          <w:iCs/>
          <w:color w:val="000000"/>
          <w:szCs w:val="20"/>
          <w:lang w:val="en-US"/>
        </w:rPr>
        <w:t>Hypericum</w:t>
      </w:r>
      <w:proofErr w:type="spellEnd"/>
      <w:r w:rsidRPr="00AB2736">
        <w:rPr>
          <w:rFonts w:eastAsia="Times New Roman" w:cs="Arial"/>
          <w:i/>
          <w:iCs/>
          <w:color w:val="000000"/>
          <w:szCs w:val="20"/>
          <w:lang w:val="ru-RU"/>
        </w:rPr>
        <w:t xml:space="preserve"> </w:t>
      </w:r>
      <w:proofErr w:type="spellStart"/>
      <w:r w:rsidRPr="00AB2736">
        <w:rPr>
          <w:rFonts w:eastAsia="Times New Roman" w:cs="Arial"/>
          <w:i/>
          <w:iCs/>
          <w:color w:val="000000"/>
          <w:szCs w:val="20"/>
          <w:lang w:val="en-US"/>
        </w:rPr>
        <w:t>perforatum</w:t>
      </w:r>
      <w:proofErr w:type="spellEnd"/>
      <w:r w:rsidRPr="00AB2736">
        <w:rPr>
          <w:rFonts w:eastAsia="Times New Roman" w:cs="Arial"/>
          <w:i/>
          <w:iCs/>
          <w:color w:val="000000"/>
          <w:szCs w:val="20"/>
          <w:lang w:val="ru-RU"/>
        </w:rPr>
        <w:t>)</w:t>
      </w:r>
    </w:p>
    <w:p w14:paraId="7CD6C10D"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Риск от намаляване на плазмената концентрация, водещ до загуба на ефикасността, се наблюдава при едновременна употреба на топирамат и жълт кантарион. Няма клинични изпитвания, оценяващи тези потенциални взаимодействия.</w:t>
      </w:r>
    </w:p>
    <w:p w14:paraId="02A191BB" w14:textId="77777777" w:rsidR="00AB2736" w:rsidRPr="00AB2736" w:rsidRDefault="00AB2736" w:rsidP="00AB2736">
      <w:pPr>
        <w:spacing w:line="240" w:lineRule="auto"/>
        <w:rPr>
          <w:rFonts w:eastAsia="Times New Roman" w:cs="Arial"/>
          <w:i/>
          <w:iCs/>
          <w:color w:val="000000"/>
          <w:szCs w:val="20"/>
          <w:lang w:eastAsia="bg-BG"/>
        </w:rPr>
      </w:pPr>
    </w:p>
    <w:p w14:paraId="55B8FEFD" w14:textId="0D36993E"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Перорални контрацептиви</w:t>
      </w:r>
    </w:p>
    <w:p w14:paraId="351B2613"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В проучване на фармакокинетичните взаимодействия при здрави доброволци с едновременно приложена комбинация от перорален контрацептивен продукт, съдържащ 1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норетиндрон </w:t>
      </w:r>
      <w:r w:rsidRPr="00AB2736">
        <w:rPr>
          <w:rFonts w:eastAsia="Times New Roman" w:cs="Arial"/>
          <w:color w:val="000000"/>
          <w:szCs w:val="20"/>
          <w:lang w:val="ru-RU"/>
        </w:rPr>
        <w:t>(</w:t>
      </w:r>
      <w:r w:rsidRPr="00AB2736">
        <w:rPr>
          <w:rFonts w:eastAsia="Times New Roman" w:cs="Arial"/>
          <w:color w:val="000000"/>
          <w:szCs w:val="20"/>
          <w:lang w:val="en-US"/>
        </w:rPr>
        <w:t>NET</w:t>
      </w:r>
      <w:r w:rsidRPr="00AB2736">
        <w:rPr>
          <w:rFonts w:eastAsia="Times New Roman" w:cs="Arial"/>
          <w:color w:val="000000"/>
          <w:szCs w:val="20"/>
          <w:lang w:val="ru-RU"/>
        </w:rPr>
        <w:t xml:space="preserve">) </w:t>
      </w:r>
      <w:r w:rsidRPr="00AB2736">
        <w:rPr>
          <w:rFonts w:eastAsia="Times New Roman" w:cs="Arial"/>
          <w:color w:val="000000"/>
          <w:szCs w:val="20"/>
          <w:lang w:eastAsia="bg-BG"/>
        </w:rPr>
        <w:t>и 35 μ</w:t>
      </w:r>
      <w:r w:rsidRPr="00AB2736">
        <w:rPr>
          <w:rFonts w:eastAsia="Times New Roman" w:cs="Arial"/>
          <w:color w:val="000000"/>
          <w:szCs w:val="20"/>
          <w:lang w:val="en-US"/>
        </w:rPr>
        <w:t>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етинилестрадиол (ЕЕ), топирамат, приеман в отсъствие на други лекарства в дози от 50 до 200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не се свързва със статистически значими промени в средната експозиция </w:t>
      </w:r>
      <w:r w:rsidRPr="00AB2736">
        <w:rPr>
          <w:rFonts w:eastAsia="Times New Roman" w:cs="Arial"/>
          <w:color w:val="000000"/>
          <w:szCs w:val="20"/>
          <w:lang w:val="ru-RU"/>
        </w:rPr>
        <w:t>(</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на който и да е компонент на пероралните контрацептиви. В друго проучване експозицията на ЕЕ е статистически значимо понижена при дози от 200, 400 и 800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(съответно 18%, 21% и 30%), когато е приеман като допълваща терапия при пациенти с епилепсия на лечение с валпроева киселина. И в двете изпитвания топирамат (50- 200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при здрави доброволци и 200-800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при пациенти с епилепсия) не повлиява значително експозицията на </w:t>
      </w:r>
      <w:r w:rsidRPr="00AB2736">
        <w:rPr>
          <w:rFonts w:eastAsia="Times New Roman" w:cs="Arial"/>
          <w:color w:val="000000"/>
          <w:szCs w:val="20"/>
          <w:lang w:val="en-US"/>
        </w:rPr>
        <w:t>NET</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Въпреки наличието на дозозависимо понижение на експозицията на ЕЕ при дози между 200-800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(при пациенти с епилепсия), няма значима дозозависима промяна в експозицията на ЕЕ при дневни дози от 50-200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(при здрави доброволци). Клиничното значение на наблюдаваните промени не е известно. Може да се допусне възможността за намалена контрацептивна ефективност и повишено пробивно кървене при пациентки, приемащи комбинация от перорален контрацептивен продукт и топирамат. Пациентките, които приемат естроген-съдържащи контрацептиви, трябва да бъдат помолени да </w:t>
      </w:r>
      <w:r w:rsidRPr="00AB2736">
        <w:rPr>
          <w:rFonts w:eastAsia="Times New Roman" w:cs="Arial"/>
          <w:color w:val="000000"/>
          <w:szCs w:val="20"/>
          <w:lang w:eastAsia="bg-BG"/>
        </w:rPr>
        <w:lastRenderedPageBreak/>
        <w:t>съобщават за всички промени в начина им на менструално кървене. Ефикасността на контрацептивите може да намалее, дори и при отсъствие на пробивно кръвотечение.</w:t>
      </w:r>
    </w:p>
    <w:p w14:paraId="3B2620BD" w14:textId="77777777" w:rsidR="00AB2736" w:rsidRPr="00AB2736" w:rsidRDefault="00AB2736" w:rsidP="00AB2736">
      <w:pPr>
        <w:spacing w:line="240" w:lineRule="auto"/>
        <w:rPr>
          <w:rFonts w:eastAsia="Times New Roman" w:cs="Arial"/>
          <w:i/>
          <w:iCs/>
          <w:color w:val="000000"/>
          <w:szCs w:val="20"/>
          <w:lang w:eastAsia="bg-BG"/>
        </w:rPr>
      </w:pPr>
    </w:p>
    <w:p w14:paraId="6D906B89" w14:textId="0F1BDE26"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Литий</w:t>
      </w:r>
    </w:p>
    <w:p w14:paraId="587A4F4B"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При здрави доброволци се наблюдава понижаване (18% за </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в системната експозиция на литий по време на едновременното му приложение с топирамат в доза от 200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При пациенти с биполярно разстройство фармакокинетиката на литий не се повлиява по време на лечение с топирамат в дози от 200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но се наблюдава повишаване на системната експозиция (26% за </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при дози топирамат до 600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дневно. Стойностите на литий трябва да се проследяват при едновременно приложение с топирамат.</w:t>
      </w:r>
    </w:p>
    <w:p w14:paraId="6740D912" w14:textId="77777777" w:rsidR="00AB2736" w:rsidRPr="00AB2736" w:rsidRDefault="00AB2736" w:rsidP="00AB2736">
      <w:pPr>
        <w:spacing w:line="240" w:lineRule="auto"/>
        <w:rPr>
          <w:rFonts w:eastAsia="Times New Roman" w:cs="Arial"/>
          <w:sz w:val="28"/>
          <w:szCs w:val="24"/>
        </w:rPr>
      </w:pPr>
    </w:p>
    <w:p w14:paraId="3DD465CD" w14:textId="77777777"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Рисперидон</w:t>
      </w:r>
    </w:p>
    <w:p w14:paraId="18523048"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Проучванията на взаимодействието лекарство-лекарство, проведени с еднократни дози при</w:t>
      </w:r>
    </w:p>
    <w:p w14:paraId="364835AA" w14:textId="5EE92D66"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здрави доброволци и многократни дози при пациенти с биполярно разстройство, дават сходни резултати. Приложен едновременно с топирамат при увеличаващи се дози от 100,</w:t>
      </w:r>
      <w:r w:rsidRPr="00AB2736">
        <w:rPr>
          <w:rFonts w:eastAsia="Times New Roman" w:cs="Arial"/>
          <w:color w:val="000000"/>
          <w:szCs w:val="20"/>
          <w:lang w:val="ru-RU"/>
        </w:rPr>
        <w:t xml:space="preserve"> 250 </w:t>
      </w:r>
      <w:r w:rsidRPr="00AB2736">
        <w:rPr>
          <w:rFonts w:eastAsia="Times New Roman" w:cs="Arial"/>
          <w:color w:val="000000"/>
          <w:szCs w:val="20"/>
          <w:lang w:eastAsia="bg-BG"/>
        </w:rPr>
        <w:t>и 400</w:t>
      </w:r>
      <w:r w:rsidRPr="00AB2736">
        <w:rPr>
          <w:rFonts w:eastAsia="Times New Roman" w:cs="Arial"/>
          <w:color w:val="000000"/>
          <w:szCs w:val="20"/>
          <w:lang w:val="ru-RU"/>
        </w:rPr>
        <w:t xml:space="preserve"> </w:t>
      </w:r>
      <w:r w:rsidRPr="00AB2736">
        <w:rPr>
          <w:rFonts w:eastAsia="Times New Roman" w:cs="Arial"/>
          <w:color w:val="000000"/>
          <w:szCs w:val="20"/>
          <w:lang w:val="en-US"/>
        </w:rPr>
        <w:t>mg</w:t>
      </w:r>
      <w:r w:rsidRPr="00AB2736">
        <w:rPr>
          <w:rFonts w:eastAsia="Times New Roman" w:cs="Arial"/>
          <w:sz w:val="28"/>
          <w:szCs w:val="24"/>
          <w:lang w:val="ru-RU"/>
        </w:rPr>
        <w:t xml:space="preserve"> </w:t>
      </w:r>
      <w:r w:rsidRPr="00AB2736">
        <w:rPr>
          <w:rFonts w:eastAsia="Times New Roman" w:cs="Arial"/>
          <w:color w:val="000000"/>
          <w:szCs w:val="20"/>
          <w:lang w:eastAsia="bg-BG"/>
        </w:rPr>
        <w:t xml:space="preserve">дневно, се наблюдава понижаване в системната експозиция на рисперидон (приложен в дози в диапазона от 1 до 6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w:t>
      </w:r>
      <w:r w:rsidRPr="00AB2736">
        <w:rPr>
          <w:rFonts w:eastAsia="Times New Roman" w:cs="Arial"/>
          <w:i/>
          <w:iCs/>
          <w:color w:val="000000"/>
          <w:szCs w:val="20"/>
          <w:lang w:eastAsia="bg-BG"/>
        </w:rPr>
        <w:t>(16% и 33% за</w:t>
      </w:r>
      <w:r w:rsidRPr="00AB2736">
        <w:rPr>
          <w:rFonts w:eastAsia="Times New Roman" w:cs="Arial"/>
          <w:color w:val="000000"/>
          <w:szCs w:val="20"/>
          <w:lang w:eastAsia="bg-BG"/>
        </w:rPr>
        <w:t xml:space="preserve"> стационарна </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съответно при дневно дози от 250 и 400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Разликите в </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на общата активна фракция между лечение само с рисперидон и в комбинация с топирамат не са статистически значими. Наблюдават се минимални промени във фармакокинетиката на цялата активна фракция (рисперидон и 9-хидроксирисперидон), а при 9-хидроксирисперидон не се наблюдават никакви промени. Няма значими промени в системната експозиция на цялата активна фракция на рисперидон, както и на топирамат. При добавяне на топирамат (250-400 </w:t>
      </w:r>
      <w:r w:rsidRPr="00AB2736">
        <w:rPr>
          <w:rFonts w:eastAsia="Times New Roman" w:cs="Arial"/>
          <w:color w:val="000000"/>
          <w:szCs w:val="20"/>
          <w:lang w:val="en-US"/>
        </w:rPr>
        <w:t>mg</w:t>
      </w:r>
      <w:r w:rsidRPr="00AB2736">
        <w:rPr>
          <w:rFonts w:eastAsia="Times New Roman" w:cs="Arial"/>
          <w:color w:val="000000"/>
          <w:szCs w:val="20"/>
          <w:lang w:eastAsia="bg-BG"/>
        </w:rPr>
        <w:t xml:space="preserve">/дневно) към лечението с рисперидон (1-6 </w:t>
      </w:r>
      <w:r w:rsidRPr="00AB2736">
        <w:rPr>
          <w:rFonts w:eastAsia="Times New Roman" w:cs="Arial"/>
          <w:color w:val="000000"/>
          <w:szCs w:val="20"/>
          <w:lang w:val="en-US"/>
        </w:rPr>
        <w:t>mg</w:t>
      </w:r>
      <w:r w:rsidRPr="00AB2736">
        <w:rPr>
          <w:rFonts w:eastAsia="Times New Roman" w:cs="Arial"/>
          <w:color w:val="000000"/>
          <w:szCs w:val="20"/>
          <w:lang w:eastAsia="bg-BG"/>
        </w:rPr>
        <w:t>/дневно), нежелани събития се съобщават по-често отколкото преди добавянето му (90% и 54% съответно). Най-често съобщаваните нежелани реакции при добавяне на топирамат към лечението с рисперидон са: сънливост (27% и 12%), парестезия (22% и 0%) и гадене (18% и съответно 9%).</w:t>
      </w:r>
    </w:p>
    <w:p w14:paraId="606D4A1A" w14:textId="77777777" w:rsidR="00AB2736" w:rsidRPr="00AB2736" w:rsidRDefault="00AB2736" w:rsidP="00AB2736">
      <w:pPr>
        <w:spacing w:line="240" w:lineRule="auto"/>
        <w:rPr>
          <w:rFonts w:eastAsia="Times New Roman" w:cs="Arial"/>
          <w:i/>
          <w:iCs/>
          <w:color w:val="000000"/>
          <w:szCs w:val="20"/>
          <w:lang w:eastAsia="bg-BG"/>
        </w:rPr>
      </w:pPr>
    </w:p>
    <w:p w14:paraId="0B3F87B6" w14:textId="327F8064"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 xml:space="preserve">Хидрохлортиазид </w:t>
      </w:r>
      <w:r w:rsidRPr="00AB2736">
        <w:rPr>
          <w:rFonts w:eastAsia="Times New Roman" w:cs="Arial"/>
          <w:i/>
          <w:iCs/>
          <w:color w:val="000000"/>
          <w:szCs w:val="20"/>
          <w:lang w:val="ru-RU"/>
        </w:rPr>
        <w:t>(</w:t>
      </w:r>
      <w:r w:rsidRPr="00AB2736">
        <w:rPr>
          <w:rFonts w:eastAsia="Times New Roman" w:cs="Arial"/>
          <w:i/>
          <w:iCs/>
          <w:color w:val="000000"/>
          <w:szCs w:val="20"/>
          <w:lang w:val="en-US"/>
        </w:rPr>
        <w:t>HCTZ</w:t>
      </w:r>
      <w:r w:rsidRPr="00AB2736">
        <w:rPr>
          <w:rFonts w:eastAsia="Times New Roman" w:cs="Arial"/>
          <w:i/>
          <w:iCs/>
          <w:color w:val="000000"/>
          <w:szCs w:val="20"/>
          <w:lang w:val="ru-RU"/>
        </w:rPr>
        <w:t>)</w:t>
      </w:r>
    </w:p>
    <w:p w14:paraId="1F461980"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При проучване на лекарствени взаимодействия, проведено при здрави доброволци, е оценена фармакокинетиката при плазмена концентрация в стационарно състояние на </w:t>
      </w:r>
      <w:r w:rsidRPr="00AB2736">
        <w:rPr>
          <w:rFonts w:eastAsia="Times New Roman" w:cs="Arial"/>
          <w:color w:val="000000"/>
          <w:szCs w:val="20"/>
          <w:lang w:val="en-US"/>
        </w:rPr>
        <w:t>HCTZ</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(25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на всеки 24 часа) и на топирамат (96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i/>
          <w:iCs/>
          <w:color w:val="000000"/>
          <w:szCs w:val="20"/>
          <w:lang w:eastAsia="bg-BG"/>
        </w:rPr>
        <w:t>на</w:t>
      </w:r>
      <w:r w:rsidRPr="00AB2736">
        <w:rPr>
          <w:rFonts w:eastAsia="Times New Roman" w:cs="Arial"/>
          <w:color w:val="000000"/>
          <w:szCs w:val="20"/>
          <w:lang w:eastAsia="bg-BG"/>
        </w:rPr>
        <w:t xml:space="preserve"> всеки 12 часа), приложени самостоятелно и едновременно. Резултатите от проучването сочат, че С</w:t>
      </w:r>
      <w:r w:rsidRPr="00AB2736">
        <w:rPr>
          <w:rFonts w:eastAsia="Times New Roman" w:cs="Arial"/>
          <w:color w:val="000000"/>
          <w:szCs w:val="20"/>
          <w:vertAlign w:val="subscript"/>
          <w:lang w:val="en-US"/>
        </w:rPr>
        <w:t>max</w:t>
      </w:r>
      <w:r w:rsidRPr="00AB2736">
        <w:rPr>
          <w:rFonts w:eastAsia="Times New Roman" w:cs="Arial"/>
          <w:color w:val="000000"/>
          <w:szCs w:val="20"/>
          <w:lang w:eastAsia="bg-BG"/>
        </w:rPr>
        <w:t xml:space="preserve"> на топирамат се увеличава с 27%, а </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с 29%, когато към него се добави </w:t>
      </w:r>
      <w:r w:rsidRPr="00AB2736">
        <w:rPr>
          <w:rFonts w:eastAsia="Times New Roman" w:cs="Arial"/>
          <w:color w:val="000000"/>
          <w:szCs w:val="20"/>
          <w:lang w:val="en-US"/>
        </w:rPr>
        <w:t>HCTZ</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Клиничното значение на тези промени не е установено. Добавянето на </w:t>
      </w:r>
      <w:r w:rsidRPr="00AB2736">
        <w:rPr>
          <w:rFonts w:eastAsia="Times New Roman" w:cs="Arial"/>
          <w:color w:val="000000"/>
          <w:szCs w:val="20"/>
          <w:lang w:val="en-US"/>
        </w:rPr>
        <w:t>HCTZ</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към терапия с топирамат може да наложи коригиране на дозата на топирамат. Фармакокинетиката при плазмена концентрация в стационарно състояние на </w:t>
      </w:r>
      <w:r w:rsidRPr="00AB2736">
        <w:rPr>
          <w:rFonts w:eastAsia="Times New Roman" w:cs="Arial"/>
          <w:color w:val="000000"/>
          <w:szCs w:val="20"/>
          <w:lang w:val="en-US"/>
        </w:rPr>
        <w:t>HCTZ</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не се повлиява значително от едновременното му приложение с топирамат. Резултатите от клиничните лабораторни изследвания сочат понижаване в нивото на серумния калий след приложение на топирамат или </w:t>
      </w:r>
      <w:r w:rsidRPr="00AB2736">
        <w:rPr>
          <w:rFonts w:eastAsia="Times New Roman" w:cs="Arial"/>
          <w:color w:val="000000"/>
          <w:szCs w:val="20"/>
          <w:lang w:val="en-US"/>
        </w:rPr>
        <w:t>HCTZ</w:t>
      </w:r>
      <w:r w:rsidRPr="00AB2736">
        <w:rPr>
          <w:rFonts w:eastAsia="Times New Roman" w:cs="Arial"/>
          <w:color w:val="000000"/>
          <w:szCs w:val="20"/>
          <w:lang w:val="ru-RU"/>
        </w:rPr>
        <w:t xml:space="preserve">, </w:t>
      </w:r>
      <w:r w:rsidRPr="00AB2736">
        <w:rPr>
          <w:rFonts w:eastAsia="Times New Roman" w:cs="Arial"/>
          <w:color w:val="000000"/>
          <w:szCs w:val="20"/>
          <w:lang w:eastAsia="bg-BG"/>
        </w:rPr>
        <w:t>което е по-високо при едновременното им приложение.</w:t>
      </w:r>
    </w:p>
    <w:p w14:paraId="0B175B3E" w14:textId="77777777" w:rsidR="00AB2736" w:rsidRPr="00AB2736" w:rsidRDefault="00AB2736" w:rsidP="00AB2736">
      <w:pPr>
        <w:spacing w:line="240" w:lineRule="auto"/>
        <w:rPr>
          <w:rFonts w:eastAsia="Times New Roman" w:cs="Arial"/>
          <w:i/>
          <w:iCs/>
          <w:color w:val="000000"/>
          <w:szCs w:val="20"/>
          <w:lang w:eastAsia="bg-BG"/>
        </w:rPr>
      </w:pPr>
    </w:p>
    <w:p w14:paraId="5F4D08CF" w14:textId="5BC0B61D"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Метформин</w:t>
      </w:r>
    </w:p>
    <w:p w14:paraId="2957C7B7"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При проучване на взаимодействието лекарство-лекарство, проведено при здрави доброволци, е оценена стационарната фармакокинетика на метформин и топирамат в плазмата при самостоятелно приложение на метформин и при едновременното му приложение с топирамат. Резултатите от проучването сочат, че средната </w:t>
      </w:r>
      <w:proofErr w:type="spellStart"/>
      <w:r w:rsidRPr="00AB2736">
        <w:rPr>
          <w:rFonts w:eastAsia="Times New Roman" w:cs="Arial"/>
          <w:color w:val="000000"/>
          <w:szCs w:val="20"/>
          <w:lang w:val="en-US"/>
        </w:rPr>
        <w:t>C</w:t>
      </w:r>
      <w:r w:rsidRPr="00AB2736">
        <w:rPr>
          <w:rFonts w:eastAsia="Times New Roman" w:cs="Arial"/>
          <w:color w:val="000000"/>
          <w:szCs w:val="20"/>
          <w:vertAlign w:val="subscript"/>
          <w:lang w:val="en-US"/>
        </w:rPr>
        <w:t>max</w:t>
      </w:r>
      <w:proofErr w:type="spellEnd"/>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на метформин и средната </w:t>
      </w:r>
      <w:r w:rsidRPr="00AB2736">
        <w:rPr>
          <w:rFonts w:eastAsia="Times New Roman" w:cs="Arial"/>
          <w:color w:val="000000"/>
          <w:szCs w:val="20"/>
          <w:lang w:val="en-US"/>
        </w:rPr>
        <w:t>AUC</w:t>
      </w:r>
      <w:r w:rsidRPr="00AB2736">
        <w:rPr>
          <w:rFonts w:eastAsia="Times New Roman" w:cs="Arial"/>
          <w:color w:val="000000"/>
          <w:szCs w:val="20"/>
          <w:vertAlign w:val="subscript"/>
          <w:lang w:val="ru-RU"/>
        </w:rPr>
        <w:t>0-12</w:t>
      </w:r>
      <w:r w:rsidRPr="00AB2736">
        <w:rPr>
          <w:rFonts w:eastAsia="Times New Roman" w:cs="Arial"/>
          <w:color w:val="000000"/>
          <w:szCs w:val="20"/>
          <w:vertAlign w:val="subscript"/>
          <w:lang w:val="en-US"/>
        </w:rPr>
        <w:t>h</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се увеличават съответно с 18% и 25%, докато средното </w:t>
      </w:r>
      <w:r w:rsidRPr="00AB2736">
        <w:rPr>
          <w:rFonts w:eastAsia="Times New Roman" w:cs="Arial"/>
          <w:color w:val="000000"/>
          <w:szCs w:val="20"/>
          <w:lang w:val="en-US"/>
        </w:rPr>
        <w:lastRenderedPageBreak/>
        <w:t>CL</w:t>
      </w:r>
      <w:r w:rsidRPr="00AB2736">
        <w:rPr>
          <w:rFonts w:eastAsia="Times New Roman" w:cs="Arial"/>
          <w:color w:val="000000"/>
          <w:szCs w:val="20"/>
          <w:lang w:val="ru-RU"/>
        </w:rPr>
        <w:t>/</w:t>
      </w:r>
      <w:r w:rsidRPr="00AB2736">
        <w:rPr>
          <w:rFonts w:eastAsia="Times New Roman" w:cs="Arial"/>
          <w:color w:val="000000"/>
          <w:szCs w:val="20"/>
          <w:lang w:val="en-US"/>
        </w:rPr>
        <w:t>F</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намалява с 20%, когато метформин се прилага заедно с топирамат. Топирамат не повлиява </w:t>
      </w:r>
      <w:proofErr w:type="spellStart"/>
      <w:r w:rsidRPr="00AB2736">
        <w:rPr>
          <w:rFonts w:eastAsia="Times New Roman" w:cs="Arial"/>
          <w:color w:val="000000"/>
          <w:szCs w:val="20"/>
          <w:lang w:val="en-US"/>
        </w:rPr>
        <w:t>t</w:t>
      </w:r>
      <w:r w:rsidRPr="00AB2736">
        <w:rPr>
          <w:rFonts w:eastAsia="Times New Roman" w:cs="Arial"/>
          <w:color w:val="000000"/>
          <w:szCs w:val="20"/>
          <w:vertAlign w:val="subscript"/>
          <w:lang w:val="en-US"/>
        </w:rPr>
        <w:t>max</w:t>
      </w:r>
      <w:proofErr w:type="spellEnd"/>
      <w:r w:rsidRPr="00AB2736">
        <w:rPr>
          <w:rFonts w:eastAsia="Times New Roman" w:cs="Arial"/>
          <w:color w:val="000000"/>
          <w:szCs w:val="20"/>
          <w:lang w:val="ru-RU"/>
        </w:rPr>
        <w:t xml:space="preserve"> </w:t>
      </w:r>
      <w:r w:rsidRPr="00AB2736">
        <w:rPr>
          <w:rFonts w:eastAsia="Times New Roman" w:cs="Arial"/>
          <w:color w:val="000000"/>
          <w:szCs w:val="20"/>
          <w:lang w:eastAsia="bg-BG"/>
        </w:rPr>
        <w:t>на метформин. Клиничното значение на ефекта на топирамат върху фармакокинетиката на метформин не е установено. Пероралният плазмен клирънс на топирамат намалява при едновременно приложение с метформин. Степента на промяна в клирънса не е известна. Клиничното значение на ефекта на метформин върху фармакокинетиката на топирамат не е установено. Когато топирамат се добави или приложението му се прекрати при пациенти на терапия с метформин, трябва да се обърне особено внимание при рутинното мониториране на пациентите за постигане на адекватен контрол на тяхното диабетно заболяване.</w:t>
      </w:r>
    </w:p>
    <w:p w14:paraId="0EFB8266" w14:textId="77777777" w:rsidR="00AB2736" w:rsidRPr="00AB2736" w:rsidRDefault="00AB2736" w:rsidP="00AB2736">
      <w:pPr>
        <w:spacing w:line="240" w:lineRule="auto"/>
        <w:rPr>
          <w:rFonts w:eastAsia="Times New Roman" w:cs="Arial"/>
          <w:i/>
          <w:iCs/>
          <w:color w:val="000000"/>
          <w:szCs w:val="20"/>
          <w:lang w:eastAsia="bg-BG"/>
        </w:rPr>
      </w:pPr>
    </w:p>
    <w:p w14:paraId="27957B24" w14:textId="1A1411CC"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Пиоглитазон</w:t>
      </w:r>
    </w:p>
    <w:p w14:paraId="2CA1EEBE"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При проучване на лекарствени взаимодействия, проведено при здрави доброволци, е оценена фармакокинетиката при плазмена концентрация в стационарно състояние на топирамат и пиоглитазон, приложени самостоятелно и едновременно. Наблюдава се 15% намаление на </w:t>
      </w:r>
      <w:proofErr w:type="spellStart"/>
      <w:r w:rsidRPr="00AB2736">
        <w:rPr>
          <w:rFonts w:eastAsia="Times New Roman" w:cs="Arial"/>
          <w:color w:val="000000"/>
          <w:szCs w:val="20"/>
          <w:lang w:val="en-US"/>
        </w:rPr>
        <w:t>AUC</w:t>
      </w:r>
      <w:r w:rsidRPr="00AB2736">
        <w:rPr>
          <w:rFonts w:eastAsia="Times New Roman" w:cs="Arial"/>
          <w:color w:val="000000"/>
          <w:szCs w:val="20"/>
          <w:vertAlign w:val="subscript"/>
          <w:lang w:val="en-US"/>
        </w:rPr>
        <w:t>t</w:t>
      </w:r>
      <w:proofErr w:type="spellEnd"/>
      <w:r w:rsidRPr="00AB2736">
        <w:rPr>
          <w:rFonts w:eastAsia="Times New Roman" w:cs="Arial"/>
          <w:color w:val="000000"/>
          <w:szCs w:val="20"/>
          <w:vertAlign w:val="subscript"/>
          <w:lang w:val="ru-RU"/>
        </w:rPr>
        <w:t>.</w:t>
      </w:r>
      <w:proofErr w:type="spellStart"/>
      <w:r w:rsidRPr="00AB2736">
        <w:rPr>
          <w:rFonts w:eastAsia="Times New Roman" w:cs="Arial"/>
          <w:color w:val="000000"/>
          <w:szCs w:val="20"/>
          <w:vertAlign w:val="subscript"/>
          <w:lang w:val="en-US"/>
        </w:rPr>
        <w:t>ss</w:t>
      </w:r>
      <w:proofErr w:type="spellEnd"/>
      <w:r w:rsidRPr="00AB2736">
        <w:rPr>
          <w:rFonts w:eastAsia="Times New Roman" w:cs="Arial"/>
          <w:color w:val="000000"/>
          <w:szCs w:val="20"/>
          <w:lang w:val="ru-RU"/>
        </w:rPr>
        <w:t xml:space="preserve"> </w:t>
      </w:r>
      <w:r w:rsidRPr="00AB2736">
        <w:rPr>
          <w:rFonts w:eastAsia="Times New Roman" w:cs="Arial"/>
          <w:color w:val="000000"/>
          <w:szCs w:val="20"/>
          <w:lang w:eastAsia="bg-BG"/>
        </w:rPr>
        <w:t>на пиоглитазон без промяна на С</w:t>
      </w:r>
      <w:r w:rsidRPr="00AB2736">
        <w:rPr>
          <w:rFonts w:eastAsia="Times New Roman" w:cs="Arial"/>
          <w:color w:val="000000"/>
          <w:szCs w:val="20"/>
          <w:vertAlign w:val="subscript"/>
          <w:lang w:val="en-US"/>
        </w:rPr>
        <w:t>max</w:t>
      </w:r>
      <w:r w:rsidRPr="00AB2736">
        <w:rPr>
          <w:rFonts w:eastAsia="Times New Roman" w:cs="Arial"/>
          <w:color w:val="000000"/>
          <w:szCs w:val="20"/>
          <w:vertAlign w:val="subscript"/>
          <w:lang w:val="ru-RU"/>
        </w:rPr>
        <w:t>,</w:t>
      </w:r>
      <w:proofErr w:type="spellStart"/>
      <w:r w:rsidRPr="00AB2736">
        <w:rPr>
          <w:rFonts w:eastAsia="Times New Roman" w:cs="Arial"/>
          <w:color w:val="000000"/>
          <w:szCs w:val="20"/>
          <w:vertAlign w:val="subscript"/>
          <w:lang w:val="en-US"/>
        </w:rPr>
        <w:t>ss</w:t>
      </w:r>
      <w:proofErr w:type="spellEnd"/>
      <w:r w:rsidRPr="00AB2736">
        <w:rPr>
          <w:rFonts w:eastAsia="Times New Roman" w:cs="Arial"/>
          <w:color w:val="000000"/>
          <w:szCs w:val="20"/>
          <w:lang w:eastAsia="bg-BG"/>
        </w:rPr>
        <w:t xml:space="preserve">. Това откритие няма статистическо значение. Освен това се наблюдават 13% и 16% намаление съответно </w:t>
      </w:r>
      <w:proofErr w:type="spellStart"/>
      <w:r w:rsidRPr="00AB2736">
        <w:rPr>
          <w:rFonts w:eastAsia="Times New Roman" w:cs="Arial"/>
          <w:color w:val="000000"/>
          <w:szCs w:val="20"/>
          <w:lang w:val="en-US"/>
        </w:rPr>
        <w:t>C</w:t>
      </w:r>
      <w:r w:rsidRPr="00AB2736">
        <w:rPr>
          <w:rFonts w:eastAsia="Times New Roman" w:cs="Arial"/>
          <w:color w:val="000000"/>
          <w:szCs w:val="20"/>
          <w:vertAlign w:val="subscript"/>
          <w:lang w:val="en-US"/>
        </w:rPr>
        <w:t>max</w:t>
      </w:r>
      <w:proofErr w:type="spellEnd"/>
      <w:r w:rsidRPr="00AB2736">
        <w:rPr>
          <w:rFonts w:eastAsia="Times New Roman" w:cs="Arial"/>
          <w:color w:val="000000"/>
          <w:szCs w:val="20"/>
          <w:vertAlign w:val="subscript"/>
          <w:lang w:val="ru-RU"/>
        </w:rPr>
        <w:t>,</w:t>
      </w:r>
      <w:proofErr w:type="spellStart"/>
      <w:r w:rsidRPr="00AB2736">
        <w:rPr>
          <w:rFonts w:eastAsia="Times New Roman" w:cs="Arial"/>
          <w:color w:val="000000"/>
          <w:szCs w:val="20"/>
          <w:vertAlign w:val="subscript"/>
          <w:lang w:val="en-US"/>
        </w:rPr>
        <w:t>ss</w:t>
      </w:r>
      <w:proofErr w:type="spellEnd"/>
      <w:r w:rsidRPr="00AB2736">
        <w:rPr>
          <w:rFonts w:eastAsia="Times New Roman" w:cs="Arial"/>
          <w:color w:val="000000"/>
          <w:szCs w:val="20"/>
          <w:lang w:val="ru-RU"/>
        </w:rPr>
        <w:t xml:space="preserve"> </w:t>
      </w:r>
      <w:r w:rsidRPr="00AB2736">
        <w:rPr>
          <w:rFonts w:eastAsia="Times New Roman" w:cs="Arial"/>
          <w:color w:val="000000"/>
          <w:szCs w:val="20"/>
          <w:lang w:eastAsia="bg-BG"/>
        </w:rPr>
        <w:t>и А</w:t>
      </w:r>
      <w:proofErr w:type="spellStart"/>
      <w:r w:rsidRPr="00AB2736">
        <w:rPr>
          <w:rFonts w:eastAsia="Times New Roman" w:cs="Arial"/>
          <w:color w:val="000000"/>
          <w:szCs w:val="20"/>
          <w:lang w:val="en-US"/>
        </w:rPr>
        <w:t>UC</w:t>
      </w:r>
      <w:r w:rsidRPr="00AB2736">
        <w:rPr>
          <w:rFonts w:eastAsia="Times New Roman" w:cs="Arial"/>
          <w:color w:val="000000"/>
          <w:szCs w:val="20"/>
          <w:vertAlign w:val="subscript"/>
          <w:lang w:val="en-US"/>
        </w:rPr>
        <w:t>t</w:t>
      </w:r>
      <w:proofErr w:type="spellEnd"/>
      <w:r w:rsidRPr="00AB2736">
        <w:rPr>
          <w:rFonts w:eastAsia="Times New Roman" w:cs="Arial"/>
          <w:color w:val="000000"/>
          <w:szCs w:val="20"/>
          <w:vertAlign w:val="subscript"/>
          <w:lang w:val="ru-RU"/>
        </w:rPr>
        <w:t>,</w:t>
      </w:r>
      <w:proofErr w:type="spellStart"/>
      <w:r w:rsidRPr="00AB2736">
        <w:rPr>
          <w:rFonts w:eastAsia="Times New Roman" w:cs="Arial"/>
          <w:color w:val="000000"/>
          <w:szCs w:val="20"/>
          <w:vertAlign w:val="subscript"/>
          <w:lang w:val="en-US"/>
        </w:rPr>
        <w:t>ss</w:t>
      </w:r>
      <w:proofErr w:type="spellEnd"/>
      <w:r w:rsidRPr="00AB2736">
        <w:rPr>
          <w:rFonts w:eastAsia="Times New Roman" w:cs="Arial"/>
          <w:color w:val="000000"/>
          <w:szCs w:val="20"/>
          <w:vertAlign w:val="subscript"/>
          <w:lang w:val="ru-RU"/>
        </w:rPr>
        <w:t xml:space="preserve"> </w:t>
      </w:r>
      <w:r w:rsidRPr="00AB2736">
        <w:rPr>
          <w:rFonts w:eastAsia="Times New Roman" w:cs="Arial"/>
          <w:color w:val="000000"/>
          <w:szCs w:val="20"/>
          <w:lang w:eastAsia="bg-BG"/>
        </w:rPr>
        <w:t xml:space="preserve">на активния хидроксиметаболит, както и 60% намаление на </w:t>
      </w:r>
      <w:proofErr w:type="spellStart"/>
      <w:r w:rsidRPr="00AB2736">
        <w:rPr>
          <w:rFonts w:eastAsia="Times New Roman" w:cs="Arial"/>
          <w:color w:val="000000"/>
          <w:szCs w:val="20"/>
          <w:lang w:val="en-US"/>
        </w:rPr>
        <w:t>C</w:t>
      </w:r>
      <w:r w:rsidRPr="00AB2736">
        <w:rPr>
          <w:rFonts w:eastAsia="Times New Roman" w:cs="Arial"/>
          <w:color w:val="000000"/>
          <w:szCs w:val="20"/>
          <w:vertAlign w:val="subscript"/>
          <w:lang w:val="en-US"/>
        </w:rPr>
        <w:t>max</w:t>
      </w:r>
      <w:proofErr w:type="spellEnd"/>
      <w:r w:rsidRPr="00AB2736">
        <w:rPr>
          <w:rFonts w:eastAsia="Times New Roman" w:cs="Arial"/>
          <w:color w:val="000000"/>
          <w:szCs w:val="20"/>
          <w:vertAlign w:val="subscript"/>
          <w:lang w:val="ru-RU"/>
        </w:rPr>
        <w:t>,</w:t>
      </w:r>
      <w:proofErr w:type="spellStart"/>
      <w:r w:rsidRPr="00AB2736">
        <w:rPr>
          <w:rFonts w:eastAsia="Times New Roman" w:cs="Arial"/>
          <w:color w:val="000000"/>
          <w:szCs w:val="20"/>
          <w:vertAlign w:val="subscript"/>
          <w:lang w:val="en-US"/>
        </w:rPr>
        <w:t>ss</w:t>
      </w:r>
      <w:proofErr w:type="spellEnd"/>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и </w:t>
      </w:r>
      <w:proofErr w:type="spellStart"/>
      <w:r w:rsidRPr="00AB2736">
        <w:rPr>
          <w:rFonts w:eastAsia="Times New Roman" w:cs="Arial"/>
          <w:color w:val="000000"/>
          <w:szCs w:val="20"/>
          <w:lang w:val="en-US"/>
        </w:rPr>
        <w:t>AUC</w:t>
      </w:r>
      <w:r w:rsidRPr="00AB2736">
        <w:rPr>
          <w:rFonts w:eastAsia="Times New Roman" w:cs="Arial"/>
          <w:color w:val="000000"/>
          <w:szCs w:val="20"/>
          <w:vertAlign w:val="subscript"/>
          <w:lang w:val="en-US"/>
        </w:rPr>
        <w:t>t</w:t>
      </w:r>
      <w:proofErr w:type="spellEnd"/>
      <w:r w:rsidRPr="00AB2736">
        <w:rPr>
          <w:rFonts w:eastAsia="Times New Roman" w:cs="Arial"/>
          <w:color w:val="000000"/>
          <w:szCs w:val="20"/>
          <w:vertAlign w:val="subscript"/>
          <w:lang w:val="ru-RU"/>
        </w:rPr>
        <w:t>.</w:t>
      </w:r>
      <w:proofErr w:type="spellStart"/>
      <w:r w:rsidRPr="00AB2736">
        <w:rPr>
          <w:rFonts w:eastAsia="Times New Roman" w:cs="Arial"/>
          <w:color w:val="000000"/>
          <w:szCs w:val="20"/>
          <w:vertAlign w:val="subscript"/>
          <w:lang w:val="en-US"/>
        </w:rPr>
        <w:t>ss</w:t>
      </w:r>
      <w:proofErr w:type="spellEnd"/>
      <w:r w:rsidRPr="00AB2736">
        <w:rPr>
          <w:rFonts w:eastAsia="Times New Roman" w:cs="Arial"/>
          <w:color w:val="000000"/>
          <w:szCs w:val="20"/>
          <w:vertAlign w:val="subscript"/>
          <w:lang w:val="ru-RU"/>
        </w:rPr>
        <w:t xml:space="preserve"> </w:t>
      </w:r>
      <w:r w:rsidRPr="00AB2736">
        <w:rPr>
          <w:rFonts w:eastAsia="Times New Roman" w:cs="Arial"/>
          <w:color w:val="000000"/>
          <w:szCs w:val="20"/>
          <w:lang w:eastAsia="bg-BG"/>
        </w:rPr>
        <w:t>на активния кетометаболит. Клиничното значение на тези открития не е установено. Когато топирамат се добави към терапия с пиоглитазон или пиоглитазон се добави към терапия с топирамат, трябва да се обърне особено внимание при рутинното мониториране на пациентите за постигане на адекватен контрол на тяхното диабетно заболяване.</w:t>
      </w:r>
    </w:p>
    <w:p w14:paraId="0CCD8995" w14:textId="77777777" w:rsidR="00AB2736" w:rsidRPr="00AB2736" w:rsidRDefault="00AB2736" w:rsidP="00AB2736">
      <w:pPr>
        <w:spacing w:line="240" w:lineRule="auto"/>
        <w:rPr>
          <w:rFonts w:eastAsia="Times New Roman" w:cs="Arial"/>
          <w:i/>
          <w:iCs/>
          <w:color w:val="000000"/>
          <w:szCs w:val="20"/>
          <w:lang w:eastAsia="bg-BG"/>
        </w:rPr>
      </w:pPr>
    </w:p>
    <w:p w14:paraId="5B50C09E" w14:textId="61C63AE0"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Глибурид</w:t>
      </w:r>
    </w:p>
    <w:p w14:paraId="79EDB484" w14:textId="184E0B75"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При проучване на взаимодействието лекарство-лекарство, проведено при</w:t>
      </w:r>
      <w:r w:rsidRPr="00AB2736">
        <w:rPr>
          <w:rFonts w:eastAsia="Times New Roman" w:cs="Arial"/>
          <w:color w:val="000000"/>
          <w:szCs w:val="20"/>
          <w:lang w:val="ru-RU"/>
        </w:rPr>
        <w:t xml:space="preserve"> </w:t>
      </w:r>
      <w:r w:rsidRPr="00AB2736">
        <w:rPr>
          <w:rFonts w:eastAsia="Times New Roman" w:cs="Arial"/>
          <w:color w:val="000000"/>
          <w:szCs w:val="20"/>
          <w:lang w:eastAsia="bg-BG"/>
        </w:rPr>
        <w:t>пациенти с диабет</w:t>
      </w:r>
      <w:r w:rsidRPr="00AB2736">
        <w:rPr>
          <w:rFonts w:eastAsia="Times New Roman" w:cs="Arial"/>
          <w:sz w:val="28"/>
          <w:szCs w:val="24"/>
          <w:lang w:val="ru-RU"/>
        </w:rPr>
        <w:t xml:space="preserve"> </w:t>
      </w:r>
      <w:r w:rsidRPr="00AB2736">
        <w:rPr>
          <w:rFonts w:eastAsia="Times New Roman" w:cs="Arial"/>
          <w:color w:val="000000"/>
          <w:szCs w:val="20"/>
          <w:lang w:eastAsia="bg-BG"/>
        </w:rPr>
        <w:t>тип 2, е оценена фармакокинетиката при плазмена концентрация в стационарно състояние на</w:t>
      </w:r>
      <w:r w:rsidRPr="00AB2736">
        <w:rPr>
          <w:rFonts w:eastAsia="Times New Roman" w:cs="Arial"/>
          <w:sz w:val="28"/>
          <w:szCs w:val="24"/>
          <w:lang w:val="ru-RU"/>
        </w:rPr>
        <w:t xml:space="preserve"> </w:t>
      </w:r>
      <w:r w:rsidRPr="00AB2736">
        <w:rPr>
          <w:rFonts w:eastAsia="Times New Roman" w:cs="Arial"/>
          <w:color w:val="000000"/>
          <w:szCs w:val="20"/>
          <w:lang w:eastAsia="bg-BG"/>
        </w:rPr>
        <w:t xml:space="preserve">глибурид (5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приложен самостоятелно и едновременно с топирамат (150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Наблюдава се 25% намаление на </w:t>
      </w:r>
      <w:r w:rsidRPr="00AB2736">
        <w:rPr>
          <w:rFonts w:eastAsia="Times New Roman" w:cs="Arial"/>
          <w:color w:val="000000"/>
          <w:szCs w:val="20"/>
          <w:lang w:val="en-US"/>
        </w:rPr>
        <w:t>AUC</w:t>
      </w:r>
      <w:r w:rsidRPr="00AB2736">
        <w:rPr>
          <w:rFonts w:eastAsia="Times New Roman" w:cs="Arial"/>
          <w:color w:val="000000"/>
          <w:szCs w:val="20"/>
          <w:vertAlign w:val="subscript"/>
          <w:lang w:val="ru-RU"/>
        </w:rPr>
        <w:t>24</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на глибурид по време на приложението на топирамат. Системната експозиция на активните метаболити -4-транс-хидрокси-глибурид </w:t>
      </w:r>
      <w:r w:rsidRPr="00AB2736">
        <w:rPr>
          <w:rFonts w:eastAsia="Times New Roman" w:cs="Arial"/>
          <w:color w:val="000000"/>
          <w:szCs w:val="20"/>
          <w:lang w:val="ru-RU"/>
        </w:rPr>
        <w:t>(</w:t>
      </w:r>
      <w:r w:rsidRPr="00AB2736">
        <w:rPr>
          <w:rFonts w:eastAsia="Times New Roman" w:cs="Arial"/>
          <w:color w:val="000000"/>
          <w:szCs w:val="20"/>
          <w:lang w:val="en-US"/>
        </w:rPr>
        <w:t>Ml</w:t>
      </w:r>
      <w:r w:rsidRPr="00AB2736">
        <w:rPr>
          <w:rFonts w:eastAsia="Times New Roman" w:cs="Arial"/>
          <w:color w:val="000000"/>
          <w:szCs w:val="20"/>
          <w:lang w:val="ru-RU"/>
        </w:rPr>
        <w:t xml:space="preserve">) </w:t>
      </w:r>
      <w:r w:rsidRPr="00AB2736">
        <w:rPr>
          <w:rFonts w:eastAsia="Times New Roman" w:cs="Arial"/>
          <w:color w:val="000000"/>
          <w:szCs w:val="20"/>
          <w:lang w:eastAsia="bg-BG"/>
        </w:rPr>
        <w:t>и З-цис-хидроксиглибурид (M2) също намалява с 13% и 15% съответно.</w:t>
      </w:r>
    </w:p>
    <w:p w14:paraId="2F331CA6"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Фармакокинетиката при плазмена концентрация в стационарно състояние на топирамат не се повлиява от едновременното му приложение с глибурид.</w:t>
      </w:r>
    </w:p>
    <w:p w14:paraId="0BC4A0D5" w14:textId="4945796E" w:rsidR="00AB2736" w:rsidRDefault="00AB2736" w:rsidP="00AB2736">
      <w:pPr>
        <w:rPr>
          <w:rFonts w:eastAsia="Times New Roman" w:cs="Arial"/>
          <w:color w:val="000000"/>
          <w:szCs w:val="20"/>
          <w:lang w:eastAsia="bg-BG"/>
        </w:rPr>
      </w:pPr>
      <w:r w:rsidRPr="00AB2736">
        <w:rPr>
          <w:rFonts w:eastAsia="Times New Roman" w:cs="Arial"/>
          <w:color w:val="000000"/>
          <w:szCs w:val="20"/>
          <w:lang w:eastAsia="bg-BG"/>
        </w:rPr>
        <w:t>Когато топирамат се добави към терапия с глибурид или глибурид се добави към терапия с топирамат, трябва да се обърне особено внимание при рутинното мониториране на пациентите за постигане на адекватен контрол на тяхното диабетно заболяване.</w:t>
      </w:r>
    </w:p>
    <w:p w14:paraId="09504DCD" w14:textId="68C566F8" w:rsidR="00AB2736" w:rsidRDefault="00AB2736" w:rsidP="00AB2736">
      <w:pPr>
        <w:rPr>
          <w:rFonts w:eastAsia="Times New Roman" w:cs="Arial"/>
          <w:color w:val="000000"/>
          <w:szCs w:val="20"/>
          <w:lang w:eastAsia="bg-BG"/>
        </w:rPr>
      </w:pPr>
    </w:p>
    <w:p w14:paraId="1D252C28" w14:textId="77777777" w:rsidR="00AB2736" w:rsidRPr="00AB2736" w:rsidRDefault="00AB2736" w:rsidP="00AB2736">
      <w:pPr>
        <w:spacing w:line="240" w:lineRule="auto"/>
        <w:rPr>
          <w:rFonts w:eastAsia="Times New Roman" w:cs="Arial"/>
          <w:sz w:val="28"/>
          <w:szCs w:val="24"/>
        </w:rPr>
      </w:pPr>
      <w:r w:rsidRPr="00AB2736">
        <w:rPr>
          <w:rFonts w:eastAsia="Times New Roman" w:cs="Arial"/>
          <w:b/>
          <w:bCs/>
          <w:color w:val="000000"/>
          <w:szCs w:val="20"/>
          <w:lang w:eastAsia="bg-BG"/>
        </w:rPr>
        <w:t>Други форми на взаимодействие</w:t>
      </w:r>
    </w:p>
    <w:p w14:paraId="5A6C7FD2" w14:textId="77777777" w:rsidR="00AB2736" w:rsidRPr="00AB2736" w:rsidRDefault="00AB2736" w:rsidP="00AB2736">
      <w:pPr>
        <w:spacing w:line="240" w:lineRule="auto"/>
        <w:rPr>
          <w:rFonts w:eastAsia="Times New Roman" w:cs="Arial"/>
          <w:i/>
          <w:iCs/>
          <w:color w:val="000000"/>
          <w:szCs w:val="20"/>
          <w:lang w:eastAsia="bg-BG"/>
        </w:rPr>
      </w:pPr>
    </w:p>
    <w:p w14:paraId="361BCAC8" w14:textId="051A3B95"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Лекарствени продукти, предразполагащи към нефролитиаза</w:t>
      </w:r>
    </w:p>
    <w:p w14:paraId="633F2E3D"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Топирамат, прилаган едновременно с други средства, предразполагащи към нефролитиаза, може да повиши риска от нефролитиаза. При лечение с топирамат подобни продукти трябва да се избягват, тъй като може да създадат физиологична среда, повишаваща риска от образуване на бъбречни камъни.</w:t>
      </w:r>
    </w:p>
    <w:p w14:paraId="6907FC1F" w14:textId="77777777" w:rsidR="00AB2736" w:rsidRPr="00AB2736" w:rsidRDefault="00AB2736" w:rsidP="00AB2736">
      <w:pPr>
        <w:spacing w:line="240" w:lineRule="auto"/>
        <w:rPr>
          <w:rFonts w:eastAsia="Times New Roman" w:cs="Arial"/>
          <w:i/>
          <w:iCs/>
          <w:color w:val="000000"/>
          <w:szCs w:val="20"/>
          <w:lang w:eastAsia="bg-BG"/>
        </w:rPr>
      </w:pPr>
    </w:p>
    <w:p w14:paraId="09DDB893" w14:textId="0F707A14"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Валпроева киселина</w:t>
      </w:r>
    </w:p>
    <w:p w14:paraId="19FE8DC9"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Едновременното приложение на топирамат и валпроева киселина се свързва с хиперамониемия със или без енцефалопатия при пациенти с поносимост към някой от двата лекарствени продукта, приложени самостоятелно. В много от случаите симптомите и признаците отшумяват след спирането на един от лекарствените продукти. Тази </w:t>
      </w:r>
      <w:r w:rsidRPr="00AB2736">
        <w:rPr>
          <w:rFonts w:eastAsia="Times New Roman" w:cs="Arial"/>
          <w:color w:val="000000"/>
          <w:szCs w:val="20"/>
          <w:lang w:eastAsia="bg-BG"/>
        </w:rPr>
        <w:lastRenderedPageBreak/>
        <w:t>нежелана реакция не се дължи на фармакокинетично взаимодействие. Не е установена връзка между хиперамониемията и монотерапията с топирамат или едновременното лечение с други антиепилептици.</w:t>
      </w:r>
    </w:p>
    <w:p w14:paraId="664DA032" w14:textId="77777777" w:rsidR="00AB2736" w:rsidRPr="00AB2736" w:rsidRDefault="00AB2736" w:rsidP="00AB2736">
      <w:pPr>
        <w:spacing w:line="240" w:lineRule="auto"/>
        <w:rPr>
          <w:rFonts w:eastAsia="Times New Roman" w:cs="Arial"/>
          <w:color w:val="000000"/>
          <w:szCs w:val="20"/>
          <w:lang w:eastAsia="bg-BG"/>
        </w:rPr>
      </w:pPr>
    </w:p>
    <w:p w14:paraId="55921C34" w14:textId="7C5BBC24"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Хипотермия, дефинирана като непреднамерено понижаване на температурата на тялото под 35°С е докладвана при едновременно приложение на топирамат и валпроева киселина, със или без наличие на хиперамониемия. Това нежелано събитие при пациенти, приемащи едновременно топирамат и валпроат може да възникне след началото на терапията с топирамат или след повишаване на дневната доза на топирамат.</w:t>
      </w:r>
    </w:p>
    <w:p w14:paraId="6EC0FAA0" w14:textId="77777777" w:rsidR="00AB2736" w:rsidRPr="00AB2736" w:rsidRDefault="00AB2736" w:rsidP="00AB2736">
      <w:pPr>
        <w:spacing w:line="240" w:lineRule="auto"/>
        <w:rPr>
          <w:rFonts w:eastAsia="Times New Roman" w:cs="Arial"/>
          <w:b/>
          <w:bCs/>
          <w:color w:val="000000"/>
          <w:szCs w:val="20"/>
          <w:lang w:eastAsia="bg-BG"/>
        </w:rPr>
      </w:pPr>
    </w:p>
    <w:p w14:paraId="6150DBF8" w14:textId="72602D91" w:rsidR="00AB2736" w:rsidRPr="00AB2736" w:rsidRDefault="00AB2736" w:rsidP="00AB2736">
      <w:pPr>
        <w:spacing w:line="240" w:lineRule="auto"/>
        <w:rPr>
          <w:rFonts w:eastAsia="Times New Roman" w:cs="Arial"/>
          <w:sz w:val="28"/>
          <w:szCs w:val="24"/>
        </w:rPr>
      </w:pPr>
      <w:r w:rsidRPr="00AB2736">
        <w:rPr>
          <w:rFonts w:eastAsia="Times New Roman" w:cs="Arial"/>
          <w:b/>
          <w:bCs/>
          <w:color w:val="000000"/>
          <w:szCs w:val="20"/>
          <w:lang w:eastAsia="bg-BG"/>
        </w:rPr>
        <w:t>Допълнителни фармакокинетични проучвания на лекарствени взаимодействия</w:t>
      </w:r>
    </w:p>
    <w:p w14:paraId="7ABB7734" w14:textId="77777777" w:rsidR="00AB2736" w:rsidRPr="00AB2736" w:rsidRDefault="00AB2736" w:rsidP="00AB2736">
      <w:pPr>
        <w:spacing w:line="240" w:lineRule="auto"/>
        <w:rPr>
          <w:rFonts w:eastAsia="Times New Roman" w:cs="Arial"/>
          <w:color w:val="000000"/>
          <w:szCs w:val="20"/>
          <w:lang w:eastAsia="bg-BG"/>
        </w:rPr>
      </w:pPr>
    </w:p>
    <w:p w14:paraId="76139434" w14:textId="4B078664"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Проведени са клинични изпитвания за оценка на потенциалните фармакокинетични лекарствени взаимодействия между топирамат и други лекарства. Промените в С</w:t>
      </w:r>
      <w:r w:rsidRPr="00AB2736">
        <w:rPr>
          <w:rFonts w:eastAsia="Times New Roman" w:cs="Arial"/>
          <w:color w:val="000000"/>
          <w:szCs w:val="20"/>
          <w:vertAlign w:val="subscript"/>
          <w:lang w:val="en-US"/>
        </w:rPr>
        <w:t>max</w:t>
      </w:r>
      <w:r w:rsidRPr="00AB2736">
        <w:rPr>
          <w:rFonts w:eastAsia="Times New Roman" w:cs="Arial"/>
          <w:color w:val="000000"/>
          <w:szCs w:val="20"/>
          <w:lang w:val="ru-RU"/>
        </w:rPr>
        <w:t xml:space="preserve"> </w:t>
      </w:r>
      <w:r w:rsidRPr="00AB2736">
        <w:rPr>
          <w:rFonts w:eastAsia="Times New Roman" w:cs="Arial"/>
          <w:color w:val="000000"/>
          <w:szCs w:val="20"/>
          <w:lang w:eastAsia="bg-BG"/>
        </w:rPr>
        <w:t>или</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в резултат на тези взаимодействия са обобщени по-долу. Във втората колона (концентрация на съпътстващото лекарство) е описано как се променя концентрацията на съпътстващото лекарство в първата колона след добавянето на топирамат. В третата колона (концентрация на топирамат) е описано как се променя концентрацията на топирамат при едновременното приложение с лекарство от първата колона.</w:t>
      </w:r>
    </w:p>
    <w:p w14:paraId="56EF7E68" w14:textId="5C0D61DB" w:rsidR="00AB2736" w:rsidRDefault="00AB2736" w:rsidP="00AB2736">
      <w:pPr>
        <w:rPr>
          <w:lang w:val="ru-RU"/>
        </w:rPr>
      </w:pPr>
    </w:p>
    <w:tbl>
      <w:tblPr>
        <w:tblStyle w:val="TableGrid"/>
        <w:tblW w:w="0" w:type="auto"/>
        <w:tblLook w:val="04A0" w:firstRow="1" w:lastRow="0" w:firstColumn="1" w:lastColumn="0" w:noHBand="0" w:noVBand="1"/>
      </w:tblPr>
      <w:tblGrid>
        <w:gridCol w:w="3127"/>
        <w:gridCol w:w="3114"/>
        <w:gridCol w:w="3109"/>
      </w:tblGrid>
      <w:tr w:rsidR="00B950CB" w14:paraId="30A076F6" w14:textId="77777777" w:rsidTr="00B950CB">
        <w:tc>
          <w:tcPr>
            <w:tcW w:w="9576" w:type="dxa"/>
            <w:gridSpan w:val="3"/>
          </w:tcPr>
          <w:p w14:paraId="66FDC5F7" w14:textId="44E0C982" w:rsidR="00B950CB" w:rsidRPr="00B950CB" w:rsidRDefault="00B950CB" w:rsidP="00AB2736">
            <w:pPr>
              <w:rPr>
                <w:lang w:val="ru-RU"/>
              </w:rPr>
            </w:pPr>
            <w:r w:rsidRPr="00B950CB">
              <w:rPr>
                <w:b/>
                <w:bCs/>
              </w:rPr>
              <w:t>Обобщени резултати от фармакокинетични проучвания на лекарствените взаимодействия</w:t>
            </w:r>
          </w:p>
        </w:tc>
      </w:tr>
      <w:tr w:rsidR="00B950CB" w14:paraId="11698B39" w14:textId="77777777" w:rsidTr="00AB2736">
        <w:tc>
          <w:tcPr>
            <w:tcW w:w="3192" w:type="dxa"/>
          </w:tcPr>
          <w:p w14:paraId="17009A3B" w14:textId="4E617F09" w:rsidR="00B950CB" w:rsidRPr="00B950CB" w:rsidRDefault="00B950CB" w:rsidP="00B950CB">
            <w:pPr>
              <w:rPr>
                <w:lang w:val="ru-RU"/>
              </w:rPr>
            </w:pPr>
            <w:r w:rsidRPr="00B950CB">
              <w:rPr>
                <w:b/>
                <w:bCs/>
              </w:rPr>
              <w:t>Съпътстващо лекарство</w:t>
            </w:r>
          </w:p>
        </w:tc>
        <w:tc>
          <w:tcPr>
            <w:tcW w:w="3192" w:type="dxa"/>
          </w:tcPr>
          <w:p w14:paraId="0D297B44" w14:textId="0D535177" w:rsidR="00B950CB" w:rsidRPr="00B950CB" w:rsidRDefault="00B950CB" w:rsidP="00B950CB">
            <w:pPr>
              <w:rPr>
                <w:lang w:val="ru-RU"/>
              </w:rPr>
            </w:pPr>
            <w:r w:rsidRPr="00B950CB">
              <w:rPr>
                <w:b/>
                <w:bCs/>
              </w:rPr>
              <w:t>Концентрация на съпътстващото лекарство“</w:t>
            </w:r>
          </w:p>
        </w:tc>
        <w:tc>
          <w:tcPr>
            <w:tcW w:w="3192" w:type="dxa"/>
          </w:tcPr>
          <w:p w14:paraId="0B6A8B2A" w14:textId="506909DC" w:rsidR="00B950CB" w:rsidRPr="00B950CB" w:rsidRDefault="00B950CB" w:rsidP="00B950CB">
            <w:pPr>
              <w:rPr>
                <w:lang w:val="ru-RU"/>
              </w:rPr>
            </w:pPr>
            <w:r w:rsidRPr="00B950CB">
              <w:rPr>
                <w:b/>
                <w:bCs/>
              </w:rPr>
              <w:t>Концентрация на топирамат</w:t>
            </w:r>
            <w:r w:rsidRPr="00B950CB">
              <w:rPr>
                <w:b/>
                <w:bCs/>
                <w:vertAlign w:val="superscript"/>
              </w:rPr>
              <w:t>а</w:t>
            </w:r>
          </w:p>
        </w:tc>
      </w:tr>
      <w:tr w:rsidR="00B950CB" w14:paraId="27A2079A" w14:textId="77777777" w:rsidTr="00AB2736">
        <w:tc>
          <w:tcPr>
            <w:tcW w:w="3192" w:type="dxa"/>
          </w:tcPr>
          <w:p w14:paraId="190ECFB1" w14:textId="68AC2FA3" w:rsidR="00B950CB" w:rsidRPr="00B950CB" w:rsidRDefault="00B950CB" w:rsidP="00B950CB">
            <w:pPr>
              <w:rPr>
                <w:lang w:val="ru-RU"/>
              </w:rPr>
            </w:pPr>
            <w:r w:rsidRPr="00B950CB">
              <w:t>Амитриптилин</w:t>
            </w:r>
          </w:p>
        </w:tc>
        <w:tc>
          <w:tcPr>
            <w:tcW w:w="3192" w:type="dxa"/>
          </w:tcPr>
          <w:p w14:paraId="684285CD" w14:textId="30AC5D94" w:rsidR="00B950CB" w:rsidRPr="00B950CB" w:rsidRDefault="00B950CB" w:rsidP="00B950CB">
            <w:pPr>
              <w:rPr>
                <w:lang w:val="ru-RU"/>
              </w:rPr>
            </w:pPr>
            <w:r w:rsidRPr="00B950CB">
              <w:t>↔ 20% увеличение на С</w:t>
            </w:r>
            <w:r w:rsidRPr="00B950CB">
              <w:rPr>
                <w:vertAlign w:val="subscript"/>
                <w:lang w:val="en-US"/>
              </w:rPr>
              <w:t>max</w:t>
            </w:r>
            <w:r w:rsidRPr="00B950CB">
              <w:t xml:space="preserve"> и </w:t>
            </w:r>
            <w:r w:rsidRPr="00B950CB">
              <w:rPr>
                <w:lang w:val="en-US"/>
              </w:rPr>
              <w:t>AUC</w:t>
            </w:r>
            <w:r w:rsidRPr="00B950CB">
              <w:rPr>
                <w:lang w:val="ru-RU"/>
              </w:rPr>
              <w:t xml:space="preserve"> </w:t>
            </w:r>
            <w:r w:rsidRPr="00B950CB">
              <w:t>на нортриптилин метаболит</w:t>
            </w:r>
          </w:p>
        </w:tc>
        <w:tc>
          <w:tcPr>
            <w:tcW w:w="3192" w:type="dxa"/>
          </w:tcPr>
          <w:p w14:paraId="5B13F4C5" w14:textId="5F8EB6AE" w:rsidR="00B950CB" w:rsidRPr="00B950CB" w:rsidRDefault="00B950CB" w:rsidP="00B950CB">
            <w:pPr>
              <w:rPr>
                <w:lang w:val="ru-RU"/>
              </w:rPr>
            </w:pPr>
            <w:r w:rsidRPr="00B950CB">
              <w:t>НП</w:t>
            </w:r>
          </w:p>
        </w:tc>
      </w:tr>
      <w:tr w:rsidR="00B950CB" w14:paraId="7F270B44" w14:textId="77777777" w:rsidTr="00AB2736">
        <w:tc>
          <w:tcPr>
            <w:tcW w:w="3192" w:type="dxa"/>
          </w:tcPr>
          <w:p w14:paraId="0E0A7737" w14:textId="010308BB" w:rsidR="00B950CB" w:rsidRPr="00B950CB" w:rsidRDefault="00B950CB" w:rsidP="00B950CB">
            <w:pPr>
              <w:rPr>
                <w:lang w:val="ru-RU"/>
              </w:rPr>
            </w:pPr>
            <w:r w:rsidRPr="00B950CB">
              <w:t>Дихидроерготамин (перорално и подкожно)</w:t>
            </w:r>
          </w:p>
        </w:tc>
        <w:tc>
          <w:tcPr>
            <w:tcW w:w="3192" w:type="dxa"/>
          </w:tcPr>
          <w:p w14:paraId="428C2B68" w14:textId="6C72A767" w:rsidR="00B950CB" w:rsidRPr="00B950CB" w:rsidRDefault="00B950CB" w:rsidP="00B950CB">
            <w:pPr>
              <w:rPr>
                <w:lang w:val="ru-RU"/>
              </w:rPr>
            </w:pPr>
            <w:r w:rsidRPr="00B950CB">
              <w:t>↔</w:t>
            </w:r>
          </w:p>
        </w:tc>
        <w:tc>
          <w:tcPr>
            <w:tcW w:w="3192" w:type="dxa"/>
          </w:tcPr>
          <w:p w14:paraId="166A17FD" w14:textId="058D007A" w:rsidR="00B950CB" w:rsidRPr="00B950CB" w:rsidRDefault="00B950CB" w:rsidP="00B950CB">
            <w:pPr>
              <w:rPr>
                <w:lang w:val="ru-RU"/>
              </w:rPr>
            </w:pPr>
            <w:r w:rsidRPr="00B950CB">
              <w:t>↔</w:t>
            </w:r>
          </w:p>
        </w:tc>
      </w:tr>
      <w:tr w:rsidR="00B950CB" w14:paraId="05D5C14B" w14:textId="77777777" w:rsidTr="00AB2736">
        <w:tc>
          <w:tcPr>
            <w:tcW w:w="3192" w:type="dxa"/>
          </w:tcPr>
          <w:p w14:paraId="17E81F0D" w14:textId="0D57F01C" w:rsidR="00B950CB" w:rsidRPr="00B950CB" w:rsidRDefault="00B950CB" w:rsidP="00B950CB">
            <w:pPr>
              <w:rPr>
                <w:lang w:val="ru-RU"/>
              </w:rPr>
            </w:pPr>
            <w:r w:rsidRPr="00B950CB">
              <w:t>Халоперидол</w:t>
            </w:r>
          </w:p>
        </w:tc>
        <w:tc>
          <w:tcPr>
            <w:tcW w:w="3192" w:type="dxa"/>
          </w:tcPr>
          <w:p w14:paraId="3EFBE634" w14:textId="01A326F6" w:rsidR="00B950CB" w:rsidRPr="00B950CB" w:rsidRDefault="00B950CB" w:rsidP="00B950CB">
            <w:pPr>
              <w:rPr>
                <w:lang w:val="ru-RU"/>
              </w:rPr>
            </w:pPr>
            <w:r w:rsidRPr="00B950CB">
              <w:t xml:space="preserve">↔ 31% увеличение на </w:t>
            </w:r>
            <w:r w:rsidRPr="00B950CB">
              <w:rPr>
                <w:lang w:val="en-US"/>
              </w:rPr>
              <w:t>AUC</w:t>
            </w:r>
            <w:r w:rsidRPr="00B950CB">
              <w:rPr>
                <w:lang w:val="ru-RU"/>
              </w:rPr>
              <w:t xml:space="preserve"> </w:t>
            </w:r>
            <w:r w:rsidRPr="00B950CB">
              <w:t>на редуцирания метаболит</w:t>
            </w:r>
          </w:p>
        </w:tc>
        <w:tc>
          <w:tcPr>
            <w:tcW w:w="3192" w:type="dxa"/>
          </w:tcPr>
          <w:p w14:paraId="60BB205F" w14:textId="6B1A551A" w:rsidR="00B950CB" w:rsidRPr="00B950CB" w:rsidRDefault="00B950CB" w:rsidP="00B950CB">
            <w:pPr>
              <w:rPr>
                <w:lang w:val="ru-RU"/>
              </w:rPr>
            </w:pPr>
            <w:r w:rsidRPr="00B950CB">
              <w:rPr>
                <w:rFonts w:cs="Arial"/>
                <w:w w:val="70"/>
              </w:rPr>
              <w:t>НП</w:t>
            </w:r>
          </w:p>
        </w:tc>
      </w:tr>
      <w:tr w:rsidR="00B950CB" w14:paraId="102A17EC" w14:textId="77777777" w:rsidTr="00AB2736">
        <w:tc>
          <w:tcPr>
            <w:tcW w:w="3192" w:type="dxa"/>
          </w:tcPr>
          <w:p w14:paraId="7465197C" w14:textId="6C3FA6F4" w:rsidR="00B950CB" w:rsidRPr="00B950CB" w:rsidRDefault="00B950CB" w:rsidP="00B950CB">
            <w:pPr>
              <w:rPr>
                <w:lang w:val="ru-RU"/>
              </w:rPr>
            </w:pPr>
            <w:r w:rsidRPr="00B950CB">
              <w:t>Пропанолол</w:t>
            </w:r>
          </w:p>
        </w:tc>
        <w:tc>
          <w:tcPr>
            <w:tcW w:w="3192" w:type="dxa"/>
          </w:tcPr>
          <w:p w14:paraId="658F8F93" w14:textId="60F4C238" w:rsidR="00B950CB" w:rsidRPr="00B950CB" w:rsidRDefault="00B950CB" w:rsidP="00B950CB">
            <w:pPr>
              <w:rPr>
                <w:lang w:val="ru-RU"/>
              </w:rPr>
            </w:pPr>
            <w:r w:rsidRPr="00B950CB">
              <w:t>↔ 17% увеличение на С</w:t>
            </w:r>
            <w:r w:rsidRPr="00B950CB">
              <w:rPr>
                <w:vertAlign w:val="subscript"/>
                <w:lang w:val="en-US"/>
              </w:rPr>
              <w:t>max</w:t>
            </w:r>
            <w:r w:rsidRPr="00B950CB">
              <w:rPr>
                <w:vertAlign w:val="subscript"/>
              </w:rPr>
              <w:t xml:space="preserve"> </w:t>
            </w:r>
            <w:r w:rsidRPr="00B950CB">
              <w:t xml:space="preserve">на 4-ОН пропранолол (ТРМ 50 </w:t>
            </w:r>
            <w:r w:rsidRPr="00B950CB">
              <w:rPr>
                <w:lang w:val="en-US"/>
              </w:rPr>
              <w:t>mg</w:t>
            </w:r>
            <w:r w:rsidRPr="00B950CB">
              <w:rPr>
                <w:lang w:val="ru-RU"/>
              </w:rPr>
              <w:t xml:space="preserve"> </w:t>
            </w:r>
            <w:r w:rsidRPr="00B950CB">
              <w:t>на всеки 12 часа)</w:t>
            </w:r>
          </w:p>
        </w:tc>
        <w:tc>
          <w:tcPr>
            <w:tcW w:w="3192" w:type="dxa"/>
          </w:tcPr>
          <w:p w14:paraId="2CB5DA1B" w14:textId="1E73D352" w:rsidR="00B950CB" w:rsidRPr="00B950CB" w:rsidRDefault="00B950CB" w:rsidP="00B950CB">
            <w:r w:rsidRPr="00B950CB">
              <w:t xml:space="preserve">9% и 16% увеличение на </w:t>
            </w:r>
            <w:proofErr w:type="spellStart"/>
            <w:r w:rsidRPr="00B950CB">
              <w:rPr>
                <w:lang w:val="en-US"/>
              </w:rPr>
              <w:t>C</w:t>
            </w:r>
            <w:r w:rsidRPr="00B950CB">
              <w:rPr>
                <w:vertAlign w:val="subscript"/>
                <w:lang w:val="en-US"/>
              </w:rPr>
              <w:t>max</w:t>
            </w:r>
            <w:proofErr w:type="spellEnd"/>
            <w:r w:rsidRPr="00B950CB">
              <w:rPr>
                <w:lang w:val="ru-RU"/>
              </w:rPr>
              <w:t xml:space="preserve">, 9% </w:t>
            </w:r>
            <w:r w:rsidRPr="00B950CB">
              <w:t xml:space="preserve">и 17%увеличение на </w:t>
            </w:r>
            <w:r w:rsidRPr="00B950CB">
              <w:rPr>
                <w:lang w:val="en-US"/>
              </w:rPr>
              <w:t>AUC</w:t>
            </w:r>
            <w:r w:rsidRPr="00B950CB">
              <w:t xml:space="preserve"> (респективно</w:t>
            </w:r>
            <w:r w:rsidRPr="00B950CB">
              <w:rPr>
                <w:lang w:val="ru-RU"/>
              </w:rPr>
              <w:t xml:space="preserve"> 40 </w:t>
            </w:r>
            <w:r w:rsidRPr="00B950CB">
              <w:t xml:space="preserve">и 80 </w:t>
            </w:r>
            <w:r w:rsidRPr="00B950CB">
              <w:rPr>
                <w:lang w:val="en-US"/>
              </w:rPr>
              <w:t>mg</w:t>
            </w:r>
          </w:p>
          <w:p w14:paraId="4F83D909" w14:textId="577D1240" w:rsidR="00B950CB" w:rsidRPr="00B950CB" w:rsidRDefault="00B950CB" w:rsidP="00B950CB">
            <w:pPr>
              <w:rPr>
                <w:lang w:val="ru-RU"/>
              </w:rPr>
            </w:pPr>
            <w:r w:rsidRPr="00B950CB">
              <w:t>пропранолол</w:t>
            </w:r>
            <w:r w:rsidRPr="00B950CB">
              <w:rPr>
                <w:lang w:val="en-US"/>
              </w:rPr>
              <w:t xml:space="preserve"> </w:t>
            </w:r>
            <w:r w:rsidRPr="00B950CB">
              <w:t>на всеки 12 часа)</w:t>
            </w:r>
          </w:p>
        </w:tc>
      </w:tr>
      <w:tr w:rsidR="00B950CB" w14:paraId="63F9B46A" w14:textId="77777777" w:rsidTr="00AB2736">
        <w:tc>
          <w:tcPr>
            <w:tcW w:w="3192" w:type="dxa"/>
          </w:tcPr>
          <w:p w14:paraId="39E4708F" w14:textId="39FAB053" w:rsidR="00B950CB" w:rsidRPr="00B950CB" w:rsidRDefault="00B950CB" w:rsidP="00B950CB">
            <w:pPr>
              <w:rPr>
                <w:lang w:val="ru-RU"/>
              </w:rPr>
            </w:pPr>
            <w:r w:rsidRPr="00B950CB">
              <w:t>Суматриптан (лерорално и подкожно)</w:t>
            </w:r>
          </w:p>
        </w:tc>
        <w:tc>
          <w:tcPr>
            <w:tcW w:w="3192" w:type="dxa"/>
          </w:tcPr>
          <w:p w14:paraId="0BBEDDCB" w14:textId="614B42FB" w:rsidR="00B950CB" w:rsidRPr="00B950CB" w:rsidRDefault="00B950CB" w:rsidP="00B950CB">
            <w:pPr>
              <w:rPr>
                <w:lang w:val="ru-RU"/>
              </w:rPr>
            </w:pPr>
            <w:r w:rsidRPr="00B950CB">
              <w:t>↔</w:t>
            </w:r>
          </w:p>
        </w:tc>
        <w:tc>
          <w:tcPr>
            <w:tcW w:w="3192" w:type="dxa"/>
          </w:tcPr>
          <w:p w14:paraId="344F5EEF" w14:textId="1F55876E" w:rsidR="00B950CB" w:rsidRPr="00B950CB" w:rsidRDefault="00B950CB" w:rsidP="00B950CB">
            <w:pPr>
              <w:rPr>
                <w:lang w:val="ru-RU"/>
              </w:rPr>
            </w:pPr>
            <w:r w:rsidRPr="00B950CB">
              <w:t>НП</w:t>
            </w:r>
          </w:p>
        </w:tc>
      </w:tr>
      <w:tr w:rsidR="00B950CB" w14:paraId="599EE560" w14:textId="77777777" w:rsidTr="00AB2736">
        <w:tc>
          <w:tcPr>
            <w:tcW w:w="3192" w:type="dxa"/>
          </w:tcPr>
          <w:p w14:paraId="7D8B2C2F" w14:textId="2F393E2F" w:rsidR="00B950CB" w:rsidRPr="00B950CB" w:rsidRDefault="00B950CB" w:rsidP="00B950CB">
            <w:pPr>
              <w:rPr>
                <w:lang w:val="ru-RU"/>
              </w:rPr>
            </w:pPr>
            <w:r w:rsidRPr="00B950CB">
              <w:t>Пизотифен</w:t>
            </w:r>
          </w:p>
        </w:tc>
        <w:tc>
          <w:tcPr>
            <w:tcW w:w="3192" w:type="dxa"/>
          </w:tcPr>
          <w:p w14:paraId="5F2AF392" w14:textId="421365E5" w:rsidR="00B950CB" w:rsidRPr="00B950CB" w:rsidRDefault="00B950CB" w:rsidP="00B950CB">
            <w:pPr>
              <w:rPr>
                <w:lang w:val="ru-RU"/>
              </w:rPr>
            </w:pPr>
            <w:r w:rsidRPr="00B950CB">
              <w:t>↔</w:t>
            </w:r>
          </w:p>
        </w:tc>
        <w:tc>
          <w:tcPr>
            <w:tcW w:w="3192" w:type="dxa"/>
          </w:tcPr>
          <w:p w14:paraId="0DCF027B" w14:textId="7D38CD57" w:rsidR="00B950CB" w:rsidRPr="00B950CB" w:rsidRDefault="00B950CB" w:rsidP="00B950CB">
            <w:pPr>
              <w:rPr>
                <w:lang w:val="ru-RU"/>
              </w:rPr>
            </w:pPr>
            <w:r w:rsidRPr="00B950CB">
              <w:t>↔</w:t>
            </w:r>
          </w:p>
        </w:tc>
      </w:tr>
      <w:tr w:rsidR="00B950CB" w14:paraId="5682058E" w14:textId="77777777" w:rsidTr="00AB2736">
        <w:tc>
          <w:tcPr>
            <w:tcW w:w="3192" w:type="dxa"/>
          </w:tcPr>
          <w:p w14:paraId="3FD272A9" w14:textId="072A89EE" w:rsidR="00B950CB" w:rsidRPr="00B950CB" w:rsidRDefault="00B950CB" w:rsidP="00B950CB">
            <w:pPr>
              <w:rPr>
                <w:lang w:val="ru-RU"/>
              </w:rPr>
            </w:pPr>
            <w:r w:rsidRPr="00B950CB">
              <w:t>Дилтиазем</w:t>
            </w:r>
          </w:p>
        </w:tc>
        <w:tc>
          <w:tcPr>
            <w:tcW w:w="3192" w:type="dxa"/>
          </w:tcPr>
          <w:p w14:paraId="07858E9F" w14:textId="05FA24BD" w:rsidR="00B950CB" w:rsidRPr="00B950CB" w:rsidRDefault="00B950CB" w:rsidP="00B950CB">
            <w:pPr>
              <w:rPr>
                <w:lang w:val="ru-RU"/>
              </w:rPr>
            </w:pPr>
            <w:r w:rsidRPr="00B950CB">
              <w:t xml:space="preserve">25% намаление на </w:t>
            </w:r>
            <w:r w:rsidRPr="00B950CB">
              <w:rPr>
                <w:lang w:val="en-US"/>
              </w:rPr>
              <w:t>AUC</w:t>
            </w:r>
            <w:r w:rsidRPr="00B950CB">
              <w:rPr>
                <w:lang w:val="ru-RU"/>
              </w:rPr>
              <w:t xml:space="preserve"> </w:t>
            </w:r>
            <w:r w:rsidRPr="00B950CB">
              <w:t>на дилтиазем и 18% намаление на ДЕА, ↔за ДЕМ*</w:t>
            </w:r>
          </w:p>
        </w:tc>
        <w:tc>
          <w:tcPr>
            <w:tcW w:w="3192" w:type="dxa"/>
          </w:tcPr>
          <w:p w14:paraId="29BD1958" w14:textId="68601FC1" w:rsidR="00B950CB" w:rsidRPr="00B950CB" w:rsidRDefault="00B950CB" w:rsidP="00B950CB">
            <w:pPr>
              <w:rPr>
                <w:lang w:val="ru-RU"/>
              </w:rPr>
            </w:pPr>
            <w:r w:rsidRPr="00B950CB">
              <w:t xml:space="preserve">20% увеличение на </w:t>
            </w:r>
            <w:r w:rsidRPr="00B950CB">
              <w:rPr>
                <w:lang w:val="en-US"/>
              </w:rPr>
              <w:t>AUC</w:t>
            </w:r>
          </w:p>
        </w:tc>
      </w:tr>
      <w:tr w:rsidR="00B950CB" w14:paraId="0A993B59" w14:textId="77777777" w:rsidTr="00AB2736">
        <w:tc>
          <w:tcPr>
            <w:tcW w:w="3192" w:type="dxa"/>
          </w:tcPr>
          <w:p w14:paraId="551C0874" w14:textId="4AAF18B0" w:rsidR="00B950CB" w:rsidRPr="00B950CB" w:rsidRDefault="00B950CB" w:rsidP="00B950CB">
            <w:pPr>
              <w:rPr>
                <w:lang w:val="ru-RU"/>
              </w:rPr>
            </w:pPr>
            <w:r w:rsidRPr="00B950CB">
              <w:t>Венлафаксин</w:t>
            </w:r>
          </w:p>
        </w:tc>
        <w:tc>
          <w:tcPr>
            <w:tcW w:w="3192" w:type="dxa"/>
          </w:tcPr>
          <w:p w14:paraId="2F7D2B40" w14:textId="3A52EF28" w:rsidR="00B950CB" w:rsidRPr="00B950CB" w:rsidRDefault="00B950CB" w:rsidP="00B950CB">
            <w:pPr>
              <w:rPr>
                <w:lang w:val="ru-RU"/>
              </w:rPr>
            </w:pPr>
            <w:r w:rsidRPr="00B950CB">
              <w:t>↔</w:t>
            </w:r>
          </w:p>
        </w:tc>
        <w:tc>
          <w:tcPr>
            <w:tcW w:w="3192" w:type="dxa"/>
          </w:tcPr>
          <w:p w14:paraId="6FF0F94F" w14:textId="1AAD957E" w:rsidR="00B950CB" w:rsidRPr="00B950CB" w:rsidRDefault="00B950CB" w:rsidP="00B950CB">
            <w:pPr>
              <w:rPr>
                <w:lang w:val="ru-RU"/>
              </w:rPr>
            </w:pPr>
            <w:r w:rsidRPr="00B950CB">
              <w:t>↔</w:t>
            </w:r>
          </w:p>
        </w:tc>
      </w:tr>
      <w:tr w:rsidR="00B950CB" w14:paraId="5B23EB25" w14:textId="77777777" w:rsidTr="00AB2736">
        <w:tc>
          <w:tcPr>
            <w:tcW w:w="3192" w:type="dxa"/>
          </w:tcPr>
          <w:p w14:paraId="33866B52" w14:textId="104CD2F3" w:rsidR="00B950CB" w:rsidRPr="00B950CB" w:rsidRDefault="00B950CB" w:rsidP="00B950CB">
            <w:pPr>
              <w:rPr>
                <w:lang w:val="ru-RU"/>
              </w:rPr>
            </w:pPr>
            <w:r w:rsidRPr="00B950CB">
              <w:lastRenderedPageBreak/>
              <w:t>Флунаризин</w:t>
            </w:r>
          </w:p>
        </w:tc>
        <w:tc>
          <w:tcPr>
            <w:tcW w:w="3192" w:type="dxa"/>
          </w:tcPr>
          <w:p w14:paraId="46D00626" w14:textId="6E457563" w:rsidR="00B950CB" w:rsidRPr="00B950CB" w:rsidRDefault="00B950CB" w:rsidP="00B950CB">
            <w:pPr>
              <w:rPr>
                <w:lang w:val="ru-RU"/>
              </w:rPr>
            </w:pPr>
            <w:r w:rsidRPr="00B950CB">
              <w:t xml:space="preserve">16% увеличение на </w:t>
            </w:r>
            <w:r w:rsidRPr="00B950CB">
              <w:rPr>
                <w:lang w:val="en-US"/>
              </w:rPr>
              <w:t>AUC</w:t>
            </w:r>
            <w:r w:rsidRPr="00B950CB">
              <w:rPr>
                <w:lang w:val="ru-RU"/>
              </w:rPr>
              <w:t xml:space="preserve"> </w:t>
            </w:r>
            <w:r w:rsidRPr="00B950CB">
              <w:t xml:space="preserve">(ТРМ 50 </w:t>
            </w:r>
            <w:r w:rsidRPr="00B950CB">
              <w:rPr>
                <w:lang w:val="en-US"/>
              </w:rPr>
              <w:t>mg</w:t>
            </w:r>
            <w:r w:rsidRPr="00B950CB">
              <w:rPr>
                <w:lang w:val="ru-RU"/>
              </w:rPr>
              <w:t xml:space="preserve"> </w:t>
            </w:r>
            <w:r w:rsidRPr="00B950CB">
              <w:t>на всеки 12 часа)</w:t>
            </w:r>
            <w:r w:rsidRPr="00B950CB">
              <w:rPr>
                <w:vertAlign w:val="superscript"/>
              </w:rPr>
              <w:t>6</w:t>
            </w:r>
          </w:p>
        </w:tc>
        <w:tc>
          <w:tcPr>
            <w:tcW w:w="3192" w:type="dxa"/>
          </w:tcPr>
          <w:p w14:paraId="3588C615" w14:textId="79B5513F" w:rsidR="00B950CB" w:rsidRPr="00B950CB" w:rsidRDefault="00B950CB" w:rsidP="00B950CB">
            <w:pPr>
              <w:rPr>
                <w:lang w:val="ru-RU"/>
              </w:rPr>
            </w:pPr>
            <w:r w:rsidRPr="00B950CB">
              <w:t>↔</w:t>
            </w:r>
          </w:p>
        </w:tc>
      </w:tr>
    </w:tbl>
    <w:p w14:paraId="136A56F7"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vertAlign w:val="superscript"/>
          <w:lang w:eastAsia="bg-BG"/>
        </w:rPr>
        <w:t>а</w:t>
      </w:r>
      <w:r w:rsidRPr="00B950CB">
        <w:rPr>
          <w:rFonts w:eastAsia="Times New Roman" w:cs="Arial"/>
          <w:color w:val="000000"/>
          <w:szCs w:val="20"/>
          <w:lang w:eastAsia="bg-BG"/>
        </w:rPr>
        <w:t>% стойности са промените в средните С</w:t>
      </w:r>
      <w:r w:rsidRPr="00B950CB">
        <w:rPr>
          <w:rFonts w:eastAsia="Times New Roman" w:cs="Arial"/>
          <w:color w:val="000000"/>
          <w:szCs w:val="20"/>
          <w:vertAlign w:val="subscript"/>
          <w:lang w:val="en-US"/>
        </w:rPr>
        <w:t>max</w:t>
      </w:r>
      <w:r w:rsidRPr="00B950CB">
        <w:rPr>
          <w:rFonts w:eastAsia="Times New Roman" w:cs="Arial"/>
          <w:color w:val="000000"/>
          <w:szCs w:val="20"/>
          <w:lang w:eastAsia="bg-BG"/>
        </w:rPr>
        <w:t xml:space="preserve"> и </w:t>
      </w:r>
      <w:r w:rsidRPr="00B950CB">
        <w:rPr>
          <w:rFonts w:eastAsia="Times New Roman" w:cs="Arial"/>
          <w:color w:val="000000"/>
          <w:szCs w:val="20"/>
          <w:lang w:val="en-US"/>
        </w:rPr>
        <w:t>AUC</w:t>
      </w:r>
      <w:r w:rsidRPr="00B950CB">
        <w:rPr>
          <w:rFonts w:eastAsia="Times New Roman" w:cs="Arial"/>
          <w:color w:val="000000"/>
          <w:szCs w:val="20"/>
          <w:lang w:val="ru-RU"/>
        </w:rPr>
        <w:t xml:space="preserve"> </w:t>
      </w:r>
      <w:r w:rsidRPr="00B950CB">
        <w:rPr>
          <w:rFonts w:eastAsia="Times New Roman" w:cs="Arial"/>
          <w:color w:val="000000"/>
          <w:szCs w:val="20"/>
          <w:lang w:eastAsia="bg-BG"/>
        </w:rPr>
        <w:t>при лечението в сравнение с монотерапия = липса на ефект върху С</w:t>
      </w:r>
      <w:r w:rsidRPr="00B950CB">
        <w:rPr>
          <w:rFonts w:eastAsia="Times New Roman" w:cs="Arial"/>
          <w:color w:val="000000"/>
          <w:szCs w:val="20"/>
          <w:vertAlign w:val="subscript"/>
          <w:lang w:val="en-US"/>
        </w:rPr>
        <w:t>max</w:t>
      </w:r>
      <w:r w:rsidRPr="00B950CB">
        <w:rPr>
          <w:rFonts w:eastAsia="Times New Roman" w:cs="Arial"/>
          <w:color w:val="000000"/>
          <w:szCs w:val="20"/>
          <w:lang w:eastAsia="bg-BG"/>
        </w:rPr>
        <w:t xml:space="preserve"> и </w:t>
      </w:r>
      <w:r w:rsidRPr="00B950CB">
        <w:rPr>
          <w:rFonts w:eastAsia="Times New Roman" w:cs="Arial"/>
          <w:color w:val="000000"/>
          <w:szCs w:val="20"/>
          <w:lang w:val="en-US"/>
        </w:rPr>
        <w:t>AUC</w:t>
      </w:r>
      <w:r w:rsidRPr="00B950CB">
        <w:rPr>
          <w:rFonts w:eastAsia="Times New Roman" w:cs="Arial"/>
          <w:color w:val="000000"/>
          <w:szCs w:val="20"/>
          <w:lang w:val="ru-RU"/>
        </w:rPr>
        <w:t xml:space="preserve"> </w:t>
      </w:r>
      <w:r w:rsidRPr="00B950CB">
        <w:rPr>
          <w:rFonts w:eastAsia="Times New Roman" w:cs="Arial"/>
          <w:color w:val="000000"/>
          <w:szCs w:val="20"/>
          <w:lang w:eastAsia="bg-BG"/>
        </w:rPr>
        <w:t>(≤15% промяна) на основното съединение</w:t>
      </w:r>
    </w:p>
    <w:p w14:paraId="719703D1"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НП = не е проучено</w:t>
      </w:r>
    </w:p>
    <w:p w14:paraId="497A4AB5"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*ДЕА = дезацетилдилтиазем, ДЕМ = </w:t>
      </w:r>
      <w:r w:rsidRPr="00B950CB">
        <w:rPr>
          <w:rFonts w:eastAsia="Times New Roman" w:cs="Arial"/>
          <w:color w:val="000000"/>
          <w:szCs w:val="20"/>
          <w:lang w:val="en-US"/>
        </w:rPr>
        <w:t>N</w:t>
      </w:r>
      <w:r w:rsidRPr="00B950CB">
        <w:rPr>
          <w:rFonts w:eastAsia="Times New Roman" w:cs="Arial"/>
          <w:color w:val="000000"/>
          <w:szCs w:val="20"/>
          <w:lang w:eastAsia="bg-BG"/>
        </w:rPr>
        <w:t>-демстилдилтиазем</w:t>
      </w:r>
    </w:p>
    <w:p w14:paraId="086FFE48" w14:textId="1784650C" w:rsidR="00AB2736" w:rsidRPr="00B950CB" w:rsidRDefault="00B950CB" w:rsidP="00B950CB">
      <w:pPr>
        <w:rPr>
          <w:rFonts w:eastAsia="Times New Roman" w:cs="Arial"/>
          <w:color w:val="000000"/>
          <w:szCs w:val="20"/>
          <w:lang w:eastAsia="bg-BG"/>
        </w:rPr>
      </w:pPr>
      <w:r w:rsidRPr="00B950CB">
        <w:rPr>
          <w:rFonts w:eastAsia="Times New Roman" w:cs="Arial"/>
          <w:color w:val="000000"/>
          <w:szCs w:val="20"/>
          <w:vertAlign w:val="superscript"/>
          <w:lang w:eastAsia="bg-BG"/>
        </w:rPr>
        <w:t>б</w:t>
      </w:r>
      <w:r w:rsidRPr="00B950CB">
        <w:rPr>
          <w:rFonts w:eastAsia="Times New Roman" w:cs="Arial"/>
          <w:color w:val="000000"/>
          <w:szCs w:val="20"/>
          <w:lang w:val="en-US"/>
        </w:rPr>
        <w:t>AUC</w:t>
      </w:r>
      <w:r w:rsidRPr="00B950CB">
        <w:rPr>
          <w:rFonts w:eastAsia="Times New Roman" w:cs="Arial"/>
          <w:color w:val="000000"/>
          <w:szCs w:val="20"/>
          <w:lang w:val="ru-RU"/>
        </w:rPr>
        <w:t xml:space="preserve"> </w:t>
      </w:r>
      <w:r w:rsidRPr="00B950CB">
        <w:rPr>
          <w:rFonts w:eastAsia="Times New Roman" w:cs="Arial"/>
          <w:color w:val="000000"/>
          <w:szCs w:val="20"/>
          <w:lang w:eastAsia="bg-BG"/>
        </w:rPr>
        <w:t>на флунаризин се увеличава с 14% при пациенти, приемащи флунаризин самостоятелно. Увеличената експозиция може да се обясни с кумулиране до достигането на стационарно състояние.</w:t>
      </w:r>
    </w:p>
    <w:p w14:paraId="4D2548D0" w14:textId="77777777" w:rsidR="00B950CB" w:rsidRPr="00AB2736" w:rsidRDefault="00B950CB" w:rsidP="00B950CB">
      <w:pPr>
        <w:rPr>
          <w:lang w:val="ru-RU"/>
        </w:rPr>
      </w:pPr>
    </w:p>
    <w:p w14:paraId="006BE4EC" w14:textId="1FEEF52F" w:rsidR="00DB32D3" w:rsidRDefault="002C50EE" w:rsidP="005726E3">
      <w:pPr>
        <w:pStyle w:val="Heading2"/>
      </w:pPr>
      <w:r>
        <w:t>4.6. Фертилитет, бременност и кърмене</w:t>
      </w:r>
    </w:p>
    <w:p w14:paraId="2D40DEB9" w14:textId="2CAD2019" w:rsidR="00B950CB" w:rsidRDefault="00B950CB" w:rsidP="00B950CB"/>
    <w:p w14:paraId="52AD99A7" w14:textId="77777777" w:rsidR="00B950CB" w:rsidRPr="00B950CB" w:rsidRDefault="00B950CB" w:rsidP="00B950CB">
      <w:pPr>
        <w:pStyle w:val="Heading3"/>
        <w:rPr>
          <w:rFonts w:eastAsia="Times New Roman"/>
          <w:sz w:val="28"/>
          <w:u w:val="single"/>
        </w:rPr>
      </w:pPr>
      <w:r w:rsidRPr="00B950CB">
        <w:rPr>
          <w:rFonts w:eastAsia="Times New Roman"/>
          <w:u w:val="single"/>
          <w:lang w:eastAsia="bg-BG"/>
        </w:rPr>
        <w:t>Бременност</w:t>
      </w:r>
    </w:p>
    <w:p w14:paraId="68EC6D6A"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Топирамат е тератогенен при мишки, плъхове и зайци (вж. точка 5.3). При плъхове топирамат преминава през плацентната бариера.</w:t>
      </w:r>
    </w:p>
    <w:p w14:paraId="4893DE3E" w14:textId="77777777" w:rsidR="00B950CB" w:rsidRPr="00B950CB" w:rsidRDefault="00B950CB" w:rsidP="00B950CB">
      <w:pPr>
        <w:spacing w:line="240" w:lineRule="auto"/>
        <w:rPr>
          <w:rFonts w:eastAsia="Times New Roman" w:cs="Arial"/>
          <w:color w:val="000000"/>
          <w:szCs w:val="20"/>
          <w:lang w:eastAsia="bg-BG"/>
        </w:rPr>
      </w:pPr>
    </w:p>
    <w:p w14:paraId="512E5BDD" w14:textId="05FCA6B3"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При хора топирамат преминава през плацентата, като се съобщават подобни концентрации в пъпната връв и майчината кръв.</w:t>
      </w:r>
    </w:p>
    <w:p w14:paraId="06CA68F3" w14:textId="77777777" w:rsidR="00B950CB" w:rsidRPr="00B950CB" w:rsidRDefault="00B950CB" w:rsidP="00B950CB">
      <w:pPr>
        <w:spacing w:line="240" w:lineRule="auto"/>
        <w:rPr>
          <w:rFonts w:eastAsia="Times New Roman" w:cs="Arial"/>
          <w:color w:val="000000"/>
          <w:szCs w:val="20"/>
          <w:lang w:eastAsia="bg-BG"/>
        </w:rPr>
      </w:pPr>
    </w:p>
    <w:p w14:paraId="7A871DC0" w14:textId="6BC1D9B8"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Данните от регистъра на бременностите на Великобритания и Северноамериканския регистър на бременностите за антиепилептични лекарства </w:t>
      </w:r>
      <w:r w:rsidRPr="00B950CB">
        <w:rPr>
          <w:rFonts w:eastAsia="Times New Roman" w:cs="Arial"/>
          <w:color w:val="000000"/>
          <w:szCs w:val="20"/>
          <w:lang w:val="ru-RU"/>
        </w:rPr>
        <w:t>(</w:t>
      </w:r>
      <w:r w:rsidRPr="00B950CB">
        <w:rPr>
          <w:rFonts w:eastAsia="Times New Roman" w:cs="Arial"/>
          <w:color w:val="000000"/>
          <w:szCs w:val="20"/>
          <w:lang w:val="en-US"/>
        </w:rPr>
        <w:t>North</w:t>
      </w:r>
      <w:r w:rsidRPr="00B950CB">
        <w:rPr>
          <w:rFonts w:eastAsia="Times New Roman" w:cs="Arial"/>
          <w:color w:val="000000"/>
          <w:szCs w:val="20"/>
          <w:lang w:val="ru-RU"/>
        </w:rPr>
        <w:t xml:space="preserve"> </w:t>
      </w:r>
      <w:r w:rsidRPr="00B950CB">
        <w:rPr>
          <w:rFonts w:eastAsia="Times New Roman" w:cs="Arial"/>
          <w:color w:val="000000"/>
          <w:szCs w:val="20"/>
          <w:lang w:val="en-US"/>
        </w:rPr>
        <w:t>American</w:t>
      </w:r>
      <w:r w:rsidRPr="00B950CB">
        <w:rPr>
          <w:rFonts w:eastAsia="Times New Roman" w:cs="Arial"/>
          <w:color w:val="000000"/>
          <w:szCs w:val="20"/>
          <w:lang w:val="ru-RU"/>
        </w:rPr>
        <w:t xml:space="preserve"> </w:t>
      </w:r>
      <w:r w:rsidRPr="00B950CB">
        <w:rPr>
          <w:rFonts w:eastAsia="Times New Roman" w:cs="Arial"/>
          <w:color w:val="000000"/>
          <w:szCs w:val="20"/>
          <w:lang w:val="en-US"/>
        </w:rPr>
        <w:t>Antiepileptic</w:t>
      </w:r>
      <w:r w:rsidRPr="00B950CB">
        <w:rPr>
          <w:rFonts w:eastAsia="Times New Roman" w:cs="Arial"/>
          <w:color w:val="000000"/>
          <w:szCs w:val="20"/>
          <w:lang w:val="ru-RU"/>
        </w:rPr>
        <w:t xml:space="preserve"> </w:t>
      </w:r>
      <w:r w:rsidRPr="00B950CB">
        <w:rPr>
          <w:rFonts w:eastAsia="Times New Roman" w:cs="Arial"/>
          <w:color w:val="000000"/>
          <w:szCs w:val="20"/>
          <w:lang w:val="en-US"/>
        </w:rPr>
        <w:t>Drug</w:t>
      </w:r>
      <w:r w:rsidRPr="00B950CB">
        <w:rPr>
          <w:rFonts w:eastAsia="Times New Roman" w:cs="Arial"/>
          <w:color w:val="000000"/>
          <w:szCs w:val="20"/>
          <w:lang w:val="ru-RU"/>
        </w:rPr>
        <w:t xml:space="preserve"> </w:t>
      </w:r>
      <w:r w:rsidRPr="00B950CB">
        <w:rPr>
          <w:rFonts w:eastAsia="Times New Roman" w:cs="Arial"/>
          <w:color w:val="000000"/>
          <w:szCs w:val="20"/>
          <w:lang w:val="en-US"/>
        </w:rPr>
        <w:t>pregnancy</w:t>
      </w:r>
      <w:r w:rsidRPr="00B950CB">
        <w:rPr>
          <w:rFonts w:eastAsia="Times New Roman" w:cs="Arial"/>
          <w:color w:val="000000"/>
          <w:szCs w:val="20"/>
          <w:lang w:val="ru-RU"/>
        </w:rPr>
        <w:t xml:space="preserve"> </w:t>
      </w:r>
      <w:r w:rsidRPr="00B950CB">
        <w:rPr>
          <w:rFonts w:eastAsia="Times New Roman" w:cs="Arial"/>
          <w:color w:val="000000"/>
          <w:szCs w:val="20"/>
          <w:lang w:val="en-US"/>
        </w:rPr>
        <w:t>registry</w:t>
      </w:r>
      <w:r w:rsidRPr="00B950CB">
        <w:rPr>
          <w:rFonts w:eastAsia="Times New Roman" w:cs="Arial"/>
          <w:color w:val="000000"/>
          <w:szCs w:val="20"/>
          <w:lang w:val="ru-RU"/>
        </w:rPr>
        <w:t xml:space="preserve">, </w:t>
      </w:r>
      <w:r w:rsidRPr="00B950CB">
        <w:rPr>
          <w:rFonts w:eastAsia="Times New Roman" w:cs="Arial"/>
          <w:color w:val="000000"/>
          <w:szCs w:val="20"/>
          <w:lang w:val="en-US"/>
        </w:rPr>
        <w:t>NAAED</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показват, че експозицията при монотерапия с топирамат през първия триместър на бременността води до повишен риск от вродени малформации при новородени (напр. краниофациални деформации, като разцепена устна/небце, хипоспадия и аномалии в различни системи на организма). Данните от регистъра на бременностите </w:t>
      </w:r>
      <w:r w:rsidRPr="00B950CB">
        <w:rPr>
          <w:rFonts w:eastAsia="Times New Roman" w:cs="Arial"/>
          <w:color w:val="000000"/>
          <w:szCs w:val="20"/>
          <w:lang w:val="ru-RU"/>
        </w:rPr>
        <w:t>(</w:t>
      </w:r>
      <w:r w:rsidRPr="00B950CB">
        <w:rPr>
          <w:rFonts w:eastAsia="Times New Roman" w:cs="Arial"/>
          <w:color w:val="000000"/>
          <w:szCs w:val="20"/>
          <w:lang w:val="en-US"/>
        </w:rPr>
        <w:t>NAAED</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за монотерапия с топирамат показват приблизително 3 пъти по-висока честота на големи вродени малформации (4,3%), </w:t>
      </w:r>
      <w:r w:rsidRPr="00B950CB">
        <w:rPr>
          <w:rFonts w:eastAsia="Times New Roman" w:cs="Arial"/>
          <w:i/>
          <w:iCs/>
          <w:color w:val="000000"/>
          <w:szCs w:val="20"/>
          <w:lang w:eastAsia="bg-BG"/>
        </w:rPr>
        <w:t>в</w:t>
      </w:r>
      <w:r w:rsidRPr="00B950CB">
        <w:rPr>
          <w:rFonts w:eastAsia="Times New Roman" w:cs="Arial"/>
          <w:color w:val="000000"/>
          <w:szCs w:val="20"/>
          <w:lang w:eastAsia="bg-BG"/>
        </w:rPr>
        <w:t xml:space="preserve"> сравнение с референтната група, която не е приемала антиепилептични лекарства (1,4%). Освен това в сравнение с референтната група след лечение с топирамат има по-висока честота на ниско тегло при раждане (&lt; 2 500 </w:t>
      </w:r>
      <w:r w:rsidRPr="00B950CB">
        <w:rPr>
          <w:rFonts w:eastAsia="Times New Roman" w:cs="Arial"/>
          <w:color w:val="000000"/>
          <w:szCs w:val="20"/>
          <w:lang w:val="en-US"/>
        </w:rPr>
        <w:t>g</w:t>
      </w:r>
      <w:r w:rsidRPr="00B950CB">
        <w:rPr>
          <w:rFonts w:eastAsia="Times New Roman" w:cs="Arial"/>
          <w:color w:val="000000"/>
          <w:szCs w:val="20"/>
          <w:lang w:val="ru-RU"/>
        </w:rPr>
        <w:t>).</w:t>
      </w:r>
    </w:p>
    <w:p w14:paraId="21D4F0DB" w14:textId="77777777" w:rsidR="00B950CB" w:rsidRPr="00B950CB" w:rsidRDefault="00B950CB" w:rsidP="00B950CB">
      <w:pPr>
        <w:spacing w:line="240" w:lineRule="auto"/>
        <w:rPr>
          <w:rFonts w:eastAsia="Times New Roman" w:cs="Arial"/>
          <w:color w:val="000000"/>
          <w:szCs w:val="20"/>
          <w:lang w:eastAsia="bg-BG"/>
        </w:rPr>
      </w:pPr>
    </w:p>
    <w:p w14:paraId="2C8D413E" w14:textId="1E28E48E"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В допълнение резултатите от тези и други проучвания показват, че в сравнение с монотерапията съществува повишен риск от тератогенни ефекти, свързани с употребата на антиепилептични средства в комбинирана терапия. Съобщава се, че рискът е дозозависим; наблюдавани са ефекти при всички дози. При жени, лекувани с топирамат, които са родили дете с вродена малформация, изглежда има повишен риск от малформации при последващи бременности с експозиция на топирамат.</w:t>
      </w:r>
    </w:p>
    <w:p w14:paraId="15C67D21" w14:textId="77777777" w:rsidR="00B950CB" w:rsidRPr="00B950CB" w:rsidRDefault="00B950CB" w:rsidP="00B950CB">
      <w:pPr>
        <w:spacing w:line="240" w:lineRule="auto"/>
        <w:rPr>
          <w:rFonts w:eastAsia="Times New Roman" w:cs="Arial"/>
          <w:color w:val="000000"/>
          <w:szCs w:val="20"/>
          <w:lang w:eastAsia="bg-BG"/>
        </w:rPr>
      </w:pPr>
    </w:p>
    <w:p w14:paraId="420CAFFB" w14:textId="0128D02A"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Жени с детероден потенциал трябва да използват ефективна контрацепция и да обсъдят алтернативни терапевтични възможности.</w:t>
      </w:r>
    </w:p>
    <w:p w14:paraId="75BC41AD" w14:textId="77777777" w:rsidR="00B950CB" w:rsidRPr="00B950CB" w:rsidRDefault="00B950CB" w:rsidP="00B950CB">
      <w:pPr>
        <w:spacing w:line="240" w:lineRule="auto"/>
        <w:rPr>
          <w:rFonts w:eastAsia="Times New Roman" w:cs="Arial"/>
          <w:i/>
          <w:iCs/>
          <w:color w:val="000000"/>
          <w:szCs w:val="20"/>
          <w:lang w:eastAsia="bg-BG"/>
        </w:rPr>
      </w:pPr>
    </w:p>
    <w:p w14:paraId="7BC7FC75" w14:textId="7ABB125C" w:rsidR="00B950CB" w:rsidRPr="00B950CB" w:rsidRDefault="00B950CB" w:rsidP="00B950CB">
      <w:pPr>
        <w:spacing w:line="240" w:lineRule="auto"/>
        <w:rPr>
          <w:rFonts w:eastAsia="Times New Roman" w:cs="Arial"/>
          <w:sz w:val="28"/>
          <w:szCs w:val="24"/>
        </w:rPr>
      </w:pPr>
      <w:r w:rsidRPr="00B950CB">
        <w:rPr>
          <w:rFonts w:eastAsia="Times New Roman" w:cs="Arial"/>
          <w:i/>
          <w:iCs/>
          <w:color w:val="000000"/>
          <w:szCs w:val="20"/>
          <w:lang w:eastAsia="bg-BG"/>
        </w:rPr>
        <w:t>Показание епилепсия</w:t>
      </w:r>
    </w:p>
    <w:p w14:paraId="422D1142"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Топирамат трябва да се предписва по време на бременност след подробно информи</w:t>
      </w:r>
      <w:r w:rsidRPr="00B950CB">
        <w:rPr>
          <w:rFonts w:eastAsia="Times New Roman" w:cs="Arial"/>
          <w:color w:val="000000"/>
          <w:szCs w:val="20"/>
          <w:u w:val="single"/>
          <w:lang w:eastAsia="bg-BG"/>
        </w:rPr>
        <w:t>ране на</w:t>
      </w:r>
      <w:r w:rsidRPr="00B950CB">
        <w:rPr>
          <w:rFonts w:eastAsia="Times New Roman" w:cs="Arial"/>
          <w:color w:val="000000"/>
          <w:szCs w:val="20"/>
          <w:lang w:eastAsia="bg-BG"/>
        </w:rPr>
        <w:t xml:space="preserve"> жените за известните рискове от неконтролираната епилепсия върху бременността и  потенциалния риск от лекарственото вещество върху плода.</w:t>
      </w:r>
    </w:p>
    <w:p w14:paraId="55FBFB73" w14:textId="77777777" w:rsidR="00B950CB" w:rsidRPr="00B950CB" w:rsidRDefault="00B950CB" w:rsidP="00B950CB">
      <w:pPr>
        <w:spacing w:line="240" w:lineRule="auto"/>
        <w:rPr>
          <w:rFonts w:eastAsia="Times New Roman" w:cs="Arial"/>
          <w:sz w:val="28"/>
          <w:szCs w:val="24"/>
        </w:rPr>
      </w:pPr>
    </w:p>
    <w:p w14:paraId="3EEA48E3" w14:textId="77777777" w:rsidR="00B950CB" w:rsidRPr="00B950CB" w:rsidRDefault="00B950CB" w:rsidP="00B950CB">
      <w:pPr>
        <w:spacing w:line="240" w:lineRule="auto"/>
        <w:rPr>
          <w:rFonts w:eastAsia="Times New Roman" w:cs="Arial"/>
          <w:sz w:val="28"/>
          <w:szCs w:val="24"/>
        </w:rPr>
      </w:pPr>
      <w:r w:rsidRPr="00B950CB">
        <w:rPr>
          <w:rFonts w:eastAsia="Times New Roman" w:cs="Arial"/>
          <w:i/>
          <w:iCs/>
          <w:color w:val="000000"/>
          <w:szCs w:val="20"/>
          <w:lang w:eastAsia="bg-BG"/>
        </w:rPr>
        <w:t>Показание профилактика на мигрена</w:t>
      </w:r>
    </w:p>
    <w:p w14:paraId="08B51E1A" w14:textId="6BD003EC" w:rsidR="00B950CB" w:rsidRPr="00B950CB" w:rsidRDefault="00B950CB" w:rsidP="00B950CB">
      <w:pPr>
        <w:rPr>
          <w:rFonts w:eastAsia="Times New Roman" w:cs="Arial"/>
          <w:color w:val="000000"/>
          <w:szCs w:val="20"/>
          <w:lang w:eastAsia="bg-BG"/>
        </w:rPr>
      </w:pPr>
      <w:r w:rsidRPr="00B950CB">
        <w:rPr>
          <w:rFonts w:eastAsia="Times New Roman" w:cs="Arial"/>
          <w:color w:val="000000"/>
          <w:szCs w:val="20"/>
          <w:lang w:eastAsia="bg-BG"/>
        </w:rPr>
        <w:lastRenderedPageBreak/>
        <w:t>Топирамат е противопоказан по време на бременност и при жени с детероден потенциал, ако не използват методи за ефективна контрацепция (вж. точки 4.3 и 4.5).</w:t>
      </w:r>
    </w:p>
    <w:p w14:paraId="263366B4" w14:textId="1CF7C582" w:rsidR="00B950CB" w:rsidRPr="00B950CB" w:rsidRDefault="00B950CB" w:rsidP="00B950CB">
      <w:pPr>
        <w:rPr>
          <w:rFonts w:eastAsia="Times New Roman" w:cs="Arial"/>
          <w:color w:val="000000"/>
          <w:szCs w:val="20"/>
          <w:lang w:eastAsia="bg-BG"/>
        </w:rPr>
      </w:pPr>
    </w:p>
    <w:p w14:paraId="274B369E" w14:textId="77777777" w:rsidR="00B950CB" w:rsidRPr="00B950CB" w:rsidRDefault="00B950CB" w:rsidP="00B950CB">
      <w:pPr>
        <w:pStyle w:val="Heading3"/>
        <w:rPr>
          <w:rFonts w:eastAsia="Times New Roman"/>
          <w:sz w:val="28"/>
          <w:u w:val="single"/>
        </w:rPr>
      </w:pPr>
      <w:r w:rsidRPr="00B950CB">
        <w:rPr>
          <w:rFonts w:eastAsia="Times New Roman"/>
          <w:u w:val="single"/>
          <w:lang w:eastAsia="bg-BG"/>
        </w:rPr>
        <w:t>Кърмене</w:t>
      </w:r>
    </w:p>
    <w:p w14:paraId="0B7B1EB9"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Проучванията при животни показват, че топирамат се екскретира в кърмата. Екскрецията на топирамат в кърмата при хора не е изследвана в контролирани проучвания. Ограничени наблюдения при пациентки предполагат висока степен на екскреция на топирамат в кърмата. Ефектите, наблюдавани при естествено хранени новородени/кърмачета на лекувани майки, включват диария, сънливост, раздразнителност и недостатъчно наддаване на тегло. Поради това трябва да се вземе решение дали да се преустанови кърменето или да се преустанови/да не се приложи терапия с топирамат, като се вземе предвид ползата от лекарствения продукт за майката (вж. точка 4.4).</w:t>
      </w:r>
    </w:p>
    <w:p w14:paraId="6860D5F4" w14:textId="77777777" w:rsidR="00B950CB" w:rsidRPr="00B950CB" w:rsidRDefault="00B950CB" w:rsidP="00B950CB">
      <w:pPr>
        <w:rPr>
          <w:rFonts w:ascii="Times New Roman" w:eastAsia="Times New Roman" w:hAnsi="Times New Roman" w:cs="Times New Roman"/>
          <w:color w:val="000000"/>
          <w:sz w:val="20"/>
          <w:szCs w:val="20"/>
          <w:lang w:eastAsia="bg-BG"/>
        </w:rPr>
      </w:pPr>
    </w:p>
    <w:p w14:paraId="128BA3A8" w14:textId="33045C27" w:rsidR="00DB32D3" w:rsidRDefault="002C50EE" w:rsidP="005726E3">
      <w:pPr>
        <w:pStyle w:val="Heading2"/>
      </w:pPr>
      <w:r>
        <w:t>4.7. Ефекти върху способността за шофиране и работа с машини</w:t>
      </w:r>
    </w:p>
    <w:p w14:paraId="49500F65" w14:textId="1F6B7D9F" w:rsidR="00B950CB" w:rsidRDefault="00B950CB" w:rsidP="00B950CB"/>
    <w:p w14:paraId="79BEEDC3" w14:textId="08225726" w:rsidR="00B950CB" w:rsidRDefault="00B950CB" w:rsidP="00B950CB">
      <w:r>
        <w:t>Топирамат оказва незначително или умерено влияние върху способността за шофиране и работа с машини. Топирамат действа върху централната нервна система и може да стане причина за поява на сънливост, замайване и други подобни симптоми. Може да причини също така нарушения на зрението и/или замъглено виждане. Тези нежелани реакции може да се окажат потенциално опасни при шофиране или работа с машини, особено докато не се определи индивидуалната реакция на всеки пациент към лекарствения продукт.</w:t>
      </w:r>
    </w:p>
    <w:p w14:paraId="28760DEB" w14:textId="77777777" w:rsidR="00B950CB" w:rsidRPr="00B950CB" w:rsidRDefault="00B950CB" w:rsidP="00B950CB"/>
    <w:p w14:paraId="44CE30A3" w14:textId="5400C44A" w:rsidR="007122AD" w:rsidRDefault="002C50EE" w:rsidP="00936AD0">
      <w:pPr>
        <w:pStyle w:val="Heading2"/>
      </w:pPr>
      <w:r>
        <w:t>4.8. Нежелани лекарствени реакции</w:t>
      </w:r>
    </w:p>
    <w:p w14:paraId="3C773582" w14:textId="444C81E9" w:rsidR="00B950CB" w:rsidRDefault="00B950CB" w:rsidP="00B950CB"/>
    <w:p w14:paraId="062E01DB"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Безопасността на топирамат е определена от база данни на клинични изпитвания с 4 111 пациенти (3 182 на топирамат и 929 на плацебо), взели участие в 20 двойно-слепи изпитвания и съответно 2 847 пациенти, взели участие в 34 открити изпитвания на топирамат като допълнително лечение на първично генерализирани тонично-клонични гърчове, парциални пристъпи, припадъци, свързани със синдрома на </w:t>
      </w:r>
      <w:r w:rsidRPr="00B950CB">
        <w:rPr>
          <w:rFonts w:eastAsia="Times New Roman" w:cs="Arial"/>
          <w:color w:val="000000"/>
          <w:szCs w:val="20"/>
          <w:lang w:val="en-US"/>
        </w:rPr>
        <w:t>Lennox</w:t>
      </w:r>
      <w:r w:rsidRPr="00B950CB">
        <w:rPr>
          <w:rFonts w:eastAsia="Times New Roman" w:cs="Arial"/>
          <w:color w:val="000000"/>
          <w:szCs w:val="20"/>
          <w:lang w:val="ru-RU"/>
        </w:rPr>
        <w:t>-</w:t>
      </w:r>
      <w:proofErr w:type="spellStart"/>
      <w:r w:rsidRPr="00B950CB">
        <w:rPr>
          <w:rFonts w:eastAsia="Times New Roman" w:cs="Arial"/>
          <w:color w:val="000000"/>
          <w:szCs w:val="20"/>
          <w:lang w:val="en-US"/>
        </w:rPr>
        <w:t>Gastaut</w:t>
      </w:r>
      <w:proofErr w:type="spellEnd"/>
      <w:r w:rsidRPr="00B950CB">
        <w:rPr>
          <w:rFonts w:eastAsia="Times New Roman" w:cs="Arial"/>
          <w:color w:val="000000"/>
          <w:szCs w:val="20"/>
          <w:lang w:val="ru-RU"/>
        </w:rPr>
        <w:t xml:space="preserve">, </w:t>
      </w:r>
      <w:r w:rsidRPr="00B950CB">
        <w:rPr>
          <w:rFonts w:eastAsia="Times New Roman" w:cs="Arial"/>
          <w:color w:val="000000"/>
          <w:szCs w:val="20"/>
          <w:lang w:eastAsia="bg-BG"/>
        </w:rPr>
        <w:t>монотерапия за ново- или наскоро диагностицирани случаи на епилепсия и профилактика на мигрена. Голяма част от нежеланите реакции са леки до умерени. Лекарствените реакции, наблюдавани в клиничните изпитвания и при постмаркетингов опит (както е указано с са изброени по честота на поява в клиничните изпитвания в Таблица 1. Критериите за честота са следните:</w:t>
      </w:r>
    </w:p>
    <w:p w14:paraId="5369E13A" w14:textId="77777777" w:rsidR="00B950CB" w:rsidRPr="00B950CB" w:rsidRDefault="00B950CB" w:rsidP="00B950CB">
      <w:pPr>
        <w:spacing w:line="240" w:lineRule="auto"/>
        <w:rPr>
          <w:rFonts w:eastAsia="Times New Roman" w:cs="Arial"/>
          <w:color w:val="000000"/>
          <w:szCs w:val="20"/>
          <w:lang w:eastAsia="bg-BG"/>
        </w:rPr>
      </w:pPr>
    </w:p>
    <w:p w14:paraId="2E09EC3A" w14:textId="6EEB495A"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Най-често срещаните нежелани реакции (с честота &gt; 5% и повече в сравнение с наблюдаваните при плацебо по най-малко едно показание в двойно слепи контролирани проучвания с топирамат) са: анорексия, намален апетит, брадифрения, депресия, нарушена способност за изразяване, безсъние, нарушена координация, затруднена концентрация, замайване, дизартрия, дизгеузия, хипоестезия, летаргия, нарушения на паметта, нистагъм, парестезия, сомнолентност, тремор, диплопия, замъглено виждане, диария, гадене, умора, раздразнителност и намалено тегло.</w:t>
      </w:r>
    </w:p>
    <w:p w14:paraId="30276001" w14:textId="77777777" w:rsidR="00B950CB" w:rsidRPr="00B950CB" w:rsidRDefault="00B950CB" w:rsidP="00B950CB">
      <w:pPr>
        <w:spacing w:line="240" w:lineRule="auto"/>
        <w:rPr>
          <w:rFonts w:eastAsia="Times New Roman" w:cs="Arial"/>
          <w:b/>
          <w:bCs/>
          <w:color w:val="000000"/>
          <w:szCs w:val="20"/>
          <w:lang w:eastAsia="bg-BG"/>
        </w:rPr>
      </w:pPr>
    </w:p>
    <w:p w14:paraId="4DB8335A" w14:textId="1FF25EB1" w:rsidR="00B950CB" w:rsidRPr="00B950CB" w:rsidRDefault="00B950CB" w:rsidP="00B950CB">
      <w:pPr>
        <w:spacing w:line="240" w:lineRule="auto"/>
        <w:rPr>
          <w:rFonts w:eastAsia="Times New Roman" w:cs="Arial"/>
          <w:sz w:val="28"/>
          <w:szCs w:val="24"/>
        </w:rPr>
      </w:pPr>
      <w:r w:rsidRPr="00B950CB">
        <w:rPr>
          <w:rFonts w:eastAsia="Times New Roman" w:cs="Arial"/>
          <w:b/>
          <w:bCs/>
          <w:color w:val="000000"/>
          <w:szCs w:val="20"/>
          <w:lang w:eastAsia="bg-BG"/>
        </w:rPr>
        <w:t>Списък на нежеланите реакции</w:t>
      </w:r>
    </w:p>
    <w:p w14:paraId="46209EA3" w14:textId="58AF8318" w:rsidR="00B950CB" w:rsidRDefault="00B950CB" w:rsidP="00B950CB">
      <w:pPr>
        <w:rPr>
          <w:rFonts w:eastAsia="Times New Roman" w:cs="Arial"/>
          <w:color w:val="000000"/>
          <w:szCs w:val="20"/>
          <w:lang w:eastAsia="bg-BG"/>
        </w:rPr>
      </w:pPr>
      <w:r w:rsidRPr="00B950CB">
        <w:rPr>
          <w:rFonts w:eastAsia="Times New Roman" w:cs="Arial"/>
          <w:color w:val="000000"/>
          <w:szCs w:val="20"/>
          <w:lang w:eastAsia="bg-BG"/>
        </w:rPr>
        <w:t xml:space="preserve">Нежеланите реакции, определени в клинични проучвания и от постмаркетинговия опит (отбелязани със*) са представени по-долу. Честотата на нежеланите реакции е определена като: много чести (≥1/10), чести (≥1/100 до &lt;1/10), нечести (≥1/1 000 до </w:t>
      </w:r>
      <w:r w:rsidRPr="00B950CB">
        <w:rPr>
          <w:rFonts w:eastAsia="Times New Roman" w:cs="Arial"/>
          <w:color w:val="000000"/>
          <w:szCs w:val="20"/>
          <w:lang w:eastAsia="bg-BG"/>
        </w:rPr>
        <w:lastRenderedPageBreak/>
        <w:t>&lt;1/100), редки (≥1/10 000 до &lt;1/1 000), с неизвестна честота (от наличните данни не може да бъде направена оценка).</w:t>
      </w:r>
    </w:p>
    <w:p w14:paraId="60451745" w14:textId="559A8CF4" w:rsidR="00B950CB" w:rsidRDefault="00B950CB" w:rsidP="00B950CB">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1753"/>
        <w:gridCol w:w="1343"/>
        <w:gridCol w:w="1748"/>
        <w:gridCol w:w="1583"/>
        <w:gridCol w:w="1558"/>
        <w:gridCol w:w="1365"/>
      </w:tblGrid>
      <w:tr w:rsidR="00B950CB" w14:paraId="607E711A" w14:textId="77777777" w:rsidTr="00B950CB">
        <w:tc>
          <w:tcPr>
            <w:tcW w:w="1797" w:type="dxa"/>
          </w:tcPr>
          <w:p w14:paraId="1AB4DACB" w14:textId="07145672" w:rsidR="00B950CB" w:rsidRPr="00B950CB" w:rsidRDefault="00B950CB" w:rsidP="00B950CB">
            <w:pPr>
              <w:rPr>
                <w:rFonts w:cs="Arial"/>
              </w:rPr>
            </w:pPr>
            <w:r w:rsidRPr="00B950CB">
              <w:rPr>
                <w:b/>
                <w:bCs/>
                <w:szCs w:val="20"/>
              </w:rPr>
              <w:t>Системно- органни класове</w:t>
            </w:r>
          </w:p>
        </w:tc>
        <w:tc>
          <w:tcPr>
            <w:tcW w:w="1374" w:type="dxa"/>
          </w:tcPr>
          <w:p w14:paraId="273A575E" w14:textId="3244F98E" w:rsidR="00B950CB" w:rsidRPr="00B950CB" w:rsidRDefault="00B950CB" w:rsidP="00B950CB">
            <w:pPr>
              <w:rPr>
                <w:rFonts w:cs="Arial"/>
              </w:rPr>
            </w:pPr>
            <w:r w:rsidRPr="00B950CB">
              <w:rPr>
                <w:b/>
                <w:bCs/>
                <w:szCs w:val="20"/>
              </w:rPr>
              <w:t>Много чести</w:t>
            </w:r>
          </w:p>
        </w:tc>
        <w:tc>
          <w:tcPr>
            <w:tcW w:w="1791" w:type="dxa"/>
          </w:tcPr>
          <w:p w14:paraId="04367EC7" w14:textId="1B268186" w:rsidR="00B950CB" w:rsidRPr="00B950CB" w:rsidRDefault="00B950CB" w:rsidP="00B950CB">
            <w:pPr>
              <w:rPr>
                <w:rFonts w:cs="Arial"/>
              </w:rPr>
            </w:pPr>
            <w:r w:rsidRPr="00B950CB">
              <w:rPr>
                <w:b/>
                <w:bCs/>
                <w:szCs w:val="20"/>
              </w:rPr>
              <w:t>Чести</w:t>
            </w:r>
          </w:p>
        </w:tc>
        <w:tc>
          <w:tcPr>
            <w:tcW w:w="1622" w:type="dxa"/>
          </w:tcPr>
          <w:p w14:paraId="39AA52AA" w14:textId="2F43A95A" w:rsidR="00B950CB" w:rsidRPr="00B950CB" w:rsidRDefault="00B950CB" w:rsidP="00B950CB">
            <w:pPr>
              <w:rPr>
                <w:rFonts w:cs="Arial"/>
              </w:rPr>
            </w:pPr>
            <w:r w:rsidRPr="00B950CB">
              <w:rPr>
                <w:b/>
                <w:bCs/>
                <w:szCs w:val="20"/>
              </w:rPr>
              <w:t>Нечести</w:t>
            </w:r>
          </w:p>
        </w:tc>
        <w:tc>
          <w:tcPr>
            <w:tcW w:w="1595" w:type="dxa"/>
          </w:tcPr>
          <w:p w14:paraId="56320A57" w14:textId="51C4B9F6" w:rsidR="00B950CB" w:rsidRPr="00B950CB" w:rsidRDefault="00B950CB" w:rsidP="00B950CB">
            <w:pPr>
              <w:rPr>
                <w:rFonts w:cs="Arial"/>
              </w:rPr>
            </w:pPr>
            <w:r w:rsidRPr="00B950CB">
              <w:rPr>
                <w:b/>
                <w:bCs/>
                <w:szCs w:val="20"/>
              </w:rPr>
              <w:t>Редки</w:t>
            </w:r>
          </w:p>
        </w:tc>
        <w:tc>
          <w:tcPr>
            <w:tcW w:w="1397" w:type="dxa"/>
          </w:tcPr>
          <w:p w14:paraId="58C3897D" w14:textId="031EEB29" w:rsidR="00B950CB" w:rsidRPr="00B950CB" w:rsidRDefault="00B950CB" w:rsidP="00B950CB">
            <w:pPr>
              <w:rPr>
                <w:rFonts w:cs="Arial"/>
              </w:rPr>
            </w:pPr>
            <w:r w:rsidRPr="00B950CB">
              <w:rPr>
                <w:b/>
                <w:bCs/>
                <w:szCs w:val="20"/>
              </w:rPr>
              <w:t>с неизвестна честота</w:t>
            </w:r>
          </w:p>
        </w:tc>
      </w:tr>
      <w:tr w:rsidR="00B950CB" w14:paraId="1D1608F1" w14:textId="77777777" w:rsidTr="00B950CB">
        <w:tc>
          <w:tcPr>
            <w:tcW w:w="1797" w:type="dxa"/>
          </w:tcPr>
          <w:p w14:paraId="6DC5D37A" w14:textId="543040BC" w:rsidR="00B950CB" w:rsidRPr="00B950CB" w:rsidRDefault="00B950CB" w:rsidP="00B950CB">
            <w:pPr>
              <w:rPr>
                <w:rFonts w:cs="Arial"/>
              </w:rPr>
            </w:pPr>
            <w:r w:rsidRPr="00B950CB">
              <w:rPr>
                <w:szCs w:val="20"/>
              </w:rPr>
              <w:t>Инфекции и инфестации</w:t>
            </w:r>
          </w:p>
        </w:tc>
        <w:tc>
          <w:tcPr>
            <w:tcW w:w="1374" w:type="dxa"/>
          </w:tcPr>
          <w:p w14:paraId="594ED1C6" w14:textId="5A305905" w:rsidR="00B950CB" w:rsidRPr="00B950CB" w:rsidRDefault="00B950CB" w:rsidP="00B950CB">
            <w:pPr>
              <w:rPr>
                <w:rFonts w:cs="Arial"/>
              </w:rPr>
            </w:pPr>
            <w:r w:rsidRPr="00B950CB">
              <w:rPr>
                <w:szCs w:val="20"/>
              </w:rPr>
              <w:t>Назо- фарингит*</w:t>
            </w:r>
          </w:p>
        </w:tc>
        <w:tc>
          <w:tcPr>
            <w:tcW w:w="1791" w:type="dxa"/>
          </w:tcPr>
          <w:p w14:paraId="3FD28CD8" w14:textId="77777777" w:rsidR="00B950CB" w:rsidRPr="00B950CB" w:rsidRDefault="00B950CB" w:rsidP="00B950CB">
            <w:pPr>
              <w:rPr>
                <w:rFonts w:cs="Arial"/>
              </w:rPr>
            </w:pPr>
          </w:p>
        </w:tc>
        <w:tc>
          <w:tcPr>
            <w:tcW w:w="1622" w:type="dxa"/>
          </w:tcPr>
          <w:p w14:paraId="0B72143D" w14:textId="77777777" w:rsidR="00B950CB" w:rsidRPr="00B950CB" w:rsidRDefault="00B950CB" w:rsidP="00B950CB">
            <w:pPr>
              <w:rPr>
                <w:rFonts w:cs="Arial"/>
              </w:rPr>
            </w:pPr>
          </w:p>
        </w:tc>
        <w:tc>
          <w:tcPr>
            <w:tcW w:w="1595" w:type="dxa"/>
          </w:tcPr>
          <w:p w14:paraId="327F0C80" w14:textId="77777777" w:rsidR="00B950CB" w:rsidRPr="00B950CB" w:rsidRDefault="00B950CB" w:rsidP="00B950CB">
            <w:pPr>
              <w:rPr>
                <w:rFonts w:cs="Arial"/>
              </w:rPr>
            </w:pPr>
          </w:p>
        </w:tc>
        <w:tc>
          <w:tcPr>
            <w:tcW w:w="1397" w:type="dxa"/>
          </w:tcPr>
          <w:p w14:paraId="4F0F6803" w14:textId="77777777" w:rsidR="00B950CB" w:rsidRPr="00B950CB" w:rsidRDefault="00B950CB" w:rsidP="00B950CB">
            <w:pPr>
              <w:rPr>
                <w:rFonts w:cs="Arial"/>
              </w:rPr>
            </w:pPr>
          </w:p>
        </w:tc>
      </w:tr>
      <w:tr w:rsidR="00B950CB" w14:paraId="40C33FC9" w14:textId="77777777" w:rsidTr="00B950CB">
        <w:tc>
          <w:tcPr>
            <w:tcW w:w="1797" w:type="dxa"/>
          </w:tcPr>
          <w:p w14:paraId="7161D4D2" w14:textId="0BD3F4CE" w:rsidR="00B950CB" w:rsidRPr="00B950CB" w:rsidRDefault="00B950CB" w:rsidP="00B950CB">
            <w:pPr>
              <w:rPr>
                <w:rFonts w:cs="Arial"/>
              </w:rPr>
            </w:pPr>
            <w:r w:rsidRPr="00B950CB">
              <w:rPr>
                <w:szCs w:val="20"/>
              </w:rPr>
              <w:t>Нарушения на кръвта и лимфната система</w:t>
            </w:r>
          </w:p>
        </w:tc>
        <w:tc>
          <w:tcPr>
            <w:tcW w:w="1374" w:type="dxa"/>
          </w:tcPr>
          <w:p w14:paraId="512E833C" w14:textId="77777777" w:rsidR="00B950CB" w:rsidRPr="00B950CB" w:rsidRDefault="00B950CB" w:rsidP="00B950CB">
            <w:pPr>
              <w:rPr>
                <w:rFonts w:cs="Arial"/>
              </w:rPr>
            </w:pPr>
          </w:p>
        </w:tc>
        <w:tc>
          <w:tcPr>
            <w:tcW w:w="1791" w:type="dxa"/>
          </w:tcPr>
          <w:p w14:paraId="006D73E3" w14:textId="5D632A19" w:rsidR="00B950CB" w:rsidRPr="00B950CB" w:rsidRDefault="00B950CB" w:rsidP="00B950CB">
            <w:pPr>
              <w:rPr>
                <w:rFonts w:cs="Arial"/>
              </w:rPr>
            </w:pPr>
            <w:r w:rsidRPr="00B950CB">
              <w:rPr>
                <w:szCs w:val="20"/>
              </w:rPr>
              <w:t>Анемия</w:t>
            </w:r>
          </w:p>
        </w:tc>
        <w:tc>
          <w:tcPr>
            <w:tcW w:w="1622" w:type="dxa"/>
          </w:tcPr>
          <w:p w14:paraId="02036BD7" w14:textId="4052E1D1" w:rsidR="00B950CB" w:rsidRPr="00B950CB" w:rsidRDefault="00B950CB" w:rsidP="00B950CB">
            <w:pPr>
              <w:rPr>
                <w:rFonts w:cs="Arial"/>
              </w:rPr>
            </w:pPr>
            <w:r w:rsidRPr="00B950CB">
              <w:rPr>
                <w:szCs w:val="20"/>
              </w:rPr>
              <w:t>Левкопения, громбоцитопе- ния, лимфадено- патия, еозинофилия</w:t>
            </w:r>
          </w:p>
        </w:tc>
        <w:tc>
          <w:tcPr>
            <w:tcW w:w="1595" w:type="dxa"/>
          </w:tcPr>
          <w:p w14:paraId="584CB633" w14:textId="46ADD582" w:rsidR="00B950CB" w:rsidRPr="00B950CB" w:rsidRDefault="00B950CB" w:rsidP="00B950CB">
            <w:pPr>
              <w:rPr>
                <w:rFonts w:cs="Arial"/>
              </w:rPr>
            </w:pPr>
            <w:r w:rsidRPr="00B950CB">
              <w:rPr>
                <w:szCs w:val="20"/>
              </w:rPr>
              <w:t>Неутропения*</w:t>
            </w:r>
          </w:p>
        </w:tc>
        <w:tc>
          <w:tcPr>
            <w:tcW w:w="1397" w:type="dxa"/>
          </w:tcPr>
          <w:p w14:paraId="11F6B67B" w14:textId="77777777" w:rsidR="00B950CB" w:rsidRPr="00B950CB" w:rsidRDefault="00B950CB" w:rsidP="00B950CB">
            <w:pPr>
              <w:rPr>
                <w:rFonts w:cs="Arial"/>
              </w:rPr>
            </w:pPr>
          </w:p>
        </w:tc>
      </w:tr>
      <w:tr w:rsidR="00B950CB" w14:paraId="18F2B728" w14:textId="77777777" w:rsidTr="00B950CB">
        <w:tc>
          <w:tcPr>
            <w:tcW w:w="1797" w:type="dxa"/>
          </w:tcPr>
          <w:p w14:paraId="1D72D737" w14:textId="28B9ECCD" w:rsidR="00B950CB" w:rsidRPr="00B950CB" w:rsidRDefault="00B950CB" w:rsidP="00B950CB">
            <w:pPr>
              <w:rPr>
                <w:rFonts w:cs="Arial"/>
              </w:rPr>
            </w:pPr>
            <w:r w:rsidRPr="00B950CB">
              <w:rPr>
                <w:szCs w:val="20"/>
              </w:rPr>
              <w:t>Нарушения на имунната система</w:t>
            </w:r>
          </w:p>
        </w:tc>
        <w:tc>
          <w:tcPr>
            <w:tcW w:w="1374" w:type="dxa"/>
          </w:tcPr>
          <w:p w14:paraId="59B7209C" w14:textId="77777777" w:rsidR="00B950CB" w:rsidRPr="00B950CB" w:rsidRDefault="00B950CB" w:rsidP="00B950CB">
            <w:pPr>
              <w:rPr>
                <w:rFonts w:cs="Arial"/>
              </w:rPr>
            </w:pPr>
          </w:p>
        </w:tc>
        <w:tc>
          <w:tcPr>
            <w:tcW w:w="1791" w:type="dxa"/>
          </w:tcPr>
          <w:p w14:paraId="616AF363" w14:textId="7FBE470A" w:rsidR="00B950CB" w:rsidRPr="00B950CB" w:rsidRDefault="00B950CB" w:rsidP="00B950CB">
            <w:pPr>
              <w:rPr>
                <w:rFonts w:cs="Arial"/>
              </w:rPr>
            </w:pPr>
            <w:r w:rsidRPr="00B950CB">
              <w:rPr>
                <w:szCs w:val="20"/>
              </w:rPr>
              <w:t>Свръхчувстви</w:t>
            </w:r>
            <w:r w:rsidRPr="00B950CB">
              <w:rPr>
                <w:szCs w:val="20"/>
              </w:rPr>
              <w:softHyphen/>
              <w:t>телност</w:t>
            </w:r>
          </w:p>
        </w:tc>
        <w:tc>
          <w:tcPr>
            <w:tcW w:w="1622" w:type="dxa"/>
          </w:tcPr>
          <w:p w14:paraId="5F07FA53" w14:textId="77777777" w:rsidR="00B950CB" w:rsidRPr="00B950CB" w:rsidRDefault="00B950CB" w:rsidP="00B950CB">
            <w:pPr>
              <w:rPr>
                <w:rFonts w:cs="Arial"/>
              </w:rPr>
            </w:pPr>
          </w:p>
        </w:tc>
        <w:tc>
          <w:tcPr>
            <w:tcW w:w="1595" w:type="dxa"/>
          </w:tcPr>
          <w:p w14:paraId="501B286E" w14:textId="77777777" w:rsidR="00B950CB" w:rsidRPr="00B950CB" w:rsidRDefault="00B950CB" w:rsidP="00B950CB">
            <w:pPr>
              <w:rPr>
                <w:rFonts w:cs="Arial"/>
              </w:rPr>
            </w:pPr>
          </w:p>
        </w:tc>
        <w:tc>
          <w:tcPr>
            <w:tcW w:w="1397" w:type="dxa"/>
            <w:vAlign w:val="bottom"/>
          </w:tcPr>
          <w:p w14:paraId="3CEADB7A" w14:textId="41B85147" w:rsidR="00B950CB" w:rsidRPr="00B950CB" w:rsidRDefault="00B950CB" w:rsidP="00B950CB">
            <w:pPr>
              <w:rPr>
                <w:rFonts w:cs="Arial"/>
              </w:rPr>
            </w:pPr>
            <w:r w:rsidRPr="00B950CB">
              <w:rPr>
                <w:szCs w:val="20"/>
              </w:rPr>
              <w:t>Алергичен оток*, конюнкти- вален едем*</w:t>
            </w:r>
          </w:p>
        </w:tc>
      </w:tr>
      <w:tr w:rsidR="00B950CB" w14:paraId="64EA669E" w14:textId="77777777" w:rsidTr="00B950CB">
        <w:tc>
          <w:tcPr>
            <w:tcW w:w="1797" w:type="dxa"/>
          </w:tcPr>
          <w:p w14:paraId="32693939" w14:textId="5712FA5E" w:rsidR="00B950CB" w:rsidRPr="00B950CB" w:rsidRDefault="00B950CB" w:rsidP="00B950CB">
            <w:pPr>
              <w:rPr>
                <w:rFonts w:cs="Arial"/>
              </w:rPr>
            </w:pPr>
            <w:r w:rsidRPr="00B950CB">
              <w:rPr>
                <w:szCs w:val="20"/>
              </w:rPr>
              <w:t>Нарушения на метаболизма и храненето</w:t>
            </w:r>
          </w:p>
        </w:tc>
        <w:tc>
          <w:tcPr>
            <w:tcW w:w="1374" w:type="dxa"/>
          </w:tcPr>
          <w:p w14:paraId="09C50252" w14:textId="77777777" w:rsidR="00B950CB" w:rsidRPr="00B950CB" w:rsidRDefault="00B950CB" w:rsidP="00B950CB">
            <w:pPr>
              <w:rPr>
                <w:rFonts w:cs="Arial"/>
              </w:rPr>
            </w:pPr>
          </w:p>
        </w:tc>
        <w:tc>
          <w:tcPr>
            <w:tcW w:w="1791" w:type="dxa"/>
          </w:tcPr>
          <w:p w14:paraId="65F6C99F" w14:textId="0E1BBF5E" w:rsidR="00B950CB" w:rsidRPr="00B950CB" w:rsidRDefault="00B950CB" w:rsidP="00B950CB">
            <w:pPr>
              <w:rPr>
                <w:rFonts w:cs="Arial"/>
              </w:rPr>
            </w:pPr>
            <w:r w:rsidRPr="00B950CB">
              <w:rPr>
                <w:szCs w:val="20"/>
              </w:rPr>
              <w:t>Анорексия, намален апетит</w:t>
            </w:r>
          </w:p>
        </w:tc>
        <w:tc>
          <w:tcPr>
            <w:tcW w:w="1622" w:type="dxa"/>
            <w:vAlign w:val="bottom"/>
          </w:tcPr>
          <w:p w14:paraId="47A1BDB1" w14:textId="59893D1B" w:rsidR="00B950CB" w:rsidRPr="00B950CB" w:rsidRDefault="00B950CB" w:rsidP="00B950CB">
            <w:pPr>
              <w:rPr>
                <w:rFonts w:cs="Arial"/>
              </w:rPr>
            </w:pPr>
            <w:r w:rsidRPr="00B950CB">
              <w:rPr>
                <w:szCs w:val="20"/>
              </w:rPr>
              <w:t>Метаболитна ацидоза, хипокали- емия, повишен апетит, полидипсия</w:t>
            </w:r>
          </w:p>
        </w:tc>
        <w:tc>
          <w:tcPr>
            <w:tcW w:w="1595" w:type="dxa"/>
          </w:tcPr>
          <w:p w14:paraId="22F6FC7B" w14:textId="00FA2B59" w:rsidR="00B950CB" w:rsidRPr="00B950CB" w:rsidRDefault="00B950CB" w:rsidP="00B950CB">
            <w:pPr>
              <w:rPr>
                <w:rFonts w:cs="Arial"/>
              </w:rPr>
            </w:pPr>
            <w:r w:rsidRPr="00B950CB">
              <w:rPr>
                <w:szCs w:val="20"/>
              </w:rPr>
              <w:t>Хипер- хлоремична ацидоза</w:t>
            </w:r>
          </w:p>
        </w:tc>
        <w:tc>
          <w:tcPr>
            <w:tcW w:w="1397" w:type="dxa"/>
          </w:tcPr>
          <w:p w14:paraId="7840B19A" w14:textId="77777777" w:rsidR="00B950CB" w:rsidRPr="00B950CB" w:rsidRDefault="00B950CB" w:rsidP="00B950CB">
            <w:pPr>
              <w:rPr>
                <w:rFonts w:cs="Arial"/>
              </w:rPr>
            </w:pPr>
          </w:p>
        </w:tc>
      </w:tr>
      <w:tr w:rsidR="00B950CB" w14:paraId="05A00EC9" w14:textId="77777777" w:rsidTr="00B950CB">
        <w:tc>
          <w:tcPr>
            <w:tcW w:w="1797" w:type="dxa"/>
          </w:tcPr>
          <w:p w14:paraId="0F6F970A" w14:textId="185DB673" w:rsidR="00B950CB" w:rsidRPr="00B950CB" w:rsidRDefault="00B950CB" w:rsidP="00B950CB">
            <w:pPr>
              <w:rPr>
                <w:rFonts w:cs="Arial"/>
              </w:rPr>
            </w:pPr>
            <w:r w:rsidRPr="00B950CB">
              <w:rPr>
                <w:szCs w:val="20"/>
              </w:rPr>
              <w:t>Психични нарушения</w:t>
            </w:r>
          </w:p>
        </w:tc>
        <w:tc>
          <w:tcPr>
            <w:tcW w:w="1374" w:type="dxa"/>
          </w:tcPr>
          <w:p w14:paraId="470213BA" w14:textId="5E2D0755" w:rsidR="00B950CB" w:rsidRPr="00B950CB" w:rsidRDefault="00B950CB" w:rsidP="00B950CB">
            <w:pPr>
              <w:rPr>
                <w:rFonts w:cs="Arial"/>
              </w:rPr>
            </w:pPr>
            <w:r w:rsidRPr="00B950CB">
              <w:rPr>
                <w:szCs w:val="20"/>
              </w:rPr>
              <w:t>Депресия</w:t>
            </w:r>
          </w:p>
        </w:tc>
        <w:tc>
          <w:tcPr>
            <w:tcW w:w="1791" w:type="dxa"/>
          </w:tcPr>
          <w:p w14:paraId="35BBB025" w14:textId="007F3E02" w:rsidR="00B950CB" w:rsidRPr="00B950CB" w:rsidRDefault="00B950CB" w:rsidP="00B950CB">
            <w:pPr>
              <w:rPr>
                <w:rFonts w:cs="Arial"/>
              </w:rPr>
            </w:pPr>
            <w:r w:rsidRPr="00B950CB">
              <w:rPr>
                <w:szCs w:val="20"/>
              </w:rPr>
              <w:t>Брадифрения, инсомния, нарушение на способността за изразяване, безпокойство, състояние на обърканост, дезориентация, агресия, промени в настроението, възбуда, колебания в настроението, потиснатост, гняв, абнормно поведение</w:t>
            </w:r>
          </w:p>
        </w:tc>
        <w:tc>
          <w:tcPr>
            <w:tcW w:w="1622" w:type="dxa"/>
            <w:vAlign w:val="bottom"/>
          </w:tcPr>
          <w:p w14:paraId="7C6152A8" w14:textId="2C7A80BC" w:rsidR="00B950CB" w:rsidRPr="00B950CB" w:rsidRDefault="00B950CB" w:rsidP="00B950CB">
            <w:pPr>
              <w:rPr>
                <w:rFonts w:cs="Arial"/>
              </w:rPr>
            </w:pPr>
            <w:r w:rsidRPr="00B950CB">
              <w:rPr>
                <w:szCs w:val="20"/>
              </w:rPr>
              <w:t>Суицидна идеация, опити за само</w:t>
            </w:r>
            <w:r w:rsidRPr="00B950CB">
              <w:rPr>
                <w:szCs w:val="20"/>
              </w:rPr>
              <w:softHyphen/>
              <w:t>убийство, халюцинации, психотично разстройство, слухови халюцинации, визуални халюцинации, апатия, липса на спонтанна реч, нарушен сън, емоционалн</w:t>
            </w:r>
            <w:r w:rsidRPr="00B950CB">
              <w:rPr>
                <w:szCs w:val="20"/>
              </w:rPr>
              <w:lastRenderedPageBreak/>
              <w:t>а лабилност, намалено либидо, безпокойство, плач, дисфемия, еуфорично настроение, параноя, персеверация, пристъп на паника, сълзливост, нарушена способност за четене, безсъние в началото на съня, изравнен афект, абнормно мислене, загуба на либидо, вялост, безсъние в средната част на съня, разсеяност, ранно събуждане, паническа реакция, повишено настроение</w:t>
            </w:r>
          </w:p>
        </w:tc>
        <w:tc>
          <w:tcPr>
            <w:tcW w:w="1595" w:type="dxa"/>
            <w:vAlign w:val="bottom"/>
          </w:tcPr>
          <w:p w14:paraId="3CACE15B" w14:textId="72A97400" w:rsidR="00B950CB" w:rsidRPr="00B950CB" w:rsidRDefault="00B950CB" w:rsidP="00B950CB">
            <w:pPr>
              <w:rPr>
                <w:rFonts w:cs="Arial"/>
              </w:rPr>
            </w:pPr>
            <w:r w:rsidRPr="00B950CB">
              <w:rPr>
                <w:szCs w:val="20"/>
              </w:rPr>
              <w:lastRenderedPageBreak/>
              <w:t>Мания, паническо разстройство, чувство на отчаяние*, хипомания</w:t>
            </w:r>
          </w:p>
        </w:tc>
        <w:tc>
          <w:tcPr>
            <w:tcW w:w="1397" w:type="dxa"/>
          </w:tcPr>
          <w:p w14:paraId="4F4E304E" w14:textId="77777777" w:rsidR="00B950CB" w:rsidRPr="00B950CB" w:rsidRDefault="00B950CB" w:rsidP="00B950CB">
            <w:pPr>
              <w:rPr>
                <w:rFonts w:cs="Arial"/>
              </w:rPr>
            </w:pPr>
          </w:p>
        </w:tc>
      </w:tr>
      <w:tr w:rsidR="00B950CB" w14:paraId="1B9A57F4" w14:textId="77777777" w:rsidTr="00B950CB">
        <w:tc>
          <w:tcPr>
            <w:tcW w:w="1797" w:type="dxa"/>
          </w:tcPr>
          <w:p w14:paraId="6863DE74" w14:textId="69D4292F" w:rsidR="00B950CB" w:rsidRPr="00B950CB" w:rsidRDefault="00B950CB" w:rsidP="00B950CB">
            <w:pPr>
              <w:rPr>
                <w:rFonts w:cs="Arial"/>
              </w:rPr>
            </w:pPr>
            <w:r w:rsidRPr="00B950CB">
              <w:rPr>
                <w:szCs w:val="20"/>
              </w:rPr>
              <w:t>Нарушения на нервната система</w:t>
            </w:r>
          </w:p>
        </w:tc>
        <w:tc>
          <w:tcPr>
            <w:tcW w:w="1374" w:type="dxa"/>
          </w:tcPr>
          <w:p w14:paraId="5A59F323" w14:textId="19125CD2" w:rsidR="00B950CB" w:rsidRPr="00B950CB" w:rsidRDefault="00B950CB" w:rsidP="00B950CB">
            <w:pPr>
              <w:rPr>
                <w:rFonts w:ascii="Times New Roman" w:eastAsia="Times New Roman" w:hAnsi="Times New Roman" w:cs="Times New Roman"/>
                <w:sz w:val="24"/>
                <w:szCs w:val="24"/>
              </w:rPr>
            </w:pPr>
            <w:r w:rsidRPr="00B950CB">
              <w:rPr>
                <w:szCs w:val="20"/>
              </w:rPr>
              <w:t>Парестезия, сомнолент-</w:t>
            </w:r>
            <w:r w:rsidRPr="00B950CB">
              <w:rPr>
                <w:lang w:eastAsia="bg-BG"/>
              </w:rPr>
              <w:t>ност, замаяност</w:t>
            </w:r>
          </w:p>
        </w:tc>
        <w:tc>
          <w:tcPr>
            <w:tcW w:w="1791" w:type="dxa"/>
          </w:tcPr>
          <w:p w14:paraId="47D16E3D" w14:textId="78A81AEA" w:rsidR="00B950CB" w:rsidRPr="00B950CB" w:rsidRDefault="00B950CB" w:rsidP="00B950CB">
            <w:pPr>
              <w:rPr>
                <w:rFonts w:eastAsia="Times New Roman" w:cs="Arial"/>
              </w:rPr>
            </w:pPr>
            <w:r w:rsidRPr="00B950CB">
              <w:rPr>
                <w:rFonts w:cs="Arial"/>
              </w:rPr>
              <w:t>Нарушено внимание,</w:t>
            </w:r>
            <w:r w:rsidRPr="00B950CB">
              <w:rPr>
                <w:rFonts w:cs="Arial"/>
                <w:lang w:val="ru-RU"/>
              </w:rPr>
              <w:t xml:space="preserve"> </w:t>
            </w:r>
            <w:r w:rsidRPr="00B950CB">
              <w:rPr>
                <w:rFonts w:eastAsia="Times New Roman" w:cs="Arial"/>
                <w:color w:val="000000"/>
                <w:lang w:eastAsia="bg-BG"/>
              </w:rPr>
              <w:t xml:space="preserve">смущения в паметта, амнезия, когнитивни нарушения, психични увреждания, нарушени психомоторни </w:t>
            </w:r>
            <w:r w:rsidRPr="00B950CB">
              <w:rPr>
                <w:rFonts w:eastAsia="Times New Roman" w:cs="Arial"/>
                <w:color w:val="000000"/>
                <w:lang w:eastAsia="bg-BG"/>
              </w:rPr>
              <w:lastRenderedPageBreak/>
              <w:t>умения, конвулсии, нарушена координация, тремор, летаргия, хипоестезия, нистагъм, дизгеузия, нарушено равновесие, дизартрия, интенционен тремор, седиране</w:t>
            </w:r>
          </w:p>
        </w:tc>
        <w:tc>
          <w:tcPr>
            <w:tcW w:w="1622" w:type="dxa"/>
          </w:tcPr>
          <w:p w14:paraId="487F02E9" w14:textId="19F1574D" w:rsidR="00B950CB" w:rsidRPr="00B950CB" w:rsidRDefault="00B950CB" w:rsidP="00B950CB">
            <w:pPr>
              <w:rPr>
                <w:rFonts w:eastAsia="Times New Roman" w:cs="Arial"/>
              </w:rPr>
            </w:pPr>
            <w:r w:rsidRPr="00B950CB">
              <w:rPr>
                <w:rFonts w:cs="Arial"/>
              </w:rPr>
              <w:lastRenderedPageBreak/>
              <w:t>Потиснато ниво на съзнание,</w:t>
            </w:r>
            <w:r w:rsidRPr="00B950CB">
              <w:rPr>
                <w:rFonts w:cs="Arial"/>
                <w:lang w:val="ru-RU"/>
              </w:rPr>
              <w:t xml:space="preserve"> </w:t>
            </w:r>
            <w:r w:rsidRPr="00B950CB">
              <w:rPr>
                <w:rFonts w:eastAsia="Times New Roman" w:cs="Arial"/>
                <w:color w:val="000000"/>
                <w:lang w:eastAsia="bg-BG"/>
              </w:rPr>
              <w:t xml:space="preserve">гранд мал конвулсии, увреждане на зрителното поле, комплексни парциални </w:t>
            </w:r>
            <w:r w:rsidRPr="00B950CB">
              <w:rPr>
                <w:rFonts w:eastAsia="Times New Roman" w:cs="Arial"/>
                <w:color w:val="000000"/>
                <w:lang w:eastAsia="bg-BG"/>
              </w:rPr>
              <w:lastRenderedPageBreak/>
              <w:t>пристъпи, нарушен говор, психомоторна хипер- активност, синкоп, нарушена сетивност, саливация, хиперсомния, афазия, репетитивна реч, хипокинезия, дискинезия, постурална замаяност, некачествен сън, чувство на парене, загуба на сетивност, паросмия, церебеларен синдром, дизестезия, хипогеузия, ступор, тромавост, аура, агеузия, дисграфия, дисфазия, периферна невропатия, пресинкоп, дистония, изтръпване</w:t>
            </w:r>
          </w:p>
        </w:tc>
        <w:tc>
          <w:tcPr>
            <w:tcW w:w="1595" w:type="dxa"/>
          </w:tcPr>
          <w:p w14:paraId="4B9F7BF0" w14:textId="0EFA2381" w:rsidR="00B950CB" w:rsidRPr="00B950CB" w:rsidRDefault="00B950CB" w:rsidP="00B950CB">
            <w:pPr>
              <w:rPr>
                <w:rFonts w:cs="Arial"/>
                <w:lang w:val="ru-RU"/>
              </w:rPr>
            </w:pPr>
            <w:r w:rsidRPr="00B950CB">
              <w:rPr>
                <w:szCs w:val="20"/>
              </w:rPr>
              <w:lastRenderedPageBreak/>
              <w:t>Апраксия, нарушен циркаден</w:t>
            </w:r>
            <w:r w:rsidRPr="00B950CB">
              <w:rPr>
                <w:szCs w:val="20"/>
                <w:lang w:val="ru-RU"/>
              </w:rPr>
              <w:t xml:space="preserve"> </w:t>
            </w:r>
            <w:r w:rsidRPr="00B950CB">
              <w:rPr>
                <w:szCs w:val="20"/>
              </w:rPr>
              <w:t xml:space="preserve">ритъм на съня, хиперестезия, хипосмия, аносмия, есенциален тремор, акинезия, </w:t>
            </w:r>
            <w:r w:rsidRPr="00B950CB">
              <w:rPr>
                <w:szCs w:val="20"/>
              </w:rPr>
              <w:lastRenderedPageBreak/>
              <w:t>нереагиране при стимули</w:t>
            </w:r>
          </w:p>
        </w:tc>
        <w:tc>
          <w:tcPr>
            <w:tcW w:w="1397" w:type="dxa"/>
          </w:tcPr>
          <w:p w14:paraId="4062711E" w14:textId="77777777" w:rsidR="00B950CB" w:rsidRPr="00B950CB" w:rsidRDefault="00B950CB" w:rsidP="00B950CB">
            <w:pPr>
              <w:rPr>
                <w:rFonts w:cs="Arial"/>
              </w:rPr>
            </w:pPr>
          </w:p>
        </w:tc>
      </w:tr>
      <w:tr w:rsidR="00B950CB" w14:paraId="733B8F0E" w14:textId="77777777" w:rsidTr="00B950CB">
        <w:tc>
          <w:tcPr>
            <w:tcW w:w="1797" w:type="dxa"/>
          </w:tcPr>
          <w:p w14:paraId="0B2CED22" w14:textId="15C83D06" w:rsidR="00B950CB" w:rsidRPr="00B950CB" w:rsidRDefault="00B950CB" w:rsidP="00B950CB">
            <w:pPr>
              <w:rPr>
                <w:rFonts w:cs="Arial"/>
              </w:rPr>
            </w:pPr>
            <w:r w:rsidRPr="00B950CB">
              <w:rPr>
                <w:szCs w:val="20"/>
              </w:rPr>
              <w:t>Нарушения на очите</w:t>
            </w:r>
          </w:p>
        </w:tc>
        <w:tc>
          <w:tcPr>
            <w:tcW w:w="1374" w:type="dxa"/>
          </w:tcPr>
          <w:p w14:paraId="5591DB63" w14:textId="77777777" w:rsidR="00B950CB" w:rsidRPr="00B950CB" w:rsidRDefault="00B950CB" w:rsidP="00B950CB">
            <w:pPr>
              <w:rPr>
                <w:rFonts w:cs="Arial"/>
              </w:rPr>
            </w:pPr>
          </w:p>
        </w:tc>
        <w:tc>
          <w:tcPr>
            <w:tcW w:w="1791" w:type="dxa"/>
          </w:tcPr>
          <w:p w14:paraId="579A3AFB" w14:textId="3DD9BE29" w:rsidR="00B950CB" w:rsidRPr="00B950CB" w:rsidRDefault="00B950CB" w:rsidP="00B950CB">
            <w:pPr>
              <w:rPr>
                <w:rFonts w:cs="Arial"/>
              </w:rPr>
            </w:pPr>
            <w:r w:rsidRPr="00B950CB">
              <w:rPr>
                <w:szCs w:val="20"/>
              </w:rPr>
              <w:t>Замъглено зрение, диплопия, нарушено зрение</w:t>
            </w:r>
          </w:p>
        </w:tc>
        <w:tc>
          <w:tcPr>
            <w:tcW w:w="1622" w:type="dxa"/>
            <w:vAlign w:val="bottom"/>
          </w:tcPr>
          <w:p w14:paraId="52D59D1A" w14:textId="65610076" w:rsidR="00B950CB" w:rsidRPr="00B950CB" w:rsidRDefault="00B950CB" w:rsidP="00B950CB">
            <w:pPr>
              <w:rPr>
                <w:rFonts w:cs="Arial"/>
              </w:rPr>
            </w:pPr>
            <w:r w:rsidRPr="00B950CB">
              <w:rPr>
                <w:szCs w:val="20"/>
              </w:rPr>
              <w:t xml:space="preserve">Намалена зрителна острота, скотома, миопия*, абнормно усещане в окото*, </w:t>
            </w:r>
            <w:r w:rsidRPr="00B950CB">
              <w:rPr>
                <w:szCs w:val="20"/>
              </w:rPr>
              <w:lastRenderedPageBreak/>
              <w:t>сухота в очите, фотофобия, блефаро- спазъм, засилена лакримация, фотопсия, мидриаза, пресбиопия</w:t>
            </w:r>
          </w:p>
        </w:tc>
        <w:tc>
          <w:tcPr>
            <w:tcW w:w="1595" w:type="dxa"/>
            <w:vAlign w:val="bottom"/>
          </w:tcPr>
          <w:p w14:paraId="555B9957" w14:textId="77777777" w:rsidR="00B950CB" w:rsidRPr="00B950CB" w:rsidRDefault="00B950CB" w:rsidP="00B950CB">
            <w:r w:rsidRPr="00B950CB">
              <w:rPr>
                <w:szCs w:val="20"/>
              </w:rPr>
              <w:lastRenderedPageBreak/>
              <w:t xml:space="preserve">Слепота на едното око, преходна слепота, глаукома, нарушена акомодация, променено </w:t>
            </w:r>
            <w:r w:rsidRPr="00B950CB">
              <w:rPr>
                <w:szCs w:val="20"/>
              </w:rPr>
              <w:lastRenderedPageBreak/>
              <w:t>зрително възприятие за дълбочина, сцинтилираща скотома, оток на клепачите* кокоша</w:t>
            </w:r>
          </w:p>
          <w:p w14:paraId="36167CB7" w14:textId="77777777" w:rsidR="00B950CB" w:rsidRPr="00B950CB" w:rsidRDefault="00B950CB" w:rsidP="00B950CB">
            <w:r w:rsidRPr="00B950CB">
              <w:rPr>
                <w:szCs w:val="20"/>
              </w:rPr>
              <w:t>слепота,</w:t>
            </w:r>
          </w:p>
          <w:p w14:paraId="67F8DA31" w14:textId="17BB57B8" w:rsidR="00B950CB" w:rsidRPr="00B950CB" w:rsidRDefault="00B950CB" w:rsidP="00B950CB">
            <w:pPr>
              <w:rPr>
                <w:rFonts w:cs="Arial"/>
              </w:rPr>
            </w:pPr>
            <w:r w:rsidRPr="00B950CB">
              <w:rPr>
                <w:szCs w:val="20"/>
              </w:rPr>
              <w:t>амблиопия</w:t>
            </w:r>
          </w:p>
        </w:tc>
        <w:tc>
          <w:tcPr>
            <w:tcW w:w="1397" w:type="dxa"/>
          </w:tcPr>
          <w:p w14:paraId="50D76B48" w14:textId="0920DC27" w:rsidR="00B950CB" w:rsidRPr="00B950CB" w:rsidRDefault="00B950CB" w:rsidP="00B950CB">
            <w:pPr>
              <w:rPr>
                <w:rFonts w:cs="Arial"/>
              </w:rPr>
            </w:pPr>
            <w:r w:rsidRPr="00B950CB">
              <w:rPr>
                <w:szCs w:val="20"/>
              </w:rPr>
              <w:lastRenderedPageBreak/>
              <w:t xml:space="preserve">Закрито- ъгълна глаукома*, макуло- патия*, затруднено движение </w:t>
            </w:r>
            <w:r w:rsidRPr="00B950CB">
              <w:rPr>
                <w:szCs w:val="20"/>
              </w:rPr>
              <w:lastRenderedPageBreak/>
              <w:t>на очите*, увеит, оток на конюктивата *</w:t>
            </w:r>
          </w:p>
        </w:tc>
      </w:tr>
      <w:tr w:rsidR="00B950CB" w14:paraId="7F00A0D9" w14:textId="77777777" w:rsidTr="00B950CB">
        <w:tc>
          <w:tcPr>
            <w:tcW w:w="1797" w:type="dxa"/>
            <w:vAlign w:val="bottom"/>
          </w:tcPr>
          <w:p w14:paraId="4EEC0D7D" w14:textId="4CAA8162" w:rsidR="00B950CB" w:rsidRPr="00B950CB" w:rsidRDefault="00B950CB" w:rsidP="00B950CB">
            <w:pPr>
              <w:rPr>
                <w:rFonts w:cs="Arial"/>
              </w:rPr>
            </w:pPr>
            <w:r w:rsidRPr="00B950CB">
              <w:rPr>
                <w:szCs w:val="20"/>
              </w:rPr>
              <w:t>Нарушения на ухото и лабиринта</w:t>
            </w:r>
          </w:p>
        </w:tc>
        <w:tc>
          <w:tcPr>
            <w:tcW w:w="1374" w:type="dxa"/>
          </w:tcPr>
          <w:p w14:paraId="50CE428F" w14:textId="77777777" w:rsidR="00B950CB" w:rsidRPr="00B950CB" w:rsidRDefault="00B950CB" w:rsidP="00B950CB">
            <w:pPr>
              <w:rPr>
                <w:rFonts w:cs="Arial"/>
              </w:rPr>
            </w:pPr>
          </w:p>
        </w:tc>
        <w:tc>
          <w:tcPr>
            <w:tcW w:w="1791" w:type="dxa"/>
            <w:vAlign w:val="bottom"/>
          </w:tcPr>
          <w:p w14:paraId="13DC531A" w14:textId="443275CD" w:rsidR="00B950CB" w:rsidRPr="00B950CB" w:rsidRDefault="00B950CB" w:rsidP="00B950CB">
            <w:pPr>
              <w:rPr>
                <w:rFonts w:cs="Arial"/>
              </w:rPr>
            </w:pPr>
            <w:r w:rsidRPr="00B950CB">
              <w:rPr>
                <w:szCs w:val="20"/>
              </w:rPr>
              <w:t>Световъртеж, тинитус, болки в ушите</w:t>
            </w:r>
          </w:p>
        </w:tc>
        <w:tc>
          <w:tcPr>
            <w:tcW w:w="1622" w:type="dxa"/>
            <w:vAlign w:val="bottom"/>
          </w:tcPr>
          <w:p w14:paraId="066CB62F" w14:textId="427E5D91" w:rsidR="00B950CB" w:rsidRPr="00B950CB" w:rsidRDefault="00B950CB" w:rsidP="00B950CB">
            <w:pPr>
              <w:rPr>
                <w:rFonts w:ascii="Times New Roman" w:eastAsia="Times New Roman" w:hAnsi="Times New Roman" w:cs="Times New Roman"/>
                <w:sz w:val="24"/>
                <w:szCs w:val="24"/>
              </w:rPr>
            </w:pPr>
            <w:r w:rsidRPr="00B950CB">
              <w:rPr>
                <w:szCs w:val="20"/>
              </w:rPr>
              <w:t>Глухота, едностранна глухота, невро-</w:t>
            </w:r>
            <w:r w:rsidRPr="00B950CB">
              <w:rPr>
                <w:rFonts w:eastAsia="Times New Roman" w:cs="Arial"/>
                <w:color w:val="000000"/>
                <w:szCs w:val="20"/>
                <w:lang w:eastAsia="bg-BG"/>
              </w:rPr>
              <w:t>сензорна глухота, дискомфорт в ушите, нарушен слух</w:t>
            </w:r>
          </w:p>
        </w:tc>
        <w:tc>
          <w:tcPr>
            <w:tcW w:w="1595" w:type="dxa"/>
          </w:tcPr>
          <w:p w14:paraId="1395E339" w14:textId="77777777" w:rsidR="00B950CB" w:rsidRPr="00B950CB" w:rsidRDefault="00B950CB" w:rsidP="00B950CB">
            <w:pPr>
              <w:rPr>
                <w:rFonts w:cs="Arial"/>
              </w:rPr>
            </w:pPr>
          </w:p>
        </w:tc>
        <w:tc>
          <w:tcPr>
            <w:tcW w:w="1397" w:type="dxa"/>
          </w:tcPr>
          <w:p w14:paraId="783AB362" w14:textId="77777777" w:rsidR="00B950CB" w:rsidRPr="00B950CB" w:rsidRDefault="00B950CB" w:rsidP="00B950CB">
            <w:pPr>
              <w:rPr>
                <w:rFonts w:cs="Arial"/>
              </w:rPr>
            </w:pPr>
          </w:p>
        </w:tc>
      </w:tr>
      <w:tr w:rsidR="00B950CB" w14:paraId="3807970D" w14:textId="77777777" w:rsidTr="00B950CB">
        <w:tc>
          <w:tcPr>
            <w:tcW w:w="1797" w:type="dxa"/>
          </w:tcPr>
          <w:p w14:paraId="5627948D" w14:textId="660CDD26" w:rsidR="00B950CB" w:rsidRPr="00B950CB" w:rsidRDefault="00B950CB" w:rsidP="00B950CB">
            <w:pPr>
              <w:rPr>
                <w:rFonts w:cs="Arial"/>
              </w:rPr>
            </w:pPr>
            <w:r w:rsidRPr="00B950CB">
              <w:rPr>
                <w:szCs w:val="20"/>
              </w:rPr>
              <w:t>Сърдечни нарушения</w:t>
            </w:r>
          </w:p>
        </w:tc>
        <w:tc>
          <w:tcPr>
            <w:tcW w:w="1374" w:type="dxa"/>
          </w:tcPr>
          <w:p w14:paraId="477AB878" w14:textId="77777777" w:rsidR="00B950CB" w:rsidRPr="00B950CB" w:rsidRDefault="00B950CB" w:rsidP="00B950CB">
            <w:pPr>
              <w:rPr>
                <w:rFonts w:cs="Arial"/>
              </w:rPr>
            </w:pPr>
          </w:p>
        </w:tc>
        <w:tc>
          <w:tcPr>
            <w:tcW w:w="1791" w:type="dxa"/>
          </w:tcPr>
          <w:p w14:paraId="4A03A5DD" w14:textId="77777777" w:rsidR="00B950CB" w:rsidRPr="00B950CB" w:rsidRDefault="00B950CB" w:rsidP="00B950CB">
            <w:pPr>
              <w:rPr>
                <w:rFonts w:cs="Arial"/>
              </w:rPr>
            </w:pPr>
          </w:p>
        </w:tc>
        <w:tc>
          <w:tcPr>
            <w:tcW w:w="1622" w:type="dxa"/>
            <w:vAlign w:val="bottom"/>
          </w:tcPr>
          <w:p w14:paraId="08FEFA10" w14:textId="168CDA0B" w:rsidR="00B950CB" w:rsidRPr="00B950CB" w:rsidRDefault="00B950CB" w:rsidP="00B950CB">
            <w:pPr>
              <w:rPr>
                <w:rFonts w:cs="Arial"/>
              </w:rPr>
            </w:pPr>
            <w:r w:rsidRPr="00B950CB">
              <w:rPr>
                <w:szCs w:val="20"/>
              </w:rPr>
              <w:t>Брадикардия, синусова брадикардия, палпитации</w:t>
            </w:r>
          </w:p>
        </w:tc>
        <w:tc>
          <w:tcPr>
            <w:tcW w:w="1595" w:type="dxa"/>
          </w:tcPr>
          <w:p w14:paraId="38CBE512" w14:textId="77777777" w:rsidR="00B950CB" w:rsidRPr="00B950CB" w:rsidRDefault="00B950CB" w:rsidP="00B950CB">
            <w:pPr>
              <w:rPr>
                <w:rFonts w:cs="Arial"/>
              </w:rPr>
            </w:pPr>
          </w:p>
        </w:tc>
        <w:tc>
          <w:tcPr>
            <w:tcW w:w="1397" w:type="dxa"/>
          </w:tcPr>
          <w:p w14:paraId="011FB24B" w14:textId="77777777" w:rsidR="00B950CB" w:rsidRPr="00B950CB" w:rsidRDefault="00B950CB" w:rsidP="00B950CB">
            <w:pPr>
              <w:rPr>
                <w:rFonts w:cs="Arial"/>
              </w:rPr>
            </w:pPr>
          </w:p>
        </w:tc>
      </w:tr>
      <w:tr w:rsidR="00B950CB" w14:paraId="1E3342EE" w14:textId="77777777" w:rsidTr="00B950CB">
        <w:tc>
          <w:tcPr>
            <w:tcW w:w="1797" w:type="dxa"/>
          </w:tcPr>
          <w:p w14:paraId="163AA338" w14:textId="3495864E" w:rsidR="00B950CB" w:rsidRPr="00B950CB" w:rsidRDefault="00B950CB" w:rsidP="00B950CB">
            <w:pPr>
              <w:rPr>
                <w:rFonts w:cs="Arial"/>
              </w:rPr>
            </w:pPr>
            <w:r w:rsidRPr="00B950CB">
              <w:rPr>
                <w:szCs w:val="20"/>
              </w:rPr>
              <w:t>Съдови нарушения</w:t>
            </w:r>
          </w:p>
        </w:tc>
        <w:tc>
          <w:tcPr>
            <w:tcW w:w="1374" w:type="dxa"/>
          </w:tcPr>
          <w:p w14:paraId="629463F3" w14:textId="77777777" w:rsidR="00B950CB" w:rsidRPr="00B950CB" w:rsidRDefault="00B950CB" w:rsidP="00B950CB">
            <w:pPr>
              <w:rPr>
                <w:rFonts w:cs="Arial"/>
              </w:rPr>
            </w:pPr>
          </w:p>
        </w:tc>
        <w:tc>
          <w:tcPr>
            <w:tcW w:w="1791" w:type="dxa"/>
          </w:tcPr>
          <w:p w14:paraId="71CB3B7D" w14:textId="77777777" w:rsidR="00B950CB" w:rsidRPr="00B950CB" w:rsidRDefault="00B950CB" w:rsidP="00B950CB">
            <w:pPr>
              <w:rPr>
                <w:rFonts w:cs="Arial"/>
              </w:rPr>
            </w:pPr>
          </w:p>
        </w:tc>
        <w:tc>
          <w:tcPr>
            <w:tcW w:w="1622" w:type="dxa"/>
            <w:vAlign w:val="bottom"/>
          </w:tcPr>
          <w:p w14:paraId="1CB61EED" w14:textId="674E1B8D" w:rsidR="00B950CB" w:rsidRPr="00B950CB" w:rsidRDefault="00B950CB" w:rsidP="00B950CB">
            <w:pPr>
              <w:rPr>
                <w:rFonts w:cs="Arial"/>
              </w:rPr>
            </w:pPr>
            <w:r w:rsidRPr="00B950CB">
              <w:rPr>
                <w:szCs w:val="20"/>
              </w:rPr>
              <w:t>Хипотония, ортостатична хипотония, зачервяване, горещи вълни</w:t>
            </w:r>
          </w:p>
        </w:tc>
        <w:tc>
          <w:tcPr>
            <w:tcW w:w="1595" w:type="dxa"/>
          </w:tcPr>
          <w:p w14:paraId="11CD2EF6" w14:textId="3A83D96C" w:rsidR="00B950CB" w:rsidRPr="00B950CB" w:rsidRDefault="00B950CB" w:rsidP="00B950CB">
            <w:pPr>
              <w:rPr>
                <w:rFonts w:cs="Arial"/>
              </w:rPr>
            </w:pPr>
            <w:r w:rsidRPr="00B950CB">
              <w:rPr>
                <w:szCs w:val="20"/>
              </w:rPr>
              <w:t xml:space="preserve">Феномен на </w:t>
            </w:r>
            <w:r w:rsidRPr="00B950CB">
              <w:rPr>
                <w:szCs w:val="20"/>
                <w:lang w:val="en-US"/>
              </w:rPr>
              <w:t>Raynaud</w:t>
            </w:r>
          </w:p>
        </w:tc>
        <w:tc>
          <w:tcPr>
            <w:tcW w:w="1397" w:type="dxa"/>
          </w:tcPr>
          <w:p w14:paraId="078F4413" w14:textId="77777777" w:rsidR="00B950CB" w:rsidRPr="00B950CB" w:rsidRDefault="00B950CB" w:rsidP="00B950CB">
            <w:pPr>
              <w:rPr>
                <w:rFonts w:cs="Arial"/>
              </w:rPr>
            </w:pPr>
          </w:p>
        </w:tc>
      </w:tr>
      <w:tr w:rsidR="00B950CB" w14:paraId="5D2FFC3A" w14:textId="77777777" w:rsidTr="00B950CB">
        <w:tc>
          <w:tcPr>
            <w:tcW w:w="1797" w:type="dxa"/>
          </w:tcPr>
          <w:p w14:paraId="2F9B5684" w14:textId="6F38DEF8" w:rsidR="00B950CB" w:rsidRPr="00B950CB" w:rsidRDefault="00B950CB" w:rsidP="00B950CB">
            <w:pPr>
              <w:rPr>
                <w:rFonts w:cs="Arial"/>
              </w:rPr>
            </w:pPr>
            <w:r w:rsidRPr="00B950CB">
              <w:rPr>
                <w:szCs w:val="20"/>
              </w:rPr>
              <w:t>Респираторни, гръдни и медиасгинални нарушения</w:t>
            </w:r>
          </w:p>
        </w:tc>
        <w:tc>
          <w:tcPr>
            <w:tcW w:w="1374" w:type="dxa"/>
          </w:tcPr>
          <w:p w14:paraId="7552C650" w14:textId="77777777" w:rsidR="00B950CB" w:rsidRPr="00B950CB" w:rsidRDefault="00B950CB" w:rsidP="00B950CB">
            <w:pPr>
              <w:rPr>
                <w:rFonts w:cs="Arial"/>
              </w:rPr>
            </w:pPr>
          </w:p>
        </w:tc>
        <w:tc>
          <w:tcPr>
            <w:tcW w:w="1791" w:type="dxa"/>
          </w:tcPr>
          <w:p w14:paraId="038EEC65" w14:textId="73CECF05" w:rsidR="00B950CB" w:rsidRPr="00B950CB" w:rsidRDefault="00B950CB" w:rsidP="00B950CB">
            <w:pPr>
              <w:rPr>
                <w:rFonts w:cs="Arial"/>
              </w:rPr>
            </w:pPr>
            <w:r w:rsidRPr="00B950CB">
              <w:rPr>
                <w:szCs w:val="20"/>
              </w:rPr>
              <w:t>Диспнея, епистаксис, назална конгестия, ринорея, кашлица*</w:t>
            </w:r>
          </w:p>
        </w:tc>
        <w:tc>
          <w:tcPr>
            <w:tcW w:w="1622" w:type="dxa"/>
            <w:vAlign w:val="bottom"/>
          </w:tcPr>
          <w:p w14:paraId="1D0F7F96" w14:textId="5FE8E7A1" w:rsidR="00B950CB" w:rsidRPr="00B950CB" w:rsidRDefault="00B950CB" w:rsidP="00B950CB">
            <w:pPr>
              <w:rPr>
                <w:rFonts w:cs="Arial"/>
              </w:rPr>
            </w:pPr>
            <w:r w:rsidRPr="00B950CB">
              <w:rPr>
                <w:szCs w:val="20"/>
              </w:rPr>
              <w:t>Диспнея при физически усилия, параназална синусова свръх- секреция, дисфония</w:t>
            </w:r>
          </w:p>
        </w:tc>
        <w:tc>
          <w:tcPr>
            <w:tcW w:w="1595" w:type="dxa"/>
          </w:tcPr>
          <w:p w14:paraId="769E6D5D" w14:textId="77777777" w:rsidR="00B950CB" w:rsidRPr="00B950CB" w:rsidRDefault="00B950CB" w:rsidP="00B950CB">
            <w:pPr>
              <w:rPr>
                <w:rFonts w:cs="Arial"/>
              </w:rPr>
            </w:pPr>
          </w:p>
        </w:tc>
        <w:tc>
          <w:tcPr>
            <w:tcW w:w="1397" w:type="dxa"/>
          </w:tcPr>
          <w:p w14:paraId="36D67AC1" w14:textId="77777777" w:rsidR="00B950CB" w:rsidRPr="00B950CB" w:rsidRDefault="00B950CB" w:rsidP="00B950CB">
            <w:pPr>
              <w:rPr>
                <w:rFonts w:cs="Arial"/>
              </w:rPr>
            </w:pPr>
          </w:p>
        </w:tc>
      </w:tr>
      <w:tr w:rsidR="00B950CB" w14:paraId="679E82DF" w14:textId="77777777" w:rsidTr="00B950CB">
        <w:tc>
          <w:tcPr>
            <w:tcW w:w="1797" w:type="dxa"/>
          </w:tcPr>
          <w:p w14:paraId="14EC2D2A" w14:textId="050AEC3A" w:rsidR="00B950CB" w:rsidRPr="00B950CB" w:rsidRDefault="00B950CB" w:rsidP="00B950CB">
            <w:pPr>
              <w:rPr>
                <w:rFonts w:cs="Arial"/>
              </w:rPr>
            </w:pPr>
            <w:r w:rsidRPr="00B950CB">
              <w:rPr>
                <w:szCs w:val="20"/>
              </w:rPr>
              <w:t>Стомашно- чревни нарушения</w:t>
            </w:r>
          </w:p>
        </w:tc>
        <w:tc>
          <w:tcPr>
            <w:tcW w:w="1374" w:type="dxa"/>
          </w:tcPr>
          <w:p w14:paraId="438D73E8" w14:textId="0F150D4B" w:rsidR="00B950CB" w:rsidRPr="00B950CB" w:rsidRDefault="00B950CB" w:rsidP="00B950CB">
            <w:pPr>
              <w:rPr>
                <w:rFonts w:cs="Arial"/>
              </w:rPr>
            </w:pPr>
            <w:r w:rsidRPr="00B950CB">
              <w:rPr>
                <w:szCs w:val="20"/>
              </w:rPr>
              <w:t>Гадене, диария</w:t>
            </w:r>
          </w:p>
        </w:tc>
        <w:tc>
          <w:tcPr>
            <w:tcW w:w="1791" w:type="dxa"/>
          </w:tcPr>
          <w:p w14:paraId="24A46858" w14:textId="35ABADC5" w:rsidR="00B950CB" w:rsidRPr="00B950CB" w:rsidRDefault="00B950CB" w:rsidP="00B950CB">
            <w:pPr>
              <w:rPr>
                <w:rFonts w:cs="Arial"/>
              </w:rPr>
            </w:pPr>
            <w:r w:rsidRPr="00B950CB">
              <w:rPr>
                <w:szCs w:val="20"/>
              </w:rPr>
              <w:t xml:space="preserve">Повръщане, запек, болки в горната част на корема, диспепсия, болки в областта на корема, </w:t>
            </w:r>
            <w:r w:rsidRPr="00B950CB">
              <w:rPr>
                <w:szCs w:val="20"/>
              </w:rPr>
              <w:lastRenderedPageBreak/>
              <w:t>сухота в устата, стомашен дискомфорт, орална парестезия, гастрит, коремен дискомфорт</w:t>
            </w:r>
          </w:p>
        </w:tc>
        <w:tc>
          <w:tcPr>
            <w:tcW w:w="1622" w:type="dxa"/>
            <w:vAlign w:val="bottom"/>
          </w:tcPr>
          <w:p w14:paraId="5243C25F" w14:textId="163628E6" w:rsidR="00B950CB" w:rsidRPr="00B950CB" w:rsidRDefault="00B950CB" w:rsidP="00B950CB">
            <w:pPr>
              <w:rPr>
                <w:rFonts w:cs="Arial"/>
              </w:rPr>
            </w:pPr>
            <w:r w:rsidRPr="00B950CB">
              <w:rPr>
                <w:szCs w:val="20"/>
              </w:rPr>
              <w:lastRenderedPageBreak/>
              <w:t xml:space="preserve">Панкреатит, флатуленция, гастро- езофагеална рефлуксна болест, болки в долната част </w:t>
            </w:r>
            <w:r w:rsidRPr="00B950CB">
              <w:rPr>
                <w:szCs w:val="20"/>
              </w:rPr>
              <w:lastRenderedPageBreak/>
              <w:t>на корема, орална хипоестезия, гингивално кървене, подуване на корема, епигастрален дискомфорт, абдоминална чувствител</w:t>
            </w:r>
            <w:r w:rsidRPr="00B950CB">
              <w:rPr>
                <w:szCs w:val="20"/>
              </w:rPr>
              <w:softHyphen/>
              <w:t>ност, повишено слюно- отделяне, болки в устата, лош дъх, глосодиния</w:t>
            </w:r>
          </w:p>
        </w:tc>
        <w:tc>
          <w:tcPr>
            <w:tcW w:w="1595" w:type="dxa"/>
          </w:tcPr>
          <w:p w14:paraId="0C849E84" w14:textId="77777777" w:rsidR="00B950CB" w:rsidRPr="00B950CB" w:rsidRDefault="00B950CB" w:rsidP="00B950CB">
            <w:pPr>
              <w:rPr>
                <w:rFonts w:cs="Arial"/>
              </w:rPr>
            </w:pPr>
          </w:p>
        </w:tc>
        <w:tc>
          <w:tcPr>
            <w:tcW w:w="1397" w:type="dxa"/>
          </w:tcPr>
          <w:p w14:paraId="56C1E5EC" w14:textId="77777777" w:rsidR="00B950CB" w:rsidRPr="00B950CB" w:rsidRDefault="00B950CB" w:rsidP="00B950CB">
            <w:pPr>
              <w:rPr>
                <w:rFonts w:cs="Arial"/>
              </w:rPr>
            </w:pPr>
          </w:p>
        </w:tc>
      </w:tr>
      <w:tr w:rsidR="00B950CB" w14:paraId="7B323678" w14:textId="77777777" w:rsidTr="00B950CB">
        <w:tc>
          <w:tcPr>
            <w:tcW w:w="1797" w:type="dxa"/>
          </w:tcPr>
          <w:p w14:paraId="470F93AE" w14:textId="36CBBA39" w:rsidR="00B950CB" w:rsidRPr="00B950CB" w:rsidRDefault="00B950CB" w:rsidP="00B950CB">
            <w:pPr>
              <w:rPr>
                <w:rFonts w:cs="Arial"/>
              </w:rPr>
            </w:pPr>
            <w:r w:rsidRPr="00B950CB">
              <w:rPr>
                <w:szCs w:val="20"/>
              </w:rPr>
              <w:t>Хепатобилиарни нарушения</w:t>
            </w:r>
          </w:p>
        </w:tc>
        <w:tc>
          <w:tcPr>
            <w:tcW w:w="1374" w:type="dxa"/>
          </w:tcPr>
          <w:p w14:paraId="3BA15EEA" w14:textId="77777777" w:rsidR="00B950CB" w:rsidRPr="00B950CB" w:rsidRDefault="00B950CB" w:rsidP="00B950CB">
            <w:pPr>
              <w:rPr>
                <w:rFonts w:cs="Arial"/>
              </w:rPr>
            </w:pPr>
          </w:p>
        </w:tc>
        <w:tc>
          <w:tcPr>
            <w:tcW w:w="1791" w:type="dxa"/>
          </w:tcPr>
          <w:p w14:paraId="38C315A5" w14:textId="77777777" w:rsidR="00B950CB" w:rsidRPr="00B950CB" w:rsidRDefault="00B950CB" w:rsidP="00B950CB">
            <w:pPr>
              <w:rPr>
                <w:rFonts w:cs="Arial"/>
              </w:rPr>
            </w:pPr>
          </w:p>
        </w:tc>
        <w:tc>
          <w:tcPr>
            <w:tcW w:w="1622" w:type="dxa"/>
          </w:tcPr>
          <w:p w14:paraId="2F221E3A" w14:textId="77777777" w:rsidR="00B950CB" w:rsidRPr="00B950CB" w:rsidRDefault="00B950CB" w:rsidP="00B950CB">
            <w:pPr>
              <w:rPr>
                <w:rFonts w:cs="Arial"/>
              </w:rPr>
            </w:pPr>
          </w:p>
        </w:tc>
        <w:tc>
          <w:tcPr>
            <w:tcW w:w="1595" w:type="dxa"/>
            <w:vAlign w:val="bottom"/>
          </w:tcPr>
          <w:p w14:paraId="4AEE7541" w14:textId="40B3FF2A" w:rsidR="00B950CB" w:rsidRPr="00B950CB" w:rsidRDefault="00B950CB" w:rsidP="00B950CB">
            <w:pPr>
              <w:rPr>
                <w:rFonts w:cs="Arial"/>
              </w:rPr>
            </w:pPr>
            <w:r w:rsidRPr="00B950CB">
              <w:rPr>
                <w:szCs w:val="20"/>
              </w:rPr>
              <w:t>Хепатит, Чернодробна недостатъч</w:t>
            </w:r>
            <w:r w:rsidRPr="00B950CB">
              <w:rPr>
                <w:szCs w:val="20"/>
              </w:rPr>
              <w:softHyphen/>
              <w:t>ност</w:t>
            </w:r>
          </w:p>
        </w:tc>
        <w:tc>
          <w:tcPr>
            <w:tcW w:w="1397" w:type="dxa"/>
          </w:tcPr>
          <w:p w14:paraId="391524D1" w14:textId="77777777" w:rsidR="00B950CB" w:rsidRPr="00B950CB" w:rsidRDefault="00B950CB" w:rsidP="00B950CB">
            <w:pPr>
              <w:rPr>
                <w:rFonts w:cs="Arial"/>
              </w:rPr>
            </w:pPr>
          </w:p>
        </w:tc>
      </w:tr>
      <w:tr w:rsidR="00B950CB" w14:paraId="71F1A7D4" w14:textId="77777777" w:rsidTr="00B950CB">
        <w:tc>
          <w:tcPr>
            <w:tcW w:w="1797" w:type="dxa"/>
          </w:tcPr>
          <w:p w14:paraId="5060A3E9" w14:textId="5450BBA8" w:rsidR="00B950CB" w:rsidRPr="00B950CB" w:rsidRDefault="00B950CB" w:rsidP="00B950CB">
            <w:pPr>
              <w:rPr>
                <w:rFonts w:cs="Arial"/>
              </w:rPr>
            </w:pPr>
            <w:r w:rsidRPr="00B950CB">
              <w:rPr>
                <w:szCs w:val="20"/>
              </w:rPr>
              <w:t>Нарушения на кожата и подкожната тъкан</w:t>
            </w:r>
          </w:p>
        </w:tc>
        <w:tc>
          <w:tcPr>
            <w:tcW w:w="1374" w:type="dxa"/>
          </w:tcPr>
          <w:p w14:paraId="267D0779" w14:textId="77777777" w:rsidR="00B950CB" w:rsidRPr="00B950CB" w:rsidRDefault="00B950CB" w:rsidP="00B950CB">
            <w:pPr>
              <w:rPr>
                <w:rFonts w:cs="Arial"/>
              </w:rPr>
            </w:pPr>
          </w:p>
        </w:tc>
        <w:tc>
          <w:tcPr>
            <w:tcW w:w="1791" w:type="dxa"/>
          </w:tcPr>
          <w:p w14:paraId="25948107" w14:textId="383C0E39" w:rsidR="00B950CB" w:rsidRPr="00B950CB" w:rsidRDefault="00B950CB" w:rsidP="00B950CB">
            <w:pPr>
              <w:rPr>
                <w:rFonts w:cs="Arial"/>
              </w:rPr>
            </w:pPr>
            <w:r w:rsidRPr="00B950CB">
              <w:rPr>
                <w:szCs w:val="20"/>
              </w:rPr>
              <w:t>Алопеция, обрив, пруритус</w:t>
            </w:r>
          </w:p>
        </w:tc>
        <w:tc>
          <w:tcPr>
            <w:tcW w:w="1622" w:type="dxa"/>
            <w:vAlign w:val="bottom"/>
          </w:tcPr>
          <w:p w14:paraId="4D26BBBD" w14:textId="1A414F32" w:rsidR="00B950CB" w:rsidRPr="00B950CB" w:rsidRDefault="00B950CB" w:rsidP="00B950CB">
            <w:pPr>
              <w:rPr>
                <w:rFonts w:cs="Arial"/>
              </w:rPr>
            </w:pPr>
            <w:r w:rsidRPr="00B950CB">
              <w:rPr>
                <w:szCs w:val="20"/>
              </w:rPr>
              <w:t>Анхидроза, фациална хипоестезия, уртикария, еритема, генерализиран пруритус, макуларен обрив, промяна на цвета на кожата, алергичен дерматит,</w:t>
            </w:r>
            <w:r>
              <w:rPr>
                <w:sz w:val="20"/>
                <w:szCs w:val="20"/>
              </w:rPr>
              <w:t xml:space="preserve"> </w:t>
            </w:r>
            <w:r w:rsidRPr="00B950CB">
              <w:rPr>
                <w:szCs w:val="20"/>
              </w:rPr>
              <w:t>отичане на лицето</w:t>
            </w:r>
          </w:p>
        </w:tc>
        <w:tc>
          <w:tcPr>
            <w:tcW w:w="1595" w:type="dxa"/>
            <w:vAlign w:val="bottom"/>
          </w:tcPr>
          <w:p w14:paraId="0D33AA6F" w14:textId="77777777" w:rsidR="00B950CB" w:rsidRPr="00B950CB" w:rsidRDefault="00B950CB" w:rsidP="00B950CB">
            <w:r w:rsidRPr="00B950CB">
              <w:rPr>
                <w:szCs w:val="20"/>
              </w:rPr>
              <w:t xml:space="preserve">Синдром на </w:t>
            </w:r>
            <w:r w:rsidRPr="00B950CB">
              <w:rPr>
                <w:szCs w:val="20"/>
                <w:lang w:val="en-US"/>
              </w:rPr>
              <w:t>Stevens</w:t>
            </w:r>
            <w:r w:rsidRPr="00B950CB">
              <w:rPr>
                <w:szCs w:val="20"/>
                <w:lang w:val="ru-RU"/>
              </w:rPr>
              <w:t xml:space="preserve">- </w:t>
            </w:r>
            <w:r w:rsidRPr="00B950CB">
              <w:rPr>
                <w:szCs w:val="20"/>
                <w:lang w:val="en-US"/>
              </w:rPr>
              <w:t>Johnson</w:t>
            </w:r>
            <w:r w:rsidRPr="00B950CB">
              <w:rPr>
                <w:szCs w:val="20"/>
                <w:lang w:val="ru-RU"/>
              </w:rPr>
              <w:t xml:space="preserve">*, </w:t>
            </w:r>
            <w:r w:rsidRPr="00B950CB">
              <w:rPr>
                <w:szCs w:val="20"/>
              </w:rPr>
              <w:t>еритема мултиформе*, абнормен мирис на кожата, пери- орбитален</w:t>
            </w:r>
          </w:p>
          <w:p w14:paraId="61FD2577" w14:textId="121E1302" w:rsidR="00B950CB" w:rsidRPr="00B950CB" w:rsidRDefault="00B950CB" w:rsidP="00B950CB">
            <w:pPr>
              <w:rPr>
                <w:rFonts w:cs="Arial"/>
              </w:rPr>
            </w:pPr>
            <w:r w:rsidRPr="00B950CB">
              <w:rPr>
                <w:szCs w:val="20"/>
              </w:rPr>
              <w:t>оток*, локализирана уртикария</w:t>
            </w:r>
          </w:p>
        </w:tc>
        <w:tc>
          <w:tcPr>
            <w:tcW w:w="1397" w:type="dxa"/>
          </w:tcPr>
          <w:p w14:paraId="47931DF9" w14:textId="26CBED6C" w:rsidR="00B950CB" w:rsidRPr="00B950CB" w:rsidRDefault="00B950CB" w:rsidP="00B950CB">
            <w:pPr>
              <w:rPr>
                <w:rFonts w:cs="Arial"/>
              </w:rPr>
            </w:pPr>
            <w:r w:rsidRPr="00B950CB">
              <w:rPr>
                <w:szCs w:val="20"/>
              </w:rPr>
              <w:t>Токсична епидер- мална некролиза*</w:t>
            </w:r>
          </w:p>
        </w:tc>
      </w:tr>
      <w:tr w:rsidR="00B950CB" w14:paraId="07204051" w14:textId="77777777" w:rsidTr="00B950CB">
        <w:tc>
          <w:tcPr>
            <w:tcW w:w="1797" w:type="dxa"/>
          </w:tcPr>
          <w:p w14:paraId="5EC07011" w14:textId="41CC9CBA" w:rsidR="00B950CB" w:rsidRPr="00B950CB" w:rsidRDefault="00B950CB" w:rsidP="00B950CB">
            <w:pPr>
              <w:rPr>
                <w:rFonts w:cs="Arial"/>
              </w:rPr>
            </w:pPr>
            <w:r w:rsidRPr="00B950CB">
              <w:rPr>
                <w:szCs w:val="20"/>
              </w:rPr>
              <w:t xml:space="preserve">Нарушения на мускулно- скелетната система и </w:t>
            </w:r>
            <w:r w:rsidRPr="00B950CB">
              <w:rPr>
                <w:szCs w:val="20"/>
              </w:rPr>
              <w:lastRenderedPageBreak/>
              <w:t>съединителната тъкан</w:t>
            </w:r>
          </w:p>
        </w:tc>
        <w:tc>
          <w:tcPr>
            <w:tcW w:w="1374" w:type="dxa"/>
          </w:tcPr>
          <w:p w14:paraId="1798265A" w14:textId="77777777" w:rsidR="00B950CB" w:rsidRPr="00B950CB" w:rsidRDefault="00B950CB" w:rsidP="00B950CB">
            <w:pPr>
              <w:rPr>
                <w:rFonts w:cs="Arial"/>
              </w:rPr>
            </w:pPr>
          </w:p>
        </w:tc>
        <w:tc>
          <w:tcPr>
            <w:tcW w:w="1791" w:type="dxa"/>
          </w:tcPr>
          <w:p w14:paraId="43040CEF" w14:textId="61A574FE" w:rsidR="00B950CB" w:rsidRPr="00B950CB" w:rsidRDefault="00B950CB" w:rsidP="00B950CB">
            <w:pPr>
              <w:rPr>
                <w:rFonts w:cs="Arial"/>
              </w:rPr>
            </w:pPr>
            <w:r w:rsidRPr="00B950CB">
              <w:rPr>
                <w:szCs w:val="20"/>
              </w:rPr>
              <w:t xml:space="preserve">Артралгия, мускулни спазми, миалгия, мускулни </w:t>
            </w:r>
            <w:r w:rsidRPr="00B950CB">
              <w:rPr>
                <w:szCs w:val="20"/>
              </w:rPr>
              <w:lastRenderedPageBreak/>
              <w:t>конвулсии, мускулна слабост, мускулно- скелетна болка в областта на гърдите</w:t>
            </w:r>
          </w:p>
        </w:tc>
        <w:tc>
          <w:tcPr>
            <w:tcW w:w="1622" w:type="dxa"/>
          </w:tcPr>
          <w:p w14:paraId="0D70F62F" w14:textId="238623EB" w:rsidR="00B950CB" w:rsidRPr="00B950CB" w:rsidRDefault="00B950CB" w:rsidP="00B950CB">
            <w:pPr>
              <w:rPr>
                <w:rFonts w:cs="Arial"/>
              </w:rPr>
            </w:pPr>
            <w:r w:rsidRPr="00B950CB">
              <w:rPr>
                <w:szCs w:val="20"/>
              </w:rPr>
              <w:lastRenderedPageBreak/>
              <w:t xml:space="preserve">Оток на ставите*, мускулно- скелетна скованост, </w:t>
            </w:r>
            <w:r w:rsidRPr="00B950CB">
              <w:rPr>
                <w:szCs w:val="20"/>
              </w:rPr>
              <w:lastRenderedPageBreak/>
              <w:t>болки в слабините, умора на мускулите</w:t>
            </w:r>
          </w:p>
        </w:tc>
        <w:tc>
          <w:tcPr>
            <w:tcW w:w="1595" w:type="dxa"/>
          </w:tcPr>
          <w:p w14:paraId="41A115E2" w14:textId="6C1CBA92" w:rsidR="00B950CB" w:rsidRPr="00B950CB" w:rsidRDefault="00B950CB" w:rsidP="00B950CB">
            <w:pPr>
              <w:rPr>
                <w:rFonts w:cs="Arial"/>
              </w:rPr>
            </w:pPr>
            <w:r w:rsidRPr="00B950CB">
              <w:rPr>
                <w:szCs w:val="20"/>
              </w:rPr>
              <w:lastRenderedPageBreak/>
              <w:t>Дискомфорт на крайниците*</w:t>
            </w:r>
          </w:p>
        </w:tc>
        <w:tc>
          <w:tcPr>
            <w:tcW w:w="1397" w:type="dxa"/>
          </w:tcPr>
          <w:p w14:paraId="5BD14A67" w14:textId="77777777" w:rsidR="00B950CB" w:rsidRPr="00B950CB" w:rsidRDefault="00B950CB" w:rsidP="00B950CB">
            <w:pPr>
              <w:rPr>
                <w:rFonts w:cs="Arial"/>
              </w:rPr>
            </w:pPr>
          </w:p>
        </w:tc>
      </w:tr>
      <w:tr w:rsidR="00B950CB" w14:paraId="5DF069BB" w14:textId="77777777" w:rsidTr="00B950CB">
        <w:tc>
          <w:tcPr>
            <w:tcW w:w="1797" w:type="dxa"/>
          </w:tcPr>
          <w:p w14:paraId="7B50104E" w14:textId="252E68D4" w:rsidR="00B950CB" w:rsidRPr="00B950CB" w:rsidRDefault="00B950CB" w:rsidP="00B950CB">
            <w:pPr>
              <w:rPr>
                <w:rFonts w:cs="Arial"/>
              </w:rPr>
            </w:pPr>
            <w:r w:rsidRPr="00B950CB">
              <w:rPr>
                <w:szCs w:val="20"/>
              </w:rPr>
              <w:t>Нарушения на бъбреците и пикочните пътища</w:t>
            </w:r>
          </w:p>
        </w:tc>
        <w:tc>
          <w:tcPr>
            <w:tcW w:w="1374" w:type="dxa"/>
          </w:tcPr>
          <w:p w14:paraId="498E78F8" w14:textId="77777777" w:rsidR="00B950CB" w:rsidRPr="00B950CB" w:rsidRDefault="00B950CB" w:rsidP="00B950CB">
            <w:pPr>
              <w:rPr>
                <w:rFonts w:cs="Arial"/>
              </w:rPr>
            </w:pPr>
          </w:p>
        </w:tc>
        <w:tc>
          <w:tcPr>
            <w:tcW w:w="1791" w:type="dxa"/>
          </w:tcPr>
          <w:p w14:paraId="79C3AD03" w14:textId="0078552D" w:rsidR="00B950CB" w:rsidRPr="00B950CB" w:rsidRDefault="00B950CB" w:rsidP="00B950CB">
            <w:pPr>
              <w:rPr>
                <w:rFonts w:cs="Arial"/>
              </w:rPr>
            </w:pPr>
            <w:r w:rsidRPr="00B950CB">
              <w:rPr>
                <w:szCs w:val="20"/>
              </w:rPr>
              <w:t>Нефролитиаза, полакиурия, дизурия</w:t>
            </w:r>
          </w:p>
        </w:tc>
        <w:tc>
          <w:tcPr>
            <w:tcW w:w="1622" w:type="dxa"/>
          </w:tcPr>
          <w:p w14:paraId="62D15402" w14:textId="23684FC1" w:rsidR="00B950CB" w:rsidRPr="00B950CB" w:rsidRDefault="00B950CB" w:rsidP="00B950CB">
            <w:pPr>
              <w:rPr>
                <w:rFonts w:cs="Arial"/>
              </w:rPr>
            </w:pPr>
            <w:r w:rsidRPr="00B950CB">
              <w:rPr>
                <w:szCs w:val="20"/>
              </w:rPr>
              <w:t>Камъни в пикочните пътища, уринарна инконти- ненция, хематурия, инконтинеция, позиви за уриниране, бъбречни колики, болки в бъбреците</w:t>
            </w:r>
          </w:p>
        </w:tc>
        <w:tc>
          <w:tcPr>
            <w:tcW w:w="1595" w:type="dxa"/>
          </w:tcPr>
          <w:p w14:paraId="1390BDC0" w14:textId="73C85FA0" w:rsidR="00B950CB" w:rsidRPr="00B950CB" w:rsidRDefault="00B950CB" w:rsidP="00B950CB">
            <w:pPr>
              <w:rPr>
                <w:rFonts w:cs="Arial"/>
              </w:rPr>
            </w:pPr>
            <w:r w:rsidRPr="00B950CB">
              <w:rPr>
                <w:szCs w:val="20"/>
              </w:rPr>
              <w:t>Камъни в пикочните пътища, ренална тубулна ацидоза*</w:t>
            </w:r>
          </w:p>
        </w:tc>
        <w:tc>
          <w:tcPr>
            <w:tcW w:w="1397" w:type="dxa"/>
          </w:tcPr>
          <w:p w14:paraId="32CC2D3E" w14:textId="77777777" w:rsidR="00B950CB" w:rsidRPr="00B950CB" w:rsidRDefault="00B950CB" w:rsidP="00B950CB">
            <w:pPr>
              <w:rPr>
                <w:rFonts w:cs="Arial"/>
              </w:rPr>
            </w:pPr>
          </w:p>
        </w:tc>
      </w:tr>
      <w:tr w:rsidR="00B950CB" w14:paraId="0D70068E" w14:textId="77777777" w:rsidTr="00B950CB">
        <w:tc>
          <w:tcPr>
            <w:tcW w:w="1797" w:type="dxa"/>
          </w:tcPr>
          <w:p w14:paraId="6B150C57" w14:textId="69097186" w:rsidR="00B950CB" w:rsidRPr="00B950CB" w:rsidRDefault="00B950CB" w:rsidP="00B950CB">
            <w:pPr>
              <w:rPr>
                <w:rFonts w:cs="Arial"/>
              </w:rPr>
            </w:pPr>
            <w:r w:rsidRPr="00B950CB">
              <w:rPr>
                <w:szCs w:val="20"/>
              </w:rPr>
              <w:t>Нарушения на възпроизво</w:t>
            </w:r>
            <w:r w:rsidRPr="00B950CB">
              <w:rPr>
                <w:szCs w:val="20"/>
              </w:rPr>
              <w:softHyphen/>
              <w:t>дителната система и гърдата</w:t>
            </w:r>
          </w:p>
        </w:tc>
        <w:tc>
          <w:tcPr>
            <w:tcW w:w="1374" w:type="dxa"/>
          </w:tcPr>
          <w:p w14:paraId="2187448B" w14:textId="77777777" w:rsidR="00B950CB" w:rsidRPr="00B950CB" w:rsidRDefault="00B950CB" w:rsidP="00B950CB">
            <w:pPr>
              <w:rPr>
                <w:rFonts w:cs="Arial"/>
              </w:rPr>
            </w:pPr>
          </w:p>
        </w:tc>
        <w:tc>
          <w:tcPr>
            <w:tcW w:w="1791" w:type="dxa"/>
          </w:tcPr>
          <w:p w14:paraId="5D5D415D" w14:textId="77777777" w:rsidR="00B950CB" w:rsidRPr="00B950CB" w:rsidRDefault="00B950CB" w:rsidP="00B950CB">
            <w:pPr>
              <w:rPr>
                <w:rFonts w:cs="Arial"/>
              </w:rPr>
            </w:pPr>
          </w:p>
        </w:tc>
        <w:tc>
          <w:tcPr>
            <w:tcW w:w="1622" w:type="dxa"/>
          </w:tcPr>
          <w:p w14:paraId="5DA187D1" w14:textId="2A551598" w:rsidR="00B950CB" w:rsidRPr="00B950CB" w:rsidRDefault="00B950CB" w:rsidP="00B950CB">
            <w:pPr>
              <w:rPr>
                <w:rFonts w:cs="Arial"/>
              </w:rPr>
            </w:pPr>
            <w:r w:rsidRPr="00B950CB">
              <w:rPr>
                <w:szCs w:val="20"/>
              </w:rPr>
              <w:t>Еректилна дисфункция, сексуална дисфункция</w:t>
            </w:r>
          </w:p>
        </w:tc>
        <w:tc>
          <w:tcPr>
            <w:tcW w:w="1595" w:type="dxa"/>
          </w:tcPr>
          <w:p w14:paraId="18E44082" w14:textId="77777777" w:rsidR="00B950CB" w:rsidRPr="00B950CB" w:rsidRDefault="00B950CB" w:rsidP="00B950CB">
            <w:pPr>
              <w:rPr>
                <w:rFonts w:cs="Arial"/>
              </w:rPr>
            </w:pPr>
          </w:p>
        </w:tc>
        <w:tc>
          <w:tcPr>
            <w:tcW w:w="1397" w:type="dxa"/>
          </w:tcPr>
          <w:p w14:paraId="078B7E11" w14:textId="77777777" w:rsidR="00B950CB" w:rsidRPr="00B950CB" w:rsidRDefault="00B950CB" w:rsidP="00B950CB">
            <w:pPr>
              <w:rPr>
                <w:rFonts w:cs="Arial"/>
              </w:rPr>
            </w:pPr>
          </w:p>
        </w:tc>
      </w:tr>
      <w:tr w:rsidR="00B950CB" w14:paraId="1D1B482F" w14:textId="77777777" w:rsidTr="00B950CB">
        <w:tc>
          <w:tcPr>
            <w:tcW w:w="1797" w:type="dxa"/>
          </w:tcPr>
          <w:p w14:paraId="1DB827CA" w14:textId="1D2A41FC" w:rsidR="00B950CB" w:rsidRPr="00B950CB" w:rsidRDefault="00B950CB" w:rsidP="00B950CB">
            <w:pPr>
              <w:rPr>
                <w:rFonts w:cs="Arial"/>
              </w:rPr>
            </w:pPr>
            <w:r w:rsidRPr="00B950CB">
              <w:rPr>
                <w:szCs w:val="20"/>
              </w:rPr>
              <w:t>Общи нарушения и ефекти на мястото на приложение</w:t>
            </w:r>
          </w:p>
        </w:tc>
        <w:tc>
          <w:tcPr>
            <w:tcW w:w="1374" w:type="dxa"/>
          </w:tcPr>
          <w:p w14:paraId="3CDB3EAF" w14:textId="79322B3F" w:rsidR="00B950CB" w:rsidRPr="00B950CB" w:rsidRDefault="00B950CB" w:rsidP="00B950CB">
            <w:pPr>
              <w:rPr>
                <w:rFonts w:cs="Arial"/>
              </w:rPr>
            </w:pPr>
            <w:r w:rsidRPr="00B950CB">
              <w:rPr>
                <w:szCs w:val="20"/>
              </w:rPr>
              <w:t>Умора</w:t>
            </w:r>
          </w:p>
        </w:tc>
        <w:tc>
          <w:tcPr>
            <w:tcW w:w="1791" w:type="dxa"/>
          </w:tcPr>
          <w:p w14:paraId="4200924C" w14:textId="14B213C3" w:rsidR="00B950CB" w:rsidRPr="00B950CB" w:rsidRDefault="00B950CB" w:rsidP="00B950CB">
            <w:pPr>
              <w:rPr>
                <w:rFonts w:cs="Arial"/>
              </w:rPr>
            </w:pPr>
            <w:r w:rsidRPr="00B950CB">
              <w:rPr>
                <w:szCs w:val="20"/>
              </w:rPr>
              <w:t>ГГирексия, астения, раздразни</w:t>
            </w:r>
            <w:r w:rsidRPr="00B950CB">
              <w:rPr>
                <w:szCs w:val="20"/>
              </w:rPr>
              <w:softHyphen/>
              <w:t>телност, нарушена походка, абнормни усещания, неразположение</w:t>
            </w:r>
          </w:p>
        </w:tc>
        <w:tc>
          <w:tcPr>
            <w:tcW w:w="1622" w:type="dxa"/>
          </w:tcPr>
          <w:p w14:paraId="2AF93578" w14:textId="0EACEDB2" w:rsidR="00B950CB" w:rsidRPr="00B950CB" w:rsidRDefault="00B950CB" w:rsidP="00B950CB">
            <w:pPr>
              <w:rPr>
                <w:rFonts w:cs="Arial"/>
              </w:rPr>
            </w:pPr>
            <w:r w:rsidRPr="00B950CB">
              <w:rPr>
                <w:szCs w:val="20"/>
              </w:rPr>
              <w:t>Хипертермия, жажда, грипо- подобно състояние*, забавени движения, студени крайници, чувство на опиянение, чувство на нервност</w:t>
            </w:r>
          </w:p>
        </w:tc>
        <w:tc>
          <w:tcPr>
            <w:tcW w:w="1595" w:type="dxa"/>
          </w:tcPr>
          <w:p w14:paraId="3584F77D" w14:textId="1B276E94" w:rsidR="00B950CB" w:rsidRPr="00B950CB" w:rsidRDefault="00B950CB" w:rsidP="00B950CB">
            <w:pPr>
              <w:rPr>
                <w:rFonts w:cs="Arial"/>
              </w:rPr>
            </w:pPr>
            <w:r w:rsidRPr="00B950CB">
              <w:rPr>
                <w:szCs w:val="20"/>
              </w:rPr>
              <w:t>Отичане на лицето, калциноза</w:t>
            </w:r>
          </w:p>
        </w:tc>
        <w:tc>
          <w:tcPr>
            <w:tcW w:w="1397" w:type="dxa"/>
          </w:tcPr>
          <w:p w14:paraId="49174768" w14:textId="77777777" w:rsidR="00B950CB" w:rsidRPr="00B950CB" w:rsidRDefault="00B950CB" w:rsidP="00B950CB">
            <w:pPr>
              <w:rPr>
                <w:rFonts w:cs="Arial"/>
              </w:rPr>
            </w:pPr>
          </w:p>
        </w:tc>
      </w:tr>
      <w:tr w:rsidR="00B950CB" w14:paraId="7CD85087" w14:textId="77777777" w:rsidTr="00B950CB">
        <w:tc>
          <w:tcPr>
            <w:tcW w:w="1797" w:type="dxa"/>
          </w:tcPr>
          <w:p w14:paraId="3AAD0007" w14:textId="52C9DDFC" w:rsidR="00B950CB" w:rsidRPr="00B950CB" w:rsidRDefault="00B950CB" w:rsidP="00B950CB">
            <w:pPr>
              <w:rPr>
                <w:rFonts w:cs="Arial"/>
              </w:rPr>
            </w:pPr>
            <w:r w:rsidRPr="00B950CB">
              <w:rPr>
                <w:szCs w:val="20"/>
              </w:rPr>
              <w:t>Изследвания</w:t>
            </w:r>
          </w:p>
        </w:tc>
        <w:tc>
          <w:tcPr>
            <w:tcW w:w="1374" w:type="dxa"/>
          </w:tcPr>
          <w:p w14:paraId="19E6D4ED" w14:textId="2555EB8F" w:rsidR="00B950CB" w:rsidRPr="00B950CB" w:rsidRDefault="00B950CB" w:rsidP="00B950CB">
            <w:pPr>
              <w:rPr>
                <w:rFonts w:cs="Arial"/>
              </w:rPr>
            </w:pPr>
            <w:r w:rsidRPr="00B950CB">
              <w:rPr>
                <w:szCs w:val="20"/>
              </w:rPr>
              <w:t>Намалено тегло</w:t>
            </w:r>
          </w:p>
        </w:tc>
        <w:tc>
          <w:tcPr>
            <w:tcW w:w="1791" w:type="dxa"/>
          </w:tcPr>
          <w:p w14:paraId="47834D68" w14:textId="6C3A8CB6" w:rsidR="00B950CB" w:rsidRPr="00B950CB" w:rsidRDefault="00B950CB" w:rsidP="00B950CB">
            <w:pPr>
              <w:rPr>
                <w:rFonts w:cs="Arial"/>
              </w:rPr>
            </w:pPr>
            <w:r w:rsidRPr="00B950CB">
              <w:rPr>
                <w:szCs w:val="20"/>
              </w:rPr>
              <w:t>Увеличено тегло*</w:t>
            </w:r>
          </w:p>
        </w:tc>
        <w:tc>
          <w:tcPr>
            <w:tcW w:w="1622" w:type="dxa"/>
          </w:tcPr>
          <w:p w14:paraId="133D694C" w14:textId="1D351210" w:rsidR="00B950CB" w:rsidRPr="00B950CB" w:rsidRDefault="00B950CB" w:rsidP="00B950CB">
            <w:pPr>
              <w:rPr>
                <w:rFonts w:cs="Arial"/>
              </w:rPr>
            </w:pPr>
            <w:r w:rsidRPr="00B950CB">
              <w:rPr>
                <w:szCs w:val="20"/>
              </w:rPr>
              <w:t xml:space="preserve">Кристали в урината, абнормен тест за тандемна походка, понижен </w:t>
            </w:r>
            <w:r w:rsidRPr="00B950CB">
              <w:rPr>
                <w:szCs w:val="20"/>
              </w:rPr>
              <w:lastRenderedPageBreak/>
              <w:t>брой на левкоцитите, повишени стойности на чернодробни</w:t>
            </w:r>
            <w:r w:rsidRPr="00B950CB">
              <w:rPr>
                <w:szCs w:val="20"/>
              </w:rPr>
              <w:softHyphen/>
              <w:t>те ензими</w:t>
            </w:r>
          </w:p>
        </w:tc>
        <w:tc>
          <w:tcPr>
            <w:tcW w:w="1595" w:type="dxa"/>
          </w:tcPr>
          <w:p w14:paraId="35FD4C45" w14:textId="1802B1AD" w:rsidR="00B950CB" w:rsidRPr="00B950CB" w:rsidRDefault="00B950CB" w:rsidP="00B950CB">
            <w:pPr>
              <w:rPr>
                <w:rFonts w:cs="Arial"/>
              </w:rPr>
            </w:pPr>
            <w:r w:rsidRPr="00B950CB">
              <w:rPr>
                <w:szCs w:val="20"/>
              </w:rPr>
              <w:lastRenderedPageBreak/>
              <w:t>Понижени стойности на бикарбонати в кръвта</w:t>
            </w:r>
          </w:p>
        </w:tc>
        <w:tc>
          <w:tcPr>
            <w:tcW w:w="1397" w:type="dxa"/>
          </w:tcPr>
          <w:p w14:paraId="5163CDBB" w14:textId="77777777" w:rsidR="00B950CB" w:rsidRPr="00B950CB" w:rsidRDefault="00B950CB" w:rsidP="00B950CB">
            <w:pPr>
              <w:rPr>
                <w:rFonts w:cs="Arial"/>
              </w:rPr>
            </w:pPr>
          </w:p>
        </w:tc>
      </w:tr>
      <w:tr w:rsidR="00B950CB" w14:paraId="3358421C" w14:textId="77777777" w:rsidTr="00B950CB">
        <w:tc>
          <w:tcPr>
            <w:tcW w:w="1797" w:type="dxa"/>
          </w:tcPr>
          <w:p w14:paraId="119643D5" w14:textId="3A6706BA" w:rsidR="00B950CB" w:rsidRPr="00B950CB" w:rsidRDefault="00B950CB" w:rsidP="00B950CB">
            <w:pPr>
              <w:rPr>
                <w:rFonts w:cs="Arial"/>
              </w:rPr>
            </w:pPr>
            <w:r w:rsidRPr="00B950CB">
              <w:rPr>
                <w:szCs w:val="20"/>
              </w:rPr>
              <w:t>Социални предпоставки</w:t>
            </w:r>
          </w:p>
        </w:tc>
        <w:tc>
          <w:tcPr>
            <w:tcW w:w="1374" w:type="dxa"/>
          </w:tcPr>
          <w:p w14:paraId="4CB4EE5D" w14:textId="77777777" w:rsidR="00B950CB" w:rsidRPr="00B950CB" w:rsidRDefault="00B950CB" w:rsidP="00B950CB">
            <w:pPr>
              <w:rPr>
                <w:rFonts w:cs="Arial"/>
              </w:rPr>
            </w:pPr>
          </w:p>
        </w:tc>
        <w:tc>
          <w:tcPr>
            <w:tcW w:w="1791" w:type="dxa"/>
          </w:tcPr>
          <w:p w14:paraId="5429312A" w14:textId="77777777" w:rsidR="00B950CB" w:rsidRPr="00B950CB" w:rsidRDefault="00B950CB" w:rsidP="00B950CB">
            <w:pPr>
              <w:rPr>
                <w:rFonts w:cs="Arial"/>
              </w:rPr>
            </w:pPr>
          </w:p>
        </w:tc>
        <w:tc>
          <w:tcPr>
            <w:tcW w:w="1622" w:type="dxa"/>
          </w:tcPr>
          <w:p w14:paraId="4B4FE7C2" w14:textId="1D79CEFC" w:rsidR="00B950CB" w:rsidRPr="00B950CB" w:rsidRDefault="00B950CB" w:rsidP="00B950CB">
            <w:pPr>
              <w:rPr>
                <w:rFonts w:cs="Arial"/>
              </w:rPr>
            </w:pPr>
            <w:r w:rsidRPr="00B950CB">
              <w:rPr>
                <w:szCs w:val="20"/>
              </w:rPr>
              <w:t>Неспособност за учене</w:t>
            </w:r>
          </w:p>
        </w:tc>
        <w:tc>
          <w:tcPr>
            <w:tcW w:w="1595" w:type="dxa"/>
          </w:tcPr>
          <w:p w14:paraId="537ACC9A" w14:textId="77777777" w:rsidR="00B950CB" w:rsidRPr="00B950CB" w:rsidRDefault="00B950CB" w:rsidP="00B950CB">
            <w:pPr>
              <w:rPr>
                <w:rFonts w:cs="Arial"/>
              </w:rPr>
            </w:pPr>
          </w:p>
        </w:tc>
        <w:tc>
          <w:tcPr>
            <w:tcW w:w="1397" w:type="dxa"/>
          </w:tcPr>
          <w:p w14:paraId="29080298" w14:textId="77777777" w:rsidR="00B950CB" w:rsidRPr="00B950CB" w:rsidRDefault="00B950CB" w:rsidP="00B950CB">
            <w:pPr>
              <w:rPr>
                <w:rFonts w:cs="Arial"/>
              </w:rPr>
            </w:pPr>
          </w:p>
        </w:tc>
      </w:tr>
    </w:tbl>
    <w:p w14:paraId="36CDE9BB" w14:textId="77777777" w:rsidR="00B950CB" w:rsidRPr="00B950CB" w:rsidRDefault="00B950CB" w:rsidP="00B950CB">
      <w:pPr>
        <w:spacing w:line="240" w:lineRule="auto"/>
        <w:rPr>
          <w:rFonts w:eastAsia="Times New Roman" w:cs="Arial"/>
        </w:rPr>
      </w:pPr>
      <w:r w:rsidRPr="00B950CB">
        <w:rPr>
          <w:rFonts w:eastAsia="Times New Roman" w:cs="Arial"/>
          <w:color w:val="000000"/>
          <w:lang w:eastAsia="bg-BG"/>
        </w:rPr>
        <w:t>* посочено като нежелани реакции при постмаркетингово спонтанно съобщаване. Честотата му е изчислена на базата на данни от клинични изпитвания.</w:t>
      </w:r>
    </w:p>
    <w:p w14:paraId="244651A8" w14:textId="77777777" w:rsidR="00B950CB" w:rsidRPr="00B950CB" w:rsidRDefault="00B950CB" w:rsidP="00B950CB">
      <w:pPr>
        <w:rPr>
          <w:rFonts w:eastAsia="Times New Roman" w:cs="Arial"/>
          <w:color w:val="000000"/>
          <w:lang w:eastAsia="bg-BG"/>
        </w:rPr>
      </w:pPr>
    </w:p>
    <w:p w14:paraId="251E5325" w14:textId="38B76C14" w:rsidR="00B950CB" w:rsidRPr="00B950CB" w:rsidRDefault="00B950CB" w:rsidP="00B950CB">
      <w:pPr>
        <w:rPr>
          <w:rFonts w:eastAsia="Times New Roman" w:cs="Arial"/>
          <w:color w:val="000000"/>
          <w:lang w:eastAsia="bg-BG"/>
        </w:rPr>
      </w:pPr>
      <w:r w:rsidRPr="00B950CB">
        <w:rPr>
          <w:rFonts w:eastAsia="Times New Roman" w:cs="Arial"/>
          <w:color w:val="000000"/>
          <w:lang w:eastAsia="bg-BG"/>
        </w:rPr>
        <w:t>Вродени малформации и ниско тегло на плода (вж, точки 4.4 и 4,6).</w:t>
      </w:r>
    </w:p>
    <w:p w14:paraId="6FBA1122" w14:textId="50302556" w:rsidR="00B950CB" w:rsidRPr="00B950CB" w:rsidRDefault="00B950CB" w:rsidP="00B950CB">
      <w:pPr>
        <w:rPr>
          <w:rFonts w:eastAsia="Times New Roman" w:cs="Arial"/>
          <w:color w:val="000000"/>
          <w:lang w:eastAsia="bg-BG"/>
        </w:rPr>
      </w:pPr>
    </w:p>
    <w:p w14:paraId="29F6A411" w14:textId="77777777" w:rsidR="00B950CB" w:rsidRPr="00B950CB" w:rsidRDefault="00B950CB" w:rsidP="00B950CB">
      <w:pPr>
        <w:spacing w:line="240" w:lineRule="auto"/>
        <w:rPr>
          <w:rFonts w:eastAsia="Times New Roman" w:cs="Arial"/>
        </w:rPr>
      </w:pPr>
      <w:r w:rsidRPr="00B950CB">
        <w:rPr>
          <w:rFonts w:eastAsia="Times New Roman" w:cs="Arial"/>
          <w:color w:val="000000"/>
          <w:u w:val="single"/>
          <w:lang w:eastAsia="bg-BG"/>
        </w:rPr>
        <w:t>Педиатрична популация</w:t>
      </w:r>
    </w:p>
    <w:p w14:paraId="67F3A37B" w14:textId="77777777" w:rsidR="00B950CB" w:rsidRPr="00B950CB" w:rsidRDefault="00B950CB" w:rsidP="00B950CB">
      <w:pPr>
        <w:spacing w:line="240" w:lineRule="auto"/>
        <w:rPr>
          <w:rFonts w:eastAsia="Times New Roman" w:cs="Arial"/>
          <w:color w:val="000000"/>
          <w:lang w:eastAsia="bg-BG"/>
        </w:rPr>
      </w:pPr>
    </w:p>
    <w:p w14:paraId="7600D778" w14:textId="1DB29B11" w:rsidR="00B950CB" w:rsidRPr="00B950CB" w:rsidRDefault="00B950CB" w:rsidP="00B950CB">
      <w:pPr>
        <w:spacing w:line="240" w:lineRule="auto"/>
        <w:rPr>
          <w:rFonts w:eastAsia="Times New Roman" w:cs="Arial"/>
        </w:rPr>
      </w:pPr>
      <w:r w:rsidRPr="00B950CB">
        <w:rPr>
          <w:rFonts w:eastAsia="Times New Roman" w:cs="Arial"/>
          <w:color w:val="000000"/>
          <w:lang w:eastAsia="bg-BG"/>
        </w:rPr>
        <w:t>Нежеланите реакции, които се съобщават по-често (≥ 2 пъти) при деца, отколкото при възрастни в двойно слепи контролирани проучвания са:</w:t>
      </w:r>
    </w:p>
    <w:p w14:paraId="1FB44215"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Понижен апетит</w:t>
      </w:r>
    </w:p>
    <w:p w14:paraId="315E019D"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Повишен апетит</w:t>
      </w:r>
    </w:p>
    <w:p w14:paraId="0107506C"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Хиперхлоремична ацидоза</w:t>
      </w:r>
    </w:p>
    <w:p w14:paraId="2043B493"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Хипокалиемия</w:t>
      </w:r>
    </w:p>
    <w:p w14:paraId="52C5AA30"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Абнормно поведение</w:t>
      </w:r>
    </w:p>
    <w:p w14:paraId="5615733D"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Агресия</w:t>
      </w:r>
    </w:p>
    <w:p w14:paraId="58395EAE"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Апатия</w:t>
      </w:r>
    </w:p>
    <w:p w14:paraId="0909E709"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Начално безсъние</w:t>
      </w:r>
    </w:p>
    <w:p w14:paraId="68ED32E0"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Суицидна идеация</w:t>
      </w:r>
    </w:p>
    <w:p w14:paraId="14EDCC4F"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Затруднена концентрация</w:t>
      </w:r>
    </w:p>
    <w:p w14:paraId="30EE34DD"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Летаргия</w:t>
      </w:r>
    </w:p>
    <w:p w14:paraId="542E9641"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Нарушен циркаден ритъм на съня</w:t>
      </w:r>
    </w:p>
    <w:p w14:paraId="5A344122"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Некачествен сън</w:t>
      </w:r>
    </w:p>
    <w:p w14:paraId="40B96F0E"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Засилена лакримация</w:t>
      </w:r>
    </w:p>
    <w:p w14:paraId="757102D8"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Синусова брадикардия</w:t>
      </w:r>
    </w:p>
    <w:p w14:paraId="063A62D2"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Необичайни усещания</w:t>
      </w:r>
    </w:p>
    <w:p w14:paraId="218C8736" w14:textId="799C8F82"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Нарушения в походката</w:t>
      </w:r>
    </w:p>
    <w:p w14:paraId="54B3FF4E" w14:textId="77777777" w:rsidR="00B950CB" w:rsidRPr="00B950CB" w:rsidRDefault="00B950CB" w:rsidP="00B950CB">
      <w:pPr>
        <w:spacing w:line="240" w:lineRule="auto"/>
        <w:rPr>
          <w:rFonts w:eastAsia="Times New Roman" w:cs="Arial"/>
          <w:color w:val="000000"/>
          <w:lang w:eastAsia="bg-BG"/>
        </w:rPr>
      </w:pPr>
    </w:p>
    <w:p w14:paraId="272BF2DF" w14:textId="0B86FD67" w:rsidR="00B950CB" w:rsidRPr="00B950CB" w:rsidRDefault="00B950CB" w:rsidP="00B950CB">
      <w:pPr>
        <w:spacing w:line="240" w:lineRule="auto"/>
        <w:rPr>
          <w:rFonts w:eastAsia="Times New Roman" w:cs="Arial"/>
        </w:rPr>
      </w:pPr>
      <w:r w:rsidRPr="00B950CB">
        <w:rPr>
          <w:rFonts w:eastAsia="Times New Roman" w:cs="Arial"/>
          <w:color w:val="000000"/>
          <w:lang w:eastAsia="bg-BG"/>
        </w:rPr>
        <w:t>Нежеланите реакции, съобщавани при деца, но не и при възрастни в двойно слепи контролирани проучвания, са:</w:t>
      </w:r>
    </w:p>
    <w:p w14:paraId="68F44083" w14:textId="77777777"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Еозинофилия</w:t>
      </w:r>
    </w:p>
    <w:p w14:paraId="24DB7C7B" w14:textId="77777777"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Психомоторна хиперактивност</w:t>
      </w:r>
    </w:p>
    <w:p w14:paraId="6F78C19F" w14:textId="77777777"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Световъртеж</w:t>
      </w:r>
    </w:p>
    <w:p w14:paraId="1C62CF3D" w14:textId="77777777"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Повръщане</w:t>
      </w:r>
    </w:p>
    <w:p w14:paraId="7A2D6624" w14:textId="77777777"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Хипертермия</w:t>
      </w:r>
    </w:p>
    <w:p w14:paraId="51F4BEE2" w14:textId="77777777"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Пирексия</w:t>
      </w:r>
    </w:p>
    <w:p w14:paraId="2CFFF744" w14:textId="3402293C"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Неспособност за учене</w:t>
      </w:r>
    </w:p>
    <w:p w14:paraId="371E6893" w14:textId="77777777" w:rsidR="00B950CB" w:rsidRPr="00B950CB" w:rsidRDefault="00B950CB" w:rsidP="00B950CB">
      <w:pPr>
        <w:spacing w:line="240" w:lineRule="auto"/>
        <w:rPr>
          <w:rFonts w:eastAsia="Times New Roman" w:cs="Arial"/>
          <w:color w:val="000000"/>
          <w:u w:val="single"/>
          <w:lang w:eastAsia="bg-BG"/>
        </w:rPr>
      </w:pPr>
    </w:p>
    <w:p w14:paraId="72BDBB46" w14:textId="354BC702" w:rsidR="00B950CB" w:rsidRPr="00B950CB" w:rsidRDefault="00B950CB" w:rsidP="00B950CB">
      <w:pPr>
        <w:spacing w:line="240" w:lineRule="auto"/>
        <w:rPr>
          <w:rFonts w:eastAsia="Times New Roman" w:cs="Arial"/>
        </w:rPr>
      </w:pPr>
      <w:r w:rsidRPr="00B950CB">
        <w:rPr>
          <w:rFonts w:eastAsia="Times New Roman" w:cs="Arial"/>
          <w:color w:val="000000"/>
          <w:u w:val="single"/>
          <w:lang w:eastAsia="bg-BG"/>
        </w:rPr>
        <w:t>Съобщаване на подозирани нежелани реакции</w:t>
      </w:r>
    </w:p>
    <w:p w14:paraId="73C668E2" w14:textId="77777777" w:rsidR="00B950CB" w:rsidRPr="00B950CB" w:rsidRDefault="00B950CB" w:rsidP="00B950CB">
      <w:pPr>
        <w:spacing w:line="240" w:lineRule="auto"/>
        <w:rPr>
          <w:rFonts w:eastAsia="Times New Roman" w:cs="Arial"/>
        </w:rPr>
      </w:pPr>
      <w:r w:rsidRPr="00B950C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w:t>
      </w:r>
      <w:r w:rsidRPr="00B950CB">
        <w:rPr>
          <w:rFonts w:eastAsia="Times New Roman" w:cs="Arial"/>
          <w:color w:val="000000"/>
          <w:lang w:eastAsia="bg-BG"/>
        </w:rPr>
        <w:lastRenderedPageBreak/>
        <w:t>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w:t>
      </w:r>
      <w:r w:rsidRPr="00B950CB">
        <w:rPr>
          <w:rFonts w:eastAsia="Times New Roman" w:cs="Arial"/>
          <w:color w:val="000000"/>
          <w:vertAlign w:val="superscript"/>
          <w:lang w:eastAsia="bg-BG"/>
        </w:rPr>
        <w:t xml:space="preserve"> </w:t>
      </w:r>
      <w:r w:rsidRPr="00B950CB">
        <w:rPr>
          <w:rFonts w:eastAsia="Times New Roman" w:cs="Arial"/>
          <w:color w:val="000000"/>
          <w:lang w:eastAsia="bg-BG"/>
        </w:rPr>
        <w:t xml:space="preserve">№ 8, 1303 София, тел.: 02 8903417, уебсайт: </w:t>
      </w:r>
      <w:r w:rsidRPr="00B950CB">
        <w:rPr>
          <w:rFonts w:eastAsia="Times New Roman" w:cs="Arial"/>
        </w:rPr>
        <w:fldChar w:fldCharType="begin"/>
      </w:r>
      <w:r w:rsidRPr="00B950CB">
        <w:rPr>
          <w:rFonts w:eastAsia="Times New Roman" w:cs="Arial"/>
        </w:rPr>
        <w:instrText xml:space="preserve"> HYPERLINK "http://www.bda.bg" </w:instrText>
      </w:r>
      <w:r w:rsidRPr="00B950CB">
        <w:rPr>
          <w:rFonts w:eastAsia="Times New Roman" w:cs="Arial"/>
        </w:rPr>
      </w:r>
      <w:r w:rsidRPr="00B950CB">
        <w:rPr>
          <w:rFonts w:eastAsia="Times New Roman" w:cs="Arial"/>
        </w:rPr>
        <w:fldChar w:fldCharType="separate"/>
      </w:r>
      <w:r w:rsidRPr="00B950CB">
        <w:rPr>
          <w:rFonts w:eastAsia="Times New Roman" w:cs="Arial"/>
          <w:color w:val="000000"/>
          <w:lang w:val="en-US"/>
        </w:rPr>
        <w:t>www.bda.bg</w:t>
      </w:r>
      <w:r w:rsidRPr="00B950CB">
        <w:rPr>
          <w:rFonts w:eastAsia="Times New Roman" w:cs="Arial"/>
        </w:rPr>
        <w:fldChar w:fldCharType="end"/>
      </w:r>
      <w:r w:rsidRPr="00B950CB">
        <w:rPr>
          <w:rFonts w:eastAsia="Times New Roman" w:cs="Arial"/>
          <w:color w:val="000000"/>
          <w:lang w:val="en-US"/>
        </w:rPr>
        <w:t>.</w:t>
      </w:r>
    </w:p>
    <w:p w14:paraId="621521F1" w14:textId="77777777" w:rsidR="00B950CB" w:rsidRPr="00B950CB" w:rsidRDefault="00B950CB" w:rsidP="00B950CB">
      <w:pPr>
        <w:rPr>
          <w:rFonts w:cs="Arial"/>
          <w:sz w:val="24"/>
        </w:rPr>
      </w:pPr>
    </w:p>
    <w:p w14:paraId="5A87DBA3" w14:textId="16A22E88" w:rsidR="007122AD" w:rsidRDefault="002C50EE" w:rsidP="00936AD0">
      <w:pPr>
        <w:pStyle w:val="Heading2"/>
      </w:pPr>
      <w:r>
        <w:t>4.9. Предозиране</w:t>
      </w:r>
    </w:p>
    <w:p w14:paraId="66DFD0E0" w14:textId="335D076E" w:rsidR="00B950CB" w:rsidRDefault="00B950CB" w:rsidP="00B950CB"/>
    <w:p w14:paraId="62187FC6" w14:textId="77777777" w:rsidR="00B950CB" w:rsidRPr="00B950CB" w:rsidRDefault="00B950CB" w:rsidP="00B950CB">
      <w:pPr>
        <w:pStyle w:val="Heading3"/>
        <w:rPr>
          <w:rFonts w:eastAsia="Times New Roman"/>
          <w:sz w:val="28"/>
          <w:u w:val="single"/>
        </w:rPr>
      </w:pPr>
      <w:r w:rsidRPr="00B950CB">
        <w:rPr>
          <w:rFonts w:eastAsia="Times New Roman"/>
          <w:u w:val="single"/>
          <w:lang w:eastAsia="bg-BG"/>
        </w:rPr>
        <w:t>Признаци и симптоми</w:t>
      </w:r>
    </w:p>
    <w:p w14:paraId="7C174477" w14:textId="77777777" w:rsidR="00B950CB" w:rsidRPr="00B950CB" w:rsidRDefault="00B950CB" w:rsidP="00B950CB">
      <w:pPr>
        <w:spacing w:line="240" w:lineRule="auto"/>
        <w:rPr>
          <w:rFonts w:eastAsia="Times New Roman" w:cs="Arial"/>
          <w:color w:val="000000"/>
          <w:szCs w:val="20"/>
          <w:lang w:eastAsia="bg-BG"/>
        </w:rPr>
      </w:pPr>
    </w:p>
    <w:p w14:paraId="60EABD86" w14:textId="48F863BE"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Съобщава се за случаи на предозиране с топирамат. Признаците и симптомите включват конвулсии, сънливост, нарушения на речта, замъглено виждане, диплопия, нарушена мисловна дейност, летаргия, абнормна координация, ступор, хипотония, болки в областта на корема, възбуда, замаяност и депресия. В повечето случаи клиничните последици не са тежки, но се съобщава за смъртен изход след предозиране с няколко лекарства, включително и топирамат.</w:t>
      </w:r>
    </w:p>
    <w:p w14:paraId="768E379C" w14:textId="77777777" w:rsidR="00B950CB" w:rsidRPr="00B950CB" w:rsidRDefault="00B950CB" w:rsidP="00B950CB">
      <w:pPr>
        <w:rPr>
          <w:rFonts w:eastAsia="Times New Roman" w:cs="Arial"/>
          <w:color w:val="000000"/>
          <w:szCs w:val="20"/>
          <w:lang w:eastAsia="bg-BG"/>
        </w:rPr>
      </w:pPr>
    </w:p>
    <w:p w14:paraId="12F2C993" w14:textId="23AA7E45" w:rsidR="00B950CB" w:rsidRPr="00B950CB" w:rsidRDefault="00B950CB" w:rsidP="00B950CB">
      <w:pPr>
        <w:rPr>
          <w:rFonts w:eastAsia="Times New Roman" w:cs="Arial"/>
          <w:color w:val="000000"/>
          <w:szCs w:val="20"/>
          <w:lang w:eastAsia="bg-BG"/>
        </w:rPr>
      </w:pPr>
      <w:r w:rsidRPr="00B950CB">
        <w:rPr>
          <w:rFonts w:eastAsia="Times New Roman" w:cs="Arial"/>
          <w:color w:val="000000"/>
          <w:szCs w:val="20"/>
          <w:lang w:eastAsia="bg-BG"/>
        </w:rPr>
        <w:t>Предозирането на топирамат може да доведе до тежка метаболитна ацидоза (вж. точка 4.4)</w:t>
      </w:r>
    </w:p>
    <w:p w14:paraId="5EBAEC6A" w14:textId="440C860F" w:rsidR="00B950CB" w:rsidRPr="00B950CB" w:rsidRDefault="00B950CB" w:rsidP="00B950CB">
      <w:pPr>
        <w:rPr>
          <w:rFonts w:eastAsia="Times New Roman" w:cs="Arial"/>
          <w:color w:val="000000"/>
          <w:szCs w:val="20"/>
          <w:lang w:eastAsia="bg-BG"/>
        </w:rPr>
      </w:pPr>
    </w:p>
    <w:p w14:paraId="7B2DF77D" w14:textId="77777777" w:rsidR="00B950CB" w:rsidRPr="00B950CB" w:rsidRDefault="00B950CB" w:rsidP="00B950CB">
      <w:pPr>
        <w:pStyle w:val="Heading3"/>
        <w:rPr>
          <w:rFonts w:eastAsia="Times New Roman"/>
          <w:sz w:val="28"/>
          <w:u w:val="single"/>
        </w:rPr>
      </w:pPr>
      <w:r w:rsidRPr="00B950CB">
        <w:rPr>
          <w:rFonts w:eastAsia="Times New Roman"/>
          <w:u w:val="single"/>
          <w:lang w:eastAsia="bg-BG"/>
        </w:rPr>
        <w:t>Лечение</w:t>
      </w:r>
    </w:p>
    <w:p w14:paraId="0C2B43D4" w14:textId="77777777" w:rsidR="00B950CB" w:rsidRPr="00B950CB" w:rsidRDefault="00B950CB" w:rsidP="00B950CB">
      <w:pPr>
        <w:rPr>
          <w:rFonts w:eastAsia="Times New Roman" w:cs="Arial"/>
          <w:color w:val="000000"/>
          <w:szCs w:val="20"/>
          <w:lang w:eastAsia="bg-BG"/>
        </w:rPr>
      </w:pPr>
    </w:p>
    <w:p w14:paraId="2F7FC857" w14:textId="1A60BC7A" w:rsidR="00B950CB" w:rsidRPr="00B950CB" w:rsidRDefault="00B950CB" w:rsidP="00B950CB">
      <w:pPr>
        <w:rPr>
          <w:rFonts w:cs="Arial"/>
          <w:sz w:val="24"/>
        </w:rPr>
      </w:pPr>
      <w:r w:rsidRPr="00B950CB">
        <w:rPr>
          <w:rFonts w:eastAsia="Times New Roman" w:cs="Arial"/>
          <w:color w:val="000000"/>
          <w:szCs w:val="20"/>
          <w:lang w:eastAsia="bg-BG"/>
        </w:rPr>
        <w:t xml:space="preserve">При остро предозиране на топирамат, ако лекарството е погълнато наскоро, стомахът трябва да се изпразни незабавно чрез промивка или предизвикване на повръщане. Проучванията </w:t>
      </w:r>
      <w:r w:rsidRPr="00B950CB">
        <w:rPr>
          <w:rFonts w:eastAsia="Times New Roman" w:cs="Arial"/>
          <w:i/>
          <w:iCs/>
          <w:color w:val="000000"/>
          <w:szCs w:val="20"/>
          <w:lang w:val="en-US"/>
        </w:rPr>
        <w:t>in</w:t>
      </w:r>
      <w:r w:rsidRPr="00B950CB">
        <w:rPr>
          <w:rFonts w:eastAsia="Times New Roman" w:cs="Arial"/>
          <w:i/>
          <w:iCs/>
          <w:color w:val="000000"/>
          <w:szCs w:val="20"/>
          <w:lang w:val="ru-RU"/>
        </w:rPr>
        <w:t xml:space="preserve"> </w:t>
      </w:r>
      <w:r w:rsidRPr="00B950CB">
        <w:rPr>
          <w:rFonts w:eastAsia="Times New Roman" w:cs="Arial"/>
          <w:i/>
          <w:iCs/>
          <w:color w:val="000000"/>
          <w:szCs w:val="20"/>
          <w:lang w:val="en-US"/>
        </w:rPr>
        <w:t>vitro</w:t>
      </w:r>
      <w:r w:rsidRPr="00B950CB">
        <w:rPr>
          <w:rFonts w:eastAsia="Times New Roman" w:cs="Arial"/>
          <w:i/>
          <w:iCs/>
          <w:color w:val="000000"/>
          <w:szCs w:val="20"/>
          <w:lang w:val="ru-RU"/>
        </w:rPr>
        <w:t xml:space="preserve"> </w:t>
      </w:r>
      <w:r w:rsidRPr="00B950CB">
        <w:rPr>
          <w:rFonts w:eastAsia="Times New Roman" w:cs="Arial"/>
          <w:color w:val="000000"/>
          <w:szCs w:val="20"/>
          <w:lang w:eastAsia="bg-BG"/>
        </w:rPr>
        <w:t>показват, че активният въглен абсорбира топирамат. Трябва да се проведе необходимото поддържащо лечение и пациентът трябва да е добре хидратиран. Хемодиализата представлява ефективен начин за отстраняване на топирамат от организма.</w:t>
      </w:r>
    </w:p>
    <w:p w14:paraId="02081B24" w14:textId="36FE76F4" w:rsidR="00395555" w:rsidRPr="00395555" w:rsidRDefault="002C50EE" w:rsidP="008A6AF2">
      <w:pPr>
        <w:pStyle w:val="Heading1"/>
      </w:pPr>
      <w:r>
        <w:t>5. ФАРМАКОЛОГИЧНИ СВОЙСТВА</w:t>
      </w:r>
    </w:p>
    <w:p w14:paraId="6339E404" w14:textId="717467D6" w:rsidR="00875EEC" w:rsidRDefault="002C50EE" w:rsidP="005726E3">
      <w:pPr>
        <w:pStyle w:val="Heading2"/>
      </w:pPr>
      <w:r>
        <w:t>5.1. Фармакодинамични свойства</w:t>
      </w:r>
    </w:p>
    <w:p w14:paraId="19C069B1" w14:textId="05A362FA" w:rsidR="00B950CB" w:rsidRDefault="00B950CB" w:rsidP="00B950CB"/>
    <w:p w14:paraId="0E615247"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Фармакотерапевтична група: антиепилептици, други антиепилептици, антимигренозни средства, АТС код: </w:t>
      </w:r>
      <w:r w:rsidRPr="00B950CB">
        <w:rPr>
          <w:rFonts w:eastAsia="Times New Roman" w:cs="Arial"/>
          <w:color w:val="000000"/>
          <w:szCs w:val="20"/>
          <w:lang w:val="en-US"/>
        </w:rPr>
        <w:t>NO</w:t>
      </w:r>
      <w:r w:rsidRPr="00B950CB">
        <w:rPr>
          <w:rFonts w:eastAsia="Times New Roman" w:cs="Arial"/>
          <w:color w:val="000000"/>
          <w:szCs w:val="20"/>
          <w:lang w:val="ru-RU"/>
        </w:rPr>
        <w:t>3</w:t>
      </w:r>
      <w:r w:rsidRPr="00B950CB">
        <w:rPr>
          <w:rFonts w:eastAsia="Times New Roman" w:cs="Arial"/>
          <w:color w:val="000000"/>
          <w:szCs w:val="20"/>
          <w:lang w:val="en-US"/>
        </w:rPr>
        <w:t>AX</w:t>
      </w:r>
      <w:r w:rsidRPr="00B950CB">
        <w:rPr>
          <w:rFonts w:eastAsia="Times New Roman" w:cs="Arial"/>
          <w:color w:val="000000"/>
          <w:szCs w:val="20"/>
          <w:lang w:val="ru-RU"/>
        </w:rPr>
        <w:t>11</w:t>
      </w:r>
    </w:p>
    <w:p w14:paraId="6D7A12C3" w14:textId="77777777" w:rsidR="00B950CB" w:rsidRPr="00B950CB" w:rsidRDefault="00B950CB" w:rsidP="00B950CB">
      <w:pPr>
        <w:spacing w:line="240" w:lineRule="auto"/>
        <w:rPr>
          <w:rFonts w:eastAsia="Times New Roman" w:cs="Arial"/>
          <w:color w:val="000000"/>
          <w:szCs w:val="20"/>
          <w:u w:val="single"/>
          <w:lang w:eastAsia="bg-BG"/>
        </w:rPr>
      </w:pPr>
    </w:p>
    <w:p w14:paraId="469E1608" w14:textId="4E3BF6DB"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u w:val="single"/>
          <w:lang w:eastAsia="bg-BG"/>
        </w:rPr>
        <w:t>Механизъм на действие и фармакодинамични ефекти</w:t>
      </w:r>
    </w:p>
    <w:p w14:paraId="39C004A4"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Топирамат се класифицира като сулфамат-субституиран монозахарид. Точният механизъм, чрез който топирамат оказва своя ефект за предотвратяване на пристъпи и профилактика на мигрена не е известен. Електрофизиологичните и биохимичните проучвания върху култивирани неврони показват, че антиепилептичната ефективност на топирамат вероятно се определя от три свойства.</w:t>
      </w:r>
    </w:p>
    <w:p w14:paraId="3D11F05E" w14:textId="77777777" w:rsidR="00B950CB" w:rsidRPr="00B950CB" w:rsidRDefault="00B950CB" w:rsidP="00B950CB">
      <w:pPr>
        <w:spacing w:line="240" w:lineRule="auto"/>
        <w:rPr>
          <w:rFonts w:eastAsia="Times New Roman" w:cs="Arial"/>
          <w:color w:val="000000"/>
          <w:szCs w:val="20"/>
          <w:lang w:eastAsia="bg-BG"/>
        </w:rPr>
      </w:pPr>
    </w:p>
    <w:p w14:paraId="167ECD90" w14:textId="7F2EAF8F"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Акционните потенциали, предизвикани многократно при продължителна деполяризация на невроните, се блокират от топирамат в зависимост от времето, което предполага блокиране на натриевите канали, зависещо от състоянието. Топирамат повишава честотата, с която гама- аминобутирата </w:t>
      </w:r>
      <w:r w:rsidRPr="00B950CB">
        <w:rPr>
          <w:rFonts w:eastAsia="Times New Roman" w:cs="Arial"/>
          <w:color w:val="000000"/>
          <w:szCs w:val="20"/>
          <w:lang w:val="ru-RU"/>
        </w:rPr>
        <w:t>(</w:t>
      </w:r>
      <w:r w:rsidRPr="00B950CB">
        <w:rPr>
          <w:rFonts w:eastAsia="Times New Roman" w:cs="Arial"/>
          <w:color w:val="000000"/>
          <w:szCs w:val="20"/>
          <w:lang w:val="en-US"/>
        </w:rPr>
        <w:t>GABA</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активира </w:t>
      </w:r>
      <w:proofErr w:type="spellStart"/>
      <w:r w:rsidRPr="00B950CB">
        <w:rPr>
          <w:rFonts w:eastAsia="Times New Roman" w:cs="Arial"/>
          <w:smallCaps/>
          <w:color w:val="000000"/>
          <w:szCs w:val="20"/>
          <w:lang w:val="en-US"/>
        </w:rPr>
        <w:t>GABAa</w:t>
      </w:r>
      <w:proofErr w:type="spellEnd"/>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рецепторите и засилва способността на </w:t>
      </w:r>
      <w:r w:rsidRPr="00B950CB">
        <w:rPr>
          <w:rFonts w:eastAsia="Times New Roman" w:cs="Arial"/>
          <w:color w:val="000000"/>
          <w:szCs w:val="20"/>
          <w:lang w:val="en-US"/>
        </w:rPr>
        <w:t>GABA</w:t>
      </w:r>
      <w:r w:rsidRPr="00B950CB">
        <w:rPr>
          <w:rFonts w:eastAsia="Times New Roman" w:cs="Arial"/>
          <w:color w:val="000000"/>
          <w:szCs w:val="20"/>
          <w:lang w:val="ru-RU"/>
        </w:rPr>
        <w:t xml:space="preserve"> </w:t>
      </w:r>
      <w:r w:rsidRPr="00B950CB">
        <w:rPr>
          <w:rFonts w:eastAsia="Times New Roman" w:cs="Arial"/>
          <w:color w:val="000000"/>
          <w:szCs w:val="20"/>
          <w:lang w:eastAsia="bg-BG"/>
        </w:rPr>
        <w:t>да индуцира поток от хлорни йони в невроните. Това предполага, че топирамат потенцира активността на този инхибиторен невротрансмитер.</w:t>
      </w:r>
    </w:p>
    <w:p w14:paraId="355077DC" w14:textId="77777777" w:rsidR="00B950CB" w:rsidRPr="00B950CB" w:rsidRDefault="00B950CB" w:rsidP="00B950CB">
      <w:pPr>
        <w:spacing w:line="240" w:lineRule="auto"/>
        <w:rPr>
          <w:rFonts w:eastAsia="Times New Roman" w:cs="Arial"/>
          <w:color w:val="000000"/>
          <w:szCs w:val="20"/>
          <w:lang w:eastAsia="bg-BG"/>
        </w:rPr>
      </w:pPr>
    </w:p>
    <w:p w14:paraId="19A0D9D1" w14:textId="743F23E2"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lastRenderedPageBreak/>
        <w:t xml:space="preserve">Този ефект не се блокира от флумазенил — бензодиазепинов антагонист, и също така топирамат не удължава времето на отваряне на канала, което разграничава топирамат от барбитуратите, модулиращи </w:t>
      </w:r>
      <w:proofErr w:type="spellStart"/>
      <w:r w:rsidRPr="00B950CB">
        <w:rPr>
          <w:rFonts w:eastAsia="Times New Roman" w:cs="Arial"/>
          <w:smallCaps/>
          <w:color w:val="000000"/>
          <w:szCs w:val="20"/>
          <w:lang w:val="en-US"/>
        </w:rPr>
        <w:t>GABAa</w:t>
      </w:r>
      <w:proofErr w:type="spellEnd"/>
      <w:r w:rsidRPr="00B950CB">
        <w:rPr>
          <w:rFonts w:eastAsia="Times New Roman" w:cs="Arial"/>
          <w:color w:val="000000"/>
          <w:szCs w:val="20"/>
          <w:lang w:val="ru-RU"/>
        </w:rPr>
        <w:t xml:space="preserve"> </w:t>
      </w:r>
      <w:r w:rsidRPr="00B950CB">
        <w:rPr>
          <w:rFonts w:eastAsia="Times New Roman" w:cs="Arial"/>
          <w:color w:val="000000"/>
          <w:szCs w:val="20"/>
          <w:lang w:eastAsia="bg-BG"/>
        </w:rPr>
        <w:t>рецепторите.</w:t>
      </w:r>
    </w:p>
    <w:p w14:paraId="51738DD3" w14:textId="77777777" w:rsidR="00B950CB" w:rsidRPr="00B950CB" w:rsidRDefault="00B950CB" w:rsidP="00B950CB">
      <w:pPr>
        <w:spacing w:line="240" w:lineRule="auto"/>
        <w:rPr>
          <w:rFonts w:eastAsia="Times New Roman" w:cs="Arial"/>
          <w:color w:val="000000"/>
          <w:szCs w:val="20"/>
          <w:lang w:eastAsia="bg-BG"/>
        </w:rPr>
      </w:pPr>
    </w:p>
    <w:p w14:paraId="4AD0EBDC" w14:textId="6B12F5FB"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Тъй като антиепилептичният профил на топирамат подчертано се различава от този на бензодиазепините, той може да модулира бензодиазепин-нечувствителни подтипове на </w:t>
      </w:r>
      <w:proofErr w:type="spellStart"/>
      <w:r w:rsidRPr="00B950CB">
        <w:rPr>
          <w:rFonts w:eastAsia="Times New Roman" w:cs="Arial"/>
          <w:smallCaps/>
          <w:color w:val="000000"/>
          <w:szCs w:val="20"/>
          <w:lang w:val="en-US"/>
        </w:rPr>
        <w:t>GABAa</w:t>
      </w:r>
      <w:proofErr w:type="spellEnd"/>
      <w:r w:rsidRPr="00B950CB">
        <w:rPr>
          <w:rFonts w:eastAsia="Times New Roman" w:cs="Arial"/>
          <w:smallCaps/>
          <w:color w:val="000000"/>
          <w:szCs w:val="20"/>
          <w:lang w:val="ru-RU"/>
        </w:rPr>
        <w:t xml:space="preserve"> </w:t>
      </w:r>
      <w:r w:rsidRPr="00B950CB">
        <w:rPr>
          <w:rFonts w:eastAsia="Times New Roman" w:cs="Arial"/>
          <w:color w:val="000000"/>
          <w:szCs w:val="20"/>
          <w:lang w:eastAsia="bg-BG"/>
        </w:rPr>
        <w:t xml:space="preserve">рецептора. Топирамат антагонизира способността на капната да активира каинат/АМРА (α- амино-3-хидрокси-5-метилизоксазол-4 пропионова киселина), подтип на възбудните аминокиселинни (глутамат) рецептори, но няма видим ефект върху активността на рецепторния </w:t>
      </w:r>
      <w:r w:rsidRPr="00B950CB">
        <w:rPr>
          <w:rFonts w:eastAsia="Times New Roman" w:cs="Arial"/>
          <w:color w:val="000000"/>
          <w:szCs w:val="20"/>
          <w:lang w:val="en-US"/>
        </w:rPr>
        <w:t>N</w:t>
      </w:r>
      <w:r w:rsidRPr="00B950CB">
        <w:rPr>
          <w:rFonts w:eastAsia="Times New Roman" w:cs="Arial"/>
          <w:color w:val="000000"/>
          <w:szCs w:val="20"/>
          <w:lang w:val="ru-RU"/>
        </w:rPr>
        <w:t>-</w:t>
      </w:r>
      <w:r w:rsidRPr="00B950CB">
        <w:rPr>
          <w:rFonts w:eastAsia="Times New Roman" w:cs="Arial"/>
          <w:color w:val="000000"/>
          <w:szCs w:val="20"/>
          <w:lang w:eastAsia="bg-BG"/>
        </w:rPr>
        <w:t>метил-</w:t>
      </w:r>
      <w:r w:rsidRPr="00B950CB">
        <w:rPr>
          <w:rFonts w:eastAsia="Times New Roman" w:cs="Arial"/>
          <w:color w:val="000000"/>
          <w:szCs w:val="20"/>
          <w:lang w:val="en-US"/>
        </w:rPr>
        <w:t>D</w:t>
      </w:r>
      <w:r w:rsidRPr="00B950CB">
        <w:rPr>
          <w:rFonts w:eastAsia="Times New Roman" w:cs="Arial"/>
          <w:color w:val="000000"/>
          <w:szCs w:val="20"/>
          <w:lang w:val="ru-RU"/>
        </w:rPr>
        <w:t>-</w:t>
      </w:r>
      <w:r w:rsidRPr="00B950CB">
        <w:rPr>
          <w:rFonts w:eastAsia="Times New Roman" w:cs="Arial"/>
          <w:color w:val="000000"/>
          <w:szCs w:val="20"/>
          <w:lang w:eastAsia="bg-BG"/>
        </w:rPr>
        <w:t>аспартат</w:t>
      </w:r>
      <w:r w:rsidRPr="00B950CB">
        <w:rPr>
          <w:rFonts w:eastAsia="Times New Roman" w:cs="Arial"/>
          <w:color w:val="000000"/>
          <w:szCs w:val="20"/>
          <w:lang w:val="ru-RU"/>
        </w:rPr>
        <w:t xml:space="preserve"> -(</w:t>
      </w:r>
      <w:r w:rsidRPr="00B950CB">
        <w:rPr>
          <w:rFonts w:eastAsia="Times New Roman" w:cs="Arial"/>
          <w:color w:val="000000"/>
          <w:szCs w:val="20"/>
          <w:lang w:val="en-US"/>
        </w:rPr>
        <w:t>NMDA</w:t>
      </w:r>
      <w:r w:rsidRPr="00B950CB">
        <w:rPr>
          <w:rFonts w:eastAsia="Times New Roman" w:cs="Arial"/>
          <w:color w:val="000000"/>
          <w:szCs w:val="20"/>
          <w:lang w:val="ru-RU"/>
        </w:rPr>
        <w:t xml:space="preserve">) </w:t>
      </w:r>
      <w:r w:rsidRPr="00B950CB">
        <w:rPr>
          <w:rFonts w:eastAsia="Times New Roman" w:cs="Arial"/>
          <w:color w:val="000000"/>
          <w:szCs w:val="20"/>
          <w:lang w:eastAsia="bg-BG"/>
        </w:rPr>
        <w:t>подтип. Тези ефекти на топирамат са в зависимост от концентрацията в диапазона от 1 μМ до 200 μМ, с минимална активност, наблюдавана от 1 μМ до 10 μМ.</w:t>
      </w:r>
    </w:p>
    <w:p w14:paraId="0DA45583" w14:textId="77777777" w:rsidR="00B950CB" w:rsidRPr="00B950CB" w:rsidRDefault="00B950CB" w:rsidP="00B950CB">
      <w:pPr>
        <w:spacing w:line="240" w:lineRule="auto"/>
        <w:rPr>
          <w:rFonts w:eastAsia="Times New Roman" w:cs="Arial"/>
          <w:color w:val="000000"/>
          <w:szCs w:val="20"/>
          <w:lang w:eastAsia="bg-BG"/>
        </w:rPr>
      </w:pPr>
    </w:p>
    <w:p w14:paraId="4BF534F5" w14:textId="5914CA5E"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Освен това топирамат потиска някои изоензими на карбоанхидразата. Този фармакологичен ефект е много по-слаб отколкото наблюдавания при ацетазоламид, известен инхибитор на карбоанхидразата, и не се приема като основен компонент на антиепилептичната активност на топирамат.</w:t>
      </w:r>
    </w:p>
    <w:p w14:paraId="38112661" w14:textId="77777777" w:rsidR="00B950CB" w:rsidRPr="00B950CB" w:rsidRDefault="00B950CB" w:rsidP="00B950CB">
      <w:pPr>
        <w:rPr>
          <w:rFonts w:eastAsia="Times New Roman" w:cs="Arial"/>
          <w:color w:val="000000"/>
          <w:szCs w:val="20"/>
          <w:lang w:eastAsia="bg-BG"/>
        </w:rPr>
      </w:pPr>
    </w:p>
    <w:p w14:paraId="6818C2B8" w14:textId="04FA3713" w:rsidR="00B950CB" w:rsidRPr="00B950CB" w:rsidRDefault="00B950CB" w:rsidP="00B950CB">
      <w:pPr>
        <w:rPr>
          <w:rFonts w:eastAsia="Times New Roman" w:cs="Arial"/>
          <w:color w:val="000000"/>
          <w:szCs w:val="20"/>
          <w:lang w:eastAsia="bg-BG"/>
        </w:rPr>
      </w:pPr>
      <w:r w:rsidRPr="00B950CB">
        <w:rPr>
          <w:rFonts w:eastAsia="Times New Roman" w:cs="Arial"/>
          <w:color w:val="000000"/>
          <w:szCs w:val="20"/>
          <w:lang w:eastAsia="bg-BG"/>
        </w:rPr>
        <w:t>При проучвания върху животни топирамат показва антиконвулсивна активност при изследванията с максимален електрошоков гърч при плъхове и мишки и е ефективен при модела на епилепсия при гризачи, който включва тонични и абсанс-подобни прист</w:t>
      </w:r>
      <w:r w:rsidRPr="00B950CB">
        <w:rPr>
          <w:rFonts w:eastAsia="Times New Roman" w:cs="Arial"/>
          <w:color w:val="000000"/>
          <w:szCs w:val="20"/>
          <w:u w:val="single"/>
          <w:lang w:eastAsia="bg-BG"/>
        </w:rPr>
        <w:t>ъпи п</w:t>
      </w:r>
      <w:r w:rsidRPr="00B950CB">
        <w:rPr>
          <w:rFonts w:eastAsia="Times New Roman" w:cs="Arial"/>
          <w:color w:val="000000"/>
          <w:szCs w:val="20"/>
          <w:lang w:eastAsia="bg-BG"/>
        </w:rPr>
        <w:t xml:space="preserve">ри плъхове със спонтанно предизвикана епилепсия </w:t>
      </w:r>
      <w:r w:rsidRPr="00B950CB">
        <w:rPr>
          <w:rFonts w:eastAsia="Times New Roman" w:cs="Arial"/>
          <w:color w:val="000000"/>
          <w:szCs w:val="20"/>
          <w:lang w:val="ru-RU"/>
        </w:rPr>
        <w:t>(</w:t>
      </w:r>
      <w:r w:rsidRPr="00B950CB">
        <w:rPr>
          <w:rFonts w:eastAsia="Times New Roman" w:cs="Arial"/>
          <w:color w:val="000000"/>
          <w:szCs w:val="20"/>
          <w:lang w:val="en-US"/>
        </w:rPr>
        <w:t>SER</w:t>
      </w:r>
      <w:r w:rsidRPr="00B950CB">
        <w:rPr>
          <w:rFonts w:eastAsia="Times New Roman" w:cs="Arial"/>
          <w:color w:val="000000"/>
          <w:szCs w:val="20"/>
          <w:lang w:val="ru-RU"/>
        </w:rPr>
        <w:t xml:space="preserve">) </w:t>
      </w:r>
      <w:r w:rsidRPr="00B950CB">
        <w:rPr>
          <w:rFonts w:eastAsia="Times New Roman" w:cs="Arial"/>
          <w:color w:val="000000"/>
          <w:szCs w:val="20"/>
          <w:lang w:eastAsia="bg-BG"/>
        </w:rPr>
        <w:t>и тонични и клонични</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гърчове. индуцирани при плъхове чрез възбуждане на амигдала или глобална исхемия. Топирамат е слабо ефективен единствено при блокирането на клоничните гърчове, индуцирани от </w:t>
      </w:r>
      <w:r w:rsidRPr="00B950CB">
        <w:rPr>
          <w:rFonts w:eastAsia="Times New Roman" w:cs="Arial"/>
          <w:color w:val="000000"/>
          <w:szCs w:val="20"/>
          <w:lang w:val="en-US"/>
        </w:rPr>
        <w:t>GABA</w:t>
      </w:r>
      <w:r w:rsidRPr="00B950CB">
        <w:rPr>
          <w:rFonts w:eastAsia="Times New Roman" w:cs="Arial"/>
          <w:color w:val="000000"/>
          <w:szCs w:val="20"/>
          <w:vertAlign w:val="subscript"/>
          <w:lang w:val="en-US"/>
        </w:rPr>
        <w:t>A</w:t>
      </w:r>
      <w:r w:rsidRPr="00B950CB">
        <w:rPr>
          <w:rFonts w:eastAsia="Times New Roman" w:cs="Arial"/>
          <w:color w:val="000000"/>
          <w:szCs w:val="20"/>
          <w:lang w:eastAsia="bg-BG"/>
        </w:rPr>
        <w:t xml:space="preserve"> рецепторния антагонист пентилентетразол.</w:t>
      </w:r>
    </w:p>
    <w:p w14:paraId="0E1F9398" w14:textId="6C6DF0D4" w:rsidR="00B950CB" w:rsidRPr="00B950CB" w:rsidRDefault="00B950CB" w:rsidP="00B950CB">
      <w:pPr>
        <w:rPr>
          <w:rFonts w:eastAsia="Times New Roman" w:cs="Arial"/>
          <w:color w:val="000000"/>
          <w:szCs w:val="20"/>
          <w:lang w:eastAsia="bg-BG"/>
        </w:rPr>
      </w:pPr>
    </w:p>
    <w:p w14:paraId="7CF4296C"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Проучванията върху мишки, приемащи едновременно топирамат и карбамазепин или фенобарбитал, показват синергична антиконвулсивна дейност, докато комбинацията му с фенитоин показва допълнителна антиконвулсивна дейност. При добре контролирани допълнителни проучвания не е наблюдавана взаимовръзка между най-ниската плазмена концентрация на топирамат и неговата клинична ефикасност. Няма данни за поносимост при хора,</w:t>
      </w:r>
    </w:p>
    <w:p w14:paraId="106E804A" w14:textId="77777777" w:rsidR="00B950CB" w:rsidRPr="00B950CB" w:rsidRDefault="00B950CB" w:rsidP="00B950CB">
      <w:pPr>
        <w:spacing w:line="240" w:lineRule="auto"/>
        <w:rPr>
          <w:rFonts w:eastAsia="Times New Roman" w:cs="Arial"/>
          <w:color w:val="000000"/>
          <w:szCs w:val="20"/>
          <w:u w:val="single"/>
          <w:lang w:eastAsia="bg-BG"/>
        </w:rPr>
      </w:pPr>
    </w:p>
    <w:p w14:paraId="3DE60467" w14:textId="0D47A415"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u w:val="single"/>
          <w:lang w:eastAsia="bg-BG"/>
        </w:rPr>
        <w:t>Абсансни гърчове</w:t>
      </w:r>
    </w:p>
    <w:p w14:paraId="3C43BA1C"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Проведени са две малки проучвания с по едно рамо при деца на възраст 4-11 години </w:t>
      </w:r>
      <w:r w:rsidRPr="00B950CB">
        <w:rPr>
          <w:rFonts w:eastAsia="Times New Roman" w:cs="Arial"/>
          <w:color w:val="000000"/>
          <w:szCs w:val="20"/>
          <w:lang w:val="ru-RU"/>
        </w:rPr>
        <w:t>(</w:t>
      </w:r>
      <w:r w:rsidRPr="00B950CB">
        <w:rPr>
          <w:rFonts w:eastAsia="Times New Roman" w:cs="Arial"/>
          <w:color w:val="000000"/>
          <w:szCs w:val="20"/>
          <w:lang w:val="en-US"/>
        </w:rPr>
        <w:t>CAPSS</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326 и </w:t>
      </w:r>
      <w:r w:rsidRPr="00B950CB">
        <w:rPr>
          <w:rFonts w:eastAsia="Times New Roman" w:cs="Arial"/>
          <w:color w:val="000000"/>
          <w:szCs w:val="20"/>
          <w:lang w:val="en-US"/>
        </w:rPr>
        <w:t>TOPAMAT</w:t>
      </w:r>
      <w:r w:rsidRPr="00B950CB">
        <w:rPr>
          <w:rFonts w:eastAsia="Times New Roman" w:cs="Arial"/>
          <w:color w:val="000000"/>
          <w:szCs w:val="20"/>
          <w:lang w:val="ru-RU"/>
        </w:rPr>
        <w:t>-</w:t>
      </w:r>
      <w:r w:rsidRPr="00B950CB">
        <w:rPr>
          <w:rFonts w:eastAsia="Times New Roman" w:cs="Arial"/>
          <w:color w:val="000000"/>
          <w:szCs w:val="20"/>
          <w:lang w:val="en-US"/>
        </w:rPr>
        <w:t>ABS</w:t>
      </w:r>
      <w:r w:rsidRPr="00B950CB">
        <w:rPr>
          <w:rFonts w:eastAsia="Times New Roman" w:cs="Arial"/>
          <w:color w:val="000000"/>
          <w:szCs w:val="20"/>
          <w:lang w:val="ru-RU"/>
        </w:rPr>
        <w:t xml:space="preserve">-001). </w:t>
      </w:r>
      <w:r w:rsidRPr="00B950CB">
        <w:rPr>
          <w:rFonts w:eastAsia="Times New Roman" w:cs="Arial"/>
          <w:color w:val="000000"/>
          <w:szCs w:val="20"/>
          <w:lang w:eastAsia="bg-BG"/>
        </w:rPr>
        <w:t xml:space="preserve">В едното са участвали 5 деца, а в другото - 12, преди да бъде преждевременно прекратено поради липса на терапевтичен отговор. Дозите, използвани в проучванията, са до приблизително 12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в проучване </w:t>
      </w:r>
      <w:r w:rsidRPr="00B950CB">
        <w:rPr>
          <w:rFonts w:eastAsia="Times New Roman" w:cs="Arial"/>
          <w:color w:val="000000"/>
          <w:szCs w:val="20"/>
          <w:lang w:val="en-US"/>
        </w:rPr>
        <w:t>TOPAMAT</w:t>
      </w:r>
      <w:r w:rsidRPr="00B950CB">
        <w:rPr>
          <w:rFonts w:eastAsia="Times New Roman" w:cs="Arial"/>
          <w:color w:val="000000"/>
          <w:szCs w:val="20"/>
          <w:lang w:val="ru-RU"/>
        </w:rPr>
        <w:t>-</w:t>
      </w:r>
      <w:r w:rsidRPr="00B950CB">
        <w:rPr>
          <w:rFonts w:eastAsia="Times New Roman" w:cs="Arial"/>
          <w:color w:val="000000"/>
          <w:szCs w:val="20"/>
          <w:lang w:val="en-US"/>
        </w:rPr>
        <w:t>ABS</w:t>
      </w:r>
      <w:r w:rsidRPr="00B950CB">
        <w:rPr>
          <w:rFonts w:eastAsia="Times New Roman" w:cs="Arial"/>
          <w:color w:val="000000"/>
          <w:szCs w:val="20"/>
          <w:lang w:val="ru-RU"/>
        </w:rPr>
        <w:t xml:space="preserve">-001 </w:t>
      </w:r>
      <w:r w:rsidRPr="00B950CB">
        <w:rPr>
          <w:rFonts w:eastAsia="Times New Roman" w:cs="Arial"/>
          <w:color w:val="000000"/>
          <w:szCs w:val="20"/>
          <w:lang w:eastAsia="bg-BG"/>
        </w:rPr>
        <w:t xml:space="preserve">и максимумът на по-малката доза от 9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или 400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в проучване </w:t>
      </w:r>
      <w:r w:rsidRPr="00B950CB">
        <w:rPr>
          <w:rFonts w:eastAsia="Times New Roman" w:cs="Arial"/>
          <w:color w:val="000000"/>
          <w:szCs w:val="20"/>
          <w:lang w:val="en-US"/>
        </w:rPr>
        <w:t>CAPSS</w:t>
      </w:r>
      <w:r w:rsidRPr="00B950CB">
        <w:rPr>
          <w:rFonts w:eastAsia="Times New Roman" w:cs="Arial"/>
          <w:color w:val="000000"/>
          <w:szCs w:val="20"/>
          <w:lang w:val="ru-RU"/>
        </w:rPr>
        <w:t xml:space="preserve">-326. </w:t>
      </w:r>
      <w:r w:rsidRPr="00B950CB">
        <w:rPr>
          <w:rFonts w:eastAsia="Times New Roman" w:cs="Arial"/>
          <w:color w:val="000000"/>
          <w:szCs w:val="20"/>
          <w:lang w:eastAsia="bg-BG"/>
        </w:rPr>
        <w:t>Тези проучвания не предоставят достатъчно доказателства, за да се направи заключение относно ефикасността или безопасността в педиатричната популация.</w:t>
      </w:r>
    </w:p>
    <w:p w14:paraId="50BCE136" w14:textId="77777777" w:rsidR="00B950CB" w:rsidRPr="00B950CB" w:rsidRDefault="00B950CB" w:rsidP="00B950CB"/>
    <w:p w14:paraId="346B622B" w14:textId="6B23A91C" w:rsidR="00875EEC" w:rsidRDefault="002C50EE" w:rsidP="005726E3">
      <w:pPr>
        <w:pStyle w:val="Heading2"/>
      </w:pPr>
      <w:r>
        <w:t>5.2. Фармакокинетични свойства</w:t>
      </w:r>
    </w:p>
    <w:p w14:paraId="521B7D26" w14:textId="039CFCE4" w:rsidR="00B950CB" w:rsidRDefault="00B950CB" w:rsidP="00B950CB"/>
    <w:p w14:paraId="45CB5ABA"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Фармакокинетичният профил на топирамат, сравнен с други антиепилептични средства, показва дълъг плазмен полуживот, линейна фармакокинетика, преобладаващ бъбречен клирънс, липса на значително свързване с протеини и липса на клинично значими активни метаболити.</w:t>
      </w:r>
    </w:p>
    <w:p w14:paraId="011B8A75" w14:textId="77777777" w:rsidR="00B950CB" w:rsidRPr="00B950CB" w:rsidRDefault="00B950CB" w:rsidP="00B950CB">
      <w:pPr>
        <w:spacing w:line="240" w:lineRule="auto"/>
        <w:rPr>
          <w:rFonts w:eastAsia="Times New Roman" w:cs="Arial"/>
          <w:color w:val="000000"/>
          <w:szCs w:val="20"/>
          <w:lang w:eastAsia="bg-BG"/>
        </w:rPr>
      </w:pPr>
    </w:p>
    <w:p w14:paraId="2564760D" w14:textId="3EDB60C0"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lastRenderedPageBreak/>
        <w:t>Топирамат не е силен индуктор на лекарствено метаболизиращите ензими, може да се приема без оглед на храненето и не е необходимо рутинно проследяване на плазмените концентрации на топирамат. В клиничните изследвания не се наблюдава последователна връзка между плазмените концентрации и ефикасността или нежеланите събития.</w:t>
      </w:r>
    </w:p>
    <w:p w14:paraId="1C292F95" w14:textId="77777777" w:rsidR="00B950CB" w:rsidRPr="00B950CB" w:rsidRDefault="00B950CB" w:rsidP="00B950CB">
      <w:pPr>
        <w:spacing w:line="240" w:lineRule="auto"/>
        <w:rPr>
          <w:rFonts w:eastAsia="Times New Roman" w:cs="Arial"/>
          <w:color w:val="000000"/>
          <w:szCs w:val="20"/>
          <w:u w:val="single"/>
          <w:lang w:eastAsia="bg-BG"/>
        </w:rPr>
      </w:pPr>
    </w:p>
    <w:p w14:paraId="1A119A74" w14:textId="189B62C7" w:rsidR="00B950CB" w:rsidRPr="00B950CB" w:rsidRDefault="00B950CB" w:rsidP="00B950CB">
      <w:pPr>
        <w:pStyle w:val="Heading3"/>
        <w:rPr>
          <w:rFonts w:eastAsia="Times New Roman"/>
          <w:sz w:val="28"/>
          <w:u w:val="single"/>
        </w:rPr>
      </w:pPr>
      <w:r w:rsidRPr="00B950CB">
        <w:rPr>
          <w:rFonts w:eastAsia="Times New Roman"/>
          <w:u w:val="single"/>
          <w:lang w:eastAsia="bg-BG"/>
        </w:rPr>
        <w:t>Абсорбция</w:t>
      </w:r>
    </w:p>
    <w:p w14:paraId="415072A1" w14:textId="77777777" w:rsidR="00B950CB" w:rsidRPr="00B950CB" w:rsidRDefault="00B950CB" w:rsidP="00B950CB">
      <w:pPr>
        <w:spacing w:line="240" w:lineRule="auto"/>
        <w:rPr>
          <w:rFonts w:eastAsia="Times New Roman" w:cs="Arial"/>
          <w:color w:val="000000"/>
          <w:szCs w:val="20"/>
          <w:lang w:eastAsia="bg-BG"/>
        </w:rPr>
      </w:pPr>
      <w:r w:rsidRPr="00B950CB">
        <w:rPr>
          <w:rFonts w:eastAsia="Times New Roman" w:cs="Arial"/>
          <w:color w:val="000000"/>
          <w:szCs w:val="20"/>
          <w:lang w:eastAsia="bg-BG"/>
        </w:rPr>
        <w:t xml:space="preserve">Топирамат се абсорбира бързо и лесно. След перорално приложение на 100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топирамат при здрави доброволци средната максимална плазмена концентрация (С</w:t>
      </w:r>
      <w:r w:rsidRPr="00B950CB">
        <w:rPr>
          <w:rFonts w:eastAsia="Times New Roman" w:cs="Arial"/>
          <w:color w:val="000000"/>
          <w:szCs w:val="20"/>
          <w:vertAlign w:val="subscript"/>
          <w:lang w:val="en-US"/>
        </w:rPr>
        <w:t>max</w:t>
      </w:r>
      <w:r w:rsidRPr="00B950CB">
        <w:rPr>
          <w:rFonts w:eastAsia="Times New Roman" w:cs="Arial"/>
          <w:color w:val="000000"/>
          <w:szCs w:val="20"/>
          <w:lang w:eastAsia="bg-BG"/>
        </w:rPr>
        <w:t>) от 1,5 μ</w:t>
      </w:r>
      <w:r w:rsidRPr="00B950CB">
        <w:rPr>
          <w:rFonts w:eastAsia="Times New Roman" w:cs="Arial"/>
          <w:color w:val="000000"/>
          <w:szCs w:val="20"/>
          <w:lang w:val="en-US"/>
        </w:rPr>
        <w:t>g</w:t>
      </w:r>
      <w:r w:rsidRPr="00B950CB">
        <w:rPr>
          <w:rFonts w:eastAsia="Times New Roman" w:cs="Arial"/>
          <w:color w:val="000000"/>
          <w:szCs w:val="20"/>
          <w:lang w:val="ru-RU"/>
        </w:rPr>
        <w:t>/</w:t>
      </w:r>
      <w:r w:rsidRPr="00B950CB">
        <w:rPr>
          <w:rFonts w:eastAsia="Times New Roman" w:cs="Arial"/>
          <w:color w:val="000000"/>
          <w:szCs w:val="20"/>
          <w:lang w:val="en-US"/>
        </w:rPr>
        <w:t>mL</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се достига в рамките на 2 до 3 </w:t>
      </w:r>
    </w:p>
    <w:p w14:paraId="305F23CA" w14:textId="73132A73"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часа (Т</w:t>
      </w:r>
      <w:r w:rsidRPr="00B950CB">
        <w:rPr>
          <w:rFonts w:eastAsia="Times New Roman" w:cs="Arial"/>
          <w:color w:val="000000"/>
          <w:szCs w:val="20"/>
          <w:vertAlign w:val="subscript"/>
          <w:lang w:val="en-US"/>
        </w:rPr>
        <w:t>max</w:t>
      </w:r>
      <w:r w:rsidRPr="00B950CB">
        <w:rPr>
          <w:rFonts w:eastAsia="Times New Roman" w:cs="Arial"/>
          <w:color w:val="000000"/>
          <w:szCs w:val="20"/>
          <w:lang w:eastAsia="bg-BG"/>
        </w:rPr>
        <w:t>).</w:t>
      </w:r>
    </w:p>
    <w:p w14:paraId="2DA48B73" w14:textId="77777777" w:rsidR="00B950CB" w:rsidRPr="00B950CB" w:rsidRDefault="00B950CB" w:rsidP="00B950CB">
      <w:pPr>
        <w:spacing w:line="240" w:lineRule="auto"/>
        <w:rPr>
          <w:rFonts w:eastAsia="Times New Roman" w:cs="Arial"/>
          <w:color w:val="000000"/>
          <w:szCs w:val="20"/>
          <w:lang w:eastAsia="bg-BG"/>
        </w:rPr>
      </w:pPr>
    </w:p>
    <w:p w14:paraId="4CECD971" w14:textId="464A5B7C"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Проучвания на радиоактивността в урина показват, че средната степен на абсорбция при перорална доза 100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14С-топирамат е не по-малко от 81%, Не се наблюдава клинично значим ефект на храната върху бионаличността на топирамат.</w:t>
      </w:r>
    </w:p>
    <w:p w14:paraId="7011D950" w14:textId="77777777" w:rsidR="00B950CB" w:rsidRPr="00B950CB" w:rsidRDefault="00B950CB" w:rsidP="00B950CB">
      <w:pPr>
        <w:spacing w:line="240" w:lineRule="auto"/>
        <w:rPr>
          <w:rFonts w:eastAsia="Times New Roman" w:cs="Arial"/>
          <w:color w:val="000000"/>
          <w:szCs w:val="20"/>
          <w:u w:val="single"/>
          <w:lang w:eastAsia="bg-BG"/>
        </w:rPr>
      </w:pPr>
    </w:p>
    <w:p w14:paraId="355EB4D2" w14:textId="1C8687BB" w:rsidR="00B950CB" w:rsidRPr="00B950CB" w:rsidRDefault="00B950CB" w:rsidP="00B950CB">
      <w:pPr>
        <w:pStyle w:val="Heading3"/>
        <w:rPr>
          <w:rFonts w:eastAsia="Times New Roman"/>
          <w:sz w:val="28"/>
          <w:u w:val="single"/>
        </w:rPr>
      </w:pPr>
      <w:r w:rsidRPr="00B950CB">
        <w:rPr>
          <w:rFonts w:eastAsia="Times New Roman"/>
          <w:u w:val="single"/>
          <w:lang w:eastAsia="bg-BG"/>
        </w:rPr>
        <w:t>Разпределение</w:t>
      </w:r>
    </w:p>
    <w:p w14:paraId="0D4B9DEE"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Обикновено 13-17% от топирамат се свързва с плазмените протеини. Наблюдава се нисък капацитет на свързване на топирамат в/върху еритроцитите, който се насища при плазмени концентрации над 4 μ</w:t>
      </w:r>
      <w:r w:rsidRPr="00B950CB">
        <w:rPr>
          <w:rFonts w:eastAsia="Times New Roman" w:cs="Arial"/>
          <w:color w:val="000000"/>
          <w:szCs w:val="20"/>
          <w:lang w:val="en-US"/>
        </w:rPr>
        <w:t>g</w:t>
      </w:r>
      <w:r w:rsidRPr="00B950CB">
        <w:rPr>
          <w:rFonts w:eastAsia="Times New Roman" w:cs="Arial"/>
          <w:color w:val="000000"/>
          <w:szCs w:val="20"/>
          <w:lang w:val="ru-RU"/>
        </w:rPr>
        <w:t>/</w:t>
      </w:r>
      <w:r w:rsidRPr="00B950CB">
        <w:rPr>
          <w:rFonts w:eastAsia="Times New Roman" w:cs="Arial"/>
          <w:color w:val="000000"/>
          <w:szCs w:val="20"/>
          <w:lang w:val="en-US"/>
        </w:rPr>
        <w:t>ml</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Обемът на разпределение варира обратнопропорционално на дозата. Средният привиден обем на разпределение е 0,8 до 0,55 </w:t>
      </w:r>
      <w:r w:rsidRPr="00B950CB">
        <w:rPr>
          <w:rFonts w:eastAsia="Times New Roman" w:cs="Arial"/>
          <w:color w:val="000000"/>
          <w:szCs w:val="20"/>
          <w:lang w:val="ru-RU"/>
        </w:rPr>
        <w:t>1/</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за единична доза в диапазона от 100 до 1 200. </w:t>
      </w:r>
      <w:proofErr w:type="gramStart"/>
      <w:r w:rsidRPr="00B950CB">
        <w:rPr>
          <w:rFonts w:eastAsia="Times New Roman" w:cs="Arial"/>
          <w:color w:val="000000"/>
          <w:szCs w:val="20"/>
          <w:lang w:val="en-US"/>
        </w:rPr>
        <w:t>mg</w:t>
      </w:r>
      <w:proofErr w:type="gramEnd"/>
      <w:r w:rsidRPr="00B950CB">
        <w:rPr>
          <w:rFonts w:eastAsia="Times New Roman" w:cs="Arial"/>
          <w:color w:val="000000"/>
          <w:szCs w:val="20"/>
          <w:lang w:val="ru-RU"/>
        </w:rPr>
        <w:t xml:space="preserve">. </w:t>
      </w:r>
      <w:r w:rsidRPr="00B950CB">
        <w:rPr>
          <w:rFonts w:eastAsia="Times New Roman" w:cs="Arial"/>
          <w:color w:val="000000"/>
          <w:szCs w:val="20"/>
          <w:lang w:eastAsia="bg-BG"/>
        </w:rPr>
        <w:t>Наблюдава се зависимост между обема на разпределение и пола. Стойностите при жените са около 50% от тези при мъжете и това се свързва с по-високия процент на мастите в организма на жените и няма клинични последици.</w:t>
      </w:r>
    </w:p>
    <w:p w14:paraId="37DDAFE3" w14:textId="77777777" w:rsidR="00B950CB" w:rsidRPr="00B950CB" w:rsidRDefault="00B950CB" w:rsidP="00B950CB">
      <w:pPr>
        <w:spacing w:line="240" w:lineRule="auto"/>
        <w:rPr>
          <w:rFonts w:eastAsia="Times New Roman" w:cs="Arial"/>
          <w:color w:val="000000"/>
          <w:szCs w:val="20"/>
          <w:u w:val="single"/>
          <w:lang w:eastAsia="bg-BG"/>
        </w:rPr>
      </w:pPr>
    </w:p>
    <w:p w14:paraId="28F66B6F" w14:textId="77CABDBB" w:rsidR="00B950CB" w:rsidRPr="00B950CB" w:rsidRDefault="00B950CB" w:rsidP="00B950CB">
      <w:pPr>
        <w:pStyle w:val="Heading3"/>
        <w:rPr>
          <w:rFonts w:eastAsia="Times New Roman"/>
          <w:sz w:val="28"/>
          <w:u w:val="single"/>
        </w:rPr>
      </w:pPr>
      <w:r w:rsidRPr="00B950CB">
        <w:rPr>
          <w:rFonts w:eastAsia="Times New Roman"/>
          <w:u w:val="single"/>
          <w:lang w:eastAsia="bg-BG"/>
        </w:rPr>
        <w:t>Биотрансформация</w:t>
      </w:r>
    </w:p>
    <w:p w14:paraId="389E6163" w14:textId="60C08037" w:rsidR="00B950CB" w:rsidRPr="00B950CB" w:rsidRDefault="00B950CB" w:rsidP="00B950CB">
      <w:pPr>
        <w:rPr>
          <w:rFonts w:eastAsia="Times New Roman" w:cs="Arial"/>
          <w:color w:val="000000"/>
          <w:szCs w:val="20"/>
          <w:lang w:val="ru-RU" w:eastAsia="bg-BG"/>
        </w:rPr>
      </w:pPr>
      <w:r w:rsidRPr="00B950CB">
        <w:rPr>
          <w:rFonts w:eastAsia="Times New Roman" w:cs="Arial"/>
          <w:color w:val="000000"/>
          <w:szCs w:val="20"/>
          <w:lang w:eastAsia="bg-BG"/>
        </w:rPr>
        <w:t>Топирамат не се метаболизира в голяма степен (-20%) при здрави доброволци. Метаболизира се до 50% при пациенти, провеждащи съпътстваща антиепилептична терапия с известни индукгори на лекарствометаболизиращи ензими. Шест метаболита, образувани чрез хидроксилация, хидролиза и глюкуронизация, са изолирани, охарактеризирани и идентифицирани от плазмата, урината и фекалиите при хора. Всеки метаболит представлява по-малко от 3% от общата радиоактивност, екскретирана след употребата на 14</w:t>
      </w:r>
      <w:r w:rsidRPr="00B950CB">
        <w:rPr>
          <w:rFonts w:eastAsia="Times New Roman" w:cs="Arial"/>
          <w:color w:val="000000"/>
          <w:szCs w:val="20"/>
          <w:lang w:val="en-US"/>
        </w:rPr>
        <w:t>C</w:t>
      </w:r>
      <w:r w:rsidRPr="00B950CB">
        <w:rPr>
          <w:rFonts w:eastAsia="Times New Roman" w:cs="Arial"/>
          <w:color w:val="000000"/>
          <w:szCs w:val="20"/>
          <w:lang w:val="ru-RU"/>
        </w:rPr>
        <w:t>-</w:t>
      </w:r>
      <w:r w:rsidRPr="00B950CB">
        <w:rPr>
          <w:rFonts w:eastAsia="Times New Roman" w:cs="Arial"/>
          <w:color w:val="000000"/>
          <w:szCs w:val="20"/>
          <w:lang w:eastAsia="bg-BG"/>
        </w:rPr>
        <w:t>топирамат</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 Изследвани са два метаболита, които запазват почти напълно структурата на топирамат, и е установено, че имат слаба или нямат никаква антиконвулсивна активност</w:t>
      </w:r>
      <w:r w:rsidRPr="00B950CB">
        <w:rPr>
          <w:rFonts w:eastAsia="Times New Roman" w:cs="Arial"/>
          <w:color w:val="000000"/>
          <w:szCs w:val="20"/>
          <w:lang w:val="ru-RU" w:eastAsia="bg-BG"/>
        </w:rPr>
        <w:t>.</w:t>
      </w:r>
    </w:p>
    <w:p w14:paraId="060FE923" w14:textId="2B6F8B34" w:rsidR="00B950CB" w:rsidRPr="00B950CB" w:rsidRDefault="00B950CB" w:rsidP="00B950CB">
      <w:pPr>
        <w:rPr>
          <w:rFonts w:eastAsia="Times New Roman" w:cs="Arial"/>
          <w:color w:val="000000"/>
          <w:szCs w:val="20"/>
          <w:lang w:eastAsia="bg-BG"/>
        </w:rPr>
      </w:pPr>
    </w:p>
    <w:p w14:paraId="00B09FA3" w14:textId="77777777" w:rsidR="00B950CB" w:rsidRPr="00B950CB" w:rsidRDefault="00B950CB" w:rsidP="00B950CB">
      <w:pPr>
        <w:pStyle w:val="Heading3"/>
        <w:rPr>
          <w:rFonts w:eastAsia="Times New Roman"/>
          <w:sz w:val="28"/>
          <w:u w:val="single"/>
        </w:rPr>
      </w:pPr>
      <w:r w:rsidRPr="00B950CB">
        <w:rPr>
          <w:rFonts w:eastAsia="Times New Roman"/>
          <w:u w:val="single"/>
          <w:lang w:eastAsia="bg-BG"/>
        </w:rPr>
        <w:t>Елиминиране</w:t>
      </w:r>
    </w:p>
    <w:p w14:paraId="12E8E8CA"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При хора основният път на елиминиране на непроменен топирамат и неговите метаболити е чрез бъбреците (не по-малко от 81% от дозата). Приблизително 66% от дозата на 14С- топирамат се екскретира непроменена в урината в рамките на 4 дни. След дозиране два пъти на ден с 50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и 100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топирамат средният бъбречен клирънс е приблизително 18 </w:t>
      </w:r>
      <w:r w:rsidRPr="00B950CB">
        <w:rPr>
          <w:rFonts w:eastAsia="Times New Roman" w:cs="Arial"/>
          <w:color w:val="000000"/>
          <w:szCs w:val="20"/>
          <w:lang w:val="en-US"/>
        </w:rPr>
        <w:t>ml</w:t>
      </w:r>
      <w:r w:rsidRPr="00B950CB">
        <w:rPr>
          <w:rFonts w:eastAsia="Times New Roman" w:cs="Arial"/>
          <w:color w:val="000000"/>
          <w:szCs w:val="20"/>
          <w:lang w:val="ru-RU"/>
        </w:rPr>
        <w:t>/</w:t>
      </w:r>
      <w:r w:rsidRPr="00B950CB">
        <w:rPr>
          <w:rFonts w:eastAsia="Times New Roman" w:cs="Arial"/>
          <w:color w:val="000000"/>
          <w:szCs w:val="20"/>
          <w:lang w:val="en-US"/>
        </w:rPr>
        <w:t>min</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и 17 </w:t>
      </w:r>
      <w:r w:rsidRPr="00B950CB">
        <w:rPr>
          <w:rFonts w:eastAsia="Times New Roman" w:cs="Arial"/>
          <w:color w:val="000000"/>
          <w:szCs w:val="20"/>
          <w:lang w:val="en-US"/>
        </w:rPr>
        <w:t>ml</w:t>
      </w:r>
      <w:r w:rsidRPr="00B950CB">
        <w:rPr>
          <w:rFonts w:eastAsia="Times New Roman" w:cs="Arial"/>
          <w:color w:val="000000"/>
          <w:szCs w:val="20"/>
          <w:lang w:val="ru-RU"/>
        </w:rPr>
        <w:t>/</w:t>
      </w:r>
      <w:r w:rsidRPr="00B950CB">
        <w:rPr>
          <w:rFonts w:eastAsia="Times New Roman" w:cs="Arial"/>
          <w:color w:val="000000"/>
          <w:szCs w:val="20"/>
          <w:lang w:val="en-US"/>
        </w:rPr>
        <w:t>min</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съответно. Има данни за бъбречна тубулна реабсорбция на топирамат. Това е подкрепено с резултати от изследвания върху плъхове, при които топирамат е приложен едновременно с пробенецид и се наблюдава значително повишаване на бъбречния клирънс на топирамат. Общо плазменият клирънс е от 20 до 30 </w:t>
      </w:r>
      <w:r w:rsidRPr="00B950CB">
        <w:rPr>
          <w:rFonts w:eastAsia="Times New Roman" w:cs="Arial"/>
          <w:color w:val="000000"/>
          <w:szCs w:val="20"/>
          <w:lang w:val="en-US"/>
        </w:rPr>
        <w:t>ml</w:t>
      </w:r>
      <w:r w:rsidRPr="00B950CB">
        <w:rPr>
          <w:rFonts w:eastAsia="Times New Roman" w:cs="Arial"/>
          <w:color w:val="000000"/>
          <w:szCs w:val="20"/>
          <w:lang w:val="ru-RU"/>
        </w:rPr>
        <w:t>/</w:t>
      </w:r>
      <w:r w:rsidRPr="00B950CB">
        <w:rPr>
          <w:rFonts w:eastAsia="Times New Roman" w:cs="Arial"/>
          <w:color w:val="000000"/>
          <w:szCs w:val="20"/>
          <w:lang w:val="en-US"/>
        </w:rPr>
        <w:t>min</w:t>
      </w:r>
      <w:r w:rsidRPr="00B950CB">
        <w:rPr>
          <w:rFonts w:eastAsia="Times New Roman" w:cs="Arial"/>
          <w:color w:val="000000"/>
          <w:szCs w:val="20"/>
          <w:lang w:val="ru-RU"/>
        </w:rPr>
        <w:t xml:space="preserve"> </w:t>
      </w:r>
      <w:r w:rsidRPr="00B950CB">
        <w:rPr>
          <w:rFonts w:eastAsia="Times New Roman" w:cs="Arial"/>
          <w:color w:val="000000"/>
          <w:szCs w:val="20"/>
          <w:lang w:eastAsia="bg-BG"/>
        </w:rPr>
        <w:t>при хора след перорално приложение.</w:t>
      </w:r>
    </w:p>
    <w:p w14:paraId="2CB578FE" w14:textId="77777777" w:rsidR="00B950CB" w:rsidRPr="00B950CB" w:rsidRDefault="00B950CB" w:rsidP="00B950CB">
      <w:pPr>
        <w:spacing w:line="240" w:lineRule="auto"/>
        <w:rPr>
          <w:rFonts w:eastAsia="Times New Roman" w:cs="Arial"/>
          <w:color w:val="000000"/>
          <w:szCs w:val="20"/>
          <w:u w:val="single"/>
          <w:lang w:eastAsia="bg-BG"/>
        </w:rPr>
      </w:pPr>
    </w:p>
    <w:p w14:paraId="0C37462F" w14:textId="5403B14B" w:rsidR="00B950CB" w:rsidRPr="00B950CB" w:rsidRDefault="00B950CB" w:rsidP="00B950CB">
      <w:pPr>
        <w:pStyle w:val="Heading3"/>
        <w:rPr>
          <w:rFonts w:eastAsia="Times New Roman"/>
          <w:sz w:val="28"/>
          <w:u w:val="single"/>
        </w:rPr>
      </w:pPr>
      <w:r w:rsidRPr="00B950CB">
        <w:rPr>
          <w:rFonts w:eastAsia="Times New Roman"/>
          <w:u w:val="single"/>
          <w:lang w:eastAsia="bg-BG"/>
        </w:rPr>
        <w:lastRenderedPageBreak/>
        <w:t>Линейност/нелинейност</w:t>
      </w:r>
    </w:p>
    <w:p w14:paraId="3F8C2BEA"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Топирамат е с ниска вариабилност по отношение на плазмените концентрации при различните пациенти, поради което има предвидима фармакокинетика. Фармакокинетиката на топирамат има линеен характер, като плазменият клирънс остава постоянен, и повърхността под кривата на плазмената концентрация/време нараства пропорционално с увеличение на дозата в диапазона от 100 до 400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еднократна перорална доза при здрави доброволци. При пациенти с нормална бъбречна функция може да изминат от 4 до 8 дни до постигане на стационарни плазмени концентрации. Средната С</w:t>
      </w:r>
      <w:r w:rsidRPr="00B950CB">
        <w:rPr>
          <w:rFonts w:eastAsia="Times New Roman" w:cs="Arial"/>
          <w:color w:val="000000"/>
          <w:szCs w:val="20"/>
          <w:lang w:val="en-US"/>
        </w:rPr>
        <w:t>max</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след многократно приемане на перорална доза от 100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два пъти дневно при здрави доброволци е 6,76 μ</w:t>
      </w:r>
      <w:r w:rsidRPr="00B950CB">
        <w:rPr>
          <w:rFonts w:eastAsia="Times New Roman" w:cs="Arial"/>
          <w:color w:val="000000"/>
          <w:szCs w:val="20"/>
          <w:lang w:val="en-US"/>
        </w:rPr>
        <w:t>g</w:t>
      </w:r>
      <w:r w:rsidRPr="00B950CB">
        <w:rPr>
          <w:rFonts w:eastAsia="Times New Roman" w:cs="Arial"/>
          <w:color w:val="000000"/>
          <w:szCs w:val="20"/>
          <w:lang w:val="ru-RU"/>
        </w:rPr>
        <w:t>/</w:t>
      </w:r>
      <w:r w:rsidRPr="00B950CB">
        <w:rPr>
          <w:rFonts w:eastAsia="Times New Roman" w:cs="Arial"/>
          <w:color w:val="000000"/>
          <w:szCs w:val="20"/>
          <w:lang w:val="en-US"/>
        </w:rPr>
        <w:t>ml</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След прилагане на многократни дози от 50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и 100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топирамат два пъти дневно средният плазмен на полуживот е приблизително 21 часа.</w:t>
      </w:r>
    </w:p>
    <w:p w14:paraId="15E71991" w14:textId="77777777" w:rsidR="00B950CB" w:rsidRPr="00B950CB" w:rsidRDefault="00B950CB" w:rsidP="00B950CB">
      <w:pPr>
        <w:spacing w:line="240" w:lineRule="auto"/>
        <w:rPr>
          <w:rFonts w:eastAsia="Times New Roman" w:cs="Arial"/>
          <w:color w:val="000000"/>
          <w:szCs w:val="20"/>
          <w:u w:val="single"/>
          <w:lang w:eastAsia="bg-BG"/>
        </w:rPr>
      </w:pPr>
    </w:p>
    <w:p w14:paraId="7F7D7FFD" w14:textId="7B30B044" w:rsidR="00B950CB" w:rsidRPr="00B950CB" w:rsidRDefault="00B950CB" w:rsidP="00B950CB">
      <w:pPr>
        <w:spacing w:line="240" w:lineRule="auto"/>
        <w:rPr>
          <w:rFonts w:eastAsia="Times New Roman" w:cs="Arial"/>
          <w:color w:val="000000"/>
          <w:szCs w:val="20"/>
          <w:u w:val="single"/>
          <w:lang w:eastAsia="bg-BG"/>
        </w:rPr>
      </w:pPr>
      <w:r w:rsidRPr="00B950CB">
        <w:rPr>
          <w:rFonts w:eastAsia="Times New Roman" w:cs="Arial"/>
          <w:color w:val="000000"/>
          <w:szCs w:val="20"/>
          <w:u w:val="single"/>
          <w:lang w:eastAsia="bg-BG"/>
        </w:rPr>
        <w:t xml:space="preserve">Употреба </w:t>
      </w:r>
      <w:r w:rsidRPr="00B950CB">
        <w:rPr>
          <w:rFonts w:eastAsia="Times New Roman" w:cs="Arial"/>
          <w:i/>
          <w:iCs/>
          <w:color w:val="000000"/>
          <w:szCs w:val="20"/>
          <w:u w:val="single"/>
          <w:lang w:eastAsia="bg-BG"/>
        </w:rPr>
        <w:t>с</w:t>
      </w:r>
      <w:r w:rsidRPr="00B950CB">
        <w:rPr>
          <w:rFonts w:eastAsia="Times New Roman" w:cs="Arial"/>
          <w:color w:val="000000"/>
          <w:szCs w:val="20"/>
          <w:u w:val="single"/>
          <w:lang w:eastAsia="bg-BG"/>
        </w:rPr>
        <w:t xml:space="preserve"> други антиепилептични лекарства</w:t>
      </w:r>
    </w:p>
    <w:p w14:paraId="0CA41C7A"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Едновременният многократен прием на топирамат от 100 до 400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два пъти дневно и фенитоин или карбамазепин показва повишения в плазмената концентрация на топирамат, пропорционални на дозата.</w:t>
      </w:r>
    </w:p>
    <w:p w14:paraId="09BF019F" w14:textId="77777777" w:rsidR="00B950CB" w:rsidRPr="00B950CB" w:rsidRDefault="00B950CB" w:rsidP="00B950CB">
      <w:pPr>
        <w:spacing w:line="240" w:lineRule="auto"/>
        <w:rPr>
          <w:rFonts w:eastAsia="Times New Roman" w:cs="Arial"/>
          <w:color w:val="000000"/>
          <w:szCs w:val="20"/>
          <w:u w:val="single"/>
          <w:lang w:eastAsia="bg-BG"/>
        </w:rPr>
      </w:pPr>
    </w:p>
    <w:p w14:paraId="0EE528B3" w14:textId="5DCC82B3"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u w:val="single"/>
          <w:lang w:eastAsia="bg-BG"/>
        </w:rPr>
        <w:t>Бъбречно увреждане</w:t>
      </w:r>
    </w:p>
    <w:p w14:paraId="08570D3C"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Плазменият и бъбречният клирънс на топирамат намаляват при пациенти с умерено и тежко увредена бъбречна функция </w:t>
      </w:r>
      <w:r w:rsidRPr="00B950CB">
        <w:rPr>
          <w:rFonts w:eastAsia="Times New Roman" w:cs="Arial"/>
          <w:color w:val="000000"/>
          <w:szCs w:val="20"/>
          <w:lang w:val="ru-RU"/>
        </w:rPr>
        <w:t>(</w:t>
      </w:r>
      <w:r w:rsidRPr="00B950CB">
        <w:rPr>
          <w:rFonts w:eastAsia="Times New Roman" w:cs="Arial"/>
          <w:color w:val="000000"/>
          <w:szCs w:val="20"/>
          <w:lang w:val="en-US"/>
        </w:rPr>
        <w:t>CLCR</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≤70 </w:t>
      </w:r>
      <w:r w:rsidRPr="00B950CB">
        <w:rPr>
          <w:rFonts w:eastAsia="Times New Roman" w:cs="Arial"/>
          <w:color w:val="000000"/>
          <w:szCs w:val="20"/>
          <w:lang w:val="en-US"/>
        </w:rPr>
        <w:t>ml</w:t>
      </w:r>
      <w:r w:rsidRPr="00B950CB">
        <w:rPr>
          <w:rFonts w:eastAsia="Times New Roman" w:cs="Arial"/>
          <w:color w:val="000000"/>
          <w:szCs w:val="20"/>
          <w:lang w:val="ru-RU"/>
        </w:rPr>
        <w:t>/</w:t>
      </w:r>
      <w:r w:rsidRPr="00B950CB">
        <w:rPr>
          <w:rFonts w:eastAsia="Times New Roman" w:cs="Arial"/>
          <w:color w:val="000000"/>
          <w:szCs w:val="20"/>
          <w:lang w:val="en-US"/>
        </w:rPr>
        <w:t>min</w:t>
      </w:r>
      <w:r w:rsidRPr="00B950CB">
        <w:rPr>
          <w:rFonts w:eastAsia="Times New Roman" w:cs="Arial"/>
          <w:color w:val="000000"/>
          <w:szCs w:val="20"/>
          <w:lang w:val="ru-RU"/>
        </w:rPr>
        <w:t xml:space="preserve">), </w:t>
      </w:r>
      <w:r w:rsidRPr="00B950CB">
        <w:rPr>
          <w:rFonts w:eastAsia="Times New Roman" w:cs="Arial"/>
          <w:color w:val="000000"/>
          <w:szCs w:val="20"/>
          <w:lang w:eastAsia="bg-BG"/>
        </w:rPr>
        <w:t>а плазменият клирънс на топирамат намалява при пациенти в крайния стадий на бъбречното заболяване. В резултат на това се очакват по- високи стационарни плазмени концентрации на топирамат за дадена доза при пациенти с нарушена бъбречна функция в сравнение с такива с нормална бъбречна функция. В допълнение, на пациентите с бъбречно увреждане ще е необходимо по-дълго време за достигане на стационарни нива при всяка доза. При пациенти с умерено и тежко бъбречно увреждане се препоръчва половината от обичайната начална и поддържаща доза.</w:t>
      </w:r>
    </w:p>
    <w:p w14:paraId="4AFD6225" w14:textId="77777777" w:rsidR="00B950CB" w:rsidRPr="00B950CB" w:rsidRDefault="00B950CB" w:rsidP="00B950CB">
      <w:pPr>
        <w:spacing w:line="240" w:lineRule="auto"/>
        <w:rPr>
          <w:rFonts w:eastAsia="Times New Roman" w:cs="Arial"/>
          <w:color w:val="000000"/>
          <w:szCs w:val="20"/>
          <w:lang w:eastAsia="bg-BG"/>
        </w:rPr>
      </w:pPr>
    </w:p>
    <w:p w14:paraId="0EA35EBD" w14:textId="7FADD626"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Топирамат ефективно се отстранява от плазмата с хемодиализа. По-продължителен период на хемодиализа може да предизвика понижение на концентрацията на топирамат, необходима за поддържане на антиепилептичния ефект. За предпазване от бързо понижаване на плазмената концентрация на топирамат по време на хемодиализата може да е необходима допълнителна доза топирамат. При конкретно адаптиране на дозата трябва да се вземе предвид: 1) времетраенето на диализния период, 2) нивото на изчистване на използваната диализна система, 3) ефективния бъбречен клирънс на топирамат при пациента, който е на хемодиализа.</w:t>
      </w:r>
    </w:p>
    <w:p w14:paraId="3D24326A" w14:textId="77777777" w:rsidR="00B950CB" w:rsidRPr="00B950CB" w:rsidRDefault="00B950CB" w:rsidP="00B950CB">
      <w:pPr>
        <w:spacing w:line="240" w:lineRule="auto"/>
        <w:rPr>
          <w:rFonts w:eastAsia="Times New Roman" w:cs="Arial"/>
          <w:color w:val="000000"/>
          <w:szCs w:val="20"/>
          <w:u w:val="single"/>
          <w:lang w:eastAsia="bg-BG"/>
        </w:rPr>
      </w:pPr>
    </w:p>
    <w:p w14:paraId="2C762505" w14:textId="75AB0678"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u w:val="single"/>
          <w:lang w:eastAsia="bg-BG"/>
        </w:rPr>
        <w:t>Чернодробно увреждане</w:t>
      </w:r>
    </w:p>
    <w:p w14:paraId="4B76F8AC"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Плазменият клирънс на топирамат намалява средно с 26% при пациенти с умерено до тежко чернодробно увреждане. Ето защо, топирамат трябва да се прилага с внимание при пациенти с чернодробно увреждане.</w:t>
      </w:r>
    </w:p>
    <w:p w14:paraId="3EF04B37" w14:textId="77777777" w:rsidR="00B950CB" w:rsidRPr="00B950CB" w:rsidRDefault="00B950CB" w:rsidP="00B950CB">
      <w:pPr>
        <w:spacing w:line="240" w:lineRule="auto"/>
        <w:rPr>
          <w:rFonts w:eastAsia="Times New Roman" w:cs="Arial"/>
          <w:color w:val="000000"/>
          <w:szCs w:val="20"/>
          <w:u w:val="single"/>
          <w:lang w:eastAsia="bg-BG"/>
        </w:rPr>
      </w:pPr>
    </w:p>
    <w:p w14:paraId="2E2EBFBE" w14:textId="30AEDA0F"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u w:val="single"/>
          <w:lang w:eastAsia="bg-BG"/>
        </w:rPr>
        <w:t>Пациенти в старческа възраст</w:t>
      </w:r>
    </w:p>
    <w:p w14:paraId="713C1929" w14:textId="238247B0" w:rsidR="00B950CB" w:rsidRPr="00B950CB" w:rsidRDefault="00B950CB" w:rsidP="00B950CB">
      <w:pPr>
        <w:rPr>
          <w:rFonts w:eastAsia="Times New Roman" w:cs="Arial"/>
          <w:color w:val="000000"/>
          <w:szCs w:val="20"/>
          <w:lang w:eastAsia="bg-BG"/>
        </w:rPr>
      </w:pPr>
      <w:r w:rsidRPr="00B950CB">
        <w:rPr>
          <w:rFonts w:eastAsia="Times New Roman" w:cs="Arial"/>
          <w:color w:val="000000"/>
          <w:szCs w:val="20"/>
          <w:lang w:eastAsia="bg-BG"/>
        </w:rPr>
        <w:t>Плазменият клирънс на топирамат остава непроменен при пациенти в старческа възраст, при липсата на съпътстващо бъбречно заболяване.</w:t>
      </w:r>
    </w:p>
    <w:p w14:paraId="5804E215" w14:textId="4E6233D8" w:rsidR="00B950CB" w:rsidRPr="00B950CB" w:rsidRDefault="00B950CB" w:rsidP="00B950CB">
      <w:pPr>
        <w:rPr>
          <w:rFonts w:eastAsia="Times New Roman" w:cs="Arial"/>
          <w:color w:val="000000"/>
          <w:szCs w:val="20"/>
          <w:lang w:eastAsia="bg-BG"/>
        </w:rPr>
      </w:pPr>
    </w:p>
    <w:p w14:paraId="576F0618"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u w:val="single"/>
          <w:lang w:eastAsia="bg-BG"/>
        </w:rPr>
        <w:t>Педиатрична популация (Фармакокинетика до 12-годишна възраст)</w:t>
      </w:r>
    </w:p>
    <w:p w14:paraId="5949B383"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Фармакокинетиката на топирамат при деца, подобно на тази при възрастни на допълнителна терапия, е линейна, с клирънс, независещ от дозата и стационарни </w:t>
      </w:r>
      <w:r w:rsidRPr="00B950CB">
        <w:rPr>
          <w:rFonts w:eastAsia="Times New Roman" w:cs="Arial"/>
          <w:color w:val="000000"/>
          <w:szCs w:val="20"/>
          <w:lang w:eastAsia="bg-BG"/>
        </w:rPr>
        <w:lastRenderedPageBreak/>
        <w:t xml:space="preserve">плазмени концентрации, повишаващи се пропорционално на дозата. Децата обаче имат по-висок клирънс и по-къс елиминационен полуживот. Следователно плазмените концентрации на топирамат за една и съща доза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може да са по-ниски при деца в сравнение с тези при възрастни. Както и при възрастните, чернодробните ензими, индуциращи антиепилептичните лекарства, намаляват стационарните плазмени концентрации.</w:t>
      </w:r>
    </w:p>
    <w:p w14:paraId="286BB4BF" w14:textId="77777777" w:rsidR="00B950CB" w:rsidRPr="00B950CB" w:rsidRDefault="00B950CB" w:rsidP="00B950CB"/>
    <w:p w14:paraId="4F31844C" w14:textId="665559D7" w:rsidR="00875EEC" w:rsidRDefault="002C50EE" w:rsidP="005726E3">
      <w:pPr>
        <w:pStyle w:val="Heading2"/>
      </w:pPr>
      <w:r>
        <w:t>5.3. Предклинични данни за безопасност</w:t>
      </w:r>
    </w:p>
    <w:p w14:paraId="7364848A" w14:textId="723D9080" w:rsidR="00B950CB" w:rsidRDefault="00B950CB" w:rsidP="00B950CB"/>
    <w:p w14:paraId="42868A19"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При неклинични изпитвания върху фертилитета, където майчината и бащината токсичност е не по-висока от 8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не се наблюдават ефекти по отношение на фертилитета при мъжки и женски плъхове при дози от до 100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дневно.</w:t>
      </w:r>
    </w:p>
    <w:p w14:paraId="1A2A8783" w14:textId="77777777" w:rsidR="00B950CB" w:rsidRPr="00B950CB" w:rsidRDefault="00B950CB" w:rsidP="00B950CB">
      <w:pPr>
        <w:spacing w:line="240" w:lineRule="auto"/>
        <w:rPr>
          <w:rFonts w:eastAsia="Times New Roman" w:cs="Arial"/>
          <w:color w:val="000000"/>
          <w:szCs w:val="20"/>
          <w:lang w:eastAsia="bg-BG"/>
        </w:rPr>
      </w:pPr>
    </w:p>
    <w:p w14:paraId="3E6CC962" w14:textId="6B579636"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Предклиничните проучвания на топирамат не показват никакви тератогенни ефекти върху изследваните животински видове (мишки, плъхове, зайци). При мишки теглото на плода намалява, а вкостяването се забавя при доза от 500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което е свързано с токсичността върху майката. Общият брой на феталните малформации при мишки се увеличава във всички лечебни групи (20, 100 и 500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дневно).</w:t>
      </w:r>
    </w:p>
    <w:p w14:paraId="6D0537A3" w14:textId="77777777" w:rsidR="00B950CB" w:rsidRPr="00B950CB" w:rsidRDefault="00B950CB" w:rsidP="00B950CB">
      <w:pPr>
        <w:spacing w:line="240" w:lineRule="auto"/>
        <w:rPr>
          <w:rFonts w:eastAsia="Times New Roman" w:cs="Arial"/>
          <w:color w:val="000000"/>
          <w:szCs w:val="20"/>
          <w:lang w:eastAsia="bg-BG"/>
        </w:rPr>
      </w:pPr>
    </w:p>
    <w:p w14:paraId="6E768872" w14:textId="6C9D63A9"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Дозозависима майчина и ембриофетална токсичност (намалено тегло на плода и/или забавено вкостяване) с минимални стойности до 20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се наблюдава при плъхове с тератогенни ефекти (дефекти в крайниците и пръстите) при 400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и повече. Наблюдаваната дозозависима майчина токсичност при зайци е минимум 10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с ембриофетална токсичност (увеличена смъртност) при дози до 35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и тератогенни ефекти (малформации на ребрата и гръбначния стълб) при 120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дневно.</w:t>
      </w:r>
    </w:p>
    <w:p w14:paraId="00A52D7C" w14:textId="77777777" w:rsidR="00B950CB" w:rsidRPr="00B950CB" w:rsidRDefault="00B950CB" w:rsidP="00B950CB">
      <w:pPr>
        <w:spacing w:line="240" w:lineRule="auto"/>
        <w:rPr>
          <w:rFonts w:eastAsia="Times New Roman" w:cs="Arial"/>
          <w:color w:val="000000"/>
          <w:szCs w:val="20"/>
          <w:lang w:eastAsia="bg-BG"/>
        </w:rPr>
      </w:pPr>
    </w:p>
    <w:p w14:paraId="545D6111" w14:textId="7C34621F"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Тератогенните ефекти при плъхове и зайци, са сходни с тези, наблюдавани при инхибиторите на карбоанхидразата, които не са свързани с малформации при хората. Ефектът върху растежа се проявява и с по-ниско тегло при раждане и по време на кърмене на малки плъхове от женски, третирани с дози от 20 или 100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дневно по време на бременността и периода на кърмене. При плъхове топирамат преминава през плацентната бариера.</w:t>
      </w:r>
    </w:p>
    <w:p w14:paraId="2236D66C" w14:textId="77777777" w:rsidR="00B950CB" w:rsidRPr="00B950CB" w:rsidRDefault="00B950CB" w:rsidP="00B950CB">
      <w:pPr>
        <w:spacing w:line="240" w:lineRule="auto"/>
        <w:rPr>
          <w:rFonts w:eastAsia="Times New Roman" w:cs="Arial"/>
          <w:color w:val="000000"/>
          <w:szCs w:val="20"/>
          <w:lang w:eastAsia="bg-BG"/>
        </w:rPr>
      </w:pPr>
    </w:p>
    <w:p w14:paraId="1D61B97F" w14:textId="5BCEA904"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Дневният перорален прием на топирамат при млади плъхове в дози от до 300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дневно през периода на подрастване, съответстващ на ранно детство, детство и юношество, води до токсичност, подобна на тази при възрастните индивиди (намалена консумация на храна със забавено покачване на теглото, центролобуларна хепатоцелуларна хипертрофия). Не са наблюдавани ефекти върху растежа на дългата кост (голям пищял) или костната (бедрена кост) минерална плътност, развитието до отбиване и репродуктивното развитие, неврологичното развитие (включително и изследвания върху паметта и способността за учене), репродуктивната способност и фертилитета или параметрите при хистеротомия.</w:t>
      </w:r>
    </w:p>
    <w:p w14:paraId="446033B5" w14:textId="77777777" w:rsidR="00B950CB" w:rsidRPr="00B950CB" w:rsidRDefault="00B950CB" w:rsidP="00B950CB">
      <w:pPr>
        <w:spacing w:line="240" w:lineRule="auto"/>
        <w:rPr>
          <w:rFonts w:eastAsia="Times New Roman" w:cs="Arial"/>
          <w:color w:val="000000"/>
          <w:szCs w:val="20"/>
          <w:lang w:eastAsia="bg-BG"/>
        </w:rPr>
      </w:pPr>
    </w:p>
    <w:p w14:paraId="4915FB54" w14:textId="2CCCB59E"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При набор от </w:t>
      </w:r>
      <w:r w:rsidRPr="00B950CB">
        <w:rPr>
          <w:rFonts w:eastAsia="Times New Roman" w:cs="Arial"/>
          <w:i/>
          <w:iCs/>
          <w:color w:val="000000"/>
          <w:szCs w:val="20"/>
          <w:lang w:val="en-US"/>
        </w:rPr>
        <w:t>in</w:t>
      </w:r>
      <w:r w:rsidRPr="00B950CB">
        <w:rPr>
          <w:rFonts w:eastAsia="Times New Roman" w:cs="Arial"/>
          <w:i/>
          <w:iCs/>
          <w:color w:val="000000"/>
          <w:szCs w:val="20"/>
          <w:lang w:val="ru-RU"/>
        </w:rPr>
        <w:t xml:space="preserve"> </w:t>
      </w:r>
      <w:r w:rsidRPr="00B950CB">
        <w:rPr>
          <w:rFonts w:eastAsia="Times New Roman" w:cs="Arial"/>
          <w:i/>
          <w:iCs/>
          <w:color w:val="000000"/>
          <w:szCs w:val="20"/>
          <w:lang w:val="en-US"/>
        </w:rPr>
        <w:t>vitro</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и </w:t>
      </w:r>
      <w:r w:rsidRPr="00B950CB">
        <w:rPr>
          <w:rFonts w:eastAsia="Times New Roman" w:cs="Arial"/>
          <w:i/>
          <w:iCs/>
          <w:color w:val="000000"/>
          <w:szCs w:val="20"/>
          <w:lang w:val="en-US"/>
        </w:rPr>
        <w:t>in</w:t>
      </w:r>
      <w:r w:rsidRPr="00B950CB">
        <w:rPr>
          <w:rFonts w:eastAsia="Times New Roman" w:cs="Arial"/>
          <w:i/>
          <w:iCs/>
          <w:color w:val="000000"/>
          <w:szCs w:val="20"/>
          <w:lang w:val="ru-RU"/>
        </w:rPr>
        <w:t xml:space="preserve"> </w:t>
      </w:r>
      <w:r w:rsidRPr="00B950CB">
        <w:rPr>
          <w:rFonts w:eastAsia="Times New Roman" w:cs="Arial"/>
          <w:i/>
          <w:iCs/>
          <w:color w:val="000000"/>
          <w:szCs w:val="20"/>
          <w:lang w:val="en-US"/>
        </w:rPr>
        <w:t>vivo</w:t>
      </w:r>
      <w:r w:rsidRPr="00B950CB">
        <w:rPr>
          <w:rFonts w:eastAsia="Times New Roman" w:cs="Arial"/>
          <w:color w:val="000000"/>
          <w:szCs w:val="20"/>
          <w:lang w:val="ru-RU"/>
        </w:rPr>
        <w:t xml:space="preserve"> </w:t>
      </w:r>
      <w:r w:rsidRPr="00B950CB">
        <w:rPr>
          <w:rFonts w:eastAsia="Times New Roman" w:cs="Arial"/>
          <w:color w:val="000000"/>
          <w:szCs w:val="20"/>
          <w:lang w:eastAsia="bg-BG"/>
        </w:rPr>
        <w:t>изследвания за мутагенност топирамат не е показал генотоксичен потенциал.</w:t>
      </w:r>
    </w:p>
    <w:p w14:paraId="3EDD6DC5" w14:textId="77777777" w:rsidR="00B950CB" w:rsidRPr="00B950CB" w:rsidRDefault="00B950CB" w:rsidP="00B950CB"/>
    <w:p w14:paraId="1BA6531D" w14:textId="788E051C" w:rsidR="00B6672E" w:rsidRDefault="002C50EE" w:rsidP="00936AD0">
      <w:pPr>
        <w:pStyle w:val="Heading1"/>
      </w:pPr>
      <w:r>
        <w:t>7. ПРИТЕЖАТЕЛ НА РАЗРЕШЕНИЕТО ЗА УПОТРЕБА</w:t>
      </w:r>
    </w:p>
    <w:p w14:paraId="7B66FBE1" w14:textId="38D9D88E" w:rsidR="001675F8" w:rsidRDefault="001675F8" w:rsidP="001675F8"/>
    <w:p w14:paraId="662BCF96" w14:textId="77777777" w:rsidR="001675F8" w:rsidRPr="001675F8" w:rsidRDefault="001675F8" w:rsidP="001675F8">
      <w:pPr>
        <w:rPr>
          <w:sz w:val="24"/>
          <w:szCs w:val="24"/>
        </w:rPr>
      </w:pPr>
      <w:r w:rsidRPr="001675F8">
        <w:rPr>
          <w:lang w:eastAsia="bg-BG"/>
        </w:rPr>
        <w:lastRenderedPageBreak/>
        <w:t>Тева Фарма ЕАД</w:t>
      </w:r>
    </w:p>
    <w:p w14:paraId="39C794BE" w14:textId="77777777" w:rsidR="001675F8" w:rsidRPr="001675F8" w:rsidRDefault="001675F8" w:rsidP="001675F8">
      <w:pPr>
        <w:rPr>
          <w:sz w:val="24"/>
          <w:szCs w:val="24"/>
        </w:rPr>
      </w:pPr>
      <w:r w:rsidRPr="001675F8">
        <w:rPr>
          <w:lang w:eastAsia="bg-BG"/>
        </w:rPr>
        <w:t>ул. „Люба Величкова’</w:t>
      </w:r>
      <w:r w:rsidRPr="001675F8">
        <w:rPr>
          <w:vertAlign w:val="superscript"/>
          <w:lang w:eastAsia="bg-BG"/>
        </w:rPr>
        <w:t>1</w:t>
      </w:r>
      <w:r w:rsidRPr="001675F8">
        <w:rPr>
          <w:lang w:eastAsia="bg-BG"/>
        </w:rPr>
        <w:t xml:space="preserve"> № 9, 1407 София</w:t>
      </w:r>
    </w:p>
    <w:p w14:paraId="18559622" w14:textId="38A22267" w:rsidR="001675F8" w:rsidRPr="001675F8" w:rsidRDefault="001675F8" w:rsidP="001675F8">
      <w:r w:rsidRPr="001675F8">
        <w:rPr>
          <w:lang w:eastAsia="bg-BG"/>
        </w:rPr>
        <w:t>България</w:t>
      </w:r>
    </w:p>
    <w:p w14:paraId="508F3A54" w14:textId="3F0E9A0B" w:rsidR="00B6672E" w:rsidRDefault="00936AD0" w:rsidP="00936AD0">
      <w:pPr>
        <w:pStyle w:val="Heading1"/>
      </w:pPr>
      <w:r>
        <w:t>8.</w:t>
      </w:r>
      <w:r w:rsidR="002C50EE">
        <w:t>НОМЕР НА РАЗРЕШЕНИЕТО ЗА УПОТРЕБА</w:t>
      </w:r>
    </w:p>
    <w:p w14:paraId="2E385C8F" w14:textId="43439525" w:rsidR="001675F8" w:rsidRDefault="001675F8" w:rsidP="001675F8"/>
    <w:p w14:paraId="6B6FCB3D" w14:textId="77777777" w:rsidR="001675F8" w:rsidRPr="001675F8" w:rsidRDefault="001675F8" w:rsidP="001675F8">
      <w:pPr>
        <w:rPr>
          <w:sz w:val="24"/>
          <w:szCs w:val="24"/>
        </w:rPr>
      </w:pPr>
      <w:r w:rsidRPr="001675F8">
        <w:rPr>
          <w:lang w:eastAsia="bg-BG"/>
        </w:rPr>
        <w:t xml:space="preserve">Талопам 50 </w:t>
      </w:r>
      <w:r w:rsidRPr="001675F8">
        <w:rPr>
          <w:lang w:val="en-US"/>
        </w:rPr>
        <w:t>mg</w:t>
      </w:r>
      <w:r w:rsidRPr="001675F8">
        <w:rPr>
          <w:lang w:val="ru-RU"/>
        </w:rPr>
        <w:t xml:space="preserve"> </w:t>
      </w:r>
      <w:r w:rsidRPr="001675F8">
        <w:rPr>
          <w:lang w:eastAsia="bg-BG"/>
        </w:rPr>
        <w:t xml:space="preserve">таблетки - </w:t>
      </w:r>
      <w:r w:rsidRPr="001675F8">
        <w:rPr>
          <w:lang w:val="en-US"/>
        </w:rPr>
        <w:t>per</w:t>
      </w:r>
      <w:r w:rsidRPr="001675F8">
        <w:rPr>
          <w:lang w:val="ru-RU"/>
        </w:rPr>
        <w:t xml:space="preserve">. </w:t>
      </w:r>
      <w:r w:rsidRPr="001675F8">
        <w:rPr>
          <w:lang w:eastAsia="bg-BG"/>
        </w:rPr>
        <w:t>№ 20070026</w:t>
      </w:r>
    </w:p>
    <w:p w14:paraId="12BD72F4" w14:textId="3AD4D32E" w:rsidR="001675F8" w:rsidRPr="001675F8" w:rsidRDefault="001675F8" w:rsidP="001675F8">
      <w:r w:rsidRPr="001675F8">
        <w:rPr>
          <w:lang w:eastAsia="bg-BG"/>
        </w:rPr>
        <w:t xml:space="preserve">Талопам 100 </w:t>
      </w:r>
      <w:r w:rsidRPr="001675F8">
        <w:rPr>
          <w:lang w:val="en-US"/>
        </w:rPr>
        <w:t>mg</w:t>
      </w:r>
      <w:r w:rsidRPr="001675F8">
        <w:rPr>
          <w:lang w:val="ru-RU"/>
        </w:rPr>
        <w:t xml:space="preserve"> </w:t>
      </w:r>
      <w:r w:rsidRPr="001675F8">
        <w:rPr>
          <w:lang w:eastAsia="bg-BG"/>
        </w:rPr>
        <w:t xml:space="preserve">таблетки - </w:t>
      </w:r>
      <w:r w:rsidRPr="001675F8">
        <w:rPr>
          <w:lang w:val="en-US"/>
        </w:rPr>
        <w:t>per</w:t>
      </w:r>
      <w:r w:rsidRPr="001675F8">
        <w:rPr>
          <w:lang w:val="ru-RU"/>
        </w:rPr>
        <w:t xml:space="preserve">. </w:t>
      </w:r>
      <w:r w:rsidRPr="001675F8">
        <w:rPr>
          <w:lang w:eastAsia="bg-BG"/>
        </w:rPr>
        <w:t>№ 20070027</w:t>
      </w:r>
    </w:p>
    <w:p w14:paraId="3BC5EC53" w14:textId="11B65478" w:rsidR="00875EEC" w:rsidRDefault="002C50EE" w:rsidP="005726E3">
      <w:pPr>
        <w:pStyle w:val="Heading1"/>
      </w:pPr>
      <w:r>
        <w:t>9. ДАТА НА ПЪРВО РАЗРЕШАВАНЕ/ПОДНОВЯВАНЕ НА РАЗРЕШЕНИЕТО ЗА УПОТРЕБА</w:t>
      </w:r>
    </w:p>
    <w:p w14:paraId="1AD34162" w14:textId="35801283" w:rsidR="001675F8" w:rsidRDefault="001675F8" w:rsidP="001675F8"/>
    <w:p w14:paraId="1978F82F" w14:textId="77777777" w:rsidR="001675F8" w:rsidRPr="001675F8" w:rsidRDefault="001675F8" w:rsidP="001675F8">
      <w:pPr>
        <w:rPr>
          <w:sz w:val="24"/>
          <w:szCs w:val="24"/>
        </w:rPr>
      </w:pPr>
      <w:r w:rsidRPr="001675F8">
        <w:rPr>
          <w:lang w:eastAsia="bg-BG"/>
        </w:rPr>
        <w:t>Дата на първо разрешаване: 10.04.2007 г.</w:t>
      </w:r>
    </w:p>
    <w:p w14:paraId="0D52F120" w14:textId="50D5E097" w:rsidR="001675F8" w:rsidRPr="001675F8" w:rsidRDefault="001675F8" w:rsidP="001675F8">
      <w:r w:rsidRPr="001675F8">
        <w:rPr>
          <w:lang w:eastAsia="bg-BG"/>
        </w:rPr>
        <w:t>Дата на последно подновяване: 27.06.2012 г.</w:t>
      </w:r>
    </w:p>
    <w:p w14:paraId="43FB38A2" w14:textId="1E62F256" w:rsidR="007C605B" w:rsidRPr="003E3126" w:rsidRDefault="002C50EE" w:rsidP="005726E3">
      <w:pPr>
        <w:pStyle w:val="Heading1"/>
      </w:pPr>
      <w:r>
        <w:t>10. ДАТА</w:t>
      </w:r>
      <w:bookmarkStart w:id="3" w:name="_GoBack"/>
      <w:bookmarkEnd w:id="3"/>
      <w:r>
        <w:t xml:space="preserve"> НА АКТУАЛИЗИРАНЕ НА ТЕКСТА</w:t>
      </w:r>
      <w:bookmarkEnd w:id="0"/>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D33670"/>
    <w:multiLevelType w:val="hybridMultilevel"/>
    <w:tmpl w:val="43C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D22AC"/>
    <w:multiLevelType w:val="hybridMultilevel"/>
    <w:tmpl w:val="9218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6"/>
  </w:num>
  <w:num w:numId="4">
    <w:abstractNumId w:val="3"/>
  </w:num>
  <w:num w:numId="5">
    <w:abstractNumId w:val="1"/>
  </w:num>
  <w:num w:numId="6">
    <w:abstractNumId w:val="19"/>
  </w:num>
  <w:num w:numId="7">
    <w:abstractNumId w:val="14"/>
  </w:num>
  <w:num w:numId="8">
    <w:abstractNumId w:val="18"/>
  </w:num>
  <w:num w:numId="9">
    <w:abstractNumId w:val="2"/>
  </w:num>
  <w:num w:numId="10">
    <w:abstractNumId w:val="4"/>
  </w:num>
  <w:num w:numId="11">
    <w:abstractNumId w:val="33"/>
  </w:num>
  <w:num w:numId="12">
    <w:abstractNumId w:val="17"/>
  </w:num>
  <w:num w:numId="13">
    <w:abstractNumId w:val="22"/>
  </w:num>
  <w:num w:numId="14">
    <w:abstractNumId w:val="15"/>
  </w:num>
  <w:num w:numId="15">
    <w:abstractNumId w:val="32"/>
  </w:num>
  <w:num w:numId="16">
    <w:abstractNumId w:val="13"/>
  </w:num>
  <w:num w:numId="17">
    <w:abstractNumId w:val="27"/>
  </w:num>
  <w:num w:numId="18">
    <w:abstractNumId w:val="10"/>
  </w:num>
  <w:num w:numId="19">
    <w:abstractNumId w:val="29"/>
  </w:num>
  <w:num w:numId="20">
    <w:abstractNumId w:val="26"/>
  </w:num>
  <w:num w:numId="21">
    <w:abstractNumId w:val="20"/>
  </w:num>
  <w:num w:numId="22">
    <w:abstractNumId w:val="28"/>
  </w:num>
  <w:num w:numId="23">
    <w:abstractNumId w:val="21"/>
  </w:num>
  <w:num w:numId="24">
    <w:abstractNumId w:val="11"/>
  </w:num>
  <w:num w:numId="25">
    <w:abstractNumId w:val="25"/>
  </w:num>
  <w:num w:numId="26">
    <w:abstractNumId w:val="24"/>
  </w:num>
  <w:num w:numId="27">
    <w:abstractNumId w:val="34"/>
  </w:num>
  <w:num w:numId="28">
    <w:abstractNumId w:val="8"/>
  </w:num>
  <w:num w:numId="29">
    <w:abstractNumId w:val="23"/>
  </w:num>
  <w:num w:numId="30">
    <w:abstractNumId w:val="37"/>
  </w:num>
  <w:num w:numId="31">
    <w:abstractNumId w:val="7"/>
  </w:num>
  <w:num w:numId="32">
    <w:abstractNumId w:val="36"/>
  </w:num>
  <w:num w:numId="33">
    <w:abstractNumId w:val="31"/>
  </w:num>
  <w:num w:numId="34">
    <w:abstractNumId w:val="35"/>
  </w:num>
  <w:num w:numId="35">
    <w:abstractNumId w:val="9"/>
  </w:num>
  <w:num w:numId="36">
    <w:abstractNumId w:val="12"/>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675F8"/>
    <w:rsid w:val="00185A46"/>
    <w:rsid w:val="001915B6"/>
    <w:rsid w:val="001D1B23"/>
    <w:rsid w:val="0021708B"/>
    <w:rsid w:val="002B3C38"/>
    <w:rsid w:val="002B4DBB"/>
    <w:rsid w:val="002C50EE"/>
    <w:rsid w:val="00340A0A"/>
    <w:rsid w:val="003765DC"/>
    <w:rsid w:val="00395555"/>
    <w:rsid w:val="003E3126"/>
    <w:rsid w:val="00403A83"/>
    <w:rsid w:val="00426E5F"/>
    <w:rsid w:val="00440F94"/>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B2736"/>
    <w:rsid w:val="00AC63CE"/>
    <w:rsid w:val="00AE2107"/>
    <w:rsid w:val="00B275A8"/>
    <w:rsid w:val="00B6672E"/>
    <w:rsid w:val="00B950CB"/>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8479</Words>
  <Characters>48335</Characters>
  <Application>Microsoft Office Word</Application>
  <DocSecurity>0</DocSecurity>
  <Lines>402</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2022-12-01T22:25:00Z</dcterms:created>
  <dcterms:modified xsi:type="dcterms:W3CDTF">2022-12-01T22:25:00Z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