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8A1EFD" w:rsidRDefault="002C50EE" w:rsidP="002C50EE">
      <w:pPr>
        <w:pStyle w:val="Heading1"/>
        <w:jc w:val="center"/>
      </w:pPr>
      <w:bookmarkStart w:id="0" w:name="_Hlk63124480"/>
      <w:r w:rsidRPr="008A1EFD">
        <w:t>КРАТКА ХАРАКТЕРИСТИКА НА ПРОДУКТА</w:t>
      </w:r>
    </w:p>
    <w:p w14:paraId="79516554" w14:textId="7C51CFD6" w:rsidR="00DB32D3" w:rsidRPr="008A1EFD" w:rsidRDefault="00DD466D" w:rsidP="005726E3">
      <w:pPr>
        <w:pStyle w:val="Heading1"/>
      </w:pPr>
      <w:r w:rsidRPr="008A1EFD">
        <w:t>1.ИМЕ НА ЛЕКАРСТВЕНИЯ ПРОДУКТ</w:t>
      </w:r>
    </w:p>
    <w:p w14:paraId="699F2E04" w14:textId="1AB5313D" w:rsidR="00262A3A" w:rsidRPr="008A1EFD" w:rsidRDefault="00262A3A" w:rsidP="00262A3A"/>
    <w:p w14:paraId="1D004CA6" w14:textId="24AAAD4A" w:rsidR="00262A3A" w:rsidRPr="008A1EFD" w:rsidRDefault="00262A3A" w:rsidP="00262A3A">
      <w:pPr>
        <w:rPr>
          <w:sz w:val="24"/>
          <w:szCs w:val="24"/>
        </w:rPr>
      </w:pPr>
      <w:proofErr w:type="spellStart"/>
      <w:r w:rsidRPr="008A1EFD">
        <w:rPr>
          <w:lang w:eastAsia="bg-BG"/>
        </w:rPr>
        <w:t>Тамайра</w:t>
      </w:r>
      <w:proofErr w:type="spellEnd"/>
      <w:r w:rsidRPr="008A1EFD">
        <w:rPr>
          <w:lang w:eastAsia="bg-BG"/>
        </w:rPr>
        <w:t xml:space="preserve"> 5 </w:t>
      </w:r>
      <w:proofErr w:type="spellStart"/>
      <w:r w:rsidRPr="008A1EFD">
        <w:t>mg</w:t>
      </w:r>
      <w:proofErr w:type="spellEnd"/>
      <w:r w:rsidRPr="008A1EFD">
        <w:t xml:space="preserve">/5 </w:t>
      </w:r>
      <w:proofErr w:type="spellStart"/>
      <w:r w:rsidRPr="008A1EFD">
        <w:t>mg</w:t>
      </w:r>
      <w:proofErr w:type="spellEnd"/>
      <w:r w:rsidRPr="008A1EFD">
        <w:t xml:space="preserve"> </w:t>
      </w:r>
      <w:r w:rsidRPr="008A1EFD">
        <w:rPr>
          <w:lang w:eastAsia="bg-BG"/>
        </w:rPr>
        <w:t>твърди капсули</w:t>
      </w:r>
    </w:p>
    <w:p w14:paraId="2F893733" w14:textId="77777777" w:rsidR="00262A3A" w:rsidRPr="008A1EFD" w:rsidRDefault="00262A3A" w:rsidP="00262A3A">
      <w:pPr>
        <w:rPr>
          <w:sz w:val="24"/>
          <w:szCs w:val="24"/>
        </w:rPr>
      </w:pPr>
      <w:proofErr w:type="spellStart"/>
      <w:r w:rsidRPr="008A1EFD">
        <w:t>Tamayra</w:t>
      </w:r>
      <w:proofErr w:type="spellEnd"/>
      <w:r w:rsidRPr="008A1EFD">
        <w:t xml:space="preserve"> </w:t>
      </w:r>
      <w:r w:rsidRPr="008A1EFD">
        <w:rPr>
          <w:lang w:eastAsia="bg-BG"/>
        </w:rPr>
        <w:t xml:space="preserve">5 </w:t>
      </w:r>
      <w:proofErr w:type="spellStart"/>
      <w:r w:rsidRPr="008A1EFD">
        <w:t>mg</w:t>
      </w:r>
      <w:proofErr w:type="spellEnd"/>
      <w:r w:rsidRPr="008A1EFD">
        <w:t xml:space="preserve">/5 </w:t>
      </w:r>
      <w:proofErr w:type="spellStart"/>
      <w:r w:rsidRPr="008A1EFD">
        <w:t>mg</w:t>
      </w:r>
      <w:proofErr w:type="spellEnd"/>
      <w:r w:rsidRPr="008A1EFD">
        <w:t xml:space="preserve"> </w:t>
      </w:r>
      <w:proofErr w:type="spellStart"/>
      <w:r w:rsidRPr="008A1EFD">
        <w:t>hard</w:t>
      </w:r>
      <w:proofErr w:type="spellEnd"/>
      <w:r w:rsidRPr="008A1EFD">
        <w:t xml:space="preserve"> </w:t>
      </w:r>
      <w:proofErr w:type="spellStart"/>
      <w:r w:rsidRPr="008A1EFD">
        <w:t>capsules</w:t>
      </w:r>
      <w:proofErr w:type="spellEnd"/>
    </w:p>
    <w:p w14:paraId="4EC11282" w14:textId="77777777" w:rsidR="00262A3A" w:rsidRPr="008A1EFD" w:rsidRDefault="00262A3A" w:rsidP="00262A3A">
      <w:pPr>
        <w:rPr>
          <w:lang w:eastAsia="bg-BG"/>
        </w:rPr>
      </w:pPr>
    </w:p>
    <w:p w14:paraId="3E177086" w14:textId="658C83FB" w:rsidR="00262A3A" w:rsidRPr="008A1EFD" w:rsidRDefault="00262A3A" w:rsidP="00262A3A">
      <w:pPr>
        <w:rPr>
          <w:sz w:val="24"/>
          <w:szCs w:val="24"/>
        </w:rPr>
      </w:pPr>
      <w:proofErr w:type="spellStart"/>
      <w:r w:rsidRPr="008A1EFD">
        <w:rPr>
          <w:lang w:eastAsia="bg-BG"/>
        </w:rPr>
        <w:t>Тамайра</w:t>
      </w:r>
      <w:proofErr w:type="spellEnd"/>
      <w:r w:rsidRPr="008A1EFD">
        <w:rPr>
          <w:lang w:eastAsia="bg-BG"/>
        </w:rPr>
        <w:t xml:space="preserve"> </w:t>
      </w:r>
      <w:r w:rsidRPr="008A1EFD">
        <w:t xml:space="preserve">10 </w:t>
      </w:r>
      <w:proofErr w:type="spellStart"/>
      <w:r w:rsidRPr="008A1EFD">
        <w:t>mg</w:t>
      </w:r>
      <w:proofErr w:type="spellEnd"/>
      <w:r w:rsidRPr="008A1EFD">
        <w:t xml:space="preserve">/5 </w:t>
      </w:r>
      <w:proofErr w:type="spellStart"/>
      <w:r w:rsidRPr="008A1EFD">
        <w:t>mg</w:t>
      </w:r>
      <w:proofErr w:type="spellEnd"/>
      <w:r w:rsidRPr="008A1EFD">
        <w:t xml:space="preserve"> </w:t>
      </w:r>
      <w:r w:rsidRPr="008A1EFD">
        <w:rPr>
          <w:lang w:eastAsia="bg-BG"/>
        </w:rPr>
        <w:t>твърди капсули</w:t>
      </w:r>
    </w:p>
    <w:p w14:paraId="2444AC15" w14:textId="77777777" w:rsidR="00262A3A" w:rsidRPr="008A1EFD" w:rsidRDefault="00262A3A" w:rsidP="00262A3A">
      <w:pPr>
        <w:rPr>
          <w:sz w:val="24"/>
          <w:szCs w:val="24"/>
        </w:rPr>
      </w:pPr>
      <w:proofErr w:type="spellStart"/>
      <w:r w:rsidRPr="008A1EFD">
        <w:t>Tamayra</w:t>
      </w:r>
      <w:proofErr w:type="spellEnd"/>
      <w:r w:rsidRPr="008A1EFD">
        <w:t xml:space="preserve"> 10 </w:t>
      </w:r>
      <w:proofErr w:type="spellStart"/>
      <w:r w:rsidRPr="008A1EFD">
        <w:t>mg</w:t>
      </w:r>
      <w:proofErr w:type="spellEnd"/>
      <w:r w:rsidRPr="008A1EFD">
        <w:t xml:space="preserve">/5 </w:t>
      </w:r>
      <w:proofErr w:type="spellStart"/>
      <w:r w:rsidRPr="008A1EFD">
        <w:t>mg</w:t>
      </w:r>
      <w:proofErr w:type="spellEnd"/>
      <w:r w:rsidRPr="008A1EFD">
        <w:t xml:space="preserve"> </w:t>
      </w:r>
      <w:proofErr w:type="spellStart"/>
      <w:r w:rsidRPr="008A1EFD">
        <w:t>hard</w:t>
      </w:r>
      <w:proofErr w:type="spellEnd"/>
      <w:r w:rsidRPr="008A1EFD">
        <w:t xml:space="preserve"> </w:t>
      </w:r>
      <w:proofErr w:type="spellStart"/>
      <w:r w:rsidRPr="008A1EFD">
        <w:t>capsules</w:t>
      </w:r>
      <w:proofErr w:type="spellEnd"/>
    </w:p>
    <w:p w14:paraId="342EA636" w14:textId="77777777" w:rsidR="00262A3A" w:rsidRPr="008A1EFD" w:rsidRDefault="00262A3A" w:rsidP="00262A3A"/>
    <w:p w14:paraId="48E6CABE" w14:textId="42C6C5FA" w:rsidR="00DB32D3" w:rsidRPr="008A1EFD" w:rsidRDefault="00DD466D" w:rsidP="005726E3">
      <w:pPr>
        <w:pStyle w:val="Heading1"/>
      </w:pPr>
      <w:r w:rsidRPr="008A1EFD">
        <w:t>2. КАЧЕСТВЕН И КОЛИЧЕСТВЕН СЪСТАВ</w:t>
      </w:r>
    </w:p>
    <w:p w14:paraId="5EA5D658" w14:textId="1B1CD599" w:rsidR="00262A3A" w:rsidRPr="008A1EFD" w:rsidRDefault="00262A3A" w:rsidP="00262A3A"/>
    <w:p w14:paraId="64107435" w14:textId="7C382F1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/5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твърди капсули:</w:t>
      </w:r>
    </w:p>
    <w:p w14:paraId="66470053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Всяка капсула съдържа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(</w:t>
      </w:r>
      <w:proofErr w:type="spellStart"/>
      <w:r w:rsidRPr="008A1EFD">
        <w:rPr>
          <w:rFonts w:eastAsia="Times New Roman" w:cs="Arial"/>
          <w:color w:val="000000"/>
          <w:szCs w:val="18"/>
        </w:rPr>
        <w:t>ramipril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)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амлодипинов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безилат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еквивалентен на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(</w:t>
      </w:r>
      <w:proofErr w:type="spellStart"/>
      <w:r w:rsidRPr="008A1EFD">
        <w:rPr>
          <w:rFonts w:eastAsia="Times New Roman" w:cs="Arial"/>
          <w:color w:val="000000"/>
          <w:szCs w:val="18"/>
        </w:rPr>
        <w:t>amlodipine</w:t>
      </w:r>
      <w:proofErr w:type="spellEnd"/>
      <w:r w:rsidRPr="008A1EFD">
        <w:rPr>
          <w:rFonts w:eastAsia="Times New Roman" w:cs="Arial"/>
          <w:color w:val="000000"/>
          <w:szCs w:val="18"/>
        </w:rPr>
        <w:t>).</w:t>
      </w:r>
    </w:p>
    <w:p w14:paraId="4DF1A84F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4CE45FA5" w14:textId="713D7B45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/5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твърди капсули:</w:t>
      </w:r>
    </w:p>
    <w:p w14:paraId="70362191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Всяка капсула съдържа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(</w:t>
      </w:r>
      <w:proofErr w:type="spellStart"/>
      <w:r w:rsidRPr="008A1EFD">
        <w:rPr>
          <w:rFonts w:eastAsia="Times New Roman" w:cs="Arial"/>
          <w:color w:val="000000"/>
          <w:szCs w:val="18"/>
        </w:rPr>
        <w:t>ramipril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)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амлодипинов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безилат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еквивалентен на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(</w:t>
      </w:r>
      <w:proofErr w:type="spellStart"/>
      <w:r w:rsidRPr="008A1EFD">
        <w:rPr>
          <w:rFonts w:eastAsia="Times New Roman" w:cs="Arial"/>
          <w:color w:val="000000"/>
          <w:szCs w:val="18"/>
        </w:rPr>
        <w:t>amlodipine</w:t>
      </w:r>
      <w:proofErr w:type="spellEnd"/>
      <w:r w:rsidRPr="008A1EFD">
        <w:rPr>
          <w:rFonts w:eastAsia="Times New Roman" w:cs="Arial"/>
          <w:color w:val="000000"/>
          <w:szCs w:val="18"/>
        </w:rPr>
        <w:t>).</w:t>
      </w:r>
    </w:p>
    <w:p w14:paraId="3C3B0A13" w14:textId="77777777" w:rsidR="00262A3A" w:rsidRPr="008A1EFD" w:rsidRDefault="00262A3A" w:rsidP="00262A3A"/>
    <w:p w14:paraId="614984C4" w14:textId="482A57EA" w:rsidR="008A6AF2" w:rsidRPr="008A1EFD" w:rsidRDefault="00DD466D" w:rsidP="002C50EE">
      <w:pPr>
        <w:pStyle w:val="Heading1"/>
      </w:pPr>
      <w:r w:rsidRPr="008A1EFD">
        <w:t>3. ЛЕКАРСТВЕНА ФОРМА</w:t>
      </w:r>
    </w:p>
    <w:p w14:paraId="1B7B9309" w14:textId="6EC490BD" w:rsidR="00262A3A" w:rsidRPr="008A1EFD" w:rsidRDefault="00262A3A" w:rsidP="00262A3A"/>
    <w:p w14:paraId="4C7D78F5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Твърда капсула</w:t>
      </w:r>
    </w:p>
    <w:p w14:paraId="051CF2DF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04963F07" w14:textId="0972686E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/5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твърди капсули:</w:t>
      </w:r>
    </w:p>
    <w:p w14:paraId="12FC91DD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Твърди желатинови капсули размер 1, с непрозрачно розово капаче и непрозрачно бяло тяло.</w:t>
      </w:r>
    </w:p>
    <w:p w14:paraId="7E74861A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Капсулно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съдържимо: бял до почти бял прах.</w:t>
      </w:r>
    </w:p>
    <w:p w14:paraId="5EFC205D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574983D6" w14:textId="792E746A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/5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твърди капсули:</w:t>
      </w:r>
    </w:p>
    <w:p w14:paraId="3A539444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Твърди желатинови капсули размер 1, с непрозрачно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тъмнорозово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капаче и непрозрачно бяло тяло.</w:t>
      </w:r>
    </w:p>
    <w:p w14:paraId="336BC148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Капсулно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съдържимо: бял до почти бял прах.</w:t>
      </w:r>
    </w:p>
    <w:p w14:paraId="05F1A603" w14:textId="77777777" w:rsidR="00262A3A" w:rsidRPr="008A1EFD" w:rsidRDefault="00262A3A" w:rsidP="00262A3A"/>
    <w:p w14:paraId="490FC2C4" w14:textId="6899DE43" w:rsidR="002C50EE" w:rsidRPr="008A1EFD" w:rsidRDefault="002C50EE" w:rsidP="002C50EE">
      <w:pPr>
        <w:pStyle w:val="Heading1"/>
      </w:pPr>
      <w:r w:rsidRPr="008A1EFD">
        <w:t>4. КЛИНИЧНИ ДАННИ</w:t>
      </w:r>
    </w:p>
    <w:p w14:paraId="0771830A" w14:textId="2DF62881" w:rsidR="00DB32D3" w:rsidRPr="008A1EFD" w:rsidRDefault="002C50EE" w:rsidP="005726E3">
      <w:pPr>
        <w:pStyle w:val="Heading2"/>
      </w:pPr>
      <w:r w:rsidRPr="008A1EFD">
        <w:t>4.1. Терапевтични показания</w:t>
      </w:r>
    </w:p>
    <w:p w14:paraId="577CA910" w14:textId="646EC099" w:rsidR="00262A3A" w:rsidRPr="008A1EFD" w:rsidRDefault="00262A3A" w:rsidP="00262A3A"/>
    <w:p w14:paraId="07DF9C1B" w14:textId="146BED88" w:rsidR="00262A3A" w:rsidRPr="008A1EFD" w:rsidRDefault="00262A3A" w:rsidP="00262A3A">
      <w:pPr>
        <w:rPr>
          <w:sz w:val="24"/>
          <w:szCs w:val="24"/>
        </w:rPr>
      </w:pPr>
      <w:r w:rsidRPr="008A1EFD">
        <w:rPr>
          <w:lang w:eastAsia="bg-BG"/>
        </w:rPr>
        <w:t xml:space="preserve">Фиксираната </w:t>
      </w:r>
      <w:proofErr w:type="spellStart"/>
      <w:r w:rsidRPr="008A1EFD">
        <w:rPr>
          <w:lang w:eastAsia="bg-BG"/>
        </w:rPr>
        <w:t>дозова</w:t>
      </w:r>
      <w:proofErr w:type="spellEnd"/>
      <w:r w:rsidRPr="008A1EFD">
        <w:rPr>
          <w:lang w:eastAsia="bg-BG"/>
        </w:rPr>
        <w:t xml:space="preserve"> комбинация е показана за лечение на хипертония при възрастни, като заместваща терапия при пациенти, при които кръвното налягане е адекватно контролирано с </w:t>
      </w:r>
      <w:proofErr w:type="spellStart"/>
      <w:r w:rsidRPr="008A1EFD">
        <w:rPr>
          <w:lang w:eastAsia="bg-BG"/>
        </w:rPr>
        <w:t>рамиприл</w:t>
      </w:r>
      <w:proofErr w:type="spellEnd"/>
      <w:r w:rsidRPr="008A1EFD">
        <w:rPr>
          <w:lang w:eastAsia="bg-BG"/>
        </w:rPr>
        <w:t xml:space="preserve"> и </w:t>
      </w:r>
      <w:proofErr w:type="spellStart"/>
      <w:r w:rsidRPr="008A1EFD">
        <w:rPr>
          <w:lang w:eastAsia="bg-BG"/>
        </w:rPr>
        <w:t>амлодипин</w:t>
      </w:r>
      <w:proofErr w:type="spellEnd"/>
      <w:r w:rsidRPr="008A1EFD">
        <w:rPr>
          <w:lang w:eastAsia="bg-BG"/>
        </w:rPr>
        <w:t xml:space="preserve">, прилагани едновременно при същите </w:t>
      </w:r>
      <w:proofErr w:type="spellStart"/>
      <w:r w:rsidRPr="008A1EFD">
        <w:rPr>
          <w:lang w:eastAsia="bg-BG"/>
        </w:rPr>
        <w:t>дозови</w:t>
      </w:r>
      <w:proofErr w:type="spellEnd"/>
      <w:r w:rsidRPr="008A1EFD">
        <w:rPr>
          <w:lang w:eastAsia="bg-BG"/>
        </w:rPr>
        <w:t xml:space="preserve"> нива, но като отделни лекарствени продукти.</w:t>
      </w:r>
    </w:p>
    <w:p w14:paraId="7647A102" w14:textId="0B842E56" w:rsidR="00DB32D3" w:rsidRPr="008A1EFD" w:rsidRDefault="002C50EE" w:rsidP="005726E3">
      <w:pPr>
        <w:pStyle w:val="Heading2"/>
      </w:pPr>
      <w:r w:rsidRPr="008A1EFD">
        <w:lastRenderedPageBreak/>
        <w:t>4.2. Дозировка и начин на приложение</w:t>
      </w:r>
    </w:p>
    <w:p w14:paraId="68F247FF" w14:textId="31C0E8AA" w:rsidR="00262A3A" w:rsidRPr="008A1EFD" w:rsidRDefault="00262A3A" w:rsidP="00262A3A"/>
    <w:p w14:paraId="417635D9" w14:textId="77777777" w:rsidR="00262A3A" w:rsidRPr="008A1EFD" w:rsidRDefault="00262A3A" w:rsidP="00262A3A">
      <w:pPr>
        <w:pStyle w:val="Heading3"/>
        <w:rPr>
          <w:rFonts w:eastAsia="Times New Roman"/>
          <w:sz w:val="32"/>
          <w:u w:val="single"/>
        </w:rPr>
      </w:pPr>
      <w:r w:rsidRPr="008A1EFD">
        <w:rPr>
          <w:rFonts w:eastAsia="Times New Roman"/>
          <w:u w:val="single"/>
          <w:lang w:eastAsia="bg-BG"/>
        </w:rPr>
        <w:t>Дозировка</w:t>
      </w:r>
    </w:p>
    <w:p w14:paraId="6EFC9D32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трябва да се използва за започване на лечение на хипертония. Дозите на всеки компонент трябва да се определят индивидуално според профила на пациента и контрола на кръвното налягане. Ако се налага промяна на дозата, схемата на прилагане трябва да се определи индивидуално, като се използват първо отделните компоненти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и след като схемата се установи, може да се премине към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6DF12A7A" w14:textId="4B0930C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6C277F6C" w14:textId="4250409B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Препоръчителната доза е една капсула дневно. Максималната дневна доза е една капсула 10 </w:t>
      </w:r>
      <w:proofErr w:type="spellStart"/>
      <w:r w:rsidRPr="008A1EFD">
        <w:rPr>
          <w:rFonts w:eastAsia="Times New Roman" w:cs="Arial"/>
          <w:i/>
          <w:iCs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i/>
          <w:iCs/>
          <w:color w:val="000000"/>
          <w:szCs w:val="18"/>
        </w:rPr>
        <w:t>/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.</w:t>
      </w:r>
    </w:p>
    <w:p w14:paraId="50AA923B" w14:textId="3AA11012" w:rsidR="00262A3A" w:rsidRPr="008A1EFD" w:rsidRDefault="00262A3A" w:rsidP="00262A3A">
      <w:pPr>
        <w:rPr>
          <w:rFonts w:cs="Arial"/>
          <w:sz w:val="28"/>
        </w:rPr>
      </w:pPr>
    </w:p>
    <w:p w14:paraId="231376F9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Този продукт не е наличен с количества на активните вещества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/10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, </w:t>
      </w:r>
      <w:r w:rsidRPr="008A1EFD">
        <w:rPr>
          <w:rFonts w:eastAsia="Times New Roman" w:cs="Arial"/>
          <w:color w:val="000000"/>
          <w:szCs w:val="18"/>
          <w:lang w:eastAsia="bg-BG"/>
        </w:rPr>
        <w:t>но такъв може да се предлага от други притежатели на разрешение за употреба.</w:t>
      </w:r>
    </w:p>
    <w:p w14:paraId="38F2FD38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szCs w:val="18"/>
          <w:u w:val="single"/>
          <w:lang w:eastAsia="bg-BG"/>
        </w:rPr>
      </w:pPr>
    </w:p>
    <w:p w14:paraId="3CC7E947" w14:textId="40322E1E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Спе</w:t>
      </w:r>
      <w:r w:rsidR="008A1EFD" w:rsidRPr="008A1EFD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ц</w:t>
      </w:r>
      <w:r w:rsidRPr="008A1EFD">
        <w:rPr>
          <w:rFonts w:eastAsia="Times New Roman" w:cs="Arial"/>
          <w:i/>
          <w:iCs/>
          <w:color w:val="000000"/>
          <w:szCs w:val="18"/>
          <w:u w:val="single"/>
          <w:lang w:eastAsia="bg-BG"/>
        </w:rPr>
        <w:t>иални популации</w:t>
      </w:r>
    </w:p>
    <w:p w14:paraId="787CBD23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5C4D12D2" w14:textId="5CE92D53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Бъбречно увреждане</w:t>
      </w:r>
    </w:p>
    <w:p w14:paraId="13D7EDD0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За да се определи оптималната начална доза и поддържащата доза при пациенти </w:t>
      </w: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с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 бъбречно увреждане, трябва да се направи индивидуално титриране чрез използване на отделните компоненти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5DCB1123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диализира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слабо, лекарственият продукт трябва да се прилага няколко часа след извършване на хемодиализа.</w:t>
      </w:r>
    </w:p>
    <w:p w14:paraId="525D5DFB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се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диализира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трябва да се прилага с особено внимание при пациенти, подложени на диализа.</w:t>
      </w:r>
    </w:p>
    <w:p w14:paraId="62EB4019" w14:textId="2F82DB81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Трябва да се проследяват бъбречната функция и серумните нива на калия по време на терапия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В случай на нарушена бъбречна функция приложението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</w:t>
      </w:r>
      <w:r w:rsidR="008A1EFD">
        <w:rPr>
          <w:rFonts w:eastAsia="Times New Roman" w:cs="Arial"/>
          <w:color w:val="000000"/>
          <w:szCs w:val="18"/>
          <w:lang w:eastAsia="bg-BG"/>
        </w:rPr>
        <w:t>й</w:t>
      </w:r>
      <w:r w:rsidRPr="008A1EFD">
        <w:rPr>
          <w:rFonts w:eastAsia="Times New Roman" w:cs="Arial"/>
          <w:color w:val="000000"/>
          <w:szCs w:val="18"/>
          <w:lang w:eastAsia="bg-BG"/>
        </w:rPr>
        <w:t>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трябва да се спре и да се замени от отделните компоненти с адекватно коригирани дози.</w:t>
      </w:r>
    </w:p>
    <w:p w14:paraId="5B866838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7606D7B8" w14:textId="6470EECF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Чернодробно увреждане</w:t>
      </w:r>
    </w:p>
    <w:p w14:paraId="7F8EA979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Максималната дневна доза е 2,5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1F087C13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Дозовият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режим 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пациенти с леко до умерено чернодробно увреждане не е установен и затова изборът на доза трябва да бъде направен внимателно, като трябва да се започне от най-ниската възможна доза (вж. т. 4.4 и т. 5.2).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Фармакокинетичните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свойства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тежко чернодробно увреждане не са проучвани. При пациенти с тежко чернодробно увреждане лечението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трябва да започне с най-ниската възможна доза и да се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титрира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бавно.</w:t>
      </w:r>
    </w:p>
    <w:p w14:paraId="49F597BC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238C94C9" w14:textId="4E591132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Този продукт не е наличен с количество на активното вещество 2,5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, </w:t>
      </w:r>
      <w:r w:rsidRPr="008A1EFD">
        <w:rPr>
          <w:rFonts w:eastAsia="Times New Roman" w:cs="Arial"/>
          <w:color w:val="000000"/>
          <w:szCs w:val="18"/>
          <w:lang w:eastAsia="bg-BG"/>
        </w:rPr>
        <w:t>но такъв може да се предлага от други притежатели на разрешение за употреба.</w:t>
      </w:r>
    </w:p>
    <w:p w14:paraId="1C4E2054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334991E" w14:textId="6DCAE8B4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Старческа възраст</w:t>
      </w:r>
    </w:p>
    <w:p w14:paraId="73E2F348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Препоръчва се по-ниска начална доза при пациенти в старческа възраст и повишаването на дозата трябва да се извършва с повишено внимание.</w:t>
      </w:r>
    </w:p>
    <w:p w14:paraId="7BFE7DA1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49BF3C3" w14:textId="7C3AEF62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Педиатрична популация</w:t>
      </w:r>
    </w:p>
    <w:p w14:paraId="4DE35B2D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Безопасността и ефикасността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деца не са установени.</w:t>
      </w:r>
    </w:p>
    <w:p w14:paraId="262DB74C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Наличните данни към момента са описани в точки 4.8,5.1,5.2 и 5.3, но не може да бъде направена препоръка по отношение на дозировката.</w:t>
      </w:r>
    </w:p>
    <w:p w14:paraId="7BF88BF9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42DDB24E" w14:textId="6D269394" w:rsidR="00262A3A" w:rsidRPr="008A1EFD" w:rsidRDefault="00262A3A" w:rsidP="00262A3A">
      <w:pPr>
        <w:pStyle w:val="Heading3"/>
        <w:rPr>
          <w:rFonts w:eastAsia="Times New Roman"/>
          <w:sz w:val="32"/>
          <w:u w:val="single"/>
        </w:rPr>
      </w:pPr>
      <w:r w:rsidRPr="008A1EFD">
        <w:rPr>
          <w:rFonts w:eastAsia="Times New Roman"/>
          <w:u w:val="single"/>
          <w:lang w:eastAsia="bg-BG"/>
        </w:rPr>
        <w:t>Начин на приложение</w:t>
      </w:r>
    </w:p>
    <w:p w14:paraId="0E54E79F" w14:textId="415595E0" w:rsidR="00262A3A" w:rsidRPr="008A1EFD" w:rsidRDefault="00262A3A" w:rsidP="00262A3A">
      <w:pPr>
        <w:rPr>
          <w:rFonts w:eastAsia="Times New Roman" w:cs="Arial"/>
          <w:color w:val="000000"/>
          <w:szCs w:val="18"/>
          <w:lang w:eastAsia="bg-BG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Тъй като храната не повлиява на абсорбцията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може да бъде приеман независимо от храненето. Препоръчва се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да бъде приеман по едно и също време на деня.</w:t>
      </w:r>
    </w:p>
    <w:p w14:paraId="0B637B22" w14:textId="77777777" w:rsidR="00262A3A" w:rsidRPr="008A1EFD" w:rsidRDefault="00262A3A" w:rsidP="00262A3A">
      <w:pPr>
        <w:rPr>
          <w:rFonts w:cs="Arial"/>
          <w:sz w:val="28"/>
        </w:rPr>
      </w:pPr>
    </w:p>
    <w:p w14:paraId="74903285" w14:textId="02778925" w:rsidR="00DB32D3" w:rsidRPr="008A1EFD" w:rsidRDefault="002C50EE" w:rsidP="005726E3">
      <w:pPr>
        <w:pStyle w:val="Heading2"/>
      </w:pPr>
      <w:r w:rsidRPr="008A1EFD">
        <w:t>4.3. Противопоказания</w:t>
      </w:r>
    </w:p>
    <w:p w14:paraId="3ED4EFFD" w14:textId="0A078273" w:rsidR="00262A3A" w:rsidRPr="008A1EFD" w:rsidRDefault="00262A3A" w:rsidP="00262A3A"/>
    <w:p w14:paraId="26398E02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Свръхчувствителност към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, други АСЕ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конвертиращ ензим) инхибитори,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калциевите канали или към някои от помощните вещества, изброени в точка 6.1.</w:t>
      </w:r>
    </w:p>
    <w:p w14:paraId="2E4AB807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0909B0BB" w14:textId="4780ABC6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рамиприл</w:t>
      </w:r>
      <w:proofErr w:type="spellEnd"/>
    </w:p>
    <w:p w14:paraId="220A18C8" w14:textId="04F2B77C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Едновременната употреба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-съдържащи продукти е противопоказана при пациенти със захарен диабет или с умерено до тежко бъбречно увреждане </w:t>
      </w:r>
      <w:r w:rsidRPr="008A1EFD">
        <w:rPr>
          <w:rFonts w:eastAsia="Times New Roman" w:cs="Arial"/>
          <w:color w:val="000000"/>
          <w:szCs w:val="18"/>
        </w:rPr>
        <w:t xml:space="preserve">(GFR)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&lt; 60 </w:t>
      </w:r>
      <w:r w:rsidRPr="008A1EFD">
        <w:rPr>
          <w:rFonts w:eastAsia="Times New Roman" w:cs="Arial"/>
          <w:color w:val="000000"/>
          <w:szCs w:val="18"/>
        </w:rPr>
        <w:t>ml/</w:t>
      </w:r>
      <w:proofErr w:type="spellStart"/>
      <w:r w:rsidRPr="008A1EFD">
        <w:rPr>
          <w:rFonts w:eastAsia="Times New Roman" w:cs="Arial"/>
          <w:color w:val="000000"/>
          <w:szCs w:val="18"/>
        </w:rPr>
        <w:t>min</w:t>
      </w:r>
      <w:proofErr w:type="spellEnd"/>
      <w:r w:rsidRPr="008A1EFD">
        <w:rPr>
          <w:rFonts w:eastAsia="Times New Roman" w:cs="Arial"/>
          <w:color w:val="000000"/>
          <w:szCs w:val="18"/>
        </w:rPr>
        <w:t>/l,73 m</w:t>
      </w:r>
      <w:r w:rsidRPr="008A1EFD">
        <w:rPr>
          <w:rFonts w:eastAsia="Times New Roman" w:cs="Arial"/>
          <w:color w:val="000000"/>
          <w:szCs w:val="18"/>
          <w:vertAlign w:val="superscript"/>
        </w:rPr>
        <w:t>2</w:t>
      </w:r>
      <w:r w:rsidRPr="008A1EFD">
        <w:rPr>
          <w:rFonts w:eastAsia="Times New Roman" w:cs="Arial"/>
          <w:color w:val="000000"/>
          <w:szCs w:val="18"/>
        </w:rPr>
        <w:t xml:space="preserve">) </w:t>
      </w:r>
      <w:r w:rsidRPr="008A1EFD">
        <w:rPr>
          <w:rFonts w:eastAsia="Times New Roman" w:cs="Arial"/>
          <w:color w:val="000000"/>
          <w:szCs w:val="18"/>
          <w:lang w:eastAsia="bg-BG"/>
        </w:rPr>
        <w:t>(вж. точки 4.4 и 4.5).</w:t>
      </w:r>
    </w:p>
    <w:p w14:paraId="56682038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Анамнеза за ангиоедем (наследствен, идиопатичен или предходен ангиоедем при лечение с АСЕ инхибитори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II</w:t>
      </w:r>
      <w:r w:rsidRPr="008A1EFD">
        <w:rPr>
          <w:rFonts w:eastAsia="Times New Roman" w:cs="Arial"/>
          <w:color w:val="000000"/>
          <w:szCs w:val="18"/>
          <w:lang w:eastAsia="bg-BG"/>
        </w:rPr>
        <w:t>-рецепторни антагонисти).</w:t>
      </w:r>
    </w:p>
    <w:p w14:paraId="205237C8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Екстракорпорално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лечение, водещо до контакт на кръвта с отрицателно заредени повърхности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вж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, точка 4,5).</w:t>
      </w:r>
    </w:p>
    <w:p w14:paraId="7101A59A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Значима двустранна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стеноза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бъбречните артерии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стеноза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бъбречна артерия на единствен функциониращ бъбрек.</w:t>
      </w:r>
    </w:p>
    <w:p w14:paraId="2ADB4F6B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Втори и трети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триместьр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бременността (вж. точки 4.4 и 4.6).</w:t>
      </w:r>
    </w:p>
    <w:p w14:paraId="35918B48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Хипотонични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хемодинамично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нестабилни състояния.</w:t>
      </w:r>
    </w:p>
    <w:p w14:paraId="4D7786AF" w14:textId="05660319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Съпътстваща употреба при терапия със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сакубитрил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валсартан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трябва да се започва по-рано от 36 часа след последната доза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сакубитрил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валсартан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(вж. също точки 4.4 и 4,5).</w:t>
      </w:r>
    </w:p>
    <w:p w14:paraId="2CACA4A3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7738F871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 xml:space="preserve"> </w:t>
      </w:r>
    </w:p>
    <w:p w14:paraId="2AE16B98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Тежка хипотония</w:t>
      </w:r>
    </w:p>
    <w:p w14:paraId="354EF7F9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Шок (включително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кардиогенен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шок)</w:t>
      </w:r>
    </w:p>
    <w:p w14:paraId="5FB19D3A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Обструкция на изхода на лявата камера (напр. високостепенна аортна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стеноза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) </w:t>
      </w:r>
    </w:p>
    <w:p w14:paraId="71214861" w14:textId="5617016F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Хемодинамично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нестабилна сърдечна недостатъчност след остър миокарден инфаркт.</w:t>
      </w:r>
    </w:p>
    <w:p w14:paraId="4B9EE214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</w:p>
    <w:p w14:paraId="2C48765B" w14:textId="6E75B941" w:rsidR="00262A3A" w:rsidRPr="008A1EFD" w:rsidRDefault="002C50EE" w:rsidP="00262A3A">
      <w:pPr>
        <w:pStyle w:val="Heading2"/>
      </w:pPr>
      <w:r w:rsidRPr="008A1EFD">
        <w:t>4.4. Специални предупреждения и предпазни мерки при употреба</w:t>
      </w:r>
    </w:p>
    <w:p w14:paraId="3550EF12" w14:textId="7CF05423" w:rsidR="00262A3A" w:rsidRPr="008A1EFD" w:rsidRDefault="00262A3A" w:rsidP="00262A3A"/>
    <w:p w14:paraId="2AD57C05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Препоръчва се повишено внимание при пациенти, които се лекуват едновременно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тъй като при тях може да има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хиповолемия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и/или изчерпване на електролитите. Трябва да се проследяват бъбречната функции и нивата на калий в серума.</w:t>
      </w:r>
    </w:p>
    <w:p w14:paraId="4E69BCEB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03A01C" w14:textId="11002A76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u w:val="single"/>
          <w:lang w:eastAsia="bg-BG"/>
        </w:rPr>
        <w:t>рамиприл</w:t>
      </w:r>
      <w:proofErr w:type="spellEnd"/>
    </w:p>
    <w:p w14:paraId="04FB3A1C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223946" w14:textId="6465A174" w:rsidR="00262A3A" w:rsidRPr="008A1EFD" w:rsidRDefault="0080295F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Двойна</w:t>
      </w:r>
      <w:r w:rsidR="00262A3A" w:rsidRPr="008A1EFD">
        <w:rPr>
          <w:rFonts w:eastAsia="Times New Roman" w:cs="Arial"/>
          <w:i/>
          <w:iCs/>
          <w:color w:val="000000"/>
          <w:lang w:eastAsia="bg-BG"/>
        </w:rPr>
        <w:t xml:space="preserve"> блокада на</w:t>
      </w:r>
      <w:r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="00262A3A" w:rsidRPr="008A1EFD">
        <w:rPr>
          <w:rFonts w:eastAsia="Times New Roman" w:cs="Arial"/>
          <w:i/>
          <w:iCs/>
          <w:color w:val="000000"/>
          <w:lang w:eastAsia="bg-BG"/>
        </w:rPr>
        <w:t>ренин-</w:t>
      </w:r>
      <w:proofErr w:type="spellStart"/>
      <w:r w:rsidR="00262A3A" w:rsidRPr="008A1EFD">
        <w:rPr>
          <w:rFonts w:eastAsia="Times New Roman" w:cs="Arial"/>
          <w:i/>
          <w:iCs/>
          <w:color w:val="000000"/>
          <w:lang w:eastAsia="bg-BG"/>
        </w:rPr>
        <w:t>ангиотензин</w:t>
      </w:r>
      <w:proofErr w:type="spellEnd"/>
      <w:r w:rsidR="00262A3A" w:rsidRPr="008A1EFD">
        <w:rPr>
          <w:rFonts w:eastAsia="Times New Roman" w:cs="Arial"/>
          <w:i/>
          <w:iCs/>
          <w:color w:val="000000"/>
          <w:lang w:eastAsia="bg-BG"/>
        </w:rPr>
        <w:t>-</w:t>
      </w:r>
      <w:proofErr w:type="spellStart"/>
      <w:r w:rsidR="00262A3A" w:rsidRPr="008A1EFD">
        <w:rPr>
          <w:rFonts w:eastAsia="Times New Roman" w:cs="Arial"/>
          <w:i/>
          <w:iCs/>
          <w:color w:val="000000"/>
          <w:lang w:eastAsia="bg-BG"/>
        </w:rPr>
        <w:t>алдостероновата</w:t>
      </w:r>
      <w:proofErr w:type="spellEnd"/>
      <w:r w:rsidR="00262A3A" w:rsidRPr="008A1EFD">
        <w:rPr>
          <w:rFonts w:eastAsia="Times New Roman" w:cs="Arial"/>
          <w:i/>
          <w:iCs/>
          <w:color w:val="000000"/>
          <w:lang w:eastAsia="bg-BG"/>
        </w:rPr>
        <w:t xml:space="preserve"> система (РААС)</w:t>
      </w:r>
    </w:p>
    <w:p w14:paraId="7CFC09DE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Има данни, че едновременната употреба на АСЕ инхибитори,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ангиотеизин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r w:rsidRPr="008A1EFD">
        <w:rPr>
          <w:rFonts w:eastAsia="Times New Roman" w:cs="Arial"/>
          <w:color w:val="000000"/>
        </w:rPr>
        <w:t>II</w:t>
      </w:r>
      <w:r w:rsidRPr="008A1EFD">
        <w:rPr>
          <w:rFonts w:eastAsia="Times New Roman" w:cs="Arial"/>
          <w:color w:val="000000"/>
          <w:lang w:eastAsia="bg-BG"/>
        </w:rPr>
        <w:t xml:space="preserve">-рецепторни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повишава риска от хипотония,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намаляване на бъбречната функция (включително остра бъбречна недостатъчност). Поради това не се </w:t>
      </w:r>
      <w:r w:rsidRPr="008A1EFD">
        <w:rPr>
          <w:rFonts w:eastAsia="Times New Roman" w:cs="Arial"/>
          <w:color w:val="000000"/>
          <w:lang w:eastAsia="bg-BG"/>
        </w:rPr>
        <w:lastRenderedPageBreak/>
        <w:t xml:space="preserve">препоръчва двойна блокада на РААС чрез едновременна употреба на АСЕ инхибитори,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r w:rsidRPr="008A1EFD">
        <w:rPr>
          <w:rFonts w:eastAsia="Times New Roman" w:cs="Arial"/>
          <w:color w:val="000000"/>
        </w:rPr>
        <w:t>II</w:t>
      </w:r>
      <w:r w:rsidRPr="008A1EFD">
        <w:rPr>
          <w:rFonts w:eastAsia="Times New Roman" w:cs="Arial"/>
          <w:color w:val="000000"/>
          <w:lang w:eastAsia="bg-BG"/>
        </w:rPr>
        <w:t xml:space="preserve">-рецепторни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(вж. точки 4.5 и 5.1).</w:t>
      </w:r>
    </w:p>
    <w:p w14:paraId="6C1388E0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Ако се прецени, че терапията с двойна блокада е абсолютно необходима, това трябва да става само под наблюдението на специалист и при често стриктно мониториране на бъбречната функция, електролитите и кръвното налягане.</w:t>
      </w:r>
    </w:p>
    <w:p w14:paraId="4476E3B3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АСЕ инхибитори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r w:rsidRPr="008A1EFD">
        <w:rPr>
          <w:rFonts w:eastAsia="Times New Roman" w:cs="Arial"/>
          <w:color w:val="000000"/>
        </w:rPr>
        <w:t>II</w:t>
      </w:r>
      <w:r w:rsidRPr="008A1EFD">
        <w:rPr>
          <w:rFonts w:eastAsia="Times New Roman" w:cs="Arial"/>
          <w:color w:val="000000"/>
          <w:lang w:eastAsia="bg-BG"/>
        </w:rPr>
        <w:t xml:space="preserve">-рецепторни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не трябва да се използват едновременно при пациенти с диабетна нефропатия.</w:t>
      </w:r>
    </w:p>
    <w:p w14:paraId="1AC6D393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00A1A47" w14:textId="34F0F3D4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u w:val="single"/>
          <w:lang w:eastAsia="bg-BG"/>
        </w:rPr>
        <w:t>Специални популации</w:t>
      </w:r>
    </w:p>
    <w:p w14:paraId="5DF9C780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E9EDDE0" w14:textId="58AF73C9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Бременност</w:t>
      </w:r>
    </w:p>
    <w:p w14:paraId="6FB2AA2C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Лечение с АСЕ инхибитори не трябва да се започва по време на бременност. При пациентките, планиращи да забременеят, терапията с АСЕ инхибитори трябва да се замени с алтернативно антихипертензивно лечение, което има установен профил на безопасност при употреба по време на бременност, освен ако не се счита за крайно необходима. При установяване на бременност лечението с АСЕ инхибитори трябва да бъде спряно незабавно и, ако е уместно, трябва да бъде започната алтернативна терапия (вж. точки 4.3 и 4.6).</w:t>
      </w:r>
    </w:p>
    <w:p w14:paraId="62C3CD74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3744FC" w14:textId="52675F6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Пациенти с особен риск от хипотония</w:t>
      </w:r>
    </w:p>
    <w:p w14:paraId="295EC4C3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Пациенти със силно активирана ренин-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>-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алдостероновата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система са изложени на риск от подчертан рязък спад на кръвното налягане и влошаване на бъбречната функция поради инхибиране на АСЕ, особено когато АСЕ инхибитор или съпътстващ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диуретик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се прилага за пръв път или при първо повишаване на дозата. Може да се очаква значимо активиране на ренин-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>-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алдостероновата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система и е необходимо медицинско наблюдение, включващо проследяване на кръвното налягане, например при пациенти със: </w:t>
      </w:r>
    </w:p>
    <w:p w14:paraId="6306F79C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тежка хипертония, </w:t>
      </w:r>
    </w:p>
    <w:p w14:paraId="709FE687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декомпенсирана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застойна сърдечна недостатъчност,</w:t>
      </w:r>
    </w:p>
    <w:p w14:paraId="1383D1CC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хемодинамично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значим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левокамерен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изходящ или входящ кръвоток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стеноза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на аортната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митралната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клапа),</w:t>
      </w:r>
    </w:p>
    <w:p w14:paraId="7C5ACE54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едностранна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стеноза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на бъбречната артерия с втори функциониращ бъбрек, </w:t>
      </w:r>
    </w:p>
    <w:p w14:paraId="2C79973E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чернодробна цироза и/или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асцит</w:t>
      </w:r>
      <w:proofErr w:type="spellEnd"/>
      <w:r w:rsidRPr="008A1EFD">
        <w:rPr>
          <w:rFonts w:eastAsia="Times New Roman" w:cs="Arial"/>
          <w:color w:val="000000"/>
          <w:lang w:eastAsia="bg-BG"/>
        </w:rPr>
        <w:t>,</w:t>
      </w:r>
    </w:p>
    <w:p w14:paraId="27A8FED9" w14:textId="0C8A30AA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подложени на голяма хирургична интервенция или анестезия със средства, които предизвикват хипотония.</w:t>
      </w:r>
    </w:p>
    <w:p w14:paraId="1945A56C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Обикновено се препоръчва коригиране на дехидратацията,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хиповолемията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солевия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дефицит преди началото на лечението (при пациенти със сърдечна недостатъчност обаче корекцията трябва да бъде внимателно преценена спрямо риска от обемно натоварване).</w:t>
      </w:r>
    </w:p>
    <w:p w14:paraId="102935BC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406CC8" w14:textId="77777777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преходна или персистираща сърдечна недостатъчност след миокарден инфаркт, </w:t>
      </w:r>
    </w:p>
    <w:p w14:paraId="1FE7EADE" w14:textId="1060D7B8" w:rsidR="00262A3A" w:rsidRPr="008A1EFD" w:rsidRDefault="00262A3A" w:rsidP="00262A3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пациенти, изложени на риск от сърдечна или мозъчна исхемия, в случай на остра хипотония.</w:t>
      </w:r>
    </w:p>
    <w:p w14:paraId="0C7DC99B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29F6D4" w14:textId="389A24AD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Началната фаза на терапията изисква строг медицински контрол.</w:t>
      </w:r>
    </w:p>
    <w:p w14:paraId="71B2E1FD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7EEF4FD" w14:textId="50AC0118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 xml:space="preserve">Старческа възраст </w:t>
      </w:r>
      <w:r w:rsidRPr="008A1EFD">
        <w:rPr>
          <w:rFonts w:eastAsia="Times New Roman" w:cs="Arial"/>
          <w:color w:val="000000"/>
          <w:lang w:eastAsia="bg-BG"/>
        </w:rPr>
        <w:t>Вижте точка 4,2.</w:t>
      </w:r>
    </w:p>
    <w:p w14:paraId="3CD0D841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5395CD0" w14:textId="769492CE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Хирургични интервенции</w:t>
      </w:r>
    </w:p>
    <w:p w14:paraId="54AA554D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Препоръчва се, когато е възможно, лечението с инхибитори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конвертиращ ензим като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>, да бъде прекъснато един ден преди хирургична процедура.</w:t>
      </w:r>
    </w:p>
    <w:p w14:paraId="64C42016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975E97" w14:textId="3305135A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Проследяване на бъбречната функция</w:t>
      </w:r>
    </w:p>
    <w:p w14:paraId="3B1484BF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Бъбречната функция трябва да бъде оценена преди и по време на терапията и дозата трябва да бъде коригирана, особено през първите седмици от лечението. Особено внимателно проследяване се изисква при пациенти с бъбречно увреждане (вж. точка 4.2). Има риск от нарушаване на бъбречната функция, особено при пациенти със застойна сърдечна недостатъчност или след бъбречна трансплантация.</w:t>
      </w:r>
    </w:p>
    <w:p w14:paraId="21757369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D356E94" w14:textId="530FD544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Ангиоедем</w:t>
      </w:r>
    </w:p>
    <w:p w14:paraId="25DFD96B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Ангиоедем е съобщаван при пациенти, лекувани с АСЕ инхибитори, включително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(вж. точка 4.8). В случай на ангиоедем приемът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трябва да се прекрати.</w:t>
      </w:r>
    </w:p>
    <w:p w14:paraId="17A49373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Трябва незабавно да се назначи спешна терапия. Пациентът трябва да бъде поставен под наблюдение поне за 12 до 24 часа и изписан след пълно отшумяване на симптомите.</w:t>
      </w:r>
    </w:p>
    <w:p w14:paraId="1FB95163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Интестинален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ангиоедем е съобщаван при пациенти, лекувани с АСЕ инхибитори, включително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(вж. точка 4.8). При тези пациенти се наблюдава коремна болка (със или без гадене и повръщане).</w:t>
      </w:r>
    </w:p>
    <w:p w14:paraId="7A020A87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73F5B2" w14:textId="31D9579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Съпътстващата употреба на АСЕ инхибитори със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сакубитрил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валсартан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е противопоказана поради повишен риск от ангиоедем. Лечение със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сакубитрил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валсартан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не трябва да се започва по-рано от 36 часа след последната доза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Лечение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не трябва да се започва по-рано от 36 часа след последната доза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сакубитрил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валсартан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(вж. точки 4.3 и 4.5).</w:t>
      </w:r>
    </w:p>
    <w:p w14:paraId="32A56004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Съпътстващата употреба на АСЕ инхибитори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рацекадотрил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</w:rPr>
        <w:t>mTOR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r w:rsidRPr="008A1EFD">
        <w:rPr>
          <w:rFonts w:eastAsia="Times New Roman" w:cs="Arial"/>
          <w:color w:val="000000"/>
          <w:lang w:eastAsia="bg-BG"/>
        </w:rPr>
        <w:t xml:space="preserve">инхибитори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еверолимус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темсиролимус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вилдаглиптин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може да доведе до повишен риск от ангиоедем (напр. оток на дихателните пътища или езика, със или без нарушение на дишането) (вж. точка 4.5).</w:t>
      </w:r>
    </w:p>
    <w:p w14:paraId="0D6155B1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Необходимо е да се подходи с повишено внимание, когато се започва лечение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рацекадотрил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</w:rPr>
        <w:t>mTOR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r w:rsidRPr="008A1EFD">
        <w:rPr>
          <w:rFonts w:eastAsia="Times New Roman" w:cs="Arial"/>
          <w:color w:val="000000"/>
          <w:lang w:eastAsia="bg-BG"/>
        </w:rPr>
        <w:t xml:space="preserve">инхибитори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еверолимус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темсиролимус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вилдаглиптин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при пациент, който вече приема АСЕ инхибитор.</w:t>
      </w:r>
    </w:p>
    <w:p w14:paraId="264E5E00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A2131C7" w14:textId="3B5AD29B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i/>
          <w:iCs/>
          <w:color w:val="000000"/>
          <w:lang w:eastAsia="bg-BG"/>
        </w:rPr>
        <w:t>Анафилактични</w:t>
      </w:r>
      <w:proofErr w:type="spellEnd"/>
      <w:r w:rsidRPr="008A1EFD">
        <w:rPr>
          <w:rFonts w:eastAsia="Times New Roman" w:cs="Arial"/>
          <w:i/>
          <w:iCs/>
          <w:color w:val="000000"/>
          <w:lang w:eastAsia="bg-BG"/>
        </w:rPr>
        <w:t xml:space="preserve"> реакции по време на </w:t>
      </w:r>
      <w:proofErr w:type="spellStart"/>
      <w:r w:rsidRPr="008A1EFD">
        <w:rPr>
          <w:rFonts w:eastAsia="Times New Roman" w:cs="Arial"/>
          <w:i/>
          <w:iCs/>
          <w:color w:val="000000"/>
          <w:lang w:eastAsia="bg-BG"/>
        </w:rPr>
        <w:t>десенсиблизация</w:t>
      </w:r>
      <w:proofErr w:type="spellEnd"/>
    </w:p>
    <w:p w14:paraId="167F8E44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Вероятността от поява и тежестта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анафилактични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анафилактоидни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реакции към отровата на насекоми и други алергени са повишени при АСЕ инхибиране. Трябва да се има предвид временно прекъсване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преди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десенсибилизация</w:t>
      </w:r>
      <w:proofErr w:type="spellEnd"/>
      <w:r w:rsidRPr="008A1EFD">
        <w:rPr>
          <w:rFonts w:eastAsia="Times New Roman" w:cs="Arial"/>
          <w:color w:val="000000"/>
          <w:lang w:eastAsia="bg-BG"/>
        </w:rPr>
        <w:t>.</w:t>
      </w:r>
    </w:p>
    <w:p w14:paraId="64ABB2ED" w14:textId="77777777" w:rsidR="00262A3A" w:rsidRPr="008A1EFD" w:rsidRDefault="00262A3A" w:rsidP="00262A3A">
      <w:pPr>
        <w:rPr>
          <w:rFonts w:eastAsia="Times New Roman" w:cs="Arial"/>
          <w:i/>
          <w:iCs/>
          <w:color w:val="000000"/>
          <w:lang w:eastAsia="bg-BG"/>
        </w:rPr>
      </w:pPr>
    </w:p>
    <w:p w14:paraId="4A654AF0" w14:textId="77777777" w:rsidR="00262A3A" w:rsidRPr="008A1EFD" w:rsidRDefault="00262A3A" w:rsidP="00262A3A">
      <w:pPr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Серумен</w:t>
      </w:r>
      <w:r w:rsidRPr="008A1EFD">
        <w:rPr>
          <w:rFonts w:eastAsia="Times New Roman" w:cs="Arial"/>
          <w:color w:val="000000"/>
          <w:lang w:eastAsia="bg-BG"/>
        </w:rPr>
        <w:t xml:space="preserve"> калий При някои пациенти, лекувани с АСЕ инхибитори, включително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се наблюдава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Риск от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има при пациенти с бъбречна недостатъчност, при лица на възраст &gt; 70 години, при пациенти с неконтролиран захарен диабет или такива приемащи калиеви соли, калий съхраняващи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други активни вещества, повишаващи плазмените нива на калия, или състояния като дехидратация, остра сърдечна декомпенсация, метаболитна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ацидоза</w:t>
      </w:r>
      <w:proofErr w:type="spellEnd"/>
      <w:r w:rsidRPr="008A1EFD">
        <w:rPr>
          <w:rFonts w:eastAsia="Times New Roman" w:cs="Arial"/>
          <w:color w:val="000000"/>
          <w:lang w:eastAsia="bg-BG"/>
        </w:rPr>
        <w:t>.</w:t>
      </w:r>
    </w:p>
    <w:p w14:paraId="2AF8A624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АСЕ инхибиторите могат да предизвикат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тъй като инхибират освобождаването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алдостерон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Ефектът обикновено не е значителен при пациенти с нормална бъбречна функция. При пациенти с нарушена бъбречна функция обаче и/или при пациенти, приемащи хранителни добавки, съдържащи калий (включително заместители на солта), калий-съхраняващи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котримоксазол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известен също като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сулфаметоксазол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и особено антагонисти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алдостерона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-рецепторни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може да възникне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Калий- съхраняващите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-рецепторните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трябва да се </w:t>
      </w:r>
      <w:r w:rsidRPr="008A1EFD">
        <w:rPr>
          <w:rFonts w:eastAsia="Times New Roman" w:cs="Arial"/>
          <w:color w:val="000000"/>
          <w:lang w:eastAsia="bg-BG"/>
        </w:rPr>
        <w:lastRenderedPageBreak/>
        <w:t>прилагат внимателно при пациента, приемащи АСЕ инхибитори, като серумният калий и бъбречната функция трябва да се проследяват (вж. точка 4.5).</w:t>
      </w:r>
    </w:p>
    <w:p w14:paraId="200A7B76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Ако едновременната употреба на посочените средства се счита за подходяща, препоръчва се редовно проследяване на серумния калий (вж. точка 4.5).</w:t>
      </w:r>
    </w:p>
    <w:p w14:paraId="04BF45F1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D2F232D" w14:textId="761452F4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i/>
          <w:iCs/>
          <w:color w:val="000000"/>
          <w:lang w:eastAsia="bg-BG"/>
        </w:rPr>
        <w:t>Неутропения</w:t>
      </w:r>
      <w:proofErr w:type="spellEnd"/>
      <w:r w:rsidRPr="008A1EFD">
        <w:rPr>
          <w:rFonts w:eastAsia="Times New Roman" w:cs="Arial"/>
          <w:i/>
          <w:iCs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i/>
          <w:iCs/>
          <w:color w:val="000000"/>
          <w:lang w:eastAsia="bg-BG"/>
        </w:rPr>
        <w:t>агранулоцитоза</w:t>
      </w:r>
      <w:proofErr w:type="spellEnd"/>
    </w:p>
    <w:p w14:paraId="24654FDD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Рядко са наблюдавани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8A1EFD">
        <w:rPr>
          <w:rFonts w:eastAsia="Times New Roman" w:cs="Arial"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както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анемия, съобщавана е също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костномозъчна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супресия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Препоръчва се проследяване на броя на белите кръвни клетки, за да се установи евентуална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По-често проследяване се препоръчва в началната фаза на лечението и при пациенти с нарушена бъбречна функция, такива със съпътстваща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колагеноза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8A1EFD">
        <w:rPr>
          <w:rFonts w:eastAsia="Times New Roman" w:cs="Arial"/>
          <w:color w:val="000000"/>
          <w:lang w:eastAsia="bg-BG"/>
        </w:rPr>
        <w:t>напр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лупус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еритематодес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склеродермия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 и </w:t>
      </w:r>
      <w:r w:rsidRPr="008A1EFD">
        <w:rPr>
          <w:rFonts w:eastAsia="Times New Roman" w:cs="Arial"/>
          <w:i/>
          <w:iCs/>
          <w:color w:val="000000"/>
          <w:lang w:eastAsia="bg-BG"/>
        </w:rPr>
        <w:t>при</w:t>
      </w:r>
      <w:r w:rsidRPr="008A1EFD">
        <w:rPr>
          <w:rFonts w:eastAsia="Times New Roman" w:cs="Arial"/>
          <w:color w:val="000000"/>
          <w:lang w:eastAsia="bg-BG"/>
        </w:rPr>
        <w:t xml:space="preserve"> лекувани с други лекарствени продукти, които могат да причинят промени в кръвната картина (вж. точка 4.5 и 4.8).</w:t>
      </w:r>
    </w:p>
    <w:p w14:paraId="268EF0F9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DB594F2" w14:textId="38EAE639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Етнически различия</w:t>
      </w:r>
    </w:p>
    <w:p w14:paraId="1A1FE294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АСЕ инхибиторите причиняват ангиоедем с по-висока честота при чернокожи пациенти, Както и другите АСЕ инхибитори,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може да е по-малко ефективен при понижаване на кръвното налягане при чернокожи пациенти, отколкото при пациентите от други раси, поради по- честото наличие на хипертония с ниски нива на ренин при чернокожата популация.</w:t>
      </w:r>
    </w:p>
    <w:p w14:paraId="4BCFA917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44195D" w14:textId="54BF593F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Кашлица</w:t>
      </w:r>
    </w:p>
    <w:p w14:paraId="538DD735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При употребата на АСЕ инхибитори е съобщавана кашлица. Характерно е, че тя е непродуктивна, персистираща и отзвучава след прекратяване на терапията, Индуцираната от АСЕ инхибитор кашлица трябва да се разглежда като част от диференциалната диагноза на кашлица.</w:t>
      </w:r>
    </w:p>
    <w:p w14:paraId="4AECFC3F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85DE9B" w14:textId="7896C413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u w:val="single"/>
          <w:lang w:eastAsia="bg-BG"/>
        </w:rPr>
        <w:t>амлодипин</w:t>
      </w:r>
      <w:proofErr w:type="spellEnd"/>
    </w:p>
    <w:p w14:paraId="0EE8746B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B98553" w14:textId="0095D3BC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Безопасността и ефикасността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при хипертонична криза не са установени.</w:t>
      </w:r>
    </w:p>
    <w:p w14:paraId="183D40A0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53C90A8" w14:textId="06C6EB4B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u w:val="single"/>
          <w:lang w:eastAsia="bg-BG"/>
        </w:rPr>
        <w:t xml:space="preserve">Специални </w:t>
      </w:r>
      <w:proofErr w:type="spellStart"/>
      <w:r w:rsidRPr="008A1EFD">
        <w:rPr>
          <w:rFonts w:eastAsia="Times New Roman" w:cs="Arial"/>
          <w:i/>
          <w:iCs/>
          <w:color w:val="000000"/>
          <w:u w:val="single"/>
          <w:lang w:eastAsia="bg-BG"/>
        </w:rPr>
        <w:t>популаиии</w:t>
      </w:r>
      <w:proofErr w:type="spellEnd"/>
    </w:p>
    <w:p w14:paraId="6D6E6128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F8625CA" w14:textId="00E507F1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Пациенти със сърдечна недостатъчност</w:t>
      </w:r>
    </w:p>
    <w:p w14:paraId="5864AF64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Пациентите със сърдечна недостатъчност трябва да бъдат лекувани с повишено внимание. В дългосрочно, плацебо-контролирано изпитване при пациенти с тежка сърдечна недостатъчност </w:t>
      </w:r>
      <w:r w:rsidRPr="008A1EFD">
        <w:rPr>
          <w:rFonts w:eastAsia="Times New Roman" w:cs="Arial"/>
          <w:color w:val="000000"/>
        </w:rPr>
        <w:t xml:space="preserve">(NYHA </w:t>
      </w:r>
      <w:r w:rsidRPr="008A1EFD">
        <w:rPr>
          <w:rFonts w:eastAsia="Times New Roman" w:cs="Arial"/>
          <w:color w:val="000000"/>
          <w:lang w:eastAsia="bg-BG"/>
        </w:rPr>
        <w:t xml:space="preserve">клас </w:t>
      </w:r>
      <w:r w:rsidRPr="008A1EFD">
        <w:rPr>
          <w:rFonts w:eastAsia="Times New Roman" w:cs="Arial"/>
          <w:color w:val="000000"/>
        </w:rPr>
        <w:t>III</w:t>
      </w:r>
      <w:r w:rsidRPr="008A1EFD">
        <w:rPr>
          <w:rFonts w:eastAsia="Times New Roman" w:cs="Arial"/>
          <w:color w:val="000000"/>
          <w:lang w:eastAsia="bg-BG"/>
        </w:rPr>
        <w:t xml:space="preserve"> и IV) съобщаваната честота на белодробен оток е била по-висока в групата, лекувана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отколкото в плацебо-групата (виж точка 5.1),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на калциевите канали, включително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>, трябва да се използват с повишено внимание при пациенти със застойна сърдечна недостатъчност, тъй като могат да повишат риска от бъдещи сърдечно-съдови събития и смъртност.</w:t>
      </w:r>
    </w:p>
    <w:p w14:paraId="097C5A63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9A976A8" w14:textId="3E92315C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Пациенти с нарушена чернодробна функция</w:t>
      </w:r>
    </w:p>
    <w:p w14:paraId="6539D103" w14:textId="02A431C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A1EFD">
        <w:rPr>
          <w:rFonts w:eastAsia="Times New Roman" w:cs="Arial"/>
          <w:color w:val="000000"/>
          <w:lang w:eastAsia="bg-BG"/>
        </w:rPr>
        <w:t xml:space="preserve">Полуживотът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е удължен, а стойностите на </w:t>
      </w:r>
      <w:r w:rsidRPr="008A1EFD">
        <w:rPr>
          <w:rFonts w:eastAsia="Times New Roman" w:cs="Arial"/>
          <w:color w:val="000000"/>
        </w:rPr>
        <w:t xml:space="preserve">AUC </w:t>
      </w:r>
      <w:r w:rsidRPr="008A1EFD">
        <w:rPr>
          <w:rFonts w:eastAsia="Times New Roman" w:cs="Arial"/>
          <w:color w:val="000000"/>
          <w:lang w:eastAsia="bg-BG"/>
        </w:rPr>
        <w:t xml:space="preserve">са по-високи при пациенти с нарушена чернодробна функция; не са установени препоръки за дозиране. Следователно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трябва да се започне с най-ниската доза и да се прояви повишено внимание както в началото на лечението, така и при повишаване на дозата. При пациенти с тежка чернодробна недостатъчност може да се наложи бавно титриране на дозата и внимателно мониториране.</w:t>
      </w:r>
    </w:p>
    <w:p w14:paraId="70166067" w14:textId="257D49B5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2FFB38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74C574E6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lastRenderedPageBreak/>
        <w:t>Повишаването на дозата при пациенти в старческа възраст трябва да се извършва с внимание (вж. точка 4.2 и 5.2).</w:t>
      </w:r>
    </w:p>
    <w:p w14:paraId="76BAA4DC" w14:textId="7508793F" w:rsidR="00262A3A" w:rsidRPr="008A1EFD" w:rsidRDefault="00262A3A" w:rsidP="00262A3A"/>
    <w:p w14:paraId="62F27C9B" w14:textId="61204C50" w:rsidR="00DB32D3" w:rsidRPr="008A1EFD" w:rsidRDefault="002C50EE" w:rsidP="005726E3">
      <w:pPr>
        <w:pStyle w:val="Heading2"/>
      </w:pPr>
      <w:r w:rsidRPr="008A1EFD">
        <w:t>4.5. Взаимодействие с други лекарствени продукти и други форми на</w:t>
      </w:r>
      <w:r w:rsidR="004F1CE7" w:rsidRPr="008A1EFD">
        <w:t xml:space="preserve"> взаимодействие</w:t>
      </w:r>
      <w:r w:rsidRPr="008A1EFD">
        <w:t xml:space="preserve"> </w:t>
      </w:r>
    </w:p>
    <w:p w14:paraId="2F1C7E97" w14:textId="7331456A" w:rsidR="00262A3A" w:rsidRPr="008A1EFD" w:rsidRDefault="00262A3A" w:rsidP="00262A3A"/>
    <w:p w14:paraId="74CF20A8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u w:val="single"/>
          <w:lang w:eastAsia="bg-BG"/>
        </w:rPr>
        <w:t>рамиприл</w:t>
      </w:r>
      <w:proofErr w:type="spellEnd"/>
    </w:p>
    <w:p w14:paraId="098810ED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24C9C9" w14:textId="058CE70A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Данните от клинични изпитвания показват, че двойната блокада на системата ренин-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алдостерон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(РААС) чрез комбинирано използване на АСЕ инхибитори,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r w:rsidRPr="008A1EFD">
        <w:rPr>
          <w:rFonts w:eastAsia="Times New Roman" w:cs="Arial"/>
          <w:color w:val="000000"/>
        </w:rPr>
        <w:t>II</w:t>
      </w:r>
      <w:r w:rsidRPr="008A1EFD">
        <w:rPr>
          <w:rFonts w:eastAsia="Times New Roman" w:cs="Arial"/>
          <w:color w:val="000000"/>
          <w:lang w:eastAsia="bg-BG"/>
        </w:rPr>
        <w:t xml:space="preserve">-рецепторни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е свързана с по-висока честота на нежелани събития като хипотония,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намалена бъбречна функция (включително остра бъбречна недостатъчност), в сравнение с използването само на едно средство, действащо на </w:t>
      </w:r>
      <w:r w:rsidRPr="008A1EFD">
        <w:rPr>
          <w:rFonts w:eastAsia="Times New Roman" w:cs="Arial"/>
          <w:color w:val="000000"/>
        </w:rPr>
        <w:t xml:space="preserve">RAAS </w:t>
      </w:r>
      <w:r w:rsidRPr="008A1EFD">
        <w:rPr>
          <w:rFonts w:eastAsia="Times New Roman" w:cs="Arial"/>
          <w:color w:val="000000"/>
          <w:lang w:eastAsia="bg-BG"/>
        </w:rPr>
        <w:t>(вж. точки 4.3,4.4 и 5.1).</w:t>
      </w:r>
    </w:p>
    <w:p w14:paraId="026A101B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35E0E7F" w14:textId="43FE009B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Противопоказани комбинации</w:t>
      </w:r>
    </w:p>
    <w:p w14:paraId="0F7E169F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5ED5E2" w14:textId="39F88E76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Алискирен-съдьржащи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продукти: едновременната употреба е строго противопоказна при пациенти със захарен диабет или умерена до тежка бъбречна недостатъчност </w:t>
      </w:r>
      <w:r w:rsidRPr="008A1EFD">
        <w:rPr>
          <w:rFonts w:eastAsia="Times New Roman" w:cs="Arial"/>
          <w:color w:val="000000"/>
        </w:rPr>
        <w:t xml:space="preserve">(GFR) </w:t>
      </w:r>
      <w:r w:rsidRPr="008A1EFD">
        <w:rPr>
          <w:rFonts w:eastAsia="Times New Roman" w:cs="Arial"/>
          <w:color w:val="000000"/>
          <w:lang w:eastAsia="bg-BG"/>
        </w:rPr>
        <w:t xml:space="preserve">&lt; 60 </w:t>
      </w:r>
      <w:r w:rsidRPr="008A1EFD">
        <w:rPr>
          <w:rFonts w:eastAsia="Times New Roman" w:cs="Arial"/>
          <w:color w:val="000000"/>
        </w:rPr>
        <w:t>ml/</w:t>
      </w:r>
      <w:proofErr w:type="spellStart"/>
      <w:r w:rsidRPr="008A1EFD">
        <w:rPr>
          <w:rFonts w:eastAsia="Times New Roman" w:cs="Arial"/>
          <w:color w:val="000000"/>
        </w:rPr>
        <w:t>min</w:t>
      </w:r>
      <w:proofErr w:type="spellEnd"/>
      <w:r w:rsidRPr="008A1EFD">
        <w:rPr>
          <w:rFonts w:eastAsia="Times New Roman" w:cs="Arial"/>
          <w:color w:val="000000"/>
        </w:rPr>
        <w:t>/1</w:t>
      </w:r>
      <w:r w:rsidRPr="008A1EFD">
        <w:rPr>
          <w:rFonts w:eastAsia="Times New Roman" w:cs="Arial"/>
          <w:color w:val="000000"/>
          <w:lang w:eastAsia="bg-BG"/>
        </w:rPr>
        <w:t xml:space="preserve">,73 </w:t>
      </w:r>
      <w:r w:rsidRPr="008A1EFD">
        <w:rPr>
          <w:rFonts w:eastAsia="Times New Roman" w:cs="Arial"/>
          <w:color w:val="000000"/>
        </w:rPr>
        <w:t>m</w:t>
      </w:r>
      <w:r w:rsidRPr="008A1EFD">
        <w:rPr>
          <w:rFonts w:eastAsia="Times New Roman" w:cs="Arial"/>
          <w:color w:val="000000"/>
          <w:vertAlign w:val="superscript"/>
        </w:rPr>
        <w:t>2</w:t>
      </w:r>
      <w:r w:rsidRPr="008A1EFD">
        <w:rPr>
          <w:rFonts w:eastAsia="Times New Roman" w:cs="Arial"/>
          <w:color w:val="000000"/>
        </w:rPr>
        <w:t xml:space="preserve">) </w:t>
      </w:r>
      <w:r w:rsidRPr="008A1EFD">
        <w:rPr>
          <w:rFonts w:eastAsia="Times New Roman" w:cs="Arial"/>
          <w:color w:val="000000"/>
          <w:lang w:eastAsia="bg-BG"/>
        </w:rPr>
        <w:t>(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вж.точка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4.3).</w:t>
      </w:r>
    </w:p>
    <w:p w14:paraId="0C4F1619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401E56" w14:textId="73367C65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Екстракорпорално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лечение, водещо до контакт на кръвта с отрицателно заредени повърхности, например диализа или хемофилтрация с определени високопропускливи мембрани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полиакрилонитрилни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мембрани)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афереза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липопротеини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 ниска плътност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декстранов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сулфат повишават риска от тежка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анафилактоидна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реакция (вж. точка 4.3). Ако се налага подобно лечение, необходимо е да се обмисли използване на различен тип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диализна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мембрана или различен клас антихипертензивно средство.</w:t>
      </w:r>
    </w:p>
    <w:p w14:paraId="566F85DD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D89DE9" w14:textId="510F63AB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Лекарства, повишаващи риска от ангиоедем</w:t>
      </w:r>
    </w:p>
    <w:p w14:paraId="5A2ED739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Съпътстващата употреба на АСЕ инхибитори със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сакубитрил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валсартан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е противопоказана, тъй като това повишава риска от ангиоедем (вж. точка 4.3 и 4.4).</w:t>
      </w:r>
    </w:p>
    <w:p w14:paraId="3E014385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038EE8" w14:textId="0F6F5AF6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Съпътстващата употреба на АСЕ инхибитори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рацекадотрил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</w:rPr>
        <w:t>mTOR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r w:rsidRPr="008A1EFD">
        <w:rPr>
          <w:rFonts w:eastAsia="Times New Roman" w:cs="Arial"/>
          <w:color w:val="000000"/>
          <w:lang w:eastAsia="bg-BG"/>
        </w:rPr>
        <w:t>инхибитори (</w:t>
      </w:r>
      <w:proofErr w:type="spellStart"/>
      <w:r w:rsidRPr="008A1EFD">
        <w:rPr>
          <w:rFonts w:eastAsia="Times New Roman" w:cs="Arial"/>
          <w:color w:val="000000"/>
          <w:lang w:eastAsia="bg-BG"/>
        </w:rPr>
        <w:t>напр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еверолимус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темсиролимус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вилдаглиптин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може да доведе до повишен риск от ангиоедем (вж. точка 4.4).</w:t>
      </w:r>
    </w:p>
    <w:p w14:paraId="6ACD397B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D8E3504" w14:textId="518808FA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>Предпазни мерки при употреба</w:t>
      </w:r>
    </w:p>
    <w:p w14:paraId="03E85B71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94D963" w14:textId="5E231BA4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Калий-съхраняващи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>, хранителни добавки, съдържащи калий или калий-съдържащи заместители на солта</w:t>
      </w:r>
    </w:p>
    <w:p w14:paraId="0064530E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Въпреки че серумният калий обикновено остава в рамките на нормалните граници, при някои пациенти, лекувани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може да възникне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Употребата на калий- съхраняващи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спиронолактон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триамтерен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амилорид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), хранителни добавки, съдържащи калий или калий-съдържащи заместители на солта може да доведе до значително повишение на серумния калий. Трябва също да се внимава, когато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се прилага едновременно с други средства, които повишават серумния калий, като 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котримоксазол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сулфаметоксазол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), тъй като е известно, че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действа като калий-съхраняващ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диуретик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подобно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амилорид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Поради това не се препоръчва комбинирането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 гореспоменатите лекарства. Ако е показана съпътстваща </w:t>
      </w:r>
      <w:r w:rsidRPr="008A1EFD">
        <w:rPr>
          <w:rFonts w:eastAsia="Times New Roman" w:cs="Arial"/>
          <w:color w:val="000000"/>
          <w:lang w:eastAsia="bg-BG"/>
        </w:rPr>
        <w:lastRenderedPageBreak/>
        <w:t>употреба, те трябва да се използват с повишено внимание и при често проследяване на серумния калий.</w:t>
      </w:r>
    </w:p>
    <w:p w14:paraId="71C07E82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D2FA62" w14:textId="58D4AB6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Циклоспорин</w:t>
      </w:r>
    </w:p>
    <w:p w14:paraId="6FDC4137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При съпътстваща употреба на АСЕ инхибитори с циклоспорин може да възникне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>. Препоръчва се проследяване на серумния калий.</w:t>
      </w:r>
    </w:p>
    <w:p w14:paraId="35CDFC4C" w14:textId="77777777" w:rsidR="00262A3A" w:rsidRPr="008A1EFD" w:rsidRDefault="00262A3A" w:rsidP="00262A3A">
      <w:pPr>
        <w:rPr>
          <w:rFonts w:eastAsia="Times New Roman" w:cs="Arial"/>
          <w:color w:val="000000"/>
          <w:lang w:eastAsia="bg-BG"/>
        </w:rPr>
      </w:pPr>
    </w:p>
    <w:p w14:paraId="607C4C86" w14:textId="77777777" w:rsidR="00262A3A" w:rsidRPr="008A1EFD" w:rsidRDefault="00262A3A" w:rsidP="00262A3A">
      <w:pPr>
        <w:rPr>
          <w:rFonts w:eastAsia="Times New Roman" w:cs="Arial"/>
          <w:color w:val="000000"/>
          <w:lang w:eastAsia="bg-BG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</w:p>
    <w:p w14:paraId="4440D630" w14:textId="1B90ADBD" w:rsidR="00262A3A" w:rsidRPr="008A1EFD" w:rsidRDefault="00262A3A" w:rsidP="00262A3A">
      <w:pPr>
        <w:rPr>
          <w:rFonts w:eastAsia="Times New Roman" w:cs="Arial"/>
          <w:color w:val="000000"/>
          <w:lang w:eastAsia="bg-BG"/>
        </w:rPr>
      </w:pPr>
      <w:r w:rsidRPr="008A1EFD">
        <w:rPr>
          <w:rFonts w:eastAsia="Times New Roman" w:cs="Arial"/>
          <w:color w:val="000000"/>
          <w:lang w:eastAsia="bg-BG"/>
        </w:rPr>
        <w:t xml:space="preserve">При съпътстваща употреба на АСЕ инхибитори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хепарин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може да възникне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>. Препоръчва се проследяване на серумния калий.</w:t>
      </w:r>
    </w:p>
    <w:p w14:paraId="1865E535" w14:textId="1816E8EA" w:rsidR="00262A3A" w:rsidRPr="008A1EFD" w:rsidRDefault="00262A3A" w:rsidP="00262A3A">
      <w:pPr>
        <w:rPr>
          <w:rFonts w:eastAsia="Times New Roman" w:cs="Arial"/>
          <w:color w:val="000000"/>
          <w:lang w:eastAsia="bg-BG"/>
        </w:rPr>
      </w:pPr>
    </w:p>
    <w:p w14:paraId="202FB652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Антихипергензивни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средства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 и други вещества, които могат да понижат кръвното налягане (напр. нитрати, трициклични антидепресанти,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анестетици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прекомерен прием на алкохол,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баклофен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алфузозин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доксазозин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празозин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тамсулозин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тетразозин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): Може да се очаква повишен риск от хипотония (вж. точка 4.2 за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>),</w:t>
      </w:r>
    </w:p>
    <w:p w14:paraId="5C04F774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72265A" w14:textId="3D009FF3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Вазопресорни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симпатикомиметици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други вещества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изопротернол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добутамин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допамин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епинефрин), които могат да намалят антихипертензивния ефект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>: Препоръчва се проследяване на кръвното налягане.</w:t>
      </w:r>
    </w:p>
    <w:p w14:paraId="29EDD648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363E3B" w14:textId="45961699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Алопуринол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имуносупресори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коргикостероиди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прокаинамид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цитостатици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други вещества, които могат да променят броя на кръвните клетки: Повишена вероятност от поява на хематологични реакции (вж. точка 4.4),</w:t>
      </w:r>
    </w:p>
    <w:p w14:paraId="1FBC5C12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FE6116" w14:textId="244254CF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Литиеви соли; Екскрецията на лития може да бъде понижена от АСЕ инхибиторите и поради това може да се увеличи неговата токсичност. Нивата на лития трябва да се проследяват.</w:t>
      </w:r>
    </w:p>
    <w:p w14:paraId="5CBE39E4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DF4203" w14:textId="1824F456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>Антидиабетни средства, включително инсулин: Могат да възникнат хипогликемични реакции. Препоръчва се проследяване на нивата на кръвната захар.</w:t>
      </w:r>
    </w:p>
    <w:p w14:paraId="42CBF28C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F44FB2" w14:textId="08BFD7F1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Нестероидни противовъзпалителни средства (НСПВС) и ацетилсалицилова киселина: Трябва да се очаква намаляване на антихипертензивния ефект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Освен това съпътстващото лечение с АСЕ инхибитори и НСПВС може да доведе до повишен риск от влошаване на бъбречната функция и до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>.</w:t>
      </w:r>
    </w:p>
    <w:p w14:paraId="0B5905DC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A25214" w14:textId="2524AEF7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комбинацията с фиксирани дози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сулфаметоксазол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(Ко-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): Повишена честота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се наблюдава при пациенти, приемащи АСЕ инхибитори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комбинацията с фиксирани дози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сулфаметоксазол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(Ко-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тримоксазол</w:t>
      </w:r>
      <w:proofErr w:type="spellEnd"/>
      <w:r w:rsidRPr="008A1EFD">
        <w:rPr>
          <w:rFonts w:eastAsia="Times New Roman" w:cs="Arial"/>
          <w:color w:val="000000"/>
          <w:lang w:eastAsia="bg-BG"/>
        </w:rPr>
        <w:t>).</w:t>
      </w:r>
    </w:p>
    <w:p w14:paraId="21D00284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</w:rPr>
      </w:pPr>
    </w:p>
    <w:p w14:paraId="6F33B11D" w14:textId="71429160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</w:rPr>
        <w:t>mTOR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r w:rsidRPr="008A1EFD">
        <w:rPr>
          <w:rFonts w:eastAsia="Times New Roman" w:cs="Arial"/>
          <w:color w:val="000000"/>
          <w:lang w:eastAsia="bg-BG"/>
        </w:rPr>
        <w:t xml:space="preserve">инхибитори или </w:t>
      </w:r>
      <w:r w:rsidRPr="008A1EFD">
        <w:rPr>
          <w:rFonts w:eastAsia="Times New Roman" w:cs="Arial"/>
          <w:color w:val="000000"/>
        </w:rPr>
        <w:t xml:space="preserve">DPP-1V </w:t>
      </w:r>
      <w:r w:rsidRPr="008A1EFD">
        <w:rPr>
          <w:rFonts w:eastAsia="Times New Roman" w:cs="Arial"/>
          <w:color w:val="000000"/>
          <w:lang w:eastAsia="bg-BG"/>
        </w:rPr>
        <w:t xml:space="preserve">инхибитори: Повишен риск от ангиоедем е възможен при пациенти, приемащи съпътстващи лекарства като </w:t>
      </w:r>
      <w:proofErr w:type="spellStart"/>
      <w:r w:rsidRPr="008A1EFD">
        <w:rPr>
          <w:rFonts w:eastAsia="Times New Roman" w:cs="Arial"/>
          <w:color w:val="000000"/>
        </w:rPr>
        <w:t>mTOR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r w:rsidRPr="008A1EFD">
        <w:rPr>
          <w:rFonts w:eastAsia="Times New Roman" w:cs="Arial"/>
          <w:color w:val="000000"/>
          <w:lang w:eastAsia="bg-BG"/>
        </w:rPr>
        <w:t xml:space="preserve">инхибитори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темсирулимус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еверолимус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вилдаглиптин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>. При започване на лечение се изисква повишено внимание.</w:t>
      </w:r>
    </w:p>
    <w:p w14:paraId="6938D21B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1E9C73" w14:textId="43FD587F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u w:val="single"/>
          <w:lang w:eastAsia="bg-BG"/>
        </w:rPr>
        <w:t>амлодипин</w:t>
      </w:r>
      <w:proofErr w:type="spellEnd"/>
    </w:p>
    <w:p w14:paraId="3509D5A5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64A572" w14:textId="43E14B12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 xml:space="preserve">Ефекти на други лекарствени продукти върху </w:t>
      </w:r>
      <w:proofErr w:type="spellStart"/>
      <w:r w:rsidRPr="008A1EFD">
        <w:rPr>
          <w:rFonts w:eastAsia="Times New Roman" w:cs="Arial"/>
          <w:i/>
          <w:iCs/>
          <w:color w:val="000000"/>
          <w:lang w:eastAsia="bg-BG"/>
        </w:rPr>
        <w:t>амлодипин</w:t>
      </w:r>
      <w:proofErr w:type="spellEnd"/>
    </w:p>
    <w:p w14:paraId="5BB9840E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</w:rPr>
      </w:pPr>
    </w:p>
    <w:p w14:paraId="522BCCB2" w14:textId="5555E831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</w:rPr>
        <w:lastRenderedPageBreak/>
        <w:t xml:space="preserve">CYP3A4 </w:t>
      </w:r>
      <w:r w:rsidRPr="008A1EFD">
        <w:rPr>
          <w:rFonts w:eastAsia="Times New Roman" w:cs="Arial"/>
          <w:color w:val="000000"/>
          <w:lang w:eastAsia="bg-BG"/>
        </w:rPr>
        <w:t xml:space="preserve">инхибитори: Едновременното приложение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със силни или умерени </w:t>
      </w:r>
      <w:r w:rsidRPr="008A1EFD">
        <w:rPr>
          <w:rFonts w:eastAsia="Times New Roman" w:cs="Arial"/>
          <w:color w:val="000000"/>
        </w:rPr>
        <w:t xml:space="preserve">CYP3A4 </w:t>
      </w:r>
      <w:r w:rsidRPr="008A1EFD">
        <w:rPr>
          <w:rFonts w:eastAsia="Times New Roman" w:cs="Arial"/>
          <w:color w:val="000000"/>
          <w:lang w:eastAsia="bg-BG"/>
        </w:rPr>
        <w:t>инхибитори (</w:t>
      </w:r>
      <w:proofErr w:type="spellStart"/>
      <w:r w:rsidRPr="008A1EFD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инхибитори,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азолни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противогъбични средства,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кларитромиции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верапамил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дилтиазем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) може да доведе до значимо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увеличване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на експозицията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Клиничната значимост на тези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вариации може да е по-изразена при пациентите в старческа възраст. Това може да наложи клинично проследяване и корекция на дозата. Съществува повишен риск от хипотония при пациенти, приемащи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кларитромиции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Препоръчва се внимателно наблюдение на пациентите при едновременно приложение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кларитромиции</w:t>
      </w:r>
      <w:proofErr w:type="spellEnd"/>
      <w:r w:rsidRPr="008A1EFD">
        <w:rPr>
          <w:rFonts w:eastAsia="Times New Roman" w:cs="Arial"/>
          <w:color w:val="000000"/>
          <w:lang w:eastAsia="bg-BG"/>
        </w:rPr>
        <w:t>.</w:t>
      </w:r>
    </w:p>
    <w:p w14:paraId="1EDAA172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</w:rPr>
      </w:pPr>
    </w:p>
    <w:p w14:paraId="7558B109" w14:textId="770BE845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</w:rPr>
        <w:t xml:space="preserve">CYP3A4 </w:t>
      </w:r>
      <w:r w:rsidRPr="008A1EFD">
        <w:rPr>
          <w:rFonts w:eastAsia="Times New Roman" w:cs="Arial"/>
          <w:color w:val="000000"/>
          <w:lang w:eastAsia="bg-BG"/>
        </w:rPr>
        <w:t xml:space="preserve">индуктори: При едновременно приложение на известни индуктори на </w:t>
      </w:r>
      <w:r w:rsidRPr="008A1EFD">
        <w:rPr>
          <w:rFonts w:eastAsia="Times New Roman" w:cs="Arial"/>
          <w:color w:val="000000"/>
        </w:rPr>
        <w:t xml:space="preserve">CYP3A4 </w:t>
      </w:r>
      <w:r w:rsidRPr="008A1EFD">
        <w:rPr>
          <w:rFonts w:eastAsia="Times New Roman" w:cs="Arial"/>
          <w:color w:val="000000"/>
          <w:lang w:eastAsia="bg-BG"/>
        </w:rPr>
        <w:t xml:space="preserve">плазмената концентрация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може да варира. Поради това кръвното налягане трябва да се проследява и да се обмисли адаптиране на дозата както по време, така и след едновременен прием, особено със силни </w:t>
      </w:r>
      <w:r w:rsidRPr="008A1EFD">
        <w:rPr>
          <w:rFonts w:eastAsia="Times New Roman" w:cs="Arial"/>
          <w:color w:val="000000"/>
        </w:rPr>
        <w:t xml:space="preserve">CYP3A4 </w:t>
      </w:r>
      <w:r w:rsidRPr="008A1EFD">
        <w:rPr>
          <w:rFonts w:eastAsia="Times New Roman" w:cs="Arial"/>
          <w:color w:val="000000"/>
          <w:lang w:eastAsia="bg-BG"/>
        </w:rPr>
        <w:t xml:space="preserve">индуктори (напр.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рифампицин</w:t>
      </w:r>
      <w:proofErr w:type="spellEnd"/>
      <w:r w:rsidRPr="008A1EFD">
        <w:rPr>
          <w:rFonts w:eastAsia="Times New Roman" w:cs="Arial"/>
          <w:color w:val="000000"/>
          <w:lang w:eastAsia="bg-BG"/>
        </w:rPr>
        <w:t>, жълт кантарион).</w:t>
      </w:r>
    </w:p>
    <w:p w14:paraId="228689E2" w14:textId="77777777" w:rsidR="00262A3A" w:rsidRPr="008A1EFD" w:rsidRDefault="00262A3A" w:rsidP="00262A3A">
      <w:pPr>
        <w:rPr>
          <w:rFonts w:eastAsia="Times New Roman" w:cs="Arial"/>
          <w:color w:val="000000"/>
          <w:lang w:eastAsia="bg-BG"/>
        </w:rPr>
      </w:pPr>
    </w:p>
    <w:p w14:paraId="32271393" w14:textId="77777777" w:rsidR="00262A3A" w:rsidRPr="008A1EFD" w:rsidRDefault="00262A3A" w:rsidP="00262A3A">
      <w:pPr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Дантролен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(инфузия): При животни са наблюдавани летално камерно мъждене и сърдечно-съдов колапс, свързани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след приложение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верапамил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интравенозен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дантролен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Поради риск от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се препоръчва да се избягва едновременното приложение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r w:rsidRPr="008A1EFD">
        <w:rPr>
          <w:rFonts w:eastAsia="Times New Roman" w:cs="Arial"/>
          <w:color w:val="000000"/>
          <w:lang w:eastAsia="bg-BG"/>
        </w:rPr>
        <w:t xml:space="preserve">на калциевите канали като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при пациенти, предразположени към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малигнена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хипертермия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 при овладяване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малигнена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хипертермия</w:t>
      </w:r>
      <w:proofErr w:type="spellEnd"/>
      <w:r w:rsidRPr="008A1EFD">
        <w:rPr>
          <w:rFonts w:eastAsia="Times New Roman" w:cs="Arial"/>
          <w:color w:val="000000"/>
          <w:lang w:eastAsia="bg-BG"/>
        </w:rPr>
        <w:t>.</w:t>
      </w:r>
    </w:p>
    <w:p w14:paraId="56360C07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26C9BE" w14:textId="57C5B1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Не се препоръчва приложение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 грейпфрут или сок от грейпфрут, тъй като при някои пациенти бионаличността може да се повиши </w:t>
      </w:r>
      <w:r w:rsidRPr="008A1EFD">
        <w:rPr>
          <w:rFonts w:eastAsia="Times New Roman" w:cs="Arial"/>
          <w:i/>
          <w:iCs/>
          <w:color w:val="000000"/>
          <w:lang w:eastAsia="bg-BG"/>
        </w:rPr>
        <w:t>и</w:t>
      </w:r>
      <w:r w:rsidRPr="008A1EFD">
        <w:rPr>
          <w:rFonts w:eastAsia="Times New Roman" w:cs="Arial"/>
          <w:color w:val="000000"/>
          <w:lang w:eastAsia="bg-BG"/>
        </w:rPr>
        <w:t xml:space="preserve"> да доведе до засилване на антихипертензивните ефекти.</w:t>
      </w:r>
    </w:p>
    <w:p w14:paraId="4D6C88B7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B16419D" w14:textId="6026D955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i/>
          <w:iCs/>
          <w:color w:val="000000"/>
          <w:lang w:eastAsia="bg-BG"/>
        </w:rPr>
        <w:t xml:space="preserve">Ефекти на </w:t>
      </w:r>
      <w:proofErr w:type="spellStart"/>
      <w:r w:rsidRPr="008A1EFD">
        <w:rPr>
          <w:rFonts w:eastAsia="Times New Roman" w:cs="Arial"/>
          <w:i/>
          <w:iCs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i/>
          <w:iCs/>
          <w:color w:val="000000"/>
          <w:lang w:eastAsia="bg-BG"/>
        </w:rPr>
        <w:t xml:space="preserve"> върху други лекарствени продукти</w:t>
      </w:r>
    </w:p>
    <w:p w14:paraId="6FDFD15D" w14:textId="77777777" w:rsidR="00262A3A" w:rsidRPr="008A1EFD" w:rsidRDefault="00262A3A" w:rsidP="00262A3A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Ефектите на понижаване на артериалното налягане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се наслагват към понижаващите кръвното налягане ефекти на други лекарствени продукти с антихипертензивни свойства.</w:t>
      </w:r>
    </w:p>
    <w:p w14:paraId="0D54DBB9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EB48BA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A1EFD">
        <w:rPr>
          <w:rFonts w:eastAsia="Times New Roman" w:cs="Arial"/>
          <w:color w:val="000000"/>
          <w:lang w:eastAsia="bg-BG"/>
        </w:rPr>
        <w:t xml:space="preserve">При клинични изпитвания за взаимодействия,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не повлиява фармакокинетиката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</w:t>
      </w:r>
    </w:p>
    <w:p w14:paraId="786FD8DD" w14:textId="0B7DF34B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или циклоспорин.</w:t>
      </w:r>
    </w:p>
    <w:p w14:paraId="301DC762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DF8EB1" w14:textId="52520885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: Едновременното многократно приложение на 10 </w:t>
      </w:r>
      <w:proofErr w:type="spellStart"/>
      <w:r w:rsidRPr="008A1EFD">
        <w:rPr>
          <w:rFonts w:eastAsia="Times New Roman" w:cs="Arial"/>
          <w:color w:val="000000"/>
        </w:rPr>
        <w:t>mg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 80 </w:t>
      </w:r>
      <w:proofErr w:type="spellStart"/>
      <w:r w:rsidRPr="008A1EFD">
        <w:rPr>
          <w:rFonts w:eastAsia="Times New Roman" w:cs="Arial"/>
          <w:color w:val="000000"/>
        </w:rPr>
        <w:t>mg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повишава експозицията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със 77% в сравнение със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. При пациенти, приемащи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пределната доза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е 20 </w:t>
      </w:r>
      <w:proofErr w:type="spellStart"/>
      <w:r w:rsidRPr="008A1EFD">
        <w:rPr>
          <w:rFonts w:eastAsia="Times New Roman" w:cs="Arial"/>
          <w:color w:val="000000"/>
        </w:rPr>
        <w:t>mg</w:t>
      </w:r>
      <w:proofErr w:type="spellEnd"/>
      <w:r w:rsidRPr="008A1EFD">
        <w:rPr>
          <w:rFonts w:eastAsia="Times New Roman" w:cs="Arial"/>
          <w:color w:val="000000"/>
        </w:rPr>
        <w:t xml:space="preserve"> </w:t>
      </w:r>
      <w:r w:rsidRPr="008A1EFD">
        <w:rPr>
          <w:rFonts w:eastAsia="Times New Roman" w:cs="Arial"/>
          <w:color w:val="000000"/>
          <w:lang w:eastAsia="bg-BG"/>
        </w:rPr>
        <w:t>дневно.</w:t>
      </w:r>
    </w:p>
    <w:p w14:paraId="474D9E63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72189C" w14:textId="0176D81E" w:rsidR="00262A3A" w:rsidRPr="008A1EFD" w:rsidRDefault="00262A3A" w:rsidP="00262A3A">
      <w:pPr>
        <w:spacing w:line="240" w:lineRule="auto"/>
        <w:rPr>
          <w:rFonts w:eastAsia="Times New Roman" w:cs="Arial"/>
        </w:rPr>
      </w:pPr>
      <w:proofErr w:type="spellStart"/>
      <w:r w:rsidRPr="008A1EFD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: При едновременно приложение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съществува риск от повишаване на нивата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в кръвта. За да се избегне токсичност от страна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приложението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при пациенти, лекувани с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, изисква контрол на нивата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 xml:space="preserve"> в кръвта и корекция на дозата на </w:t>
      </w:r>
      <w:proofErr w:type="spellStart"/>
      <w:r w:rsidRPr="008A1EFD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8A1EFD">
        <w:rPr>
          <w:rFonts w:eastAsia="Times New Roman" w:cs="Arial"/>
          <w:color w:val="000000"/>
          <w:lang w:eastAsia="bg-BG"/>
        </w:rPr>
        <w:t>, ако е необходимо.</w:t>
      </w:r>
    </w:p>
    <w:p w14:paraId="49DF4A5D" w14:textId="39BAA3D0" w:rsidR="00262A3A" w:rsidRPr="008A1EFD" w:rsidRDefault="00262A3A" w:rsidP="00262A3A"/>
    <w:p w14:paraId="006BE4EC" w14:textId="2D7ED374" w:rsidR="00DB32D3" w:rsidRPr="008A1EFD" w:rsidRDefault="002C50EE" w:rsidP="005726E3">
      <w:pPr>
        <w:pStyle w:val="Heading2"/>
      </w:pPr>
      <w:r w:rsidRPr="008A1EFD">
        <w:t>4.6. Фертилитет, бременност и кърмене</w:t>
      </w:r>
    </w:p>
    <w:p w14:paraId="7582E5E6" w14:textId="482B34C2" w:rsidR="00262A3A" w:rsidRPr="008A1EFD" w:rsidRDefault="00262A3A" w:rsidP="00262A3A"/>
    <w:p w14:paraId="388B7981" w14:textId="77777777" w:rsidR="00262A3A" w:rsidRPr="008A1EFD" w:rsidRDefault="00262A3A" w:rsidP="00262A3A">
      <w:pPr>
        <w:pStyle w:val="Heading3"/>
        <w:rPr>
          <w:rFonts w:eastAsia="Times New Roman"/>
          <w:u w:val="single"/>
        </w:rPr>
      </w:pPr>
      <w:r w:rsidRPr="008A1EFD">
        <w:rPr>
          <w:rFonts w:eastAsia="Times New Roman"/>
          <w:u w:val="single"/>
          <w:lang w:eastAsia="bg-BG"/>
        </w:rPr>
        <w:lastRenderedPageBreak/>
        <w:t>Бременност</w:t>
      </w:r>
    </w:p>
    <w:p w14:paraId="3A50064A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9C11A1C" w14:textId="76FBF0C1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>рамиприл</w:t>
      </w:r>
      <w:proofErr w:type="spellEnd"/>
    </w:p>
    <w:p w14:paraId="5436D97C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013929D" w14:textId="581D2DAB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 xml:space="preserve">Употребата на АСЕ инхибитори е противопоказана по време на втория и третия </w:t>
      </w:r>
      <w:r w:rsidR="00482748" w:rsidRPr="008A1EFD">
        <w:rPr>
          <w:rFonts w:eastAsia="Times New Roman" w:cs="Arial"/>
          <w:color w:val="000000"/>
          <w:szCs w:val="20"/>
          <w:lang w:eastAsia="bg-BG"/>
        </w:rPr>
        <w:t>триместър</w:t>
      </w:r>
      <w:r w:rsidRPr="008A1EFD">
        <w:rPr>
          <w:rFonts w:eastAsia="Times New Roman" w:cs="Arial"/>
          <w:color w:val="000000"/>
          <w:szCs w:val="20"/>
          <w:lang w:eastAsia="bg-BG"/>
        </w:rPr>
        <w:t xml:space="preserve"> на бременността (вж. точки 4.3 и 4.4).</w:t>
      </w:r>
    </w:p>
    <w:p w14:paraId="69EC8732" w14:textId="7D0EB8D5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 xml:space="preserve">Употребата на АСЕ инхибитори не се препоръчва по време на първия </w:t>
      </w:r>
      <w:r w:rsidR="00482748" w:rsidRPr="008A1EFD">
        <w:rPr>
          <w:rFonts w:eastAsia="Times New Roman" w:cs="Arial"/>
          <w:color w:val="000000"/>
          <w:szCs w:val="20"/>
          <w:lang w:eastAsia="bg-BG"/>
        </w:rPr>
        <w:t>триместър</w:t>
      </w:r>
      <w:r w:rsidRPr="008A1EFD">
        <w:rPr>
          <w:rFonts w:eastAsia="Times New Roman" w:cs="Arial"/>
          <w:color w:val="000000"/>
          <w:szCs w:val="20"/>
          <w:lang w:eastAsia="bg-BG"/>
        </w:rPr>
        <w:t xml:space="preserve"> на бременността (вж. точка 4.4).</w:t>
      </w:r>
    </w:p>
    <w:p w14:paraId="2854FD8C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20B742A" w14:textId="76E4500A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 xml:space="preserve">Епидемиологични данни относно риска от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тератогенност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след </w:t>
      </w:r>
      <w:r w:rsidR="00482748" w:rsidRPr="008A1EFD">
        <w:rPr>
          <w:rFonts w:eastAsia="Times New Roman" w:cs="Arial"/>
          <w:color w:val="000000"/>
          <w:szCs w:val="20"/>
          <w:lang w:eastAsia="bg-BG"/>
        </w:rPr>
        <w:t>експозиция</w:t>
      </w:r>
      <w:r w:rsidRPr="008A1EFD">
        <w:rPr>
          <w:rFonts w:eastAsia="Times New Roman" w:cs="Arial"/>
          <w:color w:val="000000"/>
          <w:szCs w:val="20"/>
          <w:lang w:eastAsia="bg-BG"/>
        </w:rPr>
        <w:t xml:space="preserve"> на АСЕ инхибитори по време на първия </w:t>
      </w:r>
      <w:r w:rsidR="00482748" w:rsidRPr="008A1EFD">
        <w:rPr>
          <w:rFonts w:eastAsia="Times New Roman" w:cs="Arial"/>
          <w:color w:val="000000"/>
          <w:szCs w:val="20"/>
          <w:lang w:eastAsia="bg-BG"/>
        </w:rPr>
        <w:t>триместър</w:t>
      </w:r>
      <w:r w:rsidRPr="008A1EFD">
        <w:rPr>
          <w:rFonts w:eastAsia="Times New Roman" w:cs="Arial"/>
          <w:color w:val="000000"/>
          <w:szCs w:val="20"/>
          <w:lang w:eastAsia="bg-BG"/>
        </w:rPr>
        <w:t xml:space="preserve"> от бременността не са убедителни, но леко повишаване на риска не може да бъде изключено. При пациентките, планиращи бременност, терапията с АСЕ инхибитори трябва да се замени с алтернативно антихипертензивно лечение, което има установен профил на безопасност при употреба по време на бременност, освен ако не се счита за крайно необходима. При установяване на бременност лечението с АСЕ инхибитори трябва да се спре незабавно и ако е уместно, трябва да се започне алтернативна терапия.</w:t>
      </w:r>
    </w:p>
    <w:p w14:paraId="254E31A7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74316B" w14:textId="2A6F68B1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 xml:space="preserve">Известно е, че експозицията на АСЕ инхибитори по време на втория и третия </w:t>
      </w:r>
      <w:r w:rsidR="00482748" w:rsidRPr="008A1EFD">
        <w:rPr>
          <w:rFonts w:eastAsia="Times New Roman" w:cs="Arial"/>
          <w:color w:val="000000"/>
          <w:szCs w:val="20"/>
          <w:lang w:eastAsia="bg-BG"/>
        </w:rPr>
        <w:t>триместър</w:t>
      </w:r>
      <w:r w:rsidRPr="008A1EFD">
        <w:rPr>
          <w:rFonts w:eastAsia="Times New Roman" w:cs="Arial"/>
          <w:color w:val="000000"/>
          <w:szCs w:val="20"/>
          <w:lang w:eastAsia="bg-BG"/>
        </w:rPr>
        <w:t xml:space="preserve"> причинява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фетотоксичност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при хора (намалена бъбречна функция,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олигохидрамнион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, забавена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осификация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на черепа) и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неонатална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токсичност (бъбречна недостатъчност, хипотония,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) (вж. точка 5.3). В случай на експозиция на АСЕ инхибитори от втория </w:t>
      </w:r>
      <w:r w:rsidR="00482748" w:rsidRPr="008A1EFD">
        <w:rPr>
          <w:rFonts w:eastAsia="Times New Roman" w:cs="Arial"/>
          <w:color w:val="000000"/>
          <w:szCs w:val="20"/>
          <w:lang w:eastAsia="bg-BG"/>
        </w:rPr>
        <w:t>триместър</w:t>
      </w:r>
      <w:r w:rsidRPr="008A1EFD">
        <w:rPr>
          <w:rFonts w:eastAsia="Times New Roman" w:cs="Arial"/>
          <w:color w:val="000000"/>
          <w:szCs w:val="20"/>
          <w:lang w:eastAsia="bg-BG"/>
        </w:rPr>
        <w:t xml:space="preserve"> на бременността нататък се препоръчва проверка на бъбречната функция и черепа чрез ултразвук. Кърмачета, чиито майки са приемали АСЕ инхибитори, трябва да бъдат стриктно наблюдавани за хипотония,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олигоурия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(виж точки 4.3 и 4.4).</w:t>
      </w:r>
    </w:p>
    <w:p w14:paraId="29D9AFBB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098BEA0" w14:textId="43D3A7D0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>амлодипин</w:t>
      </w:r>
      <w:proofErr w:type="spellEnd"/>
    </w:p>
    <w:p w14:paraId="285B5FBB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ED5B134" w14:textId="547453C9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 xml:space="preserve">Безопасността на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по време на бременност при хора не е установена. В проучвания при животни при високи дози е наблюдавана репродуктивна токсичност (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вж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>, точка 5.3).</w:t>
      </w:r>
    </w:p>
    <w:p w14:paraId="0DBF3178" w14:textId="7AD98E33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DAE2475" w14:textId="77777777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>Приложение по време на бременност се препоръчва само когато няма безопасна алтернатива и когато болестта сама по себе си носи по-голям риск за майката и плода.</w:t>
      </w:r>
    </w:p>
    <w:p w14:paraId="09BF4012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CB94BEF" w14:textId="6003B839" w:rsidR="00262A3A" w:rsidRPr="008A1EFD" w:rsidRDefault="00262A3A" w:rsidP="00262A3A">
      <w:pPr>
        <w:pStyle w:val="Heading3"/>
        <w:rPr>
          <w:rFonts w:eastAsia="Times New Roman"/>
          <w:u w:val="single"/>
        </w:rPr>
      </w:pPr>
      <w:r w:rsidRPr="008A1EFD">
        <w:rPr>
          <w:rFonts w:eastAsia="Times New Roman"/>
          <w:u w:val="single"/>
          <w:lang w:eastAsia="bg-BG"/>
        </w:rPr>
        <w:t>Кърмене</w:t>
      </w:r>
    </w:p>
    <w:p w14:paraId="540FE3A8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BA2E8D7" w14:textId="0909B275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>рамиприл</w:t>
      </w:r>
      <w:proofErr w:type="spellEnd"/>
    </w:p>
    <w:p w14:paraId="35D89B57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3CB51DB" w14:textId="009D83DE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 xml:space="preserve">Поради недостатъчна информация за употребата на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по време на кърмене (вж. точка 5.2) не се препоръчва приложение на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>, като за предпочитане е алтернативно лечение с по-добре установен профил на безопасност по време на кърмене, особено при кърмене на новородено или преждевременно родено кърмаче.</w:t>
      </w:r>
    </w:p>
    <w:p w14:paraId="1E3D04A5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A0FF88E" w14:textId="51CC1B38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20"/>
          <w:u w:val="single"/>
          <w:lang w:eastAsia="bg-BG"/>
        </w:rPr>
        <w:t>амлодипин</w:t>
      </w:r>
      <w:proofErr w:type="spellEnd"/>
    </w:p>
    <w:p w14:paraId="4C35723D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1BF29B0" w14:textId="25E7E47E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се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в кърмата при хора. Частта от дозата на майката, получена от кърмачето, е изчислена с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интерквартилен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диапазон 3 - 7%, с максимум 15%. Ефектът на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върху кърмачетата е неизвестен. Решение дали да се продължи/прекъсне </w:t>
      </w:r>
      <w:r w:rsidRPr="008A1EFD">
        <w:rPr>
          <w:rFonts w:eastAsia="Times New Roman" w:cs="Arial"/>
          <w:color w:val="000000"/>
          <w:szCs w:val="20"/>
          <w:lang w:eastAsia="bg-BG"/>
        </w:rPr>
        <w:lastRenderedPageBreak/>
        <w:t xml:space="preserve">кърменето или да се продължи/прекъсне терапията с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трябва да се вземе, като се има предвид ползата от кърменето за детето и ползата от терапията с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за майката.</w:t>
      </w:r>
    </w:p>
    <w:p w14:paraId="123A1302" w14:textId="77777777" w:rsidR="00262A3A" w:rsidRPr="008A1EFD" w:rsidRDefault="00262A3A" w:rsidP="00262A3A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7DAF376D" w14:textId="396C7E67" w:rsidR="00262A3A" w:rsidRPr="008A1EFD" w:rsidRDefault="00262A3A" w:rsidP="00262A3A">
      <w:pPr>
        <w:pStyle w:val="Heading3"/>
        <w:rPr>
          <w:rFonts w:eastAsia="Times New Roman"/>
          <w:u w:val="single"/>
        </w:rPr>
      </w:pPr>
      <w:r w:rsidRPr="008A1EFD">
        <w:rPr>
          <w:rFonts w:eastAsia="Times New Roman"/>
          <w:u w:val="single"/>
          <w:lang w:eastAsia="bg-BG"/>
        </w:rPr>
        <w:t>Фертилитет</w:t>
      </w:r>
    </w:p>
    <w:p w14:paraId="38ACF03A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73130EB" w14:textId="25259E6E" w:rsidR="00262A3A" w:rsidRPr="008A1EFD" w:rsidRDefault="00262A3A" w:rsidP="00262A3A">
      <w:pPr>
        <w:spacing w:line="240" w:lineRule="auto"/>
        <w:rPr>
          <w:rFonts w:eastAsia="Times New Roman" w:cs="Arial"/>
          <w:szCs w:val="20"/>
        </w:rPr>
      </w:pPr>
      <w:r w:rsidRPr="008A1EFD">
        <w:rPr>
          <w:rFonts w:eastAsia="Times New Roman" w:cs="Arial"/>
          <w:color w:val="000000"/>
          <w:szCs w:val="20"/>
          <w:lang w:eastAsia="bg-BG"/>
        </w:rPr>
        <w:t xml:space="preserve">При някои пациенти, лекувани с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на калциевите канали, са съобщени обратими биохимични промени в главичката на сперматозоидите. Клиничните данни са недостатъчни по отношение на потенциалния ефект на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върху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фертилитета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. При едно проучване при плъхове са установени нежелани ефекти върху 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фертилитета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 xml:space="preserve"> при мъжките (</w:t>
      </w:r>
      <w:proofErr w:type="spellStart"/>
      <w:r w:rsidRPr="008A1EFD">
        <w:rPr>
          <w:rFonts w:eastAsia="Times New Roman" w:cs="Arial"/>
          <w:color w:val="000000"/>
          <w:szCs w:val="20"/>
          <w:lang w:eastAsia="bg-BG"/>
        </w:rPr>
        <w:t>вж</w:t>
      </w:r>
      <w:proofErr w:type="spellEnd"/>
      <w:r w:rsidRPr="008A1EFD">
        <w:rPr>
          <w:rFonts w:eastAsia="Times New Roman" w:cs="Arial"/>
          <w:color w:val="000000"/>
          <w:szCs w:val="20"/>
          <w:lang w:eastAsia="bg-BG"/>
        </w:rPr>
        <w:t>, точка 5.3).</w:t>
      </w:r>
    </w:p>
    <w:p w14:paraId="3C93DA48" w14:textId="77777777" w:rsidR="00262A3A" w:rsidRPr="008A1EFD" w:rsidRDefault="00262A3A" w:rsidP="00262A3A"/>
    <w:p w14:paraId="128BA3A8" w14:textId="6180647E" w:rsidR="00DB32D3" w:rsidRPr="008A1EFD" w:rsidRDefault="002C50EE" w:rsidP="005726E3">
      <w:pPr>
        <w:pStyle w:val="Heading2"/>
      </w:pPr>
      <w:r w:rsidRPr="008A1EFD">
        <w:t>4.7. Ефекти върху способността за шофиране и работа с машини</w:t>
      </w:r>
    </w:p>
    <w:p w14:paraId="159C27BE" w14:textId="22AD6211" w:rsidR="00262A3A" w:rsidRPr="008A1EFD" w:rsidRDefault="00262A3A" w:rsidP="00262A3A"/>
    <w:p w14:paraId="7F912D8A" w14:textId="3118A0F5" w:rsidR="00262A3A" w:rsidRPr="008A1EFD" w:rsidRDefault="00262A3A" w:rsidP="00262A3A">
      <w:pPr>
        <w:rPr>
          <w:sz w:val="24"/>
          <w:szCs w:val="24"/>
        </w:rPr>
      </w:pPr>
      <w:proofErr w:type="spellStart"/>
      <w:r w:rsidRPr="008A1EFD">
        <w:rPr>
          <w:lang w:eastAsia="bg-BG"/>
        </w:rPr>
        <w:t>Тамайра</w:t>
      </w:r>
      <w:proofErr w:type="spellEnd"/>
      <w:r w:rsidRPr="008A1EFD">
        <w:rPr>
          <w:lang w:eastAsia="bg-BG"/>
        </w:rPr>
        <w:t xml:space="preserve"> може да оказва слаб или умерен ефект върху способността за шофиране и работа с машини. Някои нежелани реакции (напр. симптоми на хипотония като замайване, главоболие, умора) могат да нарушат способността на пациента за концентрация и реакция, ето защо представляват риск в ситуации, при които тези способности са от особено значение (напр. шофиране и работа с машини). Това може да се случи особено в началото на лечението или при преминаване от други препарати. Препоръчва се повишено внимание, особено в началото на лечението.</w:t>
      </w:r>
    </w:p>
    <w:p w14:paraId="7097E8EF" w14:textId="77777777" w:rsidR="00262A3A" w:rsidRPr="008A1EFD" w:rsidRDefault="00262A3A" w:rsidP="00262A3A"/>
    <w:p w14:paraId="44CE30A3" w14:textId="18E395CC" w:rsidR="007122AD" w:rsidRPr="008A1EFD" w:rsidRDefault="002C50EE" w:rsidP="00936AD0">
      <w:pPr>
        <w:pStyle w:val="Heading2"/>
      </w:pPr>
      <w:r w:rsidRPr="008A1EFD">
        <w:t>4.8. Нежелани лекарствени реакции</w:t>
      </w:r>
    </w:p>
    <w:p w14:paraId="6DF66ED3" w14:textId="22068BF1" w:rsidR="00262A3A" w:rsidRPr="008A1EFD" w:rsidRDefault="00262A3A" w:rsidP="00262A3A"/>
    <w:p w14:paraId="69912B8D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Резюме на профила на безопасност</w:t>
      </w:r>
    </w:p>
    <w:p w14:paraId="7CBCAE6E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0140BF74" w14:textId="5B4B8F13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Профилът на безопасност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включва упорита суха кашлица и реакции, свързани с хипотония. Сериозните нежелани реакции включват инсулт, инфаркт на миокарда, ангиоедем,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бъбречно или чернодробно увреждане,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панкреатит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тежки кожни реакции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неутропения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агранулоцитоза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2BFD88F4" w14:textId="77777777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Най-често съобщаваните нежелани лекарствени реакции по време на лечение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сомнолентност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замаяност, главоболие,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палпитации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, зачервяване, коремна болка, гадене, отоци на глезените, оток и умора.</w:t>
      </w:r>
    </w:p>
    <w:p w14:paraId="62F9F085" w14:textId="77777777" w:rsidR="00262A3A" w:rsidRPr="008A1EFD" w:rsidRDefault="00262A3A" w:rsidP="00262A3A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387BBAE1" w14:textId="6D7CACB1" w:rsidR="00262A3A" w:rsidRPr="008A1EFD" w:rsidRDefault="00262A3A" w:rsidP="00262A3A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Честотата на нежеланите реакции се определя чрез използване на следната конвенция: много чести (&gt; 1/10); чести (&gt; 1/100 до &lt; 1/10); нечести (&gt; 1/1000 до &lt; 1/100); редки (&gt; 1/10 000 до &lt; 1/1000); много редки (&lt; 1/10 000), с неизвестна честота (от наличните данни не може да бъде направена оценка).</w:t>
      </w:r>
    </w:p>
    <w:p w14:paraId="21385B46" w14:textId="77777777" w:rsidR="00262A3A" w:rsidRPr="008A1EFD" w:rsidRDefault="00262A3A" w:rsidP="00262A3A">
      <w:pPr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7033569E" w14:textId="0A12495A" w:rsidR="00262A3A" w:rsidRPr="008A1EFD" w:rsidRDefault="00262A3A" w:rsidP="00262A3A">
      <w:pPr>
        <w:rPr>
          <w:rFonts w:eastAsia="Times New Roman" w:cs="Arial"/>
          <w:i/>
          <w:iCs/>
          <w:color w:val="000000"/>
          <w:szCs w:val="18"/>
          <w:lang w:eastAsia="bg-BG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Списък на нежеланите реакции е табличен вид</w:t>
      </w:r>
    </w:p>
    <w:p w14:paraId="7A94A8A8" w14:textId="34172041" w:rsidR="00262A3A" w:rsidRPr="008A1EFD" w:rsidRDefault="00262A3A" w:rsidP="00262A3A">
      <w:pPr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763D34C0" w14:textId="176A0526" w:rsidR="00262A3A" w:rsidRPr="008A1EFD" w:rsidRDefault="00262A3A" w:rsidP="00262A3A">
      <w:pPr>
        <w:rPr>
          <w:rFonts w:cs="Arial"/>
          <w:szCs w:val="18"/>
        </w:rPr>
      </w:pPr>
      <w:r w:rsidRPr="008A1EFD">
        <w:rPr>
          <w:rFonts w:cs="Arial"/>
          <w:szCs w:val="18"/>
        </w:rPr>
        <w:t xml:space="preserve">Следните нежелани лекарствени реакции са били съобщавани по време на лечение с </w:t>
      </w:r>
      <w:proofErr w:type="spellStart"/>
      <w:r w:rsidRPr="008A1EFD">
        <w:rPr>
          <w:rFonts w:cs="Arial"/>
          <w:szCs w:val="18"/>
        </w:rPr>
        <w:t>рамиприл</w:t>
      </w:r>
      <w:proofErr w:type="spellEnd"/>
      <w:r w:rsidRPr="008A1EFD">
        <w:rPr>
          <w:rFonts w:cs="Arial"/>
          <w:szCs w:val="18"/>
        </w:rPr>
        <w:t xml:space="preserve"> и </w:t>
      </w:r>
      <w:proofErr w:type="spellStart"/>
      <w:r w:rsidRPr="008A1EFD">
        <w:rPr>
          <w:rFonts w:cs="Arial"/>
          <w:szCs w:val="18"/>
        </w:rPr>
        <w:t>амлодипин</w:t>
      </w:r>
      <w:proofErr w:type="spellEnd"/>
      <w:r w:rsidRPr="008A1EFD">
        <w:rPr>
          <w:rFonts w:cs="Arial"/>
          <w:szCs w:val="18"/>
        </w:rPr>
        <w:t xml:space="preserve"> поотделно: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122"/>
        <w:gridCol w:w="2380"/>
        <w:gridCol w:w="2380"/>
      </w:tblGrid>
      <w:tr w:rsidR="00262A3A" w:rsidRPr="008A1EFD" w14:paraId="245D1407" w14:textId="77777777" w:rsidTr="00074B19">
        <w:tc>
          <w:tcPr>
            <w:tcW w:w="2468" w:type="dxa"/>
            <w:vAlign w:val="center"/>
          </w:tcPr>
          <w:p w14:paraId="5C8C8BFE" w14:textId="53F60E11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b/>
                <w:bCs/>
                <w:szCs w:val="18"/>
              </w:rPr>
              <w:t>С</w:t>
            </w:r>
            <w:r w:rsidR="00C763A0">
              <w:rPr>
                <w:b/>
                <w:bCs/>
                <w:szCs w:val="18"/>
              </w:rPr>
              <w:t>и</w:t>
            </w:r>
            <w:r w:rsidRPr="008A1EFD">
              <w:rPr>
                <w:b/>
                <w:bCs/>
                <w:szCs w:val="18"/>
              </w:rPr>
              <w:t>стемо</w:t>
            </w:r>
            <w:proofErr w:type="spellEnd"/>
            <w:r w:rsidRPr="008A1EFD">
              <w:rPr>
                <w:b/>
                <w:bCs/>
                <w:szCs w:val="18"/>
              </w:rPr>
              <w:t>-органен клас</w:t>
            </w:r>
          </w:p>
        </w:tc>
        <w:tc>
          <w:tcPr>
            <w:tcW w:w="2326" w:type="dxa"/>
            <w:vAlign w:val="bottom"/>
          </w:tcPr>
          <w:p w14:paraId="16E37015" w14:textId="7B9AB438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b/>
                <w:bCs/>
                <w:szCs w:val="18"/>
              </w:rPr>
              <w:t>Честота</w:t>
            </w:r>
          </w:p>
        </w:tc>
        <w:tc>
          <w:tcPr>
            <w:tcW w:w="2391" w:type="dxa"/>
            <w:vAlign w:val="center"/>
          </w:tcPr>
          <w:p w14:paraId="2E4FA32E" w14:textId="7900CACA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b/>
                <w:bCs/>
                <w:szCs w:val="18"/>
              </w:rPr>
              <w:t>Рамиприл</w:t>
            </w:r>
            <w:proofErr w:type="spellEnd"/>
          </w:p>
        </w:tc>
        <w:tc>
          <w:tcPr>
            <w:tcW w:w="2391" w:type="dxa"/>
            <w:vAlign w:val="center"/>
          </w:tcPr>
          <w:p w14:paraId="4033F57A" w14:textId="2E70B0BA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b/>
                <w:bCs/>
                <w:szCs w:val="18"/>
              </w:rPr>
              <w:t>Амлодипин</w:t>
            </w:r>
            <w:proofErr w:type="spellEnd"/>
          </w:p>
        </w:tc>
      </w:tr>
      <w:tr w:rsidR="00262A3A" w:rsidRPr="008A1EFD" w14:paraId="1B94D2DD" w14:textId="77777777" w:rsidTr="00074B19">
        <w:tc>
          <w:tcPr>
            <w:tcW w:w="2468" w:type="dxa"/>
            <w:vMerge w:val="restart"/>
          </w:tcPr>
          <w:p w14:paraId="21D607B1" w14:textId="033C626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кръвта и лимфната система</w:t>
            </w:r>
          </w:p>
        </w:tc>
        <w:tc>
          <w:tcPr>
            <w:tcW w:w="2326" w:type="dxa"/>
            <w:vAlign w:val="center"/>
          </w:tcPr>
          <w:p w14:paraId="2AF1DF27" w14:textId="3E96B8BE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center"/>
          </w:tcPr>
          <w:p w14:paraId="1C0AAA72" w14:textId="373A2FE3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Еозинофилия</w:t>
            </w:r>
            <w:proofErr w:type="spellEnd"/>
          </w:p>
        </w:tc>
        <w:tc>
          <w:tcPr>
            <w:tcW w:w="2391" w:type="dxa"/>
          </w:tcPr>
          <w:p w14:paraId="603991A2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700D4648" w14:textId="77777777" w:rsidTr="00074B19">
        <w:tc>
          <w:tcPr>
            <w:tcW w:w="2468" w:type="dxa"/>
            <w:vMerge/>
          </w:tcPr>
          <w:p w14:paraId="376A280D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E8F444C" w14:textId="4E4BE04B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593C260C" w14:textId="4FE88C5D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Понижен брой на белите кръвни </w:t>
            </w:r>
            <w:r w:rsidRPr="008A1EFD">
              <w:rPr>
                <w:szCs w:val="18"/>
              </w:rPr>
              <w:lastRenderedPageBreak/>
              <w:t xml:space="preserve">клетки (включително </w:t>
            </w:r>
            <w:proofErr w:type="spellStart"/>
            <w:r w:rsidRPr="008A1EFD">
              <w:rPr>
                <w:szCs w:val="18"/>
              </w:rPr>
              <w:t>неутропения</w:t>
            </w:r>
            <w:proofErr w:type="spellEnd"/>
            <w:r w:rsidRPr="008A1EFD">
              <w:rPr>
                <w:szCs w:val="18"/>
              </w:rPr>
              <w:t xml:space="preserve"> или </w:t>
            </w:r>
            <w:proofErr w:type="spellStart"/>
            <w:r w:rsidRPr="008A1EFD">
              <w:rPr>
                <w:szCs w:val="18"/>
              </w:rPr>
              <w:t>агранулоцигоза</w:t>
            </w:r>
            <w:proofErr w:type="spellEnd"/>
            <w:r w:rsidRPr="008A1EFD">
              <w:rPr>
                <w:szCs w:val="18"/>
              </w:rPr>
              <w:t xml:space="preserve">), понижен брой на червените кръвни клетки, понижен хемоглобин, понижен брой на </w:t>
            </w:r>
            <w:proofErr w:type="spellStart"/>
            <w:r w:rsidRPr="008A1EFD">
              <w:rPr>
                <w:szCs w:val="18"/>
              </w:rPr>
              <w:t>тромбоцитите</w:t>
            </w:r>
            <w:proofErr w:type="spellEnd"/>
          </w:p>
        </w:tc>
        <w:tc>
          <w:tcPr>
            <w:tcW w:w="2391" w:type="dxa"/>
          </w:tcPr>
          <w:p w14:paraId="738C7FBC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234078F5" w14:textId="77777777" w:rsidTr="00074B19">
        <w:tc>
          <w:tcPr>
            <w:tcW w:w="2468" w:type="dxa"/>
            <w:vMerge/>
          </w:tcPr>
          <w:p w14:paraId="484E2314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8A497E5" w14:textId="275DB3F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5D642007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652DA5DA" w14:textId="50CCC418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Левкоцитопения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тромбоцитопения</w:t>
            </w:r>
            <w:proofErr w:type="spellEnd"/>
          </w:p>
        </w:tc>
      </w:tr>
      <w:tr w:rsidR="00262A3A" w:rsidRPr="008A1EFD" w14:paraId="616A08B0" w14:textId="77777777" w:rsidTr="00074B19">
        <w:tc>
          <w:tcPr>
            <w:tcW w:w="2468" w:type="dxa"/>
            <w:vMerge/>
          </w:tcPr>
          <w:p w14:paraId="7B6D23E5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250700AE" w14:textId="5A8BB89D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  <w:vAlign w:val="bottom"/>
          </w:tcPr>
          <w:p w14:paraId="18B1C9B0" w14:textId="3D364E74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Костномозъчна</w:t>
            </w:r>
            <w:proofErr w:type="spellEnd"/>
            <w:r w:rsidRPr="008A1EFD">
              <w:rPr>
                <w:szCs w:val="18"/>
              </w:rPr>
              <w:t xml:space="preserve"> </w:t>
            </w:r>
            <w:proofErr w:type="spellStart"/>
            <w:r w:rsidRPr="008A1EFD">
              <w:rPr>
                <w:szCs w:val="18"/>
              </w:rPr>
              <w:t>супресия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панцитопения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хемолитична</w:t>
            </w:r>
            <w:proofErr w:type="spellEnd"/>
            <w:r w:rsidRPr="008A1EFD">
              <w:rPr>
                <w:szCs w:val="18"/>
              </w:rPr>
              <w:t xml:space="preserve"> анемия</w:t>
            </w:r>
          </w:p>
        </w:tc>
        <w:tc>
          <w:tcPr>
            <w:tcW w:w="2391" w:type="dxa"/>
          </w:tcPr>
          <w:p w14:paraId="77931A6F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05E9A624" w14:textId="77777777" w:rsidTr="00074B19">
        <w:tc>
          <w:tcPr>
            <w:tcW w:w="2468" w:type="dxa"/>
            <w:vMerge w:val="restart"/>
          </w:tcPr>
          <w:p w14:paraId="3BDC2539" w14:textId="676C95CD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имунната система</w:t>
            </w:r>
          </w:p>
        </w:tc>
        <w:tc>
          <w:tcPr>
            <w:tcW w:w="2326" w:type="dxa"/>
            <w:vAlign w:val="bottom"/>
          </w:tcPr>
          <w:p w14:paraId="078CDB05" w14:textId="4BBBB54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41BB0417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3E98C5D1" w14:textId="7B25925E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Алергични реакции</w:t>
            </w:r>
          </w:p>
        </w:tc>
      </w:tr>
      <w:tr w:rsidR="00262A3A" w:rsidRPr="008A1EFD" w14:paraId="143B22C2" w14:textId="77777777" w:rsidTr="00074B19">
        <w:tc>
          <w:tcPr>
            <w:tcW w:w="2468" w:type="dxa"/>
            <w:vMerge/>
          </w:tcPr>
          <w:p w14:paraId="6F9763EE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1DE18BC9" w14:textId="6B6D27D7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  <w:vAlign w:val="bottom"/>
          </w:tcPr>
          <w:p w14:paraId="70BC6E44" w14:textId="559E6182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Анафилактични</w:t>
            </w:r>
            <w:proofErr w:type="spellEnd"/>
            <w:r w:rsidRPr="008A1EFD">
              <w:rPr>
                <w:szCs w:val="18"/>
              </w:rPr>
              <w:t xml:space="preserve"> или </w:t>
            </w:r>
            <w:proofErr w:type="spellStart"/>
            <w:r w:rsidRPr="008A1EFD">
              <w:rPr>
                <w:szCs w:val="18"/>
              </w:rPr>
              <w:t>анафилактоидни</w:t>
            </w:r>
            <w:proofErr w:type="spellEnd"/>
            <w:r w:rsidRPr="008A1EFD">
              <w:rPr>
                <w:szCs w:val="18"/>
              </w:rPr>
              <w:t xml:space="preserve"> реакции, повишени антинуклеарни антитела</w:t>
            </w:r>
          </w:p>
        </w:tc>
        <w:tc>
          <w:tcPr>
            <w:tcW w:w="2391" w:type="dxa"/>
          </w:tcPr>
          <w:p w14:paraId="07DF1527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7558F61B" w14:textId="77777777" w:rsidTr="00074B19">
        <w:tc>
          <w:tcPr>
            <w:tcW w:w="2468" w:type="dxa"/>
          </w:tcPr>
          <w:p w14:paraId="3BB118AF" w14:textId="380FA28D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ендокринната система</w:t>
            </w:r>
          </w:p>
        </w:tc>
        <w:tc>
          <w:tcPr>
            <w:tcW w:w="2326" w:type="dxa"/>
          </w:tcPr>
          <w:p w14:paraId="140CD1DC" w14:textId="4ADBCB65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</w:tcPr>
          <w:p w14:paraId="4ADBA80F" w14:textId="6D16C92A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Синдром на неадекватна секреция на антидиуретичен хормон (СНСАХ)</w:t>
            </w:r>
          </w:p>
        </w:tc>
        <w:tc>
          <w:tcPr>
            <w:tcW w:w="2391" w:type="dxa"/>
          </w:tcPr>
          <w:p w14:paraId="67CB17B2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045A0ECD" w14:textId="77777777" w:rsidTr="00074B19">
        <w:tc>
          <w:tcPr>
            <w:tcW w:w="2468" w:type="dxa"/>
            <w:vMerge w:val="restart"/>
          </w:tcPr>
          <w:p w14:paraId="70E65FF8" w14:textId="1E304A8B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метаболизма и храненето</w:t>
            </w:r>
          </w:p>
        </w:tc>
        <w:tc>
          <w:tcPr>
            <w:tcW w:w="2326" w:type="dxa"/>
          </w:tcPr>
          <w:p w14:paraId="50FC982A" w14:textId="3DA87AC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  <w:vAlign w:val="bottom"/>
          </w:tcPr>
          <w:p w14:paraId="056672D4" w14:textId="037A2A2A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Повишено ниво на калий в кръвта</w:t>
            </w:r>
          </w:p>
        </w:tc>
        <w:tc>
          <w:tcPr>
            <w:tcW w:w="2391" w:type="dxa"/>
          </w:tcPr>
          <w:p w14:paraId="464FF440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77526B27" w14:textId="77777777" w:rsidTr="00074B19">
        <w:tc>
          <w:tcPr>
            <w:tcW w:w="2468" w:type="dxa"/>
            <w:vMerge/>
          </w:tcPr>
          <w:p w14:paraId="0DF66FE5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422F581E" w14:textId="00B03DE4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2D544C05" w14:textId="044302E3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Анорексия, понижен апетит</w:t>
            </w:r>
          </w:p>
        </w:tc>
        <w:tc>
          <w:tcPr>
            <w:tcW w:w="2391" w:type="dxa"/>
          </w:tcPr>
          <w:p w14:paraId="15F51C7B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44B5E1F5" w14:textId="77777777" w:rsidTr="00074B19">
        <w:tc>
          <w:tcPr>
            <w:tcW w:w="2468" w:type="dxa"/>
            <w:vMerge/>
          </w:tcPr>
          <w:p w14:paraId="2FE5BA85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  <w:vAlign w:val="bottom"/>
          </w:tcPr>
          <w:p w14:paraId="1B3143D4" w14:textId="19D274A4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4C03E8BE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4D049ADD" w14:textId="39D1831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Хипергликемия</w:t>
            </w:r>
          </w:p>
        </w:tc>
      </w:tr>
      <w:tr w:rsidR="00262A3A" w:rsidRPr="008A1EFD" w14:paraId="7FED97B2" w14:textId="77777777" w:rsidTr="00074B19">
        <w:tc>
          <w:tcPr>
            <w:tcW w:w="2468" w:type="dxa"/>
            <w:vMerge/>
          </w:tcPr>
          <w:p w14:paraId="10AA4D66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  <w:vAlign w:val="bottom"/>
          </w:tcPr>
          <w:p w14:paraId="7067E9EA" w14:textId="359DE253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  <w:vAlign w:val="bottom"/>
          </w:tcPr>
          <w:p w14:paraId="5D85A81F" w14:textId="05004A38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Понижено ниво на натрия в кръвта</w:t>
            </w:r>
          </w:p>
        </w:tc>
        <w:tc>
          <w:tcPr>
            <w:tcW w:w="2391" w:type="dxa"/>
          </w:tcPr>
          <w:p w14:paraId="6B8F9FAD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76428B62" w14:textId="77777777" w:rsidTr="00074B19">
        <w:tc>
          <w:tcPr>
            <w:tcW w:w="2468" w:type="dxa"/>
            <w:vMerge w:val="restart"/>
          </w:tcPr>
          <w:p w14:paraId="58E17E93" w14:textId="33B2ADE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Психични нарушения</w:t>
            </w:r>
          </w:p>
        </w:tc>
        <w:tc>
          <w:tcPr>
            <w:tcW w:w="2326" w:type="dxa"/>
          </w:tcPr>
          <w:p w14:paraId="5DC1B16E" w14:textId="68C5785D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6AC0B59B" w14:textId="7AA769A3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Потиснато настроение, тревожност, нервност, безпокойство, нарушение на съня, включително сънливост</w:t>
            </w:r>
          </w:p>
        </w:tc>
        <w:tc>
          <w:tcPr>
            <w:tcW w:w="2391" w:type="dxa"/>
          </w:tcPr>
          <w:p w14:paraId="7E03E3AE" w14:textId="038C9AF7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Безсъние, промени в настроението (включително тревожност), депресия</w:t>
            </w:r>
          </w:p>
        </w:tc>
      </w:tr>
      <w:tr w:rsidR="00262A3A" w:rsidRPr="008A1EFD" w14:paraId="536C1104" w14:textId="77777777" w:rsidTr="00074B19">
        <w:tc>
          <w:tcPr>
            <w:tcW w:w="2468" w:type="dxa"/>
            <w:vMerge/>
          </w:tcPr>
          <w:p w14:paraId="71EA347F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40ECDCC1" w14:textId="442195E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59DDB240" w14:textId="577F894A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Състояние на обърканост</w:t>
            </w:r>
          </w:p>
        </w:tc>
        <w:tc>
          <w:tcPr>
            <w:tcW w:w="2391" w:type="dxa"/>
          </w:tcPr>
          <w:p w14:paraId="290C2ECC" w14:textId="52C2D0B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Обърканост</w:t>
            </w:r>
          </w:p>
        </w:tc>
      </w:tr>
      <w:tr w:rsidR="00262A3A" w:rsidRPr="008A1EFD" w14:paraId="4B8F3001" w14:textId="77777777" w:rsidTr="00074B19">
        <w:tc>
          <w:tcPr>
            <w:tcW w:w="2468" w:type="dxa"/>
            <w:vMerge/>
          </w:tcPr>
          <w:p w14:paraId="73D5962D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  <w:vAlign w:val="bottom"/>
          </w:tcPr>
          <w:p w14:paraId="63EF2060" w14:textId="16CD1D53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</w:tcPr>
          <w:p w14:paraId="67B9EF98" w14:textId="55EAB8C4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Нарушено внимание</w:t>
            </w:r>
          </w:p>
        </w:tc>
        <w:tc>
          <w:tcPr>
            <w:tcW w:w="2391" w:type="dxa"/>
          </w:tcPr>
          <w:p w14:paraId="6329898F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4539FA0A" w14:textId="77777777" w:rsidTr="00074B19">
        <w:tc>
          <w:tcPr>
            <w:tcW w:w="2468" w:type="dxa"/>
            <w:vMerge w:val="restart"/>
          </w:tcPr>
          <w:p w14:paraId="4F317645" w14:textId="28BF1936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нервната система</w:t>
            </w:r>
          </w:p>
        </w:tc>
        <w:tc>
          <w:tcPr>
            <w:tcW w:w="2326" w:type="dxa"/>
          </w:tcPr>
          <w:p w14:paraId="37932217" w14:textId="4636F69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</w:tcPr>
          <w:p w14:paraId="228F8AD9" w14:textId="459E2398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Главоболие, замайване</w:t>
            </w:r>
          </w:p>
        </w:tc>
        <w:tc>
          <w:tcPr>
            <w:tcW w:w="2391" w:type="dxa"/>
            <w:vAlign w:val="bottom"/>
          </w:tcPr>
          <w:p w14:paraId="77CE6D09" w14:textId="5EC84EEA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Сомнолентност</w:t>
            </w:r>
            <w:proofErr w:type="spellEnd"/>
            <w:r w:rsidRPr="008A1EFD">
              <w:rPr>
                <w:szCs w:val="18"/>
              </w:rPr>
              <w:t xml:space="preserve">, замаяност, </w:t>
            </w:r>
            <w:r w:rsidRPr="008A1EFD">
              <w:rPr>
                <w:szCs w:val="18"/>
              </w:rPr>
              <w:lastRenderedPageBreak/>
              <w:t>главоболие (особено в началото на лечението)</w:t>
            </w:r>
          </w:p>
        </w:tc>
      </w:tr>
      <w:tr w:rsidR="00262A3A" w:rsidRPr="008A1EFD" w14:paraId="19A8B094" w14:textId="77777777" w:rsidTr="00074B19">
        <w:tc>
          <w:tcPr>
            <w:tcW w:w="2468" w:type="dxa"/>
            <w:vMerge/>
          </w:tcPr>
          <w:p w14:paraId="5C3A3091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3F6609D6" w14:textId="458858E6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</w:tcPr>
          <w:p w14:paraId="48942471" w14:textId="1AC74CFE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Вертиго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парестезия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агеузия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дисгеузия</w:t>
            </w:r>
            <w:proofErr w:type="spellEnd"/>
          </w:p>
        </w:tc>
        <w:tc>
          <w:tcPr>
            <w:tcW w:w="2391" w:type="dxa"/>
          </w:tcPr>
          <w:p w14:paraId="7646EAC0" w14:textId="6AE17327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Тремор, </w:t>
            </w:r>
            <w:proofErr w:type="spellStart"/>
            <w:r w:rsidRPr="008A1EFD">
              <w:rPr>
                <w:szCs w:val="18"/>
              </w:rPr>
              <w:t>дисгеузия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синкоп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хипоестезия</w:t>
            </w:r>
            <w:proofErr w:type="spellEnd"/>
            <w:r w:rsidRPr="008A1EFD">
              <w:rPr>
                <w:szCs w:val="18"/>
              </w:rPr>
              <w:t xml:space="preserve"> </w:t>
            </w:r>
            <w:proofErr w:type="spellStart"/>
            <w:r w:rsidRPr="008A1EFD">
              <w:rPr>
                <w:szCs w:val="18"/>
              </w:rPr>
              <w:t>парастезия</w:t>
            </w:r>
            <w:proofErr w:type="spellEnd"/>
          </w:p>
        </w:tc>
      </w:tr>
      <w:tr w:rsidR="00262A3A" w:rsidRPr="008A1EFD" w14:paraId="13D8623D" w14:textId="77777777" w:rsidTr="00074B19">
        <w:tc>
          <w:tcPr>
            <w:tcW w:w="2468" w:type="dxa"/>
            <w:vMerge/>
          </w:tcPr>
          <w:p w14:paraId="778AD5BC" w14:textId="77777777" w:rsidR="00262A3A" w:rsidRPr="008A1EFD" w:rsidRDefault="00262A3A" w:rsidP="00262A3A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</w:tcPr>
          <w:p w14:paraId="24368170" w14:textId="4BA98BDB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5A106E24" w14:textId="42672DB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Тремор, нарушено равновесие</w:t>
            </w:r>
          </w:p>
        </w:tc>
        <w:tc>
          <w:tcPr>
            <w:tcW w:w="2391" w:type="dxa"/>
          </w:tcPr>
          <w:p w14:paraId="435E4DB8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1F370037" w14:textId="77777777" w:rsidTr="00074B19">
        <w:tc>
          <w:tcPr>
            <w:tcW w:w="2468" w:type="dxa"/>
            <w:vMerge/>
          </w:tcPr>
          <w:p w14:paraId="6F3D8231" w14:textId="77777777" w:rsidR="00262A3A" w:rsidRPr="008A1EFD" w:rsidRDefault="00262A3A" w:rsidP="00262A3A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</w:tcPr>
          <w:p w14:paraId="25B88F4F" w14:textId="0B50D70A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345E86C4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2964E878" w14:textId="37565826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Хипертония, периферна невропатия</w:t>
            </w:r>
          </w:p>
        </w:tc>
      </w:tr>
      <w:tr w:rsidR="00262A3A" w:rsidRPr="008A1EFD" w14:paraId="21A7CB55" w14:textId="77777777" w:rsidTr="00074B19">
        <w:tc>
          <w:tcPr>
            <w:tcW w:w="2468" w:type="dxa"/>
            <w:vMerge/>
          </w:tcPr>
          <w:p w14:paraId="1C0FEF70" w14:textId="77777777" w:rsidR="00262A3A" w:rsidRPr="008A1EFD" w:rsidRDefault="00262A3A" w:rsidP="00262A3A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</w:tcPr>
          <w:p w14:paraId="2A614AAB" w14:textId="06808885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  <w:vAlign w:val="bottom"/>
          </w:tcPr>
          <w:p w14:paraId="717A57B0" w14:textId="0C01FA36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Мозъчна исхемия, включително исхемичен инсулт и </w:t>
            </w:r>
            <w:proofErr w:type="spellStart"/>
            <w:r w:rsidRPr="008A1EFD">
              <w:rPr>
                <w:szCs w:val="18"/>
              </w:rPr>
              <w:t>транзиторна</w:t>
            </w:r>
            <w:proofErr w:type="spellEnd"/>
            <w:r w:rsidRPr="008A1EFD">
              <w:rPr>
                <w:szCs w:val="18"/>
              </w:rPr>
              <w:t xml:space="preserve"> исхемична атака, психомоторни нарушения, усещане за парене, </w:t>
            </w:r>
            <w:proofErr w:type="spellStart"/>
            <w:r w:rsidRPr="008A1EFD">
              <w:rPr>
                <w:szCs w:val="18"/>
              </w:rPr>
              <w:t>паросмия</w:t>
            </w:r>
            <w:proofErr w:type="spellEnd"/>
          </w:p>
        </w:tc>
        <w:tc>
          <w:tcPr>
            <w:tcW w:w="2391" w:type="dxa"/>
          </w:tcPr>
          <w:p w14:paraId="7D82E568" w14:textId="42E89D51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Екстрапирамидни</w:t>
            </w:r>
            <w:proofErr w:type="spellEnd"/>
            <w:r w:rsidRPr="008A1EFD">
              <w:rPr>
                <w:szCs w:val="18"/>
              </w:rPr>
              <w:t xml:space="preserve"> нарушения</w:t>
            </w:r>
          </w:p>
        </w:tc>
      </w:tr>
      <w:tr w:rsidR="00262A3A" w:rsidRPr="008A1EFD" w14:paraId="64E71C1D" w14:textId="77777777" w:rsidTr="00074B19">
        <w:tc>
          <w:tcPr>
            <w:tcW w:w="2468" w:type="dxa"/>
            <w:vMerge w:val="restart"/>
          </w:tcPr>
          <w:p w14:paraId="3D303BCB" w14:textId="2AB84A05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очите</w:t>
            </w:r>
          </w:p>
        </w:tc>
        <w:tc>
          <w:tcPr>
            <w:tcW w:w="2326" w:type="dxa"/>
          </w:tcPr>
          <w:p w14:paraId="7E72B242" w14:textId="7AFC7309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</w:tcPr>
          <w:p w14:paraId="112D942D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1C9A421D" w14:textId="41D61C93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Зрителни смущения (включително </w:t>
            </w:r>
            <w:proofErr w:type="spellStart"/>
            <w:r w:rsidRPr="008A1EFD">
              <w:rPr>
                <w:szCs w:val="18"/>
              </w:rPr>
              <w:t>диплопия</w:t>
            </w:r>
            <w:proofErr w:type="spellEnd"/>
            <w:r w:rsidRPr="008A1EFD">
              <w:rPr>
                <w:szCs w:val="18"/>
              </w:rPr>
              <w:t>)</w:t>
            </w:r>
          </w:p>
        </w:tc>
      </w:tr>
      <w:tr w:rsidR="00262A3A" w:rsidRPr="008A1EFD" w14:paraId="3687D32F" w14:textId="77777777" w:rsidTr="00074B19">
        <w:tc>
          <w:tcPr>
            <w:tcW w:w="2468" w:type="dxa"/>
            <w:vMerge/>
          </w:tcPr>
          <w:p w14:paraId="112E6C9D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3D0981FA" w14:textId="4E131A6E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30CC1D7A" w14:textId="4DE9BE6F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Зрителни смущения, включително замъглено виждане</w:t>
            </w:r>
          </w:p>
        </w:tc>
        <w:tc>
          <w:tcPr>
            <w:tcW w:w="2391" w:type="dxa"/>
          </w:tcPr>
          <w:p w14:paraId="21939A01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6D0D2BE0" w14:textId="77777777" w:rsidTr="00074B19">
        <w:tc>
          <w:tcPr>
            <w:tcW w:w="2468" w:type="dxa"/>
            <w:vMerge/>
          </w:tcPr>
          <w:p w14:paraId="13BD7C1B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  <w:vAlign w:val="bottom"/>
          </w:tcPr>
          <w:p w14:paraId="674EDCF7" w14:textId="1B3B855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577FE2AB" w14:textId="5576117F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Конюнктивит</w:t>
            </w:r>
          </w:p>
        </w:tc>
        <w:tc>
          <w:tcPr>
            <w:tcW w:w="2391" w:type="dxa"/>
          </w:tcPr>
          <w:p w14:paraId="6027AC63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5E6F5DD3" w14:textId="77777777" w:rsidTr="00074B19">
        <w:tc>
          <w:tcPr>
            <w:tcW w:w="2468" w:type="dxa"/>
            <w:vMerge w:val="restart"/>
          </w:tcPr>
          <w:p w14:paraId="2D592F61" w14:textId="2D8A214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ухото и лабиринта</w:t>
            </w:r>
          </w:p>
        </w:tc>
        <w:tc>
          <w:tcPr>
            <w:tcW w:w="2326" w:type="dxa"/>
            <w:vAlign w:val="bottom"/>
          </w:tcPr>
          <w:p w14:paraId="517B7195" w14:textId="272ABEF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</w:tcPr>
          <w:p w14:paraId="07C136B3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1A5C3524" w14:textId="2DEBCE7C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Тинитус</w:t>
            </w:r>
            <w:proofErr w:type="spellEnd"/>
          </w:p>
        </w:tc>
      </w:tr>
      <w:tr w:rsidR="00262A3A" w:rsidRPr="008A1EFD" w14:paraId="780BDEE9" w14:textId="77777777" w:rsidTr="00074B19">
        <w:tc>
          <w:tcPr>
            <w:tcW w:w="2468" w:type="dxa"/>
            <w:vMerge/>
          </w:tcPr>
          <w:p w14:paraId="716F46E2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54FF4722" w14:textId="4A5D47F5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6058C714" w14:textId="779E64D5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Увреждане на слуха, </w:t>
            </w:r>
            <w:proofErr w:type="spellStart"/>
            <w:r w:rsidRPr="008A1EFD">
              <w:rPr>
                <w:szCs w:val="18"/>
              </w:rPr>
              <w:t>тинитус</w:t>
            </w:r>
            <w:proofErr w:type="spellEnd"/>
          </w:p>
        </w:tc>
        <w:tc>
          <w:tcPr>
            <w:tcW w:w="2391" w:type="dxa"/>
          </w:tcPr>
          <w:p w14:paraId="48DA4167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3775652B" w14:textId="77777777" w:rsidTr="00074B19">
        <w:tc>
          <w:tcPr>
            <w:tcW w:w="2468" w:type="dxa"/>
            <w:vMerge w:val="restart"/>
          </w:tcPr>
          <w:p w14:paraId="7A739052" w14:textId="128F2FA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Сърдечни нарушения</w:t>
            </w:r>
          </w:p>
        </w:tc>
        <w:tc>
          <w:tcPr>
            <w:tcW w:w="2326" w:type="dxa"/>
            <w:vAlign w:val="bottom"/>
          </w:tcPr>
          <w:p w14:paraId="3E748769" w14:textId="1A22C48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</w:tcPr>
          <w:p w14:paraId="177B9719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7B604649" w14:textId="42D91EE4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Палпитации</w:t>
            </w:r>
            <w:proofErr w:type="spellEnd"/>
          </w:p>
        </w:tc>
      </w:tr>
      <w:tr w:rsidR="00262A3A" w:rsidRPr="008A1EFD" w14:paraId="1A4DD39A" w14:textId="77777777" w:rsidTr="00074B19">
        <w:tc>
          <w:tcPr>
            <w:tcW w:w="2468" w:type="dxa"/>
            <w:vMerge/>
          </w:tcPr>
          <w:p w14:paraId="2DB6E5D5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5C9BF398" w14:textId="1E82FA1B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65DCF88A" w14:textId="21C19927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Миокардна исхемия, включително стенокардия или миокарден инфаркт, тахикардия, аритмия, сърцебиене, периферен едем</w:t>
            </w:r>
          </w:p>
        </w:tc>
        <w:tc>
          <w:tcPr>
            <w:tcW w:w="2391" w:type="dxa"/>
          </w:tcPr>
          <w:p w14:paraId="6937BCAB" w14:textId="1B1D419D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Аритмия (включително брадикардия, камерна тахикардия и </w:t>
            </w:r>
            <w:proofErr w:type="spellStart"/>
            <w:r w:rsidRPr="008A1EFD">
              <w:rPr>
                <w:szCs w:val="18"/>
              </w:rPr>
              <w:t>предсърдно</w:t>
            </w:r>
            <w:proofErr w:type="spellEnd"/>
            <w:r w:rsidRPr="008A1EFD">
              <w:rPr>
                <w:szCs w:val="18"/>
              </w:rPr>
              <w:t xml:space="preserve"> мъждене)</w:t>
            </w:r>
          </w:p>
        </w:tc>
      </w:tr>
      <w:tr w:rsidR="00262A3A" w:rsidRPr="008A1EFD" w14:paraId="50A472B8" w14:textId="77777777" w:rsidTr="00074B19">
        <w:tc>
          <w:tcPr>
            <w:tcW w:w="2468" w:type="dxa"/>
            <w:vMerge/>
          </w:tcPr>
          <w:p w14:paraId="36BB6881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4EA4E11F" w14:textId="4C6AF2B6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265D4E4F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649203B0" w14:textId="3DEDFF51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Миокарден инфаркт</w:t>
            </w:r>
          </w:p>
        </w:tc>
      </w:tr>
      <w:tr w:rsidR="00262A3A" w:rsidRPr="008A1EFD" w14:paraId="3C0345DA" w14:textId="77777777" w:rsidTr="00074B19">
        <w:tc>
          <w:tcPr>
            <w:tcW w:w="2468" w:type="dxa"/>
            <w:vMerge w:val="restart"/>
          </w:tcPr>
          <w:p w14:paraId="4FD1D961" w14:textId="69142D6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Съдови нарушения</w:t>
            </w:r>
          </w:p>
        </w:tc>
        <w:tc>
          <w:tcPr>
            <w:tcW w:w="2326" w:type="dxa"/>
          </w:tcPr>
          <w:p w14:paraId="408D4497" w14:textId="461DF8B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  <w:vAlign w:val="bottom"/>
          </w:tcPr>
          <w:p w14:paraId="068D3358" w14:textId="06DA9451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Хипотония, ортостатична хипотония, </w:t>
            </w:r>
            <w:proofErr w:type="spellStart"/>
            <w:r w:rsidRPr="008A1EFD">
              <w:rPr>
                <w:szCs w:val="18"/>
              </w:rPr>
              <w:t>синкоп</w:t>
            </w:r>
            <w:proofErr w:type="spellEnd"/>
          </w:p>
        </w:tc>
        <w:tc>
          <w:tcPr>
            <w:tcW w:w="2391" w:type="dxa"/>
          </w:tcPr>
          <w:p w14:paraId="71F76C51" w14:textId="0A789E21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Зачервяване</w:t>
            </w:r>
          </w:p>
        </w:tc>
      </w:tr>
      <w:tr w:rsidR="00262A3A" w:rsidRPr="008A1EFD" w14:paraId="045AA89D" w14:textId="77777777" w:rsidTr="00074B19">
        <w:tc>
          <w:tcPr>
            <w:tcW w:w="2468" w:type="dxa"/>
            <w:vMerge/>
          </w:tcPr>
          <w:p w14:paraId="649BA1B9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  <w:vAlign w:val="bottom"/>
          </w:tcPr>
          <w:p w14:paraId="419814C4" w14:textId="5056FC07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026185E3" w14:textId="340F808B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Зачервяване</w:t>
            </w:r>
          </w:p>
        </w:tc>
        <w:tc>
          <w:tcPr>
            <w:tcW w:w="2391" w:type="dxa"/>
            <w:vAlign w:val="bottom"/>
          </w:tcPr>
          <w:p w14:paraId="725A1168" w14:textId="51C332D4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Хипотония</w:t>
            </w:r>
          </w:p>
        </w:tc>
      </w:tr>
      <w:tr w:rsidR="00262A3A" w:rsidRPr="008A1EFD" w14:paraId="7621CF83" w14:textId="77777777" w:rsidTr="00074B19">
        <w:tc>
          <w:tcPr>
            <w:tcW w:w="2468" w:type="dxa"/>
            <w:vMerge/>
          </w:tcPr>
          <w:p w14:paraId="250353BF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0BB08F85" w14:textId="4881E327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0F7E9F96" w14:textId="39F43DD6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Стеноза</w:t>
            </w:r>
            <w:proofErr w:type="spellEnd"/>
            <w:r w:rsidRPr="008A1EFD">
              <w:rPr>
                <w:szCs w:val="18"/>
              </w:rPr>
              <w:t xml:space="preserve"> на съдовете, </w:t>
            </w:r>
            <w:proofErr w:type="spellStart"/>
            <w:r w:rsidRPr="008A1EFD">
              <w:rPr>
                <w:szCs w:val="18"/>
              </w:rPr>
              <w:t>хипоперфузия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васкулит</w:t>
            </w:r>
            <w:proofErr w:type="spellEnd"/>
          </w:p>
        </w:tc>
        <w:tc>
          <w:tcPr>
            <w:tcW w:w="2391" w:type="dxa"/>
          </w:tcPr>
          <w:p w14:paraId="07BCEECC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50940BBA" w14:textId="77777777" w:rsidTr="00074B19">
        <w:tc>
          <w:tcPr>
            <w:tcW w:w="2468" w:type="dxa"/>
            <w:vMerge/>
          </w:tcPr>
          <w:p w14:paraId="0A22D8C4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  <w:vAlign w:val="bottom"/>
          </w:tcPr>
          <w:p w14:paraId="75E29A90" w14:textId="69F51F7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11506B78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55379676" w14:textId="7BC4370C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Васкулит</w:t>
            </w:r>
            <w:proofErr w:type="spellEnd"/>
          </w:p>
        </w:tc>
      </w:tr>
      <w:tr w:rsidR="00262A3A" w:rsidRPr="008A1EFD" w14:paraId="221C9974" w14:textId="77777777" w:rsidTr="00074B19">
        <w:tc>
          <w:tcPr>
            <w:tcW w:w="2468" w:type="dxa"/>
            <w:vMerge/>
          </w:tcPr>
          <w:p w14:paraId="5A92B6C2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497A28A9" w14:textId="3180B102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</w:tcPr>
          <w:p w14:paraId="6E76C2B8" w14:textId="31137810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Синдром на </w:t>
            </w:r>
            <w:proofErr w:type="spellStart"/>
            <w:r w:rsidRPr="008A1EFD">
              <w:rPr>
                <w:szCs w:val="18"/>
              </w:rPr>
              <w:t>Raynaud</w:t>
            </w:r>
            <w:proofErr w:type="spellEnd"/>
          </w:p>
        </w:tc>
        <w:tc>
          <w:tcPr>
            <w:tcW w:w="2391" w:type="dxa"/>
          </w:tcPr>
          <w:p w14:paraId="5D18F930" w14:textId="77777777" w:rsidR="00262A3A" w:rsidRPr="008A1EFD" w:rsidRDefault="00262A3A" w:rsidP="00262A3A">
            <w:pPr>
              <w:rPr>
                <w:rFonts w:cs="Arial"/>
              </w:rPr>
            </w:pPr>
          </w:p>
        </w:tc>
      </w:tr>
      <w:tr w:rsidR="00262A3A" w:rsidRPr="008A1EFD" w14:paraId="1D6CAB4D" w14:textId="77777777" w:rsidTr="00074B19">
        <w:tc>
          <w:tcPr>
            <w:tcW w:w="2468" w:type="dxa"/>
            <w:vMerge w:val="restart"/>
          </w:tcPr>
          <w:p w14:paraId="3E37CA03" w14:textId="52F1CB96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Респираторни, гръдни и </w:t>
            </w:r>
            <w:proofErr w:type="spellStart"/>
            <w:r w:rsidRPr="008A1EFD">
              <w:rPr>
                <w:szCs w:val="18"/>
              </w:rPr>
              <w:t>медиастинални</w:t>
            </w:r>
            <w:proofErr w:type="spellEnd"/>
            <w:r w:rsidRPr="008A1EFD">
              <w:rPr>
                <w:szCs w:val="18"/>
              </w:rPr>
              <w:t xml:space="preserve"> нарушения</w:t>
            </w:r>
          </w:p>
        </w:tc>
        <w:tc>
          <w:tcPr>
            <w:tcW w:w="2326" w:type="dxa"/>
          </w:tcPr>
          <w:p w14:paraId="7D4DAAE1" w14:textId="211C282A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  <w:vAlign w:val="bottom"/>
          </w:tcPr>
          <w:p w14:paraId="27A1791E" w14:textId="503D9199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Непродуктивна дразнеща кашлица, бронхит, синузит, </w:t>
            </w:r>
            <w:proofErr w:type="spellStart"/>
            <w:r w:rsidRPr="008A1EFD">
              <w:rPr>
                <w:szCs w:val="18"/>
              </w:rPr>
              <w:t>диспнея</w:t>
            </w:r>
            <w:proofErr w:type="spellEnd"/>
          </w:p>
        </w:tc>
        <w:tc>
          <w:tcPr>
            <w:tcW w:w="2391" w:type="dxa"/>
          </w:tcPr>
          <w:p w14:paraId="78B045A4" w14:textId="65077937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Диспнея</w:t>
            </w:r>
            <w:proofErr w:type="spellEnd"/>
          </w:p>
        </w:tc>
      </w:tr>
      <w:tr w:rsidR="00262A3A" w:rsidRPr="008A1EFD" w14:paraId="3075817D" w14:textId="77777777" w:rsidTr="00074B19">
        <w:tc>
          <w:tcPr>
            <w:tcW w:w="2468" w:type="dxa"/>
            <w:vMerge/>
          </w:tcPr>
          <w:p w14:paraId="6CF47339" w14:textId="77777777" w:rsidR="00262A3A" w:rsidRPr="008A1EFD" w:rsidRDefault="00262A3A" w:rsidP="00262A3A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8F55222" w14:textId="6AC21CA1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765CC913" w14:textId="33D12AAD" w:rsidR="00262A3A" w:rsidRPr="008A1EFD" w:rsidRDefault="00262A3A" w:rsidP="00262A3A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Бронхоспазъм</w:t>
            </w:r>
            <w:proofErr w:type="spellEnd"/>
            <w:r w:rsidRPr="008A1EFD">
              <w:rPr>
                <w:szCs w:val="18"/>
              </w:rPr>
              <w:t xml:space="preserve">, включително </w:t>
            </w:r>
            <w:proofErr w:type="spellStart"/>
            <w:r w:rsidRPr="008A1EFD">
              <w:rPr>
                <w:szCs w:val="18"/>
              </w:rPr>
              <w:t>обострена</w:t>
            </w:r>
            <w:proofErr w:type="spellEnd"/>
            <w:r w:rsidRPr="008A1EFD">
              <w:rPr>
                <w:szCs w:val="18"/>
              </w:rPr>
              <w:t xml:space="preserve"> астма, запушен нос</w:t>
            </w:r>
          </w:p>
        </w:tc>
        <w:tc>
          <w:tcPr>
            <w:tcW w:w="2391" w:type="dxa"/>
          </w:tcPr>
          <w:p w14:paraId="609ADF4D" w14:textId="7A5EEEAF" w:rsidR="00262A3A" w:rsidRPr="008A1EFD" w:rsidRDefault="00262A3A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Кашлица, ринит</w:t>
            </w:r>
          </w:p>
        </w:tc>
      </w:tr>
      <w:tr w:rsidR="00074B19" w:rsidRPr="008A1EFD" w14:paraId="5121EE42" w14:textId="77777777" w:rsidTr="00074B19">
        <w:tc>
          <w:tcPr>
            <w:tcW w:w="2468" w:type="dxa"/>
            <w:vMerge w:val="restart"/>
          </w:tcPr>
          <w:p w14:paraId="26F55D32" w14:textId="26F7A67D" w:rsidR="00074B19" w:rsidRPr="008A1EFD" w:rsidRDefault="00074B19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Стомашно-чревни нарушения</w:t>
            </w:r>
          </w:p>
        </w:tc>
        <w:tc>
          <w:tcPr>
            <w:tcW w:w="2326" w:type="dxa"/>
          </w:tcPr>
          <w:p w14:paraId="2E051744" w14:textId="05BAC714" w:rsidR="00074B19" w:rsidRPr="008A1EFD" w:rsidRDefault="00074B19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  <w:vAlign w:val="bottom"/>
          </w:tcPr>
          <w:p w14:paraId="145A45DA" w14:textId="6974108C" w:rsidR="00074B19" w:rsidRPr="008A1EFD" w:rsidRDefault="00074B19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>Стомашно-чревно възпаление, храносмилателни смущения, коремен дискомфорт, диспепсия, диария, гадене, повръщане</w:t>
            </w:r>
          </w:p>
        </w:tc>
        <w:tc>
          <w:tcPr>
            <w:tcW w:w="2391" w:type="dxa"/>
          </w:tcPr>
          <w:p w14:paraId="66366DDF" w14:textId="24ABB33D" w:rsidR="00074B19" w:rsidRPr="008A1EFD" w:rsidRDefault="00074B19" w:rsidP="00262A3A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Абдоминална болка, гадене, диспепсия, промяна в ритъма на </w:t>
            </w:r>
            <w:proofErr w:type="spellStart"/>
            <w:r w:rsidRPr="008A1EFD">
              <w:rPr>
                <w:szCs w:val="18"/>
              </w:rPr>
              <w:t>дефекация</w:t>
            </w:r>
            <w:proofErr w:type="spellEnd"/>
            <w:r w:rsidRPr="008A1EFD">
              <w:rPr>
                <w:szCs w:val="18"/>
              </w:rPr>
              <w:t xml:space="preserve"> (включително диария и запек)</w:t>
            </w:r>
          </w:p>
        </w:tc>
      </w:tr>
      <w:tr w:rsidR="00074B19" w:rsidRPr="008A1EFD" w14:paraId="6C49AC55" w14:textId="77777777" w:rsidTr="00074B19">
        <w:tc>
          <w:tcPr>
            <w:tcW w:w="2468" w:type="dxa"/>
            <w:vMerge/>
          </w:tcPr>
          <w:p w14:paraId="1DBE498C" w14:textId="77777777" w:rsidR="00074B19" w:rsidRPr="008A1EFD" w:rsidRDefault="00074B19" w:rsidP="00074B19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</w:tcPr>
          <w:p w14:paraId="28184518" w14:textId="178F5BC4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461F7D44" w14:textId="71C02B44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Панкреатит</w:t>
            </w:r>
            <w:proofErr w:type="spellEnd"/>
            <w:r w:rsidRPr="008A1EFD">
              <w:rPr>
                <w:szCs w:val="18"/>
              </w:rPr>
              <w:t xml:space="preserve"> (случаи с летален изход са били съобщавани изключително рядко при лечение с АСЕ инхибитори), повишаване на </w:t>
            </w:r>
            <w:proofErr w:type="spellStart"/>
            <w:r w:rsidRPr="008A1EFD">
              <w:rPr>
                <w:szCs w:val="18"/>
              </w:rPr>
              <w:t>панкреасните</w:t>
            </w:r>
            <w:proofErr w:type="spellEnd"/>
            <w:r w:rsidRPr="008A1EFD">
              <w:rPr>
                <w:szCs w:val="18"/>
              </w:rPr>
              <w:t xml:space="preserve"> ензими, ангиоедем на тънкото черво, коремна болка в горната част на корема, включително гастрит, запек, сухота в устата</w:t>
            </w:r>
          </w:p>
        </w:tc>
        <w:tc>
          <w:tcPr>
            <w:tcW w:w="2391" w:type="dxa"/>
          </w:tcPr>
          <w:p w14:paraId="4115617C" w14:textId="7448D154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Повръщане, сухота в устата</w:t>
            </w:r>
          </w:p>
        </w:tc>
      </w:tr>
      <w:tr w:rsidR="00074B19" w:rsidRPr="008A1EFD" w14:paraId="617A7299" w14:textId="77777777" w:rsidTr="00074B19">
        <w:tc>
          <w:tcPr>
            <w:tcW w:w="2468" w:type="dxa"/>
            <w:vMerge/>
          </w:tcPr>
          <w:p w14:paraId="6165345C" w14:textId="77777777" w:rsidR="00074B19" w:rsidRPr="008A1EFD" w:rsidRDefault="00074B19" w:rsidP="00074B19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  <w:vAlign w:val="bottom"/>
          </w:tcPr>
          <w:p w14:paraId="02969474" w14:textId="289366A6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65C9D040" w14:textId="39D5ADC5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Глосит</w:t>
            </w:r>
            <w:proofErr w:type="spellEnd"/>
          </w:p>
        </w:tc>
        <w:tc>
          <w:tcPr>
            <w:tcW w:w="2391" w:type="dxa"/>
          </w:tcPr>
          <w:p w14:paraId="0A47043E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46A19655" w14:textId="77777777" w:rsidTr="00074B19">
        <w:tc>
          <w:tcPr>
            <w:tcW w:w="2468" w:type="dxa"/>
            <w:vMerge/>
          </w:tcPr>
          <w:p w14:paraId="318B3AA3" w14:textId="77777777" w:rsidR="00074B19" w:rsidRPr="008A1EFD" w:rsidRDefault="00074B19" w:rsidP="00074B19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</w:tcPr>
          <w:p w14:paraId="45555E00" w14:textId="557832A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7703F738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6E301BA6" w14:textId="7F3B6968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Панкреатит</w:t>
            </w:r>
            <w:proofErr w:type="spellEnd"/>
            <w:r w:rsidRPr="008A1EFD">
              <w:rPr>
                <w:szCs w:val="18"/>
              </w:rPr>
              <w:t>, гастрит, хиперплазия на венците</w:t>
            </w:r>
          </w:p>
        </w:tc>
      </w:tr>
      <w:tr w:rsidR="00074B19" w:rsidRPr="008A1EFD" w14:paraId="4AB3EF29" w14:textId="77777777" w:rsidTr="00074B19">
        <w:tc>
          <w:tcPr>
            <w:tcW w:w="2468" w:type="dxa"/>
            <w:vMerge/>
          </w:tcPr>
          <w:p w14:paraId="40110B6D" w14:textId="77777777" w:rsidR="00074B19" w:rsidRPr="008A1EFD" w:rsidRDefault="00074B19" w:rsidP="00074B19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</w:tcPr>
          <w:p w14:paraId="68F0388D" w14:textId="2547C4F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</w:tcPr>
          <w:p w14:paraId="62B65EE6" w14:textId="4D5B7605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Афтозен</w:t>
            </w:r>
            <w:proofErr w:type="spellEnd"/>
            <w:r w:rsidRPr="008A1EFD">
              <w:rPr>
                <w:szCs w:val="18"/>
              </w:rPr>
              <w:t xml:space="preserve"> стоматит</w:t>
            </w:r>
          </w:p>
        </w:tc>
        <w:tc>
          <w:tcPr>
            <w:tcW w:w="2391" w:type="dxa"/>
          </w:tcPr>
          <w:p w14:paraId="09638A0E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107A1176" w14:textId="77777777" w:rsidTr="00074B19">
        <w:tc>
          <w:tcPr>
            <w:tcW w:w="2468" w:type="dxa"/>
            <w:vMerge w:val="restart"/>
          </w:tcPr>
          <w:p w14:paraId="73EADAF2" w14:textId="48E85747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Хепатобилиарни</w:t>
            </w:r>
            <w:proofErr w:type="spellEnd"/>
            <w:r w:rsidRPr="008A1EFD">
              <w:rPr>
                <w:szCs w:val="18"/>
              </w:rPr>
              <w:t xml:space="preserve"> нарушения</w:t>
            </w:r>
          </w:p>
        </w:tc>
        <w:tc>
          <w:tcPr>
            <w:tcW w:w="2326" w:type="dxa"/>
          </w:tcPr>
          <w:p w14:paraId="13DE7B11" w14:textId="14690D2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5923E61C" w14:textId="1D2B0450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Повишени нива на чернодробните ензими и/или свързания </w:t>
            </w:r>
            <w:proofErr w:type="spellStart"/>
            <w:r w:rsidRPr="008A1EFD">
              <w:rPr>
                <w:szCs w:val="18"/>
              </w:rPr>
              <w:t>билирубин</w:t>
            </w:r>
            <w:proofErr w:type="spellEnd"/>
          </w:p>
        </w:tc>
        <w:tc>
          <w:tcPr>
            <w:tcW w:w="2391" w:type="dxa"/>
          </w:tcPr>
          <w:p w14:paraId="513F9D15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660D48DF" w14:textId="77777777" w:rsidTr="00074B19">
        <w:tc>
          <w:tcPr>
            <w:tcW w:w="2468" w:type="dxa"/>
            <w:vMerge/>
          </w:tcPr>
          <w:p w14:paraId="35FCA5BF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386F6DF9" w14:textId="165134CD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25DABE47" w14:textId="446357BE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Холестатична</w:t>
            </w:r>
            <w:proofErr w:type="spellEnd"/>
            <w:r w:rsidRPr="008A1EFD">
              <w:rPr>
                <w:szCs w:val="18"/>
              </w:rPr>
              <w:t xml:space="preserve"> жълтеница, </w:t>
            </w:r>
            <w:r w:rsidRPr="008A1EFD">
              <w:rPr>
                <w:szCs w:val="18"/>
              </w:rPr>
              <w:lastRenderedPageBreak/>
              <w:t>увреждане на чернодробните клетки</w:t>
            </w:r>
          </w:p>
        </w:tc>
        <w:tc>
          <w:tcPr>
            <w:tcW w:w="2391" w:type="dxa"/>
          </w:tcPr>
          <w:p w14:paraId="53C274F2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240F44AA" w14:textId="77777777" w:rsidTr="00074B19">
        <w:tc>
          <w:tcPr>
            <w:tcW w:w="2468" w:type="dxa"/>
            <w:vMerge/>
          </w:tcPr>
          <w:p w14:paraId="26B16E80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FE8F605" w14:textId="3229E180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27330FA2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91" w:type="dxa"/>
            <w:vAlign w:val="bottom"/>
          </w:tcPr>
          <w:p w14:paraId="6CEB9064" w14:textId="0BBCBE4D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Хепатит, жълтеница, повишени чернодробни ензими*</w:t>
            </w:r>
          </w:p>
        </w:tc>
      </w:tr>
      <w:tr w:rsidR="00074B19" w:rsidRPr="008A1EFD" w14:paraId="4009A033" w14:textId="77777777" w:rsidTr="00074B19">
        <w:tc>
          <w:tcPr>
            <w:tcW w:w="2468" w:type="dxa"/>
            <w:vMerge/>
          </w:tcPr>
          <w:p w14:paraId="78C9FCCE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7F45CE0" w14:textId="62DD386F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  <w:vAlign w:val="bottom"/>
          </w:tcPr>
          <w:p w14:paraId="749BE8E5" w14:textId="5BCAD775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Остра чернодробна недостатъчност, </w:t>
            </w:r>
            <w:proofErr w:type="spellStart"/>
            <w:r w:rsidRPr="008A1EFD">
              <w:rPr>
                <w:szCs w:val="18"/>
              </w:rPr>
              <w:t>холестатичен</w:t>
            </w:r>
            <w:proofErr w:type="spellEnd"/>
            <w:r w:rsidRPr="008A1EFD">
              <w:rPr>
                <w:szCs w:val="18"/>
              </w:rPr>
              <w:t xml:space="preserve"> или </w:t>
            </w:r>
            <w:proofErr w:type="spellStart"/>
            <w:r w:rsidRPr="008A1EFD">
              <w:rPr>
                <w:szCs w:val="18"/>
              </w:rPr>
              <w:t>цитолитичен</w:t>
            </w:r>
            <w:proofErr w:type="spellEnd"/>
            <w:r w:rsidRPr="008A1EFD">
              <w:rPr>
                <w:szCs w:val="18"/>
              </w:rPr>
              <w:t xml:space="preserve"> хепатит (изключително рядко с летален изход)</w:t>
            </w:r>
          </w:p>
        </w:tc>
        <w:tc>
          <w:tcPr>
            <w:tcW w:w="2391" w:type="dxa"/>
          </w:tcPr>
          <w:p w14:paraId="1C428C35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62913AD4" w14:textId="77777777" w:rsidTr="00074B19">
        <w:tc>
          <w:tcPr>
            <w:tcW w:w="2468" w:type="dxa"/>
            <w:vMerge w:val="restart"/>
          </w:tcPr>
          <w:p w14:paraId="4C53A14A" w14:textId="0FB89B3E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кожата и подкожната тъкан</w:t>
            </w:r>
          </w:p>
        </w:tc>
        <w:tc>
          <w:tcPr>
            <w:tcW w:w="2326" w:type="dxa"/>
          </w:tcPr>
          <w:p w14:paraId="3F5F68C7" w14:textId="3828570A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  <w:vAlign w:val="bottom"/>
          </w:tcPr>
          <w:p w14:paraId="4A436C6A" w14:textId="7E9FF95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Обрив, обикновено </w:t>
            </w:r>
            <w:proofErr w:type="spellStart"/>
            <w:r w:rsidRPr="008A1EFD">
              <w:rPr>
                <w:szCs w:val="18"/>
              </w:rPr>
              <w:t>макуло-папулозен</w:t>
            </w:r>
            <w:proofErr w:type="spellEnd"/>
          </w:p>
        </w:tc>
        <w:tc>
          <w:tcPr>
            <w:tcW w:w="2391" w:type="dxa"/>
          </w:tcPr>
          <w:p w14:paraId="17A2FB59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12037EFD" w14:textId="77777777" w:rsidTr="00074B19">
        <w:tc>
          <w:tcPr>
            <w:tcW w:w="2468" w:type="dxa"/>
            <w:vMerge/>
          </w:tcPr>
          <w:p w14:paraId="788ACB60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FA92572" w14:textId="5A2D6F3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  <w:vAlign w:val="bottom"/>
          </w:tcPr>
          <w:p w14:paraId="170E851F" w14:textId="1C10B7D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Ангиоедем (изключително рядко, обструкцията на </w:t>
            </w:r>
            <w:proofErr w:type="spellStart"/>
            <w:r w:rsidRPr="008A1EFD">
              <w:rPr>
                <w:szCs w:val="18"/>
              </w:rPr>
              <w:t>въздухоносните</w:t>
            </w:r>
            <w:proofErr w:type="spellEnd"/>
            <w:r w:rsidRPr="008A1EFD">
              <w:rPr>
                <w:szCs w:val="18"/>
              </w:rPr>
              <w:t xml:space="preserve"> пътища в резултат на ангиоедем може да има летален изход) сърбеж, </w:t>
            </w:r>
            <w:proofErr w:type="spellStart"/>
            <w:r w:rsidRPr="008A1EFD">
              <w:rPr>
                <w:szCs w:val="18"/>
              </w:rPr>
              <w:t>хиперхидроза</w:t>
            </w:r>
            <w:proofErr w:type="spellEnd"/>
          </w:p>
        </w:tc>
        <w:tc>
          <w:tcPr>
            <w:tcW w:w="2391" w:type="dxa"/>
          </w:tcPr>
          <w:p w14:paraId="2315AFBC" w14:textId="4869C704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Алопеция, пурпура, промяна в цвета на кожата, </w:t>
            </w:r>
            <w:proofErr w:type="spellStart"/>
            <w:r w:rsidRPr="008A1EFD">
              <w:rPr>
                <w:szCs w:val="18"/>
              </w:rPr>
              <w:t>хиперхидроза</w:t>
            </w:r>
            <w:proofErr w:type="spellEnd"/>
            <w:r w:rsidRPr="008A1EFD">
              <w:rPr>
                <w:szCs w:val="18"/>
              </w:rPr>
              <w:t xml:space="preserve">, сърбеж, обрив, </w:t>
            </w:r>
            <w:proofErr w:type="spellStart"/>
            <w:r w:rsidRPr="008A1EFD">
              <w:rPr>
                <w:szCs w:val="18"/>
              </w:rPr>
              <w:t>екзантема</w:t>
            </w:r>
            <w:proofErr w:type="spellEnd"/>
          </w:p>
        </w:tc>
      </w:tr>
      <w:tr w:rsidR="00074B19" w:rsidRPr="008A1EFD" w14:paraId="7487380E" w14:textId="77777777" w:rsidTr="00074B19">
        <w:tc>
          <w:tcPr>
            <w:tcW w:w="2468" w:type="dxa"/>
            <w:vMerge/>
          </w:tcPr>
          <w:p w14:paraId="2B2B7286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3CD54483" w14:textId="1D04AD5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  <w:vAlign w:val="bottom"/>
          </w:tcPr>
          <w:p w14:paraId="5CB23A84" w14:textId="577B7225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Ексфолиативен</w:t>
            </w:r>
            <w:proofErr w:type="spellEnd"/>
            <w:r w:rsidRPr="008A1EFD">
              <w:rPr>
                <w:szCs w:val="18"/>
              </w:rPr>
              <w:t xml:space="preserve"> дерматит, уртикария, </w:t>
            </w:r>
            <w:proofErr w:type="spellStart"/>
            <w:r w:rsidRPr="008A1EFD">
              <w:rPr>
                <w:szCs w:val="18"/>
              </w:rPr>
              <w:t>онихолиза</w:t>
            </w:r>
            <w:proofErr w:type="spellEnd"/>
          </w:p>
        </w:tc>
        <w:tc>
          <w:tcPr>
            <w:tcW w:w="2391" w:type="dxa"/>
          </w:tcPr>
          <w:p w14:paraId="3C7BCD7E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2EB37459" w14:textId="77777777" w:rsidTr="00074B19">
        <w:tc>
          <w:tcPr>
            <w:tcW w:w="2468" w:type="dxa"/>
            <w:vMerge/>
          </w:tcPr>
          <w:p w14:paraId="027E76C3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489ECC1D" w14:textId="35D6D97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редки</w:t>
            </w:r>
          </w:p>
        </w:tc>
        <w:tc>
          <w:tcPr>
            <w:tcW w:w="2391" w:type="dxa"/>
          </w:tcPr>
          <w:p w14:paraId="0F095400" w14:textId="0E61BD3E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Реакция на фоточувствителност</w:t>
            </w:r>
          </w:p>
        </w:tc>
        <w:tc>
          <w:tcPr>
            <w:tcW w:w="2391" w:type="dxa"/>
            <w:vAlign w:val="bottom"/>
          </w:tcPr>
          <w:p w14:paraId="56A5B589" w14:textId="77777777" w:rsidR="00074B19" w:rsidRPr="008A1EFD" w:rsidRDefault="00074B19" w:rsidP="00074B19">
            <w:r w:rsidRPr="008A1EFD">
              <w:rPr>
                <w:szCs w:val="18"/>
              </w:rPr>
              <w:t xml:space="preserve">Ангиоедем, еритема, </w:t>
            </w:r>
            <w:proofErr w:type="spellStart"/>
            <w:r w:rsidRPr="008A1EFD">
              <w:rPr>
                <w:szCs w:val="18"/>
              </w:rPr>
              <w:t>мултиформе</w:t>
            </w:r>
            <w:proofErr w:type="spellEnd"/>
            <w:r w:rsidRPr="008A1EFD">
              <w:rPr>
                <w:szCs w:val="18"/>
              </w:rPr>
              <w:t xml:space="preserve">, уртикария, </w:t>
            </w:r>
            <w:proofErr w:type="spellStart"/>
            <w:r w:rsidRPr="008A1EFD">
              <w:rPr>
                <w:szCs w:val="18"/>
              </w:rPr>
              <w:t>ексфолиативен</w:t>
            </w:r>
            <w:proofErr w:type="spellEnd"/>
            <w:r w:rsidRPr="008A1EFD">
              <w:rPr>
                <w:szCs w:val="18"/>
              </w:rPr>
              <w:t xml:space="preserve"> дерматит, синдром на </w:t>
            </w:r>
            <w:proofErr w:type="spellStart"/>
            <w:r w:rsidRPr="008A1EFD">
              <w:rPr>
                <w:szCs w:val="18"/>
              </w:rPr>
              <w:t>Stevens</w:t>
            </w:r>
            <w:proofErr w:type="spellEnd"/>
            <w:r w:rsidRPr="008A1EFD">
              <w:rPr>
                <w:szCs w:val="18"/>
              </w:rPr>
              <w:t xml:space="preserve">-Johnson, едем на </w:t>
            </w:r>
            <w:proofErr w:type="spellStart"/>
            <w:r w:rsidRPr="008A1EFD">
              <w:rPr>
                <w:szCs w:val="18"/>
              </w:rPr>
              <w:t>Quincke</w:t>
            </w:r>
            <w:proofErr w:type="spellEnd"/>
            <w:r w:rsidRPr="008A1EFD">
              <w:rPr>
                <w:szCs w:val="18"/>
              </w:rPr>
              <w:t>,</w:t>
            </w:r>
          </w:p>
          <w:p w14:paraId="73E837D9" w14:textId="2E322396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фоточувствителност</w:t>
            </w:r>
          </w:p>
        </w:tc>
      </w:tr>
      <w:tr w:rsidR="00074B19" w:rsidRPr="008A1EFD" w14:paraId="22FE2B4E" w14:textId="77777777" w:rsidTr="00074B19">
        <w:tc>
          <w:tcPr>
            <w:tcW w:w="2468" w:type="dxa"/>
            <w:vMerge/>
          </w:tcPr>
          <w:p w14:paraId="35833F31" w14:textId="77777777" w:rsidR="00074B19" w:rsidRPr="008A1EFD" w:rsidRDefault="00074B19" w:rsidP="00074B19">
            <w:pPr>
              <w:rPr>
                <w:rFonts w:cs="Arial"/>
                <w:sz w:val="28"/>
              </w:rPr>
            </w:pPr>
          </w:p>
        </w:tc>
        <w:tc>
          <w:tcPr>
            <w:tcW w:w="2326" w:type="dxa"/>
          </w:tcPr>
          <w:p w14:paraId="071C11DF" w14:textId="671E274B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</w:tcPr>
          <w:p w14:paraId="5AE64E09" w14:textId="0AD65678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Токсична епидермална </w:t>
            </w:r>
            <w:proofErr w:type="spellStart"/>
            <w:r w:rsidRPr="008A1EFD">
              <w:rPr>
                <w:szCs w:val="18"/>
              </w:rPr>
              <w:t>некролиза</w:t>
            </w:r>
            <w:proofErr w:type="spellEnd"/>
            <w:r w:rsidRPr="008A1EFD">
              <w:rPr>
                <w:szCs w:val="18"/>
              </w:rPr>
              <w:t xml:space="preserve">, синдром на </w:t>
            </w:r>
            <w:proofErr w:type="spellStart"/>
            <w:r w:rsidRPr="008A1EFD">
              <w:rPr>
                <w:szCs w:val="18"/>
              </w:rPr>
              <w:t>Stevens</w:t>
            </w:r>
            <w:proofErr w:type="spellEnd"/>
            <w:r w:rsidRPr="008A1EFD">
              <w:rPr>
                <w:szCs w:val="18"/>
              </w:rPr>
              <w:t xml:space="preserve">-Johnson, еритема </w:t>
            </w:r>
            <w:proofErr w:type="spellStart"/>
            <w:r w:rsidRPr="008A1EFD">
              <w:rPr>
                <w:szCs w:val="18"/>
              </w:rPr>
              <w:t>мултиформе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пемфигус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обосгрен</w:t>
            </w:r>
            <w:proofErr w:type="spellEnd"/>
            <w:r w:rsidRPr="008A1EFD">
              <w:rPr>
                <w:szCs w:val="18"/>
              </w:rPr>
              <w:t xml:space="preserve"> псориазис, </w:t>
            </w:r>
            <w:r w:rsidRPr="008A1EFD">
              <w:rPr>
                <w:szCs w:val="18"/>
              </w:rPr>
              <w:lastRenderedPageBreak/>
              <w:t xml:space="preserve">псориатичен дерматит, </w:t>
            </w:r>
            <w:proofErr w:type="spellStart"/>
            <w:r w:rsidRPr="008A1EFD">
              <w:rPr>
                <w:szCs w:val="18"/>
              </w:rPr>
              <w:t>пемфигоиден</w:t>
            </w:r>
            <w:proofErr w:type="spellEnd"/>
            <w:r w:rsidRPr="008A1EFD">
              <w:rPr>
                <w:szCs w:val="18"/>
              </w:rPr>
              <w:t xml:space="preserve"> или </w:t>
            </w:r>
            <w:proofErr w:type="spellStart"/>
            <w:r w:rsidRPr="008A1EFD">
              <w:rPr>
                <w:szCs w:val="18"/>
              </w:rPr>
              <w:t>лихеноиден</w:t>
            </w:r>
            <w:proofErr w:type="spellEnd"/>
            <w:r w:rsidRPr="008A1EFD">
              <w:rPr>
                <w:szCs w:val="18"/>
              </w:rPr>
              <w:t xml:space="preserve"> </w:t>
            </w:r>
            <w:proofErr w:type="spellStart"/>
            <w:r w:rsidRPr="008A1EFD">
              <w:rPr>
                <w:szCs w:val="18"/>
              </w:rPr>
              <w:t>екзантем</w:t>
            </w:r>
            <w:proofErr w:type="spellEnd"/>
            <w:r w:rsidRPr="008A1EFD">
              <w:rPr>
                <w:szCs w:val="18"/>
              </w:rPr>
              <w:t xml:space="preserve"> или </w:t>
            </w:r>
            <w:proofErr w:type="spellStart"/>
            <w:r w:rsidRPr="008A1EFD">
              <w:rPr>
                <w:szCs w:val="18"/>
              </w:rPr>
              <w:t>енантем</w:t>
            </w:r>
            <w:proofErr w:type="spellEnd"/>
            <w:r w:rsidRPr="008A1EFD">
              <w:rPr>
                <w:szCs w:val="18"/>
              </w:rPr>
              <w:t>, алопеция</w:t>
            </w:r>
          </w:p>
        </w:tc>
        <w:tc>
          <w:tcPr>
            <w:tcW w:w="2391" w:type="dxa"/>
          </w:tcPr>
          <w:p w14:paraId="504C87AF" w14:textId="5BBFF47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lastRenderedPageBreak/>
              <w:t xml:space="preserve">Токсична епидермална </w:t>
            </w:r>
            <w:proofErr w:type="spellStart"/>
            <w:r w:rsidRPr="008A1EFD">
              <w:rPr>
                <w:szCs w:val="18"/>
              </w:rPr>
              <w:t>некролиза</w:t>
            </w:r>
            <w:proofErr w:type="spellEnd"/>
          </w:p>
        </w:tc>
      </w:tr>
      <w:tr w:rsidR="00074B19" w:rsidRPr="008A1EFD" w14:paraId="1BB4E90C" w14:textId="77777777" w:rsidTr="00074B19">
        <w:tc>
          <w:tcPr>
            <w:tcW w:w="2468" w:type="dxa"/>
            <w:vMerge w:val="restart"/>
          </w:tcPr>
          <w:p w14:paraId="0BD003F0" w14:textId="68E9A9D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мускулно-скелетната система и съединителната тъкан</w:t>
            </w:r>
          </w:p>
        </w:tc>
        <w:tc>
          <w:tcPr>
            <w:tcW w:w="2326" w:type="dxa"/>
          </w:tcPr>
          <w:p w14:paraId="4633D54B" w14:textId="672505CD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</w:tcPr>
          <w:p w14:paraId="4D8A868C" w14:textId="125C76DF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Мускулни спазми, </w:t>
            </w:r>
            <w:proofErr w:type="spellStart"/>
            <w:r w:rsidRPr="008A1EFD">
              <w:rPr>
                <w:szCs w:val="18"/>
              </w:rPr>
              <w:t>миалгия</w:t>
            </w:r>
            <w:proofErr w:type="spellEnd"/>
          </w:p>
        </w:tc>
        <w:tc>
          <w:tcPr>
            <w:tcW w:w="2391" w:type="dxa"/>
          </w:tcPr>
          <w:p w14:paraId="56587CB4" w14:textId="004903F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Оток на глезена, мускулни </w:t>
            </w:r>
            <w:proofErr w:type="spellStart"/>
            <w:r w:rsidRPr="008A1EFD">
              <w:rPr>
                <w:szCs w:val="18"/>
              </w:rPr>
              <w:t>крампи</w:t>
            </w:r>
            <w:proofErr w:type="spellEnd"/>
          </w:p>
        </w:tc>
      </w:tr>
      <w:tr w:rsidR="00074B19" w:rsidRPr="008A1EFD" w14:paraId="192C2F5F" w14:textId="77777777" w:rsidTr="00074B19">
        <w:tc>
          <w:tcPr>
            <w:tcW w:w="2468" w:type="dxa"/>
            <w:vMerge/>
          </w:tcPr>
          <w:p w14:paraId="065D3B2B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41B390E0" w14:textId="0C2A8C2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</w:tcPr>
          <w:p w14:paraId="20C9BA51" w14:textId="574F7116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Артралгия</w:t>
            </w:r>
            <w:proofErr w:type="spellEnd"/>
          </w:p>
        </w:tc>
        <w:tc>
          <w:tcPr>
            <w:tcW w:w="2391" w:type="dxa"/>
          </w:tcPr>
          <w:p w14:paraId="75FD8034" w14:textId="1DB234B3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Артралгия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миалгия</w:t>
            </w:r>
            <w:proofErr w:type="spellEnd"/>
            <w:r w:rsidRPr="008A1EFD">
              <w:rPr>
                <w:szCs w:val="18"/>
              </w:rPr>
              <w:t>, болка в гърба</w:t>
            </w:r>
          </w:p>
        </w:tc>
      </w:tr>
      <w:tr w:rsidR="00074B19" w:rsidRPr="008A1EFD" w14:paraId="37A73E36" w14:textId="77777777" w:rsidTr="00074B19">
        <w:tc>
          <w:tcPr>
            <w:tcW w:w="2468" w:type="dxa"/>
          </w:tcPr>
          <w:p w14:paraId="4F221951" w14:textId="589C67CE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бъбреците и пикочните пътища</w:t>
            </w:r>
          </w:p>
        </w:tc>
        <w:tc>
          <w:tcPr>
            <w:tcW w:w="2326" w:type="dxa"/>
          </w:tcPr>
          <w:p w14:paraId="6A320F0A" w14:textId="03472D32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</w:tcPr>
          <w:p w14:paraId="1D77F1F0" w14:textId="5C9D8518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Бъбречно увреждане, включително остра бъбречна недостатъчност, </w:t>
            </w:r>
            <w:proofErr w:type="spellStart"/>
            <w:r w:rsidRPr="008A1EFD">
              <w:rPr>
                <w:szCs w:val="18"/>
              </w:rPr>
              <w:t>полиурия</w:t>
            </w:r>
            <w:proofErr w:type="spellEnd"/>
            <w:r w:rsidRPr="008A1EFD">
              <w:rPr>
                <w:szCs w:val="18"/>
              </w:rPr>
              <w:t xml:space="preserve">, влошаване на съществуваща </w:t>
            </w:r>
            <w:proofErr w:type="spellStart"/>
            <w:r w:rsidRPr="008A1EFD">
              <w:rPr>
                <w:szCs w:val="18"/>
              </w:rPr>
              <w:t>протеинурия</w:t>
            </w:r>
            <w:proofErr w:type="spellEnd"/>
            <w:r w:rsidRPr="008A1EFD">
              <w:rPr>
                <w:szCs w:val="18"/>
              </w:rPr>
              <w:t xml:space="preserve">, повишена урея в кръвта, повишен </w:t>
            </w:r>
            <w:proofErr w:type="spellStart"/>
            <w:r w:rsidRPr="008A1EFD">
              <w:rPr>
                <w:szCs w:val="18"/>
              </w:rPr>
              <w:t>креатинин</w:t>
            </w:r>
            <w:proofErr w:type="spellEnd"/>
            <w:r w:rsidRPr="008A1EFD">
              <w:rPr>
                <w:szCs w:val="18"/>
              </w:rPr>
              <w:t xml:space="preserve"> в кръвта</w:t>
            </w:r>
          </w:p>
        </w:tc>
        <w:tc>
          <w:tcPr>
            <w:tcW w:w="2391" w:type="dxa"/>
          </w:tcPr>
          <w:p w14:paraId="1D894EF8" w14:textId="2207D0D3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Миктурия</w:t>
            </w:r>
            <w:proofErr w:type="spellEnd"/>
            <w:r w:rsidRPr="008A1EFD">
              <w:rPr>
                <w:szCs w:val="18"/>
              </w:rPr>
              <w:t xml:space="preserve">, </w:t>
            </w:r>
            <w:proofErr w:type="spellStart"/>
            <w:r w:rsidRPr="008A1EFD">
              <w:rPr>
                <w:szCs w:val="18"/>
              </w:rPr>
              <w:t>никтурия</w:t>
            </w:r>
            <w:proofErr w:type="spellEnd"/>
            <w:r w:rsidRPr="008A1EFD">
              <w:rPr>
                <w:szCs w:val="18"/>
              </w:rPr>
              <w:t>, повишена честота на уриниране</w:t>
            </w:r>
          </w:p>
        </w:tc>
      </w:tr>
      <w:tr w:rsidR="00074B19" w:rsidRPr="008A1EFD" w14:paraId="7500C79F" w14:textId="77777777" w:rsidTr="00074B19">
        <w:tc>
          <w:tcPr>
            <w:tcW w:w="2468" w:type="dxa"/>
            <w:vMerge w:val="restart"/>
          </w:tcPr>
          <w:p w14:paraId="260A6759" w14:textId="20E2F6B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Нарушения на възпроизводителната система и гърдите</w:t>
            </w:r>
          </w:p>
        </w:tc>
        <w:tc>
          <w:tcPr>
            <w:tcW w:w="2326" w:type="dxa"/>
          </w:tcPr>
          <w:p w14:paraId="782B90FA" w14:textId="3E205A1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</w:tcPr>
          <w:p w14:paraId="3A65CA3F" w14:textId="7A2D35B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Преходна еректилна импотентност, понижено либидо</w:t>
            </w:r>
          </w:p>
        </w:tc>
        <w:tc>
          <w:tcPr>
            <w:tcW w:w="2391" w:type="dxa"/>
          </w:tcPr>
          <w:p w14:paraId="6E0C9D70" w14:textId="33729602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 xml:space="preserve">Импотентност, </w:t>
            </w:r>
            <w:proofErr w:type="spellStart"/>
            <w:r w:rsidRPr="008A1EFD">
              <w:rPr>
                <w:szCs w:val="18"/>
              </w:rPr>
              <w:t>гинекомастия</w:t>
            </w:r>
            <w:proofErr w:type="spellEnd"/>
          </w:p>
        </w:tc>
      </w:tr>
      <w:tr w:rsidR="00074B19" w:rsidRPr="008A1EFD" w14:paraId="280DE5D8" w14:textId="77777777" w:rsidTr="00074B19">
        <w:tc>
          <w:tcPr>
            <w:tcW w:w="2468" w:type="dxa"/>
            <w:vMerge/>
          </w:tcPr>
          <w:p w14:paraId="39F71B5E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57E1C1AF" w14:textId="4DF18D30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С неизвестна честота</w:t>
            </w:r>
          </w:p>
        </w:tc>
        <w:tc>
          <w:tcPr>
            <w:tcW w:w="2391" w:type="dxa"/>
          </w:tcPr>
          <w:p w14:paraId="0AD03CEE" w14:textId="46C248B2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Гинекомастия</w:t>
            </w:r>
            <w:proofErr w:type="spellEnd"/>
          </w:p>
        </w:tc>
        <w:tc>
          <w:tcPr>
            <w:tcW w:w="2391" w:type="dxa"/>
          </w:tcPr>
          <w:p w14:paraId="71BE2E94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222EAA43" w14:textId="77777777" w:rsidTr="00074B19">
        <w:tc>
          <w:tcPr>
            <w:tcW w:w="2468" w:type="dxa"/>
            <w:vMerge w:val="restart"/>
          </w:tcPr>
          <w:p w14:paraId="38374F89" w14:textId="4DA1850E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Общи нарушения и нарушения на мястото на приложение</w:t>
            </w:r>
          </w:p>
        </w:tc>
        <w:tc>
          <w:tcPr>
            <w:tcW w:w="2326" w:type="dxa"/>
          </w:tcPr>
          <w:p w14:paraId="3CF2F9DC" w14:textId="487A5A6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Много чести</w:t>
            </w:r>
          </w:p>
        </w:tc>
        <w:tc>
          <w:tcPr>
            <w:tcW w:w="2391" w:type="dxa"/>
          </w:tcPr>
          <w:p w14:paraId="50684483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4B193C64" w14:textId="18EB05F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Оток</w:t>
            </w:r>
          </w:p>
        </w:tc>
      </w:tr>
      <w:tr w:rsidR="00074B19" w:rsidRPr="008A1EFD" w14:paraId="5F472E78" w14:textId="77777777" w:rsidTr="00074B19">
        <w:tc>
          <w:tcPr>
            <w:tcW w:w="2468" w:type="dxa"/>
            <w:vMerge/>
          </w:tcPr>
          <w:p w14:paraId="73468F53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4F54BD3" w14:textId="0B50F22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Чести</w:t>
            </w:r>
          </w:p>
        </w:tc>
        <w:tc>
          <w:tcPr>
            <w:tcW w:w="2391" w:type="dxa"/>
          </w:tcPr>
          <w:p w14:paraId="016AD46B" w14:textId="3B66B40F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Гръдна болка, умора</w:t>
            </w:r>
          </w:p>
        </w:tc>
        <w:tc>
          <w:tcPr>
            <w:tcW w:w="2391" w:type="dxa"/>
          </w:tcPr>
          <w:p w14:paraId="7A63BC99" w14:textId="6E1680E2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Астения</w:t>
            </w:r>
            <w:proofErr w:type="spellEnd"/>
            <w:r w:rsidRPr="008A1EFD">
              <w:rPr>
                <w:szCs w:val="18"/>
              </w:rPr>
              <w:t>, умора</w:t>
            </w:r>
          </w:p>
        </w:tc>
      </w:tr>
      <w:tr w:rsidR="00074B19" w:rsidRPr="008A1EFD" w14:paraId="78CA2809" w14:textId="77777777" w:rsidTr="00074B19">
        <w:tc>
          <w:tcPr>
            <w:tcW w:w="2468" w:type="dxa"/>
            <w:vMerge/>
          </w:tcPr>
          <w:p w14:paraId="48CEA4C2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3A938749" w14:textId="705B4B58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</w:tcPr>
          <w:p w14:paraId="48B9C912" w14:textId="796668E0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Пирексия</w:t>
            </w:r>
            <w:proofErr w:type="spellEnd"/>
          </w:p>
        </w:tc>
        <w:tc>
          <w:tcPr>
            <w:tcW w:w="2391" w:type="dxa"/>
          </w:tcPr>
          <w:p w14:paraId="1A63914E" w14:textId="68D24798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Гръдна болка, болка, неразположение</w:t>
            </w:r>
          </w:p>
        </w:tc>
      </w:tr>
      <w:tr w:rsidR="00074B19" w:rsidRPr="008A1EFD" w14:paraId="6C449453" w14:textId="77777777" w:rsidTr="00074B19">
        <w:tc>
          <w:tcPr>
            <w:tcW w:w="2468" w:type="dxa"/>
            <w:vMerge/>
          </w:tcPr>
          <w:p w14:paraId="7E6EE524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26" w:type="dxa"/>
          </w:tcPr>
          <w:p w14:paraId="7F598A4A" w14:textId="6611738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Редки</w:t>
            </w:r>
          </w:p>
        </w:tc>
        <w:tc>
          <w:tcPr>
            <w:tcW w:w="2391" w:type="dxa"/>
          </w:tcPr>
          <w:p w14:paraId="291B2E99" w14:textId="468AC030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szCs w:val="18"/>
              </w:rPr>
              <w:t>Астения</w:t>
            </w:r>
            <w:proofErr w:type="spellEnd"/>
          </w:p>
        </w:tc>
        <w:tc>
          <w:tcPr>
            <w:tcW w:w="2391" w:type="dxa"/>
          </w:tcPr>
          <w:p w14:paraId="12D764D9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22982556" w14:textId="77777777" w:rsidTr="00074B19">
        <w:tc>
          <w:tcPr>
            <w:tcW w:w="2468" w:type="dxa"/>
          </w:tcPr>
          <w:p w14:paraId="1DFB1689" w14:textId="53FBD4B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Изследвания</w:t>
            </w:r>
          </w:p>
        </w:tc>
        <w:tc>
          <w:tcPr>
            <w:tcW w:w="2326" w:type="dxa"/>
          </w:tcPr>
          <w:p w14:paraId="449C4C47" w14:textId="7F1C642B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Нечести</w:t>
            </w:r>
          </w:p>
        </w:tc>
        <w:tc>
          <w:tcPr>
            <w:tcW w:w="2391" w:type="dxa"/>
          </w:tcPr>
          <w:p w14:paraId="3B2716B6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2391" w:type="dxa"/>
          </w:tcPr>
          <w:p w14:paraId="659F1291" w14:textId="7F3BB0D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szCs w:val="18"/>
              </w:rPr>
              <w:t>Повишено телесно тегло, понижено телесно тегло</w:t>
            </w:r>
          </w:p>
        </w:tc>
      </w:tr>
    </w:tbl>
    <w:p w14:paraId="722384A0" w14:textId="77777777" w:rsidR="00074B19" w:rsidRPr="008A1EFD" w:rsidRDefault="00074B19" w:rsidP="00074B19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u w:val="single"/>
          <w:lang w:eastAsia="bg-BG"/>
        </w:rPr>
        <w:t xml:space="preserve">* най-често свързани с </w:t>
      </w:r>
      <w:proofErr w:type="spellStart"/>
      <w:r w:rsidRPr="008A1EFD">
        <w:rPr>
          <w:rFonts w:eastAsia="Times New Roman" w:cs="Arial"/>
          <w:color w:val="000000"/>
          <w:u w:val="single"/>
          <w:lang w:eastAsia="bg-BG"/>
        </w:rPr>
        <w:t>холестаза</w:t>
      </w:r>
      <w:proofErr w:type="spellEnd"/>
    </w:p>
    <w:p w14:paraId="7E9E5E87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7A3E8EE" w14:textId="1D5FC893" w:rsidR="00074B19" w:rsidRPr="008A1EFD" w:rsidRDefault="00074B19" w:rsidP="00074B19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62BE793" w14:textId="77777777" w:rsidR="00074B19" w:rsidRPr="008A1EFD" w:rsidRDefault="00074B19" w:rsidP="00074B19">
      <w:pPr>
        <w:spacing w:line="240" w:lineRule="auto"/>
        <w:rPr>
          <w:rFonts w:eastAsia="Times New Roman" w:cs="Arial"/>
        </w:rPr>
      </w:pPr>
      <w:r w:rsidRPr="008A1EFD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’’Дамян Груев” № 8,1303 София, тел.: + 359 2 8903417, уебсайт: </w:t>
      </w:r>
      <w:hyperlink r:id="rId5" w:history="1">
        <w:r w:rsidRPr="008A1EFD">
          <w:rPr>
            <w:rFonts w:eastAsia="Times New Roman" w:cs="Arial"/>
            <w:color w:val="000000"/>
          </w:rPr>
          <w:t>www.bda.bg</w:t>
        </w:r>
      </w:hyperlink>
      <w:r w:rsidRPr="008A1EFD">
        <w:rPr>
          <w:rFonts w:eastAsia="Times New Roman" w:cs="Arial"/>
          <w:color w:val="000000"/>
        </w:rPr>
        <w:t>.</w:t>
      </w:r>
    </w:p>
    <w:p w14:paraId="59544A6F" w14:textId="77777777" w:rsidR="00262A3A" w:rsidRPr="008A1EFD" w:rsidRDefault="00262A3A" w:rsidP="00262A3A">
      <w:pPr>
        <w:rPr>
          <w:rFonts w:cs="Arial"/>
          <w:sz w:val="28"/>
        </w:rPr>
      </w:pPr>
    </w:p>
    <w:p w14:paraId="5A87DBA3" w14:textId="555D92BB" w:rsidR="007122AD" w:rsidRPr="008A1EFD" w:rsidRDefault="002C50EE" w:rsidP="00936AD0">
      <w:pPr>
        <w:pStyle w:val="Heading2"/>
      </w:pPr>
      <w:r w:rsidRPr="008A1EFD">
        <w:lastRenderedPageBreak/>
        <w:t>4.9. Предозиране</w:t>
      </w:r>
    </w:p>
    <w:p w14:paraId="01D2F744" w14:textId="15648B53" w:rsidR="00074B19" w:rsidRPr="008A1EFD" w:rsidRDefault="00074B19" w:rsidP="00074B19"/>
    <w:p w14:paraId="4E69D990" w14:textId="77777777" w:rsidR="00074B19" w:rsidRPr="008A1EFD" w:rsidRDefault="00074B19" w:rsidP="00074B19">
      <w:pPr>
        <w:pStyle w:val="Heading3"/>
        <w:rPr>
          <w:rFonts w:eastAsia="Times New Roman"/>
          <w:sz w:val="32"/>
          <w:u w:val="single"/>
        </w:rPr>
      </w:pPr>
      <w:r w:rsidRPr="008A1EFD">
        <w:rPr>
          <w:rFonts w:eastAsia="Times New Roman"/>
          <w:u w:val="single"/>
          <w:lang w:eastAsia="bg-BG"/>
        </w:rPr>
        <w:t xml:space="preserve">Свързано с </w:t>
      </w:r>
      <w:proofErr w:type="spellStart"/>
      <w:r w:rsidRPr="008A1EFD">
        <w:rPr>
          <w:rFonts w:eastAsia="Times New Roman"/>
          <w:u w:val="single"/>
          <w:lang w:eastAsia="bg-BG"/>
        </w:rPr>
        <w:t>рамиприл</w:t>
      </w:r>
      <w:proofErr w:type="spellEnd"/>
    </w:p>
    <w:p w14:paraId="44345827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4DCC39EF" w14:textId="071B7A6D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Симптоми</w:t>
      </w:r>
    </w:p>
    <w:p w14:paraId="2ED770C0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Симптомите, свързани с предозиране на АСЕ инхибитори, могат да включват изразена периферна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вазодилатация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(с подчертана хипотония, шок), брадикардия, електролитни нарушения и бъбречна недостатъчност. Пациентът трябва да бъде стриктно наблюдаван, лечението трябва да бъде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симтоматично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поддържащо.</w:t>
      </w:r>
    </w:p>
    <w:p w14:paraId="0F9FF40F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1A0D30F2" w14:textId="27269E9F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Лечение</w:t>
      </w:r>
    </w:p>
    <w:p w14:paraId="0E5D77E5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Предлаганите мерки включват първоначална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детоксикация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(стомашна промивка, прилагане на адсорбенти) и мерки за възстановяване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хемодинамичната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стабилност, включително прилагане на алфа-1-адренергични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агонисти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II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ангиотензинамид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).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активният метаболит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, се отстранява незадоволително от общото кръвообращение чрез хемодиализа.</w:t>
      </w:r>
    </w:p>
    <w:p w14:paraId="68AF1B85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32CD4F07" w14:textId="2F79A4AC" w:rsidR="00074B19" w:rsidRPr="008A1EFD" w:rsidRDefault="00074B19" w:rsidP="00074B19">
      <w:pPr>
        <w:pStyle w:val="Heading3"/>
        <w:rPr>
          <w:rFonts w:eastAsia="Times New Roman"/>
          <w:sz w:val="32"/>
          <w:u w:val="single"/>
        </w:rPr>
      </w:pPr>
      <w:r w:rsidRPr="008A1EFD">
        <w:rPr>
          <w:rFonts w:eastAsia="Times New Roman"/>
          <w:u w:val="single"/>
          <w:lang w:eastAsia="bg-BG"/>
        </w:rPr>
        <w:t xml:space="preserve">Свързано с </w:t>
      </w:r>
      <w:proofErr w:type="spellStart"/>
      <w:r w:rsidRPr="008A1EFD">
        <w:rPr>
          <w:rFonts w:eastAsia="Times New Roman"/>
          <w:u w:val="single"/>
          <w:lang w:eastAsia="bg-BG"/>
        </w:rPr>
        <w:t>амлодипин</w:t>
      </w:r>
      <w:proofErr w:type="spellEnd"/>
    </w:p>
    <w:p w14:paraId="74E7FF3B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095D9A49" w14:textId="20BFB0A2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Опитът с предумишлено предозиране при хора е ограничен.</w:t>
      </w:r>
    </w:p>
    <w:p w14:paraId="7F54F465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6F494B8" w14:textId="0337661C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Симптоми</w:t>
      </w:r>
    </w:p>
    <w:p w14:paraId="4FFA4B82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Наличните данни предполагат, че значителното предозиране би могло да доведе до тежка периферна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вазодилатация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възможно до рефлексна тахикардия. Съобщавано е за изразена и вероятно продължителна системна хипотония до шок, включително с летален изход,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Некардиогенен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белодробен оток се съобщава рядко като последица от предозиране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който може да се прояви със забавено начало на ефекта (24-48 часа след поглъщане) и да изисква изкуствена вентилация. Ранните реанимационни мерки (включително натоварване с течности) за поддържане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перфузията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сърдечния дебит могат да бъдат ускоряващи фактори.</w:t>
      </w:r>
    </w:p>
    <w:p w14:paraId="5D03A231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502F8CF2" w14:textId="7930B7AF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Лечение</w:t>
      </w:r>
    </w:p>
    <w:p w14:paraId="4B3F0E22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Клинично значимата хипотония, дължаща се на предозиране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изисква активно поддържане на сърдечно-съдовите функции, включително често проследяване на сърдечната и дихателната функция, повдигане на крайниците и поддържане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циркулаторния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обем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диурезата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При условие че няма противопоказания, за възстановяване на съдовия тонус и кръвното налягане може да се приложи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вазоконстриктор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Интравенозен калциев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глюконат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може да е от полза за преодоляване на ефекта на блокада на калциевите канали.</w:t>
      </w:r>
    </w:p>
    <w:p w14:paraId="4D0E0F9C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 някои случаи стомашната промивка може да е полезна. Приложението на активен въглен при здрави доброволци до два часа след прием на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намалило степента на абсорбция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Тъй като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свързва във висока степен с плазмените протеини, от диализа не би имало полза.</w:t>
      </w:r>
    </w:p>
    <w:p w14:paraId="4D41BBA8" w14:textId="77777777" w:rsidR="00074B19" w:rsidRPr="008A1EFD" w:rsidRDefault="00074B19" w:rsidP="00074B19"/>
    <w:p w14:paraId="02081B24" w14:textId="36FE76F4" w:rsidR="00395555" w:rsidRPr="008A1EFD" w:rsidRDefault="002C50EE" w:rsidP="008A6AF2">
      <w:pPr>
        <w:pStyle w:val="Heading1"/>
      </w:pPr>
      <w:r w:rsidRPr="008A1EFD">
        <w:t>5. ФАРМАКОЛОГИЧНИ СВОЙСТВА</w:t>
      </w:r>
    </w:p>
    <w:p w14:paraId="6339E404" w14:textId="1CD8F33E" w:rsidR="00875EEC" w:rsidRPr="008A1EFD" w:rsidRDefault="002C50EE" w:rsidP="005726E3">
      <w:pPr>
        <w:pStyle w:val="Heading2"/>
      </w:pPr>
      <w:r w:rsidRPr="008A1EFD">
        <w:t xml:space="preserve">5.1. </w:t>
      </w:r>
      <w:proofErr w:type="spellStart"/>
      <w:r w:rsidRPr="008A1EFD">
        <w:t>Фармакодинамични</w:t>
      </w:r>
      <w:proofErr w:type="spellEnd"/>
      <w:r w:rsidRPr="008A1EFD">
        <w:t xml:space="preserve"> свойства</w:t>
      </w:r>
    </w:p>
    <w:p w14:paraId="49F86298" w14:textId="58EB4F96" w:rsidR="00074B19" w:rsidRPr="008A1EFD" w:rsidRDefault="00074B19" w:rsidP="00074B19"/>
    <w:p w14:paraId="0ECC5946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lastRenderedPageBreak/>
        <w:t xml:space="preserve">Фармакотерапевтична група: АСЕ инхибитори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калциевите канали, АТС код: С09ВВ07</w:t>
      </w:r>
    </w:p>
    <w:p w14:paraId="65524D5D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50899245" w14:textId="62A8159F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Рамиприл</w:t>
      </w:r>
      <w:proofErr w:type="spellEnd"/>
    </w:p>
    <w:p w14:paraId="32D99287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48BD319D" w14:textId="216ECDCA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Механизъм на действие</w:t>
      </w:r>
    </w:p>
    <w:p w14:paraId="1D2537FE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активният метаболит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предлекарството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инхибира ензима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дипептидилкарбоксипептидаза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I (синоними: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-конвертиращ ензим,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кининаза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II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). В плазмата и тъканите този ензим катализира конвертирането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I до активния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вазоконстриктор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II, както и инхибира разграждането на активния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вазодилататор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брадикинин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Пониженото образуване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II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ихибирането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разграждането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брадикинин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водят до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вазодилатация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37E1CA97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Тъй като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II стимулира освобождаването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алдостерон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води до намаляване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алдостероновата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секреция. Средният отговор към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монотерапия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 АСЕ инхибитор е по-слаб при чернокожи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афро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-карибски произход) пациенти с хипертония (обикновено популация с хипертония с ниски нива на ренин) отколкото при пациентите от други раси.</w:t>
      </w:r>
    </w:p>
    <w:p w14:paraId="5AAEB6F0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C25C8FC" w14:textId="5FD71E35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Фармакодинамични</w:t>
      </w:r>
      <w:proofErr w:type="spellEnd"/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 xml:space="preserve"> ефекти</w:t>
      </w:r>
    </w:p>
    <w:p w14:paraId="009C6C5A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Антихипертензивни свойства:</w:t>
      </w:r>
    </w:p>
    <w:p w14:paraId="56591CAF" w14:textId="7BACED4D" w:rsidR="00074B19" w:rsidRPr="008A1EFD" w:rsidRDefault="00074B19" w:rsidP="00074B19">
      <w:pPr>
        <w:rPr>
          <w:rFonts w:eastAsia="Times New Roman" w:cs="Arial"/>
          <w:color w:val="000000"/>
          <w:szCs w:val="18"/>
          <w:lang w:eastAsia="bg-BG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Прилагането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води до значително понижаване на периферната артериална резистентност Обикновено няма големи промени в бъбречния кръвоток и скоростта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гломерулната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филтрация.</w:t>
      </w:r>
    </w:p>
    <w:p w14:paraId="34189431" w14:textId="2DF9E0F6" w:rsidR="00074B19" w:rsidRPr="008A1EFD" w:rsidRDefault="00074B19" w:rsidP="00074B19">
      <w:pPr>
        <w:rPr>
          <w:rFonts w:eastAsia="Times New Roman" w:cs="Arial"/>
          <w:color w:val="000000"/>
          <w:szCs w:val="18"/>
          <w:lang w:eastAsia="bg-BG"/>
        </w:rPr>
      </w:pPr>
    </w:p>
    <w:p w14:paraId="6CA5EA93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Прилагането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пациенти с хипертония води до понижаване на кръвното налягане в легнало и изправено положение, без компенсаторно повишаване на сърдечната честота. При повечето пациенти началото на антихипертензивния ефект на единична доза се проявява 1 до 2 часа след перорално приложение. Пиковият ефект на единична доза обикновено се достига 3 до 6 часа след перорално приложение.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Аитихипертензивният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ефект на единична доза обикновено продължава 24 часа.</w:t>
      </w:r>
    </w:p>
    <w:p w14:paraId="3424FA52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Максималният антихипертензивен ефект на продължително лечение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обикновено настъпва след 3 до 4 седмици. Доказано е, че антихипертензивният ефект е траен при дългосрочна терапия в продължение на 2 години.</w:t>
      </w:r>
    </w:p>
    <w:p w14:paraId="09A3EB71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Рязкото прекъсване на приема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води до бърз и прекомерен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ребаунд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ефект на повишаване на кръвното налягане.</w:t>
      </w:r>
    </w:p>
    <w:p w14:paraId="5D54102A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708C04BF" w14:textId="7EE975AB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Клинична ефикасност и безопасност</w:t>
      </w:r>
    </w:p>
    <w:p w14:paraId="107304D3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469F0427" w14:textId="7CFCFC96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Сърдечно-съдова профилактика</w:t>
      </w:r>
    </w:p>
    <w:p w14:paraId="5D6F343E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Проведено е плацебо-контролирано изпитване за профилактика (проучването НОРЕ), при което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добавен към стандартната терапия при повече от 9200 пациенти. В изпитването са включени пациенти с повишен риск от сърдечно-съдово заболяване вследствие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атеротромботична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сърдечно-съдова болест (анамнеза за исхемична болест на сърцето, инсулт или периферна артериална болест) или захарен диабет с поне един съпътстващ рисков фактор (доказана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микроалбуминурия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хипертония, повишен общ холестерол, ниско ниво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липопротеините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 висока плътност или тютюнопушене).</w:t>
      </w:r>
    </w:p>
    <w:p w14:paraId="6009A11B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0E3413D4" w14:textId="278CCFB9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Изпитването показва, че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статистически значимо понижава честотата на миокарден инфаркт, сърдечно-съдов а смърт и инсулт, самостоятелно или в комбинация (първична комбинирана крайна точка).</w:t>
      </w:r>
    </w:p>
    <w:p w14:paraId="663809F1" w14:textId="4B0505DF" w:rsidR="00074B19" w:rsidRPr="008A1EFD" w:rsidRDefault="00074B19" w:rsidP="00074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1813"/>
        <w:gridCol w:w="1785"/>
        <w:gridCol w:w="1868"/>
        <w:gridCol w:w="1779"/>
      </w:tblGrid>
      <w:tr w:rsidR="00074B19" w:rsidRPr="008A1EFD" w14:paraId="7A8CDB50" w14:textId="77777777" w:rsidTr="00252AD1">
        <w:tc>
          <w:tcPr>
            <w:tcW w:w="9576" w:type="dxa"/>
            <w:gridSpan w:val="5"/>
          </w:tcPr>
          <w:p w14:paraId="686B619E" w14:textId="43960DE2" w:rsidR="00074B19" w:rsidRPr="008A1EFD" w:rsidRDefault="00074B19" w:rsidP="00074B19">
            <w:r w:rsidRPr="008A1EFD">
              <w:rPr>
                <w:b/>
                <w:bCs/>
                <w:szCs w:val="18"/>
              </w:rPr>
              <w:t>Таблица 1. Основни резултати от изпитването НОРЕ</w:t>
            </w:r>
          </w:p>
        </w:tc>
      </w:tr>
      <w:tr w:rsidR="00074B19" w:rsidRPr="008A1EFD" w14:paraId="34EDA084" w14:textId="77777777" w:rsidTr="00074B19">
        <w:tc>
          <w:tcPr>
            <w:tcW w:w="1915" w:type="dxa"/>
          </w:tcPr>
          <w:p w14:paraId="08C68201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1915" w:type="dxa"/>
          </w:tcPr>
          <w:p w14:paraId="4276103E" w14:textId="2B216CD2" w:rsidR="00074B19" w:rsidRPr="008A1EFD" w:rsidRDefault="00074B19" w:rsidP="00074B19">
            <w:pPr>
              <w:rPr>
                <w:rFonts w:cs="Arial"/>
              </w:rPr>
            </w:pPr>
            <w:proofErr w:type="spellStart"/>
            <w:r w:rsidRPr="008A1EFD">
              <w:rPr>
                <w:rFonts w:cs="Arial"/>
                <w:b/>
                <w:bCs/>
              </w:rPr>
              <w:t>Рамиприл</w:t>
            </w:r>
            <w:proofErr w:type="spellEnd"/>
            <w:r w:rsidRPr="008A1EFD">
              <w:rPr>
                <w:rFonts w:cs="Arial"/>
                <w:b/>
                <w:bCs/>
              </w:rPr>
              <w:t xml:space="preserve"> %</w:t>
            </w:r>
          </w:p>
        </w:tc>
        <w:tc>
          <w:tcPr>
            <w:tcW w:w="1915" w:type="dxa"/>
          </w:tcPr>
          <w:p w14:paraId="4659F6FC" w14:textId="3C588091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  <w:b/>
                <w:bCs/>
              </w:rPr>
              <w:t>Плацебо %</w:t>
            </w:r>
          </w:p>
        </w:tc>
        <w:tc>
          <w:tcPr>
            <w:tcW w:w="1915" w:type="dxa"/>
          </w:tcPr>
          <w:p w14:paraId="046500EF" w14:textId="2A491112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  <w:b/>
                <w:bCs/>
              </w:rPr>
              <w:t>Относителен риск (95% доверителен интервал)</w:t>
            </w:r>
          </w:p>
        </w:tc>
        <w:tc>
          <w:tcPr>
            <w:tcW w:w="1916" w:type="dxa"/>
          </w:tcPr>
          <w:p w14:paraId="31E18D11" w14:textId="5020A39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р-стойност</w:t>
            </w:r>
          </w:p>
        </w:tc>
      </w:tr>
      <w:tr w:rsidR="00074B19" w:rsidRPr="008A1EFD" w14:paraId="52EDD2B9" w14:textId="77777777" w:rsidTr="00074B19">
        <w:tc>
          <w:tcPr>
            <w:tcW w:w="1915" w:type="dxa"/>
          </w:tcPr>
          <w:p w14:paraId="1B33AB8B" w14:textId="0F30158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Всички пациенти</w:t>
            </w:r>
          </w:p>
        </w:tc>
        <w:tc>
          <w:tcPr>
            <w:tcW w:w="1915" w:type="dxa"/>
          </w:tcPr>
          <w:p w14:paraId="2848A0D4" w14:textId="42B758DA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N = 4 645</w:t>
            </w:r>
          </w:p>
        </w:tc>
        <w:tc>
          <w:tcPr>
            <w:tcW w:w="1915" w:type="dxa"/>
          </w:tcPr>
          <w:p w14:paraId="054EBABD" w14:textId="0ED8777E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N = 4 652</w:t>
            </w:r>
          </w:p>
        </w:tc>
        <w:tc>
          <w:tcPr>
            <w:tcW w:w="1915" w:type="dxa"/>
          </w:tcPr>
          <w:p w14:paraId="385E9058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1916" w:type="dxa"/>
          </w:tcPr>
          <w:p w14:paraId="1ED455D7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6D539F76" w14:textId="77777777" w:rsidTr="00074B19">
        <w:tc>
          <w:tcPr>
            <w:tcW w:w="1915" w:type="dxa"/>
          </w:tcPr>
          <w:p w14:paraId="08B9F733" w14:textId="216CDD84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Първична комбинирана крайна точка</w:t>
            </w:r>
          </w:p>
        </w:tc>
        <w:tc>
          <w:tcPr>
            <w:tcW w:w="1915" w:type="dxa"/>
          </w:tcPr>
          <w:p w14:paraId="614D19E5" w14:textId="687AC20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14,0</w:t>
            </w:r>
          </w:p>
        </w:tc>
        <w:tc>
          <w:tcPr>
            <w:tcW w:w="1915" w:type="dxa"/>
          </w:tcPr>
          <w:p w14:paraId="65E75323" w14:textId="487285C5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17,8</w:t>
            </w:r>
          </w:p>
        </w:tc>
        <w:tc>
          <w:tcPr>
            <w:tcW w:w="1915" w:type="dxa"/>
          </w:tcPr>
          <w:p w14:paraId="766D4399" w14:textId="6C82C0BD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0,78 (0,70-0,86)</w:t>
            </w:r>
          </w:p>
        </w:tc>
        <w:tc>
          <w:tcPr>
            <w:tcW w:w="1916" w:type="dxa"/>
          </w:tcPr>
          <w:p w14:paraId="58C73546" w14:textId="6F28FB42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&lt;0,001</w:t>
            </w:r>
          </w:p>
        </w:tc>
      </w:tr>
      <w:tr w:rsidR="00074B19" w:rsidRPr="008A1EFD" w14:paraId="1197B48E" w14:textId="77777777" w:rsidTr="00074B19">
        <w:tc>
          <w:tcPr>
            <w:tcW w:w="1915" w:type="dxa"/>
          </w:tcPr>
          <w:p w14:paraId="3C195453" w14:textId="123C02B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Миокарден инфаркт</w:t>
            </w:r>
          </w:p>
        </w:tc>
        <w:tc>
          <w:tcPr>
            <w:tcW w:w="1915" w:type="dxa"/>
          </w:tcPr>
          <w:p w14:paraId="32C4C1B4" w14:textId="234039E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9,9</w:t>
            </w:r>
          </w:p>
        </w:tc>
        <w:tc>
          <w:tcPr>
            <w:tcW w:w="1915" w:type="dxa"/>
          </w:tcPr>
          <w:p w14:paraId="4147F028" w14:textId="71FA71EA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  <w:b/>
                <w:bCs/>
              </w:rPr>
              <w:t>12,3</w:t>
            </w:r>
          </w:p>
        </w:tc>
        <w:tc>
          <w:tcPr>
            <w:tcW w:w="1915" w:type="dxa"/>
          </w:tcPr>
          <w:p w14:paraId="7FD4F93B" w14:textId="2FF108C8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0,80 (0,70-0,90)</w:t>
            </w:r>
          </w:p>
        </w:tc>
        <w:tc>
          <w:tcPr>
            <w:tcW w:w="1916" w:type="dxa"/>
          </w:tcPr>
          <w:p w14:paraId="286A504F" w14:textId="4CEAB45A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&lt; 0,001</w:t>
            </w:r>
          </w:p>
        </w:tc>
      </w:tr>
      <w:tr w:rsidR="00074B19" w:rsidRPr="008A1EFD" w14:paraId="42CEDD02" w14:textId="77777777" w:rsidTr="00074B19">
        <w:tc>
          <w:tcPr>
            <w:tcW w:w="1915" w:type="dxa"/>
          </w:tcPr>
          <w:p w14:paraId="03F65480" w14:textId="6315B66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Сърдечно-съдова смърт</w:t>
            </w:r>
          </w:p>
        </w:tc>
        <w:tc>
          <w:tcPr>
            <w:tcW w:w="1915" w:type="dxa"/>
          </w:tcPr>
          <w:p w14:paraId="1C146CB9" w14:textId="5303D28E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  <w:b/>
                <w:bCs/>
              </w:rPr>
              <w:t>6,1</w:t>
            </w:r>
          </w:p>
        </w:tc>
        <w:tc>
          <w:tcPr>
            <w:tcW w:w="1915" w:type="dxa"/>
          </w:tcPr>
          <w:p w14:paraId="569BADDA" w14:textId="54B16774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8,1</w:t>
            </w:r>
          </w:p>
        </w:tc>
        <w:tc>
          <w:tcPr>
            <w:tcW w:w="1915" w:type="dxa"/>
          </w:tcPr>
          <w:p w14:paraId="2D696A53" w14:textId="34DAAD20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0,74 (0,64-0,87)</w:t>
            </w:r>
          </w:p>
        </w:tc>
        <w:tc>
          <w:tcPr>
            <w:tcW w:w="1916" w:type="dxa"/>
          </w:tcPr>
          <w:p w14:paraId="4020BBBB" w14:textId="44307240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&lt;0,001</w:t>
            </w:r>
          </w:p>
        </w:tc>
      </w:tr>
      <w:tr w:rsidR="00074B19" w:rsidRPr="008A1EFD" w14:paraId="24D78AB6" w14:textId="77777777" w:rsidTr="00074B19">
        <w:tc>
          <w:tcPr>
            <w:tcW w:w="1915" w:type="dxa"/>
          </w:tcPr>
          <w:p w14:paraId="15017B08" w14:textId="119BE1FC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Инсулт</w:t>
            </w:r>
          </w:p>
        </w:tc>
        <w:tc>
          <w:tcPr>
            <w:tcW w:w="1915" w:type="dxa"/>
          </w:tcPr>
          <w:p w14:paraId="74D9AB8F" w14:textId="24394722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  <w:b/>
                <w:bCs/>
              </w:rPr>
              <w:t>3,4</w:t>
            </w:r>
          </w:p>
        </w:tc>
        <w:tc>
          <w:tcPr>
            <w:tcW w:w="1915" w:type="dxa"/>
          </w:tcPr>
          <w:p w14:paraId="5D977BFE" w14:textId="446A9AE0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  <w:b/>
                <w:bCs/>
              </w:rPr>
              <w:t>4,9</w:t>
            </w:r>
          </w:p>
        </w:tc>
        <w:tc>
          <w:tcPr>
            <w:tcW w:w="1915" w:type="dxa"/>
          </w:tcPr>
          <w:p w14:paraId="177CA09C" w14:textId="48C44DB4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0,68 (0,56-0,84)</w:t>
            </w:r>
          </w:p>
        </w:tc>
        <w:tc>
          <w:tcPr>
            <w:tcW w:w="1916" w:type="dxa"/>
          </w:tcPr>
          <w:p w14:paraId="232A3247" w14:textId="2DE5D36D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&lt;0,001</w:t>
            </w:r>
          </w:p>
        </w:tc>
      </w:tr>
      <w:tr w:rsidR="00074B19" w:rsidRPr="008A1EFD" w14:paraId="088905B1" w14:textId="77777777" w:rsidTr="00074B19">
        <w:tc>
          <w:tcPr>
            <w:tcW w:w="1915" w:type="dxa"/>
          </w:tcPr>
          <w:p w14:paraId="7BF13571" w14:textId="64ECB8B0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Вторични крайни точки</w:t>
            </w:r>
          </w:p>
        </w:tc>
        <w:tc>
          <w:tcPr>
            <w:tcW w:w="1915" w:type="dxa"/>
          </w:tcPr>
          <w:p w14:paraId="6F9C1B45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1915" w:type="dxa"/>
          </w:tcPr>
          <w:p w14:paraId="52CF2392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1915" w:type="dxa"/>
          </w:tcPr>
          <w:p w14:paraId="6F947B77" w14:textId="77777777" w:rsidR="00074B19" w:rsidRPr="008A1EFD" w:rsidRDefault="00074B19" w:rsidP="00074B19">
            <w:pPr>
              <w:rPr>
                <w:rFonts w:cs="Arial"/>
              </w:rPr>
            </w:pPr>
          </w:p>
        </w:tc>
        <w:tc>
          <w:tcPr>
            <w:tcW w:w="1916" w:type="dxa"/>
          </w:tcPr>
          <w:p w14:paraId="2E5185DC" w14:textId="77777777" w:rsidR="00074B19" w:rsidRPr="008A1EFD" w:rsidRDefault="00074B19" w:rsidP="00074B19">
            <w:pPr>
              <w:rPr>
                <w:rFonts w:cs="Arial"/>
              </w:rPr>
            </w:pPr>
          </w:p>
        </w:tc>
      </w:tr>
      <w:tr w:rsidR="00074B19" w:rsidRPr="008A1EFD" w14:paraId="5554813B" w14:textId="77777777" w:rsidTr="00074B19">
        <w:tc>
          <w:tcPr>
            <w:tcW w:w="1915" w:type="dxa"/>
          </w:tcPr>
          <w:p w14:paraId="0BAC16B2" w14:textId="68762BB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Обща смъртност</w:t>
            </w:r>
          </w:p>
        </w:tc>
        <w:tc>
          <w:tcPr>
            <w:tcW w:w="1915" w:type="dxa"/>
          </w:tcPr>
          <w:p w14:paraId="63EF5166" w14:textId="1877643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10,4</w:t>
            </w:r>
          </w:p>
        </w:tc>
        <w:tc>
          <w:tcPr>
            <w:tcW w:w="1915" w:type="dxa"/>
          </w:tcPr>
          <w:p w14:paraId="6F12B2BC" w14:textId="374C8B4A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12,2</w:t>
            </w:r>
          </w:p>
        </w:tc>
        <w:tc>
          <w:tcPr>
            <w:tcW w:w="1915" w:type="dxa"/>
          </w:tcPr>
          <w:p w14:paraId="3B5FB9BA" w14:textId="0E8872A6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0,84 (0,75-0,95)</w:t>
            </w:r>
          </w:p>
        </w:tc>
        <w:tc>
          <w:tcPr>
            <w:tcW w:w="1916" w:type="dxa"/>
          </w:tcPr>
          <w:p w14:paraId="6264EFE8" w14:textId="23A2F8D6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0,005</w:t>
            </w:r>
          </w:p>
        </w:tc>
      </w:tr>
      <w:tr w:rsidR="00074B19" w:rsidRPr="008A1EFD" w14:paraId="7489654B" w14:textId="77777777" w:rsidTr="00074B19">
        <w:tc>
          <w:tcPr>
            <w:tcW w:w="1915" w:type="dxa"/>
          </w:tcPr>
          <w:p w14:paraId="25EE8821" w14:textId="3E30FBDD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 xml:space="preserve">Необходимост от </w:t>
            </w:r>
            <w:proofErr w:type="spellStart"/>
            <w:r w:rsidRPr="008A1EFD">
              <w:rPr>
                <w:rFonts w:cs="Arial"/>
              </w:rPr>
              <w:t>реваскуларизация</w:t>
            </w:r>
            <w:proofErr w:type="spellEnd"/>
          </w:p>
        </w:tc>
        <w:tc>
          <w:tcPr>
            <w:tcW w:w="1915" w:type="dxa"/>
          </w:tcPr>
          <w:p w14:paraId="4AE92FB5" w14:textId="783B2A1E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  <w:b/>
                <w:bCs/>
              </w:rPr>
              <w:t>16,0</w:t>
            </w:r>
          </w:p>
        </w:tc>
        <w:tc>
          <w:tcPr>
            <w:tcW w:w="1915" w:type="dxa"/>
          </w:tcPr>
          <w:p w14:paraId="6ED804CC" w14:textId="10CBC321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18,3</w:t>
            </w:r>
          </w:p>
        </w:tc>
        <w:tc>
          <w:tcPr>
            <w:tcW w:w="1915" w:type="dxa"/>
          </w:tcPr>
          <w:p w14:paraId="703D0256" w14:textId="740970C6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0,85 (0,77-0,94)</w:t>
            </w:r>
          </w:p>
        </w:tc>
        <w:tc>
          <w:tcPr>
            <w:tcW w:w="1916" w:type="dxa"/>
          </w:tcPr>
          <w:p w14:paraId="6F8FA3BC" w14:textId="29384714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0,002</w:t>
            </w:r>
          </w:p>
        </w:tc>
      </w:tr>
      <w:tr w:rsidR="00074B19" w:rsidRPr="008A1EFD" w14:paraId="388EDDBB" w14:textId="77777777" w:rsidTr="00074B19">
        <w:tc>
          <w:tcPr>
            <w:tcW w:w="1915" w:type="dxa"/>
          </w:tcPr>
          <w:p w14:paraId="55FFF424" w14:textId="6F0B9A8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Хоспитализация поради нестабилна стенокардия</w:t>
            </w:r>
          </w:p>
        </w:tc>
        <w:tc>
          <w:tcPr>
            <w:tcW w:w="1915" w:type="dxa"/>
          </w:tcPr>
          <w:p w14:paraId="5745F9B2" w14:textId="2B33820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12,1</w:t>
            </w:r>
          </w:p>
        </w:tc>
        <w:tc>
          <w:tcPr>
            <w:tcW w:w="1915" w:type="dxa"/>
          </w:tcPr>
          <w:p w14:paraId="3288FBBB" w14:textId="72106337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12,3</w:t>
            </w:r>
          </w:p>
        </w:tc>
        <w:tc>
          <w:tcPr>
            <w:tcW w:w="1915" w:type="dxa"/>
          </w:tcPr>
          <w:p w14:paraId="4C2DF526" w14:textId="79BB2DE9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0,98 (0,87-1,10)</w:t>
            </w:r>
          </w:p>
        </w:tc>
        <w:tc>
          <w:tcPr>
            <w:tcW w:w="1916" w:type="dxa"/>
          </w:tcPr>
          <w:p w14:paraId="1A227FD5" w14:textId="1CDD4A71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NS</w:t>
            </w:r>
          </w:p>
        </w:tc>
      </w:tr>
      <w:tr w:rsidR="00074B19" w:rsidRPr="008A1EFD" w14:paraId="44342017" w14:textId="77777777" w:rsidTr="00074B19">
        <w:tc>
          <w:tcPr>
            <w:tcW w:w="1915" w:type="dxa"/>
          </w:tcPr>
          <w:p w14:paraId="5BDD101F" w14:textId="707DA232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Хоспитализация поради сърдечна недостатъчност</w:t>
            </w:r>
          </w:p>
        </w:tc>
        <w:tc>
          <w:tcPr>
            <w:tcW w:w="1915" w:type="dxa"/>
          </w:tcPr>
          <w:p w14:paraId="4AC05026" w14:textId="1EC44D81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3,2</w:t>
            </w:r>
          </w:p>
        </w:tc>
        <w:tc>
          <w:tcPr>
            <w:tcW w:w="1915" w:type="dxa"/>
          </w:tcPr>
          <w:p w14:paraId="4ECFA84E" w14:textId="6BDE12B8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3,5</w:t>
            </w:r>
          </w:p>
        </w:tc>
        <w:tc>
          <w:tcPr>
            <w:tcW w:w="1915" w:type="dxa"/>
          </w:tcPr>
          <w:p w14:paraId="0F78A4C3" w14:textId="41811A46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0,88(0,70-1,10)</w:t>
            </w:r>
          </w:p>
        </w:tc>
        <w:tc>
          <w:tcPr>
            <w:tcW w:w="1916" w:type="dxa"/>
          </w:tcPr>
          <w:p w14:paraId="225579F3" w14:textId="10D9CBF8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0,25</w:t>
            </w:r>
          </w:p>
        </w:tc>
      </w:tr>
      <w:tr w:rsidR="00074B19" w:rsidRPr="008A1EFD" w14:paraId="42D84896" w14:textId="77777777" w:rsidTr="00074B19">
        <w:tc>
          <w:tcPr>
            <w:tcW w:w="1915" w:type="dxa"/>
          </w:tcPr>
          <w:p w14:paraId="1EBFF0C4" w14:textId="0E72A916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Усложнения, свързани с диабет</w:t>
            </w:r>
          </w:p>
        </w:tc>
        <w:tc>
          <w:tcPr>
            <w:tcW w:w="1915" w:type="dxa"/>
          </w:tcPr>
          <w:p w14:paraId="448463F2" w14:textId="5FCD691D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6,4</w:t>
            </w:r>
          </w:p>
        </w:tc>
        <w:tc>
          <w:tcPr>
            <w:tcW w:w="1915" w:type="dxa"/>
          </w:tcPr>
          <w:p w14:paraId="25FB2577" w14:textId="6646593F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7,6</w:t>
            </w:r>
          </w:p>
        </w:tc>
        <w:tc>
          <w:tcPr>
            <w:tcW w:w="1915" w:type="dxa"/>
          </w:tcPr>
          <w:p w14:paraId="2ED904F2" w14:textId="33DAAC51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0,84 (0,72-0,98)</w:t>
            </w:r>
          </w:p>
        </w:tc>
        <w:tc>
          <w:tcPr>
            <w:tcW w:w="1916" w:type="dxa"/>
          </w:tcPr>
          <w:p w14:paraId="569F9307" w14:textId="67115E83" w:rsidR="00074B19" w:rsidRPr="008A1EFD" w:rsidRDefault="00074B19" w:rsidP="00074B19">
            <w:pPr>
              <w:rPr>
                <w:rFonts w:cs="Arial"/>
              </w:rPr>
            </w:pPr>
            <w:r w:rsidRPr="008A1EFD">
              <w:rPr>
                <w:rFonts w:cs="Arial"/>
              </w:rPr>
              <w:t>0,03</w:t>
            </w:r>
          </w:p>
        </w:tc>
      </w:tr>
    </w:tbl>
    <w:p w14:paraId="1ABF1195" w14:textId="2D11A508" w:rsidR="00074B19" w:rsidRPr="008A1EFD" w:rsidRDefault="00074B19" w:rsidP="00074B19"/>
    <w:p w14:paraId="17ADC38C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Изпитването </w:t>
      </w:r>
      <w:r w:rsidRPr="008A1EFD">
        <w:rPr>
          <w:rFonts w:eastAsia="Times New Roman" w:cs="Arial"/>
          <w:color w:val="000000"/>
          <w:szCs w:val="18"/>
        </w:rPr>
        <w:t xml:space="preserve">MICRO-HOPE,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подпроучване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НОРЕ, изследва ефекта от добавянето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към настоящата схема на лечение спрямо плацебо при 3577 пациенти &gt; 55-годишна възраст, като мнозинството са с диабет тип 2 (и поне един сърдечно-съдов рисков фактор), с нормално артериално налягане или хипертония. Първичният анализ показва, че 117 (6,5%) от участниците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149 (8,4%) от тези на плацебо развиват доказана нефропатия, което съответства на </w:t>
      </w:r>
      <w:r w:rsidRPr="008A1EFD">
        <w:rPr>
          <w:rFonts w:eastAsia="Times New Roman" w:cs="Arial"/>
          <w:color w:val="000000"/>
          <w:szCs w:val="18"/>
        </w:rPr>
        <w:t xml:space="preserve">RRR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(съотношение на относителния риск) - 24%, 95%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</w:t>
      </w:r>
      <w:r w:rsidRPr="008A1EFD">
        <w:rPr>
          <w:rFonts w:eastAsia="Times New Roman" w:cs="Arial"/>
          <w:color w:val="000000"/>
          <w:szCs w:val="18"/>
        </w:rPr>
        <w:t>l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[3-40], р = 0,027.</w:t>
      </w:r>
    </w:p>
    <w:p w14:paraId="18F4DE6E" w14:textId="00339B12" w:rsidR="00074B19" w:rsidRPr="008A1EFD" w:rsidRDefault="00074B19" w:rsidP="00074B19">
      <w:pPr>
        <w:rPr>
          <w:rFonts w:cs="Arial"/>
          <w:sz w:val="28"/>
        </w:rPr>
      </w:pPr>
    </w:p>
    <w:p w14:paraId="230DAA55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Двойна блокада на системата ренин-</w:t>
      </w: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ангиогензин</w:t>
      </w:r>
      <w:proofErr w:type="spellEnd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-</w:t>
      </w: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алдостерон</w:t>
      </w:r>
      <w:proofErr w:type="spellEnd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  <w:u w:val="single"/>
        </w:rPr>
        <w:t>(RAAS)</w:t>
      </w:r>
    </w:p>
    <w:p w14:paraId="5D74A119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5E4C50A0" w14:textId="4E0CD5D8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Две големи рандомизирани контролирани изпитвания </w:t>
      </w:r>
      <w:r w:rsidRPr="008A1EFD">
        <w:rPr>
          <w:rFonts w:eastAsia="Times New Roman" w:cs="Arial"/>
          <w:color w:val="000000"/>
          <w:szCs w:val="18"/>
        </w:rPr>
        <w:t>[ONTARGET (</w:t>
      </w:r>
      <w:proofErr w:type="spellStart"/>
      <w:r w:rsidRPr="008A1EFD">
        <w:rPr>
          <w:rFonts w:eastAsia="Times New Roman" w:cs="Arial"/>
          <w:color w:val="000000"/>
          <w:szCs w:val="18"/>
        </w:rPr>
        <w:t>ONgoing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Telmisartan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Alone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and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in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combination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with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Ramipril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Global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Endpoint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Trial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-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Текущо глобално изпитване за крайни точки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телмисартан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самостоятелно и в комбинация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) и </w:t>
      </w:r>
      <w:r w:rsidRPr="008A1EFD">
        <w:rPr>
          <w:rFonts w:eastAsia="Times New Roman" w:cs="Arial"/>
          <w:color w:val="000000"/>
          <w:szCs w:val="18"/>
        </w:rPr>
        <w:t xml:space="preserve">VA </w:t>
      </w:r>
      <w:proofErr w:type="spellStart"/>
      <w:r w:rsidRPr="008A1EFD">
        <w:rPr>
          <w:rFonts w:eastAsia="Times New Roman" w:cs="Arial"/>
          <w:color w:val="000000"/>
          <w:szCs w:val="18"/>
        </w:rPr>
        <w:t>Nephron</w:t>
      </w:r>
      <w:proofErr w:type="spellEnd"/>
      <w:r w:rsidRPr="008A1EFD">
        <w:rPr>
          <w:rFonts w:eastAsia="Times New Roman" w:cs="Arial"/>
          <w:color w:val="000000"/>
          <w:szCs w:val="18"/>
        </w:rPr>
        <w:t>-D (</w:t>
      </w:r>
      <w:proofErr w:type="spellStart"/>
      <w:r w:rsidRPr="008A1EFD">
        <w:rPr>
          <w:rFonts w:eastAsia="Times New Roman" w:cs="Arial"/>
          <w:color w:val="000000"/>
          <w:szCs w:val="18"/>
        </w:rPr>
        <w:t>The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Veterans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Affairs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Nephropathy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in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Diabetes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-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клинично проучване Нефропатия при диабет на Министерство по въпросите на ветераните на САЩ)] проучват употребата на комбинацията от АСЕ инхибитор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II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- рецепторен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30BDEA7C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</w:rPr>
        <w:lastRenderedPageBreak/>
        <w:t xml:space="preserve">ONTARGET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е проучване, проведено при пациенти с анамнеза за сърдечно-съдова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мозъчносъдова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болест, или захарен диабет тип 2, придружена с данни за вторично засягане на органи. </w:t>
      </w:r>
      <w:r w:rsidRPr="008A1EFD">
        <w:rPr>
          <w:rFonts w:eastAsia="Times New Roman" w:cs="Arial"/>
          <w:color w:val="000000"/>
          <w:szCs w:val="18"/>
        </w:rPr>
        <w:t xml:space="preserve">VA </w:t>
      </w:r>
      <w:proofErr w:type="spellStart"/>
      <w:r w:rsidRPr="008A1EFD">
        <w:rPr>
          <w:rFonts w:eastAsia="Times New Roman" w:cs="Arial"/>
          <w:color w:val="000000"/>
          <w:szCs w:val="18"/>
        </w:rPr>
        <w:t>Nephron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-D </w:t>
      </w:r>
      <w:r w:rsidRPr="008A1EFD">
        <w:rPr>
          <w:rFonts w:eastAsia="Times New Roman" w:cs="Arial"/>
          <w:color w:val="000000"/>
          <w:szCs w:val="18"/>
          <w:lang w:eastAsia="bg-BG"/>
        </w:rPr>
        <w:t>е проучване при пациенти със захарен диабет тип 2 и диабетна нефропатия.</w:t>
      </w:r>
    </w:p>
    <w:p w14:paraId="00D96128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Тези проучвания не показват значим благоприятен ефект върху изхода по отношение на бъбреците и/или сърдечно-съдовата система и смъртността, като същевременно са наблюдавани повишен риск от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остро увреждане на бъбреците и/или хипотония в сравнение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монотерапията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Предвид сходните им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фармакодинамични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свойства, тези резултати са приложими и за други АСЕ инхибитори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II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-рецепторни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2E70E14C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АСЕ инхибитори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II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-рецепторни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следователно не трябва да се използват едновременно при пациенти с диабетна нефропатия.</w:t>
      </w:r>
    </w:p>
    <w:p w14:paraId="3B7FE911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</w:rPr>
        <w:t>ALTITUDE (</w:t>
      </w:r>
      <w:proofErr w:type="spellStart"/>
      <w:r w:rsidRPr="008A1EFD">
        <w:rPr>
          <w:rFonts w:eastAsia="Times New Roman" w:cs="Arial"/>
          <w:color w:val="000000"/>
          <w:szCs w:val="18"/>
        </w:rPr>
        <w:t>Aliskiren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Trial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in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Type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2 </w:t>
      </w:r>
      <w:proofErr w:type="spellStart"/>
      <w:r w:rsidRPr="008A1EFD">
        <w:rPr>
          <w:rFonts w:eastAsia="Times New Roman" w:cs="Arial"/>
          <w:color w:val="000000"/>
          <w:szCs w:val="18"/>
        </w:rPr>
        <w:t>Diabetes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Using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Cardiovascular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and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Renal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Disease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Endpoints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-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Клинично проучване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пациенти със захарен диабет тип 2 с използване на сърдечно</w:t>
      </w:r>
      <w:r w:rsidRPr="008A1EFD">
        <w:rPr>
          <w:rFonts w:eastAsia="Times New Roman" w:cs="Arial"/>
          <w:color w:val="000000"/>
          <w:szCs w:val="18"/>
          <w:lang w:eastAsia="bg-BG"/>
        </w:rPr>
        <w:softHyphen/>
        <w:t xml:space="preserve">съдови и бъбречни заболявания като крайни точки) е проучване, предназначено да изследва ползата от добавяне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към стандартна терапия с АСЕ инхибитор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ангиотензин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color w:val="000000"/>
          <w:szCs w:val="18"/>
        </w:rPr>
        <w:t>II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-рецепторен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пациенти със захарен диабет тип 2 и хронично бъбречно заболяване, сърдечно-съдово заболяване или и двете. Проучването е прекратено преждевременно поради повишен риск от неблагоприятни последици. Както сърдечно-съдовата смърт, така и инсултът имат числено по-висока честота в групата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, отколкото в плацебо-групата, а представляващите интерес нежелани събития и сериозни нежелани събития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хиперкалиемия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хипотония и бъбречна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дмсфункция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) се съобщават по-често в групата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алискирен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, отколкото в групата на плацебо.</w:t>
      </w:r>
    </w:p>
    <w:p w14:paraId="051C4389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351D08F5" w14:textId="5E552FEB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Педиатрична популация</w:t>
      </w:r>
    </w:p>
    <w:p w14:paraId="35ED5DA5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 рандомизирано, двойносляпо, плацебо-контролирано клинично проучване, включващо 244 педиатрични пациенти с хипертония (73% с първична хипертония), на възраст 6-16 години, пациентите са получавали ниска, средна или висока доза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за достигане на плазмени концентрации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отговарящи на лозовия диапазон за възрастни от 1,25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,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20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въз основа на телесното тегло. В края на четвъртата седмица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бил неефективен в крайната точка за намаляване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систолното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кръвно налягане, но при най-високата доза е понижил диастолното кръвно налягане. При деца с потвърдена хипертония при средни и високи дози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показва значително понижаване на диастолното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систолното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кръвно налягане.</w:t>
      </w:r>
    </w:p>
    <w:p w14:paraId="6E2E5715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Този ефект не е наблюдаван в 4-седмично, рандомизирано, двойносляпо изпитване за спиране на лечението с повишаване на дозата при 218 педиатрични пациенти на възраст 6-16 години (75% с първична хипертония), където и диастолното,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систолното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кръвно налягане са демонстрирали слабо, но не статистически значимо, връщане към началното ниво при всичките три изпитвани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дозови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нива [ниска доза (0,625-2,5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),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средна доза (2,5-10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)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или висока доза (5-20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)]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базата на телесното тегло.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е показал линеен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дозов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отговор при изпитваната педиатрична популация.</w:t>
      </w:r>
    </w:p>
    <w:p w14:paraId="40EBBF92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02CFC029" w14:textId="2857873C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Амлодипин</w:t>
      </w:r>
      <w:proofErr w:type="spellEnd"/>
    </w:p>
    <w:p w14:paraId="233F4107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770B9E5D" w14:textId="2F21156A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Механизъм на действие</w:t>
      </w:r>
    </w:p>
    <w:p w14:paraId="13C73BD8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инхибитор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инфлукса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калциевите йони от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дихидропиридиновата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група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бавните канали или антагонист на калциевия йон) и потиска трансмембранния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инфлукс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калциеви Йони в клетките на сърдечната и съдовата гладка мускулатура.</w:t>
      </w:r>
    </w:p>
    <w:p w14:paraId="5D4F80CB" w14:textId="4CAE61E3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Механизмът на антихипертензивното действие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дължи на директен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релаксилащ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ефект върху съдовата гладка мускулатура. Точният механизъм, по който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lastRenderedPageBreak/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облекчава стенокардията, не е напълно изяснен, но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редуцира исхемията по два начина:</w:t>
      </w:r>
    </w:p>
    <w:p w14:paraId="58EE3215" w14:textId="450429B1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3A21B369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предизвиква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дилатация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периферните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артериоли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така редуцира общото периферно съпротивление (след натоварването), срещу което сърцето работи. Тъй като сърдечната честота остава стабилна, това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отбременяване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сърцето намалява енергийната консумация и кислородните нужди на миокарда.</w:t>
      </w:r>
    </w:p>
    <w:p w14:paraId="6F7CEEEC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39ECA00E" w14:textId="49E84A73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Механизмът на действие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вероятно включва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дилатация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главните коронарни артерии и коронарните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артериоли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както в нормалните, така и в исхемичните зони. Тази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дилатация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повишава доставката на кислород при пациенти с коронарен артериален спазъм (ангина на </w:t>
      </w:r>
      <w:proofErr w:type="spellStart"/>
      <w:r w:rsidRPr="008A1EFD">
        <w:rPr>
          <w:rFonts w:eastAsia="Times New Roman" w:cs="Arial"/>
          <w:color w:val="000000"/>
          <w:szCs w:val="18"/>
        </w:rPr>
        <w:t>Prinzmetal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или вариантна стенокардия),</w:t>
      </w:r>
    </w:p>
    <w:p w14:paraId="7EBCA2C2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45C51BEB" w14:textId="26E6C913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При пациенти с хипертония еднократно дневно прилагане осигурява клинично значимо понижение на кръвното налягане както в легнало, така и в изправено положение, за интервал от 24 часа. Поради бавното начало на действие, при приложение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е характерно настъпване на остра хипотония.</w:t>
      </w:r>
    </w:p>
    <w:p w14:paraId="5B6645D1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35CCD040" w14:textId="25BCE9E9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се свързва с нежелани реакции по отношение на метаболизма или промени в плазмените липиди и е подходящ за лечение на пациенти с астма, диабет и подагра.</w:t>
      </w:r>
    </w:p>
    <w:p w14:paraId="49B50747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0D5E04D7" w14:textId="7D914946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Приложение при пациенти със сърдечна недостатъчност</w:t>
      </w:r>
    </w:p>
    <w:p w14:paraId="6AEC5A8F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 дългосрочното, плацебо-контролирано клинично проучване </w:t>
      </w:r>
      <w:r w:rsidRPr="008A1EFD">
        <w:rPr>
          <w:rFonts w:eastAsia="Times New Roman" w:cs="Arial"/>
          <w:color w:val="000000"/>
          <w:szCs w:val="18"/>
        </w:rPr>
        <w:t xml:space="preserve">(PRAISE-2)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пациенти със сърдечна недостатъчност клас </w:t>
      </w:r>
      <w:r w:rsidRPr="008A1EFD">
        <w:rPr>
          <w:rFonts w:eastAsia="Times New Roman" w:cs="Arial"/>
          <w:color w:val="000000"/>
          <w:szCs w:val="18"/>
        </w:rPr>
        <w:t xml:space="preserve">III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IV по </w:t>
      </w:r>
      <w:r w:rsidRPr="008A1EFD">
        <w:rPr>
          <w:rFonts w:eastAsia="Times New Roman" w:cs="Arial"/>
          <w:color w:val="000000"/>
          <w:szCs w:val="18"/>
        </w:rPr>
        <w:t xml:space="preserve">NYHA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без клинични симптоми или обективни находки, предполагащи исхемична болест на сърцето, на установени дози АСЕ инхибитори, дигиталис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диуретици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няма ефект върху общата сърдечно-съдова смъртност. При същата група пациенти приложението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свързано с увеличена честота на случаите на белодробен оток.</w:t>
      </w:r>
    </w:p>
    <w:p w14:paraId="2DD3BD2A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085B1178" w14:textId="40E50A95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 xml:space="preserve">Профилактика на инфаркт на миокарда </w:t>
      </w:r>
      <w:r w:rsidRPr="008A1EFD">
        <w:rPr>
          <w:rFonts w:eastAsia="Times New Roman" w:cs="Arial"/>
          <w:color w:val="000000"/>
          <w:szCs w:val="18"/>
          <w:u w:val="single"/>
        </w:rPr>
        <w:t>(ALLHAT)</w:t>
      </w:r>
    </w:p>
    <w:p w14:paraId="28B9E344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Проведено е рандомизирано, двойносляпо клинично проучване 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заболяемост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смъртност, наречено Антихипертензивно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липидопонижаващо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лечение за профилактика на инфаркт на миокарда </w:t>
      </w:r>
      <w:r w:rsidRPr="008A1EFD">
        <w:rPr>
          <w:rFonts w:eastAsia="Times New Roman" w:cs="Arial"/>
          <w:color w:val="000000"/>
          <w:szCs w:val="18"/>
        </w:rPr>
        <w:t>(</w:t>
      </w:r>
      <w:proofErr w:type="spellStart"/>
      <w:r w:rsidRPr="008A1EFD">
        <w:rPr>
          <w:rFonts w:eastAsia="Times New Roman" w:cs="Arial"/>
          <w:color w:val="000000"/>
          <w:szCs w:val="18"/>
        </w:rPr>
        <w:t>Antihypertensive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and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Lipid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Lowering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Treatment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to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Prevent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Heart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Attack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Trial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) (ALLHAT),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за сравняване на по-новите лекарствени терапии: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2,5-10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дневно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блокер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калциевите канали)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лизиноприл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10-40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дневно (АСЕ инхибитор), като лечение от първа линия, спрямо лечение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тиазидния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диуретик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хлорталидон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12,5-25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дневно, при лека до умерена хипертония. Общо 33 357 пациенти с хипертония, на възраст 55 години или по-възрастни, са рандомизирани и проследени средно за 4.9 години. Пациентите са имали най-малко още един рисков фактор за ИБС, включително предходен миокарден инфаркт или инсулт (&gt; 6 месеца преди включване в проучването) или документирано друго атеросклеротично сърдечно-съдово заболяване (общо 51,5%), диабет тип 2 (36,1%), </w:t>
      </w:r>
      <w:r w:rsidRPr="008A1EFD">
        <w:rPr>
          <w:rFonts w:eastAsia="Times New Roman" w:cs="Arial"/>
          <w:color w:val="000000"/>
          <w:szCs w:val="18"/>
        </w:rPr>
        <w:t xml:space="preserve">HDL-C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&lt; 35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dL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(11,6%),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левокамерна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хипертрофия, диагностицирана чрез електрокардиограма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ехокардиографски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(20,9%), тютюнопушене (21,9%).</w:t>
      </w:r>
    </w:p>
    <w:p w14:paraId="7E5063CB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Първичната съставна крайна точка включва летална ИБС или нелегален миокарден инфаркт. Няма значима разлика в първичната крайна точка между терапията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хлорталидон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: </w:t>
      </w:r>
      <w:r w:rsidRPr="008A1EFD">
        <w:rPr>
          <w:rFonts w:eastAsia="Times New Roman" w:cs="Arial"/>
          <w:color w:val="000000"/>
          <w:szCs w:val="18"/>
        </w:rPr>
        <w:t xml:space="preserve">RR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0,98 95% </w:t>
      </w:r>
      <w:r w:rsidRPr="008A1EFD">
        <w:rPr>
          <w:rFonts w:eastAsia="Times New Roman" w:cs="Arial"/>
          <w:color w:val="000000"/>
          <w:szCs w:val="18"/>
        </w:rPr>
        <w:t xml:space="preserve">CI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[0,90-1,07] р = 0,65. Сред вторичните крайни точки честотата на сърдечна недостатъчност (компонент на съставната крайна точка за сърдечно-съдови събития) е значително по-висока в групата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 сравнение с групата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хлорталидон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(10,2% срещу 7,7%, </w:t>
      </w:r>
      <w:r w:rsidRPr="008A1EFD">
        <w:rPr>
          <w:rFonts w:eastAsia="Times New Roman" w:cs="Arial"/>
          <w:color w:val="000000"/>
          <w:szCs w:val="18"/>
        </w:rPr>
        <w:t xml:space="preserve">RR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1,38,95% ДИ [1,25-1,52] р &lt; 0,001), Няма </w:t>
      </w:r>
      <w:r w:rsidRPr="008A1EFD">
        <w:rPr>
          <w:rFonts w:eastAsia="Times New Roman" w:cs="Arial"/>
          <w:color w:val="000000"/>
          <w:szCs w:val="18"/>
          <w:lang w:eastAsia="bg-BG"/>
        </w:rPr>
        <w:lastRenderedPageBreak/>
        <w:t xml:space="preserve">обаче значима разлика в общата смъртност между терапията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терапията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хлорталидон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: </w:t>
      </w:r>
      <w:r w:rsidRPr="008A1EFD">
        <w:rPr>
          <w:rFonts w:eastAsia="Times New Roman" w:cs="Arial"/>
          <w:color w:val="000000"/>
          <w:szCs w:val="18"/>
        </w:rPr>
        <w:t xml:space="preserve">RR </w:t>
      </w:r>
      <w:r w:rsidRPr="008A1EFD">
        <w:rPr>
          <w:rFonts w:eastAsia="Times New Roman" w:cs="Arial"/>
          <w:color w:val="000000"/>
          <w:szCs w:val="18"/>
          <w:lang w:eastAsia="bg-BG"/>
        </w:rPr>
        <w:t>0,96 95% ДИ [0,89-1,02] р = 0,20.</w:t>
      </w:r>
    </w:p>
    <w:p w14:paraId="14AB1C0A" w14:textId="77777777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6D115682" w14:textId="2F0CAF3A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Педиатрична популация (на възраст 6 години и повече)</w:t>
      </w:r>
    </w:p>
    <w:p w14:paraId="4D30AB7E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При проучване, включващо 268 деца на възраст 6-17 години, предимно с вторична хипертония, сравняването на доза от 2,5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 плацебо показва, че двете дози понижават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систолното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кръвно налягане значимо повече от плацебо. Разликата между двете дози не е статистически значима.</w:t>
      </w:r>
    </w:p>
    <w:p w14:paraId="4BC051E1" w14:textId="035F688E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Дългосрочните ефекти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върху растежа, пубертета и общото развитие не са проучвани Дългосрочната ефикасност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терапия в детска възраст за намаляване на сърдечно- съдовата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заболяемост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смъртност при възрастни също не е установена.</w:t>
      </w:r>
    </w:p>
    <w:p w14:paraId="7E3AB68C" w14:textId="2D7A0415" w:rsidR="00074B19" w:rsidRPr="008A1EFD" w:rsidRDefault="00074B19" w:rsidP="00074B19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3CFB70C5" w14:textId="328539A8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Европейската агенция по лекарствата освобождава от задължението за предоставяне на резултатите от проучванията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Тамайра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всички подгрупи на педиатричната популация за разрешеното показание (вж. точка 4.2 за информация относно употреба в педиатрията).</w:t>
      </w:r>
    </w:p>
    <w:p w14:paraId="56D0A069" w14:textId="77777777" w:rsidR="00074B19" w:rsidRPr="008A1EFD" w:rsidRDefault="00074B19" w:rsidP="00074B19"/>
    <w:p w14:paraId="346B622B" w14:textId="570B4A6A" w:rsidR="00875EEC" w:rsidRPr="008A1EFD" w:rsidRDefault="002C50EE" w:rsidP="005726E3">
      <w:pPr>
        <w:pStyle w:val="Heading2"/>
      </w:pPr>
      <w:r w:rsidRPr="008A1EFD">
        <w:t>5.2. Фармакокинетични свойства</w:t>
      </w:r>
    </w:p>
    <w:p w14:paraId="6732A2FE" w14:textId="1CA3C5FD" w:rsidR="00074B19" w:rsidRPr="008A1EFD" w:rsidRDefault="00074B19" w:rsidP="00074B19"/>
    <w:p w14:paraId="255EA6BE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Рамиприл</w:t>
      </w:r>
      <w:proofErr w:type="spellEnd"/>
    </w:p>
    <w:p w14:paraId="19E44299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B2F9CF8" w14:textId="714908D2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Абсорбция</w:t>
      </w:r>
    </w:p>
    <w:p w14:paraId="2CA596AF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След перорално приложение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абсорбира бързо в стомашно-чревния тракт: пикова плазмена концентрация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достига в рамките на един час. Въз основа на възстановяване в урината, степента на абсорбция е поне 56% и не се повлиява значимо от присъствието на храна в стомашно-чревния тракт. Бионаличността на активния метаболит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след перорално приложение на 2,5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е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 45%. Пикови плазмени концентрации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единственият активен метаболит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се достигат 2-4 часа след прием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Плазмени концентрации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 стационарно състояние след прилагане веднъж дневно на обичайните дози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достигат след около четири дни лечение.</w:t>
      </w:r>
    </w:p>
    <w:p w14:paraId="59A44B6D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7928114" w14:textId="64DBA70B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Разпределение</w:t>
      </w:r>
    </w:p>
    <w:p w14:paraId="7A6EBD5F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Свързването с плазмените протеини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около 73%, а това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около 56%.</w:t>
      </w:r>
    </w:p>
    <w:p w14:paraId="70AA1B55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0563CEF1" w14:textId="0EEE8D29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Метаболизъм</w:t>
      </w:r>
    </w:p>
    <w:p w14:paraId="6106968A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почти напълно се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метаболизира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до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до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дикетопиперазинов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естер,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дикетопиперазинова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киселина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глюкурониди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иа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75A556FE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54CA25AA" w14:textId="48E789FC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Елиминиране</w:t>
      </w:r>
    </w:p>
    <w:p w14:paraId="6A13DC6C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Екскрецията на метаболитите е предимно бъбречна. Плазмената концентрация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понижава многофазово. Поради неговото силно,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насищаемо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свързване с АСЕ и бавната дисоциация от ензима,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показва удължена терминална елиминационна фаза при много ниски плазмени концентрации.</w:t>
      </w:r>
    </w:p>
    <w:p w14:paraId="16FC0A22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След многократно прилагане на дози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веднъж дневно, ефективният полуживот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13-17 часа за дози от 5-10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по-дълъг за по-ниските дози 1,25-2,5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.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Тази разлика е свързана с капацитета за насищане на ензима да се свързва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5E1D673B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lastRenderedPageBreak/>
        <w:t xml:space="preserve">Единична перорална доза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води до откриваемо ниво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неговите метаболити в кърмата. Обаче ефектът при многократно прилагане е неизвестен.</w:t>
      </w:r>
    </w:p>
    <w:p w14:paraId="2B600460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290E3B12" w14:textId="6307554B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Бъбречно увреждане</w:t>
      </w:r>
    </w:p>
    <w:p w14:paraId="21FCE5F3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Бъбречната екскреция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намалена при пациенти с нарушена бъбречна функция и бъбречният клирънс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пропорционално свързан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креатининовия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клирънс, Това води до повишена плазмена концентрация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, която намалява по-бавно, отколкото при индивиди с нормална бъбречна функция (вж. точка 4.2),</w:t>
      </w:r>
    </w:p>
    <w:p w14:paraId="69DC6A37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7E0E6EE5" w14:textId="1D94A075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Чернодробно увреждане</w:t>
      </w:r>
    </w:p>
    <w:p w14:paraId="0AC13C4F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При пациенти с нарушена чернодробна функция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метаболизирането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до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забавено поради намалената активност на чернодробните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естерази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плазмените нива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тези пациенти са повишени. Пиковите концентрации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тези пациенти обаче не се различават от наблюдаваните при индивиди с нормална чернодробна функция (вж. точка 4.2).</w:t>
      </w:r>
    </w:p>
    <w:p w14:paraId="0348AB2E" w14:textId="77777777" w:rsidR="00074B19" w:rsidRPr="008A1EFD" w:rsidRDefault="00074B19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2335294" w14:textId="47E3A549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Кърмене</w:t>
      </w:r>
    </w:p>
    <w:p w14:paraId="75F3D439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Единична доза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перорално не води до откриваеми нива в кърмата. Обаче ефектът при многократно прилагане е неизвестен.</w:t>
      </w:r>
    </w:p>
    <w:p w14:paraId="267D3BBB" w14:textId="77777777" w:rsidR="00074B19" w:rsidRPr="008A1EFD" w:rsidRDefault="00074B19" w:rsidP="00074B19">
      <w:pPr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7540967" w14:textId="77777777" w:rsidR="00074B19" w:rsidRPr="008A1EFD" w:rsidRDefault="00074B19" w:rsidP="00074B19">
      <w:pPr>
        <w:rPr>
          <w:rFonts w:eastAsia="Times New Roman" w:cs="Arial"/>
          <w:i/>
          <w:iCs/>
          <w:color w:val="000000"/>
          <w:szCs w:val="18"/>
          <w:lang w:eastAsia="bg-BG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 xml:space="preserve">Педиатрична популация </w:t>
      </w:r>
    </w:p>
    <w:p w14:paraId="617F93F9" w14:textId="77777777" w:rsidR="00074B19" w:rsidRPr="008A1EFD" w:rsidRDefault="00074B19" w:rsidP="00074B19">
      <w:pPr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Фармакокннетичният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профил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проучен при 30 педиатрични пациенти с хипертония, на възраст 2-16 години, с тегло &gt; </w:t>
      </w: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10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.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След дози от 0,05 до 0,2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бързо и екстензивно се 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метаболизирал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до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Пикови плазмени концентрации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достигат в рамките на 2-3 часа.</w:t>
      </w:r>
    </w:p>
    <w:p w14:paraId="765CA1DA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Клирънсът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тясно свързан с телесното тегло (р &lt; 0,01), както и с дозата (р &lt; 0,001).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Клирънсът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обемът на разпределение се увеличават с увеличаване на възрастта на децата във всяка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дозова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група. Дозата от 0,05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при деца достига нива на експозиция, сравними с тези при възрастни, лекувани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.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Дозата от 0,2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при деца води до нива на експозиция, по- високи от максималната препоръчителна дневна доза от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при възрастни.</w:t>
      </w:r>
    </w:p>
    <w:p w14:paraId="53B9852F" w14:textId="77777777" w:rsidR="00EB7A0B" w:rsidRPr="008A1EFD" w:rsidRDefault="00EB7A0B" w:rsidP="00074B19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5ABA25B3" w14:textId="3A867815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Амлодипин</w:t>
      </w:r>
      <w:proofErr w:type="spellEnd"/>
    </w:p>
    <w:p w14:paraId="56CB24C5" w14:textId="77777777" w:rsidR="00EB7A0B" w:rsidRPr="008A1EFD" w:rsidRDefault="00EB7A0B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2452775" w14:textId="0F3747D3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Абсорбция, разпределение, свързване с плазмените протеини: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 След перорално приложение на терапевтични дози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резорбира добре, като пикови плазмени концентрации се достигат между 6 и 12 часа след приложение. Абсолютната бионаличност е между 64 и 80%. Обемът на разпределение е приблизително 21 </w:t>
      </w:r>
      <w:r w:rsidRPr="008A1EFD">
        <w:rPr>
          <w:rFonts w:eastAsia="Times New Roman" w:cs="Arial"/>
          <w:color w:val="000000"/>
          <w:szCs w:val="18"/>
        </w:rPr>
        <w:t>l/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.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Данните от </w:t>
      </w:r>
      <w:proofErr w:type="spellStart"/>
      <w:r w:rsidRPr="008A1EFD">
        <w:rPr>
          <w:rFonts w:eastAsia="Times New Roman" w:cs="Arial"/>
          <w:i/>
          <w:iCs/>
          <w:color w:val="000000"/>
          <w:szCs w:val="18"/>
        </w:rPr>
        <w:t>in</w:t>
      </w:r>
      <w:proofErr w:type="spellEnd"/>
      <w:r w:rsidRPr="008A1EFD">
        <w:rPr>
          <w:rFonts w:eastAsia="Times New Roman" w:cs="Arial"/>
          <w:i/>
          <w:iCs/>
          <w:color w:val="000000"/>
          <w:szCs w:val="18"/>
        </w:rPr>
        <w:t xml:space="preserve"> </w:t>
      </w:r>
      <w:proofErr w:type="spellStart"/>
      <w:r w:rsidRPr="008A1EFD">
        <w:rPr>
          <w:rFonts w:eastAsia="Times New Roman" w:cs="Arial"/>
          <w:i/>
          <w:iCs/>
          <w:color w:val="000000"/>
          <w:szCs w:val="18"/>
        </w:rPr>
        <w:t>vitro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проучвания показват, че приблизително 97,5% от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 кръвта е свързан с плазмените протеини.</w:t>
      </w:r>
    </w:p>
    <w:p w14:paraId="22078EC5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Бионаличността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се влияе от приема на храна.</w:t>
      </w:r>
    </w:p>
    <w:p w14:paraId="407CF9A2" w14:textId="77777777" w:rsidR="00EB7A0B" w:rsidRPr="008A1EFD" w:rsidRDefault="00EB7A0B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16FCD830" w14:textId="4A4E7F78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Биотрансформация/елиминиране</w:t>
      </w:r>
    </w:p>
    <w:p w14:paraId="7CFE5AE3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Терминалният плазмен полуживот е около 35-50 часа и отговаря на приложение веднъж дневно.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метаболизира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екстензивно в черния дроб до неактивни метаболити, като с урината се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екскретират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10% от основното вещество в непроменен вид и 60% от метаболитите.</w:t>
      </w:r>
    </w:p>
    <w:p w14:paraId="25952D47" w14:textId="77777777" w:rsidR="00EB7A0B" w:rsidRPr="008A1EFD" w:rsidRDefault="00EB7A0B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44F1B22C" w14:textId="158189EE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Чернодробно увреждане</w:t>
      </w:r>
    </w:p>
    <w:p w14:paraId="074D17A2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lastRenderedPageBreak/>
        <w:t xml:space="preserve">Налични са много ограничени клинични данни за приложението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пациенти с чернодробно увреждане. Пациентите с чернодробна недостатъчност имат понижен клирънс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, което води до по-дълъг полуживот и увеличаване на </w:t>
      </w:r>
      <w:r w:rsidRPr="008A1EFD">
        <w:rPr>
          <w:rFonts w:eastAsia="Times New Roman" w:cs="Arial"/>
          <w:color w:val="000000"/>
          <w:szCs w:val="18"/>
        </w:rPr>
        <w:t xml:space="preserve">AUC </w:t>
      </w:r>
      <w:r w:rsidRPr="008A1EFD">
        <w:rPr>
          <w:rFonts w:eastAsia="Times New Roman" w:cs="Arial"/>
          <w:color w:val="000000"/>
          <w:szCs w:val="18"/>
          <w:lang w:eastAsia="bg-BG"/>
        </w:rPr>
        <w:t>с приблизително 40-60%.</w:t>
      </w:r>
    </w:p>
    <w:p w14:paraId="25BD403A" w14:textId="77777777" w:rsidR="00EB7A0B" w:rsidRPr="008A1EFD" w:rsidRDefault="00EB7A0B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33904691" w14:textId="66F6D103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Старческа възраст</w:t>
      </w:r>
    </w:p>
    <w:p w14:paraId="40F002AA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Времето за достигане на пикови плазмени концентрации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сходно при индивиди в старческа възраст и по-млади пациенти. При пациентите в старческа възраст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клирънсът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е с тенденция към намаляване, което води до увеличаване на </w:t>
      </w:r>
      <w:r w:rsidRPr="008A1EFD">
        <w:rPr>
          <w:rFonts w:eastAsia="Times New Roman" w:cs="Arial"/>
          <w:color w:val="000000"/>
          <w:szCs w:val="18"/>
        </w:rPr>
        <w:t xml:space="preserve">AUC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на елиминационния полуживот. Увеличаването на </w:t>
      </w:r>
      <w:r w:rsidRPr="008A1EFD">
        <w:rPr>
          <w:rFonts w:eastAsia="Times New Roman" w:cs="Arial"/>
          <w:color w:val="000000"/>
          <w:szCs w:val="18"/>
        </w:rPr>
        <w:t xml:space="preserve">AUC </w:t>
      </w:r>
      <w:r w:rsidRPr="008A1EFD">
        <w:rPr>
          <w:rFonts w:eastAsia="Times New Roman" w:cs="Arial"/>
          <w:color w:val="000000"/>
          <w:szCs w:val="18"/>
          <w:lang w:eastAsia="bg-BG"/>
        </w:rPr>
        <w:t>и на елиминационния полуживот при пациенти със застойна сърдечна недостатъчност съответстват на очакваните за съответната възрастова група.</w:t>
      </w:r>
    </w:p>
    <w:p w14:paraId="38D87D8F" w14:textId="77777777" w:rsidR="00EB7A0B" w:rsidRPr="008A1EFD" w:rsidRDefault="00EB7A0B" w:rsidP="00074B19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52A3135E" w14:textId="6855A644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Педиатрична популация</w:t>
      </w:r>
    </w:p>
    <w:p w14:paraId="552ACE4B" w14:textId="77777777" w:rsidR="00074B19" w:rsidRPr="008A1EFD" w:rsidRDefault="00074B19" w:rsidP="00074B19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Популационно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фармакокинетично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проучване е проведено при 74 деца с хипертония на възраст от 1 до 17 години (34 пациенти на възраст от 6 до 12 години и 28 пациенти на възраст от 13 до 17 години), получаващи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между 1,25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 20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,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прилагани веднъж или два пъти дневно. При децата от 6 до 12 години и при юношите от 13 до 17 години типичният перорален клирънс </w:t>
      </w:r>
      <w:r w:rsidRPr="008A1EFD">
        <w:rPr>
          <w:rFonts w:eastAsia="Times New Roman" w:cs="Arial"/>
          <w:color w:val="000000"/>
          <w:szCs w:val="18"/>
        </w:rPr>
        <w:t xml:space="preserve">(CL/F) </w:t>
      </w:r>
      <w:r w:rsidRPr="008A1EFD">
        <w:rPr>
          <w:rFonts w:eastAsia="Times New Roman" w:cs="Arial"/>
          <w:color w:val="000000"/>
          <w:szCs w:val="18"/>
          <w:lang w:eastAsia="bg-BG"/>
        </w:rPr>
        <w:t>е бил съответно 22,5 и 27,4 1/час при момчета и 16,4 и 21,3 1/час при момичета. Наблюдавана е голяма интериндивидуална вариабилност в експозицията. Съобщените данни при деца под 6 години са ограничени.</w:t>
      </w:r>
    </w:p>
    <w:p w14:paraId="51EF3AF9" w14:textId="2DF981D2" w:rsidR="00074B19" w:rsidRPr="008A1EFD" w:rsidRDefault="00074B19" w:rsidP="00074B19"/>
    <w:p w14:paraId="4F31844C" w14:textId="5367527B" w:rsidR="00875EEC" w:rsidRPr="008A1EFD" w:rsidRDefault="002C50EE" w:rsidP="005726E3">
      <w:pPr>
        <w:pStyle w:val="Heading2"/>
      </w:pPr>
      <w:r w:rsidRPr="008A1EFD">
        <w:t>5.3. Предклинични данни за безопасност</w:t>
      </w:r>
    </w:p>
    <w:p w14:paraId="3DD41D76" w14:textId="0D7B1D79" w:rsidR="00EB7A0B" w:rsidRPr="008A1EFD" w:rsidRDefault="00EB7A0B" w:rsidP="00EB7A0B"/>
    <w:p w14:paraId="14EA439A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рамиприл</w:t>
      </w:r>
      <w:proofErr w:type="spellEnd"/>
    </w:p>
    <w:p w14:paraId="517F6934" w14:textId="77777777" w:rsidR="00EB7A0B" w:rsidRPr="008A1EFD" w:rsidRDefault="00EB7A0B" w:rsidP="00EB7A0B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7A30265C" w14:textId="43CE0415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Пероралното приложение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показва остра токсичност при гризачи и кучета. Проучвания, включващи продължително перорално приложение, са провеждани при плъхове, кучета и маймуни. Промени в плазмените електролити и кръвната картина са установени и при трите вида. При кучета и маймуни, при дневни дози от 250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/ден е наблюдавано значително уголемяване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юкстагломерулния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апарат като израз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фармакодинамичното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действие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. Плъхове, кучета и маймуни понасят дневни дози съответно 2, 2,5 и 8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/ден без вредни ефекти.</w:t>
      </w:r>
    </w:p>
    <w:p w14:paraId="47266A1F" w14:textId="1FF3C5FC" w:rsidR="00EB7A0B" w:rsidRPr="008A1EFD" w:rsidRDefault="00EB7A0B" w:rsidP="00EB7A0B">
      <w:pPr>
        <w:rPr>
          <w:rFonts w:eastAsia="Times New Roman" w:cs="Arial"/>
          <w:color w:val="000000"/>
          <w:szCs w:val="18"/>
          <w:lang w:eastAsia="bg-BG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>Проучванията за репродуктивна токсичност при плъхове, зайци и маймуни не показват</w:t>
      </w:r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тератогенни свойства.</w:t>
      </w:r>
    </w:p>
    <w:p w14:paraId="65FF2312" w14:textId="07F1512B" w:rsidR="00EB7A0B" w:rsidRPr="008A1EFD" w:rsidRDefault="00EB7A0B" w:rsidP="00EB7A0B">
      <w:pPr>
        <w:rPr>
          <w:rFonts w:eastAsia="Times New Roman" w:cs="Arial"/>
          <w:color w:val="000000"/>
          <w:szCs w:val="18"/>
          <w:lang w:eastAsia="bg-BG"/>
        </w:rPr>
      </w:pPr>
    </w:p>
    <w:p w14:paraId="6D60CCE2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Фертилитетьт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се повлиява нито при мъжки, нито при женски плъхове.</w:t>
      </w:r>
    </w:p>
    <w:p w14:paraId="35A0F8BB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Прилагането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женски плъхове по време на феталния период и лактацията причинява необратимо бъбречно увреждане (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дилатация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бъбречното легенче) в потомството при дневни дози от 50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>телесно тегло или по-високи.</w:t>
      </w:r>
    </w:p>
    <w:p w14:paraId="7B72F6DF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Разширено проучване 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мутагенност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чрез използване на няколко системи за тест не показва мутагенни или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генотоксични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свойства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0475BA28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Необратимо бъбречно увреждане е наблюдавано при много млади плъхове, получили единична доза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рамиприл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.</w:t>
      </w:r>
    </w:p>
    <w:p w14:paraId="6A35CD71" w14:textId="77777777" w:rsidR="00EB7A0B" w:rsidRPr="008A1EFD" w:rsidRDefault="00EB7A0B" w:rsidP="00EB7A0B">
      <w:pPr>
        <w:spacing w:line="240" w:lineRule="auto"/>
        <w:rPr>
          <w:rFonts w:eastAsia="Times New Roman" w:cs="Arial"/>
          <w:color w:val="000000"/>
          <w:szCs w:val="18"/>
          <w:u w:val="single"/>
          <w:lang w:eastAsia="bg-BG"/>
        </w:rPr>
      </w:pPr>
    </w:p>
    <w:p w14:paraId="33734ECC" w14:textId="4D3E4DA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 xml:space="preserve">Свързани с </w:t>
      </w:r>
      <w:proofErr w:type="spellStart"/>
      <w:r w:rsidRPr="008A1EFD">
        <w:rPr>
          <w:rFonts w:eastAsia="Times New Roman" w:cs="Arial"/>
          <w:color w:val="000000"/>
          <w:szCs w:val="18"/>
          <w:u w:val="single"/>
          <w:lang w:eastAsia="bg-BG"/>
        </w:rPr>
        <w:t>амлодипин</w:t>
      </w:r>
      <w:proofErr w:type="spellEnd"/>
    </w:p>
    <w:p w14:paraId="7366B58B" w14:textId="77777777" w:rsidR="00EB7A0B" w:rsidRPr="008A1EFD" w:rsidRDefault="00EB7A0B" w:rsidP="00EB7A0B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69A2BFC6" w14:textId="2D1756B9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Репродуктивна токсичност</w:t>
      </w:r>
    </w:p>
    <w:p w14:paraId="23A3FCB4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Репродуктивни проучвания при плъхове и мишки показват закъсняване на датата на раждане, удължена продължителност на раждането и намалена жизнеспособност на </w:t>
      </w:r>
      <w:r w:rsidRPr="008A1EFD">
        <w:rPr>
          <w:rFonts w:eastAsia="Times New Roman" w:cs="Arial"/>
          <w:color w:val="000000"/>
          <w:szCs w:val="18"/>
          <w:lang w:eastAsia="bg-BG"/>
        </w:rPr>
        <w:lastRenderedPageBreak/>
        <w:t>потомството при дози, приблизително 50 пъти по-високи от максималните препоръчителни дози при хора, изчислени въз основа на телесното тегло.</w:t>
      </w:r>
    </w:p>
    <w:p w14:paraId="65223CD6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 xml:space="preserve">Нарушения на </w:t>
      </w:r>
      <w:proofErr w:type="spellStart"/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фертилитета</w:t>
      </w:r>
      <w:proofErr w:type="spellEnd"/>
    </w:p>
    <w:p w14:paraId="6D84C777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Няма ефект върху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фертилитета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на плъхове, третирани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(мъжки - 64 дни, и женски - </w:t>
      </w:r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 xml:space="preserve">14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дни преди чифтосване) при дози до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/ден (8 пъти* по-високи от максималната препоръчителна доза от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при хора, изчислена на база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/m</w:t>
      </w:r>
      <w:r w:rsidRPr="008A1EFD">
        <w:rPr>
          <w:rFonts w:eastAsia="Times New Roman" w:cs="Arial"/>
          <w:color w:val="000000"/>
          <w:szCs w:val="18"/>
          <w:vertAlign w:val="superscript"/>
        </w:rPr>
        <w:t>2</w:t>
      </w:r>
      <w:r w:rsidRPr="008A1EFD">
        <w:rPr>
          <w:rFonts w:eastAsia="Times New Roman" w:cs="Arial"/>
          <w:color w:val="000000"/>
          <w:szCs w:val="18"/>
        </w:rPr>
        <w:t>).</w:t>
      </w:r>
    </w:p>
    <w:p w14:paraId="19E50563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В друго проучване при плъхове, при което мъжки плъхове са третирани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безилат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30 дни, с доза, сравнима с дозата при хора, изчислена на база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,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са установени понижени плазмени концентрации на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фоликулостимулиращ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хормон и тестостерон, както и понижена плътност на спермата и намален брой на зрелите сперматозоиди 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сертолиевите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клетки.</w:t>
      </w:r>
    </w:p>
    <w:p w14:paraId="76E6BD7F" w14:textId="77777777" w:rsidR="00EB7A0B" w:rsidRPr="008A1EFD" w:rsidRDefault="00EB7A0B" w:rsidP="00EB7A0B">
      <w:pPr>
        <w:spacing w:line="240" w:lineRule="auto"/>
        <w:rPr>
          <w:rFonts w:eastAsia="Times New Roman" w:cs="Arial"/>
          <w:i/>
          <w:iCs/>
          <w:color w:val="000000"/>
          <w:szCs w:val="18"/>
          <w:lang w:eastAsia="bg-BG"/>
        </w:rPr>
      </w:pPr>
    </w:p>
    <w:p w14:paraId="020C62D6" w14:textId="464F9A7E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proofErr w:type="spellStart"/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Карциногенеза</w:t>
      </w:r>
      <w:proofErr w:type="spellEnd"/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 xml:space="preserve">, </w:t>
      </w:r>
      <w:proofErr w:type="spellStart"/>
      <w:r w:rsidRPr="008A1EFD">
        <w:rPr>
          <w:rFonts w:eastAsia="Times New Roman" w:cs="Arial"/>
          <w:i/>
          <w:iCs/>
          <w:color w:val="000000"/>
          <w:szCs w:val="18"/>
          <w:lang w:eastAsia="bg-BG"/>
        </w:rPr>
        <w:t>мутагенеза</w:t>
      </w:r>
      <w:proofErr w:type="spellEnd"/>
    </w:p>
    <w:p w14:paraId="3038643D" w14:textId="77777777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Няма данни 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карциногенност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при плъхове и мишки, третирани две години с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амлодипин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в храната, с количества, изчислени да осигурят дневни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дозови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нива от 0,5, 1,25 и 2,5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>/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/ден. Най-високата доза (при мишки, подобна, а при плъхове два пъти* по-висока от максималната препоръчителна клинична доза от 10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</w:rPr>
        <w:t xml:space="preserve">, 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изчислена за </w:t>
      </w:r>
      <w:proofErr w:type="spellStart"/>
      <w:r w:rsidRPr="008A1EFD">
        <w:rPr>
          <w:rFonts w:eastAsia="Times New Roman" w:cs="Arial"/>
          <w:color w:val="000000"/>
          <w:szCs w:val="18"/>
        </w:rPr>
        <w:t>mg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>/</w:t>
      </w:r>
      <w:r w:rsidRPr="008A1EFD">
        <w:rPr>
          <w:rFonts w:eastAsia="Times New Roman" w:cs="Arial"/>
          <w:color w:val="000000"/>
          <w:szCs w:val="18"/>
        </w:rPr>
        <w:t>m</w:t>
      </w:r>
      <w:r w:rsidRPr="008A1EFD">
        <w:rPr>
          <w:rFonts w:eastAsia="Times New Roman" w:cs="Arial"/>
          <w:color w:val="000000"/>
          <w:szCs w:val="18"/>
          <w:vertAlign w:val="superscript"/>
          <w:lang w:eastAsia="bg-BG"/>
        </w:rPr>
        <w:t>2</w:t>
      </w:r>
      <w:r w:rsidRPr="008A1EFD">
        <w:rPr>
          <w:rFonts w:eastAsia="Times New Roman" w:cs="Arial"/>
          <w:color w:val="000000"/>
          <w:szCs w:val="18"/>
          <w:lang w:eastAsia="bg-BG"/>
        </w:rPr>
        <w:t xml:space="preserve">) е близка до максималната поносима доза при мишки, но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ие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и при плъхове.</w:t>
      </w:r>
    </w:p>
    <w:p w14:paraId="7E6A505A" w14:textId="0FF07266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Проучванията за </w:t>
      </w:r>
      <w:proofErr w:type="spellStart"/>
      <w:r w:rsidRPr="008A1EFD">
        <w:rPr>
          <w:rFonts w:eastAsia="Times New Roman" w:cs="Arial"/>
          <w:color w:val="000000"/>
          <w:szCs w:val="18"/>
          <w:lang w:eastAsia="bg-BG"/>
        </w:rPr>
        <w:t>мутагенност</w:t>
      </w:r>
      <w:proofErr w:type="spellEnd"/>
      <w:r w:rsidRPr="008A1EFD">
        <w:rPr>
          <w:rFonts w:eastAsia="Times New Roman" w:cs="Arial"/>
          <w:color w:val="000000"/>
          <w:szCs w:val="18"/>
          <w:lang w:eastAsia="bg-BG"/>
        </w:rPr>
        <w:t xml:space="preserve"> не показват свързани с лекарството ефекти както на генно, така и на хромозомно ниво.</w:t>
      </w:r>
    </w:p>
    <w:p w14:paraId="316803ED" w14:textId="77777777" w:rsidR="00EB7A0B" w:rsidRPr="008A1EFD" w:rsidRDefault="00EB7A0B" w:rsidP="00EB7A0B">
      <w:pPr>
        <w:spacing w:line="240" w:lineRule="auto"/>
        <w:rPr>
          <w:rFonts w:eastAsia="Times New Roman" w:cs="Arial"/>
          <w:color w:val="000000"/>
          <w:szCs w:val="18"/>
          <w:lang w:eastAsia="bg-BG"/>
        </w:rPr>
      </w:pPr>
    </w:p>
    <w:p w14:paraId="4F997585" w14:textId="166164E3" w:rsidR="00EB7A0B" w:rsidRPr="008A1EFD" w:rsidRDefault="00EB7A0B" w:rsidP="00EB7A0B">
      <w:pPr>
        <w:spacing w:line="240" w:lineRule="auto"/>
        <w:rPr>
          <w:rFonts w:eastAsia="Times New Roman" w:cs="Arial"/>
          <w:sz w:val="32"/>
          <w:szCs w:val="24"/>
        </w:rPr>
      </w:pPr>
      <w:r w:rsidRPr="008A1EFD">
        <w:rPr>
          <w:rFonts w:eastAsia="Times New Roman" w:cs="Arial"/>
          <w:color w:val="000000"/>
          <w:szCs w:val="18"/>
          <w:lang w:eastAsia="bg-BG"/>
        </w:rPr>
        <w:t xml:space="preserve">* изчислена за пациент с телесно тегло 50 </w:t>
      </w:r>
      <w:proofErr w:type="spellStart"/>
      <w:r w:rsidRPr="008A1EFD">
        <w:rPr>
          <w:rFonts w:eastAsia="Times New Roman" w:cs="Arial"/>
          <w:color w:val="000000"/>
          <w:szCs w:val="18"/>
        </w:rPr>
        <w:t>kg</w:t>
      </w:r>
      <w:proofErr w:type="spellEnd"/>
    </w:p>
    <w:p w14:paraId="4FC39A1D" w14:textId="77777777" w:rsidR="00EB7A0B" w:rsidRPr="008A1EFD" w:rsidRDefault="00EB7A0B" w:rsidP="00EB7A0B"/>
    <w:p w14:paraId="1BA6531D" w14:textId="594739C3" w:rsidR="00B6672E" w:rsidRPr="008A1EFD" w:rsidRDefault="002C50EE" w:rsidP="00936AD0">
      <w:pPr>
        <w:pStyle w:val="Heading1"/>
      </w:pPr>
      <w:r w:rsidRPr="008A1EFD">
        <w:t>7. ПРИТЕЖАТЕЛ НА РАЗРЕШЕНИЕТО ЗА УПОТРЕБА</w:t>
      </w:r>
    </w:p>
    <w:p w14:paraId="1C7FC0CA" w14:textId="6C13BBC7" w:rsidR="00EB7A0B" w:rsidRPr="008A1EFD" w:rsidRDefault="00EB7A0B" w:rsidP="00EB7A0B"/>
    <w:p w14:paraId="3208E0BC" w14:textId="0C7A79F4" w:rsidR="00EB7A0B" w:rsidRPr="008A1EFD" w:rsidRDefault="00EB7A0B" w:rsidP="00EB7A0B">
      <w:pPr>
        <w:rPr>
          <w:sz w:val="24"/>
          <w:szCs w:val="24"/>
        </w:rPr>
      </w:pPr>
      <w:proofErr w:type="spellStart"/>
      <w:r w:rsidRPr="008A1EFD">
        <w:rPr>
          <w:lang w:eastAsia="bg-BG"/>
        </w:rPr>
        <w:t>Чайкафарма</w:t>
      </w:r>
      <w:proofErr w:type="spellEnd"/>
      <w:r w:rsidRPr="008A1EFD">
        <w:rPr>
          <w:lang w:eastAsia="bg-BG"/>
        </w:rPr>
        <w:t xml:space="preserve"> Висококачествените Лекарства” АД</w:t>
      </w:r>
    </w:p>
    <w:p w14:paraId="19A254D5" w14:textId="77777777" w:rsidR="00EB7A0B" w:rsidRPr="008A1EFD" w:rsidRDefault="00EB7A0B" w:rsidP="00EB7A0B">
      <w:pPr>
        <w:rPr>
          <w:sz w:val="24"/>
          <w:szCs w:val="24"/>
        </w:rPr>
      </w:pPr>
      <w:r w:rsidRPr="008A1EFD">
        <w:rPr>
          <w:lang w:eastAsia="bg-BG"/>
        </w:rPr>
        <w:t>бул.” Г. М. Димитров” № 1</w:t>
      </w:r>
    </w:p>
    <w:p w14:paraId="039D1C44" w14:textId="77777777" w:rsidR="00EB7A0B" w:rsidRPr="008A1EFD" w:rsidRDefault="00EB7A0B" w:rsidP="00EB7A0B">
      <w:pPr>
        <w:rPr>
          <w:sz w:val="24"/>
          <w:szCs w:val="24"/>
        </w:rPr>
      </w:pPr>
      <w:r w:rsidRPr="008A1EFD">
        <w:rPr>
          <w:lang w:eastAsia="bg-BG"/>
        </w:rPr>
        <w:t>гр. София 1172, България</w:t>
      </w:r>
    </w:p>
    <w:p w14:paraId="3D52089D" w14:textId="77777777" w:rsidR="00EB7A0B" w:rsidRPr="008A1EFD" w:rsidRDefault="00EB7A0B" w:rsidP="00EB7A0B">
      <w:pPr>
        <w:rPr>
          <w:sz w:val="24"/>
          <w:szCs w:val="24"/>
        </w:rPr>
      </w:pPr>
      <w:r w:rsidRPr="008A1EFD">
        <w:rPr>
          <w:lang w:eastAsia="bg-BG"/>
        </w:rPr>
        <w:t>тел.: 02/ 962 54 54</w:t>
      </w:r>
    </w:p>
    <w:p w14:paraId="0F213373" w14:textId="77777777" w:rsidR="00EB7A0B" w:rsidRPr="008A1EFD" w:rsidRDefault="00EB7A0B" w:rsidP="00EB7A0B">
      <w:pPr>
        <w:rPr>
          <w:sz w:val="24"/>
          <w:szCs w:val="24"/>
        </w:rPr>
      </w:pPr>
      <w:r w:rsidRPr="008A1EFD">
        <w:rPr>
          <w:lang w:eastAsia="bg-BG"/>
        </w:rPr>
        <w:t>факс: 02/ 960 37 03</w:t>
      </w:r>
    </w:p>
    <w:p w14:paraId="4C17BC8D" w14:textId="07BF700A" w:rsidR="00EB7A0B" w:rsidRPr="008A1EFD" w:rsidRDefault="00EB7A0B" w:rsidP="00EB7A0B">
      <w:r w:rsidRPr="008A1EFD">
        <w:rPr>
          <w:lang w:eastAsia="bg-BG"/>
        </w:rPr>
        <w:t xml:space="preserve">имейл: </w:t>
      </w:r>
      <w:hyperlink r:id="rId6" w:history="1">
        <w:r w:rsidRPr="008A1EFD">
          <w:t>info@tchaikapharma.com</w:t>
        </w:r>
      </w:hyperlink>
    </w:p>
    <w:p w14:paraId="508F3A54" w14:textId="51A52EC7" w:rsidR="00B6672E" w:rsidRPr="008A1EFD" w:rsidRDefault="00936AD0" w:rsidP="00936AD0">
      <w:pPr>
        <w:pStyle w:val="Heading1"/>
      </w:pPr>
      <w:r w:rsidRPr="008A1EFD">
        <w:t>8.</w:t>
      </w:r>
      <w:r w:rsidR="002C50EE" w:rsidRPr="008A1EFD">
        <w:t>НОМЕР НА РАЗРЕШЕНИЕТО ЗА УПОТРЕБА</w:t>
      </w:r>
    </w:p>
    <w:p w14:paraId="4900576B" w14:textId="2D267685" w:rsidR="00EB7A0B" w:rsidRPr="008A1EFD" w:rsidRDefault="00EB7A0B" w:rsidP="00EB7A0B"/>
    <w:p w14:paraId="23A19F3B" w14:textId="77777777" w:rsidR="00EB7A0B" w:rsidRPr="008A1EFD" w:rsidRDefault="00EB7A0B" w:rsidP="00EB7A0B">
      <w:pPr>
        <w:rPr>
          <w:sz w:val="24"/>
          <w:szCs w:val="24"/>
        </w:rPr>
      </w:pPr>
      <w:proofErr w:type="spellStart"/>
      <w:r w:rsidRPr="008A1EFD">
        <w:rPr>
          <w:lang w:eastAsia="bg-BG"/>
        </w:rPr>
        <w:t>Тамайра</w:t>
      </w:r>
      <w:proofErr w:type="spellEnd"/>
      <w:r w:rsidRPr="008A1EFD">
        <w:rPr>
          <w:lang w:eastAsia="bg-BG"/>
        </w:rPr>
        <w:t xml:space="preserve"> 5 </w:t>
      </w:r>
      <w:proofErr w:type="spellStart"/>
      <w:r w:rsidRPr="008A1EFD">
        <w:t>mg</w:t>
      </w:r>
      <w:proofErr w:type="spellEnd"/>
      <w:r w:rsidRPr="008A1EFD">
        <w:t xml:space="preserve">/5 </w:t>
      </w:r>
      <w:proofErr w:type="spellStart"/>
      <w:r w:rsidRPr="008A1EFD">
        <w:t>mg</w:t>
      </w:r>
      <w:proofErr w:type="spellEnd"/>
      <w:r w:rsidRPr="008A1EFD">
        <w:t xml:space="preserve"> </w:t>
      </w:r>
      <w:r w:rsidRPr="008A1EFD">
        <w:rPr>
          <w:lang w:eastAsia="bg-BG"/>
        </w:rPr>
        <w:t>твърди капсули: 20160224</w:t>
      </w:r>
    </w:p>
    <w:p w14:paraId="379D8D35" w14:textId="688B61DD" w:rsidR="00EB7A0B" w:rsidRPr="008A1EFD" w:rsidRDefault="00EB7A0B" w:rsidP="00EB7A0B">
      <w:pPr>
        <w:rPr>
          <w:sz w:val="24"/>
          <w:szCs w:val="24"/>
        </w:rPr>
      </w:pPr>
      <w:proofErr w:type="spellStart"/>
      <w:r w:rsidRPr="008A1EFD">
        <w:rPr>
          <w:lang w:eastAsia="bg-BG"/>
        </w:rPr>
        <w:t>Тамайра</w:t>
      </w:r>
      <w:proofErr w:type="spellEnd"/>
      <w:r w:rsidRPr="008A1EFD">
        <w:rPr>
          <w:lang w:eastAsia="bg-BG"/>
        </w:rPr>
        <w:t xml:space="preserve"> 10 </w:t>
      </w:r>
      <w:proofErr w:type="spellStart"/>
      <w:r w:rsidRPr="008A1EFD">
        <w:t>mg</w:t>
      </w:r>
      <w:proofErr w:type="spellEnd"/>
      <w:r w:rsidRPr="008A1EFD">
        <w:t xml:space="preserve">/5 </w:t>
      </w:r>
      <w:proofErr w:type="spellStart"/>
      <w:r w:rsidRPr="008A1EFD">
        <w:t>mg</w:t>
      </w:r>
      <w:proofErr w:type="spellEnd"/>
      <w:r w:rsidRPr="008A1EFD">
        <w:t xml:space="preserve"> </w:t>
      </w:r>
      <w:r w:rsidRPr="008A1EFD">
        <w:rPr>
          <w:lang w:eastAsia="bg-BG"/>
        </w:rPr>
        <w:t>твърди капсули: 20160225</w:t>
      </w:r>
    </w:p>
    <w:p w14:paraId="3BC5EC53" w14:textId="46364B9A" w:rsidR="00875EEC" w:rsidRPr="008A1EFD" w:rsidRDefault="002C50EE" w:rsidP="005726E3">
      <w:pPr>
        <w:pStyle w:val="Heading1"/>
      </w:pPr>
      <w:r w:rsidRPr="008A1EFD">
        <w:t>9. ДАТА НА ПЪРВО РАЗРЕШАВАНЕ/ПОДНОВЯВАНЕ НА РАЗРЕШЕНИЕТО ЗА УПОТРЕБА</w:t>
      </w:r>
    </w:p>
    <w:p w14:paraId="2BFF3780" w14:textId="7900FA32" w:rsidR="00EB7A0B" w:rsidRPr="008A1EFD" w:rsidRDefault="00EB7A0B" w:rsidP="00EB7A0B"/>
    <w:p w14:paraId="358B420E" w14:textId="1147B195" w:rsidR="00EB7A0B" w:rsidRPr="008A1EFD" w:rsidRDefault="00EB7A0B" w:rsidP="00EB7A0B">
      <w:r w:rsidRPr="008A1EFD">
        <w:t>Дата на първо разрешаване:05.07.2016</w:t>
      </w:r>
    </w:p>
    <w:p w14:paraId="43FB38A2" w14:textId="06746CA9" w:rsidR="007C605B" w:rsidRPr="008A1EFD" w:rsidRDefault="002C50EE" w:rsidP="005726E3">
      <w:pPr>
        <w:pStyle w:val="Heading1"/>
      </w:pPr>
      <w:r w:rsidRPr="008A1EFD">
        <w:t>10. ДАТА НА АКТУАЛИЗИРАНЕ НА ТЕКСТА</w:t>
      </w:r>
      <w:bookmarkEnd w:id="0"/>
    </w:p>
    <w:p w14:paraId="3B794678" w14:textId="69E7A186" w:rsidR="00EB7A0B" w:rsidRPr="008A1EFD" w:rsidRDefault="00EB7A0B" w:rsidP="00EB7A0B">
      <w:r w:rsidRPr="008A1EFD">
        <w:t>Юни, 2022</w:t>
      </w:r>
    </w:p>
    <w:sectPr w:rsidR="00EB7A0B" w:rsidRPr="008A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B05"/>
    <w:multiLevelType w:val="hybridMultilevel"/>
    <w:tmpl w:val="48EA965A"/>
    <w:lvl w:ilvl="0" w:tplc="3D843E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5310003">
    <w:abstractNumId w:val="29"/>
  </w:num>
  <w:num w:numId="2" w16cid:durableId="1133599525">
    <w:abstractNumId w:val="0"/>
  </w:num>
  <w:num w:numId="3" w16cid:durableId="95370604">
    <w:abstractNumId w:val="15"/>
  </w:num>
  <w:num w:numId="4" w16cid:durableId="1733894060">
    <w:abstractNumId w:val="3"/>
  </w:num>
  <w:num w:numId="5" w16cid:durableId="1483619818">
    <w:abstractNumId w:val="1"/>
  </w:num>
  <w:num w:numId="6" w16cid:durableId="1299340597">
    <w:abstractNumId w:val="18"/>
  </w:num>
  <w:num w:numId="7" w16cid:durableId="227695659">
    <w:abstractNumId w:val="13"/>
  </w:num>
  <w:num w:numId="8" w16cid:durableId="169953348">
    <w:abstractNumId w:val="17"/>
  </w:num>
  <w:num w:numId="9" w16cid:durableId="1587038053">
    <w:abstractNumId w:val="2"/>
  </w:num>
  <w:num w:numId="10" w16cid:durableId="685519870">
    <w:abstractNumId w:val="4"/>
  </w:num>
  <w:num w:numId="11" w16cid:durableId="609312371">
    <w:abstractNumId w:val="32"/>
  </w:num>
  <w:num w:numId="12" w16cid:durableId="1381859217">
    <w:abstractNumId w:val="16"/>
  </w:num>
  <w:num w:numId="13" w16cid:durableId="1866864606">
    <w:abstractNumId w:val="21"/>
  </w:num>
  <w:num w:numId="14" w16cid:durableId="2118796218">
    <w:abstractNumId w:val="14"/>
  </w:num>
  <w:num w:numId="15" w16cid:durableId="1566867027">
    <w:abstractNumId w:val="31"/>
  </w:num>
  <w:num w:numId="16" w16cid:durableId="1156267941">
    <w:abstractNumId w:val="12"/>
  </w:num>
  <w:num w:numId="17" w16cid:durableId="1316228335">
    <w:abstractNumId w:val="26"/>
  </w:num>
  <w:num w:numId="18" w16cid:durableId="1331954265">
    <w:abstractNumId w:val="9"/>
  </w:num>
  <w:num w:numId="19" w16cid:durableId="832841915">
    <w:abstractNumId w:val="28"/>
  </w:num>
  <w:num w:numId="20" w16cid:durableId="1403794431">
    <w:abstractNumId w:val="25"/>
  </w:num>
  <w:num w:numId="21" w16cid:durableId="1006598342">
    <w:abstractNumId w:val="19"/>
  </w:num>
  <w:num w:numId="22" w16cid:durableId="165901181">
    <w:abstractNumId w:val="27"/>
  </w:num>
  <w:num w:numId="23" w16cid:durableId="866600717">
    <w:abstractNumId w:val="20"/>
  </w:num>
  <w:num w:numId="24" w16cid:durableId="985430004">
    <w:abstractNumId w:val="10"/>
  </w:num>
  <w:num w:numId="25" w16cid:durableId="1424230195">
    <w:abstractNumId w:val="24"/>
  </w:num>
  <w:num w:numId="26" w16cid:durableId="1033192731">
    <w:abstractNumId w:val="23"/>
  </w:num>
  <w:num w:numId="27" w16cid:durableId="1770466910">
    <w:abstractNumId w:val="33"/>
  </w:num>
  <w:num w:numId="28" w16cid:durableId="1832599154">
    <w:abstractNumId w:val="7"/>
  </w:num>
  <w:num w:numId="29" w16cid:durableId="351567639">
    <w:abstractNumId w:val="22"/>
  </w:num>
  <w:num w:numId="30" w16cid:durableId="1819761330">
    <w:abstractNumId w:val="36"/>
  </w:num>
  <w:num w:numId="31" w16cid:durableId="465393668">
    <w:abstractNumId w:val="5"/>
  </w:num>
  <w:num w:numId="32" w16cid:durableId="863709732">
    <w:abstractNumId w:val="35"/>
  </w:num>
  <w:num w:numId="33" w16cid:durableId="387463814">
    <w:abstractNumId w:val="30"/>
  </w:num>
  <w:num w:numId="34" w16cid:durableId="1951667907">
    <w:abstractNumId w:val="34"/>
  </w:num>
  <w:num w:numId="35" w16cid:durableId="1350914743">
    <w:abstractNumId w:val="8"/>
  </w:num>
  <w:num w:numId="36" w16cid:durableId="647058141">
    <w:abstractNumId w:val="11"/>
  </w:num>
  <w:num w:numId="37" w16cid:durableId="841285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0"/>
    <w:rsid w:val="00074B19"/>
    <w:rsid w:val="00185A46"/>
    <w:rsid w:val="001915B6"/>
    <w:rsid w:val="001D1B23"/>
    <w:rsid w:val="00262A3A"/>
    <w:rsid w:val="002B3C38"/>
    <w:rsid w:val="002B4DBB"/>
    <w:rsid w:val="002C50EE"/>
    <w:rsid w:val="00340A0A"/>
    <w:rsid w:val="003765DC"/>
    <w:rsid w:val="00395555"/>
    <w:rsid w:val="003E3126"/>
    <w:rsid w:val="00426E5F"/>
    <w:rsid w:val="00482748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0295F"/>
    <w:rsid w:val="008134C8"/>
    <w:rsid w:val="00814073"/>
    <w:rsid w:val="00826F0D"/>
    <w:rsid w:val="00875EEC"/>
    <w:rsid w:val="00893B92"/>
    <w:rsid w:val="008A1EFD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87439"/>
    <w:rsid w:val="00BF2600"/>
    <w:rsid w:val="00C0049F"/>
    <w:rsid w:val="00C07B84"/>
    <w:rsid w:val="00C33464"/>
    <w:rsid w:val="00C40420"/>
    <w:rsid w:val="00C763A0"/>
    <w:rsid w:val="00C809A7"/>
    <w:rsid w:val="00C83063"/>
    <w:rsid w:val="00C87E90"/>
    <w:rsid w:val="00CA1B57"/>
    <w:rsid w:val="00CF77F7"/>
    <w:rsid w:val="00D86297"/>
    <w:rsid w:val="00DB32D3"/>
    <w:rsid w:val="00DD466D"/>
    <w:rsid w:val="00E92FA9"/>
    <w:rsid w:val="00EB6364"/>
    <w:rsid w:val="00EB7A0B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chaikaphanna.com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8359</Words>
  <Characters>47649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6</cp:revision>
  <dcterms:created xsi:type="dcterms:W3CDTF">2022-12-01T23:34:00Z</dcterms:created>
  <dcterms:modified xsi:type="dcterms:W3CDTF">2022-12-07T07:52:00Z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