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2F9FC7EA" w:rsidR="00AA23EC" w:rsidRDefault="00DD466D" w:rsidP="00DD466D">
      <w:pPr>
        <w:pStyle w:val="Heading1"/>
      </w:pPr>
      <w:r>
        <w:t>1.ИМЕ НА ЛЕКАРСТВЕНИЯ ПРОДУКТ</w:t>
      </w:r>
    </w:p>
    <w:p w14:paraId="1FC530C1" w14:textId="6AEC204C" w:rsidR="00AC3E28" w:rsidRDefault="00AC3E28" w:rsidP="00AC3E28"/>
    <w:p w14:paraId="5E1F1428" w14:textId="77777777" w:rsidR="00AC3E28" w:rsidRPr="00AC3E28" w:rsidRDefault="00AC3E28" w:rsidP="00AC3E28">
      <w:pPr>
        <w:spacing w:line="240" w:lineRule="auto"/>
        <w:rPr>
          <w:rFonts w:eastAsia="Times New Roman" w:cs="Arial"/>
          <w:szCs w:val="20"/>
        </w:rPr>
      </w:pPr>
      <w:r w:rsidRPr="00AC3E28">
        <w:rPr>
          <w:rFonts w:eastAsia="Times New Roman" w:cs="Arial"/>
          <w:color w:val="000000"/>
          <w:szCs w:val="20"/>
          <w:lang w:eastAsia="bg-BG"/>
        </w:rPr>
        <w:t xml:space="preserve">Тамсудил 0,4 </w:t>
      </w:r>
      <w:r w:rsidRPr="00AC3E28">
        <w:rPr>
          <w:rFonts w:eastAsia="Times New Roman" w:cs="Arial"/>
          <w:color w:val="000000"/>
          <w:szCs w:val="20"/>
          <w:lang w:val="en-US"/>
        </w:rPr>
        <w:t xml:space="preserve">mg </w:t>
      </w:r>
      <w:r w:rsidRPr="00AC3E28">
        <w:rPr>
          <w:rFonts w:eastAsia="Times New Roman" w:cs="Arial"/>
          <w:color w:val="000000"/>
          <w:szCs w:val="20"/>
          <w:lang w:eastAsia="bg-BG"/>
        </w:rPr>
        <w:t>капсули с изменено освобождаване</w:t>
      </w:r>
    </w:p>
    <w:p w14:paraId="69552848" w14:textId="77777777" w:rsidR="00AC3E28" w:rsidRPr="00AC3E28" w:rsidRDefault="00AC3E28" w:rsidP="00AC3E28">
      <w:pPr>
        <w:spacing w:line="240" w:lineRule="auto"/>
        <w:rPr>
          <w:rFonts w:eastAsia="Times New Roman" w:cs="Arial"/>
          <w:szCs w:val="20"/>
        </w:rPr>
      </w:pPr>
      <w:proofErr w:type="spellStart"/>
      <w:r w:rsidRPr="00AC3E28">
        <w:rPr>
          <w:rFonts w:eastAsia="Times New Roman" w:cs="Arial"/>
          <w:color w:val="000000"/>
          <w:szCs w:val="20"/>
          <w:lang w:val="en-US"/>
        </w:rPr>
        <w:t>Tamsudil</w:t>
      </w:r>
      <w:proofErr w:type="spellEnd"/>
      <w:r w:rsidRPr="00AC3E28">
        <w:rPr>
          <w:rFonts w:eastAsia="Times New Roman" w:cs="Arial"/>
          <w:color w:val="000000"/>
          <w:szCs w:val="20"/>
          <w:lang w:val="en-US"/>
        </w:rPr>
        <w:t xml:space="preserve"> </w:t>
      </w:r>
      <w:r w:rsidRPr="00AC3E28">
        <w:rPr>
          <w:rFonts w:eastAsia="Times New Roman" w:cs="Arial"/>
          <w:color w:val="000000"/>
          <w:szCs w:val="20"/>
          <w:lang w:eastAsia="bg-BG"/>
        </w:rPr>
        <w:t>0</w:t>
      </w:r>
      <w:proofErr w:type="gramStart"/>
      <w:r w:rsidRPr="00AC3E28">
        <w:rPr>
          <w:rFonts w:eastAsia="Times New Roman" w:cs="Arial"/>
          <w:color w:val="000000"/>
          <w:szCs w:val="20"/>
          <w:lang w:eastAsia="bg-BG"/>
        </w:rPr>
        <w:t>,4</w:t>
      </w:r>
      <w:proofErr w:type="gramEnd"/>
      <w:r w:rsidRPr="00AC3E28">
        <w:rPr>
          <w:rFonts w:eastAsia="Times New Roman" w:cs="Arial"/>
          <w:color w:val="000000"/>
          <w:szCs w:val="20"/>
          <w:lang w:eastAsia="bg-BG"/>
        </w:rPr>
        <w:t xml:space="preserve"> </w:t>
      </w:r>
      <w:r w:rsidRPr="00AC3E28">
        <w:rPr>
          <w:rFonts w:eastAsia="Times New Roman" w:cs="Arial"/>
          <w:color w:val="000000"/>
          <w:szCs w:val="20"/>
          <w:lang w:val="en-US"/>
        </w:rPr>
        <w:t>mg modified-release capsules</w:t>
      </w:r>
    </w:p>
    <w:p w14:paraId="7F9FE8AF" w14:textId="77777777" w:rsidR="00AC3E28" w:rsidRPr="00AC3E28" w:rsidRDefault="00AC3E28" w:rsidP="00AC3E28"/>
    <w:p w14:paraId="0A368469" w14:textId="44850360" w:rsidR="00C0049F" w:rsidRDefault="00DD466D" w:rsidP="009F1313">
      <w:pPr>
        <w:pStyle w:val="Heading1"/>
      </w:pPr>
      <w:r>
        <w:t>2. КАЧЕСТВЕН И КОЛИЧЕСТВЕН СЪСТАВ</w:t>
      </w:r>
    </w:p>
    <w:p w14:paraId="3DDF5284" w14:textId="3B6D6739" w:rsidR="00AC3E28" w:rsidRDefault="00AC3E28" w:rsidP="00AC3E28"/>
    <w:p w14:paraId="5F3927C0"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Всяка капсула с изменено освобождаване съдържа 0,4 </w:t>
      </w:r>
      <w:r w:rsidRPr="00AC3E28">
        <w:rPr>
          <w:rFonts w:eastAsia="Times New Roman" w:cs="Arial"/>
          <w:color w:val="000000"/>
          <w:szCs w:val="20"/>
          <w:lang w:val="en-US"/>
        </w:rPr>
        <w:t xml:space="preserve">mg </w:t>
      </w:r>
      <w:r w:rsidRPr="00AC3E28">
        <w:rPr>
          <w:rFonts w:eastAsia="Times New Roman" w:cs="Arial"/>
          <w:color w:val="000000"/>
          <w:szCs w:val="20"/>
          <w:lang w:eastAsia="bg-BG"/>
        </w:rPr>
        <w:t xml:space="preserve">тамсулозинов хидрохлорид </w:t>
      </w:r>
      <w:r w:rsidRPr="00AC3E28">
        <w:rPr>
          <w:rFonts w:eastAsia="Times New Roman" w:cs="Arial"/>
          <w:i/>
          <w:iCs/>
          <w:color w:val="000000"/>
          <w:szCs w:val="20"/>
          <w:lang w:val="en-US"/>
        </w:rPr>
        <w:t>(</w:t>
      </w:r>
      <w:proofErr w:type="spellStart"/>
      <w:r w:rsidRPr="00AC3E28">
        <w:rPr>
          <w:rFonts w:eastAsia="Times New Roman" w:cs="Arial"/>
          <w:i/>
          <w:iCs/>
          <w:color w:val="000000"/>
          <w:szCs w:val="20"/>
          <w:lang w:val="en-US"/>
        </w:rPr>
        <w:t>tamsulosin</w:t>
      </w:r>
      <w:proofErr w:type="spellEnd"/>
      <w:r w:rsidRPr="00AC3E28">
        <w:rPr>
          <w:rFonts w:eastAsia="Times New Roman" w:cs="Arial"/>
          <w:i/>
          <w:iCs/>
          <w:color w:val="000000"/>
          <w:szCs w:val="20"/>
          <w:lang w:val="en-US"/>
        </w:rPr>
        <w:t xml:space="preserve"> hydrochloride).</w:t>
      </w:r>
    </w:p>
    <w:p w14:paraId="6F1DC44E" w14:textId="77777777" w:rsidR="00AC3E28" w:rsidRPr="00AC3E28" w:rsidRDefault="00AC3E28" w:rsidP="00AC3E28"/>
    <w:p w14:paraId="614984C4" w14:textId="1BC675F7" w:rsidR="008A6AF2" w:rsidRDefault="00DD466D" w:rsidP="002C50EE">
      <w:pPr>
        <w:pStyle w:val="Heading1"/>
      </w:pPr>
      <w:r>
        <w:t>3. ЛЕКАРСТВЕНА ФОРМА</w:t>
      </w:r>
    </w:p>
    <w:p w14:paraId="27A84339" w14:textId="7D27A7E9" w:rsidR="00AC3E28" w:rsidRDefault="00AC3E28" w:rsidP="00AC3E28"/>
    <w:p w14:paraId="0513240E"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Капсула с изменено освобождаване</w:t>
      </w:r>
    </w:p>
    <w:p w14:paraId="41D7703D" w14:textId="77777777" w:rsidR="00AC3E28" w:rsidRPr="00AC3E28" w:rsidRDefault="00AC3E28" w:rsidP="00AC3E28">
      <w:pPr>
        <w:spacing w:line="240" w:lineRule="auto"/>
        <w:rPr>
          <w:rFonts w:eastAsia="Times New Roman" w:cs="Arial"/>
          <w:color w:val="000000"/>
          <w:szCs w:val="20"/>
          <w:lang w:eastAsia="bg-BG"/>
        </w:rPr>
      </w:pPr>
    </w:p>
    <w:p w14:paraId="4A5AE894" w14:textId="1C995826"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Твърди желатинови капсули с оранжево тяло и маслиненозелено капаче. Капсулите са пълни с бели до почти бели пелети.</w:t>
      </w:r>
    </w:p>
    <w:p w14:paraId="75619D69" w14:textId="77777777" w:rsidR="00AC3E28" w:rsidRPr="00AC3E28" w:rsidRDefault="00AC3E28" w:rsidP="00AC3E28"/>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37F75E2C" w:rsidR="00395555" w:rsidRDefault="00395555" w:rsidP="00395555"/>
    <w:p w14:paraId="27E488EA" w14:textId="75FB9C8D" w:rsidR="00AC3E28" w:rsidRDefault="00AC3E28" w:rsidP="00395555">
      <w:pPr>
        <w:rPr>
          <w:szCs w:val="20"/>
        </w:rPr>
      </w:pPr>
      <w:r w:rsidRPr="00AC3E28">
        <w:rPr>
          <w:szCs w:val="20"/>
        </w:rPr>
        <w:t>Лечение на функционални симптоми на долните пикочни пътища, предизвикани от доброкачествена хиперплазия на простатата (ДХП).</w:t>
      </w:r>
    </w:p>
    <w:p w14:paraId="50B1B5AC" w14:textId="77777777" w:rsidR="00AC3E28" w:rsidRPr="00AC3E28" w:rsidRDefault="00AC3E28" w:rsidP="00395555">
      <w:pPr>
        <w:rPr>
          <w:sz w:val="24"/>
        </w:rPr>
      </w:pPr>
    </w:p>
    <w:p w14:paraId="7C0CA5EB" w14:textId="1F974C6C" w:rsidR="00C0049F" w:rsidRDefault="002C50EE" w:rsidP="009F1313">
      <w:pPr>
        <w:pStyle w:val="Heading2"/>
      </w:pPr>
      <w:r>
        <w:t>4.2. Дозировка и начин на приложение</w:t>
      </w:r>
    </w:p>
    <w:p w14:paraId="0A5B91F8" w14:textId="4C93696A" w:rsidR="00AC3E28" w:rsidRDefault="00AC3E28" w:rsidP="00AC3E28"/>
    <w:p w14:paraId="154E2AD2" w14:textId="77777777" w:rsidR="00AC3E28" w:rsidRPr="00AC3E28" w:rsidRDefault="00AC3E28" w:rsidP="00AC3E28">
      <w:pPr>
        <w:pStyle w:val="Heading3"/>
        <w:rPr>
          <w:rFonts w:eastAsia="Times New Roman"/>
          <w:sz w:val="28"/>
          <w:u w:val="single"/>
        </w:rPr>
      </w:pPr>
      <w:r w:rsidRPr="00AC3E28">
        <w:rPr>
          <w:rFonts w:eastAsia="Times New Roman"/>
          <w:u w:val="single"/>
          <w:lang w:eastAsia="bg-BG"/>
        </w:rPr>
        <w:t>Дозировка</w:t>
      </w:r>
    </w:p>
    <w:p w14:paraId="72CD7B06" w14:textId="77777777" w:rsidR="00AC3E28" w:rsidRPr="00AC3E28" w:rsidRDefault="00AC3E28" w:rsidP="00AC3E28">
      <w:pPr>
        <w:spacing w:line="240" w:lineRule="auto"/>
        <w:rPr>
          <w:rFonts w:eastAsia="Times New Roman" w:cs="Arial"/>
          <w:sz w:val="28"/>
          <w:szCs w:val="24"/>
        </w:rPr>
      </w:pPr>
      <w:r w:rsidRPr="00AC3E28">
        <w:rPr>
          <w:rFonts w:eastAsia="Times New Roman" w:cs="Arial"/>
          <w:i/>
          <w:iCs/>
          <w:color w:val="000000"/>
          <w:szCs w:val="20"/>
          <w:lang w:eastAsia="bg-BG"/>
        </w:rPr>
        <w:t>Възрастни</w:t>
      </w:r>
    </w:p>
    <w:p w14:paraId="4FF592FC"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Една капсула дневно, след закуска или след първото хранене за деня.</w:t>
      </w:r>
    </w:p>
    <w:p w14:paraId="42663646" w14:textId="77777777" w:rsidR="00AC3E28" w:rsidRPr="00AC3E28" w:rsidRDefault="00AC3E28" w:rsidP="00AC3E28">
      <w:pPr>
        <w:spacing w:line="240" w:lineRule="auto"/>
        <w:rPr>
          <w:rFonts w:eastAsia="Times New Roman" w:cs="Arial"/>
          <w:color w:val="000000"/>
          <w:szCs w:val="20"/>
          <w:lang w:eastAsia="bg-BG"/>
        </w:rPr>
      </w:pPr>
    </w:p>
    <w:p w14:paraId="1B14A67D" w14:textId="6D1E671A"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При пациенти с бъбречни нарушения не е необходимо коригиране на дозата.</w:t>
      </w:r>
    </w:p>
    <w:p w14:paraId="05B4333D" w14:textId="77777777" w:rsidR="00AC3E28" w:rsidRPr="00AC3E28" w:rsidRDefault="00AC3E28" w:rsidP="00AC3E28">
      <w:pPr>
        <w:spacing w:line="240" w:lineRule="auto"/>
        <w:rPr>
          <w:rFonts w:eastAsia="Times New Roman" w:cs="Arial"/>
          <w:color w:val="000000"/>
          <w:szCs w:val="20"/>
          <w:lang w:eastAsia="bg-BG"/>
        </w:rPr>
      </w:pPr>
    </w:p>
    <w:p w14:paraId="3FA28943" w14:textId="5978ADE6" w:rsidR="00AC3E28" w:rsidRPr="00AC3E28" w:rsidRDefault="00AC3E28" w:rsidP="00AC3E28">
      <w:pPr>
        <w:spacing w:line="240" w:lineRule="auto"/>
        <w:rPr>
          <w:rFonts w:eastAsia="Times New Roman" w:cs="Arial"/>
          <w:color w:val="000000"/>
          <w:szCs w:val="20"/>
          <w:lang w:eastAsia="bg-BG"/>
        </w:rPr>
      </w:pPr>
      <w:r w:rsidRPr="00AC3E28">
        <w:rPr>
          <w:rFonts w:eastAsia="Times New Roman" w:cs="Arial"/>
          <w:color w:val="000000"/>
          <w:szCs w:val="20"/>
          <w:lang w:eastAsia="bg-BG"/>
        </w:rPr>
        <w:t xml:space="preserve">Не е необходимо коригиране на дозата при пациенти с лека до умерено тежка чернодробна недостатъчност </w:t>
      </w:r>
    </w:p>
    <w:p w14:paraId="0243D431" w14:textId="0DCAFEED"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(вж. точка 4.3).</w:t>
      </w:r>
    </w:p>
    <w:p w14:paraId="42DC057A" w14:textId="77777777" w:rsidR="00AC3E28" w:rsidRPr="00AC3E28" w:rsidRDefault="00AC3E28" w:rsidP="00AC3E28">
      <w:pPr>
        <w:spacing w:line="240" w:lineRule="auto"/>
        <w:rPr>
          <w:rFonts w:eastAsia="Times New Roman" w:cs="Arial"/>
          <w:i/>
          <w:iCs/>
          <w:color w:val="000000"/>
          <w:szCs w:val="20"/>
          <w:lang w:eastAsia="bg-BG"/>
        </w:rPr>
      </w:pPr>
    </w:p>
    <w:p w14:paraId="7F3019EA" w14:textId="2EC7D250" w:rsidR="00AC3E28" w:rsidRPr="00AC3E28" w:rsidRDefault="00AC3E28" w:rsidP="00AC3E28">
      <w:pPr>
        <w:spacing w:line="240" w:lineRule="auto"/>
        <w:rPr>
          <w:rFonts w:eastAsia="Times New Roman" w:cs="Arial"/>
          <w:sz w:val="28"/>
          <w:szCs w:val="24"/>
        </w:rPr>
      </w:pPr>
      <w:r w:rsidRPr="00AC3E28">
        <w:rPr>
          <w:rFonts w:eastAsia="Times New Roman" w:cs="Arial"/>
          <w:i/>
          <w:iCs/>
          <w:color w:val="000000"/>
          <w:szCs w:val="20"/>
          <w:lang w:eastAsia="bg-BG"/>
        </w:rPr>
        <w:t>Педиатрична популация</w:t>
      </w:r>
    </w:p>
    <w:p w14:paraId="735F161A"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Безопасността и ефикасността на тамсулозин при деца &lt; 18 години не е установена. Наличните понастоящем данни са описани в точка 5.1.</w:t>
      </w:r>
    </w:p>
    <w:p w14:paraId="1AAE60E4" w14:textId="77777777" w:rsidR="00AC3E28" w:rsidRPr="00AC3E28" w:rsidRDefault="00AC3E28" w:rsidP="00AC3E28">
      <w:pPr>
        <w:spacing w:line="240" w:lineRule="auto"/>
        <w:rPr>
          <w:rFonts w:eastAsia="Times New Roman" w:cs="Arial"/>
          <w:color w:val="000000"/>
          <w:szCs w:val="20"/>
          <w:u w:val="single"/>
          <w:lang w:eastAsia="bg-BG"/>
        </w:rPr>
      </w:pPr>
    </w:p>
    <w:p w14:paraId="21DFCA2D" w14:textId="5251797C" w:rsidR="00AC3E28" w:rsidRPr="00AC3E28" w:rsidRDefault="00AC3E28" w:rsidP="00AC3E28">
      <w:pPr>
        <w:pStyle w:val="Heading3"/>
        <w:rPr>
          <w:rFonts w:eastAsia="Times New Roman"/>
          <w:sz w:val="28"/>
          <w:u w:val="single"/>
        </w:rPr>
      </w:pPr>
      <w:r w:rsidRPr="00AC3E28">
        <w:rPr>
          <w:rFonts w:eastAsia="Times New Roman"/>
          <w:u w:val="single"/>
          <w:lang w:eastAsia="bg-BG"/>
        </w:rPr>
        <w:lastRenderedPageBreak/>
        <w:t>Начин на приложение</w:t>
      </w:r>
    </w:p>
    <w:p w14:paraId="215BD506" w14:textId="6BD12A52"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Перорално приложение</w:t>
      </w:r>
    </w:p>
    <w:p w14:paraId="6A2339F7" w14:textId="77777777" w:rsidR="00AC3E28" w:rsidRPr="00AC3E28" w:rsidRDefault="00AC3E28" w:rsidP="00AC3E28">
      <w:pPr>
        <w:rPr>
          <w:rFonts w:eastAsia="Times New Roman" w:cs="Arial"/>
          <w:color w:val="000000"/>
          <w:szCs w:val="20"/>
          <w:lang w:eastAsia="bg-BG"/>
        </w:rPr>
      </w:pPr>
    </w:p>
    <w:p w14:paraId="4E3FF0DB" w14:textId="6A275EFC" w:rsidR="00AC3E28" w:rsidRDefault="00AC3E28" w:rsidP="00AC3E28">
      <w:pPr>
        <w:rPr>
          <w:rFonts w:eastAsia="Times New Roman" w:cs="Arial"/>
          <w:color w:val="000000"/>
          <w:szCs w:val="20"/>
          <w:lang w:eastAsia="bg-BG"/>
        </w:rPr>
      </w:pPr>
      <w:r w:rsidRPr="00AC3E28">
        <w:rPr>
          <w:rFonts w:eastAsia="Times New Roman" w:cs="Arial"/>
          <w:color w:val="000000"/>
          <w:szCs w:val="20"/>
          <w:lang w:eastAsia="bg-BG"/>
        </w:rPr>
        <w:t>Капсулите трябва да се поглъщат цели и не трябва да се смачкват или</w:t>
      </w:r>
      <w:r w:rsidRPr="00AC3E28">
        <w:rPr>
          <w:rFonts w:eastAsia="Times New Roman" w:cs="Arial"/>
          <w:color w:val="000000"/>
          <w:szCs w:val="20"/>
          <w:lang w:val="en-US"/>
        </w:rPr>
        <w:t xml:space="preserve"> </w:t>
      </w:r>
      <w:r w:rsidRPr="00AC3E28">
        <w:rPr>
          <w:rFonts w:eastAsia="Times New Roman" w:cs="Arial"/>
          <w:color w:val="000000"/>
          <w:szCs w:val="20"/>
          <w:lang w:eastAsia="bg-BG"/>
        </w:rPr>
        <w:t>дъвчат, тъй като това би</w:t>
      </w:r>
      <w:r w:rsidRPr="00AC3E28">
        <w:rPr>
          <w:rFonts w:eastAsia="Times New Roman" w:cs="Arial"/>
          <w:color w:val="000000"/>
          <w:sz w:val="24"/>
          <w:lang w:eastAsia="bg-BG"/>
        </w:rPr>
        <w:t xml:space="preserve"> </w:t>
      </w:r>
      <w:r w:rsidRPr="00AC3E28">
        <w:rPr>
          <w:rFonts w:eastAsia="Times New Roman" w:cs="Arial"/>
          <w:color w:val="000000"/>
          <w:szCs w:val="20"/>
          <w:lang w:eastAsia="bg-BG"/>
        </w:rPr>
        <w:t>нарушило измененото освобождаване на лекарственото вещество.</w:t>
      </w:r>
    </w:p>
    <w:p w14:paraId="0373D500" w14:textId="77777777" w:rsidR="00AC3E28" w:rsidRPr="00AC3E28" w:rsidRDefault="00AC3E28" w:rsidP="00AC3E28">
      <w:pPr>
        <w:rPr>
          <w:rFonts w:cs="Arial"/>
          <w:sz w:val="24"/>
        </w:rPr>
      </w:pPr>
    </w:p>
    <w:p w14:paraId="62B13D0B" w14:textId="0DBF0040" w:rsidR="00395555" w:rsidRDefault="002C50EE" w:rsidP="008A6AF2">
      <w:pPr>
        <w:pStyle w:val="Heading2"/>
      </w:pPr>
      <w:r>
        <w:t>4.3. Противопоказания</w:t>
      </w:r>
    </w:p>
    <w:p w14:paraId="3708A3D9" w14:textId="77777777" w:rsidR="00AC3E28" w:rsidRDefault="00AC3E28" w:rsidP="00AC3E28">
      <w:pPr>
        <w:rPr>
          <w:lang w:eastAsia="bg-BG"/>
        </w:rPr>
      </w:pPr>
    </w:p>
    <w:p w14:paraId="629CDCA5" w14:textId="1AD34B9E" w:rsidR="00AC3E28" w:rsidRPr="00AC3E28" w:rsidRDefault="00AC3E28" w:rsidP="00AC3E28">
      <w:pPr>
        <w:pStyle w:val="ListParagraph"/>
        <w:numPr>
          <w:ilvl w:val="0"/>
          <w:numId w:val="32"/>
        </w:numPr>
        <w:rPr>
          <w:lang w:eastAsia="bg-BG"/>
        </w:rPr>
      </w:pPr>
      <w:r w:rsidRPr="00AC3E28">
        <w:rPr>
          <w:lang w:eastAsia="bg-BG"/>
        </w:rPr>
        <w:t>Свръхчувствителност към тамсулозин хидрохлорид (включително лекарствено</w:t>
      </w:r>
    </w:p>
    <w:p w14:paraId="36C98613" w14:textId="77777777" w:rsidR="00AC3E28" w:rsidRPr="00AC3E28" w:rsidRDefault="00AC3E28" w:rsidP="00AC3E28">
      <w:pPr>
        <w:pStyle w:val="ListParagraph"/>
        <w:rPr>
          <w:sz w:val="24"/>
          <w:szCs w:val="24"/>
        </w:rPr>
      </w:pPr>
      <w:r w:rsidRPr="00AC3E28">
        <w:rPr>
          <w:lang w:eastAsia="bg-BG"/>
        </w:rPr>
        <w:t>индуциран ангиоедем) или към някое от помощните вещества, описани в точка 6.1.</w:t>
      </w:r>
    </w:p>
    <w:p w14:paraId="6C296276" w14:textId="77777777" w:rsidR="00AC3E28" w:rsidRPr="00AC3E28" w:rsidRDefault="00AC3E28" w:rsidP="00AC3E28">
      <w:pPr>
        <w:pStyle w:val="ListParagraph"/>
        <w:numPr>
          <w:ilvl w:val="0"/>
          <w:numId w:val="32"/>
        </w:numPr>
        <w:rPr>
          <w:lang w:eastAsia="bg-BG"/>
        </w:rPr>
      </w:pPr>
      <w:r w:rsidRPr="00AC3E28">
        <w:rPr>
          <w:lang w:eastAsia="bg-BG"/>
        </w:rPr>
        <w:t>Анамнеза за ортостатична хипотония.</w:t>
      </w:r>
    </w:p>
    <w:p w14:paraId="00F95B51" w14:textId="61827F31" w:rsidR="00AC3E28" w:rsidRDefault="00AC3E28" w:rsidP="00AC3E28">
      <w:pPr>
        <w:pStyle w:val="ListParagraph"/>
        <w:numPr>
          <w:ilvl w:val="0"/>
          <w:numId w:val="32"/>
        </w:numPr>
        <w:rPr>
          <w:lang w:eastAsia="bg-BG"/>
        </w:rPr>
      </w:pPr>
      <w:r w:rsidRPr="00AC3E28">
        <w:rPr>
          <w:lang w:eastAsia="bg-BG"/>
        </w:rPr>
        <w:t>Тежка чернодробна недостатъчност.</w:t>
      </w:r>
    </w:p>
    <w:p w14:paraId="66565FF4" w14:textId="77777777" w:rsidR="00AC3E28" w:rsidRPr="00AC3E28" w:rsidRDefault="00AC3E28" w:rsidP="00AC3E28"/>
    <w:p w14:paraId="5A4AC413" w14:textId="2603CB96" w:rsidR="00395555" w:rsidRDefault="002C50EE" w:rsidP="008A6AF2">
      <w:pPr>
        <w:pStyle w:val="Heading2"/>
      </w:pPr>
      <w:r>
        <w:t>4.4. Специални предупреждения и предпазни мерки при употреба</w:t>
      </w:r>
    </w:p>
    <w:p w14:paraId="7AA5F97A" w14:textId="4C60C22B" w:rsidR="00AC3E28" w:rsidRDefault="00AC3E28" w:rsidP="00AC3E28"/>
    <w:p w14:paraId="1DB8F3A7"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Както с други алфа1-адренорецепторни антагонисти, така и по време на лечение с тамсулозин в индивидуални случаи може да се наблюдава понижаване на артериалното налягане, което в редки случаи може да доведе до колапс. При първа поява на признаци на ортостатична хипотония (замайване, слабост), пациентът трябва да седне или да легне до отзвучаване на симптомите.</w:t>
      </w:r>
    </w:p>
    <w:p w14:paraId="65879FE1" w14:textId="77777777" w:rsidR="00AC3E28" w:rsidRPr="00AC3E28" w:rsidRDefault="00AC3E28" w:rsidP="00AC3E28">
      <w:pPr>
        <w:spacing w:line="240" w:lineRule="auto"/>
        <w:rPr>
          <w:rFonts w:eastAsia="Times New Roman" w:cs="Arial"/>
          <w:color w:val="000000"/>
          <w:szCs w:val="20"/>
          <w:lang w:eastAsia="bg-BG"/>
        </w:rPr>
      </w:pPr>
    </w:p>
    <w:p w14:paraId="5B6815AC" w14:textId="7EA04518"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Преди началото на лечението с тамсулозин пациентът трябва да се изследва, за да се изключи наличието на други състояния, които могат да предизвикат същите симптоми, като тези при доброкачествена хиперплазия на простатата. Простатата трябва да се изследва ректално, и ако е необходимо трябва да се определи простатно-специфичния антиген </w:t>
      </w:r>
      <w:r w:rsidRPr="00AC3E28">
        <w:rPr>
          <w:rFonts w:eastAsia="Times New Roman" w:cs="Arial"/>
          <w:color w:val="000000"/>
          <w:szCs w:val="20"/>
          <w:lang w:val="en-US"/>
        </w:rPr>
        <w:t xml:space="preserve">(PSA) </w:t>
      </w:r>
      <w:r w:rsidRPr="00AC3E28">
        <w:rPr>
          <w:rFonts w:eastAsia="Times New Roman" w:cs="Arial"/>
          <w:color w:val="000000"/>
          <w:szCs w:val="20"/>
          <w:lang w:eastAsia="bg-BG"/>
        </w:rPr>
        <w:t>преди началото на лечението и след това на редовни интервали.</w:t>
      </w:r>
    </w:p>
    <w:p w14:paraId="4B9718D3" w14:textId="77777777" w:rsidR="00AC3E28" w:rsidRPr="00AC3E28" w:rsidRDefault="00AC3E28" w:rsidP="00AC3E28">
      <w:pPr>
        <w:spacing w:line="240" w:lineRule="auto"/>
        <w:rPr>
          <w:rFonts w:eastAsia="Times New Roman" w:cs="Arial"/>
          <w:color w:val="000000"/>
          <w:szCs w:val="20"/>
          <w:lang w:eastAsia="bg-BG"/>
        </w:rPr>
      </w:pPr>
    </w:p>
    <w:p w14:paraId="431456AE" w14:textId="1B1339A4"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Лечението на пациенти с тежко бъбречно увреждане (креатининов клирънс &lt;10 </w:t>
      </w:r>
      <w:r w:rsidRPr="00AC3E28">
        <w:rPr>
          <w:rFonts w:eastAsia="Times New Roman" w:cs="Arial"/>
          <w:color w:val="000000"/>
          <w:szCs w:val="20"/>
          <w:lang w:val="en-US"/>
        </w:rPr>
        <w:t xml:space="preserve">ml/min) </w:t>
      </w:r>
      <w:r w:rsidRPr="00AC3E28">
        <w:rPr>
          <w:rFonts w:eastAsia="Times New Roman" w:cs="Arial"/>
          <w:color w:val="000000"/>
          <w:szCs w:val="20"/>
          <w:lang w:eastAsia="bg-BG"/>
        </w:rPr>
        <w:t>трябва да се започне внимателно, тъй като тези болни не са проучени.</w:t>
      </w:r>
    </w:p>
    <w:p w14:paraId="71B3D585" w14:textId="77777777" w:rsidR="00AC3E28" w:rsidRPr="00AC3E28" w:rsidRDefault="00AC3E28" w:rsidP="00AC3E28">
      <w:pPr>
        <w:spacing w:line="240" w:lineRule="auto"/>
        <w:rPr>
          <w:rFonts w:eastAsia="Times New Roman" w:cs="Arial"/>
          <w:color w:val="000000"/>
          <w:szCs w:val="20"/>
          <w:lang w:eastAsia="bg-BG"/>
        </w:rPr>
      </w:pPr>
    </w:p>
    <w:p w14:paraId="7E4E19F6" w14:textId="63E8B6A5"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При някои пациенти, които приемат или преди са били на терапия с тамсулозин хидрохлорид по време на операция на катаракта е наблюдаван </w:t>
      </w:r>
      <w:r w:rsidRPr="00AC3E28">
        <w:rPr>
          <w:rFonts w:eastAsia="Times New Roman" w:cs="Arial"/>
          <w:color w:val="000000"/>
          <w:szCs w:val="20"/>
          <w:lang w:val="en-US"/>
        </w:rPr>
        <w:t xml:space="preserve">"Intraoperative Floppy Iris Syndrome (IF1S, </w:t>
      </w:r>
      <w:r w:rsidRPr="00AC3E28">
        <w:rPr>
          <w:rFonts w:eastAsia="Times New Roman" w:cs="Arial"/>
          <w:color w:val="000000"/>
          <w:szCs w:val="20"/>
          <w:lang w:eastAsia="bg-BG"/>
        </w:rPr>
        <w:t xml:space="preserve">вариант на синдром на малката зеница)’’. </w:t>
      </w:r>
      <w:r w:rsidRPr="00AC3E28">
        <w:rPr>
          <w:rFonts w:eastAsia="Times New Roman" w:cs="Arial"/>
          <w:color w:val="000000"/>
          <w:szCs w:val="20"/>
          <w:lang w:val="en-US"/>
        </w:rPr>
        <w:t xml:space="preserve">IFIS </w:t>
      </w:r>
      <w:r w:rsidRPr="00AC3E28">
        <w:rPr>
          <w:rFonts w:eastAsia="Times New Roman" w:cs="Arial"/>
          <w:color w:val="000000"/>
          <w:szCs w:val="20"/>
          <w:lang w:eastAsia="bg-BG"/>
        </w:rPr>
        <w:t>може да повиши риска от усложнения по време на и след операцията.</w:t>
      </w:r>
    </w:p>
    <w:p w14:paraId="154700E2"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Прекратяване на лечението с тамсулозин 1-2 седмици преди операция на катаракта парадоксално се счита за полезно, но ползата от прекратяване на терапията все още е установена. </w:t>
      </w:r>
      <w:r w:rsidRPr="00AC3E28">
        <w:rPr>
          <w:rFonts w:eastAsia="Times New Roman" w:cs="Arial"/>
          <w:color w:val="000000"/>
          <w:szCs w:val="20"/>
          <w:lang w:val="en-US"/>
        </w:rPr>
        <w:t xml:space="preserve">IFIS </w:t>
      </w:r>
      <w:r w:rsidRPr="00AC3E28">
        <w:rPr>
          <w:rFonts w:eastAsia="Times New Roman" w:cs="Arial"/>
          <w:color w:val="000000"/>
          <w:szCs w:val="20"/>
          <w:lang w:eastAsia="bg-BG"/>
        </w:rPr>
        <w:t>е наблюдаван и при пациенти, които са прекратили употребата на тамсулозин много преди оперативната намеса за катаракта.</w:t>
      </w:r>
    </w:p>
    <w:p w14:paraId="5FF9A428"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При пациенти, на които им предстои операция на катаракта не се препоръчва започване на терапия с тамсулозин. По време на предоперативния преглед, хирургът и офталмолозите трябва да обърнат внимание на факта дали пациентът, планиран за опериране на катаракта се лекува или е бил лекуван с тамсулозин, за да се гарантира, че ще се предприемат съответните подходящи мерки, чрез които да се справят с </w:t>
      </w:r>
      <w:r w:rsidRPr="00AC3E28">
        <w:rPr>
          <w:rFonts w:eastAsia="Times New Roman" w:cs="Arial"/>
          <w:color w:val="000000"/>
          <w:szCs w:val="20"/>
          <w:lang w:val="en-US"/>
        </w:rPr>
        <w:t xml:space="preserve">IFIS </w:t>
      </w:r>
      <w:r w:rsidRPr="00AC3E28">
        <w:rPr>
          <w:rFonts w:eastAsia="Times New Roman" w:cs="Arial"/>
          <w:color w:val="000000"/>
          <w:szCs w:val="20"/>
          <w:lang w:eastAsia="bg-BG"/>
        </w:rPr>
        <w:t>по време на операцията.</w:t>
      </w:r>
    </w:p>
    <w:p w14:paraId="6117AA2F" w14:textId="77777777" w:rsidR="00AC3E28" w:rsidRPr="00AC3E28" w:rsidRDefault="00AC3E28" w:rsidP="00AC3E28">
      <w:pPr>
        <w:spacing w:line="240" w:lineRule="auto"/>
        <w:rPr>
          <w:rFonts w:eastAsia="Times New Roman" w:cs="Arial"/>
          <w:color w:val="000000"/>
          <w:szCs w:val="20"/>
          <w:lang w:eastAsia="bg-BG"/>
        </w:rPr>
      </w:pPr>
    </w:p>
    <w:p w14:paraId="071B8C5E" w14:textId="54D09602"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Тамсулозин хидрохлорид не трябва да се прилага в комбинация с мощни инхибигори на </w:t>
      </w:r>
      <w:r w:rsidRPr="00AC3E28">
        <w:rPr>
          <w:rFonts w:eastAsia="Times New Roman" w:cs="Arial"/>
          <w:color w:val="000000"/>
          <w:szCs w:val="20"/>
          <w:lang w:val="en-US"/>
        </w:rPr>
        <w:t xml:space="preserve">CYP3A4 </w:t>
      </w:r>
      <w:r w:rsidRPr="00AC3E28">
        <w:rPr>
          <w:rFonts w:eastAsia="Times New Roman" w:cs="Arial"/>
          <w:color w:val="000000"/>
          <w:szCs w:val="20"/>
          <w:lang w:eastAsia="bg-BG"/>
        </w:rPr>
        <w:t xml:space="preserve">на пациенти с фенотип на лоши метаболизатори на </w:t>
      </w:r>
      <w:r w:rsidRPr="00AC3E28">
        <w:rPr>
          <w:rFonts w:eastAsia="Times New Roman" w:cs="Arial"/>
          <w:color w:val="000000"/>
          <w:szCs w:val="20"/>
          <w:lang w:val="en-US"/>
        </w:rPr>
        <w:t>CYP2D6.</w:t>
      </w:r>
    </w:p>
    <w:p w14:paraId="5AB45FEB" w14:textId="77777777" w:rsidR="00AC3E28" w:rsidRPr="00AC3E28" w:rsidRDefault="00AC3E28" w:rsidP="00AC3E28">
      <w:pPr>
        <w:spacing w:line="240" w:lineRule="auto"/>
        <w:rPr>
          <w:rFonts w:eastAsia="Times New Roman" w:cs="Arial"/>
          <w:color w:val="000000"/>
          <w:szCs w:val="20"/>
          <w:lang w:eastAsia="bg-BG"/>
        </w:rPr>
      </w:pPr>
    </w:p>
    <w:p w14:paraId="46E4B2F6" w14:textId="7F46D05C"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lastRenderedPageBreak/>
        <w:t xml:space="preserve">Тамсулозин хидрохлорид трябва да се използва с внимание в комбинация с мощни и умерени инхибигори на </w:t>
      </w:r>
      <w:r w:rsidRPr="00AC3E28">
        <w:rPr>
          <w:rFonts w:eastAsia="Times New Roman" w:cs="Arial"/>
          <w:color w:val="000000"/>
          <w:szCs w:val="20"/>
          <w:lang w:val="en-US"/>
        </w:rPr>
        <w:t xml:space="preserve">CYP3A4 </w:t>
      </w:r>
      <w:r w:rsidRPr="00AC3E28">
        <w:rPr>
          <w:rFonts w:eastAsia="Times New Roman" w:cs="Arial"/>
          <w:color w:val="000000"/>
          <w:szCs w:val="20"/>
          <w:lang w:eastAsia="bg-BG"/>
        </w:rPr>
        <w:t>(вж. точка 4.5).</w:t>
      </w:r>
    </w:p>
    <w:p w14:paraId="72854F79" w14:textId="77777777" w:rsidR="00AC3E28" w:rsidRPr="00AC3E28" w:rsidRDefault="00AC3E28" w:rsidP="00AC3E28">
      <w:pPr>
        <w:spacing w:line="240" w:lineRule="auto"/>
        <w:rPr>
          <w:rFonts w:eastAsia="Times New Roman" w:cs="Arial"/>
          <w:color w:val="000000"/>
          <w:szCs w:val="20"/>
          <w:u w:val="single"/>
          <w:lang w:eastAsia="bg-BG"/>
        </w:rPr>
      </w:pPr>
    </w:p>
    <w:p w14:paraId="4EB265C7" w14:textId="1F78A602"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u w:val="single"/>
          <w:lang w:eastAsia="bg-BG"/>
        </w:rPr>
        <w:t>Помощни вещества</w:t>
      </w:r>
    </w:p>
    <w:p w14:paraId="2CF7580A" w14:textId="77777777" w:rsidR="00AC3E28" w:rsidRPr="00AC3E28" w:rsidRDefault="00AC3E28" w:rsidP="00AC3E28">
      <w:pPr>
        <w:spacing w:line="240" w:lineRule="auto"/>
        <w:rPr>
          <w:rFonts w:eastAsia="Times New Roman" w:cs="Arial"/>
          <w:sz w:val="28"/>
          <w:szCs w:val="24"/>
        </w:rPr>
      </w:pPr>
      <w:r w:rsidRPr="00AC3E28">
        <w:rPr>
          <w:rFonts w:eastAsia="Times New Roman" w:cs="Arial"/>
          <w:i/>
          <w:iCs/>
          <w:color w:val="000000"/>
          <w:szCs w:val="20"/>
          <w:lang w:eastAsia="bg-BG"/>
        </w:rPr>
        <w:t>Натрий</w:t>
      </w:r>
    </w:p>
    <w:p w14:paraId="27F93BD2"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Това лекарство съдържа по-малко от 1 </w:t>
      </w:r>
      <w:proofErr w:type="spellStart"/>
      <w:r w:rsidRPr="00AC3E28">
        <w:rPr>
          <w:rFonts w:eastAsia="Times New Roman" w:cs="Arial"/>
          <w:color w:val="000000"/>
          <w:szCs w:val="20"/>
          <w:lang w:val="en-US"/>
        </w:rPr>
        <w:t>mmol</w:t>
      </w:r>
      <w:proofErr w:type="spellEnd"/>
      <w:r w:rsidRPr="00AC3E28">
        <w:rPr>
          <w:rFonts w:eastAsia="Times New Roman" w:cs="Arial"/>
          <w:color w:val="000000"/>
          <w:szCs w:val="20"/>
          <w:lang w:val="en-US"/>
        </w:rPr>
        <w:t xml:space="preserve"> </w:t>
      </w:r>
      <w:r w:rsidRPr="00AC3E28">
        <w:rPr>
          <w:rFonts w:eastAsia="Times New Roman" w:cs="Arial"/>
          <w:color w:val="000000"/>
          <w:szCs w:val="20"/>
          <w:lang w:eastAsia="bg-BG"/>
        </w:rPr>
        <w:t xml:space="preserve">натрий (23 </w:t>
      </w:r>
      <w:r w:rsidRPr="00AC3E28">
        <w:rPr>
          <w:rFonts w:eastAsia="Times New Roman" w:cs="Arial"/>
          <w:color w:val="000000"/>
          <w:szCs w:val="20"/>
          <w:lang w:val="en-US"/>
        </w:rPr>
        <w:t xml:space="preserve">mg) </w:t>
      </w:r>
      <w:r w:rsidRPr="00AC3E28">
        <w:rPr>
          <w:rFonts w:eastAsia="Times New Roman" w:cs="Arial"/>
          <w:color w:val="000000"/>
          <w:szCs w:val="20"/>
          <w:lang w:eastAsia="bg-BG"/>
        </w:rPr>
        <w:t>на капсула, т.е. може да се каже, че практически не съдържа натрий.</w:t>
      </w:r>
    </w:p>
    <w:p w14:paraId="3705C769" w14:textId="77777777" w:rsidR="00AC3E28" w:rsidRPr="00AC3E28" w:rsidRDefault="00AC3E28" w:rsidP="00AC3E28"/>
    <w:p w14:paraId="1244F76A" w14:textId="083F6666" w:rsidR="00395555" w:rsidRDefault="002C50EE" w:rsidP="008A6AF2">
      <w:pPr>
        <w:pStyle w:val="Heading2"/>
      </w:pPr>
      <w:r>
        <w:t>4.5. Взаимодействие с други лекарствени продукти и други форми на взаимодействие</w:t>
      </w:r>
    </w:p>
    <w:p w14:paraId="03480E95" w14:textId="7E640E17" w:rsidR="00AC3E28" w:rsidRDefault="00AC3E28" w:rsidP="00AC3E28"/>
    <w:p w14:paraId="2134850A"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Проучвания за лекарствени взаимодействия са извършвани само при възрастни пациенти.</w:t>
      </w:r>
    </w:p>
    <w:p w14:paraId="3FB5B543" w14:textId="77777777" w:rsidR="00AC3E28" w:rsidRPr="00AC3E28" w:rsidRDefault="00AC3E28" w:rsidP="00AC3E28">
      <w:pPr>
        <w:spacing w:line="240" w:lineRule="auto"/>
        <w:rPr>
          <w:rFonts w:eastAsia="Times New Roman" w:cs="Arial"/>
          <w:color w:val="000000"/>
          <w:szCs w:val="20"/>
          <w:lang w:eastAsia="bg-BG"/>
        </w:rPr>
      </w:pPr>
    </w:p>
    <w:p w14:paraId="76E083E1" w14:textId="38F79F69" w:rsidR="00AC3E28" w:rsidRPr="00AC3E28" w:rsidRDefault="00AC3E28" w:rsidP="00AC3E28">
      <w:pPr>
        <w:spacing w:line="240" w:lineRule="auto"/>
        <w:rPr>
          <w:rFonts w:eastAsia="Times New Roman" w:cs="Arial"/>
          <w:color w:val="000000"/>
          <w:szCs w:val="20"/>
          <w:lang w:eastAsia="bg-BG"/>
        </w:rPr>
      </w:pPr>
      <w:r w:rsidRPr="00AC3E28">
        <w:rPr>
          <w:rFonts w:eastAsia="Times New Roman" w:cs="Arial"/>
          <w:color w:val="000000"/>
          <w:szCs w:val="20"/>
          <w:lang w:eastAsia="bg-BG"/>
        </w:rPr>
        <w:t>Не са наблюдавани взаимодействия при едновременно приложение на тамсулузин с атенолол, еналаприл или теофилин.</w:t>
      </w:r>
    </w:p>
    <w:p w14:paraId="0EAB5158" w14:textId="5D5C5A69" w:rsidR="00AC3E28" w:rsidRPr="00AC3E28" w:rsidRDefault="00AC3E28" w:rsidP="00AC3E28">
      <w:pPr>
        <w:spacing w:line="240" w:lineRule="auto"/>
        <w:rPr>
          <w:rFonts w:eastAsia="Times New Roman" w:cs="Arial"/>
          <w:color w:val="000000"/>
          <w:szCs w:val="20"/>
          <w:lang w:eastAsia="bg-BG"/>
        </w:rPr>
      </w:pPr>
    </w:p>
    <w:p w14:paraId="322F7BE0"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Съпътстващо приложение на циметидин повишава плазмените концентрации на тамсулозин, докато това на фуроземид ги понижава, но тъй като плазмените концентрации остават в нормални граници, не се налага корекция на дозата.</w:t>
      </w:r>
    </w:p>
    <w:p w14:paraId="33A89364" w14:textId="77777777" w:rsidR="00AC3E28" w:rsidRPr="00AC3E28" w:rsidRDefault="00AC3E28" w:rsidP="00AC3E28">
      <w:pPr>
        <w:spacing w:line="240" w:lineRule="auto"/>
        <w:rPr>
          <w:rFonts w:eastAsia="Times New Roman" w:cs="Arial"/>
          <w:i/>
          <w:iCs/>
          <w:color w:val="000000"/>
          <w:szCs w:val="20"/>
          <w:lang w:val="en-US"/>
        </w:rPr>
      </w:pPr>
    </w:p>
    <w:p w14:paraId="62B02168" w14:textId="1412E359" w:rsidR="00AC3E28" w:rsidRPr="00AC3E28" w:rsidRDefault="00AC3E28" w:rsidP="00AC3E28">
      <w:pPr>
        <w:spacing w:line="240" w:lineRule="auto"/>
        <w:rPr>
          <w:rFonts w:eastAsia="Times New Roman" w:cs="Arial"/>
          <w:sz w:val="28"/>
          <w:szCs w:val="24"/>
        </w:rPr>
      </w:pPr>
      <w:r w:rsidRPr="00AC3E28">
        <w:rPr>
          <w:rFonts w:eastAsia="Times New Roman" w:cs="Arial"/>
          <w:i/>
          <w:iCs/>
          <w:color w:val="000000"/>
          <w:szCs w:val="20"/>
          <w:lang w:val="en-US"/>
        </w:rPr>
        <w:t>In vitro,</w:t>
      </w:r>
      <w:r w:rsidRPr="00AC3E28">
        <w:rPr>
          <w:rFonts w:eastAsia="Times New Roman" w:cs="Arial"/>
          <w:color w:val="000000"/>
          <w:szCs w:val="20"/>
          <w:lang w:val="en-US"/>
        </w:rPr>
        <w:t xml:space="preserve"> </w:t>
      </w:r>
      <w:r w:rsidRPr="00AC3E28">
        <w:rPr>
          <w:rFonts w:eastAsia="Times New Roman" w:cs="Arial"/>
          <w:color w:val="000000"/>
          <w:szCs w:val="20"/>
          <w:lang w:eastAsia="bg-BG"/>
        </w:rPr>
        <w:t>нито диазепам, нито пропранолол, трихлорметиазид, хлормадинон, амитриптилин, диклофенак, глибенкламид, симвастатин и варфарин, не променят свободната фракция на тамсулозин в човешката плазма. От своя страна тамсулозин не променя свободната фракция на диазепам, пропранолол, трихлорметиазид и хлормадинон.</w:t>
      </w:r>
    </w:p>
    <w:p w14:paraId="3FD972B8" w14:textId="77777777" w:rsidR="00AC3E28" w:rsidRPr="00AC3E28" w:rsidRDefault="00AC3E28" w:rsidP="00AC3E28">
      <w:pPr>
        <w:spacing w:line="240" w:lineRule="auto"/>
        <w:rPr>
          <w:rFonts w:eastAsia="Times New Roman" w:cs="Arial"/>
          <w:color w:val="000000"/>
          <w:szCs w:val="20"/>
          <w:lang w:eastAsia="bg-BG"/>
        </w:rPr>
      </w:pPr>
    </w:p>
    <w:p w14:paraId="19FE753D" w14:textId="58152FD9"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Диклофенак и варфарин, обаче, биха могли да увеличат скоростта на елиминиране на тамсулозин.</w:t>
      </w:r>
    </w:p>
    <w:p w14:paraId="3E22CCBC" w14:textId="77777777" w:rsidR="00AC3E28" w:rsidRPr="00AC3E28" w:rsidRDefault="00AC3E28" w:rsidP="00AC3E28">
      <w:pPr>
        <w:spacing w:line="240" w:lineRule="auto"/>
        <w:rPr>
          <w:rFonts w:eastAsia="Times New Roman" w:cs="Arial"/>
          <w:color w:val="000000"/>
          <w:szCs w:val="20"/>
          <w:lang w:eastAsia="bg-BG"/>
        </w:rPr>
      </w:pPr>
    </w:p>
    <w:p w14:paraId="51E4728F" w14:textId="5CCCF6BE"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Едновременното приложение на тамсулозин хидрохлорид с мощни инхибитори на </w:t>
      </w:r>
      <w:r w:rsidRPr="00AC3E28">
        <w:rPr>
          <w:rFonts w:eastAsia="Times New Roman" w:cs="Arial"/>
          <w:color w:val="000000"/>
          <w:szCs w:val="20"/>
          <w:lang w:val="en-US"/>
        </w:rPr>
        <w:t xml:space="preserve">CYP3A4 </w:t>
      </w:r>
      <w:r w:rsidRPr="00AC3E28">
        <w:rPr>
          <w:rFonts w:eastAsia="Times New Roman" w:cs="Arial"/>
          <w:color w:val="000000"/>
          <w:szCs w:val="20"/>
          <w:lang w:eastAsia="bg-BG"/>
        </w:rPr>
        <w:t xml:space="preserve">може да доведе до повишена експозиция на тамсулозин хидрохлорид. Едновременното приложение с кетоконазол (известен мощен инхибитор на </w:t>
      </w:r>
      <w:r w:rsidRPr="00AC3E28">
        <w:rPr>
          <w:rFonts w:eastAsia="Times New Roman" w:cs="Arial"/>
          <w:color w:val="000000"/>
          <w:szCs w:val="20"/>
          <w:lang w:val="en-US"/>
        </w:rPr>
        <w:t xml:space="preserve">CYP3A4) </w:t>
      </w:r>
      <w:r w:rsidRPr="00AC3E28">
        <w:rPr>
          <w:rFonts w:eastAsia="Times New Roman" w:cs="Arial"/>
          <w:color w:val="000000"/>
          <w:szCs w:val="20"/>
          <w:lang w:eastAsia="bg-BG"/>
        </w:rPr>
        <w:t xml:space="preserve">води до увеличаване на </w:t>
      </w:r>
      <w:r w:rsidRPr="00AC3E28">
        <w:rPr>
          <w:rFonts w:eastAsia="Times New Roman" w:cs="Arial"/>
          <w:color w:val="000000"/>
          <w:szCs w:val="20"/>
          <w:lang w:val="en-US"/>
        </w:rPr>
        <w:t xml:space="preserve">AUC </w:t>
      </w:r>
      <w:r w:rsidRPr="00AC3E28">
        <w:rPr>
          <w:rFonts w:eastAsia="Times New Roman" w:cs="Arial"/>
          <w:color w:val="000000"/>
          <w:szCs w:val="20"/>
          <w:lang w:eastAsia="bg-BG"/>
        </w:rPr>
        <w:t>и Стах на тамсулозин хидрохлорид съответно с коефициент 2,8 и 2,2.</w:t>
      </w:r>
    </w:p>
    <w:p w14:paraId="440BCA24"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Тамсулозин хидрохлорид не трябва да се прилага в комбинация с мощни инхибитори на </w:t>
      </w:r>
      <w:r w:rsidRPr="00AC3E28">
        <w:rPr>
          <w:rFonts w:eastAsia="Times New Roman" w:cs="Arial"/>
          <w:color w:val="000000"/>
          <w:szCs w:val="20"/>
          <w:lang w:val="en-US"/>
        </w:rPr>
        <w:t xml:space="preserve">CYP3A4 </w:t>
      </w:r>
      <w:r w:rsidRPr="00AC3E28">
        <w:rPr>
          <w:rFonts w:eastAsia="Times New Roman" w:cs="Arial"/>
          <w:color w:val="000000"/>
          <w:szCs w:val="20"/>
          <w:lang w:eastAsia="bg-BG"/>
        </w:rPr>
        <w:t xml:space="preserve">при пациенти с фенотип на лоши метаболизатори на </w:t>
      </w:r>
      <w:r w:rsidRPr="00AC3E28">
        <w:rPr>
          <w:rFonts w:eastAsia="Times New Roman" w:cs="Arial"/>
          <w:color w:val="000000"/>
          <w:szCs w:val="20"/>
          <w:lang w:val="en-US"/>
        </w:rPr>
        <w:t>CYP2D6.</w:t>
      </w:r>
    </w:p>
    <w:p w14:paraId="23A3C518" w14:textId="77777777" w:rsidR="00AC3E28" w:rsidRPr="00AC3E28" w:rsidRDefault="00AC3E28" w:rsidP="00AC3E28">
      <w:pPr>
        <w:spacing w:line="240" w:lineRule="auto"/>
        <w:rPr>
          <w:rFonts w:eastAsia="Times New Roman" w:cs="Arial"/>
          <w:color w:val="000000"/>
          <w:szCs w:val="20"/>
          <w:lang w:eastAsia="bg-BG"/>
        </w:rPr>
      </w:pPr>
    </w:p>
    <w:p w14:paraId="13569A07" w14:textId="547EE854"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Тамсулозин хидрохлорид трябва да се използва с внимание в комбинация с мощни и умерени инхибигори на </w:t>
      </w:r>
      <w:r w:rsidRPr="00AC3E28">
        <w:rPr>
          <w:rFonts w:eastAsia="Times New Roman" w:cs="Arial"/>
          <w:color w:val="000000"/>
          <w:szCs w:val="20"/>
          <w:lang w:val="en-US"/>
        </w:rPr>
        <w:t>CYP3A4.</w:t>
      </w:r>
    </w:p>
    <w:p w14:paraId="063C5B15" w14:textId="77777777" w:rsidR="00AC3E28" w:rsidRPr="00AC3E28" w:rsidRDefault="00AC3E28" w:rsidP="00AC3E28">
      <w:pPr>
        <w:spacing w:line="240" w:lineRule="auto"/>
        <w:rPr>
          <w:rFonts w:eastAsia="Times New Roman" w:cs="Arial"/>
          <w:color w:val="000000"/>
          <w:szCs w:val="20"/>
          <w:lang w:eastAsia="bg-BG"/>
        </w:rPr>
      </w:pPr>
    </w:p>
    <w:p w14:paraId="7C5FB4F0" w14:textId="56FEC0EE"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Едновременното приложение на тамсулозин хидрохлорид с пароксетин, мощен инхибитор на </w:t>
      </w:r>
      <w:r w:rsidRPr="00AC3E28">
        <w:rPr>
          <w:rFonts w:eastAsia="Times New Roman" w:cs="Arial"/>
          <w:color w:val="000000"/>
          <w:szCs w:val="20"/>
          <w:lang w:val="en-US"/>
        </w:rPr>
        <w:t xml:space="preserve">CYP2D6, </w:t>
      </w:r>
      <w:r w:rsidRPr="00AC3E28">
        <w:rPr>
          <w:rFonts w:eastAsia="Times New Roman" w:cs="Arial"/>
          <w:color w:val="000000"/>
          <w:szCs w:val="20"/>
          <w:lang w:eastAsia="bg-BG"/>
        </w:rPr>
        <w:t xml:space="preserve">води до повишаване на Стах и </w:t>
      </w:r>
      <w:r w:rsidRPr="00AC3E28">
        <w:rPr>
          <w:rFonts w:eastAsia="Times New Roman" w:cs="Arial"/>
          <w:color w:val="000000"/>
          <w:szCs w:val="20"/>
          <w:lang w:val="en-US"/>
        </w:rPr>
        <w:t xml:space="preserve">AUC </w:t>
      </w:r>
      <w:r w:rsidRPr="00AC3E28">
        <w:rPr>
          <w:rFonts w:eastAsia="Times New Roman" w:cs="Arial"/>
          <w:color w:val="000000"/>
          <w:szCs w:val="20"/>
          <w:lang w:eastAsia="bg-BG"/>
        </w:rPr>
        <w:t>на тамсулозин съответно с коефициент 1,3 и 1,6, но тези увеличения не се считат за клинично значими.</w:t>
      </w:r>
    </w:p>
    <w:p w14:paraId="7DE1B58C" w14:textId="77777777" w:rsidR="00AC3E28" w:rsidRPr="00AC3E28" w:rsidRDefault="00AC3E28" w:rsidP="00AC3E28">
      <w:pPr>
        <w:spacing w:line="240" w:lineRule="auto"/>
        <w:rPr>
          <w:rFonts w:eastAsia="Times New Roman" w:cs="Arial"/>
          <w:color w:val="000000"/>
          <w:szCs w:val="20"/>
          <w:lang w:eastAsia="bg-BG"/>
        </w:rPr>
      </w:pPr>
    </w:p>
    <w:p w14:paraId="7EAD5671" w14:textId="5ADA259C"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Едновременно приложение с други алфа</w:t>
      </w:r>
      <w:r w:rsidRPr="00AC3E28">
        <w:rPr>
          <w:rFonts w:eastAsia="Times New Roman" w:cs="Arial"/>
          <w:color w:val="000000"/>
          <w:szCs w:val="20"/>
          <w:vertAlign w:val="subscript"/>
          <w:lang w:eastAsia="bg-BG"/>
        </w:rPr>
        <w:t>1</w:t>
      </w:r>
      <w:r w:rsidRPr="00AC3E28">
        <w:rPr>
          <w:rFonts w:eastAsia="Times New Roman" w:cs="Arial"/>
          <w:color w:val="000000"/>
          <w:szCs w:val="20"/>
          <w:lang w:eastAsia="bg-BG"/>
        </w:rPr>
        <w:t>-адренорецепторни антагонисти може да доведе до хипотензивни ефекти.</w:t>
      </w:r>
    </w:p>
    <w:p w14:paraId="3B0545E3" w14:textId="77777777" w:rsidR="00AC3E28" w:rsidRPr="00AC3E28" w:rsidRDefault="00AC3E28" w:rsidP="00AC3E28">
      <w:pPr>
        <w:spacing w:line="240" w:lineRule="auto"/>
        <w:rPr>
          <w:rFonts w:ascii="Times New Roman" w:eastAsia="Times New Roman" w:hAnsi="Times New Roman" w:cs="Times New Roman"/>
          <w:sz w:val="24"/>
          <w:szCs w:val="24"/>
        </w:rPr>
      </w:pPr>
    </w:p>
    <w:p w14:paraId="5F7D8FC0" w14:textId="77777777" w:rsidR="00AC3E28" w:rsidRPr="00AC3E28" w:rsidRDefault="00AC3E28" w:rsidP="00AC3E28"/>
    <w:p w14:paraId="6EADE4D6" w14:textId="2DB60971" w:rsidR="00395555" w:rsidRDefault="002C50EE" w:rsidP="008A6AF2">
      <w:pPr>
        <w:pStyle w:val="Heading2"/>
      </w:pPr>
      <w:r>
        <w:lastRenderedPageBreak/>
        <w:t>4.6. Фертилитет, бременност и кърмене</w:t>
      </w:r>
    </w:p>
    <w:p w14:paraId="3B94F2EB" w14:textId="5C37E40E" w:rsidR="00AC3E28" w:rsidRDefault="00AC3E28" w:rsidP="00AC3E28"/>
    <w:p w14:paraId="10ABA22D" w14:textId="77777777" w:rsidR="00AC3E28" w:rsidRPr="00AC3E28" w:rsidRDefault="00AC3E28" w:rsidP="00AC3E28">
      <w:pPr>
        <w:rPr>
          <w:sz w:val="24"/>
          <w:szCs w:val="24"/>
        </w:rPr>
      </w:pPr>
      <w:r w:rsidRPr="00AC3E28">
        <w:rPr>
          <w:lang w:eastAsia="bg-BG"/>
        </w:rPr>
        <w:t>Тамсулозин не е предназначен за употреба при жени.</w:t>
      </w:r>
    </w:p>
    <w:p w14:paraId="4F30CFC5" w14:textId="77777777" w:rsidR="00AC3E28" w:rsidRDefault="00AC3E28" w:rsidP="00AC3E28">
      <w:pPr>
        <w:rPr>
          <w:lang w:eastAsia="bg-BG"/>
        </w:rPr>
      </w:pPr>
    </w:p>
    <w:p w14:paraId="237942C2" w14:textId="7E02DEF8" w:rsidR="00AC3E28" w:rsidRPr="00AC3E28" w:rsidRDefault="00AC3E28" w:rsidP="00AC3E28">
      <w:pPr>
        <w:rPr>
          <w:sz w:val="24"/>
          <w:szCs w:val="24"/>
        </w:rPr>
      </w:pPr>
      <w:r w:rsidRPr="00AC3E28">
        <w:rPr>
          <w:lang w:eastAsia="bg-BG"/>
        </w:rPr>
        <w:t>В краткосрочни и продължителни клинични проучвания с тамсулозин са наблюдавани еякулационни нарушения. Събития на нарушена еякулация, ретроградна еякулация и еякулационна недостатъчност са съобщавани в периода след получаване на разрешение за употреба.</w:t>
      </w:r>
    </w:p>
    <w:p w14:paraId="6734E040" w14:textId="77777777" w:rsidR="00AC3E28" w:rsidRPr="00AC3E28" w:rsidRDefault="00AC3E28" w:rsidP="00AC3E28"/>
    <w:p w14:paraId="5766770B" w14:textId="1E9FA630" w:rsidR="00395555" w:rsidRDefault="002C50EE" w:rsidP="008A6AF2">
      <w:pPr>
        <w:pStyle w:val="Heading2"/>
      </w:pPr>
      <w:r>
        <w:t>4.7. Ефекти върху способността за шофиране и работа с машини</w:t>
      </w:r>
    </w:p>
    <w:p w14:paraId="0C170D3D" w14:textId="6906487A" w:rsidR="00AC3E28" w:rsidRDefault="00AC3E28" w:rsidP="00AC3E28"/>
    <w:p w14:paraId="31174D75" w14:textId="16AA4D9F" w:rsidR="00AC3E28" w:rsidRDefault="00AC3E28" w:rsidP="00AC3E28">
      <w:r>
        <w:t>Не са провеждания изследвания върху способността за шофиране и работа с машини. Пациентите, обаче, трябва да са информирани, че може да настъпи замайване.</w:t>
      </w:r>
    </w:p>
    <w:p w14:paraId="3D18DD0D" w14:textId="7DE4FEB5" w:rsidR="00AC3E28" w:rsidRPr="00AC3E28" w:rsidRDefault="00AC3E28" w:rsidP="00AC3E28"/>
    <w:p w14:paraId="4FE16E21" w14:textId="550C4E6E" w:rsidR="00395555" w:rsidRDefault="002C50EE" w:rsidP="008A6AF2">
      <w:pPr>
        <w:pStyle w:val="Heading2"/>
      </w:pPr>
      <w:r>
        <w:t>4.8. Нежелани лекарствени реакции</w:t>
      </w:r>
    </w:p>
    <w:p w14:paraId="5429A25C" w14:textId="5C467970" w:rsidR="00AC3E28" w:rsidRDefault="00AC3E28" w:rsidP="00AC3E28"/>
    <w:tbl>
      <w:tblPr>
        <w:tblStyle w:val="TableGrid"/>
        <w:tblW w:w="0" w:type="auto"/>
        <w:tblLook w:val="04A0" w:firstRow="1" w:lastRow="0" w:firstColumn="1" w:lastColumn="0" w:noHBand="0" w:noVBand="1"/>
      </w:tblPr>
      <w:tblGrid>
        <w:gridCol w:w="1975"/>
        <w:gridCol w:w="1572"/>
        <w:gridCol w:w="1545"/>
        <w:gridCol w:w="1254"/>
        <w:gridCol w:w="1290"/>
        <w:gridCol w:w="1714"/>
      </w:tblGrid>
      <w:tr w:rsidR="00AC3E28" w14:paraId="04A19BA3" w14:textId="77777777" w:rsidTr="00AC3E28">
        <w:tc>
          <w:tcPr>
            <w:tcW w:w="1933" w:type="dxa"/>
          </w:tcPr>
          <w:p w14:paraId="6FFE82E0" w14:textId="391B0A7B" w:rsidR="00AC3E28" w:rsidRPr="00AC3E28" w:rsidRDefault="00AC3E28" w:rsidP="00AC3E28">
            <w:r w:rsidRPr="00AC3E28">
              <w:rPr>
                <w:b/>
                <w:bCs/>
                <w:szCs w:val="20"/>
              </w:rPr>
              <w:t>Системо-органна класификация</w:t>
            </w:r>
          </w:p>
        </w:tc>
        <w:tc>
          <w:tcPr>
            <w:tcW w:w="1541" w:type="dxa"/>
          </w:tcPr>
          <w:p w14:paraId="5D6DEDE5" w14:textId="77777777" w:rsidR="00AC3E28" w:rsidRPr="00AC3E28" w:rsidRDefault="00AC3E28" w:rsidP="00AC3E28">
            <w:r w:rsidRPr="00AC3E28">
              <w:rPr>
                <w:b/>
                <w:bCs/>
                <w:szCs w:val="20"/>
              </w:rPr>
              <w:t>Чести</w:t>
            </w:r>
          </w:p>
          <w:p w14:paraId="5D4C4288" w14:textId="77777777" w:rsidR="00AC3E28" w:rsidRPr="00AC3E28" w:rsidRDefault="00AC3E28" w:rsidP="00AC3E28">
            <w:r w:rsidRPr="00AC3E28">
              <w:rPr>
                <w:szCs w:val="20"/>
                <w:lang w:val="en-US"/>
              </w:rPr>
              <w:t>≥</w:t>
            </w:r>
            <w:r w:rsidRPr="00AC3E28">
              <w:rPr>
                <w:szCs w:val="20"/>
              </w:rPr>
              <w:t>1/100 до</w:t>
            </w:r>
          </w:p>
          <w:p w14:paraId="11EFBCBF" w14:textId="51A13B2A" w:rsidR="00AC3E28" w:rsidRPr="00AC3E28" w:rsidRDefault="00AC3E28" w:rsidP="00AC3E28">
            <w:r w:rsidRPr="00AC3E28">
              <w:rPr>
                <w:szCs w:val="20"/>
              </w:rPr>
              <w:t>&lt;1/10</w:t>
            </w:r>
          </w:p>
        </w:tc>
        <w:tc>
          <w:tcPr>
            <w:tcW w:w="1648" w:type="dxa"/>
          </w:tcPr>
          <w:p w14:paraId="31679958" w14:textId="77777777" w:rsidR="00AC3E28" w:rsidRPr="00AC3E28" w:rsidRDefault="00AC3E28" w:rsidP="00AC3E28">
            <w:r w:rsidRPr="00AC3E28">
              <w:rPr>
                <w:b/>
                <w:bCs/>
                <w:szCs w:val="20"/>
              </w:rPr>
              <w:t>Нечести</w:t>
            </w:r>
          </w:p>
          <w:p w14:paraId="6E728BB3" w14:textId="77777777" w:rsidR="00AC3E28" w:rsidRPr="00AC3E28" w:rsidRDefault="00AC3E28" w:rsidP="00AC3E28">
            <w:r w:rsidRPr="00AC3E28">
              <w:rPr>
                <w:szCs w:val="20"/>
                <w:lang w:val="en-US"/>
              </w:rPr>
              <w:t>≥</w:t>
            </w:r>
            <w:r w:rsidRPr="00AC3E28">
              <w:rPr>
                <w:szCs w:val="20"/>
              </w:rPr>
              <w:t>1/1 000 до</w:t>
            </w:r>
          </w:p>
          <w:p w14:paraId="3528A682" w14:textId="3B663DDA" w:rsidR="00AC3E28" w:rsidRPr="00AC3E28" w:rsidRDefault="00AC3E28" w:rsidP="00AC3E28">
            <w:r w:rsidRPr="00AC3E28">
              <w:rPr>
                <w:szCs w:val="20"/>
              </w:rPr>
              <w:t>&lt;1/100</w:t>
            </w:r>
          </w:p>
        </w:tc>
        <w:tc>
          <w:tcPr>
            <w:tcW w:w="1452" w:type="dxa"/>
          </w:tcPr>
          <w:p w14:paraId="5C5F965B" w14:textId="77777777" w:rsidR="00AC3E28" w:rsidRPr="00AC3E28" w:rsidRDefault="00AC3E28" w:rsidP="00AC3E28">
            <w:r w:rsidRPr="00AC3E28">
              <w:rPr>
                <w:b/>
                <w:bCs/>
                <w:szCs w:val="20"/>
              </w:rPr>
              <w:t>Редки</w:t>
            </w:r>
          </w:p>
          <w:p w14:paraId="738888C3" w14:textId="5A1809CF" w:rsidR="00AC3E28" w:rsidRPr="00AC3E28" w:rsidRDefault="00AC3E28" w:rsidP="00AC3E28">
            <w:r w:rsidRPr="00AC3E28">
              <w:rPr>
                <w:szCs w:val="20"/>
                <w:lang w:val="en-US"/>
              </w:rPr>
              <w:t>≥</w:t>
            </w:r>
            <w:r w:rsidRPr="00AC3E28">
              <w:rPr>
                <w:szCs w:val="20"/>
              </w:rPr>
              <w:t>1/10 000 до &lt;1/1 000</w:t>
            </w:r>
          </w:p>
        </w:tc>
        <w:tc>
          <w:tcPr>
            <w:tcW w:w="1437" w:type="dxa"/>
          </w:tcPr>
          <w:p w14:paraId="57F3A23D" w14:textId="673D217D" w:rsidR="00AC3E28" w:rsidRPr="00AC3E28" w:rsidRDefault="00AC3E28" w:rsidP="00AC3E28">
            <w:r w:rsidRPr="00AC3E28">
              <w:rPr>
                <w:b/>
                <w:bCs/>
                <w:szCs w:val="20"/>
              </w:rPr>
              <w:t xml:space="preserve">Много редки </w:t>
            </w:r>
            <w:r w:rsidRPr="00AC3E28">
              <w:rPr>
                <w:szCs w:val="20"/>
              </w:rPr>
              <w:t>&lt;1/10 000</w:t>
            </w:r>
          </w:p>
        </w:tc>
        <w:tc>
          <w:tcPr>
            <w:tcW w:w="1565" w:type="dxa"/>
          </w:tcPr>
          <w:p w14:paraId="38A3F2AD" w14:textId="2F3AA9B4" w:rsidR="00AC3E28" w:rsidRPr="00AC3E28" w:rsidRDefault="00AC3E28" w:rsidP="00AC3E28">
            <w:r w:rsidRPr="00AC3E28">
              <w:rPr>
                <w:b/>
                <w:bCs/>
                <w:szCs w:val="20"/>
                <w:lang w:val="en-US"/>
              </w:rPr>
              <w:t xml:space="preserve">C </w:t>
            </w:r>
            <w:r w:rsidRPr="00AC3E28">
              <w:rPr>
                <w:b/>
                <w:bCs/>
                <w:szCs w:val="20"/>
              </w:rPr>
              <w:t>неизвестна честота</w:t>
            </w:r>
          </w:p>
        </w:tc>
      </w:tr>
      <w:tr w:rsidR="00AC3E28" w14:paraId="47F7A4C0" w14:textId="77777777" w:rsidTr="00AC3E28">
        <w:tc>
          <w:tcPr>
            <w:tcW w:w="1933" w:type="dxa"/>
          </w:tcPr>
          <w:p w14:paraId="46DC65F3" w14:textId="788D2A71" w:rsidR="00AC3E28" w:rsidRPr="00AC3E28" w:rsidRDefault="00AC3E28" w:rsidP="00AC3E28">
            <w:r w:rsidRPr="00AC3E28">
              <w:rPr>
                <w:b/>
                <w:bCs/>
                <w:szCs w:val="20"/>
              </w:rPr>
              <w:t>Нарушения на нервната система</w:t>
            </w:r>
          </w:p>
        </w:tc>
        <w:tc>
          <w:tcPr>
            <w:tcW w:w="1541" w:type="dxa"/>
          </w:tcPr>
          <w:p w14:paraId="103FFBCA" w14:textId="5AA218E6" w:rsidR="00AC3E28" w:rsidRPr="00AC3E28" w:rsidRDefault="00AC3E28" w:rsidP="00AC3E28">
            <w:r w:rsidRPr="00AC3E28">
              <w:rPr>
                <w:szCs w:val="20"/>
              </w:rPr>
              <w:t>Замайване (13%)</w:t>
            </w:r>
          </w:p>
        </w:tc>
        <w:tc>
          <w:tcPr>
            <w:tcW w:w="1648" w:type="dxa"/>
          </w:tcPr>
          <w:p w14:paraId="01AB2610" w14:textId="17A22678" w:rsidR="00AC3E28" w:rsidRPr="00AC3E28" w:rsidRDefault="00AC3E28" w:rsidP="00AC3E28">
            <w:r w:rsidRPr="00AC3E28">
              <w:rPr>
                <w:szCs w:val="20"/>
              </w:rPr>
              <w:t>Главоболие</w:t>
            </w:r>
          </w:p>
        </w:tc>
        <w:tc>
          <w:tcPr>
            <w:tcW w:w="1452" w:type="dxa"/>
          </w:tcPr>
          <w:p w14:paraId="1DDFF7B3" w14:textId="42AA872F" w:rsidR="00AC3E28" w:rsidRPr="00AC3E28" w:rsidRDefault="00AC3E28" w:rsidP="00AC3E28">
            <w:r w:rsidRPr="00AC3E28">
              <w:rPr>
                <w:szCs w:val="20"/>
              </w:rPr>
              <w:t>Синкоп</w:t>
            </w:r>
          </w:p>
        </w:tc>
        <w:tc>
          <w:tcPr>
            <w:tcW w:w="1437" w:type="dxa"/>
          </w:tcPr>
          <w:p w14:paraId="342E573C" w14:textId="77777777" w:rsidR="00AC3E28" w:rsidRPr="00AC3E28" w:rsidRDefault="00AC3E28" w:rsidP="00AC3E28"/>
        </w:tc>
        <w:tc>
          <w:tcPr>
            <w:tcW w:w="1565" w:type="dxa"/>
          </w:tcPr>
          <w:p w14:paraId="70D57508" w14:textId="77777777" w:rsidR="00AC3E28" w:rsidRPr="00AC3E28" w:rsidRDefault="00AC3E28" w:rsidP="00AC3E28"/>
        </w:tc>
      </w:tr>
      <w:tr w:rsidR="00AC3E28" w14:paraId="0AFC8CC5" w14:textId="77777777" w:rsidTr="00AC3E28">
        <w:tc>
          <w:tcPr>
            <w:tcW w:w="1933" w:type="dxa"/>
          </w:tcPr>
          <w:p w14:paraId="02782282" w14:textId="2310FBC1" w:rsidR="00AC3E28" w:rsidRPr="00AC3E28" w:rsidRDefault="00AC3E28" w:rsidP="00AC3E28">
            <w:r w:rsidRPr="00AC3E28">
              <w:rPr>
                <w:b/>
                <w:bCs/>
                <w:szCs w:val="20"/>
              </w:rPr>
              <w:t>Сърдечни нарушения</w:t>
            </w:r>
          </w:p>
        </w:tc>
        <w:tc>
          <w:tcPr>
            <w:tcW w:w="1541" w:type="dxa"/>
          </w:tcPr>
          <w:p w14:paraId="55D09703" w14:textId="77777777" w:rsidR="00AC3E28" w:rsidRPr="00AC3E28" w:rsidRDefault="00AC3E28" w:rsidP="00AC3E28"/>
        </w:tc>
        <w:tc>
          <w:tcPr>
            <w:tcW w:w="1648" w:type="dxa"/>
          </w:tcPr>
          <w:p w14:paraId="3E3E3A5D" w14:textId="5D96E13F" w:rsidR="00AC3E28" w:rsidRPr="00AC3E28" w:rsidRDefault="00AC3E28" w:rsidP="00AC3E28">
            <w:r w:rsidRPr="00AC3E28">
              <w:rPr>
                <w:szCs w:val="20"/>
              </w:rPr>
              <w:t>Палпитации</w:t>
            </w:r>
          </w:p>
        </w:tc>
        <w:tc>
          <w:tcPr>
            <w:tcW w:w="1452" w:type="dxa"/>
          </w:tcPr>
          <w:p w14:paraId="7451DE52" w14:textId="77777777" w:rsidR="00AC3E28" w:rsidRPr="00AC3E28" w:rsidRDefault="00AC3E28" w:rsidP="00AC3E28"/>
        </w:tc>
        <w:tc>
          <w:tcPr>
            <w:tcW w:w="1437" w:type="dxa"/>
          </w:tcPr>
          <w:p w14:paraId="03CAD625" w14:textId="77777777" w:rsidR="00AC3E28" w:rsidRPr="00AC3E28" w:rsidRDefault="00AC3E28" w:rsidP="00AC3E28"/>
        </w:tc>
        <w:tc>
          <w:tcPr>
            <w:tcW w:w="1565" w:type="dxa"/>
          </w:tcPr>
          <w:p w14:paraId="178601B7" w14:textId="77777777" w:rsidR="00AC3E28" w:rsidRPr="00AC3E28" w:rsidRDefault="00AC3E28" w:rsidP="00AC3E28"/>
        </w:tc>
      </w:tr>
      <w:tr w:rsidR="00AC3E28" w14:paraId="42595B7E" w14:textId="77777777" w:rsidTr="00AC3E28">
        <w:tc>
          <w:tcPr>
            <w:tcW w:w="1933" w:type="dxa"/>
          </w:tcPr>
          <w:p w14:paraId="15B11964" w14:textId="004C0854" w:rsidR="00AC3E28" w:rsidRPr="00AC3E28" w:rsidRDefault="00AC3E28" w:rsidP="00AC3E28">
            <w:r w:rsidRPr="00AC3E28">
              <w:rPr>
                <w:b/>
                <w:bCs/>
                <w:szCs w:val="20"/>
              </w:rPr>
              <w:t>Съдови нарушения</w:t>
            </w:r>
          </w:p>
        </w:tc>
        <w:tc>
          <w:tcPr>
            <w:tcW w:w="1541" w:type="dxa"/>
          </w:tcPr>
          <w:p w14:paraId="4627D12B" w14:textId="77777777" w:rsidR="00AC3E28" w:rsidRPr="00AC3E28" w:rsidRDefault="00AC3E28" w:rsidP="00AC3E28"/>
        </w:tc>
        <w:tc>
          <w:tcPr>
            <w:tcW w:w="1648" w:type="dxa"/>
          </w:tcPr>
          <w:p w14:paraId="00902F2C" w14:textId="7FE83B34" w:rsidR="00AC3E28" w:rsidRPr="00AC3E28" w:rsidRDefault="00AC3E28" w:rsidP="00AC3E28">
            <w:r w:rsidRPr="00AC3E28">
              <w:rPr>
                <w:szCs w:val="20"/>
              </w:rPr>
              <w:t>Ортостатична хипотония</w:t>
            </w:r>
          </w:p>
        </w:tc>
        <w:tc>
          <w:tcPr>
            <w:tcW w:w="1452" w:type="dxa"/>
          </w:tcPr>
          <w:p w14:paraId="366E6894" w14:textId="77777777" w:rsidR="00AC3E28" w:rsidRPr="00AC3E28" w:rsidRDefault="00AC3E28" w:rsidP="00AC3E28"/>
        </w:tc>
        <w:tc>
          <w:tcPr>
            <w:tcW w:w="1437" w:type="dxa"/>
          </w:tcPr>
          <w:p w14:paraId="44AEB515" w14:textId="77777777" w:rsidR="00AC3E28" w:rsidRPr="00AC3E28" w:rsidRDefault="00AC3E28" w:rsidP="00AC3E28"/>
        </w:tc>
        <w:tc>
          <w:tcPr>
            <w:tcW w:w="1565" w:type="dxa"/>
          </w:tcPr>
          <w:p w14:paraId="7D65B839" w14:textId="77777777" w:rsidR="00AC3E28" w:rsidRPr="00AC3E28" w:rsidRDefault="00AC3E28" w:rsidP="00AC3E28"/>
        </w:tc>
      </w:tr>
      <w:tr w:rsidR="00AC3E28" w14:paraId="2C7D00DF" w14:textId="77777777" w:rsidTr="00AC3E28">
        <w:tc>
          <w:tcPr>
            <w:tcW w:w="1933" w:type="dxa"/>
          </w:tcPr>
          <w:p w14:paraId="7917C31E" w14:textId="3C7D6E72" w:rsidR="00AC3E28" w:rsidRPr="00AC3E28" w:rsidRDefault="00AC3E28" w:rsidP="00AC3E28">
            <w:pPr>
              <w:rPr>
                <w:rFonts w:ascii="Times New Roman" w:eastAsia="Times New Roman" w:hAnsi="Times New Roman" w:cs="Times New Roman"/>
                <w:sz w:val="24"/>
                <w:szCs w:val="24"/>
              </w:rPr>
            </w:pPr>
            <w:r w:rsidRPr="00AC3E28">
              <w:rPr>
                <w:b/>
                <w:bCs/>
                <w:szCs w:val="20"/>
              </w:rPr>
              <w:t>Респираторни, гръдни и</w:t>
            </w:r>
            <w:r>
              <w:rPr>
                <w:b/>
                <w:bCs/>
                <w:szCs w:val="20"/>
              </w:rPr>
              <w:t xml:space="preserve"> </w:t>
            </w:r>
            <w:r w:rsidRPr="00AC3E28">
              <w:rPr>
                <w:rFonts w:eastAsia="Times New Roman" w:cs="Arial"/>
                <w:b/>
                <w:bCs/>
                <w:color w:val="000000"/>
                <w:szCs w:val="20"/>
                <w:lang w:eastAsia="bg-BG"/>
              </w:rPr>
              <w:t>медиястинални нарушения</w:t>
            </w:r>
          </w:p>
        </w:tc>
        <w:tc>
          <w:tcPr>
            <w:tcW w:w="1541" w:type="dxa"/>
          </w:tcPr>
          <w:p w14:paraId="1FA547A4" w14:textId="77777777" w:rsidR="00AC3E28" w:rsidRPr="00AC3E28" w:rsidRDefault="00AC3E28" w:rsidP="00AC3E28"/>
        </w:tc>
        <w:tc>
          <w:tcPr>
            <w:tcW w:w="1648" w:type="dxa"/>
          </w:tcPr>
          <w:p w14:paraId="22BA2E3B" w14:textId="6E634250" w:rsidR="00AC3E28" w:rsidRPr="00AC3E28" w:rsidRDefault="00AC3E28" w:rsidP="00AC3E28">
            <w:r w:rsidRPr="00AC3E28">
              <w:rPr>
                <w:szCs w:val="20"/>
              </w:rPr>
              <w:t>Ринит</w:t>
            </w:r>
          </w:p>
        </w:tc>
        <w:tc>
          <w:tcPr>
            <w:tcW w:w="1452" w:type="dxa"/>
          </w:tcPr>
          <w:p w14:paraId="5B8C4421" w14:textId="77777777" w:rsidR="00AC3E28" w:rsidRPr="00AC3E28" w:rsidRDefault="00AC3E28" w:rsidP="00AC3E28"/>
        </w:tc>
        <w:tc>
          <w:tcPr>
            <w:tcW w:w="1437" w:type="dxa"/>
          </w:tcPr>
          <w:p w14:paraId="2F1E96C2" w14:textId="77777777" w:rsidR="00AC3E28" w:rsidRPr="00AC3E28" w:rsidRDefault="00AC3E28" w:rsidP="00AC3E28"/>
        </w:tc>
        <w:tc>
          <w:tcPr>
            <w:tcW w:w="1565" w:type="dxa"/>
          </w:tcPr>
          <w:p w14:paraId="438A521D" w14:textId="70F3F58A" w:rsidR="00AC3E28" w:rsidRPr="00AC3E28" w:rsidRDefault="00AC3E28" w:rsidP="00AC3E28">
            <w:r w:rsidRPr="00AC3E28">
              <w:rPr>
                <w:szCs w:val="20"/>
              </w:rPr>
              <w:t>Епистаксис</w:t>
            </w:r>
          </w:p>
        </w:tc>
      </w:tr>
      <w:tr w:rsidR="00AC3E28" w14:paraId="39BF08AB" w14:textId="77777777" w:rsidTr="00AC3E28">
        <w:tc>
          <w:tcPr>
            <w:tcW w:w="1933" w:type="dxa"/>
          </w:tcPr>
          <w:p w14:paraId="529738C9" w14:textId="589E044A" w:rsidR="00AC3E28" w:rsidRPr="00AC3E28" w:rsidRDefault="00AC3E28" w:rsidP="00AC3E28">
            <w:r w:rsidRPr="00AC3E28">
              <w:rPr>
                <w:b/>
                <w:bCs/>
                <w:szCs w:val="20"/>
              </w:rPr>
              <w:t>Стомашно- чревни нарушения</w:t>
            </w:r>
          </w:p>
        </w:tc>
        <w:tc>
          <w:tcPr>
            <w:tcW w:w="1541" w:type="dxa"/>
          </w:tcPr>
          <w:p w14:paraId="0E6A65B1" w14:textId="77777777" w:rsidR="00AC3E28" w:rsidRPr="00AC3E28" w:rsidRDefault="00AC3E28" w:rsidP="00AC3E28"/>
        </w:tc>
        <w:tc>
          <w:tcPr>
            <w:tcW w:w="1648" w:type="dxa"/>
          </w:tcPr>
          <w:p w14:paraId="22CBF5A5" w14:textId="411766AC" w:rsidR="00AC3E28" w:rsidRPr="00AC3E28" w:rsidRDefault="00AC3E28" w:rsidP="00AC3E28">
            <w:r w:rsidRPr="00AC3E28">
              <w:rPr>
                <w:szCs w:val="20"/>
              </w:rPr>
              <w:t>Констипация, диария, гадене, повръщане</w:t>
            </w:r>
          </w:p>
        </w:tc>
        <w:tc>
          <w:tcPr>
            <w:tcW w:w="1452" w:type="dxa"/>
          </w:tcPr>
          <w:p w14:paraId="059B7337" w14:textId="77777777" w:rsidR="00AC3E28" w:rsidRPr="00AC3E28" w:rsidRDefault="00AC3E28" w:rsidP="00AC3E28"/>
        </w:tc>
        <w:tc>
          <w:tcPr>
            <w:tcW w:w="1437" w:type="dxa"/>
          </w:tcPr>
          <w:p w14:paraId="379FC844" w14:textId="77777777" w:rsidR="00AC3E28" w:rsidRPr="00AC3E28" w:rsidRDefault="00AC3E28" w:rsidP="00AC3E28"/>
        </w:tc>
        <w:tc>
          <w:tcPr>
            <w:tcW w:w="1565" w:type="dxa"/>
          </w:tcPr>
          <w:p w14:paraId="07D2B6E4" w14:textId="39CA9B84" w:rsidR="00AC3E28" w:rsidRPr="00AC3E28" w:rsidRDefault="00AC3E28" w:rsidP="00AC3E28">
            <w:r w:rsidRPr="00AC3E28">
              <w:rPr>
                <w:szCs w:val="20"/>
              </w:rPr>
              <w:t>Сухота в устата</w:t>
            </w:r>
          </w:p>
        </w:tc>
      </w:tr>
      <w:tr w:rsidR="00AC3E28" w14:paraId="19D314DB" w14:textId="77777777" w:rsidTr="00AC3E28">
        <w:tc>
          <w:tcPr>
            <w:tcW w:w="1933" w:type="dxa"/>
          </w:tcPr>
          <w:p w14:paraId="70BC58AB" w14:textId="2CBCF849" w:rsidR="00AC3E28" w:rsidRPr="00AC3E28" w:rsidRDefault="00AC3E28" w:rsidP="00AC3E28">
            <w:r w:rsidRPr="00AC3E28">
              <w:rPr>
                <w:b/>
                <w:bCs/>
                <w:szCs w:val="20"/>
              </w:rPr>
              <w:t>Нарушения на кожата и подкожната тъкан</w:t>
            </w:r>
          </w:p>
        </w:tc>
        <w:tc>
          <w:tcPr>
            <w:tcW w:w="1541" w:type="dxa"/>
          </w:tcPr>
          <w:p w14:paraId="04A27C14" w14:textId="77777777" w:rsidR="00AC3E28" w:rsidRPr="00AC3E28" w:rsidRDefault="00AC3E28" w:rsidP="00AC3E28"/>
        </w:tc>
        <w:tc>
          <w:tcPr>
            <w:tcW w:w="1648" w:type="dxa"/>
          </w:tcPr>
          <w:p w14:paraId="687ECABA" w14:textId="688DE07C" w:rsidR="00AC3E28" w:rsidRPr="00AC3E28" w:rsidRDefault="00AC3E28" w:rsidP="00AC3E28">
            <w:r w:rsidRPr="00AC3E28">
              <w:rPr>
                <w:szCs w:val="20"/>
              </w:rPr>
              <w:t>Обрив, сърбеж, уртикария</w:t>
            </w:r>
          </w:p>
        </w:tc>
        <w:tc>
          <w:tcPr>
            <w:tcW w:w="1452" w:type="dxa"/>
          </w:tcPr>
          <w:p w14:paraId="63343C00" w14:textId="25E9D854" w:rsidR="00AC3E28" w:rsidRPr="00AC3E28" w:rsidRDefault="00AC3E28" w:rsidP="00AC3E28">
            <w:r w:rsidRPr="00AC3E28">
              <w:rPr>
                <w:szCs w:val="20"/>
              </w:rPr>
              <w:t>Ангиоедем</w:t>
            </w:r>
          </w:p>
        </w:tc>
        <w:tc>
          <w:tcPr>
            <w:tcW w:w="1437" w:type="dxa"/>
          </w:tcPr>
          <w:p w14:paraId="65EEC48F" w14:textId="171CDBD8" w:rsidR="00AC3E28" w:rsidRPr="00AC3E28" w:rsidRDefault="00AC3E28" w:rsidP="00AC3E28">
            <w:r w:rsidRPr="00AC3E28">
              <w:rPr>
                <w:szCs w:val="20"/>
              </w:rPr>
              <w:t xml:space="preserve">Синдром на </w:t>
            </w:r>
            <w:r w:rsidRPr="00AC3E28">
              <w:rPr>
                <w:szCs w:val="20"/>
                <w:lang w:val="en-US"/>
              </w:rPr>
              <w:t>Stevens- Johnson</w:t>
            </w:r>
          </w:p>
        </w:tc>
        <w:tc>
          <w:tcPr>
            <w:tcW w:w="1565" w:type="dxa"/>
          </w:tcPr>
          <w:p w14:paraId="492AB254" w14:textId="77777777" w:rsidR="00AC3E28" w:rsidRPr="00AC3E28" w:rsidRDefault="00AC3E28" w:rsidP="00AC3E28">
            <w:r w:rsidRPr="00AC3E28">
              <w:rPr>
                <w:szCs w:val="20"/>
              </w:rPr>
              <w:t>Еритема мултиформе</w:t>
            </w:r>
          </w:p>
          <w:p w14:paraId="13F785C2" w14:textId="06081796" w:rsidR="00AC3E28" w:rsidRPr="00AC3E28" w:rsidRDefault="00AC3E28" w:rsidP="00AC3E28">
            <w:r w:rsidRPr="00AC3E28">
              <w:rPr>
                <w:szCs w:val="20"/>
              </w:rPr>
              <w:t>Ексфолиативен дерматит</w:t>
            </w:r>
          </w:p>
        </w:tc>
      </w:tr>
      <w:tr w:rsidR="00AC3E28" w14:paraId="749F71A6" w14:textId="77777777" w:rsidTr="00AC3E28">
        <w:tc>
          <w:tcPr>
            <w:tcW w:w="1933" w:type="dxa"/>
          </w:tcPr>
          <w:p w14:paraId="51D3E3EF" w14:textId="7F7D8B83" w:rsidR="00AC3E28" w:rsidRPr="00AC3E28" w:rsidRDefault="00AC3E28" w:rsidP="00AC3E28">
            <w:r w:rsidRPr="00AC3E28">
              <w:rPr>
                <w:b/>
                <w:bCs/>
                <w:szCs w:val="20"/>
              </w:rPr>
              <w:t>Нарушения на репродуктивната система и гърдата</w:t>
            </w:r>
          </w:p>
        </w:tc>
        <w:tc>
          <w:tcPr>
            <w:tcW w:w="1541" w:type="dxa"/>
          </w:tcPr>
          <w:p w14:paraId="0E5E1F5F" w14:textId="77777777" w:rsidR="00AC3E28" w:rsidRPr="00AC3E28" w:rsidRDefault="00AC3E28" w:rsidP="00AC3E28">
            <w:r w:rsidRPr="00AC3E28">
              <w:rPr>
                <w:szCs w:val="20"/>
              </w:rPr>
              <w:t>Нарушения в еякулацията</w:t>
            </w:r>
            <w:r w:rsidRPr="00AC3E28">
              <w:rPr>
                <w:szCs w:val="20"/>
                <w:vertAlign w:val="superscript"/>
              </w:rPr>
              <w:t>1</w:t>
            </w:r>
          </w:p>
          <w:p w14:paraId="4BE63FE0" w14:textId="77777777" w:rsidR="00AC3E28" w:rsidRPr="00AC3E28" w:rsidRDefault="00AC3E28" w:rsidP="00AC3E28">
            <w:r w:rsidRPr="00AC3E28">
              <w:rPr>
                <w:szCs w:val="20"/>
              </w:rPr>
              <w:t>Ретроградна еякулация</w:t>
            </w:r>
          </w:p>
          <w:p w14:paraId="48DC2183" w14:textId="5B2D4F56" w:rsidR="00AC3E28" w:rsidRPr="00AC3E28" w:rsidRDefault="00AC3E28" w:rsidP="00AC3E28">
            <w:r w:rsidRPr="00AC3E28">
              <w:rPr>
                <w:szCs w:val="20"/>
              </w:rPr>
              <w:t>Недостатъчна еякулация</w:t>
            </w:r>
          </w:p>
        </w:tc>
        <w:tc>
          <w:tcPr>
            <w:tcW w:w="1648" w:type="dxa"/>
          </w:tcPr>
          <w:p w14:paraId="3FFE88B0" w14:textId="77777777" w:rsidR="00AC3E28" w:rsidRPr="00AC3E28" w:rsidRDefault="00AC3E28" w:rsidP="00AC3E28"/>
        </w:tc>
        <w:tc>
          <w:tcPr>
            <w:tcW w:w="1452" w:type="dxa"/>
          </w:tcPr>
          <w:p w14:paraId="22CEA992" w14:textId="77777777" w:rsidR="00AC3E28" w:rsidRPr="00AC3E28" w:rsidRDefault="00AC3E28" w:rsidP="00AC3E28"/>
        </w:tc>
        <w:tc>
          <w:tcPr>
            <w:tcW w:w="1437" w:type="dxa"/>
          </w:tcPr>
          <w:p w14:paraId="6D4C1383" w14:textId="744983B6" w:rsidR="00AC3E28" w:rsidRPr="00AC3E28" w:rsidRDefault="00AC3E28" w:rsidP="00AC3E28">
            <w:r w:rsidRPr="00AC3E28">
              <w:rPr>
                <w:szCs w:val="20"/>
              </w:rPr>
              <w:t>Приапизъм</w:t>
            </w:r>
          </w:p>
        </w:tc>
        <w:tc>
          <w:tcPr>
            <w:tcW w:w="1565" w:type="dxa"/>
          </w:tcPr>
          <w:p w14:paraId="1A9581C0" w14:textId="77777777" w:rsidR="00AC3E28" w:rsidRPr="00AC3E28" w:rsidRDefault="00AC3E28" w:rsidP="00AC3E28"/>
        </w:tc>
      </w:tr>
      <w:tr w:rsidR="00AC3E28" w14:paraId="4E076005" w14:textId="77777777" w:rsidTr="00AC3E28">
        <w:tc>
          <w:tcPr>
            <w:tcW w:w="1933" w:type="dxa"/>
          </w:tcPr>
          <w:p w14:paraId="23D7D169" w14:textId="434EC56B" w:rsidR="00AC3E28" w:rsidRPr="00AC3E28" w:rsidRDefault="00AC3E28" w:rsidP="00AC3E28">
            <w:r w:rsidRPr="00AC3E28">
              <w:rPr>
                <w:b/>
                <w:bCs/>
                <w:szCs w:val="20"/>
              </w:rPr>
              <w:lastRenderedPageBreak/>
              <w:t>Общи нарушения и ефекти на мястото на приложение</w:t>
            </w:r>
          </w:p>
        </w:tc>
        <w:tc>
          <w:tcPr>
            <w:tcW w:w="1541" w:type="dxa"/>
          </w:tcPr>
          <w:p w14:paraId="29897666" w14:textId="77777777" w:rsidR="00AC3E28" w:rsidRPr="00AC3E28" w:rsidRDefault="00AC3E28" w:rsidP="00AC3E28"/>
        </w:tc>
        <w:tc>
          <w:tcPr>
            <w:tcW w:w="1648" w:type="dxa"/>
          </w:tcPr>
          <w:p w14:paraId="198FE4F3" w14:textId="3FF86DB7" w:rsidR="00AC3E28" w:rsidRPr="00AC3E28" w:rsidRDefault="00AC3E28" w:rsidP="00AC3E28">
            <w:r w:rsidRPr="00AC3E28">
              <w:rPr>
                <w:szCs w:val="20"/>
              </w:rPr>
              <w:t>Астения</w:t>
            </w:r>
          </w:p>
        </w:tc>
        <w:tc>
          <w:tcPr>
            <w:tcW w:w="1452" w:type="dxa"/>
          </w:tcPr>
          <w:p w14:paraId="404EF31A" w14:textId="77777777" w:rsidR="00AC3E28" w:rsidRPr="00AC3E28" w:rsidRDefault="00AC3E28" w:rsidP="00AC3E28"/>
        </w:tc>
        <w:tc>
          <w:tcPr>
            <w:tcW w:w="1437" w:type="dxa"/>
          </w:tcPr>
          <w:p w14:paraId="2FD10875" w14:textId="77777777" w:rsidR="00AC3E28" w:rsidRPr="00AC3E28" w:rsidRDefault="00AC3E28" w:rsidP="00AC3E28"/>
        </w:tc>
        <w:tc>
          <w:tcPr>
            <w:tcW w:w="1565" w:type="dxa"/>
          </w:tcPr>
          <w:p w14:paraId="013E4C72" w14:textId="77777777" w:rsidR="00AC3E28" w:rsidRPr="00AC3E28" w:rsidRDefault="00AC3E28" w:rsidP="00AC3E28"/>
        </w:tc>
      </w:tr>
      <w:tr w:rsidR="00AC3E28" w14:paraId="34D6A489" w14:textId="77777777" w:rsidTr="00AC3E28">
        <w:tc>
          <w:tcPr>
            <w:tcW w:w="1933" w:type="dxa"/>
          </w:tcPr>
          <w:p w14:paraId="0BFB78E9" w14:textId="3895E923" w:rsidR="00AC3E28" w:rsidRPr="00AC3E28" w:rsidRDefault="00AC3E28" w:rsidP="00AC3E28">
            <w:r w:rsidRPr="00AC3E28">
              <w:rPr>
                <w:b/>
                <w:bCs/>
                <w:szCs w:val="20"/>
              </w:rPr>
              <w:t>Нарушения на очите</w:t>
            </w:r>
          </w:p>
        </w:tc>
        <w:tc>
          <w:tcPr>
            <w:tcW w:w="1541" w:type="dxa"/>
          </w:tcPr>
          <w:p w14:paraId="495A4076" w14:textId="77777777" w:rsidR="00AC3E28" w:rsidRPr="00AC3E28" w:rsidRDefault="00AC3E28" w:rsidP="00AC3E28"/>
        </w:tc>
        <w:tc>
          <w:tcPr>
            <w:tcW w:w="1648" w:type="dxa"/>
          </w:tcPr>
          <w:p w14:paraId="2667C317" w14:textId="77777777" w:rsidR="00AC3E28" w:rsidRPr="00AC3E28" w:rsidRDefault="00AC3E28" w:rsidP="00AC3E28"/>
        </w:tc>
        <w:tc>
          <w:tcPr>
            <w:tcW w:w="1452" w:type="dxa"/>
          </w:tcPr>
          <w:p w14:paraId="75B4031F" w14:textId="77777777" w:rsidR="00AC3E28" w:rsidRPr="00AC3E28" w:rsidRDefault="00AC3E28" w:rsidP="00AC3E28"/>
        </w:tc>
        <w:tc>
          <w:tcPr>
            <w:tcW w:w="1437" w:type="dxa"/>
          </w:tcPr>
          <w:p w14:paraId="15E8BE31" w14:textId="77777777" w:rsidR="00AC3E28" w:rsidRPr="00AC3E28" w:rsidRDefault="00AC3E28" w:rsidP="00AC3E28"/>
        </w:tc>
        <w:tc>
          <w:tcPr>
            <w:tcW w:w="1565" w:type="dxa"/>
          </w:tcPr>
          <w:p w14:paraId="6A1DAD84" w14:textId="77777777" w:rsidR="00AC3E28" w:rsidRPr="00AC3E28" w:rsidRDefault="00AC3E28" w:rsidP="00AC3E28">
            <w:r w:rsidRPr="00AC3E28">
              <w:rPr>
                <w:szCs w:val="20"/>
              </w:rPr>
              <w:t>Замъглено виждане</w:t>
            </w:r>
          </w:p>
          <w:p w14:paraId="1CD51015" w14:textId="0F969DF0" w:rsidR="00AC3E28" w:rsidRPr="00AC3E28" w:rsidRDefault="00AC3E28" w:rsidP="00AC3E28">
            <w:r w:rsidRPr="00AC3E28">
              <w:rPr>
                <w:szCs w:val="20"/>
              </w:rPr>
              <w:t>Визуални нарушения</w:t>
            </w:r>
          </w:p>
        </w:tc>
      </w:tr>
    </w:tbl>
    <w:p w14:paraId="16ADAB9C" w14:textId="2035B2C4" w:rsidR="00AC3E28" w:rsidRDefault="00AC3E28" w:rsidP="00AC3E28"/>
    <w:p w14:paraId="5000988C" w14:textId="77777777" w:rsidR="00AC3E28" w:rsidRPr="00AC3E28" w:rsidRDefault="00AC3E28" w:rsidP="00AC3E28">
      <w:pPr>
        <w:spacing w:line="240" w:lineRule="auto"/>
        <w:rPr>
          <w:rFonts w:eastAsia="Times New Roman" w:cs="Arial"/>
        </w:rPr>
      </w:pPr>
      <w:r w:rsidRPr="00AC3E28">
        <w:rPr>
          <w:rFonts w:eastAsia="Times New Roman" w:cs="Arial"/>
          <w:color w:val="000000"/>
          <w:lang w:eastAsia="bg-BG"/>
        </w:rPr>
        <w:t xml:space="preserve">По време на постмаркетингово наблюдение е установено, че при операция на катаракта може да се наблюдава </w:t>
      </w:r>
      <w:r w:rsidRPr="00AC3E28">
        <w:rPr>
          <w:rFonts w:eastAsia="Times New Roman" w:cs="Arial"/>
          <w:color w:val="000000"/>
          <w:lang w:val="en-US"/>
        </w:rPr>
        <w:t xml:space="preserve">"Intraoperative Floppy Iris Syndrome " (IFIS), </w:t>
      </w:r>
      <w:r w:rsidRPr="00AC3E28">
        <w:rPr>
          <w:rFonts w:eastAsia="Times New Roman" w:cs="Arial"/>
          <w:color w:val="000000"/>
          <w:lang w:eastAsia="bg-BG"/>
        </w:rPr>
        <w:t xml:space="preserve">свързан </w:t>
      </w:r>
      <w:r w:rsidRPr="00AC3E28">
        <w:rPr>
          <w:rFonts w:eastAsia="Times New Roman" w:cs="Arial"/>
          <w:color w:val="000000"/>
          <w:lang w:val="en-US"/>
        </w:rPr>
        <w:t xml:space="preserve">c </w:t>
      </w:r>
      <w:r w:rsidRPr="00AC3E28">
        <w:rPr>
          <w:rFonts w:eastAsia="Times New Roman" w:cs="Arial"/>
          <w:color w:val="000000"/>
          <w:lang w:eastAsia="bg-BG"/>
        </w:rPr>
        <w:t xml:space="preserve">лечението </w:t>
      </w:r>
      <w:r w:rsidRPr="00AC3E28">
        <w:rPr>
          <w:rFonts w:eastAsia="Times New Roman" w:cs="Arial"/>
          <w:color w:val="000000"/>
          <w:lang w:val="en-US"/>
        </w:rPr>
        <w:t xml:space="preserve">c </w:t>
      </w:r>
      <w:r w:rsidRPr="00AC3E28">
        <w:rPr>
          <w:rFonts w:eastAsia="Times New Roman" w:cs="Arial"/>
          <w:color w:val="000000"/>
          <w:lang w:eastAsia="bg-BG"/>
        </w:rPr>
        <w:t>тамсулозин (вж точка 4.4),</w:t>
      </w:r>
    </w:p>
    <w:p w14:paraId="4C28CCCA" w14:textId="77777777" w:rsidR="00AC3E28" w:rsidRPr="00AC3E28" w:rsidRDefault="00AC3E28" w:rsidP="00AC3E28">
      <w:pPr>
        <w:spacing w:line="240" w:lineRule="auto"/>
        <w:rPr>
          <w:rFonts w:eastAsia="Times New Roman" w:cs="Arial"/>
          <w:color w:val="000000"/>
          <w:lang w:eastAsia="bg-BG"/>
        </w:rPr>
      </w:pPr>
    </w:p>
    <w:p w14:paraId="41E91803" w14:textId="506BA1BE" w:rsidR="00AC3E28" w:rsidRPr="00AC3E28" w:rsidRDefault="00AC3E28" w:rsidP="00AC3E28">
      <w:pPr>
        <w:spacing w:line="240" w:lineRule="auto"/>
        <w:rPr>
          <w:rFonts w:eastAsia="Times New Roman" w:cs="Arial"/>
        </w:rPr>
      </w:pPr>
      <w:r w:rsidRPr="00AC3E28">
        <w:rPr>
          <w:rFonts w:eastAsia="Times New Roman" w:cs="Arial"/>
          <w:color w:val="000000"/>
          <w:lang w:eastAsia="bg-BG"/>
        </w:rPr>
        <w:t>Пост-маркетингов опит: В допълнение към изброените по-горе нежелани лекарствени реакции при употребата на тамсулозин съществуват съобщения за появата на предсърдно мъждене, аритмия, тахикардия и диспнея. Тъй като тези спонтанни съобщения за нежелани лекарствени реакции са събрани от световния пост-маркетингов опит, честотата и ролята на тамсулозин за тяхната поява не могат да бъдат достоверно определени.</w:t>
      </w:r>
    </w:p>
    <w:p w14:paraId="5472BA8D" w14:textId="77777777" w:rsidR="00AC3E28" w:rsidRPr="00AC3E28" w:rsidRDefault="00AC3E28" w:rsidP="00AC3E28">
      <w:pPr>
        <w:spacing w:line="240" w:lineRule="auto"/>
        <w:rPr>
          <w:rFonts w:eastAsia="Times New Roman" w:cs="Arial"/>
          <w:color w:val="000000"/>
          <w:u w:val="single"/>
          <w:lang w:eastAsia="bg-BG"/>
        </w:rPr>
      </w:pPr>
    </w:p>
    <w:p w14:paraId="264B0D2C" w14:textId="7F32A1B6" w:rsidR="00AC3E28" w:rsidRPr="00AC3E28" w:rsidRDefault="00AC3E28" w:rsidP="00AC3E28">
      <w:pPr>
        <w:spacing w:line="240" w:lineRule="auto"/>
        <w:rPr>
          <w:rFonts w:eastAsia="Times New Roman" w:cs="Arial"/>
        </w:rPr>
      </w:pPr>
      <w:r w:rsidRPr="00AC3E28">
        <w:rPr>
          <w:rFonts w:eastAsia="Times New Roman" w:cs="Arial"/>
          <w:color w:val="000000"/>
          <w:u w:val="single"/>
          <w:lang w:eastAsia="bg-BG"/>
        </w:rPr>
        <w:t>Съобщаване на подозирани нежелани реакции</w:t>
      </w:r>
    </w:p>
    <w:p w14:paraId="4717D3FB" w14:textId="5AA3038D" w:rsidR="00AC3E28" w:rsidRDefault="00AC3E28" w:rsidP="00AC3E28">
      <w:pPr>
        <w:rPr>
          <w:rFonts w:eastAsia="Times New Roman" w:cs="Arial"/>
          <w:color w:val="000000"/>
          <w:lang w:val="en-US"/>
        </w:rPr>
      </w:pPr>
      <w:r w:rsidRPr="00AC3E2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02 8903417, уебсайт: </w:t>
      </w:r>
      <w:hyperlink r:id="rId5" w:history="1">
        <w:r w:rsidRPr="00AC3E28">
          <w:rPr>
            <w:rFonts w:eastAsia="Times New Roman" w:cs="Arial"/>
            <w:color w:val="000000"/>
            <w:lang w:val="en-US"/>
          </w:rPr>
          <w:t>www.bda.bg</w:t>
        </w:r>
      </w:hyperlink>
      <w:r w:rsidRPr="00AC3E28">
        <w:rPr>
          <w:rFonts w:eastAsia="Times New Roman" w:cs="Arial"/>
          <w:color w:val="000000"/>
          <w:lang w:val="en-US"/>
        </w:rPr>
        <w:t>.</w:t>
      </w:r>
    </w:p>
    <w:p w14:paraId="3ACC0EEA" w14:textId="77777777" w:rsidR="00AC3E28" w:rsidRPr="00AC3E28" w:rsidRDefault="00AC3E28" w:rsidP="00AC3E28">
      <w:pPr>
        <w:rPr>
          <w:rFonts w:cs="Arial"/>
        </w:rPr>
      </w:pPr>
    </w:p>
    <w:p w14:paraId="4ED30546" w14:textId="416506EB" w:rsidR="007C605B" w:rsidRDefault="002C50EE" w:rsidP="009F1313">
      <w:pPr>
        <w:pStyle w:val="Heading2"/>
      </w:pPr>
      <w:r>
        <w:t>4.9. Предозиране</w:t>
      </w:r>
    </w:p>
    <w:p w14:paraId="5BC72C07" w14:textId="02F0ED67" w:rsidR="00AC3E28" w:rsidRDefault="00AC3E28" w:rsidP="00AC3E28"/>
    <w:p w14:paraId="0B4D01C6" w14:textId="77777777" w:rsidR="00AC3E28" w:rsidRPr="00AC3E28" w:rsidRDefault="00AC3E28" w:rsidP="00AC3E28">
      <w:pPr>
        <w:pStyle w:val="Heading3"/>
        <w:rPr>
          <w:rFonts w:eastAsia="Times New Roman"/>
          <w:sz w:val="28"/>
          <w:u w:val="single"/>
        </w:rPr>
      </w:pPr>
      <w:r w:rsidRPr="00AC3E28">
        <w:rPr>
          <w:rFonts w:eastAsia="Times New Roman"/>
          <w:u w:val="single"/>
          <w:lang w:eastAsia="bg-BG"/>
        </w:rPr>
        <w:t>Симптоми</w:t>
      </w:r>
    </w:p>
    <w:p w14:paraId="2449BBCF"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Предозирането с тамсулозин хидрохлорид може потенциално да доведе до тежки хипотензивни ефекти. Тежките хипотензивни ефекти са наблюдавани на различни нива на п</w:t>
      </w:r>
      <w:r w:rsidRPr="00AC3E28">
        <w:rPr>
          <w:rFonts w:eastAsia="Times New Roman" w:cs="Arial"/>
          <w:color w:val="000000"/>
          <w:szCs w:val="20"/>
          <w:u w:val="single"/>
          <w:lang w:eastAsia="bg-BG"/>
        </w:rPr>
        <w:t>редоз</w:t>
      </w:r>
      <w:r w:rsidRPr="00AC3E28">
        <w:rPr>
          <w:rFonts w:eastAsia="Times New Roman" w:cs="Arial"/>
          <w:color w:val="000000"/>
          <w:szCs w:val="20"/>
          <w:lang w:eastAsia="bg-BG"/>
        </w:rPr>
        <w:t>иране.</w:t>
      </w:r>
    </w:p>
    <w:p w14:paraId="4F79AA09" w14:textId="77777777" w:rsidR="00AC3E28" w:rsidRPr="00AC3E28" w:rsidRDefault="00AC3E28" w:rsidP="00AC3E28">
      <w:pPr>
        <w:spacing w:line="240" w:lineRule="auto"/>
        <w:rPr>
          <w:rFonts w:eastAsia="Times New Roman" w:cs="Arial"/>
          <w:color w:val="000000"/>
          <w:szCs w:val="20"/>
          <w:u w:val="single"/>
          <w:lang w:eastAsia="bg-BG"/>
        </w:rPr>
      </w:pPr>
    </w:p>
    <w:p w14:paraId="3BB6B47D" w14:textId="374E3CA7" w:rsidR="00AC3E28" w:rsidRPr="00AC3E28" w:rsidRDefault="00AC3E28" w:rsidP="00AC3E28">
      <w:pPr>
        <w:pStyle w:val="Heading3"/>
        <w:rPr>
          <w:rFonts w:eastAsia="Times New Roman"/>
          <w:sz w:val="28"/>
          <w:u w:val="single"/>
        </w:rPr>
      </w:pPr>
      <w:r w:rsidRPr="00AC3E28">
        <w:rPr>
          <w:rFonts w:eastAsia="Times New Roman"/>
          <w:u w:val="single"/>
          <w:lang w:eastAsia="bg-BG"/>
        </w:rPr>
        <w:t>Лечение</w:t>
      </w:r>
    </w:p>
    <w:p w14:paraId="5DA60F59" w14:textId="6732B3B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В случай, че настъпи остра хипотензия след предозиране е необходимо да се приложат мерки за поддържане на сърдечно-съдовата функция. Артериалното налягане може да се въстанови и</w:t>
      </w:r>
      <w:r>
        <w:rPr>
          <w:rFonts w:eastAsia="Times New Roman" w:cs="Arial"/>
          <w:sz w:val="28"/>
          <w:szCs w:val="24"/>
        </w:rPr>
        <w:t xml:space="preserve"> </w:t>
      </w:r>
      <w:r w:rsidRPr="00AC3E28">
        <w:rPr>
          <w:rFonts w:eastAsia="Times New Roman" w:cs="Arial"/>
          <w:color w:val="000000"/>
          <w:szCs w:val="20"/>
          <w:lang w:eastAsia="bg-BG"/>
        </w:rPr>
        <w:t>сърдечната честота да се нормализира, като пациентът се постави в легнало положение. Ако това не помогне, може да се приложи обемно заместителна терапия, а при необходимост и вазопресорни средства. Бъбречната функция трябва да се проследява и да се приложат общи поддържащи мерки. Малко е вероятно диализата да бъде от полза, тъй като тамсулозин е свързан в много голяма степен с плазмените протеини.</w:t>
      </w:r>
    </w:p>
    <w:p w14:paraId="57AEC5C9" w14:textId="77777777" w:rsidR="00AC3E28" w:rsidRPr="00AC3E28" w:rsidRDefault="00AC3E28" w:rsidP="00AC3E28">
      <w:pPr>
        <w:rPr>
          <w:rFonts w:eastAsia="Times New Roman" w:cs="Arial"/>
          <w:color w:val="000000"/>
          <w:szCs w:val="20"/>
          <w:lang w:eastAsia="bg-BG"/>
        </w:rPr>
      </w:pPr>
    </w:p>
    <w:p w14:paraId="6FD02843" w14:textId="2A7EA5E3" w:rsidR="00AC3E28" w:rsidRPr="00AC3E28" w:rsidRDefault="00AC3E28" w:rsidP="00AC3E28">
      <w:pPr>
        <w:rPr>
          <w:rFonts w:cs="Arial"/>
          <w:sz w:val="24"/>
        </w:rPr>
      </w:pPr>
      <w:r w:rsidRPr="00AC3E28">
        <w:rPr>
          <w:rFonts w:eastAsia="Times New Roman" w:cs="Arial"/>
          <w:color w:val="000000"/>
          <w:szCs w:val="20"/>
          <w:lang w:eastAsia="bg-BG"/>
        </w:rPr>
        <w:t xml:space="preserve">За намаляване на абсорбцията могат да се приложат мерки, като предизвикано повръщане. При прием на голямо количество от лекарствения продукт, може да се </w:t>
      </w:r>
      <w:r w:rsidRPr="00AC3E28">
        <w:rPr>
          <w:rFonts w:eastAsia="Times New Roman" w:cs="Arial"/>
          <w:color w:val="000000"/>
          <w:szCs w:val="20"/>
          <w:lang w:eastAsia="bg-BG"/>
        </w:rPr>
        <w:lastRenderedPageBreak/>
        <w:t>извърши стомашна промивка и да се приложат активен въглен и осмотични лаксативи, като натриев сулфат.</w:t>
      </w:r>
    </w:p>
    <w:p w14:paraId="02081B24" w14:textId="1F46E296" w:rsidR="00395555" w:rsidRPr="00395555" w:rsidRDefault="002C50EE" w:rsidP="008A6AF2">
      <w:pPr>
        <w:pStyle w:val="Heading1"/>
      </w:pPr>
      <w:r>
        <w:t>5. ФАРМАКОЛОГИЧНИ СВОЙСТВА</w:t>
      </w:r>
    </w:p>
    <w:p w14:paraId="5350637D" w14:textId="1F257260" w:rsidR="00395555" w:rsidRDefault="002C50EE" w:rsidP="008A6AF2">
      <w:pPr>
        <w:pStyle w:val="Heading2"/>
      </w:pPr>
      <w:r>
        <w:t>5.1. Фармакодинамични свойства</w:t>
      </w:r>
    </w:p>
    <w:p w14:paraId="7AA18478" w14:textId="2163E742" w:rsidR="00AC3E28" w:rsidRDefault="00AC3E28" w:rsidP="00AC3E28"/>
    <w:p w14:paraId="3AE7DD46"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Фармакотерапевтична група: Алфа1-адренорецепторен антагонист, АТС код: </w:t>
      </w:r>
      <w:r w:rsidRPr="00AC3E28">
        <w:rPr>
          <w:rFonts w:eastAsia="Times New Roman" w:cs="Arial"/>
          <w:color w:val="000000"/>
          <w:szCs w:val="20"/>
          <w:lang w:val="en-US"/>
        </w:rPr>
        <w:t>G04CA02</w:t>
      </w:r>
    </w:p>
    <w:p w14:paraId="6C20AC42"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Лекарствени продукти само за лечение на заболявалия на простатата</w:t>
      </w:r>
    </w:p>
    <w:p w14:paraId="10C5E5A5" w14:textId="77777777" w:rsidR="00AC3E28" w:rsidRPr="00AC3E28" w:rsidRDefault="00AC3E28" w:rsidP="00AC3E28">
      <w:pPr>
        <w:spacing w:line="240" w:lineRule="auto"/>
        <w:rPr>
          <w:rFonts w:eastAsia="Times New Roman" w:cs="Arial"/>
          <w:color w:val="000000"/>
          <w:szCs w:val="20"/>
          <w:u w:val="single"/>
          <w:lang w:eastAsia="bg-BG"/>
        </w:rPr>
      </w:pPr>
    </w:p>
    <w:p w14:paraId="3C7D4B0D" w14:textId="7B1932FC" w:rsidR="00AC3E28" w:rsidRPr="00AC3E28" w:rsidRDefault="00AC3E28" w:rsidP="00AC3E28">
      <w:pPr>
        <w:pStyle w:val="Heading3"/>
        <w:rPr>
          <w:rFonts w:eastAsia="Times New Roman"/>
          <w:sz w:val="28"/>
          <w:u w:val="single"/>
        </w:rPr>
      </w:pPr>
      <w:r w:rsidRPr="00AC3E28">
        <w:rPr>
          <w:rFonts w:eastAsia="Times New Roman"/>
          <w:u w:val="single"/>
          <w:lang w:eastAsia="bg-BG"/>
        </w:rPr>
        <w:t>Механизъм на действие</w:t>
      </w:r>
    </w:p>
    <w:p w14:paraId="2DB4FAEE"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Тамсулозин се свързва избирателно и компетитивно с постсинаптичните </w:t>
      </w:r>
      <w:r w:rsidRPr="00AC3E28">
        <w:rPr>
          <w:rFonts w:eastAsia="Times New Roman" w:cs="Arial"/>
          <w:color w:val="000000"/>
          <w:szCs w:val="20"/>
          <w:lang w:val="en-US"/>
        </w:rPr>
        <w:t>α</w:t>
      </w:r>
      <w:r w:rsidRPr="00AC3E28">
        <w:rPr>
          <w:rFonts w:eastAsia="Times New Roman" w:cs="Arial"/>
          <w:color w:val="000000"/>
          <w:szCs w:val="20"/>
          <w:vertAlign w:val="subscript"/>
          <w:lang w:val="en-US"/>
        </w:rPr>
        <w:t>1</w:t>
      </w:r>
      <w:r w:rsidRPr="00AC3E28">
        <w:rPr>
          <w:rFonts w:eastAsia="Times New Roman" w:cs="Arial"/>
          <w:color w:val="000000"/>
          <w:szCs w:val="20"/>
          <w:lang w:eastAsia="bg-BG"/>
        </w:rPr>
        <w:t xml:space="preserve">-рецептори и по- специално с подтипове </w:t>
      </w:r>
      <w:r w:rsidRPr="00AC3E28">
        <w:rPr>
          <w:rFonts w:eastAsia="Times New Roman" w:cs="Arial"/>
          <w:color w:val="000000"/>
          <w:szCs w:val="20"/>
          <w:lang w:val="en-US"/>
        </w:rPr>
        <w:t>α</w:t>
      </w:r>
      <w:r w:rsidRPr="00AC3E28">
        <w:rPr>
          <w:rFonts w:eastAsia="Times New Roman" w:cs="Arial"/>
          <w:color w:val="000000"/>
          <w:szCs w:val="20"/>
          <w:vertAlign w:val="subscript"/>
          <w:lang w:val="en-US"/>
        </w:rPr>
        <w:t>1A</w:t>
      </w:r>
      <w:r w:rsidRPr="00AC3E28">
        <w:rPr>
          <w:rFonts w:eastAsia="Times New Roman" w:cs="Arial"/>
          <w:color w:val="000000"/>
          <w:szCs w:val="20"/>
          <w:lang w:val="en-US"/>
        </w:rPr>
        <w:t xml:space="preserve"> </w:t>
      </w:r>
      <w:r w:rsidRPr="00AC3E28">
        <w:rPr>
          <w:rFonts w:eastAsia="Times New Roman" w:cs="Arial"/>
          <w:color w:val="000000"/>
          <w:szCs w:val="20"/>
          <w:lang w:eastAsia="bg-BG"/>
        </w:rPr>
        <w:t xml:space="preserve">и </w:t>
      </w:r>
      <w:r w:rsidRPr="00AC3E28">
        <w:rPr>
          <w:rFonts w:eastAsia="Times New Roman" w:cs="Arial"/>
          <w:color w:val="000000"/>
          <w:szCs w:val="20"/>
          <w:lang w:val="en-US"/>
        </w:rPr>
        <w:t>α</w:t>
      </w:r>
      <w:r w:rsidRPr="00AC3E28">
        <w:rPr>
          <w:rFonts w:eastAsia="Times New Roman" w:cs="Arial"/>
          <w:color w:val="000000"/>
          <w:szCs w:val="20"/>
          <w:vertAlign w:val="subscript"/>
          <w:lang w:val="en-US"/>
        </w:rPr>
        <w:t>1D</w:t>
      </w:r>
      <w:r w:rsidRPr="00AC3E28">
        <w:rPr>
          <w:rFonts w:eastAsia="Times New Roman" w:cs="Arial"/>
          <w:color w:val="000000"/>
          <w:szCs w:val="20"/>
          <w:lang w:val="en-US"/>
        </w:rPr>
        <w:t xml:space="preserve">. </w:t>
      </w:r>
      <w:r w:rsidRPr="00AC3E28">
        <w:rPr>
          <w:rFonts w:eastAsia="Times New Roman" w:cs="Arial"/>
          <w:color w:val="000000"/>
          <w:szCs w:val="20"/>
          <w:lang w:eastAsia="bg-BG"/>
        </w:rPr>
        <w:t>Това води до релаксация на гладката мускулатура на простатата и уретрата.</w:t>
      </w:r>
    </w:p>
    <w:p w14:paraId="04E25D12" w14:textId="77777777" w:rsidR="00AC3E28" w:rsidRPr="00AC3E28" w:rsidRDefault="00AC3E28" w:rsidP="00AC3E28">
      <w:pPr>
        <w:spacing w:line="240" w:lineRule="auto"/>
        <w:rPr>
          <w:rFonts w:eastAsia="Times New Roman" w:cs="Arial"/>
          <w:color w:val="000000"/>
          <w:szCs w:val="20"/>
          <w:u w:val="single"/>
          <w:lang w:eastAsia="bg-BG"/>
        </w:rPr>
      </w:pPr>
    </w:p>
    <w:p w14:paraId="130B41B3" w14:textId="00241FBE" w:rsidR="00AC3E28" w:rsidRPr="00AC3E28" w:rsidRDefault="00AC3E28" w:rsidP="00AC3E28">
      <w:pPr>
        <w:pStyle w:val="Heading3"/>
        <w:rPr>
          <w:rFonts w:eastAsia="Times New Roman"/>
          <w:sz w:val="28"/>
          <w:u w:val="single"/>
        </w:rPr>
      </w:pPr>
      <w:r w:rsidRPr="00AC3E28">
        <w:rPr>
          <w:rFonts w:eastAsia="Times New Roman"/>
          <w:u w:val="single"/>
          <w:lang w:eastAsia="bg-BG"/>
        </w:rPr>
        <w:t>Фармакодинамика</w:t>
      </w:r>
    </w:p>
    <w:p w14:paraId="31E41D36"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Тамсулозин увеличава максималната скорост на уриниране. Намалява обструкцията чрез отпускане на гладката мускулатура в простатата и уретрата и по този начин подобрява изпразването на пикочния мехур.</w:t>
      </w:r>
    </w:p>
    <w:p w14:paraId="0651833B" w14:textId="77777777" w:rsidR="00AC3E28" w:rsidRPr="00AC3E28" w:rsidRDefault="00AC3E28" w:rsidP="00AC3E28">
      <w:pPr>
        <w:spacing w:line="240" w:lineRule="auto"/>
        <w:rPr>
          <w:rFonts w:eastAsia="Times New Roman" w:cs="Arial"/>
          <w:color w:val="000000"/>
          <w:szCs w:val="20"/>
          <w:lang w:eastAsia="bg-BG"/>
        </w:rPr>
      </w:pPr>
    </w:p>
    <w:p w14:paraId="17416867" w14:textId="650EDD6D"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Подобрява симптомите при пълен пикочен мехур, при които нестабилността на пикочния мехур играе важна роля.</w:t>
      </w:r>
    </w:p>
    <w:p w14:paraId="772517CC" w14:textId="77777777" w:rsidR="00AC3E28" w:rsidRPr="00AC3E28" w:rsidRDefault="00AC3E28" w:rsidP="00AC3E28">
      <w:pPr>
        <w:spacing w:line="240" w:lineRule="auto"/>
        <w:rPr>
          <w:rFonts w:eastAsia="Times New Roman" w:cs="Arial"/>
          <w:color w:val="000000"/>
          <w:szCs w:val="20"/>
          <w:lang w:eastAsia="bg-BG"/>
        </w:rPr>
      </w:pPr>
    </w:p>
    <w:p w14:paraId="434EEB58" w14:textId="7EDCC95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Ефектите върху симптомите на пълнене и изпразване на пикочния мехур се поддържат при продължително лечение. Необходимостта от операция или катетеризация значително се забавят във времето.</w:t>
      </w:r>
    </w:p>
    <w:p w14:paraId="4FA8193B" w14:textId="77777777" w:rsidR="00AC3E28" w:rsidRPr="00AC3E28" w:rsidRDefault="00AC3E28" w:rsidP="00AC3E28">
      <w:pPr>
        <w:spacing w:line="240" w:lineRule="auto"/>
        <w:rPr>
          <w:rFonts w:eastAsia="Times New Roman" w:cs="Arial"/>
          <w:color w:val="000000"/>
          <w:szCs w:val="20"/>
          <w:lang w:eastAsia="bg-BG"/>
        </w:rPr>
      </w:pPr>
    </w:p>
    <w:p w14:paraId="45A76416" w14:textId="1BC42ABB"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Алфа</w:t>
      </w:r>
      <w:r w:rsidRPr="00AC3E28">
        <w:rPr>
          <w:rFonts w:eastAsia="Times New Roman" w:cs="Arial"/>
          <w:color w:val="000000"/>
          <w:szCs w:val="20"/>
          <w:vertAlign w:val="subscript"/>
          <w:lang w:eastAsia="bg-BG"/>
        </w:rPr>
        <w:t>1</w:t>
      </w:r>
      <w:r w:rsidRPr="00AC3E28">
        <w:rPr>
          <w:rFonts w:eastAsia="Times New Roman" w:cs="Arial"/>
          <w:color w:val="000000"/>
          <w:szCs w:val="20"/>
          <w:lang w:eastAsia="bg-BG"/>
        </w:rPr>
        <w:t>-адренорецепторните антагонисти могат да понижат артериалното налягане посредством намаляване на периферната резистентност. По време на проучвания с тамсулозин, не се установява клинично значимо понижаване на артериалното налягане.</w:t>
      </w:r>
    </w:p>
    <w:p w14:paraId="44D78989" w14:textId="77777777" w:rsidR="00AC3E28" w:rsidRPr="00AC3E28" w:rsidRDefault="00AC3E28" w:rsidP="00AC3E28">
      <w:pPr>
        <w:spacing w:line="240" w:lineRule="auto"/>
        <w:rPr>
          <w:rFonts w:eastAsia="Times New Roman" w:cs="Arial"/>
          <w:color w:val="000000"/>
          <w:szCs w:val="20"/>
          <w:u w:val="single"/>
          <w:lang w:eastAsia="bg-BG"/>
        </w:rPr>
      </w:pPr>
    </w:p>
    <w:p w14:paraId="41B78705" w14:textId="20F72873" w:rsidR="00AC3E28" w:rsidRPr="00AC3E28" w:rsidRDefault="00AC3E28" w:rsidP="00AC3E28">
      <w:pPr>
        <w:pStyle w:val="Heading3"/>
        <w:rPr>
          <w:rFonts w:eastAsia="Times New Roman"/>
          <w:sz w:val="28"/>
          <w:u w:val="single"/>
        </w:rPr>
      </w:pPr>
      <w:r w:rsidRPr="00AC3E28">
        <w:rPr>
          <w:rFonts w:eastAsia="Times New Roman"/>
          <w:u w:val="single"/>
          <w:lang w:eastAsia="bg-BG"/>
        </w:rPr>
        <w:t>Педиатрична популация</w:t>
      </w:r>
    </w:p>
    <w:p w14:paraId="38C39B4A"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При деца с невропатичен пикочен мехур е проведено двойно-сляпо, рандомизирано, плацебо- контролирано проучване за определяне на дозата. Общо 161 деца (на възраст от 2 до 16 години) са рандомизирани и лекувани с един от трите дозови режими на тамсулозин (ниска доза [0,001 до 0,002 </w:t>
      </w:r>
      <w:r w:rsidRPr="00AC3E28">
        <w:rPr>
          <w:rFonts w:eastAsia="Times New Roman" w:cs="Arial"/>
          <w:color w:val="000000"/>
          <w:szCs w:val="20"/>
          <w:lang w:val="en-US"/>
        </w:rPr>
        <w:t xml:space="preserve">mg/kg], </w:t>
      </w:r>
      <w:r w:rsidRPr="00AC3E28">
        <w:rPr>
          <w:rFonts w:eastAsia="Times New Roman" w:cs="Arial"/>
          <w:color w:val="000000"/>
          <w:szCs w:val="20"/>
          <w:lang w:eastAsia="bg-BG"/>
        </w:rPr>
        <w:t xml:space="preserve">средна 0,002 до 0,004 </w:t>
      </w:r>
      <w:r w:rsidRPr="00AC3E28">
        <w:rPr>
          <w:rFonts w:eastAsia="Times New Roman" w:cs="Arial"/>
          <w:color w:val="000000"/>
          <w:szCs w:val="20"/>
          <w:lang w:val="en-US"/>
        </w:rPr>
        <w:t xml:space="preserve">mg/kg, </w:t>
      </w:r>
      <w:r w:rsidRPr="00AC3E28">
        <w:rPr>
          <w:rFonts w:eastAsia="Times New Roman" w:cs="Arial"/>
          <w:color w:val="000000"/>
          <w:szCs w:val="20"/>
          <w:lang w:eastAsia="bg-BG"/>
        </w:rPr>
        <w:t xml:space="preserve">и висока [0,004 до 0,008 </w:t>
      </w:r>
      <w:r w:rsidRPr="00AC3E28">
        <w:rPr>
          <w:rFonts w:eastAsia="Times New Roman" w:cs="Arial"/>
          <w:color w:val="000000"/>
          <w:szCs w:val="20"/>
          <w:lang w:val="en-US"/>
        </w:rPr>
        <w:t xml:space="preserve">mg/kg) </w:t>
      </w:r>
      <w:r w:rsidRPr="00AC3E28">
        <w:rPr>
          <w:rFonts w:eastAsia="Times New Roman" w:cs="Arial"/>
          <w:color w:val="000000"/>
          <w:szCs w:val="20"/>
          <w:lang w:eastAsia="bg-BG"/>
        </w:rPr>
        <w:t xml:space="preserve">доза или плацебо. Първичният критерий е броят на пациентите, при които намалява детрузорното налягане и се подобрява отделянето на урина </w:t>
      </w:r>
      <w:r w:rsidRPr="00AC3E28">
        <w:rPr>
          <w:rFonts w:eastAsia="Times New Roman" w:cs="Arial"/>
          <w:color w:val="000000"/>
          <w:szCs w:val="20"/>
          <w:lang w:val="en-US"/>
        </w:rPr>
        <w:t xml:space="preserve">(LPP) </w:t>
      </w:r>
      <w:r w:rsidRPr="00AC3E28">
        <w:rPr>
          <w:rFonts w:eastAsia="Times New Roman" w:cs="Arial"/>
          <w:color w:val="000000"/>
          <w:szCs w:val="20"/>
          <w:lang w:eastAsia="bg-BG"/>
        </w:rPr>
        <w:t xml:space="preserve">до &lt;40 </w:t>
      </w:r>
      <w:r w:rsidRPr="00AC3E28">
        <w:rPr>
          <w:rFonts w:eastAsia="Times New Roman" w:cs="Arial"/>
          <w:color w:val="000000"/>
          <w:szCs w:val="20"/>
          <w:lang w:val="en-US"/>
        </w:rPr>
        <w:t xml:space="preserve">cm </w:t>
      </w:r>
      <w:r w:rsidRPr="00AC3E28">
        <w:rPr>
          <w:rFonts w:eastAsia="Times New Roman" w:cs="Arial"/>
          <w:color w:val="000000"/>
          <w:szCs w:val="20"/>
          <w:lang w:eastAsia="bg-BG"/>
        </w:rPr>
        <w:t>Н2О, установено след провеждане на две оценявания през един и същи ден. Вторичните критерии са: Действителна и процентна промяна спрямо изходните стойности на детрузорното налягане и отделяне на урина, подобряване и стабилизация на хидронефроза и хидроуретер и промяна в обема на урината, отделена чрез катетеризация и броя подмокряния по време на катетеризация, както е отбелязано в дневниците за катетеризиране. По отношение на първичния и вторичните критерии не се наблюдава статистически значима разлика между групата на плацебо и трите дозови групи тамсулезнин.</w:t>
      </w:r>
    </w:p>
    <w:p w14:paraId="10AB859A" w14:textId="23B41E1B" w:rsidR="00AC3E28" w:rsidRDefault="00AC3E28" w:rsidP="00AC3E28">
      <w:pPr>
        <w:rPr>
          <w:rFonts w:eastAsia="Times New Roman" w:cs="Arial"/>
          <w:color w:val="000000"/>
          <w:szCs w:val="20"/>
          <w:lang w:eastAsia="bg-BG"/>
        </w:rPr>
      </w:pPr>
      <w:r w:rsidRPr="00AC3E28">
        <w:rPr>
          <w:rFonts w:eastAsia="Times New Roman" w:cs="Arial"/>
          <w:color w:val="000000"/>
          <w:szCs w:val="20"/>
          <w:lang w:eastAsia="bg-BG"/>
        </w:rPr>
        <w:t>При нито една от приложените дози не се наблюдава дозов отговор.</w:t>
      </w:r>
    </w:p>
    <w:p w14:paraId="4FF3C893" w14:textId="77777777" w:rsidR="00AC3E28" w:rsidRPr="00AC3E28" w:rsidRDefault="00AC3E28" w:rsidP="00AC3E28">
      <w:pPr>
        <w:rPr>
          <w:rFonts w:cs="Arial"/>
          <w:sz w:val="24"/>
        </w:rPr>
      </w:pPr>
    </w:p>
    <w:p w14:paraId="26535098" w14:textId="61E10789" w:rsidR="00395555" w:rsidRDefault="002C50EE" w:rsidP="008A6AF2">
      <w:pPr>
        <w:pStyle w:val="Heading2"/>
      </w:pPr>
      <w:r>
        <w:lastRenderedPageBreak/>
        <w:t>5.2. Фармакокинетични свойства</w:t>
      </w:r>
    </w:p>
    <w:p w14:paraId="10EB088F" w14:textId="56629647" w:rsidR="00AC3E28" w:rsidRDefault="00AC3E28" w:rsidP="00AC3E28"/>
    <w:p w14:paraId="09C6AE1B" w14:textId="77777777" w:rsidR="00AC3E28" w:rsidRPr="00AC3E28" w:rsidRDefault="00AC3E28" w:rsidP="00AC3E28">
      <w:pPr>
        <w:pStyle w:val="Heading3"/>
        <w:rPr>
          <w:rFonts w:eastAsia="Times New Roman"/>
          <w:sz w:val="28"/>
          <w:u w:val="single"/>
        </w:rPr>
      </w:pPr>
      <w:r w:rsidRPr="00AC3E28">
        <w:rPr>
          <w:rFonts w:eastAsia="Times New Roman"/>
          <w:u w:val="single"/>
          <w:lang w:eastAsia="bg-BG"/>
        </w:rPr>
        <w:t>Абсорбция</w:t>
      </w:r>
    </w:p>
    <w:p w14:paraId="261200D3"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Тамсулозин се абсорбира бързо в червата и бионаличностга му е почти пълна. Абсорбцията на тамсулозин се забавя, ако непосредствено преди приема на лекарствения продукт е приета храна. Равномерността на резорбцията може да се осигури, като тамсулозин се приема винаги след едно и също хранене.</w:t>
      </w:r>
    </w:p>
    <w:p w14:paraId="1BB66F47"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Кинетиката на тамсулозин е линейна.</w:t>
      </w:r>
    </w:p>
    <w:p w14:paraId="78A195F6" w14:textId="77777777" w:rsidR="00AC3E28" w:rsidRPr="00AC3E28" w:rsidRDefault="00AC3E28" w:rsidP="00AC3E28">
      <w:pPr>
        <w:spacing w:line="240" w:lineRule="auto"/>
        <w:rPr>
          <w:rFonts w:eastAsia="Times New Roman" w:cs="Arial"/>
          <w:color w:val="000000"/>
          <w:szCs w:val="20"/>
          <w:lang w:eastAsia="bg-BG"/>
        </w:rPr>
      </w:pPr>
    </w:p>
    <w:p w14:paraId="40D7BB5A" w14:textId="67A323CE"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Максимални плазмени концентрации се достигат приблизително шест часа след прием на еднократна доза тамсулозин с храна. Равновесното състояние се достига към ден 5 при многократно приложение, като С</w:t>
      </w:r>
      <w:r w:rsidRPr="00AC3E28">
        <w:rPr>
          <w:rFonts w:eastAsia="Times New Roman" w:cs="Arial"/>
          <w:color w:val="000000"/>
          <w:szCs w:val="20"/>
          <w:vertAlign w:val="subscript"/>
          <w:lang w:val="en-US"/>
        </w:rPr>
        <w:t>max</w:t>
      </w:r>
      <w:r w:rsidRPr="00AC3E28">
        <w:rPr>
          <w:rFonts w:eastAsia="Times New Roman" w:cs="Arial"/>
          <w:color w:val="000000"/>
          <w:szCs w:val="20"/>
          <w:lang w:eastAsia="bg-BG"/>
        </w:rPr>
        <w:t xml:space="preserve"> на пациентите е с около две трети по-висока от тази, постигната с еднократна доза. Въпреки че това е доказано само при пациенти в старческа възраст, същите резултати се очакват и при по-млади болни.</w:t>
      </w:r>
    </w:p>
    <w:p w14:paraId="4A59872A" w14:textId="77777777" w:rsidR="00AC3E28" w:rsidRPr="00AC3E28" w:rsidRDefault="00AC3E28" w:rsidP="00AC3E28">
      <w:pPr>
        <w:spacing w:line="240" w:lineRule="auto"/>
        <w:rPr>
          <w:rFonts w:eastAsia="Times New Roman" w:cs="Arial"/>
          <w:color w:val="000000"/>
          <w:szCs w:val="20"/>
          <w:lang w:eastAsia="bg-BG"/>
        </w:rPr>
      </w:pPr>
    </w:p>
    <w:p w14:paraId="2F3B4D41" w14:textId="26F2C418"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Съществуват значими интериндивидуални вариации в плазмените концентрации на тамсулозин, както след еднократна доза, така и след многократен прием.</w:t>
      </w:r>
    </w:p>
    <w:p w14:paraId="3F9A8BD2" w14:textId="77777777" w:rsidR="00AC3E28" w:rsidRPr="00AC3E28" w:rsidRDefault="00AC3E28" w:rsidP="00AC3E28">
      <w:pPr>
        <w:spacing w:line="240" w:lineRule="auto"/>
        <w:rPr>
          <w:rFonts w:eastAsia="Times New Roman" w:cs="Arial"/>
          <w:color w:val="000000"/>
          <w:szCs w:val="20"/>
          <w:u w:val="single"/>
          <w:lang w:eastAsia="bg-BG"/>
        </w:rPr>
      </w:pPr>
    </w:p>
    <w:p w14:paraId="110F7D20" w14:textId="2F35D78A" w:rsidR="00AC3E28" w:rsidRPr="00AC3E28" w:rsidRDefault="00AC3E28" w:rsidP="00AC3E28">
      <w:pPr>
        <w:pStyle w:val="Heading3"/>
        <w:rPr>
          <w:rFonts w:eastAsia="Times New Roman"/>
          <w:sz w:val="28"/>
          <w:u w:val="single"/>
        </w:rPr>
      </w:pPr>
      <w:r w:rsidRPr="00AC3E28">
        <w:rPr>
          <w:rFonts w:eastAsia="Times New Roman"/>
          <w:u w:val="single"/>
          <w:lang w:eastAsia="bg-BG"/>
        </w:rPr>
        <w:t>Разпределение</w:t>
      </w:r>
    </w:p>
    <w:p w14:paraId="1A3FE52E"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При хора тамсулозин се свързва с плазмените протеини около 99%, а обемът на разпределение е малък (около 0,2</w:t>
      </w:r>
      <w:r w:rsidRPr="00AC3E28">
        <w:rPr>
          <w:rFonts w:eastAsia="Times New Roman" w:cs="Arial"/>
          <w:color w:val="000000"/>
          <w:szCs w:val="20"/>
          <w:lang w:val="en-US"/>
        </w:rPr>
        <w:t>1/kg).</w:t>
      </w:r>
    </w:p>
    <w:p w14:paraId="38CD189B" w14:textId="77777777" w:rsidR="00AC3E28" w:rsidRPr="00AC3E28" w:rsidRDefault="00AC3E28" w:rsidP="00AC3E28">
      <w:pPr>
        <w:spacing w:line="240" w:lineRule="auto"/>
        <w:rPr>
          <w:rFonts w:eastAsia="Times New Roman" w:cs="Arial"/>
          <w:color w:val="000000"/>
          <w:szCs w:val="20"/>
          <w:u w:val="single"/>
          <w:lang w:eastAsia="bg-BG"/>
        </w:rPr>
      </w:pPr>
    </w:p>
    <w:p w14:paraId="2047E42A" w14:textId="7F31E938" w:rsidR="00AC3E28" w:rsidRPr="00AC3E28" w:rsidRDefault="00AC3E28" w:rsidP="00AC3E28">
      <w:pPr>
        <w:pStyle w:val="Heading3"/>
        <w:rPr>
          <w:rFonts w:eastAsia="Times New Roman"/>
          <w:sz w:val="28"/>
          <w:u w:val="single"/>
        </w:rPr>
      </w:pPr>
      <w:r w:rsidRPr="00AC3E28">
        <w:rPr>
          <w:rFonts w:eastAsia="Times New Roman"/>
          <w:u w:val="single"/>
          <w:lang w:eastAsia="bg-BG"/>
        </w:rPr>
        <w:t>Биотрансформация</w:t>
      </w:r>
    </w:p>
    <w:p w14:paraId="0108D98E"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 xml:space="preserve">Тамсулозин се подлага на слаб </w:t>
      </w:r>
      <w:r w:rsidRPr="00AC3E28">
        <w:rPr>
          <w:rFonts w:eastAsia="Times New Roman" w:cs="Arial"/>
          <w:color w:val="000000"/>
          <w:szCs w:val="20"/>
          <w:lang w:val="en-US"/>
        </w:rPr>
        <w:t xml:space="preserve">“first pass effect”, </w:t>
      </w:r>
      <w:r w:rsidRPr="00AC3E28">
        <w:rPr>
          <w:rFonts w:eastAsia="Times New Roman" w:cs="Arial"/>
          <w:color w:val="000000"/>
          <w:szCs w:val="20"/>
          <w:lang w:eastAsia="bg-BG"/>
        </w:rPr>
        <w:t>поради бавно метаболизиране. В плазмата тамсулозин се открива най-вече под формата на непроменено лекарствено вещество. Той се метаболизира в черния дроб.</w:t>
      </w:r>
    </w:p>
    <w:p w14:paraId="4B8EDC33"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При проучвания върху плъхове е доказано, че тамсулозин слабо индуцира микрозомалните ензими в черния дроб.</w:t>
      </w:r>
    </w:p>
    <w:p w14:paraId="42A27289"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Нито един от метаболитите не е по-активен от самия лекарствен продукт.</w:t>
      </w:r>
    </w:p>
    <w:p w14:paraId="35AB142E" w14:textId="77777777" w:rsidR="00AC3E28" w:rsidRPr="00AC3E28" w:rsidRDefault="00AC3E28" w:rsidP="00AC3E28">
      <w:pPr>
        <w:spacing w:line="240" w:lineRule="auto"/>
        <w:rPr>
          <w:rFonts w:eastAsia="Times New Roman" w:cs="Arial"/>
          <w:color w:val="000000"/>
          <w:szCs w:val="20"/>
          <w:u w:val="single"/>
          <w:lang w:eastAsia="bg-BG"/>
        </w:rPr>
      </w:pPr>
    </w:p>
    <w:p w14:paraId="6D10C72F" w14:textId="7593798D" w:rsidR="00AC3E28" w:rsidRPr="00AC3E28" w:rsidRDefault="00AC3E28" w:rsidP="00AC3E28">
      <w:pPr>
        <w:pStyle w:val="Heading3"/>
        <w:rPr>
          <w:rFonts w:eastAsia="Times New Roman"/>
          <w:sz w:val="28"/>
          <w:u w:val="single"/>
        </w:rPr>
      </w:pPr>
      <w:r w:rsidRPr="00AC3E28">
        <w:rPr>
          <w:rFonts w:eastAsia="Times New Roman"/>
          <w:u w:val="single"/>
          <w:lang w:eastAsia="bg-BG"/>
        </w:rPr>
        <w:t>Елиминиране</w:t>
      </w:r>
    </w:p>
    <w:p w14:paraId="37B658FA" w14:textId="77777777" w:rsidR="00AC3E28" w:rsidRPr="00AC3E28" w:rsidRDefault="00AC3E28" w:rsidP="00AC3E28">
      <w:pPr>
        <w:spacing w:line="240" w:lineRule="auto"/>
        <w:rPr>
          <w:rFonts w:eastAsia="Times New Roman" w:cs="Arial"/>
          <w:sz w:val="28"/>
          <w:szCs w:val="24"/>
        </w:rPr>
      </w:pPr>
      <w:r w:rsidRPr="00AC3E28">
        <w:rPr>
          <w:rFonts w:eastAsia="Times New Roman" w:cs="Arial"/>
          <w:color w:val="000000"/>
          <w:szCs w:val="20"/>
          <w:lang w:eastAsia="bg-BG"/>
        </w:rPr>
        <w:t>Тамсулозин и неговите матаболити се екскретират предимно в урината, като около 9% от дозата е в непроменен вид.</w:t>
      </w:r>
    </w:p>
    <w:p w14:paraId="1F2C0AB2" w14:textId="64774AF0" w:rsidR="00AC3E28" w:rsidRDefault="00AC3E28" w:rsidP="00AC3E28">
      <w:pPr>
        <w:rPr>
          <w:rFonts w:eastAsia="Times New Roman" w:cs="Arial"/>
          <w:color w:val="000000"/>
          <w:szCs w:val="20"/>
          <w:lang w:eastAsia="bg-BG"/>
        </w:rPr>
      </w:pPr>
      <w:r w:rsidRPr="00AC3E28">
        <w:rPr>
          <w:rFonts w:eastAsia="Times New Roman" w:cs="Arial"/>
          <w:color w:val="000000"/>
          <w:szCs w:val="20"/>
          <w:lang w:eastAsia="bg-BG"/>
        </w:rPr>
        <w:t>Елиминационният полуживот на тамсулозин при пациенти след прилагане на еднократна доза (когато се приема след хранене) е приблизително 10 часа и 13 часа в равновесно състояние.</w:t>
      </w:r>
    </w:p>
    <w:p w14:paraId="4F82D1E5" w14:textId="77777777" w:rsidR="00AC3E28" w:rsidRPr="00AC3E28" w:rsidRDefault="00AC3E28" w:rsidP="00AC3E28">
      <w:pPr>
        <w:rPr>
          <w:rFonts w:cs="Arial"/>
          <w:sz w:val="24"/>
        </w:rPr>
      </w:pPr>
    </w:p>
    <w:p w14:paraId="028E658A" w14:textId="68BB2FEE" w:rsidR="00395555" w:rsidRDefault="002C50EE" w:rsidP="008A6AF2">
      <w:pPr>
        <w:pStyle w:val="Heading2"/>
      </w:pPr>
      <w:r>
        <w:t>5.3. Предклинични данни за безопасност</w:t>
      </w:r>
    </w:p>
    <w:p w14:paraId="702AB352" w14:textId="312E4647" w:rsidR="00AC3E28" w:rsidRDefault="00AC3E28" w:rsidP="00AC3E28"/>
    <w:p w14:paraId="6EB95202" w14:textId="77777777" w:rsidR="00AC3E28" w:rsidRPr="00AC3E28" w:rsidRDefault="00AC3E28" w:rsidP="00AC3E28">
      <w:pPr>
        <w:rPr>
          <w:sz w:val="24"/>
          <w:szCs w:val="24"/>
        </w:rPr>
      </w:pPr>
      <w:r w:rsidRPr="00AC3E28">
        <w:rPr>
          <w:lang w:eastAsia="bg-BG"/>
        </w:rPr>
        <w:t xml:space="preserve">Токсичността след еднократно и многократно приложение е изследвана върху мишки, плъхове и кучета. Репродуктивната токсичност е изследвана също при плъхове, канцерогенността - при мишки и плъхове, а генотоксичността - </w:t>
      </w:r>
      <w:r w:rsidRPr="00AC3E28">
        <w:rPr>
          <w:i/>
          <w:iCs/>
          <w:lang w:val="en-US"/>
        </w:rPr>
        <w:t>in vivo</w:t>
      </w:r>
      <w:r w:rsidRPr="00AC3E28">
        <w:rPr>
          <w:lang w:val="en-US"/>
        </w:rPr>
        <w:t xml:space="preserve"> </w:t>
      </w:r>
      <w:r w:rsidRPr="00AC3E28">
        <w:rPr>
          <w:lang w:eastAsia="bg-BG"/>
        </w:rPr>
        <w:t xml:space="preserve">и </w:t>
      </w:r>
      <w:r w:rsidRPr="00AC3E28">
        <w:rPr>
          <w:i/>
          <w:iCs/>
          <w:lang w:val="en-US"/>
        </w:rPr>
        <w:t>in vitro.</w:t>
      </w:r>
    </w:p>
    <w:p w14:paraId="0F8CF02C" w14:textId="77777777" w:rsidR="00AC3E28" w:rsidRDefault="00AC3E28" w:rsidP="00AC3E28">
      <w:pPr>
        <w:rPr>
          <w:lang w:eastAsia="bg-BG"/>
        </w:rPr>
      </w:pPr>
    </w:p>
    <w:p w14:paraId="568BFAAE" w14:textId="2F95593B" w:rsidR="00AC3E28" w:rsidRPr="00AC3E28" w:rsidRDefault="00AC3E28" w:rsidP="00AC3E28">
      <w:pPr>
        <w:rPr>
          <w:sz w:val="24"/>
          <w:szCs w:val="24"/>
        </w:rPr>
      </w:pPr>
      <w:r w:rsidRPr="00AC3E28">
        <w:rPr>
          <w:lang w:eastAsia="bg-BG"/>
        </w:rPr>
        <w:t>Профилът на общата токсичност, получен при прилагане на високи дози тамсулозин, съответства на фармакологичните ефекти, характерни за си адренорецепторните антагонисти.</w:t>
      </w:r>
    </w:p>
    <w:p w14:paraId="53063112" w14:textId="77777777" w:rsidR="00AC3E28" w:rsidRDefault="00AC3E28" w:rsidP="00AC3E28">
      <w:pPr>
        <w:rPr>
          <w:lang w:eastAsia="bg-BG"/>
        </w:rPr>
      </w:pPr>
    </w:p>
    <w:p w14:paraId="531CCB0A" w14:textId="50511E5A" w:rsidR="00AC3E28" w:rsidRPr="00AC3E28" w:rsidRDefault="00AC3E28" w:rsidP="00AC3E28">
      <w:pPr>
        <w:rPr>
          <w:sz w:val="24"/>
          <w:szCs w:val="24"/>
        </w:rPr>
      </w:pPr>
      <w:r w:rsidRPr="00AC3E28">
        <w:rPr>
          <w:lang w:eastAsia="bg-BG"/>
        </w:rPr>
        <w:lastRenderedPageBreak/>
        <w:t>При кучета, третирани с много високи дози, са установени промени в ЕКГ. Счита се обаче, че това не е от клинично значение. Не е установена значима генотоксичност на тамсулозин.</w:t>
      </w:r>
    </w:p>
    <w:p w14:paraId="0E683F4D" w14:textId="77777777" w:rsidR="00AC3E28" w:rsidRDefault="00AC3E28" w:rsidP="00AC3E28">
      <w:pPr>
        <w:rPr>
          <w:lang w:eastAsia="bg-BG"/>
        </w:rPr>
      </w:pPr>
    </w:p>
    <w:p w14:paraId="574AE470" w14:textId="08285597" w:rsidR="00AC3E28" w:rsidRPr="00AC3E28" w:rsidRDefault="00AC3E28" w:rsidP="00AC3E28">
      <w:r w:rsidRPr="00AC3E28">
        <w:rPr>
          <w:lang w:eastAsia="bg-BG"/>
        </w:rPr>
        <w:t>При експозиция на тамсулозин се съобщава за повишена честота на пролиферативни промени на млечните жлези при женски плъхове и мишки. Тези находки, вероятно са медиирани от хиперпролактинемия, наблюдават се само след приложение на високи дози и се считат за клинично незначими.</w:t>
      </w:r>
    </w:p>
    <w:p w14:paraId="6A7820AB" w14:textId="2CE68341" w:rsidR="008A6AF2" w:rsidRDefault="002C50EE" w:rsidP="00395555">
      <w:pPr>
        <w:pStyle w:val="Heading1"/>
      </w:pPr>
      <w:r>
        <w:t>7. ПРИТЕЖАТЕЛ НА РАЗРЕШЕНИЕТО ЗА УПОТРЕБА</w:t>
      </w:r>
    </w:p>
    <w:p w14:paraId="22462217" w14:textId="77969F26" w:rsidR="00AC3E28" w:rsidRDefault="00AC3E28" w:rsidP="00AC3E28"/>
    <w:p w14:paraId="5CCA1A17" w14:textId="77777777" w:rsidR="00AC3E28" w:rsidRPr="00AC3E28" w:rsidRDefault="00AC3E28" w:rsidP="00AC3E28">
      <w:pPr>
        <w:rPr>
          <w:sz w:val="24"/>
          <w:szCs w:val="24"/>
        </w:rPr>
      </w:pPr>
      <w:r w:rsidRPr="00AC3E28">
        <w:rPr>
          <w:lang w:eastAsia="bg-BG"/>
        </w:rPr>
        <w:t>Тева Фарма ЕАД</w:t>
      </w:r>
    </w:p>
    <w:p w14:paraId="5057C7C9" w14:textId="77777777" w:rsidR="00AC3E28" w:rsidRPr="00AC3E28" w:rsidRDefault="00AC3E28" w:rsidP="00AC3E28">
      <w:pPr>
        <w:rPr>
          <w:sz w:val="24"/>
          <w:szCs w:val="24"/>
        </w:rPr>
      </w:pPr>
      <w:r w:rsidRPr="00AC3E28">
        <w:rPr>
          <w:lang w:eastAsia="bg-BG"/>
        </w:rPr>
        <w:t>ул. „Люба Величкова“ № 9,1407 София</w:t>
      </w:r>
    </w:p>
    <w:p w14:paraId="686469FE" w14:textId="52984548" w:rsidR="00AC3E28" w:rsidRPr="00AC3E28" w:rsidRDefault="00AC3E28" w:rsidP="00AC3E28">
      <w:r w:rsidRPr="00AC3E28">
        <w:rPr>
          <w:lang w:eastAsia="bg-BG"/>
        </w:rPr>
        <w:t>България</w:t>
      </w:r>
    </w:p>
    <w:p w14:paraId="04840D59" w14:textId="36A6BE23" w:rsidR="002C50EE" w:rsidRDefault="002C50EE" w:rsidP="00395555">
      <w:pPr>
        <w:pStyle w:val="Heading1"/>
      </w:pPr>
      <w:r>
        <w:t>8. НОМЕР НА РАЗРЕШЕНИЕТО ЗА УПОТРЕБА</w:t>
      </w:r>
    </w:p>
    <w:p w14:paraId="35D91C88" w14:textId="652862BF" w:rsidR="00AC3E28" w:rsidRDefault="00AC3E28" w:rsidP="00AC3E28"/>
    <w:p w14:paraId="59613551" w14:textId="6EF23FA3" w:rsidR="00AC3E28" w:rsidRPr="00AC3E28" w:rsidRDefault="00AC3E28" w:rsidP="00AC3E28">
      <w:r>
        <w:rPr>
          <w:lang w:val="en-US"/>
        </w:rPr>
        <w:t xml:space="preserve">Per. </w:t>
      </w:r>
      <w:r>
        <w:t>№ 20060245</w:t>
      </w:r>
    </w:p>
    <w:p w14:paraId="2CCB5832" w14:textId="5E805164" w:rsidR="007C605B" w:rsidRDefault="002C50EE" w:rsidP="007C605B">
      <w:pPr>
        <w:pStyle w:val="Heading1"/>
      </w:pPr>
      <w:r>
        <w:t>9. ДАТА НА ПЪРВО РАЗРЕШАВАНЕ/ПОДНОВЯВАНЕ НА РАЗРЕШЕНИЕТО ЗА УПОТРЕБА</w:t>
      </w:r>
    </w:p>
    <w:p w14:paraId="7BBF48DC" w14:textId="745B1076" w:rsidR="00AC3E28" w:rsidRDefault="00AC3E28" w:rsidP="00AC3E28"/>
    <w:p w14:paraId="7F58AB38" w14:textId="77777777" w:rsidR="00AC3E28" w:rsidRPr="00AC3E28" w:rsidRDefault="00AC3E28" w:rsidP="00AC3E28">
      <w:pPr>
        <w:rPr>
          <w:sz w:val="24"/>
          <w:szCs w:val="24"/>
        </w:rPr>
      </w:pPr>
      <w:r w:rsidRPr="00AC3E28">
        <w:rPr>
          <w:lang w:eastAsia="bg-BG"/>
        </w:rPr>
        <w:t>Дата на първо разрешаване: 25 май 2006 г.</w:t>
      </w:r>
    </w:p>
    <w:p w14:paraId="07AD8832" w14:textId="77777777" w:rsidR="00AC3E28" w:rsidRPr="00AC3E28" w:rsidRDefault="00AC3E28" w:rsidP="00AC3E28">
      <w:pPr>
        <w:rPr>
          <w:sz w:val="24"/>
          <w:szCs w:val="24"/>
        </w:rPr>
      </w:pPr>
      <w:r w:rsidRPr="00AC3E28">
        <w:rPr>
          <w:lang w:eastAsia="bg-BG"/>
        </w:rPr>
        <w:t>Дата на последно подновяване: 20 юни 2011 г.</w:t>
      </w:r>
    </w:p>
    <w:p w14:paraId="64937879" w14:textId="77777777" w:rsidR="00AC3E28" w:rsidRPr="00AC3E28" w:rsidRDefault="00AC3E28" w:rsidP="00AC3E28"/>
    <w:p w14:paraId="0E9D0119" w14:textId="0245C6D7" w:rsidR="002C50EE" w:rsidRDefault="002C50EE" w:rsidP="002C50EE">
      <w:pPr>
        <w:pStyle w:val="Heading1"/>
      </w:pPr>
      <w:r>
        <w:t>10. ДАТА НА АКТУАЛИЗИРАНЕ НА ТЕКСТА</w:t>
      </w:r>
    </w:p>
    <w:bookmarkEnd w:id="0"/>
    <w:p w14:paraId="43FB38A2" w14:textId="274E9B97" w:rsidR="007C605B" w:rsidRDefault="007C605B" w:rsidP="00395555"/>
    <w:p w14:paraId="5801F755" w14:textId="77777777" w:rsidR="00AC3E28" w:rsidRPr="00AC3E28" w:rsidRDefault="00AC3E28" w:rsidP="00AC3E28">
      <w:pPr>
        <w:rPr>
          <w:sz w:val="24"/>
          <w:szCs w:val="24"/>
        </w:rPr>
      </w:pPr>
      <w:r w:rsidRPr="00AC3E28">
        <w:rPr>
          <w:lang w:eastAsia="bg-BG"/>
        </w:rPr>
        <w:t>05/01/2021</w:t>
      </w:r>
      <w:bookmarkStart w:id="1" w:name="_GoBack"/>
      <w:bookmarkEnd w:id="1"/>
    </w:p>
    <w:p w14:paraId="0DB3B6E4" w14:textId="77777777" w:rsidR="00AC3E28" w:rsidRPr="003E3126" w:rsidRDefault="00AC3E28" w:rsidP="00395555"/>
    <w:sectPr w:rsidR="00AC3E28"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B51FD"/>
    <w:multiLevelType w:val="hybridMultilevel"/>
    <w:tmpl w:val="5A5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10"/>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0"/>
  </w:num>
  <w:num w:numId="28">
    <w:abstractNumId w:val="6"/>
  </w:num>
  <w:num w:numId="29">
    <w:abstractNumId w:val="20"/>
  </w:num>
  <w:num w:numId="30">
    <w:abstractNumId w:val="31"/>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3E28"/>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12540</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2021-11-09T14:40:00Z</dcterms:created>
  <dcterms:modified xsi:type="dcterms:W3CDTF">2021-11-09T14:40:00Z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