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bookmarkStart w:id="1" w:name="_GoBack"/>
      <w:bookmarkEnd w:id="1"/>
      <w:r>
        <w:t>КРАТКА ХАРАКТЕРИСТИКА НА ПРОДУКТА</w:t>
      </w:r>
    </w:p>
    <w:p w14:paraId="3320F4BE" w14:textId="0CC19541" w:rsidR="00C40420" w:rsidRDefault="00DD466D" w:rsidP="004A448E">
      <w:pPr>
        <w:pStyle w:val="Heading1"/>
      </w:pPr>
      <w:r>
        <w:t>1.ИМЕ НА ЛЕКАРСТВЕНИЯ ПРОДУКТ</w:t>
      </w:r>
    </w:p>
    <w:p w14:paraId="79878CB1" w14:textId="602D5756" w:rsidR="009D447B" w:rsidRDefault="009D447B" w:rsidP="009D447B"/>
    <w:p w14:paraId="743FDEAF" w14:textId="77777777" w:rsidR="009D447B" w:rsidRPr="009D447B" w:rsidRDefault="009D447B" w:rsidP="009D447B">
      <w:pPr>
        <w:spacing w:line="240" w:lineRule="auto"/>
        <w:rPr>
          <w:rFonts w:eastAsia="Times New Roman" w:cs="Arial"/>
          <w:sz w:val="24"/>
          <w:szCs w:val="24"/>
          <w:lang w:val="en-US" w:eastAsia="bg-BG"/>
        </w:rPr>
      </w:pPr>
      <w:bookmarkStart w:id="2" w:name="bookmark0"/>
      <w:bookmarkEnd w:id="2"/>
      <w:r w:rsidRPr="009D447B">
        <w:rPr>
          <w:rFonts w:eastAsia="Times New Roman" w:cs="Arial"/>
          <w:color w:val="000000"/>
          <w:lang w:eastAsia="bg-BG"/>
        </w:rPr>
        <w:t xml:space="preserve">Танзидор 20 </w:t>
      </w:r>
      <w:r w:rsidRPr="009D447B">
        <w:rPr>
          <w:rFonts w:eastAsia="Times New Roman" w:cs="Arial"/>
          <w:color w:val="000000"/>
          <w:lang w:val="en-US"/>
        </w:rPr>
        <w:t xml:space="preserve">mg </w:t>
      </w:r>
      <w:r w:rsidRPr="009D447B">
        <w:rPr>
          <w:rFonts w:eastAsia="Times New Roman" w:cs="Arial"/>
          <w:color w:val="000000"/>
          <w:lang w:eastAsia="bg-BG"/>
        </w:rPr>
        <w:t>филмирани таблетки</w:t>
      </w:r>
    </w:p>
    <w:p w14:paraId="514ECD0B" w14:textId="77777777" w:rsidR="009D447B" w:rsidRPr="009D447B" w:rsidRDefault="009D447B" w:rsidP="009D447B">
      <w:pPr>
        <w:spacing w:line="240" w:lineRule="auto"/>
        <w:rPr>
          <w:rFonts w:eastAsia="Times New Roman" w:cs="Arial"/>
          <w:sz w:val="24"/>
          <w:szCs w:val="24"/>
          <w:lang w:val="en-US" w:eastAsia="bg-BG"/>
        </w:rPr>
      </w:pPr>
      <w:r w:rsidRPr="009D447B">
        <w:rPr>
          <w:rFonts w:eastAsia="Times New Roman" w:cs="Arial"/>
          <w:color w:val="000000"/>
          <w:lang w:eastAsia="bg-BG"/>
        </w:rPr>
        <w:t xml:space="preserve">Танзидор 40 </w:t>
      </w:r>
      <w:r w:rsidRPr="009D447B">
        <w:rPr>
          <w:rFonts w:eastAsia="Times New Roman" w:cs="Arial"/>
          <w:color w:val="000000"/>
          <w:lang w:val="en-US"/>
        </w:rPr>
        <w:t xml:space="preserve">mg </w:t>
      </w:r>
      <w:r w:rsidRPr="009D447B">
        <w:rPr>
          <w:rFonts w:eastAsia="Times New Roman" w:cs="Arial"/>
          <w:color w:val="000000"/>
          <w:lang w:eastAsia="bg-BG"/>
        </w:rPr>
        <w:t>филмирани таблетки</w:t>
      </w:r>
    </w:p>
    <w:p w14:paraId="4C5C0F1E" w14:textId="77777777" w:rsidR="009D447B" w:rsidRPr="009D447B" w:rsidRDefault="009D447B" w:rsidP="009D447B">
      <w:pPr>
        <w:spacing w:line="240" w:lineRule="auto"/>
        <w:rPr>
          <w:rFonts w:eastAsia="Times New Roman" w:cs="Arial"/>
          <w:color w:val="000000"/>
          <w:lang w:val="en-US"/>
        </w:rPr>
      </w:pPr>
    </w:p>
    <w:p w14:paraId="571D075F" w14:textId="065029B1" w:rsidR="009D447B" w:rsidRPr="009D447B" w:rsidRDefault="009D447B" w:rsidP="009D447B">
      <w:pPr>
        <w:spacing w:line="240" w:lineRule="auto"/>
        <w:rPr>
          <w:rFonts w:eastAsia="Times New Roman" w:cs="Arial"/>
          <w:sz w:val="24"/>
          <w:szCs w:val="24"/>
          <w:lang w:val="en-US" w:eastAsia="bg-BG"/>
        </w:rPr>
      </w:pPr>
      <w:r w:rsidRPr="009D447B">
        <w:rPr>
          <w:rFonts w:eastAsia="Times New Roman" w:cs="Arial"/>
          <w:color w:val="000000"/>
          <w:lang w:val="en-US"/>
        </w:rPr>
        <w:t xml:space="preserve">Tansidor </w:t>
      </w:r>
      <w:r w:rsidRPr="009D447B">
        <w:rPr>
          <w:rFonts w:eastAsia="Times New Roman" w:cs="Arial"/>
          <w:color w:val="000000"/>
          <w:lang w:eastAsia="bg-BG"/>
        </w:rPr>
        <w:t xml:space="preserve">20 </w:t>
      </w:r>
      <w:r w:rsidRPr="009D447B">
        <w:rPr>
          <w:rFonts w:eastAsia="Times New Roman" w:cs="Arial"/>
          <w:color w:val="000000"/>
          <w:lang w:val="en-US"/>
        </w:rPr>
        <w:t>mg film-coated tablets</w:t>
      </w:r>
    </w:p>
    <w:p w14:paraId="467C73F4" w14:textId="0FB0A254" w:rsidR="009D447B" w:rsidRPr="009D447B" w:rsidRDefault="009D447B" w:rsidP="009D447B">
      <w:pPr>
        <w:rPr>
          <w:rFonts w:cs="Arial"/>
        </w:rPr>
      </w:pPr>
      <w:r w:rsidRPr="009D447B">
        <w:rPr>
          <w:rFonts w:eastAsia="Times New Roman" w:cs="Arial"/>
          <w:color w:val="000000"/>
          <w:lang w:val="en-US"/>
        </w:rPr>
        <w:t>Tansidor 40 mg film-coated tablets</w:t>
      </w:r>
    </w:p>
    <w:p w14:paraId="6920A680" w14:textId="0F767017" w:rsidR="00C40420" w:rsidRDefault="00DD466D" w:rsidP="004A448E">
      <w:pPr>
        <w:pStyle w:val="Heading1"/>
      </w:pPr>
      <w:r>
        <w:t>2. КАЧЕСТВЕН И КОЛИЧЕСТВЕН СЪСТАВ</w:t>
      </w:r>
    </w:p>
    <w:p w14:paraId="4DB6D5D5" w14:textId="7A36350D" w:rsidR="009D447B" w:rsidRDefault="009D447B" w:rsidP="009D447B"/>
    <w:p w14:paraId="298F358D"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i/>
          <w:iCs/>
          <w:color w:val="000000"/>
          <w:lang w:eastAsia="bg-BG"/>
        </w:rPr>
        <w:t xml:space="preserve">Танзидор 20 </w:t>
      </w:r>
      <w:r w:rsidRPr="009D447B">
        <w:rPr>
          <w:rFonts w:eastAsia="Times New Roman" w:cs="Arial"/>
          <w:i/>
          <w:iCs/>
          <w:color w:val="000000"/>
          <w:lang w:val="en-US"/>
        </w:rPr>
        <w:t xml:space="preserve">mg </w:t>
      </w:r>
      <w:r w:rsidRPr="009D447B">
        <w:rPr>
          <w:rFonts w:eastAsia="Times New Roman" w:cs="Arial"/>
          <w:i/>
          <w:iCs/>
          <w:color w:val="000000"/>
          <w:lang w:eastAsia="bg-BG"/>
        </w:rPr>
        <w:t>филмирани таблетки</w:t>
      </w:r>
    </w:p>
    <w:p w14:paraId="76062967"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 xml:space="preserve">Всяка филмирана таблетка съдържа 20 </w:t>
      </w:r>
      <w:r w:rsidRPr="009D447B">
        <w:rPr>
          <w:rFonts w:eastAsia="Times New Roman" w:cs="Arial"/>
          <w:color w:val="000000"/>
          <w:lang w:val="en-US"/>
        </w:rPr>
        <w:t xml:space="preserve">mg </w:t>
      </w:r>
      <w:r w:rsidRPr="009D447B">
        <w:rPr>
          <w:rFonts w:eastAsia="Times New Roman" w:cs="Arial"/>
          <w:color w:val="000000"/>
          <w:lang w:eastAsia="bg-BG"/>
        </w:rPr>
        <w:t>олмесартан медоксомил (</w:t>
      </w:r>
      <w:r w:rsidRPr="009D447B">
        <w:rPr>
          <w:rFonts w:eastAsia="Times New Roman" w:cs="Arial"/>
          <w:i/>
          <w:iCs/>
          <w:color w:val="000000"/>
          <w:lang w:val="en-US"/>
        </w:rPr>
        <w:t>olmesartan medoxomil).</w:t>
      </w:r>
    </w:p>
    <w:p w14:paraId="656F43AF"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Помощно вещество с известно действие:</w:t>
      </w:r>
    </w:p>
    <w:p w14:paraId="788486BC" w14:textId="02117F75"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 xml:space="preserve">111,050 </w:t>
      </w:r>
      <w:r w:rsidRPr="009D447B">
        <w:rPr>
          <w:rFonts w:eastAsia="Times New Roman" w:cs="Arial"/>
          <w:color w:val="000000"/>
          <w:lang w:val="en-US"/>
        </w:rPr>
        <w:t xml:space="preserve">mg </w:t>
      </w:r>
      <w:r w:rsidRPr="009D447B">
        <w:rPr>
          <w:rFonts w:eastAsia="Times New Roman" w:cs="Arial"/>
          <w:color w:val="000000"/>
          <w:lang w:eastAsia="bg-BG"/>
        </w:rPr>
        <w:t>лактоза монохидрат (</w:t>
      </w:r>
      <w:r w:rsidRPr="009D447B">
        <w:rPr>
          <w:rFonts w:eastAsia="Times New Roman" w:cs="Arial"/>
          <w:i/>
          <w:iCs/>
          <w:color w:val="000000"/>
          <w:lang w:val="en-US"/>
        </w:rPr>
        <w:t>lactose monohydrate).</w:t>
      </w:r>
    </w:p>
    <w:p w14:paraId="1DC8F309" w14:textId="77777777" w:rsidR="009D447B" w:rsidRPr="009D447B" w:rsidRDefault="009D447B" w:rsidP="009D447B">
      <w:pPr>
        <w:spacing w:line="240" w:lineRule="auto"/>
        <w:rPr>
          <w:rFonts w:eastAsia="Times New Roman" w:cs="Arial"/>
          <w:i/>
          <w:iCs/>
          <w:color w:val="000000"/>
          <w:lang w:eastAsia="bg-BG"/>
        </w:rPr>
      </w:pPr>
    </w:p>
    <w:p w14:paraId="0F31C54C" w14:textId="04ED46FC" w:rsidR="009D447B" w:rsidRPr="009D447B" w:rsidRDefault="009D447B" w:rsidP="009D447B">
      <w:pPr>
        <w:spacing w:line="240" w:lineRule="auto"/>
        <w:rPr>
          <w:rFonts w:eastAsia="Times New Roman" w:cs="Arial"/>
          <w:sz w:val="24"/>
          <w:szCs w:val="24"/>
          <w:lang w:eastAsia="bg-BG"/>
        </w:rPr>
      </w:pPr>
      <w:r w:rsidRPr="009D447B">
        <w:rPr>
          <w:rFonts w:eastAsia="Times New Roman" w:cs="Arial"/>
          <w:i/>
          <w:iCs/>
          <w:color w:val="000000"/>
          <w:lang w:eastAsia="bg-BG"/>
        </w:rPr>
        <w:t xml:space="preserve">Танзидор 40 </w:t>
      </w:r>
      <w:r w:rsidRPr="009D447B">
        <w:rPr>
          <w:rFonts w:eastAsia="Times New Roman" w:cs="Arial"/>
          <w:i/>
          <w:iCs/>
          <w:color w:val="000000"/>
          <w:lang w:val="en-US"/>
        </w:rPr>
        <w:t xml:space="preserve">mg </w:t>
      </w:r>
      <w:r w:rsidRPr="009D447B">
        <w:rPr>
          <w:rFonts w:eastAsia="Times New Roman" w:cs="Arial"/>
          <w:i/>
          <w:iCs/>
          <w:color w:val="000000"/>
          <w:lang w:eastAsia="bg-BG"/>
        </w:rPr>
        <w:t>филмирани таблетки</w:t>
      </w:r>
    </w:p>
    <w:p w14:paraId="036AB6C6"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 xml:space="preserve">Всяка филмирана таблетка съдържа 40 </w:t>
      </w:r>
      <w:r w:rsidRPr="009D447B">
        <w:rPr>
          <w:rFonts w:eastAsia="Times New Roman" w:cs="Arial"/>
          <w:color w:val="000000"/>
          <w:lang w:val="en-US"/>
        </w:rPr>
        <w:t xml:space="preserve">mg </w:t>
      </w:r>
      <w:r w:rsidRPr="009D447B">
        <w:rPr>
          <w:rFonts w:eastAsia="Times New Roman" w:cs="Arial"/>
          <w:color w:val="000000"/>
          <w:lang w:eastAsia="bg-BG"/>
        </w:rPr>
        <w:t>олмесартан медоксомил (</w:t>
      </w:r>
      <w:r w:rsidRPr="009D447B">
        <w:rPr>
          <w:rFonts w:eastAsia="Times New Roman" w:cs="Arial"/>
          <w:i/>
          <w:iCs/>
          <w:color w:val="000000"/>
          <w:lang w:val="en-US"/>
        </w:rPr>
        <w:t>olmesartan medoxomil).</w:t>
      </w:r>
    </w:p>
    <w:p w14:paraId="2FF28C51"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Помощно вещество с известно действие:</w:t>
      </w:r>
    </w:p>
    <w:p w14:paraId="06FDD6B9"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 xml:space="preserve">222,100 </w:t>
      </w:r>
      <w:r w:rsidRPr="009D447B">
        <w:rPr>
          <w:rFonts w:eastAsia="Times New Roman" w:cs="Arial"/>
          <w:color w:val="000000"/>
          <w:lang w:val="en-US"/>
        </w:rPr>
        <w:t xml:space="preserve">mg </w:t>
      </w:r>
      <w:r w:rsidRPr="009D447B">
        <w:rPr>
          <w:rFonts w:eastAsia="Times New Roman" w:cs="Arial"/>
          <w:color w:val="000000"/>
          <w:lang w:eastAsia="bg-BG"/>
        </w:rPr>
        <w:t>лактоза монохидрат (</w:t>
      </w:r>
      <w:r w:rsidRPr="009D447B">
        <w:rPr>
          <w:rFonts w:eastAsia="Times New Roman" w:cs="Arial"/>
          <w:i/>
          <w:iCs/>
          <w:color w:val="000000"/>
          <w:lang w:val="en-US"/>
        </w:rPr>
        <w:t>lactose monohydrate).</w:t>
      </w:r>
    </w:p>
    <w:p w14:paraId="148F2624" w14:textId="77777777" w:rsidR="009D447B" w:rsidRPr="009D447B" w:rsidRDefault="009D447B" w:rsidP="009D447B">
      <w:pPr>
        <w:rPr>
          <w:rFonts w:eastAsia="Times New Roman" w:cs="Arial"/>
          <w:color w:val="000000"/>
          <w:lang w:eastAsia="bg-BG"/>
        </w:rPr>
      </w:pPr>
    </w:p>
    <w:p w14:paraId="0C9E2A6A" w14:textId="412070AB" w:rsidR="009D447B" w:rsidRPr="009D447B" w:rsidRDefault="009D447B" w:rsidP="009D447B">
      <w:pPr>
        <w:rPr>
          <w:rFonts w:cs="Arial"/>
        </w:rPr>
      </w:pPr>
      <w:r w:rsidRPr="009D447B">
        <w:rPr>
          <w:rFonts w:eastAsia="Times New Roman" w:cs="Arial"/>
          <w:color w:val="000000"/>
          <w:lang w:eastAsia="bg-BG"/>
        </w:rPr>
        <w:t>За пълния списък с помощните вещества вижте точка 6.1.</w:t>
      </w:r>
    </w:p>
    <w:p w14:paraId="614984C4" w14:textId="238475C0" w:rsidR="008A6AF2" w:rsidRDefault="00DD466D" w:rsidP="002C50EE">
      <w:pPr>
        <w:pStyle w:val="Heading1"/>
      </w:pPr>
      <w:r>
        <w:t>3. ЛЕКАРСТВЕНА ФОРМА</w:t>
      </w:r>
    </w:p>
    <w:p w14:paraId="2BA61ECB" w14:textId="1EF815A2" w:rsidR="009D447B" w:rsidRDefault="009D447B" w:rsidP="009D447B"/>
    <w:p w14:paraId="34783EA8"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Филмирана таблетка</w:t>
      </w:r>
    </w:p>
    <w:p w14:paraId="670EFB5F" w14:textId="77777777" w:rsidR="009D447B" w:rsidRDefault="009D447B" w:rsidP="009D447B">
      <w:pPr>
        <w:spacing w:line="240" w:lineRule="auto"/>
        <w:rPr>
          <w:rFonts w:eastAsia="Times New Roman" w:cs="Arial"/>
          <w:i/>
          <w:iCs/>
          <w:color w:val="000000"/>
          <w:lang w:eastAsia="bg-BG"/>
        </w:rPr>
      </w:pPr>
    </w:p>
    <w:p w14:paraId="52920BBA" w14:textId="77777777" w:rsidR="009D447B" w:rsidRDefault="009D447B" w:rsidP="009D447B">
      <w:pPr>
        <w:spacing w:line="240" w:lineRule="auto"/>
        <w:rPr>
          <w:rFonts w:eastAsia="Times New Roman" w:cs="Arial"/>
          <w:i/>
          <w:iCs/>
          <w:color w:val="000000"/>
          <w:lang w:eastAsia="bg-BG"/>
        </w:rPr>
      </w:pPr>
      <w:r w:rsidRPr="009D447B">
        <w:rPr>
          <w:rFonts w:eastAsia="Times New Roman" w:cs="Arial"/>
          <w:i/>
          <w:iCs/>
          <w:color w:val="000000"/>
          <w:lang w:eastAsia="bg-BG"/>
        </w:rPr>
        <w:t xml:space="preserve">Танзидор 20 </w:t>
      </w:r>
      <w:r w:rsidRPr="009D447B">
        <w:rPr>
          <w:rFonts w:eastAsia="Times New Roman" w:cs="Arial"/>
          <w:i/>
          <w:iCs/>
          <w:color w:val="000000"/>
          <w:lang w:val="en-US"/>
        </w:rPr>
        <w:t xml:space="preserve">mg </w:t>
      </w:r>
      <w:r w:rsidRPr="009D447B">
        <w:rPr>
          <w:rFonts w:eastAsia="Times New Roman" w:cs="Arial"/>
          <w:i/>
          <w:iCs/>
          <w:color w:val="000000"/>
          <w:lang w:eastAsia="bg-BG"/>
        </w:rPr>
        <w:t xml:space="preserve">филмирани таблетки </w:t>
      </w:r>
    </w:p>
    <w:p w14:paraId="04087499" w14:textId="23AA2D21"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 xml:space="preserve">Бяла, кръгла, двойноизпъкнала, филмирана таблетка с надпис “20” от едната страна. Размер: 8,5 </w:t>
      </w:r>
      <w:r w:rsidRPr="009D447B">
        <w:rPr>
          <w:rFonts w:eastAsia="Times New Roman" w:cs="Arial"/>
          <w:color w:val="000000"/>
          <w:lang w:val="en-US"/>
        </w:rPr>
        <w:t xml:space="preserve">mm </w:t>
      </w:r>
      <w:r w:rsidRPr="009D447B">
        <w:rPr>
          <w:rFonts w:eastAsia="Times New Roman" w:cs="Arial"/>
          <w:color w:val="000000"/>
          <w:lang w:eastAsia="bg-BG"/>
        </w:rPr>
        <w:t xml:space="preserve">- 8,8 </w:t>
      </w:r>
      <w:r w:rsidRPr="009D447B">
        <w:rPr>
          <w:rFonts w:eastAsia="Times New Roman" w:cs="Arial"/>
          <w:color w:val="000000"/>
          <w:lang w:val="en-US"/>
        </w:rPr>
        <w:t>mm</w:t>
      </w:r>
    </w:p>
    <w:p w14:paraId="3D82E31A" w14:textId="77777777" w:rsidR="009D447B" w:rsidRDefault="009D447B" w:rsidP="009D447B">
      <w:pPr>
        <w:rPr>
          <w:rFonts w:eastAsia="Times New Roman" w:cs="Arial"/>
          <w:color w:val="000000"/>
          <w:lang w:eastAsia="bg-BG"/>
        </w:rPr>
      </w:pPr>
      <w:r w:rsidRPr="009D447B">
        <w:rPr>
          <w:rFonts w:eastAsia="Times New Roman" w:cs="Arial"/>
          <w:color w:val="000000"/>
          <w:lang w:val="en-US"/>
        </w:rPr>
        <w:t xml:space="preserve">      </w:t>
      </w:r>
      <w:r w:rsidRPr="009D447B">
        <w:rPr>
          <w:rFonts w:eastAsia="Times New Roman" w:cs="Arial"/>
          <w:color w:val="000000"/>
          <w:lang w:eastAsia="bg-BG"/>
        </w:rPr>
        <w:t xml:space="preserve"> </w:t>
      </w:r>
    </w:p>
    <w:p w14:paraId="367AE4D9" w14:textId="77777777" w:rsidR="009D447B" w:rsidRDefault="009D447B" w:rsidP="009D447B">
      <w:pPr>
        <w:rPr>
          <w:rFonts w:eastAsia="Times New Roman" w:cs="Arial"/>
          <w:i/>
          <w:iCs/>
          <w:color w:val="000000"/>
          <w:lang w:eastAsia="bg-BG"/>
        </w:rPr>
      </w:pPr>
      <w:r w:rsidRPr="009D447B">
        <w:rPr>
          <w:rFonts w:eastAsia="Times New Roman" w:cs="Arial"/>
          <w:i/>
          <w:iCs/>
          <w:color w:val="000000"/>
          <w:lang w:eastAsia="bg-BG"/>
        </w:rPr>
        <w:t xml:space="preserve">Танзидор 40 </w:t>
      </w:r>
      <w:r w:rsidRPr="009D447B">
        <w:rPr>
          <w:rFonts w:eastAsia="Times New Roman" w:cs="Arial"/>
          <w:i/>
          <w:iCs/>
          <w:color w:val="000000"/>
          <w:lang w:val="en-US"/>
        </w:rPr>
        <w:t xml:space="preserve">mg </w:t>
      </w:r>
      <w:r w:rsidRPr="009D447B">
        <w:rPr>
          <w:rFonts w:eastAsia="Times New Roman" w:cs="Arial"/>
          <w:i/>
          <w:iCs/>
          <w:color w:val="000000"/>
          <w:lang w:eastAsia="bg-BG"/>
        </w:rPr>
        <w:t xml:space="preserve">филмирани таблетки </w:t>
      </w:r>
    </w:p>
    <w:p w14:paraId="2E62B10F" w14:textId="614F3396" w:rsidR="009D447B" w:rsidRPr="009D447B" w:rsidRDefault="009D447B" w:rsidP="009D447B">
      <w:pPr>
        <w:rPr>
          <w:rFonts w:cs="Arial"/>
        </w:rPr>
      </w:pPr>
      <w:r w:rsidRPr="009D447B">
        <w:rPr>
          <w:rFonts w:eastAsia="Times New Roman" w:cs="Arial"/>
          <w:color w:val="000000"/>
          <w:lang w:eastAsia="bg-BG"/>
        </w:rPr>
        <w:t xml:space="preserve">Бяла, овална, двойноизпъкнала, филмирана таблетка с надпис “40” от едната страна. Размер: 14,9 </w:t>
      </w:r>
      <w:r w:rsidRPr="009D447B">
        <w:rPr>
          <w:rFonts w:eastAsia="Times New Roman" w:cs="Arial"/>
          <w:color w:val="000000"/>
          <w:lang w:val="en-US"/>
        </w:rPr>
        <w:t xml:space="preserve">mm </w:t>
      </w:r>
      <w:r w:rsidRPr="009D447B">
        <w:rPr>
          <w:rFonts w:eastAsia="Times New Roman" w:cs="Arial"/>
          <w:color w:val="000000"/>
          <w:lang w:eastAsia="bg-BG"/>
        </w:rPr>
        <w:t xml:space="preserve">- 15,2 </w:t>
      </w:r>
      <w:r w:rsidRPr="009D447B">
        <w:rPr>
          <w:rFonts w:eastAsia="Times New Roman" w:cs="Arial"/>
          <w:color w:val="000000"/>
          <w:lang w:val="en-US"/>
        </w:rPr>
        <w:t xml:space="preserve">mm </w:t>
      </w:r>
      <w:r w:rsidRPr="009D447B">
        <w:rPr>
          <w:rFonts w:eastAsia="Times New Roman" w:cs="Arial"/>
          <w:color w:val="000000"/>
          <w:lang w:eastAsia="bg-BG"/>
        </w:rPr>
        <w:t xml:space="preserve">х 7 </w:t>
      </w:r>
      <w:r w:rsidRPr="009D447B">
        <w:rPr>
          <w:rFonts w:eastAsia="Times New Roman" w:cs="Arial"/>
          <w:color w:val="000000"/>
          <w:lang w:val="en-US"/>
        </w:rPr>
        <w:t xml:space="preserve">mm </w:t>
      </w:r>
      <w:r w:rsidRPr="009D447B">
        <w:rPr>
          <w:rFonts w:eastAsia="Times New Roman" w:cs="Arial"/>
          <w:color w:val="000000"/>
          <w:lang w:eastAsia="bg-BG"/>
        </w:rPr>
        <w:t xml:space="preserve">- 7,3 </w:t>
      </w:r>
      <w:r w:rsidRPr="009D447B">
        <w:rPr>
          <w:rFonts w:eastAsia="Times New Roman" w:cs="Arial"/>
          <w:color w:val="000000"/>
          <w:lang w:val="en-US"/>
        </w:rPr>
        <w:t>mm</w:t>
      </w:r>
    </w:p>
    <w:p w14:paraId="490FC2C4" w14:textId="32682B15" w:rsidR="002C50EE" w:rsidRDefault="002C50EE" w:rsidP="002C50EE">
      <w:pPr>
        <w:pStyle w:val="Heading1"/>
      </w:pPr>
      <w:r>
        <w:t>4. КЛИНИЧНИ ДАННИ</w:t>
      </w:r>
    </w:p>
    <w:p w14:paraId="0C8E6903" w14:textId="47D8B603" w:rsidR="008134C8" w:rsidRDefault="002C50EE" w:rsidP="004A448E">
      <w:pPr>
        <w:pStyle w:val="Heading2"/>
      </w:pPr>
      <w:r>
        <w:t>4.1. Терапевтични показания</w:t>
      </w:r>
    </w:p>
    <w:p w14:paraId="5FCB69F4" w14:textId="19AC9FD1" w:rsidR="009D447B" w:rsidRPr="009D447B" w:rsidRDefault="009D447B" w:rsidP="009D447B">
      <w:pPr>
        <w:rPr>
          <w:rFonts w:cs="Arial"/>
        </w:rPr>
      </w:pPr>
    </w:p>
    <w:p w14:paraId="15A7C374"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Лечение на есенциална хипертония при възрастни.</w:t>
      </w:r>
    </w:p>
    <w:p w14:paraId="0E7BD72A" w14:textId="220E589E" w:rsidR="009D447B" w:rsidRDefault="009D447B" w:rsidP="009D447B">
      <w:pPr>
        <w:rPr>
          <w:rFonts w:eastAsia="Times New Roman" w:cs="Arial"/>
          <w:color w:val="000000"/>
          <w:lang w:eastAsia="bg-BG"/>
        </w:rPr>
      </w:pPr>
      <w:r w:rsidRPr="009D447B">
        <w:rPr>
          <w:rFonts w:eastAsia="Times New Roman" w:cs="Arial"/>
          <w:color w:val="000000"/>
          <w:lang w:eastAsia="bg-BG"/>
        </w:rPr>
        <w:t>Лечение на хипертония при деца и юноши от 6 до 18-годишна възраст.</w:t>
      </w:r>
    </w:p>
    <w:p w14:paraId="1B6A7C2B" w14:textId="77777777" w:rsidR="00C547EA" w:rsidRPr="009D447B" w:rsidRDefault="00C547EA" w:rsidP="009D447B">
      <w:pPr>
        <w:rPr>
          <w:rFonts w:cs="Arial"/>
        </w:rPr>
      </w:pPr>
    </w:p>
    <w:p w14:paraId="30BE2C7B" w14:textId="2C852300" w:rsidR="008134C8" w:rsidRDefault="002C50EE" w:rsidP="004A448E">
      <w:pPr>
        <w:pStyle w:val="Heading2"/>
      </w:pPr>
      <w:r>
        <w:lastRenderedPageBreak/>
        <w:t>4.2. Дозировка и начин на приложение</w:t>
      </w:r>
    </w:p>
    <w:p w14:paraId="0A9C8BE6" w14:textId="32AFA250" w:rsidR="009D447B" w:rsidRDefault="009D447B" w:rsidP="009D447B"/>
    <w:p w14:paraId="040F8874" w14:textId="77777777" w:rsidR="009D447B" w:rsidRPr="00C76DED" w:rsidRDefault="009D447B" w:rsidP="00C76DED">
      <w:pPr>
        <w:pStyle w:val="Heading3"/>
        <w:rPr>
          <w:rFonts w:eastAsia="Times New Roman"/>
          <w:u w:val="single"/>
          <w:lang w:eastAsia="bg-BG"/>
        </w:rPr>
      </w:pPr>
      <w:r w:rsidRPr="00C76DED">
        <w:rPr>
          <w:rFonts w:eastAsia="Times New Roman"/>
          <w:u w:val="single"/>
          <w:lang w:eastAsia="bg-BG"/>
        </w:rPr>
        <w:t>Дозировка</w:t>
      </w:r>
    </w:p>
    <w:p w14:paraId="2811AE1A" w14:textId="77777777" w:rsidR="009D447B" w:rsidRDefault="009D447B" w:rsidP="009D447B">
      <w:pPr>
        <w:rPr>
          <w:rFonts w:eastAsia="Times New Roman" w:cs="Arial"/>
          <w:color w:val="000000"/>
          <w:u w:val="single"/>
          <w:lang w:eastAsia="bg-BG"/>
        </w:rPr>
      </w:pPr>
      <w:r w:rsidRPr="009D447B">
        <w:rPr>
          <w:rFonts w:eastAsia="Times New Roman" w:cs="Arial"/>
          <w:color w:val="000000"/>
          <w:u w:val="single"/>
          <w:lang w:eastAsia="bg-BG"/>
        </w:rPr>
        <w:t xml:space="preserve">Възрастни </w:t>
      </w:r>
    </w:p>
    <w:p w14:paraId="303D97B2" w14:textId="77777777" w:rsidR="009D447B" w:rsidRPr="009D447B" w:rsidRDefault="009D447B" w:rsidP="009D447B">
      <w:pPr>
        <w:rPr>
          <w:rFonts w:eastAsia="Times New Roman" w:cs="Arial"/>
          <w:sz w:val="24"/>
          <w:szCs w:val="24"/>
          <w:lang w:eastAsia="bg-BG"/>
        </w:rPr>
      </w:pPr>
      <w:r w:rsidRPr="009D447B">
        <w:rPr>
          <w:rFonts w:eastAsia="Times New Roman" w:cs="Arial"/>
          <w:color w:val="000000"/>
          <w:lang w:eastAsia="bg-BG"/>
        </w:rPr>
        <w:t xml:space="preserve">Препоръчителната начална доза олмесартан медоксомил е 10 </w:t>
      </w:r>
      <w:r w:rsidRPr="009D447B">
        <w:rPr>
          <w:rFonts w:eastAsia="Times New Roman" w:cs="Arial"/>
          <w:color w:val="000000"/>
          <w:lang w:val="en-US"/>
        </w:rPr>
        <w:t xml:space="preserve">mg </w:t>
      </w:r>
      <w:r w:rsidRPr="009D447B">
        <w:rPr>
          <w:rFonts w:eastAsia="Times New Roman" w:cs="Arial"/>
          <w:color w:val="000000"/>
          <w:lang w:eastAsia="bg-BG"/>
        </w:rPr>
        <w:t>веднъж дневно.</w:t>
      </w:r>
      <w:r w:rsidRPr="009D447B">
        <w:rPr>
          <w:rFonts w:eastAsia="Times New Roman" w:cs="Arial"/>
          <w:color w:val="000000"/>
          <w:lang w:val="en-US"/>
        </w:rPr>
        <w:t xml:space="preserve"> </w:t>
      </w:r>
      <w:r w:rsidRPr="009D447B">
        <w:rPr>
          <w:rFonts w:eastAsia="Times New Roman" w:cs="Arial"/>
          <w:color w:val="000000"/>
          <w:lang w:eastAsia="bg-BG"/>
        </w:rPr>
        <w:t>При пациенти, при  които тази доза не е достатъчна за постигане на контрол на артериалното налягане, дозата на</w:t>
      </w:r>
      <w:r>
        <w:rPr>
          <w:rFonts w:eastAsia="Times New Roman" w:cs="Arial"/>
          <w:color w:val="000000"/>
          <w:lang w:val="en-US" w:eastAsia="bg-BG"/>
        </w:rPr>
        <w:t xml:space="preserve"> </w:t>
      </w:r>
      <w:r w:rsidRPr="009D447B">
        <w:rPr>
          <w:rFonts w:eastAsia="Times New Roman" w:cs="Arial"/>
          <w:color w:val="000000"/>
          <w:lang w:eastAsia="bg-BG"/>
        </w:rPr>
        <w:t xml:space="preserve">олмесартан медоксомил може да се увеличи до 20 </w:t>
      </w:r>
      <w:r w:rsidRPr="009D447B">
        <w:rPr>
          <w:rFonts w:eastAsia="Times New Roman" w:cs="Arial"/>
          <w:color w:val="000000"/>
          <w:lang w:val="en-US"/>
        </w:rPr>
        <w:t xml:space="preserve">mg </w:t>
      </w:r>
      <w:r w:rsidRPr="009D447B">
        <w:rPr>
          <w:rFonts w:eastAsia="Times New Roman" w:cs="Arial"/>
          <w:color w:val="000000"/>
          <w:lang w:eastAsia="bg-BG"/>
        </w:rPr>
        <w:t xml:space="preserve">веднъж дневно като оптимална доза. Ако е необходимо допълнително понижение на артериалното налягане, дозата на олмесартан медоксомил може да се увеличи до най-много 40 </w:t>
      </w:r>
      <w:r w:rsidRPr="009D447B">
        <w:rPr>
          <w:rFonts w:eastAsia="Times New Roman" w:cs="Arial"/>
          <w:color w:val="000000"/>
          <w:lang w:val="en-US"/>
        </w:rPr>
        <w:t xml:space="preserve">mg </w:t>
      </w:r>
      <w:r w:rsidRPr="009D447B">
        <w:rPr>
          <w:rFonts w:eastAsia="Times New Roman" w:cs="Arial"/>
          <w:color w:val="000000"/>
          <w:lang w:eastAsia="bg-BG"/>
        </w:rPr>
        <w:t>дневно или да се добави терапия с хидрохлоротиазид.</w:t>
      </w:r>
    </w:p>
    <w:p w14:paraId="1A9EDFE0" w14:textId="77777777" w:rsidR="009D447B" w:rsidRDefault="009D447B" w:rsidP="009D447B">
      <w:pPr>
        <w:spacing w:line="240" w:lineRule="auto"/>
        <w:rPr>
          <w:rFonts w:eastAsia="Times New Roman" w:cs="Arial"/>
          <w:color w:val="000000"/>
          <w:lang w:eastAsia="bg-BG"/>
        </w:rPr>
      </w:pPr>
    </w:p>
    <w:p w14:paraId="45F14E3F" w14:textId="37D251F4"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Антихипертензивният ефект на олмесартан медоксомил се проявява след около 2 седмици от началото на лечението, а максималният ефект се постига след около 8 седмици от започването на терапията. Това трябва да се има предвид при решение за промяна в дозировката, с която се лекува пациентът.</w:t>
      </w:r>
    </w:p>
    <w:p w14:paraId="68804830" w14:textId="77777777" w:rsidR="009D447B" w:rsidRDefault="009D447B" w:rsidP="009D447B">
      <w:pPr>
        <w:spacing w:line="240" w:lineRule="auto"/>
        <w:rPr>
          <w:rFonts w:eastAsia="Times New Roman" w:cs="Arial"/>
          <w:color w:val="000000"/>
          <w:u w:val="single"/>
          <w:lang w:eastAsia="bg-BG"/>
        </w:rPr>
      </w:pPr>
    </w:p>
    <w:p w14:paraId="5553A4C5" w14:textId="199AF39B"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Старческа възраст (на или над 65 години)</w:t>
      </w:r>
    </w:p>
    <w:p w14:paraId="04E50A43"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 xml:space="preserve">По принцип не се налага коригиране на дозата при пациенти в старческа възраст (вижте по-долу за препоръки при пациенти с бъбречно увреждане). Ако е необходимо повишение на дозата до максималната доза от 40 </w:t>
      </w:r>
      <w:r w:rsidRPr="009D447B">
        <w:rPr>
          <w:rFonts w:eastAsia="Times New Roman" w:cs="Arial"/>
          <w:color w:val="000000"/>
          <w:lang w:val="en-US"/>
        </w:rPr>
        <w:t xml:space="preserve">mg </w:t>
      </w:r>
      <w:r w:rsidRPr="009D447B">
        <w:rPr>
          <w:rFonts w:eastAsia="Times New Roman" w:cs="Arial"/>
          <w:color w:val="000000"/>
          <w:lang w:eastAsia="bg-BG"/>
        </w:rPr>
        <w:t>дневно, артериалното налягане трябва внимателно да се проследява.</w:t>
      </w:r>
    </w:p>
    <w:p w14:paraId="69AA855F" w14:textId="77777777" w:rsidR="009D447B" w:rsidRDefault="009D447B" w:rsidP="009D447B">
      <w:pPr>
        <w:spacing w:line="240" w:lineRule="auto"/>
        <w:rPr>
          <w:rFonts w:eastAsia="Times New Roman" w:cs="Arial"/>
          <w:color w:val="000000"/>
          <w:u w:val="single"/>
          <w:lang w:eastAsia="bg-BG"/>
        </w:rPr>
      </w:pPr>
    </w:p>
    <w:p w14:paraId="61C76702" w14:textId="1C5E5333"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Бъбречно увреждане</w:t>
      </w:r>
    </w:p>
    <w:p w14:paraId="39C79A2F"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 xml:space="preserve">При пациенти с леко до умерено бъбречно увреждане (креатининов клирънс 20 - 60 </w:t>
      </w:r>
      <w:r w:rsidRPr="009D447B">
        <w:rPr>
          <w:rFonts w:eastAsia="Times New Roman" w:cs="Arial"/>
          <w:color w:val="000000"/>
          <w:lang w:val="en-US"/>
        </w:rPr>
        <w:t xml:space="preserve">ml/min) </w:t>
      </w:r>
      <w:r w:rsidRPr="009D447B">
        <w:rPr>
          <w:rFonts w:eastAsia="Times New Roman" w:cs="Arial"/>
          <w:color w:val="000000"/>
          <w:lang w:eastAsia="bg-BG"/>
        </w:rPr>
        <w:t xml:space="preserve">максималната доза е 20 </w:t>
      </w:r>
      <w:r w:rsidRPr="009D447B">
        <w:rPr>
          <w:rFonts w:eastAsia="Times New Roman" w:cs="Arial"/>
          <w:color w:val="000000"/>
          <w:lang w:val="en-US"/>
        </w:rPr>
        <w:t xml:space="preserve">mg </w:t>
      </w:r>
      <w:r w:rsidRPr="009D447B">
        <w:rPr>
          <w:rFonts w:eastAsia="Times New Roman" w:cs="Arial"/>
          <w:color w:val="000000"/>
          <w:lang w:eastAsia="bg-BG"/>
        </w:rPr>
        <w:t xml:space="preserve">олмесартан медоксомил веднъж дневно, поради ограничен опит с по- високи дози при тази група пациенти. Не се препоръчва употребата на олмесартан медоксомил при пациенти с тежко увреждане (креатининов клирънс &lt; 20 </w:t>
      </w:r>
      <w:r w:rsidRPr="009D447B">
        <w:rPr>
          <w:rFonts w:eastAsia="Times New Roman" w:cs="Arial"/>
          <w:color w:val="000000"/>
          <w:lang w:val="en-US"/>
        </w:rPr>
        <w:t xml:space="preserve">ml/min) </w:t>
      </w:r>
      <w:r w:rsidRPr="009D447B">
        <w:rPr>
          <w:rFonts w:eastAsia="Times New Roman" w:cs="Arial"/>
          <w:color w:val="000000"/>
          <w:lang w:eastAsia="bg-BG"/>
        </w:rPr>
        <w:t>поради ограничен опит при тази група пациенти (вж. точки 4.4 и 5.2).</w:t>
      </w:r>
    </w:p>
    <w:p w14:paraId="10962A5E" w14:textId="77777777" w:rsidR="009D447B" w:rsidRDefault="009D447B" w:rsidP="009D447B">
      <w:pPr>
        <w:spacing w:line="240" w:lineRule="auto"/>
        <w:rPr>
          <w:rFonts w:eastAsia="Times New Roman" w:cs="Arial"/>
          <w:color w:val="000000"/>
          <w:u w:val="single"/>
          <w:lang w:eastAsia="bg-BG"/>
        </w:rPr>
      </w:pPr>
    </w:p>
    <w:p w14:paraId="3972CA7A" w14:textId="4DCB700B"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Чернодробно увреждане</w:t>
      </w:r>
    </w:p>
    <w:p w14:paraId="03CE7627"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 xml:space="preserve">Не се изисква корекция на дозата при пациенти с леко чернодробно увреждане. При пациенти с умерено чернодробно увреждане се препоръчва начална доза от 10 </w:t>
      </w:r>
      <w:r w:rsidRPr="009D447B">
        <w:rPr>
          <w:rFonts w:eastAsia="Times New Roman" w:cs="Arial"/>
          <w:color w:val="000000"/>
          <w:lang w:val="en-US"/>
        </w:rPr>
        <w:t xml:space="preserve">mg </w:t>
      </w:r>
      <w:r w:rsidRPr="009D447B">
        <w:rPr>
          <w:rFonts w:eastAsia="Times New Roman" w:cs="Arial"/>
          <w:color w:val="000000"/>
          <w:lang w:eastAsia="bg-BG"/>
        </w:rPr>
        <w:t xml:space="preserve">олмесартан медоксомил веднъж дневно и максималната доза не трябва да надвишава 20 </w:t>
      </w:r>
      <w:r w:rsidRPr="009D447B">
        <w:rPr>
          <w:rFonts w:eastAsia="Times New Roman" w:cs="Arial"/>
          <w:color w:val="000000"/>
          <w:lang w:val="en-US"/>
        </w:rPr>
        <w:t xml:space="preserve">mg </w:t>
      </w:r>
      <w:r w:rsidRPr="009D447B">
        <w:rPr>
          <w:rFonts w:eastAsia="Times New Roman" w:cs="Arial"/>
          <w:color w:val="000000"/>
          <w:lang w:eastAsia="bg-BG"/>
        </w:rPr>
        <w:t>веднъж дневно. При пациенти с чернодробно увреждане, които вече са на лечение с диуретици и/или други антихипертензивни лекарства, се препоръчва внимателно проследяване на кръвното налягане и бъбречната функция. Няма опит с олмесартан медоксомил при пациенти с тежко чернодробно увреждане и поради това не се препоръчва употребата при тази група пациенти (вж. точки 4.4 и 5.2). Олмесартан медоксомил не трябва да се използва при пациенти с жлъчна обструкция (вж. точка 4.3).</w:t>
      </w:r>
    </w:p>
    <w:p w14:paraId="29A6E7E1" w14:textId="77777777" w:rsidR="009D447B" w:rsidRDefault="009D447B" w:rsidP="009D447B">
      <w:pPr>
        <w:spacing w:line="240" w:lineRule="auto"/>
        <w:rPr>
          <w:rFonts w:eastAsia="Times New Roman" w:cs="Arial"/>
          <w:color w:val="000000"/>
          <w:u w:val="single"/>
          <w:lang w:eastAsia="bg-BG"/>
        </w:rPr>
      </w:pPr>
    </w:p>
    <w:p w14:paraId="229762C1" w14:textId="6BE41FDA"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Педиатрична популация</w:t>
      </w:r>
    </w:p>
    <w:p w14:paraId="24B43C83" w14:textId="5BFF4CDF"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Деца и юноши от 6 до под 18 годишна възраст</w:t>
      </w:r>
    </w:p>
    <w:p w14:paraId="16F2B3E7" w14:textId="3182427C" w:rsidR="009D447B" w:rsidRPr="009D447B" w:rsidRDefault="009D447B" w:rsidP="009D447B">
      <w:pPr>
        <w:rPr>
          <w:rFonts w:eastAsia="Times New Roman" w:cs="Arial"/>
          <w:color w:val="000000"/>
          <w:lang w:val="en-US" w:eastAsia="bg-BG"/>
        </w:rPr>
      </w:pPr>
      <w:r w:rsidRPr="009D447B">
        <w:rPr>
          <w:rFonts w:eastAsia="Times New Roman" w:cs="Arial"/>
          <w:color w:val="000000"/>
          <w:lang w:eastAsia="bg-BG"/>
        </w:rPr>
        <w:t xml:space="preserve">Препоръчителната начална доза олмесартан медоксомил при деца на възраст от 6 до под 18 години е 10 </w:t>
      </w:r>
      <w:r w:rsidRPr="009D447B">
        <w:rPr>
          <w:rFonts w:eastAsia="Times New Roman" w:cs="Arial"/>
          <w:color w:val="000000"/>
          <w:lang w:val="en-US"/>
        </w:rPr>
        <w:t xml:space="preserve">mg </w:t>
      </w:r>
      <w:r w:rsidRPr="009D447B">
        <w:rPr>
          <w:rFonts w:eastAsia="Times New Roman" w:cs="Arial"/>
          <w:color w:val="000000"/>
          <w:lang w:eastAsia="bg-BG"/>
        </w:rPr>
        <w:t xml:space="preserve">веднъж дневно. При деца, чието кръвно налягане не е адекватно контролирано при тази доза, олмесартан медоксомил може да се увеличи до 20 </w:t>
      </w:r>
      <w:r w:rsidRPr="009D447B">
        <w:rPr>
          <w:rFonts w:eastAsia="Times New Roman" w:cs="Arial"/>
          <w:color w:val="000000"/>
          <w:lang w:val="en-US"/>
        </w:rPr>
        <w:t xml:space="preserve">mg </w:t>
      </w:r>
      <w:r w:rsidRPr="009D447B">
        <w:rPr>
          <w:rFonts w:eastAsia="Times New Roman" w:cs="Arial"/>
          <w:color w:val="000000"/>
          <w:lang w:eastAsia="bg-BG"/>
        </w:rPr>
        <w:t xml:space="preserve">веднъж дневно. Ако е необходимо допълнително понижаване на кръвното налягане, при деца чието телесно тегло е &gt; 35 </w:t>
      </w:r>
      <w:r w:rsidRPr="009D447B">
        <w:rPr>
          <w:rFonts w:eastAsia="Times New Roman" w:cs="Arial"/>
          <w:color w:val="000000"/>
          <w:lang w:val="en-US"/>
        </w:rPr>
        <w:t xml:space="preserve">kg, </w:t>
      </w:r>
      <w:r w:rsidRPr="009D447B">
        <w:rPr>
          <w:rFonts w:eastAsia="Times New Roman" w:cs="Arial"/>
          <w:color w:val="000000"/>
          <w:lang w:eastAsia="bg-BG"/>
        </w:rPr>
        <w:t xml:space="preserve">дозата олмесартан медоксомил може да се увеличи до максимум 40 </w:t>
      </w:r>
      <w:r w:rsidRPr="009D447B">
        <w:rPr>
          <w:rFonts w:eastAsia="Times New Roman" w:cs="Arial"/>
          <w:color w:val="000000"/>
          <w:lang w:val="en-US"/>
        </w:rPr>
        <w:t xml:space="preserve">mg. </w:t>
      </w:r>
      <w:r w:rsidRPr="009D447B">
        <w:rPr>
          <w:rFonts w:eastAsia="Times New Roman" w:cs="Arial"/>
          <w:color w:val="000000"/>
          <w:lang w:eastAsia="bg-BG"/>
        </w:rPr>
        <w:t xml:space="preserve">При деца, които тежат &lt; 35 </w:t>
      </w:r>
      <w:r w:rsidRPr="009D447B">
        <w:rPr>
          <w:rFonts w:eastAsia="Times New Roman" w:cs="Arial"/>
          <w:color w:val="000000"/>
          <w:lang w:val="en-US"/>
        </w:rPr>
        <w:t xml:space="preserve">kg, </w:t>
      </w:r>
      <w:r w:rsidRPr="009D447B">
        <w:rPr>
          <w:rFonts w:eastAsia="Times New Roman" w:cs="Arial"/>
          <w:color w:val="000000"/>
          <w:lang w:eastAsia="bg-BG"/>
        </w:rPr>
        <w:t xml:space="preserve">дневната доза не трябва да превишава 20 </w:t>
      </w:r>
      <w:r w:rsidRPr="009D447B">
        <w:rPr>
          <w:rFonts w:eastAsia="Times New Roman" w:cs="Arial"/>
          <w:color w:val="000000"/>
          <w:lang w:val="en-US"/>
        </w:rPr>
        <w:t>mg.</w:t>
      </w:r>
    </w:p>
    <w:p w14:paraId="61AC9D3A" w14:textId="6C34DF33" w:rsidR="009D447B" w:rsidRDefault="009D447B" w:rsidP="009D447B"/>
    <w:p w14:paraId="4C0AA01E"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Друга педиатрична популация</w:t>
      </w:r>
    </w:p>
    <w:p w14:paraId="4EAD6B79"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Безопасността и ефикасността на олмесартан медоксомил при деца на възраст от 1 до 5 години засега не е установена. В момента наличните данни са описани в точки 4.8 и 5.1, но не могат да бъдат дадени препоръки.</w:t>
      </w:r>
    </w:p>
    <w:p w14:paraId="0CE93316" w14:textId="77777777" w:rsidR="009D447B" w:rsidRDefault="009D447B" w:rsidP="009D447B">
      <w:pPr>
        <w:spacing w:line="240" w:lineRule="auto"/>
        <w:rPr>
          <w:rFonts w:eastAsia="Times New Roman" w:cs="Arial"/>
          <w:color w:val="000000"/>
          <w:lang w:eastAsia="bg-BG"/>
        </w:rPr>
      </w:pPr>
    </w:p>
    <w:p w14:paraId="6E00F338" w14:textId="2DAACF8E"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Олмесартан медоксомил не трябва да се използва при деца под 1 година поради недостатъчно данни за безопасността и липсата на данни в тази възрастова група.</w:t>
      </w:r>
    </w:p>
    <w:p w14:paraId="2A493E1D" w14:textId="77777777" w:rsidR="009D447B" w:rsidRDefault="009D447B" w:rsidP="009D447B">
      <w:pPr>
        <w:spacing w:line="240" w:lineRule="auto"/>
        <w:rPr>
          <w:rFonts w:eastAsia="Times New Roman" w:cs="Arial"/>
          <w:b/>
          <w:bCs/>
          <w:color w:val="000000"/>
          <w:lang w:eastAsia="bg-BG"/>
        </w:rPr>
      </w:pPr>
    </w:p>
    <w:p w14:paraId="357FAB9F" w14:textId="695984D1" w:rsidR="009D447B" w:rsidRPr="00C76DED" w:rsidRDefault="009D447B" w:rsidP="00C76DED">
      <w:pPr>
        <w:pStyle w:val="Heading3"/>
        <w:rPr>
          <w:rFonts w:eastAsia="Times New Roman"/>
          <w:u w:val="single"/>
          <w:lang w:eastAsia="bg-BG"/>
        </w:rPr>
      </w:pPr>
      <w:r w:rsidRPr="00C76DED">
        <w:rPr>
          <w:rFonts w:eastAsia="Times New Roman"/>
          <w:u w:val="single"/>
          <w:lang w:eastAsia="bg-BG"/>
        </w:rPr>
        <w:t>Начин на приложение</w:t>
      </w:r>
    </w:p>
    <w:p w14:paraId="7DE7CB66"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За по-добро придържане към схемата на лечение се препоръчва Танзидор да се приема по едно и също време всеки ден, независимо от храна, например по време на закуска. Таблетката трябва да се</w:t>
      </w:r>
    </w:p>
    <w:p w14:paraId="05FF0B67" w14:textId="56E09F7F" w:rsidR="009D447B" w:rsidRDefault="009D447B" w:rsidP="009D447B">
      <w:pPr>
        <w:rPr>
          <w:rFonts w:eastAsia="Times New Roman" w:cs="Arial"/>
          <w:color w:val="000000"/>
          <w:lang w:eastAsia="bg-BG"/>
        </w:rPr>
      </w:pPr>
      <w:r w:rsidRPr="009D447B">
        <w:rPr>
          <w:rFonts w:eastAsia="Times New Roman" w:cs="Arial"/>
          <w:color w:val="000000"/>
          <w:lang w:eastAsia="bg-BG"/>
        </w:rPr>
        <w:t>приема с достатъчно количество течност (напр. една чаша вода). Таблетката не трябва да се сдъвква.</w:t>
      </w:r>
    </w:p>
    <w:p w14:paraId="0253B77D" w14:textId="77777777" w:rsidR="009D447B" w:rsidRPr="009D447B" w:rsidRDefault="009D447B" w:rsidP="009D447B">
      <w:pPr>
        <w:rPr>
          <w:rFonts w:cs="Arial"/>
        </w:rPr>
      </w:pPr>
    </w:p>
    <w:p w14:paraId="28C984E8" w14:textId="60B2DC8C" w:rsidR="008134C8" w:rsidRDefault="002C50EE" w:rsidP="004A448E">
      <w:pPr>
        <w:pStyle w:val="Heading2"/>
      </w:pPr>
      <w:r>
        <w:t>4.3. Противопоказания</w:t>
      </w:r>
    </w:p>
    <w:p w14:paraId="48C3D229" w14:textId="1B623D92" w:rsidR="009D447B" w:rsidRDefault="009D447B" w:rsidP="009D447B"/>
    <w:p w14:paraId="2F63E417" w14:textId="2AE3EB1E" w:rsidR="009D447B" w:rsidRPr="009D447B" w:rsidRDefault="009D447B" w:rsidP="009D447B">
      <w:pPr>
        <w:pStyle w:val="ListParagraph"/>
        <w:numPr>
          <w:ilvl w:val="0"/>
          <w:numId w:val="35"/>
        </w:numPr>
        <w:spacing w:line="240" w:lineRule="auto"/>
        <w:rPr>
          <w:rFonts w:eastAsia="Times New Roman" w:cs="Arial"/>
          <w:sz w:val="24"/>
          <w:szCs w:val="24"/>
          <w:lang w:eastAsia="bg-BG"/>
        </w:rPr>
      </w:pPr>
      <w:r w:rsidRPr="009D447B">
        <w:rPr>
          <w:rFonts w:eastAsia="Times New Roman" w:cs="Arial"/>
          <w:color w:val="000000"/>
          <w:lang w:eastAsia="bg-BG"/>
        </w:rPr>
        <w:t>Свръхчувствителност към активното вещество или към някое от помощните вещества, изброени в точка 6.1</w:t>
      </w:r>
    </w:p>
    <w:p w14:paraId="26321D0D" w14:textId="3DCD6663" w:rsidR="009D447B" w:rsidRPr="009D447B" w:rsidRDefault="009D447B" w:rsidP="009D447B">
      <w:pPr>
        <w:pStyle w:val="ListParagraph"/>
        <w:numPr>
          <w:ilvl w:val="0"/>
          <w:numId w:val="35"/>
        </w:numPr>
        <w:spacing w:line="240" w:lineRule="auto"/>
        <w:rPr>
          <w:rFonts w:eastAsia="Times New Roman" w:cs="Arial"/>
          <w:sz w:val="24"/>
          <w:szCs w:val="24"/>
          <w:lang w:eastAsia="bg-BG"/>
        </w:rPr>
      </w:pPr>
      <w:r w:rsidRPr="009D447B">
        <w:rPr>
          <w:rFonts w:eastAsia="Times New Roman" w:cs="Arial"/>
          <w:color w:val="000000"/>
          <w:lang w:eastAsia="bg-BG"/>
        </w:rPr>
        <w:t>Втори и трети тримесгьр на бременността (вж. точки 4.4 и 4.6)</w:t>
      </w:r>
    </w:p>
    <w:p w14:paraId="6B913544" w14:textId="4214826A" w:rsidR="009D447B" w:rsidRPr="009D447B" w:rsidRDefault="009D447B" w:rsidP="009D447B">
      <w:pPr>
        <w:pStyle w:val="ListParagraph"/>
        <w:numPr>
          <w:ilvl w:val="0"/>
          <w:numId w:val="35"/>
        </w:numPr>
        <w:spacing w:line="240" w:lineRule="auto"/>
        <w:rPr>
          <w:rFonts w:eastAsia="Times New Roman" w:cs="Arial"/>
          <w:sz w:val="24"/>
          <w:szCs w:val="24"/>
          <w:lang w:eastAsia="bg-BG"/>
        </w:rPr>
      </w:pPr>
      <w:r w:rsidRPr="009D447B">
        <w:rPr>
          <w:rFonts w:eastAsia="Times New Roman" w:cs="Arial"/>
          <w:color w:val="000000"/>
          <w:lang w:eastAsia="bg-BG"/>
        </w:rPr>
        <w:t>Билиарна обструкция (вж. точка 5.2)</w:t>
      </w:r>
    </w:p>
    <w:p w14:paraId="3CB55EB9" w14:textId="51BD4233" w:rsidR="009D447B" w:rsidRPr="009D447B" w:rsidRDefault="009D447B" w:rsidP="009D447B">
      <w:pPr>
        <w:pStyle w:val="ListParagraph"/>
        <w:numPr>
          <w:ilvl w:val="0"/>
          <w:numId w:val="35"/>
        </w:numPr>
        <w:spacing w:line="240" w:lineRule="auto"/>
        <w:rPr>
          <w:rFonts w:eastAsia="Times New Roman" w:cs="Arial"/>
          <w:sz w:val="24"/>
          <w:szCs w:val="24"/>
          <w:lang w:eastAsia="bg-BG"/>
        </w:rPr>
      </w:pPr>
      <w:r w:rsidRPr="009D447B">
        <w:rPr>
          <w:rFonts w:eastAsia="Times New Roman" w:cs="Arial"/>
          <w:color w:val="000000"/>
          <w:lang w:eastAsia="bg-BG"/>
        </w:rPr>
        <w:t>Едновременната употреба на Танзидор с алискирен-съдържащи продукти е противопоказана при</w:t>
      </w:r>
    </w:p>
    <w:p w14:paraId="22E0D93E" w14:textId="22C05926" w:rsidR="009D447B" w:rsidRDefault="009D447B" w:rsidP="009D447B">
      <w:pPr>
        <w:rPr>
          <w:rFonts w:eastAsia="Times New Roman" w:cs="Arial"/>
          <w:color w:val="000000"/>
          <w:lang w:eastAsia="bg-BG"/>
        </w:rPr>
      </w:pPr>
      <w:r w:rsidRPr="009D447B">
        <w:rPr>
          <w:rFonts w:eastAsia="Times New Roman" w:cs="Arial"/>
          <w:color w:val="000000"/>
          <w:lang w:eastAsia="bg-BG"/>
        </w:rPr>
        <w:t xml:space="preserve">пациенти със захарен диабет или бъбречно увреждане </w:t>
      </w:r>
      <w:r w:rsidRPr="009D447B">
        <w:rPr>
          <w:rFonts w:eastAsia="Times New Roman" w:cs="Arial"/>
          <w:color w:val="000000"/>
          <w:lang w:val="en-US"/>
        </w:rPr>
        <w:t xml:space="preserve">(GFR </w:t>
      </w:r>
      <w:r w:rsidRPr="009D447B">
        <w:rPr>
          <w:rFonts w:eastAsia="Times New Roman" w:cs="Arial"/>
          <w:color w:val="000000"/>
          <w:lang w:eastAsia="bg-BG"/>
        </w:rPr>
        <w:t xml:space="preserve">&lt; 60 </w:t>
      </w:r>
      <w:r w:rsidRPr="009D447B">
        <w:rPr>
          <w:rFonts w:eastAsia="Times New Roman" w:cs="Arial"/>
          <w:color w:val="000000"/>
          <w:lang w:val="en-US"/>
        </w:rPr>
        <w:t>mL/min/1,73 m</w:t>
      </w:r>
      <w:r w:rsidRPr="009D447B">
        <w:rPr>
          <w:rFonts w:eastAsia="Times New Roman" w:cs="Arial"/>
          <w:color w:val="000000"/>
          <w:vertAlign w:val="superscript"/>
          <w:lang w:val="en-US"/>
        </w:rPr>
        <w:t>2</w:t>
      </w:r>
      <w:r w:rsidRPr="009D447B">
        <w:rPr>
          <w:rFonts w:eastAsia="Times New Roman" w:cs="Arial"/>
          <w:color w:val="000000"/>
          <w:lang w:val="en-US"/>
        </w:rPr>
        <w:t xml:space="preserve">) </w:t>
      </w:r>
      <w:r w:rsidRPr="009D447B">
        <w:rPr>
          <w:rFonts w:eastAsia="Times New Roman" w:cs="Arial"/>
          <w:color w:val="000000"/>
          <w:lang w:eastAsia="bg-BG"/>
        </w:rPr>
        <w:t>(вж. точки 4.5 и 5.1).</w:t>
      </w:r>
    </w:p>
    <w:p w14:paraId="4828DCAC" w14:textId="77777777" w:rsidR="00C76DED" w:rsidRPr="009D447B" w:rsidRDefault="00C76DED" w:rsidP="009D447B">
      <w:pPr>
        <w:rPr>
          <w:rFonts w:cs="Arial"/>
        </w:rPr>
      </w:pPr>
    </w:p>
    <w:p w14:paraId="212F509C" w14:textId="01D39786" w:rsidR="004F498A" w:rsidRDefault="002C50EE" w:rsidP="004A448E">
      <w:pPr>
        <w:pStyle w:val="Heading2"/>
      </w:pPr>
      <w:r>
        <w:t>4.4. Специални предупреждения и предпазни мерки при употреба</w:t>
      </w:r>
    </w:p>
    <w:p w14:paraId="2D689D2A" w14:textId="2162118E" w:rsidR="009D447B" w:rsidRDefault="009D447B" w:rsidP="009D447B"/>
    <w:p w14:paraId="05C7D0E2"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Вътресъдов обемен дефицит</w:t>
      </w:r>
    </w:p>
    <w:p w14:paraId="5DA516F0"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При пациенти с обемен и/или солеви дефицит поради агресивна диуретична терапия, диета с нисък прием на сол, диария или повръщане може да настъпи симптоматична хипотония, особено след първата доза. Тези състояния трябва да бъдат коригирани преди приложението на олмесартан медоксомил.</w:t>
      </w:r>
    </w:p>
    <w:p w14:paraId="18577B53" w14:textId="77777777" w:rsidR="009D447B" w:rsidRDefault="009D447B" w:rsidP="009D447B">
      <w:pPr>
        <w:spacing w:line="240" w:lineRule="auto"/>
        <w:rPr>
          <w:rFonts w:eastAsia="Times New Roman" w:cs="Arial"/>
          <w:color w:val="000000"/>
          <w:u w:val="single"/>
          <w:lang w:eastAsia="bg-BG"/>
        </w:rPr>
      </w:pPr>
    </w:p>
    <w:p w14:paraId="216DCECE" w14:textId="38A1200E"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Други състояния, активиращи ренин-ангиотензин-алдостероновата система</w:t>
      </w:r>
    </w:p>
    <w:p w14:paraId="0CA3719B"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При пациенти, при които съдовият тонус и бъбречната функция зависят главно от активността на ренин-ангиотензин-алдостероновата система (например, пациенти с тежка застойна сърдечна недостатъчност или придружаващо бъбречно заболяване, включително стеноза на бъбречна артерия), лечението с други лекарствени продукти, повлияващи тази система, води до остра хипотония, азотемия, олигоурия или, рядко, до остра бъбречна недостатъчност. Не може да се изключи вероятността за възникване на подобни състояния при приложение на ангиотензин П рецепторни антагонисти.</w:t>
      </w:r>
    </w:p>
    <w:p w14:paraId="0F1BCD56" w14:textId="77777777" w:rsidR="009D447B" w:rsidRDefault="009D447B" w:rsidP="009D447B">
      <w:pPr>
        <w:spacing w:line="240" w:lineRule="auto"/>
        <w:rPr>
          <w:rFonts w:eastAsia="Times New Roman" w:cs="Arial"/>
          <w:color w:val="000000"/>
          <w:u w:val="single"/>
          <w:lang w:eastAsia="bg-BG"/>
        </w:rPr>
      </w:pPr>
    </w:p>
    <w:p w14:paraId="754A06B2" w14:textId="40D38ED8"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Реноваскуларна хипертония</w:t>
      </w:r>
    </w:p>
    <w:p w14:paraId="33EFCE21"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 xml:space="preserve">При пациенти с билатерална стеноза на бъбречните артерии или със стеноза на бъбречната артерия при единствен функциониращ бъбрек, приложението на лекарства, </w:t>
      </w:r>
      <w:r w:rsidRPr="009D447B">
        <w:rPr>
          <w:rFonts w:eastAsia="Times New Roman" w:cs="Arial"/>
          <w:color w:val="000000"/>
          <w:lang w:eastAsia="bg-BG"/>
        </w:rPr>
        <w:lastRenderedPageBreak/>
        <w:t>повлияващи ренин-ангиотензин- алдостероновата система, може да доведе до повишен риск от тежка хипотония и бъбречна недостатъчност.</w:t>
      </w:r>
    </w:p>
    <w:p w14:paraId="293E9666" w14:textId="77777777" w:rsidR="009D447B" w:rsidRDefault="009D447B" w:rsidP="009D447B">
      <w:pPr>
        <w:spacing w:line="240" w:lineRule="auto"/>
        <w:rPr>
          <w:rFonts w:eastAsia="Times New Roman" w:cs="Arial"/>
          <w:color w:val="000000"/>
          <w:u w:val="single"/>
          <w:lang w:eastAsia="bg-BG"/>
        </w:rPr>
      </w:pPr>
    </w:p>
    <w:p w14:paraId="11C39E62" w14:textId="6F22E881"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Бъбречно увреждане или бъбречна трансплантация</w:t>
      </w:r>
    </w:p>
    <w:p w14:paraId="4A482F08" w14:textId="611C9281" w:rsidR="009D447B" w:rsidRDefault="009D447B" w:rsidP="009D447B">
      <w:pPr>
        <w:rPr>
          <w:rFonts w:eastAsia="Times New Roman" w:cs="Arial"/>
          <w:color w:val="000000"/>
          <w:lang w:val="en-US"/>
        </w:rPr>
      </w:pPr>
      <w:r w:rsidRPr="009D447B">
        <w:rPr>
          <w:rFonts w:eastAsia="Times New Roman" w:cs="Arial"/>
          <w:color w:val="000000"/>
          <w:lang w:eastAsia="bg-BG"/>
        </w:rPr>
        <w:t xml:space="preserve">При приложението на олмесартан медоксомил при пациенти с нарушена бъбречна функция се препоръчва периодично проследяване на серумния калий и нивата на креатинин. Не се препоръчва употреба на олмесартан медоксомил при пациенти с тежко бъбречно увреждане (креатининов клирънс &lt; 20 </w:t>
      </w:r>
      <w:r w:rsidRPr="009D447B">
        <w:rPr>
          <w:rFonts w:eastAsia="Times New Roman" w:cs="Arial"/>
          <w:color w:val="000000"/>
          <w:lang w:val="en-US"/>
        </w:rPr>
        <w:t xml:space="preserve">ml/min) </w:t>
      </w:r>
      <w:r w:rsidRPr="009D447B">
        <w:rPr>
          <w:rFonts w:eastAsia="Times New Roman" w:cs="Arial"/>
          <w:color w:val="000000"/>
          <w:lang w:eastAsia="bg-BG"/>
        </w:rPr>
        <w:t xml:space="preserve">(вж. точка 4.2, 5.2). Няма опит от употреба на олмесартан медоксомил при пациенти с наскоро осъществена бъбречна трансплантация или при пациенти в краен стадий на бъбречно увреждане (т.е. креатининов клирънс &lt;12 </w:t>
      </w:r>
      <w:r w:rsidRPr="009D447B">
        <w:rPr>
          <w:rFonts w:eastAsia="Times New Roman" w:cs="Arial"/>
          <w:color w:val="000000"/>
          <w:lang w:val="en-US"/>
        </w:rPr>
        <w:t>ml/min).</w:t>
      </w:r>
    </w:p>
    <w:p w14:paraId="202D5BB2" w14:textId="072386AC" w:rsidR="009D447B" w:rsidRDefault="009D447B" w:rsidP="009D447B">
      <w:pPr>
        <w:rPr>
          <w:rFonts w:eastAsia="Times New Roman" w:cs="Arial"/>
          <w:color w:val="000000"/>
          <w:lang w:val="en-US"/>
        </w:rPr>
      </w:pPr>
    </w:p>
    <w:p w14:paraId="2D64A0F5"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Чернодробно увреждане</w:t>
      </w:r>
    </w:p>
    <w:p w14:paraId="087FAA07"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Няма опит при пациенти с тежко чернодробно увреждане и поради това не се препоръчва приложението на олмесартан медоксомил при тези пациенти (вж. точка 4.2 за препоръки относно дозиране при пациенти с леко до умерено чернодробно увреждане).</w:t>
      </w:r>
    </w:p>
    <w:p w14:paraId="4FE7847D" w14:textId="77777777" w:rsidR="009D447B" w:rsidRPr="009D447B" w:rsidRDefault="009D447B" w:rsidP="009D447B">
      <w:pPr>
        <w:spacing w:line="240" w:lineRule="auto"/>
        <w:rPr>
          <w:rFonts w:eastAsia="Times New Roman" w:cs="Arial"/>
          <w:color w:val="000000"/>
          <w:u w:val="single"/>
          <w:lang w:eastAsia="bg-BG"/>
        </w:rPr>
      </w:pPr>
    </w:p>
    <w:p w14:paraId="24AA8BE9" w14:textId="5C8E0876"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Хиперкалиемия</w:t>
      </w:r>
    </w:p>
    <w:p w14:paraId="3DC63A6B"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Употребата на лекарствени продукти, които повлияват системата ренин-ангиотензин- алдостероновата система, може да доведе до хиперкалиемия .</w:t>
      </w:r>
    </w:p>
    <w:p w14:paraId="2E03AC82" w14:textId="77777777" w:rsidR="009D447B" w:rsidRPr="009D447B" w:rsidRDefault="009D447B" w:rsidP="009D447B">
      <w:pPr>
        <w:rPr>
          <w:rFonts w:eastAsia="Times New Roman" w:cs="Arial"/>
          <w:sz w:val="24"/>
          <w:szCs w:val="24"/>
          <w:lang w:eastAsia="bg-BG"/>
        </w:rPr>
      </w:pPr>
      <w:r w:rsidRPr="009D447B">
        <w:rPr>
          <w:rFonts w:eastAsia="Times New Roman" w:cs="Arial"/>
          <w:color w:val="000000"/>
          <w:lang w:eastAsia="bg-BG"/>
        </w:rPr>
        <w:t>Рискът, който може да е фатален, се увеличава при пациенти в старческа възраст, при пациенти с бъбречна недостатъчност и при пациенти е диабет, при пациенти, лекувани едновременно с други</w:t>
      </w:r>
      <w:r>
        <w:rPr>
          <w:rFonts w:eastAsia="Times New Roman" w:cs="Arial"/>
          <w:color w:val="000000"/>
          <w:lang w:val="en-US" w:eastAsia="bg-BG"/>
        </w:rPr>
        <w:t xml:space="preserve"> </w:t>
      </w:r>
      <w:r w:rsidRPr="009D447B">
        <w:rPr>
          <w:rFonts w:eastAsia="Times New Roman" w:cs="Arial"/>
          <w:color w:val="000000"/>
          <w:lang w:eastAsia="bg-BG"/>
        </w:rPr>
        <w:t>лекарствени продукти, които могат да повишат нивата на калий, и/или при пациенти с интеркурентни събития.</w:t>
      </w:r>
    </w:p>
    <w:p w14:paraId="589F6A6C" w14:textId="77777777" w:rsidR="009D447B" w:rsidRDefault="009D447B" w:rsidP="009D447B">
      <w:pPr>
        <w:spacing w:line="240" w:lineRule="auto"/>
        <w:rPr>
          <w:rFonts w:eastAsia="Times New Roman" w:cs="Arial"/>
          <w:color w:val="000000"/>
          <w:lang w:eastAsia="bg-BG"/>
        </w:rPr>
      </w:pPr>
    </w:p>
    <w:p w14:paraId="5DFDC500" w14:textId="493385C3"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Преди да се вземе решение за едновременно приложение на лекарствени продукти, които повлияват ренин-ангиотензин-алдостероновата система, трябва да се оцени съотношението полза/риск и да се имат предвид други алтернативи (вж. също точка “Двойно блокиране на ренин-ангиотензин- алдостероновата система (РААС)”).</w:t>
      </w:r>
    </w:p>
    <w:p w14:paraId="22DC4CDE" w14:textId="77777777" w:rsidR="009D447B" w:rsidRDefault="009D447B" w:rsidP="009D447B">
      <w:pPr>
        <w:spacing w:line="240" w:lineRule="auto"/>
        <w:rPr>
          <w:rFonts w:eastAsia="Times New Roman" w:cs="Arial"/>
          <w:color w:val="000000"/>
          <w:lang w:eastAsia="bg-BG"/>
        </w:rPr>
      </w:pPr>
    </w:p>
    <w:p w14:paraId="6B7B7FAB" w14:textId="76C29BB4"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Главните рискови фактори за хиперкалиемия, които трябва да се имат предвид, са:</w:t>
      </w:r>
    </w:p>
    <w:p w14:paraId="7BDDA7D2"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w:t>
      </w:r>
      <w:r w:rsidRPr="009D447B">
        <w:rPr>
          <w:rFonts w:eastAsia="Times New Roman" w:cs="Arial"/>
          <w:color w:val="000000"/>
          <w:lang w:eastAsia="bg-BG"/>
        </w:rPr>
        <w:tab/>
        <w:t>диабет, бъбречно увреждане, възраст ( &gt; 70 години)</w:t>
      </w:r>
    </w:p>
    <w:p w14:paraId="017C284A"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w:t>
      </w:r>
      <w:r w:rsidRPr="009D447B">
        <w:rPr>
          <w:rFonts w:eastAsia="Times New Roman" w:cs="Arial"/>
          <w:color w:val="000000"/>
          <w:lang w:eastAsia="bg-BG"/>
        </w:rPr>
        <w:tab/>
        <w:t>комбинация с един или повече лекарствени продукта, повлияващи ренин-ангиотензин- алдостероновата система и/или калиеви добавки. Някои лекарствени продукти или терапевтични класове лекарствени продукти могат да предизвикат хиперкалиемия: солеви заместители, съдържащи калий, калий-съхраняващи диуретици, АСЕ инхибитори, ангиотензин II- рецепторни антагонисти, нестероидни противовъзпалителни лекарствени продукти (включително селективни СОХ-2 инхибитори), хепарин, имуносупресори, като циклоспорин или такролимус, триметоприм.</w:t>
      </w:r>
    </w:p>
    <w:p w14:paraId="1322623F"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w:t>
      </w:r>
      <w:r w:rsidRPr="009D447B">
        <w:rPr>
          <w:rFonts w:eastAsia="Times New Roman" w:cs="Arial"/>
          <w:color w:val="000000"/>
          <w:lang w:eastAsia="bg-BG"/>
        </w:rPr>
        <w:tab/>
        <w:t>интеркурентни събития, особено дехидратация, остра сърдечна декомпенсация, метаболитна ацидоза, влошаване на бъбречната функция, внезапно утежняване на бъбречното състояние (напр. инфекциозни заболявалия), клетъчен лизис (напр. остра исхемия на крайник, рабдомиолиза, продължителна травма).</w:t>
      </w:r>
    </w:p>
    <w:p w14:paraId="291FC9AE"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Необходимо е внимателно мониториране на серумните нива на калия при тази група пациенти (вж. точка 4.5).</w:t>
      </w:r>
    </w:p>
    <w:p w14:paraId="057757FD" w14:textId="77777777" w:rsidR="009D447B" w:rsidRDefault="009D447B" w:rsidP="009D447B">
      <w:pPr>
        <w:spacing w:line="240" w:lineRule="auto"/>
        <w:rPr>
          <w:rFonts w:eastAsia="Times New Roman" w:cs="Arial"/>
          <w:color w:val="000000"/>
          <w:u w:val="single"/>
          <w:lang w:eastAsia="bg-BG"/>
        </w:rPr>
      </w:pPr>
    </w:p>
    <w:p w14:paraId="4388DF6E" w14:textId="787D9984"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Двойно блокиране на ренин-ангиотензин-алдостероновата система (РААС)</w:t>
      </w:r>
    </w:p>
    <w:p w14:paraId="74F05E87"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 xml:space="preserve">Има данни, че едновременната употреба на АСЕ инхибитори, ангиотензин П-рецепторни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w:t>
      </w:r>
      <w:r w:rsidRPr="009D447B">
        <w:rPr>
          <w:rFonts w:eastAsia="Times New Roman" w:cs="Arial"/>
          <w:color w:val="000000"/>
          <w:lang w:eastAsia="bg-BG"/>
        </w:rPr>
        <w:lastRenderedPageBreak/>
        <w:t>препоръчва двойно блокиране на РААС чрез комбинираната употреба на АСЕ инхибитори, ангиотензин II-рецепторни блокери или алискирен (вж. точки 4.5 и 5.1).</w:t>
      </w:r>
    </w:p>
    <w:p w14:paraId="44676837"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Ако се прецени, че терапията с двойно блокиране е категорично необходима, прилагането й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78F22123" w14:textId="4E774247" w:rsidR="009D447B" w:rsidRDefault="009D447B" w:rsidP="009D447B">
      <w:pPr>
        <w:rPr>
          <w:rFonts w:eastAsia="Times New Roman" w:cs="Arial"/>
          <w:color w:val="000000"/>
          <w:lang w:eastAsia="bg-BG"/>
        </w:rPr>
      </w:pPr>
      <w:r w:rsidRPr="009D447B">
        <w:rPr>
          <w:rFonts w:eastAsia="Times New Roman" w:cs="Arial"/>
          <w:color w:val="000000"/>
          <w:lang w:eastAsia="bg-BG"/>
        </w:rPr>
        <w:t>АСЕ инхибитори и ангиотензин II-рецепторни блокери не трябва да се използват едновременно при пациенти с диабетна нефропатия.</w:t>
      </w:r>
    </w:p>
    <w:p w14:paraId="50366E91" w14:textId="533C832C" w:rsidR="009D447B" w:rsidRDefault="009D447B" w:rsidP="009D447B">
      <w:pPr>
        <w:rPr>
          <w:rFonts w:eastAsia="Times New Roman" w:cs="Arial"/>
          <w:color w:val="000000"/>
          <w:lang w:eastAsia="bg-BG"/>
        </w:rPr>
      </w:pPr>
    </w:p>
    <w:p w14:paraId="0A904E06"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Литий</w:t>
      </w:r>
    </w:p>
    <w:p w14:paraId="5D0DF5B9"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Подобно на други ангиотензин II-рецепторни антагонисти, не се препоръчва едновременното приложение на литий и олмесартан медоксомил (вж. точка 4.5).</w:t>
      </w:r>
    </w:p>
    <w:p w14:paraId="3269DB22" w14:textId="77777777" w:rsidR="009D447B" w:rsidRDefault="009D447B" w:rsidP="009D447B">
      <w:pPr>
        <w:spacing w:line="240" w:lineRule="auto"/>
        <w:rPr>
          <w:rFonts w:eastAsia="Times New Roman" w:cs="Arial"/>
          <w:color w:val="000000"/>
          <w:u w:val="single"/>
          <w:lang w:eastAsia="bg-BG"/>
        </w:rPr>
      </w:pPr>
    </w:p>
    <w:p w14:paraId="5A7492FB" w14:textId="77777777" w:rsidR="009D447B" w:rsidRDefault="009D447B" w:rsidP="009D447B">
      <w:pPr>
        <w:spacing w:line="240" w:lineRule="auto"/>
        <w:rPr>
          <w:rFonts w:eastAsia="Times New Roman" w:cs="Arial"/>
          <w:color w:val="000000"/>
          <w:u w:val="single"/>
          <w:lang w:eastAsia="bg-BG"/>
        </w:rPr>
      </w:pPr>
      <w:r w:rsidRPr="009D447B">
        <w:rPr>
          <w:rFonts w:eastAsia="Times New Roman" w:cs="Arial"/>
          <w:color w:val="000000"/>
          <w:u w:val="single"/>
          <w:lang w:eastAsia="bg-BG"/>
        </w:rPr>
        <w:t>Стеноза на аортната или митралната клапа; обструктивна хипертрофична кардиомиопатия</w:t>
      </w:r>
      <w:r>
        <w:rPr>
          <w:rFonts w:eastAsia="Times New Roman" w:cs="Arial"/>
          <w:color w:val="000000"/>
          <w:u w:val="single"/>
          <w:lang w:val="en-US" w:eastAsia="bg-BG"/>
        </w:rPr>
        <w:t>.</w:t>
      </w:r>
      <w:r w:rsidRPr="009D447B">
        <w:rPr>
          <w:rFonts w:eastAsia="Times New Roman" w:cs="Arial"/>
          <w:color w:val="000000"/>
          <w:u w:val="single"/>
          <w:lang w:eastAsia="bg-BG"/>
        </w:rPr>
        <w:t xml:space="preserve"> </w:t>
      </w:r>
    </w:p>
    <w:p w14:paraId="7B98A739" w14:textId="52B3E56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Подобно на други вазодилататори е необходимо внимание при пациенти със стеноза на аортната или митралната клапа, както и с обструктивна хипертрофична кардиомиопатия.</w:t>
      </w:r>
    </w:p>
    <w:p w14:paraId="3B680570" w14:textId="77777777" w:rsidR="009D447B" w:rsidRDefault="009D447B" w:rsidP="009D447B">
      <w:pPr>
        <w:spacing w:line="240" w:lineRule="auto"/>
        <w:rPr>
          <w:rFonts w:eastAsia="Times New Roman" w:cs="Arial"/>
          <w:color w:val="000000"/>
          <w:u w:val="single"/>
          <w:lang w:eastAsia="bg-BG"/>
        </w:rPr>
      </w:pPr>
    </w:p>
    <w:p w14:paraId="2A5440ED" w14:textId="220881CB"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Първичен алдостеронизъм</w:t>
      </w:r>
    </w:p>
    <w:p w14:paraId="7D4B8A74"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Пациентите с първичен алдостеронизъм по принцип не се повлияват от лечение с антихипертензивни лекарствени продукти, действащи чрез инхибиране на ренин-ангиотензин-алдостероновата система. Поради това при тези пациенти не се препоръчва употреба на олмесартан медоксомил.</w:t>
      </w:r>
    </w:p>
    <w:p w14:paraId="070B8B2F" w14:textId="77777777" w:rsidR="009D447B" w:rsidRDefault="009D447B" w:rsidP="009D447B">
      <w:pPr>
        <w:spacing w:line="240" w:lineRule="auto"/>
        <w:rPr>
          <w:rFonts w:eastAsia="Times New Roman" w:cs="Arial"/>
          <w:color w:val="000000"/>
          <w:u w:val="single"/>
          <w:lang w:eastAsia="bg-BG"/>
        </w:rPr>
      </w:pPr>
    </w:p>
    <w:p w14:paraId="560B737C" w14:textId="20A57879"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Шпру-подобна ентеропатия</w:t>
      </w:r>
    </w:p>
    <w:p w14:paraId="0204DD2E" w14:textId="77777777" w:rsidR="009D447B" w:rsidRPr="009D447B" w:rsidRDefault="009D447B" w:rsidP="009D447B">
      <w:pPr>
        <w:rPr>
          <w:rFonts w:eastAsia="Times New Roman" w:cs="Arial"/>
          <w:sz w:val="24"/>
          <w:szCs w:val="24"/>
          <w:lang w:eastAsia="bg-BG"/>
        </w:rPr>
      </w:pPr>
      <w:r w:rsidRPr="009D447B">
        <w:rPr>
          <w:rFonts w:eastAsia="Times New Roman" w:cs="Arial"/>
          <w:color w:val="000000"/>
          <w:lang w:eastAsia="bg-BG"/>
        </w:rPr>
        <w:t>В много редки случаи се съобщава за тежка, хронична диария със значителна загуба</w:t>
      </w:r>
      <w:r w:rsidRPr="009D447B">
        <w:rPr>
          <w:rFonts w:eastAsia="Times New Roman" w:cs="Arial"/>
          <w:color w:val="000000"/>
          <w:lang w:val="en-US"/>
        </w:rPr>
        <w:t xml:space="preserve"> </w:t>
      </w:r>
      <w:r w:rsidRPr="009D447B">
        <w:rPr>
          <w:rFonts w:eastAsia="Times New Roman" w:cs="Arial"/>
          <w:color w:val="000000"/>
          <w:lang w:eastAsia="bg-BG"/>
        </w:rPr>
        <w:t>на тегло при пациенти, приемащи олмесартан от няколко месеца до години след започване на лечението, вероятно причинена от локализирана реакция на свръхчувствителност от забавен тип. Чревните биопсии на</w:t>
      </w:r>
      <w:r>
        <w:rPr>
          <w:rFonts w:eastAsia="Times New Roman" w:cs="Arial"/>
          <w:color w:val="000000"/>
          <w:lang w:val="en-US" w:eastAsia="bg-BG"/>
        </w:rPr>
        <w:t xml:space="preserve"> </w:t>
      </w:r>
      <w:r w:rsidRPr="009D447B">
        <w:rPr>
          <w:rFonts w:eastAsia="Times New Roman" w:cs="Arial"/>
          <w:color w:val="000000"/>
          <w:lang w:eastAsia="bg-BG"/>
        </w:rPr>
        <w:t>пациентите често показват вилозна атрофия. Ако при пациент тези симптоми възникнат по време на лечението с олмесартан и в отсъствие на друга етиология, лечението с олмесартан трябва да бъде прекратено незабавно и не трябва да се възобновява. В случай, че състоянието на диария не се подобри в седмицата след прекратяване на лечението, трябва да се обмисли консултация с друг специалист (напр. гастроентеролог).</w:t>
      </w:r>
    </w:p>
    <w:p w14:paraId="35576D98" w14:textId="77777777" w:rsidR="009D447B" w:rsidRDefault="009D447B" w:rsidP="009D447B">
      <w:pPr>
        <w:spacing w:line="240" w:lineRule="auto"/>
        <w:rPr>
          <w:rFonts w:eastAsia="Times New Roman" w:cs="Arial"/>
          <w:color w:val="000000"/>
          <w:u w:val="single"/>
          <w:lang w:eastAsia="bg-BG"/>
        </w:rPr>
      </w:pPr>
    </w:p>
    <w:p w14:paraId="0FA5D31A" w14:textId="2E9F6E4E"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Етнически особености</w:t>
      </w:r>
    </w:p>
    <w:p w14:paraId="67A0586C"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Подобно на други ангиотензин II-рецепторни антагонисти, ефектът на олмесартан медоксомил върху понижаването на кръвното налягане при чернокожи пациенти е по-слаб, в сравнение с останалите пациенти, което се обяснява най-вероятно с ниските нива на ренина при чернокожите пациенти с повишено кръвно налягане.</w:t>
      </w:r>
    </w:p>
    <w:p w14:paraId="7F85D451" w14:textId="77777777" w:rsidR="009D447B" w:rsidRDefault="009D447B" w:rsidP="009D447B">
      <w:pPr>
        <w:spacing w:line="240" w:lineRule="auto"/>
        <w:rPr>
          <w:rFonts w:eastAsia="Times New Roman" w:cs="Arial"/>
          <w:color w:val="000000"/>
          <w:u w:val="single"/>
          <w:lang w:eastAsia="bg-BG"/>
        </w:rPr>
      </w:pPr>
    </w:p>
    <w:p w14:paraId="0D6D1F20" w14:textId="7614301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Бременност</w:t>
      </w:r>
    </w:p>
    <w:p w14:paraId="2E4FB3B7"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При бременност не трябва да се започва лечение с ангиотензин II-рецепторни антагонисти. Освен ако продължителната терапия с ангиотензин II-рецепторни антагонисти не е крайно наложителна, пациентките, които планират бременност, трябва да преминат на алтернативно антихипертензивно лечение, с установен профил на безопасност при бременност. Когато се установи бременност, лечението с ангиотензин II-рецепторни антагонисти трябва незабавно да бъде преустановено и, ако е подходящо, трябва да се започне алтернативно лечение (вж. точки 4.3 и 4.6).</w:t>
      </w:r>
    </w:p>
    <w:p w14:paraId="49A84ADF" w14:textId="77777777" w:rsidR="009D447B" w:rsidRDefault="009D447B" w:rsidP="009D447B">
      <w:pPr>
        <w:spacing w:line="240" w:lineRule="auto"/>
        <w:rPr>
          <w:rFonts w:eastAsia="Times New Roman" w:cs="Arial"/>
          <w:color w:val="000000"/>
          <w:u w:val="single"/>
          <w:lang w:eastAsia="bg-BG"/>
        </w:rPr>
      </w:pPr>
    </w:p>
    <w:p w14:paraId="42AE49F3" w14:textId="4C2F3244"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Други</w:t>
      </w:r>
    </w:p>
    <w:p w14:paraId="3357BA48"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lastRenderedPageBreak/>
        <w:t>Както и при други антихипертензивни лекарства, прекомерното понижение на кръвното налягане при пациенти с исхемична болест на сърцето или исхемична мозъчно-съдова болест може да доведе до инфаркт на миокарда или инсулт.</w:t>
      </w:r>
    </w:p>
    <w:p w14:paraId="225CB06E" w14:textId="77777777" w:rsidR="009D447B" w:rsidRDefault="009D447B" w:rsidP="009D447B">
      <w:pPr>
        <w:spacing w:line="240" w:lineRule="auto"/>
        <w:rPr>
          <w:rFonts w:eastAsia="Times New Roman" w:cs="Arial"/>
          <w:color w:val="000000"/>
          <w:u w:val="single"/>
          <w:lang w:eastAsia="bg-BG"/>
        </w:rPr>
      </w:pPr>
    </w:p>
    <w:p w14:paraId="47922F2D" w14:textId="584D23A1"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Специални предупреждения относно помощните вещества</w:t>
      </w:r>
    </w:p>
    <w:p w14:paraId="5381084C" w14:textId="4E28B514" w:rsidR="009D447B" w:rsidRPr="009D447B" w:rsidRDefault="009D447B" w:rsidP="009D447B">
      <w:pPr>
        <w:rPr>
          <w:rFonts w:eastAsia="Times New Roman" w:cs="Arial"/>
          <w:color w:val="000000"/>
          <w:lang w:val="en-US" w:eastAsia="bg-BG"/>
        </w:rPr>
      </w:pPr>
      <w:r w:rsidRPr="009D447B">
        <w:rPr>
          <w:rFonts w:eastAsia="Times New Roman" w:cs="Arial"/>
          <w:color w:val="000000"/>
          <w:lang w:eastAsia="bg-BG"/>
        </w:rPr>
        <w:t xml:space="preserve">Този лекарствен продукт съдържа лактоза. Пациенти с наследствени проблеми на галакгозна непоносимост, </w:t>
      </w:r>
      <w:r w:rsidRPr="009D447B">
        <w:rPr>
          <w:rFonts w:eastAsia="Times New Roman" w:cs="Arial"/>
          <w:color w:val="000000"/>
          <w:lang w:val="en-US"/>
        </w:rPr>
        <w:t>Lapp</w:t>
      </w:r>
      <w:r w:rsidRPr="009D447B">
        <w:rPr>
          <w:rFonts w:eastAsia="Times New Roman" w:cs="Arial"/>
          <w:color w:val="000000"/>
          <w:lang w:eastAsia="bg-BG"/>
        </w:rPr>
        <w:t>-лактазен дефицит или глюкозо-галактозна малабсорбция не трябва да приемат този лекарствен продукт.</w:t>
      </w:r>
    </w:p>
    <w:p w14:paraId="4969DF1F" w14:textId="77777777" w:rsidR="009D447B" w:rsidRPr="009D447B" w:rsidRDefault="009D447B" w:rsidP="009D447B">
      <w:pPr>
        <w:rPr>
          <w:rFonts w:cs="Arial"/>
        </w:rPr>
      </w:pPr>
    </w:p>
    <w:p w14:paraId="619DED1E" w14:textId="58E936BD"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05E5D525" w14:textId="5D2E8FCE" w:rsidR="009D447B" w:rsidRDefault="009D447B" w:rsidP="009D447B"/>
    <w:p w14:paraId="584E6012"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Други антихипертензивни лекарствени продукти</w:t>
      </w:r>
    </w:p>
    <w:p w14:paraId="51C86B07"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Понижаващият кръвното налягане ефект на олмесартан медоксомил може да бъде усилен чрез едновременното приложение на други антихипертензивни лекарствени продукти.</w:t>
      </w:r>
    </w:p>
    <w:p w14:paraId="0746499C" w14:textId="77777777" w:rsidR="009D447B" w:rsidRDefault="009D447B" w:rsidP="009D447B">
      <w:pPr>
        <w:spacing w:line="240" w:lineRule="auto"/>
        <w:rPr>
          <w:rFonts w:eastAsia="Times New Roman" w:cs="Arial"/>
          <w:color w:val="000000"/>
          <w:u w:val="single"/>
          <w:lang w:eastAsia="bg-BG"/>
        </w:rPr>
      </w:pPr>
    </w:p>
    <w:p w14:paraId="10BED93E" w14:textId="1014C13F"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АСЕ инхибитори, ангиотензин II-рецепторни блокери или алискирен</w:t>
      </w:r>
    </w:p>
    <w:p w14:paraId="04A0D002"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II- 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 4.4 и 5.1).</w:t>
      </w:r>
    </w:p>
    <w:p w14:paraId="61E407DD" w14:textId="77777777" w:rsidR="009D447B" w:rsidRDefault="009D447B" w:rsidP="009D447B">
      <w:pPr>
        <w:spacing w:line="240" w:lineRule="auto"/>
        <w:rPr>
          <w:rFonts w:eastAsia="Times New Roman" w:cs="Arial"/>
          <w:color w:val="000000"/>
          <w:u w:val="single"/>
          <w:lang w:eastAsia="bg-BG"/>
        </w:rPr>
      </w:pPr>
    </w:p>
    <w:p w14:paraId="28587DD9" w14:textId="2E82903C"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Калиеви добавки и калий-съхраняващи диуретици</w:t>
      </w:r>
    </w:p>
    <w:p w14:paraId="5E4FC7D9" w14:textId="751B8A93" w:rsidR="009D447B" w:rsidRDefault="009D447B" w:rsidP="009D447B">
      <w:pPr>
        <w:rPr>
          <w:rFonts w:eastAsia="Times New Roman" w:cs="Arial"/>
          <w:color w:val="000000"/>
          <w:lang w:eastAsia="bg-BG"/>
        </w:rPr>
      </w:pPr>
      <w:r w:rsidRPr="009D447B">
        <w:rPr>
          <w:rFonts w:eastAsia="Times New Roman" w:cs="Arial"/>
          <w:color w:val="000000"/>
          <w:lang w:eastAsia="bg-BG"/>
        </w:rPr>
        <w:t>Въз основа на опита с други лекарствени продукти, които повлияват ренин-ангиотензин- алдостероновата система, едновременната употреба на калий-съхраняващи диуретици, калиеви</w:t>
      </w:r>
      <w:r w:rsidRPr="009D447B">
        <w:rPr>
          <w:rFonts w:eastAsia="Times New Roman" w:cs="Arial"/>
          <w:color w:val="000000"/>
          <w:u w:val="single"/>
          <w:lang w:eastAsia="bg-BG"/>
        </w:rPr>
        <w:t xml:space="preserve"> </w:t>
      </w:r>
      <w:r w:rsidRPr="009D447B">
        <w:rPr>
          <w:rFonts w:eastAsia="Times New Roman" w:cs="Arial"/>
          <w:color w:val="000000"/>
          <w:lang w:eastAsia="bg-BG"/>
        </w:rPr>
        <w:t>добавки, солеви добавки, съдържащи калий или други лекарствени продукти, които могат да увеличат нивата на серумния калий (напр. хепарин), може да доведе до повишение на серумния калий (вж. точка 4.4). Поради това не се препоръчва едновременното приложение.</w:t>
      </w:r>
    </w:p>
    <w:p w14:paraId="3CA015D3" w14:textId="64721332" w:rsidR="008C6B05" w:rsidRDefault="008C6B05" w:rsidP="009D447B">
      <w:pPr>
        <w:rPr>
          <w:rFonts w:eastAsia="Times New Roman" w:cs="Arial"/>
          <w:color w:val="000000"/>
          <w:lang w:eastAsia="bg-BG"/>
        </w:rPr>
      </w:pPr>
    </w:p>
    <w:p w14:paraId="74319302" w14:textId="77777777"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u w:val="single"/>
          <w:lang w:eastAsia="bg-BG"/>
        </w:rPr>
        <w:t>Нестероидни противовъзпалителни средства (НСПВС)</w:t>
      </w:r>
    </w:p>
    <w:p w14:paraId="2CE1A612" w14:textId="77777777"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lang w:eastAsia="bg-BG"/>
        </w:rPr>
        <w:t xml:space="preserve">НСПВС (включително ацетилсалицилова киселина в дози &gt; 3 </w:t>
      </w:r>
      <w:r w:rsidRPr="008C6B05">
        <w:rPr>
          <w:rFonts w:eastAsia="Times New Roman" w:cs="Arial"/>
          <w:color w:val="000000"/>
          <w:lang w:val="en-US"/>
        </w:rPr>
        <w:t>g</w:t>
      </w:r>
      <w:r w:rsidRPr="008C6B05">
        <w:rPr>
          <w:rFonts w:eastAsia="Times New Roman" w:cs="Arial"/>
          <w:color w:val="000000"/>
          <w:lang w:eastAsia="bg-BG"/>
        </w:rPr>
        <w:t>/ден и също СОХ-2 инхибиторите) и ангиотензин II-рецепторните антагонисти могат да имат синергичен ефект върху намалението на гломерулната филтрация. Рискът от едновременната употреба на НСПВС и на ангиотензин II- рецепторни антагонисти е появата на остра бъбречна недостатъчност. Препоръчва се проследяване на бъбречната функция на пациента в началото на лечението и редовна хидратация на пациента. Освен това, едновременното приложение може да доведе до намаляване на антихипертензивния ефект на ангиотензин II-рецепторните антагонисти, което води до частична загуба на ефективността им.</w:t>
      </w:r>
    </w:p>
    <w:p w14:paraId="72890659" w14:textId="77777777" w:rsidR="008C6B05" w:rsidRDefault="008C6B05" w:rsidP="008C6B05">
      <w:pPr>
        <w:spacing w:line="240" w:lineRule="auto"/>
        <w:rPr>
          <w:rFonts w:eastAsia="Times New Roman" w:cs="Arial"/>
          <w:color w:val="000000"/>
          <w:u w:val="single"/>
          <w:lang w:eastAsia="bg-BG"/>
        </w:rPr>
      </w:pPr>
    </w:p>
    <w:p w14:paraId="67ACBB35" w14:textId="7BCFEB76"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u w:val="single"/>
          <w:lang w:eastAsia="bg-BG"/>
        </w:rPr>
        <w:t>Колесевелам, лекарство, което свързва жлъчните киселини</w:t>
      </w:r>
    </w:p>
    <w:p w14:paraId="6896C2B5" w14:textId="77777777"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lang w:eastAsia="bg-BG"/>
        </w:rPr>
        <w:t>Едновременното приложение на колесевелам хцдрохлорид, лекарство, което свързва жлъчните киселини, намалява системната експозиция и максималната плазмена концентрация на олмесартан и намалява елиминационния полуживот (</w:t>
      </w:r>
      <w:r w:rsidRPr="008C6B05">
        <w:rPr>
          <w:rFonts w:eastAsia="Times New Roman" w:cs="Arial"/>
          <w:color w:val="000000"/>
          <w:lang w:val="en-US"/>
        </w:rPr>
        <w:t>t</w:t>
      </w:r>
      <w:r w:rsidRPr="008C6B05">
        <w:rPr>
          <w:rFonts w:eastAsia="Times New Roman" w:cs="Arial"/>
          <w:color w:val="000000"/>
          <w:vertAlign w:val="subscript"/>
          <w:lang w:val="en-US"/>
        </w:rPr>
        <w:t>1/2</w:t>
      </w:r>
      <w:r w:rsidRPr="008C6B05">
        <w:rPr>
          <w:rFonts w:eastAsia="Times New Roman" w:cs="Arial"/>
          <w:color w:val="000000"/>
          <w:lang w:val="en-US"/>
        </w:rPr>
        <w:t xml:space="preserve">) </w:t>
      </w:r>
      <w:r w:rsidRPr="008C6B05">
        <w:rPr>
          <w:rFonts w:eastAsia="Times New Roman" w:cs="Arial"/>
          <w:color w:val="000000"/>
          <w:lang w:eastAsia="bg-BG"/>
        </w:rPr>
        <w:t xml:space="preserve">Приложението на олмесартан медоксомил поне 4 часа преди колесевелам хидрохлорид намалява </w:t>
      </w:r>
      <w:r w:rsidRPr="008C6B05">
        <w:rPr>
          <w:rFonts w:eastAsia="Times New Roman" w:cs="Arial"/>
          <w:color w:val="000000"/>
          <w:lang w:eastAsia="bg-BG"/>
        </w:rPr>
        <w:lastRenderedPageBreak/>
        <w:t>ефекта от лекарствено взаимодействие. Приложението на олмесартан медоксомил поне 4 часа преди колесевелам хидрохлорид трябва да се има предвид (вж. точка 5.2).</w:t>
      </w:r>
    </w:p>
    <w:p w14:paraId="6DED4857" w14:textId="77777777" w:rsidR="008C6B05" w:rsidRDefault="008C6B05" w:rsidP="008C6B05">
      <w:pPr>
        <w:spacing w:line="240" w:lineRule="auto"/>
        <w:rPr>
          <w:rFonts w:eastAsia="Times New Roman" w:cs="Arial"/>
          <w:color w:val="000000"/>
          <w:u w:val="single"/>
          <w:lang w:eastAsia="bg-BG"/>
        </w:rPr>
      </w:pPr>
    </w:p>
    <w:p w14:paraId="7AB88D84" w14:textId="0DC58789"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u w:val="single"/>
          <w:lang w:eastAsia="bg-BG"/>
        </w:rPr>
        <w:t>Други вещества</w:t>
      </w:r>
    </w:p>
    <w:p w14:paraId="07575350" w14:textId="42FD2CF0" w:rsidR="008C6B05" w:rsidRDefault="008C6B05" w:rsidP="008C6B05">
      <w:pPr>
        <w:rPr>
          <w:rFonts w:eastAsia="Times New Roman" w:cs="Arial"/>
          <w:color w:val="000000"/>
          <w:lang w:eastAsia="bg-BG"/>
        </w:rPr>
      </w:pPr>
      <w:r w:rsidRPr="008C6B05">
        <w:rPr>
          <w:rFonts w:eastAsia="Times New Roman" w:cs="Arial"/>
          <w:color w:val="000000"/>
          <w:lang w:eastAsia="bg-BG"/>
        </w:rPr>
        <w:t>След лечение с антиацид (алуминиев магнезиев хидроксид) се наблюдава умерено намаление на бионаличността на олмесартан. Едновременното приложение на варфарин и дигоксин не оказва ефект върху фармакокинетиката на олмесартан.</w:t>
      </w:r>
    </w:p>
    <w:p w14:paraId="05B1CC6E" w14:textId="10FC5841" w:rsidR="008C6B05" w:rsidRDefault="008C6B05" w:rsidP="008C6B05">
      <w:pPr>
        <w:rPr>
          <w:rFonts w:eastAsia="Times New Roman" w:cs="Arial"/>
          <w:color w:val="000000"/>
          <w:lang w:eastAsia="bg-BG"/>
        </w:rPr>
      </w:pPr>
    </w:p>
    <w:p w14:paraId="55F1DB96" w14:textId="77777777" w:rsidR="008C6B05" w:rsidRDefault="008C6B05" w:rsidP="008C6B05">
      <w:pPr>
        <w:spacing w:line="240" w:lineRule="auto"/>
        <w:rPr>
          <w:rFonts w:eastAsia="Times New Roman" w:cs="Arial"/>
          <w:b/>
          <w:bCs/>
          <w:color w:val="000000"/>
          <w:lang w:eastAsia="bg-BG"/>
        </w:rPr>
      </w:pPr>
      <w:r w:rsidRPr="008C6B05">
        <w:rPr>
          <w:rFonts w:eastAsia="Times New Roman" w:cs="Arial"/>
          <w:b/>
          <w:bCs/>
          <w:color w:val="000000"/>
          <w:lang w:eastAsia="bg-BG"/>
        </w:rPr>
        <w:t xml:space="preserve">Ефекти на олмесартан медоксомил върху други лекарствени продукти: </w:t>
      </w:r>
    </w:p>
    <w:p w14:paraId="74672C7C" w14:textId="082A32F7"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u w:val="single"/>
          <w:lang w:eastAsia="bg-BG"/>
        </w:rPr>
        <w:t>Литий</w:t>
      </w:r>
    </w:p>
    <w:p w14:paraId="3522832A" w14:textId="77777777"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lang w:eastAsia="bg-BG"/>
        </w:rPr>
        <w:t>При едновременно приложение на литий с инхибитори на ангиотензин-конвертиращия ензим и ангиотензин II-рецепторни антагонисти е наблюдавано обратимо повишение на серумния литий и токсичността му. Поради това не се препоръчва едновременното приложение на литий с олмесартан медоксомил (вж. точка 4.4). Ако едновременната употреба е наложителна се препоръчва внимателно проследяване на серумния литий.</w:t>
      </w:r>
    </w:p>
    <w:p w14:paraId="24EC7AB0" w14:textId="77777777" w:rsidR="008C6B05" w:rsidRDefault="008C6B05" w:rsidP="008C6B05">
      <w:pPr>
        <w:spacing w:line="240" w:lineRule="auto"/>
        <w:rPr>
          <w:rFonts w:eastAsia="Times New Roman" w:cs="Arial"/>
          <w:color w:val="000000"/>
          <w:u w:val="single"/>
          <w:lang w:eastAsia="bg-BG"/>
        </w:rPr>
      </w:pPr>
    </w:p>
    <w:p w14:paraId="080EAE50" w14:textId="3A81E9A0"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u w:val="single"/>
          <w:lang w:eastAsia="bg-BG"/>
        </w:rPr>
        <w:t>Други вещества</w:t>
      </w:r>
    </w:p>
    <w:p w14:paraId="3641F48D" w14:textId="77777777"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lang w:eastAsia="bg-BG"/>
        </w:rPr>
        <w:t>В специфични клинични изпитвания със здрави доброволци са проучени варфарин, дигоксин, антиацид (магнезиев алуминиев хидроксид), хидрохлоротиазид и правастатин. Не са наблюдавани клинично значими взаимодействия и в частност олмесартан медоксомил не оказва значителен ефект върху фармакокинетиката и фармакодинамиката на варфарин и върху фармакокинетиката на дигоксин.</w:t>
      </w:r>
    </w:p>
    <w:p w14:paraId="646A654A" w14:textId="77777777" w:rsidR="008C6B05" w:rsidRDefault="008C6B05" w:rsidP="008C6B05">
      <w:pPr>
        <w:spacing w:line="240" w:lineRule="auto"/>
        <w:rPr>
          <w:rFonts w:eastAsia="Times New Roman" w:cs="Arial"/>
          <w:color w:val="000000"/>
          <w:lang w:eastAsia="bg-BG"/>
        </w:rPr>
      </w:pPr>
    </w:p>
    <w:p w14:paraId="1B4F95A0" w14:textId="1F2B8A6E"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lang w:eastAsia="bg-BG"/>
        </w:rPr>
        <w:t xml:space="preserve">Олмесартан не оказва клинично значим инхибигорен ефект </w:t>
      </w:r>
      <w:r w:rsidRPr="008C6B05">
        <w:rPr>
          <w:rFonts w:eastAsia="Times New Roman" w:cs="Arial"/>
          <w:i/>
          <w:iCs/>
          <w:color w:val="000000"/>
          <w:lang w:val="en-US"/>
        </w:rPr>
        <w:t>in vitro</w:t>
      </w:r>
      <w:r w:rsidRPr="008C6B05">
        <w:rPr>
          <w:rFonts w:eastAsia="Times New Roman" w:cs="Arial"/>
          <w:color w:val="000000"/>
          <w:lang w:val="en-US"/>
        </w:rPr>
        <w:t xml:space="preserve"> </w:t>
      </w:r>
      <w:r w:rsidRPr="008C6B05">
        <w:rPr>
          <w:rFonts w:eastAsia="Times New Roman" w:cs="Arial"/>
          <w:color w:val="000000"/>
          <w:lang w:eastAsia="bg-BG"/>
        </w:rPr>
        <w:t>върху цитохром Р450 ензимите 1А1/2,2А6,2С8/9,2С19,</w:t>
      </w:r>
      <w:r w:rsidRPr="008C6B05">
        <w:rPr>
          <w:rFonts w:eastAsia="Times New Roman" w:cs="Arial"/>
          <w:color w:val="000000"/>
          <w:lang w:val="en-US"/>
        </w:rPr>
        <w:t>2D6,</w:t>
      </w:r>
      <w:r w:rsidRPr="008C6B05">
        <w:rPr>
          <w:rFonts w:eastAsia="Times New Roman" w:cs="Arial"/>
          <w:color w:val="000000"/>
          <w:lang w:eastAsia="bg-BG"/>
        </w:rPr>
        <w:t xml:space="preserve">2Е1 и ЗА4 при хора. Той не оказва никакъв или само минимален индуциращ ефект върху активността на цитохром Р450 при плъхове. Поради това не са провеждани проучвания за взаимодействия </w:t>
      </w:r>
      <w:r w:rsidRPr="008C6B05">
        <w:rPr>
          <w:rFonts w:eastAsia="Times New Roman" w:cs="Arial"/>
          <w:i/>
          <w:iCs/>
          <w:color w:val="000000"/>
          <w:lang w:val="en-US"/>
        </w:rPr>
        <w:t>in vivo</w:t>
      </w:r>
      <w:r w:rsidRPr="008C6B05">
        <w:rPr>
          <w:rFonts w:eastAsia="Times New Roman" w:cs="Arial"/>
          <w:color w:val="000000"/>
          <w:lang w:val="en-US"/>
        </w:rPr>
        <w:t xml:space="preserve"> </w:t>
      </w:r>
      <w:r w:rsidRPr="008C6B05">
        <w:rPr>
          <w:rFonts w:eastAsia="Times New Roman" w:cs="Arial"/>
          <w:color w:val="000000"/>
          <w:lang w:eastAsia="bg-BG"/>
        </w:rPr>
        <w:t>с известни инхибитори и индуктори на цитохром Р450 ензима и не се очакват клинично значими взаимодействия между олмесартан и лекарствени продукти, които се метаболизират от гореизброените цитохром Р450 ензими.</w:t>
      </w:r>
    </w:p>
    <w:p w14:paraId="44E1CAD6" w14:textId="77777777" w:rsidR="008C6B05" w:rsidRDefault="008C6B05" w:rsidP="008C6B05">
      <w:pPr>
        <w:spacing w:line="240" w:lineRule="auto"/>
        <w:rPr>
          <w:rFonts w:eastAsia="Times New Roman" w:cs="Arial"/>
          <w:color w:val="000000"/>
          <w:u w:val="single"/>
          <w:lang w:eastAsia="bg-BG"/>
        </w:rPr>
      </w:pPr>
    </w:p>
    <w:p w14:paraId="572BCAC7" w14:textId="60BCC516"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u w:val="single"/>
          <w:lang w:eastAsia="bg-BG"/>
        </w:rPr>
        <w:t>Педиатрична популация</w:t>
      </w:r>
    </w:p>
    <w:p w14:paraId="460F2236" w14:textId="77777777"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lang w:eastAsia="bg-BG"/>
        </w:rPr>
        <w:t>Само при възрастни са били проведени проучвания за взаимодействия.</w:t>
      </w:r>
    </w:p>
    <w:p w14:paraId="3BD2633F" w14:textId="62A69277" w:rsidR="008C6B05" w:rsidRDefault="008C6B05" w:rsidP="008C6B05">
      <w:pPr>
        <w:rPr>
          <w:rFonts w:eastAsia="Times New Roman" w:cs="Arial"/>
          <w:color w:val="000000"/>
          <w:lang w:eastAsia="bg-BG"/>
        </w:rPr>
      </w:pPr>
      <w:r w:rsidRPr="008C6B05">
        <w:rPr>
          <w:rFonts w:eastAsia="Times New Roman" w:cs="Arial"/>
          <w:color w:val="000000"/>
          <w:lang w:eastAsia="bg-BG"/>
        </w:rPr>
        <w:t>Не е известно дали взаимодействията при деца са сходни с тези при възрастни.</w:t>
      </w:r>
    </w:p>
    <w:p w14:paraId="2B4DD339" w14:textId="77777777" w:rsidR="00C76DED" w:rsidRPr="008C6B05" w:rsidRDefault="00C76DED" w:rsidP="008C6B05">
      <w:pPr>
        <w:rPr>
          <w:rFonts w:cs="Arial"/>
        </w:rPr>
      </w:pPr>
    </w:p>
    <w:p w14:paraId="394A7584" w14:textId="252F5886" w:rsidR="004F498A" w:rsidRDefault="002C50EE" w:rsidP="004A448E">
      <w:pPr>
        <w:pStyle w:val="Heading2"/>
      </w:pPr>
      <w:r>
        <w:t>4.6. Фертилитет, бременност и кърмене</w:t>
      </w:r>
    </w:p>
    <w:p w14:paraId="2463CBEC" w14:textId="2392DBE7" w:rsidR="008C6B05" w:rsidRDefault="008C6B05" w:rsidP="008C6B05"/>
    <w:p w14:paraId="05B510B4" w14:textId="77777777" w:rsidR="008C6B05" w:rsidRPr="00C76DED" w:rsidRDefault="008C6B05" w:rsidP="00C76DED">
      <w:pPr>
        <w:pStyle w:val="Heading3"/>
        <w:rPr>
          <w:rFonts w:eastAsia="Times New Roman"/>
          <w:u w:val="single"/>
          <w:lang w:eastAsia="bg-BG"/>
        </w:rPr>
      </w:pPr>
      <w:r w:rsidRPr="00C76DED">
        <w:rPr>
          <w:rFonts w:eastAsia="Times New Roman"/>
          <w:u w:val="single"/>
          <w:lang w:eastAsia="bg-BG"/>
        </w:rPr>
        <w:t>Бременност</w:t>
      </w:r>
    </w:p>
    <w:p w14:paraId="0E4E838A" w14:textId="77777777"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lang w:eastAsia="bg-BG"/>
        </w:rPr>
        <w:t>Употребата на ангиотензин  II-антагонисти не се препоръчва по време на първия триместьр на бременността (вж. точка 4.4). Употребата на ангиотензин II-антагонисти не се препоръчва по време на втори и трети триместьр от бременността (вж. точки 4.3 и 4.4).</w:t>
      </w:r>
    </w:p>
    <w:p w14:paraId="25EB5748" w14:textId="77777777" w:rsidR="008C6B05" w:rsidRDefault="008C6B05" w:rsidP="008C6B05">
      <w:pPr>
        <w:spacing w:line="240" w:lineRule="auto"/>
        <w:rPr>
          <w:rFonts w:eastAsia="Times New Roman" w:cs="Arial"/>
          <w:color w:val="000000"/>
          <w:lang w:eastAsia="bg-BG"/>
        </w:rPr>
      </w:pPr>
    </w:p>
    <w:p w14:paraId="7518F6CF" w14:textId="3804A99A"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lang w:eastAsia="bg-BG"/>
        </w:rPr>
        <w:t xml:space="preserve">Въпреки че епидемиологичните данни за риска от тератогенност след експозиция на АСЕ инхибитори по време на първия триместьр на бременността не са убедителни, не може да се изключи леко повишение на риска. Тъй като няма контролирани епидемиологични данни за риск при ангиотензин II-антагонисти, подобни рискове може да има и при този клас лекарствени продукти. Освен ако продължаването на терапията с ангиотензин рецепторен блокер не е от съществено значение, пациентките, които планират бременност, трябва да преминат на друго антихипертензивно лечение, което е с доказан </w:t>
      </w:r>
      <w:r w:rsidRPr="008C6B05">
        <w:rPr>
          <w:rFonts w:eastAsia="Times New Roman" w:cs="Arial"/>
          <w:color w:val="000000"/>
          <w:lang w:eastAsia="bg-BG"/>
        </w:rPr>
        <w:lastRenderedPageBreak/>
        <w:t>профил на безопасност при бременност. При диагностициране на бременност, лечението с ангиотензин II-антагонисти трябва веднага да се преустанови и при необходимост да се приложи друго лечение.</w:t>
      </w:r>
    </w:p>
    <w:p w14:paraId="612EC321" w14:textId="77777777" w:rsidR="008C6B05" w:rsidRDefault="008C6B05" w:rsidP="008C6B05">
      <w:pPr>
        <w:spacing w:line="240" w:lineRule="auto"/>
        <w:rPr>
          <w:rFonts w:eastAsia="Times New Roman" w:cs="Arial"/>
          <w:color w:val="000000"/>
          <w:lang w:eastAsia="bg-BG"/>
        </w:rPr>
      </w:pPr>
    </w:p>
    <w:p w14:paraId="59C14D72" w14:textId="508032EE"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lang w:eastAsia="bg-BG"/>
        </w:rPr>
        <w:t>Известно е, че експозицията към ангиотензин II-антагонисти по време на втори и трети триместьр индуцира фетотоксичност при хора (намалена бъбречна функция, олигохидрамнион, забавяне на        осификацията на черепа) и неонатална токсичност (бъбречна недостатъчност, хипотония, хиперкалиемия) (вж. точка 5.3).</w:t>
      </w:r>
    </w:p>
    <w:p w14:paraId="67143DEF" w14:textId="77777777" w:rsidR="008C6B05" w:rsidRDefault="008C6B05" w:rsidP="008C6B05">
      <w:pPr>
        <w:spacing w:line="240" w:lineRule="auto"/>
        <w:rPr>
          <w:rFonts w:eastAsia="Times New Roman" w:cs="Arial"/>
          <w:color w:val="000000"/>
          <w:lang w:eastAsia="bg-BG"/>
        </w:rPr>
      </w:pPr>
    </w:p>
    <w:p w14:paraId="67C4FE21" w14:textId="5A00ADB1"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lang w:eastAsia="bg-BG"/>
        </w:rPr>
        <w:t>При експозиция на ангиотензин II-антагонисти през втори триместьр от бременността се препоръчва ултразвуково изследване на бъбречната функция и на черепа.</w:t>
      </w:r>
    </w:p>
    <w:p w14:paraId="298A48B5" w14:textId="77777777" w:rsidR="008C6B05" w:rsidRDefault="008C6B05" w:rsidP="008C6B05">
      <w:pPr>
        <w:spacing w:line="240" w:lineRule="auto"/>
        <w:rPr>
          <w:rFonts w:eastAsia="Times New Roman" w:cs="Arial"/>
          <w:color w:val="000000"/>
          <w:lang w:eastAsia="bg-BG"/>
        </w:rPr>
      </w:pPr>
    </w:p>
    <w:p w14:paraId="0B563187" w14:textId="41F68648"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lang w:eastAsia="bg-BG"/>
        </w:rPr>
        <w:t>Кърмачета, чиито майки са приемали ангиотензин II-антагонист по време на бременността трябва внимателно да се проследяват за хипотония (вж. също точки 4.3 и 4.4).</w:t>
      </w:r>
    </w:p>
    <w:p w14:paraId="1A5B7725" w14:textId="77777777" w:rsidR="008C6B05" w:rsidRDefault="008C6B05" w:rsidP="008C6B05">
      <w:pPr>
        <w:spacing w:line="240" w:lineRule="auto"/>
        <w:rPr>
          <w:rFonts w:eastAsia="Times New Roman" w:cs="Arial"/>
          <w:b/>
          <w:bCs/>
          <w:color w:val="000000"/>
          <w:lang w:eastAsia="bg-BG"/>
        </w:rPr>
      </w:pPr>
      <w:bookmarkStart w:id="3" w:name="bookmark2"/>
    </w:p>
    <w:p w14:paraId="04B6ACFD" w14:textId="0E98E37A" w:rsidR="008C6B05" w:rsidRPr="00C76DED" w:rsidRDefault="008C6B05" w:rsidP="00C76DED">
      <w:pPr>
        <w:pStyle w:val="Heading3"/>
        <w:rPr>
          <w:rFonts w:eastAsia="Times New Roman"/>
          <w:u w:val="single"/>
          <w:lang w:eastAsia="bg-BG"/>
        </w:rPr>
      </w:pPr>
      <w:r w:rsidRPr="00C76DED">
        <w:rPr>
          <w:rFonts w:eastAsia="Times New Roman"/>
          <w:u w:val="single"/>
          <w:lang w:eastAsia="bg-BG"/>
        </w:rPr>
        <w:t>Кърмене</w:t>
      </w:r>
      <w:bookmarkEnd w:id="3"/>
    </w:p>
    <w:p w14:paraId="540AE51D" w14:textId="39140559" w:rsidR="008C6B05" w:rsidRDefault="008C6B05" w:rsidP="008C6B05">
      <w:pPr>
        <w:rPr>
          <w:rFonts w:eastAsia="Times New Roman" w:cs="Arial"/>
          <w:color w:val="000000"/>
          <w:lang w:eastAsia="bg-BG"/>
        </w:rPr>
      </w:pPr>
      <w:r w:rsidRPr="008C6B05">
        <w:rPr>
          <w:rFonts w:eastAsia="Times New Roman" w:cs="Arial"/>
          <w:color w:val="000000"/>
          <w:lang w:eastAsia="bg-BG"/>
        </w:rPr>
        <w:t>Олмесартан се екскретира в млякото на кърмещи плъхове, но не е известно дали попада в кърмата при хора. Поради липса на информация за приложението на олмесартан по време на кърмене, продуктът не се препоръчва и се предпочитат други лечения с по-добре установен профил на безопасност през периода на кърмене, особено в случай на новородени или недоносени деца.</w:t>
      </w:r>
    </w:p>
    <w:p w14:paraId="501DE6A5" w14:textId="77777777" w:rsidR="008C6B05" w:rsidRPr="008C6B05" w:rsidRDefault="008C6B05" w:rsidP="008C6B05">
      <w:pPr>
        <w:rPr>
          <w:rFonts w:cs="Arial"/>
        </w:rPr>
      </w:pPr>
    </w:p>
    <w:p w14:paraId="064DF1DE" w14:textId="26263471" w:rsidR="00CF77F7" w:rsidRDefault="002C50EE" w:rsidP="004A448E">
      <w:pPr>
        <w:pStyle w:val="Heading2"/>
      </w:pPr>
      <w:r>
        <w:t>4.7. Ефекти върху способността за шофиране и работа с машини</w:t>
      </w:r>
    </w:p>
    <w:p w14:paraId="22B68721" w14:textId="4F6AB9AE" w:rsidR="008C6B05" w:rsidRDefault="008C6B05" w:rsidP="008C6B05"/>
    <w:p w14:paraId="4C6226FF" w14:textId="44877F94" w:rsidR="008C6B05" w:rsidRDefault="008C6B05" w:rsidP="008C6B05">
      <w:pPr>
        <w:spacing w:line="240" w:lineRule="auto"/>
        <w:rPr>
          <w:rFonts w:eastAsia="Times New Roman" w:cs="Arial"/>
          <w:color w:val="000000"/>
          <w:lang w:eastAsia="bg-BG"/>
        </w:rPr>
      </w:pPr>
      <w:r w:rsidRPr="008C6B05">
        <w:rPr>
          <w:rFonts w:eastAsia="Times New Roman" w:cs="Arial"/>
          <w:color w:val="000000"/>
          <w:lang w:eastAsia="bg-BG"/>
        </w:rPr>
        <w:t>Танзидор повлиява способността за шофиране или работа с машини в минимална или умерена</w:t>
      </w:r>
      <w:r>
        <w:rPr>
          <w:rFonts w:eastAsia="Times New Roman" w:cs="Arial"/>
          <w:sz w:val="24"/>
          <w:szCs w:val="24"/>
          <w:lang w:val="en-US" w:eastAsia="bg-BG"/>
        </w:rPr>
        <w:t xml:space="preserve"> </w:t>
      </w:r>
      <w:r w:rsidRPr="008C6B05">
        <w:rPr>
          <w:rFonts w:eastAsia="Times New Roman" w:cs="Arial"/>
          <w:color w:val="000000"/>
          <w:lang w:eastAsia="bg-BG"/>
        </w:rPr>
        <w:t>степен. В някои случаи може да възникне замаяност или умора при пациенти, които приемат антихипертензивни лекарства, което може да наруши способността за реакция.</w:t>
      </w:r>
    </w:p>
    <w:p w14:paraId="1D36176D" w14:textId="77777777" w:rsidR="008C6B05" w:rsidRPr="008C6B05" w:rsidRDefault="008C6B05" w:rsidP="008C6B05">
      <w:pPr>
        <w:spacing w:line="240" w:lineRule="auto"/>
        <w:rPr>
          <w:rFonts w:eastAsia="Times New Roman" w:cs="Arial"/>
          <w:sz w:val="24"/>
          <w:szCs w:val="24"/>
          <w:lang w:eastAsia="bg-BG"/>
        </w:rPr>
      </w:pPr>
    </w:p>
    <w:p w14:paraId="37A3FD9F" w14:textId="3F2D6F17" w:rsidR="00CF77F7" w:rsidRDefault="002C50EE" w:rsidP="004A448E">
      <w:pPr>
        <w:pStyle w:val="Heading2"/>
      </w:pPr>
      <w:r>
        <w:t>4.8. Нежелани лекарствени реакции</w:t>
      </w:r>
    </w:p>
    <w:p w14:paraId="4D0B8B90" w14:textId="4EF5F4B8" w:rsidR="008C6B05" w:rsidRDefault="008C6B05" w:rsidP="008C6B05"/>
    <w:p w14:paraId="209305DF" w14:textId="77777777"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u w:val="single"/>
          <w:lang w:eastAsia="bg-BG"/>
        </w:rPr>
        <w:t>Резюме на профила на безопасността:</w:t>
      </w:r>
    </w:p>
    <w:p w14:paraId="43551135" w14:textId="77777777"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lang w:eastAsia="bg-BG"/>
        </w:rPr>
        <w:t xml:space="preserve">Най-често съобщаваните нежелани реакции при лечение с олмесартан медоксомил са главоболие (7,7%), грипоподобни симптоми (4,0%) </w:t>
      </w:r>
      <w:r w:rsidRPr="008C6B05">
        <w:rPr>
          <w:rFonts w:eastAsia="Times New Roman" w:cs="Arial"/>
          <w:i/>
          <w:iCs/>
          <w:color w:val="000000"/>
          <w:lang w:eastAsia="bg-BG"/>
        </w:rPr>
        <w:t>и замаяност</w:t>
      </w:r>
      <w:r w:rsidRPr="008C6B05">
        <w:rPr>
          <w:rFonts w:eastAsia="Times New Roman" w:cs="Arial"/>
          <w:color w:val="000000"/>
          <w:lang w:eastAsia="bg-BG"/>
        </w:rPr>
        <w:t xml:space="preserve"> (3,7%).</w:t>
      </w:r>
    </w:p>
    <w:p w14:paraId="241EC0F6" w14:textId="77777777" w:rsidR="008C6B05" w:rsidRDefault="008C6B05" w:rsidP="008C6B05">
      <w:pPr>
        <w:spacing w:line="240" w:lineRule="auto"/>
        <w:rPr>
          <w:rFonts w:eastAsia="Times New Roman" w:cs="Arial"/>
          <w:color w:val="000000"/>
          <w:lang w:eastAsia="bg-BG"/>
        </w:rPr>
      </w:pPr>
    </w:p>
    <w:p w14:paraId="3181E5E3" w14:textId="5A9513A0"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lang w:eastAsia="bg-BG"/>
        </w:rPr>
        <w:t>В плацебо-контролирани проучвания с монотерапия, единствената нежелана реакция, която несъмнено е свързана с лечението, е замаяност (2,5% честота при олмесартан медоксомил и 0,9% при плацебо).</w:t>
      </w:r>
    </w:p>
    <w:p w14:paraId="2947CB10" w14:textId="77777777" w:rsidR="008C6B05" w:rsidRDefault="008C6B05" w:rsidP="008C6B05">
      <w:pPr>
        <w:rPr>
          <w:rFonts w:eastAsia="Times New Roman" w:cs="Arial"/>
          <w:color w:val="000000"/>
          <w:lang w:eastAsia="bg-BG"/>
        </w:rPr>
      </w:pPr>
    </w:p>
    <w:p w14:paraId="4CBA15C7" w14:textId="4245EAA5" w:rsidR="008C6B05" w:rsidRDefault="008C6B05" w:rsidP="008C6B05">
      <w:pPr>
        <w:rPr>
          <w:rFonts w:eastAsia="Times New Roman" w:cs="Arial"/>
          <w:color w:val="000000"/>
          <w:lang w:eastAsia="bg-BG"/>
        </w:rPr>
      </w:pPr>
      <w:r w:rsidRPr="008C6B05">
        <w:rPr>
          <w:rFonts w:eastAsia="Times New Roman" w:cs="Arial"/>
          <w:color w:val="000000"/>
          <w:lang w:eastAsia="bg-BG"/>
        </w:rPr>
        <w:t>Честотата е малко по-висока при олмесартан медоксомил в сравнение с плацебо също по отношение на хипертриглицеридемия (2,0% спрямо 1,1%) и повишение на нивата на креатинин фосфокиназа (1,3% спрямо 0,7%).</w:t>
      </w:r>
    </w:p>
    <w:p w14:paraId="0F47A0E0" w14:textId="49F35830" w:rsidR="008C6B05" w:rsidRDefault="008C6B05" w:rsidP="008C6B05">
      <w:pPr>
        <w:rPr>
          <w:rFonts w:eastAsia="Times New Roman" w:cs="Arial"/>
          <w:color w:val="000000"/>
          <w:lang w:eastAsia="bg-BG"/>
        </w:rPr>
      </w:pPr>
    </w:p>
    <w:p w14:paraId="7AE38DD3" w14:textId="77777777"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u w:val="single"/>
          <w:lang w:eastAsia="bg-BG"/>
        </w:rPr>
        <w:t>Табличен списък на нежеланите реакпии:</w:t>
      </w:r>
    </w:p>
    <w:p w14:paraId="06C4C786" w14:textId="77777777"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lang w:eastAsia="bg-BG"/>
        </w:rPr>
        <w:t>Нежеланите реакции към олмесартан медоксомил в клинични проучвания, проучвания за безопасност след разрешаване на употреба и от спонтанните съобщения са обединени в таблицата по-долу.</w:t>
      </w:r>
    </w:p>
    <w:p w14:paraId="61827C84" w14:textId="77777777" w:rsidR="008C6B05" w:rsidRDefault="008C6B05" w:rsidP="008C6B05">
      <w:pPr>
        <w:rPr>
          <w:rFonts w:eastAsia="Times New Roman" w:cs="Arial"/>
          <w:color w:val="000000"/>
          <w:lang w:eastAsia="bg-BG"/>
        </w:rPr>
      </w:pPr>
    </w:p>
    <w:p w14:paraId="178B06BA" w14:textId="756EB5CB" w:rsidR="008C6B05" w:rsidRDefault="008C6B05" w:rsidP="008C6B05">
      <w:pPr>
        <w:rPr>
          <w:rFonts w:eastAsia="Times New Roman" w:cs="Arial"/>
          <w:color w:val="000000"/>
          <w:lang w:eastAsia="bg-BG"/>
        </w:rPr>
      </w:pPr>
      <w:r w:rsidRPr="008C6B05">
        <w:rPr>
          <w:rFonts w:eastAsia="Times New Roman" w:cs="Arial"/>
          <w:color w:val="000000"/>
          <w:lang w:eastAsia="bg-BG"/>
        </w:rPr>
        <w:lastRenderedPageBreak/>
        <w:t>Според честотата на възникване нежеланите реакции са класифицирани както следва: много чести (≥1/10); чести (≥1/100 до &lt;1/10); нечести (≥1/1 000 до &lt;1/100); редки (≥1/10 000 до &lt;1/1 000); много редки (&lt;1/10 000).</w:t>
      </w:r>
    </w:p>
    <w:tbl>
      <w:tblPr>
        <w:tblStyle w:val="TableGrid"/>
        <w:tblW w:w="0" w:type="auto"/>
        <w:tblLook w:val="04A0" w:firstRow="1" w:lastRow="0" w:firstColumn="1" w:lastColumn="0" w:noHBand="0" w:noVBand="1"/>
      </w:tblPr>
      <w:tblGrid>
        <w:gridCol w:w="3116"/>
        <w:gridCol w:w="3117"/>
        <w:gridCol w:w="3117"/>
      </w:tblGrid>
      <w:tr w:rsidR="00D31DAA" w14:paraId="50295312" w14:textId="77777777" w:rsidTr="000C448C">
        <w:tc>
          <w:tcPr>
            <w:tcW w:w="3116" w:type="dxa"/>
            <w:vAlign w:val="bottom"/>
          </w:tcPr>
          <w:p w14:paraId="62CD8013" w14:textId="77777777" w:rsidR="00D31DAA" w:rsidRDefault="00D31DAA" w:rsidP="00D31DAA">
            <w:r>
              <w:rPr>
                <w:b/>
                <w:bCs/>
                <w:lang w:val="en-US"/>
              </w:rPr>
              <w:t>MedDRA</w:t>
            </w:r>
          </w:p>
          <w:p w14:paraId="4182DA86" w14:textId="00B73511" w:rsidR="00D31DAA" w:rsidRDefault="00D31DAA" w:rsidP="00D31DAA">
            <w:pPr>
              <w:rPr>
                <w:rFonts w:eastAsia="Times New Roman" w:cs="Arial"/>
                <w:color w:val="000000"/>
                <w:lang w:eastAsia="bg-BG"/>
              </w:rPr>
            </w:pPr>
            <w:r>
              <w:rPr>
                <w:b/>
                <w:bCs/>
              </w:rPr>
              <w:t>Системо-органен клас</w:t>
            </w:r>
          </w:p>
        </w:tc>
        <w:tc>
          <w:tcPr>
            <w:tcW w:w="3117" w:type="dxa"/>
          </w:tcPr>
          <w:p w14:paraId="54062996" w14:textId="0F7B90B1" w:rsidR="00D31DAA" w:rsidRDefault="00D31DAA" w:rsidP="00D31DAA">
            <w:pPr>
              <w:rPr>
                <w:rFonts w:eastAsia="Times New Roman" w:cs="Arial"/>
                <w:color w:val="000000"/>
                <w:lang w:eastAsia="bg-BG"/>
              </w:rPr>
            </w:pPr>
            <w:r>
              <w:rPr>
                <w:b/>
                <w:bCs/>
              </w:rPr>
              <w:t>Нежелани реакции</w:t>
            </w:r>
          </w:p>
        </w:tc>
        <w:tc>
          <w:tcPr>
            <w:tcW w:w="3117" w:type="dxa"/>
          </w:tcPr>
          <w:p w14:paraId="0B763058" w14:textId="126A7CAB" w:rsidR="00D31DAA" w:rsidRDefault="00D31DAA" w:rsidP="00D31DAA">
            <w:pPr>
              <w:rPr>
                <w:rFonts w:eastAsia="Times New Roman" w:cs="Arial"/>
                <w:color w:val="000000"/>
                <w:lang w:eastAsia="bg-BG"/>
              </w:rPr>
            </w:pPr>
            <w:r>
              <w:rPr>
                <w:b/>
                <w:bCs/>
              </w:rPr>
              <w:t>Честота</w:t>
            </w:r>
          </w:p>
        </w:tc>
      </w:tr>
      <w:tr w:rsidR="00D31DAA" w14:paraId="68C017EC" w14:textId="77777777" w:rsidTr="000C448C">
        <w:tc>
          <w:tcPr>
            <w:tcW w:w="3116" w:type="dxa"/>
            <w:vAlign w:val="bottom"/>
          </w:tcPr>
          <w:p w14:paraId="5C64AEBB" w14:textId="1A3D6B1A" w:rsidR="00D31DAA" w:rsidRDefault="00D31DAA" w:rsidP="00D31DAA">
            <w:pPr>
              <w:rPr>
                <w:rFonts w:eastAsia="Times New Roman" w:cs="Arial"/>
                <w:color w:val="000000"/>
                <w:lang w:eastAsia="bg-BG"/>
              </w:rPr>
            </w:pPr>
            <w:r>
              <w:t>Нарушения на кръвта и лимфната система</w:t>
            </w:r>
          </w:p>
        </w:tc>
        <w:tc>
          <w:tcPr>
            <w:tcW w:w="3117" w:type="dxa"/>
          </w:tcPr>
          <w:p w14:paraId="1D9029EE" w14:textId="41427E67" w:rsidR="00D31DAA" w:rsidRDefault="00D31DAA" w:rsidP="00D31DAA">
            <w:pPr>
              <w:rPr>
                <w:rFonts w:eastAsia="Times New Roman" w:cs="Arial"/>
                <w:color w:val="000000"/>
                <w:lang w:eastAsia="bg-BG"/>
              </w:rPr>
            </w:pPr>
            <w:r>
              <w:t>Тромбоцитопения</w:t>
            </w:r>
          </w:p>
        </w:tc>
        <w:tc>
          <w:tcPr>
            <w:tcW w:w="3117" w:type="dxa"/>
          </w:tcPr>
          <w:p w14:paraId="3EA55BD0" w14:textId="2EF80F39" w:rsidR="00D31DAA" w:rsidRDefault="00D31DAA" w:rsidP="00D31DAA">
            <w:pPr>
              <w:rPr>
                <w:rFonts w:eastAsia="Times New Roman" w:cs="Arial"/>
                <w:color w:val="000000"/>
                <w:lang w:eastAsia="bg-BG"/>
              </w:rPr>
            </w:pPr>
            <w:r>
              <w:t>Нечести</w:t>
            </w:r>
          </w:p>
        </w:tc>
      </w:tr>
      <w:tr w:rsidR="00D31DAA" w14:paraId="0D41F222" w14:textId="77777777" w:rsidTr="000C448C">
        <w:tc>
          <w:tcPr>
            <w:tcW w:w="3116" w:type="dxa"/>
            <w:vAlign w:val="bottom"/>
          </w:tcPr>
          <w:p w14:paraId="2C629F03" w14:textId="7D6CB8BF" w:rsidR="00D31DAA" w:rsidRDefault="00D31DAA" w:rsidP="00D31DAA">
            <w:pPr>
              <w:rPr>
                <w:rFonts w:eastAsia="Times New Roman" w:cs="Arial"/>
                <w:color w:val="000000"/>
                <w:lang w:eastAsia="bg-BG"/>
              </w:rPr>
            </w:pPr>
            <w:r>
              <w:t>Нарушения на имунната система</w:t>
            </w:r>
          </w:p>
        </w:tc>
        <w:tc>
          <w:tcPr>
            <w:tcW w:w="3117" w:type="dxa"/>
          </w:tcPr>
          <w:p w14:paraId="5E7B0D9B" w14:textId="4EF87CAF" w:rsidR="00D31DAA" w:rsidRDefault="00D31DAA" w:rsidP="00D31DAA">
            <w:pPr>
              <w:rPr>
                <w:rFonts w:eastAsia="Times New Roman" w:cs="Arial"/>
                <w:color w:val="000000"/>
                <w:lang w:eastAsia="bg-BG"/>
              </w:rPr>
            </w:pPr>
            <w:r>
              <w:t>Анафилактична реакция</w:t>
            </w:r>
          </w:p>
        </w:tc>
        <w:tc>
          <w:tcPr>
            <w:tcW w:w="3117" w:type="dxa"/>
          </w:tcPr>
          <w:p w14:paraId="31C5D325" w14:textId="2DD424CF" w:rsidR="00D31DAA" w:rsidRDefault="00D31DAA" w:rsidP="00D31DAA">
            <w:pPr>
              <w:rPr>
                <w:rFonts w:eastAsia="Times New Roman" w:cs="Arial"/>
                <w:color w:val="000000"/>
                <w:lang w:eastAsia="bg-BG"/>
              </w:rPr>
            </w:pPr>
            <w:r>
              <w:t>Нечести</w:t>
            </w:r>
          </w:p>
        </w:tc>
      </w:tr>
      <w:tr w:rsidR="00D31DAA" w14:paraId="69EBB1B3" w14:textId="77777777" w:rsidTr="006B799D">
        <w:tc>
          <w:tcPr>
            <w:tcW w:w="3116" w:type="dxa"/>
            <w:vMerge w:val="restart"/>
          </w:tcPr>
          <w:p w14:paraId="35F2C4F7" w14:textId="4571F485" w:rsidR="00D31DAA" w:rsidRDefault="00D31DAA" w:rsidP="00D31DAA">
            <w:pPr>
              <w:rPr>
                <w:rFonts w:eastAsia="Times New Roman" w:cs="Arial"/>
                <w:color w:val="000000"/>
                <w:lang w:eastAsia="bg-BG"/>
              </w:rPr>
            </w:pPr>
            <w:r>
              <w:t>Нарушения на метаболизма и храненето</w:t>
            </w:r>
          </w:p>
        </w:tc>
        <w:tc>
          <w:tcPr>
            <w:tcW w:w="3117" w:type="dxa"/>
            <w:vAlign w:val="bottom"/>
          </w:tcPr>
          <w:p w14:paraId="3D7AFD90" w14:textId="3FBE73F3" w:rsidR="00D31DAA" w:rsidRDefault="00D31DAA" w:rsidP="00D31DAA">
            <w:pPr>
              <w:rPr>
                <w:rFonts w:eastAsia="Times New Roman" w:cs="Arial"/>
                <w:color w:val="000000"/>
                <w:lang w:eastAsia="bg-BG"/>
              </w:rPr>
            </w:pPr>
            <w:r>
              <w:t>Хипертриглицеридемия</w:t>
            </w:r>
          </w:p>
        </w:tc>
        <w:tc>
          <w:tcPr>
            <w:tcW w:w="3117" w:type="dxa"/>
            <w:vAlign w:val="bottom"/>
          </w:tcPr>
          <w:p w14:paraId="325E623E" w14:textId="0872FEC2" w:rsidR="00D31DAA" w:rsidRDefault="00D31DAA" w:rsidP="00D31DAA">
            <w:pPr>
              <w:rPr>
                <w:rFonts w:eastAsia="Times New Roman" w:cs="Arial"/>
                <w:color w:val="000000"/>
                <w:lang w:eastAsia="bg-BG"/>
              </w:rPr>
            </w:pPr>
            <w:r>
              <w:t>Чести</w:t>
            </w:r>
          </w:p>
        </w:tc>
      </w:tr>
      <w:tr w:rsidR="00D31DAA" w14:paraId="4553F643" w14:textId="77777777" w:rsidTr="006B799D">
        <w:tc>
          <w:tcPr>
            <w:tcW w:w="3116" w:type="dxa"/>
            <w:vMerge/>
          </w:tcPr>
          <w:p w14:paraId="120CFD51" w14:textId="77777777" w:rsidR="00D31DAA" w:rsidRDefault="00D31DAA" w:rsidP="00D31DAA">
            <w:pPr>
              <w:rPr>
                <w:rFonts w:eastAsia="Times New Roman" w:cs="Arial"/>
                <w:color w:val="000000"/>
                <w:lang w:eastAsia="bg-BG"/>
              </w:rPr>
            </w:pPr>
          </w:p>
        </w:tc>
        <w:tc>
          <w:tcPr>
            <w:tcW w:w="3117" w:type="dxa"/>
            <w:vAlign w:val="bottom"/>
          </w:tcPr>
          <w:p w14:paraId="175EC560" w14:textId="3EA404E9" w:rsidR="00D31DAA" w:rsidRDefault="00D31DAA" w:rsidP="00D31DAA">
            <w:pPr>
              <w:rPr>
                <w:rFonts w:eastAsia="Times New Roman" w:cs="Arial"/>
                <w:color w:val="000000"/>
                <w:lang w:eastAsia="bg-BG"/>
              </w:rPr>
            </w:pPr>
            <w:r>
              <w:t>Хиперурикемия</w:t>
            </w:r>
          </w:p>
        </w:tc>
        <w:tc>
          <w:tcPr>
            <w:tcW w:w="3117" w:type="dxa"/>
            <w:vAlign w:val="bottom"/>
          </w:tcPr>
          <w:p w14:paraId="29C6A927" w14:textId="355D2D78" w:rsidR="00D31DAA" w:rsidRDefault="00D31DAA" w:rsidP="00D31DAA">
            <w:pPr>
              <w:rPr>
                <w:rFonts w:eastAsia="Times New Roman" w:cs="Arial"/>
                <w:color w:val="000000"/>
                <w:lang w:eastAsia="bg-BG"/>
              </w:rPr>
            </w:pPr>
            <w:r>
              <w:t>Чести</w:t>
            </w:r>
          </w:p>
        </w:tc>
      </w:tr>
      <w:tr w:rsidR="00D31DAA" w14:paraId="4FED4114" w14:textId="77777777" w:rsidTr="006B799D">
        <w:tc>
          <w:tcPr>
            <w:tcW w:w="3116" w:type="dxa"/>
            <w:vMerge/>
          </w:tcPr>
          <w:p w14:paraId="411B51EA" w14:textId="77777777" w:rsidR="00D31DAA" w:rsidRDefault="00D31DAA" w:rsidP="00D31DAA">
            <w:pPr>
              <w:rPr>
                <w:rFonts w:eastAsia="Times New Roman" w:cs="Arial"/>
                <w:color w:val="000000"/>
                <w:lang w:eastAsia="bg-BG"/>
              </w:rPr>
            </w:pPr>
          </w:p>
        </w:tc>
        <w:tc>
          <w:tcPr>
            <w:tcW w:w="3117" w:type="dxa"/>
            <w:vAlign w:val="bottom"/>
          </w:tcPr>
          <w:p w14:paraId="50225539" w14:textId="52A631BB" w:rsidR="00D31DAA" w:rsidRDefault="00D31DAA" w:rsidP="00D31DAA">
            <w:pPr>
              <w:rPr>
                <w:rFonts w:eastAsia="Times New Roman" w:cs="Arial"/>
                <w:color w:val="000000"/>
                <w:lang w:eastAsia="bg-BG"/>
              </w:rPr>
            </w:pPr>
            <w:r>
              <w:t>Хиперкалиемия</w:t>
            </w:r>
          </w:p>
        </w:tc>
        <w:tc>
          <w:tcPr>
            <w:tcW w:w="3117" w:type="dxa"/>
            <w:vAlign w:val="bottom"/>
          </w:tcPr>
          <w:p w14:paraId="502C5608" w14:textId="4CCEA44E" w:rsidR="00D31DAA" w:rsidRDefault="00D31DAA" w:rsidP="00D31DAA">
            <w:pPr>
              <w:rPr>
                <w:rFonts w:eastAsia="Times New Roman" w:cs="Arial"/>
                <w:color w:val="000000"/>
                <w:lang w:eastAsia="bg-BG"/>
              </w:rPr>
            </w:pPr>
            <w:r>
              <w:t>Редки</w:t>
            </w:r>
          </w:p>
        </w:tc>
      </w:tr>
      <w:tr w:rsidR="00D31DAA" w14:paraId="2274A708" w14:textId="77777777" w:rsidTr="006B799D">
        <w:tc>
          <w:tcPr>
            <w:tcW w:w="3116" w:type="dxa"/>
            <w:vMerge w:val="restart"/>
          </w:tcPr>
          <w:p w14:paraId="5BE683BD" w14:textId="2E822837" w:rsidR="00D31DAA" w:rsidRDefault="00D31DAA" w:rsidP="00D31DAA">
            <w:pPr>
              <w:rPr>
                <w:rFonts w:eastAsia="Times New Roman" w:cs="Arial"/>
                <w:color w:val="000000"/>
                <w:lang w:eastAsia="bg-BG"/>
              </w:rPr>
            </w:pPr>
            <w:r>
              <w:t>Нарушения на нервната система</w:t>
            </w:r>
          </w:p>
        </w:tc>
        <w:tc>
          <w:tcPr>
            <w:tcW w:w="3117" w:type="dxa"/>
            <w:vAlign w:val="bottom"/>
          </w:tcPr>
          <w:p w14:paraId="3558E3F2" w14:textId="524DA4B0" w:rsidR="00D31DAA" w:rsidRDefault="00D31DAA" w:rsidP="00D31DAA">
            <w:pPr>
              <w:rPr>
                <w:rFonts w:eastAsia="Times New Roman" w:cs="Arial"/>
                <w:color w:val="000000"/>
                <w:lang w:eastAsia="bg-BG"/>
              </w:rPr>
            </w:pPr>
            <w:r>
              <w:t>Замаяност</w:t>
            </w:r>
          </w:p>
        </w:tc>
        <w:tc>
          <w:tcPr>
            <w:tcW w:w="3117" w:type="dxa"/>
            <w:vAlign w:val="bottom"/>
          </w:tcPr>
          <w:p w14:paraId="2E2D7F2D" w14:textId="07B3E48F" w:rsidR="00D31DAA" w:rsidRDefault="00D31DAA" w:rsidP="00D31DAA">
            <w:pPr>
              <w:rPr>
                <w:rFonts w:eastAsia="Times New Roman" w:cs="Arial"/>
                <w:color w:val="000000"/>
                <w:lang w:eastAsia="bg-BG"/>
              </w:rPr>
            </w:pPr>
            <w:r>
              <w:t>Чести</w:t>
            </w:r>
          </w:p>
        </w:tc>
      </w:tr>
      <w:tr w:rsidR="00D31DAA" w14:paraId="3FEF22A0" w14:textId="77777777" w:rsidTr="006B799D">
        <w:tc>
          <w:tcPr>
            <w:tcW w:w="3116" w:type="dxa"/>
            <w:vMerge/>
          </w:tcPr>
          <w:p w14:paraId="7038B4E5" w14:textId="77777777" w:rsidR="00D31DAA" w:rsidRDefault="00D31DAA" w:rsidP="00D31DAA">
            <w:pPr>
              <w:rPr>
                <w:rFonts w:eastAsia="Times New Roman" w:cs="Arial"/>
                <w:color w:val="000000"/>
                <w:lang w:eastAsia="bg-BG"/>
              </w:rPr>
            </w:pPr>
          </w:p>
        </w:tc>
        <w:tc>
          <w:tcPr>
            <w:tcW w:w="3117" w:type="dxa"/>
            <w:vAlign w:val="bottom"/>
          </w:tcPr>
          <w:p w14:paraId="4A80B0F9" w14:textId="1B53F5A7" w:rsidR="00D31DAA" w:rsidRDefault="00D31DAA" w:rsidP="00D31DAA">
            <w:pPr>
              <w:rPr>
                <w:rFonts w:eastAsia="Times New Roman" w:cs="Arial"/>
                <w:color w:val="000000"/>
                <w:lang w:eastAsia="bg-BG"/>
              </w:rPr>
            </w:pPr>
            <w:r>
              <w:t>Главоболие</w:t>
            </w:r>
          </w:p>
        </w:tc>
        <w:tc>
          <w:tcPr>
            <w:tcW w:w="3117" w:type="dxa"/>
            <w:vAlign w:val="bottom"/>
          </w:tcPr>
          <w:p w14:paraId="46121CFE" w14:textId="7F03C7E1" w:rsidR="00D31DAA" w:rsidRDefault="00D31DAA" w:rsidP="00D31DAA">
            <w:pPr>
              <w:rPr>
                <w:rFonts w:eastAsia="Times New Roman" w:cs="Arial"/>
                <w:color w:val="000000"/>
                <w:lang w:eastAsia="bg-BG"/>
              </w:rPr>
            </w:pPr>
            <w:r>
              <w:t>Чести</w:t>
            </w:r>
          </w:p>
        </w:tc>
      </w:tr>
      <w:tr w:rsidR="00D31DAA" w14:paraId="617785FF" w14:textId="77777777" w:rsidTr="008D7975">
        <w:tc>
          <w:tcPr>
            <w:tcW w:w="3116" w:type="dxa"/>
            <w:vAlign w:val="bottom"/>
          </w:tcPr>
          <w:p w14:paraId="5410329C" w14:textId="59DE8F08" w:rsidR="00D31DAA" w:rsidRDefault="00D31DAA" w:rsidP="00D31DAA">
            <w:pPr>
              <w:rPr>
                <w:rFonts w:eastAsia="Times New Roman" w:cs="Arial"/>
                <w:color w:val="000000"/>
                <w:lang w:eastAsia="bg-BG"/>
              </w:rPr>
            </w:pPr>
            <w:r>
              <w:t>Нарушения на ухото и лабиринта</w:t>
            </w:r>
          </w:p>
        </w:tc>
        <w:tc>
          <w:tcPr>
            <w:tcW w:w="3117" w:type="dxa"/>
          </w:tcPr>
          <w:p w14:paraId="0C726663" w14:textId="4A2201D8" w:rsidR="00D31DAA" w:rsidRDefault="00D31DAA" w:rsidP="00D31DAA">
            <w:pPr>
              <w:rPr>
                <w:rFonts w:eastAsia="Times New Roman" w:cs="Arial"/>
                <w:color w:val="000000"/>
                <w:lang w:eastAsia="bg-BG"/>
              </w:rPr>
            </w:pPr>
            <w:r>
              <w:t>Световъртеж</w:t>
            </w:r>
          </w:p>
        </w:tc>
        <w:tc>
          <w:tcPr>
            <w:tcW w:w="3117" w:type="dxa"/>
          </w:tcPr>
          <w:p w14:paraId="1BCEA408" w14:textId="15AD9071" w:rsidR="00D31DAA" w:rsidRDefault="00D31DAA" w:rsidP="00D31DAA">
            <w:pPr>
              <w:rPr>
                <w:rFonts w:eastAsia="Times New Roman" w:cs="Arial"/>
                <w:color w:val="000000"/>
                <w:lang w:eastAsia="bg-BG"/>
              </w:rPr>
            </w:pPr>
            <w:r>
              <w:t>Нечести</w:t>
            </w:r>
          </w:p>
        </w:tc>
      </w:tr>
      <w:tr w:rsidR="00D31DAA" w14:paraId="75BF0CE6" w14:textId="77777777" w:rsidTr="008D7975">
        <w:tc>
          <w:tcPr>
            <w:tcW w:w="3116" w:type="dxa"/>
            <w:vAlign w:val="bottom"/>
          </w:tcPr>
          <w:p w14:paraId="415C5F3A" w14:textId="3E8AF1C7" w:rsidR="00D31DAA" w:rsidRDefault="00D31DAA" w:rsidP="00D31DAA">
            <w:pPr>
              <w:rPr>
                <w:rFonts w:eastAsia="Times New Roman" w:cs="Arial"/>
                <w:color w:val="000000"/>
                <w:lang w:eastAsia="bg-BG"/>
              </w:rPr>
            </w:pPr>
            <w:r>
              <w:t>Сърдечни нарушения</w:t>
            </w:r>
          </w:p>
        </w:tc>
        <w:tc>
          <w:tcPr>
            <w:tcW w:w="3117" w:type="dxa"/>
            <w:vAlign w:val="bottom"/>
          </w:tcPr>
          <w:p w14:paraId="0FBE1AE0" w14:textId="736A3801" w:rsidR="00D31DAA" w:rsidRDefault="00D31DAA" w:rsidP="00D31DAA">
            <w:pPr>
              <w:rPr>
                <w:rFonts w:eastAsia="Times New Roman" w:cs="Arial"/>
                <w:color w:val="000000"/>
                <w:lang w:eastAsia="bg-BG"/>
              </w:rPr>
            </w:pPr>
            <w:r>
              <w:t>Ангина пекторис</w:t>
            </w:r>
          </w:p>
        </w:tc>
        <w:tc>
          <w:tcPr>
            <w:tcW w:w="3117" w:type="dxa"/>
            <w:vAlign w:val="bottom"/>
          </w:tcPr>
          <w:p w14:paraId="0B19BEF2" w14:textId="4CF380F6" w:rsidR="00D31DAA" w:rsidRDefault="00D31DAA" w:rsidP="00D31DAA">
            <w:pPr>
              <w:rPr>
                <w:rFonts w:eastAsia="Times New Roman" w:cs="Arial"/>
                <w:color w:val="000000"/>
                <w:lang w:eastAsia="bg-BG"/>
              </w:rPr>
            </w:pPr>
            <w:r>
              <w:t>Нечести</w:t>
            </w:r>
          </w:p>
        </w:tc>
      </w:tr>
      <w:tr w:rsidR="00D31DAA" w14:paraId="2208F89D" w14:textId="77777777" w:rsidTr="008D7975">
        <w:tc>
          <w:tcPr>
            <w:tcW w:w="3116" w:type="dxa"/>
            <w:vAlign w:val="bottom"/>
          </w:tcPr>
          <w:p w14:paraId="3D5EBC3B" w14:textId="34A74E49" w:rsidR="00D31DAA" w:rsidRDefault="00D31DAA" w:rsidP="00D31DAA">
            <w:pPr>
              <w:rPr>
                <w:rFonts w:eastAsia="Times New Roman" w:cs="Arial"/>
                <w:color w:val="000000"/>
                <w:lang w:eastAsia="bg-BG"/>
              </w:rPr>
            </w:pPr>
            <w:r>
              <w:t>Съдови нарушения</w:t>
            </w:r>
          </w:p>
        </w:tc>
        <w:tc>
          <w:tcPr>
            <w:tcW w:w="3117" w:type="dxa"/>
            <w:vAlign w:val="bottom"/>
          </w:tcPr>
          <w:p w14:paraId="7667F3D4" w14:textId="11731619" w:rsidR="00D31DAA" w:rsidRDefault="00D31DAA" w:rsidP="00D31DAA">
            <w:pPr>
              <w:rPr>
                <w:rFonts w:eastAsia="Times New Roman" w:cs="Arial"/>
                <w:color w:val="000000"/>
                <w:lang w:eastAsia="bg-BG"/>
              </w:rPr>
            </w:pPr>
            <w:r>
              <w:t>Хипотония</w:t>
            </w:r>
          </w:p>
        </w:tc>
        <w:tc>
          <w:tcPr>
            <w:tcW w:w="3117" w:type="dxa"/>
            <w:vAlign w:val="bottom"/>
          </w:tcPr>
          <w:p w14:paraId="0D020866" w14:textId="07236CD1" w:rsidR="00D31DAA" w:rsidRDefault="00D31DAA" w:rsidP="00D31DAA">
            <w:pPr>
              <w:rPr>
                <w:rFonts w:eastAsia="Times New Roman" w:cs="Arial"/>
                <w:color w:val="000000"/>
                <w:lang w:eastAsia="bg-BG"/>
              </w:rPr>
            </w:pPr>
            <w:r>
              <w:t>Редки</w:t>
            </w:r>
          </w:p>
        </w:tc>
      </w:tr>
      <w:tr w:rsidR="00D31DAA" w14:paraId="02EB10A0" w14:textId="77777777" w:rsidTr="00155FE0">
        <w:tc>
          <w:tcPr>
            <w:tcW w:w="3116" w:type="dxa"/>
            <w:vMerge w:val="restart"/>
          </w:tcPr>
          <w:p w14:paraId="4D36646B" w14:textId="4F0E2E82" w:rsidR="00D31DAA" w:rsidRDefault="00D31DAA" w:rsidP="00D31DAA">
            <w:pPr>
              <w:rPr>
                <w:rFonts w:eastAsia="Times New Roman" w:cs="Arial"/>
                <w:color w:val="000000"/>
                <w:lang w:eastAsia="bg-BG"/>
              </w:rPr>
            </w:pPr>
            <w:r>
              <w:t>Респираторни, гръдни и медиастинални нарушения</w:t>
            </w:r>
          </w:p>
        </w:tc>
        <w:tc>
          <w:tcPr>
            <w:tcW w:w="3117" w:type="dxa"/>
            <w:vAlign w:val="bottom"/>
          </w:tcPr>
          <w:p w14:paraId="3AB73E5A" w14:textId="6E1B0A50" w:rsidR="00D31DAA" w:rsidRDefault="00D31DAA" w:rsidP="00D31DAA">
            <w:pPr>
              <w:rPr>
                <w:rFonts w:eastAsia="Times New Roman" w:cs="Arial"/>
                <w:color w:val="000000"/>
                <w:lang w:eastAsia="bg-BG"/>
              </w:rPr>
            </w:pPr>
            <w:r>
              <w:t>Бронхит</w:t>
            </w:r>
          </w:p>
        </w:tc>
        <w:tc>
          <w:tcPr>
            <w:tcW w:w="3117" w:type="dxa"/>
            <w:vAlign w:val="bottom"/>
          </w:tcPr>
          <w:p w14:paraId="22DFE89A" w14:textId="1E679E25" w:rsidR="00D31DAA" w:rsidRDefault="00D31DAA" w:rsidP="00D31DAA">
            <w:pPr>
              <w:rPr>
                <w:rFonts w:eastAsia="Times New Roman" w:cs="Arial"/>
                <w:color w:val="000000"/>
                <w:lang w:eastAsia="bg-BG"/>
              </w:rPr>
            </w:pPr>
            <w:r>
              <w:t>Чести</w:t>
            </w:r>
          </w:p>
        </w:tc>
      </w:tr>
      <w:tr w:rsidR="00D31DAA" w14:paraId="46704812" w14:textId="77777777" w:rsidTr="00155FE0">
        <w:tc>
          <w:tcPr>
            <w:tcW w:w="3116" w:type="dxa"/>
            <w:vMerge/>
          </w:tcPr>
          <w:p w14:paraId="0EE971D7" w14:textId="77777777" w:rsidR="00D31DAA" w:rsidRDefault="00D31DAA" w:rsidP="00D31DAA">
            <w:pPr>
              <w:rPr>
                <w:rFonts w:eastAsia="Times New Roman" w:cs="Arial"/>
                <w:color w:val="000000"/>
                <w:lang w:eastAsia="bg-BG"/>
              </w:rPr>
            </w:pPr>
          </w:p>
        </w:tc>
        <w:tc>
          <w:tcPr>
            <w:tcW w:w="3117" w:type="dxa"/>
            <w:vAlign w:val="bottom"/>
          </w:tcPr>
          <w:p w14:paraId="2CC102ED" w14:textId="082AA752" w:rsidR="00D31DAA" w:rsidRDefault="00D31DAA" w:rsidP="00D31DAA">
            <w:pPr>
              <w:rPr>
                <w:rFonts w:eastAsia="Times New Roman" w:cs="Arial"/>
                <w:color w:val="000000"/>
                <w:lang w:eastAsia="bg-BG"/>
              </w:rPr>
            </w:pPr>
            <w:r>
              <w:t>Фарингит</w:t>
            </w:r>
          </w:p>
        </w:tc>
        <w:tc>
          <w:tcPr>
            <w:tcW w:w="3117" w:type="dxa"/>
            <w:vAlign w:val="bottom"/>
          </w:tcPr>
          <w:p w14:paraId="039A02F6" w14:textId="676198E7" w:rsidR="00D31DAA" w:rsidRDefault="00D31DAA" w:rsidP="00D31DAA">
            <w:pPr>
              <w:rPr>
                <w:rFonts w:eastAsia="Times New Roman" w:cs="Arial"/>
                <w:color w:val="000000"/>
                <w:lang w:eastAsia="bg-BG"/>
              </w:rPr>
            </w:pPr>
            <w:r>
              <w:t>Чести</w:t>
            </w:r>
          </w:p>
        </w:tc>
      </w:tr>
      <w:tr w:rsidR="00D31DAA" w14:paraId="61DF3063" w14:textId="77777777" w:rsidTr="00155FE0">
        <w:tc>
          <w:tcPr>
            <w:tcW w:w="3116" w:type="dxa"/>
            <w:vMerge/>
          </w:tcPr>
          <w:p w14:paraId="5C89B6ED" w14:textId="77777777" w:rsidR="00D31DAA" w:rsidRDefault="00D31DAA" w:rsidP="00D31DAA">
            <w:pPr>
              <w:rPr>
                <w:rFonts w:eastAsia="Times New Roman" w:cs="Arial"/>
                <w:color w:val="000000"/>
                <w:lang w:eastAsia="bg-BG"/>
              </w:rPr>
            </w:pPr>
          </w:p>
        </w:tc>
        <w:tc>
          <w:tcPr>
            <w:tcW w:w="3117" w:type="dxa"/>
            <w:vAlign w:val="bottom"/>
          </w:tcPr>
          <w:p w14:paraId="2A3B7A84" w14:textId="2633C4E3" w:rsidR="00D31DAA" w:rsidRDefault="00D31DAA" w:rsidP="00D31DAA">
            <w:pPr>
              <w:rPr>
                <w:rFonts w:eastAsia="Times New Roman" w:cs="Arial"/>
                <w:color w:val="000000"/>
                <w:lang w:eastAsia="bg-BG"/>
              </w:rPr>
            </w:pPr>
            <w:r>
              <w:t>Кашлица</w:t>
            </w:r>
          </w:p>
        </w:tc>
        <w:tc>
          <w:tcPr>
            <w:tcW w:w="3117" w:type="dxa"/>
            <w:vAlign w:val="bottom"/>
          </w:tcPr>
          <w:p w14:paraId="46D7DA51" w14:textId="2B1512AE" w:rsidR="00D31DAA" w:rsidRDefault="00D31DAA" w:rsidP="00D31DAA">
            <w:pPr>
              <w:rPr>
                <w:rFonts w:eastAsia="Times New Roman" w:cs="Arial"/>
                <w:color w:val="000000"/>
                <w:lang w:eastAsia="bg-BG"/>
              </w:rPr>
            </w:pPr>
            <w:r>
              <w:t>Чести</w:t>
            </w:r>
          </w:p>
        </w:tc>
      </w:tr>
      <w:tr w:rsidR="00D31DAA" w14:paraId="217ADFC1" w14:textId="77777777" w:rsidTr="00155FE0">
        <w:tc>
          <w:tcPr>
            <w:tcW w:w="3116" w:type="dxa"/>
            <w:vMerge/>
          </w:tcPr>
          <w:p w14:paraId="4A50336F" w14:textId="77777777" w:rsidR="00D31DAA" w:rsidRDefault="00D31DAA" w:rsidP="00D31DAA">
            <w:pPr>
              <w:rPr>
                <w:rFonts w:eastAsia="Times New Roman" w:cs="Arial"/>
                <w:color w:val="000000"/>
                <w:lang w:eastAsia="bg-BG"/>
              </w:rPr>
            </w:pPr>
          </w:p>
        </w:tc>
        <w:tc>
          <w:tcPr>
            <w:tcW w:w="3117" w:type="dxa"/>
            <w:vAlign w:val="bottom"/>
          </w:tcPr>
          <w:p w14:paraId="01D211A1" w14:textId="627A6B5C" w:rsidR="00D31DAA" w:rsidRDefault="00D31DAA" w:rsidP="00D31DAA">
            <w:pPr>
              <w:rPr>
                <w:rFonts w:eastAsia="Times New Roman" w:cs="Arial"/>
                <w:color w:val="000000"/>
                <w:lang w:eastAsia="bg-BG"/>
              </w:rPr>
            </w:pPr>
            <w:r>
              <w:t>Ринит</w:t>
            </w:r>
          </w:p>
        </w:tc>
        <w:tc>
          <w:tcPr>
            <w:tcW w:w="3117" w:type="dxa"/>
            <w:vAlign w:val="bottom"/>
          </w:tcPr>
          <w:p w14:paraId="72FAFAF8" w14:textId="0D759393" w:rsidR="00D31DAA" w:rsidRDefault="00D31DAA" w:rsidP="00D31DAA">
            <w:pPr>
              <w:rPr>
                <w:rFonts w:eastAsia="Times New Roman" w:cs="Arial"/>
                <w:color w:val="000000"/>
                <w:lang w:eastAsia="bg-BG"/>
              </w:rPr>
            </w:pPr>
            <w:r>
              <w:t>Чести</w:t>
            </w:r>
          </w:p>
        </w:tc>
      </w:tr>
      <w:tr w:rsidR="00D31DAA" w14:paraId="5B2EEA9A" w14:textId="77777777" w:rsidTr="00155FE0">
        <w:tc>
          <w:tcPr>
            <w:tcW w:w="3116" w:type="dxa"/>
            <w:vMerge w:val="restart"/>
          </w:tcPr>
          <w:p w14:paraId="01E6A9A3" w14:textId="72AB1822" w:rsidR="00D31DAA" w:rsidRDefault="00D31DAA" w:rsidP="00D31DAA">
            <w:pPr>
              <w:rPr>
                <w:rFonts w:eastAsia="Times New Roman" w:cs="Arial"/>
                <w:color w:val="000000"/>
                <w:lang w:eastAsia="bg-BG"/>
              </w:rPr>
            </w:pPr>
            <w:r>
              <w:t>Стомашно-чревни нарушения</w:t>
            </w:r>
          </w:p>
        </w:tc>
        <w:tc>
          <w:tcPr>
            <w:tcW w:w="3117" w:type="dxa"/>
            <w:vAlign w:val="bottom"/>
          </w:tcPr>
          <w:p w14:paraId="09068060" w14:textId="28C9D739" w:rsidR="00D31DAA" w:rsidRDefault="00D31DAA" w:rsidP="00D31DAA">
            <w:pPr>
              <w:rPr>
                <w:rFonts w:eastAsia="Times New Roman" w:cs="Arial"/>
                <w:color w:val="000000"/>
                <w:lang w:eastAsia="bg-BG"/>
              </w:rPr>
            </w:pPr>
            <w:r>
              <w:t>Гастроентерит</w:t>
            </w:r>
          </w:p>
        </w:tc>
        <w:tc>
          <w:tcPr>
            <w:tcW w:w="3117" w:type="dxa"/>
            <w:vAlign w:val="bottom"/>
          </w:tcPr>
          <w:p w14:paraId="59779228" w14:textId="62527DBF" w:rsidR="00D31DAA" w:rsidRDefault="00D31DAA" w:rsidP="00D31DAA">
            <w:pPr>
              <w:rPr>
                <w:rFonts w:eastAsia="Times New Roman" w:cs="Arial"/>
                <w:color w:val="000000"/>
                <w:lang w:eastAsia="bg-BG"/>
              </w:rPr>
            </w:pPr>
            <w:r>
              <w:t>Чести</w:t>
            </w:r>
          </w:p>
        </w:tc>
      </w:tr>
      <w:tr w:rsidR="00D31DAA" w14:paraId="591B28D9" w14:textId="77777777" w:rsidTr="00155FE0">
        <w:tc>
          <w:tcPr>
            <w:tcW w:w="3116" w:type="dxa"/>
            <w:vMerge/>
          </w:tcPr>
          <w:p w14:paraId="31EAFDF2" w14:textId="77777777" w:rsidR="00D31DAA" w:rsidRDefault="00D31DAA" w:rsidP="00D31DAA">
            <w:pPr>
              <w:rPr>
                <w:rFonts w:eastAsia="Times New Roman" w:cs="Arial"/>
                <w:color w:val="000000"/>
                <w:lang w:eastAsia="bg-BG"/>
              </w:rPr>
            </w:pPr>
          </w:p>
        </w:tc>
        <w:tc>
          <w:tcPr>
            <w:tcW w:w="3117" w:type="dxa"/>
            <w:vAlign w:val="bottom"/>
          </w:tcPr>
          <w:p w14:paraId="1F1D0B40" w14:textId="11AEF2A3" w:rsidR="00D31DAA" w:rsidRDefault="00D31DAA" w:rsidP="00D31DAA">
            <w:pPr>
              <w:rPr>
                <w:rFonts w:eastAsia="Times New Roman" w:cs="Arial"/>
                <w:color w:val="000000"/>
                <w:lang w:eastAsia="bg-BG"/>
              </w:rPr>
            </w:pPr>
            <w:r>
              <w:rPr>
                <w:sz w:val="20"/>
                <w:szCs w:val="20"/>
              </w:rPr>
              <w:t>Диария</w:t>
            </w:r>
          </w:p>
        </w:tc>
        <w:tc>
          <w:tcPr>
            <w:tcW w:w="3117" w:type="dxa"/>
            <w:vAlign w:val="bottom"/>
          </w:tcPr>
          <w:p w14:paraId="38456407" w14:textId="7F9F206B" w:rsidR="00D31DAA" w:rsidRDefault="00D31DAA" w:rsidP="00D31DAA">
            <w:pPr>
              <w:rPr>
                <w:rFonts w:eastAsia="Times New Roman" w:cs="Arial"/>
                <w:color w:val="000000"/>
                <w:lang w:eastAsia="bg-BG"/>
              </w:rPr>
            </w:pPr>
            <w:r>
              <w:rPr>
                <w:sz w:val="20"/>
                <w:szCs w:val="20"/>
              </w:rPr>
              <w:t>Чести</w:t>
            </w:r>
          </w:p>
        </w:tc>
      </w:tr>
      <w:tr w:rsidR="00D31DAA" w14:paraId="7247A15C" w14:textId="77777777" w:rsidTr="00155FE0">
        <w:tc>
          <w:tcPr>
            <w:tcW w:w="3116" w:type="dxa"/>
            <w:vMerge/>
          </w:tcPr>
          <w:p w14:paraId="01FAF18A" w14:textId="77777777" w:rsidR="00D31DAA" w:rsidRDefault="00D31DAA" w:rsidP="00D31DAA">
            <w:pPr>
              <w:rPr>
                <w:rFonts w:eastAsia="Times New Roman" w:cs="Arial"/>
                <w:color w:val="000000"/>
                <w:lang w:eastAsia="bg-BG"/>
              </w:rPr>
            </w:pPr>
          </w:p>
        </w:tc>
        <w:tc>
          <w:tcPr>
            <w:tcW w:w="3117" w:type="dxa"/>
            <w:vAlign w:val="bottom"/>
          </w:tcPr>
          <w:p w14:paraId="1310F368" w14:textId="16AB9479" w:rsidR="00D31DAA" w:rsidRDefault="00D31DAA" w:rsidP="00D31DAA">
            <w:pPr>
              <w:rPr>
                <w:rFonts w:eastAsia="Times New Roman" w:cs="Arial"/>
                <w:color w:val="000000"/>
                <w:lang w:eastAsia="bg-BG"/>
              </w:rPr>
            </w:pPr>
            <w:r>
              <w:t>Коремна болка</w:t>
            </w:r>
          </w:p>
        </w:tc>
        <w:tc>
          <w:tcPr>
            <w:tcW w:w="3117" w:type="dxa"/>
            <w:vAlign w:val="bottom"/>
          </w:tcPr>
          <w:p w14:paraId="0C56A013" w14:textId="4F6B9323" w:rsidR="00D31DAA" w:rsidRDefault="00D31DAA" w:rsidP="00D31DAA">
            <w:pPr>
              <w:rPr>
                <w:rFonts w:eastAsia="Times New Roman" w:cs="Arial"/>
                <w:color w:val="000000"/>
                <w:lang w:eastAsia="bg-BG"/>
              </w:rPr>
            </w:pPr>
            <w:r>
              <w:t>Чести</w:t>
            </w:r>
          </w:p>
        </w:tc>
      </w:tr>
      <w:tr w:rsidR="00D31DAA" w14:paraId="37BDCF8A" w14:textId="77777777" w:rsidTr="00155FE0">
        <w:tc>
          <w:tcPr>
            <w:tcW w:w="3116" w:type="dxa"/>
            <w:vMerge/>
          </w:tcPr>
          <w:p w14:paraId="410649EC" w14:textId="77777777" w:rsidR="00D31DAA" w:rsidRDefault="00D31DAA" w:rsidP="00D31DAA">
            <w:pPr>
              <w:rPr>
                <w:rFonts w:eastAsia="Times New Roman" w:cs="Arial"/>
                <w:color w:val="000000"/>
                <w:lang w:eastAsia="bg-BG"/>
              </w:rPr>
            </w:pPr>
          </w:p>
        </w:tc>
        <w:tc>
          <w:tcPr>
            <w:tcW w:w="3117" w:type="dxa"/>
            <w:vAlign w:val="bottom"/>
          </w:tcPr>
          <w:p w14:paraId="294EB42F" w14:textId="6CF893DB" w:rsidR="00D31DAA" w:rsidRDefault="00D31DAA" w:rsidP="00D31DAA">
            <w:pPr>
              <w:rPr>
                <w:rFonts w:eastAsia="Times New Roman" w:cs="Arial"/>
                <w:color w:val="000000"/>
                <w:lang w:eastAsia="bg-BG"/>
              </w:rPr>
            </w:pPr>
            <w:r>
              <w:t>Гадене</w:t>
            </w:r>
          </w:p>
        </w:tc>
        <w:tc>
          <w:tcPr>
            <w:tcW w:w="3117" w:type="dxa"/>
            <w:vAlign w:val="bottom"/>
          </w:tcPr>
          <w:p w14:paraId="4B63338F" w14:textId="174D3937" w:rsidR="00D31DAA" w:rsidRDefault="00D31DAA" w:rsidP="00D31DAA">
            <w:pPr>
              <w:rPr>
                <w:rFonts w:eastAsia="Times New Roman" w:cs="Arial"/>
                <w:color w:val="000000"/>
                <w:lang w:eastAsia="bg-BG"/>
              </w:rPr>
            </w:pPr>
            <w:r>
              <w:t>Чести</w:t>
            </w:r>
          </w:p>
        </w:tc>
      </w:tr>
      <w:tr w:rsidR="00D31DAA" w14:paraId="7105D14D" w14:textId="77777777" w:rsidTr="00155FE0">
        <w:tc>
          <w:tcPr>
            <w:tcW w:w="3116" w:type="dxa"/>
            <w:vMerge/>
          </w:tcPr>
          <w:p w14:paraId="07CFABC4" w14:textId="77777777" w:rsidR="00D31DAA" w:rsidRDefault="00D31DAA" w:rsidP="00D31DAA">
            <w:pPr>
              <w:rPr>
                <w:rFonts w:eastAsia="Times New Roman" w:cs="Arial"/>
                <w:color w:val="000000"/>
                <w:lang w:eastAsia="bg-BG"/>
              </w:rPr>
            </w:pPr>
          </w:p>
        </w:tc>
        <w:tc>
          <w:tcPr>
            <w:tcW w:w="3117" w:type="dxa"/>
            <w:vAlign w:val="bottom"/>
          </w:tcPr>
          <w:p w14:paraId="44FD2E62" w14:textId="0898A1D0" w:rsidR="00D31DAA" w:rsidRDefault="00D31DAA" w:rsidP="00D31DAA">
            <w:pPr>
              <w:rPr>
                <w:rFonts w:eastAsia="Times New Roman" w:cs="Arial"/>
                <w:color w:val="000000"/>
                <w:lang w:eastAsia="bg-BG"/>
              </w:rPr>
            </w:pPr>
            <w:r>
              <w:t>Диспепсия</w:t>
            </w:r>
          </w:p>
        </w:tc>
        <w:tc>
          <w:tcPr>
            <w:tcW w:w="3117" w:type="dxa"/>
            <w:vAlign w:val="bottom"/>
          </w:tcPr>
          <w:p w14:paraId="3FE93793" w14:textId="62847031" w:rsidR="00D31DAA" w:rsidRDefault="00D31DAA" w:rsidP="00D31DAA">
            <w:pPr>
              <w:rPr>
                <w:rFonts w:eastAsia="Times New Roman" w:cs="Arial"/>
                <w:color w:val="000000"/>
                <w:lang w:eastAsia="bg-BG"/>
              </w:rPr>
            </w:pPr>
            <w:r>
              <w:t>Чести</w:t>
            </w:r>
          </w:p>
        </w:tc>
      </w:tr>
      <w:tr w:rsidR="00D31DAA" w14:paraId="70BF3B70" w14:textId="77777777" w:rsidTr="00155FE0">
        <w:tc>
          <w:tcPr>
            <w:tcW w:w="3116" w:type="dxa"/>
            <w:vMerge/>
          </w:tcPr>
          <w:p w14:paraId="073B5B15" w14:textId="77777777" w:rsidR="00D31DAA" w:rsidRDefault="00D31DAA" w:rsidP="00D31DAA">
            <w:pPr>
              <w:rPr>
                <w:rFonts w:eastAsia="Times New Roman" w:cs="Arial"/>
                <w:color w:val="000000"/>
                <w:lang w:eastAsia="bg-BG"/>
              </w:rPr>
            </w:pPr>
          </w:p>
        </w:tc>
        <w:tc>
          <w:tcPr>
            <w:tcW w:w="3117" w:type="dxa"/>
            <w:vAlign w:val="bottom"/>
          </w:tcPr>
          <w:p w14:paraId="0B21DB85" w14:textId="0DD0FA85" w:rsidR="00D31DAA" w:rsidRDefault="00D31DAA" w:rsidP="00D31DAA">
            <w:pPr>
              <w:rPr>
                <w:rFonts w:eastAsia="Times New Roman" w:cs="Arial"/>
                <w:color w:val="000000"/>
                <w:lang w:eastAsia="bg-BG"/>
              </w:rPr>
            </w:pPr>
            <w:r>
              <w:t>Повръщане</w:t>
            </w:r>
          </w:p>
        </w:tc>
        <w:tc>
          <w:tcPr>
            <w:tcW w:w="3117" w:type="dxa"/>
            <w:vAlign w:val="bottom"/>
          </w:tcPr>
          <w:p w14:paraId="2CEF3B35" w14:textId="25277751" w:rsidR="00D31DAA" w:rsidRDefault="00D31DAA" w:rsidP="00D31DAA">
            <w:pPr>
              <w:rPr>
                <w:rFonts w:eastAsia="Times New Roman" w:cs="Arial"/>
                <w:color w:val="000000"/>
                <w:lang w:eastAsia="bg-BG"/>
              </w:rPr>
            </w:pPr>
            <w:r>
              <w:t>Нечести</w:t>
            </w:r>
          </w:p>
        </w:tc>
      </w:tr>
      <w:tr w:rsidR="00D31DAA" w14:paraId="232468CE" w14:textId="77777777" w:rsidTr="00155FE0">
        <w:tc>
          <w:tcPr>
            <w:tcW w:w="3116" w:type="dxa"/>
            <w:vMerge/>
          </w:tcPr>
          <w:p w14:paraId="73583A0F" w14:textId="77777777" w:rsidR="00D31DAA" w:rsidRDefault="00D31DAA" w:rsidP="00D31DAA">
            <w:pPr>
              <w:rPr>
                <w:rFonts w:eastAsia="Times New Roman" w:cs="Arial"/>
                <w:color w:val="000000"/>
                <w:lang w:eastAsia="bg-BG"/>
              </w:rPr>
            </w:pPr>
          </w:p>
        </w:tc>
        <w:tc>
          <w:tcPr>
            <w:tcW w:w="3117" w:type="dxa"/>
            <w:vAlign w:val="bottom"/>
          </w:tcPr>
          <w:p w14:paraId="1AB853C1" w14:textId="76191E56" w:rsidR="00D31DAA" w:rsidRDefault="00D31DAA" w:rsidP="00D31DAA">
            <w:pPr>
              <w:rPr>
                <w:rFonts w:eastAsia="Times New Roman" w:cs="Arial"/>
                <w:color w:val="000000"/>
                <w:lang w:eastAsia="bg-BG"/>
              </w:rPr>
            </w:pPr>
            <w:r>
              <w:t>Шпру-подобна ентеропатия (вж. точка 4.4)</w:t>
            </w:r>
          </w:p>
        </w:tc>
        <w:tc>
          <w:tcPr>
            <w:tcW w:w="3117" w:type="dxa"/>
          </w:tcPr>
          <w:p w14:paraId="2C71C1CC" w14:textId="3CADC71F" w:rsidR="00D31DAA" w:rsidRDefault="00D31DAA" w:rsidP="00D31DAA">
            <w:pPr>
              <w:rPr>
                <w:rFonts w:eastAsia="Times New Roman" w:cs="Arial"/>
                <w:color w:val="000000"/>
                <w:lang w:eastAsia="bg-BG"/>
              </w:rPr>
            </w:pPr>
            <w:r>
              <w:t>Много редки</w:t>
            </w:r>
          </w:p>
        </w:tc>
      </w:tr>
      <w:tr w:rsidR="00D31DAA" w14:paraId="4898F8C9" w14:textId="77777777" w:rsidTr="000A6989">
        <w:tc>
          <w:tcPr>
            <w:tcW w:w="3116" w:type="dxa"/>
            <w:vMerge w:val="restart"/>
          </w:tcPr>
          <w:p w14:paraId="46D57B6E" w14:textId="7FCB5B49" w:rsidR="00D31DAA" w:rsidRDefault="00D31DAA" w:rsidP="00D31DAA">
            <w:pPr>
              <w:rPr>
                <w:rFonts w:eastAsia="Times New Roman" w:cs="Arial"/>
                <w:color w:val="000000"/>
                <w:lang w:eastAsia="bg-BG"/>
              </w:rPr>
            </w:pPr>
            <w:r>
              <w:t>Нарушения на кожата и подкожната тъкан</w:t>
            </w:r>
          </w:p>
        </w:tc>
        <w:tc>
          <w:tcPr>
            <w:tcW w:w="3117" w:type="dxa"/>
            <w:vAlign w:val="bottom"/>
          </w:tcPr>
          <w:p w14:paraId="06ED0793" w14:textId="377A0CE9" w:rsidR="00D31DAA" w:rsidRDefault="00D31DAA" w:rsidP="00D31DAA">
            <w:pPr>
              <w:rPr>
                <w:rFonts w:eastAsia="Times New Roman" w:cs="Arial"/>
                <w:color w:val="000000"/>
                <w:lang w:eastAsia="bg-BG"/>
              </w:rPr>
            </w:pPr>
            <w:r>
              <w:t>Екзантем</w:t>
            </w:r>
          </w:p>
        </w:tc>
        <w:tc>
          <w:tcPr>
            <w:tcW w:w="3117" w:type="dxa"/>
            <w:vAlign w:val="bottom"/>
          </w:tcPr>
          <w:p w14:paraId="4E48595C" w14:textId="604E1731" w:rsidR="00D31DAA" w:rsidRDefault="00D31DAA" w:rsidP="00D31DAA">
            <w:pPr>
              <w:rPr>
                <w:rFonts w:eastAsia="Times New Roman" w:cs="Arial"/>
                <w:color w:val="000000"/>
                <w:lang w:eastAsia="bg-BG"/>
              </w:rPr>
            </w:pPr>
            <w:r>
              <w:t>Нечести</w:t>
            </w:r>
          </w:p>
        </w:tc>
      </w:tr>
      <w:tr w:rsidR="00D31DAA" w14:paraId="115FD5FC" w14:textId="77777777" w:rsidTr="000A6989">
        <w:tc>
          <w:tcPr>
            <w:tcW w:w="3116" w:type="dxa"/>
            <w:vMerge/>
          </w:tcPr>
          <w:p w14:paraId="2F8D131C" w14:textId="77777777" w:rsidR="00D31DAA" w:rsidRDefault="00D31DAA" w:rsidP="00D31DAA">
            <w:pPr>
              <w:rPr>
                <w:rFonts w:eastAsia="Times New Roman" w:cs="Arial"/>
                <w:color w:val="000000"/>
                <w:lang w:eastAsia="bg-BG"/>
              </w:rPr>
            </w:pPr>
          </w:p>
        </w:tc>
        <w:tc>
          <w:tcPr>
            <w:tcW w:w="3117" w:type="dxa"/>
            <w:vAlign w:val="bottom"/>
          </w:tcPr>
          <w:p w14:paraId="5222D5B7" w14:textId="2EDC96C2" w:rsidR="00D31DAA" w:rsidRDefault="00D31DAA" w:rsidP="00D31DAA">
            <w:pPr>
              <w:rPr>
                <w:rFonts w:eastAsia="Times New Roman" w:cs="Arial"/>
                <w:color w:val="000000"/>
                <w:lang w:eastAsia="bg-BG"/>
              </w:rPr>
            </w:pPr>
            <w:r>
              <w:t>Алергичен дерматит</w:t>
            </w:r>
          </w:p>
        </w:tc>
        <w:tc>
          <w:tcPr>
            <w:tcW w:w="3117" w:type="dxa"/>
            <w:vAlign w:val="bottom"/>
          </w:tcPr>
          <w:p w14:paraId="1D6D9E55" w14:textId="5F904FCA" w:rsidR="00D31DAA" w:rsidRDefault="00D31DAA" w:rsidP="00D31DAA">
            <w:pPr>
              <w:rPr>
                <w:rFonts w:eastAsia="Times New Roman" w:cs="Arial"/>
                <w:color w:val="000000"/>
                <w:lang w:eastAsia="bg-BG"/>
              </w:rPr>
            </w:pPr>
            <w:r>
              <w:t>Нечести</w:t>
            </w:r>
          </w:p>
        </w:tc>
      </w:tr>
      <w:tr w:rsidR="00D31DAA" w14:paraId="3E8CB725" w14:textId="77777777" w:rsidTr="000A6989">
        <w:tc>
          <w:tcPr>
            <w:tcW w:w="3116" w:type="dxa"/>
            <w:vMerge/>
          </w:tcPr>
          <w:p w14:paraId="24A0D361" w14:textId="77777777" w:rsidR="00D31DAA" w:rsidRDefault="00D31DAA" w:rsidP="00D31DAA">
            <w:pPr>
              <w:rPr>
                <w:rFonts w:eastAsia="Times New Roman" w:cs="Arial"/>
                <w:color w:val="000000"/>
                <w:lang w:eastAsia="bg-BG"/>
              </w:rPr>
            </w:pPr>
          </w:p>
        </w:tc>
        <w:tc>
          <w:tcPr>
            <w:tcW w:w="3117" w:type="dxa"/>
            <w:vAlign w:val="bottom"/>
          </w:tcPr>
          <w:p w14:paraId="48D9F7DF" w14:textId="3E51E4E1" w:rsidR="00D31DAA" w:rsidRDefault="00D31DAA" w:rsidP="00D31DAA">
            <w:pPr>
              <w:rPr>
                <w:rFonts w:eastAsia="Times New Roman" w:cs="Arial"/>
                <w:color w:val="000000"/>
                <w:lang w:eastAsia="bg-BG"/>
              </w:rPr>
            </w:pPr>
            <w:r>
              <w:t>Уртикария</w:t>
            </w:r>
          </w:p>
        </w:tc>
        <w:tc>
          <w:tcPr>
            <w:tcW w:w="3117" w:type="dxa"/>
            <w:vAlign w:val="bottom"/>
          </w:tcPr>
          <w:p w14:paraId="6D06F25C" w14:textId="66C6662D" w:rsidR="00D31DAA" w:rsidRDefault="00D31DAA" w:rsidP="00D31DAA">
            <w:pPr>
              <w:rPr>
                <w:rFonts w:eastAsia="Times New Roman" w:cs="Arial"/>
                <w:color w:val="000000"/>
                <w:lang w:eastAsia="bg-BG"/>
              </w:rPr>
            </w:pPr>
            <w:r>
              <w:t>Нечести</w:t>
            </w:r>
          </w:p>
        </w:tc>
      </w:tr>
      <w:tr w:rsidR="00D31DAA" w14:paraId="4F987F12" w14:textId="77777777" w:rsidTr="000A6989">
        <w:tc>
          <w:tcPr>
            <w:tcW w:w="3116" w:type="dxa"/>
            <w:vMerge/>
          </w:tcPr>
          <w:p w14:paraId="375AECDF" w14:textId="77777777" w:rsidR="00D31DAA" w:rsidRDefault="00D31DAA" w:rsidP="00D31DAA">
            <w:pPr>
              <w:rPr>
                <w:rFonts w:eastAsia="Times New Roman" w:cs="Arial"/>
                <w:color w:val="000000"/>
                <w:lang w:eastAsia="bg-BG"/>
              </w:rPr>
            </w:pPr>
          </w:p>
        </w:tc>
        <w:tc>
          <w:tcPr>
            <w:tcW w:w="3117" w:type="dxa"/>
            <w:vAlign w:val="bottom"/>
          </w:tcPr>
          <w:p w14:paraId="363DE61A" w14:textId="644AAF67" w:rsidR="00D31DAA" w:rsidRDefault="00D31DAA" w:rsidP="00D31DAA">
            <w:pPr>
              <w:rPr>
                <w:rFonts w:eastAsia="Times New Roman" w:cs="Arial"/>
                <w:color w:val="000000"/>
                <w:lang w:eastAsia="bg-BG"/>
              </w:rPr>
            </w:pPr>
            <w:r>
              <w:t>Обрив</w:t>
            </w:r>
          </w:p>
        </w:tc>
        <w:tc>
          <w:tcPr>
            <w:tcW w:w="3117" w:type="dxa"/>
            <w:vAlign w:val="bottom"/>
          </w:tcPr>
          <w:p w14:paraId="7FB14B08" w14:textId="2037E134" w:rsidR="00D31DAA" w:rsidRDefault="00D31DAA" w:rsidP="00D31DAA">
            <w:pPr>
              <w:rPr>
                <w:rFonts w:eastAsia="Times New Roman" w:cs="Arial"/>
                <w:color w:val="000000"/>
                <w:lang w:eastAsia="bg-BG"/>
              </w:rPr>
            </w:pPr>
            <w:r>
              <w:t>Нечести</w:t>
            </w:r>
          </w:p>
        </w:tc>
      </w:tr>
      <w:tr w:rsidR="00D31DAA" w14:paraId="5DE44664" w14:textId="77777777" w:rsidTr="000A6989">
        <w:tc>
          <w:tcPr>
            <w:tcW w:w="3116" w:type="dxa"/>
            <w:vMerge/>
          </w:tcPr>
          <w:p w14:paraId="284FB779" w14:textId="77777777" w:rsidR="00D31DAA" w:rsidRDefault="00D31DAA" w:rsidP="00D31DAA">
            <w:pPr>
              <w:rPr>
                <w:rFonts w:eastAsia="Times New Roman" w:cs="Arial"/>
                <w:color w:val="000000"/>
                <w:lang w:eastAsia="bg-BG"/>
              </w:rPr>
            </w:pPr>
          </w:p>
        </w:tc>
        <w:tc>
          <w:tcPr>
            <w:tcW w:w="3117" w:type="dxa"/>
            <w:vAlign w:val="bottom"/>
          </w:tcPr>
          <w:p w14:paraId="153E5FF2" w14:textId="1AC7591E" w:rsidR="00D31DAA" w:rsidRDefault="00D31DAA" w:rsidP="00D31DAA">
            <w:pPr>
              <w:rPr>
                <w:rFonts w:eastAsia="Times New Roman" w:cs="Arial"/>
                <w:color w:val="000000"/>
                <w:lang w:eastAsia="bg-BG"/>
              </w:rPr>
            </w:pPr>
            <w:r>
              <w:t>Сърбеж</w:t>
            </w:r>
          </w:p>
        </w:tc>
        <w:tc>
          <w:tcPr>
            <w:tcW w:w="3117" w:type="dxa"/>
            <w:vAlign w:val="bottom"/>
          </w:tcPr>
          <w:p w14:paraId="14F3893B" w14:textId="6CB2837A" w:rsidR="00D31DAA" w:rsidRDefault="00D31DAA" w:rsidP="00D31DAA">
            <w:pPr>
              <w:rPr>
                <w:rFonts w:eastAsia="Times New Roman" w:cs="Arial"/>
                <w:color w:val="000000"/>
                <w:lang w:eastAsia="bg-BG"/>
              </w:rPr>
            </w:pPr>
            <w:r>
              <w:t>Нечести</w:t>
            </w:r>
          </w:p>
        </w:tc>
      </w:tr>
      <w:tr w:rsidR="00D31DAA" w14:paraId="23B5730F" w14:textId="77777777" w:rsidTr="000A6989">
        <w:tc>
          <w:tcPr>
            <w:tcW w:w="3116" w:type="dxa"/>
            <w:vMerge/>
          </w:tcPr>
          <w:p w14:paraId="196D5FBE" w14:textId="77777777" w:rsidR="00D31DAA" w:rsidRDefault="00D31DAA" w:rsidP="00D31DAA">
            <w:pPr>
              <w:rPr>
                <w:rFonts w:eastAsia="Times New Roman" w:cs="Arial"/>
                <w:color w:val="000000"/>
                <w:lang w:eastAsia="bg-BG"/>
              </w:rPr>
            </w:pPr>
          </w:p>
        </w:tc>
        <w:tc>
          <w:tcPr>
            <w:tcW w:w="3117" w:type="dxa"/>
            <w:vAlign w:val="bottom"/>
          </w:tcPr>
          <w:p w14:paraId="13FEC7B4" w14:textId="176AC646" w:rsidR="00D31DAA" w:rsidRDefault="00D31DAA" w:rsidP="00D31DAA">
            <w:pPr>
              <w:rPr>
                <w:rFonts w:eastAsia="Times New Roman" w:cs="Arial"/>
                <w:color w:val="000000"/>
                <w:lang w:eastAsia="bg-BG"/>
              </w:rPr>
            </w:pPr>
            <w:r>
              <w:t>Ангиоедем</w:t>
            </w:r>
          </w:p>
        </w:tc>
        <w:tc>
          <w:tcPr>
            <w:tcW w:w="3117" w:type="dxa"/>
            <w:vAlign w:val="bottom"/>
          </w:tcPr>
          <w:p w14:paraId="30400967" w14:textId="76453515" w:rsidR="00D31DAA" w:rsidRDefault="00D31DAA" w:rsidP="00D31DAA">
            <w:pPr>
              <w:rPr>
                <w:rFonts w:eastAsia="Times New Roman" w:cs="Arial"/>
                <w:color w:val="000000"/>
                <w:lang w:eastAsia="bg-BG"/>
              </w:rPr>
            </w:pPr>
            <w:r>
              <w:t>Редки</w:t>
            </w:r>
          </w:p>
        </w:tc>
      </w:tr>
      <w:tr w:rsidR="00D31DAA" w14:paraId="06F8B4A4" w14:textId="77777777" w:rsidTr="000A6989">
        <w:tc>
          <w:tcPr>
            <w:tcW w:w="3116" w:type="dxa"/>
            <w:vMerge w:val="restart"/>
          </w:tcPr>
          <w:p w14:paraId="030BDA99" w14:textId="581255AC" w:rsidR="00D31DAA" w:rsidRDefault="00D31DAA" w:rsidP="00D31DAA">
            <w:pPr>
              <w:rPr>
                <w:rFonts w:eastAsia="Times New Roman" w:cs="Arial"/>
                <w:color w:val="000000"/>
                <w:lang w:eastAsia="bg-BG"/>
              </w:rPr>
            </w:pPr>
            <w:r>
              <w:t>Нарушения на мускулно- скелетната система и съединителната тъкан</w:t>
            </w:r>
          </w:p>
        </w:tc>
        <w:tc>
          <w:tcPr>
            <w:tcW w:w="3117" w:type="dxa"/>
            <w:vAlign w:val="bottom"/>
          </w:tcPr>
          <w:p w14:paraId="78CDD261" w14:textId="526D88D1" w:rsidR="00D31DAA" w:rsidRDefault="00D31DAA" w:rsidP="00D31DAA">
            <w:pPr>
              <w:rPr>
                <w:rFonts w:eastAsia="Times New Roman" w:cs="Arial"/>
                <w:color w:val="000000"/>
                <w:lang w:eastAsia="bg-BG"/>
              </w:rPr>
            </w:pPr>
            <w:r>
              <w:t>Артрит</w:t>
            </w:r>
          </w:p>
        </w:tc>
        <w:tc>
          <w:tcPr>
            <w:tcW w:w="3117" w:type="dxa"/>
            <w:vAlign w:val="bottom"/>
          </w:tcPr>
          <w:p w14:paraId="0B0CD94A" w14:textId="4F2691E4" w:rsidR="00D31DAA" w:rsidRDefault="00D31DAA" w:rsidP="00D31DAA">
            <w:pPr>
              <w:rPr>
                <w:rFonts w:eastAsia="Times New Roman" w:cs="Arial"/>
                <w:color w:val="000000"/>
                <w:lang w:eastAsia="bg-BG"/>
              </w:rPr>
            </w:pPr>
            <w:r>
              <w:t>Чести</w:t>
            </w:r>
          </w:p>
        </w:tc>
      </w:tr>
      <w:tr w:rsidR="00D31DAA" w14:paraId="6D5B5999" w14:textId="77777777" w:rsidTr="000A6989">
        <w:tc>
          <w:tcPr>
            <w:tcW w:w="3116" w:type="dxa"/>
            <w:vMerge/>
          </w:tcPr>
          <w:p w14:paraId="0E36B95E" w14:textId="77777777" w:rsidR="00D31DAA" w:rsidRDefault="00D31DAA" w:rsidP="00D31DAA">
            <w:pPr>
              <w:rPr>
                <w:rFonts w:eastAsia="Times New Roman" w:cs="Arial"/>
                <w:color w:val="000000"/>
                <w:lang w:eastAsia="bg-BG"/>
              </w:rPr>
            </w:pPr>
          </w:p>
        </w:tc>
        <w:tc>
          <w:tcPr>
            <w:tcW w:w="3117" w:type="dxa"/>
            <w:vAlign w:val="bottom"/>
          </w:tcPr>
          <w:p w14:paraId="6472110E" w14:textId="15B7BB1C" w:rsidR="00D31DAA" w:rsidRDefault="00D31DAA" w:rsidP="00D31DAA">
            <w:pPr>
              <w:rPr>
                <w:rFonts w:eastAsia="Times New Roman" w:cs="Arial"/>
                <w:color w:val="000000"/>
                <w:lang w:eastAsia="bg-BG"/>
              </w:rPr>
            </w:pPr>
            <w:r>
              <w:t>Болка в гърба</w:t>
            </w:r>
          </w:p>
        </w:tc>
        <w:tc>
          <w:tcPr>
            <w:tcW w:w="3117" w:type="dxa"/>
            <w:vAlign w:val="bottom"/>
          </w:tcPr>
          <w:p w14:paraId="070531FD" w14:textId="4491EE7F" w:rsidR="00D31DAA" w:rsidRDefault="00D31DAA" w:rsidP="00D31DAA">
            <w:pPr>
              <w:rPr>
                <w:rFonts w:eastAsia="Times New Roman" w:cs="Arial"/>
                <w:color w:val="000000"/>
                <w:lang w:eastAsia="bg-BG"/>
              </w:rPr>
            </w:pPr>
            <w:r>
              <w:t>Чести</w:t>
            </w:r>
          </w:p>
        </w:tc>
      </w:tr>
      <w:tr w:rsidR="00D31DAA" w14:paraId="05745FA7" w14:textId="77777777" w:rsidTr="000A6989">
        <w:tc>
          <w:tcPr>
            <w:tcW w:w="3116" w:type="dxa"/>
            <w:vMerge/>
          </w:tcPr>
          <w:p w14:paraId="6489469B" w14:textId="77777777" w:rsidR="00D31DAA" w:rsidRDefault="00D31DAA" w:rsidP="00D31DAA">
            <w:pPr>
              <w:rPr>
                <w:rFonts w:eastAsia="Times New Roman" w:cs="Arial"/>
                <w:color w:val="000000"/>
                <w:lang w:eastAsia="bg-BG"/>
              </w:rPr>
            </w:pPr>
          </w:p>
        </w:tc>
        <w:tc>
          <w:tcPr>
            <w:tcW w:w="3117" w:type="dxa"/>
            <w:vAlign w:val="bottom"/>
          </w:tcPr>
          <w:p w14:paraId="01668440" w14:textId="2D77695C" w:rsidR="00D31DAA" w:rsidRDefault="00D31DAA" w:rsidP="00D31DAA">
            <w:pPr>
              <w:rPr>
                <w:rFonts w:eastAsia="Times New Roman" w:cs="Arial"/>
                <w:color w:val="000000"/>
                <w:lang w:eastAsia="bg-BG"/>
              </w:rPr>
            </w:pPr>
            <w:r>
              <w:t>Болка в костите</w:t>
            </w:r>
          </w:p>
        </w:tc>
        <w:tc>
          <w:tcPr>
            <w:tcW w:w="3117" w:type="dxa"/>
            <w:vAlign w:val="bottom"/>
          </w:tcPr>
          <w:p w14:paraId="54EC39DB" w14:textId="5911C57D" w:rsidR="00D31DAA" w:rsidRDefault="00D31DAA" w:rsidP="00D31DAA">
            <w:pPr>
              <w:rPr>
                <w:rFonts w:eastAsia="Times New Roman" w:cs="Arial"/>
                <w:color w:val="000000"/>
                <w:lang w:eastAsia="bg-BG"/>
              </w:rPr>
            </w:pPr>
            <w:r>
              <w:t>Чести</w:t>
            </w:r>
          </w:p>
        </w:tc>
      </w:tr>
      <w:tr w:rsidR="00D31DAA" w14:paraId="6D33914D" w14:textId="77777777" w:rsidTr="000A6989">
        <w:tc>
          <w:tcPr>
            <w:tcW w:w="3116" w:type="dxa"/>
            <w:vMerge/>
          </w:tcPr>
          <w:p w14:paraId="5C86477B" w14:textId="77777777" w:rsidR="00D31DAA" w:rsidRDefault="00D31DAA" w:rsidP="00D31DAA">
            <w:pPr>
              <w:rPr>
                <w:rFonts w:eastAsia="Times New Roman" w:cs="Arial"/>
                <w:color w:val="000000"/>
                <w:lang w:eastAsia="bg-BG"/>
              </w:rPr>
            </w:pPr>
          </w:p>
        </w:tc>
        <w:tc>
          <w:tcPr>
            <w:tcW w:w="3117" w:type="dxa"/>
            <w:vAlign w:val="bottom"/>
          </w:tcPr>
          <w:p w14:paraId="26713445" w14:textId="19D228CD" w:rsidR="00D31DAA" w:rsidRDefault="00D31DAA" w:rsidP="00D31DAA">
            <w:pPr>
              <w:rPr>
                <w:rFonts w:eastAsia="Times New Roman" w:cs="Arial"/>
                <w:color w:val="000000"/>
                <w:lang w:eastAsia="bg-BG"/>
              </w:rPr>
            </w:pPr>
            <w:r>
              <w:t>Миалгия</w:t>
            </w:r>
          </w:p>
        </w:tc>
        <w:tc>
          <w:tcPr>
            <w:tcW w:w="3117" w:type="dxa"/>
            <w:vAlign w:val="bottom"/>
          </w:tcPr>
          <w:p w14:paraId="5FEEF4D6" w14:textId="2E73F287" w:rsidR="00D31DAA" w:rsidRDefault="00D31DAA" w:rsidP="00D31DAA">
            <w:pPr>
              <w:rPr>
                <w:rFonts w:eastAsia="Times New Roman" w:cs="Arial"/>
                <w:color w:val="000000"/>
                <w:lang w:eastAsia="bg-BG"/>
              </w:rPr>
            </w:pPr>
            <w:r>
              <w:t>Нечести</w:t>
            </w:r>
          </w:p>
        </w:tc>
      </w:tr>
      <w:tr w:rsidR="00D31DAA" w14:paraId="420E1D97" w14:textId="77777777" w:rsidTr="000A6989">
        <w:tc>
          <w:tcPr>
            <w:tcW w:w="3116" w:type="dxa"/>
            <w:vMerge/>
          </w:tcPr>
          <w:p w14:paraId="6E5A35D3" w14:textId="77777777" w:rsidR="00D31DAA" w:rsidRDefault="00D31DAA" w:rsidP="00D31DAA">
            <w:pPr>
              <w:rPr>
                <w:rFonts w:eastAsia="Times New Roman" w:cs="Arial"/>
                <w:color w:val="000000"/>
                <w:lang w:eastAsia="bg-BG"/>
              </w:rPr>
            </w:pPr>
          </w:p>
        </w:tc>
        <w:tc>
          <w:tcPr>
            <w:tcW w:w="3117" w:type="dxa"/>
            <w:vAlign w:val="bottom"/>
          </w:tcPr>
          <w:p w14:paraId="15CFCD6D" w14:textId="312BE568" w:rsidR="00D31DAA" w:rsidRDefault="00D31DAA" w:rsidP="00D31DAA">
            <w:pPr>
              <w:rPr>
                <w:rFonts w:eastAsia="Times New Roman" w:cs="Arial"/>
                <w:color w:val="000000"/>
                <w:lang w:eastAsia="bg-BG"/>
              </w:rPr>
            </w:pPr>
            <w:r>
              <w:t>Мускулен спазъм</w:t>
            </w:r>
          </w:p>
        </w:tc>
        <w:tc>
          <w:tcPr>
            <w:tcW w:w="3117" w:type="dxa"/>
            <w:vAlign w:val="bottom"/>
          </w:tcPr>
          <w:p w14:paraId="6008861E" w14:textId="7C0CA1BE" w:rsidR="00D31DAA" w:rsidRDefault="00D31DAA" w:rsidP="00D31DAA">
            <w:pPr>
              <w:rPr>
                <w:rFonts w:eastAsia="Times New Roman" w:cs="Arial"/>
                <w:color w:val="000000"/>
                <w:lang w:eastAsia="bg-BG"/>
              </w:rPr>
            </w:pPr>
            <w:r>
              <w:t>Редки</w:t>
            </w:r>
          </w:p>
        </w:tc>
      </w:tr>
      <w:tr w:rsidR="00D31DAA" w14:paraId="063E718C" w14:textId="77777777" w:rsidTr="0055310F">
        <w:tc>
          <w:tcPr>
            <w:tcW w:w="3116" w:type="dxa"/>
            <w:vMerge w:val="restart"/>
          </w:tcPr>
          <w:p w14:paraId="32920AE4" w14:textId="4CC651B0" w:rsidR="00D31DAA" w:rsidRDefault="00D31DAA" w:rsidP="00D31DAA">
            <w:pPr>
              <w:rPr>
                <w:rFonts w:eastAsia="Times New Roman" w:cs="Arial"/>
                <w:color w:val="000000"/>
                <w:lang w:eastAsia="bg-BG"/>
              </w:rPr>
            </w:pPr>
            <w:r>
              <w:t>Нарушения на бъбреците и пикочните пътища</w:t>
            </w:r>
          </w:p>
        </w:tc>
        <w:tc>
          <w:tcPr>
            <w:tcW w:w="3117" w:type="dxa"/>
            <w:vAlign w:val="bottom"/>
          </w:tcPr>
          <w:p w14:paraId="27B888EC" w14:textId="6F389D68" w:rsidR="00D31DAA" w:rsidRDefault="00D31DAA" w:rsidP="00D31DAA">
            <w:pPr>
              <w:rPr>
                <w:rFonts w:eastAsia="Times New Roman" w:cs="Arial"/>
                <w:color w:val="000000"/>
                <w:lang w:eastAsia="bg-BG"/>
              </w:rPr>
            </w:pPr>
            <w:r>
              <w:t>Хематурия</w:t>
            </w:r>
          </w:p>
        </w:tc>
        <w:tc>
          <w:tcPr>
            <w:tcW w:w="3117" w:type="dxa"/>
            <w:vAlign w:val="bottom"/>
          </w:tcPr>
          <w:p w14:paraId="6D699322" w14:textId="69FBA221" w:rsidR="00D31DAA" w:rsidRDefault="00D31DAA" w:rsidP="00D31DAA">
            <w:pPr>
              <w:rPr>
                <w:rFonts w:eastAsia="Times New Roman" w:cs="Arial"/>
                <w:color w:val="000000"/>
                <w:lang w:eastAsia="bg-BG"/>
              </w:rPr>
            </w:pPr>
            <w:r>
              <w:t>Чести</w:t>
            </w:r>
            <w:r>
              <w:tab/>
            </w:r>
          </w:p>
        </w:tc>
      </w:tr>
      <w:tr w:rsidR="00D31DAA" w14:paraId="0FEF41A1" w14:textId="77777777" w:rsidTr="0055310F">
        <w:tc>
          <w:tcPr>
            <w:tcW w:w="3116" w:type="dxa"/>
            <w:vMerge/>
          </w:tcPr>
          <w:p w14:paraId="2496B472" w14:textId="77777777" w:rsidR="00D31DAA" w:rsidRDefault="00D31DAA" w:rsidP="00D31DAA">
            <w:pPr>
              <w:rPr>
                <w:rFonts w:eastAsia="Times New Roman" w:cs="Arial"/>
                <w:color w:val="000000"/>
                <w:lang w:eastAsia="bg-BG"/>
              </w:rPr>
            </w:pPr>
          </w:p>
        </w:tc>
        <w:tc>
          <w:tcPr>
            <w:tcW w:w="3117" w:type="dxa"/>
            <w:vAlign w:val="bottom"/>
          </w:tcPr>
          <w:p w14:paraId="44952FD0" w14:textId="7587B5DC" w:rsidR="00D31DAA" w:rsidRDefault="00D31DAA" w:rsidP="00D31DAA">
            <w:pPr>
              <w:rPr>
                <w:rFonts w:eastAsia="Times New Roman" w:cs="Arial"/>
                <w:color w:val="000000"/>
                <w:lang w:eastAsia="bg-BG"/>
              </w:rPr>
            </w:pPr>
            <w:r>
              <w:t>Инфекция на пикочните пътища</w:t>
            </w:r>
          </w:p>
        </w:tc>
        <w:tc>
          <w:tcPr>
            <w:tcW w:w="3117" w:type="dxa"/>
          </w:tcPr>
          <w:p w14:paraId="2A581375" w14:textId="7258AC02" w:rsidR="00D31DAA" w:rsidRDefault="00D31DAA" w:rsidP="00D31DAA">
            <w:pPr>
              <w:rPr>
                <w:rFonts w:eastAsia="Times New Roman" w:cs="Arial"/>
                <w:color w:val="000000"/>
                <w:lang w:eastAsia="bg-BG"/>
              </w:rPr>
            </w:pPr>
            <w:r>
              <w:t>Чести</w:t>
            </w:r>
          </w:p>
        </w:tc>
      </w:tr>
      <w:tr w:rsidR="00D31DAA" w14:paraId="557AF089" w14:textId="77777777" w:rsidTr="007008F4">
        <w:trPr>
          <w:trHeight w:val="550"/>
        </w:trPr>
        <w:tc>
          <w:tcPr>
            <w:tcW w:w="3116" w:type="dxa"/>
            <w:vMerge/>
          </w:tcPr>
          <w:p w14:paraId="68B573F6" w14:textId="77777777" w:rsidR="00D31DAA" w:rsidRDefault="00D31DAA" w:rsidP="00D31DAA">
            <w:pPr>
              <w:rPr>
                <w:rFonts w:eastAsia="Times New Roman" w:cs="Arial"/>
                <w:color w:val="000000"/>
                <w:lang w:eastAsia="bg-BG"/>
              </w:rPr>
            </w:pPr>
          </w:p>
        </w:tc>
        <w:tc>
          <w:tcPr>
            <w:tcW w:w="3117" w:type="dxa"/>
            <w:vAlign w:val="bottom"/>
          </w:tcPr>
          <w:p w14:paraId="1F362F30" w14:textId="77777777" w:rsidR="00D31DAA" w:rsidRDefault="00D31DAA" w:rsidP="00D31DAA">
            <w:pPr>
              <w:rPr>
                <w:rFonts w:eastAsia="Times New Roman" w:cs="Arial"/>
                <w:color w:val="000000"/>
                <w:lang w:eastAsia="bg-BG"/>
              </w:rPr>
            </w:pPr>
            <w:r>
              <w:t>Остра бъбречна</w:t>
            </w:r>
          </w:p>
          <w:p w14:paraId="142E803B" w14:textId="7CBCFC08" w:rsidR="00D31DAA" w:rsidRDefault="00D31DAA" w:rsidP="00D31DAA">
            <w:pPr>
              <w:rPr>
                <w:rFonts w:eastAsia="Times New Roman" w:cs="Arial"/>
                <w:color w:val="000000"/>
                <w:lang w:eastAsia="bg-BG"/>
              </w:rPr>
            </w:pPr>
            <w:r>
              <w:t>недостатъчност</w:t>
            </w:r>
          </w:p>
        </w:tc>
        <w:tc>
          <w:tcPr>
            <w:tcW w:w="3117" w:type="dxa"/>
          </w:tcPr>
          <w:p w14:paraId="56FA256F" w14:textId="7AE82434" w:rsidR="00D31DAA" w:rsidRDefault="00D31DAA" w:rsidP="00D31DAA">
            <w:pPr>
              <w:rPr>
                <w:rFonts w:eastAsia="Times New Roman" w:cs="Arial"/>
                <w:color w:val="000000"/>
                <w:lang w:eastAsia="bg-BG"/>
              </w:rPr>
            </w:pPr>
            <w:r>
              <w:t xml:space="preserve">Редки </w:t>
            </w:r>
          </w:p>
        </w:tc>
      </w:tr>
      <w:tr w:rsidR="00D31DAA" w14:paraId="3A63C0BE" w14:textId="77777777" w:rsidTr="00D31DAA">
        <w:tc>
          <w:tcPr>
            <w:tcW w:w="3116" w:type="dxa"/>
            <w:vMerge/>
          </w:tcPr>
          <w:p w14:paraId="5CDA1FAD" w14:textId="77777777" w:rsidR="00D31DAA" w:rsidRDefault="00D31DAA" w:rsidP="00D31DAA">
            <w:pPr>
              <w:rPr>
                <w:rFonts w:eastAsia="Times New Roman" w:cs="Arial"/>
                <w:color w:val="000000"/>
                <w:lang w:eastAsia="bg-BG"/>
              </w:rPr>
            </w:pPr>
          </w:p>
        </w:tc>
        <w:tc>
          <w:tcPr>
            <w:tcW w:w="3117" w:type="dxa"/>
          </w:tcPr>
          <w:p w14:paraId="36FE184C" w14:textId="1EDB1D08" w:rsidR="00D31DAA" w:rsidRDefault="00D31DAA" w:rsidP="00D31DAA">
            <w:pPr>
              <w:rPr>
                <w:rFonts w:eastAsia="Times New Roman" w:cs="Arial"/>
                <w:color w:val="000000"/>
                <w:lang w:eastAsia="bg-BG"/>
              </w:rPr>
            </w:pPr>
            <w:r>
              <w:t>Бъбречна недостатъчност</w:t>
            </w:r>
          </w:p>
        </w:tc>
        <w:tc>
          <w:tcPr>
            <w:tcW w:w="3117" w:type="dxa"/>
          </w:tcPr>
          <w:p w14:paraId="4CF6FD64" w14:textId="56F572D4" w:rsidR="00D31DAA" w:rsidRDefault="00D31DAA" w:rsidP="00D31DAA">
            <w:pPr>
              <w:rPr>
                <w:rFonts w:eastAsia="Times New Roman" w:cs="Arial"/>
                <w:color w:val="000000"/>
                <w:lang w:eastAsia="bg-BG"/>
              </w:rPr>
            </w:pPr>
            <w:r>
              <w:t>Редки</w:t>
            </w:r>
          </w:p>
        </w:tc>
      </w:tr>
      <w:tr w:rsidR="00D31DAA" w14:paraId="7BBF588D" w14:textId="77777777" w:rsidTr="00D31DAA">
        <w:tc>
          <w:tcPr>
            <w:tcW w:w="3116" w:type="dxa"/>
            <w:vMerge w:val="restart"/>
          </w:tcPr>
          <w:p w14:paraId="1FE60394" w14:textId="2AFFA51A" w:rsidR="00D31DAA" w:rsidRDefault="00D31DAA" w:rsidP="00D31DAA">
            <w:pPr>
              <w:rPr>
                <w:rFonts w:eastAsia="Times New Roman" w:cs="Arial"/>
                <w:color w:val="000000"/>
                <w:lang w:eastAsia="bg-BG"/>
              </w:rPr>
            </w:pPr>
            <w:r>
              <w:t>Общи нарушения и ефекти на мястото на приложение</w:t>
            </w:r>
          </w:p>
        </w:tc>
        <w:tc>
          <w:tcPr>
            <w:tcW w:w="3117" w:type="dxa"/>
          </w:tcPr>
          <w:p w14:paraId="56241457" w14:textId="2C6DA86B" w:rsidR="00D31DAA" w:rsidRDefault="00D31DAA" w:rsidP="00D31DAA">
            <w:pPr>
              <w:rPr>
                <w:rFonts w:eastAsia="Times New Roman" w:cs="Arial"/>
                <w:color w:val="000000"/>
                <w:lang w:eastAsia="bg-BG"/>
              </w:rPr>
            </w:pPr>
            <w:r>
              <w:t>Болка</w:t>
            </w:r>
          </w:p>
        </w:tc>
        <w:tc>
          <w:tcPr>
            <w:tcW w:w="3117" w:type="dxa"/>
          </w:tcPr>
          <w:p w14:paraId="412D23B3" w14:textId="05E2DFC6" w:rsidR="00D31DAA" w:rsidRDefault="00D31DAA" w:rsidP="00D31DAA">
            <w:pPr>
              <w:rPr>
                <w:rFonts w:eastAsia="Times New Roman" w:cs="Arial"/>
                <w:color w:val="000000"/>
                <w:lang w:eastAsia="bg-BG"/>
              </w:rPr>
            </w:pPr>
            <w:r>
              <w:t>Чести</w:t>
            </w:r>
          </w:p>
        </w:tc>
      </w:tr>
      <w:tr w:rsidR="00D31DAA" w14:paraId="68ED69FB" w14:textId="77777777" w:rsidTr="00D31DAA">
        <w:tc>
          <w:tcPr>
            <w:tcW w:w="3116" w:type="dxa"/>
            <w:vMerge/>
          </w:tcPr>
          <w:p w14:paraId="76B500D8" w14:textId="77777777" w:rsidR="00D31DAA" w:rsidRDefault="00D31DAA" w:rsidP="00D31DAA">
            <w:pPr>
              <w:rPr>
                <w:rFonts w:eastAsia="Times New Roman" w:cs="Arial"/>
                <w:color w:val="000000"/>
                <w:lang w:eastAsia="bg-BG"/>
              </w:rPr>
            </w:pPr>
          </w:p>
        </w:tc>
        <w:tc>
          <w:tcPr>
            <w:tcW w:w="3117" w:type="dxa"/>
          </w:tcPr>
          <w:p w14:paraId="18EE66C4" w14:textId="6BAF6CAB" w:rsidR="00D31DAA" w:rsidRDefault="00D31DAA" w:rsidP="00D31DAA">
            <w:pPr>
              <w:rPr>
                <w:rFonts w:eastAsia="Times New Roman" w:cs="Arial"/>
                <w:color w:val="000000"/>
                <w:lang w:eastAsia="bg-BG"/>
              </w:rPr>
            </w:pPr>
            <w:r>
              <w:t>Болка в гърдите</w:t>
            </w:r>
          </w:p>
        </w:tc>
        <w:tc>
          <w:tcPr>
            <w:tcW w:w="3117" w:type="dxa"/>
          </w:tcPr>
          <w:p w14:paraId="0CE93044" w14:textId="43E8CFBC" w:rsidR="00D31DAA" w:rsidRDefault="00D31DAA" w:rsidP="00D31DAA">
            <w:pPr>
              <w:rPr>
                <w:rFonts w:eastAsia="Times New Roman" w:cs="Arial"/>
                <w:color w:val="000000"/>
                <w:lang w:eastAsia="bg-BG"/>
              </w:rPr>
            </w:pPr>
            <w:r>
              <w:t>Чести</w:t>
            </w:r>
          </w:p>
        </w:tc>
      </w:tr>
      <w:tr w:rsidR="00D31DAA" w14:paraId="3C895AB5" w14:textId="77777777" w:rsidTr="00D31DAA">
        <w:tc>
          <w:tcPr>
            <w:tcW w:w="3116" w:type="dxa"/>
            <w:vMerge/>
          </w:tcPr>
          <w:p w14:paraId="7707B4BF" w14:textId="77777777" w:rsidR="00D31DAA" w:rsidRDefault="00D31DAA" w:rsidP="00D31DAA">
            <w:pPr>
              <w:rPr>
                <w:rFonts w:eastAsia="Times New Roman" w:cs="Arial"/>
                <w:color w:val="000000"/>
                <w:lang w:eastAsia="bg-BG"/>
              </w:rPr>
            </w:pPr>
          </w:p>
        </w:tc>
        <w:tc>
          <w:tcPr>
            <w:tcW w:w="3117" w:type="dxa"/>
          </w:tcPr>
          <w:p w14:paraId="7DADF92C" w14:textId="557643A0" w:rsidR="00D31DAA" w:rsidRDefault="00D31DAA" w:rsidP="00D31DAA">
            <w:pPr>
              <w:rPr>
                <w:rFonts w:eastAsia="Times New Roman" w:cs="Arial"/>
                <w:color w:val="000000"/>
                <w:lang w:eastAsia="bg-BG"/>
              </w:rPr>
            </w:pPr>
            <w:r>
              <w:t>Периферен оток</w:t>
            </w:r>
          </w:p>
        </w:tc>
        <w:tc>
          <w:tcPr>
            <w:tcW w:w="3117" w:type="dxa"/>
          </w:tcPr>
          <w:p w14:paraId="163CFB82" w14:textId="350D3348" w:rsidR="00D31DAA" w:rsidRDefault="00D31DAA" w:rsidP="00D31DAA">
            <w:pPr>
              <w:rPr>
                <w:rFonts w:eastAsia="Times New Roman" w:cs="Arial"/>
                <w:color w:val="000000"/>
                <w:lang w:eastAsia="bg-BG"/>
              </w:rPr>
            </w:pPr>
            <w:r>
              <w:t>Чести</w:t>
            </w:r>
          </w:p>
        </w:tc>
      </w:tr>
      <w:tr w:rsidR="00D31DAA" w14:paraId="388E73D6" w14:textId="77777777" w:rsidTr="00D31DAA">
        <w:tc>
          <w:tcPr>
            <w:tcW w:w="3116" w:type="dxa"/>
            <w:vMerge/>
          </w:tcPr>
          <w:p w14:paraId="7C69993B" w14:textId="77777777" w:rsidR="00D31DAA" w:rsidRDefault="00D31DAA" w:rsidP="00D31DAA">
            <w:pPr>
              <w:rPr>
                <w:rFonts w:eastAsia="Times New Roman" w:cs="Arial"/>
                <w:color w:val="000000"/>
                <w:lang w:eastAsia="bg-BG"/>
              </w:rPr>
            </w:pPr>
          </w:p>
        </w:tc>
        <w:tc>
          <w:tcPr>
            <w:tcW w:w="3117" w:type="dxa"/>
          </w:tcPr>
          <w:p w14:paraId="7A287792" w14:textId="5675290C" w:rsidR="00D31DAA" w:rsidRDefault="00D31DAA" w:rsidP="00D31DAA">
            <w:pPr>
              <w:rPr>
                <w:rFonts w:eastAsia="Times New Roman" w:cs="Arial"/>
                <w:color w:val="000000"/>
                <w:lang w:eastAsia="bg-BG"/>
              </w:rPr>
            </w:pPr>
            <w:r>
              <w:t>Грипоподобни симптоми</w:t>
            </w:r>
          </w:p>
        </w:tc>
        <w:tc>
          <w:tcPr>
            <w:tcW w:w="3117" w:type="dxa"/>
          </w:tcPr>
          <w:p w14:paraId="7D802814" w14:textId="67B48DAB" w:rsidR="00D31DAA" w:rsidRDefault="00D31DAA" w:rsidP="00D31DAA">
            <w:pPr>
              <w:rPr>
                <w:rFonts w:eastAsia="Times New Roman" w:cs="Arial"/>
                <w:color w:val="000000"/>
                <w:lang w:eastAsia="bg-BG"/>
              </w:rPr>
            </w:pPr>
            <w:r>
              <w:t>Чести</w:t>
            </w:r>
          </w:p>
        </w:tc>
      </w:tr>
      <w:tr w:rsidR="00D31DAA" w14:paraId="4AE21531" w14:textId="77777777" w:rsidTr="00D31DAA">
        <w:tc>
          <w:tcPr>
            <w:tcW w:w="3116" w:type="dxa"/>
            <w:vMerge/>
          </w:tcPr>
          <w:p w14:paraId="4BFEBA39" w14:textId="77777777" w:rsidR="00D31DAA" w:rsidRDefault="00D31DAA" w:rsidP="00D31DAA">
            <w:pPr>
              <w:rPr>
                <w:rFonts w:eastAsia="Times New Roman" w:cs="Arial"/>
                <w:color w:val="000000"/>
                <w:lang w:eastAsia="bg-BG"/>
              </w:rPr>
            </w:pPr>
          </w:p>
        </w:tc>
        <w:tc>
          <w:tcPr>
            <w:tcW w:w="3117" w:type="dxa"/>
          </w:tcPr>
          <w:p w14:paraId="063B029D" w14:textId="14ABD0EF" w:rsidR="00D31DAA" w:rsidRDefault="00D31DAA" w:rsidP="00D31DAA">
            <w:pPr>
              <w:rPr>
                <w:rFonts w:eastAsia="Times New Roman" w:cs="Arial"/>
                <w:color w:val="000000"/>
                <w:lang w:eastAsia="bg-BG"/>
              </w:rPr>
            </w:pPr>
            <w:r>
              <w:t>Умора</w:t>
            </w:r>
          </w:p>
        </w:tc>
        <w:tc>
          <w:tcPr>
            <w:tcW w:w="3117" w:type="dxa"/>
          </w:tcPr>
          <w:p w14:paraId="20DFF5B6" w14:textId="1E7B2550" w:rsidR="00D31DAA" w:rsidRDefault="00D31DAA" w:rsidP="00D31DAA">
            <w:pPr>
              <w:rPr>
                <w:rFonts w:eastAsia="Times New Roman" w:cs="Arial"/>
                <w:color w:val="000000"/>
                <w:lang w:eastAsia="bg-BG"/>
              </w:rPr>
            </w:pPr>
            <w:r>
              <w:t>Чести</w:t>
            </w:r>
          </w:p>
        </w:tc>
      </w:tr>
      <w:tr w:rsidR="00D31DAA" w14:paraId="3EAFB4C9" w14:textId="77777777" w:rsidTr="00D31DAA">
        <w:tc>
          <w:tcPr>
            <w:tcW w:w="3116" w:type="dxa"/>
            <w:vMerge/>
          </w:tcPr>
          <w:p w14:paraId="5E53DCFA" w14:textId="77777777" w:rsidR="00D31DAA" w:rsidRDefault="00D31DAA" w:rsidP="00D31DAA">
            <w:pPr>
              <w:rPr>
                <w:rFonts w:eastAsia="Times New Roman" w:cs="Arial"/>
                <w:color w:val="000000"/>
                <w:lang w:eastAsia="bg-BG"/>
              </w:rPr>
            </w:pPr>
          </w:p>
        </w:tc>
        <w:tc>
          <w:tcPr>
            <w:tcW w:w="3117" w:type="dxa"/>
          </w:tcPr>
          <w:p w14:paraId="52515D67" w14:textId="75532249" w:rsidR="00D31DAA" w:rsidRDefault="00D31DAA" w:rsidP="00D31DAA">
            <w:pPr>
              <w:rPr>
                <w:rFonts w:eastAsia="Times New Roman" w:cs="Arial"/>
                <w:color w:val="000000"/>
                <w:lang w:eastAsia="bg-BG"/>
              </w:rPr>
            </w:pPr>
            <w:r>
              <w:t>Оток на лицето</w:t>
            </w:r>
          </w:p>
        </w:tc>
        <w:tc>
          <w:tcPr>
            <w:tcW w:w="3117" w:type="dxa"/>
          </w:tcPr>
          <w:p w14:paraId="1679188E" w14:textId="11573B84" w:rsidR="00D31DAA" w:rsidRDefault="00D31DAA" w:rsidP="00D31DAA">
            <w:pPr>
              <w:rPr>
                <w:rFonts w:eastAsia="Times New Roman" w:cs="Arial"/>
                <w:color w:val="000000"/>
                <w:lang w:eastAsia="bg-BG"/>
              </w:rPr>
            </w:pPr>
            <w:r>
              <w:t>Нечести</w:t>
            </w:r>
          </w:p>
        </w:tc>
      </w:tr>
      <w:tr w:rsidR="00D31DAA" w14:paraId="01444840" w14:textId="77777777" w:rsidTr="00D31DAA">
        <w:tc>
          <w:tcPr>
            <w:tcW w:w="3116" w:type="dxa"/>
            <w:vMerge/>
          </w:tcPr>
          <w:p w14:paraId="75B75B82" w14:textId="77777777" w:rsidR="00D31DAA" w:rsidRDefault="00D31DAA" w:rsidP="00D31DAA">
            <w:pPr>
              <w:rPr>
                <w:rFonts w:eastAsia="Times New Roman" w:cs="Arial"/>
                <w:color w:val="000000"/>
                <w:lang w:eastAsia="bg-BG"/>
              </w:rPr>
            </w:pPr>
          </w:p>
        </w:tc>
        <w:tc>
          <w:tcPr>
            <w:tcW w:w="3117" w:type="dxa"/>
          </w:tcPr>
          <w:p w14:paraId="163E77ED" w14:textId="5A92E721" w:rsidR="00D31DAA" w:rsidRDefault="00D31DAA" w:rsidP="00D31DAA">
            <w:pPr>
              <w:rPr>
                <w:rFonts w:eastAsia="Times New Roman" w:cs="Arial"/>
                <w:color w:val="000000"/>
                <w:lang w:eastAsia="bg-BG"/>
              </w:rPr>
            </w:pPr>
            <w:r>
              <w:t>Астения</w:t>
            </w:r>
          </w:p>
        </w:tc>
        <w:tc>
          <w:tcPr>
            <w:tcW w:w="3117" w:type="dxa"/>
          </w:tcPr>
          <w:p w14:paraId="758B6F93" w14:textId="50B9D553" w:rsidR="00D31DAA" w:rsidRDefault="00D31DAA" w:rsidP="00D31DAA">
            <w:pPr>
              <w:rPr>
                <w:rFonts w:eastAsia="Times New Roman" w:cs="Arial"/>
                <w:color w:val="000000"/>
                <w:lang w:eastAsia="bg-BG"/>
              </w:rPr>
            </w:pPr>
            <w:r>
              <w:t>Нечести</w:t>
            </w:r>
          </w:p>
        </w:tc>
      </w:tr>
      <w:tr w:rsidR="00D31DAA" w14:paraId="02DA636F" w14:textId="77777777" w:rsidTr="00D31DAA">
        <w:tc>
          <w:tcPr>
            <w:tcW w:w="3116" w:type="dxa"/>
            <w:vMerge/>
          </w:tcPr>
          <w:p w14:paraId="33947DD1" w14:textId="77777777" w:rsidR="00D31DAA" w:rsidRDefault="00D31DAA" w:rsidP="00D31DAA">
            <w:pPr>
              <w:rPr>
                <w:rFonts w:eastAsia="Times New Roman" w:cs="Arial"/>
                <w:color w:val="000000"/>
                <w:lang w:eastAsia="bg-BG"/>
              </w:rPr>
            </w:pPr>
          </w:p>
        </w:tc>
        <w:tc>
          <w:tcPr>
            <w:tcW w:w="3117" w:type="dxa"/>
          </w:tcPr>
          <w:p w14:paraId="62AB881A" w14:textId="0439A00E" w:rsidR="00D31DAA" w:rsidRDefault="00D31DAA" w:rsidP="00D31DAA">
            <w:pPr>
              <w:rPr>
                <w:rFonts w:eastAsia="Times New Roman" w:cs="Arial"/>
                <w:color w:val="000000"/>
                <w:lang w:eastAsia="bg-BG"/>
              </w:rPr>
            </w:pPr>
            <w:r>
              <w:t>Обща слабост</w:t>
            </w:r>
          </w:p>
        </w:tc>
        <w:tc>
          <w:tcPr>
            <w:tcW w:w="3117" w:type="dxa"/>
          </w:tcPr>
          <w:p w14:paraId="6991363B" w14:textId="31BDF6D4" w:rsidR="00D31DAA" w:rsidRDefault="00D31DAA" w:rsidP="00D31DAA">
            <w:pPr>
              <w:rPr>
                <w:rFonts w:eastAsia="Times New Roman" w:cs="Arial"/>
                <w:color w:val="000000"/>
                <w:lang w:eastAsia="bg-BG"/>
              </w:rPr>
            </w:pPr>
            <w:r>
              <w:t>Нечести</w:t>
            </w:r>
          </w:p>
        </w:tc>
      </w:tr>
      <w:tr w:rsidR="00D31DAA" w14:paraId="60A8F767" w14:textId="77777777" w:rsidTr="00D31DAA">
        <w:tc>
          <w:tcPr>
            <w:tcW w:w="3116" w:type="dxa"/>
            <w:vMerge/>
          </w:tcPr>
          <w:p w14:paraId="0F253F51" w14:textId="77777777" w:rsidR="00D31DAA" w:rsidRDefault="00D31DAA" w:rsidP="00D31DAA">
            <w:pPr>
              <w:rPr>
                <w:rFonts w:eastAsia="Times New Roman" w:cs="Arial"/>
                <w:color w:val="000000"/>
                <w:lang w:eastAsia="bg-BG"/>
              </w:rPr>
            </w:pPr>
          </w:p>
        </w:tc>
        <w:tc>
          <w:tcPr>
            <w:tcW w:w="3117" w:type="dxa"/>
          </w:tcPr>
          <w:p w14:paraId="22FABD6D" w14:textId="5FB2F044" w:rsidR="00D31DAA" w:rsidRDefault="00D31DAA" w:rsidP="00D31DAA">
            <w:pPr>
              <w:rPr>
                <w:rFonts w:eastAsia="Times New Roman" w:cs="Arial"/>
                <w:color w:val="000000"/>
                <w:lang w:eastAsia="bg-BG"/>
              </w:rPr>
            </w:pPr>
            <w:r>
              <w:t>Летаргия</w:t>
            </w:r>
          </w:p>
        </w:tc>
        <w:tc>
          <w:tcPr>
            <w:tcW w:w="3117" w:type="dxa"/>
          </w:tcPr>
          <w:p w14:paraId="0841D585" w14:textId="6EB844F4" w:rsidR="00D31DAA" w:rsidRDefault="00D31DAA" w:rsidP="00D31DAA">
            <w:pPr>
              <w:rPr>
                <w:rFonts w:eastAsia="Times New Roman" w:cs="Arial"/>
                <w:color w:val="000000"/>
                <w:lang w:eastAsia="bg-BG"/>
              </w:rPr>
            </w:pPr>
            <w:r>
              <w:t>Редки</w:t>
            </w:r>
          </w:p>
        </w:tc>
      </w:tr>
      <w:tr w:rsidR="00D31DAA" w14:paraId="61CF6357" w14:textId="77777777" w:rsidTr="00D31DAA">
        <w:tc>
          <w:tcPr>
            <w:tcW w:w="3116" w:type="dxa"/>
            <w:vMerge w:val="restart"/>
          </w:tcPr>
          <w:p w14:paraId="4D280B13" w14:textId="4A52B1A5" w:rsidR="00D31DAA" w:rsidRDefault="00D31DAA" w:rsidP="00D31DAA">
            <w:pPr>
              <w:rPr>
                <w:rFonts w:eastAsia="Times New Roman" w:cs="Arial"/>
                <w:color w:val="000000"/>
                <w:lang w:eastAsia="bg-BG"/>
              </w:rPr>
            </w:pPr>
            <w:r>
              <w:t>Изследвания</w:t>
            </w:r>
          </w:p>
        </w:tc>
        <w:tc>
          <w:tcPr>
            <w:tcW w:w="3117" w:type="dxa"/>
          </w:tcPr>
          <w:p w14:paraId="143DBDE2" w14:textId="6175E400" w:rsidR="00D31DAA" w:rsidRDefault="00D31DAA" w:rsidP="00D31DAA">
            <w:pPr>
              <w:rPr>
                <w:rFonts w:eastAsia="Times New Roman" w:cs="Arial"/>
                <w:color w:val="000000"/>
                <w:lang w:eastAsia="bg-BG"/>
              </w:rPr>
            </w:pPr>
            <w:r>
              <w:t>Повишени нива на чернодробните ензими</w:t>
            </w:r>
          </w:p>
        </w:tc>
        <w:tc>
          <w:tcPr>
            <w:tcW w:w="3117" w:type="dxa"/>
          </w:tcPr>
          <w:p w14:paraId="1FAA42BF" w14:textId="02B8C4C5" w:rsidR="00D31DAA" w:rsidRDefault="00D31DAA" w:rsidP="00D31DAA">
            <w:pPr>
              <w:rPr>
                <w:rFonts w:eastAsia="Times New Roman" w:cs="Arial"/>
                <w:color w:val="000000"/>
                <w:lang w:eastAsia="bg-BG"/>
              </w:rPr>
            </w:pPr>
            <w:r>
              <w:t>Чести</w:t>
            </w:r>
          </w:p>
        </w:tc>
      </w:tr>
      <w:tr w:rsidR="00D31DAA" w14:paraId="691E3CB1" w14:textId="77777777" w:rsidTr="00D31DAA">
        <w:tc>
          <w:tcPr>
            <w:tcW w:w="3116" w:type="dxa"/>
            <w:vMerge/>
          </w:tcPr>
          <w:p w14:paraId="6C22E528" w14:textId="77777777" w:rsidR="00D31DAA" w:rsidRDefault="00D31DAA" w:rsidP="00D31DAA">
            <w:pPr>
              <w:rPr>
                <w:rFonts w:eastAsia="Times New Roman" w:cs="Arial"/>
                <w:color w:val="000000"/>
                <w:lang w:eastAsia="bg-BG"/>
              </w:rPr>
            </w:pPr>
          </w:p>
        </w:tc>
        <w:tc>
          <w:tcPr>
            <w:tcW w:w="3117" w:type="dxa"/>
          </w:tcPr>
          <w:p w14:paraId="11BE2698" w14:textId="05617B35" w:rsidR="00D31DAA" w:rsidRDefault="00D31DAA" w:rsidP="00D31DAA">
            <w:pPr>
              <w:rPr>
                <w:rFonts w:eastAsia="Times New Roman" w:cs="Arial"/>
                <w:color w:val="000000"/>
                <w:lang w:eastAsia="bg-BG"/>
              </w:rPr>
            </w:pPr>
            <w:r>
              <w:t>Повишени нива на урея в кръвта</w:t>
            </w:r>
          </w:p>
        </w:tc>
        <w:tc>
          <w:tcPr>
            <w:tcW w:w="3117" w:type="dxa"/>
          </w:tcPr>
          <w:p w14:paraId="46DB60D2" w14:textId="07C0583B" w:rsidR="00D31DAA" w:rsidRDefault="00D31DAA" w:rsidP="00D31DAA">
            <w:pPr>
              <w:rPr>
                <w:rFonts w:eastAsia="Times New Roman" w:cs="Arial"/>
                <w:color w:val="000000"/>
                <w:lang w:eastAsia="bg-BG"/>
              </w:rPr>
            </w:pPr>
            <w:r>
              <w:t>Чести</w:t>
            </w:r>
          </w:p>
        </w:tc>
      </w:tr>
      <w:tr w:rsidR="00D31DAA" w14:paraId="2B5D21BE" w14:textId="77777777" w:rsidTr="00D31DAA">
        <w:tc>
          <w:tcPr>
            <w:tcW w:w="3116" w:type="dxa"/>
            <w:vMerge/>
          </w:tcPr>
          <w:p w14:paraId="480B3B6D" w14:textId="77777777" w:rsidR="00D31DAA" w:rsidRDefault="00D31DAA" w:rsidP="00D31DAA">
            <w:pPr>
              <w:rPr>
                <w:rFonts w:eastAsia="Times New Roman" w:cs="Arial"/>
                <w:color w:val="000000"/>
                <w:lang w:eastAsia="bg-BG"/>
              </w:rPr>
            </w:pPr>
          </w:p>
        </w:tc>
        <w:tc>
          <w:tcPr>
            <w:tcW w:w="3117" w:type="dxa"/>
          </w:tcPr>
          <w:p w14:paraId="71F3985D" w14:textId="79058DD6" w:rsidR="00D31DAA" w:rsidRDefault="00D31DAA" w:rsidP="00D31DAA">
            <w:pPr>
              <w:rPr>
                <w:rFonts w:eastAsia="Times New Roman" w:cs="Arial"/>
                <w:color w:val="000000"/>
                <w:lang w:eastAsia="bg-BG"/>
              </w:rPr>
            </w:pPr>
            <w:r>
              <w:t>Повишени нива на креатин фосфокиназа в кръвта</w:t>
            </w:r>
          </w:p>
        </w:tc>
        <w:tc>
          <w:tcPr>
            <w:tcW w:w="3117" w:type="dxa"/>
          </w:tcPr>
          <w:p w14:paraId="29292AD6" w14:textId="651F4773" w:rsidR="00D31DAA" w:rsidRDefault="00D31DAA" w:rsidP="00D31DAA">
            <w:pPr>
              <w:rPr>
                <w:rFonts w:eastAsia="Times New Roman" w:cs="Arial"/>
                <w:color w:val="000000"/>
                <w:lang w:eastAsia="bg-BG"/>
              </w:rPr>
            </w:pPr>
            <w:r>
              <w:t>Чести</w:t>
            </w:r>
          </w:p>
        </w:tc>
      </w:tr>
      <w:tr w:rsidR="00D31DAA" w14:paraId="62988C0A" w14:textId="77777777" w:rsidTr="00D31DAA">
        <w:tc>
          <w:tcPr>
            <w:tcW w:w="3116" w:type="dxa"/>
            <w:vMerge/>
          </w:tcPr>
          <w:p w14:paraId="2EE4533C" w14:textId="77777777" w:rsidR="00D31DAA" w:rsidRDefault="00D31DAA" w:rsidP="00D31DAA">
            <w:pPr>
              <w:rPr>
                <w:rFonts w:eastAsia="Times New Roman" w:cs="Arial"/>
                <w:color w:val="000000"/>
                <w:lang w:eastAsia="bg-BG"/>
              </w:rPr>
            </w:pPr>
          </w:p>
        </w:tc>
        <w:tc>
          <w:tcPr>
            <w:tcW w:w="3117" w:type="dxa"/>
          </w:tcPr>
          <w:p w14:paraId="0859FD24" w14:textId="7C04F1B2" w:rsidR="00D31DAA" w:rsidRDefault="00D31DAA" w:rsidP="00D31DAA">
            <w:pPr>
              <w:rPr>
                <w:rFonts w:eastAsia="Times New Roman" w:cs="Arial"/>
                <w:color w:val="000000"/>
                <w:lang w:eastAsia="bg-BG"/>
              </w:rPr>
            </w:pPr>
            <w:r>
              <w:t>Повишени нива на креатинин в кръвта</w:t>
            </w:r>
          </w:p>
        </w:tc>
        <w:tc>
          <w:tcPr>
            <w:tcW w:w="3117" w:type="dxa"/>
          </w:tcPr>
          <w:p w14:paraId="7F510778" w14:textId="64B94195" w:rsidR="00D31DAA" w:rsidRDefault="00D31DAA" w:rsidP="00D31DAA">
            <w:pPr>
              <w:rPr>
                <w:rFonts w:eastAsia="Times New Roman" w:cs="Arial"/>
                <w:color w:val="000000"/>
                <w:lang w:eastAsia="bg-BG"/>
              </w:rPr>
            </w:pPr>
            <w:r>
              <w:t>Редки</w:t>
            </w:r>
          </w:p>
        </w:tc>
      </w:tr>
    </w:tbl>
    <w:p w14:paraId="44180B47" w14:textId="77777777" w:rsidR="001E694F" w:rsidRPr="00D31DAA" w:rsidRDefault="001E694F" w:rsidP="001E694F">
      <w:pPr>
        <w:spacing w:line="240" w:lineRule="auto"/>
        <w:rPr>
          <w:rFonts w:eastAsia="Times New Roman" w:cs="Arial"/>
          <w:lang w:eastAsia="bg-BG"/>
        </w:rPr>
      </w:pPr>
      <w:r w:rsidRPr="00D31DAA">
        <w:rPr>
          <w:rFonts w:eastAsia="Times New Roman" w:cs="Arial"/>
          <w:color w:val="000000"/>
          <w:lang w:eastAsia="bg-BG"/>
        </w:rPr>
        <w:t>Докладвани са единични случаи на рабдомиолиза във връзка с приема на ангиотензин II-рецепторни блокери.</w:t>
      </w:r>
    </w:p>
    <w:p w14:paraId="69758579" w14:textId="77777777" w:rsidR="001E694F" w:rsidRPr="001E694F" w:rsidRDefault="001E694F" w:rsidP="001E694F">
      <w:pPr>
        <w:spacing w:line="240" w:lineRule="auto"/>
        <w:rPr>
          <w:rFonts w:eastAsia="Times New Roman" w:cs="Arial"/>
          <w:color w:val="000000"/>
          <w:u w:val="single"/>
          <w:lang w:eastAsia="bg-BG"/>
        </w:rPr>
      </w:pPr>
    </w:p>
    <w:p w14:paraId="5C8E5543" w14:textId="77777777" w:rsidR="001E694F" w:rsidRPr="00D31DAA" w:rsidRDefault="001E694F" w:rsidP="001E694F">
      <w:pPr>
        <w:spacing w:line="240" w:lineRule="auto"/>
        <w:rPr>
          <w:rFonts w:eastAsia="Times New Roman" w:cs="Arial"/>
          <w:lang w:eastAsia="bg-BG"/>
        </w:rPr>
      </w:pPr>
      <w:r w:rsidRPr="00D31DAA">
        <w:rPr>
          <w:rFonts w:eastAsia="Times New Roman" w:cs="Arial"/>
          <w:color w:val="000000"/>
          <w:u w:val="single"/>
          <w:lang w:eastAsia="bg-BG"/>
        </w:rPr>
        <w:t>Допълнителна информация за специални популации</w:t>
      </w:r>
    </w:p>
    <w:p w14:paraId="5B69D12B" w14:textId="77777777" w:rsidR="001E694F" w:rsidRPr="001E694F" w:rsidRDefault="001E694F" w:rsidP="001E694F">
      <w:pPr>
        <w:spacing w:line="240" w:lineRule="auto"/>
        <w:rPr>
          <w:rFonts w:eastAsia="Times New Roman" w:cs="Arial"/>
          <w:color w:val="000000"/>
          <w:u w:val="single"/>
          <w:lang w:eastAsia="bg-BG"/>
        </w:rPr>
      </w:pPr>
    </w:p>
    <w:p w14:paraId="058A32B2" w14:textId="77777777" w:rsidR="001E694F" w:rsidRPr="00D31DAA" w:rsidRDefault="001E694F" w:rsidP="001E694F">
      <w:pPr>
        <w:spacing w:line="240" w:lineRule="auto"/>
        <w:rPr>
          <w:rFonts w:eastAsia="Times New Roman" w:cs="Arial"/>
          <w:lang w:eastAsia="bg-BG"/>
        </w:rPr>
      </w:pPr>
      <w:r w:rsidRPr="00D31DAA">
        <w:rPr>
          <w:rFonts w:eastAsia="Times New Roman" w:cs="Arial"/>
          <w:color w:val="000000"/>
          <w:u w:val="single"/>
          <w:lang w:eastAsia="bg-BG"/>
        </w:rPr>
        <w:t>Педиатрична популация</w:t>
      </w:r>
    </w:p>
    <w:p w14:paraId="21C78280" w14:textId="77777777" w:rsidR="001E694F" w:rsidRPr="00D31DAA" w:rsidRDefault="001E694F" w:rsidP="001E694F">
      <w:pPr>
        <w:spacing w:line="240" w:lineRule="auto"/>
        <w:rPr>
          <w:rFonts w:eastAsia="Times New Roman" w:cs="Arial"/>
          <w:lang w:eastAsia="bg-BG"/>
        </w:rPr>
      </w:pPr>
      <w:r w:rsidRPr="00D31DAA">
        <w:rPr>
          <w:rFonts w:eastAsia="Times New Roman" w:cs="Arial"/>
          <w:color w:val="000000"/>
          <w:lang w:eastAsia="bg-BG"/>
        </w:rPr>
        <w:t>Безопасността на олмесартан медоксомил е наблюдавана при 361 деца и юноши на възраст от 1-17 години, по време на две клинични проучвания. Като цяло видът и тежестта на нежеланите реакции са подобни на тези при възрастни, освен при описаните по-долу, където честотата е по-висока при децата:</w:t>
      </w:r>
    </w:p>
    <w:p w14:paraId="7DE625F0" w14:textId="77777777" w:rsidR="001E694F" w:rsidRPr="00D31DAA" w:rsidRDefault="001E694F" w:rsidP="001E694F">
      <w:pPr>
        <w:spacing w:line="240" w:lineRule="auto"/>
        <w:rPr>
          <w:rFonts w:eastAsia="Times New Roman" w:cs="Arial"/>
          <w:lang w:eastAsia="bg-BG"/>
        </w:rPr>
      </w:pPr>
      <w:r w:rsidRPr="00D31DAA">
        <w:rPr>
          <w:rFonts w:eastAsia="Times New Roman" w:cs="Arial"/>
          <w:color w:val="000000"/>
          <w:lang w:eastAsia="bg-BG"/>
        </w:rPr>
        <w:t>•</w:t>
      </w:r>
      <w:r w:rsidRPr="00D31DAA">
        <w:rPr>
          <w:rFonts w:eastAsia="Times New Roman" w:cs="Arial"/>
          <w:color w:val="000000"/>
          <w:lang w:eastAsia="bg-BG"/>
        </w:rPr>
        <w:tab/>
        <w:t>Кръвотечение от носа е честа нежелана реакция при деца (т.е ≥ 1/100 до &lt; 1/10), която не е била наблюдавана при възрастни.</w:t>
      </w:r>
    </w:p>
    <w:p w14:paraId="014A664C" w14:textId="77777777" w:rsidR="001E694F" w:rsidRPr="00D31DAA" w:rsidRDefault="001E694F" w:rsidP="001E694F">
      <w:pPr>
        <w:spacing w:line="240" w:lineRule="auto"/>
        <w:rPr>
          <w:rFonts w:eastAsia="Times New Roman" w:cs="Arial"/>
          <w:lang w:eastAsia="bg-BG"/>
        </w:rPr>
      </w:pPr>
      <w:r w:rsidRPr="00D31DAA">
        <w:rPr>
          <w:rFonts w:eastAsia="Times New Roman" w:cs="Arial"/>
          <w:color w:val="000000"/>
          <w:lang w:eastAsia="bg-BG"/>
        </w:rPr>
        <w:t>•</w:t>
      </w:r>
      <w:r w:rsidRPr="00D31DAA">
        <w:rPr>
          <w:rFonts w:eastAsia="Times New Roman" w:cs="Arial"/>
          <w:color w:val="000000"/>
          <w:lang w:eastAsia="bg-BG"/>
        </w:rPr>
        <w:tab/>
        <w:t>По време на 3 седмично двойно-сляпо проучване, честотата на лечение на нововъзникнали замаяност и главоболие е приблизително двойно по-висока при деца от 6-17 години в групата на висока доза олмесартан медоксомил.</w:t>
      </w:r>
    </w:p>
    <w:p w14:paraId="1E4319B3" w14:textId="77777777" w:rsidR="001E694F" w:rsidRPr="00D31DAA" w:rsidRDefault="001E694F" w:rsidP="001E694F">
      <w:pPr>
        <w:spacing w:line="240" w:lineRule="auto"/>
        <w:rPr>
          <w:rFonts w:eastAsia="Times New Roman" w:cs="Arial"/>
          <w:lang w:eastAsia="bg-BG"/>
        </w:rPr>
      </w:pPr>
      <w:r w:rsidRPr="00D31DAA">
        <w:rPr>
          <w:rFonts w:eastAsia="Times New Roman" w:cs="Arial"/>
          <w:color w:val="000000"/>
          <w:lang w:eastAsia="bg-BG"/>
        </w:rPr>
        <w:t>Като цяло профилът на безопасност на олмесартан медоксомил при педиатрични пациенти не се различава значително от профила на безопасност при възрастни.</w:t>
      </w:r>
    </w:p>
    <w:p w14:paraId="0F3DA253" w14:textId="77777777" w:rsidR="001E694F" w:rsidRPr="001E694F" w:rsidRDefault="001E694F" w:rsidP="001E694F">
      <w:pPr>
        <w:spacing w:line="240" w:lineRule="auto"/>
        <w:rPr>
          <w:rFonts w:eastAsia="Times New Roman" w:cs="Arial"/>
          <w:color w:val="000000"/>
          <w:u w:val="single"/>
          <w:lang w:eastAsia="bg-BG"/>
        </w:rPr>
      </w:pPr>
    </w:p>
    <w:p w14:paraId="4A891545" w14:textId="77777777" w:rsidR="001E694F" w:rsidRPr="00D31DAA" w:rsidRDefault="001E694F" w:rsidP="001E694F">
      <w:pPr>
        <w:spacing w:line="240" w:lineRule="auto"/>
        <w:rPr>
          <w:rFonts w:eastAsia="Times New Roman" w:cs="Arial"/>
          <w:lang w:eastAsia="bg-BG"/>
        </w:rPr>
      </w:pPr>
      <w:r w:rsidRPr="00D31DAA">
        <w:rPr>
          <w:rFonts w:eastAsia="Times New Roman" w:cs="Arial"/>
          <w:color w:val="000000"/>
          <w:u w:val="single"/>
          <w:lang w:eastAsia="bg-BG"/>
        </w:rPr>
        <w:t>Старческа възраст (65 или повече години)</w:t>
      </w:r>
    </w:p>
    <w:p w14:paraId="0801C25D" w14:textId="77777777" w:rsidR="001E694F" w:rsidRPr="00D31DAA" w:rsidRDefault="001E694F" w:rsidP="001E694F">
      <w:pPr>
        <w:spacing w:line="240" w:lineRule="auto"/>
        <w:rPr>
          <w:rFonts w:eastAsia="Times New Roman" w:cs="Arial"/>
          <w:lang w:eastAsia="bg-BG"/>
        </w:rPr>
      </w:pPr>
      <w:r w:rsidRPr="00D31DAA">
        <w:rPr>
          <w:rFonts w:eastAsia="Times New Roman" w:cs="Arial"/>
          <w:color w:val="000000"/>
          <w:lang w:eastAsia="bg-BG"/>
        </w:rPr>
        <w:t>При пациенти в старческа възраст честотата на хипотония е леко повишена от редки към нечести.</w:t>
      </w:r>
    </w:p>
    <w:p w14:paraId="468A0DC0" w14:textId="77777777" w:rsidR="001E694F" w:rsidRPr="001E694F" w:rsidRDefault="001E694F" w:rsidP="001E694F">
      <w:pPr>
        <w:spacing w:line="240" w:lineRule="auto"/>
        <w:rPr>
          <w:rFonts w:eastAsia="Times New Roman" w:cs="Arial"/>
          <w:color w:val="000000"/>
          <w:u w:val="single"/>
          <w:lang w:eastAsia="bg-BG"/>
        </w:rPr>
      </w:pPr>
    </w:p>
    <w:p w14:paraId="393E5FC8" w14:textId="77777777" w:rsidR="001E694F" w:rsidRPr="00D31DAA" w:rsidRDefault="001E694F" w:rsidP="001E694F">
      <w:pPr>
        <w:spacing w:line="240" w:lineRule="auto"/>
        <w:rPr>
          <w:rFonts w:eastAsia="Times New Roman" w:cs="Arial"/>
          <w:lang w:eastAsia="bg-BG"/>
        </w:rPr>
      </w:pPr>
      <w:r w:rsidRPr="00D31DAA">
        <w:rPr>
          <w:rFonts w:eastAsia="Times New Roman" w:cs="Arial"/>
          <w:color w:val="000000"/>
          <w:u w:val="single"/>
          <w:lang w:eastAsia="bg-BG"/>
        </w:rPr>
        <w:t>Съобщаване на подозирани нежелани реакции</w:t>
      </w:r>
    </w:p>
    <w:p w14:paraId="28ED5E1D" w14:textId="77777777" w:rsidR="001E694F" w:rsidRPr="001E694F" w:rsidRDefault="001E694F" w:rsidP="001E694F">
      <w:pPr>
        <w:rPr>
          <w:rFonts w:cs="Arial"/>
        </w:rPr>
      </w:pPr>
      <w:r w:rsidRPr="001E694F">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към Изпълнителната агенция по лекарствата, ул. „Дамян Груев“ № 8, 1303 София, тел.: +35928903417, уебсайт: </w:t>
      </w:r>
      <w:hyperlink r:id="rId5" w:history="1">
        <w:r w:rsidRPr="001E694F">
          <w:rPr>
            <w:rFonts w:eastAsia="Times New Roman" w:cs="Arial"/>
            <w:color w:val="000000"/>
            <w:lang w:val="en-US"/>
          </w:rPr>
          <w:t>www.bda.bg</w:t>
        </w:r>
      </w:hyperlink>
      <w:r w:rsidRPr="001E694F">
        <w:rPr>
          <w:rFonts w:eastAsia="Times New Roman" w:cs="Arial"/>
          <w:color w:val="000000"/>
          <w:lang w:val="en-US"/>
        </w:rPr>
        <w:t>.</w:t>
      </w:r>
    </w:p>
    <w:p w14:paraId="334130D9" w14:textId="66FBB14C" w:rsidR="008C6B05" w:rsidRDefault="008C6B05" w:rsidP="008C6B05">
      <w:pPr>
        <w:rPr>
          <w:rFonts w:eastAsia="Times New Roman" w:cs="Arial"/>
          <w:color w:val="000000"/>
          <w:lang w:eastAsia="bg-BG"/>
        </w:rPr>
      </w:pPr>
    </w:p>
    <w:p w14:paraId="60CDA0DA" w14:textId="77777777" w:rsidR="008C6B05" w:rsidRPr="008C6B05" w:rsidRDefault="008C6B05" w:rsidP="008C6B05">
      <w:pPr>
        <w:rPr>
          <w:rFonts w:cs="Arial"/>
        </w:rPr>
      </w:pPr>
    </w:p>
    <w:p w14:paraId="36EDF64A" w14:textId="32E7CA3A" w:rsidR="008C6B05" w:rsidRDefault="002C50EE" w:rsidP="008C6B05">
      <w:pPr>
        <w:pStyle w:val="Heading2"/>
      </w:pPr>
      <w:r>
        <w:t>4.9. Предозиране</w:t>
      </w:r>
    </w:p>
    <w:p w14:paraId="0145D35D" w14:textId="6ECA446A" w:rsidR="001E694F" w:rsidRDefault="001E694F" w:rsidP="001E694F"/>
    <w:p w14:paraId="60AF8819" w14:textId="1212A212" w:rsidR="001E694F" w:rsidRDefault="001E694F" w:rsidP="001E694F">
      <w:r>
        <w:t>Налична е само ограничена информация за предозиране при хора. Най-вероятният ефект при предозиране е хипотония. В случай на предозиране, състоянието на пациента трябва да се проследява внимателно и да се прилага симптоматично и поддържащо лечение.</w:t>
      </w:r>
    </w:p>
    <w:p w14:paraId="6FE04555" w14:textId="09D0C1F2" w:rsidR="001E694F" w:rsidRDefault="001E694F" w:rsidP="001E694F"/>
    <w:p w14:paraId="28AD2254" w14:textId="6242FED3" w:rsidR="001E694F" w:rsidRPr="001E694F" w:rsidRDefault="001E694F" w:rsidP="001E694F">
      <w:r>
        <w:t>Няма информация дали олмесартан се очиства с диализа.</w:t>
      </w:r>
    </w:p>
    <w:p w14:paraId="0BF83CA9" w14:textId="4D3BE59A" w:rsidR="00D31DAA" w:rsidRDefault="00D31DAA" w:rsidP="00D31DAA"/>
    <w:p w14:paraId="02081B24" w14:textId="1F46E296" w:rsidR="00395555" w:rsidRPr="00395555" w:rsidRDefault="002C50EE" w:rsidP="008A6AF2">
      <w:pPr>
        <w:pStyle w:val="Heading1"/>
      </w:pPr>
      <w:r>
        <w:t>5. ФАРМАКОЛОГИЧНИ СВОЙСТВА</w:t>
      </w:r>
    </w:p>
    <w:p w14:paraId="32B6DE66" w14:textId="3F36C3D0" w:rsidR="00CF77F7" w:rsidRDefault="002C50EE" w:rsidP="004A448E">
      <w:pPr>
        <w:pStyle w:val="Heading2"/>
      </w:pPr>
      <w:r>
        <w:t>5.1. Фармакодинамични свойства</w:t>
      </w:r>
    </w:p>
    <w:p w14:paraId="3302D044" w14:textId="0DFC820B" w:rsidR="001E694F" w:rsidRDefault="001E694F" w:rsidP="001E694F"/>
    <w:p w14:paraId="6CB2583F" w14:textId="77777777" w:rsidR="001E694F" w:rsidRDefault="001E694F" w:rsidP="001E694F">
      <w:pPr>
        <w:spacing w:line="240" w:lineRule="auto"/>
        <w:rPr>
          <w:rFonts w:eastAsia="Times New Roman" w:cs="Arial"/>
          <w:color w:val="000000"/>
          <w:lang w:eastAsia="bg-BG"/>
        </w:rPr>
      </w:pPr>
      <w:r w:rsidRPr="001E694F">
        <w:rPr>
          <w:rFonts w:eastAsia="Times New Roman" w:cs="Arial"/>
          <w:b/>
          <w:bCs/>
          <w:color w:val="000000"/>
          <w:lang w:eastAsia="bg-BG"/>
        </w:rPr>
        <w:t xml:space="preserve">Фармакотерапевтична група: </w:t>
      </w:r>
      <w:r w:rsidRPr="001E694F">
        <w:rPr>
          <w:rFonts w:eastAsia="Times New Roman" w:cs="Arial"/>
          <w:color w:val="000000"/>
          <w:lang w:eastAsia="bg-BG"/>
        </w:rPr>
        <w:t xml:space="preserve">Ангиотензин II-рецепторни антагонисти </w:t>
      </w:r>
    </w:p>
    <w:p w14:paraId="4B0BEF40" w14:textId="3ED78266" w:rsidR="001E694F" w:rsidRPr="001E694F" w:rsidRDefault="001E694F" w:rsidP="001E694F">
      <w:pPr>
        <w:spacing w:line="240" w:lineRule="auto"/>
        <w:rPr>
          <w:rFonts w:eastAsia="Times New Roman" w:cs="Arial"/>
          <w:sz w:val="24"/>
          <w:szCs w:val="24"/>
          <w:lang w:eastAsia="bg-BG"/>
        </w:rPr>
      </w:pPr>
      <w:r w:rsidRPr="001E694F">
        <w:rPr>
          <w:rFonts w:eastAsia="Times New Roman" w:cs="Arial"/>
          <w:b/>
          <w:bCs/>
          <w:color w:val="000000"/>
          <w:lang w:eastAsia="bg-BG"/>
        </w:rPr>
        <w:t xml:space="preserve">АТС код: </w:t>
      </w:r>
      <w:r w:rsidRPr="001E694F">
        <w:rPr>
          <w:rFonts w:eastAsia="Times New Roman" w:cs="Arial"/>
          <w:color w:val="000000"/>
          <w:lang w:eastAsia="bg-BG"/>
        </w:rPr>
        <w:t>С09СА08.</w:t>
      </w:r>
    </w:p>
    <w:p w14:paraId="47BE13CB" w14:textId="77777777" w:rsidR="001E694F" w:rsidRPr="001E694F" w:rsidRDefault="001E694F" w:rsidP="001E694F">
      <w:pPr>
        <w:spacing w:line="240" w:lineRule="auto"/>
        <w:rPr>
          <w:rFonts w:eastAsia="Times New Roman" w:cs="Arial"/>
          <w:color w:val="000000"/>
          <w:u w:val="single"/>
          <w:lang w:eastAsia="bg-BG"/>
        </w:rPr>
      </w:pPr>
    </w:p>
    <w:p w14:paraId="23E657CC" w14:textId="32718312"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u w:val="single"/>
          <w:lang w:eastAsia="bg-BG"/>
        </w:rPr>
        <w:t>Механизъм на действие / Фармакодинамични ефекти</w:t>
      </w:r>
    </w:p>
    <w:p w14:paraId="56C2F603" w14:textId="7777777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 xml:space="preserve">Олмесартан медоксомил е мощен, перорално активен, селективен ангиотензин IIрецепторен (тип </w:t>
      </w:r>
      <w:r w:rsidRPr="001E694F">
        <w:rPr>
          <w:rFonts w:eastAsia="Times New Roman" w:cs="Arial"/>
          <w:color w:val="000000"/>
          <w:lang w:val="en-US"/>
        </w:rPr>
        <w:t xml:space="preserve">AT1) </w:t>
      </w:r>
      <w:r w:rsidRPr="001E694F">
        <w:rPr>
          <w:rFonts w:eastAsia="Times New Roman" w:cs="Arial"/>
          <w:color w:val="000000"/>
          <w:lang w:eastAsia="bg-BG"/>
        </w:rPr>
        <w:t xml:space="preserve">антагонист. Предполага се, че блокира напълно действието на ангиотензин II, медиирано чрез </w:t>
      </w:r>
      <w:r w:rsidRPr="001E694F">
        <w:rPr>
          <w:rFonts w:eastAsia="Times New Roman" w:cs="Arial"/>
          <w:color w:val="000000"/>
          <w:lang w:val="en-US"/>
        </w:rPr>
        <w:t xml:space="preserve">AT1 </w:t>
      </w:r>
      <w:r w:rsidRPr="001E694F">
        <w:rPr>
          <w:rFonts w:eastAsia="Times New Roman" w:cs="Arial"/>
          <w:color w:val="000000"/>
          <w:lang w:eastAsia="bg-BG"/>
        </w:rPr>
        <w:t xml:space="preserve">рецепторите, независимо от източника и начина на синтезиране на ангиотензин II. Селективният антагонизъм на ангиотензин II </w:t>
      </w:r>
      <w:r w:rsidRPr="001E694F">
        <w:rPr>
          <w:rFonts w:eastAsia="Times New Roman" w:cs="Arial"/>
          <w:color w:val="000000"/>
          <w:lang w:val="en-US"/>
        </w:rPr>
        <w:t xml:space="preserve">(AT1) </w:t>
      </w:r>
      <w:r w:rsidRPr="001E694F">
        <w:rPr>
          <w:rFonts w:eastAsia="Times New Roman" w:cs="Arial"/>
          <w:color w:val="000000"/>
          <w:lang w:eastAsia="bg-BG"/>
        </w:rPr>
        <w:t>рецепторите води до увеличение на плазмените нива на ренина и на концентрациите на ангиотензин I и II, както и в известна степен намаление на плазмените нива на алдостерона.</w:t>
      </w:r>
    </w:p>
    <w:p w14:paraId="3B65E7C7" w14:textId="77777777" w:rsidR="001E694F" w:rsidRPr="001E694F" w:rsidRDefault="001E694F" w:rsidP="001E694F">
      <w:pPr>
        <w:spacing w:line="240" w:lineRule="auto"/>
        <w:rPr>
          <w:rFonts w:eastAsia="Times New Roman" w:cs="Arial"/>
          <w:color w:val="000000"/>
          <w:lang w:eastAsia="bg-BG"/>
        </w:rPr>
      </w:pPr>
    </w:p>
    <w:p w14:paraId="1064C72E" w14:textId="620A2CCF"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 xml:space="preserve">Ангиотензин II е главният вазоактивен хормон на ренин-ангиотензин-алдостероновата система и играе важна роля в патогенезата на хипертонията чрез тип 1 </w:t>
      </w:r>
      <w:r w:rsidRPr="001E694F">
        <w:rPr>
          <w:rFonts w:eastAsia="Times New Roman" w:cs="Arial"/>
          <w:color w:val="000000"/>
          <w:lang w:val="en-US"/>
        </w:rPr>
        <w:t xml:space="preserve">(AT1) </w:t>
      </w:r>
      <w:r w:rsidRPr="001E694F">
        <w:rPr>
          <w:rFonts w:eastAsia="Times New Roman" w:cs="Arial"/>
          <w:color w:val="000000"/>
          <w:lang w:eastAsia="bg-BG"/>
        </w:rPr>
        <w:t>рецепторите</w:t>
      </w:r>
    </w:p>
    <w:p w14:paraId="04BC3B24" w14:textId="77777777" w:rsidR="001E694F" w:rsidRPr="001E694F" w:rsidRDefault="001E694F" w:rsidP="001E694F">
      <w:pPr>
        <w:spacing w:line="240" w:lineRule="auto"/>
        <w:rPr>
          <w:rFonts w:eastAsia="Times New Roman" w:cs="Arial"/>
          <w:color w:val="000000"/>
          <w:u w:val="single"/>
          <w:lang w:eastAsia="bg-BG"/>
        </w:rPr>
      </w:pPr>
    </w:p>
    <w:p w14:paraId="0539ED61" w14:textId="4F798A52"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u w:val="single"/>
          <w:lang w:eastAsia="bg-BG"/>
        </w:rPr>
        <w:t>Клинична ефикасност и безопасност</w:t>
      </w:r>
    </w:p>
    <w:p w14:paraId="1A546886" w14:textId="7777777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При хипертония олмесартан медоксомил води до доза-зависимо, продължително намаление на артериалното кръвно налягане. Няма данни за хипотония при първата доза, за тахифилаксия при продължително лечение или за ребаунд-хипертония след преустановяване на терапията.</w:t>
      </w:r>
    </w:p>
    <w:p w14:paraId="56AC2C97" w14:textId="77777777" w:rsidR="001E694F" w:rsidRPr="001E694F" w:rsidRDefault="001E694F" w:rsidP="001E694F">
      <w:pPr>
        <w:spacing w:line="240" w:lineRule="auto"/>
        <w:rPr>
          <w:rFonts w:eastAsia="Times New Roman" w:cs="Arial"/>
          <w:color w:val="000000"/>
          <w:lang w:eastAsia="bg-BG"/>
        </w:rPr>
      </w:pPr>
    </w:p>
    <w:p w14:paraId="333A9EB1" w14:textId="44359544"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При приложение веднъж дневно на олмесартан медоксомил се осигурява ефективно и плавно понижение на артериалното налягане в продължение на цялото денонощие. Приложение веднъж дневно води до намаление на артериалното налягане, еднакво с това на приложение на същата обща дневна доза два пъти дневно.</w:t>
      </w:r>
    </w:p>
    <w:p w14:paraId="3AB7267B" w14:textId="77777777" w:rsidR="001E694F" w:rsidRPr="001E694F" w:rsidRDefault="001E694F" w:rsidP="001E694F">
      <w:pPr>
        <w:rPr>
          <w:rFonts w:eastAsia="Times New Roman" w:cs="Arial"/>
          <w:color w:val="000000"/>
          <w:lang w:eastAsia="bg-BG"/>
        </w:rPr>
      </w:pPr>
    </w:p>
    <w:p w14:paraId="2B15A276" w14:textId="10F056E2" w:rsidR="001E694F" w:rsidRDefault="001E694F" w:rsidP="001E694F">
      <w:pPr>
        <w:rPr>
          <w:rFonts w:eastAsia="Times New Roman" w:cs="Arial"/>
          <w:color w:val="000000"/>
          <w:lang w:eastAsia="bg-BG"/>
        </w:rPr>
      </w:pPr>
      <w:r w:rsidRPr="001E694F">
        <w:rPr>
          <w:rFonts w:eastAsia="Times New Roman" w:cs="Arial"/>
          <w:color w:val="000000"/>
          <w:lang w:eastAsia="bg-BG"/>
        </w:rPr>
        <w:t>При продължително приложение, максимално понижаване на артериалното налягане се постига 8 седмици след започване на терапията, въпреки че значително намаление се наблюдава още след първите 2 седмици от лечението. Едновременното приложение с хидрохлоротиазид се понася добре и води до допълнително понижение на артериалното налягане.</w:t>
      </w:r>
    </w:p>
    <w:p w14:paraId="6F41E873" w14:textId="4E7F8780" w:rsidR="001E694F" w:rsidRDefault="001E694F" w:rsidP="001E694F">
      <w:pPr>
        <w:rPr>
          <w:rFonts w:eastAsia="Times New Roman" w:cs="Arial"/>
          <w:color w:val="000000"/>
          <w:lang w:eastAsia="bg-BG"/>
        </w:rPr>
      </w:pPr>
    </w:p>
    <w:p w14:paraId="31F49D32" w14:textId="7777777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Все още не е известен ефектът на олмесартан върху смъртността и заболеваемостта.</w:t>
      </w:r>
    </w:p>
    <w:p w14:paraId="01DABB15" w14:textId="77777777" w:rsidR="001E694F" w:rsidRPr="001E694F" w:rsidRDefault="001E694F" w:rsidP="001E694F">
      <w:pPr>
        <w:spacing w:line="240" w:lineRule="auto"/>
        <w:rPr>
          <w:rFonts w:eastAsia="Times New Roman" w:cs="Arial"/>
          <w:color w:val="000000"/>
          <w:lang w:eastAsia="bg-BG"/>
        </w:rPr>
      </w:pPr>
    </w:p>
    <w:p w14:paraId="103F50D3" w14:textId="3D44576D"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lastRenderedPageBreak/>
        <w:t xml:space="preserve">В проучването </w:t>
      </w:r>
      <w:r w:rsidRPr="001E694F">
        <w:rPr>
          <w:rFonts w:eastAsia="Times New Roman" w:cs="Arial"/>
          <w:color w:val="000000"/>
          <w:lang w:val="en-US"/>
        </w:rPr>
        <w:t xml:space="preserve">Randomised Olmesartan and Diabetes Microalbuminuria Prevention (ROADMAP, </w:t>
      </w:r>
      <w:r w:rsidRPr="001E694F">
        <w:rPr>
          <w:rFonts w:eastAsia="Times New Roman" w:cs="Arial"/>
          <w:color w:val="000000"/>
          <w:lang w:eastAsia="bg-BG"/>
        </w:rPr>
        <w:t xml:space="preserve">Рандомизиране на олмесартан и превенция на диабетна микроалбуминурия) при 4447 пациенти с диабет тип 2, нормоалбуминурия и поне един допълнителен сърдечносъдов рисков фактор, се изследва дали лечението с олмесартан може да забави началото на микроалбуминурия. По време на периода на проследяване със средна продължителност от 3,2 години, пациентите получават олмесартан или плацебо в допълнение към друи антихипертензивни лекарства, с изключение на АСЕ инхибитори и ангиотензин рецепторни блокери </w:t>
      </w:r>
      <w:r w:rsidRPr="001E694F">
        <w:rPr>
          <w:rFonts w:eastAsia="Times New Roman" w:cs="Arial"/>
          <w:color w:val="000000"/>
          <w:lang w:val="en-US"/>
        </w:rPr>
        <w:t>(ARB).</w:t>
      </w:r>
    </w:p>
    <w:p w14:paraId="3D3F633A" w14:textId="77777777" w:rsidR="001E694F" w:rsidRPr="001E694F" w:rsidRDefault="001E694F" w:rsidP="001E694F">
      <w:pPr>
        <w:rPr>
          <w:rFonts w:eastAsia="Times New Roman" w:cs="Arial"/>
          <w:color w:val="000000"/>
          <w:lang w:eastAsia="bg-BG"/>
        </w:rPr>
      </w:pPr>
    </w:p>
    <w:p w14:paraId="61C19FAF" w14:textId="5C17EAB8" w:rsidR="001E694F" w:rsidRDefault="001E694F" w:rsidP="001E694F">
      <w:pPr>
        <w:rPr>
          <w:rFonts w:eastAsia="Times New Roman" w:cs="Arial"/>
          <w:color w:val="000000"/>
          <w:lang w:eastAsia="bg-BG"/>
        </w:rPr>
      </w:pPr>
      <w:r w:rsidRPr="001E694F">
        <w:rPr>
          <w:rFonts w:eastAsia="Times New Roman" w:cs="Arial"/>
          <w:color w:val="000000"/>
          <w:lang w:eastAsia="bg-BG"/>
        </w:rPr>
        <w:t>За първичната крайна цел проуването показва значително намаляване на времето за начало на микроалбуминурия в полза на олмесартан. След корекция на разликите в артериалното налягане това понижение на риска вече не е статистически значимо, като 8,2% (178 от 2160) от пациентите от групата на олмесартан и 9,8% (210 от 2139) в плацебо групата са развили микроалбуминурия</w:t>
      </w:r>
      <w:r>
        <w:rPr>
          <w:rFonts w:eastAsia="Times New Roman" w:cs="Arial"/>
          <w:color w:val="000000"/>
          <w:lang w:eastAsia="bg-BG"/>
        </w:rPr>
        <w:t>.</w:t>
      </w:r>
    </w:p>
    <w:p w14:paraId="05784079" w14:textId="77777777" w:rsidR="001E694F" w:rsidRDefault="001E694F" w:rsidP="001E694F">
      <w:pPr>
        <w:rPr>
          <w:rFonts w:eastAsia="Times New Roman" w:cs="Arial"/>
          <w:color w:val="000000"/>
          <w:lang w:eastAsia="bg-BG"/>
        </w:rPr>
      </w:pPr>
    </w:p>
    <w:p w14:paraId="27927F71" w14:textId="1C946F23" w:rsidR="001E694F" w:rsidRPr="001E694F" w:rsidRDefault="001E694F" w:rsidP="001E694F">
      <w:pPr>
        <w:rPr>
          <w:rFonts w:eastAsia="Times New Roman" w:cs="Arial"/>
          <w:sz w:val="24"/>
          <w:szCs w:val="24"/>
          <w:lang w:eastAsia="bg-BG"/>
        </w:rPr>
      </w:pPr>
      <w:r w:rsidRPr="001E694F">
        <w:rPr>
          <w:rFonts w:eastAsia="Times New Roman" w:cs="Arial"/>
          <w:color w:val="000000"/>
          <w:lang w:eastAsia="bg-BG"/>
        </w:rPr>
        <w:t>По отношение на вторичните крайни цели, сърдечносъдови инциденти възникват при 96 пациента (4,3%) при олмесартан и при 94 пациента (4,2%) при плацебо. Честотата на сърдечносъдова смъртност е по-висока при лечението с олмесартан в сравнение е плацебо (15 пациента (0,7%) спрямо 3 пациента (0,1%)), въпреки сходните нива на нефатален инсулт (14 пациента (0,6%) спрямо 8 пациента (0,4%)), нефатален миокардеи инфаркт (17 пациента (0,8%) спрямо 26 пациента (1,2%)) и смъртност, различна от сърдечносъдова, (11 пациента (0,5%) спрямо 12 пациента (0,5%)). Общата смъртност при олмесартан е числено повишена (26 пациента (1,2%) спрямо 15 пациента (0,7%)), което е следствие основно от по-високия брой фатални сърдечносъдови инциденти.</w:t>
      </w:r>
    </w:p>
    <w:p w14:paraId="5D92FE3C" w14:textId="77777777" w:rsidR="001E694F" w:rsidRDefault="001E694F" w:rsidP="001E694F">
      <w:pPr>
        <w:spacing w:line="240" w:lineRule="auto"/>
        <w:rPr>
          <w:rFonts w:eastAsia="Times New Roman" w:cs="Arial"/>
          <w:color w:val="000000"/>
          <w:lang w:eastAsia="bg-BG"/>
        </w:rPr>
      </w:pPr>
    </w:p>
    <w:p w14:paraId="3A2FE36C" w14:textId="714E229E"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 xml:space="preserve">В проучването </w:t>
      </w:r>
      <w:r w:rsidRPr="001E694F">
        <w:rPr>
          <w:rFonts w:eastAsia="Times New Roman" w:cs="Arial"/>
          <w:color w:val="000000"/>
          <w:lang w:val="en-US"/>
        </w:rPr>
        <w:t xml:space="preserve">Ohnesartan Reducing Incidence of End-stage Renal Disease in Diabetic Nephropathy Trial (ORIENT), </w:t>
      </w:r>
      <w:r w:rsidRPr="001E694F">
        <w:rPr>
          <w:rFonts w:eastAsia="Times New Roman" w:cs="Arial"/>
          <w:color w:val="000000"/>
          <w:lang w:eastAsia="bg-BG"/>
        </w:rPr>
        <w:t>Олмесартан намаляване на честотата на терминалната степен на бъбречна болест при диабетна нефропатия) се изследват ефектите на олмесартан върху бъбречните и сърдечносъдови крайни състояния при 577 рандомизирани пациенти от Япония и Китай с диабет тип 2 и изявена нефропатия. По време на периода на проследяване със средна продължителност от 3,1 години, пациентите получават или олмесартан, или плацебо в допълнение към други антихипертензивки лекарства, включително и АСЕ инхнбитори.</w:t>
      </w:r>
    </w:p>
    <w:p w14:paraId="306C4233" w14:textId="77777777" w:rsidR="001E694F" w:rsidRDefault="001E694F" w:rsidP="001E694F">
      <w:pPr>
        <w:spacing w:line="240" w:lineRule="auto"/>
        <w:rPr>
          <w:rFonts w:eastAsia="Times New Roman" w:cs="Arial"/>
          <w:color w:val="000000"/>
          <w:lang w:eastAsia="bg-BG"/>
        </w:rPr>
      </w:pPr>
    </w:p>
    <w:p w14:paraId="5A348A1D" w14:textId="6B3020EE"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 xml:space="preserve">Първичната комбинирана крайна цел (време до първия случай на удвояване на серумния креатинин, терминална степен на бъбречна болест, обща смъртност) се наблюдава при 116 пациенти в групата на олмесартан (41,4%) и при 129 пациенти в групата на плацебо (45,4%) </w:t>
      </w:r>
      <w:r w:rsidRPr="001E694F">
        <w:rPr>
          <w:rFonts w:eastAsia="Times New Roman" w:cs="Arial"/>
          <w:color w:val="000000"/>
          <w:lang w:val="en-US"/>
        </w:rPr>
        <w:t xml:space="preserve">(HR </w:t>
      </w:r>
      <w:r w:rsidRPr="001E694F">
        <w:rPr>
          <w:rFonts w:eastAsia="Times New Roman" w:cs="Arial"/>
          <w:color w:val="000000"/>
          <w:lang w:eastAsia="bg-BG"/>
        </w:rPr>
        <w:t xml:space="preserve">0,97 (95% </w:t>
      </w:r>
      <w:r w:rsidRPr="001E694F">
        <w:rPr>
          <w:rFonts w:eastAsia="Times New Roman" w:cs="Arial"/>
          <w:color w:val="000000"/>
          <w:lang w:val="en-US"/>
        </w:rPr>
        <w:t xml:space="preserve">CI </w:t>
      </w:r>
      <w:r w:rsidRPr="001E694F">
        <w:rPr>
          <w:rFonts w:eastAsia="Times New Roman" w:cs="Arial"/>
          <w:color w:val="000000"/>
          <w:lang w:eastAsia="bg-BG"/>
        </w:rPr>
        <w:t>0,75 до 1.24); р=0,791). Комбинираната вторична сърдечносъдова крайна цел се наблюдава при 40 пациента, лекувани с олмесартан, (14,2%) и при 53 пациента, лекувани с плацебо (18,7%).</w:t>
      </w:r>
    </w:p>
    <w:p w14:paraId="0D7E1FEE" w14:textId="4C9AEDCA" w:rsidR="001E694F" w:rsidRPr="001E694F" w:rsidRDefault="001E694F" w:rsidP="001E694F">
      <w:pPr>
        <w:rPr>
          <w:rFonts w:eastAsia="Times New Roman" w:cs="Arial"/>
          <w:color w:val="000000"/>
          <w:lang w:eastAsia="bg-BG"/>
        </w:rPr>
      </w:pPr>
      <w:r w:rsidRPr="001E694F">
        <w:rPr>
          <w:rFonts w:eastAsia="Times New Roman" w:cs="Arial"/>
          <w:color w:val="000000"/>
          <w:lang w:eastAsia="bg-BG"/>
        </w:rPr>
        <w:t>Тази комбинирана сърдечносъдова крайна цел включва сърдечносъдова смърт при 10 (3,5%) пациента, приемали олмесартан, спрямо 3 (1,1%), приемали плацебо, обща смъртност съответно 19 (6,7%) спрямо 20 (7,0%), нефатален инсулт 8 (2,8%) спрямо 11 (3,9%) и нефатален миокарден инфаркт 3(1,1%) спрямо 7 (2,5%).</w:t>
      </w:r>
    </w:p>
    <w:p w14:paraId="660CA5C9" w14:textId="6EA13932" w:rsidR="001E694F" w:rsidRDefault="001E694F" w:rsidP="001E694F">
      <w:pPr>
        <w:rPr>
          <w:rFonts w:cs="Arial"/>
        </w:rPr>
      </w:pPr>
    </w:p>
    <w:p w14:paraId="478388F0" w14:textId="7777777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u w:val="single"/>
          <w:lang w:eastAsia="bg-BG"/>
        </w:rPr>
        <w:t>Педиатрична популация</w:t>
      </w:r>
    </w:p>
    <w:p w14:paraId="1C292CF7" w14:textId="7777777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 xml:space="preserve">Антихипертензивният ефект на олмесартан медоксомил в педиатричната популация е бил проучен при едно рандомизирано, двойно-сляпо, плацебо-контролирано проучване при 302 пациенти с хипертония на възраст 6-17 години. Проучваната популация се е </w:t>
      </w:r>
      <w:r w:rsidRPr="001E694F">
        <w:rPr>
          <w:rFonts w:eastAsia="Times New Roman" w:cs="Arial"/>
          <w:color w:val="000000"/>
          <w:lang w:eastAsia="bg-BG"/>
        </w:rPr>
        <w:lastRenderedPageBreak/>
        <w:t>състояла от една кохорта от 112</w:t>
      </w:r>
      <w:r w:rsidRPr="001E694F">
        <w:rPr>
          <w:rFonts w:ascii="Times New Roman" w:eastAsia="Times New Roman" w:hAnsi="Times New Roman" w:cs="Times New Roman"/>
          <w:color w:val="000000"/>
          <w:lang w:eastAsia="bg-BG"/>
        </w:rPr>
        <w:t xml:space="preserve"> </w:t>
      </w:r>
      <w:r w:rsidRPr="001E694F">
        <w:rPr>
          <w:rFonts w:eastAsia="Times New Roman" w:cs="Arial"/>
          <w:color w:val="000000"/>
          <w:lang w:eastAsia="bg-BG"/>
        </w:rPr>
        <w:t xml:space="preserve">изцяло чернокожи пациенти и една кохорта от 190 пациенти от различни раси, включваща 38 чернокожи пациенти. Етиологията на хипертонията е била основно есенциална хипертония (87% от кохортата на чернокожите и 67% от смесената кохорта). Пациентите с тегло от 20 до &lt;35 </w:t>
      </w:r>
      <w:r w:rsidRPr="001E694F">
        <w:rPr>
          <w:rFonts w:eastAsia="Times New Roman" w:cs="Arial"/>
          <w:color w:val="000000"/>
          <w:lang w:val="en-US"/>
        </w:rPr>
        <w:t xml:space="preserve">kg </w:t>
      </w:r>
      <w:r w:rsidRPr="001E694F">
        <w:rPr>
          <w:rFonts w:eastAsia="Times New Roman" w:cs="Arial"/>
          <w:color w:val="000000"/>
          <w:lang w:eastAsia="bg-BG"/>
        </w:rPr>
        <w:t xml:space="preserve">са били рандомизирани към доза от 2,5 </w:t>
      </w:r>
      <w:r w:rsidRPr="001E694F">
        <w:rPr>
          <w:rFonts w:eastAsia="Times New Roman" w:cs="Arial"/>
          <w:color w:val="000000"/>
          <w:lang w:val="en-US"/>
        </w:rPr>
        <w:t xml:space="preserve">mg </w:t>
      </w:r>
      <w:r w:rsidRPr="001E694F">
        <w:rPr>
          <w:rFonts w:eastAsia="Times New Roman" w:cs="Arial"/>
          <w:color w:val="000000"/>
          <w:lang w:eastAsia="bg-BG"/>
        </w:rPr>
        <w:t xml:space="preserve">(ниска доза) или 20 </w:t>
      </w:r>
      <w:r w:rsidRPr="001E694F">
        <w:rPr>
          <w:rFonts w:eastAsia="Times New Roman" w:cs="Arial"/>
          <w:color w:val="000000"/>
          <w:lang w:val="en-US"/>
        </w:rPr>
        <w:t xml:space="preserve">mg </w:t>
      </w:r>
      <w:r w:rsidRPr="001E694F">
        <w:rPr>
          <w:rFonts w:eastAsia="Times New Roman" w:cs="Arial"/>
          <w:color w:val="000000"/>
          <w:lang w:eastAsia="bg-BG"/>
        </w:rPr>
        <w:t xml:space="preserve">(висока доза) олмесартан медоксомил, веднъж дневно, а пациентите с тегло ≥35 </w:t>
      </w:r>
      <w:r w:rsidRPr="001E694F">
        <w:rPr>
          <w:rFonts w:eastAsia="Times New Roman" w:cs="Arial"/>
          <w:color w:val="000000"/>
          <w:lang w:val="en-US"/>
        </w:rPr>
        <w:t xml:space="preserve">kg </w:t>
      </w:r>
      <w:r w:rsidRPr="001E694F">
        <w:rPr>
          <w:rFonts w:eastAsia="Times New Roman" w:cs="Arial"/>
          <w:color w:val="000000"/>
          <w:lang w:eastAsia="bg-BG"/>
        </w:rPr>
        <w:t xml:space="preserve">са били рандомизирани към 5 </w:t>
      </w:r>
      <w:r w:rsidRPr="001E694F">
        <w:rPr>
          <w:rFonts w:eastAsia="Times New Roman" w:cs="Arial"/>
          <w:color w:val="000000"/>
          <w:lang w:val="en-US"/>
        </w:rPr>
        <w:t xml:space="preserve">mg </w:t>
      </w:r>
      <w:r w:rsidRPr="001E694F">
        <w:rPr>
          <w:rFonts w:eastAsia="Times New Roman" w:cs="Arial"/>
          <w:color w:val="000000"/>
          <w:lang w:eastAsia="bg-BG"/>
        </w:rPr>
        <w:t xml:space="preserve">(ниска доза) или 40 </w:t>
      </w:r>
      <w:r w:rsidRPr="001E694F">
        <w:rPr>
          <w:rFonts w:eastAsia="Times New Roman" w:cs="Arial"/>
          <w:color w:val="000000"/>
          <w:lang w:val="en-US"/>
        </w:rPr>
        <w:t xml:space="preserve">mg </w:t>
      </w:r>
      <w:r w:rsidRPr="001E694F">
        <w:rPr>
          <w:rFonts w:eastAsia="Times New Roman" w:cs="Arial"/>
          <w:color w:val="000000"/>
          <w:lang w:eastAsia="bg-BG"/>
        </w:rPr>
        <w:t xml:space="preserve">(висока доза) олмесартан медоксоксомил, веднъж дневно. Олмесартан медоксоксомил значително понижава както систоличното, така и диастоличното кръвно налягане, когато дозата е определена спрямо телесното тегло и отговора към дозата. Както в ниски, така и с високи дози, олмесартан медоксоксомил значително намалява систоличното налягане съответно с 6,6 </w:t>
      </w:r>
      <w:r w:rsidRPr="001E694F">
        <w:rPr>
          <w:rFonts w:eastAsia="Times New Roman" w:cs="Arial"/>
          <w:color w:val="000000"/>
          <w:lang w:val="en-US"/>
        </w:rPr>
        <w:t xml:space="preserve">mmHg </w:t>
      </w:r>
      <w:r w:rsidRPr="001E694F">
        <w:rPr>
          <w:rFonts w:eastAsia="Times New Roman" w:cs="Arial"/>
          <w:color w:val="000000"/>
          <w:lang w:eastAsia="bg-BG"/>
        </w:rPr>
        <w:t xml:space="preserve">и 11,9 </w:t>
      </w:r>
      <w:r w:rsidRPr="001E694F">
        <w:rPr>
          <w:rFonts w:eastAsia="Times New Roman" w:cs="Arial"/>
          <w:color w:val="000000"/>
          <w:lang w:val="en-US"/>
        </w:rPr>
        <w:t xml:space="preserve">mmHg </w:t>
      </w:r>
      <w:r w:rsidRPr="001E694F">
        <w:rPr>
          <w:rFonts w:eastAsia="Times New Roman" w:cs="Arial"/>
          <w:color w:val="000000"/>
          <w:lang w:eastAsia="bg-BG"/>
        </w:rPr>
        <w:t>спрямо изходните стойност. Този ефект се наблюдава също по време на 2 седмична рандомизирана фаза на отнемане, където както средното систолично, така и средното диастолично кръвно налягане, показват статистически значим ребауд ефект в групата на плацебо в сравнение с групата на олмесартан медоксомил. Лечението е било ефективно при педиатричните пациенти както с първична, така и с вторична хипертония. Както е установено в популацията на възрастните, редукцията на кръвното налягане е по-малка при чернокожите пациенти.</w:t>
      </w:r>
    </w:p>
    <w:p w14:paraId="594F6017" w14:textId="77777777" w:rsidR="001E694F" w:rsidRPr="001E694F" w:rsidRDefault="001E694F" w:rsidP="001E694F">
      <w:pPr>
        <w:rPr>
          <w:rFonts w:eastAsia="Times New Roman" w:cs="Arial"/>
          <w:color w:val="000000"/>
          <w:lang w:eastAsia="bg-BG"/>
        </w:rPr>
      </w:pPr>
    </w:p>
    <w:p w14:paraId="38D88980" w14:textId="77777777" w:rsidR="001E694F" w:rsidRPr="001E694F" w:rsidRDefault="001E694F" w:rsidP="001E694F">
      <w:pPr>
        <w:rPr>
          <w:rFonts w:eastAsia="Times New Roman" w:cs="Arial"/>
          <w:sz w:val="24"/>
          <w:szCs w:val="24"/>
          <w:lang w:eastAsia="bg-BG"/>
        </w:rPr>
      </w:pPr>
      <w:r w:rsidRPr="001E694F">
        <w:rPr>
          <w:rFonts w:eastAsia="Times New Roman" w:cs="Arial"/>
          <w:color w:val="000000"/>
          <w:lang w:eastAsia="bg-BG"/>
        </w:rPr>
        <w:t xml:space="preserve">В същото проучване, 59 пациенти на възраст от 1 до 5 години с тегло на и над 5 </w:t>
      </w:r>
      <w:r w:rsidRPr="001E694F">
        <w:rPr>
          <w:rFonts w:eastAsia="Times New Roman" w:cs="Arial"/>
          <w:color w:val="000000"/>
          <w:lang w:val="en-US"/>
        </w:rPr>
        <w:t xml:space="preserve">kg </w:t>
      </w:r>
      <w:r w:rsidRPr="001E694F">
        <w:rPr>
          <w:rFonts w:eastAsia="Times New Roman" w:cs="Arial"/>
          <w:color w:val="000000"/>
          <w:lang w:eastAsia="bg-BG"/>
        </w:rPr>
        <w:t xml:space="preserve">са получили  0,3 </w:t>
      </w:r>
      <w:r w:rsidRPr="001E694F">
        <w:rPr>
          <w:rFonts w:eastAsia="Times New Roman" w:cs="Arial"/>
          <w:color w:val="000000"/>
          <w:lang w:val="en-US"/>
        </w:rPr>
        <w:t xml:space="preserve">mg/kg </w:t>
      </w:r>
      <w:r w:rsidRPr="001E694F">
        <w:rPr>
          <w:rFonts w:eastAsia="Times New Roman" w:cs="Arial"/>
          <w:color w:val="000000"/>
          <w:lang w:eastAsia="bg-BG"/>
        </w:rPr>
        <w:t xml:space="preserve">олмесартан медоксоксомил веднъж дневно за 3 седмици във фазата на отворен протокол, след което са били рандомизирани да получават олмесартан медоксоксомил или плацебо през двойно-сляпата фаза. В края на втората седмица след отнемането, средното систолично, диастолично кръвно налягане в най-ниската си точка е било с 3/3 </w:t>
      </w:r>
      <w:r w:rsidRPr="001E694F">
        <w:rPr>
          <w:rFonts w:eastAsia="Times New Roman" w:cs="Arial"/>
          <w:color w:val="000000"/>
          <w:lang w:val="en-US"/>
        </w:rPr>
        <w:t xml:space="preserve">mmHg </w:t>
      </w:r>
      <w:r w:rsidRPr="001E694F">
        <w:rPr>
          <w:rFonts w:eastAsia="Times New Roman" w:cs="Arial"/>
          <w:color w:val="000000"/>
          <w:lang w:eastAsia="bg-BG"/>
        </w:rPr>
        <w:t>по-ниско в групата рандомизирана към</w:t>
      </w:r>
      <w:r>
        <w:rPr>
          <w:rFonts w:eastAsia="Times New Roman" w:cs="Arial"/>
          <w:color w:val="000000"/>
          <w:lang w:eastAsia="bg-BG"/>
        </w:rPr>
        <w:t xml:space="preserve"> </w:t>
      </w:r>
      <w:r w:rsidRPr="001E694F">
        <w:rPr>
          <w:rFonts w:eastAsia="Times New Roman" w:cs="Arial"/>
          <w:color w:val="000000"/>
          <w:lang w:eastAsia="bg-BG"/>
        </w:rPr>
        <w:t xml:space="preserve">олмесартан медоксоксомил; тази разлика в кръвното налягане не е била статистически значима (95% </w:t>
      </w:r>
      <w:r w:rsidRPr="001E694F">
        <w:rPr>
          <w:rFonts w:eastAsia="Times New Roman" w:cs="Arial"/>
          <w:color w:val="000000"/>
          <w:lang w:val="en-US"/>
        </w:rPr>
        <w:t xml:space="preserve">C.I. </w:t>
      </w:r>
      <w:r w:rsidRPr="001E694F">
        <w:rPr>
          <w:rFonts w:eastAsia="Times New Roman" w:cs="Arial"/>
          <w:color w:val="000000"/>
          <w:lang w:eastAsia="bg-BG"/>
        </w:rPr>
        <w:t>-2 до 7/-1 до 7).</w:t>
      </w:r>
    </w:p>
    <w:p w14:paraId="329B0EB5" w14:textId="77777777" w:rsidR="001E694F" w:rsidRDefault="001E694F" w:rsidP="001E694F">
      <w:pPr>
        <w:spacing w:line="240" w:lineRule="auto"/>
        <w:rPr>
          <w:rFonts w:eastAsia="Times New Roman" w:cs="Arial"/>
          <w:color w:val="000000"/>
          <w:u w:val="single"/>
          <w:lang w:eastAsia="bg-BG"/>
        </w:rPr>
      </w:pPr>
    </w:p>
    <w:p w14:paraId="661FB7FC" w14:textId="470DAF7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u w:val="single"/>
          <w:lang w:eastAsia="bg-BG"/>
        </w:rPr>
        <w:t>Друга информация</w:t>
      </w:r>
    </w:p>
    <w:p w14:paraId="69E21922" w14:textId="7777777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 xml:space="preserve">“Две големи рандомизирани контролирани проучвания - </w:t>
      </w:r>
      <w:r w:rsidRPr="001E694F">
        <w:rPr>
          <w:rFonts w:eastAsia="Times New Roman" w:cs="Arial"/>
          <w:color w:val="000000"/>
          <w:lang w:val="en-US"/>
        </w:rPr>
        <w:t xml:space="preserve">ONTARGET (ONgoing Telmisartan Alone and in combination with Ramipril Global Endpoint Trial - </w:t>
      </w:r>
      <w:r w:rsidRPr="001E694F">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1E694F">
        <w:rPr>
          <w:rFonts w:eastAsia="Times New Roman" w:cs="Arial"/>
          <w:color w:val="000000"/>
          <w:lang w:val="en-US"/>
        </w:rPr>
        <w:t xml:space="preserve">VA NEPHRON-D </w:t>
      </w:r>
      <w:r w:rsidRPr="001E694F">
        <w:rPr>
          <w:rFonts w:eastAsia="Times New Roman" w:cs="Arial"/>
          <w:color w:val="000000"/>
          <w:lang w:eastAsia="bg-BG"/>
        </w:rP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II- рецепторен блокер.</w:t>
      </w:r>
    </w:p>
    <w:p w14:paraId="21EB1E58" w14:textId="7777777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val="en-US"/>
        </w:rPr>
        <w:t xml:space="preserve">ONTARGET </w:t>
      </w:r>
      <w:r w:rsidRPr="001E694F">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1E694F">
        <w:rPr>
          <w:rFonts w:eastAsia="Times New Roman" w:cs="Arial"/>
          <w:color w:val="000000"/>
          <w:lang w:val="en-US"/>
        </w:rPr>
        <w:t xml:space="preserve">VA NEPHRON-D </w:t>
      </w:r>
      <w:r w:rsidRPr="001E694F">
        <w:rPr>
          <w:rFonts w:eastAsia="Times New Roman" w:cs="Arial"/>
          <w:color w:val="000000"/>
          <w:lang w:eastAsia="bg-BG"/>
        </w:rPr>
        <w:t>е проучване при пациенти със захарен диабет тип 2 и диабетна нефропатия.</w:t>
      </w:r>
    </w:p>
    <w:p w14:paraId="53F7EC83" w14:textId="7777777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II-рецепторни блокери.</w:t>
      </w:r>
    </w:p>
    <w:p w14:paraId="69392F8F" w14:textId="7777777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АСЕ инхибитори и ангиотензин II-рецепторни блокери следователно не трябва да се използват едновременно при пациенти с диабетна нефропатия.</w:t>
      </w:r>
    </w:p>
    <w:p w14:paraId="3A1C12B3" w14:textId="51E27636" w:rsidR="001E694F" w:rsidRPr="001E694F" w:rsidRDefault="001E694F" w:rsidP="001E694F">
      <w:pPr>
        <w:rPr>
          <w:rFonts w:eastAsia="Times New Roman" w:cs="Arial"/>
          <w:color w:val="000000"/>
          <w:lang w:eastAsia="bg-BG"/>
        </w:rPr>
      </w:pPr>
      <w:r w:rsidRPr="001E694F">
        <w:rPr>
          <w:rFonts w:eastAsia="Times New Roman" w:cs="Arial"/>
          <w:color w:val="000000"/>
          <w:lang w:val="en-US"/>
        </w:rPr>
        <w:t xml:space="preserve">ALTITUDE </w:t>
      </w:r>
      <w:r w:rsidRPr="001E694F">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II-рецепторен блокер при пациенти </w:t>
      </w:r>
      <w:r w:rsidRPr="001E694F">
        <w:rPr>
          <w:rFonts w:eastAsia="Times New Roman" w:cs="Arial"/>
          <w:color w:val="000000"/>
          <w:lang w:eastAsia="bg-BG"/>
        </w:rPr>
        <w:lastRenderedPageBreak/>
        <w:t>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4F8F435C" w14:textId="46180460" w:rsidR="001E694F" w:rsidRPr="001E694F" w:rsidRDefault="001E694F" w:rsidP="001E694F">
      <w:pPr>
        <w:rPr>
          <w:rFonts w:cs="Arial"/>
        </w:rPr>
      </w:pPr>
    </w:p>
    <w:p w14:paraId="35F84B81" w14:textId="73113E5C" w:rsidR="00CF77F7" w:rsidRDefault="002C50EE" w:rsidP="004A448E">
      <w:pPr>
        <w:pStyle w:val="Heading2"/>
      </w:pPr>
      <w:r>
        <w:t>5.2. Фармакокинетични свойства</w:t>
      </w:r>
    </w:p>
    <w:p w14:paraId="77923492" w14:textId="3EF7CDA2" w:rsidR="001E694F" w:rsidRDefault="001E694F" w:rsidP="001E694F"/>
    <w:p w14:paraId="4B5AEE62" w14:textId="77777777" w:rsidR="001E694F" w:rsidRPr="00C76DED" w:rsidRDefault="001E694F" w:rsidP="00C76DED">
      <w:pPr>
        <w:pStyle w:val="Heading3"/>
        <w:rPr>
          <w:rFonts w:eastAsia="Times New Roman"/>
          <w:u w:val="single"/>
          <w:lang w:eastAsia="bg-BG"/>
        </w:rPr>
      </w:pPr>
      <w:r w:rsidRPr="00C76DED">
        <w:rPr>
          <w:rFonts w:eastAsia="Times New Roman"/>
          <w:u w:val="single"/>
          <w:lang w:eastAsia="bg-BG"/>
        </w:rPr>
        <w:t>Абсорбция и разпределение</w:t>
      </w:r>
    </w:p>
    <w:p w14:paraId="7A77FAA4" w14:textId="7777777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Олмесартан медоксомил е предлекарство. При резорбиране от стомашно-чревния тракт бързо се превръща във фармакологично активния метаболит олмесартан от естеразите в чревната лигавица и в порталната кръв.</w:t>
      </w:r>
    </w:p>
    <w:p w14:paraId="7A43B54C" w14:textId="77777777" w:rsidR="001E694F" w:rsidRPr="001E694F" w:rsidRDefault="001E694F" w:rsidP="001E694F">
      <w:pPr>
        <w:spacing w:line="240" w:lineRule="auto"/>
        <w:rPr>
          <w:rFonts w:eastAsia="Times New Roman" w:cs="Arial"/>
          <w:color w:val="000000"/>
          <w:lang w:eastAsia="bg-BG"/>
        </w:rPr>
      </w:pPr>
    </w:p>
    <w:p w14:paraId="67D76BFF" w14:textId="2AE04F01"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В плазмата или екскретите не се откриват части на интактен олмесартан медоксомил или интактни странични вериги на медоксомил. Средната абсолютна бионаличност на олмесартан, приложен под формата на таблетки е 25,6 %.</w:t>
      </w:r>
    </w:p>
    <w:p w14:paraId="17C939CB" w14:textId="77777777" w:rsidR="001E694F" w:rsidRPr="001E694F" w:rsidRDefault="001E694F" w:rsidP="001E694F">
      <w:pPr>
        <w:spacing w:line="240" w:lineRule="auto"/>
        <w:rPr>
          <w:rFonts w:eastAsia="Times New Roman" w:cs="Arial"/>
          <w:color w:val="000000"/>
          <w:lang w:eastAsia="bg-BG"/>
        </w:rPr>
      </w:pPr>
    </w:p>
    <w:p w14:paraId="4E5710BE" w14:textId="128F1FF2"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Средната пикова плазмена концентрация (С</w:t>
      </w:r>
      <w:r w:rsidRPr="001E694F">
        <w:rPr>
          <w:rFonts w:eastAsia="Times New Roman" w:cs="Arial"/>
          <w:color w:val="000000"/>
          <w:vertAlign w:val="subscript"/>
          <w:lang w:val="en-US"/>
        </w:rPr>
        <w:t>max</w:t>
      </w:r>
      <w:r w:rsidRPr="001E694F">
        <w:rPr>
          <w:rFonts w:eastAsia="Times New Roman" w:cs="Arial"/>
          <w:color w:val="000000"/>
          <w:lang w:eastAsia="bg-BG"/>
        </w:rPr>
        <w:t xml:space="preserve">) на олмесартан се достига в рамките на 2 часа след перорално приложение на олмесартан медоксомил, а плазмените концентрации на олмесартан нарастват почти линейно при нарастващи еднократни перорални дози до около 80 </w:t>
      </w:r>
      <w:r w:rsidRPr="001E694F">
        <w:rPr>
          <w:rFonts w:eastAsia="Times New Roman" w:cs="Arial"/>
          <w:color w:val="000000"/>
          <w:lang w:val="en-US"/>
        </w:rPr>
        <w:t>mg.</w:t>
      </w:r>
    </w:p>
    <w:p w14:paraId="2557EA44" w14:textId="77777777" w:rsidR="001E694F" w:rsidRPr="001E694F" w:rsidRDefault="001E694F" w:rsidP="001E694F">
      <w:pPr>
        <w:spacing w:line="240" w:lineRule="auto"/>
        <w:rPr>
          <w:rFonts w:eastAsia="Times New Roman" w:cs="Arial"/>
          <w:color w:val="000000"/>
          <w:lang w:eastAsia="bg-BG"/>
        </w:rPr>
      </w:pPr>
    </w:p>
    <w:p w14:paraId="7D2A3391" w14:textId="1DBAE109"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Храната оказва минимален ефект върху бионаличността на олмесартан и затова олмесартан медоксомил може да се прилага независимо от храна.</w:t>
      </w:r>
    </w:p>
    <w:p w14:paraId="2B38FAC7" w14:textId="77777777" w:rsidR="001E694F" w:rsidRPr="001E694F" w:rsidRDefault="001E694F" w:rsidP="001E694F">
      <w:pPr>
        <w:spacing w:line="240" w:lineRule="auto"/>
        <w:rPr>
          <w:rFonts w:eastAsia="Times New Roman" w:cs="Arial"/>
          <w:color w:val="000000"/>
          <w:lang w:eastAsia="bg-BG"/>
        </w:rPr>
      </w:pPr>
    </w:p>
    <w:p w14:paraId="57094D1E" w14:textId="7A4E5C54"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Не се наблюдават клинично значими разлики в зависимост от пола по отношение на фармакокинетиката на олмесартан.</w:t>
      </w:r>
    </w:p>
    <w:p w14:paraId="2B947B63" w14:textId="77777777" w:rsidR="001E694F" w:rsidRPr="001E694F" w:rsidRDefault="001E694F" w:rsidP="001E694F">
      <w:pPr>
        <w:rPr>
          <w:rFonts w:eastAsia="Times New Roman" w:cs="Arial"/>
          <w:color w:val="000000"/>
          <w:lang w:eastAsia="bg-BG"/>
        </w:rPr>
      </w:pPr>
    </w:p>
    <w:p w14:paraId="4C7BE35E" w14:textId="77777777" w:rsidR="001E694F" w:rsidRPr="001E694F" w:rsidRDefault="001E694F" w:rsidP="001E694F">
      <w:pPr>
        <w:rPr>
          <w:rFonts w:eastAsia="Times New Roman" w:cs="Arial"/>
          <w:sz w:val="24"/>
          <w:szCs w:val="24"/>
          <w:lang w:eastAsia="bg-BG"/>
        </w:rPr>
      </w:pPr>
      <w:r w:rsidRPr="001E694F">
        <w:rPr>
          <w:rFonts w:eastAsia="Times New Roman" w:cs="Arial"/>
          <w:color w:val="000000"/>
          <w:lang w:eastAsia="bg-BG"/>
        </w:rPr>
        <w:t>Олмесартан се свързва във висока степен с плазмените белтъци (99,7%). Въпреки това, възможността</w:t>
      </w:r>
      <w:r>
        <w:rPr>
          <w:rFonts w:eastAsia="Times New Roman" w:cs="Arial"/>
          <w:color w:val="000000"/>
          <w:lang w:eastAsia="bg-BG"/>
        </w:rPr>
        <w:t xml:space="preserve"> </w:t>
      </w:r>
      <w:r w:rsidRPr="001E694F">
        <w:rPr>
          <w:rFonts w:eastAsia="Times New Roman" w:cs="Arial"/>
          <w:color w:val="000000"/>
          <w:lang w:eastAsia="bg-BG"/>
        </w:rPr>
        <w:t xml:space="preserve">за клинично значими лекарствени взаимодействия на олмесартан с други лекарствени продукти, свързващи се във висока степен с плазмените белтгьци, чрез изместване от местата за свързване, е ниска. Това се потвърждава от липсата на клинично-значими взаимодействия между олмесартан медоксомил и варфарин. Свързването на олмесартан с кръвните клетки е незначително. Средният обем на разпределение след интравенозно приложение е малък (16-29 </w:t>
      </w:r>
      <w:r w:rsidRPr="001E694F">
        <w:rPr>
          <w:rFonts w:eastAsia="Times New Roman" w:cs="Arial"/>
          <w:color w:val="000000"/>
          <w:lang w:val="en-US"/>
        </w:rPr>
        <w:t>l</w:t>
      </w:r>
      <w:r w:rsidRPr="001E694F">
        <w:rPr>
          <w:rFonts w:eastAsia="Times New Roman" w:cs="Arial"/>
          <w:color w:val="000000"/>
          <w:lang w:eastAsia="bg-BG"/>
        </w:rPr>
        <w:t>).</w:t>
      </w:r>
    </w:p>
    <w:p w14:paraId="720C8447" w14:textId="77777777" w:rsidR="001E694F" w:rsidRDefault="001E694F" w:rsidP="001E694F">
      <w:pPr>
        <w:spacing w:line="240" w:lineRule="auto"/>
        <w:rPr>
          <w:rFonts w:eastAsia="Times New Roman" w:cs="Arial"/>
          <w:b/>
          <w:bCs/>
          <w:color w:val="000000"/>
          <w:lang w:eastAsia="bg-BG"/>
        </w:rPr>
      </w:pPr>
    </w:p>
    <w:p w14:paraId="47CE67F6" w14:textId="463ECB5D" w:rsidR="001E694F" w:rsidRPr="00C76DED" w:rsidRDefault="001E694F" w:rsidP="00C76DED">
      <w:pPr>
        <w:pStyle w:val="Heading3"/>
        <w:rPr>
          <w:rFonts w:eastAsia="Times New Roman"/>
          <w:u w:val="single"/>
          <w:lang w:eastAsia="bg-BG"/>
        </w:rPr>
      </w:pPr>
      <w:r w:rsidRPr="00C76DED">
        <w:rPr>
          <w:rFonts w:eastAsia="Times New Roman"/>
          <w:u w:val="single"/>
          <w:lang w:eastAsia="bg-BG"/>
        </w:rPr>
        <w:t>Биотрансформация и елиминиране</w:t>
      </w:r>
    </w:p>
    <w:p w14:paraId="547727E6" w14:textId="7777777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 xml:space="preserve">Обикновено общият плазмен клирънс е 1,3 </w:t>
      </w:r>
      <w:r w:rsidRPr="001E694F">
        <w:rPr>
          <w:rFonts w:eastAsia="Times New Roman" w:cs="Arial"/>
          <w:color w:val="000000"/>
          <w:lang w:val="en-US"/>
        </w:rPr>
        <w:t xml:space="preserve">L/h (CV, </w:t>
      </w:r>
      <w:r w:rsidRPr="001E694F">
        <w:rPr>
          <w:rFonts w:eastAsia="Times New Roman" w:cs="Arial"/>
          <w:color w:val="000000"/>
          <w:lang w:eastAsia="bg-BG"/>
        </w:rPr>
        <w:t xml:space="preserve">19 %) и е сравнително малък в сравнение с чернодробния кръвоток (около 90 </w:t>
      </w:r>
      <w:r w:rsidRPr="001E694F">
        <w:rPr>
          <w:rFonts w:eastAsia="Times New Roman" w:cs="Arial"/>
          <w:color w:val="000000"/>
          <w:lang w:val="en-US"/>
        </w:rPr>
        <w:t xml:space="preserve">L/h). </w:t>
      </w:r>
      <w:r w:rsidRPr="001E694F">
        <w:rPr>
          <w:rFonts w:eastAsia="Times New Roman" w:cs="Arial"/>
          <w:color w:val="000000"/>
          <w:lang w:eastAsia="bg-BG"/>
        </w:rPr>
        <w:t xml:space="preserve">След еднократно перорално приложение на белязан с 14С олмесартан медоксомил, 10-16 % от радиоактивността се открива в урината (по-голямата част в рамките на 24 часа от приложението), а остатъкът от откритата радиоактивност се екскретира във фецеса. Имайки предвид системната наличност от 25,6%, може да се изчисли, че абсорбираното количество от олмесартан се елиминира също чрез бъбречна екскреция (около 40%) и чрез хепатобилиарна екскреция (около 60%). Цялото количество радиоактивност е идентифицирано като олмесартан. Не се открива друг значим метаболит. Ентерохепталният метаболизъм на олмесартан е </w:t>
      </w:r>
      <w:r w:rsidRPr="001E694F">
        <w:rPr>
          <w:rFonts w:eastAsia="Times New Roman" w:cs="Arial"/>
          <w:color w:val="000000"/>
          <w:lang w:eastAsia="bg-BG"/>
        </w:rPr>
        <w:lastRenderedPageBreak/>
        <w:t>минимален. Тъй като голямо количество от олмесартан се екскретира чрез жтлъчката, приложението му при пациенти с билиарна обструкция е противопоказано (вж. 4.3).</w:t>
      </w:r>
    </w:p>
    <w:p w14:paraId="35F5F4D7" w14:textId="77777777" w:rsidR="001E694F" w:rsidRDefault="001E694F" w:rsidP="001E694F">
      <w:pPr>
        <w:rPr>
          <w:rFonts w:eastAsia="Times New Roman" w:cs="Arial"/>
          <w:color w:val="000000"/>
          <w:lang w:eastAsia="bg-BG"/>
        </w:rPr>
      </w:pPr>
    </w:p>
    <w:p w14:paraId="43989EC9" w14:textId="37BEBAF7" w:rsidR="001E694F" w:rsidRDefault="001E694F" w:rsidP="001E694F">
      <w:pPr>
        <w:rPr>
          <w:rFonts w:eastAsia="Times New Roman" w:cs="Arial"/>
          <w:color w:val="000000"/>
          <w:lang w:eastAsia="bg-BG"/>
        </w:rPr>
      </w:pPr>
      <w:r w:rsidRPr="001E694F">
        <w:rPr>
          <w:rFonts w:eastAsia="Times New Roman" w:cs="Arial"/>
          <w:color w:val="000000"/>
          <w:lang w:eastAsia="bg-BG"/>
        </w:rPr>
        <w:t xml:space="preserve">Терминалният елиминационен полуживот на олмесартан варира между 10 и 15 часа след многократно перорално приложение. Плазмените концентрации в стационарно състояние се достигат след първите няколко дози и след 14 дни многократно приложение не се наблюдава допълнително акумулиране. Бъбречният клирънс е около 0.5 - 0,7 </w:t>
      </w:r>
      <w:r w:rsidRPr="001E694F">
        <w:rPr>
          <w:rFonts w:eastAsia="Times New Roman" w:cs="Arial"/>
          <w:color w:val="000000"/>
          <w:lang w:val="en-US"/>
        </w:rPr>
        <w:t xml:space="preserve">L/h </w:t>
      </w:r>
      <w:r w:rsidRPr="001E694F">
        <w:rPr>
          <w:rFonts w:eastAsia="Times New Roman" w:cs="Arial"/>
          <w:color w:val="000000"/>
          <w:lang w:eastAsia="bg-BG"/>
        </w:rPr>
        <w:t>и е независим от дозата.</w:t>
      </w:r>
    </w:p>
    <w:p w14:paraId="2B176DEC" w14:textId="3CE0C88E" w:rsidR="001E694F" w:rsidRDefault="001E694F" w:rsidP="001E694F">
      <w:pPr>
        <w:rPr>
          <w:rFonts w:eastAsia="Times New Roman" w:cs="Arial"/>
          <w:color w:val="000000"/>
          <w:lang w:eastAsia="bg-BG"/>
        </w:rPr>
      </w:pPr>
    </w:p>
    <w:p w14:paraId="371F6D3B" w14:textId="77777777" w:rsidR="001E694F" w:rsidRPr="001E694F" w:rsidRDefault="001E694F" w:rsidP="001E694F">
      <w:pPr>
        <w:spacing w:line="240" w:lineRule="auto"/>
        <w:rPr>
          <w:rFonts w:eastAsia="Times New Roman" w:cs="Arial"/>
          <w:sz w:val="24"/>
          <w:szCs w:val="24"/>
          <w:lang w:eastAsia="bg-BG"/>
        </w:rPr>
      </w:pPr>
      <w:r w:rsidRPr="001E694F">
        <w:rPr>
          <w:rFonts w:eastAsia="Times New Roman" w:cs="Arial"/>
          <w:b/>
          <w:bCs/>
          <w:color w:val="000000"/>
          <w:lang w:eastAsia="bg-BG"/>
        </w:rPr>
        <w:t>Фармакокннетика при специални групи пациенти</w:t>
      </w:r>
    </w:p>
    <w:p w14:paraId="269A3211" w14:textId="77777777" w:rsidR="001E694F" w:rsidRDefault="001E694F" w:rsidP="001E694F">
      <w:pPr>
        <w:spacing w:line="240" w:lineRule="auto"/>
        <w:rPr>
          <w:rFonts w:eastAsia="Times New Roman" w:cs="Arial"/>
          <w:b/>
          <w:bCs/>
          <w:color w:val="000000"/>
          <w:lang w:eastAsia="bg-BG"/>
        </w:rPr>
      </w:pPr>
    </w:p>
    <w:p w14:paraId="4BAE2FD3" w14:textId="548C54B3" w:rsidR="001E694F" w:rsidRPr="00C76DED" w:rsidRDefault="001E694F" w:rsidP="00C76DED">
      <w:pPr>
        <w:pStyle w:val="Heading3"/>
        <w:rPr>
          <w:rFonts w:eastAsia="Times New Roman"/>
          <w:u w:val="single"/>
          <w:lang w:eastAsia="bg-BG"/>
        </w:rPr>
      </w:pPr>
      <w:r w:rsidRPr="00C76DED">
        <w:rPr>
          <w:rFonts w:eastAsia="Times New Roman"/>
          <w:u w:val="single"/>
          <w:lang w:eastAsia="bg-BG"/>
        </w:rPr>
        <w:t>Педиатрична популация</w:t>
      </w:r>
    </w:p>
    <w:p w14:paraId="746D7EC0" w14:textId="047F8441"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Фармакокинетиката на олмесартан е проучвана при педиатрични пациенти с хипертония на възраст от 1 до 16 години. Клирънсът на олмесартан при педиатрични пациенти е бил близък до този при възрастни пациенти, когато дозата е била съобразена с телесното тегло.</w:t>
      </w:r>
    </w:p>
    <w:p w14:paraId="27A4886F" w14:textId="7777777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Не е налична фармакокинетична информация за педиатрични пациенти с бъбречно увреждане.</w:t>
      </w:r>
    </w:p>
    <w:p w14:paraId="388B508C" w14:textId="77777777" w:rsidR="001E694F" w:rsidRDefault="001E694F" w:rsidP="001E694F">
      <w:pPr>
        <w:spacing w:line="240" w:lineRule="auto"/>
        <w:rPr>
          <w:rFonts w:eastAsia="Times New Roman" w:cs="Arial"/>
          <w:color w:val="000000"/>
          <w:u w:val="single"/>
          <w:lang w:eastAsia="bg-BG"/>
        </w:rPr>
      </w:pPr>
    </w:p>
    <w:p w14:paraId="6E12C763" w14:textId="6BDA80C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u w:val="single"/>
          <w:lang w:eastAsia="bg-BG"/>
        </w:rPr>
        <w:t>Старческа възраст (на или над 65 години)</w:t>
      </w:r>
    </w:p>
    <w:p w14:paraId="61782297" w14:textId="7777777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 xml:space="preserve">При хипертоници </w:t>
      </w:r>
      <w:r w:rsidRPr="001E694F">
        <w:rPr>
          <w:rFonts w:eastAsia="Times New Roman" w:cs="Arial"/>
          <w:color w:val="000000"/>
          <w:lang w:val="en-US"/>
        </w:rPr>
        <w:t xml:space="preserve">AUC </w:t>
      </w:r>
      <w:r w:rsidRPr="001E694F">
        <w:rPr>
          <w:rFonts w:eastAsia="Times New Roman" w:cs="Arial"/>
          <w:color w:val="000000"/>
          <w:lang w:eastAsia="bg-BG"/>
        </w:rPr>
        <w:t>в стационарно състояние се увеличава с около 35% при пациенти в старческа възраст (65-75 години) и с около 44% при пациенти в много напреднала възраст (≥ 75 години) в сравнение с по-млади пациенти. Това може да е поне отчасти свързано със средното намаление на бъбречната функция при тази група пациенти.</w:t>
      </w:r>
    </w:p>
    <w:p w14:paraId="711CA32D" w14:textId="77777777" w:rsidR="001E694F" w:rsidRDefault="001E694F" w:rsidP="001E694F">
      <w:pPr>
        <w:spacing w:line="240" w:lineRule="auto"/>
        <w:rPr>
          <w:rFonts w:eastAsia="Times New Roman" w:cs="Arial"/>
          <w:color w:val="000000"/>
          <w:u w:val="single"/>
          <w:lang w:eastAsia="bg-BG"/>
        </w:rPr>
      </w:pPr>
    </w:p>
    <w:p w14:paraId="58D3DDFC" w14:textId="2B016F6E"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u w:val="single"/>
          <w:lang w:eastAsia="bg-BG"/>
        </w:rPr>
        <w:t>Пациенти с бъбречно увреждане</w:t>
      </w:r>
    </w:p>
    <w:p w14:paraId="52F7F24C" w14:textId="7777777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 xml:space="preserve">При пациенти с бъбречна недостатъчност </w:t>
      </w:r>
      <w:r w:rsidRPr="001E694F">
        <w:rPr>
          <w:rFonts w:eastAsia="Times New Roman" w:cs="Arial"/>
          <w:color w:val="000000"/>
          <w:lang w:val="en-US"/>
        </w:rPr>
        <w:t xml:space="preserve">AUC </w:t>
      </w:r>
      <w:r w:rsidRPr="001E694F">
        <w:rPr>
          <w:rFonts w:eastAsia="Times New Roman" w:cs="Arial"/>
          <w:color w:val="000000"/>
          <w:lang w:eastAsia="bg-BG"/>
        </w:rPr>
        <w:t>в стационарно състояние се увеличава съответно с 62%, 82% и 179% при пациенти с леко, умерено и тежко нарушена бъбречна функция в сравнение със здрави контроли (вж. точки 4.2 и 4.4).</w:t>
      </w:r>
    </w:p>
    <w:p w14:paraId="7146691A" w14:textId="77777777" w:rsidR="001E694F" w:rsidRDefault="001E694F" w:rsidP="001E694F">
      <w:pPr>
        <w:spacing w:line="240" w:lineRule="auto"/>
        <w:rPr>
          <w:rFonts w:eastAsia="Times New Roman" w:cs="Arial"/>
          <w:color w:val="000000"/>
          <w:u w:val="single"/>
          <w:lang w:eastAsia="bg-BG"/>
        </w:rPr>
      </w:pPr>
    </w:p>
    <w:p w14:paraId="0D174114" w14:textId="72ACFBD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u w:val="single"/>
          <w:lang w:eastAsia="bg-BG"/>
        </w:rPr>
        <w:t>Пациенти с чернодробно увреждане</w:t>
      </w:r>
    </w:p>
    <w:p w14:paraId="2D22C802" w14:textId="649798D9" w:rsidR="001E694F" w:rsidRPr="00BB7565" w:rsidRDefault="001E694F" w:rsidP="001E694F">
      <w:pPr>
        <w:rPr>
          <w:rFonts w:eastAsia="Times New Roman" w:cs="Arial"/>
          <w:color w:val="000000"/>
          <w:lang w:eastAsia="bg-BG"/>
        </w:rPr>
      </w:pPr>
      <w:r w:rsidRPr="001E694F">
        <w:rPr>
          <w:rFonts w:eastAsia="Times New Roman" w:cs="Arial"/>
          <w:color w:val="000000"/>
          <w:lang w:eastAsia="bg-BG"/>
        </w:rPr>
        <w:t xml:space="preserve">След еднократно перорално приложение на олмесартан при пациенти с леко до умерено нарушена чернодробна функция, </w:t>
      </w:r>
      <w:r w:rsidRPr="001E694F">
        <w:rPr>
          <w:rFonts w:eastAsia="Times New Roman" w:cs="Arial"/>
          <w:color w:val="000000"/>
          <w:lang w:val="en-US"/>
        </w:rPr>
        <w:t xml:space="preserve">AUC </w:t>
      </w:r>
      <w:r w:rsidRPr="001E694F">
        <w:rPr>
          <w:rFonts w:eastAsia="Times New Roman" w:cs="Arial"/>
          <w:color w:val="000000"/>
          <w:lang w:eastAsia="bg-BG"/>
        </w:rPr>
        <w:t xml:space="preserve">в стационарно състояние се увеличава съответно с 6% и 65 % в сравнение със съответните здрави контроли. Два часа след приложение, процентът на несвързан олмесартан при здрави контроли, при пациенти с леко нарушена и при пациенти с умерено нарушена чернодробна функция е съответно 0,26%, 0,34% и 0,41%. При пациенти с умерено чернодробно увреждане, средната </w:t>
      </w:r>
      <w:r w:rsidRPr="001E694F">
        <w:rPr>
          <w:rFonts w:eastAsia="Times New Roman" w:cs="Arial"/>
          <w:color w:val="000000"/>
          <w:lang w:val="en-US"/>
        </w:rPr>
        <w:t xml:space="preserve">AUC </w:t>
      </w:r>
      <w:r w:rsidRPr="001E694F">
        <w:rPr>
          <w:rFonts w:eastAsia="Times New Roman" w:cs="Arial"/>
          <w:color w:val="000000"/>
          <w:lang w:eastAsia="bg-BG"/>
        </w:rPr>
        <w:t>на олмесартан е също с 65% по-висока отколкото при съответните здрави контроли. Средните стойности на С</w:t>
      </w:r>
      <w:r w:rsidRPr="001E694F">
        <w:rPr>
          <w:rFonts w:eastAsia="Times New Roman" w:cs="Arial"/>
          <w:color w:val="000000"/>
          <w:vertAlign w:val="subscript"/>
          <w:lang w:val="en-US"/>
        </w:rPr>
        <w:t>max</w:t>
      </w:r>
      <w:r w:rsidRPr="001E694F">
        <w:rPr>
          <w:rFonts w:eastAsia="Times New Roman" w:cs="Arial"/>
          <w:color w:val="000000"/>
          <w:lang w:eastAsia="bg-BG"/>
        </w:rPr>
        <w:t xml:space="preserve"> са сходни при пациенти с чернодробно увреждане или при здрави индивиди. Олмесартан медоксомил не е проучван при пациенти с тежко нарушена</w:t>
      </w:r>
      <w:r>
        <w:rPr>
          <w:rFonts w:eastAsia="Times New Roman" w:cs="Arial"/>
          <w:color w:val="000000"/>
          <w:lang w:eastAsia="bg-BG"/>
        </w:rPr>
        <w:t xml:space="preserve"> </w:t>
      </w:r>
      <w:r w:rsidRPr="00BB7565">
        <w:rPr>
          <w:rFonts w:eastAsia="Times New Roman" w:cs="Arial"/>
          <w:color w:val="000000"/>
          <w:lang w:eastAsia="bg-BG"/>
        </w:rPr>
        <w:t>чернодробна</w:t>
      </w:r>
      <w:r w:rsidRPr="001E694F">
        <w:rPr>
          <w:rFonts w:ascii="Times New Roman" w:eastAsia="Times New Roman" w:hAnsi="Times New Roman" w:cs="Times New Roman"/>
          <w:color w:val="000000"/>
          <w:lang w:eastAsia="bg-BG"/>
        </w:rPr>
        <w:t xml:space="preserve"> </w:t>
      </w:r>
      <w:r w:rsidRPr="00BB7565">
        <w:rPr>
          <w:rFonts w:eastAsia="Times New Roman" w:cs="Arial"/>
          <w:color w:val="000000"/>
          <w:lang w:eastAsia="bg-BG"/>
        </w:rPr>
        <w:t>функция (вж. точки 4.2 и 4.4).</w:t>
      </w:r>
    </w:p>
    <w:p w14:paraId="26CFAA01" w14:textId="77777777" w:rsidR="00BB7565" w:rsidRPr="00BB7565" w:rsidRDefault="00BB7565" w:rsidP="001E694F">
      <w:pPr>
        <w:rPr>
          <w:rFonts w:eastAsia="Times New Roman" w:cs="Arial"/>
          <w:sz w:val="24"/>
          <w:szCs w:val="24"/>
          <w:lang w:eastAsia="bg-BG"/>
        </w:rPr>
      </w:pPr>
    </w:p>
    <w:p w14:paraId="2A5FCAE5" w14:textId="77777777" w:rsidR="001E694F" w:rsidRPr="00C76DED" w:rsidRDefault="001E694F" w:rsidP="00C76DED">
      <w:pPr>
        <w:pStyle w:val="Heading3"/>
        <w:rPr>
          <w:rFonts w:eastAsia="Times New Roman"/>
          <w:u w:val="single"/>
          <w:lang w:eastAsia="bg-BG"/>
        </w:rPr>
      </w:pPr>
      <w:r w:rsidRPr="00C76DED">
        <w:rPr>
          <w:rFonts w:eastAsia="Times New Roman"/>
          <w:u w:val="single"/>
          <w:lang w:eastAsia="bg-BG"/>
        </w:rPr>
        <w:t>Взаимодействия с лекарствени продукти</w:t>
      </w:r>
    </w:p>
    <w:p w14:paraId="37F788AF" w14:textId="7777777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u w:val="single"/>
          <w:lang w:eastAsia="bg-BG"/>
        </w:rPr>
        <w:t>Колесевелам, лекарство, което свързва жлъчните киселини</w:t>
      </w:r>
    </w:p>
    <w:p w14:paraId="167AD6EA" w14:textId="2E438515" w:rsidR="001E694F" w:rsidRPr="00BB7565" w:rsidRDefault="001E694F" w:rsidP="001E694F">
      <w:pPr>
        <w:rPr>
          <w:rFonts w:eastAsia="Times New Roman" w:cs="Arial"/>
          <w:color w:val="000000"/>
          <w:lang w:eastAsia="bg-BG"/>
        </w:rPr>
      </w:pPr>
      <w:r w:rsidRPr="00BB7565">
        <w:rPr>
          <w:rFonts w:eastAsia="Times New Roman" w:cs="Arial"/>
          <w:color w:val="000000"/>
          <w:lang w:eastAsia="bg-BG"/>
        </w:rPr>
        <w:t xml:space="preserve">Едновременото приложение на 40 </w:t>
      </w:r>
      <w:r w:rsidRPr="00BB7565">
        <w:rPr>
          <w:rFonts w:eastAsia="Times New Roman" w:cs="Arial"/>
          <w:color w:val="000000"/>
          <w:lang w:val="en-US"/>
        </w:rPr>
        <w:t xml:space="preserve">mg </w:t>
      </w:r>
      <w:r w:rsidRPr="00BB7565">
        <w:rPr>
          <w:rFonts w:eastAsia="Times New Roman" w:cs="Arial"/>
          <w:color w:val="000000"/>
          <w:lang w:eastAsia="bg-BG"/>
        </w:rPr>
        <w:t xml:space="preserve">олмесартан медоксомил и 3750 </w:t>
      </w:r>
      <w:r w:rsidRPr="00BB7565">
        <w:rPr>
          <w:rFonts w:eastAsia="Times New Roman" w:cs="Arial"/>
          <w:color w:val="000000"/>
          <w:lang w:val="en-US"/>
        </w:rPr>
        <w:t xml:space="preserve">mg </w:t>
      </w:r>
      <w:r w:rsidRPr="00BB7565">
        <w:rPr>
          <w:rFonts w:eastAsia="Times New Roman" w:cs="Arial"/>
          <w:color w:val="000000"/>
          <w:lang w:eastAsia="bg-BG"/>
        </w:rPr>
        <w:t>колесевелам хидрохлорид при здрави лица води до 28% намаляване на С</w:t>
      </w:r>
      <w:r w:rsidRPr="00BB7565">
        <w:rPr>
          <w:rFonts w:eastAsia="Times New Roman" w:cs="Arial"/>
          <w:color w:val="000000"/>
          <w:vertAlign w:val="subscript"/>
          <w:lang w:val="en-US"/>
        </w:rPr>
        <w:t>max</w:t>
      </w:r>
      <w:r w:rsidRPr="00BB7565">
        <w:rPr>
          <w:rFonts w:eastAsia="Times New Roman" w:cs="Arial"/>
          <w:color w:val="000000"/>
          <w:lang w:eastAsia="bg-BG"/>
        </w:rPr>
        <w:t xml:space="preserve"> и 39% намаляване на </w:t>
      </w:r>
      <w:r w:rsidRPr="00BB7565">
        <w:rPr>
          <w:rFonts w:eastAsia="Times New Roman" w:cs="Arial"/>
          <w:color w:val="000000"/>
          <w:lang w:val="en-US"/>
        </w:rPr>
        <w:t xml:space="preserve">AUC </w:t>
      </w:r>
      <w:r w:rsidRPr="00BB7565">
        <w:rPr>
          <w:rFonts w:eastAsia="Times New Roman" w:cs="Arial"/>
          <w:color w:val="000000"/>
          <w:lang w:eastAsia="bg-BG"/>
        </w:rPr>
        <w:t>при олмесартан. По-слаб ефект се наблюдава, намаляване със съответно 4% и 15% на С</w:t>
      </w:r>
      <w:r w:rsidRPr="00BB7565">
        <w:rPr>
          <w:rFonts w:eastAsia="Times New Roman" w:cs="Arial"/>
          <w:color w:val="000000"/>
          <w:vertAlign w:val="subscript"/>
          <w:lang w:val="en-US"/>
        </w:rPr>
        <w:t>max</w:t>
      </w:r>
      <w:r w:rsidRPr="00BB7565">
        <w:rPr>
          <w:rFonts w:eastAsia="Times New Roman" w:cs="Arial"/>
          <w:color w:val="000000"/>
          <w:lang w:eastAsia="bg-BG"/>
        </w:rPr>
        <w:t xml:space="preserve"> и </w:t>
      </w:r>
      <w:r w:rsidRPr="00BB7565">
        <w:rPr>
          <w:rFonts w:eastAsia="Times New Roman" w:cs="Arial"/>
          <w:color w:val="000000"/>
          <w:lang w:val="en-US"/>
        </w:rPr>
        <w:t xml:space="preserve">AUC, </w:t>
      </w:r>
      <w:r w:rsidRPr="00BB7565">
        <w:rPr>
          <w:rFonts w:eastAsia="Times New Roman" w:cs="Arial"/>
          <w:color w:val="000000"/>
          <w:lang w:eastAsia="bg-BG"/>
        </w:rPr>
        <w:t xml:space="preserve">ако олмесартан медоксомил се приложи 4 часа преди колесевелам </w:t>
      </w:r>
      <w:r w:rsidRPr="00BB7565">
        <w:rPr>
          <w:rFonts w:eastAsia="Times New Roman" w:cs="Arial"/>
          <w:color w:val="000000"/>
          <w:lang w:eastAsia="bg-BG"/>
        </w:rPr>
        <w:lastRenderedPageBreak/>
        <w:t>хидрохлорид. Елиминационният полуживот на олмесартан намалява с около 50-52% независимо дали е приложен едновременно или 4 часа преди колесевелам хидрохлорид (вж. точка 4.5).</w:t>
      </w:r>
    </w:p>
    <w:p w14:paraId="52BC8ECD" w14:textId="77777777" w:rsidR="001E694F" w:rsidRPr="001E694F" w:rsidRDefault="001E694F" w:rsidP="001E694F"/>
    <w:p w14:paraId="648E39DA" w14:textId="36B7E584" w:rsidR="00CF77F7" w:rsidRDefault="002C50EE" w:rsidP="004A448E">
      <w:pPr>
        <w:pStyle w:val="Heading2"/>
      </w:pPr>
      <w:r>
        <w:t>5.3. Предклинични данни за безопасност</w:t>
      </w:r>
    </w:p>
    <w:p w14:paraId="47ECCBAC" w14:textId="624E73B4" w:rsidR="00BB7565" w:rsidRDefault="00BB7565" w:rsidP="00BB7565"/>
    <w:p w14:paraId="6FD30FD2" w14:textId="77777777" w:rsidR="00BB7565" w:rsidRPr="00BB7565" w:rsidRDefault="00BB7565" w:rsidP="00BB7565">
      <w:pPr>
        <w:spacing w:line="240" w:lineRule="auto"/>
        <w:rPr>
          <w:rFonts w:eastAsia="Times New Roman" w:cs="Arial"/>
          <w:sz w:val="24"/>
          <w:szCs w:val="24"/>
          <w:lang w:eastAsia="bg-BG"/>
        </w:rPr>
      </w:pPr>
      <w:r w:rsidRPr="00BB7565">
        <w:rPr>
          <w:rFonts w:eastAsia="Times New Roman" w:cs="Arial"/>
          <w:color w:val="000000"/>
          <w:lang w:eastAsia="bg-BG"/>
        </w:rPr>
        <w:t xml:space="preserve">При изпитвания за хронична токсичност при плъхове и кучета, олмесартан медоксомил демонстрира еднакъв ефект с другите </w:t>
      </w:r>
      <w:r w:rsidRPr="00BB7565">
        <w:rPr>
          <w:rFonts w:eastAsia="Times New Roman" w:cs="Arial"/>
          <w:color w:val="000000"/>
          <w:lang w:val="en-US"/>
        </w:rPr>
        <w:t>AT</w:t>
      </w:r>
      <w:r w:rsidRPr="00BB7565">
        <w:rPr>
          <w:rFonts w:eastAsia="Times New Roman" w:cs="Arial"/>
          <w:color w:val="000000"/>
          <w:vertAlign w:val="subscript"/>
          <w:lang w:val="en-US"/>
        </w:rPr>
        <w:t>1</w:t>
      </w:r>
      <w:r w:rsidRPr="00BB7565">
        <w:rPr>
          <w:rFonts w:eastAsia="Times New Roman" w:cs="Arial"/>
          <w:color w:val="000000"/>
          <w:lang w:val="en-US"/>
        </w:rPr>
        <w:t xml:space="preserve"> </w:t>
      </w:r>
      <w:r w:rsidRPr="00BB7565">
        <w:rPr>
          <w:rFonts w:eastAsia="Times New Roman" w:cs="Arial"/>
          <w:color w:val="000000"/>
          <w:lang w:eastAsia="bg-BG"/>
        </w:rPr>
        <w:t>рецепторни антагонисти и АСЕ инхибитори: повишени стойности на урея и креатинин в кръвта (функционални промени в бъбреците поради блокирането на АТ</w:t>
      </w:r>
      <w:r w:rsidRPr="00BB7565">
        <w:rPr>
          <w:rFonts w:eastAsia="Times New Roman" w:cs="Arial"/>
          <w:color w:val="000000"/>
          <w:vertAlign w:val="subscript"/>
          <w:lang w:eastAsia="bg-BG"/>
        </w:rPr>
        <w:t>1</w:t>
      </w:r>
      <w:r w:rsidRPr="00BB7565">
        <w:rPr>
          <w:rFonts w:eastAsia="Times New Roman" w:cs="Arial"/>
          <w:color w:val="000000"/>
          <w:lang w:eastAsia="bg-BG"/>
        </w:rPr>
        <w:t xml:space="preserve"> рецепторите), намаление на сърдечната маса; понижение на показателите за червените кръвни клетки </w:t>
      </w:r>
      <w:r w:rsidRPr="00BB7565">
        <w:rPr>
          <w:rFonts w:eastAsia="Times New Roman" w:cs="Arial"/>
          <w:color w:val="000000"/>
          <w:vertAlign w:val="subscript"/>
          <w:lang w:eastAsia="bg-BG"/>
        </w:rPr>
        <w:t>ь</w:t>
      </w:r>
      <w:r w:rsidRPr="00BB7565">
        <w:rPr>
          <w:rFonts w:eastAsia="Times New Roman" w:cs="Arial"/>
          <w:color w:val="000000"/>
          <w:lang w:eastAsia="bg-BG"/>
        </w:rPr>
        <w:t xml:space="preserve"> (брой еритроцити, хемоглобин и хематокрит); хистологични данни за бъбречно увреждане (регенеративни лезии на бъбречния епител, удебеляване на базалните мембрани, дилатация на тубулите). Тези нежелани събития, предизвикани от фармакологичното действие на олмесартан медоксомил, са наблюдавани и в предклинични проучвания за други </w:t>
      </w:r>
      <w:r w:rsidRPr="00BB7565">
        <w:rPr>
          <w:rFonts w:eastAsia="Times New Roman" w:cs="Arial"/>
          <w:color w:val="000000"/>
          <w:lang w:val="en-US"/>
        </w:rPr>
        <w:t>AT</w:t>
      </w:r>
      <w:r w:rsidRPr="00BB7565">
        <w:rPr>
          <w:rFonts w:eastAsia="Times New Roman" w:cs="Arial"/>
          <w:color w:val="000000"/>
          <w:vertAlign w:val="subscript"/>
          <w:lang w:val="en-US"/>
        </w:rPr>
        <w:t>1</w:t>
      </w:r>
      <w:r w:rsidRPr="00BB7565">
        <w:rPr>
          <w:rFonts w:eastAsia="Times New Roman" w:cs="Arial"/>
          <w:color w:val="000000"/>
          <w:lang w:eastAsia="bg-BG"/>
        </w:rPr>
        <w:t>-рецепторни антагонисти и АСЕ-инхибитори и може да се редуцират чрез едновременно перорално приложение на натриев хлорид.</w:t>
      </w:r>
    </w:p>
    <w:p w14:paraId="3D93F84D" w14:textId="77777777" w:rsidR="00BB7565" w:rsidRPr="00BB7565" w:rsidRDefault="00BB7565" w:rsidP="00BB7565">
      <w:pPr>
        <w:spacing w:line="240" w:lineRule="auto"/>
        <w:rPr>
          <w:rFonts w:eastAsia="Times New Roman" w:cs="Arial"/>
          <w:color w:val="000000"/>
          <w:lang w:eastAsia="bg-BG"/>
        </w:rPr>
      </w:pPr>
    </w:p>
    <w:p w14:paraId="0F12DFF5" w14:textId="10D10405" w:rsidR="00BB7565" w:rsidRPr="00BB7565" w:rsidRDefault="00BB7565" w:rsidP="00BB7565">
      <w:pPr>
        <w:spacing w:line="240" w:lineRule="auto"/>
        <w:rPr>
          <w:rFonts w:eastAsia="Times New Roman" w:cs="Arial"/>
          <w:sz w:val="24"/>
          <w:szCs w:val="24"/>
          <w:lang w:eastAsia="bg-BG"/>
        </w:rPr>
      </w:pPr>
      <w:r w:rsidRPr="00BB7565">
        <w:rPr>
          <w:rFonts w:eastAsia="Times New Roman" w:cs="Arial"/>
          <w:color w:val="000000"/>
          <w:lang w:eastAsia="bg-BG"/>
        </w:rPr>
        <w:t xml:space="preserve">И при двете изпитвания се наблюдава увеличение на плазмената ренинова активност и хипертрофия/хиперплазия на юкстагломеруларния апарат на бъбрека. Тези ефекти, които са типични за АСЕ инхибиторите и </w:t>
      </w:r>
      <w:r w:rsidRPr="00BB7565">
        <w:rPr>
          <w:rFonts w:eastAsia="Times New Roman" w:cs="Arial"/>
          <w:color w:val="000000"/>
          <w:lang w:val="en-US"/>
        </w:rPr>
        <w:t>AT</w:t>
      </w:r>
      <w:r w:rsidRPr="00BB7565">
        <w:rPr>
          <w:rFonts w:eastAsia="Times New Roman" w:cs="Arial"/>
          <w:color w:val="000000"/>
          <w:vertAlign w:val="subscript"/>
          <w:lang w:val="en-US"/>
        </w:rPr>
        <w:t>1</w:t>
      </w:r>
      <w:r w:rsidRPr="00BB7565">
        <w:rPr>
          <w:rFonts w:eastAsia="Times New Roman" w:cs="Arial"/>
          <w:color w:val="000000"/>
          <w:lang w:val="en-US"/>
        </w:rPr>
        <w:t xml:space="preserve"> </w:t>
      </w:r>
      <w:r w:rsidRPr="00BB7565">
        <w:rPr>
          <w:rFonts w:eastAsia="Times New Roman" w:cs="Arial"/>
          <w:color w:val="000000"/>
          <w:lang w:eastAsia="bg-BG"/>
        </w:rPr>
        <w:t>-рецепторните антагонисти, не показват клинична значимост.</w:t>
      </w:r>
    </w:p>
    <w:p w14:paraId="311C6AF1" w14:textId="77777777" w:rsidR="00BB7565" w:rsidRPr="00BB7565" w:rsidRDefault="00BB7565" w:rsidP="00BB7565">
      <w:pPr>
        <w:spacing w:line="240" w:lineRule="auto"/>
        <w:rPr>
          <w:rFonts w:eastAsia="Times New Roman" w:cs="Arial"/>
          <w:color w:val="000000"/>
          <w:lang w:eastAsia="bg-BG"/>
        </w:rPr>
      </w:pPr>
    </w:p>
    <w:p w14:paraId="6226666F" w14:textId="70A97C8F" w:rsidR="00BB7565" w:rsidRPr="00BB7565" w:rsidRDefault="00BB7565" w:rsidP="00BB7565">
      <w:pPr>
        <w:spacing w:line="240" w:lineRule="auto"/>
        <w:rPr>
          <w:rFonts w:eastAsia="Times New Roman" w:cs="Arial"/>
          <w:sz w:val="24"/>
          <w:szCs w:val="24"/>
          <w:lang w:eastAsia="bg-BG"/>
        </w:rPr>
      </w:pPr>
      <w:r w:rsidRPr="00BB7565">
        <w:rPr>
          <w:rFonts w:eastAsia="Times New Roman" w:cs="Arial"/>
          <w:color w:val="000000"/>
          <w:lang w:eastAsia="bg-BG"/>
        </w:rPr>
        <w:t xml:space="preserve">Подобно на други АТ1-рецепторни антагонисти, олмесартан медоксомил повишава честотата на хромозомната чупливост в клетъчни култури при </w:t>
      </w:r>
      <w:r w:rsidRPr="00BB7565">
        <w:rPr>
          <w:rFonts w:eastAsia="Times New Roman" w:cs="Arial"/>
          <w:i/>
          <w:iCs/>
          <w:color w:val="000000"/>
          <w:lang w:val="en-US"/>
        </w:rPr>
        <w:t>in vitro</w:t>
      </w:r>
      <w:r w:rsidRPr="00BB7565">
        <w:rPr>
          <w:rFonts w:eastAsia="Times New Roman" w:cs="Arial"/>
          <w:color w:val="000000"/>
          <w:lang w:val="en-US"/>
        </w:rPr>
        <w:t xml:space="preserve"> </w:t>
      </w:r>
      <w:r w:rsidRPr="00BB7565">
        <w:rPr>
          <w:rFonts w:eastAsia="Times New Roman" w:cs="Arial"/>
          <w:color w:val="000000"/>
          <w:lang w:eastAsia="bg-BG"/>
        </w:rPr>
        <w:t xml:space="preserve">условия. Не се наблюдават значими ефекти в няколко </w:t>
      </w:r>
      <w:r w:rsidRPr="00BB7565">
        <w:rPr>
          <w:rFonts w:eastAsia="Times New Roman" w:cs="Arial"/>
          <w:i/>
          <w:iCs/>
          <w:color w:val="000000"/>
          <w:lang w:val="en-US"/>
        </w:rPr>
        <w:t>in vitro</w:t>
      </w:r>
      <w:r w:rsidRPr="00BB7565">
        <w:rPr>
          <w:rFonts w:eastAsia="Times New Roman" w:cs="Arial"/>
          <w:color w:val="000000"/>
          <w:lang w:val="en-US"/>
        </w:rPr>
        <w:t xml:space="preserve"> </w:t>
      </w:r>
      <w:r w:rsidRPr="00BB7565">
        <w:rPr>
          <w:rFonts w:eastAsia="Times New Roman" w:cs="Arial"/>
          <w:color w:val="000000"/>
          <w:lang w:eastAsia="bg-BG"/>
        </w:rPr>
        <w:t xml:space="preserve">проучвания с олмесартан медоксомил в много високи дози до 2000 </w:t>
      </w:r>
      <w:r w:rsidRPr="00BB7565">
        <w:rPr>
          <w:rFonts w:eastAsia="Times New Roman" w:cs="Arial"/>
          <w:color w:val="000000"/>
          <w:lang w:val="en-US"/>
        </w:rPr>
        <w:t xml:space="preserve">mg/kg. </w:t>
      </w:r>
      <w:r w:rsidRPr="00BB7565">
        <w:rPr>
          <w:rFonts w:eastAsia="Times New Roman" w:cs="Arial"/>
          <w:color w:val="000000"/>
          <w:lang w:eastAsia="bg-BG"/>
        </w:rPr>
        <w:t>Според общите данни от проучванията за генотоксичност е много малко вероятно олмесартан медоксомил да оказва генотоксичен ефект при клинично приложение.</w:t>
      </w:r>
    </w:p>
    <w:p w14:paraId="5FA248B0" w14:textId="77777777" w:rsidR="00BB7565" w:rsidRPr="00BB7565" w:rsidRDefault="00BB7565" w:rsidP="00BB7565">
      <w:pPr>
        <w:spacing w:line="240" w:lineRule="auto"/>
        <w:rPr>
          <w:rFonts w:eastAsia="Times New Roman" w:cs="Arial"/>
          <w:color w:val="000000"/>
          <w:lang w:eastAsia="bg-BG"/>
        </w:rPr>
      </w:pPr>
    </w:p>
    <w:p w14:paraId="7634A582" w14:textId="2A3F7618" w:rsidR="00BB7565" w:rsidRPr="00BB7565" w:rsidRDefault="00BB7565" w:rsidP="00BB7565">
      <w:pPr>
        <w:spacing w:line="240" w:lineRule="auto"/>
        <w:rPr>
          <w:rFonts w:eastAsia="Times New Roman" w:cs="Arial"/>
          <w:sz w:val="24"/>
          <w:szCs w:val="24"/>
          <w:lang w:eastAsia="bg-BG"/>
        </w:rPr>
      </w:pPr>
      <w:r w:rsidRPr="00BB7565">
        <w:rPr>
          <w:rFonts w:eastAsia="Times New Roman" w:cs="Arial"/>
          <w:color w:val="000000"/>
          <w:lang w:eastAsia="bg-BG"/>
        </w:rPr>
        <w:t>Олмесартан медоксомил не показва канцероген пост нито в 2-годишно проучване при плъхове, нито в         две 6-месечни проучвания за канцерогенносг при мишки, в които се използват трансгенни модели.</w:t>
      </w:r>
    </w:p>
    <w:p w14:paraId="6C8EF1A1" w14:textId="77777777" w:rsidR="00BB7565" w:rsidRPr="00BB7565" w:rsidRDefault="00BB7565" w:rsidP="00BB7565">
      <w:pPr>
        <w:rPr>
          <w:rFonts w:eastAsia="Times New Roman" w:cs="Arial"/>
          <w:color w:val="000000"/>
          <w:lang w:eastAsia="bg-BG"/>
        </w:rPr>
      </w:pPr>
    </w:p>
    <w:p w14:paraId="76B9A1A5" w14:textId="6FCB7D33" w:rsidR="00BB7565" w:rsidRPr="00BB7565" w:rsidRDefault="00BB7565" w:rsidP="00BB7565">
      <w:pPr>
        <w:rPr>
          <w:rFonts w:cs="Arial"/>
        </w:rPr>
      </w:pPr>
      <w:r w:rsidRPr="00BB7565">
        <w:rPr>
          <w:rFonts w:eastAsia="Times New Roman" w:cs="Arial"/>
          <w:color w:val="000000"/>
          <w:lang w:eastAsia="bg-BG"/>
        </w:rPr>
        <w:t>В репродуктивни проучвания с плъхове, олмесартан медоксомил не повлиява плодовитостта и няма доказателства за тератогенен ефект. Подобно на други ангионентзин П антагонисти, след експозиция на олмесартан медоксомил, преживяемосгга на поколението намалява, а след експозиция на бременни животни в късните стадии на бременността и по време на лактация се наблюдавана пелвична дилатация на бъбрека. Подобно на други антихипертензивни лекарства, олмесартан медоксомил демонстрира по-висока токсичност при бременни зайци, в сравнение с бременни плъхове, но няма данни за фетотоксичен ефект.</w:t>
      </w:r>
    </w:p>
    <w:p w14:paraId="6A7820AB" w14:textId="317B4D7D" w:rsidR="008A6AF2" w:rsidRDefault="002C50EE" w:rsidP="00395555">
      <w:pPr>
        <w:pStyle w:val="Heading1"/>
      </w:pPr>
      <w:r>
        <w:t>7. ПРИТЕЖАТЕЛ НА РАЗРЕШЕНИЕТО ЗА УПОТРЕБА</w:t>
      </w:r>
    </w:p>
    <w:p w14:paraId="62588CD3" w14:textId="7A1F6160" w:rsidR="00BB7565" w:rsidRDefault="00BB7565" w:rsidP="00BB7565"/>
    <w:p w14:paraId="7965746C" w14:textId="77777777" w:rsidR="00BB7565" w:rsidRPr="00BB7565" w:rsidRDefault="00BB7565" w:rsidP="00BB7565">
      <w:pPr>
        <w:spacing w:line="240" w:lineRule="auto"/>
        <w:rPr>
          <w:rFonts w:eastAsia="Times New Roman" w:cs="Arial"/>
          <w:sz w:val="24"/>
          <w:szCs w:val="24"/>
          <w:lang w:val="en-US" w:eastAsia="bg-BG"/>
        </w:rPr>
      </w:pPr>
      <w:r w:rsidRPr="00BB7565">
        <w:rPr>
          <w:rFonts w:eastAsia="Times New Roman" w:cs="Arial"/>
          <w:color w:val="000000"/>
          <w:lang w:val="en-US"/>
        </w:rPr>
        <w:t>Sandoz d.d.</w:t>
      </w:r>
    </w:p>
    <w:p w14:paraId="4430420E" w14:textId="77777777" w:rsidR="00BB7565" w:rsidRPr="00BB7565" w:rsidRDefault="00BB7565" w:rsidP="00BB7565">
      <w:pPr>
        <w:spacing w:line="240" w:lineRule="auto"/>
        <w:rPr>
          <w:rFonts w:eastAsia="Times New Roman" w:cs="Arial"/>
          <w:sz w:val="24"/>
          <w:szCs w:val="24"/>
          <w:lang w:val="en-US" w:eastAsia="bg-BG"/>
        </w:rPr>
      </w:pPr>
      <w:r w:rsidRPr="00BB7565">
        <w:rPr>
          <w:rFonts w:eastAsia="Times New Roman" w:cs="Arial"/>
          <w:color w:val="000000"/>
          <w:lang w:val="en-US"/>
        </w:rPr>
        <w:t>Verov</w:t>
      </w:r>
      <w:r w:rsidRPr="00BB7565">
        <w:rPr>
          <w:rFonts w:eastAsia="Times New Roman" w:cs="Arial"/>
          <w:color w:val="000000"/>
          <w:lang w:eastAsia="bg-BG"/>
        </w:rPr>
        <w:t>š</w:t>
      </w:r>
      <w:r w:rsidRPr="00BB7565">
        <w:rPr>
          <w:rFonts w:eastAsia="Times New Roman" w:cs="Arial"/>
          <w:color w:val="000000"/>
          <w:lang w:val="en-US"/>
        </w:rPr>
        <w:t xml:space="preserve">kova </w:t>
      </w:r>
      <w:r w:rsidRPr="00BB7565">
        <w:rPr>
          <w:rFonts w:eastAsia="Times New Roman" w:cs="Arial"/>
          <w:color w:val="000000"/>
          <w:lang w:eastAsia="bg-BG"/>
        </w:rPr>
        <w:t xml:space="preserve">57,1000 </w:t>
      </w:r>
      <w:r w:rsidRPr="00BB7565">
        <w:rPr>
          <w:rFonts w:eastAsia="Times New Roman" w:cs="Arial"/>
          <w:color w:val="000000"/>
          <w:lang w:val="en-US"/>
        </w:rPr>
        <w:t>Ljubljana</w:t>
      </w:r>
    </w:p>
    <w:p w14:paraId="20E7A134" w14:textId="0A62DF71" w:rsidR="00BB7565" w:rsidRPr="00BB7565" w:rsidRDefault="00BB7565" w:rsidP="00BB7565">
      <w:pPr>
        <w:rPr>
          <w:rFonts w:cs="Arial"/>
        </w:rPr>
      </w:pPr>
      <w:r w:rsidRPr="00BB7565">
        <w:rPr>
          <w:rFonts w:eastAsia="Times New Roman" w:cs="Arial"/>
          <w:color w:val="000000"/>
          <w:lang w:eastAsia="bg-BG"/>
        </w:rPr>
        <w:t>Словения</w:t>
      </w:r>
    </w:p>
    <w:p w14:paraId="7BA1BA64" w14:textId="0E22A90D" w:rsidR="00CF77F7" w:rsidRDefault="002C50EE" w:rsidP="004A448E">
      <w:pPr>
        <w:pStyle w:val="Heading1"/>
      </w:pPr>
      <w:r>
        <w:lastRenderedPageBreak/>
        <w:t>8. НОМЕР НА РАЗРЕШЕНИЕТО ЗА УПОТРЕБА</w:t>
      </w:r>
    </w:p>
    <w:p w14:paraId="62BC17A2" w14:textId="64E39FBB" w:rsidR="00BB7565" w:rsidRDefault="00BB7565" w:rsidP="00BB7565"/>
    <w:p w14:paraId="6262FF90" w14:textId="77777777" w:rsidR="00BB7565" w:rsidRPr="00BB7565" w:rsidRDefault="00BB7565" w:rsidP="00BB7565">
      <w:pPr>
        <w:spacing w:line="240" w:lineRule="auto"/>
        <w:rPr>
          <w:rFonts w:eastAsia="Times New Roman" w:cs="Arial"/>
          <w:sz w:val="24"/>
          <w:szCs w:val="24"/>
          <w:lang w:eastAsia="bg-BG"/>
        </w:rPr>
      </w:pPr>
      <w:r w:rsidRPr="00BB7565">
        <w:rPr>
          <w:rFonts w:eastAsia="Times New Roman" w:cs="Arial"/>
          <w:color w:val="000000"/>
          <w:lang w:eastAsia="bg-BG"/>
        </w:rPr>
        <w:t xml:space="preserve">Танзидор 20 </w:t>
      </w:r>
      <w:r w:rsidRPr="00BB7565">
        <w:rPr>
          <w:rFonts w:eastAsia="Times New Roman" w:cs="Arial"/>
          <w:color w:val="000000"/>
          <w:lang w:val="en-US"/>
        </w:rPr>
        <w:t xml:space="preserve">mg: </w:t>
      </w:r>
      <w:r w:rsidRPr="00BB7565">
        <w:rPr>
          <w:rFonts w:eastAsia="Times New Roman" w:cs="Arial"/>
          <w:color w:val="000000"/>
          <w:lang w:eastAsia="bg-BG"/>
        </w:rPr>
        <w:t>20160147</w:t>
      </w:r>
    </w:p>
    <w:p w14:paraId="0B73A8C5" w14:textId="0AF321DD" w:rsidR="00BB7565" w:rsidRPr="00BB7565" w:rsidRDefault="00BB7565" w:rsidP="00BB7565">
      <w:pPr>
        <w:rPr>
          <w:rFonts w:cs="Arial"/>
        </w:rPr>
      </w:pPr>
      <w:r w:rsidRPr="00BB7565">
        <w:rPr>
          <w:rFonts w:eastAsia="Times New Roman" w:cs="Arial"/>
          <w:color w:val="000000"/>
          <w:lang w:eastAsia="bg-BG"/>
        </w:rPr>
        <w:t xml:space="preserve">Танзидор 40 </w:t>
      </w:r>
      <w:r w:rsidRPr="00BB7565">
        <w:rPr>
          <w:rFonts w:eastAsia="Times New Roman" w:cs="Arial"/>
          <w:color w:val="000000"/>
          <w:lang w:val="en-US"/>
        </w:rPr>
        <w:t xml:space="preserve">mg: </w:t>
      </w:r>
      <w:r w:rsidRPr="00BB7565">
        <w:rPr>
          <w:rFonts w:eastAsia="Times New Roman" w:cs="Arial"/>
          <w:color w:val="000000"/>
          <w:lang w:eastAsia="bg-BG"/>
        </w:rPr>
        <w:t>20160148</w:t>
      </w:r>
    </w:p>
    <w:p w14:paraId="2CCB5832" w14:textId="2C66DA00" w:rsidR="007C605B" w:rsidRDefault="002C50EE" w:rsidP="007C605B">
      <w:pPr>
        <w:pStyle w:val="Heading1"/>
      </w:pPr>
      <w:r>
        <w:t>9. ДАТА НА ПЪРВО РАЗРЕШАВАНЕ/ПОДНОВЯВАНЕ НА РАЗРЕШЕНИЕТО ЗА УПОТРЕБА</w:t>
      </w:r>
    </w:p>
    <w:p w14:paraId="00C60D1E" w14:textId="48F1E694" w:rsidR="00BB7565" w:rsidRDefault="00BB7565" w:rsidP="00BB7565"/>
    <w:p w14:paraId="03279BD4" w14:textId="57A57A95" w:rsidR="00BB7565" w:rsidRPr="00BB7565" w:rsidRDefault="00BB7565" w:rsidP="00BB7565">
      <w:pPr>
        <w:rPr>
          <w:rFonts w:cs="Arial"/>
        </w:rPr>
      </w:pPr>
      <w:r w:rsidRPr="00BB7565">
        <w:rPr>
          <w:rFonts w:cs="Arial"/>
        </w:rPr>
        <w:t>Първо РУ: 09/05/2016</w:t>
      </w:r>
    </w:p>
    <w:p w14:paraId="0E9D0119" w14:textId="2AC840A9" w:rsidR="002C50EE" w:rsidRDefault="002C50EE" w:rsidP="002C50EE">
      <w:pPr>
        <w:pStyle w:val="Heading1"/>
      </w:pPr>
      <w:r>
        <w:t>10. ДАТА НА АКТУАЛИЗИРАНЕ НА ТЕКСТА</w:t>
      </w:r>
    </w:p>
    <w:p w14:paraId="5F656271" w14:textId="4F7E7B17" w:rsidR="00BB7565" w:rsidRDefault="00BB7565" w:rsidP="00BB7565"/>
    <w:p w14:paraId="42450CBA" w14:textId="58C51678" w:rsidR="00BB7565" w:rsidRPr="00BB7565" w:rsidRDefault="00BB7565" w:rsidP="00BB7565">
      <w:pPr>
        <w:rPr>
          <w:rFonts w:cs="Arial"/>
        </w:rPr>
      </w:pPr>
      <w:r w:rsidRPr="00BB7565">
        <w:rPr>
          <w:rFonts w:cs="Arial"/>
        </w:rPr>
        <w:t>11/2019</w:t>
      </w:r>
    </w:p>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4BF450A"/>
    <w:multiLevelType w:val="hybridMultilevel"/>
    <w:tmpl w:val="C940410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3"/>
  </w:num>
  <w:num w:numId="4">
    <w:abstractNumId w:val="3"/>
  </w:num>
  <w:num w:numId="5">
    <w:abstractNumId w:val="1"/>
  </w:num>
  <w:num w:numId="6">
    <w:abstractNumId w:val="16"/>
  </w:num>
  <w:num w:numId="7">
    <w:abstractNumId w:val="11"/>
  </w:num>
  <w:num w:numId="8">
    <w:abstractNumId w:val="15"/>
  </w:num>
  <w:num w:numId="9">
    <w:abstractNumId w:val="2"/>
  </w:num>
  <w:num w:numId="10">
    <w:abstractNumId w:val="4"/>
  </w:num>
  <w:num w:numId="11">
    <w:abstractNumId w:val="30"/>
  </w:num>
  <w:num w:numId="12">
    <w:abstractNumId w:val="14"/>
  </w:num>
  <w:num w:numId="13">
    <w:abstractNumId w:val="19"/>
  </w:num>
  <w:num w:numId="14">
    <w:abstractNumId w:val="12"/>
  </w:num>
  <w:num w:numId="15">
    <w:abstractNumId w:val="29"/>
  </w:num>
  <w:num w:numId="16">
    <w:abstractNumId w:val="10"/>
  </w:num>
  <w:num w:numId="17">
    <w:abstractNumId w:val="24"/>
  </w:num>
  <w:num w:numId="18">
    <w:abstractNumId w:val="8"/>
  </w:num>
  <w:num w:numId="19">
    <w:abstractNumId w:val="26"/>
  </w:num>
  <w:num w:numId="20">
    <w:abstractNumId w:val="23"/>
  </w:num>
  <w:num w:numId="21">
    <w:abstractNumId w:val="17"/>
  </w:num>
  <w:num w:numId="22">
    <w:abstractNumId w:val="25"/>
  </w:num>
  <w:num w:numId="23">
    <w:abstractNumId w:val="18"/>
  </w:num>
  <w:num w:numId="24">
    <w:abstractNumId w:val="9"/>
  </w:num>
  <w:num w:numId="25">
    <w:abstractNumId w:val="22"/>
  </w:num>
  <w:num w:numId="26">
    <w:abstractNumId w:val="21"/>
  </w:num>
  <w:num w:numId="27">
    <w:abstractNumId w:val="31"/>
  </w:num>
  <w:num w:numId="28">
    <w:abstractNumId w:val="7"/>
  </w:num>
  <w:num w:numId="29">
    <w:abstractNumId w:val="20"/>
  </w:num>
  <w:num w:numId="30">
    <w:abstractNumId w:val="34"/>
  </w:num>
  <w:num w:numId="31">
    <w:abstractNumId w:val="6"/>
  </w:num>
  <w:num w:numId="32">
    <w:abstractNumId w:val="33"/>
  </w:num>
  <w:num w:numId="33">
    <w:abstractNumId w:val="28"/>
  </w:num>
  <w:num w:numId="34">
    <w:abstractNumId w:val="3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1E694F"/>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44EDF"/>
    <w:rsid w:val="00893B92"/>
    <w:rsid w:val="008A6AF2"/>
    <w:rsid w:val="008C6B05"/>
    <w:rsid w:val="008C70A2"/>
    <w:rsid w:val="009773E4"/>
    <w:rsid w:val="009B171C"/>
    <w:rsid w:val="009D447B"/>
    <w:rsid w:val="009F1313"/>
    <w:rsid w:val="00A20351"/>
    <w:rsid w:val="00A65A81"/>
    <w:rsid w:val="00AA23EC"/>
    <w:rsid w:val="00AC63CE"/>
    <w:rsid w:val="00AE2107"/>
    <w:rsid w:val="00B275A8"/>
    <w:rsid w:val="00BB7565"/>
    <w:rsid w:val="00BF2600"/>
    <w:rsid w:val="00C0049F"/>
    <w:rsid w:val="00C07B84"/>
    <w:rsid w:val="00C33464"/>
    <w:rsid w:val="00C40420"/>
    <w:rsid w:val="00C547EA"/>
    <w:rsid w:val="00C76DED"/>
    <w:rsid w:val="00C809A7"/>
    <w:rsid w:val="00C83063"/>
    <w:rsid w:val="00C87E90"/>
    <w:rsid w:val="00CA1B57"/>
    <w:rsid w:val="00CF77F7"/>
    <w:rsid w:val="00D31DAA"/>
    <w:rsid w:val="00D86297"/>
    <w:rsid w:val="00DD466D"/>
    <w:rsid w:val="00EB6364"/>
    <w:rsid w:val="00F2417F"/>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6174</Words>
  <Characters>35194</Characters>
  <Application>Microsoft Office Word</Application>
  <DocSecurity>0</DocSecurity>
  <Lines>293</Lines>
  <Paragraphs>82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2022-05-09T01:56:00Z</dcterms:created>
  <dcterms:modified xsi:type="dcterms:W3CDTF">2022-05-09T01:56:00Z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