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078A2BF6" w:rsidR="00DB32D3" w:rsidRDefault="00DD466D" w:rsidP="005726E3">
      <w:pPr>
        <w:pStyle w:val="Heading1"/>
      </w:pPr>
      <w:r>
        <w:t>1.ИМЕ НА ЛЕКАРСТВЕНИЯ ПРОДУКТ</w:t>
      </w:r>
    </w:p>
    <w:p w14:paraId="5AC53709" w14:textId="5ADD36B9" w:rsidR="00251EB9" w:rsidRDefault="00251EB9" w:rsidP="00251EB9"/>
    <w:p w14:paraId="67CB7780" w14:textId="77777777" w:rsidR="00251EB9" w:rsidRPr="00251EB9" w:rsidRDefault="00251EB9" w:rsidP="00251EB9">
      <w:pPr>
        <w:spacing w:line="240" w:lineRule="auto"/>
        <w:rPr>
          <w:rFonts w:eastAsia="Times New Roman" w:cs="Arial"/>
          <w:sz w:val="12"/>
          <w:szCs w:val="24"/>
          <w:lang w:val="ru-RU"/>
        </w:rPr>
      </w:pPr>
      <w:r w:rsidRPr="00251EB9">
        <w:rPr>
          <w:rFonts w:eastAsia="Times New Roman" w:cs="Arial"/>
          <w:color w:val="000000"/>
          <w:szCs w:val="42"/>
          <w:lang w:eastAsia="bg-BG"/>
        </w:rPr>
        <w:t xml:space="preserve">ТАНИДОН 40 </w:t>
      </w:r>
      <w:r w:rsidRPr="00251EB9">
        <w:rPr>
          <w:rFonts w:eastAsia="Times New Roman" w:cs="Arial"/>
          <w:color w:val="000000"/>
          <w:szCs w:val="42"/>
          <w:lang w:val="en-US"/>
        </w:rPr>
        <w:t>mg</w:t>
      </w:r>
      <w:r w:rsidRPr="00251EB9">
        <w:rPr>
          <w:rFonts w:eastAsia="Times New Roman" w:cs="Arial"/>
          <w:color w:val="000000"/>
          <w:szCs w:val="42"/>
          <w:lang w:val="ru-RU"/>
        </w:rPr>
        <w:t xml:space="preserve"> </w:t>
      </w:r>
      <w:r w:rsidRPr="00251EB9">
        <w:rPr>
          <w:rFonts w:eastAsia="Times New Roman" w:cs="Arial"/>
          <w:color w:val="000000"/>
          <w:szCs w:val="42"/>
          <w:lang w:eastAsia="bg-BG"/>
        </w:rPr>
        <w:t>филмирани таблетки</w:t>
      </w:r>
    </w:p>
    <w:p w14:paraId="03B44C7C" w14:textId="77777777" w:rsidR="00251EB9" w:rsidRPr="00251EB9" w:rsidRDefault="00251EB9" w:rsidP="00251EB9">
      <w:pPr>
        <w:spacing w:line="240" w:lineRule="auto"/>
        <w:rPr>
          <w:rFonts w:eastAsia="Times New Roman" w:cs="Arial"/>
          <w:sz w:val="12"/>
          <w:szCs w:val="24"/>
          <w:lang w:val="ru-RU"/>
        </w:rPr>
      </w:pPr>
      <w:r w:rsidRPr="00251EB9">
        <w:rPr>
          <w:rFonts w:eastAsia="Times New Roman" w:cs="Arial"/>
          <w:color w:val="000000"/>
          <w:szCs w:val="42"/>
          <w:lang w:eastAsia="bg-BG"/>
        </w:rPr>
        <w:t xml:space="preserve">ТАНИДОН 80 </w:t>
      </w:r>
      <w:r w:rsidRPr="00251EB9">
        <w:rPr>
          <w:rFonts w:eastAsia="Times New Roman" w:cs="Arial"/>
          <w:color w:val="000000"/>
          <w:szCs w:val="42"/>
          <w:lang w:val="en-US"/>
        </w:rPr>
        <w:t>mg</w:t>
      </w:r>
      <w:r w:rsidRPr="00251EB9">
        <w:rPr>
          <w:rFonts w:eastAsia="Times New Roman" w:cs="Arial"/>
          <w:color w:val="000000"/>
          <w:szCs w:val="42"/>
          <w:lang w:val="ru-RU"/>
        </w:rPr>
        <w:t xml:space="preserve"> </w:t>
      </w:r>
      <w:r w:rsidRPr="00251EB9">
        <w:rPr>
          <w:rFonts w:eastAsia="Times New Roman" w:cs="Arial"/>
          <w:color w:val="000000"/>
          <w:szCs w:val="42"/>
          <w:lang w:eastAsia="bg-BG"/>
        </w:rPr>
        <w:t>филмирани таблетки</w:t>
      </w:r>
    </w:p>
    <w:p w14:paraId="149DECBF" w14:textId="77777777" w:rsidR="00251EB9" w:rsidRPr="00251EB9" w:rsidRDefault="00251EB9" w:rsidP="00251EB9">
      <w:pPr>
        <w:spacing w:line="240" w:lineRule="auto"/>
        <w:rPr>
          <w:rFonts w:eastAsia="Times New Roman" w:cs="Arial"/>
          <w:color w:val="000000"/>
          <w:szCs w:val="42"/>
          <w:lang w:val="ru-RU"/>
        </w:rPr>
      </w:pPr>
    </w:p>
    <w:p w14:paraId="36E6E280" w14:textId="6461BD09" w:rsidR="00251EB9" w:rsidRPr="00251EB9" w:rsidRDefault="00251EB9" w:rsidP="00251EB9">
      <w:pPr>
        <w:spacing w:line="240" w:lineRule="auto"/>
        <w:rPr>
          <w:rFonts w:eastAsia="Times New Roman" w:cs="Arial"/>
          <w:sz w:val="12"/>
          <w:szCs w:val="24"/>
          <w:lang w:val="en-US"/>
        </w:rPr>
      </w:pPr>
      <w:r w:rsidRPr="00251EB9">
        <w:rPr>
          <w:rFonts w:eastAsia="Times New Roman" w:cs="Arial"/>
          <w:color w:val="000000"/>
          <w:szCs w:val="42"/>
          <w:lang w:val="en-US"/>
        </w:rPr>
        <w:t xml:space="preserve">TANYDON </w:t>
      </w:r>
      <w:r w:rsidRPr="00251EB9">
        <w:rPr>
          <w:rFonts w:eastAsia="Times New Roman" w:cs="Arial"/>
          <w:color w:val="000000"/>
          <w:szCs w:val="42"/>
          <w:lang w:eastAsia="bg-BG"/>
        </w:rPr>
        <w:t xml:space="preserve">40 </w:t>
      </w:r>
      <w:r w:rsidRPr="00251EB9">
        <w:rPr>
          <w:rFonts w:eastAsia="Times New Roman" w:cs="Arial"/>
          <w:color w:val="000000"/>
          <w:szCs w:val="42"/>
          <w:lang w:val="en-US"/>
        </w:rPr>
        <w:t>mg film-coated tablets</w:t>
      </w:r>
    </w:p>
    <w:p w14:paraId="528C1DD8" w14:textId="77777777" w:rsidR="00251EB9" w:rsidRPr="00251EB9" w:rsidRDefault="00251EB9" w:rsidP="00251EB9">
      <w:pPr>
        <w:spacing w:line="240" w:lineRule="auto"/>
        <w:rPr>
          <w:rFonts w:eastAsia="Times New Roman" w:cs="Arial"/>
          <w:sz w:val="12"/>
          <w:szCs w:val="24"/>
          <w:lang w:val="en-US"/>
        </w:rPr>
      </w:pPr>
      <w:r w:rsidRPr="00251EB9">
        <w:rPr>
          <w:rFonts w:eastAsia="Times New Roman" w:cs="Arial"/>
          <w:color w:val="000000"/>
          <w:szCs w:val="42"/>
          <w:lang w:val="en-US"/>
        </w:rPr>
        <w:t>TANYDON 80 mg film-coated tablets</w:t>
      </w:r>
    </w:p>
    <w:p w14:paraId="73894AF8" w14:textId="77777777" w:rsidR="00251EB9" w:rsidRPr="00251EB9" w:rsidRDefault="00251EB9" w:rsidP="00251EB9"/>
    <w:p w14:paraId="48E6CABE" w14:textId="6A007509" w:rsidR="00DB32D3" w:rsidRDefault="00DD466D" w:rsidP="005726E3">
      <w:pPr>
        <w:pStyle w:val="Heading1"/>
      </w:pPr>
      <w:r>
        <w:t>2. КАЧЕСТВЕН И КОЛИЧЕСТВЕН СЪСТАВ</w:t>
      </w:r>
    </w:p>
    <w:p w14:paraId="2E96C7E4" w14:textId="697F45B3" w:rsidR="00251EB9" w:rsidRDefault="00251EB9" w:rsidP="00251EB9"/>
    <w:p w14:paraId="1C698016"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 xml:space="preserve">ТАНИДОН 40 </w:t>
      </w:r>
      <w:r w:rsidRPr="00251EB9">
        <w:rPr>
          <w:rFonts w:eastAsia="Times New Roman" w:cs="Arial"/>
          <w:color w:val="000000"/>
          <w:u w:val="single"/>
          <w:lang w:val="en-US"/>
        </w:rPr>
        <w:t>mg</w:t>
      </w:r>
      <w:r w:rsidRPr="00251EB9">
        <w:rPr>
          <w:rFonts w:eastAsia="Times New Roman" w:cs="Arial"/>
          <w:color w:val="000000"/>
          <w:u w:val="single"/>
        </w:rPr>
        <w:t xml:space="preserve"> </w:t>
      </w:r>
      <w:r w:rsidRPr="00251EB9">
        <w:rPr>
          <w:rFonts w:eastAsia="Times New Roman" w:cs="Arial"/>
          <w:color w:val="000000"/>
          <w:u w:val="single"/>
          <w:lang w:eastAsia="bg-BG"/>
        </w:rPr>
        <w:t>филмирани таблетки</w:t>
      </w:r>
    </w:p>
    <w:p w14:paraId="16639354"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Всяка филмирана таблетка съдържа 40 </w:t>
      </w:r>
      <w:r w:rsidRPr="00251EB9">
        <w:rPr>
          <w:rFonts w:eastAsia="Times New Roman" w:cs="Arial"/>
          <w:color w:val="000000"/>
          <w:lang w:val="en-US"/>
        </w:rPr>
        <w:t>mg</w:t>
      </w:r>
      <w:r w:rsidRPr="00251EB9">
        <w:rPr>
          <w:rFonts w:eastAsia="Times New Roman" w:cs="Arial"/>
          <w:color w:val="000000"/>
        </w:rPr>
        <w:t xml:space="preserve"> </w:t>
      </w:r>
      <w:r w:rsidRPr="00251EB9">
        <w:rPr>
          <w:rFonts w:eastAsia="Times New Roman" w:cs="Arial"/>
          <w:color w:val="000000"/>
          <w:lang w:eastAsia="bg-BG"/>
        </w:rPr>
        <w:t xml:space="preserve">телмисартан </w:t>
      </w:r>
      <w:r w:rsidRPr="00251EB9">
        <w:rPr>
          <w:rFonts w:eastAsia="Times New Roman" w:cs="Arial"/>
          <w:i/>
          <w:iCs/>
          <w:color w:val="000000"/>
        </w:rPr>
        <w:t>(</w:t>
      </w:r>
      <w:proofErr w:type="spellStart"/>
      <w:r w:rsidRPr="00251EB9">
        <w:rPr>
          <w:rFonts w:eastAsia="Times New Roman" w:cs="Arial"/>
          <w:i/>
          <w:iCs/>
          <w:color w:val="000000"/>
          <w:lang w:val="en-US"/>
        </w:rPr>
        <w:t>telmisartan</w:t>
      </w:r>
      <w:proofErr w:type="spellEnd"/>
      <w:r w:rsidRPr="00251EB9">
        <w:rPr>
          <w:rFonts w:eastAsia="Times New Roman" w:cs="Arial"/>
          <w:i/>
          <w:iCs/>
          <w:color w:val="000000"/>
        </w:rPr>
        <w:t>).</w:t>
      </w:r>
    </w:p>
    <w:p w14:paraId="0517AE00"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Помощни вещества с известно действие:</w:t>
      </w:r>
      <w:r w:rsidRPr="00251EB9">
        <w:rPr>
          <w:rFonts w:eastAsia="Times New Roman" w:cs="Arial"/>
          <w:color w:val="000000"/>
          <w:lang w:eastAsia="bg-BG"/>
        </w:rPr>
        <w:t xml:space="preserve"> 217,35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лактоза (като лактоза монохидрат)</w:t>
      </w:r>
    </w:p>
    <w:p w14:paraId="63354DC9" w14:textId="77777777" w:rsidR="00251EB9" w:rsidRPr="00251EB9" w:rsidRDefault="00251EB9" w:rsidP="00251EB9">
      <w:pPr>
        <w:spacing w:line="240" w:lineRule="auto"/>
        <w:rPr>
          <w:rFonts w:eastAsia="Times New Roman" w:cs="Arial"/>
          <w:color w:val="000000"/>
          <w:u w:val="single"/>
          <w:lang w:eastAsia="bg-BG"/>
        </w:rPr>
      </w:pPr>
    </w:p>
    <w:p w14:paraId="787AD71D" w14:textId="3683392D"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 xml:space="preserve">ТАНИДОН 80 </w:t>
      </w:r>
      <w:r w:rsidRPr="00251EB9">
        <w:rPr>
          <w:rFonts w:eastAsia="Times New Roman" w:cs="Arial"/>
          <w:color w:val="000000"/>
          <w:u w:val="single"/>
          <w:lang w:val="en-US"/>
        </w:rPr>
        <w:t>mg</w:t>
      </w:r>
      <w:r w:rsidRPr="00251EB9">
        <w:rPr>
          <w:rFonts w:eastAsia="Times New Roman" w:cs="Arial"/>
          <w:color w:val="000000"/>
          <w:u w:val="single"/>
        </w:rPr>
        <w:t xml:space="preserve"> </w:t>
      </w:r>
      <w:r w:rsidRPr="00251EB9">
        <w:rPr>
          <w:rFonts w:eastAsia="Times New Roman" w:cs="Arial"/>
          <w:color w:val="000000"/>
          <w:u w:val="single"/>
          <w:lang w:eastAsia="bg-BG"/>
        </w:rPr>
        <w:t>Филмирани таблетки</w:t>
      </w:r>
    </w:p>
    <w:p w14:paraId="1B9B7EAE"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Всяка филмирана таблетка съдържа 80 </w:t>
      </w:r>
      <w:r w:rsidRPr="00251EB9">
        <w:rPr>
          <w:rFonts w:eastAsia="Times New Roman" w:cs="Arial"/>
          <w:color w:val="000000"/>
          <w:lang w:val="en-US"/>
        </w:rPr>
        <w:t>mg</w:t>
      </w:r>
      <w:r w:rsidRPr="00251EB9">
        <w:rPr>
          <w:rFonts w:eastAsia="Times New Roman" w:cs="Arial"/>
          <w:color w:val="000000"/>
        </w:rPr>
        <w:t xml:space="preserve"> </w:t>
      </w:r>
      <w:r w:rsidRPr="00251EB9">
        <w:rPr>
          <w:rFonts w:eastAsia="Times New Roman" w:cs="Arial"/>
          <w:color w:val="000000"/>
          <w:lang w:eastAsia="bg-BG"/>
        </w:rPr>
        <w:t xml:space="preserve">телмисартан </w:t>
      </w:r>
      <w:r w:rsidRPr="00251EB9">
        <w:rPr>
          <w:rFonts w:eastAsia="Times New Roman" w:cs="Arial"/>
          <w:i/>
          <w:iCs/>
          <w:color w:val="000000"/>
        </w:rPr>
        <w:t>(</w:t>
      </w:r>
      <w:proofErr w:type="spellStart"/>
      <w:r w:rsidRPr="00251EB9">
        <w:rPr>
          <w:rFonts w:eastAsia="Times New Roman" w:cs="Arial"/>
          <w:i/>
          <w:iCs/>
          <w:color w:val="000000"/>
          <w:lang w:val="en-US"/>
        </w:rPr>
        <w:t>telmisartan</w:t>
      </w:r>
      <w:proofErr w:type="spellEnd"/>
      <w:r w:rsidRPr="00251EB9">
        <w:rPr>
          <w:rFonts w:eastAsia="Times New Roman" w:cs="Arial"/>
          <w:i/>
          <w:iCs/>
          <w:color w:val="000000"/>
        </w:rPr>
        <w:t>).</w:t>
      </w:r>
    </w:p>
    <w:p w14:paraId="52A1D5FE" w14:textId="37579887" w:rsidR="00251EB9" w:rsidRPr="00251EB9" w:rsidRDefault="00251EB9" w:rsidP="00251EB9">
      <w:pPr>
        <w:rPr>
          <w:rFonts w:cs="Arial"/>
        </w:rPr>
      </w:pPr>
      <w:r w:rsidRPr="00251EB9">
        <w:rPr>
          <w:rFonts w:eastAsia="Times New Roman" w:cs="Arial"/>
          <w:color w:val="000000"/>
          <w:u w:val="single"/>
          <w:lang w:eastAsia="bg-BG"/>
        </w:rPr>
        <w:t>Помощни вещества с известно действие:</w:t>
      </w:r>
      <w:r w:rsidRPr="00251EB9">
        <w:rPr>
          <w:rFonts w:eastAsia="Times New Roman" w:cs="Arial"/>
          <w:color w:val="000000"/>
          <w:lang w:eastAsia="bg-BG"/>
        </w:rPr>
        <w:t xml:space="preserve"> 434,70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лактоза (като лактоза монохидрат))</w:t>
      </w:r>
    </w:p>
    <w:p w14:paraId="614984C4" w14:textId="4435C1B2" w:rsidR="008A6AF2" w:rsidRDefault="00DD466D" w:rsidP="002C50EE">
      <w:pPr>
        <w:pStyle w:val="Heading1"/>
      </w:pPr>
      <w:r>
        <w:t>3. ЛЕКАРСТВЕНА ФОРМА</w:t>
      </w:r>
    </w:p>
    <w:p w14:paraId="5D54932B" w14:textId="109EB9BB" w:rsidR="00251EB9" w:rsidRDefault="00251EB9" w:rsidP="00251EB9"/>
    <w:p w14:paraId="003771B1"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Филмирана таблетка.</w:t>
      </w:r>
    </w:p>
    <w:p w14:paraId="444AB5D9" w14:textId="77777777" w:rsidR="00251EB9" w:rsidRPr="00251EB9" w:rsidRDefault="00251EB9" w:rsidP="00251EB9">
      <w:pPr>
        <w:spacing w:line="240" w:lineRule="auto"/>
        <w:rPr>
          <w:rFonts w:eastAsia="Times New Roman" w:cs="Arial"/>
          <w:color w:val="000000"/>
          <w:u w:val="single"/>
          <w:lang w:eastAsia="bg-BG"/>
        </w:rPr>
      </w:pPr>
    </w:p>
    <w:p w14:paraId="6A115071" w14:textId="687DFC73"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 xml:space="preserve">ТАНИДОН 40 </w:t>
      </w:r>
      <w:r w:rsidRPr="00251EB9">
        <w:rPr>
          <w:rFonts w:eastAsia="Times New Roman" w:cs="Arial"/>
          <w:color w:val="000000"/>
          <w:u w:val="single"/>
          <w:lang w:val="en-US"/>
        </w:rPr>
        <w:t>mg</w:t>
      </w:r>
      <w:r w:rsidRPr="00251EB9">
        <w:rPr>
          <w:rFonts w:eastAsia="Times New Roman" w:cs="Arial"/>
          <w:color w:val="000000"/>
          <w:u w:val="single"/>
          <w:lang w:val="ru-RU"/>
        </w:rPr>
        <w:t xml:space="preserve"> </w:t>
      </w:r>
      <w:r w:rsidRPr="00251EB9">
        <w:rPr>
          <w:rFonts w:eastAsia="Times New Roman" w:cs="Arial"/>
          <w:color w:val="000000"/>
          <w:u w:val="single"/>
          <w:lang w:eastAsia="bg-BG"/>
        </w:rPr>
        <w:t>Филмирани таблетки</w:t>
      </w:r>
    </w:p>
    <w:p w14:paraId="3547E149"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Жълти, филмирани таблетки с форма на капсула, с надпис '40’ от едната страна и ‘Т’ от другата.</w:t>
      </w:r>
    </w:p>
    <w:p w14:paraId="565A7D19" w14:textId="77777777" w:rsidR="00251EB9" w:rsidRPr="00251EB9" w:rsidRDefault="00251EB9" w:rsidP="00251EB9">
      <w:pPr>
        <w:spacing w:line="240" w:lineRule="auto"/>
        <w:rPr>
          <w:rFonts w:eastAsia="Times New Roman" w:cs="Arial"/>
          <w:color w:val="000000"/>
          <w:u w:val="single"/>
          <w:lang w:eastAsia="bg-BG"/>
        </w:rPr>
      </w:pPr>
    </w:p>
    <w:p w14:paraId="219A7467" w14:textId="1C2519C6"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 xml:space="preserve">ТАНИДОН 80 </w:t>
      </w:r>
      <w:r w:rsidRPr="00251EB9">
        <w:rPr>
          <w:rFonts w:eastAsia="Times New Roman" w:cs="Arial"/>
          <w:color w:val="000000"/>
          <w:u w:val="single"/>
          <w:lang w:val="en-US"/>
        </w:rPr>
        <w:t>mg</w:t>
      </w:r>
      <w:r w:rsidRPr="00251EB9">
        <w:rPr>
          <w:rFonts w:eastAsia="Times New Roman" w:cs="Arial"/>
          <w:color w:val="000000"/>
          <w:u w:val="single"/>
          <w:lang w:val="ru-RU"/>
        </w:rPr>
        <w:t xml:space="preserve"> </w:t>
      </w:r>
      <w:r w:rsidRPr="00251EB9">
        <w:rPr>
          <w:rFonts w:eastAsia="Times New Roman" w:cs="Arial"/>
          <w:color w:val="000000"/>
          <w:u w:val="single"/>
          <w:lang w:eastAsia="bg-BG"/>
        </w:rPr>
        <w:t>филмирани таблетки</w:t>
      </w:r>
    </w:p>
    <w:p w14:paraId="3D7066D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Жълти, филмирани таблетки с форма на капсула, с надпис '80’ от едната страна и 'Т’ от другата.</w:t>
      </w:r>
    </w:p>
    <w:p w14:paraId="3447FDFF" w14:textId="77777777" w:rsidR="00251EB9" w:rsidRPr="00251EB9" w:rsidRDefault="00251EB9" w:rsidP="00251EB9"/>
    <w:p w14:paraId="490FC2C4" w14:textId="6899DE43" w:rsidR="002C50EE" w:rsidRDefault="002C50EE" w:rsidP="002C50EE">
      <w:pPr>
        <w:pStyle w:val="Heading1"/>
      </w:pPr>
      <w:r>
        <w:t>4. КЛИНИЧНИ ДАННИ</w:t>
      </w:r>
    </w:p>
    <w:p w14:paraId="0771830A" w14:textId="7DB839CA" w:rsidR="00DB32D3" w:rsidRDefault="002C50EE" w:rsidP="005726E3">
      <w:pPr>
        <w:pStyle w:val="Heading2"/>
      </w:pPr>
      <w:r>
        <w:t>4.1. Терапевтични показания</w:t>
      </w:r>
    </w:p>
    <w:p w14:paraId="1F8E0467" w14:textId="264BAD60" w:rsidR="00251EB9" w:rsidRDefault="00251EB9" w:rsidP="00251EB9"/>
    <w:p w14:paraId="40AC429A"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Хипертония</w:t>
      </w:r>
    </w:p>
    <w:p w14:paraId="2B83D521"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Лечение на есенциална хипертония при възрастни.</w:t>
      </w:r>
    </w:p>
    <w:p w14:paraId="668F5E40" w14:textId="77777777" w:rsidR="00251EB9" w:rsidRPr="00251EB9" w:rsidRDefault="00251EB9" w:rsidP="00251EB9">
      <w:pPr>
        <w:spacing w:line="240" w:lineRule="auto"/>
        <w:rPr>
          <w:rFonts w:eastAsia="Times New Roman" w:cs="Arial"/>
          <w:color w:val="000000"/>
          <w:u w:val="single"/>
          <w:lang w:eastAsia="bg-BG"/>
        </w:rPr>
      </w:pPr>
    </w:p>
    <w:p w14:paraId="7B941BE4" w14:textId="2CDAF254"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Сърдечно-съдова профилактика</w:t>
      </w:r>
    </w:p>
    <w:p w14:paraId="7BFEEFE9"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Намаляване на сърдечно-съдовата заболеваемост при възрастни с:</w:t>
      </w:r>
    </w:p>
    <w:p w14:paraId="6D2461F2" w14:textId="77777777" w:rsidR="00251EB9" w:rsidRPr="00251EB9" w:rsidRDefault="00251EB9" w:rsidP="00251EB9">
      <w:pPr>
        <w:pStyle w:val="ListParagraph"/>
        <w:numPr>
          <w:ilvl w:val="0"/>
          <w:numId w:val="37"/>
        </w:numPr>
        <w:spacing w:line="240" w:lineRule="auto"/>
        <w:rPr>
          <w:rFonts w:eastAsia="Times New Roman" w:cs="Arial"/>
        </w:rPr>
      </w:pPr>
      <w:r w:rsidRPr="00251EB9">
        <w:rPr>
          <w:rFonts w:eastAsia="Times New Roman" w:cs="Arial"/>
          <w:color w:val="000000"/>
          <w:lang w:eastAsia="bg-BG"/>
        </w:rPr>
        <w:t>изявена атеротромботична сърдечно-съдова болест (анамнеза за коронарна болест на сърцето, мозъчен инсулт или периферно артериално заболяване) или</w:t>
      </w:r>
    </w:p>
    <w:p w14:paraId="7C74EDFD" w14:textId="7B0E42C4" w:rsidR="00251EB9" w:rsidRPr="00251EB9" w:rsidRDefault="00251EB9" w:rsidP="00251EB9">
      <w:pPr>
        <w:pStyle w:val="ListParagraph"/>
        <w:numPr>
          <w:ilvl w:val="0"/>
          <w:numId w:val="37"/>
        </w:numPr>
        <w:spacing w:line="240" w:lineRule="auto"/>
        <w:rPr>
          <w:rFonts w:eastAsia="Times New Roman" w:cs="Arial"/>
        </w:rPr>
      </w:pPr>
      <w:r w:rsidRPr="00251EB9">
        <w:rPr>
          <w:rFonts w:eastAsia="Times New Roman" w:cs="Arial"/>
          <w:color w:val="000000"/>
          <w:lang w:eastAsia="bg-BG"/>
        </w:rPr>
        <w:t>захарен диабет тип 2 с установено увреждане на крайните прицелни органи.</w:t>
      </w:r>
    </w:p>
    <w:p w14:paraId="4046FA11" w14:textId="77777777" w:rsidR="00251EB9" w:rsidRPr="00251EB9" w:rsidRDefault="00251EB9" w:rsidP="00251EB9"/>
    <w:p w14:paraId="7647A102" w14:textId="27CE6DC9" w:rsidR="00DB32D3" w:rsidRDefault="002C50EE" w:rsidP="005726E3">
      <w:pPr>
        <w:pStyle w:val="Heading2"/>
      </w:pPr>
      <w:r>
        <w:lastRenderedPageBreak/>
        <w:t>4.2. Дозировка и начин на приложение</w:t>
      </w:r>
    </w:p>
    <w:p w14:paraId="35568F03" w14:textId="54B93B82" w:rsidR="00251EB9" w:rsidRDefault="00251EB9" w:rsidP="00251EB9"/>
    <w:p w14:paraId="0D97D957" w14:textId="77777777" w:rsidR="00251EB9" w:rsidRPr="00251EB9" w:rsidRDefault="00251EB9" w:rsidP="00251EB9">
      <w:pPr>
        <w:pStyle w:val="Heading3"/>
        <w:rPr>
          <w:rFonts w:eastAsia="Times New Roman"/>
          <w:u w:val="single"/>
        </w:rPr>
      </w:pPr>
      <w:r w:rsidRPr="00251EB9">
        <w:rPr>
          <w:rFonts w:eastAsia="Times New Roman"/>
          <w:u w:val="single"/>
          <w:lang w:eastAsia="bg-BG"/>
        </w:rPr>
        <w:t>Дозировка</w:t>
      </w:r>
    </w:p>
    <w:p w14:paraId="1B84F54C" w14:textId="77777777" w:rsidR="00251EB9" w:rsidRPr="00251EB9" w:rsidRDefault="00251EB9" w:rsidP="00251EB9">
      <w:pPr>
        <w:spacing w:line="240" w:lineRule="auto"/>
        <w:rPr>
          <w:rFonts w:eastAsia="Times New Roman" w:cs="Arial"/>
          <w:i/>
          <w:iCs/>
          <w:color w:val="000000"/>
          <w:u w:val="single"/>
          <w:lang w:eastAsia="bg-BG"/>
        </w:rPr>
      </w:pPr>
    </w:p>
    <w:p w14:paraId="1579A08C" w14:textId="7CE29542" w:rsidR="00251EB9" w:rsidRPr="00251EB9" w:rsidRDefault="00251EB9" w:rsidP="00251EB9">
      <w:pPr>
        <w:spacing w:line="240" w:lineRule="auto"/>
        <w:rPr>
          <w:rFonts w:eastAsia="Times New Roman" w:cs="Arial"/>
        </w:rPr>
      </w:pPr>
      <w:r w:rsidRPr="00251EB9">
        <w:rPr>
          <w:rFonts w:eastAsia="Times New Roman" w:cs="Arial"/>
          <w:i/>
          <w:iCs/>
          <w:color w:val="000000"/>
          <w:u w:val="single"/>
          <w:lang w:eastAsia="bg-BG"/>
        </w:rPr>
        <w:t>Лечение на есенциална хипертония</w:t>
      </w:r>
    </w:p>
    <w:p w14:paraId="6DB7CAC9" w14:textId="77777777" w:rsidR="00251EB9" w:rsidRPr="00251EB9" w:rsidRDefault="00251EB9" w:rsidP="00251EB9">
      <w:pPr>
        <w:rPr>
          <w:rFonts w:eastAsia="Times New Roman" w:cs="Arial"/>
        </w:rPr>
      </w:pPr>
      <w:r w:rsidRPr="00251EB9">
        <w:rPr>
          <w:rFonts w:eastAsia="Times New Roman" w:cs="Arial"/>
          <w:color w:val="000000"/>
          <w:lang w:eastAsia="bg-BG"/>
        </w:rPr>
        <w:t xml:space="preserve">Обикновено ефективната доза е 40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 xml:space="preserve">веднъж дневно. Някои пациенти могат да се повлияят дори и от дневна доза от 20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 xml:space="preserve">Дозировка от 20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 xml:space="preserve">телмисартан не е налична при този лекарствен продукт. В случаите, в които не се постига желаното кръвно налягане, дозата на телмисартан може да бъде повишена максимално до 80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веднъж дневно. Като алтернатива, телмисартан може да бъде прилаган в комбинация с диуретици от тиазиден тип като хидрохлортиазид, с който допълнително се понижава кръвното налягане. При решение за повишаване на дозата, трябва да се има предвид, че максималният антихипертензивен ефект се достига в рамките на четири до осем седмици след началото на лечението (вж. точка 5.1).</w:t>
      </w:r>
    </w:p>
    <w:p w14:paraId="5A726B7A" w14:textId="77777777" w:rsidR="00251EB9" w:rsidRDefault="00251EB9" w:rsidP="00251EB9">
      <w:pPr>
        <w:spacing w:line="240" w:lineRule="auto"/>
        <w:rPr>
          <w:rFonts w:eastAsia="Times New Roman" w:cs="Arial"/>
          <w:i/>
          <w:iCs/>
          <w:color w:val="000000"/>
          <w:u w:val="single"/>
          <w:lang w:eastAsia="bg-BG"/>
        </w:rPr>
      </w:pPr>
    </w:p>
    <w:p w14:paraId="3EEB80D9" w14:textId="13BD2649" w:rsidR="00251EB9" w:rsidRPr="00251EB9" w:rsidRDefault="00251EB9" w:rsidP="00251EB9">
      <w:pPr>
        <w:spacing w:line="240" w:lineRule="auto"/>
        <w:rPr>
          <w:rFonts w:eastAsia="Times New Roman" w:cs="Arial"/>
        </w:rPr>
      </w:pPr>
      <w:r w:rsidRPr="00251EB9">
        <w:rPr>
          <w:rFonts w:eastAsia="Times New Roman" w:cs="Arial"/>
          <w:i/>
          <w:iCs/>
          <w:color w:val="000000"/>
          <w:u w:val="single"/>
          <w:lang w:eastAsia="bg-BG"/>
        </w:rPr>
        <w:t>Сърдечно-съдова профилактика</w:t>
      </w:r>
    </w:p>
    <w:p w14:paraId="6BBADA2C"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Препоръчваната доза е 80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 xml:space="preserve">веднъж дневно. Не е известно дали по-ниски дози от 80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телмисартан са ефективни за намаляване на сърдечно-съдова заболеваемост.</w:t>
      </w:r>
    </w:p>
    <w:p w14:paraId="7A50C5EA"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При започване на лечение с телмисартан за намаляване на сърдечно-съдова заболеваемост се препоръчва внимателно проследяване на кръвното налягане и ако се налага, коригиране на лекарствата, които понижават кръвното налягане.</w:t>
      </w:r>
    </w:p>
    <w:p w14:paraId="662C5499" w14:textId="77777777" w:rsidR="00251EB9" w:rsidRDefault="00251EB9" w:rsidP="00251EB9">
      <w:pPr>
        <w:spacing w:line="240" w:lineRule="auto"/>
        <w:rPr>
          <w:rFonts w:eastAsia="Times New Roman" w:cs="Arial"/>
          <w:i/>
          <w:iCs/>
          <w:color w:val="000000"/>
          <w:u w:val="single"/>
          <w:lang w:eastAsia="bg-BG"/>
        </w:rPr>
      </w:pPr>
    </w:p>
    <w:p w14:paraId="07C58CA2" w14:textId="7292008F" w:rsidR="00251EB9" w:rsidRPr="00251EB9" w:rsidRDefault="00251EB9" w:rsidP="00251EB9">
      <w:pPr>
        <w:spacing w:line="240" w:lineRule="auto"/>
        <w:rPr>
          <w:rFonts w:eastAsia="Times New Roman" w:cs="Arial"/>
        </w:rPr>
      </w:pPr>
      <w:r w:rsidRPr="00251EB9">
        <w:rPr>
          <w:rFonts w:eastAsia="Times New Roman" w:cs="Arial"/>
          <w:i/>
          <w:iCs/>
          <w:color w:val="000000"/>
          <w:u w:val="single"/>
          <w:lang w:eastAsia="bg-BG"/>
        </w:rPr>
        <w:t>Специални популации</w:t>
      </w:r>
    </w:p>
    <w:p w14:paraId="40B0E89C"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Бъбречно увреждане</w:t>
      </w:r>
    </w:p>
    <w:p w14:paraId="5DD886A1"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Наличен е ограничен опит при пациенти с тежки нарушения на бъбречната функция или хемодиализа. При тези пациенти се препоръчва по-ниска начална доза от 20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 xml:space="preserve">(вж. точка 4.4). Дозировка от 20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телмисартан не е налична при този лекарствен продукт.</w:t>
      </w:r>
    </w:p>
    <w:p w14:paraId="6A5D8785" w14:textId="77777777" w:rsidR="00251EB9" w:rsidRDefault="00251EB9" w:rsidP="00251EB9">
      <w:pPr>
        <w:spacing w:line="240" w:lineRule="auto"/>
        <w:rPr>
          <w:rFonts w:eastAsia="Times New Roman" w:cs="Arial"/>
          <w:color w:val="000000"/>
          <w:lang w:eastAsia="bg-BG"/>
        </w:rPr>
      </w:pPr>
    </w:p>
    <w:p w14:paraId="56B1C626" w14:textId="4DB66C1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При пациенти с леко до умерено бъбречно увреждане не се налага промяна в дозировката.</w:t>
      </w:r>
    </w:p>
    <w:p w14:paraId="1DA5AD1E" w14:textId="77777777" w:rsidR="00251EB9" w:rsidRDefault="00251EB9" w:rsidP="00251EB9">
      <w:pPr>
        <w:spacing w:line="240" w:lineRule="auto"/>
        <w:rPr>
          <w:rFonts w:eastAsia="Times New Roman" w:cs="Arial"/>
          <w:i/>
          <w:iCs/>
          <w:color w:val="000000"/>
          <w:lang w:eastAsia="bg-BG"/>
        </w:rPr>
      </w:pPr>
    </w:p>
    <w:p w14:paraId="7D0B7CB6" w14:textId="2124D901"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Чернодробно увреждане</w:t>
      </w:r>
    </w:p>
    <w:p w14:paraId="3CBC5B5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Танидон е противопоказан при пациенти с тежко чернодробно увреждане (вж. точка 4.3).</w:t>
      </w:r>
    </w:p>
    <w:p w14:paraId="2107D605"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При пациенти с леко до умерено чернодробно увреждане дозировката не трябва да надвишава 40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веднъж дневно (вж. точка 4.4).</w:t>
      </w:r>
    </w:p>
    <w:p w14:paraId="48BB7D08" w14:textId="77777777" w:rsidR="00251EB9" w:rsidRDefault="00251EB9" w:rsidP="00251EB9">
      <w:pPr>
        <w:spacing w:line="240" w:lineRule="auto"/>
        <w:rPr>
          <w:rFonts w:eastAsia="Times New Roman" w:cs="Arial"/>
          <w:i/>
          <w:iCs/>
          <w:color w:val="000000"/>
          <w:lang w:eastAsia="bg-BG"/>
        </w:rPr>
      </w:pPr>
    </w:p>
    <w:p w14:paraId="44AA3C02" w14:textId="10F6021B" w:rsidR="00251EB9" w:rsidRPr="00251EB9" w:rsidRDefault="00251EB9" w:rsidP="00251EB9">
      <w:pPr>
        <w:spacing w:line="240" w:lineRule="auto"/>
        <w:rPr>
          <w:rFonts w:eastAsia="Times New Roman" w:cs="Arial"/>
          <w:i/>
          <w:iCs/>
          <w:color w:val="000000"/>
          <w:lang w:eastAsia="bg-BG"/>
        </w:rPr>
      </w:pPr>
      <w:r w:rsidRPr="00251EB9">
        <w:rPr>
          <w:rFonts w:eastAsia="Times New Roman" w:cs="Arial"/>
          <w:i/>
          <w:iCs/>
          <w:color w:val="000000"/>
          <w:lang w:eastAsia="bg-BG"/>
        </w:rPr>
        <w:t>Старческа възраст</w:t>
      </w:r>
    </w:p>
    <w:p w14:paraId="51CCE96C"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Не е необходимо коригиране на дозата при пациенти в старческа възраст.</w:t>
      </w:r>
    </w:p>
    <w:p w14:paraId="4DC95AB9" w14:textId="77777777" w:rsidR="00251EB9" w:rsidRDefault="00251EB9" w:rsidP="00251EB9">
      <w:pPr>
        <w:spacing w:line="240" w:lineRule="auto"/>
        <w:rPr>
          <w:rFonts w:eastAsia="Times New Roman" w:cs="Arial"/>
          <w:i/>
          <w:iCs/>
          <w:color w:val="000000"/>
          <w:lang w:eastAsia="bg-BG"/>
        </w:rPr>
      </w:pPr>
    </w:p>
    <w:p w14:paraId="3D23C620" w14:textId="5BB870B9"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Педиатрична популация</w:t>
      </w:r>
    </w:p>
    <w:p w14:paraId="2074971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Безопасността и ефикасността на Танидон при деца и юноши на възраст под 18 години не са установени.</w:t>
      </w:r>
    </w:p>
    <w:p w14:paraId="33D407B2"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Наличните в момента данни са описани в точка 5.1 и 5.2, но не могат да се направят препоръки за дозировката.</w:t>
      </w:r>
    </w:p>
    <w:p w14:paraId="6038C2BE" w14:textId="77777777" w:rsidR="00251EB9" w:rsidRDefault="00251EB9" w:rsidP="00251EB9">
      <w:pPr>
        <w:spacing w:line="240" w:lineRule="auto"/>
        <w:rPr>
          <w:rFonts w:eastAsia="Times New Roman" w:cs="Arial"/>
          <w:color w:val="000000"/>
          <w:u w:val="single"/>
          <w:lang w:eastAsia="bg-BG"/>
        </w:rPr>
      </w:pPr>
    </w:p>
    <w:p w14:paraId="68380B0F" w14:textId="40AA4C2A" w:rsidR="00251EB9" w:rsidRPr="00251EB9" w:rsidRDefault="00251EB9" w:rsidP="00251EB9">
      <w:pPr>
        <w:pStyle w:val="Heading3"/>
        <w:rPr>
          <w:rFonts w:eastAsia="Times New Roman"/>
          <w:u w:val="single"/>
        </w:rPr>
      </w:pPr>
      <w:r w:rsidRPr="00251EB9">
        <w:rPr>
          <w:rFonts w:eastAsia="Times New Roman"/>
          <w:u w:val="single"/>
          <w:lang w:eastAsia="bg-BG"/>
        </w:rPr>
        <w:t>Начин на приложение</w:t>
      </w:r>
    </w:p>
    <w:p w14:paraId="490D1EA8"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Таблетките телмисартан са предназначени за перорално приложение веднъж дневно и трябва да се приемат с течност, със или без храна.</w:t>
      </w:r>
    </w:p>
    <w:p w14:paraId="612CC6C3" w14:textId="56C322E0" w:rsidR="00251EB9" w:rsidRPr="00251EB9" w:rsidRDefault="00251EB9" w:rsidP="00251EB9"/>
    <w:p w14:paraId="74903285" w14:textId="7C93EAE8" w:rsidR="00DB32D3" w:rsidRDefault="002C50EE" w:rsidP="005726E3">
      <w:pPr>
        <w:pStyle w:val="Heading2"/>
      </w:pPr>
      <w:r>
        <w:lastRenderedPageBreak/>
        <w:t>4.3. Противопоказания</w:t>
      </w:r>
    </w:p>
    <w:p w14:paraId="51A7B819" w14:textId="2A4E6DA0" w:rsidR="00251EB9" w:rsidRDefault="00251EB9" w:rsidP="00251EB9"/>
    <w:p w14:paraId="737EB16F" w14:textId="77777777"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Свръхчувствителност към активното вещество или към някое помощните вещества, изброени в точка 6.1.</w:t>
      </w:r>
    </w:p>
    <w:p w14:paraId="4595119D" w14:textId="77777777"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Второ и трето тримесечие на бременността (вж. точки 4.4 и 4.6)</w:t>
      </w:r>
    </w:p>
    <w:p w14:paraId="1BD9FD47" w14:textId="77777777"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Обструктивни забелягания на жлъчните пътища</w:t>
      </w:r>
    </w:p>
    <w:p w14:paraId="575DCB3A" w14:textId="77777777"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Тежко чернодробно увреждане</w:t>
      </w:r>
    </w:p>
    <w:p w14:paraId="04976622" w14:textId="2ADC0FFB"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 xml:space="preserve">Едновременната употреба на Танидон с алискирен-съдържащи продукти е противопоказана при пациенти със захарен диабет или бъбречно увреждане </w:t>
      </w:r>
      <w:r w:rsidRPr="00251EB9">
        <w:rPr>
          <w:rFonts w:eastAsia="Times New Roman" w:cs="Arial"/>
          <w:color w:val="000000"/>
          <w:lang w:val="ru-RU"/>
        </w:rPr>
        <w:t>(</w:t>
      </w:r>
      <w:r w:rsidRPr="00251EB9">
        <w:rPr>
          <w:rFonts w:eastAsia="Times New Roman" w:cs="Arial"/>
          <w:color w:val="000000"/>
          <w:lang w:val="en-US"/>
        </w:rPr>
        <w:t>GFR</w:t>
      </w:r>
      <w:r w:rsidRPr="00251EB9">
        <w:rPr>
          <w:rFonts w:eastAsia="Times New Roman" w:cs="Arial"/>
          <w:color w:val="000000"/>
          <w:lang w:val="ru-RU"/>
        </w:rPr>
        <w:t xml:space="preserve"> </w:t>
      </w:r>
      <w:r w:rsidRPr="00251EB9">
        <w:rPr>
          <w:rFonts w:eastAsia="Times New Roman" w:cs="Arial"/>
          <w:color w:val="000000"/>
          <w:lang w:eastAsia="bg-BG"/>
        </w:rPr>
        <w:t xml:space="preserve">&lt; 60 </w:t>
      </w:r>
      <w:r w:rsidRPr="00251EB9">
        <w:rPr>
          <w:rFonts w:eastAsia="Times New Roman" w:cs="Arial"/>
          <w:color w:val="000000"/>
          <w:lang w:val="en-US"/>
        </w:rPr>
        <w:t>mL</w:t>
      </w:r>
      <w:r w:rsidRPr="00251EB9">
        <w:rPr>
          <w:rFonts w:eastAsia="Times New Roman" w:cs="Arial"/>
          <w:color w:val="000000"/>
          <w:lang w:val="ru-RU"/>
        </w:rPr>
        <w:t>/</w:t>
      </w:r>
      <w:r w:rsidRPr="00251EB9">
        <w:rPr>
          <w:rFonts w:eastAsia="Times New Roman" w:cs="Arial"/>
          <w:color w:val="000000"/>
          <w:lang w:val="en-US"/>
        </w:rPr>
        <w:t>min</w:t>
      </w:r>
      <w:r w:rsidRPr="00251EB9">
        <w:rPr>
          <w:rFonts w:eastAsia="Times New Roman" w:cs="Arial"/>
          <w:color w:val="000000"/>
          <w:lang w:val="ru-RU"/>
        </w:rPr>
        <w:t xml:space="preserve">/1,73 </w:t>
      </w:r>
      <w:r w:rsidRPr="00251EB9">
        <w:rPr>
          <w:rFonts w:eastAsia="Times New Roman" w:cs="Arial"/>
          <w:color w:val="000000"/>
          <w:lang w:val="en-US"/>
        </w:rPr>
        <w:t>m</w:t>
      </w:r>
      <w:r w:rsidRPr="00251EB9">
        <w:rPr>
          <w:rFonts w:eastAsia="Times New Roman" w:cs="Arial"/>
          <w:color w:val="000000"/>
          <w:vertAlign w:val="superscript"/>
          <w:lang w:val="ru-RU"/>
        </w:rPr>
        <w:t>2</w:t>
      </w:r>
      <w:r w:rsidRPr="00251EB9">
        <w:rPr>
          <w:rFonts w:eastAsia="Times New Roman" w:cs="Arial"/>
          <w:color w:val="000000"/>
          <w:lang w:val="ru-RU"/>
        </w:rPr>
        <w:t xml:space="preserve">) </w:t>
      </w:r>
      <w:r w:rsidRPr="00251EB9">
        <w:rPr>
          <w:rFonts w:eastAsia="Times New Roman" w:cs="Arial"/>
          <w:color w:val="000000"/>
          <w:lang w:eastAsia="bg-BG"/>
        </w:rPr>
        <w:t>(вж. точки 4.5 и 5.1)</w:t>
      </w:r>
    </w:p>
    <w:p w14:paraId="71C5B885" w14:textId="111379E3" w:rsidR="00251EB9" w:rsidRPr="00251EB9" w:rsidRDefault="00251EB9" w:rsidP="00251EB9"/>
    <w:p w14:paraId="76DC8E58" w14:textId="4944BA61" w:rsidR="00DB32D3" w:rsidRDefault="002C50EE" w:rsidP="005726E3">
      <w:pPr>
        <w:pStyle w:val="Heading2"/>
      </w:pPr>
      <w:r>
        <w:t>4.4. Специални предупреждения и предпазни мерки при употреба</w:t>
      </w:r>
    </w:p>
    <w:p w14:paraId="6CAF0303" w14:textId="3337AD3E" w:rsidR="00251EB9" w:rsidRDefault="00251EB9" w:rsidP="00251EB9"/>
    <w:p w14:paraId="492EDA31"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Бременност</w:t>
      </w:r>
    </w:p>
    <w:p w14:paraId="79FDEAB4" w14:textId="25AA032A" w:rsidR="00251EB9" w:rsidRPr="00251EB9" w:rsidRDefault="00251EB9" w:rsidP="00251EB9">
      <w:pPr>
        <w:rPr>
          <w:rFonts w:eastAsia="Times New Roman" w:cs="Arial"/>
          <w:color w:val="000000"/>
          <w:lang w:eastAsia="bg-BG"/>
        </w:rPr>
      </w:pPr>
      <w:r w:rsidRPr="00251EB9">
        <w:rPr>
          <w:rFonts w:eastAsia="Times New Roman" w:cs="Arial"/>
          <w:color w:val="000000"/>
          <w:lang w:eastAsia="bg-BG"/>
        </w:rPr>
        <w:t>Не трябва да се започва прием на ангиотензин II рецепторни антагонисти по време на бреме</w:t>
      </w:r>
      <w:r w:rsidRPr="00251EB9">
        <w:rPr>
          <w:rFonts w:eastAsia="Times New Roman" w:cs="Arial"/>
          <w:color w:val="000000"/>
          <w:u w:val="single"/>
          <w:lang w:eastAsia="bg-BG"/>
        </w:rPr>
        <w:t xml:space="preserve">нност. </w:t>
      </w:r>
      <w:r w:rsidRPr="00251EB9">
        <w:rPr>
          <w:rFonts w:eastAsia="Times New Roman" w:cs="Arial"/>
          <w:color w:val="000000"/>
          <w:lang w:eastAsia="bg-BG"/>
        </w:rPr>
        <w:t xml:space="preserve">Пациентките, които планират бременност, трябва да преминат към алтернативно </w:t>
      </w:r>
      <w:r w:rsidRPr="00251EB9">
        <w:rPr>
          <w:rFonts w:eastAsia="Times New Roman" w:cs="Arial"/>
          <w:color w:val="000000"/>
          <w:lang w:val="en-US"/>
        </w:rPr>
        <w:t>a</w:t>
      </w:r>
      <w:r w:rsidRPr="00251EB9">
        <w:rPr>
          <w:rFonts w:eastAsia="Times New Roman" w:cs="Arial"/>
          <w:color w:val="000000"/>
          <w:lang w:eastAsia="bg-BG"/>
        </w:rPr>
        <w:t>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w:t>
      </w:r>
    </w:p>
    <w:p w14:paraId="6F2CA139" w14:textId="4D7F99BF" w:rsidR="00251EB9" w:rsidRPr="00251EB9" w:rsidRDefault="00251EB9" w:rsidP="00251EB9">
      <w:pPr>
        <w:rPr>
          <w:rFonts w:eastAsia="Times New Roman" w:cs="Arial"/>
          <w:color w:val="000000"/>
          <w:lang w:eastAsia="bg-BG"/>
        </w:rPr>
      </w:pPr>
    </w:p>
    <w:p w14:paraId="2FE6874D"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Ако е диагностицирана бременност, лечението с ангиотензин </w:t>
      </w:r>
      <w:r w:rsidRPr="00251EB9">
        <w:rPr>
          <w:rFonts w:eastAsia="Times New Roman" w:cs="Arial"/>
          <w:color w:val="000000"/>
          <w:lang w:val="en-US"/>
        </w:rPr>
        <w:t>II</w:t>
      </w:r>
      <w:r w:rsidRPr="00251EB9">
        <w:rPr>
          <w:rFonts w:eastAsia="Times New Roman" w:cs="Arial"/>
          <w:color w:val="000000"/>
          <w:lang w:eastAsia="bg-BG"/>
        </w:rPr>
        <w:t xml:space="preserve"> рецепторни антагонисти трябва незабавно да бъде преустановено и ако е подходящо да бъде започнато алтернативно лечение (вж. точки 4.3 и 4.6).</w:t>
      </w:r>
    </w:p>
    <w:p w14:paraId="2FB2E2E1" w14:textId="77777777" w:rsidR="00251EB9" w:rsidRDefault="00251EB9" w:rsidP="00251EB9">
      <w:pPr>
        <w:spacing w:line="240" w:lineRule="auto"/>
        <w:rPr>
          <w:rFonts w:eastAsia="Times New Roman" w:cs="Arial"/>
          <w:color w:val="000000"/>
          <w:u w:val="single"/>
          <w:lang w:eastAsia="bg-BG"/>
        </w:rPr>
      </w:pPr>
    </w:p>
    <w:p w14:paraId="39E16346" w14:textId="7C78571D"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Чернодробно увреждане</w:t>
      </w:r>
    </w:p>
    <w:p w14:paraId="16AA4727"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Танидон не трябва да се прилага при пациенти с холестаза, с жлъчни обструктивни нарушения или тежко чернодробно увреждане (вж. точка 4.3), тъй като по-голямата част от телмисартан се елиминира чрез жлъчката. При тези пациенти може да се очаква намален чернодробен клирънс. Танидон трябва да се прилага внимателно при пациенти с леки до умерени нарушения в чернодробната функция.</w:t>
      </w:r>
    </w:p>
    <w:p w14:paraId="066E239D" w14:textId="77777777" w:rsidR="00251EB9" w:rsidRDefault="00251EB9" w:rsidP="00251EB9">
      <w:pPr>
        <w:spacing w:line="240" w:lineRule="auto"/>
        <w:rPr>
          <w:rFonts w:eastAsia="Times New Roman" w:cs="Arial"/>
          <w:color w:val="000000"/>
          <w:u w:val="single"/>
          <w:lang w:eastAsia="bg-BG"/>
        </w:rPr>
      </w:pPr>
    </w:p>
    <w:p w14:paraId="1D786B07" w14:textId="7CB6A894"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Реноваскуларна хипертония</w:t>
      </w:r>
    </w:p>
    <w:p w14:paraId="2FAEA67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Когато пациенти със стеноза на двете бъбречни артерии или стеноза на артерията към единичен функциониращ бъбрек са третирани с лекарства, повлияващи системата ренин-ангиотензин- алдостерон съществува повишен риск от тежка хипотония и бъбречна недостатъчност.</w:t>
      </w:r>
    </w:p>
    <w:p w14:paraId="52DF6D1F" w14:textId="77777777" w:rsidR="00251EB9" w:rsidRDefault="00251EB9" w:rsidP="00251EB9">
      <w:pPr>
        <w:spacing w:line="240" w:lineRule="auto"/>
        <w:rPr>
          <w:rFonts w:eastAsia="Times New Roman" w:cs="Arial"/>
          <w:color w:val="000000"/>
          <w:u w:val="single"/>
          <w:lang w:eastAsia="bg-BG"/>
        </w:rPr>
      </w:pPr>
    </w:p>
    <w:p w14:paraId="5A33E7AF" w14:textId="4A58FC9A"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Бъбречно увреждане и бъбречна трансплантация</w:t>
      </w:r>
    </w:p>
    <w:p w14:paraId="144C0BFA"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Когато се използва Танидон при пациенти с нарушена бъбречна функция, се препоръчва периодично мониториране на калия и серумното ниво на креатинина. Няма достатъчно данни по отношение на приложението на Танидон при пациенти, претърпели наскоро бъбречна трансплантация.</w:t>
      </w:r>
    </w:p>
    <w:p w14:paraId="61AFA92B" w14:textId="77777777" w:rsidR="00251EB9" w:rsidRDefault="00251EB9" w:rsidP="00251EB9">
      <w:pPr>
        <w:spacing w:line="240" w:lineRule="auto"/>
        <w:rPr>
          <w:rFonts w:eastAsia="Times New Roman" w:cs="Arial"/>
          <w:color w:val="000000"/>
          <w:u w:val="single"/>
          <w:lang w:eastAsia="bg-BG"/>
        </w:rPr>
      </w:pPr>
    </w:p>
    <w:p w14:paraId="447442C6" w14:textId="606A1B8C"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Вътресъдова хиповолемия</w:t>
      </w:r>
    </w:p>
    <w:p w14:paraId="3B326E5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Симптоматична хипотония, особено след първата доза Танидон може да се наблюдава при пациенти с тежък натриев дефицит и/или намален обем на циркулиращата кръв при мощна диуретична терапия, диета с ограничено приемане на сол, диария или повръщане. Такива състояния трябва да бъдат коригирани преди приложение на Танидон. </w:t>
      </w:r>
      <w:r w:rsidRPr="00251EB9">
        <w:rPr>
          <w:rFonts w:eastAsia="Times New Roman" w:cs="Arial"/>
          <w:color w:val="000000"/>
          <w:lang w:eastAsia="bg-BG"/>
        </w:rPr>
        <w:lastRenderedPageBreak/>
        <w:t>Натриевият дефицит и/или намаленият обем на циркулиращата кръв трябва да бъде коригиран преди приложение на Танидон.</w:t>
      </w:r>
    </w:p>
    <w:p w14:paraId="1858473E" w14:textId="77777777" w:rsidR="00251EB9" w:rsidRDefault="00251EB9" w:rsidP="00251EB9">
      <w:pPr>
        <w:spacing w:line="240" w:lineRule="auto"/>
        <w:rPr>
          <w:rFonts w:eastAsia="Times New Roman" w:cs="Arial"/>
          <w:color w:val="000000"/>
          <w:u w:val="single"/>
          <w:lang w:eastAsia="bg-BG"/>
        </w:rPr>
      </w:pPr>
    </w:p>
    <w:p w14:paraId="18BEB860" w14:textId="7CD52779"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Двойно блокиране на оенин-ангиотензин-алдостероновата система (РААС)</w:t>
      </w:r>
    </w:p>
    <w:p w14:paraId="67B3EF06"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Има данни, че едновременната употреба на АСЕ инхибитори, ангиотензин </w:t>
      </w:r>
      <w:r w:rsidRPr="00251EB9">
        <w:rPr>
          <w:rFonts w:eastAsia="Times New Roman" w:cs="Arial"/>
          <w:color w:val="000000"/>
          <w:lang w:val="en-US"/>
        </w:rPr>
        <w:t>II</w:t>
      </w:r>
      <w:r w:rsidRPr="00251EB9">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251EB9">
        <w:rPr>
          <w:rFonts w:eastAsia="Times New Roman" w:cs="Arial"/>
          <w:color w:val="000000"/>
          <w:lang w:val="en-US"/>
        </w:rPr>
        <w:t>II</w:t>
      </w:r>
      <w:r w:rsidRPr="00251EB9">
        <w:rPr>
          <w:rFonts w:eastAsia="Times New Roman" w:cs="Arial"/>
          <w:color w:val="000000"/>
          <w:lang w:eastAsia="bg-BG"/>
        </w:rPr>
        <w:t>-рецепторни блокери или алискирен (вж. точки 4.5 и 5.1).</w:t>
      </w:r>
    </w:p>
    <w:p w14:paraId="7CE5A333"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10B2DC8F"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АСЕ инхибитори и ангиотензин </w:t>
      </w:r>
      <w:r w:rsidRPr="00251EB9">
        <w:rPr>
          <w:rFonts w:eastAsia="Times New Roman" w:cs="Arial"/>
          <w:color w:val="000000"/>
          <w:lang w:val="en-US"/>
        </w:rPr>
        <w:t>II</w:t>
      </w:r>
      <w:r w:rsidRPr="00251EB9">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33E54001" w14:textId="77777777" w:rsidR="00251EB9" w:rsidRDefault="00251EB9" w:rsidP="00251EB9">
      <w:pPr>
        <w:spacing w:line="240" w:lineRule="auto"/>
        <w:rPr>
          <w:rFonts w:eastAsia="Times New Roman" w:cs="Arial"/>
          <w:color w:val="000000"/>
          <w:u w:val="single"/>
          <w:lang w:eastAsia="bg-BG"/>
        </w:rPr>
      </w:pPr>
    </w:p>
    <w:p w14:paraId="38C40555" w14:textId="250109E4"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Други състояния със стимулация на системата ренин-ангиотензин-алдостерон</w:t>
      </w:r>
    </w:p>
    <w:p w14:paraId="530D6E3C"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При пациенти, чийто васкуларен тонус и бъбречна функция зависят основно от активността на системата ренин-ангиотензин-алдостерон (напр. пациенти с тежка застойна сърдечна недостатъчност или подлежащо бъбречно заболяване, включително и стеноза на бъбречната артерия), лечението с лекарствени продукти, които повлияват тази система, като телмисартан, предизвиква остра хипотония, хиперазотемия, олигурия или рядко остра бъбречна недостатъчност (вж. точка 4.8).</w:t>
      </w:r>
    </w:p>
    <w:p w14:paraId="075362C6" w14:textId="77777777" w:rsidR="00251EB9" w:rsidRDefault="00251EB9" w:rsidP="00251EB9">
      <w:pPr>
        <w:spacing w:line="240" w:lineRule="auto"/>
        <w:rPr>
          <w:rFonts w:eastAsia="Times New Roman" w:cs="Arial"/>
          <w:color w:val="000000"/>
          <w:u w:val="single"/>
          <w:lang w:eastAsia="bg-BG"/>
        </w:rPr>
      </w:pPr>
    </w:p>
    <w:p w14:paraId="454AE444" w14:textId="37CB24E6"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Първичен алдостеронизъм</w:t>
      </w:r>
    </w:p>
    <w:p w14:paraId="6523D0D4"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Пациенти с първичен алдостеронизъм по принцип няма да реагират на антихипертензивни лекарствени продукти, действащи чрез инхибиция на системата ренин-ангиотензин. Поради това, употребата на телмисартан не се препоръчва.</w:t>
      </w:r>
    </w:p>
    <w:p w14:paraId="48386D6F" w14:textId="77777777" w:rsidR="00251EB9" w:rsidRDefault="00251EB9" w:rsidP="00251EB9">
      <w:pPr>
        <w:spacing w:line="240" w:lineRule="auto"/>
        <w:rPr>
          <w:rFonts w:eastAsia="Times New Roman" w:cs="Arial"/>
          <w:color w:val="000000"/>
          <w:u w:val="single"/>
          <w:lang w:eastAsia="bg-BG"/>
        </w:rPr>
      </w:pPr>
    </w:p>
    <w:p w14:paraId="2A0F43D6" w14:textId="2AF9B243"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Стеноза на аортната и митрална клапа, обструктивна хипертрофична кардиомиопатия</w:t>
      </w:r>
    </w:p>
    <w:p w14:paraId="26AA3505"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Както при другите вазодилататори, специално внимание е необходимо при пациенти</w:t>
      </w:r>
      <w:r w:rsidRPr="00251EB9">
        <w:rPr>
          <w:rFonts w:eastAsia="Times New Roman" w:cs="Arial"/>
          <w:color w:val="000000"/>
          <w:lang w:val="ru-RU"/>
        </w:rPr>
        <w:t xml:space="preserve"> </w:t>
      </w:r>
      <w:r w:rsidRPr="00251EB9">
        <w:rPr>
          <w:rFonts w:eastAsia="Times New Roman" w:cs="Arial"/>
          <w:color w:val="000000"/>
          <w:lang w:eastAsia="bg-BG"/>
        </w:rPr>
        <w:t>страдащи от аортна или митрална стеноза или обструктивна хипертрофична кардиомиопатия.</w:t>
      </w:r>
    </w:p>
    <w:p w14:paraId="333A028A" w14:textId="0DB1D9C9" w:rsidR="00251EB9" w:rsidRDefault="00251EB9" w:rsidP="00251EB9"/>
    <w:p w14:paraId="3D3762C4"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 xml:space="preserve">Пациенти с диабет, лекувани с </w:t>
      </w:r>
      <w:r w:rsidRPr="00251EB9">
        <w:rPr>
          <w:rFonts w:eastAsia="Times New Roman" w:cs="Arial"/>
          <w:i/>
          <w:iCs/>
          <w:color w:val="000000"/>
          <w:u w:val="single"/>
          <w:lang w:eastAsia="bg-BG"/>
        </w:rPr>
        <w:t>инсулин или</w:t>
      </w:r>
      <w:r w:rsidRPr="00251EB9">
        <w:rPr>
          <w:rFonts w:eastAsia="Times New Roman" w:cs="Arial"/>
          <w:color w:val="000000"/>
          <w:u w:val="single"/>
          <w:lang w:eastAsia="bg-BG"/>
        </w:rPr>
        <w:t xml:space="preserve"> антидиабетни лекарства</w:t>
      </w:r>
    </w:p>
    <w:p w14:paraId="10D4E10F"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При тези пациенти може да настъпи хипогликемия при лечение с телмисартан. Затова, при тези пациенти трябва да се обмисли съответно проследяване на кръвната захар и може да се наложи коригиране на дозата на инсулина или антидиабетните лекарства, когато е показано.</w:t>
      </w:r>
    </w:p>
    <w:p w14:paraId="084FE80C" w14:textId="77777777" w:rsidR="00251EB9" w:rsidRDefault="00251EB9" w:rsidP="00251EB9">
      <w:pPr>
        <w:spacing w:line="240" w:lineRule="auto"/>
        <w:rPr>
          <w:rFonts w:eastAsia="Times New Roman" w:cs="Arial"/>
          <w:color w:val="000000"/>
          <w:u w:val="single"/>
          <w:lang w:eastAsia="bg-BG"/>
        </w:rPr>
      </w:pPr>
    </w:p>
    <w:p w14:paraId="51CAA67C" w14:textId="03199AAF"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Хиперкалиемия</w:t>
      </w:r>
    </w:p>
    <w:p w14:paraId="6661B91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Употребата на лекарствени продукти, които повлияват системата ренин-ангиотензин-алдостерон може да доведе до хиперкалиемия.</w:t>
      </w:r>
    </w:p>
    <w:p w14:paraId="4E0588BB"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Хиперкалиемията може да бъде с фатален изход при пациенти в старческа възраст, при пациенти с бъбречна недостатъчност, при пациенти с диабет, при пациенти, лекувани едновременно и с други лекарствени продукти, които могат да повишат нивата на калия и/или при пациенти с придружаващи състояния.</w:t>
      </w:r>
    </w:p>
    <w:p w14:paraId="455B59AE"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Преди да се вземе решение за едновременно приложение на лекарствени продукти, които повлияват системата ренин-ангиотензин-алдостерон, трябва да се прецени съотношението полза/риск. Основните рискови фактори за възникване на хиперкалиемия, които трябва да се вземат под внимание са:</w:t>
      </w:r>
    </w:p>
    <w:p w14:paraId="60B8EEDB" w14:textId="77777777"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lastRenderedPageBreak/>
        <w:t>Захарен диабет, бъбречно увреждане, възраст (&gt;70 години)</w:t>
      </w:r>
    </w:p>
    <w:p w14:paraId="6367213E" w14:textId="77777777"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Комбинация с един или повече лекарствени продукти, които повлияват системата ренин- ангиотензин-алдостерон и/или калиеви добавки. Лекарствени продукти или терапевтични групи лекарства, които могат да предизвикат хиперкалиемия са солеви заместители, съдържащи калий, калий-съхраняващи диуретици, АСЕ инхибитори, ангиотензин II рецепторни антагонисти, нестероидни противовъзпалителни средства (НСПВС включително селективни СОХ -2 инхибитори), хепарин, имуносупресори (циклоспорин или такролимус) и триметоприм.</w:t>
      </w:r>
    </w:p>
    <w:p w14:paraId="15A3A28A" w14:textId="052DB68B" w:rsidR="00251EB9" w:rsidRPr="00251EB9" w:rsidRDefault="00251EB9" w:rsidP="00251EB9">
      <w:pPr>
        <w:pStyle w:val="ListParagraph"/>
        <w:numPr>
          <w:ilvl w:val="0"/>
          <w:numId w:val="2"/>
        </w:numPr>
        <w:spacing w:line="240" w:lineRule="auto"/>
        <w:rPr>
          <w:rFonts w:eastAsia="Times New Roman" w:cs="Arial"/>
        </w:rPr>
      </w:pPr>
      <w:r w:rsidRPr="00251EB9">
        <w:rPr>
          <w:rFonts w:eastAsia="Times New Roman" w:cs="Arial"/>
          <w:color w:val="000000"/>
          <w:lang w:eastAsia="bg-BG"/>
        </w:rPr>
        <w:t>Интеркурентни събития и по-специално дехидратиране, остра сърдечна декомпенсация, метаболитна ацидоза, влошена бъбречна функция, внезапно влошаване на бъбречното състояние (например инфекциозни заболявания), клетъчно лизиране (например остра исхемия на крайника, рабдомиолиза, обширна травма).</w:t>
      </w:r>
      <w:r>
        <w:rPr>
          <w:rFonts w:eastAsia="Times New Roman" w:cs="Arial"/>
          <w:color w:val="000000"/>
          <w:lang w:eastAsia="bg-BG"/>
        </w:rPr>
        <w:t xml:space="preserve"> </w:t>
      </w:r>
      <w:r w:rsidRPr="00251EB9">
        <w:rPr>
          <w:rFonts w:eastAsia="Times New Roman" w:cs="Arial"/>
          <w:color w:val="000000"/>
          <w:lang w:eastAsia="bg-BG"/>
        </w:rPr>
        <w:t>При рискови пациенти се препоръчва внимателно мониториране на серумния калий (вж. точка 4.5).</w:t>
      </w:r>
    </w:p>
    <w:p w14:paraId="75E70409" w14:textId="77777777" w:rsidR="00251EB9" w:rsidRDefault="00251EB9" w:rsidP="00251EB9">
      <w:pPr>
        <w:spacing w:line="240" w:lineRule="auto"/>
        <w:rPr>
          <w:rFonts w:eastAsia="Times New Roman" w:cs="Arial"/>
          <w:color w:val="000000"/>
          <w:u w:val="single"/>
          <w:lang w:eastAsia="bg-BG"/>
        </w:rPr>
      </w:pPr>
    </w:p>
    <w:p w14:paraId="419F45F3" w14:textId="00D13B92"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Лактоза</w:t>
      </w:r>
    </w:p>
    <w:p w14:paraId="164B4F8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Този лекарствен продукт съдържа лактоза монохидрат.</w:t>
      </w:r>
    </w:p>
    <w:p w14:paraId="62359B45"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Пациенти с редки наследствени проблеми на непоносимост към галактоза, пълен лактазен дефицит или гклюкозо-галактозна малабсорбция не трябва да приемат това лекарство.</w:t>
      </w:r>
    </w:p>
    <w:p w14:paraId="08D4A858" w14:textId="77777777" w:rsidR="00251EB9" w:rsidRDefault="00251EB9" w:rsidP="00251EB9">
      <w:pPr>
        <w:spacing w:line="240" w:lineRule="auto"/>
        <w:rPr>
          <w:rFonts w:eastAsia="Times New Roman" w:cs="Arial"/>
          <w:color w:val="000000"/>
          <w:u w:val="single"/>
          <w:lang w:eastAsia="bg-BG"/>
        </w:rPr>
      </w:pPr>
    </w:p>
    <w:p w14:paraId="3D9281A1" w14:textId="45C099AF"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Натрий</w:t>
      </w:r>
    </w:p>
    <w:p w14:paraId="3883D5FB"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Това лекарство съдържа по-малко от 1 </w:t>
      </w:r>
      <w:proofErr w:type="spellStart"/>
      <w:r w:rsidRPr="00251EB9">
        <w:rPr>
          <w:rFonts w:eastAsia="Times New Roman" w:cs="Arial"/>
          <w:color w:val="000000"/>
          <w:lang w:val="en-US"/>
        </w:rPr>
        <w:t>mmol</w:t>
      </w:r>
      <w:proofErr w:type="spellEnd"/>
      <w:r w:rsidRPr="00251EB9">
        <w:rPr>
          <w:rFonts w:eastAsia="Times New Roman" w:cs="Arial"/>
          <w:color w:val="000000"/>
          <w:lang w:val="ru-RU"/>
        </w:rPr>
        <w:t xml:space="preserve"> </w:t>
      </w:r>
      <w:r w:rsidRPr="00251EB9">
        <w:rPr>
          <w:rFonts w:eastAsia="Times New Roman" w:cs="Arial"/>
          <w:color w:val="000000"/>
          <w:lang w:eastAsia="bg-BG"/>
        </w:rPr>
        <w:t xml:space="preserve">натрий (23 </w:t>
      </w:r>
      <w:r w:rsidRPr="00251EB9">
        <w:rPr>
          <w:rFonts w:eastAsia="Times New Roman" w:cs="Arial"/>
          <w:color w:val="000000"/>
          <w:lang w:val="en-US"/>
        </w:rPr>
        <w:t>mg</w:t>
      </w:r>
      <w:r w:rsidRPr="00251EB9">
        <w:rPr>
          <w:rFonts w:eastAsia="Times New Roman" w:cs="Arial"/>
          <w:color w:val="000000"/>
          <w:lang w:val="ru-RU"/>
        </w:rPr>
        <w:t xml:space="preserve">) </w:t>
      </w:r>
      <w:r w:rsidRPr="00251EB9">
        <w:rPr>
          <w:rFonts w:eastAsia="Times New Roman" w:cs="Arial"/>
          <w:color w:val="000000"/>
          <w:lang w:eastAsia="bg-BG"/>
        </w:rPr>
        <w:t>на филмирана таблетка, т.е. може да се каже, че практически не съдържа натрий.</w:t>
      </w:r>
    </w:p>
    <w:p w14:paraId="0FF2A037" w14:textId="77777777" w:rsidR="00251EB9" w:rsidRDefault="00251EB9" w:rsidP="00251EB9">
      <w:pPr>
        <w:spacing w:line="240" w:lineRule="auto"/>
        <w:rPr>
          <w:rFonts w:eastAsia="Times New Roman" w:cs="Arial"/>
          <w:color w:val="000000"/>
          <w:u w:val="single"/>
          <w:lang w:eastAsia="bg-BG"/>
        </w:rPr>
      </w:pPr>
    </w:p>
    <w:p w14:paraId="34B4C584" w14:textId="614ADC4F"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Етнически различия</w:t>
      </w:r>
    </w:p>
    <w:p w14:paraId="160A2FCC"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Както е наблюдавано при инхибиторите на ангиотензин конвертиращия ензим, телмисартан и другите ангиотензин II рецепторни антагонисти са очевидно по-малко ефективни в понижаването на кръвното налягане при хора от черната раса, отколкото при другите раси, вероятно поради по- честото срещане в черната популация на ниско рениново ниво с прояви на хипертония.</w:t>
      </w:r>
    </w:p>
    <w:p w14:paraId="11539BDF" w14:textId="77777777" w:rsidR="00251EB9" w:rsidRDefault="00251EB9" w:rsidP="00251EB9">
      <w:pPr>
        <w:spacing w:line="240" w:lineRule="auto"/>
        <w:rPr>
          <w:rFonts w:eastAsia="Times New Roman" w:cs="Arial"/>
          <w:color w:val="000000"/>
          <w:u w:val="single"/>
          <w:lang w:eastAsia="bg-BG"/>
        </w:rPr>
      </w:pPr>
    </w:p>
    <w:p w14:paraId="1FD86C98" w14:textId="69F905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Други</w:t>
      </w:r>
    </w:p>
    <w:p w14:paraId="4CCAC1A2"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Както при други антихипертензивни агенти, </w:t>
      </w:r>
      <w:r w:rsidRPr="00251EB9">
        <w:rPr>
          <w:rFonts w:eastAsia="Times New Roman" w:cs="Arial"/>
          <w:i/>
          <w:iCs/>
          <w:color w:val="000000"/>
          <w:lang w:eastAsia="bg-BG"/>
        </w:rPr>
        <w:t>ексцесивната редукция на</w:t>
      </w:r>
      <w:r w:rsidRPr="00251EB9">
        <w:rPr>
          <w:rFonts w:eastAsia="Times New Roman" w:cs="Arial"/>
          <w:color w:val="000000"/>
          <w:lang w:eastAsia="bg-BG"/>
        </w:rPr>
        <w:t xml:space="preserve"> кръвното налягане при пациенти с исхемична кардиопатия или исхемично кардиоваскуларно заболяване може да доведе до миокарден инфаркт или инсулт.</w:t>
      </w:r>
    </w:p>
    <w:p w14:paraId="7AFCB9B3" w14:textId="77777777" w:rsidR="00251EB9" w:rsidRPr="00251EB9" w:rsidRDefault="00251EB9" w:rsidP="00251EB9"/>
    <w:p w14:paraId="62F27C9B" w14:textId="4F8F743B"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D6ADA71" w14:textId="174B072E" w:rsidR="00251EB9" w:rsidRDefault="00251EB9" w:rsidP="00251EB9"/>
    <w:p w14:paraId="2B2B59BB"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Дигоксин</w:t>
      </w:r>
    </w:p>
    <w:p w14:paraId="023B5707" w14:textId="77777777" w:rsidR="00251EB9" w:rsidRPr="00251EB9" w:rsidRDefault="00251EB9" w:rsidP="00251EB9">
      <w:pPr>
        <w:rPr>
          <w:rFonts w:eastAsia="Times New Roman" w:cs="Arial"/>
        </w:rPr>
      </w:pPr>
      <w:r w:rsidRPr="00251EB9">
        <w:rPr>
          <w:rFonts w:eastAsia="Times New Roman" w:cs="Arial"/>
          <w:color w:val="000000"/>
          <w:lang w:eastAsia="bg-BG"/>
        </w:rPr>
        <w:t xml:space="preserve">Когато телмисартан се прилага едновременно с дигоксин, са наблюдавани медианно повишаване на пиковите плазмени нива на дигоксин (49%) и на минималната концентрация (20%). При започване на </w:t>
      </w:r>
      <w:r w:rsidRPr="00251EB9">
        <w:rPr>
          <w:rFonts w:eastAsia="Times New Roman" w:cs="Arial"/>
          <w:i/>
          <w:iCs/>
          <w:color w:val="000000"/>
          <w:lang w:eastAsia="bg-BG"/>
        </w:rPr>
        <w:t>лечението,</w:t>
      </w:r>
      <w:r w:rsidRPr="00251EB9">
        <w:rPr>
          <w:rFonts w:eastAsia="Times New Roman" w:cs="Arial"/>
          <w:color w:val="000000"/>
          <w:lang w:eastAsia="bg-BG"/>
        </w:rPr>
        <w:t xml:space="preserve"> промяна в дозата и спиране на лечението с телмисартан, нивата на дигоксин трябва да се следят за да се намират в терапевтичния диапазон.</w:t>
      </w:r>
    </w:p>
    <w:p w14:paraId="27826C47" w14:textId="77777777" w:rsidR="00251EB9" w:rsidRDefault="00251EB9" w:rsidP="00251EB9">
      <w:pPr>
        <w:spacing w:line="240" w:lineRule="auto"/>
        <w:rPr>
          <w:rFonts w:eastAsia="Times New Roman" w:cs="Arial"/>
          <w:color w:val="000000"/>
          <w:lang w:eastAsia="bg-BG"/>
        </w:rPr>
      </w:pPr>
    </w:p>
    <w:p w14:paraId="39865433" w14:textId="5E34B7F7" w:rsidR="00251EB9" w:rsidRPr="00251EB9" w:rsidRDefault="00251EB9" w:rsidP="00251EB9">
      <w:pPr>
        <w:spacing w:line="240" w:lineRule="auto"/>
        <w:rPr>
          <w:rFonts w:eastAsia="Times New Roman" w:cs="Arial"/>
        </w:rPr>
      </w:pPr>
      <w:r w:rsidRPr="00251EB9">
        <w:rPr>
          <w:rFonts w:eastAsia="Times New Roman" w:cs="Arial"/>
          <w:color w:val="000000"/>
          <w:lang w:eastAsia="bg-BG"/>
        </w:rPr>
        <w:lastRenderedPageBreak/>
        <w:t>Както и другите лекарствени продукти, които повлияват системата ренин-ангиотензин-алдостерон, телмисартан може да предизвика хиперкалиемия (вж. точка 4.4). Този риск може да се увеличи в случай на комбинирано лечение с други лекарствени продукти, които също могат да предизвикат хиперкалиемия (солеви заместители, съдържащи калий, калий-съхраняващи диуретици, АСЕ инхибитори, ангиотензин II рецепторни антагонисти, нестероидни противовъзпалителни средства (НСПВС включително селективни СОХ -2 инхибитори), хепарин, имуносупресори (циклоспорин или такролимус) и триметоприм).</w:t>
      </w:r>
    </w:p>
    <w:p w14:paraId="71590C42"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Възникването на хиперкалиемия зависи от свързаните с това рискови фактори. Рискът се повишава при по-горе посочените лечебни комбинации. Рискът е особено висок при комбинация с калий- съхраняващи диуретици и когато се комбинира със солеви заместители, съдържащи калий. Например при комбинация с АСЕ инхибитори или НСПВС рискът е по-малък, при условие че стриктно се спазват предпазните мерки при употреба.</w:t>
      </w:r>
    </w:p>
    <w:p w14:paraId="4FD4AAC0" w14:textId="77777777" w:rsidR="00251EB9" w:rsidRDefault="00251EB9" w:rsidP="00251EB9">
      <w:pPr>
        <w:spacing w:line="240" w:lineRule="auto"/>
        <w:rPr>
          <w:rFonts w:eastAsia="Times New Roman" w:cs="Arial"/>
          <w:i/>
          <w:iCs/>
          <w:color w:val="000000"/>
          <w:lang w:eastAsia="bg-BG"/>
        </w:rPr>
      </w:pPr>
    </w:p>
    <w:p w14:paraId="003827C2" w14:textId="5180A8B3"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Едновременното приложение не се препоръчва с</w:t>
      </w:r>
    </w:p>
    <w:p w14:paraId="2DDE9DF1" w14:textId="77777777" w:rsidR="00251EB9" w:rsidRDefault="00251EB9" w:rsidP="00251EB9">
      <w:pPr>
        <w:spacing w:line="240" w:lineRule="auto"/>
        <w:rPr>
          <w:rFonts w:eastAsia="Times New Roman" w:cs="Arial"/>
          <w:color w:val="000000"/>
          <w:u w:val="single"/>
          <w:lang w:eastAsia="bg-BG"/>
        </w:rPr>
      </w:pPr>
    </w:p>
    <w:p w14:paraId="0559E09F" w14:textId="2CA76BC8"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Калий-съхраняващи диуретици или калиеви добавки</w:t>
      </w:r>
    </w:p>
    <w:p w14:paraId="640AEE81"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Ангиотензин II рецепторните антагонисти, какъвто е телмисартан, намаляват загубата на калий, която се придизвиква от диуретиците. Калий-съхраняващите диуретици като спиронолактон, еплеренон, триамтерен или амилорид, калиевите добавки или солевите заместители, съдържащи калий могат да доведат до значимо повишаване на серумния калий. Ако едновременното приложение е показано поради установена хипокалиемия, то трябва да се извършва с повишено внимание и трябва често да се мониторира серумния калий.</w:t>
      </w:r>
    </w:p>
    <w:p w14:paraId="3DAFB720" w14:textId="77777777" w:rsidR="00251EB9" w:rsidRDefault="00251EB9" w:rsidP="00251EB9">
      <w:pPr>
        <w:spacing w:line="240" w:lineRule="auto"/>
        <w:rPr>
          <w:rFonts w:eastAsia="Times New Roman" w:cs="Arial"/>
          <w:color w:val="000000"/>
          <w:u w:val="single"/>
          <w:lang w:eastAsia="bg-BG"/>
        </w:rPr>
      </w:pPr>
    </w:p>
    <w:p w14:paraId="126CC2AA" w14:textId="505DE890"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Литий</w:t>
      </w:r>
    </w:p>
    <w:p w14:paraId="7174A163" w14:textId="71EF54FF" w:rsidR="00251EB9" w:rsidRPr="00251EB9" w:rsidRDefault="00251EB9" w:rsidP="00251EB9">
      <w:pPr>
        <w:spacing w:line="240" w:lineRule="auto"/>
        <w:rPr>
          <w:rFonts w:eastAsia="Times New Roman" w:cs="Arial"/>
        </w:rPr>
      </w:pPr>
      <w:r w:rsidRPr="00251EB9">
        <w:rPr>
          <w:rFonts w:eastAsia="Times New Roman" w:cs="Arial"/>
          <w:color w:val="000000"/>
          <w:lang w:eastAsia="bg-BG"/>
        </w:rPr>
        <w:t>По време на едновременно приложение на литий с инхибитори на ангиотензин конвертиращия ензим и с ангиотензин II рецепторни антагонисти, включително телмисартан, са наблюдавани обратимо повишение на серумните литиеви концентрации и прояви на токсичност. Ако тази комбинация е необходима, се препоръчва внимателно мониториране на серумните нива на лития.</w:t>
      </w:r>
    </w:p>
    <w:p w14:paraId="657FA0E4" w14:textId="77777777" w:rsidR="00251EB9" w:rsidRDefault="00251EB9" w:rsidP="00251EB9">
      <w:pPr>
        <w:spacing w:line="240" w:lineRule="auto"/>
        <w:rPr>
          <w:rFonts w:eastAsia="Times New Roman" w:cs="Arial"/>
          <w:i/>
          <w:iCs/>
          <w:color w:val="000000"/>
          <w:lang w:eastAsia="bg-BG"/>
        </w:rPr>
      </w:pPr>
    </w:p>
    <w:p w14:paraId="2260448F" w14:textId="059CA55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Едновременното приложение изисква повишено внимание при</w:t>
      </w:r>
    </w:p>
    <w:p w14:paraId="44DBEF9B" w14:textId="77777777" w:rsidR="00251EB9" w:rsidRDefault="00251EB9" w:rsidP="00251EB9">
      <w:pPr>
        <w:spacing w:line="240" w:lineRule="auto"/>
        <w:rPr>
          <w:rFonts w:eastAsia="Times New Roman" w:cs="Arial"/>
          <w:color w:val="000000"/>
          <w:u w:val="single"/>
          <w:lang w:eastAsia="bg-BG"/>
        </w:rPr>
      </w:pPr>
    </w:p>
    <w:p w14:paraId="6232E382" w14:textId="6C4C440F"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Нестероидни противовъзпалителни средства</w:t>
      </w:r>
    </w:p>
    <w:p w14:paraId="554EEFF5"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НСПВС (т.е. ацетилсалицилова киселина в протововъзпалителни дози, СОХ-2 инхибитори и неселективни НСПВС) могат да намалят антяхипертензивния ефект на ангиотензин II рецепторните антагонисти. При някои пациенти с нарушена бъбречна функция (например дехидратирани пациенти или пациенти в напреднала възраст с нарушена бъбречна функция) едновременното приложение на ангиотензин II рецепторни антагонисти и лекарствени продукти, които инхибират цикло- оксигеназата може да доведе до по-нататъшно влошаване на бъбречната функция, включително е възможна остра бъбречна недостатъчност, която обикновено е обратима. По тази причина, комбинацията трябва да бъде прилагана с повишено внимание, особено при пациенти в напреднала възраст. Пациентите трябва да бъдат адекватно хидратирани и да бъде проследявана бъбречната им функция в началото на комбинираното лечение и периодично след това.</w:t>
      </w:r>
    </w:p>
    <w:p w14:paraId="50585BE6"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В едно проучване едновременното прилагане на телмисартан и рамиприл е довело до покачване на </w:t>
      </w:r>
      <w:r w:rsidRPr="00251EB9">
        <w:rPr>
          <w:rFonts w:eastAsia="Times New Roman" w:cs="Arial"/>
          <w:smallCaps/>
          <w:color w:val="000000"/>
          <w:lang w:val="en-US"/>
        </w:rPr>
        <w:t>AUC</w:t>
      </w:r>
      <w:r w:rsidRPr="00251EB9">
        <w:rPr>
          <w:rFonts w:eastAsia="Times New Roman" w:cs="Arial"/>
          <w:smallCaps/>
          <w:color w:val="000000"/>
          <w:vertAlign w:val="subscript"/>
          <w:lang w:val="ru-RU"/>
        </w:rPr>
        <w:t>0-24</w:t>
      </w:r>
      <w:r w:rsidRPr="00251EB9">
        <w:rPr>
          <w:rFonts w:eastAsia="Times New Roman" w:cs="Arial"/>
          <w:smallCaps/>
          <w:color w:val="000000"/>
          <w:lang w:val="ru-RU"/>
        </w:rPr>
        <w:t xml:space="preserve"> </w:t>
      </w:r>
      <w:r w:rsidRPr="00251EB9">
        <w:rPr>
          <w:rFonts w:eastAsia="Times New Roman" w:cs="Arial"/>
          <w:smallCaps/>
          <w:color w:val="000000"/>
          <w:lang w:eastAsia="bg-BG"/>
        </w:rPr>
        <w:t>и</w:t>
      </w:r>
      <w:r w:rsidRPr="00251EB9">
        <w:rPr>
          <w:rFonts w:eastAsia="Times New Roman" w:cs="Arial"/>
          <w:color w:val="000000"/>
          <w:lang w:eastAsia="bg-BG"/>
        </w:rPr>
        <w:t xml:space="preserve"> С</w:t>
      </w:r>
      <w:r w:rsidRPr="00251EB9">
        <w:rPr>
          <w:rFonts w:eastAsia="Times New Roman" w:cs="Arial"/>
          <w:color w:val="000000"/>
          <w:vertAlign w:val="subscript"/>
          <w:lang w:val="en-US"/>
        </w:rPr>
        <w:t>max</w:t>
      </w:r>
      <w:r w:rsidRPr="00251EB9">
        <w:rPr>
          <w:rFonts w:eastAsia="Times New Roman" w:cs="Arial"/>
          <w:color w:val="000000"/>
          <w:lang w:eastAsia="bg-BG"/>
        </w:rPr>
        <w:t xml:space="preserve"> на рамиприл и рамиприлат до 2,5 пъти. Клиничната значимост на това наблюдение не е известна.</w:t>
      </w:r>
    </w:p>
    <w:p w14:paraId="132AAFC6" w14:textId="77777777" w:rsidR="00251EB9" w:rsidRDefault="00251EB9" w:rsidP="00251EB9">
      <w:pPr>
        <w:spacing w:line="240" w:lineRule="auto"/>
        <w:rPr>
          <w:rFonts w:eastAsia="Times New Roman" w:cs="Arial"/>
          <w:color w:val="000000"/>
          <w:u w:val="single"/>
          <w:lang w:eastAsia="bg-BG"/>
        </w:rPr>
      </w:pPr>
    </w:p>
    <w:p w14:paraId="68CA74D9" w14:textId="4483E666"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Диуретици (тиазидни или бримкови диуретици)</w:t>
      </w:r>
    </w:p>
    <w:p w14:paraId="39F1910F"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Предшестваща терапия с високи дози диуретици като фуроземид (бримков диуретик) и хидрохлоротиазид (тиазиден диуретик) може да доведе до намален обем на циркулиращата кръв и риск от възникване на хипотония при започване на лечение с телмисартан.</w:t>
      </w:r>
    </w:p>
    <w:p w14:paraId="64AD4D50" w14:textId="77777777" w:rsidR="00251EB9" w:rsidRDefault="00251EB9" w:rsidP="00251EB9">
      <w:pPr>
        <w:spacing w:line="240" w:lineRule="auto"/>
        <w:rPr>
          <w:rFonts w:eastAsia="Times New Roman" w:cs="Arial"/>
          <w:i/>
          <w:iCs/>
          <w:color w:val="000000"/>
          <w:lang w:eastAsia="bg-BG"/>
        </w:rPr>
      </w:pPr>
    </w:p>
    <w:p w14:paraId="0356B954" w14:textId="677BE507" w:rsidR="00251EB9" w:rsidRDefault="00251EB9" w:rsidP="00251EB9">
      <w:pPr>
        <w:spacing w:line="240" w:lineRule="auto"/>
        <w:rPr>
          <w:rFonts w:eastAsia="Times New Roman" w:cs="Arial"/>
          <w:i/>
          <w:iCs/>
          <w:color w:val="000000"/>
          <w:lang w:eastAsia="bg-BG"/>
        </w:rPr>
      </w:pPr>
      <w:r w:rsidRPr="00251EB9">
        <w:rPr>
          <w:rFonts w:eastAsia="Times New Roman" w:cs="Arial"/>
          <w:i/>
          <w:iCs/>
          <w:color w:val="000000"/>
          <w:lang w:eastAsia="bg-BG"/>
        </w:rPr>
        <w:t>Трябва са се вземе под внимание при едновременно приложение</w:t>
      </w:r>
    </w:p>
    <w:p w14:paraId="170E3E1F" w14:textId="1871F96A" w:rsidR="00251EB9" w:rsidRDefault="00251EB9" w:rsidP="00251EB9">
      <w:pPr>
        <w:spacing w:line="240" w:lineRule="auto"/>
        <w:rPr>
          <w:rFonts w:eastAsia="Times New Roman" w:cs="Arial"/>
          <w:i/>
          <w:iCs/>
          <w:color w:val="000000"/>
          <w:lang w:eastAsia="bg-BG"/>
        </w:rPr>
      </w:pPr>
    </w:p>
    <w:p w14:paraId="1D2086A8"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Други антихипертензивни лекарствени продукти</w:t>
      </w:r>
    </w:p>
    <w:p w14:paraId="03DA9362"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Хипотензивният ефект на телмисартан може да се повиши при едновременното приложение с други антихипертензивни лекарствени продукти.</w:t>
      </w:r>
    </w:p>
    <w:p w14:paraId="7354BA7D"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II-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4C1492CF" w14:textId="77777777" w:rsidR="00251EB9" w:rsidRDefault="00251EB9" w:rsidP="00251EB9">
      <w:pPr>
        <w:spacing w:line="240" w:lineRule="auto"/>
        <w:rPr>
          <w:rFonts w:eastAsia="Times New Roman" w:cs="Arial"/>
          <w:color w:val="000000"/>
          <w:lang w:eastAsia="bg-BG"/>
        </w:rPr>
      </w:pPr>
    </w:p>
    <w:p w14:paraId="14834DD7" w14:textId="085BFD64"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Въз основа на фармакологичните им свойства е възможно да се </w:t>
      </w:r>
      <w:r w:rsidRPr="00251EB9">
        <w:rPr>
          <w:rFonts w:eastAsia="Times New Roman" w:cs="Arial"/>
          <w:i/>
          <w:iCs/>
          <w:color w:val="000000"/>
          <w:lang w:eastAsia="bg-BG"/>
        </w:rPr>
        <w:t>очаква,</w:t>
      </w:r>
      <w:r w:rsidRPr="00251EB9">
        <w:rPr>
          <w:rFonts w:eastAsia="Times New Roman" w:cs="Arial"/>
          <w:color w:val="000000"/>
          <w:lang w:eastAsia="bg-BG"/>
        </w:rPr>
        <w:t xml:space="preserve"> че следните лекарствени продукти могат да повишат хипотензивния ефект на всички антихипертензивни средства, включително телмисартан: баклофен, амифостин. Също така, оргостатичната хипотония може да бъде засилена от алкохол, барбитурати, наркотични вещества или антидепресанти.</w:t>
      </w:r>
    </w:p>
    <w:p w14:paraId="5881855D" w14:textId="77777777" w:rsidR="00251EB9" w:rsidRDefault="00251EB9" w:rsidP="00251EB9">
      <w:pPr>
        <w:spacing w:line="240" w:lineRule="auto"/>
        <w:rPr>
          <w:rFonts w:eastAsia="Times New Roman" w:cs="Arial"/>
          <w:color w:val="000000"/>
          <w:u w:val="single"/>
          <w:lang w:eastAsia="bg-BG"/>
        </w:rPr>
      </w:pPr>
    </w:p>
    <w:p w14:paraId="451CA35C" w14:textId="77777777" w:rsidR="00251EB9" w:rsidRDefault="00251EB9" w:rsidP="00251EB9">
      <w:pPr>
        <w:spacing w:line="240" w:lineRule="auto"/>
        <w:rPr>
          <w:rFonts w:eastAsia="Times New Roman" w:cs="Arial"/>
          <w:color w:val="000000"/>
          <w:u w:val="single"/>
          <w:lang w:eastAsia="bg-BG"/>
        </w:rPr>
      </w:pPr>
      <w:r w:rsidRPr="00251EB9">
        <w:rPr>
          <w:rFonts w:eastAsia="Times New Roman" w:cs="Arial"/>
          <w:color w:val="000000"/>
          <w:u w:val="single"/>
          <w:lang w:eastAsia="bg-BG"/>
        </w:rPr>
        <w:t xml:space="preserve">Кортикостероиди (системно приложение): </w:t>
      </w:r>
    </w:p>
    <w:p w14:paraId="0C4DF179" w14:textId="7BE61766" w:rsidR="00251EB9" w:rsidRPr="00251EB9" w:rsidRDefault="00251EB9" w:rsidP="00251EB9">
      <w:pPr>
        <w:spacing w:line="240" w:lineRule="auto"/>
        <w:rPr>
          <w:rFonts w:ascii="Times New Roman" w:eastAsia="Times New Roman" w:hAnsi="Times New Roman" w:cs="Times New Roman"/>
          <w:sz w:val="24"/>
          <w:szCs w:val="24"/>
        </w:rPr>
      </w:pPr>
      <w:r w:rsidRPr="00251EB9">
        <w:rPr>
          <w:rFonts w:eastAsia="Times New Roman" w:cs="Arial"/>
          <w:color w:val="000000"/>
          <w:lang w:eastAsia="bg-BG"/>
        </w:rPr>
        <w:t>Намаляване на антихипертензивния ефект.</w:t>
      </w:r>
    </w:p>
    <w:p w14:paraId="345F394B" w14:textId="29649427" w:rsidR="00251EB9" w:rsidRPr="00251EB9" w:rsidRDefault="00251EB9" w:rsidP="00251EB9"/>
    <w:p w14:paraId="006BE4EC" w14:textId="76B3CB46" w:rsidR="00DB32D3" w:rsidRDefault="002C50EE" w:rsidP="005726E3">
      <w:pPr>
        <w:pStyle w:val="Heading2"/>
      </w:pPr>
      <w:r>
        <w:t>4.6. Фертилитет, бременност и кърмене</w:t>
      </w:r>
    </w:p>
    <w:p w14:paraId="6A8A27E0" w14:textId="5128A87F" w:rsidR="00251EB9" w:rsidRDefault="00251EB9" w:rsidP="00251EB9"/>
    <w:p w14:paraId="1FD4EE19" w14:textId="64681804" w:rsidR="00251EB9" w:rsidRPr="00251EB9" w:rsidRDefault="00251EB9" w:rsidP="00251EB9">
      <w:pPr>
        <w:pStyle w:val="Heading3"/>
        <w:rPr>
          <w:u w:val="single"/>
        </w:rPr>
      </w:pPr>
      <w:r w:rsidRPr="00251EB9">
        <w:rPr>
          <w:u w:val="single"/>
        </w:rPr>
        <w:t>Бременност</w:t>
      </w:r>
    </w:p>
    <w:tbl>
      <w:tblPr>
        <w:tblStyle w:val="TableGrid"/>
        <w:tblW w:w="0" w:type="auto"/>
        <w:tblLook w:val="04A0" w:firstRow="1" w:lastRow="0" w:firstColumn="1" w:lastColumn="0" w:noHBand="0" w:noVBand="1"/>
      </w:tblPr>
      <w:tblGrid>
        <w:gridCol w:w="9350"/>
      </w:tblGrid>
      <w:tr w:rsidR="00251EB9" w:rsidRPr="00251EB9" w14:paraId="53C03623" w14:textId="77777777" w:rsidTr="00251EB9">
        <w:tc>
          <w:tcPr>
            <w:tcW w:w="9576" w:type="dxa"/>
          </w:tcPr>
          <w:p w14:paraId="3CC45A12" w14:textId="5514ED10" w:rsidR="00251EB9" w:rsidRPr="00251EB9" w:rsidRDefault="00251EB9" w:rsidP="00251EB9">
            <w:pPr>
              <w:spacing w:line="240" w:lineRule="auto"/>
              <w:rPr>
                <w:rFonts w:eastAsia="Times New Roman" w:cs="Arial"/>
              </w:rPr>
            </w:pPr>
            <w:r w:rsidRPr="00251EB9">
              <w:rPr>
                <w:rFonts w:eastAsia="Times New Roman" w:cs="Arial"/>
                <w:color w:val="000000"/>
                <w:lang w:eastAsia="bg-BG"/>
              </w:rPr>
              <w:t>Не се препоръчва употребата на ангиотензин II рецепторни антагонисти през първия триместър на бременността (вж. точка 4.4). Употребата на ангиотензин II рецепторни антагонисти е противопоказана през втория и третия триместър на бременността (вж. точки 43 и 4.4).</w:t>
            </w:r>
          </w:p>
        </w:tc>
      </w:tr>
    </w:tbl>
    <w:p w14:paraId="086E2CB8" w14:textId="1ED76A0A" w:rsidR="00251EB9" w:rsidRPr="00251EB9" w:rsidRDefault="00251EB9" w:rsidP="00251EB9">
      <w:pPr>
        <w:rPr>
          <w:rFonts w:cs="Arial"/>
        </w:rPr>
      </w:pPr>
    </w:p>
    <w:p w14:paraId="4BFC4E99"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Няма достатъчно данни за употребата на Танидон при бременни жени. Експерименталните проучвания при животни показват репродуктивна токсичност (вж. точка 5.3).</w:t>
      </w:r>
    </w:p>
    <w:p w14:paraId="38F2A2B5" w14:textId="77777777" w:rsidR="00251EB9" w:rsidRDefault="00251EB9" w:rsidP="00251EB9">
      <w:pPr>
        <w:spacing w:line="240" w:lineRule="auto"/>
        <w:rPr>
          <w:rFonts w:eastAsia="Times New Roman" w:cs="Arial"/>
          <w:color w:val="000000"/>
          <w:lang w:eastAsia="bg-BG"/>
        </w:rPr>
      </w:pPr>
    </w:p>
    <w:p w14:paraId="296028BD" w14:textId="4254594C"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Епидемиологичните данни за риска от тератогенност след експозиция на АСЕ инхибитори през първия триместър на бременността не са убедителни. Все пак, не може да се изключи слабо повишаване на риска. Докато няма контролирани епидемиологични данни за риска при употреба на ангиотензин II рецепторни антагонисти, сходни рискове могат да съществуват и при този клас лекарства.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И рецепторни антагонисти. Ако е диагностицирана бременност, лечението с ангиотензин II рецепторни антагонисти трябва </w:t>
      </w:r>
      <w:r w:rsidRPr="00251EB9">
        <w:rPr>
          <w:rFonts w:eastAsia="Times New Roman" w:cs="Arial"/>
          <w:color w:val="000000"/>
          <w:lang w:eastAsia="bg-BG"/>
        </w:rPr>
        <w:lastRenderedPageBreak/>
        <w:t xml:space="preserve">незабавно да бъде </w:t>
      </w:r>
      <w:r w:rsidRPr="00251EB9">
        <w:rPr>
          <w:rFonts w:eastAsia="Times New Roman" w:cs="Arial"/>
          <w:i/>
          <w:iCs/>
          <w:color w:val="000000"/>
          <w:lang w:eastAsia="bg-BG"/>
        </w:rPr>
        <w:t>преустановено</w:t>
      </w:r>
      <w:r w:rsidRPr="00251EB9">
        <w:rPr>
          <w:rFonts w:eastAsia="Times New Roman" w:cs="Arial"/>
          <w:color w:val="000000"/>
          <w:lang w:eastAsia="bg-BG"/>
        </w:rPr>
        <w:t xml:space="preserve"> и ако е подходящо да бъде започнато алтернативно лечение.</w:t>
      </w:r>
    </w:p>
    <w:p w14:paraId="1EE53271" w14:textId="77777777" w:rsidR="00251EB9" w:rsidRDefault="00251EB9" w:rsidP="00251EB9">
      <w:pPr>
        <w:spacing w:line="240" w:lineRule="auto"/>
        <w:rPr>
          <w:rFonts w:eastAsia="Times New Roman" w:cs="Arial"/>
          <w:color w:val="000000"/>
          <w:lang w:eastAsia="bg-BG"/>
        </w:rPr>
      </w:pPr>
    </w:p>
    <w:p w14:paraId="69079660" w14:textId="4F58DB63" w:rsidR="00251EB9" w:rsidRPr="00251EB9" w:rsidRDefault="00251EB9" w:rsidP="00251EB9">
      <w:pPr>
        <w:spacing w:line="240" w:lineRule="auto"/>
        <w:rPr>
          <w:rFonts w:eastAsia="Times New Roman" w:cs="Arial"/>
        </w:rPr>
      </w:pPr>
      <w:r w:rsidRPr="00251EB9">
        <w:rPr>
          <w:rFonts w:eastAsia="Times New Roman" w:cs="Arial"/>
          <w:color w:val="000000"/>
          <w:lang w:eastAsia="bg-BG"/>
        </w:rPr>
        <w:t>Установено е, че експозицията на ангиотензин II рецепторни антагонисти през втория и третия триместър на бременността предизвиква фетотоксичност при хора (понижена бъбречна функция, олигохидрамнион, забавена черепна осификация) и неонатална токсичност (бъбречна недостатъчност, хипотония, хиперкалиемия) (вж. точка 53).</w:t>
      </w:r>
    </w:p>
    <w:p w14:paraId="2580B2A9" w14:textId="77777777" w:rsidR="00251EB9" w:rsidRDefault="00251EB9" w:rsidP="00251EB9">
      <w:pPr>
        <w:spacing w:line="240" w:lineRule="auto"/>
        <w:rPr>
          <w:rFonts w:eastAsia="Times New Roman" w:cs="Arial"/>
          <w:color w:val="000000"/>
          <w:lang w:eastAsia="bg-BG"/>
        </w:rPr>
      </w:pPr>
    </w:p>
    <w:p w14:paraId="6320D829" w14:textId="59CCEBD8"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Препоръчва се ултразвуков преглед на бъбречната функция и черепа, ако настъпи експозиция на ангиотензин II рецепторни антагонисти през втория триместър на бременността и след това. Новородените, чийто майки са приемали ангиотензин II рецепторни антагонисти, трябва да бъдат внимателно наблюдавани за наличие на хипотония (вж. точки 43 и 4.4).</w:t>
      </w:r>
    </w:p>
    <w:p w14:paraId="60D6A6FE" w14:textId="77777777" w:rsidR="00251EB9" w:rsidRDefault="00251EB9" w:rsidP="00251EB9">
      <w:pPr>
        <w:spacing w:line="240" w:lineRule="auto"/>
        <w:rPr>
          <w:rFonts w:eastAsia="Times New Roman" w:cs="Arial"/>
          <w:color w:val="000000"/>
          <w:u w:val="single"/>
          <w:lang w:eastAsia="bg-BG"/>
        </w:rPr>
      </w:pPr>
    </w:p>
    <w:p w14:paraId="7E117D53" w14:textId="5552B42B" w:rsidR="00251EB9" w:rsidRPr="00251EB9" w:rsidRDefault="00251EB9" w:rsidP="00251EB9">
      <w:pPr>
        <w:pStyle w:val="Heading3"/>
        <w:rPr>
          <w:rFonts w:eastAsia="Times New Roman"/>
          <w:u w:val="single"/>
        </w:rPr>
      </w:pPr>
      <w:r w:rsidRPr="00251EB9">
        <w:rPr>
          <w:rFonts w:eastAsia="Times New Roman"/>
          <w:u w:val="single"/>
          <w:lang w:eastAsia="bg-BG"/>
        </w:rPr>
        <w:t>Кърмене</w:t>
      </w:r>
    </w:p>
    <w:p w14:paraId="0001D098"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Тъй като няма данни относно употребата на Танидон в периода на кърмене, Танидон не се препоръчва, а се предпочитат алтернативни лечения с по-добре установен профил на бе</w:t>
      </w:r>
      <w:r w:rsidRPr="00251EB9">
        <w:rPr>
          <w:rFonts w:eastAsia="Times New Roman" w:cs="Arial"/>
          <w:color w:val="000000"/>
          <w:u w:val="single"/>
          <w:lang w:eastAsia="bg-BG"/>
        </w:rPr>
        <w:t>зопасн</w:t>
      </w:r>
      <w:r w:rsidRPr="00251EB9">
        <w:rPr>
          <w:rFonts w:eastAsia="Times New Roman" w:cs="Arial"/>
          <w:color w:val="000000"/>
          <w:lang w:eastAsia="bg-BG"/>
        </w:rPr>
        <w:t>ост в периода на кърмене, особено при кърмене на новородено или преждевременно родено дете.</w:t>
      </w:r>
    </w:p>
    <w:p w14:paraId="67E3B0E0" w14:textId="77777777" w:rsidR="00251EB9" w:rsidRDefault="00251EB9" w:rsidP="00251EB9">
      <w:pPr>
        <w:spacing w:line="240" w:lineRule="auto"/>
        <w:rPr>
          <w:rFonts w:eastAsia="Times New Roman" w:cs="Arial"/>
          <w:color w:val="000000"/>
          <w:u w:val="single"/>
          <w:lang w:eastAsia="bg-BG"/>
        </w:rPr>
      </w:pPr>
    </w:p>
    <w:p w14:paraId="60ABF902" w14:textId="25D14228" w:rsidR="00251EB9" w:rsidRPr="00251EB9" w:rsidRDefault="00251EB9" w:rsidP="00251EB9">
      <w:pPr>
        <w:pStyle w:val="Heading3"/>
        <w:rPr>
          <w:rFonts w:eastAsia="Times New Roman"/>
          <w:u w:val="single"/>
        </w:rPr>
      </w:pPr>
      <w:r w:rsidRPr="00251EB9">
        <w:rPr>
          <w:rFonts w:eastAsia="Times New Roman"/>
          <w:u w:val="single"/>
          <w:lang w:eastAsia="bg-BG"/>
        </w:rPr>
        <w:t>Фертилитет</w:t>
      </w:r>
    </w:p>
    <w:p w14:paraId="0A087E77" w14:textId="77777777" w:rsidR="00251EB9" w:rsidRPr="00251EB9" w:rsidRDefault="00251EB9" w:rsidP="00251EB9">
      <w:pPr>
        <w:rPr>
          <w:sz w:val="24"/>
          <w:szCs w:val="24"/>
        </w:rPr>
      </w:pPr>
      <w:r w:rsidRPr="00251EB9">
        <w:rPr>
          <w:lang w:eastAsia="bg-BG"/>
        </w:rPr>
        <w:t>В предклинични проучвания не са наблюдавани ефекти на Танидон върху фертилитета на мъжки и женски индивиди.</w:t>
      </w:r>
    </w:p>
    <w:p w14:paraId="490BB256" w14:textId="77777777" w:rsidR="00251EB9" w:rsidRPr="00251EB9" w:rsidRDefault="00251EB9" w:rsidP="00251EB9"/>
    <w:p w14:paraId="128BA3A8" w14:textId="02E844F8" w:rsidR="00DB32D3" w:rsidRDefault="002C50EE" w:rsidP="005726E3">
      <w:pPr>
        <w:pStyle w:val="Heading2"/>
      </w:pPr>
      <w:r>
        <w:t>4.7. Ефекти върху способността за шофиране и работа с машини</w:t>
      </w:r>
    </w:p>
    <w:p w14:paraId="23AA983D" w14:textId="629F3434" w:rsidR="00251EB9" w:rsidRDefault="00251EB9" w:rsidP="00251EB9"/>
    <w:p w14:paraId="25086E00" w14:textId="77777777" w:rsidR="00251EB9" w:rsidRPr="00251EB9" w:rsidRDefault="00251EB9" w:rsidP="00251EB9">
      <w:pPr>
        <w:rPr>
          <w:sz w:val="24"/>
          <w:szCs w:val="24"/>
        </w:rPr>
      </w:pPr>
      <w:r w:rsidRPr="00251EB9">
        <w:rPr>
          <w:lang w:eastAsia="bg-BG"/>
        </w:rPr>
        <w:t>Когато се шофира или работи с машини трябва да се има предвид, че при антихипертензивна терапия като телмисартан, макар и рядко, могат да се проявят замайване или сънливост.</w:t>
      </w:r>
    </w:p>
    <w:p w14:paraId="10A289C8" w14:textId="77777777" w:rsidR="00251EB9" w:rsidRPr="00251EB9" w:rsidRDefault="00251EB9" w:rsidP="00251EB9"/>
    <w:p w14:paraId="44CE30A3" w14:textId="4F70B431" w:rsidR="007122AD" w:rsidRDefault="002C50EE" w:rsidP="00936AD0">
      <w:pPr>
        <w:pStyle w:val="Heading2"/>
      </w:pPr>
      <w:r>
        <w:t>4.8. Нежелани лекарствени реакции</w:t>
      </w:r>
    </w:p>
    <w:p w14:paraId="31BD8C80" w14:textId="4FC3D607" w:rsidR="00251EB9" w:rsidRDefault="00251EB9" w:rsidP="00251EB9"/>
    <w:p w14:paraId="77E059D9" w14:textId="7777777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Кратко изложение на профила на безопасност</w:t>
      </w:r>
    </w:p>
    <w:p w14:paraId="74E3CD38"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Сериозните нежелани лекарствени реакции включват анафилактичнн реакции и ангиоедем, които може да настъпят рядко (≥1/10 000 до &lt;1/1 000), и остра бъбречна недостатъчност.</w:t>
      </w:r>
    </w:p>
    <w:p w14:paraId="0443D2D8" w14:textId="77777777" w:rsidR="00251EB9" w:rsidRDefault="00251EB9" w:rsidP="00251EB9">
      <w:pPr>
        <w:spacing w:line="240" w:lineRule="auto"/>
        <w:rPr>
          <w:rFonts w:eastAsia="Times New Roman" w:cs="Arial"/>
          <w:color w:val="000000"/>
          <w:lang w:eastAsia="bg-BG"/>
        </w:rPr>
      </w:pPr>
    </w:p>
    <w:p w14:paraId="6244D30E" w14:textId="45CDD3D1" w:rsidR="00251EB9" w:rsidRPr="00251EB9" w:rsidRDefault="00251EB9" w:rsidP="00251EB9">
      <w:pPr>
        <w:spacing w:line="240" w:lineRule="auto"/>
        <w:rPr>
          <w:rFonts w:eastAsia="Times New Roman" w:cs="Arial"/>
        </w:rPr>
      </w:pPr>
      <w:r w:rsidRPr="00251EB9">
        <w:rPr>
          <w:rFonts w:eastAsia="Times New Roman" w:cs="Arial"/>
          <w:color w:val="000000"/>
          <w:lang w:eastAsia="bg-BG"/>
        </w:rPr>
        <w:t>Честотата на нежеланите реакции, съобщени при употреба на телмисартан е сравнима с плацебо (41,4% спрямо 43,9%) при плацебо-контролирани проучвания при пациенти, лекувани за хипертония. Случаите на проявени нежелани лекарствени реакции не са свързани с дозата и не показват зависимост от пола, възрастта или расата на пациентите.</w:t>
      </w:r>
    </w:p>
    <w:p w14:paraId="0561A7B7"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Профилът на безопасност на телмисартан при пациенти, лекувани за намаляване на сърдечно</w:t>
      </w:r>
      <w:r w:rsidRPr="00251EB9">
        <w:rPr>
          <w:rFonts w:eastAsia="Times New Roman" w:cs="Arial"/>
          <w:color w:val="000000"/>
          <w:lang w:eastAsia="bg-BG"/>
        </w:rPr>
        <w:softHyphen/>
        <w:t>съдовата заболеваемост, е сходен с този, наблюдаван при пациенти с хипертония.</w:t>
      </w:r>
    </w:p>
    <w:p w14:paraId="443226A8" w14:textId="77777777" w:rsidR="00251EB9" w:rsidRDefault="00251EB9" w:rsidP="00251EB9">
      <w:pPr>
        <w:spacing w:line="240" w:lineRule="auto"/>
        <w:rPr>
          <w:rFonts w:eastAsia="Times New Roman" w:cs="Arial"/>
          <w:color w:val="000000"/>
          <w:lang w:eastAsia="bg-BG"/>
        </w:rPr>
      </w:pPr>
    </w:p>
    <w:p w14:paraId="0E6BD2FA" w14:textId="38FC5ABF"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Представените подолу нежелани лекарствени реакции, отразяват резултатите от контролирани клинични проучвания при пациенти, лекувани за хипертония </w:t>
      </w:r>
      <w:r w:rsidRPr="00251EB9">
        <w:rPr>
          <w:rFonts w:eastAsia="Times New Roman" w:cs="Arial"/>
          <w:i/>
          <w:iCs/>
          <w:color w:val="000000"/>
          <w:lang w:eastAsia="bg-BG"/>
        </w:rPr>
        <w:t>и от постмаркетингови</w:t>
      </w:r>
      <w:r w:rsidRPr="00251EB9">
        <w:rPr>
          <w:rFonts w:eastAsia="Times New Roman" w:cs="Arial"/>
          <w:color w:val="000000"/>
          <w:lang w:eastAsia="bg-BG"/>
        </w:rPr>
        <w:t xml:space="preserve"> съобщения. Списъкът, също така, отразява сериозни нежелани </w:t>
      </w:r>
      <w:r w:rsidRPr="00251EB9">
        <w:rPr>
          <w:rFonts w:eastAsia="Times New Roman" w:cs="Arial"/>
          <w:color w:val="000000"/>
          <w:lang w:eastAsia="bg-BG"/>
        </w:rPr>
        <w:lastRenderedPageBreak/>
        <w:t xml:space="preserve">реакции и нежелани реакции, водещи до прекратяване на лечението, съобщени в три дългосрочни клинични проучвания, включващи 21 642 пациенти, лекувани с телмисартан за </w:t>
      </w:r>
      <w:r w:rsidRPr="00251EB9">
        <w:rPr>
          <w:rFonts w:eastAsia="Times New Roman" w:cs="Arial"/>
          <w:i/>
          <w:iCs/>
          <w:color w:val="000000"/>
          <w:lang w:eastAsia="bg-BG"/>
        </w:rPr>
        <w:t>намаляване на</w:t>
      </w:r>
      <w:r w:rsidRPr="00251EB9">
        <w:rPr>
          <w:rFonts w:eastAsia="Times New Roman" w:cs="Arial"/>
          <w:color w:val="000000"/>
          <w:lang w:eastAsia="bg-BG"/>
        </w:rPr>
        <w:t xml:space="preserve"> сърдечно-съдовата заболеваемост за период до шест години.</w:t>
      </w:r>
    </w:p>
    <w:p w14:paraId="06A11416" w14:textId="77777777" w:rsidR="00251EB9" w:rsidRDefault="00251EB9" w:rsidP="00251EB9">
      <w:pPr>
        <w:spacing w:line="240" w:lineRule="auto"/>
        <w:rPr>
          <w:rFonts w:eastAsia="Times New Roman" w:cs="Arial"/>
          <w:color w:val="000000"/>
          <w:u w:val="single"/>
          <w:lang w:eastAsia="bg-BG"/>
        </w:rPr>
      </w:pPr>
    </w:p>
    <w:p w14:paraId="59897CD6" w14:textId="5301C9A1"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Кратко изложение на нежеланите реакции в табличен Формат</w:t>
      </w:r>
    </w:p>
    <w:p w14:paraId="0A870A8B"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Нежеланите лекарствени реакции са категоризирани според честотата, като е използвана следната класификация: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5C9A9D8A" w14:textId="77777777" w:rsidR="00251EB9" w:rsidRDefault="00251EB9" w:rsidP="00251EB9">
      <w:pPr>
        <w:spacing w:line="240" w:lineRule="auto"/>
        <w:rPr>
          <w:rFonts w:eastAsia="Times New Roman" w:cs="Arial"/>
          <w:color w:val="000000"/>
          <w:lang w:eastAsia="bg-BG"/>
        </w:rPr>
      </w:pPr>
    </w:p>
    <w:p w14:paraId="79AC2014" w14:textId="6C8C475D" w:rsidR="00251EB9" w:rsidRPr="00251EB9" w:rsidRDefault="00251EB9" w:rsidP="00251EB9">
      <w:pPr>
        <w:spacing w:line="240" w:lineRule="auto"/>
        <w:rPr>
          <w:rFonts w:eastAsia="Times New Roman" w:cs="Arial"/>
        </w:rPr>
      </w:pPr>
      <w:r w:rsidRPr="00251EB9">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тежестта.</w:t>
      </w:r>
    </w:p>
    <w:p w14:paraId="710E573A" w14:textId="77777777" w:rsidR="00251EB9" w:rsidRDefault="00251EB9" w:rsidP="00251EB9">
      <w:pPr>
        <w:spacing w:line="240" w:lineRule="auto"/>
        <w:rPr>
          <w:rFonts w:eastAsia="Times New Roman" w:cs="Arial"/>
          <w:i/>
          <w:iCs/>
          <w:color w:val="000000"/>
          <w:lang w:eastAsia="bg-BG"/>
        </w:rPr>
      </w:pPr>
    </w:p>
    <w:p w14:paraId="5B579833" w14:textId="329AA08F"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Инфекции и инфестации</w:t>
      </w:r>
    </w:p>
    <w:p w14:paraId="4A76BCF6" w14:textId="743AF0F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Инфекция на уринарния тракт, включително цистит, инфекция на горния</w:t>
      </w:r>
    </w:p>
    <w:p w14:paraId="483BFA70"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респираторен тракт, включително фарингит и синузит</w:t>
      </w:r>
    </w:p>
    <w:p w14:paraId="4003890F"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Сепсис, включително с фатален изход</w:t>
      </w:r>
      <w:r w:rsidRPr="00251EB9">
        <w:rPr>
          <w:rFonts w:eastAsia="Times New Roman" w:cs="Arial"/>
          <w:color w:val="000000"/>
          <w:vertAlign w:val="superscript"/>
          <w:lang w:eastAsia="bg-BG"/>
        </w:rPr>
        <w:t>1</w:t>
      </w:r>
    </w:p>
    <w:p w14:paraId="6BB0C2B6" w14:textId="77777777" w:rsidR="00251EB9" w:rsidRDefault="00251EB9" w:rsidP="00251EB9">
      <w:pPr>
        <w:spacing w:line="240" w:lineRule="auto"/>
        <w:rPr>
          <w:rFonts w:eastAsia="Times New Roman" w:cs="Arial"/>
          <w:i/>
          <w:iCs/>
          <w:color w:val="000000"/>
          <w:lang w:eastAsia="bg-BG"/>
        </w:rPr>
      </w:pPr>
    </w:p>
    <w:p w14:paraId="62ADCD47" w14:textId="4E353EA3"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кръвта и лимфната система</w:t>
      </w:r>
    </w:p>
    <w:p w14:paraId="40A90BE9" w14:textId="2AB84376"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Анемия</w:t>
      </w:r>
    </w:p>
    <w:p w14:paraId="303AD1CC"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Еозинофилия, тромбоцитопения</w:t>
      </w:r>
    </w:p>
    <w:p w14:paraId="3B4A6BEB" w14:textId="77777777" w:rsidR="00251EB9" w:rsidRDefault="00251EB9" w:rsidP="00251EB9">
      <w:pPr>
        <w:spacing w:line="240" w:lineRule="auto"/>
        <w:rPr>
          <w:rFonts w:eastAsia="Times New Roman" w:cs="Arial"/>
          <w:i/>
          <w:iCs/>
          <w:color w:val="000000"/>
          <w:lang w:eastAsia="bg-BG"/>
        </w:rPr>
      </w:pPr>
    </w:p>
    <w:p w14:paraId="5B8F4504" w14:textId="143B2014"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имунната система</w:t>
      </w:r>
    </w:p>
    <w:p w14:paraId="2257965A"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Анафилактична реакция, свръхчувствителност</w:t>
      </w:r>
    </w:p>
    <w:p w14:paraId="7072C550" w14:textId="77777777" w:rsidR="00251EB9" w:rsidRDefault="00251EB9" w:rsidP="00251EB9">
      <w:pPr>
        <w:spacing w:line="240" w:lineRule="auto"/>
        <w:rPr>
          <w:rFonts w:eastAsia="Times New Roman" w:cs="Arial"/>
          <w:i/>
          <w:iCs/>
          <w:color w:val="000000"/>
          <w:lang w:eastAsia="bg-BG"/>
        </w:rPr>
      </w:pPr>
    </w:p>
    <w:p w14:paraId="152FC3C1" w14:textId="311AE93E"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метаболизма и храненето</w:t>
      </w:r>
    </w:p>
    <w:p w14:paraId="64757A69" w14:textId="6944A9BC"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Хиперкалиемия</w:t>
      </w:r>
    </w:p>
    <w:p w14:paraId="09E5E9EF"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Хипогликемия (при пациенти с диабет)</w:t>
      </w:r>
    </w:p>
    <w:p w14:paraId="2926F9CD" w14:textId="77777777" w:rsidR="00251EB9" w:rsidRDefault="00251EB9" w:rsidP="00251EB9">
      <w:pPr>
        <w:spacing w:line="240" w:lineRule="auto"/>
        <w:rPr>
          <w:rFonts w:eastAsia="Times New Roman" w:cs="Arial"/>
          <w:i/>
          <w:iCs/>
          <w:color w:val="000000"/>
          <w:lang w:eastAsia="bg-BG"/>
        </w:rPr>
      </w:pPr>
    </w:p>
    <w:p w14:paraId="544C3CDB" w14:textId="7E088D70"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Психични нарушения</w:t>
      </w:r>
    </w:p>
    <w:p w14:paraId="0BC77EE5" w14:textId="666AF90B"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Безсъние, депресия</w:t>
      </w:r>
    </w:p>
    <w:p w14:paraId="7F5BC8CA"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Безпокойство</w:t>
      </w:r>
    </w:p>
    <w:p w14:paraId="26F6A7FB" w14:textId="7A00BD2A" w:rsidR="00251EB9" w:rsidRDefault="00251EB9" w:rsidP="00251EB9"/>
    <w:p w14:paraId="4F4F994E"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нервната система</w:t>
      </w:r>
    </w:p>
    <w:p w14:paraId="3BB937E7" w14:textId="4015CC3C"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Синкоп</w:t>
      </w:r>
    </w:p>
    <w:p w14:paraId="4BA26857"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Сънливост</w:t>
      </w:r>
    </w:p>
    <w:p w14:paraId="4B02998B" w14:textId="77777777" w:rsidR="00251EB9" w:rsidRDefault="00251EB9" w:rsidP="00251EB9">
      <w:pPr>
        <w:spacing w:line="240" w:lineRule="auto"/>
        <w:rPr>
          <w:rFonts w:eastAsia="Times New Roman" w:cs="Arial"/>
          <w:i/>
          <w:iCs/>
          <w:color w:val="000000"/>
          <w:lang w:eastAsia="bg-BG"/>
        </w:rPr>
      </w:pPr>
    </w:p>
    <w:p w14:paraId="3089C020" w14:textId="1F48E840"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очите</w:t>
      </w:r>
    </w:p>
    <w:p w14:paraId="2F9C6265"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Нарушено зрение</w:t>
      </w:r>
    </w:p>
    <w:p w14:paraId="63470B8E" w14:textId="77777777" w:rsidR="00251EB9" w:rsidRDefault="00251EB9" w:rsidP="00251EB9">
      <w:pPr>
        <w:spacing w:line="240" w:lineRule="auto"/>
        <w:rPr>
          <w:rFonts w:eastAsia="Times New Roman" w:cs="Arial"/>
          <w:i/>
          <w:iCs/>
          <w:color w:val="000000"/>
          <w:lang w:eastAsia="bg-BG"/>
        </w:rPr>
      </w:pPr>
    </w:p>
    <w:p w14:paraId="1D777D35" w14:textId="65E37D33"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ухото и лабиринта</w:t>
      </w:r>
    </w:p>
    <w:p w14:paraId="0C0B1CCB" w14:textId="2349EBB0"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Световъртеж</w:t>
      </w:r>
    </w:p>
    <w:p w14:paraId="516A0996" w14:textId="77777777" w:rsidR="00251EB9" w:rsidRDefault="00251EB9" w:rsidP="00251EB9">
      <w:pPr>
        <w:spacing w:line="240" w:lineRule="auto"/>
        <w:rPr>
          <w:rFonts w:eastAsia="Times New Roman" w:cs="Arial"/>
          <w:i/>
          <w:iCs/>
          <w:color w:val="000000"/>
          <w:lang w:eastAsia="bg-BG"/>
        </w:rPr>
      </w:pPr>
    </w:p>
    <w:p w14:paraId="215C569D" w14:textId="2CFF18E0"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Сърдечни нарушения</w:t>
      </w:r>
    </w:p>
    <w:p w14:paraId="6E7387B8" w14:textId="7AD3DE2B"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Брадикардия</w:t>
      </w:r>
    </w:p>
    <w:p w14:paraId="612A9102"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Тахикардия</w:t>
      </w:r>
    </w:p>
    <w:p w14:paraId="25215774" w14:textId="77777777" w:rsidR="00251EB9" w:rsidRDefault="00251EB9" w:rsidP="00251EB9">
      <w:pPr>
        <w:spacing w:line="240" w:lineRule="auto"/>
        <w:rPr>
          <w:rFonts w:eastAsia="Times New Roman" w:cs="Arial"/>
          <w:i/>
          <w:iCs/>
          <w:color w:val="000000"/>
          <w:lang w:eastAsia="bg-BG"/>
        </w:rPr>
      </w:pPr>
    </w:p>
    <w:p w14:paraId="3909DA9C" w14:textId="6BFEB2E1"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Съдови нарушения</w:t>
      </w:r>
    </w:p>
    <w:p w14:paraId="4A146731" w14:textId="72B2DD95"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Хипотония</w:t>
      </w:r>
      <w:r w:rsidRPr="00251EB9">
        <w:rPr>
          <w:rFonts w:eastAsia="Times New Roman" w:cs="Arial"/>
          <w:color w:val="000000"/>
          <w:vertAlign w:val="superscript"/>
          <w:lang w:eastAsia="bg-BG"/>
        </w:rPr>
        <w:t>2</w:t>
      </w:r>
      <w:r w:rsidRPr="00251EB9">
        <w:rPr>
          <w:rFonts w:eastAsia="Times New Roman" w:cs="Arial"/>
          <w:color w:val="000000"/>
          <w:lang w:eastAsia="bg-BG"/>
        </w:rPr>
        <w:t>, ортостатична хипотония</w:t>
      </w:r>
    </w:p>
    <w:p w14:paraId="1BA95747" w14:textId="77777777" w:rsidR="00251EB9" w:rsidRDefault="00251EB9" w:rsidP="00251EB9">
      <w:pPr>
        <w:spacing w:line="240" w:lineRule="auto"/>
        <w:rPr>
          <w:rFonts w:eastAsia="Times New Roman" w:cs="Arial"/>
          <w:i/>
          <w:iCs/>
          <w:color w:val="000000"/>
          <w:lang w:eastAsia="bg-BG"/>
        </w:rPr>
      </w:pPr>
    </w:p>
    <w:p w14:paraId="0BC79873" w14:textId="0B24BE68"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Респираторни, гръдни и медиастинални нарушения</w:t>
      </w:r>
    </w:p>
    <w:p w14:paraId="0330187F" w14:textId="26BD75F6"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lastRenderedPageBreak/>
        <w:t>Нечести:</w:t>
      </w:r>
      <w:r>
        <w:rPr>
          <w:rFonts w:eastAsia="Times New Roman" w:cs="Arial"/>
          <w:color w:val="000000"/>
          <w:lang w:eastAsia="bg-BG"/>
        </w:rPr>
        <w:t xml:space="preserve"> </w:t>
      </w:r>
      <w:r w:rsidRPr="00251EB9">
        <w:rPr>
          <w:rFonts w:eastAsia="Times New Roman" w:cs="Arial"/>
          <w:color w:val="000000"/>
          <w:lang w:eastAsia="bg-BG"/>
        </w:rPr>
        <w:t>Диспнея, кашлица</w:t>
      </w:r>
    </w:p>
    <w:p w14:paraId="672873C3"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Много редки</w:t>
      </w:r>
      <w:r w:rsidRPr="00251EB9">
        <w:rPr>
          <w:rFonts w:eastAsia="Times New Roman" w:cs="Arial"/>
          <w:color w:val="000000"/>
          <w:lang w:eastAsia="bg-BG"/>
        </w:rPr>
        <w:tab/>
        <w:t>Интерстициална белодробна болест</w:t>
      </w:r>
      <w:r w:rsidRPr="00251EB9">
        <w:rPr>
          <w:rFonts w:eastAsia="Times New Roman" w:cs="Arial"/>
          <w:color w:val="000000"/>
          <w:vertAlign w:val="superscript"/>
          <w:lang w:eastAsia="bg-BG"/>
        </w:rPr>
        <w:t>4</w:t>
      </w:r>
    </w:p>
    <w:p w14:paraId="298D2B05" w14:textId="77777777" w:rsidR="00251EB9" w:rsidRDefault="00251EB9" w:rsidP="00251EB9">
      <w:pPr>
        <w:spacing w:line="240" w:lineRule="auto"/>
        <w:rPr>
          <w:rFonts w:eastAsia="Times New Roman" w:cs="Arial"/>
          <w:i/>
          <w:iCs/>
          <w:color w:val="000000"/>
          <w:lang w:eastAsia="bg-BG"/>
        </w:rPr>
      </w:pPr>
    </w:p>
    <w:p w14:paraId="15EDDF74" w14:textId="1BC32C74"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Стомашно-чревни нарушения</w:t>
      </w:r>
    </w:p>
    <w:p w14:paraId="61A226ED" w14:textId="581C9DC2"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Абдоми</w:t>
      </w:r>
      <w:r>
        <w:rPr>
          <w:rFonts w:eastAsia="Times New Roman" w:cs="Arial"/>
          <w:color w:val="000000"/>
          <w:lang w:eastAsia="bg-BG"/>
        </w:rPr>
        <w:t xml:space="preserve">нална болка, диария, диспепсия, </w:t>
      </w:r>
      <w:r w:rsidRPr="00251EB9">
        <w:rPr>
          <w:rFonts w:eastAsia="Times New Roman" w:cs="Arial"/>
          <w:color w:val="000000"/>
          <w:lang w:eastAsia="bg-BG"/>
        </w:rPr>
        <w:t>флатуленция, повръщане</w:t>
      </w:r>
    </w:p>
    <w:p w14:paraId="24BC3E5F"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Сухота в устата, стомашен дискомфорт, дисгеузия</w:t>
      </w:r>
    </w:p>
    <w:p w14:paraId="5DB940DD" w14:textId="77777777" w:rsidR="00251EB9" w:rsidRDefault="00251EB9" w:rsidP="00251EB9">
      <w:pPr>
        <w:spacing w:line="240" w:lineRule="auto"/>
        <w:rPr>
          <w:rFonts w:eastAsia="Times New Roman" w:cs="Arial"/>
          <w:i/>
          <w:iCs/>
          <w:color w:val="000000"/>
          <w:lang w:eastAsia="bg-BG"/>
        </w:rPr>
      </w:pPr>
    </w:p>
    <w:p w14:paraId="64B1880B" w14:textId="27B8203B"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Хепато-билиарни нарушения</w:t>
      </w:r>
    </w:p>
    <w:p w14:paraId="09BCFD6B"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Абнормна чернодробна функция/чернодробно нарушение</w:t>
      </w:r>
      <w:r w:rsidRPr="00251EB9">
        <w:rPr>
          <w:rFonts w:eastAsia="Times New Roman" w:cs="Arial"/>
          <w:color w:val="000000"/>
          <w:vertAlign w:val="superscript"/>
          <w:lang w:eastAsia="bg-BG"/>
        </w:rPr>
        <w:t>3</w:t>
      </w:r>
    </w:p>
    <w:p w14:paraId="685374C7" w14:textId="77777777" w:rsidR="00251EB9" w:rsidRDefault="00251EB9" w:rsidP="00251EB9">
      <w:pPr>
        <w:spacing w:line="240" w:lineRule="auto"/>
        <w:rPr>
          <w:rFonts w:eastAsia="Times New Roman" w:cs="Arial"/>
          <w:i/>
          <w:iCs/>
          <w:color w:val="000000"/>
          <w:lang w:eastAsia="bg-BG"/>
        </w:rPr>
      </w:pPr>
    </w:p>
    <w:p w14:paraId="3252A92B" w14:textId="26FA386D"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кожата и подкожната тъкан</w:t>
      </w:r>
    </w:p>
    <w:p w14:paraId="2830B269" w14:textId="4CA6F32C"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Пруритус, хиперхидроза, обрив</w:t>
      </w:r>
    </w:p>
    <w:p w14:paraId="6F392D2D"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Ангиоедем (също и с фатален изход), екзема, еритема, уртикария, лекарствен</w:t>
      </w:r>
    </w:p>
    <w:p w14:paraId="7F86F8AD"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обрив, токсичен кожен обрив</w:t>
      </w:r>
    </w:p>
    <w:p w14:paraId="647A9509" w14:textId="77777777" w:rsidR="00251EB9" w:rsidRDefault="00251EB9" w:rsidP="00251EB9">
      <w:pPr>
        <w:spacing w:line="240" w:lineRule="auto"/>
        <w:rPr>
          <w:rFonts w:eastAsia="Times New Roman" w:cs="Arial"/>
          <w:i/>
          <w:iCs/>
          <w:color w:val="000000"/>
          <w:lang w:eastAsia="bg-BG"/>
        </w:rPr>
      </w:pPr>
    </w:p>
    <w:p w14:paraId="77FF0340" w14:textId="64B3E58F"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кожата и подкожната тъкан</w:t>
      </w:r>
    </w:p>
    <w:p w14:paraId="0D2C9894" w14:textId="2319AC69"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Болка в гърба (напр. ишиас), мускулни спазми, миалгия</w:t>
      </w:r>
    </w:p>
    <w:p w14:paraId="02E60FA8"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Аргралгия, болка в крайник, болки в сухожилията (тендинитоподобни симптоми)</w:t>
      </w:r>
    </w:p>
    <w:p w14:paraId="1B927642" w14:textId="77777777" w:rsidR="00251EB9" w:rsidRDefault="00251EB9" w:rsidP="00251EB9">
      <w:pPr>
        <w:spacing w:line="240" w:lineRule="auto"/>
        <w:rPr>
          <w:rFonts w:eastAsia="Times New Roman" w:cs="Arial"/>
          <w:i/>
          <w:iCs/>
          <w:color w:val="000000"/>
          <w:lang w:eastAsia="bg-BG"/>
        </w:rPr>
      </w:pPr>
    </w:p>
    <w:p w14:paraId="4EF341C0" w14:textId="4DB45E4C"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Нарушения на бъбреците и пикочните пътища</w:t>
      </w:r>
    </w:p>
    <w:p w14:paraId="652E328D" w14:textId="526B3F26"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Бъбречно увреждане, включително остра бъбречна недостатъчност</w:t>
      </w:r>
    </w:p>
    <w:p w14:paraId="20075BBA" w14:textId="77777777" w:rsidR="00251EB9" w:rsidRDefault="00251EB9" w:rsidP="00251EB9">
      <w:pPr>
        <w:spacing w:line="240" w:lineRule="auto"/>
        <w:rPr>
          <w:rFonts w:eastAsia="Times New Roman" w:cs="Arial"/>
          <w:i/>
          <w:iCs/>
          <w:color w:val="000000"/>
          <w:lang w:eastAsia="bg-BG"/>
        </w:rPr>
      </w:pPr>
    </w:p>
    <w:p w14:paraId="385626DC" w14:textId="5CCF83FD"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Общи нарушения и ефекти на мястото на приложение</w:t>
      </w:r>
    </w:p>
    <w:p w14:paraId="5C1DA561" w14:textId="575559EA"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Болка в гръдния кош, астения (слабост)</w:t>
      </w:r>
    </w:p>
    <w:p w14:paraId="785E63CF"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Грипоподобно заболяване</w:t>
      </w:r>
    </w:p>
    <w:p w14:paraId="786DEE33" w14:textId="77777777" w:rsidR="00251EB9" w:rsidRDefault="00251EB9" w:rsidP="00251EB9">
      <w:pPr>
        <w:spacing w:line="240" w:lineRule="auto"/>
        <w:rPr>
          <w:rFonts w:eastAsia="Times New Roman" w:cs="Arial"/>
          <w:i/>
          <w:iCs/>
          <w:color w:val="000000"/>
          <w:lang w:eastAsia="bg-BG"/>
        </w:rPr>
      </w:pPr>
    </w:p>
    <w:p w14:paraId="5827F9C7" w14:textId="5556A7BD"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Изследвания</w:t>
      </w:r>
    </w:p>
    <w:p w14:paraId="10A6319F" w14:textId="06843E6A"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Нечести:</w:t>
      </w:r>
      <w:r>
        <w:rPr>
          <w:rFonts w:eastAsia="Times New Roman" w:cs="Arial"/>
          <w:color w:val="000000"/>
          <w:lang w:eastAsia="bg-BG"/>
        </w:rPr>
        <w:t xml:space="preserve"> </w:t>
      </w:r>
      <w:r w:rsidRPr="00251EB9">
        <w:rPr>
          <w:rFonts w:eastAsia="Times New Roman" w:cs="Arial"/>
          <w:color w:val="000000"/>
          <w:lang w:eastAsia="bg-BG"/>
        </w:rPr>
        <w:t>Повишен креатинин в кръвта</w:t>
      </w:r>
    </w:p>
    <w:p w14:paraId="52CA4A92" w14:textId="77777777" w:rsidR="00251EB9" w:rsidRPr="00251EB9" w:rsidRDefault="00251EB9" w:rsidP="00251EB9">
      <w:pPr>
        <w:spacing w:line="240" w:lineRule="auto"/>
        <w:rPr>
          <w:rFonts w:eastAsia="Times New Roman" w:cs="Arial"/>
        </w:rPr>
      </w:pPr>
      <w:r w:rsidRPr="00251EB9">
        <w:rPr>
          <w:rFonts w:eastAsia="Times New Roman" w:cs="Arial"/>
          <w:i/>
          <w:iCs/>
          <w:color w:val="000000"/>
          <w:lang w:eastAsia="bg-BG"/>
        </w:rPr>
        <w:t>Редки:</w:t>
      </w:r>
      <w:r w:rsidRPr="00251EB9">
        <w:rPr>
          <w:rFonts w:eastAsia="Times New Roman" w:cs="Arial"/>
          <w:color w:val="000000"/>
          <w:lang w:eastAsia="bg-BG"/>
        </w:rPr>
        <w:tab/>
        <w:t>Понижен хемоглобин, повишена пикочна киселина в кръвта, повишени</w:t>
      </w:r>
    </w:p>
    <w:p w14:paraId="359BAA84"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чернодробни ензими, повишена креатин фосфокиназа в кръвта</w:t>
      </w:r>
    </w:p>
    <w:p w14:paraId="27A16939" w14:textId="77777777" w:rsidR="00251EB9" w:rsidRDefault="00251EB9" w:rsidP="00251EB9">
      <w:pPr>
        <w:spacing w:line="240" w:lineRule="auto"/>
        <w:rPr>
          <w:rFonts w:eastAsia="Times New Roman" w:cs="Arial"/>
          <w:color w:val="000000"/>
          <w:lang w:eastAsia="bg-BG"/>
        </w:rPr>
      </w:pPr>
    </w:p>
    <w:p w14:paraId="2FE95DE0" w14:textId="5CDD0F50" w:rsidR="00251EB9" w:rsidRPr="00251EB9" w:rsidRDefault="00251EB9" w:rsidP="00251EB9">
      <w:pPr>
        <w:spacing w:line="240" w:lineRule="auto"/>
        <w:rPr>
          <w:rFonts w:eastAsia="Times New Roman" w:cs="Arial"/>
        </w:rPr>
      </w:pPr>
      <w:r w:rsidRPr="00251EB9">
        <w:rPr>
          <w:rFonts w:eastAsia="Times New Roman" w:cs="Arial"/>
          <w:color w:val="000000"/>
          <w:lang w:eastAsia="bg-BG"/>
        </w:rPr>
        <w:t>1,2,3,4; за допълнително описание, моля вижте подточка “Описание на избрани нежелани реакции”.</w:t>
      </w:r>
    </w:p>
    <w:p w14:paraId="0AC01D67" w14:textId="77777777" w:rsidR="00251EB9" w:rsidRDefault="00251EB9" w:rsidP="00251EB9">
      <w:pPr>
        <w:spacing w:line="240" w:lineRule="auto"/>
        <w:rPr>
          <w:rFonts w:eastAsia="Times New Roman" w:cs="Arial"/>
          <w:i/>
          <w:iCs/>
          <w:color w:val="000000"/>
          <w:u w:val="single"/>
          <w:lang w:eastAsia="bg-BG"/>
        </w:rPr>
      </w:pPr>
    </w:p>
    <w:p w14:paraId="26C31EA3" w14:textId="3E1019F2" w:rsidR="00251EB9" w:rsidRPr="00251EB9" w:rsidRDefault="00251EB9" w:rsidP="00251EB9">
      <w:pPr>
        <w:spacing w:line="240" w:lineRule="auto"/>
        <w:rPr>
          <w:rFonts w:eastAsia="Times New Roman" w:cs="Arial"/>
        </w:rPr>
      </w:pPr>
      <w:r w:rsidRPr="00251EB9">
        <w:rPr>
          <w:rFonts w:eastAsia="Times New Roman" w:cs="Arial"/>
          <w:i/>
          <w:iCs/>
          <w:color w:val="000000"/>
          <w:u w:val="single"/>
          <w:lang w:eastAsia="bg-BG"/>
        </w:rPr>
        <w:t>Описание на избрани нежелани реакции</w:t>
      </w:r>
    </w:p>
    <w:p w14:paraId="3C59048B" w14:textId="77777777" w:rsidR="00251EB9" w:rsidRDefault="00251EB9" w:rsidP="00251EB9">
      <w:pPr>
        <w:spacing w:line="240" w:lineRule="auto"/>
        <w:rPr>
          <w:rFonts w:eastAsia="Times New Roman" w:cs="Arial"/>
          <w:color w:val="000000"/>
          <w:u w:val="single"/>
          <w:lang w:eastAsia="bg-BG"/>
        </w:rPr>
      </w:pPr>
    </w:p>
    <w:p w14:paraId="267B18E6" w14:textId="764E7E8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Сепсис</w:t>
      </w:r>
    </w:p>
    <w:p w14:paraId="48D61BFD" w14:textId="77777777" w:rsidR="00251EB9" w:rsidRPr="00251EB9" w:rsidRDefault="00251EB9" w:rsidP="00251EB9">
      <w:pPr>
        <w:rPr>
          <w:rFonts w:eastAsia="Times New Roman" w:cs="Arial"/>
        </w:rPr>
      </w:pPr>
      <w:r w:rsidRPr="00251EB9">
        <w:rPr>
          <w:rFonts w:eastAsia="Times New Roman" w:cs="Arial"/>
          <w:color w:val="000000"/>
          <w:lang w:eastAsia="bg-BG"/>
        </w:rPr>
        <w:t xml:space="preserve">В проучването </w:t>
      </w:r>
      <w:proofErr w:type="spellStart"/>
      <w:r w:rsidRPr="00251EB9">
        <w:rPr>
          <w:rFonts w:eastAsia="Times New Roman" w:cs="Arial"/>
          <w:color w:val="000000"/>
          <w:lang w:val="en-US"/>
        </w:rPr>
        <w:t>PRoFESS</w:t>
      </w:r>
      <w:proofErr w:type="spellEnd"/>
      <w:r w:rsidRPr="00251EB9">
        <w:rPr>
          <w:rFonts w:eastAsia="Times New Roman" w:cs="Arial"/>
          <w:color w:val="000000"/>
          <w:lang w:val="ru-RU"/>
        </w:rPr>
        <w:t xml:space="preserve"> </w:t>
      </w:r>
      <w:r w:rsidRPr="00251EB9">
        <w:rPr>
          <w:rFonts w:eastAsia="Times New Roman" w:cs="Arial"/>
          <w:color w:val="000000"/>
          <w:lang w:eastAsia="bg-BG"/>
        </w:rPr>
        <w:t>е наблюдавана повишена честота на сепсис при телмисартан в сравнение с</w:t>
      </w:r>
      <w:r>
        <w:rPr>
          <w:rFonts w:eastAsia="Times New Roman" w:cs="Arial"/>
          <w:color w:val="000000"/>
          <w:lang w:eastAsia="bg-BG"/>
        </w:rPr>
        <w:t xml:space="preserve"> </w:t>
      </w:r>
      <w:r w:rsidRPr="00251EB9">
        <w:rPr>
          <w:rFonts w:eastAsia="Times New Roman" w:cs="Arial"/>
          <w:color w:val="000000"/>
          <w:lang w:eastAsia="bg-BG"/>
        </w:rPr>
        <w:t>плацебо. Събитието може да е случайна находка или да е свързано с непознат до момента механизъм (вж. също точка 5.1).</w:t>
      </w:r>
    </w:p>
    <w:p w14:paraId="4DC956BD" w14:textId="77777777" w:rsidR="00251EB9" w:rsidRDefault="00251EB9" w:rsidP="00251EB9">
      <w:pPr>
        <w:spacing w:line="240" w:lineRule="auto"/>
        <w:rPr>
          <w:rFonts w:eastAsia="Times New Roman" w:cs="Arial"/>
          <w:color w:val="000000"/>
          <w:u w:val="single"/>
          <w:lang w:eastAsia="bg-BG"/>
        </w:rPr>
      </w:pPr>
    </w:p>
    <w:p w14:paraId="58FC9572" w14:textId="46E4ACE3"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Хипотония</w:t>
      </w:r>
    </w:p>
    <w:p w14:paraId="6CFE1CC4"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Тази нежелана реакция е съобщена като честа, при пациенти с контролирано кръвно налягане, които са лекувани с телмисартан за намаляване на сърдечно-съдовата заболеваемост, в допълнение към стандартните грижи.</w:t>
      </w:r>
    </w:p>
    <w:p w14:paraId="79D5E3A6" w14:textId="77777777" w:rsidR="00251EB9" w:rsidRDefault="00251EB9" w:rsidP="00251EB9">
      <w:pPr>
        <w:spacing w:line="240" w:lineRule="auto"/>
        <w:rPr>
          <w:rFonts w:eastAsia="Times New Roman" w:cs="Arial"/>
          <w:color w:val="000000"/>
          <w:u w:val="single"/>
          <w:lang w:eastAsia="bg-BG"/>
        </w:rPr>
      </w:pPr>
    </w:p>
    <w:p w14:paraId="6BA269AF" w14:textId="40117C2F"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Абнормна чернодробна функция/чернодробно нарушение</w:t>
      </w:r>
    </w:p>
    <w:p w14:paraId="50BD60B9"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Повечето случаи на абнормна функция/чернодробно нарушение от пост-маркетинговия опит с телмисартан настъпват при пациенти от японски произход. При пациенти от японски произход съществува по-голяма вероятност за развитие на тези нежелани реакции.</w:t>
      </w:r>
    </w:p>
    <w:p w14:paraId="03924008" w14:textId="77777777" w:rsidR="00251EB9" w:rsidRDefault="00251EB9" w:rsidP="00251EB9">
      <w:pPr>
        <w:spacing w:line="240" w:lineRule="auto"/>
        <w:rPr>
          <w:rFonts w:eastAsia="Times New Roman" w:cs="Arial"/>
          <w:color w:val="000000"/>
          <w:u w:val="single"/>
          <w:lang w:eastAsia="bg-BG"/>
        </w:rPr>
      </w:pPr>
    </w:p>
    <w:p w14:paraId="0C3486AE" w14:textId="1D8B4993"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Интерстициална белодробна болест</w:t>
      </w:r>
    </w:p>
    <w:p w14:paraId="561F8326"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Случаи на интерстициална белодробна болест са докладвани от пост-маркетинговия опит, във връзка с приема на телмисартан Причинно-следствена връзка обаче не е установена.</w:t>
      </w:r>
    </w:p>
    <w:p w14:paraId="073DA552" w14:textId="77777777" w:rsidR="00251EB9" w:rsidRDefault="00251EB9" w:rsidP="00251EB9">
      <w:pPr>
        <w:spacing w:line="240" w:lineRule="auto"/>
        <w:rPr>
          <w:rFonts w:eastAsia="Times New Roman" w:cs="Arial"/>
          <w:color w:val="000000"/>
          <w:u w:val="single"/>
          <w:lang w:eastAsia="bg-BG"/>
        </w:rPr>
      </w:pPr>
    </w:p>
    <w:p w14:paraId="11F71CA7" w14:textId="1CAF2C2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Съобщаване на подозирани нежелани реакции</w:t>
      </w:r>
    </w:p>
    <w:p w14:paraId="5012EFF5"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+35 928903417, уебсайт: </w:t>
      </w:r>
      <w:r w:rsidRPr="00251EB9">
        <w:rPr>
          <w:rFonts w:eastAsia="Times New Roman" w:cs="Arial"/>
        </w:rPr>
        <w:fldChar w:fldCharType="begin"/>
      </w:r>
      <w:r w:rsidRPr="00251EB9">
        <w:rPr>
          <w:rFonts w:eastAsia="Times New Roman" w:cs="Arial"/>
        </w:rPr>
        <w:instrText xml:space="preserve"> HYPERLINK "http://www.bda.bg" </w:instrText>
      </w:r>
      <w:r w:rsidRPr="00251EB9">
        <w:rPr>
          <w:rFonts w:eastAsia="Times New Roman" w:cs="Arial"/>
        </w:rPr>
      </w:r>
      <w:r w:rsidRPr="00251EB9">
        <w:rPr>
          <w:rFonts w:eastAsia="Times New Roman" w:cs="Arial"/>
        </w:rPr>
        <w:fldChar w:fldCharType="separate"/>
      </w:r>
      <w:r w:rsidRPr="00251EB9">
        <w:rPr>
          <w:rFonts w:eastAsia="Times New Roman" w:cs="Arial"/>
          <w:color w:val="000000"/>
          <w:u w:val="single"/>
          <w:lang w:val="en-US"/>
        </w:rPr>
        <w:t>www</w:t>
      </w:r>
      <w:r w:rsidRPr="00251EB9">
        <w:rPr>
          <w:rFonts w:eastAsia="Times New Roman" w:cs="Arial"/>
          <w:color w:val="000000"/>
          <w:u w:val="single"/>
          <w:lang w:val="ru-RU"/>
        </w:rPr>
        <w:t>.</w:t>
      </w:r>
      <w:proofErr w:type="spellStart"/>
      <w:r w:rsidRPr="00251EB9">
        <w:rPr>
          <w:rFonts w:eastAsia="Times New Roman" w:cs="Arial"/>
          <w:color w:val="000000"/>
          <w:u w:val="single"/>
          <w:lang w:val="en-US"/>
        </w:rPr>
        <w:t>bda</w:t>
      </w:r>
      <w:proofErr w:type="spellEnd"/>
      <w:r w:rsidRPr="00251EB9">
        <w:rPr>
          <w:rFonts w:eastAsia="Times New Roman" w:cs="Arial"/>
          <w:color w:val="000000"/>
          <w:u w:val="single"/>
          <w:lang w:val="ru-RU"/>
        </w:rPr>
        <w:t>.</w:t>
      </w:r>
      <w:proofErr w:type="spellStart"/>
      <w:r w:rsidRPr="00251EB9">
        <w:rPr>
          <w:rFonts w:eastAsia="Times New Roman" w:cs="Arial"/>
          <w:color w:val="000000"/>
          <w:u w:val="single"/>
          <w:lang w:val="en-US"/>
        </w:rPr>
        <w:t>bg</w:t>
      </w:r>
      <w:proofErr w:type="spellEnd"/>
      <w:r w:rsidRPr="00251EB9">
        <w:rPr>
          <w:rFonts w:eastAsia="Times New Roman" w:cs="Arial"/>
        </w:rPr>
        <w:fldChar w:fldCharType="end"/>
      </w:r>
      <w:r w:rsidRPr="00251EB9">
        <w:rPr>
          <w:rFonts w:eastAsia="Times New Roman" w:cs="Arial"/>
          <w:color w:val="000000"/>
          <w:lang w:val="ru-RU"/>
        </w:rPr>
        <w:t>.</w:t>
      </w:r>
    </w:p>
    <w:p w14:paraId="0965DB8D" w14:textId="62FBE366" w:rsidR="00251EB9" w:rsidRPr="00251EB9" w:rsidRDefault="00251EB9" w:rsidP="00251EB9"/>
    <w:p w14:paraId="5A87DBA3" w14:textId="744FAB20" w:rsidR="007122AD" w:rsidRDefault="002C50EE" w:rsidP="00936AD0">
      <w:pPr>
        <w:pStyle w:val="Heading2"/>
      </w:pPr>
      <w:r>
        <w:t>4.9. Предозиране</w:t>
      </w:r>
    </w:p>
    <w:p w14:paraId="2F64DA1F" w14:textId="4B109587" w:rsidR="00251EB9" w:rsidRDefault="00251EB9" w:rsidP="00251EB9"/>
    <w:p w14:paraId="46E0959E"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Съществува ограничена информация по отношение на предозирането при хора.</w:t>
      </w:r>
    </w:p>
    <w:p w14:paraId="7AFD1AFB" w14:textId="77777777" w:rsidR="00251EB9" w:rsidRPr="00251EB9" w:rsidRDefault="00251EB9" w:rsidP="00251EB9">
      <w:pPr>
        <w:spacing w:line="240" w:lineRule="auto"/>
        <w:rPr>
          <w:rFonts w:eastAsia="Times New Roman" w:cs="Arial"/>
          <w:color w:val="000000"/>
          <w:u w:val="single"/>
          <w:lang w:eastAsia="bg-BG"/>
        </w:rPr>
      </w:pPr>
    </w:p>
    <w:p w14:paraId="30D8AD7C" w14:textId="01E9A21E" w:rsidR="00251EB9" w:rsidRPr="00251EB9" w:rsidRDefault="00251EB9" w:rsidP="00251EB9">
      <w:pPr>
        <w:spacing w:line="240" w:lineRule="auto"/>
        <w:rPr>
          <w:rFonts w:eastAsia="Times New Roman" w:cs="Arial"/>
        </w:rPr>
      </w:pPr>
      <w:r w:rsidRPr="00251EB9">
        <w:rPr>
          <w:rStyle w:val="Heading3Char"/>
          <w:u w:val="single"/>
          <w:lang w:eastAsia="bg-BG"/>
        </w:rPr>
        <w:t>Симптоми</w:t>
      </w:r>
      <w:r w:rsidRPr="00251EB9">
        <w:rPr>
          <w:rFonts w:eastAsia="Times New Roman" w:cs="Arial"/>
          <w:color w:val="000000"/>
          <w:u w:val="single"/>
          <w:lang w:eastAsia="bg-BG"/>
        </w:rPr>
        <w:t>:</w:t>
      </w:r>
      <w:r w:rsidRPr="00251EB9">
        <w:rPr>
          <w:rFonts w:eastAsia="Times New Roman" w:cs="Arial"/>
          <w:color w:val="000000"/>
          <w:lang w:eastAsia="bg-BG"/>
        </w:rPr>
        <w:t xml:space="preserve"> Най-изявените прояви на предозиране с телмисартан са хипотония и тахикардия; съобщават се също брадикардия, замаяност, повишаване на серумния креатинин и остра бъбречна недостатъчност.</w:t>
      </w:r>
    </w:p>
    <w:p w14:paraId="53E8E3EE" w14:textId="77777777" w:rsidR="00251EB9" w:rsidRPr="00251EB9" w:rsidRDefault="00251EB9" w:rsidP="00251EB9">
      <w:pPr>
        <w:spacing w:line="240" w:lineRule="auto"/>
        <w:rPr>
          <w:rFonts w:eastAsia="Times New Roman" w:cs="Arial"/>
          <w:color w:val="000000"/>
          <w:u w:val="single"/>
          <w:lang w:eastAsia="bg-BG"/>
        </w:rPr>
      </w:pPr>
    </w:p>
    <w:p w14:paraId="038434C8" w14:textId="5B011754" w:rsidR="00251EB9" w:rsidRPr="00251EB9" w:rsidRDefault="00251EB9" w:rsidP="00251EB9">
      <w:pPr>
        <w:spacing w:line="240" w:lineRule="auto"/>
        <w:rPr>
          <w:rFonts w:eastAsia="Times New Roman" w:cs="Arial"/>
        </w:rPr>
      </w:pPr>
      <w:r w:rsidRPr="00251EB9">
        <w:rPr>
          <w:rStyle w:val="Heading3Char"/>
          <w:u w:val="single"/>
          <w:lang w:eastAsia="bg-BG"/>
        </w:rPr>
        <w:t>Лечение:</w:t>
      </w:r>
      <w:r w:rsidRPr="00251EB9">
        <w:rPr>
          <w:rFonts w:eastAsia="Times New Roman" w:cs="Arial"/>
          <w:color w:val="000000"/>
          <w:lang w:eastAsia="bg-BG"/>
        </w:rPr>
        <w:t xml:space="preserve"> Телмисартан не се отделя при хемодиализа. Пациентът трябва да бъде внимателно наблюдаван и лечението трябва да бъде симптоматично и поддържащо. Овладяването зависи от времето на приемане на продукта и тежестта на симптомите. Препоръчителните мерки включват предизвикване на повръщане и/или стомашна промивка. Прилагането на активен въглен може да допринесе при лечение на предозирането. Необходимо е често проследяване на серумните електролити и креатинин. При поява на хипотония, пациентът трябва да бъде поставен в легнало по гръб положение и бързо да се приложат солени и обемни заместители.</w:t>
      </w:r>
    </w:p>
    <w:p w14:paraId="564533B5" w14:textId="77777777" w:rsidR="00251EB9" w:rsidRPr="00251EB9" w:rsidRDefault="00251EB9" w:rsidP="00251EB9"/>
    <w:p w14:paraId="02081B24" w14:textId="36FE76F4" w:rsidR="00395555" w:rsidRPr="00395555" w:rsidRDefault="002C50EE" w:rsidP="008A6AF2">
      <w:pPr>
        <w:pStyle w:val="Heading1"/>
      </w:pPr>
      <w:r>
        <w:t>5. ФАРМАКОЛОГИЧНИ СВОЙСТВА</w:t>
      </w:r>
    </w:p>
    <w:p w14:paraId="6339E404" w14:textId="72600EE2" w:rsidR="00875EEC" w:rsidRDefault="002C50EE" w:rsidP="005726E3">
      <w:pPr>
        <w:pStyle w:val="Heading2"/>
      </w:pPr>
      <w:r>
        <w:t>5.1. Фармакодинамични свойства</w:t>
      </w:r>
    </w:p>
    <w:p w14:paraId="6A27E205" w14:textId="1716C5A4" w:rsidR="00251EB9" w:rsidRDefault="00251EB9" w:rsidP="00251EB9"/>
    <w:p w14:paraId="39B9C56A" w14:textId="77777777" w:rsidR="00251EB9" w:rsidRPr="00251EB9" w:rsidRDefault="00251EB9" w:rsidP="00251EB9">
      <w:pPr>
        <w:spacing w:line="240" w:lineRule="auto"/>
        <w:rPr>
          <w:rFonts w:eastAsia="Times New Roman" w:cs="Arial"/>
        </w:rPr>
      </w:pPr>
      <w:r w:rsidRPr="00251EB9">
        <w:rPr>
          <w:rFonts w:eastAsia="Times New Roman" w:cs="Arial"/>
          <w:color w:val="000000"/>
          <w:lang w:eastAsia="bg-BG"/>
        </w:rPr>
        <w:t>Фармакотерапевтична група: Ангиотензин II антагонист, самостоятелно, АТС код: С09СА07.</w:t>
      </w:r>
    </w:p>
    <w:p w14:paraId="6CFF56CF" w14:textId="77777777" w:rsidR="00251EB9" w:rsidRPr="007215BA" w:rsidRDefault="00251EB9" w:rsidP="00251EB9">
      <w:pPr>
        <w:spacing w:line="240" w:lineRule="auto"/>
        <w:rPr>
          <w:rFonts w:eastAsia="Times New Roman" w:cs="Arial"/>
          <w:color w:val="000000"/>
          <w:u w:val="single"/>
          <w:lang w:eastAsia="bg-BG"/>
        </w:rPr>
      </w:pPr>
    </w:p>
    <w:p w14:paraId="26D73CCA" w14:textId="60490987" w:rsidR="00251EB9" w:rsidRPr="00251EB9" w:rsidRDefault="00251EB9" w:rsidP="00251EB9">
      <w:pPr>
        <w:spacing w:line="240" w:lineRule="auto"/>
        <w:rPr>
          <w:rFonts w:eastAsia="Times New Roman" w:cs="Arial"/>
        </w:rPr>
      </w:pPr>
      <w:r w:rsidRPr="00251EB9">
        <w:rPr>
          <w:rFonts w:eastAsia="Times New Roman" w:cs="Arial"/>
          <w:color w:val="000000"/>
          <w:u w:val="single"/>
          <w:lang w:eastAsia="bg-BG"/>
        </w:rPr>
        <w:t>Механизъм на действие:</w:t>
      </w:r>
    </w:p>
    <w:p w14:paraId="212223BE" w14:textId="77777777" w:rsidR="007215BA" w:rsidRPr="007215BA" w:rsidRDefault="00251EB9" w:rsidP="007215BA">
      <w:pPr>
        <w:rPr>
          <w:rFonts w:eastAsia="Times New Roman" w:cs="Arial"/>
        </w:rPr>
      </w:pPr>
      <w:r w:rsidRPr="00251EB9">
        <w:rPr>
          <w:rFonts w:eastAsia="Times New Roman" w:cs="Arial"/>
          <w:color w:val="000000"/>
          <w:lang w:eastAsia="bg-BG"/>
        </w:rPr>
        <w:t xml:space="preserve">Телмисартан е перорално ефективен и специфичен ангиотензин II рецепторен антагонист (тип </w:t>
      </w:r>
      <w:r w:rsidRPr="00251EB9">
        <w:rPr>
          <w:rFonts w:eastAsia="Times New Roman" w:cs="Arial"/>
          <w:color w:val="000000"/>
          <w:lang w:val="en-US"/>
        </w:rPr>
        <w:t>AT</w:t>
      </w:r>
      <w:r w:rsidRPr="00251EB9">
        <w:rPr>
          <w:rFonts w:eastAsia="Times New Roman" w:cs="Arial"/>
          <w:color w:val="000000"/>
          <w:vertAlign w:val="subscript"/>
          <w:lang w:val="ru-RU"/>
        </w:rPr>
        <w:t>1</w:t>
      </w:r>
      <w:r w:rsidRPr="00251EB9">
        <w:rPr>
          <w:rFonts w:eastAsia="Times New Roman" w:cs="Arial"/>
          <w:color w:val="000000"/>
          <w:lang w:val="ru-RU"/>
        </w:rPr>
        <w:t xml:space="preserve">). </w:t>
      </w:r>
      <w:r w:rsidRPr="00251EB9">
        <w:rPr>
          <w:rFonts w:eastAsia="Times New Roman" w:cs="Arial"/>
          <w:color w:val="000000"/>
          <w:lang w:eastAsia="bg-BG"/>
        </w:rPr>
        <w:t>Той измества с много висок афинитет ангиотензин II от неговото място на свързване в АТ</w:t>
      </w:r>
      <w:r w:rsidRPr="00251EB9">
        <w:rPr>
          <w:rFonts w:eastAsia="Times New Roman" w:cs="Arial"/>
          <w:color w:val="000000"/>
          <w:vertAlign w:val="subscript"/>
          <w:lang w:eastAsia="bg-BG"/>
        </w:rPr>
        <w:t>1</w:t>
      </w:r>
      <w:r w:rsidRPr="00251EB9">
        <w:rPr>
          <w:rFonts w:eastAsia="Times New Roman" w:cs="Arial"/>
          <w:color w:val="000000"/>
          <w:lang w:eastAsia="bg-BG"/>
        </w:rPr>
        <w:t xml:space="preserve"> рецепторния подтип, който е отговорен за известните действия на ангиотензин II. Телмисартан няма дори и частична агонистична активност спрямо </w:t>
      </w:r>
      <w:r w:rsidRPr="00251EB9">
        <w:rPr>
          <w:rFonts w:eastAsia="Times New Roman" w:cs="Arial"/>
          <w:color w:val="000000"/>
          <w:lang w:val="en-US"/>
        </w:rPr>
        <w:t>AT</w:t>
      </w:r>
      <w:r w:rsidRPr="00251EB9">
        <w:rPr>
          <w:rFonts w:eastAsia="Times New Roman" w:cs="Arial"/>
          <w:color w:val="000000"/>
          <w:vertAlign w:val="subscript"/>
          <w:lang w:val="ru-RU"/>
        </w:rPr>
        <w:t>1</w:t>
      </w:r>
      <w:r w:rsidRPr="00251EB9">
        <w:rPr>
          <w:rFonts w:eastAsia="Times New Roman" w:cs="Arial"/>
          <w:color w:val="000000"/>
          <w:lang w:val="ru-RU"/>
        </w:rPr>
        <w:t xml:space="preserve"> </w:t>
      </w:r>
      <w:r w:rsidRPr="00251EB9">
        <w:rPr>
          <w:rFonts w:eastAsia="Times New Roman" w:cs="Arial"/>
          <w:color w:val="000000"/>
          <w:lang w:eastAsia="bg-BG"/>
        </w:rPr>
        <w:t xml:space="preserve">рецептора. Телмисартан се свързва селективно с </w:t>
      </w:r>
      <w:r w:rsidRPr="00251EB9">
        <w:rPr>
          <w:rFonts w:eastAsia="Times New Roman" w:cs="Arial"/>
          <w:color w:val="000000"/>
          <w:lang w:val="en-US"/>
        </w:rPr>
        <w:t>AT</w:t>
      </w:r>
      <w:r w:rsidRPr="00251EB9">
        <w:rPr>
          <w:rFonts w:eastAsia="Times New Roman" w:cs="Arial"/>
          <w:color w:val="000000"/>
          <w:vertAlign w:val="subscript"/>
          <w:lang w:val="ru-RU"/>
        </w:rPr>
        <w:t>1</w:t>
      </w:r>
      <w:r w:rsidRPr="00251EB9">
        <w:rPr>
          <w:rFonts w:eastAsia="Times New Roman" w:cs="Arial"/>
          <w:color w:val="000000"/>
          <w:lang w:val="ru-RU"/>
        </w:rPr>
        <w:t xml:space="preserve"> </w:t>
      </w:r>
      <w:r w:rsidRPr="00251EB9">
        <w:rPr>
          <w:rFonts w:eastAsia="Times New Roman" w:cs="Arial"/>
          <w:color w:val="000000"/>
          <w:lang w:eastAsia="bg-BG"/>
        </w:rPr>
        <w:t>рецептора. Свързването е продължително. Телмисартан не показва афинитет към други</w:t>
      </w:r>
      <w:r w:rsidRPr="00251EB9">
        <w:rPr>
          <w:rFonts w:eastAsia="Times New Roman" w:cs="Arial"/>
          <w:i/>
          <w:iCs/>
          <w:color w:val="000000"/>
          <w:lang w:eastAsia="bg-BG"/>
        </w:rPr>
        <w:t xml:space="preserve"> </w:t>
      </w:r>
      <w:r w:rsidRPr="00251EB9">
        <w:rPr>
          <w:rFonts w:eastAsia="Times New Roman" w:cs="Arial"/>
          <w:color w:val="000000"/>
          <w:lang w:eastAsia="bg-BG"/>
        </w:rPr>
        <w:t>рецептори, включително АТ</w:t>
      </w:r>
      <w:r w:rsidRPr="00251EB9">
        <w:rPr>
          <w:rFonts w:eastAsia="Times New Roman" w:cs="Arial"/>
          <w:color w:val="000000"/>
          <w:vertAlign w:val="subscript"/>
          <w:lang w:eastAsia="bg-BG"/>
        </w:rPr>
        <w:t>2</w:t>
      </w:r>
      <w:r w:rsidRPr="00251EB9">
        <w:rPr>
          <w:rFonts w:eastAsia="Times New Roman" w:cs="Arial"/>
          <w:color w:val="000000"/>
          <w:lang w:eastAsia="bg-BG"/>
        </w:rPr>
        <w:t xml:space="preserve"> и други по-слабо характеризирани АТ-рецептори. Функционалната</w:t>
      </w:r>
      <w:r w:rsidR="007215BA" w:rsidRPr="007215BA">
        <w:rPr>
          <w:rFonts w:eastAsia="Times New Roman" w:cs="Arial"/>
        </w:rPr>
        <w:t xml:space="preserve"> </w:t>
      </w:r>
      <w:r w:rsidRPr="007215BA">
        <w:rPr>
          <w:rFonts w:eastAsia="Times New Roman" w:cs="Arial"/>
          <w:color w:val="000000"/>
          <w:lang w:eastAsia="bg-BG"/>
        </w:rPr>
        <w:t xml:space="preserve">роля на тези рецептори не е известна, не е известен и ефекта на тяхната възможна свръхстимулация от ангиотензин И, чийто нива са повишени от телмисартан. Нивата на плазмения </w:t>
      </w:r>
      <w:r w:rsidRPr="007215BA">
        <w:rPr>
          <w:rFonts w:eastAsia="Times New Roman" w:cs="Arial"/>
          <w:color w:val="000000"/>
          <w:lang w:eastAsia="bg-BG"/>
        </w:rPr>
        <w:lastRenderedPageBreak/>
        <w:t>алдостерон са</w:t>
      </w:r>
      <w:r w:rsidR="007215BA" w:rsidRPr="007215BA">
        <w:rPr>
          <w:rFonts w:eastAsia="Times New Roman" w:cs="Arial"/>
          <w:color w:val="000000"/>
          <w:lang w:eastAsia="bg-BG"/>
        </w:rPr>
        <w:t xml:space="preserve"> понижени от телмисартан. Телмисартан не инхибира човешкия плазмен ренин и не блокира йонните канали. Телмисартан не инхибира ангиотензин конвертиращия ензим (кининаза </w:t>
      </w:r>
      <w:r w:rsidR="007215BA" w:rsidRPr="007215BA">
        <w:rPr>
          <w:rFonts w:eastAsia="Times New Roman" w:cs="Arial"/>
          <w:color w:val="000000"/>
          <w:lang w:val="en-US"/>
        </w:rPr>
        <w:t>II</w:t>
      </w:r>
      <w:r w:rsidR="007215BA" w:rsidRPr="007215BA">
        <w:rPr>
          <w:rFonts w:eastAsia="Times New Roman" w:cs="Arial"/>
          <w:color w:val="000000"/>
          <w:lang w:eastAsia="bg-BG"/>
        </w:rPr>
        <w:t xml:space="preserve">), ензимът, който също разгражда брадикинина. Поради това не се очаква да потенцира брадикинин-медиираните нежелани лекарствени реакции. При хора дозата от 80 </w:t>
      </w:r>
      <w:r w:rsidR="007215BA" w:rsidRPr="007215BA">
        <w:rPr>
          <w:rFonts w:eastAsia="Times New Roman" w:cs="Arial"/>
          <w:color w:val="000000"/>
          <w:lang w:val="en-US"/>
        </w:rPr>
        <w:t>mg</w:t>
      </w:r>
      <w:r w:rsidR="007215BA" w:rsidRPr="007215BA">
        <w:rPr>
          <w:rFonts w:eastAsia="Times New Roman" w:cs="Arial"/>
          <w:color w:val="000000"/>
          <w:lang w:val="ru-RU"/>
        </w:rPr>
        <w:t xml:space="preserve"> </w:t>
      </w:r>
      <w:r w:rsidR="007215BA" w:rsidRPr="007215BA">
        <w:rPr>
          <w:rFonts w:eastAsia="Times New Roman" w:cs="Arial"/>
          <w:color w:val="000000"/>
          <w:lang w:eastAsia="bg-BG"/>
        </w:rPr>
        <w:t>телмисартан почти изцяло инхибира предизвиканото от ангиотензин II повишаване на кръвното налягане. Инхибиторният ефект се поддържа над 24 часа, като все още може да бъде установен до 48 часа.</w:t>
      </w:r>
    </w:p>
    <w:p w14:paraId="584F4D83" w14:textId="77777777" w:rsidR="007215BA" w:rsidRDefault="007215BA" w:rsidP="007215BA">
      <w:pPr>
        <w:spacing w:line="240" w:lineRule="auto"/>
        <w:rPr>
          <w:rFonts w:eastAsia="Times New Roman" w:cs="Arial"/>
          <w:color w:val="000000"/>
          <w:u w:val="single"/>
          <w:lang w:eastAsia="bg-BG"/>
        </w:rPr>
      </w:pPr>
    </w:p>
    <w:p w14:paraId="35C1E4A0" w14:textId="150768E1"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Клинична ефикасност и безопасност</w:t>
      </w:r>
    </w:p>
    <w:p w14:paraId="6A6C953B" w14:textId="77777777"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Лечение на есенциална хипертония</w:t>
      </w:r>
    </w:p>
    <w:p w14:paraId="62A5E0BB"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След прилагане на първата доза телмисартан се наблюдава постепенно поява на антихипертензивна активност в рамките на 3 часа. Максималната редукция на кръвното налягане се достига напълно в рамките на 4 до 8 седмици след началото на лечението и се поддържа чрез продължителна терапия. След приемане на дозата антихипертензивният ефект персистира повече от 24 часа, като включва и последните 4 часа преди следващото приложение, както показват амбулаторните измервания на кръвното налягане. Това е потвърдено и от съотношението минимални към максимални концентрации, което е постоянно над 80% след прием на дози от 40 и 80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 xml:space="preserve">телмисартан при плацебо контролирани клинични проучвания. Налице е очевидна тенденция за връзка между дозата и времето на възстановяването на базалното систолно кръвно налягане </w:t>
      </w:r>
      <w:r w:rsidRPr="007215BA">
        <w:rPr>
          <w:rFonts w:eastAsia="Times New Roman" w:cs="Arial"/>
          <w:color w:val="000000"/>
          <w:lang w:val="ru-RU"/>
        </w:rPr>
        <w:t>(</w:t>
      </w:r>
      <w:r w:rsidRPr="007215BA">
        <w:rPr>
          <w:rFonts w:eastAsia="Times New Roman" w:cs="Arial"/>
          <w:color w:val="000000"/>
          <w:lang w:val="en-US"/>
        </w:rPr>
        <w:t>SBP</w:t>
      </w:r>
      <w:r w:rsidRPr="007215BA">
        <w:rPr>
          <w:rFonts w:eastAsia="Times New Roman" w:cs="Arial"/>
          <w:color w:val="000000"/>
          <w:lang w:val="ru-RU"/>
        </w:rPr>
        <w:t xml:space="preserve">). </w:t>
      </w:r>
      <w:r w:rsidRPr="007215BA">
        <w:rPr>
          <w:rFonts w:eastAsia="Times New Roman" w:cs="Arial"/>
          <w:color w:val="000000"/>
          <w:lang w:eastAsia="bg-BG"/>
        </w:rPr>
        <w:t xml:space="preserve">В това отношение данните за диастолно кръвно налягане </w:t>
      </w:r>
      <w:r w:rsidRPr="007215BA">
        <w:rPr>
          <w:rFonts w:eastAsia="Times New Roman" w:cs="Arial"/>
          <w:color w:val="000000"/>
          <w:lang w:val="ru-RU"/>
        </w:rPr>
        <w:t>(</w:t>
      </w:r>
      <w:r w:rsidRPr="007215BA">
        <w:rPr>
          <w:rFonts w:eastAsia="Times New Roman" w:cs="Arial"/>
          <w:color w:val="000000"/>
          <w:lang w:val="en-US"/>
        </w:rPr>
        <w:t>DBP</w:t>
      </w:r>
      <w:r w:rsidRPr="007215BA">
        <w:rPr>
          <w:rFonts w:eastAsia="Times New Roman" w:cs="Arial"/>
          <w:color w:val="000000"/>
          <w:lang w:val="ru-RU"/>
        </w:rPr>
        <w:t xml:space="preserve">) </w:t>
      </w:r>
      <w:r w:rsidRPr="007215BA">
        <w:rPr>
          <w:rFonts w:eastAsia="Times New Roman" w:cs="Arial"/>
          <w:color w:val="000000"/>
          <w:lang w:eastAsia="bg-BG"/>
        </w:rPr>
        <w:t>са непостоянни.</w:t>
      </w:r>
    </w:p>
    <w:p w14:paraId="10AB6025"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При пациенти с хипертония телмисартан редуцира и систолното и диастолното кръвно налягане без да повлиява пулсовата честота. Наличието на диуретичен и натриуретичен ефект, който да допринесе за хипотензивната активност на лекарствения продукт все още не е доказано. Антихипертензивната ефикасност на телмисартан е сравнима с тази на продукти, представители на други класове антихипертензивни лекарствени продукти (установена при клинични изпитвания, сравняващи телмисартан с амлодипин, атенолол, еналаприл, хидрохлортиазид и лизиноприл).</w:t>
      </w:r>
    </w:p>
    <w:p w14:paraId="199428BC"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При внезапно прекъсване на лечението с телмисартан кръвното </w:t>
      </w:r>
      <w:r w:rsidRPr="007215BA">
        <w:rPr>
          <w:rFonts w:eastAsia="Times New Roman" w:cs="Arial"/>
          <w:i/>
          <w:iCs/>
          <w:color w:val="000000"/>
          <w:lang w:eastAsia="bg-BG"/>
        </w:rPr>
        <w:t xml:space="preserve">налягане постепенно се връща до </w:t>
      </w:r>
      <w:r w:rsidRPr="007215BA">
        <w:rPr>
          <w:rFonts w:eastAsia="Times New Roman" w:cs="Arial"/>
          <w:color w:val="000000"/>
          <w:lang w:eastAsia="bg-BG"/>
        </w:rPr>
        <w:t>стойностите преди лечението, за период от няколко дни без данни за ребаунд хипертоничен ефект. Случаите на суха кашлица са значително по-малко при пациенти, третирани с телмисартан, отколкото при такива, на които са давани инхибитори на ангиотензин конвертиращия ензим в клинични проучвания, директно сравняващи двете антихипертензивни лечения.</w:t>
      </w:r>
    </w:p>
    <w:p w14:paraId="20678DAF" w14:textId="77777777" w:rsidR="007215BA" w:rsidRDefault="007215BA" w:rsidP="007215BA">
      <w:pPr>
        <w:spacing w:line="240" w:lineRule="auto"/>
        <w:rPr>
          <w:rFonts w:eastAsia="Times New Roman" w:cs="Arial"/>
          <w:color w:val="000000"/>
          <w:u w:val="single"/>
          <w:lang w:eastAsia="bg-BG"/>
        </w:rPr>
      </w:pPr>
    </w:p>
    <w:p w14:paraId="63EB7E19" w14:textId="755D8942"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Сърдечно-съдова профилактика</w:t>
      </w:r>
    </w:p>
    <w:p w14:paraId="5C518210" w14:textId="77777777" w:rsidR="007215BA" w:rsidRPr="007215BA" w:rsidRDefault="007215BA" w:rsidP="007215BA">
      <w:pPr>
        <w:spacing w:line="240" w:lineRule="auto"/>
        <w:rPr>
          <w:rFonts w:eastAsia="Times New Roman" w:cs="Arial"/>
        </w:rPr>
      </w:pPr>
      <w:proofErr w:type="gramStart"/>
      <w:r w:rsidRPr="007215BA">
        <w:rPr>
          <w:rFonts w:eastAsia="Times New Roman" w:cs="Arial"/>
          <w:color w:val="000000"/>
          <w:lang w:val="en-US"/>
        </w:rPr>
        <w:t>ONTARGET</w:t>
      </w:r>
      <w:r w:rsidRPr="007215BA">
        <w:rPr>
          <w:rFonts w:eastAsia="Times New Roman" w:cs="Arial"/>
          <w:color w:val="000000"/>
          <w:lang w:val="ru-RU"/>
        </w:rPr>
        <w:t xml:space="preserve"> (</w:t>
      </w:r>
      <w:proofErr w:type="spellStart"/>
      <w:r w:rsidRPr="007215BA">
        <w:rPr>
          <w:rFonts w:eastAsia="Times New Roman" w:cs="Arial"/>
          <w:color w:val="000000"/>
          <w:lang w:val="en-US"/>
        </w:rPr>
        <w:t>ONgoing</w:t>
      </w:r>
      <w:proofErr w:type="spellEnd"/>
      <w:r w:rsidRPr="007215BA">
        <w:rPr>
          <w:rFonts w:eastAsia="Times New Roman" w:cs="Arial"/>
          <w:color w:val="000000"/>
          <w:lang w:val="ru-RU"/>
        </w:rPr>
        <w:t xml:space="preserve"> </w:t>
      </w:r>
      <w:proofErr w:type="spellStart"/>
      <w:r w:rsidRPr="007215BA">
        <w:rPr>
          <w:rFonts w:eastAsia="Times New Roman" w:cs="Arial"/>
          <w:color w:val="000000"/>
          <w:lang w:val="en-US"/>
        </w:rPr>
        <w:t>Telmisartan</w:t>
      </w:r>
      <w:proofErr w:type="spellEnd"/>
      <w:r w:rsidRPr="007215BA">
        <w:rPr>
          <w:rFonts w:eastAsia="Times New Roman" w:cs="Arial"/>
          <w:color w:val="000000"/>
          <w:lang w:val="ru-RU"/>
        </w:rPr>
        <w:t xml:space="preserve"> </w:t>
      </w:r>
      <w:r w:rsidRPr="007215BA">
        <w:rPr>
          <w:rFonts w:eastAsia="Times New Roman" w:cs="Arial"/>
          <w:color w:val="000000"/>
          <w:lang w:val="en-US"/>
        </w:rPr>
        <w:t>Alone</w:t>
      </w:r>
      <w:r w:rsidRPr="007215BA">
        <w:rPr>
          <w:rFonts w:eastAsia="Times New Roman" w:cs="Arial"/>
          <w:color w:val="000000"/>
          <w:lang w:val="ru-RU"/>
        </w:rPr>
        <w:t xml:space="preserve"> </w:t>
      </w:r>
      <w:r w:rsidRPr="007215BA">
        <w:rPr>
          <w:rFonts w:eastAsia="Times New Roman" w:cs="Arial"/>
          <w:color w:val="000000"/>
          <w:lang w:val="en-US"/>
        </w:rPr>
        <w:t>and</w:t>
      </w:r>
      <w:r w:rsidRPr="007215BA">
        <w:rPr>
          <w:rFonts w:eastAsia="Times New Roman" w:cs="Arial"/>
          <w:color w:val="000000"/>
          <w:lang w:val="ru-RU"/>
        </w:rPr>
        <w:t xml:space="preserve"> </w:t>
      </w:r>
      <w:r w:rsidRPr="007215BA">
        <w:rPr>
          <w:rFonts w:eastAsia="Times New Roman" w:cs="Arial"/>
          <w:color w:val="000000"/>
          <w:lang w:val="en-US"/>
        </w:rPr>
        <w:t>in</w:t>
      </w:r>
      <w:r w:rsidRPr="007215BA">
        <w:rPr>
          <w:rFonts w:eastAsia="Times New Roman" w:cs="Arial"/>
          <w:color w:val="000000"/>
          <w:lang w:val="ru-RU"/>
        </w:rPr>
        <w:t xml:space="preserve"> </w:t>
      </w:r>
      <w:r w:rsidRPr="007215BA">
        <w:rPr>
          <w:rFonts w:eastAsia="Times New Roman" w:cs="Arial"/>
          <w:color w:val="000000"/>
          <w:lang w:val="en-US"/>
        </w:rPr>
        <w:t>Combination</w:t>
      </w:r>
      <w:r w:rsidRPr="007215BA">
        <w:rPr>
          <w:rFonts w:eastAsia="Times New Roman" w:cs="Arial"/>
          <w:color w:val="000000"/>
          <w:lang w:val="ru-RU"/>
        </w:rPr>
        <w:t xml:space="preserve"> </w:t>
      </w:r>
      <w:r w:rsidRPr="007215BA">
        <w:rPr>
          <w:rFonts w:eastAsia="Times New Roman" w:cs="Arial"/>
          <w:color w:val="000000"/>
          <w:lang w:val="en-US"/>
        </w:rPr>
        <w:t>with</w:t>
      </w:r>
      <w:r w:rsidRPr="007215BA">
        <w:rPr>
          <w:rFonts w:eastAsia="Times New Roman" w:cs="Arial"/>
          <w:color w:val="000000"/>
          <w:lang w:val="ru-RU"/>
        </w:rPr>
        <w:t xml:space="preserve"> </w:t>
      </w:r>
      <w:r w:rsidRPr="007215BA">
        <w:rPr>
          <w:rFonts w:eastAsia="Times New Roman" w:cs="Arial"/>
          <w:color w:val="000000"/>
          <w:lang w:val="en-US"/>
        </w:rPr>
        <w:t>Ramipril</w:t>
      </w:r>
      <w:r w:rsidRPr="007215BA">
        <w:rPr>
          <w:rFonts w:eastAsia="Times New Roman" w:cs="Arial"/>
          <w:color w:val="000000"/>
          <w:lang w:val="ru-RU"/>
        </w:rPr>
        <w:t xml:space="preserve"> </w:t>
      </w:r>
      <w:r w:rsidRPr="007215BA">
        <w:rPr>
          <w:rFonts w:eastAsia="Times New Roman" w:cs="Arial"/>
          <w:color w:val="000000"/>
          <w:lang w:val="en-US"/>
        </w:rPr>
        <w:t>Global</w:t>
      </w:r>
      <w:r w:rsidRPr="007215BA">
        <w:rPr>
          <w:rFonts w:eastAsia="Times New Roman" w:cs="Arial"/>
          <w:color w:val="000000"/>
          <w:lang w:val="ru-RU"/>
        </w:rPr>
        <w:t xml:space="preserve"> </w:t>
      </w:r>
      <w:r w:rsidRPr="007215BA">
        <w:rPr>
          <w:rFonts w:eastAsia="Times New Roman" w:cs="Arial"/>
          <w:color w:val="000000"/>
          <w:lang w:val="en-US"/>
        </w:rPr>
        <w:t>Endpoint</w:t>
      </w:r>
      <w:r w:rsidRPr="007215BA">
        <w:rPr>
          <w:rFonts w:eastAsia="Times New Roman" w:cs="Arial"/>
          <w:color w:val="000000"/>
          <w:lang w:val="ru-RU"/>
        </w:rPr>
        <w:t xml:space="preserve"> </w:t>
      </w:r>
      <w:r w:rsidRPr="007215BA">
        <w:rPr>
          <w:rFonts w:eastAsia="Times New Roman" w:cs="Arial"/>
          <w:color w:val="000000"/>
          <w:lang w:val="en-US"/>
        </w:rPr>
        <w:t>Trial</w:t>
      </w:r>
      <w:r w:rsidRPr="007215BA">
        <w:rPr>
          <w:rFonts w:eastAsia="Times New Roman" w:cs="Arial"/>
          <w:color w:val="000000"/>
          <w:lang w:val="ru-RU"/>
        </w:rPr>
        <w:t xml:space="preserve">) </w:t>
      </w:r>
      <w:r w:rsidRPr="007215BA">
        <w:rPr>
          <w:rFonts w:eastAsia="Times New Roman" w:cs="Arial"/>
          <w:color w:val="000000"/>
          <w:lang w:eastAsia="bg-BG"/>
        </w:rPr>
        <w:t xml:space="preserve">(Продължаващо и </w:t>
      </w:r>
      <w:r w:rsidRPr="007215BA">
        <w:rPr>
          <w:rFonts w:eastAsia="Times New Roman" w:cs="Arial"/>
          <w:i/>
          <w:iCs/>
          <w:color w:val="000000"/>
          <w:lang w:eastAsia="bg-BG"/>
        </w:rPr>
        <w:t>в момента глобално проучване на</w:t>
      </w:r>
      <w:r w:rsidRPr="007215BA">
        <w:rPr>
          <w:rFonts w:eastAsia="Times New Roman" w:cs="Arial"/>
          <w:color w:val="000000"/>
          <w:lang w:eastAsia="bg-BG"/>
        </w:rPr>
        <w:t xml:space="preserve"> телмисартан самостоятелно и в комбинация </w:t>
      </w:r>
      <w:r w:rsidRPr="007215BA">
        <w:rPr>
          <w:rFonts w:eastAsia="Times New Roman" w:cs="Arial"/>
          <w:i/>
          <w:iCs/>
          <w:color w:val="000000"/>
          <w:lang w:eastAsia="bg-BG"/>
        </w:rPr>
        <w:t xml:space="preserve">с </w:t>
      </w:r>
      <w:r w:rsidRPr="007215BA">
        <w:rPr>
          <w:rFonts w:eastAsia="Times New Roman" w:cs="Arial"/>
          <w:color w:val="000000"/>
          <w:lang w:eastAsia="bg-BG"/>
        </w:rPr>
        <w:t>рамиприл с крайна точка) сравнява ефектите на телмисартан, рамиприл и комбинацията от телмисартан и рамиприл върху сърдечно-съдовите резултати при 25 620 пациенти на възраст 55 години или по-възрастни с анамнеза за коронарна артериална болест, мозъчен инсулт, преходен исхемичен пристъп, периферно артериално заболяване или захарен диабет тип 2, съпътстван с данни за увреждане на органите (като ретинопатия, левокамерна хипертрофия, макро- или микроалбуминурия), които са популация с риск от възникване на сърдечно-съдови инциденти.</w:t>
      </w:r>
      <w:proofErr w:type="gramEnd"/>
    </w:p>
    <w:p w14:paraId="577F8A1E" w14:textId="77777777" w:rsidR="007215BA" w:rsidRDefault="007215BA" w:rsidP="007215BA">
      <w:pPr>
        <w:spacing w:line="240" w:lineRule="auto"/>
        <w:rPr>
          <w:rFonts w:eastAsia="Times New Roman" w:cs="Arial"/>
          <w:color w:val="000000"/>
          <w:lang w:eastAsia="bg-BG"/>
        </w:rPr>
      </w:pPr>
    </w:p>
    <w:p w14:paraId="3DF778C1" w14:textId="3FB32AD9"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Пациентите са рандомизирани към една от следните три групи на лечение: телмисартан 80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w:t>
      </w:r>
      <w:r w:rsidRPr="007215BA">
        <w:rPr>
          <w:rFonts w:eastAsia="Times New Roman" w:cs="Arial"/>
          <w:color w:val="000000"/>
          <w:lang w:val="en-US"/>
        </w:rPr>
        <w:t>n</w:t>
      </w:r>
      <w:r w:rsidRPr="007215BA">
        <w:rPr>
          <w:rFonts w:eastAsia="Times New Roman" w:cs="Arial"/>
          <w:color w:val="000000"/>
          <w:lang w:eastAsia="bg-BG"/>
        </w:rPr>
        <w:t xml:space="preserve">=8542), рамиприл 10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w:t>
      </w:r>
      <w:r w:rsidRPr="007215BA">
        <w:rPr>
          <w:rFonts w:eastAsia="Times New Roman" w:cs="Arial"/>
          <w:color w:val="000000"/>
          <w:lang w:val="en-US"/>
        </w:rPr>
        <w:t>n</w:t>
      </w:r>
      <w:r w:rsidRPr="007215BA">
        <w:rPr>
          <w:rFonts w:eastAsia="Times New Roman" w:cs="Arial"/>
          <w:color w:val="000000"/>
          <w:lang w:eastAsia="bg-BG"/>
        </w:rPr>
        <w:t xml:space="preserve">=8576) или комбинацията от телмисартан 80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 xml:space="preserve">и рамиприл 10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w:t>
      </w:r>
      <w:r w:rsidRPr="007215BA">
        <w:rPr>
          <w:rFonts w:eastAsia="Times New Roman" w:cs="Arial"/>
          <w:color w:val="000000"/>
          <w:lang w:val="en-US"/>
        </w:rPr>
        <w:t>n</w:t>
      </w:r>
      <w:r w:rsidRPr="007215BA">
        <w:rPr>
          <w:rFonts w:eastAsia="Times New Roman" w:cs="Arial"/>
          <w:color w:val="000000"/>
          <w:lang w:eastAsia="bg-BG"/>
        </w:rPr>
        <w:t>=8502), с последващо средно време на проследяване 4,5 години.</w:t>
      </w:r>
    </w:p>
    <w:p w14:paraId="2F71BF73" w14:textId="77777777" w:rsidR="007215BA" w:rsidRDefault="007215BA" w:rsidP="007215BA">
      <w:pPr>
        <w:spacing w:line="240" w:lineRule="auto"/>
        <w:rPr>
          <w:rFonts w:eastAsia="Times New Roman" w:cs="Arial"/>
          <w:color w:val="000000"/>
          <w:lang w:eastAsia="bg-BG"/>
        </w:rPr>
      </w:pPr>
    </w:p>
    <w:p w14:paraId="283FCE89" w14:textId="77777777" w:rsidR="007215BA" w:rsidRDefault="007215BA" w:rsidP="007215BA">
      <w:pPr>
        <w:spacing w:line="240" w:lineRule="auto"/>
        <w:rPr>
          <w:rFonts w:eastAsia="Times New Roman" w:cs="Arial"/>
          <w:color w:val="000000"/>
          <w:lang w:eastAsia="bg-BG"/>
        </w:rPr>
      </w:pPr>
      <w:r w:rsidRPr="007215BA">
        <w:rPr>
          <w:rFonts w:eastAsia="Times New Roman" w:cs="Arial"/>
          <w:color w:val="000000"/>
          <w:lang w:eastAsia="bg-BG"/>
        </w:rPr>
        <w:lastRenderedPageBreak/>
        <w:t xml:space="preserve">Телмисартан показва сходен ефект с рамиприл при намаляване на първичната съставна крайна точка от сърдечно-съдова смърт, нефатален инфаркт на миокарда, нефатален мозъчен инсулт или хоспитализация поради застойна сърдечна недостатъчност. </w:t>
      </w:r>
    </w:p>
    <w:p w14:paraId="59E04EE4" w14:textId="39CA7D90"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Честотата на първичната крайна точка е сходна в групите на телмисартан (16,7%) и рамиприл (16,5%). Коефициентът на риск за телмисартан </w:t>
      </w:r>
      <w:r w:rsidRPr="007215BA">
        <w:rPr>
          <w:rFonts w:eastAsia="Times New Roman" w:cs="Arial"/>
          <w:i/>
          <w:iCs/>
          <w:color w:val="000000"/>
          <w:lang w:eastAsia="bg-BG"/>
        </w:rPr>
        <w:t>спрямо</w:t>
      </w:r>
      <w:r w:rsidRPr="007215BA">
        <w:rPr>
          <w:rFonts w:eastAsia="Times New Roman" w:cs="Arial"/>
          <w:color w:val="000000"/>
          <w:lang w:eastAsia="bg-BG"/>
        </w:rPr>
        <w:t xml:space="preserve"> рамиприл е 1,01 (97,5% ДИ 0,93 - 1,10; р (не по-голяма ефикасност) = 0,0019 при граница 1,13). Процентът на случаите на смъртност по всяка причина е съответно 11,6% и 11,8% сред пациентите, лекувани с телмисартан и рамиприл.</w:t>
      </w:r>
    </w:p>
    <w:p w14:paraId="0D3F654F" w14:textId="77777777" w:rsidR="007215BA" w:rsidRPr="007215BA" w:rsidRDefault="007215BA" w:rsidP="007215BA">
      <w:pPr>
        <w:spacing w:line="240" w:lineRule="auto"/>
        <w:rPr>
          <w:rFonts w:eastAsia="Times New Roman" w:cs="Arial"/>
        </w:rPr>
      </w:pPr>
    </w:p>
    <w:p w14:paraId="361ADBDB" w14:textId="23B03487" w:rsidR="007215BA" w:rsidRPr="007215BA" w:rsidRDefault="007215BA" w:rsidP="007215BA">
      <w:pPr>
        <w:spacing w:line="240" w:lineRule="auto"/>
        <w:rPr>
          <w:rFonts w:eastAsia="Times New Roman" w:cs="Arial"/>
          <w:color w:val="000000"/>
          <w:lang w:eastAsia="bg-BG"/>
        </w:rPr>
      </w:pPr>
      <w:r w:rsidRPr="007215BA">
        <w:rPr>
          <w:rFonts w:eastAsia="Times New Roman" w:cs="Arial"/>
          <w:color w:val="000000"/>
          <w:lang w:eastAsia="bg-BG"/>
        </w:rPr>
        <w:t>Установено е, че ефективността на телмисартан е сходна с тази на рамиприл при</w:t>
      </w:r>
      <w:r w:rsidRPr="007215BA">
        <w:rPr>
          <w:rFonts w:eastAsia="Times New Roman" w:cs="Arial"/>
          <w:color w:val="000000"/>
          <w:lang w:val="ru-RU"/>
        </w:rPr>
        <w:t xml:space="preserve"> </w:t>
      </w:r>
      <w:r w:rsidRPr="007215BA">
        <w:rPr>
          <w:rFonts w:eastAsia="Times New Roman" w:cs="Arial"/>
          <w:color w:val="000000"/>
          <w:lang w:eastAsia="bg-BG"/>
        </w:rPr>
        <w:t>предварително определената вторична крайна точка от сърдечно-съдова смърт, нефатален инфарк на миокарда и нефатален мозъчен инсулт [0,99 (97,5% ДИ 0,90 - 1,08; р (не по-голяма ефикасност)=0,0004)],</w:t>
      </w:r>
      <w:r>
        <w:rPr>
          <w:rFonts w:eastAsia="Times New Roman" w:cs="Arial"/>
          <w:color w:val="000000"/>
          <w:lang w:eastAsia="bg-BG"/>
        </w:rPr>
        <w:t xml:space="preserve"> </w:t>
      </w:r>
      <w:r w:rsidRPr="007215BA">
        <w:rPr>
          <w:rFonts w:eastAsia="Times New Roman" w:cs="Arial"/>
          <w:color w:val="000000"/>
          <w:lang w:eastAsia="bg-BG"/>
        </w:rPr>
        <w:t xml:space="preserve">първичната крайна точка в референтното проучване </w:t>
      </w:r>
      <w:r w:rsidRPr="007215BA">
        <w:rPr>
          <w:rFonts w:eastAsia="Times New Roman" w:cs="Arial"/>
          <w:color w:val="000000"/>
        </w:rPr>
        <w:t>(</w:t>
      </w:r>
      <w:r w:rsidRPr="007215BA">
        <w:rPr>
          <w:rFonts w:eastAsia="Times New Roman" w:cs="Arial"/>
          <w:color w:val="000000"/>
          <w:lang w:val="en-US"/>
        </w:rPr>
        <w:t>The</w:t>
      </w:r>
      <w:r w:rsidRPr="007215BA">
        <w:rPr>
          <w:rFonts w:eastAsia="Times New Roman" w:cs="Arial"/>
          <w:color w:val="000000"/>
        </w:rPr>
        <w:t xml:space="preserve"> </w:t>
      </w:r>
      <w:r w:rsidRPr="007215BA">
        <w:rPr>
          <w:rFonts w:eastAsia="Times New Roman" w:cs="Arial"/>
          <w:color w:val="000000"/>
          <w:lang w:val="en-US"/>
        </w:rPr>
        <w:t>Heart</w:t>
      </w:r>
      <w:r w:rsidRPr="007215BA">
        <w:rPr>
          <w:rFonts w:eastAsia="Times New Roman" w:cs="Arial"/>
          <w:color w:val="000000"/>
        </w:rPr>
        <w:t xml:space="preserve"> </w:t>
      </w:r>
      <w:r w:rsidRPr="007215BA">
        <w:rPr>
          <w:rFonts w:eastAsia="Times New Roman" w:cs="Arial"/>
          <w:color w:val="000000"/>
          <w:lang w:val="en-US"/>
        </w:rPr>
        <w:t>Outcomes</w:t>
      </w:r>
      <w:r w:rsidRPr="007215BA">
        <w:rPr>
          <w:rFonts w:eastAsia="Times New Roman" w:cs="Arial"/>
          <w:color w:val="000000"/>
        </w:rPr>
        <w:t xml:space="preserve"> </w:t>
      </w:r>
      <w:r w:rsidRPr="007215BA">
        <w:rPr>
          <w:rFonts w:eastAsia="Times New Roman" w:cs="Arial"/>
          <w:color w:val="000000"/>
          <w:lang w:val="en-US"/>
        </w:rPr>
        <w:t>Prevention</w:t>
      </w:r>
      <w:r w:rsidRPr="007215BA">
        <w:rPr>
          <w:rFonts w:eastAsia="Times New Roman" w:cs="Arial"/>
          <w:color w:val="000000"/>
        </w:rPr>
        <w:t xml:space="preserve"> </w:t>
      </w:r>
      <w:r w:rsidRPr="007215BA">
        <w:rPr>
          <w:rFonts w:eastAsia="Times New Roman" w:cs="Arial"/>
          <w:color w:val="000000"/>
          <w:lang w:val="en-US"/>
        </w:rPr>
        <w:t>Evaluation</w:t>
      </w:r>
      <w:r w:rsidRPr="007215BA">
        <w:rPr>
          <w:rFonts w:eastAsia="Times New Roman" w:cs="Arial"/>
          <w:color w:val="000000"/>
        </w:rPr>
        <w:t xml:space="preserve"> </w:t>
      </w:r>
      <w:r w:rsidRPr="007215BA">
        <w:rPr>
          <w:rFonts w:eastAsia="Times New Roman" w:cs="Arial"/>
          <w:color w:val="000000"/>
          <w:lang w:val="en-US"/>
        </w:rPr>
        <w:t>Study</w:t>
      </w:r>
      <w:r w:rsidRPr="007215BA">
        <w:rPr>
          <w:rFonts w:eastAsia="Times New Roman" w:cs="Arial"/>
          <w:color w:val="000000"/>
        </w:rPr>
        <w:t xml:space="preserve">) </w:t>
      </w:r>
      <w:r w:rsidRPr="007215BA">
        <w:rPr>
          <w:rFonts w:eastAsia="Times New Roman" w:cs="Arial"/>
          <w:color w:val="000000"/>
          <w:lang w:eastAsia="bg-BG"/>
        </w:rPr>
        <w:t>(Проучване за оценка на сърдечните резултати при профилактика), което проучва ефекта на рамиприл спрямо плацебо.</w:t>
      </w:r>
    </w:p>
    <w:p w14:paraId="42307E17" w14:textId="77777777" w:rsidR="007215BA" w:rsidRDefault="007215BA" w:rsidP="007215BA">
      <w:pPr>
        <w:spacing w:line="240" w:lineRule="auto"/>
        <w:rPr>
          <w:rFonts w:eastAsia="Times New Roman" w:cs="Arial"/>
          <w:color w:val="000000"/>
          <w:lang w:eastAsia="bg-BG"/>
        </w:rPr>
      </w:pPr>
    </w:p>
    <w:p w14:paraId="3F713F6B" w14:textId="39DBD96A"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Проучването </w:t>
      </w:r>
      <w:r w:rsidRPr="007215BA">
        <w:rPr>
          <w:rFonts w:eastAsia="Times New Roman" w:cs="Arial"/>
          <w:color w:val="000000"/>
          <w:lang w:val="en-US"/>
        </w:rPr>
        <w:t>TRANSCEND</w:t>
      </w:r>
      <w:r w:rsidRPr="007215BA">
        <w:rPr>
          <w:rFonts w:eastAsia="Times New Roman" w:cs="Arial"/>
          <w:color w:val="000000"/>
        </w:rPr>
        <w:t xml:space="preserve"> </w:t>
      </w:r>
      <w:r w:rsidRPr="007215BA">
        <w:rPr>
          <w:rFonts w:eastAsia="Times New Roman" w:cs="Arial"/>
          <w:color w:val="000000"/>
          <w:lang w:eastAsia="bg-BG"/>
        </w:rPr>
        <w:t xml:space="preserve">рандомизира пациенти с непоносимост към АСЕ инхибитори, със сходни критерии за включване като </w:t>
      </w:r>
      <w:r w:rsidRPr="007215BA">
        <w:rPr>
          <w:rFonts w:eastAsia="Times New Roman" w:cs="Arial"/>
          <w:i/>
          <w:iCs/>
          <w:color w:val="000000"/>
          <w:lang w:eastAsia="bg-BG"/>
        </w:rPr>
        <w:t>проучването</w:t>
      </w:r>
      <w:r w:rsidRPr="007215BA">
        <w:rPr>
          <w:rFonts w:eastAsia="Times New Roman" w:cs="Arial"/>
          <w:color w:val="000000"/>
          <w:lang w:eastAsia="bg-BG"/>
        </w:rPr>
        <w:t xml:space="preserve"> </w:t>
      </w:r>
      <w:r w:rsidRPr="007215BA">
        <w:rPr>
          <w:rFonts w:eastAsia="Times New Roman" w:cs="Arial"/>
          <w:color w:val="000000"/>
          <w:lang w:val="en-US"/>
        </w:rPr>
        <w:t>ONTARGET</w:t>
      </w:r>
      <w:r w:rsidRPr="007215BA">
        <w:rPr>
          <w:rFonts w:eastAsia="Times New Roman" w:cs="Arial"/>
          <w:color w:val="000000"/>
        </w:rPr>
        <w:t xml:space="preserve">, </w:t>
      </w:r>
      <w:r w:rsidRPr="007215BA">
        <w:rPr>
          <w:rFonts w:eastAsia="Times New Roman" w:cs="Arial"/>
          <w:color w:val="000000"/>
          <w:lang w:eastAsia="bg-BG"/>
        </w:rPr>
        <w:t xml:space="preserve">на телмисартан 80 </w:t>
      </w:r>
      <w:r w:rsidRPr="007215BA">
        <w:rPr>
          <w:rFonts w:eastAsia="Times New Roman" w:cs="Arial"/>
          <w:color w:val="000000"/>
          <w:lang w:val="en-US"/>
        </w:rPr>
        <w:t>mg</w:t>
      </w:r>
      <w:r w:rsidRPr="007215BA">
        <w:rPr>
          <w:rFonts w:eastAsia="Times New Roman" w:cs="Arial"/>
          <w:color w:val="000000"/>
        </w:rPr>
        <w:t xml:space="preserve"> </w:t>
      </w:r>
      <w:r w:rsidRPr="007215BA">
        <w:rPr>
          <w:rFonts w:eastAsia="Times New Roman" w:cs="Arial"/>
          <w:color w:val="000000"/>
          <w:lang w:eastAsia="bg-BG"/>
        </w:rPr>
        <w:t>(</w:t>
      </w:r>
      <w:r w:rsidRPr="007215BA">
        <w:rPr>
          <w:rFonts w:eastAsia="Times New Roman" w:cs="Arial"/>
          <w:color w:val="000000"/>
          <w:lang w:val="en-US"/>
        </w:rPr>
        <w:t>n</w:t>
      </w:r>
      <w:r w:rsidRPr="007215BA">
        <w:rPr>
          <w:rFonts w:eastAsia="Times New Roman" w:cs="Arial"/>
          <w:color w:val="000000"/>
          <w:lang w:eastAsia="bg-BG"/>
        </w:rPr>
        <w:t>=2 954) или плацебо (</w:t>
      </w:r>
      <w:r w:rsidRPr="007215BA">
        <w:rPr>
          <w:rFonts w:eastAsia="Times New Roman" w:cs="Arial"/>
          <w:color w:val="000000"/>
          <w:lang w:val="en-US"/>
        </w:rPr>
        <w:t>n</w:t>
      </w:r>
      <w:r w:rsidRPr="007215BA">
        <w:rPr>
          <w:rFonts w:eastAsia="Times New Roman" w:cs="Arial"/>
          <w:color w:val="000000"/>
          <w:lang w:eastAsia="bg-BG"/>
        </w:rPr>
        <w:t>=2 972), като и двата се прилагат в допълнение към стандартните грижи. Средната продължителност на проследяване е 4 години и 8 месеца. Не се открива статистически значима разлика в честотата на първичната съставна крайна точка (сърдечно-съдова смърт, нефатален инфаркт на миокарда, нефатален мозъчен инсулт или хоспитализация поради застойна сърдечна недостатъчност) [ 15,7% в групата на телмисартан и 17,0% в групата на плацебо с коефициент на риск 0,92 (95 % ДИ 0,81 - 1,05; р = 0,22)]. Има данни за ползата на телмисартан в сравнение с плацебо при предварително определената вторична съставна крайна точка от сърдечно-съдова смърт, нефатален инфаркт на миокарда и нефатален мозъчен инсулт [0,87 (95% ДИ 0,76 - 1,00; р “0,048). Няма данни за полза при сърдечно-съдова смъртност (коефициент на риск 1,03,95% ДИ 0,85 -1,24).</w:t>
      </w:r>
    </w:p>
    <w:p w14:paraId="22FC12DB" w14:textId="77777777" w:rsidR="007215BA" w:rsidRDefault="007215BA" w:rsidP="007215BA">
      <w:pPr>
        <w:spacing w:line="240" w:lineRule="auto"/>
        <w:rPr>
          <w:rFonts w:eastAsia="Times New Roman" w:cs="Arial"/>
          <w:color w:val="000000"/>
          <w:lang w:eastAsia="bg-BG"/>
        </w:rPr>
      </w:pPr>
    </w:p>
    <w:p w14:paraId="769AC40F" w14:textId="5962163D" w:rsidR="007215BA" w:rsidRPr="007215BA" w:rsidRDefault="007215BA" w:rsidP="007215BA">
      <w:pPr>
        <w:spacing w:line="240" w:lineRule="auto"/>
        <w:rPr>
          <w:rFonts w:eastAsia="Times New Roman" w:cs="Arial"/>
        </w:rPr>
      </w:pPr>
      <w:r w:rsidRPr="007215BA">
        <w:rPr>
          <w:rFonts w:eastAsia="Times New Roman" w:cs="Arial"/>
          <w:color w:val="000000"/>
          <w:lang w:eastAsia="bg-BG"/>
        </w:rPr>
        <w:t>Кашлица и ангиоедем се съобщават по-рядко при пациенти, лекувани с телмисартан, отколкото при пациенти, лекувани с рамиприл, докато хипотония се съобщава по-често при телмисартан. Комбинирането на телмисартан с рамиприл не увеличава ползата спрямо рамиприл или телмисартан самостоятелно. Сърдечно-съдовата смъртност и смъртността по всяка причина, като числено изражение, са по-високи при комбинацията. Освен това има значимо по-висока честота на хиперкалиемия, бъбречна недостатъчност, хипотония и синкоп в групата с комбинацията. Поради тази причина, едновременната употреба на телмисартан и рамиприл не се препоръчва при тази популация.</w:t>
      </w:r>
    </w:p>
    <w:p w14:paraId="2A606BA3"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В проучването “Профилактичен режим за ефективно предпазване от повторен мозъчен инсулт” </w:t>
      </w:r>
      <w:r w:rsidRPr="007215BA">
        <w:rPr>
          <w:rFonts w:eastAsia="Times New Roman" w:cs="Arial"/>
          <w:color w:val="000000"/>
          <w:lang w:val="ru-RU"/>
        </w:rPr>
        <w:t>(“</w:t>
      </w:r>
      <w:r w:rsidRPr="007215BA">
        <w:rPr>
          <w:rFonts w:eastAsia="Times New Roman" w:cs="Arial"/>
          <w:color w:val="000000"/>
          <w:lang w:val="en-US"/>
        </w:rPr>
        <w:t>Prevention</w:t>
      </w:r>
      <w:r w:rsidRPr="007215BA">
        <w:rPr>
          <w:rFonts w:eastAsia="Times New Roman" w:cs="Arial"/>
          <w:color w:val="000000"/>
          <w:lang w:val="ru-RU"/>
        </w:rPr>
        <w:t xml:space="preserve"> </w:t>
      </w:r>
      <w:r w:rsidRPr="007215BA">
        <w:rPr>
          <w:rFonts w:eastAsia="Times New Roman" w:cs="Arial"/>
          <w:color w:val="000000"/>
          <w:lang w:val="en-US"/>
        </w:rPr>
        <w:t>Regimen</w:t>
      </w:r>
      <w:r w:rsidRPr="007215BA">
        <w:rPr>
          <w:rFonts w:eastAsia="Times New Roman" w:cs="Arial"/>
          <w:color w:val="000000"/>
          <w:lang w:val="ru-RU"/>
        </w:rPr>
        <w:t xml:space="preserve"> </w:t>
      </w:r>
      <w:r w:rsidRPr="007215BA">
        <w:rPr>
          <w:rFonts w:eastAsia="Times New Roman" w:cs="Arial"/>
          <w:color w:val="000000"/>
          <w:lang w:val="en-US"/>
        </w:rPr>
        <w:t>For</w:t>
      </w:r>
      <w:r w:rsidRPr="007215BA">
        <w:rPr>
          <w:rFonts w:eastAsia="Times New Roman" w:cs="Arial"/>
          <w:color w:val="000000"/>
          <w:lang w:val="ru-RU"/>
        </w:rPr>
        <w:t xml:space="preserve"> </w:t>
      </w:r>
      <w:r w:rsidRPr="007215BA">
        <w:rPr>
          <w:rFonts w:eastAsia="Times New Roman" w:cs="Arial"/>
          <w:color w:val="000000"/>
          <w:lang w:val="en-US"/>
        </w:rPr>
        <w:t>Effectively</w:t>
      </w:r>
      <w:r w:rsidRPr="007215BA">
        <w:rPr>
          <w:rFonts w:eastAsia="Times New Roman" w:cs="Arial"/>
          <w:color w:val="000000"/>
          <w:lang w:val="ru-RU"/>
        </w:rPr>
        <w:t xml:space="preserve"> </w:t>
      </w:r>
      <w:r w:rsidRPr="007215BA">
        <w:rPr>
          <w:rFonts w:eastAsia="Times New Roman" w:cs="Arial"/>
          <w:color w:val="000000"/>
          <w:lang w:val="en-US"/>
        </w:rPr>
        <w:t>avoiding</w:t>
      </w:r>
      <w:r w:rsidRPr="007215BA">
        <w:rPr>
          <w:rFonts w:eastAsia="Times New Roman" w:cs="Arial"/>
          <w:color w:val="000000"/>
          <w:lang w:val="ru-RU"/>
        </w:rPr>
        <w:t xml:space="preserve"> </w:t>
      </w:r>
      <w:r w:rsidRPr="007215BA">
        <w:rPr>
          <w:rFonts w:eastAsia="Times New Roman" w:cs="Arial"/>
          <w:color w:val="000000"/>
          <w:lang w:val="en-US"/>
        </w:rPr>
        <w:t>Second</w:t>
      </w:r>
      <w:r w:rsidRPr="007215BA">
        <w:rPr>
          <w:rFonts w:eastAsia="Times New Roman" w:cs="Arial"/>
          <w:color w:val="000000"/>
          <w:lang w:val="ru-RU"/>
        </w:rPr>
        <w:t xml:space="preserve"> </w:t>
      </w:r>
      <w:r w:rsidRPr="007215BA">
        <w:rPr>
          <w:rFonts w:eastAsia="Times New Roman" w:cs="Arial"/>
          <w:color w:val="000000"/>
          <w:lang w:val="en-US"/>
        </w:rPr>
        <w:t>Strokes</w:t>
      </w:r>
      <w:r w:rsidRPr="007215BA">
        <w:rPr>
          <w:rFonts w:eastAsia="Times New Roman" w:cs="Arial"/>
          <w:color w:val="000000"/>
          <w:lang w:val="ru-RU"/>
        </w:rPr>
        <w:t>”(</w:t>
      </w:r>
      <w:proofErr w:type="spellStart"/>
      <w:r w:rsidRPr="007215BA">
        <w:rPr>
          <w:rFonts w:eastAsia="Times New Roman" w:cs="Arial"/>
          <w:color w:val="000000"/>
          <w:lang w:val="en-US"/>
        </w:rPr>
        <w:t>PRoFESS</w:t>
      </w:r>
      <w:proofErr w:type="spellEnd"/>
      <w:r w:rsidRPr="007215BA">
        <w:rPr>
          <w:rFonts w:eastAsia="Times New Roman" w:cs="Arial"/>
          <w:color w:val="000000"/>
          <w:lang w:val="ru-RU"/>
        </w:rPr>
        <w:t xml:space="preserve">)) </w:t>
      </w:r>
      <w:r w:rsidRPr="007215BA">
        <w:rPr>
          <w:rFonts w:eastAsia="Times New Roman" w:cs="Arial"/>
          <w:color w:val="000000"/>
          <w:lang w:eastAsia="bg-BG"/>
        </w:rPr>
        <w:t xml:space="preserve">при пациенти на </w:t>
      </w:r>
      <w:r w:rsidRPr="007215BA">
        <w:rPr>
          <w:rFonts w:eastAsia="Times New Roman" w:cs="Arial"/>
          <w:color w:val="000000"/>
          <w:lang w:val="ru-RU"/>
        </w:rPr>
        <w:t xml:space="preserve">50 </w:t>
      </w:r>
      <w:r w:rsidRPr="007215BA">
        <w:rPr>
          <w:rFonts w:eastAsia="Times New Roman" w:cs="Arial"/>
          <w:color w:val="000000"/>
          <w:lang w:eastAsia="bg-BG"/>
        </w:rPr>
        <w:t xml:space="preserve">години или по-възрастни, които наскоро са получили мозъчен инсулт се забелязва повишена честота на възникване на сепсис при телмисартан в сравнение с плацебо, 0,70% спрямо 0,49% </w:t>
      </w:r>
      <w:r w:rsidRPr="007215BA">
        <w:rPr>
          <w:rFonts w:eastAsia="Times New Roman" w:cs="Arial"/>
          <w:color w:val="000000"/>
          <w:lang w:val="ru-RU"/>
        </w:rPr>
        <w:t>[</w:t>
      </w:r>
      <w:r w:rsidRPr="007215BA">
        <w:rPr>
          <w:rFonts w:eastAsia="Times New Roman" w:cs="Arial"/>
          <w:color w:val="000000"/>
          <w:lang w:val="en-US"/>
        </w:rPr>
        <w:t>RR</w:t>
      </w:r>
      <w:r w:rsidRPr="007215BA">
        <w:rPr>
          <w:rFonts w:eastAsia="Times New Roman" w:cs="Arial"/>
          <w:color w:val="000000"/>
          <w:lang w:val="ru-RU"/>
        </w:rPr>
        <w:t xml:space="preserve"> </w:t>
      </w:r>
      <w:r w:rsidRPr="007215BA">
        <w:rPr>
          <w:rFonts w:eastAsia="Times New Roman" w:cs="Arial"/>
          <w:color w:val="000000"/>
          <w:lang w:eastAsia="bg-BG"/>
        </w:rPr>
        <w:t xml:space="preserve">1,43 (95% доверителен интервал 1,00 - 2,06)]; честотата на възникване на сепсис с фатален изход е повишена при пациентите, приемащи телмисартан (0,33 %) спрямо пациентите на плацебо (0,16%) </w:t>
      </w:r>
      <w:r w:rsidRPr="007215BA">
        <w:rPr>
          <w:rFonts w:eastAsia="Times New Roman" w:cs="Arial"/>
          <w:color w:val="000000"/>
          <w:lang w:val="ru-RU"/>
        </w:rPr>
        <w:t>[</w:t>
      </w:r>
      <w:r w:rsidRPr="007215BA">
        <w:rPr>
          <w:rFonts w:eastAsia="Times New Roman" w:cs="Arial"/>
          <w:color w:val="000000"/>
          <w:lang w:val="en-US"/>
        </w:rPr>
        <w:t>RR</w:t>
      </w:r>
      <w:r w:rsidRPr="007215BA">
        <w:rPr>
          <w:rFonts w:eastAsia="Times New Roman" w:cs="Arial"/>
          <w:color w:val="000000"/>
          <w:lang w:val="ru-RU"/>
        </w:rPr>
        <w:t xml:space="preserve"> </w:t>
      </w:r>
      <w:r w:rsidRPr="007215BA">
        <w:rPr>
          <w:rFonts w:eastAsia="Times New Roman" w:cs="Arial"/>
          <w:color w:val="000000"/>
          <w:lang w:eastAsia="bg-BG"/>
        </w:rPr>
        <w:t>2,07 (95% доверителен интервал 1,14 — 3,76)]. Наблюдаваната повишена честота на възникване на сепсис, свързана с употребата на телмисартан може да е случайно открита или да е свързана с механизъм, който е непознат за момента.</w:t>
      </w:r>
    </w:p>
    <w:p w14:paraId="3C9D9187" w14:textId="77777777" w:rsidR="007215BA" w:rsidRDefault="007215BA" w:rsidP="007215BA">
      <w:pPr>
        <w:spacing w:line="240" w:lineRule="auto"/>
        <w:rPr>
          <w:rFonts w:eastAsia="Times New Roman" w:cs="Arial"/>
          <w:color w:val="000000"/>
          <w:lang w:eastAsia="bg-BG"/>
        </w:rPr>
      </w:pPr>
    </w:p>
    <w:p w14:paraId="500E0D2D" w14:textId="3B6C163A" w:rsidR="007215BA" w:rsidRPr="007215BA" w:rsidRDefault="007215BA" w:rsidP="007215BA">
      <w:pPr>
        <w:spacing w:line="240" w:lineRule="auto"/>
        <w:rPr>
          <w:rFonts w:eastAsia="Times New Roman" w:cs="Arial"/>
        </w:rPr>
      </w:pPr>
      <w:r w:rsidRPr="007215BA">
        <w:rPr>
          <w:rFonts w:eastAsia="Times New Roman" w:cs="Arial"/>
          <w:color w:val="000000"/>
          <w:lang w:eastAsia="bg-BG"/>
        </w:rPr>
        <w:lastRenderedPageBreak/>
        <w:t xml:space="preserve">Две големи рандомизирани контролирани проучвания - </w:t>
      </w:r>
      <w:r w:rsidRPr="007215BA">
        <w:rPr>
          <w:rFonts w:eastAsia="Times New Roman" w:cs="Arial"/>
          <w:color w:val="000000"/>
          <w:lang w:val="en-US"/>
        </w:rPr>
        <w:t>ONTARGET</w:t>
      </w:r>
      <w:r w:rsidRPr="007215BA">
        <w:rPr>
          <w:rFonts w:eastAsia="Times New Roman" w:cs="Arial"/>
          <w:color w:val="000000"/>
        </w:rPr>
        <w:t xml:space="preserve"> (</w:t>
      </w:r>
      <w:r w:rsidRPr="007215BA">
        <w:rPr>
          <w:rFonts w:eastAsia="Times New Roman" w:cs="Arial"/>
          <w:color w:val="000000"/>
          <w:lang w:val="en-US"/>
        </w:rPr>
        <w:t>Ongoing</w:t>
      </w:r>
      <w:r w:rsidRPr="007215BA">
        <w:rPr>
          <w:rFonts w:eastAsia="Times New Roman" w:cs="Arial"/>
          <w:color w:val="000000"/>
        </w:rPr>
        <w:t xml:space="preserve"> </w:t>
      </w:r>
      <w:proofErr w:type="spellStart"/>
      <w:r w:rsidRPr="007215BA">
        <w:rPr>
          <w:rFonts w:eastAsia="Times New Roman" w:cs="Arial"/>
          <w:color w:val="000000"/>
          <w:lang w:val="en-US"/>
        </w:rPr>
        <w:t>Telmisartan</w:t>
      </w:r>
      <w:proofErr w:type="spellEnd"/>
      <w:r w:rsidRPr="007215BA">
        <w:rPr>
          <w:rFonts w:eastAsia="Times New Roman" w:cs="Arial"/>
          <w:color w:val="000000"/>
        </w:rPr>
        <w:t xml:space="preserve"> </w:t>
      </w:r>
      <w:r w:rsidRPr="007215BA">
        <w:rPr>
          <w:rFonts w:eastAsia="Times New Roman" w:cs="Arial"/>
          <w:color w:val="000000"/>
          <w:lang w:val="en-US"/>
        </w:rPr>
        <w:t>Alone</w:t>
      </w:r>
      <w:r w:rsidRPr="007215BA">
        <w:rPr>
          <w:rFonts w:eastAsia="Times New Roman" w:cs="Arial"/>
          <w:color w:val="000000"/>
        </w:rPr>
        <w:t xml:space="preserve"> </w:t>
      </w:r>
      <w:r w:rsidRPr="007215BA">
        <w:rPr>
          <w:rFonts w:eastAsia="Times New Roman" w:cs="Arial"/>
          <w:color w:val="000000"/>
          <w:lang w:val="en-US"/>
        </w:rPr>
        <w:t>and</w:t>
      </w:r>
      <w:r w:rsidRPr="007215BA">
        <w:rPr>
          <w:rFonts w:eastAsia="Times New Roman" w:cs="Arial"/>
          <w:color w:val="000000"/>
        </w:rPr>
        <w:t xml:space="preserve"> </w:t>
      </w:r>
      <w:r w:rsidRPr="007215BA">
        <w:rPr>
          <w:rFonts w:eastAsia="Times New Roman" w:cs="Arial"/>
          <w:color w:val="000000"/>
          <w:lang w:val="en-US"/>
        </w:rPr>
        <w:t>in</w:t>
      </w:r>
      <w:r w:rsidRPr="007215BA">
        <w:rPr>
          <w:rFonts w:eastAsia="Times New Roman" w:cs="Arial"/>
          <w:color w:val="000000"/>
        </w:rPr>
        <w:t xml:space="preserve"> </w:t>
      </w:r>
      <w:r w:rsidRPr="007215BA">
        <w:rPr>
          <w:rFonts w:eastAsia="Times New Roman" w:cs="Arial"/>
          <w:color w:val="000000"/>
          <w:lang w:val="en-US"/>
        </w:rPr>
        <w:t>combination</w:t>
      </w:r>
      <w:r w:rsidRPr="007215BA">
        <w:rPr>
          <w:rFonts w:eastAsia="Times New Roman" w:cs="Arial"/>
          <w:color w:val="000000"/>
        </w:rPr>
        <w:t xml:space="preserve"> </w:t>
      </w:r>
      <w:r w:rsidRPr="007215BA">
        <w:rPr>
          <w:rFonts w:eastAsia="Times New Roman" w:cs="Arial"/>
          <w:color w:val="000000"/>
          <w:lang w:val="en-US"/>
        </w:rPr>
        <w:t>with</w:t>
      </w:r>
      <w:r w:rsidRPr="007215BA">
        <w:rPr>
          <w:rFonts w:eastAsia="Times New Roman" w:cs="Arial"/>
          <w:color w:val="000000"/>
        </w:rPr>
        <w:t xml:space="preserve"> </w:t>
      </w:r>
      <w:r w:rsidRPr="007215BA">
        <w:rPr>
          <w:rFonts w:eastAsia="Times New Roman" w:cs="Arial"/>
          <w:color w:val="000000"/>
          <w:lang w:val="en-US"/>
        </w:rPr>
        <w:t>Ramipril</w:t>
      </w:r>
      <w:r w:rsidRPr="007215BA">
        <w:rPr>
          <w:rFonts w:eastAsia="Times New Roman" w:cs="Arial"/>
          <w:color w:val="000000"/>
        </w:rPr>
        <w:t xml:space="preserve"> </w:t>
      </w:r>
      <w:r w:rsidRPr="007215BA">
        <w:rPr>
          <w:rFonts w:eastAsia="Times New Roman" w:cs="Arial"/>
          <w:color w:val="000000"/>
          <w:lang w:val="en-US"/>
        </w:rPr>
        <w:t>Global</w:t>
      </w:r>
      <w:r w:rsidRPr="007215BA">
        <w:rPr>
          <w:rFonts w:eastAsia="Times New Roman" w:cs="Arial"/>
          <w:color w:val="000000"/>
        </w:rPr>
        <w:t xml:space="preserve"> </w:t>
      </w:r>
      <w:r w:rsidRPr="007215BA">
        <w:rPr>
          <w:rFonts w:eastAsia="Times New Roman" w:cs="Arial"/>
          <w:color w:val="000000"/>
          <w:lang w:val="en-US"/>
        </w:rPr>
        <w:t>Endpoint</w:t>
      </w:r>
      <w:r w:rsidRPr="007215BA">
        <w:rPr>
          <w:rFonts w:eastAsia="Times New Roman" w:cs="Arial"/>
          <w:color w:val="000000"/>
        </w:rPr>
        <w:t xml:space="preserve"> </w:t>
      </w:r>
      <w:r w:rsidRPr="007215BA">
        <w:rPr>
          <w:rFonts w:eastAsia="Times New Roman" w:cs="Arial"/>
          <w:color w:val="000000"/>
          <w:lang w:val="en-US"/>
        </w:rPr>
        <w:t>Trial</w:t>
      </w:r>
      <w:r w:rsidRPr="007215BA">
        <w:rPr>
          <w:rFonts w:eastAsia="Times New Roman" w:cs="Arial"/>
          <w:color w:val="000000"/>
        </w:rPr>
        <w:t xml:space="preserve"> - </w:t>
      </w:r>
      <w:r w:rsidRPr="007215BA">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7215BA">
        <w:rPr>
          <w:rFonts w:eastAsia="Times New Roman" w:cs="Arial"/>
          <w:color w:val="000000"/>
          <w:lang w:val="en-US"/>
        </w:rPr>
        <w:t>VA</w:t>
      </w:r>
      <w:r w:rsidRPr="007215BA">
        <w:rPr>
          <w:rFonts w:eastAsia="Times New Roman" w:cs="Arial"/>
          <w:color w:val="000000"/>
        </w:rPr>
        <w:t xml:space="preserve"> </w:t>
      </w:r>
      <w:r w:rsidRPr="007215BA">
        <w:rPr>
          <w:rFonts w:eastAsia="Times New Roman" w:cs="Arial"/>
          <w:color w:val="000000"/>
          <w:lang w:val="en-US"/>
        </w:rPr>
        <w:t>NEPHRON</w:t>
      </w:r>
      <w:r w:rsidRPr="007215BA">
        <w:rPr>
          <w:rFonts w:eastAsia="Times New Roman" w:cs="Arial"/>
          <w:color w:val="000000"/>
        </w:rPr>
        <w:t>-</w:t>
      </w:r>
      <w:r w:rsidRPr="007215BA">
        <w:rPr>
          <w:rFonts w:eastAsia="Times New Roman" w:cs="Arial"/>
          <w:color w:val="000000"/>
          <w:lang w:val="en-US"/>
        </w:rPr>
        <w:t>D</w:t>
      </w:r>
      <w:r w:rsidRPr="007215BA">
        <w:rPr>
          <w:rFonts w:eastAsia="Times New Roman" w:cs="Arial"/>
          <w:color w:val="000000"/>
        </w:rPr>
        <w:t xml:space="preserve"> </w:t>
      </w:r>
      <w:r w:rsidRPr="007215BA">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П-рецепторен блокер. </w:t>
      </w:r>
      <w:r w:rsidRPr="007215BA">
        <w:rPr>
          <w:rFonts w:eastAsia="Times New Roman" w:cs="Arial"/>
          <w:color w:val="000000"/>
          <w:lang w:val="en-US"/>
        </w:rPr>
        <w:t>ONTARGET</w:t>
      </w:r>
      <w:r w:rsidRPr="007215BA">
        <w:rPr>
          <w:rFonts w:eastAsia="Times New Roman" w:cs="Arial"/>
          <w:color w:val="000000"/>
          <w:lang w:val="ru-RU"/>
        </w:rPr>
        <w:t xml:space="preserve"> </w:t>
      </w:r>
      <w:r w:rsidRPr="007215BA">
        <w:rPr>
          <w:rFonts w:eastAsia="Times New Roman" w:cs="Arial"/>
          <w:color w:val="000000"/>
          <w:lang w:eastAsia="bg-BG"/>
        </w:rPr>
        <w:t>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За по-подробна информация вижте по-горе под заглавието ’’Сърдечно-съдова профилактика".</w:t>
      </w:r>
    </w:p>
    <w:p w14:paraId="461C63B2" w14:textId="77777777" w:rsidR="007215BA" w:rsidRPr="007215BA" w:rsidRDefault="007215BA" w:rsidP="007215BA">
      <w:pPr>
        <w:spacing w:line="240" w:lineRule="auto"/>
        <w:rPr>
          <w:rFonts w:eastAsia="Times New Roman" w:cs="Arial"/>
        </w:rPr>
      </w:pPr>
      <w:r w:rsidRPr="007215BA">
        <w:rPr>
          <w:rFonts w:eastAsia="Times New Roman" w:cs="Arial"/>
          <w:color w:val="000000"/>
          <w:lang w:val="en-US"/>
        </w:rPr>
        <w:t>VA</w:t>
      </w:r>
      <w:r w:rsidRPr="007215BA">
        <w:rPr>
          <w:rFonts w:eastAsia="Times New Roman" w:cs="Arial"/>
          <w:color w:val="000000"/>
          <w:lang w:val="ru-RU"/>
        </w:rPr>
        <w:t xml:space="preserve"> </w:t>
      </w:r>
      <w:r w:rsidRPr="007215BA">
        <w:rPr>
          <w:rFonts w:eastAsia="Times New Roman" w:cs="Arial"/>
          <w:color w:val="000000"/>
          <w:lang w:val="en-US"/>
        </w:rPr>
        <w:t>NEPHRON</w:t>
      </w:r>
      <w:r w:rsidRPr="007215BA">
        <w:rPr>
          <w:rFonts w:eastAsia="Times New Roman" w:cs="Arial"/>
          <w:color w:val="000000"/>
          <w:lang w:val="ru-RU"/>
        </w:rPr>
        <w:t>-</w:t>
      </w:r>
      <w:r w:rsidRPr="007215BA">
        <w:rPr>
          <w:rFonts w:eastAsia="Times New Roman" w:cs="Arial"/>
          <w:color w:val="000000"/>
          <w:lang w:val="en-US"/>
        </w:rPr>
        <w:t>D</w:t>
      </w:r>
      <w:r w:rsidRPr="007215BA">
        <w:rPr>
          <w:rFonts w:eastAsia="Times New Roman" w:cs="Arial"/>
          <w:color w:val="000000"/>
          <w:lang w:val="ru-RU"/>
        </w:rPr>
        <w:t xml:space="preserve"> </w:t>
      </w:r>
      <w:r w:rsidRPr="007215BA">
        <w:rPr>
          <w:rFonts w:eastAsia="Times New Roman" w:cs="Arial"/>
          <w:color w:val="000000"/>
          <w:lang w:eastAsia="bg-BG"/>
        </w:rPr>
        <w:t xml:space="preserve">е проучване при пациенти със захарен диабет тип 2 и диабетна нефропатия. 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7215BA">
        <w:rPr>
          <w:rFonts w:eastAsia="Times New Roman" w:cs="Arial"/>
          <w:color w:val="000000"/>
          <w:lang w:val="en-US"/>
        </w:rPr>
        <w:t>II</w:t>
      </w:r>
      <w:r w:rsidRPr="007215BA">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4B959A6D" w14:textId="30149661" w:rsidR="007215BA" w:rsidRPr="007215BA" w:rsidRDefault="007215BA" w:rsidP="007215BA">
      <w:pPr>
        <w:spacing w:line="240" w:lineRule="auto"/>
        <w:rPr>
          <w:rFonts w:eastAsia="Times New Roman" w:cs="Arial"/>
          <w:color w:val="000000"/>
          <w:lang w:eastAsia="bg-BG"/>
        </w:rPr>
      </w:pPr>
      <w:r w:rsidRPr="007215BA">
        <w:rPr>
          <w:rFonts w:eastAsia="Times New Roman" w:cs="Arial"/>
          <w:color w:val="000000"/>
          <w:lang w:val="en-US"/>
        </w:rPr>
        <w:t>ALTITUDE</w:t>
      </w:r>
      <w:r w:rsidRPr="007215BA">
        <w:rPr>
          <w:rFonts w:eastAsia="Times New Roman" w:cs="Arial"/>
          <w:color w:val="000000"/>
          <w:lang w:val="ru-RU"/>
        </w:rPr>
        <w:t xml:space="preserve"> </w:t>
      </w:r>
      <w:r w:rsidRPr="007215BA">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w:t>
      </w:r>
      <w:r w:rsidRPr="007215BA">
        <w:rPr>
          <w:rFonts w:eastAsia="Times New Roman" w:cs="Arial"/>
          <w:color w:val="000000"/>
          <w:lang w:val="en-US"/>
        </w:rPr>
        <w:t>ACE</w:t>
      </w:r>
      <w:r w:rsidRPr="007215BA">
        <w:rPr>
          <w:rFonts w:eastAsia="Times New Roman" w:cs="Arial"/>
          <w:color w:val="000000"/>
          <w:lang w:eastAsia="bg-BG"/>
        </w:rPr>
        <w:t xml:space="preserve"> инхибитор или ангиотензин </w:t>
      </w:r>
      <w:r w:rsidRPr="007215BA">
        <w:rPr>
          <w:rFonts w:eastAsia="Times New Roman" w:cs="Arial"/>
          <w:color w:val="000000"/>
          <w:lang w:val="en-US"/>
        </w:rPr>
        <w:t>II</w:t>
      </w:r>
      <w:r w:rsidRPr="007215BA">
        <w:rPr>
          <w:rFonts w:eastAsia="Times New Roman" w:cs="Arial"/>
          <w:color w:val="000000"/>
          <w:lang w:eastAsia="bg-BG"/>
        </w:rPr>
        <w:t xml:space="preserve">-рецепторен блокер при пациенти </w:t>
      </w:r>
      <w:r w:rsidRPr="007215BA">
        <w:rPr>
          <w:rFonts w:eastAsia="Times New Roman" w:cs="Arial"/>
          <w:i/>
          <w:iCs/>
          <w:color w:val="000000"/>
          <w:lang w:eastAsia="bg-BG"/>
        </w:rPr>
        <w:t>със захарен</w:t>
      </w:r>
      <w:r w:rsidRPr="007215BA">
        <w:rPr>
          <w:rFonts w:eastAsia="Times New Roman" w:cs="Arial"/>
          <w:color w:val="000000"/>
          <w:lang w:eastAsia="bg-BG"/>
        </w:rPr>
        <w:t xml:space="preserve"> диабет тип 2 и хронично бъбречно заболяване, сърдечно-съдово заболяване или и двете. Проучването</w:t>
      </w:r>
      <w:r w:rsidRPr="007215BA">
        <w:rPr>
          <w:rFonts w:eastAsia="Times New Roman" w:cs="Arial"/>
          <w:color w:val="000000"/>
          <w:lang w:val="ru-RU"/>
        </w:rPr>
        <w:t xml:space="preserve"> </w:t>
      </w:r>
      <w:r w:rsidRPr="007215BA">
        <w:rPr>
          <w:rFonts w:eastAsia="Times New Roman" w:cs="Arial"/>
          <w:color w:val="000000"/>
          <w:lang w:eastAsia="bg-BG"/>
        </w:rPr>
        <w:t>е прекратена преждевременно поради повишен риск от неблагоприятни последици. Както сърдечно-съдовата</w:t>
      </w:r>
      <w:r>
        <w:rPr>
          <w:rFonts w:eastAsia="Times New Roman" w:cs="Arial"/>
          <w:color w:val="000000"/>
          <w:lang w:eastAsia="bg-BG"/>
        </w:rPr>
        <w:t xml:space="preserve"> </w:t>
      </w:r>
      <w:r w:rsidRPr="007215BA">
        <w:rPr>
          <w:rFonts w:eastAsia="Times New Roman" w:cs="Arial"/>
          <w:color w:val="000000"/>
          <w:lang w:eastAsia="bg-BG"/>
        </w:rPr>
        <w:t>смърт, така и инсултът са по-честа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61B94CA4" w14:textId="77777777" w:rsidR="007215BA" w:rsidRDefault="007215BA" w:rsidP="007215BA">
      <w:pPr>
        <w:spacing w:line="240" w:lineRule="auto"/>
        <w:rPr>
          <w:rFonts w:eastAsia="Times New Roman" w:cs="Arial"/>
          <w:color w:val="000000"/>
          <w:u w:val="single"/>
          <w:lang w:eastAsia="bg-BG"/>
        </w:rPr>
      </w:pPr>
    </w:p>
    <w:p w14:paraId="45521EE4" w14:textId="20D9E1D4"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Педиатрична популация</w:t>
      </w:r>
    </w:p>
    <w:p w14:paraId="7A77DBC1"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Безопасността и ефикасността на телмисартан при деца и юноши на възраст под 18 години не са установени.</w:t>
      </w:r>
    </w:p>
    <w:p w14:paraId="63366D87"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Ефектът за понижаване на артериалното налягане на две дози телмисартан е оценен при 76 хипертоници със значително наднормено тегло на възраст между 6 и &lt;18 години (тегло ≥20 </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 xml:space="preserve">и &lt;120 </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 xml:space="preserve">средно тегло 74,6 </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 xml:space="preserve">след прием на телмисартан 1 </w:t>
      </w:r>
      <w:r w:rsidRPr="007215BA">
        <w:rPr>
          <w:rFonts w:eastAsia="Times New Roman" w:cs="Arial"/>
          <w:color w:val="000000"/>
          <w:lang w:val="en-US"/>
        </w:rPr>
        <w:t>mg</w:t>
      </w:r>
      <w:r w:rsidRPr="007215BA">
        <w:rPr>
          <w:rFonts w:eastAsia="Times New Roman" w:cs="Arial"/>
          <w:color w:val="000000"/>
          <w:lang w:val="ru-RU"/>
        </w:rPr>
        <w:t>/</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w:t>
      </w:r>
      <w:r w:rsidRPr="007215BA">
        <w:rPr>
          <w:rFonts w:eastAsia="Times New Roman" w:cs="Arial"/>
          <w:color w:val="000000"/>
          <w:lang w:val="en-US"/>
        </w:rPr>
        <w:t>n</w:t>
      </w:r>
      <w:r w:rsidRPr="007215BA">
        <w:rPr>
          <w:rFonts w:eastAsia="Times New Roman" w:cs="Arial"/>
          <w:color w:val="000000"/>
          <w:lang w:eastAsia="bg-BG"/>
        </w:rPr>
        <w:t xml:space="preserve">=29 лекувани) или 2 </w:t>
      </w:r>
      <w:r w:rsidRPr="007215BA">
        <w:rPr>
          <w:rFonts w:eastAsia="Times New Roman" w:cs="Arial"/>
          <w:color w:val="000000"/>
          <w:lang w:val="en-US"/>
        </w:rPr>
        <w:t>mg</w:t>
      </w:r>
      <w:r w:rsidRPr="007215BA">
        <w:rPr>
          <w:rFonts w:eastAsia="Times New Roman" w:cs="Arial"/>
          <w:color w:val="000000"/>
          <w:lang w:val="ru-RU"/>
        </w:rPr>
        <w:t>/</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w:t>
      </w:r>
      <w:r w:rsidRPr="007215BA">
        <w:rPr>
          <w:rFonts w:eastAsia="Times New Roman" w:cs="Arial"/>
          <w:color w:val="000000"/>
          <w:lang w:val="en-US"/>
        </w:rPr>
        <w:t>n</w:t>
      </w:r>
      <w:r w:rsidRPr="007215BA">
        <w:rPr>
          <w:rFonts w:eastAsia="Times New Roman" w:cs="Arial"/>
          <w:color w:val="000000"/>
          <w:lang w:eastAsia="bg-BG"/>
        </w:rPr>
        <w:t xml:space="preserve">=31 лекувани) в продължение на 4-седмичен период на лечение. При включването наличието на вторична хипертония не е изследвано. При някои участници в проучването дозите са били по-високи от препоръчителните за лечение на хипертония при популацията от възрастни пациенти, достигаща дневна доза, съпоставима с 160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 xml:space="preserve">която е изследвана при възрастни пациенти. След корекция на ефектите според възрастовата група средните промени промяна на систолично артериално налягане спрямо изходното ниво са -14,5 (1,7) </w:t>
      </w:r>
      <w:r w:rsidRPr="007215BA">
        <w:rPr>
          <w:rFonts w:eastAsia="Times New Roman" w:cs="Arial"/>
          <w:color w:val="000000"/>
          <w:lang w:val="en-US"/>
        </w:rPr>
        <w:t>mmHg</w:t>
      </w:r>
      <w:r w:rsidRPr="007215BA">
        <w:rPr>
          <w:rFonts w:eastAsia="Times New Roman" w:cs="Arial"/>
          <w:color w:val="000000"/>
          <w:lang w:val="ru-RU"/>
        </w:rPr>
        <w:t xml:space="preserve"> </w:t>
      </w:r>
      <w:r w:rsidRPr="007215BA">
        <w:rPr>
          <w:rFonts w:eastAsia="Times New Roman" w:cs="Arial"/>
          <w:color w:val="000000"/>
          <w:lang w:eastAsia="bg-BG"/>
        </w:rPr>
        <w:t xml:space="preserve">в групата с телмисартан 1 </w:t>
      </w:r>
      <w:r w:rsidRPr="007215BA">
        <w:rPr>
          <w:rFonts w:eastAsia="Times New Roman" w:cs="Arial"/>
          <w:color w:val="000000"/>
          <w:lang w:val="en-US"/>
        </w:rPr>
        <w:t>mg</w:t>
      </w:r>
      <w:r w:rsidRPr="007215BA">
        <w:rPr>
          <w:rFonts w:eastAsia="Times New Roman" w:cs="Arial"/>
          <w:color w:val="000000"/>
          <w:lang w:val="ru-RU"/>
        </w:rPr>
        <w:t>/</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 xml:space="preserve">и -6,0 (2,4) </w:t>
      </w:r>
      <w:r w:rsidRPr="007215BA">
        <w:rPr>
          <w:rFonts w:eastAsia="Times New Roman" w:cs="Arial"/>
          <w:color w:val="000000"/>
          <w:lang w:val="en-US"/>
        </w:rPr>
        <w:t>mmHg</w:t>
      </w:r>
      <w:r w:rsidRPr="007215BA">
        <w:rPr>
          <w:rFonts w:eastAsia="Times New Roman" w:cs="Arial"/>
          <w:color w:val="000000"/>
          <w:lang w:val="ru-RU"/>
        </w:rPr>
        <w:t xml:space="preserve"> </w:t>
      </w:r>
      <w:r w:rsidRPr="007215BA">
        <w:rPr>
          <w:rFonts w:eastAsia="Times New Roman" w:cs="Arial"/>
          <w:color w:val="000000"/>
          <w:lang w:eastAsia="bg-BG"/>
        </w:rPr>
        <w:t xml:space="preserve">в групата с плацебо. Коригираните промени в диастоличното артериално налягане спрямо изходното ниво са съответно -8,4 (1,5) </w:t>
      </w:r>
      <w:r w:rsidRPr="007215BA">
        <w:rPr>
          <w:rFonts w:eastAsia="Times New Roman" w:cs="Arial"/>
          <w:color w:val="000000"/>
          <w:lang w:val="en-US"/>
        </w:rPr>
        <w:t>mmHg</w:t>
      </w:r>
      <w:r w:rsidRPr="007215BA">
        <w:rPr>
          <w:rFonts w:eastAsia="Times New Roman" w:cs="Arial"/>
          <w:color w:val="000000"/>
          <w:lang w:val="ru-RU"/>
        </w:rPr>
        <w:t xml:space="preserve">, </w:t>
      </w:r>
      <w:r w:rsidRPr="007215BA">
        <w:rPr>
          <w:rFonts w:eastAsia="Times New Roman" w:cs="Arial"/>
          <w:color w:val="000000"/>
          <w:lang w:eastAsia="bg-BG"/>
        </w:rPr>
        <w:t xml:space="preserve">-4,5 (1,6) </w:t>
      </w:r>
      <w:r w:rsidRPr="007215BA">
        <w:rPr>
          <w:rFonts w:eastAsia="Times New Roman" w:cs="Arial"/>
          <w:color w:val="000000"/>
          <w:lang w:val="en-US"/>
        </w:rPr>
        <w:t>mmHg</w:t>
      </w:r>
      <w:r w:rsidRPr="007215BA">
        <w:rPr>
          <w:rFonts w:eastAsia="Times New Roman" w:cs="Arial"/>
          <w:color w:val="000000"/>
          <w:lang w:val="ru-RU"/>
        </w:rPr>
        <w:t xml:space="preserve"> </w:t>
      </w:r>
      <w:r w:rsidRPr="007215BA">
        <w:rPr>
          <w:rFonts w:eastAsia="Times New Roman" w:cs="Arial"/>
          <w:color w:val="000000"/>
          <w:lang w:eastAsia="bg-BG"/>
        </w:rPr>
        <w:t xml:space="preserve">и 3,5 (2,1) </w:t>
      </w:r>
      <w:r w:rsidRPr="007215BA">
        <w:rPr>
          <w:rFonts w:eastAsia="Times New Roman" w:cs="Arial"/>
          <w:color w:val="000000"/>
          <w:lang w:val="en-US"/>
        </w:rPr>
        <w:t>mmHg</w:t>
      </w:r>
      <w:r w:rsidRPr="007215BA">
        <w:rPr>
          <w:rFonts w:eastAsia="Times New Roman" w:cs="Arial"/>
          <w:color w:val="000000"/>
          <w:lang w:val="ru-RU"/>
        </w:rPr>
        <w:t xml:space="preserve">. </w:t>
      </w:r>
      <w:r w:rsidRPr="007215BA">
        <w:rPr>
          <w:rFonts w:eastAsia="Times New Roman" w:cs="Arial"/>
          <w:color w:val="000000"/>
          <w:lang w:eastAsia="bg-BG"/>
        </w:rPr>
        <w:t>Промяната е зависима от дозата. Изглежда, че данните за безопасността при пациентите на възраст между 6 и под 18 години са като цяло сходни с тези при възрастните пациенти. Не е правена оценка на безопасността на дългосрочно лечение с телмисартан при деца и юноши.</w:t>
      </w:r>
    </w:p>
    <w:p w14:paraId="3A14BBF8"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lastRenderedPageBreak/>
        <w:t>Повишението на еозонофилите, съобщено при пациенти от тази популация, не е наблюдавано при възрастни пациенти. Не е известно клиничното значение и относимост на това повишение.</w:t>
      </w:r>
    </w:p>
    <w:p w14:paraId="487BF076"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Въз основа на тези клинични данни не могат да бъдат направени заключения относно ефективността и безопасността на телмисартан при хипертонични пациенти от педиатричната популация.</w:t>
      </w:r>
    </w:p>
    <w:p w14:paraId="62E7936E" w14:textId="77777777" w:rsidR="007215BA" w:rsidRPr="007215BA" w:rsidRDefault="007215BA" w:rsidP="007215BA">
      <w:pPr>
        <w:spacing w:line="240" w:lineRule="auto"/>
        <w:rPr>
          <w:rFonts w:eastAsia="Times New Roman" w:cs="Arial"/>
        </w:rPr>
      </w:pPr>
    </w:p>
    <w:p w14:paraId="346B622B" w14:textId="1CBE2C7C" w:rsidR="00875EEC" w:rsidRDefault="002C50EE" w:rsidP="005726E3">
      <w:pPr>
        <w:pStyle w:val="Heading2"/>
      </w:pPr>
      <w:r>
        <w:t>5.2. Фармакокинетични свойства</w:t>
      </w:r>
    </w:p>
    <w:p w14:paraId="46BD6305" w14:textId="6A8C85B7" w:rsidR="007215BA" w:rsidRDefault="007215BA" w:rsidP="007215BA"/>
    <w:p w14:paraId="7DC94D45" w14:textId="77777777"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Абсорбция</w:t>
      </w:r>
    </w:p>
    <w:p w14:paraId="2EA63931"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Абсорбцията на телмисартан е бърза, независимо, че абсорбираното количество варира.</w:t>
      </w:r>
    </w:p>
    <w:p w14:paraId="39ECE0A5"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Средната абсолютна бионаличност на телмисартан е около 50%. Когато телмисартан се приема с храна, редукцията на областта под кривата плазмена концентрация-време </w:t>
      </w:r>
      <w:r w:rsidRPr="007215BA">
        <w:rPr>
          <w:rFonts w:eastAsia="Times New Roman" w:cs="Arial"/>
          <w:color w:val="000000"/>
          <w:lang w:val="ru-RU"/>
        </w:rPr>
        <w:t>(</w:t>
      </w:r>
      <w:r w:rsidRPr="007215BA">
        <w:rPr>
          <w:rFonts w:eastAsia="Times New Roman" w:cs="Arial"/>
          <w:color w:val="000000"/>
          <w:lang w:val="en-US"/>
        </w:rPr>
        <w:t>AUC</w:t>
      </w:r>
      <w:r w:rsidRPr="007215BA">
        <w:rPr>
          <w:rFonts w:eastAsia="Times New Roman" w:cs="Arial"/>
          <w:color w:val="000000"/>
          <w:vertAlign w:val="subscript"/>
          <w:lang w:val="ru-RU"/>
        </w:rPr>
        <w:t>0-∞</w:t>
      </w:r>
      <w:r w:rsidRPr="007215BA">
        <w:rPr>
          <w:rFonts w:eastAsia="Times New Roman" w:cs="Arial"/>
          <w:color w:val="000000"/>
          <w:lang w:eastAsia="bg-BG"/>
        </w:rPr>
        <w:t xml:space="preserve">) на телмисартан варира от около 6% (40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 xml:space="preserve">доза) до около 19% (160 </w:t>
      </w:r>
      <w:r w:rsidRPr="007215BA">
        <w:rPr>
          <w:rFonts w:eastAsia="Times New Roman" w:cs="Arial"/>
          <w:color w:val="000000"/>
          <w:lang w:val="en-US"/>
        </w:rPr>
        <w:t>mg</w:t>
      </w:r>
      <w:r w:rsidRPr="007215BA">
        <w:rPr>
          <w:rFonts w:eastAsia="Times New Roman" w:cs="Arial"/>
          <w:color w:val="000000"/>
          <w:lang w:val="ru-RU"/>
        </w:rPr>
        <w:t xml:space="preserve"> </w:t>
      </w:r>
      <w:r w:rsidRPr="007215BA">
        <w:rPr>
          <w:rFonts w:eastAsia="Times New Roman" w:cs="Arial"/>
          <w:color w:val="000000"/>
          <w:lang w:eastAsia="bg-BG"/>
        </w:rPr>
        <w:t>доза). Три часа след приложение плазмените концентрации са подобни при приемане на телмисартан на гладно или с храна.</w:t>
      </w:r>
    </w:p>
    <w:p w14:paraId="56B91D10" w14:textId="77777777" w:rsidR="007215BA" w:rsidRDefault="007215BA" w:rsidP="007215BA">
      <w:pPr>
        <w:spacing w:line="240" w:lineRule="auto"/>
        <w:rPr>
          <w:rFonts w:eastAsia="Times New Roman" w:cs="Arial"/>
          <w:color w:val="000000"/>
          <w:u w:val="single"/>
          <w:lang w:eastAsia="bg-BG"/>
        </w:rPr>
      </w:pPr>
    </w:p>
    <w:p w14:paraId="4F72FD98" w14:textId="0A64C3D3"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Линейност/нелинейност</w:t>
      </w:r>
    </w:p>
    <w:p w14:paraId="0977A064"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Не се очаква слабата редукция в </w:t>
      </w:r>
      <w:r w:rsidRPr="007215BA">
        <w:rPr>
          <w:rFonts w:eastAsia="Times New Roman" w:cs="Arial"/>
          <w:color w:val="000000"/>
          <w:lang w:val="en-US"/>
        </w:rPr>
        <w:t>AUC</w:t>
      </w:r>
      <w:r w:rsidRPr="007215BA">
        <w:rPr>
          <w:rFonts w:eastAsia="Times New Roman" w:cs="Arial"/>
          <w:color w:val="000000"/>
          <w:lang w:val="ru-RU"/>
        </w:rPr>
        <w:t xml:space="preserve"> </w:t>
      </w:r>
      <w:r w:rsidRPr="007215BA">
        <w:rPr>
          <w:rFonts w:eastAsia="Times New Roman" w:cs="Arial"/>
          <w:color w:val="000000"/>
          <w:lang w:eastAsia="bg-BG"/>
        </w:rPr>
        <w:t xml:space="preserve">да предизвика редукция в терапевтичната ефикасност. Няма линейна зависимост между дозите и плазмените нива. Стах и в по-малка степен </w:t>
      </w:r>
      <w:r w:rsidRPr="007215BA">
        <w:rPr>
          <w:rFonts w:eastAsia="Times New Roman" w:cs="Arial"/>
          <w:color w:val="000000"/>
          <w:lang w:val="en-US"/>
        </w:rPr>
        <w:t>AUC</w:t>
      </w:r>
      <w:r w:rsidRPr="007215BA">
        <w:rPr>
          <w:rFonts w:eastAsia="Times New Roman" w:cs="Arial"/>
          <w:color w:val="000000"/>
          <w:lang w:val="ru-RU"/>
        </w:rPr>
        <w:t xml:space="preserve"> </w:t>
      </w:r>
      <w:r w:rsidRPr="007215BA">
        <w:rPr>
          <w:rFonts w:eastAsia="Times New Roman" w:cs="Arial"/>
          <w:color w:val="000000"/>
          <w:lang w:eastAsia="bg-BG"/>
        </w:rPr>
        <w:t xml:space="preserve">се повишават непропорционално при дози над 40 </w:t>
      </w:r>
      <w:r w:rsidRPr="007215BA">
        <w:rPr>
          <w:rFonts w:eastAsia="Times New Roman" w:cs="Arial"/>
          <w:color w:val="000000"/>
          <w:lang w:val="en-US"/>
        </w:rPr>
        <w:t>mg</w:t>
      </w:r>
      <w:r w:rsidRPr="007215BA">
        <w:rPr>
          <w:rFonts w:eastAsia="Times New Roman" w:cs="Arial"/>
          <w:color w:val="000000"/>
          <w:lang w:val="ru-RU"/>
        </w:rPr>
        <w:t>.</w:t>
      </w:r>
    </w:p>
    <w:p w14:paraId="1AE99C64" w14:textId="77777777" w:rsidR="007215BA" w:rsidRDefault="007215BA" w:rsidP="007215BA">
      <w:pPr>
        <w:spacing w:line="240" w:lineRule="auto"/>
        <w:rPr>
          <w:rFonts w:eastAsia="Times New Roman" w:cs="Arial"/>
          <w:color w:val="000000"/>
          <w:u w:val="single"/>
          <w:lang w:eastAsia="bg-BG"/>
        </w:rPr>
      </w:pPr>
    </w:p>
    <w:p w14:paraId="4D50CC95" w14:textId="169CDD7C"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Разпределение</w:t>
      </w:r>
    </w:p>
    <w:p w14:paraId="2FC54912"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Телмисартан се свързва в голяма степен с плазмените протеини (&gt;99,5%), главно с албумин и алфа-1 кисел глюкопротеин. Средният привиден обем на разпределение при достигане на стационарно състояние </w:t>
      </w:r>
      <w:r w:rsidRPr="007215BA">
        <w:rPr>
          <w:rFonts w:eastAsia="Times New Roman" w:cs="Arial"/>
          <w:color w:val="000000"/>
          <w:lang w:val="ru-RU"/>
        </w:rPr>
        <w:t>(</w:t>
      </w:r>
      <w:proofErr w:type="spellStart"/>
      <w:r w:rsidRPr="007215BA">
        <w:rPr>
          <w:rFonts w:eastAsia="Times New Roman" w:cs="Arial"/>
          <w:color w:val="000000"/>
          <w:lang w:val="en-US"/>
        </w:rPr>
        <w:t>Vdss</w:t>
      </w:r>
      <w:proofErr w:type="spellEnd"/>
      <w:r w:rsidRPr="007215BA">
        <w:rPr>
          <w:rFonts w:eastAsia="Times New Roman" w:cs="Arial"/>
          <w:color w:val="000000"/>
          <w:lang w:val="ru-RU"/>
        </w:rPr>
        <w:t xml:space="preserve">) </w:t>
      </w:r>
      <w:r w:rsidRPr="007215BA">
        <w:rPr>
          <w:rFonts w:eastAsia="Times New Roman" w:cs="Arial"/>
          <w:color w:val="000000"/>
          <w:lang w:eastAsia="bg-BG"/>
        </w:rPr>
        <w:t xml:space="preserve">е около 500 </w:t>
      </w:r>
      <w:r w:rsidRPr="007215BA">
        <w:rPr>
          <w:rFonts w:eastAsia="Times New Roman" w:cs="Arial"/>
          <w:color w:val="000000"/>
          <w:lang w:val="en-US"/>
        </w:rPr>
        <w:t>L</w:t>
      </w:r>
      <w:r w:rsidRPr="007215BA">
        <w:rPr>
          <w:rFonts w:eastAsia="Times New Roman" w:cs="Arial"/>
          <w:color w:val="000000"/>
          <w:lang w:val="ru-RU"/>
        </w:rPr>
        <w:t>.</w:t>
      </w:r>
    </w:p>
    <w:p w14:paraId="0E83B73C" w14:textId="77777777" w:rsidR="007215BA" w:rsidRDefault="007215BA" w:rsidP="007215BA">
      <w:pPr>
        <w:spacing w:line="240" w:lineRule="auto"/>
        <w:rPr>
          <w:rFonts w:eastAsia="Times New Roman" w:cs="Arial"/>
          <w:color w:val="000000"/>
          <w:u w:val="single"/>
          <w:lang w:eastAsia="bg-BG"/>
        </w:rPr>
      </w:pPr>
    </w:p>
    <w:p w14:paraId="3E910251" w14:textId="0F21609A"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Биотрансформация</w:t>
      </w:r>
    </w:p>
    <w:p w14:paraId="5C12C1E7"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Телмисартан се метаболизира чрез свързване на основното вещество с глюкуронид. Не е наблюдавана фармакологична активност на конюгатите.</w:t>
      </w:r>
    </w:p>
    <w:p w14:paraId="576B0399" w14:textId="77777777" w:rsidR="007215BA" w:rsidRDefault="007215BA" w:rsidP="007215BA">
      <w:pPr>
        <w:spacing w:line="240" w:lineRule="auto"/>
        <w:rPr>
          <w:rFonts w:eastAsia="Times New Roman" w:cs="Arial"/>
          <w:color w:val="000000"/>
          <w:u w:val="single"/>
          <w:lang w:eastAsia="bg-BG"/>
        </w:rPr>
      </w:pPr>
    </w:p>
    <w:p w14:paraId="56A5AB02" w14:textId="6E19309E"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Елиминиране</w:t>
      </w:r>
    </w:p>
    <w:p w14:paraId="09CA3D67" w14:textId="5B9D4580" w:rsidR="007215BA" w:rsidRPr="007215BA" w:rsidRDefault="007215BA" w:rsidP="007215BA">
      <w:pPr>
        <w:spacing w:line="240" w:lineRule="auto"/>
        <w:rPr>
          <w:rFonts w:eastAsia="Times New Roman" w:cs="Arial"/>
        </w:rPr>
      </w:pPr>
      <w:r w:rsidRPr="007215BA">
        <w:rPr>
          <w:rFonts w:eastAsia="Times New Roman" w:cs="Arial"/>
          <w:color w:val="000000"/>
          <w:lang w:eastAsia="bg-BG"/>
        </w:rPr>
        <w:t>Телмисартан се характеризира с биекспоненциална отслабваща фармакокинетика с терминален елиминационен полуживот &gt;20 часа. Максималната плазмена концентрация (С</w:t>
      </w:r>
      <w:r w:rsidRPr="007215BA">
        <w:rPr>
          <w:rFonts w:eastAsia="Times New Roman" w:cs="Arial"/>
          <w:color w:val="000000"/>
          <w:vertAlign w:val="subscript"/>
          <w:lang w:val="en-US"/>
        </w:rPr>
        <w:t>max</w:t>
      </w:r>
      <w:r w:rsidRPr="007215BA">
        <w:rPr>
          <w:rFonts w:eastAsia="Times New Roman" w:cs="Arial"/>
          <w:color w:val="000000"/>
          <w:lang w:eastAsia="bg-BG"/>
        </w:rPr>
        <w:t>) и</w:t>
      </w:r>
      <w:r w:rsidRPr="007215BA">
        <w:rPr>
          <w:rFonts w:eastAsia="Times New Roman" w:cs="Arial"/>
          <w:color w:val="000000"/>
          <w:lang w:val="ru-RU"/>
        </w:rPr>
        <w:t xml:space="preserve"> </w:t>
      </w:r>
      <w:r w:rsidRPr="007215BA">
        <w:rPr>
          <w:rFonts w:eastAsia="Times New Roman" w:cs="Arial"/>
          <w:color w:val="000000"/>
          <w:lang w:eastAsia="bg-BG"/>
        </w:rPr>
        <w:t xml:space="preserve">в по-малка степен областта под кривата плазмена концентрация-време </w:t>
      </w:r>
      <w:r w:rsidRPr="007215BA">
        <w:rPr>
          <w:rFonts w:eastAsia="Times New Roman" w:cs="Arial"/>
          <w:color w:val="000000"/>
          <w:lang w:val="ru-RU"/>
        </w:rPr>
        <w:t>(</w:t>
      </w:r>
      <w:r w:rsidRPr="007215BA">
        <w:rPr>
          <w:rFonts w:eastAsia="Times New Roman" w:cs="Arial"/>
          <w:color w:val="000000"/>
          <w:lang w:val="en-US"/>
        </w:rPr>
        <w:t>AUC</w:t>
      </w:r>
      <w:r w:rsidRPr="007215BA">
        <w:rPr>
          <w:rFonts w:eastAsia="Times New Roman" w:cs="Arial"/>
          <w:color w:val="000000"/>
          <w:lang w:val="ru-RU"/>
        </w:rPr>
        <w:t xml:space="preserve">) </w:t>
      </w:r>
      <w:r w:rsidRPr="007215BA">
        <w:rPr>
          <w:rFonts w:eastAsia="Times New Roman" w:cs="Arial"/>
          <w:color w:val="000000"/>
          <w:lang w:eastAsia="bg-BG"/>
        </w:rPr>
        <w:t>се повишава</w:t>
      </w:r>
      <w:r w:rsidRPr="007215BA">
        <w:rPr>
          <w:rFonts w:eastAsia="Times New Roman" w:cs="Arial"/>
          <w:color w:val="000000"/>
          <w:lang w:val="ru-RU"/>
        </w:rPr>
        <w:t xml:space="preserve"> </w:t>
      </w:r>
      <w:r w:rsidRPr="007215BA">
        <w:rPr>
          <w:rFonts w:eastAsia="Times New Roman" w:cs="Arial"/>
          <w:color w:val="000000"/>
          <w:lang w:eastAsia="bg-BG"/>
        </w:rPr>
        <w:t>непропорционално на</w:t>
      </w:r>
      <w:r>
        <w:rPr>
          <w:rFonts w:eastAsia="Times New Roman" w:cs="Arial"/>
        </w:rPr>
        <w:t xml:space="preserve"> </w:t>
      </w:r>
      <w:r w:rsidRPr="007215BA">
        <w:rPr>
          <w:rFonts w:eastAsia="Times New Roman" w:cs="Arial"/>
          <w:color w:val="000000"/>
          <w:lang w:eastAsia="bg-BG"/>
        </w:rPr>
        <w:t>дозата. Няма данни за клинически значима акумулация на телмисартан, приет в препоръчваните</w:t>
      </w:r>
      <w:r>
        <w:rPr>
          <w:rFonts w:eastAsia="Times New Roman" w:cs="Arial"/>
        </w:rPr>
        <w:t xml:space="preserve"> </w:t>
      </w:r>
      <w:r w:rsidRPr="007215BA">
        <w:rPr>
          <w:rFonts w:eastAsia="Times New Roman" w:cs="Arial"/>
          <w:color w:val="000000"/>
          <w:lang w:eastAsia="bg-BG"/>
        </w:rPr>
        <w:t>дози. Плазмените концентрации са по-високи при жени, отколкото при мъже, без това да е свързано с влияние върху ефикасността.</w:t>
      </w:r>
    </w:p>
    <w:p w14:paraId="2EA25FFA"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След перорално (и интравенозно) приложение телмисартан се екскретира почти изцяло с фекалиите, главно като непроменено съединение. Кумулативната уринарна екскреция е &lt;1% от дозата. Тоталният плазмен клирънс </w:t>
      </w:r>
      <w:r w:rsidRPr="007215BA">
        <w:rPr>
          <w:rFonts w:eastAsia="Times New Roman" w:cs="Arial"/>
          <w:color w:val="000000"/>
          <w:lang w:val="ru-RU"/>
        </w:rPr>
        <w:t>(</w:t>
      </w:r>
      <w:proofErr w:type="spellStart"/>
      <w:r w:rsidRPr="007215BA">
        <w:rPr>
          <w:rFonts w:eastAsia="Times New Roman" w:cs="Arial"/>
          <w:color w:val="000000"/>
          <w:lang w:val="en-US"/>
        </w:rPr>
        <w:t>Cltot</w:t>
      </w:r>
      <w:proofErr w:type="spellEnd"/>
      <w:r w:rsidRPr="007215BA">
        <w:rPr>
          <w:rFonts w:eastAsia="Times New Roman" w:cs="Arial"/>
          <w:color w:val="000000"/>
          <w:lang w:val="ru-RU"/>
        </w:rPr>
        <w:t xml:space="preserve">) </w:t>
      </w:r>
      <w:r w:rsidRPr="007215BA">
        <w:rPr>
          <w:rFonts w:eastAsia="Times New Roman" w:cs="Arial"/>
          <w:color w:val="000000"/>
          <w:lang w:eastAsia="bg-BG"/>
        </w:rPr>
        <w:t xml:space="preserve">е висок (около 1000 </w:t>
      </w:r>
      <w:r w:rsidRPr="007215BA">
        <w:rPr>
          <w:rFonts w:eastAsia="Times New Roman" w:cs="Arial"/>
          <w:color w:val="000000"/>
          <w:lang w:val="en-US"/>
        </w:rPr>
        <w:t>mL</w:t>
      </w:r>
      <w:r w:rsidRPr="007215BA">
        <w:rPr>
          <w:rFonts w:eastAsia="Times New Roman" w:cs="Arial"/>
          <w:color w:val="000000"/>
          <w:lang w:val="ru-RU"/>
        </w:rPr>
        <w:t>/</w:t>
      </w:r>
      <w:r w:rsidRPr="007215BA">
        <w:rPr>
          <w:rFonts w:eastAsia="Times New Roman" w:cs="Arial"/>
          <w:color w:val="000000"/>
          <w:lang w:val="en-US"/>
        </w:rPr>
        <w:t>min</w:t>
      </w:r>
      <w:r w:rsidRPr="007215BA">
        <w:rPr>
          <w:rFonts w:eastAsia="Times New Roman" w:cs="Arial"/>
          <w:color w:val="000000"/>
          <w:lang w:val="ru-RU"/>
        </w:rPr>
        <w:t xml:space="preserve">), </w:t>
      </w:r>
      <w:r w:rsidRPr="007215BA">
        <w:rPr>
          <w:rFonts w:eastAsia="Times New Roman" w:cs="Arial"/>
          <w:color w:val="000000"/>
          <w:lang w:eastAsia="bg-BG"/>
        </w:rPr>
        <w:t xml:space="preserve">сравнен с чернодробния кръвен поток (около 1500 </w:t>
      </w:r>
      <w:r w:rsidRPr="007215BA">
        <w:rPr>
          <w:rFonts w:eastAsia="Times New Roman" w:cs="Arial"/>
          <w:color w:val="000000"/>
          <w:lang w:val="en-US"/>
        </w:rPr>
        <w:t>mL</w:t>
      </w:r>
      <w:r w:rsidRPr="007215BA">
        <w:rPr>
          <w:rFonts w:eastAsia="Times New Roman" w:cs="Arial"/>
          <w:color w:val="000000"/>
          <w:lang w:val="ru-RU"/>
        </w:rPr>
        <w:t>/</w:t>
      </w:r>
      <w:r w:rsidRPr="007215BA">
        <w:rPr>
          <w:rFonts w:eastAsia="Times New Roman" w:cs="Arial"/>
          <w:color w:val="000000"/>
          <w:lang w:val="en-US"/>
        </w:rPr>
        <w:t>min</w:t>
      </w:r>
      <w:r w:rsidRPr="007215BA">
        <w:rPr>
          <w:rFonts w:eastAsia="Times New Roman" w:cs="Arial"/>
          <w:color w:val="000000"/>
          <w:lang w:val="ru-RU"/>
        </w:rPr>
        <w:t>).</w:t>
      </w:r>
    </w:p>
    <w:p w14:paraId="3F1370DA" w14:textId="77777777" w:rsidR="007215BA" w:rsidRDefault="007215BA" w:rsidP="007215BA">
      <w:pPr>
        <w:spacing w:line="240" w:lineRule="auto"/>
        <w:rPr>
          <w:rFonts w:eastAsia="Times New Roman" w:cs="Arial"/>
          <w:i/>
          <w:iCs/>
          <w:color w:val="000000"/>
          <w:lang w:eastAsia="bg-BG"/>
        </w:rPr>
      </w:pPr>
    </w:p>
    <w:p w14:paraId="2648BF35" w14:textId="3B802B8C" w:rsidR="007215BA" w:rsidRPr="007215BA" w:rsidRDefault="007215BA" w:rsidP="007215BA">
      <w:pPr>
        <w:spacing w:line="240" w:lineRule="auto"/>
        <w:rPr>
          <w:rFonts w:eastAsia="Times New Roman" w:cs="Arial"/>
        </w:rPr>
      </w:pPr>
      <w:r w:rsidRPr="007215BA">
        <w:rPr>
          <w:rFonts w:eastAsia="Times New Roman" w:cs="Arial"/>
          <w:i/>
          <w:iCs/>
          <w:color w:val="000000"/>
          <w:lang w:eastAsia="bg-BG"/>
        </w:rPr>
        <w:t>Специални популации</w:t>
      </w:r>
    </w:p>
    <w:p w14:paraId="2B9ED393" w14:textId="77777777" w:rsidR="007215BA" w:rsidRDefault="007215BA" w:rsidP="007215BA">
      <w:pPr>
        <w:spacing w:line="240" w:lineRule="auto"/>
        <w:rPr>
          <w:rFonts w:eastAsia="Times New Roman" w:cs="Arial"/>
          <w:color w:val="000000"/>
          <w:u w:val="single"/>
          <w:lang w:eastAsia="bg-BG"/>
        </w:rPr>
      </w:pPr>
    </w:p>
    <w:p w14:paraId="4FDC0F5F" w14:textId="67DD309D"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Педиатрична популация</w:t>
      </w:r>
    </w:p>
    <w:p w14:paraId="4846956A"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Фармакокинетиката на две дози телмисартан е оценена като второстепенна цел при хипертонични пациенти (</w:t>
      </w:r>
      <w:r w:rsidRPr="007215BA">
        <w:rPr>
          <w:rFonts w:eastAsia="Times New Roman" w:cs="Arial"/>
          <w:color w:val="000000"/>
          <w:lang w:val="en-US"/>
        </w:rPr>
        <w:t>n</w:t>
      </w:r>
      <w:r w:rsidRPr="007215BA">
        <w:rPr>
          <w:rFonts w:eastAsia="Times New Roman" w:cs="Arial"/>
          <w:color w:val="000000"/>
          <w:lang w:eastAsia="bg-BG"/>
        </w:rPr>
        <w:t xml:space="preserve">=57) на възраст между 6 и под 18 години, след прием на телмисартан 1 </w:t>
      </w:r>
      <w:r w:rsidRPr="007215BA">
        <w:rPr>
          <w:rFonts w:eastAsia="Times New Roman" w:cs="Arial"/>
          <w:color w:val="000000"/>
          <w:lang w:val="en-US"/>
        </w:rPr>
        <w:t>mg</w:t>
      </w:r>
      <w:r w:rsidRPr="007215BA">
        <w:rPr>
          <w:rFonts w:eastAsia="Times New Roman" w:cs="Arial"/>
          <w:color w:val="000000"/>
          <w:lang w:val="ru-RU"/>
        </w:rPr>
        <w:t>/</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 xml:space="preserve">и 2 </w:t>
      </w:r>
      <w:r w:rsidRPr="007215BA">
        <w:rPr>
          <w:rFonts w:eastAsia="Times New Roman" w:cs="Arial"/>
          <w:color w:val="000000"/>
          <w:lang w:val="en-US"/>
        </w:rPr>
        <w:t>mg</w:t>
      </w:r>
      <w:r w:rsidRPr="007215BA">
        <w:rPr>
          <w:rFonts w:eastAsia="Times New Roman" w:cs="Arial"/>
          <w:color w:val="000000"/>
          <w:lang w:val="ru-RU"/>
        </w:rPr>
        <w:t>/</w:t>
      </w:r>
      <w:r w:rsidRPr="007215BA">
        <w:rPr>
          <w:rFonts w:eastAsia="Times New Roman" w:cs="Arial"/>
          <w:color w:val="000000"/>
          <w:lang w:val="en-US"/>
        </w:rPr>
        <w:t>kg</w:t>
      </w:r>
      <w:r w:rsidRPr="007215BA">
        <w:rPr>
          <w:rFonts w:eastAsia="Times New Roman" w:cs="Arial"/>
          <w:color w:val="000000"/>
          <w:lang w:val="ru-RU"/>
        </w:rPr>
        <w:t xml:space="preserve"> </w:t>
      </w:r>
      <w:r w:rsidRPr="007215BA">
        <w:rPr>
          <w:rFonts w:eastAsia="Times New Roman" w:cs="Arial"/>
          <w:color w:val="000000"/>
          <w:lang w:eastAsia="bg-BG"/>
        </w:rPr>
        <w:t xml:space="preserve">в продължение на 4-седмичен период на лечение. Целите, свързани с фармакокинетиката, включват определяне на равновесното състояние на </w:t>
      </w:r>
      <w:r w:rsidRPr="007215BA">
        <w:rPr>
          <w:rFonts w:eastAsia="Times New Roman" w:cs="Arial"/>
          <w:color w:val="000000"/>
          <w:lang w:eastAsia="bg-BG"/>
        </w:rPr>
        <w:lastRenderedPageBreak/>
        <w:t>телмисартан при деца и юноши и проучване на разликите, свързани с възрастта. Въпреки че проучването е прекалено малко, за да може да се направи значима оценка на фармакокинетиката при деца на възраст под 12 години, като цяло резултатите съответстват на установеното при възрастни пациенти и потвърждават нелинейностга на телмисартан, особено С</w:t>
      </w:r>
      <w:r w:rsidRPr="007215BA">
        <w:rPr>
          <w:rFonts w:eastAsia="Times New Roman" w:cs="Arial"/>
          <w:color w:val="000000"/>
          <w:lang w:val="en-US"/>
        </w:rPr>
        <w:t>max</w:t>
      </w:r>
      <w:r w:rsidRPr="007215BA">
        <w:rPr>
          <w:rFonts w:eastAsia="Times New Roman" w:cs="Arial"/>
          <w:color w:val="000000"/>
          <w:lang w:eastAsia="bg-BG"/>
        </w:rPr>
        <w:t>,</w:t>
      </w:r>
    </w:p>
    <w:p w14:paraId="0EC2D0D1" w14:textId="77777777" w:rsidR="007215BA" w:rsidRDefault="007215BA" w:rsidP="007215BA">
      <w:pPr>
        <w:spacing w:line="240" w:lineRule="auto"/>
        <w:rPr>
          <w:rFonts w:eastAsia="Times New Roman" w:cs="Arial"/>
          <w:color w:val="000000"/>
          <w:u w:val="single"/>
          <w:lang w:eastAsia="bg-BG"/>
        </w:rPr>
      </w:pPr>
    </w:p>
    <w:p w14:paraId="56DEDE8B" w14:textId="07276E65"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Пол</w:t>
      </w:r>
    </w:p>
    <w:p w14:paraId="3F0C6EEF"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 xml:space="preserve">Наблюдавани са полови различия в плазмените концентрации. Стах и </w:t>
      </w:r>
      <w:r w:rsidRPr="007215BA">
        <w:rPr>
          <w:rFonts w:eastAsia="Times New Roman" w:cs="Arial"/>
          <w:color w:val="000000"/>
          <w:lang w:val="en-US"/>
        </w:rPr>
        <w:t>AUC</w:t>
      </w:r>
      <w:r w:rsidRPr="007215BA">
        <w:rPr>
          <w:rFonts w:eastAsia="Times New Roman" w:cs="Arial"/>
          <w:color w:val="000000"/>
          <w:lang w:val="ru-RU"/>
        </w:rPr>
        <w:t xml:space="preserve"> </w:t>
      </w:r>
      <w:r w:rsidRPr="007215BA">
        <w:rPr>
          <w:rFonts w:eastAsia="Times New Roman" w:cs="Arial"/>
          <w:color w:val="000000"/>
          <w:lang w:eastAsia="bg-BG"/>
        </w:rPr>
        <w:t>съответно около 3 и 2 пъти по-високи при жените, сравнени с тези при мъжете.</w:t>
      </w:r>
    </w:p>
    <w:p w14:paraId="1DA53EDC" w14:textId="77777777" w:rsidR="007215BA" w:rsidRDefault="007215BA" w:rsidP="007215BA">
      <w:pPr>
        <w:spacing w:line="240" w:lineRule="auto"/>
        <w:rPr>
          <w:rFonts w:eastAsia="Times New Roman" w:cs="Arial"/>
          <w:color w:val="000000"/>
          <w:u w:val="single"/>
          <w:lang w:eastAsia="bg-BG"/>
        </w:rPr>
      </w:pPr>
    </w:p>
    <w:p w14:paraId="5B08AB01" w14:textId="62D19746"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Старческа възраст</w:t>
      </w:r>
    </w:p>
    <w:p w14:paraId="76951994"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Фармакокинетиката на телмисартан не се различава между пациенти в напреднала възраст и тези, по- млади от 65 години.</w:t>
      </w:r>
    </w:p>
    <w:p w14:paraId="4B5673AE" w14:textId="77777777" w:rsidR="007215BA" w:rsidRDefault="007215BA" w:rsidP="007215BA">
      <w:pPr>
        <w:spacing w:line="240" w:lineRule="auto"/>
        <w:rPr>
          <w:rFonts w:eastAsia="Times New Roman" w:cs="Arial"/>
          <w:color w:val="000000"/>
          <w:u w:val="single"/>
          <w:lang w:eastAsia="bg-BG"/>
        </w:rPr>
      </w:pPr>
    </w:p>
    <w:p w14:paraId="51034943" w14:textId="67693D02"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Бъбречни увреждания</w:t>
      </w:r>
    </w:p>
    <w:p w14:paraId="061E6AFB"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При пациенти с леки до умерени и тежки увреждания на бъбречната функция се наблюдава удвояване на плазмените концентрации. Наблюдават се по-ниски плазмени концентрации при пациенти с бъбречна недостатъчност, подложени на диализа. При болни с бъбречна недостатъчност телмисартан се свързва в голяма степен с плазмените протеини и не може да бъде отделен при диализа. При пациенти с бъбречни увреждания елиминационният полуживот не е променен.</w:t>
      </w:r>
    </w:p>
    <w:p w14:paraId="08197206" w14:textId="77777777" w:rsidR="007215BA" w:rsidRDefault="007215BA" w:rsidP="007215BA">
      <w:pPr>
        <w:spacing w:line="240" w:lineRule="auto"/>
        <w:rPr>
          <w:rFonts w:eastAsia="Times New Roman" w:cs="Arial"/>
          <w:color w:val="000000"/>
          <w:u w:val="single"/>
          <w:lang w:eastAsia="bg-BG"/>
        </w:rPr>
      </w:pPr>
    </w:p>
    <w:p w14:paraId="57FAD847" w14:textId="4EA0C103" w:rsidR="007215BA" w:rsidRPr="007215BA" w:rsidRDefault="007215BA" w:rsidP="007215BA">
      <w:pPr>
        <w:spacing w:line="240" w:lineRule="auto"/>
        <w:rPr>
          <w:rFonts w:eastAsia="Times New Roman" w:cs="Arial"/>
        </w:rPr>
      </w:pPr>
      <w:r w:rsidRPr="007215BA">
        <w:rPr>
          <w:rFonts w:eastAsia="Times New Roman" w:cs="Arial"/>
          <w:color w:val="000000"/>
          <w:u w:val="single"/>
          <w:lang w:eastAsia="bg-BG"/>
        </w:rPr>
        <w:t>Чернодробни увреждания</w:t>
      </w:r>
    </w:p>
    <w:p w14:paraId="0B52C40B" w14:textId="5338132A" w:rsidR="007215BA" w:rsidRDefault="007215BA" w:rsidP="007215BA">
      <w:pPr>
        <w:rPr>
          <w:rFonts w:eastAsia="Times New Roman" w:cs="Arial"/>
          <w:i/>
          <w:iCs/>
          <w:color w:val="000000"/>
          <w:lang w:eastAsia="bg-BG"/>
        </w:rPr>
      </w:pPr>
      <w:r w:rsidRPr="007215BA">
        <w:rPr>
          <w:rFonts w:eastAsia="Times New Roman" w:cs="Arial"/>
          <w:color w:val="000000"/>
          <w:lang w:eastAsia="bg-BG"/>
        </w:rPr>
        <w:t xml:space="preserve">Фармакокинетичните проучвания при пациенти с чернодробни увреждания показват повишаване на абсолютната бионаличност до около 100%. При пациенти с чернодробни увреждания елиминациоиният полуживот не е </w:t>
      </w:r>
      <w:r w:rsidRPr="007215BA">
        <w:rPr>
          <w:rFonts w:eastAsia="Times New Roman" w:cs="Arial"/>
          <w:i/>
          <w:iCs/>
          <w:color w:val="000000"/>
          <w:lang w:eastAsia="bg-BG"/>
        </w:rPr>
        <w:t>променен.</w:t>
      </w:r>
    </w:p>
    <w:p w14:paraId="29441AEF" w14:textId="77777777" w:rsidR="007215BA" w:rsidRPr="007215BA" w:rsidRDefault="007215BA" w:rsidP="007215BA">
      <w:pPr>
        <w:rPr>
          <w:rFonts w:cs="Arial"/>
        </w:rPr>
      </w:pPr>
    </w:p>
    <w:p w14:paraId="4F31844C" w14:textId="34CA1326" w:rsidR="00875EEC" w:rsidRDefault="002C50EE" w:rsidP="005726E3">
      <w:pPr>
        <w:pStyle w:val="Heading2"/>
      </w:pPr>
      <w:r>
        <w:t>5.3. Предклинични данни за безопасност</w:t>
      </w:r>
    </w:p>
    <w:p w14:paraId="474D67DB" w14:textId="7F96083C" w:rsidR="007215BA" w:rsidRDefault="007215BA" w:rsidP="007215BA"/>
    <w:p w14:paraId="2F204612" w14:textId="77777777" w:rsidR="007215BA" w:rsidRPr="007215BA" w:rsidRDefault="007215BA" w:rsidP="007215BA">
      <w:pPr>
        <w:spacing w:line="240" w:lineRule="auto"/>
        <w:rPr>
          <w:rFonts w:eastAsia="Times New Roman" w:cs="Arial"/>
        </w:rPr>
      </w:pPr>
      <w:r w:rsidRPr="007215BA">
        <w:rPr>
          <w:rFonts w:eastAsia="Times New Roman" w:cs="Arial"/>
          <w:color w:val="000000"/>
          <w:lang w:eastAsia="bg-BG"/>
        </w:rPr>
        <w:t>При предклинични проучвания за безопасност, дози, сравними с тези в клиничния терапевтичен диапазон, са предизвикали намаляване на параметрите на червените кръвни клетки (еритроцити, хемоглобин, хематокрит), промени в бъбречната хемодинамика (повишено ниво на азот в кръвта и креатинин), както и повишен калий в серума на нормотензивни животни. При кучета са наблюдавани бъбречна тубуларна дилатация и атрофия. При плъхове и кучета е отбелязано също увреждане на стомашната му коза (ерозия, язви или възпаление). Тези фармакологично медиирани нежелани лекарствени реакции, известни от предклиничните проучвания с инхибитори на ангиотензин конвертиращия ензим и антагонисти на ангиотензин II рецептора, са предотвратени чрез перорално добавяне на физиологичен разтвор.</w:t>
      </w:r>
    </w:p>
    <w:p w14:paraId="2A2DB3F9" w14:textId="77777777" w:rsidR="007215BA" w:rsidRDefault="007215BA" w:rsidP="007215BA">
      <w:pPr>
        <w:spacing w:line="240" w:lineRule="auto"/>
        <w:rPr>
          <w:rFonts w:eastAsia="Times New Roman" w:cs="Arial"/>
          <w:color w:val="000000"/>
          <w:lang w:eastAsia="bg-BG"/>
        </w:rPr>
      </w:pPr>
    </w:p>
    <w:p w14:paraId="39C6D12B" w14:textId="4EDCED88" w:rsidR="007215BA" w:rsidRDefault="007215BA" w:rsidP="007215BA">
      <w:pPr>
        <w:spacing w:line="240" w:lineRule="auto"/>
        <w:rPr>
          <w:rFonts w:eastAsia="Times New Roman" w:cs="Arial"/>
          <w:color w:val="000000"/>
          <w:lang w:eastAsia="bg-BG"/>
        </w:rPr>
      </w:pPr>
      <w:r w:rsidRPr="007215BA">
        <w:rPr>
          <w:rFonts w:eastAsia="Times New Roman" w:cs="Arial"/>
          <w:color w:val="000000"/>
          <w:lang w:eastAsia="bg-BG"/>
        </w:rPr>
        <w:t>При двата вида животни са наблюдавани повишена активност на плазмения ренин и хипертрофия/хиперплазия на юкстагломерулните клетки. Тези промени, които са също и ефект</w:t>
      </w:r>
      <w:r>
        <w:rPr>
          <w:rFonts w:eastAsia="Times New Roman" w:cs="Arial"/>
        </w:rPr>
        <w:t xml:space="preserve"> </w:t>
      </w:r>
      <w:r w:rsidRPr="007215BA">
        <w:rPr>
          <w:rFonts w:eastAsia="Times New Roman" w:cs="Arial"/>
          <w:color w:val="000000"/>
          <w:lang w:eastAsia="bg-BG"/>
        </w:rPr>
        <w:t xml:space="preserve">на инхибиторите на ангиотензин конвертиращия ензим и на други ангиотензин </w:t>
      </w:r>
      <w:r w:rsidRPr="007215BA">
        <w:rPr>
          <w:rFonts w:eastAsia="Times New Roman" w:cs="Arial"/>
          <w:color w:val="000000"/>
          <w:lang w:val="en-US"/>
        </w:rPr>
        <w:t>II</w:t>
      </w:r>
      <w:r w:rsidRPr="007215BA">
        <w:rPr>
          <w:rFonts w:eastAsia="Times New Roman" w:cs="Arial"/>
          <w:color w:val="000000"/>
          <w:lang w:val="ru-RU"/>
        </w:rPr>
        <w:t xml:space="preserve"> </w:t>
      </w:r>
      <w:r w:rsidRPr="007215BA">
        <w:rPr>
          <w:rFonts w:eastAsia="Times New Roman" w:cs="Arial"/>
          <w:color w:val="000000"/>
          <w:lang w:eastAsia="bg-BG"/>
        </w:rPr>
        <w:t>рецепторни антагонисти, нямат клинична значимост.</w:t>
      </w:r>
    </w:p>
    <w:p w14:paraId="0C9150E1" w14:textId="3DD86C61" w:rsidR="007215BA" w:rsidRDefault="007215BA" w:rsidP="007215BA">
      <w:pPr>
        <w:spacing w:line="240" w:lineRule="auto"/>
        <w:rPr>
          <w:rFonts w:eastAsia="Times New Roman" w:cs="Arial"/>
          <w:color w:val="000000"/>
          <w:lang w:eastAsia="bg-BG"/>
        </w:rPr>
      </w:pPr>
    </w:p>
    <w:p w14:paraId="61CABF96" w14:textId="77777777" w:rsidR="007215BA" w:rsidRPr="007215BA" w:rsidRDefault="007215BA" w:rsidP="007215BA">
      <w:pPr>
        <w:spacing w:line="240" w:lineRule="auto"/>
        <w:rPr>
          <w:rFonts w:eastAsia="Times New Roman" w:cs="Arial"/>
          <w:sz w:val="12"/>
          <w:szCs w:val="24"/>
        </w:rPr>
      </w:pPr>
      <w:r w:rsidRPr="007215BA">
        <w:rPr>
          <w:rFonts w:eastAsia="Times New Roman" w:cs="Arial"/>
          <w:color w:val="000000"/>
          <w:szCs w:val="42"/>
          <w:lang w:eastAsia="bg-BG"/>
        </w:rPr>
        <w:t>Няма категорични доказателства за тератогенен ефект, макар че при токсични дозови нива на телмисартан е наблюдаван ефект върху постнаталното развитие на поколението, напр. по-ниско родилно тегло и забавено отваряне на очите.</w:t>
      </w:r>
    </w:p>
    <w:p w14:paraId="5D659A48" w14:textId="77777777" w:rsidR="007215BA" w:rsidRPr="007215BA" w:rsidRDefault="007215BA" w:rsidP="007215BA">
      <w:pPr>
        <w:spacing w:line="240" w:lineRule="auto"/>
        <w:rPr>
          <w:rFonts w:eastAsia="Times New Roman" w:cs="Arial"/>
          <w:color w:val="000000"/>
          <w:szCs w:val="42"/>
          <w:lang w:eastAsia="bg-BG"/>
        </w:rPr>
      </w:pPr>
    </w:p>
    <w:p w14:paraId="3A24D3A8" w14:textId="31D898AB" w:rsidR="007215BA" w:rsidRPr="007215BA" w:rsidRDefault="007215BA" w:rsidP="007215BA">
      <w:pPr>
        <w:spacing w:line="240" w:lineRule="auto"/>
        <w:rPr>
          <w:rFonts w:eastAsia="Times New Roman" w:cs="Arial"/>
          <w:sz w:val="12"/>
          <w:szCs w:val="24"/>
        </w:rPr>
      </w:pPr>
      <w:r w:rsidRPr="007215BA">
        <w:rPr>
          <w:rFonts w:eastAsia="Times New Roman" w:cs="Arial"/>
          <w:color w:val="000000"/>
          <w:szCs w:val="42"/>
          <w:lang w:eastAsia="bg-BG"/>
        </w:rPr>
        <w:lastRenderedPageBreak/>
        <w:t xml:space="preserve">Няма данни за мутагенна и съответна кластогенна активност при изпитвания </w:t>
      </w:r>
      <w:r w:rsidRPr="007215BA">
        <w:rPr>
          <w:rFonts w:eastAsia="Times New Roman" w:cs="Arial"/>
          <w:i/>
          <w:iCs/>
          <w:color w:val="000000"/>
          <w:szCs w:val="42"/>
          <w:lang w:val="en-US"/>
        </w:rPr>
        <w:t>in</w:t>
      </w:r>
      <w:r w:rsidRPr="007215BA">
        <w:rPr>
          <w:rFonts w:eastAsia="Times New Roman" w:cs="Arial"/>
          <w:i/>
          <w:iCs/>
          <w:color w:val="000000"/>
          <w:szCs w:val="42"/>
          <w:lang w:val="ru-RU"/>
        </w:rPr>
        <w:t xml:space="preserve"> </w:t>
      </w:r>
      <w:r w:rsidRPr="007215BA">
        <w:rPr>
          <w:rFonts w:eastAsia="Times New Roman" w:cs="Arial"/>
          <w:i/>
          <w:iCs/>
          <w:color w:val="000000"/>
          <w:szCs w:val="42"/>
          <w:lang w:val="en-US"/>
        </w:rPr>
        <w:t>vitro</w:t>
      </w:r>
      <w:r w:rsidRPr="007215BA">
        <w:rPr>
          <w:rFonts w:eastAsia="Times New Roman" w:cs="Arial"/>
          <w:color w:val="000000"/>
          <w:szCs w:val="42"/>
          <w:lang w:val="ru-RU"/>
        </w:rPr>
        <w:t xml:space="preserve"> </w:t>
      </w:r>
      <w:r w:rsidRPr="007215BA">
        <w:rPr>
          <w:rFonts w:eastAsia="Times New Roman" w:cs="Arial"/>
          <w:color w:val="000000"/>
          <w:szCs w:val="42"/>
          <w:lang w:eastAsia="bg-BG"/>
        </w:rPr>
        <w:t>и за карциногенност при плъхове и мишки.</w:t>
      </w:r>
    </w:p>
    <w:p w14:paraId="32C29843" w14:textId="77777777" w:rsidR="007215BA" w:rsidRPr="007215BA" w:rsidRDefault="007215BA" w:rsidP="007215BA">
      <w:pPr>
        <w:spacing w:line="240" w:lineRule="auto"/>
        <w:rPr>
          <w:rFonts w:eastAsia="Times New Roman" w:cs="Arial"/>
        </w:rPr>
      </w:pPr>
    </w:p>
    <w:p w14:paraId="1BA6531D" w14:textId="3FC0E555" w:rsidR="00B6672E" w:rsidRDefault="002C50EE" w:rsidP="00936AD0">
      <w:pPr>
        <w:pStyle w:val="Heading1"/>
      </w:pPr>
      <w:r>
        <w:t>7. ПРИТЕЖАТЕЛ НА РАЗРЕШЕНИЕТО ЗА УПОТРЕБА</w:t>
      </w:r>
    </w:p>
    <w:p w14:paraId="662AB9EE" w14:textId="102BC751" w:rsidR="007215BA" w:rsidRDefault="007215BA" w:rsidP="007215BA"/>
    <w:p w14:paraId="7A8A1875" w14:textId="3E463F6E" w:rsidR="007215BA" w:rsidRDefault="007215BA" w:rsidP="007215BA">
      <w:r>
        <w:t>Gedeon Richter P</w:t>
      </w:r>
      <w:r>
        <w:rPr>
          <w:lang w:val="en-US"/>
        </w:rPr>
        <w:t>l</w:t>
      </w:r>
      <w:r>
        <w:t>c.</w:t>
      </w:r>
    </w:p>
    <w:p w14:paraId="7C355E41" w14:textId="77777777" w:rsidR="007215BA" w:rsidRDefault="007215BA" w:rsidP="007215BA">
      <w:pPr>
        <w:rPr>
          <w:rFonts w:ascii="Times New Roman" w:eastAsia="Times New Roman" w:hAnsi="Times New Roman" w:cs="Times New Roman"/>
          <w:color w:val="000000"/>
          <w:lang w:val="en-US"/>
        </w:rPr>
      </w:pPr>
      <w:r w:rsidRPr="007215BA">
        <w:rPr>
          <w:rFonts w:ascii="Times New Roman" w:eastAsia="Times New Roman" w:hAnsi="Times New Roman" w:cs="Times New Roman"/>
          <w:color w:val="000000"/>
          <w:lang w:eastAsia="bg-BG"/>
        </w:rPr>
        <w:t xml:space="preserve">1103 </w:t>
      </w:r>
      <w:r w:rsidRPr="007215BA">
        <w:rPr>
          <w:rFonts w:ascii="Times New Roman" w:eastAsia="Times New Roman" w:hAnsi="Times New Roman" w:cs="Times New Roman"/>
          <w:color w:val="000000"/>
          <w:lang w:val="en-US"/>
        </w:rPr>
        <w:t xml:space="preserve">Budapest, </w:t>
      </w:r>
    </w:p>
    <w:p w14:paraId="74680B9E" w14:textId="55280ADB" w:rsidR="007215BA" w:rsidRPr="007215BA" w:rsidRDefault="007215BA" w:rsidP="007215BA">
      <w:pPr>
        <w:rPr>
          <w:rFonts w:ascii="Times New Roman" w:eastAsia="Times New Roman" w:hAnsi="Times New Roman" w:cs="Times New Roman"/>
          <w:sz w:val="24"/>
          <w:szCs w:val="24"/>
          <w:lang w:val="en-US"/>
        </w:rPr>
      </w:pPr>
      <w:proofErr w:type="spellStart"/>
      <w:r w:rsidRPr="007215BA">
        <w:rPr>
          <w:rFonts w:ascii="Times New Roman" w:eastAsia="Times New Roman" w:hAnsi="Times New Roman" w:cs="Times New Roman"/>
          <w:color w:val="000000"/>
          <w:lang w:val="en-US"/>
        </w:rPr>
        <w:t>Gyomroi</w:t>
      </w:r>
      <w:proofErr w:type="spellEnd"/>
      <w:r w:rsidRPr="007215BA">
        <w:rPr>
          <w:rFonts w:ascii="Times New Roman" w:eastAsia="Times New Roman" w:hAnsi="Times New Roman" w:cs="Times New Roman"/>
          <w:color w:val="000000"/>
          <w:lang w:val="en-US"/>
        </w:rPr>
        <w:t xml:space="preserve"> </w:t>
      </w:r>
      <w:proofErr w:type="spellStart"/>
      <w:r w:rsidRPr="007215BA">
        <w:rPr>
          <w:rFonts w:ascii="Times New Roman" w:eastAsia="Times New Roman" w:hAnsi="Times New Roman" w:cs="Times New Roman"/>
          <w:color w:val="000000"/>
          <w:lang w:val="en-US"/>
        </w:rPr>
        <w:t>ut</w:t>
      </w:r>
      <w:proofErr w:type="spellEnd"/>
      <w:r w:rsidRPr="007215BA">
        <w:rPr>
          <w:rFonts w:ascii="Times New Roman" w:eastAsia="Times New Roman" w:hAnsi="Times New Roman" w:cs="Times New Roman"/>
          <w:color w:val="000000"/>
          <w:lang w:val="en-US"/>
        </w:rPr>
        <w:t xml:space="preserve"> 19-21.</w:t>
      </w:r>
    </w:p>
    <w:p w14:paraId="5692B49F" w14:textId="77777777" w:rsidR="007215BA" w:rsidRPr="007215BA" w:rsidRDefault="007215BA" w:rsidP="007215BA">
      <w:pPr>
        <w:rPr>
          <w:rFonts w:ascii="Times New Roman" w:eastAsia="Times New Roman" w:hAnsi="Times New Roman" w:cs="Times New Roman"/>
          <w:sz w:val="24"/>
          <w:szCs w:val="24"/>
          <w:lang w:val="ru-RU"/>
        </w:rPr>
      </w:pPr>
      <w:r w:rsidRPr="007215BA">
        <w:rPr>
          <w:rFonts w:ascii="Times New Roman" w:eastAsia="Times New Roman" w:hAnsi="Times New Roman" w:cs="Times New Roman"/>
          <w:color w:val="000000"/>
          <w:lang w:eastAsia="bg-BG"/>
        </w:rPr>
        <w:t>Унгария</w:t>
      </w:r>
    </w:p>
    <w:p w14:paraId="27FC34C1" w14:textId="77777777" w:rsidR="007215BA" w:rsidRPr="007215BA" w:rsidRDefault="007215BA" w:rsidP="007215BA">
      <w:pPr>
        <w:rPr>
          <w:lang w:val="ru-RU"/>
        </w:rPr>
      </w:pPr>
    </w:p>
    <w:p w14:paraId="508F3A54" w14:textId="266DD6A1" w:rsidR="00B6672E" w:rsidRDefault="00936AD0" w:rsidP="00936AD0">
      <w:pPr>
        <w:pStyle w:val="Heading1"/>
      </w:pPr>
      <w:r>
        <w:t>8.</w:t>
      </w:r>
      <w:r w:rsidR="002C50EE">
        <w:t>НОМЕР НА РАЗРЕШЕНИЕТО ЗА УПОТРЕБА</w:t>
      </w:r>
    </w:p>
    <w:p w14:paraId="5ECFB16F" w14:textId="60D6CC15" w:rsidR="007215BA" w:rsidRDefault="007215BA" w:rsidP="007215BA"/>
    <w:p w14:paraId="74805E3C" w14:textId="77777777" w:rsidR="007215BA" w:rsidRPr="007215BA" w:rsidRDefault="007215BA" w:rsidP="007215BA">
      <w:pPr>
        <w:rPr>
          <w:sz w:val="24"/>
          <w:szCs w:val="24"/>
        </w:rPr>
      </w:pPr>
      <w:r w:rsidRPr="007215BA">
        <w:rPr>
          <w:lang w:eastAsia="bg-BG"/>
        </w:rPr>
        <w:t xml:space="preserve">Танидон </w:t>
      </w:r>
      <w:r w:rsidRPr="007215BA">
        <w:rPr>
          <w:lang w:val="ru-RU"/>
        </w:rPr>
        <w:t>40</w:t>
      </w:r>
      <w:r w:rsidRPr="007215BA">
        <w:rPr>
          <w:lang w:val="en-US"/>
        </w:rPr>
        <w:t>mg</w:t>
      </w:r>
      <w:r w:rsidRPr="007215BA">
        <w:rPr>
          <w:lang w:val="ru-RU"/>
        </w:rPr>
        <w:t xml:space="preserve"> </w:t>
      </w:r>
      <w:r w:rsidRPr="007215BA">
        <w:rPr>
          <w:lang w:eastAsia="bg-BG"/>
        </w:rPr>
        <w:t>филмирани таблетки: 20110394</w:t>
      </w:r>
    </w:p>
    <w:p w14:paraId="7BAC1250" w14:textId="77777777" w:rsidR="007215BA" w:rsidRPr="007215BA" w:rsidRDefault="007215BA" w:rsidP="007215BA">
      <w:pPr>
        <w:rPr>
          <w:sz w:val="24"/>
          <w:szCs w:val="24"/>
        </w:rPr>
      </w:pPr>
      <w:r w:rsidRPr="007215BA">
        <w:rPr>
          <w:lang w:eastAsia="bg-BG"/>
        </w:rPr>
        <w:t xml:space="preserve">Танидон </w:t>
      </w:r>
      <w:r w:rsidRPr="007215BA">
        <w:rPr>
          <w:lang w:val="ru-RU"/>
        </w:rPr>
        <w:t>80</w:t>
      </w:r>
      <w:r w:rsidRPr="007215BA">
        <w:rPr>
          <w:lang w:val="en-US"/>
        </w:rPr>
        <w:t>mg</w:t>
      </w:r>
      <w:r w:rsidRPr="007215BA">
        <w:rPr>
          <w:lang w:val="ru-RU"/>
        </w:rPr>
        <w:t xml:space="preserve"> </w:t>
      </w:r>
      <w:r w:rsidRPr="007215BA">
        <w:rPr>
          <w:lang w:eastAsia="bg-BG"/>
        </w:rPr>
        <w:t>филмирани таблетки: 20110395</w:t>
      </w:r>
    </w:p>
    <w:p w14:paraId="2B603CE3" w14:textId="77777777" w:rsidR="007215BA" w:rsidRPr="007215BA" w:rsidRDefault="007215BA" w:rsidP="007215BA"/>
    <w:p w14:paraId="3BC5EC53" w14:textId="13478445" w:rsidR="00875EEC" w:rsidRDefault="002C50EE" w:rsidP="005726E3">
      <w:pPr>
        <w:pStyle w:val="Heading1"/>
      </w:pPr>
      <w:r>
        <w:t>9. ДАТА НА ПЪРВО РАЗРЕШАВАНЕ/ПОДНОВЯВАНЕ НА РАЗРЕШЕНИЕТО ЗА УПОТРЕБА</w:t>
      </w:r>
    </w:p>
    <w:p w14:paraId="39AA12A0" w14:textId="4C994982" w:rsidR="007215BA" w:rsidRDefault="007215BA" w:rsidP="007215BA"/>
    <w:p w14:paraId="28CCD323" w14:textId="77777777" w:rsidR="007215BA" w:rsidRPr="007215BA" w:rsidRDefault="007215BA" w:rsidP="007215BA">
      <w:pPr>
        <w:rPr>
          <w:sz w:val="24"/>
          <w:szCs w:val="24"/>
        </w:rPr>
      </w:pPr>
      <w:r w:rsidRPr="007215BA">
        <w:rPr>
          <w:lang w:eastAsia="bg-BG"/>
        </w:rPr>
        <w:t>Дата на първо разрешаване :2 8 юни 2011</w:t>
      </w:r>
    </w:p>
    <w:p w14:paraId="2FA5E1B6" w14:textId="54CCA82D" w:rsidR="007215BA" w:rsidRPr="007215BA" w:rsidRDefault="007215BA" w:rsidP="007215BA">
      <w:r w:rsidRPr="007215BA">
        <w:rPr>
          <w:lang w:eastAsia="bg-BG"/>
        </w:rPr>
        <w:t>Дата на последно подновяване: 20 юни 2017</w:t>
      </w:r>
    </w:p>
    <w:p w14:paraId="43FB38A2" w14:textId="4A5CA49B" w:rsidR="007C605B" w:rsidRDefault="002C50EE" w:rsidP="005726E3">
      <w:pPr>
        <w:pStyle w:val="Heading1"/>
      </w:pPr>
      <w:r>
        <w:t>10. ДАТА НА АКТУАЛИЗИРАНЕ НА ТЕКСТА</w:t>
      </w:r>
      <w:bookmarkEnd w:id="0"/>
    </w:p>
    <w:p w14:paraId="5F23BB7A" w14:textId="0DF3C777" w:rsidR="007215BA" w:rsidRPr="007215BA" w:rsidRDefault="007215BA" w:rsidP="007215BA">
      <w:pPr>
        <w:rPr>
          <w:sz w:val="24"/>
          <w:szCs w:val="24"/>
        </w:rPr>
      </w:pPr>
      <w:r w:rsidRPr="007215BA">
        <w:rPr>
          <w:lang w:eastAsia="bg-BG"/>
        </w:rPr>
        <w:t>21/08/2020</w:t>
      </w:r>
      <w:bookmarkStart w:id="1" w:name="_GoBack"/>
      <w:bookmarkEnd w:id="1"/>
    </w:p>
    <w:sectPr w:rsidR="007215BA" w:rsidRPr="00721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01191"/>
    <w:multiLevelType w:val="hybridMultilevel"/>
    <w:tmpl w:val="E0E074EA"/>
    <w:lvl w:ilvl="0" w:tplc="A7388A80">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2"/>
  </w:num>
  <w:num w:numId="12">
    <w:abstractNumId w:val="15"/>
  </w:num>
  <w:num w:numId="13">
    <w:abstractNumId w:val="20"/>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8"/>
  </w:num>
  <w:num w:numId="22">
    <w:abstractNumId w:val="27"/>
  </w:num>
  <w:num w:numId="23">
    <w:abstractNumId w:val="19"/>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51EB9"/>
    <w:rsid w:val="002B3C38"/>
    <w:rsid w:val="002B4DBB"/>
    <w:rsid w:val="002C50EE"/>
    <w:rsid w:val="00340A0A"/>
    <w:rsid w:val="003765DC"/>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215BA"/>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6262</Words>
  <Characters>35699</Characters>
  <Application>Microsoft Office Word</Application>
  <DocSecurity>0</DocSecurity>
  <Lines>297</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2022-12-02T13:05:00Z</dcterms:created>
  <dcterms:modified xsi:type="dcterms:W3CDTF">2022-12-02T13:05:00Z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