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078A2BF6" w:rsidR="00DB32D3" w:rsidRDefault="00DD466D" w:rsidP="005726E3">
      <w:pPr>
        <w:pStyle w:val="Heading1"/>
      </w:pPr>
      <w:r>
        <w:t>1.ИМЕ НА ЛЕКАРСТВЕНИЯ ПРОДУКТ</w:t>
      </w:r>
    </w:p>
    <w:p w14:paraId="5AC53709" w14:textId="5ADD36B9" w:rsidR="00251EB9" w:rsidRDefault="00251EB9" w:rsidP="00251EB9"/>
    <w:p w14:paraId="67CB7780" w14:textId="77777777" w:rsidR="00251EB9" w:rsidRPr="00251EB9" w:rsidRDefault="00251EB9" w:rsidP="00251EB9">
      <w:pPr>
        <w:spacing w:line="240" w:lineRule="auto"/>
        <w:rPr>
          <w:rFonts w:eastAsia="Times New Roman" w:cs="Arial"/>
          <w:sz w:val="12"/>
          <w:szCs w:val="24"/>
          <w:lang w:val="ru-RU"/>
        </w:rPr>
      </w:pPr>
      <w:r w:rsidRPr="00251EB9">
        <w:rPr>
          <w:rFonts w:eastAsia="Times New Roman" w:cs="Arial"/>
          <w:color w:val="000000"/>
          <w:szCs w:val="42"/>
          <w:lang w:eastAsia="bg-BG"/>
        </w:rPr>
        <w:t xml:space="preserve">ТАНИДОН 40 </w:t>
      </w:r>
      <w:r w:rsidRPr="00251EB9">
        <w:rPr>
          <w:rFonts w:eastAsia="Times New Roman" w:cs="Arial"/>
          <w:color w:val="000000"/>
          <w:szCs w:val="42"/>
          <w:lang w:val="en-US"/>
        </w:rPr>
        <w:t>mg</w:t>
      </w:r>
      <w:r w:rsidRPr="00251EB9">
        <w:rPr>
          <w:rFonts w:eastAsia="Times New Roman" w:cs="Arial"/>
          <w:color w:val="000000"/>
          <w:szCs w:val="42"/>
          <w:lang w:val="ru-RU"/>
        </w:rPr>
        <w:t xml:space="preserve"> </w:t>
      </w:r>
      <w:r w:rsidRPr="00251EB9">
        <w:rPr>
          <w:rFonts w:eastAsia="Times New Roman" w:cs="Arial"/>
          <w:color w:val="000000"/>
          <w:szCs w:val="42"/>
          <w:lang w:eastAsia="bg-BG"/>
        </w:rPr>
        <w:t>филмирани таблетки</w:t>
      </w:r>
    </w:p>
    <w:p w14:paraId="03B44C7C" w14:textId="77777777" w:rsidR="00251EB9" w:rsidRPr="00251EB9" w:rsidRDefault="00251EB9" w:rsidP="00251EB9">
      <w:pPr>
        <w:spacing w:line="240" w:lineRule="auto"/>
        <w:rPr>
          <w:rFonts w:eastAsia="Times New Roman" w:cs="Arial"/>
          <w:sz w:val="12"/>
          <w:szCs w:val="24"/>
          <w:lang w:val="ru-RU"/>
        </w:rPr>
      </w:pPr>
      <w:r w:rsidRPr="00251EB9">
        <w:rPr>
          <w:rFonts w:eastAsia="Times New Roman" w:cs="Arial"/>
          <w:color w:val="000000"/>
          <w:szCs w:val="42"/>
          <w:lang w:eastAsia="bg-BG"/>
        </w:rPr>
        <w:t xml:space="preserve">ТАНИДОН 80 </w:t>
      </w:r>
      <w:r w:rsidRPr="00251EB9">
        <w:rPr>
          <w:rFonts w:eastAsia="Times New Roman" w:cs="Arial"/>
          <w:color w:val="000000"/>
          <w:szCs w:val="42"/>
          <w:lang w:val="en-US"/>
        </w:rPr>
        <w:t>mg</w:t>
      </w:r>
      <w:r w:rsidRPr="00251EB9">
        <w:rPr>
          <w:rFonts w:eastAsia="Times New Roman" w:cs="Arial"/>
          <w:color w:val="000000"/>
          <w:szCs w:val="42"/>
          <w:lang w:val="ru-RU"/>
        </w:rPr>
        <w:t xml:space="preserve"> </w:t>
      </w:r>
      <w:r w:rsidRPr="00251EB9">
        <w:rPr>
          <w:rFonts w:eastAsia="Times New Roman" w:cs="Arial"/>
          <w:color w:val="000000"/>
          <w:szCs w:val="42"/>
          <w:lang w:eastAsia="bg-BG"/>
        </w:rPr>
        <w:t>филмирани таблетки</w:t>
      </w:r>
    </w:p>
    <w:p w14:paraId="149DECBF" w14:textId="77777777" w:rsidR="00251EB9" w:rsidRPr="00251EB9" w:rsidRDefault="00251EB9" w:rsidP="00251EB9">
      <w:pPr>
        <w:spacing w:line="240" w:lineRule="auto"/>
        <w:rPr>
          <w:rFonts w:eastAsia="Times New Roman" w:cs="Arial"/>
          <w:color w:val="000000"/>
          <w:szCs w:val="42"/>
          <w:lang w:val="ru-RU"/>
        </w:rPr>
      </w:pPr>
    </w:p>
    <w:p w14:paraId="36E6E280" w14:textId="6461BD09" w:rsidR="00251EB9" w:rsidRPr="00251EB9" w:rsidRDefault="00251EB9" w:rsidP="00251EB9">
      <w:pPr>
        <w:spacing w:line="240" w:lineRule="auto"/>
        <w:rPr>
          <w:rFonts w:eastAsia="Times New Roman" w:cs="Arial"/>
          <w:sz w:val="12"/>
          <w:szCs w:val="24"/>
          <w:lang w:val="en-US"/>
        </w:rPr>
      </w:pPr>
      <w:r w:rsidRPr="00251EB9">
        <w:rPr>
          <w:rFonts w:eastAsia="Times New Roman" w:cs="Arial"/>
          <w:color w:val="000000"/>
          <w:szCs w:val="42"/>
          <w:lang w:val="en-US"/>
        </w:rPr>
        <w:t xml:space="preserve">TANYDON </w:t>
      </w:r>
      <w:r w:rsidRPr="00251EB9">
        <w:rPr>
          <w:rFonts w:eastAsia="Times New Roman" w:cs="Arial"/>
          <w:color w:val="000000"/>
          <w:szCs w:val="42"/>
          <w:lang w:eastAsia="bg-BG"/>
        </w:rPr>
        <w:t xml:space="preserve">40 </w:t>
      </w:r>
      <w:r w:rsidRPr="00251EB9">
        <w:rPr>
          <w:rFonts w:eastAsia="Times New Roman" w:cs="Arial"/>
          <w:color w:val="000000"/>
          <w:szCs w:val="42"/>
          <w:lang w:val="en-US"/>
        </w:rPr>
        <w:t>mg film-coated tablets</w:t>
      </w:r>
    </w:p>
    <w:p w14:paraId="528C1DD8" w14:textId="77777777" w:rsidR="00251EB9" w:rsidRPr="00251EB9" w:rsidRDefault="00251EB9" w:rsidP="00251EB9">
      <w:pPr>
        <w:spacing w:line="240" w:lineRule="auto"/>
        <w:rPr>
          <w:rFonts w:eastAsia="Times New Roman" w:cs="Arial"/>
          <w:sz w:val="12"/>
          <w:szCs w:val="24"/>
          <w:lang w:val="en-US"/>
        </w:rPr>
      </w:pPr>
      <w:r w:rsidRPr="00251EB9">
        <w:rPr>
          <w:rFonts w:eastAsia="Times New Roman" w:cs="Arial"/>
          <w:color w:val="000000"/>
          <w:szCs w:val="42"/>
          <w:lang w:val="en-US"/>
        </w:rPr>
        <w:t>TANYDON 80 mg film-coated tablets</w:t>
      </w:r>
    </w:p>
    <w:p w14:paraId="73894AF8" w14:textId="77777777" w:rsidR="00251EB9" w:rsidRPr="00251EB9" w:rsidRDefault="00251EB9" w:rsidP="00251EB9"/>
    <w:p w14:paraId="48E6CABE" w14:textId="6A007509" w:rsidR="00DB32D3" w:rsidRDefault="00DD466D" w:rsidP="005726E3">
      <w:pPr>
        <w:pStyle w:val="Heading1"/>
      </w:pPr>
      <w:r>
        <w:t>2. КАЧЕСТВЕН И КОЛИЧЕСТВЕН СЪСТАВ</w:t>
      </w:r>
    </w:p>
    <w:p w14:paraId="2E96C7E4" w14:textId="697F45B3" w:rsidR="00251EB9" w:rsidRDefault="00251EB9" w:rsidP="00251EB9"/>
    <w:p w14:paraId="1C698016"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40 </w:t>
      </w:r>
      <w:r w:rsidRPr="00251EB9">
        <w:rPr>
          <w:rFonts w:eastAsia="Times New Roman" w:cs="Arial"/>
          <w:color w:val="000000"/>
          <w:u w:val="single"/>
          <w:lang w:val="en-US"/>
        </w:rPr>
        <w:t>mg</w:t>
      </w:r>
      <w:r w:rsidRPr="00251EB9">
        <w:rPr>
          <w:rFonts w:eastAsia="Times New Roman" w:cs="Arial"/>
          <w:color w:val="000000"/>
          <w:u w:val="single"/>
        </w:rPr>
        <w:t xml:space="preserve"> </w:t>
      </w:r>
      <w:r w:rsidRPr="00251EB9">
        <w:rPr>
          <w:rFonts w:eastAsia="Times New Roman" w:cs="Arial"/>
          <w:color w:val="000000"/>
          <w:u w:val="single"/>
          <w:lang w:eastAsia="bg-BG"/>
        </w:rPr>
        <w:t>филмирани таблетки</w:t>
      </w:r>
    </w:p>
    <w:p w14:paraId="1663935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Всяка филмирана таблетка съдържа 40 </w:t>
      </w:r>
      <w:r w:rsidRPr="00251EB9">
        <w:rPr>
          <w:rFonts w:eastAsia="Times New Roman" w:cs="Arial"/>
          <w:color w:val="000000"/>
          <w:lang w:val="en-US"/>
        </w:rPr>
        <w:t>mg</w:t>
      </w:r>
      <w:r w:rsidRPr="00251EB9">
        <w:rPr>
          <w:rFonts w:eastAsia="Times New Roman" w:cs="Arial"/>
          <w:color w:val="000000"/>
        </w:rPr>
        <w:t xml:space="preserve"> </w:t>
      </w:r>
      <w:r w:rsidRPr="00251EB9">
        <w:rPr>
          <w:rFonts w:eastAsia="Times New Roman" w:cs="Arial"/>
          <w:color w:val="000000"/>
          <w:lang w:eastAsia="bg-BG"/>
        </w:rPr>
        <w:t xml:space="preserve">телмисартан </w:t>
      </w:r>
      <w:r w:rsidRPr="00251EB9">
        <w:rPr>
          <w:rFonts w:eastAsia="Times New Roman" w:cs="Arial"/>
          <w:i/>
          <w:iCs/>
          <w:color w:val="000000"/>
        </w:rPr>
        <w:t>(</w:t>
      </w:r>
      <w:proofErr w:type="spellStart"/>
      <w:r w:rsidRPr="00251EB9">
        <w:rPr>
          <w:rFonts w:eastAsia="Times New Roman" w:cs="Arial"/>
          <w:i/>
          <w:iCs/>
          <w:color w:val="000000"/>
          <w:lang w:val="en-US"/>
        </w:rPr>
        <w:t>telmisartan</w:t>
      </w:r>
      <w:proofErr w:type="spellEnd"/>
      <w:r w:rsidRPr="00251EB9">
        <w:rPr>
          <w:rFonts w:eastAsia="Times New Roman" w:cs="Arial"/>
          <w:i/>
          <w:iCs/>
          <w:color w:val="000000"/>
        </w:rPr>
        <w:t>).</w:t>
      </w:r>
    </w:p>
    <w:p w14:paraId="0517AE00"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Помощни вещества с известно действие:</w:t>
      </w:r>
      <w:r w:rsidRPr="00251EB9">
        <w:rPr>
          <w:rFonts w:eastAsia="Times New Roman" w:cs="Arial"/>
          <w:color w:val="000000"/>
          <w:lang w:eastAsia="bg-BG"/>
        </w:rPr>
        <w:t xml:space="preserve"> 217,35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лактоза (като лактоза монохидрат)</w:t>
      </w:r>
    </w:p>
    <w:p w14:paraId="63354DC9" w14:textId="77777777" w:rsidR="00251EB9" w:rsidRPr="00251EB9" w:rsidRDefault="00251EB9" w:rsidP="00251EB9">
      <w:pPr>
        <w:spacing w:line="240" w:lineRule="auto"/>
        <w:rPr>
          <w:rFonts w:eastAsia="Times New Roman" w:cs="Arial"/>
          <w:color w:val="000000"/>
          <w:u w:val="single"/>
          <w:lang w:eastAsia="bg-BG"/>
        </w:rPr>
      </w:pPr>
    </w:p>
    <w:p w14:paraId="787AD71D" w14:textId="3683392D"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80 </w:t>
      </w:r>
      <w:r w:rsidRPr="00251EB9">
        <w:rPr>
          <w:rFonts w:eastAsia="Times New Roman" w:cs="Arial"/>
          <w:color w:val="000000"/>
          <w:u w:val="single"/>
          <w:lang w:val="en-US"/>
        </w:rPr>
        <w:t>mg</w:t>
      </w:r>
      <w:r w:rsidRPr="00251EB9">
        <w:rPr>
          <w:rFonts w:eastAsia="Times New Roman" w:cs="Arial"/>
          <w:color w:val="000000"/>
          <w:u w:val="single"/>
        </w:rPr>
        <w:t xml:space="preserve"> </w:t>
      </w:r>
      <w:r w:rsidRPr="00251EB9">
        <w:rPr>
          <w:rFonts w:eastAsia="Times New Roman" w:cs="Arial"/>
          <w:color w:val="000000"/>
          <w:u w:val="single"/>
          <w:lang w:eastAsia="bg-BG"/>
        </w:rPr>
        <w:t>Филмирани таблетки</w:t>
      </w:r>
    </w:p>
    <w:p w14:paraId="1B9B7EA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Всяка филмирана таблетка съдържа 80 </w:t>
      </w:r>
      <w:r w:rsidRPr="00251EB9">
        <w:rPr>
          <w:rFonts w:eastAsia="Times New Roman" w:cs="Arial"/>
          <w:color w:val="000000"/>
          <w:lang w:val="en-US"/>
        </w:rPr>
        <w:t>mg</w:t>
      </w:r>
      <w:r w:rsidRPr="00251EB9">
        <w:rPr>
          <w:rFonts w:eastAsia="Times New Roman" w:cs="Arial"/>
          <w:color w:val="000000"/>
        </w:rPr>
        <w:t xml:space="preserve"> </w:t>
      </w:r>
      <w:r w:rsidRPr="00251EB9">
        <w:rPr>
          <w:rFonts w:eastAsia="Times New Roman" w:cs="Arial"/>
          <w:color w:val="000000"/>
          <w:lang w:eastAsia="bg-BG"/>
        </w:rPr>
        <w:t xml:space="preserve">телмисартан </w:t>
      </w:r>
      <w:r w:rsidRPr="00251EB9">
        <w:rPr>
          <w:rFonts w:eastAsia="Times New Roman" w:cs="Arial"/>
          <w:i/>
          <w:iCs/>
          <w:color w:val="000000"/>
        </w:rPr>
        <w:t>(</w:t>
      </w:r>
      <w:proofErr w:type="spellStart"/>
      <w:r w:rsidRPr="00251EB9">
        <w:rPr>
          <w:rFonts w:eastAsia="Times New Roman" w:cs="Arial"/>
          <w:i/>
          <w:iCs/>
          <w:color w:val="000000"/>
          <w:lang w:val="en-US"/>
        </w:rPr>
        <w:t>telmisartan</w:t>
      </w:r>
      <w:proofErr w:type="spellEnd"/>
      <w:r w:rsidRPr="00251EB9">
        <w:rPr>
          <w:rFonts w:eastAsia="Times New Roman" w:cs="Arial"/>
          <w:i/>
          <w:iCs/>
          <w:color w:val="000000"/>
        </w:rPr>
        <w:t>).</w:t>
      </w:r>
    </w:p>
    <w:p w14:paraId="52A1D5FE" w14:textId="37579887" w:rsidR="00251EB9" w:rsidRPr="00251EB9" w:rsidRDefault="00251EB9" w:rsidP="00251EB9">
      <w:pPr>
        <w:rPr>
          <w:rFonts w:cs="Arial"/>
        </w:rPr>
      </w:pPr>
      <w:r w:rsidRPr="00251EB9">
        <w:rPr>
          <w:rFonts w:eastAsia="Times New Roman" w:cs="Arial"/>
          <w:color w:val="000000"/>
          <w:u w:val="single"/>
          <w:lang w:eastAsia="bg-BG"/>
        </w:rPr>
        <w:t>Помощни вещества с известно действие:</w:t>
      </w:r>
      <w:r w:rsidRPr="00251EB9">
        <w:rPr>
          <w:rFonts w:eastAsia="Times New Roman" w:cs="Arial"/>
          <w:color w:val="000000"/>
          <w:lang w:eastAsia="bg-BG"/>
        </w:rPr>
        <w:t xml:space="preserve"> 434,70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лактоза (като лактоза монохидрат))</w:t>
      </w:r>
    </w:p>
    <w:p w14:paraId="614984C4" w14:textId="4435C1B2" w:rsidR="008A6AF2" w:rsidRDefault="00DD466D" w:rsidP="002C50EE">
      <w:pPr>
        <w:pStyle w:val="Heading1"/>
      </w:pPr>
      <w:r>
        <w:t>3. ЛЕКАРСТВЕНА ФОРМА</w:t>
      </w:r>
    </w:p>
    <w:p w14:paraId="5D54932B" w14:textId="109EB9BB" w:rsidR="00251EB9" w:rsidRDefault="00251EB9" w:rsidP="00251EB9"/>
    <w:p w14:paraId="003771B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Филмирана таблетка.</w:t>
      </w:r>
    </w:p>
    <w:p w14:paraId="444AB5D9" w14:textId="77777777" w:rsidR="00251EB9" w:rsidRPr="00251EB9" w:rsidRDefault="00251EB9" w:rsidP="00251EB9">
      <w:pPr>
        <w:spacing w:line="240" w:lineRule="auto"/>
        <w:rPr>
          <w:rFonts w:eastAsia="Times New Roman" w:cs="Arial"/>
          <w:color w:val="000000"/>
          <w:u w:val="single"/>
          <w:lang w:eastAsia="bg-BG"/>
        </w:rPr>
      </w:pPr>
    </w:p>
    <w:p w14:paraId="6A115071" w14:textId="687DFC7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40 </w:t>
      </w:r>
      <w:r w:rsidRPr="00251EB9">
        <w:rPr>
          <w:rFonts w:eastAsia="Times New Roman" w:cs="Arial"/>
          <w:color w:val="000000"/>
          <w:u w:val="single"/>
          <w:lang w:val="en-US"/>
        </w:rPr>
        <w:t>mg</w:t>
      </w:r>
      <w:r w:rsidRPr="00251EB9">
        <w:rPr>
          <w:rFonts w:eastAsia="Times New Roman" w:cs="Arial"/>
          <w:color w:val="000000"/>
          <w:u w:val="single"/>
          <w:lang w:val="ru-RU"/>
        </w:rPr>
        <w:t xml:space="preserve"> </w:t>
      </w:r>
      <w:r w:rsidRPr="00251EB9">
        <w:rPr>
          <w:rFonts w:eastAsia="Times New Roman" w:cs="Arial"/>
          <w:color w:val="000000"/>
          <w:u w:val="single"/>
          <w:lang w:eastAsia="bg-BG"/>
        </w:rPr>
        <w:t>Филмирани таблетки</w:t>
      </w:r>
    </w:p>
    <w:p w14:paraId="3547E14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Жълти, филмирани таблетки с форма на капсула, с надпис '40’ от едната страна и ‘Т’ от другата.</w:t>
      </w:r>
    </w:p>
    <w:p w14:paraId="565A7D19" w14:textId="77777777" w:rsidR="00251EB9" w:rsidRPr="00251EB9" w:rsidRDefault="00251EB9" w:rsidP="00251EB9">
      <w:pPr>
        <w:spacing w:line="240" w:lineRule="auto"/>
        <w:rPr>
          <w:rFonts w:eastAsia="Times New Roman" w:cs="Arial"/>
          <w:color w:val="000000"/>
          <w:u w:val="single"/>
          <w:lang w:eastAsia="bg-BG"/>
        </w:rPr>
      </w:pPr>
    </w:p>
    <w:p w14:paraId="219A7467" w14:textId="1C2519C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80 </w:t>
      </w:r>
      <w:r w:rsidRPr="00251EB9">
        <w:rPr>
          <w:rFonts w:eastAsia="Times New Roman" w:cs="Arial"/>
          <w:color w:val="000000"/>
          <w:u w:val="single"/>
          <w:lang w:val="en-US"/>
        </w:rPr>
        <w:t>mg</w:t>
      </w:r>
      <w:r w:rsidRPr="00251EB9">
        <w:rPr>
          <w:rFonts w:eastAsia="Times New Roman" w:cs="Arial"/>
          <w:color w:val="000000"/>
          <w:u w:val="single"/>
          <w:lang w:val="ru-RU"/>
        </w:rPr>
        <w:t xml:space="preserve"> </w:t>
      </w:r>
      <w:r w:rsidRPr="00251EB9">
        <w:rPr>
          <w:rFonts w:eastAsia="Times New Roman" w:cs="Arial"/>
          <w:color w:val="000000"/>
          <w:u w:val="single"/>
          <w:lang w:eastAsia="bg-BG"/>
        </w:rPr>
        <w:t>филмирани таблетки</w:t>
      </w:r>
    </w:p>
    <w:p w14:paraId="3D7066D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Жълти, филмирани таблетки с форма на капсула, с надпис '80’ от едната страна и 'Т’ от другата.</w:t>
      </w:r>
    </w:p>
    <w:p w14:paraId="3447FDFF" w14:textId="77777777" w:rsidR="00251EB9" w:rsidRPr="00251EB9" w:rsidRDefault="00251EB9" w:rsidP="00251EB9"/>
    <w:p w14:paraId="490FC2C4" w14:textId="6899DE43" w:rsidR="002C50EE" w:rsidRDefault="002C50EE" w:rsidP="002C50EE">
      <w:pPr>
        <w:pStyle w:val="Heading1"/>
      </w:pPr>
      <w:r>
        <w:t>4. КЛИНИЧНИ ДАННИ</w:t>
      </w:r>
    </w:p>
    <w:p w14:paraId="0771830A" w14:textId="7DB839CA" w:rsidR="00DB32D3" w:rsidRDefault="002C50EE" w:rsidP="005726E3">
      <w:pPr>
        <w:pStyle w:val="Heading2"/>
      </w:pPr>
      <w:r>
        <w:t>4.1. Терапевтични показания</w:t>
      </w:r>
    </w:p>
    <w:p w14:paraId="1F8E0467" w14:textId="264BAD60" w:rsidR="00251EB9" w:rsidRDefault="00251EB9" w:rsidP="00251EB9"/>
    <w:p w14:paraId="40AC429A"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Хипертония</w:t>
      </w:r>
    </w:p>
    <w:p w14:paraId="2B83D52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Лечение на есенциална хипертония при възрастни.</w:t>
      </w:r>
    </w:p>
    <w:p w14:paraId="668F5E40" w14:textId="77777777" w:rsidR="00251EB9" w:rsidRPr="00251EB9" w:rsidRDefault="00251EB9" w:rsidP="00251EB9">
      <w:pPr>
        <w:spacing w:line="240" w:lineRule="auto"/>
        <w:rPr>
          <w:rFonts w:eastAsia="Times New Roman" w:cs="Arial"/>
          <w:color w:val="000000"/>
          <w:u w:val="single"/>
          <w:lang w:eastAsia="bg-BG"/>
        </w:rPr>
      </w:pPr>
    </w:p>
    <w:p w14:paraId="7B941BE4" w14:textId="2CDAF25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Сърдечно-съдова профилактика</w:t>
      </w:r>
    </w:p>
    <w:p w14:paraId="7BFEEFE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Намаляване на сърдечно-съдовата заболеваемост при възрастни с:</w:t>
      </w:r>
    </w:p>
    <w:p w14:paraId="6D2461F2" w14:textId="77777777" w:rsidR="00251EB9" w:rsidRPr="00251EB9" w:rsidRDefault="00251EB9" w:rsidP="00251EB9">
      <w:pPr>
        <w:pStyle w:val="ListParagraph"/>
        <w:numPr>
          <w:ilvl w:val="0"/>
          <w:numId w:val="37"/>
        </w:numPr>
        <w:spacing w:line="240" w:lineRule="auto"/>
        <w:rPr>
          <w:rFonts w:eastAsia="Times New Roman" w:cs="Arial"/>
        </w:rPr>
      </w:pPr>
      <w:r w:rsidRPr="00251EB9">
        <w:rPr>
          <w:rFonts w:eastAsia="Times New Roman" w:cs="Arial"/>
          <w:color w:val="000000"/>
          <w:lang w:eastAsia="bg-BG"/>
        </w:rPr>
        <w:t>изявена атеротромботична сърдечно-съдова болест (анамнеза за коронарна болест на сърцето, мозъчен инсулт или периферно артериално заболяване) или</w:t>
      </w:r>
    </w:p>
    <w:p w14:paraId="7C74EDFD" w14:textId="7B0E42C4" w:rsidR="00251EB9" w:rsidRPr="00251EB9" w:rsidRDefault="00251EB9" w:rsidP="00251EB9">
      <w:pPr>
        <w:pStyle w:val="ListParagraph"/>
        <w:numPr>
          <w:ilvl w:val="0"/>
          <w:numId w:val="37"/>
        </w:numPr>
        <w:spacing w:line="240" w:lineRule="auto"/>
        <w:rPr>
          <w:rFonts w:eastAsia="Times New Roman" w:cs="Arial"/>
        </w:rPr>
      </w:pPr>
      <w:r w:rsidRPr="00251EB9">
        <w:rPr>
          <w:rFonts w:eastAsia="Times New Roman" w:cs="Arial"/>
          <w:color w:val="000000"/>
          <w:lang w:eastAsia="bg-BG"/>
        </w:rPr>
        <w:t>захарен диабет тип 2 с установено увреждане на крайните прицелни органи.</w:t>
      </w:r>
    </w:p>
    <w:p w14:paraId="4046FA11" w14:textId="77777777" w:rsidR="00251EB9" w:rsidRPr="00251EB9" w:rsidRDefault="00251EB9" w:rsidP="00251EB9"/>
    <w:p w14:paraId="7647A102" w14:textId="27CE6DC9" w:rsidR="00DB32D3" w:rsidRDefault="002C50EE" w:rsidP="005726E3">
      <w:pPr>
        <w:pStyle w:val="Heading2"/>
      </w:pPr>
      <w:r>
        <w:lastRenderedPageBreak/>
        <w:t>4.2. Дозировка и начин на приложение</w:t>
      </w:r>
    </w:p>
    <w:p w14:paraId="35568F03" w14:textId="54B93B82" w:rsidR="00251EB9" w:rsidRDefault="00251EB9" w:rsidP="00251EB9"/>
    <w:p w14:paraId="0D97D957" w14:textId="77777777" w:rsidR="00251EB9" w:rsidRPr="00251EB9" w:rsidRDefault="00251EB9" w:rsidP="00251EB9">
      <w:pPr>
        <w:pStyle w:val="Heading3"/>
        <w:rPr>
          <w:rFonts w:eastAsia="Times New Roman"/>
          <w:u w:val="single"/>
        </w:rPr>
      </w:pPr>
      <w:r w:rsidRPr="00251EB9">
        <w:rPr>
          <w:rFonts w:eastAsia="Times New Roman"/>
          <w:u w:val="single"/>
          <w:lang w:eastAsia="bg-BG"/>
        </w:rPr>
        <w:t>Дозировка</w:t>
      </w:r>
    </w:p>
    <w:p w14:paraId="1B84F54C" w14:textId="77777777" w:rsidR="00251EB9" w:rsidRPr="00251EB9" w:rsidRDefault="00251EB9" w:rsidP="00251EB9">
      <w:pPr>
        <w:spacing w:line="240" w:lineRule="auto"/>
        <w:rPr>
          <w:rFonts w:eastAsia="Times New Roman" w:cs="Arial"/>
          <w:i/>
          <w:iCs/>
          <w:color w:val="000000"/>
          <w:u w:val="single"/>
          <w:lang w:eastAsia="bg-BG"/>
        </w:rPr>
      </w:pPr>
    </w:p>
    <w:p w14:paraId="1579A08C" w14:textId="7CE29542"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Лечение на есенциална хипертония</w:t>
      </w:r>
    </w:p>
    <w:p w14:paraId="6DB7CAC9"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Обикновено ефективната доза е 40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веднъж дневно. Някои пациенти могат да се повлияят дори и от дневна доза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Дозировка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телмисартан не е налична при този лекарствен продукт. В случаите, в които не се постига желаното кръвно налягане, дозата на телмисартан може да бъде повишена максимално до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веднъж дневно. Като алтернатива, телмисартан може да бъде прилаган в комбинация с диуретици от тиазиден тип като хидрохлортиазид, с който допълнително се понижава кръвното налягане. При решение за повишаване на дозата, трябва да се има предвид, че максималният антихипертензивен ефект се достига в рамките на четири до осем седмици след началото на лечението (вж. точка 5.1).</w:t>
      </w:r>
    </w:p>
    <w:p w14:paraId="5A726B7A" w14:textId="77777777" w:rsidR="00251EB9" w:rsidRDefault="00251EB9" w:rsidP="00251EB9">
      <w:pPr>
        <w:spacing w:line="240" w:lineRule="auto"/>
        <w:rPr>
          <w:rFonts w:eastAsia="Times New Roman" w:cs="Arial"/>
          <w:i/>
          <w:iCs/>
          <w:color w:val="000000"/>
          <w:u w:val="single"/>
          <w:lang w:eastAsia="bg-BG"/>
        </w:rPr>
      </w:pPr>
    </w:p>
    <w:p w14:paraId="3EEB80D9" w14:textId="13BD2649"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Сърдечно-съдова профилактика</w:t>
      </w:r>
    </w:p>
    <w:p w14:paraId="6BBADA2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Препоръчваната доза е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веднъж дневно. Не е известно дали по-ниски дози от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телмисартан са ефективни за намаляване на сърдечно-съдова заболеваемост.</w:t>
      </w:r>
    </w:p>
    <w:p w14:paraId="7A50C5E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започване на лечение с телмисартан за намаляване на сърдечно-съдова заболеваемост се препоръчва внимателно проследяване на кръвното налягане и ако се налага, коригиране на лекарствата, които понижават кръвното налягане.</w:t>
      </w:r>
    </w:p>
    <w:p w14:paraId="662C5499" w14:textId="77777777" w:rsidR="00251EB9" w:rsidRDefault="00251EB9" w:rsidP="00251EB9">
      <w:pPr>
        <w:spacing w:line="240" w:lineRule="auto"/>
        <w:rPr>
          <w:rFonts w:eastAsia="Times New Roman" w:cs="Arial"/>
          <w:i/>
          <w:iCs/>
          <w:color w:val="000000"/>
          <w:u w:val="single"/>
          <w:lang w:eastAsia="bg-BG"/>
        </w:rPr>
      </w:pPr>
    </w:p>
    <w:p w14:paraId="07C58CA2" w14:textId="7292008F"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Специални популации</w:t>
      </w:r>
    </w:p>
    <w:p w14:paraId="40B0E89C"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Бъбречно увреждане</w:t>
      </w:r>
    </w:p>
    <w:p w14:paraId="5DD886A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Наличен е ограничен опит при пациенти с тежки нарушения на бъбречната функция или хемодиализа. При тези пациенти се препоръчва по-ниска начална доза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(вж. точка 4.4). Дозировка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телмисартан не е налична при този лекарствен продукт.</w:t>
      </w:r>
    </w:p>
    <w:p w14:paraId="6A5D8785" w14:textId="77777777" w:rsidR="00251EB9" w:rsidRDefault="00251EB9" w:rsidP="00251EB9">
      <w:pPr>
        <w:spacing w:line="240" w:lineRule="auto"/>
        <w:rPr>
          <w:rFonts w:eastAsia="Times New Roman" w:cs="Arial"/>
          <w:color w:val="000000"/>
          <w:lang w:eastAsia="bg-BG"/>
        </w:rPr>
      </w:pPr>
    </w:p>
    <w:p w14:paraId="56B1C626" w14:textId="4DB66C1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пациенти с леко до умерено бъбречно увреждане не се налага промяна в дозировката.</w:t>
      </w:r>
    </w:p>
    <w:p w14:paraId="1DA5AD1E" w14:textId="77777777" w:rsidR="00251EB9" w:rsidRDefault="00251EB9" w:rsidP="00251EB9">
      <w:pPr>
        <w:spacing w:line="240" w:lineRule="auto"/>
        <w:rPr>
          <w:rFonts w:eastAsia="Times New Roman" w:cs="Arial"/>
          <w:i/>
          <w:iCs/>
          <w:color w:val="000000"/>
          <w:lang w:eastAsia="bg-BG"/>
        </w:rPr>
      </w:pPr>
    </w:p>
    <w:p w14:paraId="7D0B7CB6" w14:textId="2124D901"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Чернодробно увреждане</w:t>
      </w:r>
    </w:p>
    <w:p w14:paraId="3CBC5B5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Танидон е противопоказан при пациенти с тежко чернодробно увреждане (вж. точка 4.3).</w:t>
      </w:r>
    </w:p>
    <w:p w14:paraId="2107D60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При пациенти с леко до умерено чернодробно увреждане дозировката не трябва да надвишава 40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веднъж дневно (вж. точка 4.4).</w:t>
      </w:r>
    </w:p>
    <w:p w14:paraId="48BB7D08" w14:textId="77777777" w:rsidR="00251EB9" w:rsidRDefault="00251EB9" w:rsidP="00251EB9">
      <w:pPr>
        <w:spacing w:line="240" w:lineRule="auto"/>
        <w:rPr>
          <w:rFonts w:eastAsia="Times New Roman" w:cs="Arial"/>
          <w:i/>
          <w:iCs/>
          <w:color w:val="000000"/>
          <w:lang w:eastAsia="bg-BG"/>
        </w:rPr>
      </w:pPr>
    </w:p>
    <w:p w14:paraId="44AA3C02" w14:textId="10F6021B" w:rsidR="00251EB9" w:rsidRPr="00251EB9" w:rsidRDefault="00251EB9" w:rsidP="00251EB9">
      <w:pPr>
        <w:spacing w:line="240" w:lineRule="auto"/>
        <w:rPr>
          <w:rFonts w:eastAsia="Times New Roman" w:cs="Arial"/>
          <w:i/>
          <w:iCs/>
          <w:color w:val="000000"/>
          <w:lang w:eastAsia="bg-BG"/>
        </w:rPr>
      </w:pPr>
      <w:r w:rsidRPr="00251EB9">
        <w:rPr>
          <w:rFonts w:eastAsia="Times New Roman" w:cs="Arial"/>
          <w:i/>
          <w:iCs/>
          <w:color w:val="000000"/>
          <w:lang w:eastAsia="bg-BG"/>
        </w:rPr>
        <w:t>Старческа възраст</w:t>
      </w:r>
    </w:p>
    <w:p w14:paraId="51CCE96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 е необходимо коригиране на дозата при пациенти в старческа възраст.</w:t>
      </w:r>
    </w:p>
    <w:p w14:paraId="4DC95AB9" w14:textId="77777777" w:rsidR="00251EB9" w:rsidRDefault="00251EB9" w:rsidP="00251EB9">
      <w:pPr>
        <w:spacing w:line="240" w:lineRule="auto"/>
        <w:rPr>
          <w:rFonts w:eastAsia="Times New Roman" w:cs="Arial"/>
          <w:i/>
          <w:iCs/>
          <w:color w:val="000000"/>
          <w:lang w:eastAsia="bg-BG"/>
        </w:rPr>
      </w:pPr>
    </w:p>
    <w:p w14:paraId="3D23C620" w14:textId="5BB870B9"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Педиатрична популация</w:t>
      </w:r>
    </w:p>
    <w:p w14:paraId="2074971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Безопасността и ефикасността на Танидон при деца и юноши на възраст под 18 години не са установени.</w:t>
      </w:r>
    </w:p>
    <w:p w14:paraId="33D407B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Наличните в момента данни са описани в точка 5.1 и 5.2, но не могат да се направят препоръки за дозировката.</w:t>
      </w:r>
    </w:p>
    <w:p w14:paraId="6038C2BE" w14:textId="77777777" w:rsidR="00251EB9" w:rsidRDefault="00251EB9" w:rsidP="00251EB9">
      <w:pPr>
        <w:spacing w:line="240" w:lineRule="auto"/>
        <w:rPr>
          <w:rFonts w:eastAsia="Times New Roman" w:cs="Arial"/>
          <w:color w:val="000000"/>
          <w:u w:val="single"/>
          <w:lang w:eastAsia="bg-BG"/>
        </w:rPr>
      </w:pPr>
    </w:p>
    <w:p w14:paraId="68380B0F" w14:textId="40AA4C2A" w:rsidR="00251EB9" w:rsidRPr="00251EB9" w:rsidRDefault="00251EB9" w:rsidP="00251EB9">
      <w:pPr>
        <w:pStyle w:val="Heading3"/>
        <w:rPr>
          <w:rFonts w:eastAsia="Times New Roman"/>
          <w:u w:val="single"/>
        </w:rPr>
      </w:pPr>
      <w:r w:rsidRPr="00251EB9">
        <w:rPr>
          <w:rFonts w:eastAsia="Times New Roman"/>
          <w:u w:val="single"/>
          <w:lang w:eastAsia="bg-BG"/>
        </w:rPr>
        <w:t>Начин на приложение</w:t>
      </w:r>
    </w:p>
    <w:p w14:paraId="490D1EA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Таблетките телмисартан са предназначени за перорално приложение веднъж дневно и трябва да се приемат с течност, със или без храна.</w:t>
      </w:r>
    </w:p>
    <w:p w14:paraId="612CC6C3" w14:textId="56C322E0" w:rsidR="00251EB9" w:rsidRPr="00251EB9" w:rsidRDefault="00251EB9" w:rsidP="00251EB9"/>
    <w:p w14:paraId="74903285" w14:textId="7C93EAE8" w:rsidR="00DB32D3" w:rsidRDefault="002C50EE" w:rsidP="005726E3">
      <w:pPr>
        <w:pStyle w:val="Heading2"/>
      </w:pPr>
      <w:r>
        <w:lastRenderedPageBreak/>
        <w:t>4.3. Противопоказания</w:t>
      </w:r>
    </w:p>
    <w:p w14:paraId="51A7B819" w14:textId="2A4E6DA0" w:rsidR="00251EB9" w:rsidRDefault="00251EB9" w:rsidP="00251EB9"/>
    <w:p w14:paraId="737EB16F"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Свръхчувствителност към активното вещество или към някое помощните вещества, изброени в точка 6.1.</w:t>
      </w:r>
    </w:p>
    <w:p w14:paraId="4595119D"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Второ и трето тримесечие на бременността (вж. точки 4.4 и 4.6)</w:t>
      </w:r>
    </w:p>
    <w:p w14:paraId="1BD9FD47"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Обструктивни забелягания на жлъчните пътища</w:t>
      </w:r>
    </w:p>
    <w:p w14:paraId="575DCB3A"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Тежко чернодробно увреждане</w:t>
      </w:r>
    </w:p>
    <w:p w14:paraId="04976622" w14:textId="2ADC0FFB"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 xml:space="preserve">Едновременната употреба на Танидон с алискирен-съдържащи продукти е противопоказана при пациенти със захарен диабет или бъбречно увреждане </w:t>
      </w:r>
      <w:r w:rsidRPr="00251EB9">
        <w:rPr>
          <w:rFonts w:eastAsia="Times New Roman" w:cs="Arial"/>
          <w:color w:val="000000"/>
          <w:lang w:val="ru-RU"/>
        </w:rPr>
        <w:t>(</w:t>
      </w:r>
      <w:r w:rsidRPr="00251EB9">
        <w:rPr>
          <w:rFonts w:eastAsia="Times New Roman" w:cs="Arial"/>
          <w:color w:val="000000"/>
          <w:lang w:val="en-US"/>
        </w:rPr>
        <w:t>GFR</w:t>
      </w:r>
      <w:r w:rsidRPr="00251EB9">
        <w:rPr>
          <w:rFonts w:eastAsia="Times New Roman" w:cs="Arial"/>
          <w:color w:val="000000"/>
          <w:lang w:val="ru-RU"/>
        </w:rPr>
        <w:t xml:space="preserve"> </w:t>
      </w:r>
      <w:r w:rsidRPr="00251EB9">
        <w:rPr>
          <w:rFonts w:eastAsia="Times New Roman" w:cs="Arial"/>
          <w:color w:val="000000"/>
          <w:lang w:eastAsia="bg-BG"/>
        </w:rPr>
        <w:t xml:space="preserve">&lt; 60 </w:t>
      </w:r>
      <w:r w:rsidRPr="00251EB9">
        <w:rPr>
          <w:rFonts w:eastAsia="Times New Roman" w:cs="Arial"/>
          <w:color w:val="000000"/>
          <w:lang w:val="en-US"/>
        </w:rPr>
        <w:t>mL</w:t>
      </w:r>
      <w:r w:rsidRPr="00251EB9">
        <w:rPr>
          <w:rFonts w:eastAsia="Times New Roman" w:cs="Arial"/>
          <w:color w:val="000000"/>
          <w:lang w:val="ru-RU"/>
        </w:rPr>
        <w:t>/</w:t>
      </w:r>
      <w:r w:rsidRPr="00251EB9">
        <w:rPr>
          <w:rFonts w:eastAsia="Times New Roman" w:cs="Arial"/>
          <w:color w:val="000000"/>
          <w:lang w:val="en-US"/>
        </w:rPr>
        <w:t>min</w:t>
      </w:r>
      <w:r w:rsidRPr="00251EB9">
        <w:rPr>
          <w:rFonts w:eastAsia="Times New Roman" w:cs="Arial"/>
          <w:color w:val="000000"/>
          <w:lang w:val="ru-RU"/>
        </w:rPr>
        <w:t xml:space="preserve">/1,73 </w:t>
      </w:r>
      <w:r w:rsidRPr="00251EB9">
        <w:rPr>
          <w:rFonts w:eastAsia="Times New Roman" w:cs="Arial"/>
          <w:color w:val="000000"/>
          <w:lang w:val="en-US"/>
        </w:rPr>
        <w:t>m</w:t>
      </w:r>
      <w:r w:rsidRPr="00251EB9">
        <w:rPr>
          <w:rFonts w:eastAsia="Times New Roman" w:cs="Arial"/>
          <w:color w:val="000000"/>
          <w:vertAlign w:val="superscript"/>
          <w:lang w:val="ru-RU"/>
        </w:rPr>
        <w:t>2</w:t>
      </w:r>
      <w:r w:rsidRPr="00251EB9">
        <w:rPr>
          <w:rFonts w:eastAsia="Times New Roman" w:cs="Arial"/>
          <w:color w:val="000000"/>
          <w:lang w:val="ru-RU"/>
        </w:rPr>
        <w:t xml:space="preserve">) </w:t>
      </w:r>
      <w:r w:rsidRPr="00251EB9">
        <w:rPr>
          <w:rFonts w:eastAsia="Times New Roman" w:cs="Arial"/>
          <w:color w:val="000000"/>
          <w:lang w:eastAsia="bg-BG"/>
        </w:rPr>
        <w:t>(вж. точки 4.5 и 5.1)</w:t>
      </w:r>
    </w:p>
    <w:p w14:paraId="71C5B885" w14:textId="111379E3" w:rsidR="00251EB9" w:rsidRPr="00251EB9" w:rsidRDefault="00251EB9" w:rsidP="00251EB9"/>
    <w:p w14:paraId="76DC8E58" w14:textId="4944BA61" w:rsidR="00DB32D3" w:rsidRDefault="002C50EE" w:rsidP="005726E3">
      <w:pPr>
        <w:pStyle w:val="Heading2"/>
      </w:pPr>
      <w:r>
        <w:t>4.4. Специални предупреждения и предпазни мерки при употреба</w:t>
      </w:r>
    </w:p>
    <w:p w14:paraId="6CAF0303" w14:textId="3337AD3E" w:rsidR="00251EB9" w:rsidRDefault="00251EB9" w:rsidP="00251EB9"/>
    <w:p w14:paraId="492EDA31"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Бременност</w:t>
      </w:r>
    </w:p>
    <w:p w14:paraId="79FDEAB4" w14:textId="25AA032A" w:rsidR="00251EB9" w:rsidRPr="00251EB9" w:rsidRDefault="00251EB9" w:rsidP="00251EB9">
      <w:pPr>
        <w:rPr>
          <w:rFonts w:eastAsia="Times New Roman" w:cs="Arial"/>
          <w:color w:val="000000"/>
          <w:lang w:eastAsia="bg-BG"/>
        </w:rPr>
      </w:pPr>
      <w:r w:rsidRPr="00251EB9">
        <w:rPr>
          <w:rFonts w:eastAsia="Times New Roman" w:cs="Arial"/>
          <w:color w:val="000000"/>
          <w:lang w:eastAsia="bg-BG"/>
        </w:rPr>
        <w:t>Не трябва да се започва прием на ангиотензин II рецепторни антагонисти по време на бреме</w:t>
      </w:r>
      <w:r w:rsidRPr="00251EB9">
        <w:rPr>
          <w:rFonts w:eastAsia="Times New Roman" w:cs="Arial"/>
          <w:color w:val="000000"/>
          <w:u w:val="single"/>
          <w:lang w:eastAsia="bg-BG"/>
        </w:rPr>
        <w:t xml:space="preserve">нност. </w:t>
      </w:r>
      <w:r w:rsidRPr="00251EB9">
        <w:rPr>
          <w:rFonts w:eastAsia="Times New Roman" w:cs="Arial"/>
          <w:color w:val="000000"/>
          <w:lang w:eastAsia="bg-BG"/>
        </w:rPr>
        <w:t xml:space="preserve">Пациентките, които планират бременност, трябва да преминат към алтернативно </w:t>
      </w:r>
      <w:r w:rsidRPr="00251EB9">
        <w:rPr>
          <w:rFonts w:eastAsia="Times New Roman" w:cs="Arial"/>
          <w:color w:val="000000"/>
          <w:lang w:val="en-US"/>
        </w:rPr>
        <w:t>a</w:t>
      </w:r>
      <w:r w:rsidRPr="00251EB9">
        <w:rPr>
          <w:rFonts w:eastAsia="Times New Roman" w:cs="Arial"/>
          <w:color w:val="000000"/>
          <w:lang w:eastAsia="bg-BG"/>
        </w:rPr>
        <w:t>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w:t>
      </w:r>
    </w:p>
    <w:p w14:paraId="6F2CA139" w14:textId="4D7F99BF" w:rsidR="00251EB9" w:rsidRPr="00251EB9" w:rsidRDefault="00251EB9" w:rsidP="00251EB9">
      <w:pPr>
        <w:rPr>
          <w:rFonts w:eastAsia="Times New Roman" w:cs="Arial"/>
          <w:color w:val="000000"/>
          <w:lang w:eastAsia="bg-BG"/>
        </w:rPr>
      </w:pPr>
    </w:p>
    <w:p w14:paraId="2FE6874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Ако е диагностицирана бременност, лечението с ангиотензин </w:t>
      </w:r>
      <w:r w:rsidRPr="00251EB9">
        <w:rPr>
          <w:rFonts w:eastAsia="Times New Roman" w:cs="Arial"/>
          <w:color w:val="000000"/>
          <w:lang w:val="en-US"/>
        </w:rPr>
        <w:t>II</w:t>
      </w:r>
      <w:r w:rsidRPr="00251EB9">
        <w:rPr>
          <w:rFonts w:eastAsia="Times New Roman" w:cs="Arial"/>
          <w:color w:val="000000"/>
          <w:lang w:eastAsia="bg-BG"/>
        </w:rPr>
        <w:t xml:space="preserve"> рецепторни антагонисти трябва незабавно да бъде преустановено и ако е подходящо да бъде започнато алтернативно лечение (вж. точки 4.3 и 4.6).</w:t>
      </w:r>
    </w:p>
    <w:p w14:paraId="2FB2E2E1" w14:textId="77777777" w:rsidR="00251EB9" w:rsidRDefault="00251EB9" w:rsidP="00251EB9">
      <w:pPr>
        <w:spacing w:line="240" w:lineRule="auto"/>
        <w:rPr>
          <w:rFonts w:eastAsia="Times New Roman" w:cs="Arial"/>
          <w:color w:val="000000"/>
          <w:u w:val="single"/>
          <w:lang w:eastAsia="bg-BG"/>
        </w:rPr>
      </w:pPr>
    </w:p>
    <w:p w14:paraId="39E16346" w14:textId="7C78571D"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Чернодробно увреждане</w:t>
      </w:r>
    </w:p>
    <w:p w14:paraId="16AA4727"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Танидон не трябва да се прилага при пациенти с холестаза, с жлъчни обструктивни нарушения или тежко чернодробно увреждане (вж. точка 4.3), тъй като по-голямата част от телмисартан се елиминира чрез жлъчката. При тези пациенти може да се очаква намален чернодробен клирънс. Танидон трябва да се прилага внимателно при пациенти с леки до умерени нарушения в чернодробната функция.</w:t>
      </w:r>
    </w:p>
    <w:p w14:paraId="066E239D" w14:textId="77777777" w:rsidR="00251EB9" w:rsidRDefault="00251EB9" w:rsidP="00251EB9">
      <w:pPr>
        <w:spacing w:line="240" w:lineRule="auto"/>
        <w:rPr>
          <w:rFonts w:eastAsia="Times New Roman" w:cs="Arial"/>
          <w:color w:val="000000"/>
          <w:u w:val="single"/>
          <w:lang w:eastAsia="bg-BG"/>
        </w:rPr>
      </w:pPr>
    </w:p>
    <w:p w14:paraId="1D786B07" w14:textId="7CB6A89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Реноваскуларна хипертония</w:t>
      </w:r>
    </w:p>
    <w:p w14:paraId="2FAEA67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52DF6D1F" w14:textId="77777777" w:rsidR="00251EB9" w:rsidRDefault="00251EB9" w:rsidP="00251EB9">
      <w:pPr>
        <w:spacing w:line="240" w:lineRule="auto"/>
        <w:rPr>
          <w:rFonts w:eastAsia="Times New Roman" w:cs="Arial"/>
          <w:color w:val="000000"/>
          <w:u w:val="single"/>
          <w:lang w:eastAsia="bg-BG"/>
        </w:rPr>
      </w:pPr>
    </w:p>
    <w:p w14:paraId="5A33E7AF" w14:textId="4A58FC9A"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Бъбречно увреждане и бъбречна трансплантация</w:t>
      </w:r>
    </w:p>
    <w:p w14:paraId="144C0BF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Когато се използва Танидон при пациенти с нарушена бъбречна функция, се препоръчва периодично мониториране на калия и серумното ниво на креатинина. Няма достатъчно данни по отношение на приложението на Танидон при пациенти, претърпели наскоро бъбречна трансплантация.</w:t>
      </w:r>
    </w:p>
    <w:p w14:paraId="61AFA92B" w14:textId="77777777" w:rsidR="00251EB9" w:rsidRDefault="00251EB9" w:rsidP="00251EB9">
      <w:pPr>
        <w:spacing w:line="240" w:lineRule="auto"/>
        <w:rPr>
          <w:rFonts w:eastAsia="Times New Roman" w:cs="Arial"/>
          <w:color w:val="000000"/>
          <w:u w:val="single"/>
          <w:lang w:eastAsia="bg-BG"/>
        </w:rPr>
      </w:pPr>
    </w:p>
    <w:p w14:paraId="447442C6" w14:textId="606A1B8C"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Вътресъдова хиповолемия</w:t>
      </w:r>
    </w:p>
    <w:p w14:paraId="3B326E5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Симптоматична хипотония, особено след първата доза Танидон може да се наблюдава при пациенти с тежък натриев дефицит и/или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Танидон. </w:t>
      </w:r>
      <w:r w:rsidRPr="00251EB9">
        <w:rPr>
          <w:rFonts w:eastAsia="Times New Roman" w:cs="Arial"/>
          <w:color w:val="000000"/>
          <w:lang w:eastAsia="bg-BG"/>
        </w:rPr>
        <w:lastRenderedPageBreak/>
        <w:t>Натриевият дефицит и/или намаленият обем на циркулиращата кръв трябва да бъде коригиран преди приложение на Танидон.</w:t>
      </w:r>
    </w:p>
    <w:p w14:paraId="1858473E" w14:textId="77777777" w:rsidR="00251EB9" w:rsidRDefault="00251EB9" w:rsidP="00251EB9">
      <w:pPr>
        <w:spacing w:line="240" w:lineRule="auto"/>
        <w:rPr>
          <w:rFonts w:eastAsia="Times New Roman" w:cs="Arial"/>
          <w:color w:val="000000"/>
          <w:u w:val="single"/>
          <w:lang w:eastAsia="bg-BG"/>
        </w:rPr>
      </w:pPr>
    </w:p>
    <w:p w14:paraId="18BEB860" w14:textId="7CD52779"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Двойно блокиране на оенин-ангиотензин-алдостероновата система (РААС)</w:t>
      </w:r>
    </w:p>
    <w:p w14:paraId="67B3EF0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Има данни, че едновременната употреба на АСЕ инхибитори, ангиотензин </w:t>
      </w:r>
      <w:r w:rsidRPr="00251EB9">
        <w:rPr>
          <w:rFonts w:eastAsia="Times New Roman" w:cs="Arial"/>
          <w:color w:val="000000"/>
          <w:lang w:val="en-US"/>
        </w:rPr>
        <w:t>II</w:t>
      </w:r>
      <w:r w:rsidRPr="00251EB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251EB9">
        <w:rPr>
          <w:rFonts w:eastAsia="Times New Roman" w:cs="Arial"/>
          <w:color w:val="000000"/>
          <w:lang w:val="en-US"/>
        </w:rPr>
        <w:t>II</w:t>
      </w:r>
      <w:r w:rsidRPr="00251EB9">
        <w:rPr>
          <w:rFonts w:eastAsia="Times New Roman" w:cs="Arial"/>
          <w:color w:val="000000"/>
          <w:lang w:eastAsia="bg-BG"/>
        </w:rPr>
        <w:t>-рецепторни блокери или алискирен (вж. точки 4.5 и 5.1).</w:t>
      </w:r>
    </w:p>
    <w:p w14:paraId="7CE5A333"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0B2DC8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АСЕ инхибитори и ангиотензин </w:t>
      </w:r>
      <w:r w:rsidRPr="00251EB9">
        <w:rPr>
          <w:rFonts w:eastAsia="Times New Roman" w:cs="Arial"/>
          <w:color w:val="000000"/>
          <w:lang w:val="en-US"/>
        </w:rPr>
        <w:t>II</w:t>
      </w:r>
      <w:r w:rsidRPr="00251EB9">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3E54001" w14:textId="77777777" w:rsidR="00251EB9" w:rsidRDefault="00251EB9" w:rsidP="00251EB9">
      <w:pPr>
        <w:spacing w:line="240" w:lineRule="auto"/>
        <w:rPr>
          <w:rFonts w:eastAsia="Times New Roman" w:cs="Arial"/>
          <w:color w:val="000000"/>
          <w:u w:val="single"/>
          <w:lang w:eastAsia="bg-BG"/>
        </w:rPr>
      </w:pPr>
    </w:p>
    <w:p w14:paraId="38C40555" w14:textId="250109E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 състояния със стимулация на системата ренин-ангиотензин-алдостерон</w:t>
      </w:r>
    </w:p>
    <w:p w14:paraId="530D6E3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като телмисартан, предизвиква остра хипотония, хиперазотемия, олигурия или рядко остра бъбречна недостатъчност (вж. точка 4.8).</w:t>
      </w:r>
    </w:p>
    <w:p w14:paraId="075362C6" w14:textId="77777777" w:rsidR="00251EB9" w:rsidRDefault="00251EB9" w:rsidP="00251EB9">
      <w:pPr>
        <w:spacing w:line="240" w:lineRule="auto"/>
        <w:rPr>
          <w:rFonts w:eastAsia="Times New Roman" w:cs="Arial"/>
          <w:color w:val="000000"/>
          <w:u w:val="single"/>
          <w:lang w:eastAsia="bg-BG"/>
        </w:rPr>
      </w:pPr>
    </w:p>
    <w:p w14:paraId="454AE444" w14:textId="37CB24E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Първичен алдостеронизъм</w:t>
      </w:r>
    </w:p>
    <w:p w14:paraId="6523D0D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инхибиция на системата ренин-ангиотензин. Поради това, употребата на телмисартан не се препоръчва.</w:t>
      </w:r>
    </w:p>
    <w:p w14:paraId="48386D6F" w14:textId="77777777" w:rsidR="00251EB9" w:rsidRDefault="00251EB9" w:rsidP="00251EB9">
      <w:pPr>
        <w:spacing w:line="240" w:lineRule="auto"/>
        <w:rPr>
          <w:rFonts w:eastAsia="Times New Roman" w:cs="Arial"/>
          <w:color w:val="000000"/>
          <w:u w:val="single"/>
          <w:lang w:eastAsia="bg-BG"/>
        </w:rPr>
      </w:pPr>
    </w:p>
    <w:p w14:paraId="2A0F43D6" w14:textId="2AF9B24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Стеноза на аортната и митрална клапа, обструктивна хипертрофична кардиомиопатия</w:t>
      </w:r>
    </w:p>
    <w:p w14:paraId="26AA350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Както при другите вазодилататори, специално внимание е необходимо при пациенти</w:t>
      </w:r>
      <w:r w:rsidRPr="00251EB9">
        <w:rPr>
          <w:rFonts w:eastAsia="Times New Roman" w:cs="Arial"/>
          <w:color w:val="000000"/>
          <w:lang w:val="ru-RU"/>
        </w:rPr>
        <w:t xml:space="preserve"> </w:t>
      </w:r>
      <w:r w:rsidRPr="00251EB9">
        <w:rPr>
          <w:rFonts w:eastAsia="Times New Roman" w:cs="Arial"/>
          <w:color w:val="000000"/>
          <w:lang w:eastAsia="bg-BG"/>
        </w:rPr>
        <w:t>страдащи от аортна или митрална стеноза или обструктивна хипертрофична кардиомиопатия.</w:t>
      </w:r>
    </w:p>
    <w:p w14:paraId="333A028A" w14:textId="0DB1D9C9" w:rsidR="00251EB9" w:rsidRDefault="00251EB9" w:rsidP="00251EB9"/>
    <w:p w14:paraId="3D3762C4"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Пациенти с диабет, лекувани с </w:t>
      </w:r>
      <w:r w:rsidRPr="00251EB9">
        <w:rPr>
          <w:rFonts w:eastAsia="Times New Roman" w:cs="Arial"/>
          <w:i/>
          <w:iCs/>
          <w:color w:val="000000"/>
          <w:u w:val="single"/>
          <w:lang w:eastAsia="bg-BG"/>
        </w:rPr>
        <w:t>инсулин или</w:t>
      </w:r>
      <w:r w:rsidRPr="00251EB9">
        <w:rPr>
          <w:rFonts w:eastAsia="Times New Roman" w:cs="Arial"/>
          <w:color w:val="000000"/>
          <w:u w:val="single"/>
          <w:lang w:eastAsia="bg-BG"/>
        </w:rPr>
        <w:t xml:space="preserve"> антидиабетни лекарства</w:t>
      </w:r>
    </w:p>
    <w:p w14:paraId="10D4E10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тези пациенти може да настъпи хипогликемия при лечение с телмисартан.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w:t>
      </w:r>
    </w:p>
    <w:p w14:paraId="084FE80C" w14:textId="77777777" w:rsidR="00251EB9" w:rsidRDefault="00251EB9" w:rsidP="00251EB9">
      <w:pPr>
        <w:spacing w:line="240" w:lineRule="auto"/>
        <w:rPr>
          <w:rFonts w:eastAsia="Times New Roman" w:cs="Arial"/>
          <w:color w:val="000000"/>
          <w:u w:val="single"/>
          <w:lang w:eastAsia="bg-BG"/>
        </w:rPr>
      </w:pPr>
    </w:p>
    <w:p w14:paraId="51CAA67C" w14:textId="03199AA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Хиперкалиемия</w:t>
      </w:r>
    </w:p>
    <w:p w14:paraId="6661B91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Употребата на лекарствени продукти, които повлияват системата ренин-ангиотензин-алдостерон може да доведе до хиперкалиемия.</w:t>
      </w:r>
    </w:p>
    <w:p w14:paraId="4E0588B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Хиперкалиемията може да бъде с фатален изход при пациенти в старческа възраст, при пациенти с бъбречна недостатъчност, при пациенти с диабет, при пациенти, лекувани едновременно и с други лекарствени продукти, които могат да повишат нивата на калия и/или при пациенти с придружаващи състояния.</w:t>
      </w:r>
    </w:p>
    <w:p w14:paraId="455B59A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трябва да се прецени съотношението полза/риск. Основните рискови фактори за възникване на хиперкалиемия, които трябва да се вземат под внимание са:</w:t>
      </w:r>
    </w:p>
    <w:p w14:paraId="60B8EEDB"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lastRenderedPageBreak/>
        <w:t>Захарен диабет, бъбречно увреждане, възраст (&gt;70 години)</w:t>
      </w:r>
    </w:p>
    <w:p w14:paraId="6367213E"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Комбинация с един или повече лекарствени продукти, които повлияват системата ренин- ангиотензин-алдостерон и/или калиеви добавки. Лекарствени продукти или терапевтични групи лекарства, които могат да предизвикат хиперкалиемия са солеви заместители, съдържащи калий, калий-съхраняващи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 -2 инхибитори), хепарин, имуносупресори (циклоспорин или такролимус) и триметоприм.</w:t>
      </w:r>
    </w:p>
    <w:p w14:paraId="15A3A28A" w14:textId="052DB68B"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Интеркурентни събития и по-специално дехидратиране, остра сърдечна декомпенсация, метаболитна ацидоза, влошена бъбречна функция, внезапно влошаване на бъбречното състояние (например инфекциозни заболявания), клетъчно лизиране (например остра исхемия на крайника, рабдомиолиза, обширна травма).</w:t>
      </w:r>
      <w:r>
        <w:rPr>
          <w:rFonts w:eastAsia="Times New Roman" w:cs="Arial"/>
          <w:color w:val="000000"/>
          <w:lang w:eastAsia="bg-BG"/>
        </w:rPr>
        <w:t xml:space="preserve"> </w:t>
      </w:r>
      <w:r w:rsidRPr="00251EB9">
        <w:rPr>
          <w:rFonts w:eastAsia="Times New Roman" w:cs="Arial"/>
          <w:color w:val="000000"/>
          <w:lang w:eastAsia="bg-BG"/>
        </w:rPr>
        <w:t>При рискови пациенти се препоръчва внимателно мониториране на серумния калий (вж. точка 4.5).</w:t>
      </w:r>
    </w:p>
    <w:p w14:paraId="75E70409" w14:textId="77777777" w:rsidR="00251EB9" w:rsidRDefault="00251EB9" w:rsidP="00251EB9">
      <w:pPr>
        <w:spacing w:line="240" w:lineRule="auto"/>
        <w:rPr>
          <w:rFonts w:eastAsia="Times New Roman" w:cs="Arial"/>
          <w:color w:val="000000"/>
          <w:u w:val="single"/>
          <w:lang w:eastAsia="bg-BG"/>
        </w:rPr>
      </w:pPr>
    </w:p>
    <w:p w14:paraId="419F45F3" w14:textId="00D13B92"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Лактоза</w:t>
      </w:r>
    </w:p>
    <w:p w14:paraId="164B4F8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Този лекарствен продукт съдържа лактоза монохидрат.</w:t>
      </w:r>
    </w:p>
    <w:p w14:paraId="62359B4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Пациенти с редки наследствени проблеми на непоносимост към галактоза, пълен лактазен дефицит или гклюкозо-галактозна малабсорбция не трябва да приемат това лекарство.</w:t>
      </w:r>
    </w:p>
    <w:p w14:paraId="08D4A858" w14:textId="77777777" w:rsidR="00251EB9" w:rsidRDefault="00251EB9" w:rsidP="00251EB9">
      <w:pPr>
        <w:spacing w:line="240" w:lineRule="auto"/>
        <w:rPr>
          <w:rFonts w:eastAsia="Times New Roman" w:cs="Arial"/>
          <w:color w:val="000000"/>
          <w:u w:val="single"/>
          <w:lang w:eastAsia="bg-BG"/>
        </w:rPr>
      </w:pPr>
    </w:p>
    <w:p w14:paraId="3D9281A1" w14:textId="45C099A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Натрий</w:t>
      </w:r>
    </w:p>
    <w:p w14:paraId="3883D5F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Това лекарство съдържа по-малко от 1 </w:t>
      </w:r>
      <w:proofErr w:type="spellStart"/>
      <w:r w:rsidRPr="00251EB9">
        <w:rPr>
          <w:rFonts w:eastAsia="Times New Roman" w:cs="Arial"/>
          <w:color w:val="000000"/>
          <w:lang w:val="en-US"/>
        </w:rPr>
        <w:t>mmol</w:t>
      </w:r>
      <w:proofErr w:type="spellEnd"/>
      <w:r w:rsidRPr="00251EB9">
        <w:rPr>
          <w:rFonts w:eastAsia="Times New Roman" w:cs="Arial"/>
          <w:color w:val="000000"/>
          <w:lang w:val="ru-RU"/>
        </w:rPr>
        <w:t xml:space="preserve"> </w:t>
      </w:r>
      <w:r w:rsidRPr="00251EB9">
        <w:rPr>
          <w:rFonts w:eastAsia="Times New Roman" w:cs="Arial"/>
          <w:color w:val="000000"/>
          <w:lang w:eastAsia="bg-BG"/>
        </w:rPr>
        <w:t xml:space="preserve">натрий (23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на филмирана таблетка, т.е. може да се каже, че практически не съдържа натрий.</w:t>
      </w:r>
    </w:p>
    <w:p w14:paraId="0FF2A037" w14:textId="77777777" w:rsidR="00251EB9" w:rsidRDefault="00251EB9" w:rsidP="00251EB9">
      <w:pPr>
        <w:spacing w:line="240" w:lineRule="auto"/>
        <w:rPr>
          <w:rFonts w:eastAsia="Times New Roman" w:cs="Arial"/>
          <w:color w:val="000000"/>
          <w:u w:val="single"/>
          <w:lang w:eastAsia="bg-BG"/>
        </w:rPr>
      </w:pPr>
    </w:p>
    <w:p w14:paraId="34B4C584" w14:textId="614ADC4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Етнически различия</w:t>
      </w:r>
    </w:p>
    <w:p w14:paraId="160A2FC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Както е наблюдавано при инхибиторите на ангиотензин конвертиращия ензим, телмисартан и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раси, вероятно поради по- честото срещане в черната популация на ниско рениново ниво с прояви на хипертония.</w:t>
      </w:r>
    </w:p>
    <w:p w14:paraId="11539BDF" w14:textId="77777777" w:rsidR="00251EB9" w:rsidRDefault="00251EB9" w:rsidP="00251EB9">
      <w:pPr>
        <w:spacing w:line="240" w:lineRule="auto"/>
        <w:rPr>
          <w:rFonts w:eastAsia="Times New Roman" w:cs="Arial"/>
          <w:color w:val="000000"/>
          <w:u w:val="single"/>
          <w:lang w:eastAsia="bg-BG"/>
        </w:rPr>
      </w:pPr>
    </w:p>
    <w:p w14:paraId="1FD86C98" w14:textId="69F905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w:t>
      </w:r>
    </w:p>
    <w:p w14:paraId="4CCAC1A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Както при други антихипертензивни агенти, </w:t>
      </w:r>
      <w:r w:rsidRPr="00251EB9">
        <w:rPr>
          <w:rFonts w:eastAsia="Times New Roman" w:cs="Arial"/>
          <w:i/>
          <w:iCs/>
          <w:color w:val="000000"/>
          <w:lang w:eastAsia="bg-BG"/>
        </w:rPr>
        <w:t>ексцесивната редукция на</w:t>
      </w:r>
      <w:r w:rsidRPr="00251EB9">
        <w:rPr>
          <w:rFonts w:eastAsia="Times New Roman" w:cs="Arial"/>
          <w:color w:val="000000"/>
          <w:lang w:eastAsia="bg-BG"/>
        </w:rPr>
        <w:t xml:space="preserve">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7AFCB9B3" w14:textId="77777777" w:rsidR="00251EB9" w:rsidRPr="00251EB9" w:rsidRDefault="00251EB9" w:rsidP="00251EB9"/>
    <w:p w14:paraId="62F27C9B" w14:textId="4F8F743B"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D6ADA71" w14:textId="174B072E" w:rsidR="00251EB9" w:rsidRDefault="00251EB9" w:rsidP="00251EB9"/>
    <w:p w14:paraId="2B2B59BB"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Дигоксин</w:t>
      </w:r>
    </w:p>
    <w:p w14:paraId="023B5707"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Когато телмисартан се прилага едновременно с дигоксин, са наблюдавани медианно повишаване на пиковите плазмени нива на дигоксин (49%) и на минималната концентрация (20%). При започване на </w:t>
      </w:r>
      <w:r w:rsidRPr="00251EB9">
        <w:rPr>
          <w:rFonts w:eastAsia="Times New Roman" w:cs="Arial"/>
          <w:i/>
          <w:iCs/>
          <w:color w:val="000000"/>
          <w:lang w:eastAsia="bg-BG"/>
        </w:rPr>
        <w:t>лечението,</w:t>
      </w:r>
      <w:r w:rsidRPr="00251EB9">
        <w:rPr>
          <w:rFonts w:eastAsia="Times New Roman" w:cs="Arial"/>
          <w:color w:val="000000"/>
          <w:lang w:eastAsia="bg-BG"/>
        </w:rPr>
        <w:t xml:space="preserve"> промяна в дозата и спиране на лечението с телмисартан, нивата на дигоксин трябва да се следят за да се намират в терапевтичния диапазон.</w:t>
      </w:r>
    </w:p>
    <w:p w14:paraId="27826C47" w14:textId="77777777" w:rsidR="00251EB9" w:rsidRDefault="00251EB9" w:rsidP="00251EB9">
      <w:pPr>
        <w:spacing w:line="240" w:lineRule="auto"/>
        <w:rPr>
          <w:rFonts w:eastAsia="Times New Roman" w:cs="Arial"/>
          <w:color w:val="000000"/>
          <w:lang w:eastAsia="bg-BG"/>
        </w:rPr>
      </w:pPr>
    </w:p>
    <w:p w14:paraId="39865433" w14:textId="5E34B7F7" w:rsidR="00251EB9" w:rsidRPr="00251EB9" w:rsidRDefault="00251EB9" w:rsidP="00251EB9">
      <w:pPr>
        <w:spacing w:line="240" w:lineRule="auto"/>
        <w:rPr>
          <w:rFonts w:eastAsia="Times New Roman" w:cs="Arial"/>
        </w:rPr>
      </w:pPr>
      <w:r w:rsidRPr="00251EB9">
        <w:rPr>
          <w:rFonts w:eastAsia="Times New Roman" w:cs="Arial"/>
          <w:color w:val="000000"/>
          <w:lang w:eastAsia="bg-BG"/>
        </w:rPr>
        <w:lastRenderedPageBreak/>
        <w:t>Както и другите лекарствени продукти, които повлияват системата ренин-ангиотензин-алдостерон, телмисартан може да предизвика хиперкалиемия (вж. точка 4.4). Този риск може да се увеличи в случай на комбинирано лечение с други лекарствени продукти, които също могат да предизвикат хиперкалиемия (солеви заместители, съдържащи калий, калий-съхраняващи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 -2 инхибитори), хепарин, имуносупресори (циклоспорин или такролимус) и триметоприм).</w:t>
      </w:r>
    </w:p>
    <w:p w14:paraId="71590C4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Възникването на хиперкалиемия зависи от свързаните с това рискови фактори. Рискът се повишава при по-горе посочените лечебни комбинации. Рискът е особено висок при комбинация с калий- съхраняващи диуретици и когато се комбинира със солеви заместители, съдържащи калий. Например при комбинация с АСЕ инхибитори или НСПВС рискът е по-малък, при условие че стриктно се спазват предпазните мерки при употреба.</w:t>
      </w:r>
    </w:p>
    <w:p w14:paraId="4FD4AAC0" w14:textId="77777777" w:rsidR="00251EB9" w:rsidRDefault="00251EB9" w:rsidP="00251EB9">
      <w:pPr>
        <w:spacing w:line="240" w:lineRule="auto"/>
        <w:rPr>
          <w:rFonts w:eastAsia="Times New Roman" w:cs="Arial"/>
          <w:i/>
          <w:iCs/>
          <w:color w:val="000000"/>
          <w:lang w:eastAsia="bg-BG"/>
        </w:rPr>
      </w:pPr>
    </w:p>
    <w:p w14:paraId="003827C2" w14:textId="5180A8B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Едновременното приложение не се препоръчва с</w:t>
      </w:r>
    </w:p>
    <w:p w14:paraId="2DDE9DF1" w14:textId="77777777" w:rsidR="00251EB9" w:rsidRDefault="00251EB9" w:rsidP="00251EB9">
      <w:pPr>
        <w:spacing w:line="240" w:lineRule="auto"/>
        <w:rPr>
          <w:rFonts w:eastAsia="Times New Roman" w:cs="Arial"/>
          <w:color w:val="000000"/>
          <w:u w:val="single"/>
          <w:lang w:eastAsia="bg-BG"/>
        </w:rPr>
      </w:pPr>
    </w:p>
    <w:p w14:paraId="0559E09F" w14:textId="2CA76BC8"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Калий-съхраняващи диуретици или калиеви добавки</w:t>
      </w:r>
    </w:p>
    <w:p w14:paraId="640AEE8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Ангиотензин II рецепторните антагонисти, какъвто е телмисартан, намаляват загубата на калий, която се придизвиква от диуретиците. Калий-съхраняващите диуретици като спиронолактон, еплеренон, триамтерен или амилорид, калиевите добавки или солевите заместители, съдържащи калий могат да доведат до значимо повишаване на серумния калий. Ако едновременното приложение е показано поради установена хипокалиемия, то трябва да се извършва с повишено внимание и трябва често да се мониторира серумния калий.</w:t>
      </w:r>
    </w:p>
    <w:p w14:paraId="3DAFB720" w14:textId="77777777" w:rsidR="00251EB9" w:rsidRDefault="00251EB9" w:rsidP="00251EB9">
      <w:pPr>
        <w:spacing w:line="240" w:lineRule="auto"/>
        <w:rPr>
          <w:rFonts w:eastAsia="Times New Roman" w:cs="Arial"/>
          <w:color w:val="000000"/>
          <w:u w:val="single"/>
          <w:lang w:eastAsia="bg-BG"/>
        </w:rPr>
      </w:pPr>
    </w:p>
    <w:p w14:paraId="126CC2AA" w14:textId="505DE890"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Литий</w:t>
      </w:r>
    </w:p>
    <w:p w14:paraId="7174A163" w14:textId="71EF54FF" w:rsidR="00251EB9" w:rsidRPr="00251EB9" w:rsidRDefault="00251EB9" w:rsidP="00251EB9">
      <w:pPr>
        <w:spacing w:line="240" w:lineRule="auto"/>
        <w:rPr>
          <w:rFonts w:eastAsia="Times New Roman" w:cs="Arial"/>
        </w:rPr>
      </w:pPr>
      <w:r w:rsidRPr="00251EB9">
        <w:rPr>
          <w:rFonts w:eastAsia="Times New Roman" w:cs="Arial"/>
          <w:color w:val="000000"/>
          <w:lang w:eastAsia="bg-BG"/>
        </w:rPr>
        <w:t>По време на едновременно приложение на литий с инхибитори на ангиотензин конвертиращия ензим и с ангиотензин II рецепторни антагонисти, включително телмисартан, са наблюдавани обратимо повишение на серумните литиеви концентрации и прояви на токсичност. Ако тази комбинация е необходима, се препоръчва внимателно мониториране на серумните нива на лития.</w:t>
      </w:r>
    </w:p>
    <w:p w14:paraId="657FA0E4" w14:textId="77777777" w:rsidR="00251EB9" w:rsidRDefault="00251EB9" w:rsidP="00251EB9">
      <w:pPr>
        <w:spacing w:line="240" w:lineRule="auto"/>
        <w:rPr>
          <w:rFonts w:eastAsia="Times New Roman" w:cs="Arial"/>
          <w:i/>
          <w:iCs/>
          <w:color w:val="000000"/>
          <w:lang w:eastAsia="bg-BG"/>
        </w:rPr>
      </w:pPr>
    </w:p>
    <w:p w14:paraId="2260448F" w14:textId="059CA55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Едновременното приложение изисква повишено внимание при</w:t>
      </w:r>
    </w:p>
    <w:p w14:paraId="44DBEF9B" w14:textId="77777777" w:rsidR="00251EB9" w:rsidRDefault="00251EB9" w:rsidP="00251EB9">
      <w:pPr>
        <w:spacing w:line="240" w:lineRule="auto"/>
        <w:rPr>
          <w:rFonts w:eastAsia="Times New Roman" w:cs="Arial"/>
          <w:color w:val="000000"/>
          <w:u w:val="single"/>
          <w:lang w:eastAsia="bg-BG"/>
        </w:rPr>
      </w:pPr>
    </w:p>
    <w:p w14:paraId="6232E382" w14:textId="6C4C440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Нестероидни противовъзпалителни средства</w:t>
      </w:r>
    </w:p>
    <w:p w14:paraId="554EEFF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НСПВС (т.е. ацетилсалицилова киселина в протововъзпалителни дози, СОХ-2 инхибитори и неселективни НСПВС) могат да намалят антяхипертензивния ефект на ангиотензин II рецепторните антагонисти. При някои пациенти с нарушена бъбречна функция (например дехидратирани пациенти или пациенти в напреднала възраст с нарушена бъбречна функция) едновременното приложение на ангиотензин II рецепторни антагонисти и лекарствени продукти, които инхибират цикло- 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напреднала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50585BE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251EB9">
        <w:rPr>
          <w:rFonts w:eastAsia="Times New Roman" w:cs="Arial"/>
          <w:smallCaps/>
          <w:color w:val="000000"/>
          <w:lang w:val="en-US"/>
        </w:rPr>
        <w:t>AUC</w:t>
      </w:r>
      <w:r w:rsidRPr="00251EB9">
        <w:rPr>
          <w:rFonts w:eastAsia="Times New Roman" w:cs="Arial"/>
          <w:smallCaps/>
          <w:color w:val="000000"/>
          <w:vertAlign w:val="subscript"/>
          <w:lang w:val="ru-RU"/>
        </w:rPr>
        <w:t>0-24</w:t>
      </w:r>
      <w:r w:rsidRPr="00251EB9">
        <w:rPr>
          <w:rFonts w:eastAsia="Times New Roman" w:cs="Arial"/>
          <w:smallCaps/>
          <w:color w:val="000000"/>
          <w:lang w:val="ru-RU"/>
        </w:rPr>
        <w:t xml:space="preserve"> </w:t>
      </w:r>
      <w:r w:rsidRPr="00251EB9">
        <w:rPr>
          <w:rFonts w:eastAsia="Times New Roman" w:cs="Arial"/>
          <w:smallCaps/>
          <w:color w:val="000000"/>
          <w:lang w:eastAsia="bg-BG"/>
        </w:rPr>
        <w:t>и</w:t>
      </w:r>
      <w:r w:rsidRPr="00251EB9">
        <w:rPr>
          <w:rFonts w:eastAsia="Times New Roman" w:cs="Arial"/>
          <w:color w:val="000000"/>
          <w:lang w:eastAsia="bg-BG"/>
        </w:rPr>
        <w:t xml:space="preserve"> С</w:t>
      </w:r>
      <w:r w:rsidRPr="00251EB9">
        <w:rPr>
          <w:rFonts w:eastAsia="Times New Roman" w:cs="Arial"/>
          <w:color w:val="000000"/>
          <w:vertAlign w:val="subscript"/>
          <w:lang w:val="en-US"/>
        </w:rPr>
        <w:t>max</w:t>
      </w:r>
      <w:r w:rsidRPr="00251EB9">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132AAFC6" w14:textId="77777777" w:rsidR="00251EB9" w:rsidRDefault="00251EB9" w:rsidP="00251EB9">
      <w:pPr>
        <w:spacing w:line="240" w:lineRule="auto"/>
        <w:rPr>
          <w:rFonts w:eastAsia="Times New Roman" w:cs="Arial"/>
          <w:color w:val="000000"/>
          <w:u w:val="single"/>
          <w:lang w:eastAsia="bg-BG"/>
        </w:rPr>
      </w:pPr>
    </w:p>
    <w:p w14:paraId="68CA74D9" w14:textId="4483E66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Диуретици (тиазидни или бримкови диуретици)</w:t>
      </w:r>
    </w:p>
    <w:p w14:paraId="39F1910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Предшестваща терапия с високи дози диуретици като фуроземид (бримков диуретик) и хидрохлоротиазид (тиазиден диуретик) може да доведе до намален обем на циркулиращата кръв и риск от възникване на хипотония при започване на лечение с телмисартан.</w:t>
      </w:r>
    </w:p>
    <w:p w14:paraId="64AD4D50" w14:textId="77777777" w:rsidR="00251EB9" w:rsidRDefault="00251EB9" w:rsidP="00251EB9">
      <w:pPr>
        <w:spacing w:line="240" w:lineRule="auto"/>
        <w:rPr>
          <w:rFonts w:eastAsia="Times New Roman" w:cs="Arial"/>
          <w:i/>
          <w:iCs/>
          <w:color w:val="000000"/>
          <w:lang w:eastAsia="bg-BG"/>
        </w:rPr>
      </w:pPr>
    </w:p>
    <w:p w14:paraId="0356B954" w14:textId="677BE507" w:rsidR="00251EB9" w:rsidRDefault="00251EB9" w:rsidP="00251EB9">
      <w:pPr>
        <w:spacing w:line="240" w:lineRule="auto"/>
        <w:rPr>
          <w:rFonts w:eastAsia="Times New Roman" w:cs="Arial"/>
          <w:i/>
          <w:iCs/>
          <w:color w:val="000000"/>
          <w:lang w:eastAsia="bg-BG"/>
        </w:rPr>
      </w:pPr>
      <w:r w:rsidRPr="00251EB9">
        <w:rPr>
          <w:rFonts w:eastAsia="Times New Roman" w:cs="Arial"/>
          <w:i/>
          <w:iCs/>
          <w:color w:val="000000"/>
          <w:lang w:eastAsia="bg-BG"/>
        </w:rPr>
        <w:t>Трябва са се вземе под внимание при едновременно приложение</w:t>
      </w:r>
    </w:p>
    <w:p w14:paraId="170E3E1F" w14:textId="1871F96A" w:rsidR="00251EB9" w:rsidRDefault="00251EB9" w:rsidP="00251EB9">
      <w:pPr>
        <w:spacing w:line="240" w:lineRule="auto"/>
        <w:rPr>
          <w:rFonts w:eastAsia="Times New Roman" w:cs="Arial"/>
          <w:i/>
          <w:iCs/>
          <w:color w:val="000000"/>
          <w:lang w:eastAsia="bg-BG"/>
        </w:rPr>
      </w:pPr>
    </w:p>
    <w:p w14:paraId="1D2086A8"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 антихипертензивни лекарствени продукти</w:t>
      </w:r>
    </w:p>
    <w:p w14:paraId="03DA936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Хипотензивният ефект на телмисартан може да се повиши при едновременното приложение с други антихипертензивни лекарствени продукти.</w:t>
      </w:r>
    </w:p>
    <w:p w14:paraId="7354BA7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4C1492CF" w14:textId="77777777" w:rsidR="00251EB9" w:rsidRDefault="00251EB9" w:rsidP="00251EB9">
      <w:pPr>
        <w:spacing w:line="240" w:lineRule="auto"/>
        <w:rPr>
          <w:rFonts w:eastAsia="Times New Roman" w:cs="Arial"/>
          <w:color w:val="000000"/>
          <w:lang w:eastAsia="bg-BG"/>
        </w:rPr>
      </w:pPr>
    </w:p>
    <w:p w14:paraId="14834DD7" w14:textId="085BFD64"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Въз основа на фармакологичните им свойства е възможно да се </w:t>
      </w:r>
      <w:r w:rsidRPr="00251EB9">
        <w:rPr>
          <w:rFonts w:eastAsia="Times New Roman" w:cs="Arial"/>
          <w:i/>
          <w:iCs/>
          <w:color w:val="000000"/>
          <w:lang w:eastAsia="bg-BG"/>
        </w:rPr>
        <w:t>очаква,</w:t>
      </w:r>
      <w:r w:rsidRPr="00251EB9">
        <w:rPr>
          <w:rFonts w:eastAsia="Times New Roman" w:cs="Arial"/>
          <w:color w:val="000000"/>
          <w:lang w:eastAsia="bg-BG"/>
        </w:rPr>
        <w:t xml:space="preserve">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 Също така, оргостатичната хипотония може да бъде засилена от алкохол, барбитурати, наркотични вещества или антидепресанти.</w:t>
      </w:r>
    </w:p>
    <w:p w14:paraId="5881855D" w14:textId="77777777" w:rsidR="00251EB9" w:rsidRDefault="00251EB9" w:rsidP="00251EB9">
      <w:pPr>
        <w:spacing w:line="240" w:lineRule="auto"/>
        <w:rPr>
          <w:rFonts w:eastAsia="Times New Roman" w:cs="Arial"/>
          <w:color w:val="000000"/>
          <w:u w:val="single"/>
          <w:lang w:eastAsia="bg-BG"/>
        </w:rPr>
      </w:pPr>
    </w:p>
    <w:p w14:paraId="451CA35C" w14:textId="77777777" w:rsidR="00251EB9" w:rsidRDefault="00251EB9" w:rsidP="00251EB9">
      <w:pPr>
        <w:spacing w:line="240" w:lineRule="auto"/>
        <w:rPr>
          <w:rFonts w:eastAsia="Times New Roman" w:cs="Arial"/>
          <w:color w:val="000000"/>
          <w:u w:val="single"/>
          <w:lang w:eastAsia="bg-BG"/>
        </w:rPr>
      </w:pPr>
      <w:r w:rsidRPr="00251EB9">
        <w:rPr>
          <w:rFonts w:eastAsia="Times New Roman" w:cs="Arial"/>
          <w:color w:val="000000"/>
          <w:u w:val="single"/>
          <w:lang w:eastAsia="bg-BG"/>
        </w:rPr>
        <w:t xml:space="preserve">Кортикостероиди (системно приложение): </w:t>
      </w:r>
    </w:p>
    <w:p w14:paraId="0C4DF179" w14:textId="7BE61766" w:rsidR="00251EB9" w:rsidRPr="00251EB9" w:rsidRDefault="00251EB9" w:rsidP="00251EB9">
      <w:pPr>
        <w:spacing w:line="240" w:lineRule="auto"/>
        <w:rPr>
          <w:rFonts w:ascii="Times New Roman" w:eastAsia="Times New Roman" w:hAnsi="Times New Roman" w:cs="Times New Roman"/>
          <w:sz w:val="24"/>
          <w:szCs w:val="24"/>
        </w:rPr>
      </w:pPr>
      <w:r w:rsidRPr="00251EB9">
        <w:rPr>
          <w:rFonts w:eastAsia="Times New Roman" w:cs="Arial"/>
          <w:color w:val="000000"/>
          <w:lang w:eastAsia="bg-BG"/>
        </w:rPr>
        <w:t>Намаляване на антихипертензивния ефект.</w:t>
      </w:r>
    </w:p>
    <w:p w14:paraId="345F394B" w14:textId="29649427" w:rsidR="00251EB9" w:rsidRPr="00251EB9" w:rsidRDefault="00251EB9" w:rsidP="00251EB9"/>
    <w:p w14:paraId="006BE4EC" w14:textId="76B3CB46" w:rsidR="00DB32D3" w:rsidRDefault="002C50EE" w:rsidP="005726E3">
      <w:pPr>
        <w:pStyle w:val="Heading2"/>
      </w:pPr>
      <w:r>
        <w:t>4.6. Фертилитет, бременност и кърмене</w:t>
      </w:r>
    </w:p>
    <w:p w14:paraId="6A8A27E0" w14:textId="5128A87F" w:rsidR="00251EB9" w:rsidRDefault="00251EB9" w:rsidP="00251EB9"/>
    <w:p w14:paraId="1FD4EE19" w14:textId="64681804" w:rsidR="00251EB9" w:rsidRPr="00251EB9" w:rsidRDefault="00251EB9" w:rsidP="00251EB9">
      <w:pPr>
        <w:pStyle w:val="Heading3"/>
        <w:rPr>
          <w:u w:val="single"/>
        </w:rPr>
      </w:pPr>
      <w:r w:rsidRPr="00251EB9">
        <w:rPr>
          <w:u w:val="single"/>
        </w:rPr>
        <w:t>Бременност</w:t>
      </w:r>
    </w:p>
    <w:tbl>
      <w:tblPr>
        <w:tblStyle w:val="TableGrid"/>
        <w:tblW w:w="0" w:type="auto"/>
        <w:tblLook w:val="04A0" w:firstRow="1" w:lastRow="0" w:firstColumn="1" w:lastColumn="0" w:noHBand="0" w:noVBand="1"/>
      </w:tblPr>
      <w:tblGrid>
        <w:gridCol w:w="9350"/>
      </w:tblGrid>
      <w:tr w:rsidR="00251EB9" w:rsidRPr="00251EB9" w14:paraId="53C03623" w14:textId="77777777" w:rsidTr="00251EB9">
        <w:tc>
          <w:tcPr>
            <w:tcW w:w="9576" w:type="dxa"/>
          </w:tcPr>
          <w:p w14:paraId="3CC45A12" w14:textId="5514ED10"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086E2CB8" w14:textId="1ED76A0A" w:rsidR="00251EB9" w:rsidRPr="00251EB9" w:rsidRDefault="00251EB9" w:rsidP="00251EB9">
      <w:pPr>
        <w:rPr>
          <w:rFonts w:cs="Arial"/>
        </w:rPr>
      </w:pPr>
    </w:p>
    <w:p w14:paraId="4BFC4E9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Няма достатъчно данни за употребата на Танидон при бременни жени. Експерименталните проучвания при животни показват репродуктивна токсичност (вж. точка 5.3).</w:t>
      </w:r>
    </w:p>
    <w:p w14:paraId="38F2A2B5" w14:textId="77777777" w:rsidR="00251EB9" w:rsidRDefault="00251EB9" w:rsidP="00251EB9">
      <w:pPr>
        <w:spacing w:line="240" w:lineRule="auto"/>
        <w:rPr>
          <w:rFonts w:eastAsia="Times New Roman" w:cs="Arial"/>
          <w:color w:val="000000"/>
          <w:lang w:eastAsia="bg-BG"/>
        </w:rPr>
      </w:pPr>
    </w:p>
    <w:p w14:paraId="296028BD" w14:textId="4254594C"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И рецепторни антагонисти. Ако е диагностицирана бременност, лечението с ангиотензин II рецепторни антагонисти трябва </w:t>
      </w:r>
      <w:r w:rsidRPr="00251EB9">
        <w:rPr>
          <w:rFonts w:eastAsia="Times New Roman" w:cs="Arial"/>
          <w:color w:val="000000"/>
          <w:lang w:eastAsia="bg-BG"/>
        </w:rPr>
        <w:lastRenderedPageBreak/>
        <w:t xml:space="preserve">незабавно да бъде </w:t>
      </w:r>
      <w:r w:rsidRPr="00251EB9">
        <w:rPr>
          <w:rFonts w:eastAsia="Times New Roman" w:cs="Arial"/>
          <w:i/>
          <w:iCs/>
          <w:color w:val="000000"/>
          <w:lang w:eastAsia="bg-BG"/>
        </w:rPr>
        <w:t>преустановено</w:t>
      </w:r>
      <w:r w:rsidRPr="00251EB9">
        <w:rPr>
          <w:rFonts w:eastAsia="Times New Roman" w:cs="Arial"/>
          <w:color w:val="000000"/>
          <w:lang w:eastAsia="bg-BG"/>
        </w:rPr>
        <w:t xml:space="preserve"> и ако е подходящо да бъде започнато алтернативно лечение.</w:t>
      </w:r>
    </w:p>
    <w:p w14:paraId="1EE53271" w14:textId="77777777" w:rsidR="00251EB9" w:rsidRDefault="00251EB9" w:rsidP="00251EB9">
      <w:pPr>
        <w:spacing w:line="240" w:lineRule="auto"/>
        <w:rPr>
          <w:rFonts w:eastAsia="Times New Roman" w:cs="Arial"/>
          <w:color w:val="000000"/>
          <w:lang w:eastAsia="bg-BG"/>
        </w:rPr>
      </w:pPr>
    </w:p>
    <w:p w14:paraId="69079660" w14:textId="4F58DB63" w:rsidR="00251EB9" w:rsidRPr="00251EB9" w:rsidRDefault="00251EB9" w:rsidP="00251EB9">
      <w:pPr>
        <w:spacing w:line="240" w:lineRule="auto"/>
        <w:rPr>
          <w:rFonts w:eastAsia="Times New Roman" w:cs="Arial"/>
        </w:rPr>
      </w:pPr>
      <w:r w:rsidRPr="00251EB9">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w:t>
      </w:r>
    </w:p>
    <w:p w14:paraId="2580B2A9" w14:textId="77777777" w:rsidR="00251EB9" w:rsidRDefault="00251EB9" w:rsidP="00251EB9">
      <w:pPr>
        <w:spacing w:line="240" w:lineRule="auto"/>
        <w:rPr>
          <w:rFonts w:eastAsia="Times New Roman" w:cs="Arial"/>
          <w:color w:val="000000"/>
          <w:lang w:eastAsia="bg-BG"/>
        </w:rPr>
      </w:pPr>
    </w:p>
    <w:p w14:paraId="6320D829" w14:textId="59CCEBD8"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 Новородените, чийто майки са приемали ангиотензин II рецепторни антагонисти, трябва да бъдат внимателно наблюдавани за наличие на хипотония (вж. точки 43 и 4.4).</w:t>
      </w:r>
    </w:p>
    <w:p w14:paraId="60D6A6FE" w14:textId="77777777" w:rsidR="00251EB9" w:rsidRDefault="00251EB9" w:rsidP="00251EB9">
      <w:pPr>
        <w:spacing w:line="240" w:lineRule="auto"/>
        <w:rPr>
          <w:rFonts w:eastAsia="Times New Roman" w:cs="Arial"/>
          <w:color w:val="000000"/>
          <w:u w:val="single"/>
          <w:lang w:eastAsia="bg-BG"/>
        </w:rPr>
      </w:pPr>
    </w:p>
    <w:p w14:paraId="7E117D53" w14:textId="5552B42B" w:rsidR="00251EB9" w:rsidRPr="00251EB9" w:rsidRDefault="00251EB9" w:rsidP="00251EB9">
      <w:pPr>
        <w:pStyle w:val="Heading3"/>
        <w:rPr>
          <w:rFonts w:eastAsia="Times New Roman"/>
          <w:u w:val="single"/>
        </w:rPr>
      </w:pPr>
      <w:r w:rsidRPr="00251EB9">
        <w:rPr>
          <w:rFonts w:eastAsia="Times New Roman"/>
          <w:u w:val="single"/>
          <w:lang w:eastAsia="bg-BG"/>
        </w:rPr>
        <w:t>Кърмене</w:t>
      </w:r>
    </w:p>
    <w:p w14:paraId="0001D09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Тъй като няма данни относно употребата на Танидон в периода на кърмене, Танидон не се препоръчва, а се предпочитат алтернативни лечения с по-добре установен профил на бе</w:t>
      </w:r>
      <w:r w:rsidRPr="00251EB9">
        <w:rPr>
          <w:rFonts w:eastAsia="Times New Roman" w:cs="Arial"/>
          <w:color w:val="000000"/>
          <w:u w:val="single"/>
          <w:lang w:eastAsia="bg-BG"/>
        </w:rPr>
        <w:t>зопасн</w:t>
      </w:r>
      <w:r w:rsidRPr="00251EB9">
        <w:rPr>
          <w:rFonts w:eastAsia="Times New Roman" w:cs="Arial"/>
          <w:color w:val="000000"/>
          <w:lang w:eastAsia="bg-BG"/>
        </w:rPr>
        <w:t>ост в периода на кърмене, особено при кърмене на новородено или преждевременно родено дете.</w:t>
      </w:r>
    </w:p>
    <w:p w14:paraId="67E3B0E0" w14:textId="77777777" w:rsidR="00251EB9" w:rsidRDefault="00251EB9" w:rsidP="00251EB9">
      <w:pPr>
        <w:spacing w:line="240" w:lineRule="auto"/>
        <w:rPr>
          <w:rFonts w:eastAsia="Times New Roman" w:cs="Arial"/>
          <w:color w:val="000000"/>
          <w:u w:val="single"/>
          <w:lang w:eastAsia="bg-BG"/>
        </w:rPr>
      </w:pPr>
    </w:p>
    <w:p w14:paraId="60ABF902" w14:textId="25D14228" w:rsidR="00251EB9" w:rsidRPr="00251EB9" w:rsidRDefault="00251EB9" w:rsidP="00251EB9">
      <w:pPr>
        <w:pStyle w:val="Heading3"/>
        <w:rPr>
          <w:rFonts w:eastAsia="Times New Roman"/>
          <w:u w:val="single"/>
        </w:rPr>
      </w:pPr>
      <w:r w:rsidRPr="00251EB9">
        <w:rPr>
          <w:rFonts w:eastAsia="Times New Roman"/>
          <w:u w:val="single"/>
          <w:lang w:eastAsia="bg-BG"/>
        </w:rPr>
        <w:t>Фертилитет</w:t>
      </w:r>
    </w:p>
    <w:p w14:paraId="0A087E77" w14:textId="77777777" w:rsidR="00251EB9" w:rsidRPr="00251EB9" w:rsidRDefault="00251EB9" w:rsidP="00251EB9">
      <w:pPr>
        <w:rPr>
          <w:sz w:val="24"/>
          <w:szCs w:val="24"/>
        </w:rPr>
      </w:pPr>
      <w:r w:rsidRPr="00251EB9">
        <w:rPr>
          <w:lang w:eastAsia="bg-BG"/>
        </w:rPr>
        <w:t>В предклинични проучвания не са наблюдавани ефекти на Танидон върху фертилитета на мъжки и женски индивиди.</w:t>
      </w:r>
    </w:p>
    <w:p w14:paraId="490BB256" w14:textId="77777777" w:rsidR="00251EB9" w:rsidRPr="00251EB9" w:rsidRDefault="00251EB9" w:rsidP="00251EB9"/>
    <w:p w14:paraId="128BA3A8" w14:textId="02E844F8" w:rsidR="00DB32D3" w:rsidRDefault="002C50EE" w:rsidP="005726E3">
      <w:pPr>
        <w:pStyle w:val="Heading2"/>
      </w:pPr>
      <w:r>
        <w:t>4.7. Ефекти върху способността за шофиране и работа с машини</w:t>
      </w:r>
    </w:p>
    <w:p w14:paraId="23AA983D" w14:textId="629F3434" w:rsidR="00251EB9" w:rsidRDefault="00251EB9" w:rsidP="00251EB9"/>
    <w:p w14:paraId="25086E00" w14:textId="77777777" w:rsidR="00251EB9" w:rsidRPr="00251EB9" w:rsidRDefault="00251EB9" w:rsidP="00251EB9">
      <w:pPr>
        <w:rPr>
          <w:sz w:val="24"/>
          <w:szCs w:val="24"/>
        </w:rPr>
      </w:pPr>
      <w:r w:rsidRPr="00251EB9">
        <w:rPr>
          <w:lang w:eastAsia="bg-BG"/>
        </w:rPr>
        <w:t>Когато се шофира или работи с машини трябва да се има предвид, че при антихипертензивна терапия като телмисартан, макар и рядко, могат да се проявят замайване или сънливост.</w:t>
      </w:r>
    </w:p>
    <w:p w14:paraId="10A289C8" w14:textId="77777777" w:rsidR="00251EB9" w:rsidRPr="00251EB9" w:rsidRDefault="00251EB9" w:rsidP="00251EB9"/>
    <w:p w14:paraId="44CE30A3" w14:textId="4F70B431" w:rsidR="007122AD" w:rsidRDefault="002C50EE" w:rsidP="00936AD0">
      <w:pPr>
        <w:pStyle w:val="Heading2"/>
      </w:pPr>
      <w:r>
        <w:t>4.8. Нежелани лекарствени реакции</w:t>
      </w:r>
    </w:p>
    <w:p w14:paraId="31BD8C80" w14:textId="4FC3D607" w:rsidR="00251EB9" w:rsidRDefault="00251EB9" w:rsidP="00251EB9"/>
    <w:p w14:paraId="77E059D9"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Кратко изложение на профила на безопасност</w:t>
      </w:r>
    </w:p>
    <w:p w14:paraId="74E3CD3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Сериозните нежелани лекарствени реакции включват анафилактичнн реакции и ангиоедем, които може да настъпят рядко (≥1/10 000 до &lt;1/1 000), и остра бъбречна недостатъчност.</w:t>
      </w:r>
    </w:p>
    <w:p w14:paraId="0443D2D8" w14:textId="77777777" w:rsidR="00251EB9" w:rsidRDefault="00251EB9" w:rsidP="00251EB9">
      <w:pPr>
        <w:spacing w:line="240" w:lineRule="auto"/>
        <w:rPr>
          <w:rFonts w:eastAsia="Times New Roman" w:cs="Arial"/>
          <w:color w:val="000000"/>
          <w:lang w:eastAsia="bg-BG"/>
        </w:rPr>
      </w:pPr>
    </w:p>
    <w:p w14:paraId="6244D30E" w14:textId="45CDD3D1" w:rsidR="00251EB9" w:rsidRPr="00251EB9" w:rsidRDefault="00251EB9" w:rsidP="00251EB9">
      <w:pPr>
        <w:spacing w:line="240" w:lineRule="auto"/>
        <w:rPr>
          <w:rFonts w:eastAsia="Times New Roman" w:cs="Arial"/>
        </w:rPr>
      </w:pPr>
      <w:r w:rsidRPr="00251EB9">
        <w:rPr>
          <w:rFonts w:eastAsia="Times New Roman" w:cs="Arial"/>
          <w:color w:val="000000"/>
          <w:lang w:eastAsia="bg-BG"/>
        </w:rPr>
        <w:t>Честотата на нежеланите реакции, съобщени при употреба на телмисартан е сравнима с плацебо (41,4% спрямо 43,9%) при плацебо-контролирани проучвания при пациенти, лекувани за хипертония. Случаите на проявени нежелани лекарствени реакции не са свързани с дозата и не показват зависимост от пола, възрастта или расата на пациентите.</w:t>
      </w:r>
    </w:p>
    <w:p w14:paraId="0561A7B7"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Профилът на безопасност на телмисартан при пациенти, лекувани за намаляване на сърдечно</w:t>
      </w:r>
      <w:r w:rsidRPr="00251EB9">
        <w:rPr>
          <w:rFonts w:eastAsia="Times New Roman" w:cs="Arial"/>
          <w:color w:val="000000"/>
          <w:lang w:eastAsia="bg-BG"/>
        </w:rPr>
        <w:softHyphen/>
        <w:t>съдовата заболеваемост, е сходен с този, наблюдаван при пациенти с хипертония.</w:t>
      </w:r>
    </w:p>
    <w:p w14:paraId="443226A8" w14:textId="77777777" w:rsidR="00251EB9" w:rsidRDefault="00251EB9" w:rsidP="00251EB9">
      <w:pPr>
        <w:spacing w:line="240" w:lineRule="auto"/>
        <w:rPr>
          <w:rFonts w:eastAsia="Times New Roman" w:cs="Arial"/>
          <w:color w:val="000000"/>
          <w:lang w:eastAsia="bg-BG"/>
        </w:rPr>
      </w:pPr>
    </w:p>
    <w:p w14:paraId="0E6BD2FA" w14:textId="38FC5ABF"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Представените подолу нежелани лекарствени реакции, отразяват резултатите от контролирани клинични проучвания при пациенти, лекувани за хипертония </w:t>
      </w:r>
      <w:r w:rsidRPr="00251EB9">
        <w:rPr>
          <w:rFonts w:eastAsia="Times New Roman" w:cs="Arial"/>
          <w:i/>
          <w:iCs/>
          <w:color w:val="000000"/>
          <w:lang w:eastAsia="bg-BG"/>
        </w:rPr>
        <w:t>и от постмаркетингови</w:t>
      </w:r>
      <w:r w:rsidRPr="00251EB9">
        <w:rPr>
          <w:rFonts w:eastAsia="Times New Roman" w:cs="Arial"/>
          <w:color w:val="000000"/>
          <w:lang w:eastAsia="bg-BG"/>
        </w:rPr>
        <w:t xml:space="preserve"> съобщения. Списъкът, също така, отразява сериозни нежелани </w:t>
      </w:r>
      <w:r w:rsidRPr="00251EB9">
        <w:rPr>
          <w:rFonts w:eastAsia="Times New Roman" w:cs="Arial"/>
          <w:color w:val="000000"/>
          <w:lang w:eastAsia="bg-BG"/>
        </w:rPr>
        <w:lastRenderedPageBreak/>
        <w:t xml:space="preserve">реакции и нежелани реакции, водещи до прекратяване на лечението, съобщени в три дългосрочни клинични проучвания, включващи 21 642 пациенти, лекувани с телмисартан за </w:t>
      </w:r>
      <w:r w:rsidRPr="00251EB9">
        <w:rPr>
          <w:rFonts w:eastAsia="Times New Roman" w:cs="Arial"/>
          <w:i/>
          <w:iCs/>
          <w:color w:val="000000"/>
          <w:lang w:eastAsia="bg-BG"/>
        </w:rPr>
        <w:t>намаляване на</w:t>
      </w:r>
      <w:r w:rsidRPr="00251EB9">
        <w:rPr>
          <w:rFonts w:eastAsia="Times New Roman" w:cs="Arial"/>
          <w:color w:val="000000"/>
          <w:lang w:eastAsia="bg-BG"/>
        </w:rPr>
        <w:t xml:space="preserve"> сърдечно-съдовата заболеваемост за период до шест години.</w:t>
      </w:r>
    </w:p>
    <w:p w14:paraId="06A11416" w14:textId="77777777" w:rsidR="00251EB9" w:rsidRDefault="00251EB9" w:rsidP="00251EB9">
      <w:pPr>
        <w:spacing w:line="240" w:lineRule="auto"/>
        <w:rPr>
          <w:rFonts w:eastAsia="Times New Roman" w:cs="Arial"/>
          <w:color w:val="000000"/>
          <w:u w:val="single"/>
          <w:lang w:eastAsia="bg-BG"/>
        </w:rPr>
      </w:pPr>
    </w:p>
    <w:p w14:paraId="59897CD6" w14:textId="5301C9A1"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Кратко изложение на нежеланите реакции в табличен Формат</w:t>
      </w:r>
    </w:p>
    <w:p w14:paraId="0A870A8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5C9A9D8A" w14:textId="77777777" w:rsidR="00251EB9" w:rsidRDefault="00251EB9" w:rsidP="00251EB9">
      <w:pPr>
        <w:spacing w:line="240" w:lineRule="auto"/>
        <w:rPr>
          <w:rFonts w:eastAsia="Times New Roman" w:cs="Arial"/>
          <w:color w:val="000000"/>
          <w:lang w:eastAsia="bg-BG"/>
        </w:rPr>
      </w:pPr>
    </w:p>
    <w:p w14:paraId="79AC2014" w14:textId="6C8C475D"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10E573A" w14:textId="77777777" w:rsidR="00251EB9" w:rsidRDefault="00251EB9" w:rsidP="00251EB9">
      <w:pPr>
        <w:spacing w:line="240" w:lineRule="auto"/>
        <w:rPr>
          <w:rFonts w:eastAsia="Times New Roman" w:cs="Arial"/>
          <w:i/>
          <w:iCs/>
          <w:color w:val="000000"/>
          <w:lang w:eastAsia="bg-BG"/>
        </w:rPr>
      </w:pPr>
    </w:p>
    <w:p w14:paraId="5B579833" w14:textId="329AA08F"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Инфекции и инфестации</w:t>
      </w:r>
    </w:p>
    <w:p w14:paraId="4A76BCF6" w14:textId="743AF0F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Инфекция на уринарния тракт, включително цистит, инфекция на горния</w:t>
      </w:r>
    </w:p>
    <w:p w14:paraId="483BFA7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респираторен тракт, включително фарингит и синузит</w:t>
      </w:r>
    </w:p>
    <w:p w14:paraId="4003890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Сепсис, включително с фатален изход</w:t>
      </w:r>
      <w:r w:rsidRPr="00251EB9">
        <w:rPr>
          <w:rFonts w:eastAsia="Times New Roman" w:cs="Arial"/>
          <w:color w:val="000000"/>
          <w:vertAlign w:val="superscript"/>
          <w:lang w:eastAsia="bg-BG"/>
        </w:rPr>
        <w:t>1</w:t>
      </w:r>
    </w:p>
    <w:p w14:paraId="6BB0C2B6" w14:textId="77777777" w:rsidR="00251EB9" w:rsidRDefault="00251EB9" w:rsidP="00251EB9">
      <w:pPr>
        <w:spacing w:line="240" w:lineRule="auto"/>
        <w:rPr>
          <w:rFonts w:eastAsia="Times New Roman" w:cs="Arial"/>
          <w:i/>
          <w:iCs/>
          <w:color w:val="000000"/>
          <w:lang w:eastAsia="bg-BG"/>
        </w:rPr>
      </w:pPr>
    </w:p>
    <w:p w14:paraId="62ADCD47" w14:textId="4E353EA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кръвта и лимфната система</w:t>
      </w:r>
    </w:p>
    <w:p w14:paraId="40A90BE9" w14:textId="2AB8437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Анемия</w:t>
      </w:r>
    </w:p>
    <w:p w14:paraId="303AD1CC"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Еозинофилия, тромбоцитопения</w:t>
      </w:r>
    </w:p>
    <w:p w14:paraId="3B4A6BEB" w14:textId="77777777" w:rsidR="00251EB9" w:rsidRDefault="00251EB9" w:rsidP="00251EB9">
      <w:pPr>
        <w:spacing w:line="240" w:lineRule="auto"/>
        <w:rPr>
          <w:rFonts w:eastAsia="Times New Roman" w:cs="Arial"/>
          <w:i/>
          <w:iCs/>
          <w:color w:val="000000"/>
          <w:lang w:eastAsia="bg-BG"/>
        </w:rPr>
      </w:pPr>
    </w:p>
    <w:p w14:paraId="5B8F4504" w14:textId="143B2014"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имунната система</w:t>
      </w:r>
    </w:p>
    <w:p w14:paraId="2257965A"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Анафилактична реакция, свръхчувствителност</w:t>
      </w:r>
    </w:p>
    <w:p w14:paraId="7072C550" w14:textId="77777777" w:rsidR="00251EB9" w:rsidRDefault="00251EB9" w:rsidP="00251EB9">
      <w:pPr>
        <w:spacing w:line="240" w:lineRule="auto"/>
        <w:rPr>
          <w:rFonts w:eastAsia="Times New Roman" w:cs="Arial"/>
          <w:i/>
          <w:iCs/>
          <w:color w:val="000000"/>
          <w:lang w:eastAsia="bg-BG"/>
        </w:rPr>
      </w:pPr>
    </w:p>
    <w:p w14:paraId="152FC3C1" w14:textId="311AE93E"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метаболизма и храненето</w:t>
      </w:r>
    </w:p>
    <w:p w14:paraId="64757A69" w14:textId="6944A9B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Хиперкалиемия</w:t>
      </w:r>
    </w:p>
    <w:p w14:paraId="09E5E9E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Хипогликемия (при пациенти с диабет)</w:t>
      </w:r>
    </w:p>
    <w:p w14:paraId="2926F9CD" w14:textId="77777777" w:rsidR="00251EB9" w:rsidRDefault="00251EB9" w:rsidP="00251EB9">
      <w:pPr>
        <w:spacing w:line="240" w:lineRule="auto"/>
        <w:rPr>
          <w:rFonts w:eastAsia="Times New Roman" w:cs="Arial"/>
          <w:i/>
          <w:iCs/>
          <w:color w:val="000000"/>
          <w:lang w:eastAsia="bg-BG"/>
        </w:rPr>
      </w:pPr>
    </w:p>
    <w:p w14:paraId="544C3CDB" w14:textId="7E088D7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Психични нарушения</w:t>
      </w:r>
    </w:p>
    <w:p w14:paraId="0BC77EE5" w14:textId="666AF90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Безсъние, депресия</w:t>
      </w:r>
    </w:p>
    <w:p w14:paraId="7F5BC8CA"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Безпокойство</w:t>
      </w:r>
    </w:p>
    <w:p w14:paraId="26F6A7FB" w14:textId="7A00BD2A" w:rsidR="00251EB9" w:rsidRDefault="00251EB9" w:rsidP="00251EB9"/>
    <w:p w14:paraId="4F4F994E"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нервната система</w:t>
      </w:r>
    </w:p>
    <w:p w14:paraId="3BB937E7" w14:textId="4015CC3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Синкоп</w:t>
      </w:r>
    </w:p>
    <w:p w14:paraId="4BA26857"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Сънливост</w:t>
      </w:r>
    </w:p>
    <w:p w14:paraId="4B02998B" w14:textId="77777777" w:rsidR="00251EB9" w:rsidRDefault="00251EB9" w:rsidP="00251EB9">
      <w:pPr>
        <w:spacing w:line="240" w:lineRule="auto"/>
        <w:rPr>
          <w:rFonts w:eastAsia="Times New Roman" w:cs="Arial"/>
          <w:i/>
          <w:iCs/>
          <w:color w:val="000000"/>
          <w:lang w:eastAsia="bg-BG"/>
        </w:rPr>
      </w:pPr>
    </w:p>
    <w:p w14:paraId="3089C020" w14:textId="1F48E84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очите</w:t>
      </w:r>
    </w:p>
    <w:p w14:paraId="2F9C6265"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Нарушено зрение</w:t>
      </w:r>
    </w:p>
    <w:p w14:paraId="63470B8E" w14:textId="77777777" w:rsidR="00251EB9" w:rsidRDefault="00251EB9" w:rsidP="00251EB9">
      <w:pPr>
        <w:spacing w:line="240" w:lineRule="auto"/>
        <w:rPr>
          <w:rFonts w:eastAsia="Times New Roman" w:cs="Arial"/>
          <w:i/>
          <w:iCs/>
          <w:color w:val="000000"/>
          <w:lang w:eastAsia="bg-BG"/>
        </w:rPr>
      </w:pPr>
    </w:p>
    <w:p w14:paraId="1D777D35" w14:textId="65E37D3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ухото и лабиринта</w:t>
      </w:r>
    </w:p>
    <w:p w14:paraId="0C0B1CCB" w14:textId="2349EBB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Световъртеж</w:t>
      </w:r>
    </w:p>
    <w:p w14:paraId="516A0996" w14:textId="77777777" w:rsidR="00251EB9" w:rsidRDefault="00251EB9" w:rsidP="00251EB9">
      <w:pPr>
        <w:spacing w:line="240" w:lineRule="auto"/>
        <w:rPr>
          <w:rFonts w:eastAsia="Times New Roman" w:cs="Arial"/>
          <w:i/>
          <w:iCs/>
          <w:color w:val="000000"/>
          <w:lang w:eastAsia="bg-BG"/>
        </w:rPr>
      </w:pPr>
    </w:p>
    <w:p w14:paraId="215C569D" w14:textId="2CFF18E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Сърдечни нарушения</w:t>
      </w:r>
    </w:p>
    <w:p w14:paraId="6E7387B8" w14:textId="7AD3DE2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Брадикардия</w:t>
      </w:r>
    </w:p>
    <w:p w14:paraId="612A9102"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Тахикардия</w:t>
      </w:r>
    </w:p>
    <w:p w14:paraId="25215774" w14:textId="77777777" w:rsidR="00251EB9" w:rsidRDefault="00251EB9" w:rsidP="00251EB9">
      <w:pPr>
        <w:spacing w:line="240" w:lineRule="auto"/>
        <w:rPr>
          <w:rFonts w:eastAsia="Times New Roman" w:cs="Arial"/>
          <w:i/>
          <w:iCs/>
          <w:color w:val="000000"/>
          <w:lang w:eastAsia="bg-BG"/>
        </w:rPr>
      </w:pPr>
    </w:p>
    <w:p w14:paraId="3909DA9C" w14:textId="6BFEB2E1"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Съдови нарушения</w:t>
      </w:r>
    </w:p>
    <w:p w14:paraId="4A146731" w14:textId="72B2DD95"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Хипотония</w:t>
      </w:r>
      <w:r w:rsidRPr="00251EB9">
        <w:rPr>
          <w:rFonts w:eastAsia="Times New Roman" w:cs="Arial"/>
          <w:color w:val="000000"/>
          <w:vertAlign w:val="superscript"/>
          <w:lang w:eastAsia="bg-BG"/>
        </w:rPr>
        <w:t>2</w:t>
      </w:r>
      <w:r w:rsidRPr="00251EB9">
        <w:rPr>
          <w:rFonts w:eastAsia="Times New Roman" w:cs="Arial"/>
          <w:color w:val="000000"/>
          <w:lang w:eastAsia="bg-BG"/>
        </w:rPr>
        <w:t>, ортостатична хипотония</w:t>
      </w:r>
    </w:p>
    <w:p w14:paraId="1BA95747" w14:textId="77777777" w:rsidR="00251EB9" w:rsidRDefault="00251EB9" w:rsidP="00251EB9">
      <w:pPr>
        <w:spacing w:line="240" w:lineRule="auto"/>
        <w:rPr>
          <w:rFonts w:eastAsia="Times New Roman" w:cs="Arial"/>
          <w:i/>
          <w:iCs/>
          <w:color w:val="000000"/>
          <w:lang w:eastAsia="bg-BG"/>
        </w:rPr>
      </w:pPr>
    </w:p>
    <w:p w14:paraId="0BC79873" w14:textId="0B24BE68"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Респираторни, гръдни и медиастинални нарушения</w:t>
      </w:r>
    </w:p>
    <w:p w14:paraId="0330187F" w14:textId="26BD75F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lastRenderedPageBreak/>
        <w:t>Нечести:</w:t>
      </w:r>
      <w:r>
        <w:rPr>
          <w:rFonts w:eastAsia="Times New Roman" w:cs="Arial"/>
          <w:color w:val="000000"/>
          <w:lang w:eastAsia="bg-BG"/>
        </w:rPr>
        <w:t xml:space="preserve"> </w:t>
      </w:r>
      <w:r w:rsidRPr="00251EB9">
        <w:rPr>
          <w:rFonts w:eastAsia="Times New Roman" w:cs="Arial"/>
          <w:color w:val="000000"/>
          <w:lang w:eastAsia="bg-BG"/>
        </w:rPr>
        <w:t>Диспнея, кашлица</w:t>
      </w:r>
    </w:p>
    <w:p w14:paraId="672873C3"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Много редки</w:t>
      </w:r>
      <w:r w:rsidRPr="00251EB9">
        <w:rPr>
          <w:rFonts w:eastAsia="Times New Roman" w:cs="Arial"/>
          <w:color w:val="000000"/>
          <w:lang w:eastAsia="bg-BG"/>
        </w:rPr>
        <w:tab/>
        <w:t>Интерстициална белодробна болест</w:t>
      </w:r>
      <w:r w:rsidRPr="00251EB9">
        <w:rPr>
          <w:rFonts w:eastAsia="Times New Roman" w:cs="Arial"/>
          <w:color w:val="000000"/>
          <w:vertAlign w:val="superscript"/>
          <w:lang w:eastAsia="bg-BG"/>
        </w:rPr>
        <w:t>4</w:t>
      </w:r>
    </w:p>
    <w:p w14:paraId="298D2B05" w14:textId="77777777" w:rsidR="00251EB9" w:rsidRDefault="00251EB9" w:rsidP="00251EB9">
      <w:pPr>
        <w:spacing w:line="240" w:lineRule="auto"/>
        <w:rPr>
          <w:rFonts w:eastAsia="Times New Roman" w:cs="Arial"/>
          <w:i/>
          <w:iCs/>
          <w:color w:val="000000"/>
          <w:lang w:eastAsia="bg-BG"/>
        </w:rPr>
      </w:pPr>
    </w:p>
    <w:p w14:paraId="15EDDF74" w14:textId="1BC32C74"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Стомашно-чревни нарушения</w:t>
      </w:r>
    </w:p>
    <w:p w14:paraId="61A226ED" w14:textId="581C9DC2"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Абдоми</w:t>
      </w:r>
      <w:r>
        <w:rPr>
          <w:rFonts w:eastAsia="Times New Roman" w:cs="Arial"/>
          <w:color w:val="000000"/>
          <w:lang w:eastAsia="bg-BG"/>
        </w:rPr>
        <w:t xml:space="preserve">нална болка, диария, диспепсия, </w:t>
      </w:r>
      <w:r w:rsidRPr="00251EB9">
        <w:rPr>
          <w:rFonts w:eastAsia="Times New Roman" w:cs="Arial"/>
          <w:color w:val="000000"/>
          <w:lang w:eastAsia="bg-BG"/>
        </w:rPr>
        <w:t>флатуленция, повръщане</w:t>
      </w:r>
    </w:p>
    <w:p w14:paraId="24BC3E5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Сухота в устата, стомашен дискомфорт, дисгеузия</w:t>
      </w:r>
    </w:p>
    <w:p w14:paraId="5DB940DD" w14:textId="77777777" w:rsidR="00251EB9" w:rsidRDefault="00251EB9" w:rsidP="00251EB9">
      <w:pPr>
        <w:spacing w:line="240" w:lineRule="auto"/>
        <w:rPr>
          <w:rFonts w:eastAsia="Times New Roman" w:cs="Arial"/>
          <w:i/>
          <w:iCs/>
          <w:color w:val="000000"/>
          <w:lang w:eastAsia="bg-BG"/>
        </w:rPr>
      </w:pPr>
    </w:p>
    <w:p w14:paraId="64B1880B" w14:textId="27B8203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Хепато-билиарни нарушения</w:t>
      </w:r>
    </w:p>
    <w:p w14:paraId="09BCFD6B"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Абнормна чернодробна функция/чернодробно нарушение</w:t>
      </w:r>
      <w:r w:rsidRPr="00251EB9">
        <w:rPr>
          <w:rFonts w:eastAsia="Times New Roman" w:cs="Arial"/>
          <w:color w:val="000000"/>
          <w:vertAlign w:val="superscript"/>
          <w:lang w:eastAsia="bg-BG"/>
        </w:rPr>
        <w:t>3</w:t>
      </w:r>
    </w:p>
    <w:p w14:paraId="685374C7" w14:textId="77777777" w:rsidR="00251EB9" w:rsidRDefault="00251EB9" w:rsidP="00251EB9">
      <w:pPr>
        <w:spacing w:line="240" w:lineRule="auto"/>
        <w:rPr>
          <w:rFonts w:eastAsia="Times New Roman" w:cs="Arial"/>
          <w:i/>
          <w:iCs/>
          <w:color w:val="000000"/>
          <w:lang w:eastAsia="bg-BG"/>
        </w:rPr>
      </w:pPr>
    </w:p>
    <w:p w14:paraId="3252A92B" w14:textId="26FA386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кожата и подкожната тъкан</w:t>
      </w:r>
    </w:p>
    <w:p w14:paraId="2830B269" w14:textId="4CA6F32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Пруритус, хиперхидроза, обрив</w:t>
      </w:r>
    </w:p>
    <w:p w14:paraId="6F392D2D"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Ангиоедем (също и с фатален изход), екзема, еритема, уртикария, лекарствен</w:t>
      </w:r>
    </w:p>
    <w:p w14:paraId="7F86F8A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обрив, токсичен кожен обрив</w:t>
      </w:r>
    </w:p>
    <w:p w14:paraId="647A9509" w14:textId="77777777" w:rsidR="00251EB9" w:rsidRDefault="00251EB9" w:rsidP="00251EB9">
      <w:pPr>
        <w:spacing w:line="240" w:lineRule="auto"/>
        <w:rPr>
          <w:rFonts w:eastAsia="Times New Roman" w:cs="Arial"/>
          <w:i/>
          <w:iCs/>
          <w:color w:val="000000"/>
          <w:lang w:eastAsia="bg-BG"/>
        </w:rPr>
      </w:pPr>
    </w:p>
    <w:p w14:paraId="77FF0340" w14:textId="64B3E58F"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кожата и подкожната тъкан</w:t>
      </w:r>
    </w:p>
    <w:p w14:paraId="0D2C9894" w14:textId="2319AC69"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Болка в гърба (напр. ишиас), мускулни спазми, миалгия</w:t>
      </w:r>
    </w:p>
    <w:p w14:paraId="02E60FA8"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Аргралгия, болка в крайник, болки в сухожилията (тендинитоподобни симптоми)</w:t>
      </w:r>
    </w:p>
    <w:p w14:paraId="1B927642" w14:textId="77777777" w:rsidR="00251EB9" w:rsidRDefault="00251EB9" w:rsidP="00251EB9">
      <w:pPr>
        <w:spacing w:line="240" w:lineRule="auto"/>
        <w:rPr>
          <w:rFonts w:eastAsia="Times New Roman" w:cs="Arial"/>
          <w:i/>
          <w:iCs/>
          <w:color w:val="000000"/>
          <w:lang w:eastAsia="bg-BG"/>
        </w:rPr>
      </w:pPr>
    </w:p>
    <w:p w14:paraId="4EF341C0" w14:textId="4DB45E4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бъбреците и пикочните пътища</w:t>
      </w:r>
    </w:p>
    <w:p w14:paraId="652E328D" w14:textId="526B3F2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Бъбречно увреждане, включително остра бъбречна недостатъчност</w:t>
      </w:r>
    </w:p>
    <w:p w14:paraId="20075BBA" w14:textId="77777777" w:rsidR="00251EB9" w:rsidRDefault="00251EB9" w:rsidP="00251EB9">
      <w:pPr>
        <w:spacing w:line="240" w:lineRule="auto"/>
        <w:rPr>
          <w:rFonts w:eastAsia="Times New Roman" w:cs="Arial"/>
          <w:i/>
          <w:iCs/>
          <w:color w:val="000000"/>
          <w:lang w:eastAsia="bg-BG"/>
        </w:rPr>
      </w:pPr>
    </w:p>
    <w:p w14:paraId="385626DC" w14:textId="5CCF83F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Общи нарушения и ефекти на мястото на приложение</w:t>
      </w:r>
    </w:p>
    <w:p w14:paraId="5C1DA561" w14:textId="575559EA"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Болка в гръдния кош, астения (слабост)</w:t>
      </w:r>
    </w:p>
    <w:p w14:paraId="785E63C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Грипоподобно заболяване</w:t>
      </w:r>
    </w:p>
    <w:p w14:paraId="786DEE33" w14:textId="77777777" w:rsidR="00251EB9" w:rsidRDefault="00251EB9" w:rsidP="00251EB9">
      <w:pPr>
        <w:spacing w:line="240" w:lineRule="auto"/>
        <w:rPr>
          <w:rFonts w:eastAsia="Times New Roman" w:cs="Arial"/>
          <w:i/>
          <w:iCs/>
          <w:color w:val="000000"/>
          <w:lang w:eastAsia="bg-BG"/>
        </w:rPr>
      </w:pPr>
    </w:p>
    <w:p w14:paraId="5827F9C7" w14:textId="5556A7B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Изследвания</w:t>
      </w:r>
    </w:p>
    <w:p w14:paraId="10A6319F" w14:textId="06843E6A"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Повишен креатинин в кръвта</w:t>
      </w:r>
    </w:p>
    <w:p w14:paraId="52CA4A92"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Понижен хемоглобин, повишена пикочна киселина в кръвта, повишени</w:t>
      </w:r>
    </w:p>
    <w:p w14:paraId="359BAA8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чернодробни ензими, повишена креатин фосфокиназа в кръвта</w:t>
      </w:r>
    </w:p>
    <w:p w14:paraId="27A16939" w14:textId="77777777" w:rsidR="00251EB9" w:rsidRDefault="00251EB9" w:rsidP="00251EB9">
      <w:pPr>
        <w:spacing w:line="240" w:lineRule="auto"/>
        <w:rPr>
          <w:rFonts w:eastAsia="Times New Roman" w:cs="Arial"/>
          <w:color w:val="000000"/>
          <w:lang w:eastAsia="bg-BG"/>
        </w:rPr>
      </w:pPr>
    </w:p>
    <w:p w14:paraId="2FE95DE0" w14:textId="5CDD0F50" w:rsidR="00251EB9" w:rsidRPr="00251EB9" w:rsidRDefault="00251EB9" w:rsidP="00251EB9">
      <w:pPr>
        <w:spacing w:line="240" w:lineRule="auto"/>
        <w:rPr>
          <w:rFonts w:eastAsia="Times New Roman" w:cs="Arial"/>
        </w:rPr>
      </w:pPr>
      <w:r w:rsidRPr="00251EB9">
        <w:rPr>
          <w:rFonts w:eastAsia="Times New Roman" w:cs="Arial"/>
          <w:color w:val="000000"/>
          <w:lang w:eastAsia="bg-BG"/>
        </w:rPr>
        <w:t>1,2,3,4; за допълнително описание, моля вижте подточка “Описание на избрани нежелани реакции”.</w:t>
      </w:r>
    </w:p>
    <w:p w14:paraId="0AC01D67" w14:textId="77777777" w:rsidR="00251EB9" w:rsidRDefault="00251EB9" w:rsidP="00251EB9">
      <w:pPr>
        <w:spacing w:line="240" w:lineRule="auto"/>
        <w:rPr>
          <w:rFonts w:eastAsia="Times New Roman" w:cs="Arial"/>
          <w:i/>
          <w:iCs/>
          <w:color w:val="000000"/>
          <w:u w:val="single"/>
          <w:lang w:eastAsia="bg-BG"/>
        </w:rPr>
      </w:pPr>
    </w:p>
    <w:p w14:paraId="26C31EA3" w14:textId="3E1019F2"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Описание на избрани нежелани реакции</w:t>
      </w:r>
    </w:p>
    <w:p w14:paraId="3C59048B" w14:textId="77777777" w:rsidR="00251EB9" w:rsidRDefault="00251EB9" w:rsidP="00251EB9">
      <w:pPr>
        <w:spacing w:line="240" w:lineRule="auto"/>
        <w:rPr>
          <w:rFonts w:eastAsia="Times New Roman" w:cs="Arial"/>
          <w:color w:val="000000"/>
          <w:u w:val="single"/>
          <w:lang w:eastAsia="bg-BG"/>
        </w:rPr>
      </w:pPr>
    </w:p>
    <w:p w14:paraId="267B18E6" w14:textId="764E7E8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Сепсис</w:t>
      </w:r>
    </w:p>
    <w:p w14:paraId="48D61BFD"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В проучването </w:t>
      </w:r>
      <w:proofErr w:type="spellStart"/>
      <w:r w:rsidRPr="00251EB9">
        <w:rPr>
          <w:rFonts w:eastAsia="Times New Roman" w:cs="Arial"/>
          <w:color w:val="000000"/>
          <w:lang w:val="en-US"/>
        </w:rPr>
        <w:t>PRoFESS</w:t>
      </w:r>
      <w:proofErr w:type="spellEnd"/>
      <w:r w:rsidRPr="00251EB9">
        <w:rPr>
          <w:rFonts w:eastAsia="Times New Roman" w:cs="Arial"/>
          <w:color w:val="000000"/>
          <w:lang w:val="ru-RU"/>
        </w:rPr>
        <w:t xml:space="preserve"> </w:t>
      </w:r>
      <w:r w:rsidRPr="00251EB9">
        <w:rPr>
          <w:rFonts w:eastAsia="Times New Roman" w:cs="Arial"/>
          <w:color w:val="000000"/>
          <w:lang w:eastAsia="bg-BG"/>
        </w:rPr>
        <w:t>е наблюдавана повишена честота на сепсис при телмисартан в сравнение с</w:t>
      </w:r>
      <w:r>
        <w:rPr>
          <w:rFonts w:eastAsia="Times New Roman" w:cs="Arial"/>
          <w:color w:val="000000"/>
          <w:lang w:eastAsia="bg-BG"/>
        </w:rPr>
        <w:t xml:space="preserve"> </w:t>
      </w:r>
      <w:r w:rsidRPr="00251EB9">
        <w:rPr>
          <w:rFonts w:eastAsia="Times New Roman" w:cs="Arial"/>
          <w:color w:val="000000"/>
          <w:lang w:eastAsia="bg-BG"/>
        </w:rPr>
        <w:t>плацебо. Събитието може да е случайна находка или да е свързано с непознат до момента механизъм (вж. също точка 5.1).</w:t>
      </w:r>
    </w:p>
    <w:p w14:paraId="4DC956BD" w14:textId="77777777" w:rsidR="00251EB9" w:rsidRDefault="00251EB9" w:rsidP="00251EB9">
      <w:pPr>
        <w:spacing w:line="240" w:lineRule="auto"/>
        <w:rPr>
          <w:rFonts w:eastAsia="Times New Roman" w:cs="Arial"/>
          <w:color w:val="000000"/>
          <w:u w:val="single"/>
          <w:lang w:eastAsia="bg-BG"/>
        </w:rPr>
      </w:pPr>
    </w:p>
    <w:p w14:paraId="58FC9572" w14:textId="46E4ACE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Хипотония</w:t>
      </w:r>
    </w:p>
    <w:p w14:paraId="6CFE1CC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Тази нежелана реакция е съобщена като честа, при пациенти с контролирано кръвно налягане, които са лекувани с телмисартан за намаляване на сърдечно-съдовата заболеваемост, в допълнение към стандартните грижи.</w:t>
      </w:r>
    </w:p>
    <w:p w14:paraId="79D5E3A6" w14:textId="77777777" w:rsidR="00251EB9" w:rsidRDefault="00251EB9" w:rsidP="00251EB9">
      <w:pPr>
        <w:spacing w:line="240" w:lineRule="auto"/>
        <w:rPr>
          <w:rFonts w:eastAsia="Times New Roman" w:cs="Arial"/>
          <w:color w:val="000000"/>
          <w:u w:val="single"/>
          <w:lang w:eastAsia="bg-BG"/>
        </w:rPr>
      </w:pPr>
    </w:p>
    <w:p w14:paraId="6BA269AF" w14:textId="40117C2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Абнормна чернодробна функция/чернодробно нарушение</w:t>
      </w:r>
    </w:p>
    <w:p w14:paraId="50BD60B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Повечето случаи на абнормна функция/чернодробно нарушение от пост-маркетинговия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03924008" w14:textId="77777777" w:rsidR="00251EB9" w:rsidRDefault="00251EB9" w:rsidP="00251EB9">
      <w:pPr>
        <w:spacing w:line="240" w:lineRule="auto"/>
        <w:rPr>
          <w:rFonts w:eastAsia="Times New Roman" w:cs="Arial"/>
          <w:color w:val="000000"/>
          <w:u w:val="single"/>
          <w:lang w:eastAsia="bg-BG"/>
        </w:rPr>
      </w:pPr>
    </w:p>
    <w:p w14:paraId="0C3486AE" w14:textId="1D8B499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Интерстициална белодробна болест</w:t>
      </w:r>
    </w:p>
    <w:p w14:paraId="561F832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Случаи на интерстициална белодробна болест са докладвани от пост-маркетинговия опит, във връзка с приема на телмисартан Причинно-следствена връзка обаче не е установена.</w:t>
      </w:r>
    </w:p>
    <w:p w14:paraId="073DA552" w14:textId="77777777" w:rsidR="00251EB9" w:rsidRDefault="00251EB9" w:rsidP="00251EB9">
      <w:pPr>
        <w:spacing w:line="240" w:lineRule="auto"/>
        <w:rPr>
          <w:rFonts w:eastAsia="Times New Roman" w:cs="Arial"/>
          <w:color w:val="000000"/>
          <w:u w:val="single"/>
          <w:lang w:eastAsia="bg-BG"/>
        </w:rPr>
      </w:pPr>
    </w:p>
    <w:p w14:paraId="11F71CA7" w14:textId="1CAF2C2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Съобщаване на подозирани нежелани реакции</w:t>
      </w:r>
    </w:p>
    <w:p w14:paraId="5012EFF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 928903417, уебсайт: </w:t>
      </w:r>
      <w:r w:rsidRPr="00251EB9">
        <w:rPr>
          <w:rFonts w:eastAsia="Times New Roman" w:cs="Arial"/>
        </w:rPr>
        <w:fldChar w:fldCharType="begin"/>
      </w:r>
      <w:r w:rsidRPr="00251EB9">
        <w:rPr>
          <w:rFonts w:eastAsia="Times New Roman" w:cs="Arial"/>
        </w:rPr>
        <w:instrText xml:space="preserve"> HYPERLINK "http://www.bda.bg" </w:instrText>
      </w:r>
      <w:r w:rsidRPr="00251EB9">
        <w:rPr>
          <w:rFonts w:eastAsia="Times New Roman" w:cs="Arial"/>
        </w:rPr>
      </w:r>
      <w:r w:rsidRPr="00251EB9">
        <w:rPr>
          <w:rFonts w:eastAsia="Times New Roman" w:cs="Arial"/>
        </w:rPr>
        <w:fldChar w:fldCharType="separate"/>
      </w:r>
      <w:r w:rsidRPr="00251EB9">
        <w:rPr>
          <w:rFonts w:eastAsia="Times New Roman" w:cs="Arial"/>
          <w:color w:val="000000"/>
          <w:u w:val="single"/>
          <w:lang w:val="en-US"/>
        </w:rPr>
        <w:t>www</w:t>
      </w:r>
      <w:r w:rsidRPr="00251EB9">
        <w:rPr>
          <w:rFonts w:eastAsia="Times New Roman" w:cs="Arial"/>
          <w:color w:val="000000"/>
          <w:u w:val="single"/>
          <w:lang w:val="ru-RU"/>
        </w:rPr>
        <w:t>.</w:t>
      </w:r>
      <w:proofErr w:type="spellStart"/>
      <w:r w:rsidRPr="00251EB9">
        <w:rPr>
          <w:rFonts w:eastAsia="Times New Roman" w:cs="Arial"/>
          <w:color w:val="000000"/>
          <w:u w:val="single"/>
          <w:lang w:val="en-US"/>
        </w:rPr>
        <w:t>bda</w:t>
      </w:r>
      <w:proofErr w:type="spellEnd"/>
      <w:r w:rsidRPr="00251EB9">
        <w:rPr>
          <w:rFonts w:eastAsia="Times New Roman" w:cs="Arial"/>
          <w:color w:val="000000"/>
          <w:u w:val="single"/>
          <w:lang w:val="ru-RU"/>
        </w:rPr>
        <w:t>.</w:t>
      </w:r>
      <w:proofErr w:type="spellStart"/>
      <w:r w:rsidRPr="00251EB9">
        <w:rPr>
          <w:rFonts w:eastAsia="Times New Roman" w:cs="Arial"/>
          <w:color w:val="000000"/>
          <w:u w:val="single"/>
          <w:lang w:val="en-US"/>
        </w:rPr>
        <w:t>bg</w:t>
      </w:r>
      <w:proofErr w:type="spellEnd"/>
      <w:r w:rsidRPr="00251EB9">
        <w:rPr>
          <w:rFonts w:eastAsia="Times New Roman" w:cs="Arial"/>
        </w:rPr>
        <w:fldChar w:fldCharType="end"/>
      </w:r>
      <w:r w:rsidRPr="00251EB9">
        <w:rPr>
          <w:rFonts w:eastAsia="Times New Roman" w:cs="Arial"/>
          <w:color w:val="000000"/>
          <w:lang w:val="ru-RU"/>
        </w:rPr>
        <w:t>.</w:t>
      </w:r>
    </w:p>
    <w:p w14:paraId="0965DB8D" w14:textId="62FBE366" w:rsidR="00251EB9" w:rsidRPr="00251EB9" w:rsidRDefault="00251EB9" w:rsidP="00251EB9"/>
    <w:p w14:paraId="5A87DBA3" w14:textId="744FAB20" w:rsidR="007122AD" w:rsidRDefault="002C50EE" w:rsidP="00936AD0">
      <w:pPr>
        <w:pStyle w:val="Heading2"/>
      </w:pPr>
      <w:r>
        <w:t>4.9. Предозиране</w:t>
      </w:r>
    </w:p>
    <w:p w14:paraId="2F64DA1F" w14:textId="4B109587" w:rsidR="00251EB9" w:rsidRDefault="00251EB9" w:rsidP="00251EB9"/>
    <w:p w14:paraId="46E0959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Съществува ограничена информация по отношение на предозирането при хора.</w:t>
      </w:r>
    </w:p>
    <w:p w14:paraId="7AFD1AFB" w14:textId="77777777" w:rsidR="00251EB9" w:rsidRPr="00251EB9" w:rsidRDefault="00251EB9" w:rsidP="00251EB9">
      <w:pPr>
        <w:spacing w:line="240" w:lineRule="auto"/>
        <w:rPr>
          <w:rFonts w:eastAsia="Times New Roman" w:cs="Arial"/>
          <w:color w:val="000000"/>
          <w:u w:val="single"/>
          <w:lang w:eastAsia="bg-BG"/>
        </w:rPr>
      </w:pPr>
    </w:p>
    <w:p w14:paraId="30D8AD7C" w14:textId="01E9A21E" w:rsidR="00251EB9" w:rsidRPr="00251EB9" w:rsidRDefault="00251EB9" w:rsidP="00251EB9">
      <w:pPr>
        <w:spacing w:line="240" w:lineRule="auto"/>
        <w:rPr>
          <w:rFonts w:eastAsia="Times New Roman" w:cs="Arial"/>
        </w:rPr>
      </w:pPr>
      <w:r w:rsidRPr="00251EB9">
        <w:rPr>
          <w:rStyle w:val="Heading3Char"/>
          <w:u w:val="single"/>
          <w:lang w:eastAsia="bg-BG"/>
        </w:rPr>
        <w:t>Симптоми</w:t>
      </w:r>
      <w:r w:rsidRPr="00251EB9">
        <w:rPr>
          <w:rFonts w:eastAsia="Times New Roman" w:cs="Arial"/>
          <w:color w:val="000000"/>
          <w:u w:val="single"/>
          <w:lang w:eastAsia="bg-BG"/>
        </w:rPr>
        <w:t>:</w:t>
      </w:r>
      <w:r w:rsidRPr="00251EB9">
        <w:rPr>
          <w:rFonts w:eastAsia="Times New Roman" w:cs="Arial"/>
          <w:color w:val="000000"/>
          <w:lang w:eastAsia="bg-BG"/>
        </w:rPr>
        <w:t xml:space="preserve"> Най-изявените прояви на предозиране с телмисартан са хипотония и тахикардия; съобщават се също брадикардия, замаяност, повишаване на серумния креатинин и остра бъбречна недостатъчност.</w:t>
      </w:r>
    </w:p>
    <w:p w14:paraId="53E8E3EE" w14:textId="77777777" w:rsidR="00251EB9" w:rsidRPr="00251EB9" w:rsidRDefault="00251EB9" w:rsidP="00251EB9">
      <w:pPr>
        <w:spacing w:line="240" w:lineRule="auto"/>
        <w:rPr>
          <w:rFonts w:eastAsia="Times New Roman" w:cs="Arial"/>
          <w:color w:val="000000"/>
          <w:u w:val="single"/>
          <w:lang w:eastAsia="bg-BG"/>
        </w:rPr>
      </w:pPr>
    </w:p>
    <w:p w14:paraId="038434C8" w14:textId="5B011754" w:rsidR="00251EB9" w:rsidRPr="00251EB9" w:rsidRDefault="00251EB9" w:rsidP="00251EB9">
      <w:pPr>
        <w:spacing w:line="240" w:lineRule="auto"/>
        <w:rPr>
          <w:rFonts w:eastAsia="Times New Roman" w:cs="Arial"/>
        </w:rPr>
      </w:pPr>
      <w:r w:rsidRPr="00251EB9">
        <w:rPr>
          <w:rStyle w:val="Heading3Char"/>
          <w:u w:val="single"/>
          <w:lang w:eastAsia="bg-BG"/>
        </w:rPr>
        <w:t>Лечение:</w:t>
      </w:r>
      <w:r w:rsidRPr="00251EB9">
        <w:rPr>
          <w:rFonts w:eastAsia="Times New Roman" w:cs="Arial"/>
          <w:color w:val="000000"/>
          <w:lang w:eastAsia="bg-BG"/>
        </w:rPr>
        <w:t xml:space="preserve"> 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допринесе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солени и обемни заместители.</w:t>
      </w:r>
    </w:p>
    <w:p w14:paraId="564533B5" w14:textId="77777777" w:rsidR="00251EB9" w:rsidRPr="00251EB9" w:rsidRDefault="00251EB9" w:rsidP="00251EB9"/>
    <w:p w14:paraId="02081B24" w14:textId="36FE76F4" w:rsidR="00395555" w:rsidRPr="00395555" w:rsidRDefault="002C50EE" w:rsidP="008A6AF2">
      <w:pPr>
        <w:pStyle w:val="Heading1"/>
      </w:pPr>
      <w:r>
        <w:t>5. ФАРМАКОЛОГИЧНИ СВОЙСТВА</w:t>
      </w:r>
    </w:p>
    <w:p w14:paraId="6339E404" w14:textId="72600EE2" w:rsidR="00875EEC" w:rsidRDefault="002C50EE" w:rsidP="005726E3">
      <w:pPr>
        <w:pStyle w:val="Heading2"/>
      </w:pPr>
      <w:r>
        <w:t>5.1. Фармакодинамични свойства</w:t>
      </w:r>
    </w:p>
    <w:p w14:paraId="6A27E205" w14:textId="1716C5A4" w:rsidR="00251EB9" w:rsidRDefault="00251EB9" w:rsidP="00251EB9"/>
    <w:p w14:paraId="39B9C56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Фармакотерапевтична група: Ангиотензин II антагонист, самостоятелно, АТС код: С09СА07.</w:t>
      </w:r>
    </w:p>
    <w:p w14:paraId="6CFF56CF" w14:textId="77777777" w:rsidR="00251EB9" w:rsidRPr="007215BA" w:rsidRDefault="00251EB9" w:rsidP="00251EB9">
      <w:pPr>
        <w:spacing w:line="240" w:lineRule="auto"/>
        <w:rPr>
          <w:rFonts w:eastAsia="Times New Roman" w:cs="Arial"/>
          <w:color w:val="000000"/>
          <w:u w:val="single"/>
          <w:lang w:eastAsia="bg-BG"/>
        </w:rPr>
      </w:pPr>
    </w:p>
    <w:p w14:paraId="26D73CCA" w14:textId="6049098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Механизъм на действие:</w:t>
      </w:r>
    </w:p>
    <w:p w14:paraId="212223BE" w14:textId="77777777" w:rsidR="007215BA" w:rsidRPr="007215BA" w:rsidRDefault="00251EB9" w:rsidP="007215BA">
      <w:pPr>
        <w:rPr>
          <w:rFonts w:eastAsia="Times New Roman" w:cs="Arial"/>
        </w:rPr>
      </w:pPr>
      <w:r w:rsidRPr="00251EB9">
        <w:rPr>
          <w:rFonts w:eastAsia="Times New Roman" w:cs="Arial"/>
          <w:color w:val="000000"/>
          <w:lang w:eastAsia="bg-BG"/>
        </w:rPr>
        <w:t xml:space="preserve">Телмисартан е перорално ефективен и специфичен ангиотензин II рецепторен антагонист (тип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Той измества с много висок афинитет ангиотензин II от неговото място на свързване в АТ</w:t>
      </w:r>
      <w:r w:rsidRPr="00251EB9">
        <w:rPr>
          <w:rFonts w:eastAsia="Times New Roman" w:cs="Arial"/>
          <w:color w:val="000000"/>
          <w:vertAlign w:val="subscript"/>
          <w:lang w:eastAsia="bg-BG"/>
        </w:rPr>
        <w:t>1</w:t>
      </w:r>
      <w:r w:rsidRPr="00251EB9">
        <w:rPr>
          <w:rFonts w:eastAsia="Times New Roman" w:cs="Arial"/>
          <w:color w:val="000000"/>
          <w:lang w:eastAsia="bg-BG"/>
        </w:rPr>
        <w:t xml:space="preserve"> рецепторния подтип, който е отговорен за известните действия на ангиотензин II. Телмисартан няма дори и частична агонистична активност спрямо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 xml:space="preserve">рецептора. Телмисартан се свързва селективно с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рецептора. Свързването е продължително. Телмисартан не показва афинитет към други</w:t>
      </w:r>
      <w:r w:rsidRPr="00251EB9">
        <w:rPr>
          <w:rFonts w:eastAsia="Times New Roman" w:cs="Arial"/>
          <w:i/>
          <w:iCs/>
          <w:color w:val="000000"/>
          <w:lang w:eastAsia="bg-BG"/>
        </w:rPr>
        <w:t xml:space="preserve"> </w:t>
      </w:r>
      <w:r w:rsidRPr="00251EB9">
        <w:rPr>
          <w:rFonts w:eastAsia="Times New Roman" w:cs="Arial"/>
          <w:color w:val="000000"/>
          <w:lang w:eastAsia="bg-BG"/>
        </w:rPr>
        <w:t>рецептори, включително АТ</w:t>
      </w:r>
      <w:r w:rsidRPr="00251EB9">
        <w:rPr>
          <w:rFonts w:eastAsia="Times New Roman" w:cs="Arial"/>
          <w:color w:val="000000"/>
          <w:vertAlign w:val="subscript"/>
          <w:lang w:eastAsia="bg-BG"/>
        </w:rPr>
        <w:t>2</w:t>
      </w:r>
      <w:r w:rsidRPr="00251EB9">
        <w:rPr>
          <w:rFonts w:eastAsia="Times New Roman" w:cs="Arial"/>
          <w:color w:val="000000"/>
          <w:lang w:eastAsia="bg-BG"/>
        </w:rPr>
        <w:t xml:space="preserve"> и други по-слабо характеризирани АТ-рецептори. Функционалната</w:t>
      </w:r>
      <w:r w:rsidR="007215BA" w:rsidRPr="007215BA">
        <w:rPr>
          <w:rFonts w:eastAsia="Times New Roman" w:cs="Arial"/>
        </w:rPr>
        <w:t xml:space="preserve"> </w:t>
      </w:r>
      <w:r w:rsidRPr="007215BA">
        <w:rPr>
          <w:rFonts w:eastAsia="Times New Roman" w:cs="Arial"/>
          <w:color w:val="000000"/>
          <w:lang w:eastAsia="bg-BG"/>
        </w:rPr>
        <w:t xml:space="preserve">роля на тези рецептори не е известна, не е известен и ефекта на тяхната възможна свръхстимулация от ангиотензин И, чийто нива са повишени от телмисартан. Нивата на плазмения </w:t>
      </w:r>
      <w:r w:rsidRPr="007215BA">
        <w:rPr>
          <w:rFonts w:eastAsia="Times New Roman" w:cs="Arial"/>
          <w:color w:val="000000"/>
          <w:lang w:eastAsia="bg-BG"/>
        </w:rPr>
        <w:lastRenderedPageBreak/>
        <w:t>алдостерон са</w:t>
      </w:r>
      <w:r w:rsidR="007215BA" w:rsidRPr="007215BA">
        <w:rPr>
          <w:rFonts w:eastAsia="Times New Roman" w:cs="Arial"/>
          <w:color w:val="000000"/>
          <w:lang w:eastAsia="bg-BG"/>
        </w:rPr>
        <w:t xml:space="preserve">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w:t>
      </w:r>
      <w:r w:rsidR="007215BA" w:rsidRPr="007215BA">
        <w:rPr>
          <w:rFonts w:eastAsia="Times New Roman" w:cs="Arial"/>
          <w:color w:val="000000"/>
          <w:lang w:val="en-US"/>
        </w:rPr>
        <w:t>II</w:t>
      </w:r>
      <w:r w:rsidR="007215BA" w:rsidRPr="007215BA">
        <w:rPr>
          <w:rFonts w:eastAsia="Times New Roman" w:cs="Arial"/>
          <w:color w:val="000000"/>
          <w:lang w:eastAsia="bg-BG"/>
        </w:rPr>
        <w:t xml:space="preserve">), ензимът, който също разгражда брадикинина. Поради това не се очаква да потенцира брадикинин-медиираните нежелани лекарствени реакции. При хора дозата от 80 </w:t>
      </w:r>
      <w:r w:rsidR="007215BA" w:rsidRPr="007215BA">
        <w:rPr>
          <w:rFonts w:eastAsia="Times New Roman" w:cs="Arial"/>
          <w:color w:val="000000"/>
          <w:lang w:val="en-US"/>
        </w:rPr>
        <w:t>mg</w:t>
      </w:r>
      <w:r w:rsidR="007215BA" w:rsidRPr="007215BA">
        <w:rPr>
          <w:rFonts w:eastAsia="Times New Roman" w:cs="Arial"/>
          <w:color w:val="000000"/>
          <w:lang w:val="ru-RU"/>
        </w:rPr>
        <w:t xml:space="preserve"> </w:t>
      </w:r>
      <w:r w:rsidR="007215BA" w:rsidRPr="007215BA">
        <w:rPr>
          <w:rFonts w:eastAsia="Times New Roman" w:cs="Arial"/>
          <w:color w:val="000000"/>
          <w:lang w:eastAsia="bg-BG"/>
        </w:rPr>
        <w:t>телмисартан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584F4D83" w14:textId="77777777" w:rsidR="007215BA" w:rsidRDefault="007215BA" w:rsidP="007215BA">
      <w:pPr>
        <w:spacing w:line="240" w:lineRule="auto"/>
        <w:rPr>
          <w:rFonts w:eastAsia="Times New Roman" w:cs="Arial"/>
          <w:color w:val="000000"/>
          <w:u w:val="single"/>
          <w:lang w:eastAsia="bg-BG"/>
        </w:rPr>
      </w:pPr>
    </w:p>
    <w:p w14:paraId="35C1E4A0" w14:textId="150768E1"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Клинична ефикасност и безопасност</w:t>
      </w:r>
    </w:p>
    <w:p w14:paraId="6A6C953B" w14:textId="77777777"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Лечение на есенциална хипертония</w:t>
      </w:r>
    </w:p>
    <w:p w14:paraId="62A5E0BB"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След прилагане на първата доза телмисартан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 до 8 седмици след началото на лечението и се 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съотношението минимални към максимални концентрации, което е постоянно над 80% след прием на дози от 40 и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телмисартан при плацебо контролирани клинични проучвания. Налице е очевидна тенденция за връзка между дозата и времето на възстановяването на базалното систолно кръвно налягане </w:t>
      </w:r>
      <w:r w:rsidRPr="007215BA">
        <w:rPr>
          <w:rFonts w:eastAsia="Times New Roman" w:cs="Arial"/>
          <w:color w:val="000000"/>
          <w:lang w:val="ru-RU"/>
        </w:rPr>
        <w:t>(</w:t>
      </w:r>
      <w:r w:rsidRPr="007215BA">
        <w:rPr>
          <w:rFonts w:eastAsia="Times New Roman" w:cs="Arial"/>
          <w:color w:val="000000"/>
          <w:lang w:val="en-US"/>
        </w:rPr>
        <w:t>SBP</w:t>
      </w:r>
      <w:r w:rsidRPr="007215BA">
        <w:rPr>
          <w:rFonts w:eastAsia="Times New Roman" w:cs="Arial"/>
          <w:color w:val="000000"/>
          <w:lang w:val="ru-RU"/>
        </w:rPr>
        <w:t xml:space="preserve">). </w:t>
      </w:r>
      <w:r w:rsidRPr="007215BA">
        <w:rPr>
          <w:rFonts w:eastAsia="Times New Roman" w:cs="Arial"/>
          <w:color w:val="000000"/>
          <w:lang w:eastAsia="bg-BG"/>
        </w:rPr>
        <w:t xml:space="preserve">В това отношение данните за диастолно кръвно налягане </w:t>
      </w:r>
      <w:r w:rsidRPr="007215BA">
        <w:rPr>
          <w:rFonts w:eastAsia="Times New Roman" w:cs="Arial"/>
          <w:color w:val="000000"/>
          <w:lang w:val="ru-RU"/>
        </w:rPr>
        <w:t>(</w:t>
      </w:r>
      <w:r w:rsidRPr="007215BA">
        <w:rPr>
          <w:rFonts w:eastAsia="Times New Roman" w:cs="Arial"/>
          <w:color w:val="000000"/>
          <w:lang w:val="en-US"/>
        </w:rPr>
        <w:t>DBP</w:t>
      </w:r>
      <w:r w:rsidRPr="007215BA">
        <w:rPr>
          <w:rFonts w:eastAsia="Times New Roman" w:cs="Arial"/>
          <w:color w:val="000000"/>
          <w:lang w:val="ru-RU"/>
        </w:rPr>
        <w:t xml:space="preserve">) </w:t>
      </w:r>
      <w:r w:rsidRPr="007215BA">
        <w:rPr>
          <w:rFonts w:eastAsia="Times New Roman" w:cs="Arial"/>
          <w:color w:val="000000"/>
          <w:lang w:eastAsia="bg-BG"/>
        </w:rPr>
        <w:t>са непостоянни.</w:t>
      </w:r>
    </w:p>
    <w:p w14:paraId="10AB6025"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Наличието на диуретичен и натриуретичен ефект, който да допринесе за хипотензивната активност на лекарствения продукт все още не е доказано.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хидрохлортиазид и лизиноприл).</w:t>
      </w:r>
    </w:p>
    <w:p w14:paraId="199428BC"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При внезапно прекъсване на лечението с телмисартан кръвното </w:t>
      </w:r>
      <w:r w:rsidRPr="007215BA">
        <w:rPr>
          <w:rFonts w:eastAsia="Times New Roman" w:cs="Arial"/>
          <w:i/>
          <w:iCs/>
          <w:color w:val="000000"/>
          <w:lang w:eastAsia="bg-BG"/>
        </w:rPr>
        <w:t xml:space="preserve">налягане постепенно се връща до </w:t>
      </w:r>
      <w:r w:rsidRPr="007215BA">
        <w:rPr>
          <w:rFonts w:eastAsia="Times New Roman" w:cs="Arial"/>
          <w:color w:val="000000"/>
          <w:lang w:eastAsia="bg-BG"/>
        </w:rPr>
        <w:t>стойностите преди лечението, за период от няколко дни без данни за ребаунд хипертоничен ефект. 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20678DAF" w14:textId="77777777" w:rsidR="007215BA" w:rsidRDefault="007215BA" w:rsidP="007215BA">
      <w:pPr>
        <w:spacing w:line="240" w:lineRule="auto"/>
        <w:rPr>
          <w:rFonts w:eastAsia="Times New Roman" w:cs="Arial"/>
          <w:color w:val="000000"/>
          <w:u w:val="single"/>
          <w:lang w:eastAsia="bg-BG"/>
        </w:rPr>
      </w:pPr>
    </w:p>
    <w:p w14:paraId="63EB7E19" w14:textId="755D8942"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Сърдечно-съдова профилактика</w:t>
      </w:r>
    </w:p>
    <w:p w14:paraId="5C518210" w14:textId="77777777" w:rsidR="007215BA" w:rsidRPr="007215BA" w:rsidRDefault="007215BA" w:rsidP="007215BA">
      <w:pPr>
        <w:spacing w:line="240" w:lineRule="auto"/>
        <w:rPr>
          <w:rFonts w:eastAsia="Times New Roman" w:cs="Arial"/>
        </w:rPr>
      </w:pPr>
      <w:proofErr w:type="gramStart"/>
      <w:r w:rsidRPr="007215BA">
        <w:rPr>
          <w:rFonts w:eastAsia="Times New Roman" w:cs="Arial"/>
          <w:color w:val="000000"/>
          <w:lang w:val="en-US"/>
        </w:rPr>
        <w:t>ONTARGET</w:t>
      </w:r>
      <w:r w:rsidRPr="007215BA">
        <w:rPr>
          <w:rFonts w:eastAsia="Times New Roman" w:cs="Arial"/>
          <w:color w:val="000000"/>
          <w:lang w:val="ru-RU"/>
        </w:rPr>
        <w:t xml:space="preserve"> (</w:t>
      </w:r>
      <w:proofErr w:type="spellStart"/>
      <w:r w:rsidRPr="007215BA">
        <w:rPr>
          <w:rFonts w:eastAsia="Times New Roman" w:cs="Arial"/>
          <w:color w:val="000000"/>
          <w:lang w:val="en-US"/>
        </w:rPr>
        <w:t>ONgoing</w:t>
      </w:r>
      <w:proofErr w:type="spellEnd"/>
      <w:r w:rsidRPr="007215BA">
        <w:rPr>
          <w:rFonts w:eastAsia="Times New Roman" w:cs="Arial"/>
          <w:color w:val="000000"/>
          <w:lang w:val="ru-RU"/>
        </w:rPr>
        <w:t xml:space="preserve"> </w:t>
      </w:r>
      <w:proofErr w:type="spellStart"/>
      <w:r w:rsidRPr="007215BA">
        <w:rPr>
          <w:rFonts w:eastAsia="Times New Roman" w:cs="Arial"/>
          <w:color w:val="000000"/>
          <w:lang w:val="en-US"/>
        </w:rPr>
        <w:t>Telmisartan</w:t>
      </w:r>
      <w:proofErr w:type="spellEnd"/>
      <w:r w:rsidRPr="007215BA">
        <w:rPr>
          <w:rFonts w:eastAsia="Times New Roman" w:cs="Arial"/>
          <w:color w:val="000000"/>
          <w:lang w:val="ru-RU"/>
        </w:rPr>
        <w:t xml:space="preserve"> </w:t>
      </w:r>
      <w:r w:rsidRPr="007215BA">
        <w:rPr>
          <w:rFonts w:eastAsia="Times New Roman" w:cs="Arial"/>
          <w:color w:val="000000"/>
          <w:lang w:val="en-US"/>
        </w:rPr>
        <w:t>Alone</w:t>
      </w:r>
      <w:r w:rsidRPr="007215BA">
        <w:rPr>
          <w:rFonts w:eastAsia="Times New Roman" w:cs="Arial"/>
          <w:color w:val="000000"/>
          <w:lang w:val="ru-RU"/>
        </w:rPr>
        <w:t xml:space="preserve"> </w:t>
      </w:r>
      <w:r w:rsidRPr="007215BA">
        <w:rPr>
          <w:rFonts w:eastAsia="Times New Roman" w:cs="Arial"/>
          <w:color w:val="000000"/>
          <w:lang w:val="en-US"/>
        </w:rPr>
        <w:t>and</w:t>
      </w:r>
      <w:r w:rsidRPr="007215BA">
        <w:rPr>
          <w:rFonts w:eastAsia="Times New Roman" w:cs="Arial"/>
          <w:color w:val="000000"/>
          <w:lang w:val="ru-RU"/>
        </w:rPr>
        <w:t xml:space="preserve"> </w:t>
      </w:r>
      <w:r w:rsidRPr="007215BA">
        <w:rPr>
          <w:rFonts w:eastAsia="Times New Roman" w:cs="Arial"/>
          <w:color w:val="000000"/>
          <w:lang w:val="en-US"/>
        </w:rPr>
        <w:t>in</w:t>
      </w:r>
      <w:r w:rsidRPr="007215BA">
        <w:rPr>
          <w:rFonts w:eastAsia="Times New Roman" w:cs="Arial"/>
          <w:color w:val="000000"/>
          <w:lang w:val="ru-RU"/>
        </w:rPr>
        <w:t xml:space="preserve"> </w:t>
      </w:r>
      <w:r w:rsidRPr="007215BA">
        <w:rPr>
          <w:rFonts w:eastAsia="Times New Roman" w:cs="Arial"/>
          <w:color w:val="000000"/>
          <w:lang w:val="en-US"/>
        </w:rPr>
        <w:t>Combination</w:t>
      </w:r>
      <w:r w:rsidRPr="007215BA">
        <w:rPr>
          <w:rFonts w:eastAsia="Times New Roman" w:cs="Arial"/>
          <w:color w:val="000000"/>
          <w:lang w:val="ru-RU"/>
        </w:rPr>
        <w:t xml:space="preserve"> </w:t>
      </w:r>
      <w:r w:rsidRPr="007215BA">
        <w:rPr>
          <w:rFonts w:eastAsia="Times New Roman" w:cs="Arial"/>
          <w:color w:val="000000"/>
          <w:lang w:val="en-US"/>
        </w:rPr>
        <w:t>with</w:t>
      </w:r>
      <w:r w:rsidRPr="007215BA">
        <w:rPr>
          <w:rFonts w:eastAsia="Times New Roman" w:cs="Arial"/>
          <w:color w:val="000000"/>
          <w:lang w:val="ru-RU"/>
        </w:rPr>
        <w:t xml:space="preserve"> </w:t>
      </w:r>
      <w:r w:rsidRPr="007215BA">
        <w:rPr>
          <w:rFonts w:eastAsia="Times New Roman" w:cs="Arial"/>
          <w:color w:val="000000"/>
          <w:lang w:val="en-US"/>
        </w:rPr>
        <w:t>Ramipril</w:t>
      </w:r>
      <w:r w:rsidRPr="007215BA">
        <w:rPr>
          <w:rFonts w:eastAsia="Times New Roman" w:cs="Arial"/>
          <w:color w:val="000000"/>
          <w:lang w:val="ru-RU"/>
        </w:rPr>
        <w:t xml:space="preserve"> </w:t>
      </w:r>
      <w:r w:rsidRPr="007215BA">
        <w:rPr>
          <w:rFonts w:eastAsia="Times New Roman" w:cs="Arial"/>
          <w:color w:val="000000"/>
          <w:lang w:val="en-US"/>
        </w:rPr>
        <w:t>Global</w:t>
      </w:r>
      <w:r w:rsidRPr="007215BA">
        <w:rPr>
          <w:rFonts w:eastAsia="Times New Roman" w:cs="Arial"/>
          <w:color w:val="000000"/>
          <w:lang w:val="ru-RU"/>
        </w:rPr>
        <w:t xml:space="preserve"> </w:t>
      </w:r>
      <w:r w:rsidRPr="007215BA">
        <w:rPr>
          <w:rFonts w:eastAsia="Times New Roman" w:cs="Arial"/>
          <w:color w:val="000000"/>
          <w:lang w:val="en-US"/>
        </w:rPr>
        <w:t>Endpoint</w:t>
      </w:r>
      <w:r w:rsidRPr="007215BA">
        <w:rPr>
          <w:rFonts w:eastAsia="Times New Roman" w:cs="Arial"/>
          <w:color w:val="000000"/>
          <w:lang w:val="ru-RU"/>
        </w:rPr>
        <w:t xml:space="preserve"> </w:t>
      </w:r>
      <w:r w:rsidRPr="007215BA">
        <w:rPr>
          <w:rFonts w:eastAsia="Times New Roman" w:cs="Arial"/>
          <w:color w:val="000000"/>
          <w:lang w:val="en-US"/>
        </w:rPr>
        <w:t>Trial</w:t>
      </w:r>
      <w:r w:rsidRPr="007215BA">
        <w:rPr>
          <w:rFonts w:eastAsia="Times New Roman" w:cs="Arial"/>
          <w:color w:val="000000"/>
          <w:lang w:val="ru-RU"/>
        </w:rPr>
        <w:t xml:space="preserve">) </w:t>
      </w:r>
      <w:r w:rsidRPr="007215BA">
        <w:rPr>
          <w:rFonts w:eastAsia="Times New Roman" w:cs="Arial"/>
          <w:color w:val="000000"/>
          <w:lang w:eastAsia="bg-BG"/>
        </w:rPr>
        <w:t xml:space="preserve">(Продължаващо и </w:t>
      </w:r>
      <w:r w:rsidRPr="007215BA">
        <w:rPr>
          <w:rFonts w:eastAsia="Times New Roman" w:cs="Arial"/>
          <w:i/>
          <w:iCs/>
          <w:color w:val="000000"/>
          <w:lang w:eastAsia="bg-BG"/>
        </w:rPr>
        <w:t>в момента глобално проучване на</w:t>
      </w:r>
      <w:r w:rsidRPr="007215BA">
        <w:rPr>
          <w:rFonts w:eastAsia="Times New Roman" w:cs="Arial"/>
          <w:color w:val="000000"/>
          <w:lang w:eastAsia="bg-BG"/>
        </w:rPr>
        <w:t xml:space="preserve"> телмисартан самостоятелно и в комбинация </w:t>
      </w:r>
      <w:r w:rsidRPr="007215BA">
        <w:rPr>
          <w:rFonts w:eastAsia="Times New Roman" w:cs="Arial"/>
          <w:i/>
          <w:iCs/>
          <w:color w:val="000000"/>
          <w:lang w:eastAsia="bg-BG"/>
        </w:rPr>
        <w:t xml:space="preserve">с </w:t>
      </w:r>
      <w:r w:rsidRPr="007215BA">
        <w:rPr>
          <w:rFonts w:eastAsia="Times New Roman" w:cs="Arial"/>
          <w:color w:val="000000"/>
          <w:lang w:eastAsia="bg-BG"/>
        </w:rPr>
        <w:t>рамиприл с крайна точка) сравнява ефектите на телмисартан, рамиприл и комбинацията от телмисартан и рамиприл върху сърдечно-съдовите резултати при 25 620 пациенти на възраст 55 години или по-възрастни с анамнеза за коронарна артериална болест, мозъчен инсулт, преходен исхемичен пристъп, периферно артериално заболяване или захарен диабет тип 2, съпътстван с данни за увреждане на органите (като ретинопатия, левокамерна хипертрофия, макро- или микроалбуминурия), които са популация с риск от възникване на сърдечно-съдови инциденти.</w:t>
      </w:r>
      <w:proofErr w:type="gramEnd"/>
    </w:p>
    <w:p w14:paraId="577F8A1E" w14:textId="77777777" w:rsidR="007215BA" w:rsidRDefault="007215BA" w:rsidP="007215BA">
      <w:pPr>
        <w:spacing w:line="240" w:lineRule="auto"/>
        <w:rPr>
          <w:rFonts w:eastAsia="Times New Roman" w:cs="Arial"/>
          <w:color w:val="000000"/>
          <w:lang w:eastAsia="bg-BG"/>
        </w:rPr>
      </w:pPr>
    </w:p>
    <w:p w14:paraId="3DF778C1" w14:textId="3FB32AD9"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Пациентите са рандомизирани към една от следните три групи на лечение: телмисартан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=8542), рамиприл 10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=8576) или комбинацията от телмисартан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и рамиприл 10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=8502), с последващо средно време на проследяване 4,5 години.</w:t>
      </w:r>
    </w:p>
    <w:p w14:paraId="2F71BF73" w14:textId="77777777" w:rsidR="007215BA" w:rsidRDefault="007215BA" w:rsidP="007215BA">
      <w:pPr>
        <w:spacing w:line="240" w:lineRule="auto"/>
        <w:rPr>
          <w:rFonts w:eastAsia="Times New Roman" w:cs="Arial"/>
          <w:color w:val="000000"/>
          <w:lang w:eastAsia="bg-BG"/>
        </w:rPr>
      </w:pPr>
    </w:p>
    <w:p w14:paraId="283FCE89" w14:textId="77777777" w:rsid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lastRenderedPageBreak/>
        <w:t xml:space="preserve">Телмисартан показва сходен ефект с рамиприл при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w:t>
      </w:r>
    </w:p>
    <w:p w14:paraId="59E04EE4" w14:textId="39CA7D90"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Честотата на първичната крайна точка е сходна в групите на телмисартан (16,7%) и рамиприл (16,5%). Коефициентът на риск за телмисартан </w:t>
      </w:r>
      <w:r w:rsidRPr="007215BA">
        <w:rPr>
          <w:rFonts w:eastAsia="Times New Roman" w:cs="Arial"/>
          <w:i/>
          <w:iCs/>
          <w:color w:val="000000"/>
          <w:lang w:eastAsia="bg-BG"/>
        </w:rPr>
        <w:t>спрямо</w:t>
      </w:r>
      <w:r w:rsidRPr="007215BA">
        <w:rPr>
          <w:rFonts w:eastAsia="Times New Roman" w:cs="Arial"/>
          <w:color w:val="000000"/>
          <w:lang w:eastAsia="bg-BG"/>
        </w:rPr>
        <w:t xml:space="preserve"> рамиприл е 1,01 (97,5% ДИ 0,93 - 1,10; р (не по-голяма ефикасност) = 0,0019 при граница 1,13). Процентът на случаите на смъртност по всяка причина е съответно 11,6% и 11,8% сред пациентите, лекувани с телмисартан и рамиприл.</w:t>
      </w:r>
    </w:p>
    <w:p w14:paraId="0D3F654F" w14:textId="77777777" w:rsidR="007215BA" w:rsidRPr="007215BA" w:rsidRDefault="007215BA" w:rsidP="007215BA">
      <w:pPr>
        <w:spacing w:line="240" w:lineRule="auto"/>
        <w:rPr>
          <w:rFonts w:eastAsia="Times New Roman" w:cs="Arial"/>
        </w:rPr>
      </w:pPr>
    </w:p>
    <w:p w14:paraId="361ADBDB" w14:textId="23B03487" w:rsidR="007215BA" w:rsidRP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t>Установено е, че ефективността на телмисартан е сходна с тази на рамиприл при</w:t>
      </w:r>
      <w:r w:rsidRPr="007215BA">
        <w:rPr>
          <w:rFonts w:eastAsia="Times New Roman" w:cs="Arial"/>
          <w:color w:val="000000"/>
          <w:lang w:val="ru-RU"/>
        </w:rPr>
        <w:t xml:space="preserve"> </w:t>
      </w:r>
      <w:r w:rsidRPr="007215BA">
        <w:rPr>
          <w:rFonts w:eastAsia="Times New Roman" w:cs="Arial"/>
          <w:color w:val="000000"/>
          <w:lang w:eastAsia="bg-BG"/>
        </w:rPr>
        <w:t>предварително определената вторична крайна точка от сърдечно-съдова смърт, нефатален инфарк на миокарда и нефатален мозъчен инсулт [0,99 (97,5% ДИ 0,90 - 1,08; р (не по-голяма ефикасност)=0,0004)],</w:t>
      </w:r>
      <w:r>
        <w:rPr>
          <w:rFonts w:eastAsia="Times New Roman" w:cs="Arial"/>
          <w:color w:val="000000"/>
          <w:lang w:eastAsia="bg-BG"/>
        </w:rPr>
        <w:t xml:space="preserve"> </w:t>
      </w:r>
      <w:r w:rsidRPr="007215BA">
        <w:rPr>
          <w:rFonts w:eastAsia="Times New Roman" w:cs="Arial"/>
          <w:color w:val="000000"/>
          <w:lang w:eastAsia="bg-BG"/>
        </w:rPr>
        <w:t xml:space="preserve">първичната крайна точка в референтното проучване </w:t>
      </w:r>
      <w:r w:rsidRPr="007215BA">
        <w:rPr>
          <w:rFonts w:eastAsia="Times New Roman" w:cs="Arial"/>
          <w:color w:val="000000"/>
        </w:rPr>
        <w:t>(</w:t>
      </w:r>
      <w:r w:rsidRPr="007215BA">
        <w:rPr>
          <w:rFonts w:eastAsia="Times New Roman" w:cs="Arial"/>
          <w:color w:val="000000"/>
          <w:lang w:val="en-US"/>
        </w:rPr>
        <w:t>The</w:t>
      </w:r>
      <w:r w:rsidRPr="007215BA">
        <w:rPr>
          <w:rFonts w:eastAsia="Times New Roman" w:cs="Arial"/>
          <w:color w:val="000000"/>
        </w:rPr>
        <w:t xml:space="preserve"> </w:t>
      </w:r>
      <w:r w:rsidRPr="007215BA">
        <w:rPr>
          <w:rFonts w:eastAsia="Times New Roman" w:cs="Arial"/>
          <w:color w:val="000000"/>
          <w:lang w:val="en-US"/>
        </w:rPr>
        <w:t>Heart</w:t>
      </w:r>
      <w:r w:rsidRPr="007215BA">
        <w:rPr>
          <w:rFonts w:eastAsia="Times New Roman" w:cs="Arial"/>
          <w:color w:val="000000"/>
        </w:rPr>
        <w:t xml:space="preserve"> </w:t>
      </w:r>
      <w:r w:rsidRPr="007215BA">
        <w:rPr>
          <w:rFonts w:eastAsia="Times New Roman" w:cs="Arial"/>
          <w:color w:val="000000"/>
          <w:lang w:val="en-US"/>
        </w:rPr>
        <w:t>Outcomes</w:t>
      </w:r>
      <w:r w:rsidRPr="007215BA">
        <w:rPr>
          <w:rFonts w:eastAsia="Times New Roman" w:cs="Arial"/>
          <w:color w:val="000000"/>
        </w:rPr>
        <w:t xml:space="preserve"> </w:t>
      </w:r>
      <w:r w:rsidRPr="007215BA">
        <w:rPr>
          <w:rFonts w:eastAsia="Times New Roman" w:cs="Arial"/>
          <w:color w:val="000000"/>
          <w:lang w:val="en-US"/>
        </w:rPr>
        <w:t>Prevention</w:t>
      </w:r>
      <w:r w:rsidRPr="007215BA">
        <w:rPr>
          <w:rFonts w:eastAsia="Times New Roman" w:cs="Arial"/>
          <w:color w:val="000000"/>
        </w:rPr>
        <w:t xml:space="preserve"> </w:t>
      </w:r>
      <w:r w:rsidRPr="007215BA">
        <w:rPr>
          <w:rFonts w:eastAsia="Times New Roman" w:cs="Arial"/>
          <w:color w:val="000000"/>
          <w:lang w:val="en-US"/>
        </w:rPr>
        <w:t>Evaluation</w:t>
      </w:r>
      <w:r w:rsidRPr="007215BA">
        <w:rPr>
          <w:rFonts w:eastAsia="Times New Roman" w:cs="Arial"/>
          <w:color w:val="000000"/>
        </w:rPr>
        <w:t xml:space="preserve"> </w:t>
      </w:r>
      <w:r w:rsidRPr="007215BA">
        <w:rPr>
          <w:rFonts w:eastAsia="Times New Roman" w:cs="Arial"/>
          <w:color w:val="000000"/>
          <w:lang w:val="en-US"/>
        </w:rPr>
        <w:t>Study</w:t>
      </w:r>
      <w:r w:rsidRPr="007215BA">
        <w:rPr>
          <w:rFonts w:eastAsia="Times New Roman" w:cs="Arial"/>
          <w:color w:val="000000"/>
        </w:rPr>
        <w:t xml:space="preserve">) </w:t>
      </w:r>
      <w:r w:rsidRPr="007215BA">
        <w:rPr>
          <w:rFonts w:eastAsia="Times New Roman" w:cs="Arial"/>
          <w:color w:val="000000"/>
          <w:lang w:eastAsia="bg-BG"/>
        </w:rPr>
        <w:t>(Проучване за оценка на сърдечните резултати при профилактика), което проучва ефекта на рамиприл спрямо плацебо.</w:t>
      </w:r>
    </w:p>
    <w:p w14:paraId="42307E17" w14:textId="77777777" w:rsidR="007215BA" w:rsidRDefault="007215BA" w:rsidP="007215BA">
      <w:pPr>
        <w:spacing w:line="240" w:lineRule="auto"/>
        <w:rPr>
          <w:rFonts w:eastAsia="Times New Roman" w:cs="Arial"/>
          <w:color w:val="000000"/>
          <w:lang w:eastAsia="bg-BG"/>
        </w:rPr>
      </w:pPr>
    </w:p>
    <w:p w14:paraId="3F713F6B" w14:textId="39DBD96A"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Проучването </w:t>
      </w:r>
      <w:r w:rsidRPr="007215BA">
        <w:rPr>
          <w:rFonts w:eastAsia="Times New Roman" w:cs="Arial"/>
          <w:color w:val="000000"/>
          <w:lang w:val="en-US"/>
        </w:rPr>
        <w:t>TRANSCEND</w:t>
      </w:r>
      <w:r w:rsidRPr="007215BA">
        <w:rPr>
          <w:rFonts w:eastAsia="Times New Roman" w:cs="Arial"/>
          <w:color w:val="000000"/>
        </w:rPr>
        <w:t xml:space="preserve"> </w:t>
      </w:r>
      <w:r w:rsidRPr="007215BA">
        <w:rPr>
          <w:rFonts w:eastAsia="Times New Roman" w:cs="Arial"/>
          <w:color w:val="000000"/>
          <w:lang w:eastAsia="bg-BG"/>
        </w:rPr>
        <w:t xml:space="preserve">рандомизира пациенти с непоносимост към АСЕ инхибитори, със сходни критерии за включване като </w:t>
      </w:r>
      <w:r w:rsidRPr="007215BA">
        <w:rPr>
          <w:rFonts w:eastAsia="Times New Roman" w:cs="Arial"/>
          <w:i/>
          <w:iCs/>
          <w:color w:val="000000"/>
          <w:lang w:eastAsia="bg-BG"/>
        </w:rPr>
        <w:t>проучването</w:t>
      </w:r>
      <w:r w:rsidRPr="007215BA">
        <w:rPr>
          <w:rFonts w:eastAsia="Times New Roman" w:cs="Arial"/>
          <w:color w:val="000000"/>
          <w:lang w:eastAsia="bg-BG"/>
        </w:rPr>
        <w:t xml:space="preserve"> </w:t>
      </w:r>
      <w:r w:rsidRPr="007215BA">
        <w:rPr>
          <w:rFonts w:eastAsia="Times New Roman" w:cs="Arial"/>
          <w:color w:val="000000"/>
          <w:lang w:val="en-US"/>
        </w:rPr>
        <w:t>ONTARGET</w:t>
      </w:r>
      <w:r w:rsidRPr="007215BA">
        <w:rPr>
          <w:rFonts w:eastAsia="Times New Roman" w:cs="Arial"/>
          <w:color w:val="000000"/>
        </w:rPr>
        <w:t xml:space="preserve">, </w:t>
      </w:r>
      <w:r w:rsidRPr="007215BA">
        <w:rPr>
          <w:rFonts w:eastAsia="Times New Roman" w:cs="Arial"/>
          <w:color w:val="000000"/>
          <w:lang w:eastAsia="bg-BG"/>
        </w:rPr>
        <w:t xml:space="preserve">на телмисартан 80 </w:t>
      </w:r>
      <w:r w:rsidRPr="007215BA">
        <w:rPr>
          <w:rFonts w:eastAsia="Times New Roman" w:cs="Arial"/>
          <w:color w:val="000000"/>
          <w:lang w:val="en-US"/>
        </w:rPr>
        <w:t>mg</w:t>
      </w:r>
      <w:r w:rsidRPr="007215BA">
        <w:rPr>
          <w:rFonts w:eastAsia="Times New Roman" w:cs="Arial"/>
          <w:color w:val="000000"/>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=2 954) или плацебо (</w:t>
      </w:r>
      <w:r w:rsidRPr="007215BA">
        <w:rPr>
          <w:rFonts w:eastAsia="Times New Roman" w:cs="Arial"/>
          <w:color w:val="000000"/>
          <w:lang w:val="en-US"/>
        </w:rPr>
        <w:t>n</w:t>
      </w:r>
      <w:r w:rsidRPr="007215BA">
        <w:rPr>
          <w:rFonts w:eastAsia="Times New Roman" w:cs="Arial"/>
          <w:color w:val="000000"/>
          <w:lang w:eastAsia="bg-BG"/>
        </w:rPr>
        <w:t>=2 972), като и двата се прилагат в допълнение към стандартните грижи. Средната продължителност на проследяване е 4 години и 8 месеца. Не се открива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[ 15,7% в групата на телмисартан и 17,0% в групата на плацебо с коефициент на риск 0,92 (95 % ДИ 0,81 - 1,05; р = 0,22)]. Има данни за ползата на телмисартан в сравнение с плацебо при предварително определената вторична съставна крайна точка от сърдечно-съдова смърт, нефатален инфаркт на миокарда и нефатален мозъчен инсулт [0,87 (95% ДИ 0,76 - 1,00; р “0,048). Няма данни за полза при сърдечно-съдова смъртност (коефициент на риск 1,03,95% ДИ 0,85 -1,24).</w:t>
      </w:r>
    </w:p>
    <w:p w14:paraId="22FC12DB" w14:textId="77777777" w:rsidR="007215BA" w:rsidRDefault="007215BA" w:rsidP="007215BA">
      <w:pPr>
        <w:spacing w:line="240" w:lineRule="auto"/>
        <w:rPr>
          <w:rFonts w:eastAsia="Times New Roman" w:cs="Arial"/>
          <w:color w:val="000000"/>
          <w:lang w:eastAsia="bg-BG"/>
        </w:rPr>
      </w:pPr>
    </w:p>
    <w:p w14:paraId="769AC40F" w14:textId="5962163D" w:rsidR="007215BA" w:rsidRPr="007215BA" w:rsidRDefault="007215BA" w:rsidP="007215BA">
      <w:pPr>
        <w:spacing w:line="240" w:lineRule="auto"/>
        <w:rPr>
          <w:rFonts w:eastAsia="Times New Roman" w:cs="Arial"/>
        </w:rPr>
      </w:pPr>
      <w:r w:rsidRPr="007215BA">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хипотония се съобщава по-често при телмисартан. Комбинирането на телмисартан с рамиприл не увеличава ползата спрямо рамиприл или телмисартан самостоятелно. Сърдечно-съдовата смъртност и смъртността по всяка причина, като числено изражение, са по-високи при комбинацията. Освен това има значимо по-висока честота на хиперкалиемия, бъбречна недостатъчност, хипотония и синкоп в групата с комбинацията. Поради тази причина, едновременната употреба на телмисартан и рамиприл не се препоръчва при тази популация.</w:t>
      </w:r>
    </w:p>
    <w:p w14:paraId="2A606BA3"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7215BA">
        <w:rPr>
          <w:rFonts w:eastAsia="Times New Roman" w:cs="Arial"/>
          <w:color w:val="000000"/>
          <w:lang w:val="ru-RU"/>
        </w:rPr>
        <w:t>(“</w:t>
      </w:r>
      <w:r w:rsidRPr="007215BA">
        <w:rPr>
          <w:rFonts w:eastAsia="Times New Roman" w:cs="Arial"/>
          <w:color w:val="000000"/>
          <w:lang w:val="en-US"/>
        </w:rPr>
        <w:t>Prevention</w:t>
      </w:r>
      <w:r w:rsidRPr="007215BA">
        <w:rPr>
          <w:rFonts w:eastAsia="Times New Roman" w:cs="Arial"/>
          <w:color w:val="000000"/>
          <w:lang w:val="ru-RU"/>
        </w:rPr>
        <w:t xml:space="preserve"> </w:t>
      </w:r>
      <w:r w:rsidRPr="007215BA">
        <w:rPr>
          <w:rFonts w:eastAsia="Times New Roman" w:cs="Arial"/>
          <w:color w:val="000000"/>
          <w:lang w:val="en-US"/>
        </w:rPr>
        <w:t>Regimen</w:t>
      </w:r>
      <w:r w:rsidRPr="007215BA">
        <w:rPr>
          <w:rFonts w:eastAsia="Times New Roman" w:cs="Arial"/>
          <w:color w:val="000000"/>
          <w:lang w:val="ru-RU"/>
        </w:rPr>
        <w:t xml:space="preserve"> </w:t>
      </w:r>
      <w:r w:rsidRPr="007215BA">
        <w:rPr>
          <w:rFonts w:eastAsia="Times New Roman" w:cs="Arial"/>
          <w:color w:val="000000"/>
          <w:lang w:val="en-US"/>
        </w:rPr>
        <w:t>For</w:t>
      </w:r>
      <w:r w:rsidRPr="007215BA">
        <w:rPr>
          <w:rFonts w:eastAsia="Times New Roman" w:cs="Arial"/>
          <w:color w:val="000000"/>
          <w:lang w:val="ru-RU"/>
        </w:rPr>
        <w:t xml:space="preserve"> </w:t>
      </w:r>
      <w:r w:rsidRPr="007215BA">
        <w:rPr>
          <w:rFonts w:eastAsia="Times New Roman" w:cs="Arial"/>
          <w:color w:val="000000"/>
          <w:lang w:val="en-US"/>
        </w:rPr>
        <w:t>Effectively</w:t>
      </w:r>
      <w:r w:rsidRPr="007215BA">
        <w:rPr>
          <w:rFonts w:eastAsia="Times New Roman" w:cs="Arial"/>
          <w:color w:val="000000"/>
          <w:lang w:val="ru-RU"/>
        </w:rPr>
        <w:t xml:space="preserve"> </w:t>
      </w:r>
      <w:r w:rsidRPr="007215BA">
        <w:rPr>
          <w:rFonts w:eastAsia="Times New Roman" w:cs="Arial"/>
          <w:color w:val="000000"/>
          <w:lang w:val="en-US"/>
        </w:rPr>
        <w:t>avoiding</w:t>
      </w:r>
      <w:r w:rsidRPr="007215BA">
        <w:rPr>
          <w:rFonts w:eastAsia="Times New Roman" w:cs="Arial"/>
          <w:color w:val="000000"/>
          <w:lang w:val="ru-RU"/>
        </w:rPr>
        <w:t xml:space="preserve"> </w:t>
      </w:r>
      <w:r w:rsidRPr="007215BA">
        <w:rPr>
          <w:rFonts w:eastAsia="Times New Roman" w:cs="Arial"/>
          <w:color w:val="000000"/>
          <w:lang w:val="en-US"/>
        </w:rPr>
        <w:t>Second</w:t>
      </w:r>
      <w:r w:rsidRPr="007215BA">
        <w:rPr>
          <w:rFonts w:eastAsia="Times New Roman" w:cs="Arial"/>
          <w:color w:val="000000"/>
          <w:lang w:val="ru-RU"/>
        </w:rPr>
        <w:t xml:space="preserve"> </w:t>
      </w:r>
      <w:r w:rsidRPr="007215BA">
        <w:rPr>
          <w:rFonts w:eastAsia="Times New Roman" w:cs="Arial"/>
          <w:color w:val="000000"/>
          <w:lang w:val="en-US"/>
        </w:rPr>
        <w:t>Strokes</w:t>
      </w:r>
      <w:r w:rsidRPr="007215BA">
        <w:rPr>
          <w:rFonts w:eastAsia="Times New Roman" w:cs="Arial"/>
          <w:color w:val="000000"/>
          <w:lang w:val="ru-RU"/>
        </w:rPr>
        <w:t>”(</w:t>
      </w:r>
      <w:proofErr w:type="spellStart"/>
      <w:r w:rsidRPr="007215BA">
        <w:rPr>
          <w:rFonts w:eastAsia="Times New Roman" w:cs="Arial"/>
          <w:color w:val="000000"/>
          <w:lang w:val="en-US"/>
        </w:rPr>
        <w:t>PRoFESS</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при пациенти на </w:t>
      </w:r>
      <w:r w:rsidRPr="007215BA">
        <w:rPr>
          <w:rFonts w:eastAsia="Times New Roman" w:cs="Arial"/>
          <w:color w:val="000000"/>
          <w:lang w:val="ru-RU"/>
        </w:rPr>
        <w:t xml:space="preserve">50 </w:t>
      </w:r>
      <w:r w:rsidRPr="007215BA">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7215BA">
        <w:rPr>
          <w:rFonts w:eastAsia="Times New Roman" w:cs="Arial"/>
          <w:color w:val="000000"/>
          <w:lang w:val="ru-RU"/>
        </w:rPr>
        <w:t>[</w:t>
      </w:r>
      <w:r w:rsidRPr="007215BA">
        <w:rPr>
          <w:rFonts w:eastAsia="Times New Roman" w:cs="Arial"/>
          <w:color w:val="000000"/>
          <w:lang w:val="en-US"/>
        </w:rPr>
        <w:t>RR</w:t>
      </w:r>
      <w:r w:rsidRPr="007215BA">
        <w:rPr>
          <w:rFonts w:eastAsia="Times New Roman" w:cs="Arial"/>
          <w:color w:val="000000"/>
          <w:lang w:val="ru-RU"/>
        </w:rPr>
        <w:t xml:space="preserve"> </w:t>
      </w:r>
      <w:r w:rsidRPr="007215BA">
        <w:rPr>
          <w:rFonts w:eastAsia="Times New Roman" w:cs="Arial"/>
          <w:color w:val="000000"/>
          <w:lang w:eastAsia="bg-BG"/>
        </w:rPr>
        <w:t xml:space="preserve">1,43 (95% доверителен интервал 1,00 - 2,06)]; честотата на възникване на сепсис с фатален изход е повишена при пациентите, приемащи телмисартан (0,33 %) спрямо пациентите на плацебо (0,16%) </w:t>
      </w:r>
      <w:r w:rsidRPr="007215BA">
        <w:rPr>
          <w:rFonts w:eastAsia="Times New Roman" w:cs="Arial"/>
          <w:color w:val="000000"/>
          <w:lang w:val="ru-RU"/>
        </w:rPr>
        <w:t>[</w:t>
      </w:r>
      <w:r w:rsidRPr="007215BA">
        <w:rPr>
          <w:rFonts w:eastAsia="Times New Roman" w:cs="Arial"/>
          <w:color w:val="000000"/>
          <w:lang w:val="en-US"/>
        </w:rPr>
        <w:t>RR</w:t>
      </w:r>
      <w:r w:rsidRPr="007215BA">
        <w:rPr>
          <w:rFonts w:eastAsia="Times New Roman" w:cs="Arial"/>
          <w:color w:val="000000"/>
          <w:lang w:val="ru-RU"/>
        </w:rPr>
        <w:t xml:space="preserve"> </w:t>
      </w:r>
      <w:r w:rsidRPr="007215BA">
        <w:rPr>
          <w:rFonts w:eastAsia="Times New Roman" w:cs="Arial"/>
          <w:color w:val="000000"/>
          <w:lang w:eastAsia="bg-BG"/>
        </w:rPr>
        <w:t>2,07 (95% доверителен интервал 1,14 — 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3C9D9187" w14:textId="77777777" w:rsidR="007215BA" w:rsidRDefault="007215BA" w:rsidP="007215BA">
      <w:pPr>
        <w:spacing w:line="240" w:lineRule="auto"/>
        <w:rPr>
          <w:rFonts w:eastAsia="Times New Roman" w:cs="Arial"/>
          <w:color w:val="000000"/>
          <w:lang w:eastAsia="bg-BG"/>
        </w:rPr>
      </w:pPr>
    </w:p>
    <w:p w14:paraId="500E0D2D" w14:textId="3B6C163A" w:rsidR="007215BA" w:rsidRPr="007215BA" w:rsidRDefault="007215BA" w:rsidP="007215BA">
      <w:pPr>
        <w:spacing w:line="240" w:lineRule="auto"/>
        <w:rPr>
          <w:rFonts w:eastAsia="Times New Roman" w:cs="Arial"/>
        </w:rPr>
      </w:pPr>
      <w:r w:rsidRPr="007215BA">
        <w:rPr>
          <w:rFonts w:eastAsia="Times New Roman" w:cs="Arial"/>
          <w:color w:val="000000"/>
          <w:lang w:eastAsia="bg-BG"/>
        </w:rPr>
        <w:lastRenderedPageBreak/>
        <w:t xml:space="preserve">Две големи рандомизирани контролирани проучвания - </w:t>
      </w:r>
      <w:r w:rsidRPr="007215BA">
        <w:rPr>
          <w:rFonts w:eastAsia="Times New Roman" w:cs="Arial"/>
          <w:color w:val="000000"/>
          <w:lang w:val="en-US"/>
        </w:rPr>
        <w:t>ONTARGET</w:t>
      </w:r>
      <w:r w:rsidRPr="007215BA">
        <w:rPr>
          <w:rFonts w:eastAsia="Times New Roman" w:cs="Arial"/>
          <w:color w:val="000000"/>
        </w:rPr>
        <w:t xml:space="preserve"> (</w:t>
      </w:r>
      <w:r w:rsidRPr="007215BA">
        <w:rPr>
          <w:rFonts w:eastAsia="Times New Roman" w:cs="Arial"/>
          <w:color w:val="000000"/>
          <w:lang w:val="en-US"/>
        </w:rPr>
        <w:t>Ongoing</w:t>
      </w:r>
      <w:r w:rsidRPr="007215BA">
        <w:rPr>
          <w:rFonts w:eastAsia="Times New Roman" w:cs="Arial"/>
          <w:color w:val="000000"/>
        </w:rPr>
        <w:t xml:space="preserve"> </w:t>
      </w:r>
      <w:proofErr w:type="spellStart"/>
      <w:r w:rsidRPr="007215BA">
        <w:rPr>
          <w:rFonts w:eastAsia="Times New Roman" w:cs="Arial"/>
          <w:color w:val="000000"/>
          <w:lang w:val="en-US"/>
        </w:rPr>
        <w:t>Telmisartan</w:t>
      </w:r>
      <w:proofErr w:type="spellEnd"/>
      <w:r w:rsidRPr="007215BA">
        <w:rPr>
          <w:rFonts w:eastAsia="Times New Roman" w:cs="Arial"/>
          <w:color w:val="000000"/>
        </w:rPr>
        <w:t xml:space="preserve"> </w:t>
      </w:r>
      <w:r w:rsidRPr="007215BA">
        <w:rPr>
          <w:rFonts w:eastAsia="Times New Roman" w:cs="Arial"/>
          <w:color w:val="000000"/>
          <w:lang w:val="en-US"/>
        </w:rPr>
        <w:t>Alone</w:t>
      </w:r>
      <w:r w:rsidRPr="007215BA">
        <w:rPr>
          <w:rFonts w:eastAsia="Times New Roman" w:cs="Arial"/>
          <w:color w:val="000000"/>
        </w:rPr>
        <w:t xml:space="preserve"> </w:t>
      </w:r>
      <w:r w:rsidRPr="007215BA">
        <w:rPr>
          <w:rFonts w:eastAsia="Times New Roman" w:cs="Arial"/>
          <w:color w:val="000000"/>
          <w:lang w:val="en-US"/>
        </w:rPr>
        <w:t>and</w:t>
      </w:r>
      <w:r w:rsidRPr="007215BA">
        <w:rPr>
          <w:rFonts w:eastAsia="Times New Roman" w:cs="Arial"/>
          <w:color w:val="000000"/>
        </w:rPr>
        <w:t xml:space="preserve"> </w:t>
      </w:r>
      <w:r w:rsidRPr="007215BA">
        <w:rPr>
          <w:rFonts w:eastAsia="Times New Roman" w:cs="Arial"/>
          <w:color w:val="000000"/>
          <w:lang w:val="en-US"/>
        </w:rPr>
        <w:t>in</w:t>
      </w:r>
      <w:r w:rsidRPr="007215BA">
        <w:rPr>
          <w:rFonts w:eastAsia="Times New Roman" w:cs="Arial"/>
          <w:color w:val="000000"/>
        </w:rPr>
        <w:t xml:space="preserve"> </w:t>
      </w:r>
      <w:r w:rsidRPr="007215BA">
        <w:rPr>
          <w:rFonts w:eastAsia="Times New Roman" w:cs="Arial"/>
          <w:color w:val="000000"/>
          <w:lang w:val="en-US"/>
        </w:rPr>
        <w:t>combination</w:t>
      </w:r>
      <w:r w:rsidRPr="007215BA">
        <w:rPr>
          <w:rFonts w:eastAsia="Times New Roman" w:cs="Arial"/>
          <w:color w:val="000000"/>
        </w:rPr>
        <w:t xml:space="preserve"> </w:t>
      </w:r>
      <w:r w:rsidRPr="007215BA">
        <w:rPr>
          <w:rFonts w:eastAsia="Times New Roman" w:cs="Arial"/>
          <w:color w:val="000000"/>
          <w:lang w:val="en-US"/>
        </w:rPr>
        <w:t>with</w:t>
      </w:r>
      <w:r w:rsidRPr="007215BA">
        <w:rPr>
          <w:rFonts w:eastAsia="Times New Roman" w:cs="Arial"/>
          <w:color w:val="000000"/>
        </w:rPr>
        <w:t xml:space="preserve"> </w:t>
      </w:r>
      <w:r w:rsidRPr="007215BA">
        <w:rPr>
          <w:rFonts w:eastAsia="Times New Roman" w:cs="Arial"/>
          <w:color w:val="000000"/>
          <w:lang w:val="en-US"/>
        </w:rPr>
        <w:t>Ramipril</w:t>
      </w:r>
      <w:r w:rsidRPr="007215BA">
        <w:rPr>
          <w:rFonts w:eastAsia="Times New Roman" w:cs="Arial"/>
          <w:color w:val="000000"/>
        </w:rPr>
        <w:t xml:space="preserve"> </w:t>
      </w:r>
      <w:r w:rsidRPr="007215BA">
        <w:rPr>
          <w:rFonts w:eastAsia="Times New Roman" w:cs="Arial"/>
          <w:color w:val="000000"/>
          <w:lang w:val="en-US"/>
        </w:rPr>
        <w:t>Global</w:t>
      </w:r>
      <w:r w:rsidRPr="007215BA">
        <w:rPr>
          <w:rFonts w:eastAsia="Times New Roman" w:cs="Arial"/>
          <w:color w:val="000000"/>
        </w:rPr>
        <w:t xml:space="preserve"> </w:t>
      </w:r>
      <w:r w:rsidRPr="007215BA">
        <w:rPr>
          <w:rFonts w:eastAsia="Times New Roman" w:cs="Arial"/>
          <w:color w:val="000000"/>
          <w:lang w:val="en-US"/>
        </w:rPr>
        <w:t>Endpoint</w:t>
      </w:r>
      <w:r w:rsidRPr="007215BA">
        <w:rPr>
          <w:rFonts w:eastAsia="Times New Roman" w:cs="Arial"/>
          <w:color w:val="000000"/>
        </w:rPr>
        <w:t xml:space="preserve"> </w:t>
      </w:r>
      <w:r w:rsidRPr="007215BA">
        <w:rPr>
          <w:rFonts w:eastAsia="Times New Roman" w:cs="Arial"/>
          <w:color w:val="000000"/>
          <w:lang w:val="en-US"/>
        </w:rPr>
        <w:t>Trial</w:t>
      </w:r>
      <w:r w:rsidRPr="007215BA">
        <w:rPr>
          <w:rFonts w:eastAsia="Times New Roman" w:cs="Arial"/>
          <w:color w:val="000000"/>
        </w:rPr>
        <w:t xml:space="preserve"> - </w:t>
      </w:r>
      <w:r w:rsidRPr="007215B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215BA">
        <w:rPr>
          <w:rFonts w:eastAsia="Times New Roman" w:cs="Arial"/>
          <w:color w:val="000000"/>
          <w:lang w:val="en-US"/>
        </w:rPr>
        <w:t>VA</w:t>
      </w:r>
      <w:r w:rsidRPr="007215BA">
        <w:rPr>
          <w:rFonts w:eastAsia="Times New Roman" w:cs="Arial"/>
          <w:color w:val="000000"/>
        </w:rPr>
        <w:t xml:space="preserve"> </w:t>
      </w:r>
      <w:r w:rsidRPr="007215BA">
        <w:rPr>
          <w:rFonts w:eastAsia="Times New Roman" w:cs="Arial"/>
          <w:color w:val="000000"/>
          <w:lang w:val="en-US"/>
        </w:rPr>
        <w:t>NEPHRON</w:t>
      </w:r>
      <w:r w:rsidRPr="007215BA">
        <w:rPr>
          <w:rFonts w:eastAsia="Times New Roman" w:cs="Arial"/>
          <w:color w:val="000000"/>
        </w:rPr>
        <w:t>-</w:t>
      </w:r>
      <w:r w:rsidRPr="007215BA">
        <w:rPr>
          <w:rFonts w:eastAsia="Times New Roman" w:cs="Arial"/>
          <w:color w:val="000000"/>
          <w:lang w:val="en-US"/>
        </w:rPr>
        <w:t>D</w:t>
      </w:r>
      <w:r w:rsidRPr="007215BA">
        <w:rPr>
          <w:rFonts w:eastAsia="Times New Roman" w:cs="Arial"/>
          <w:color w:val="000000"/>
        </w:rPr>
        <w:t xml:space="preserve"> </w:t>
      </w:r>
      <w:r w:rsidRPr="007215BA">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 </w:t>
      </w:r>
      <w:r w:rsidRPr="007215BA">
        <w:rPr>
          <w:rFonts w:eastAsia="Times New Roman" w:cs="Arial"/>
          <w:color w:val="000000"/>
          <w:lang w:val="en-US"/>
        </w:rPr>
        <w:t>ONTARGET</w:t>
      </w:r>
      <w:r w:rsidRPr="007215BA">
        <w:rPr>
          <w:rFonts w:eastAsia="Times New Roman" w:cs="Arial"/>
          <w:color w:val="000000"/>
          <w:lang w:val="ru-RU"/>
        </w:rPr>
        <w:t xml:space="preserve"> </w:t>
      </w:r>
      <w:r w:rsidRPr="007215BA">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За по-подробна информация вижте по-горе под заглавието ’’Сърдечно-съдова профилактика".</w:t>
      </w:r>
    </w:p>
    <w:p w14:paraId="461C63B2" w14:textId="77777777" w:rsidR="007215BA" w:rsidRPr="007215BA" w:rsidRDefault="007215BA" w:rsidP="007215BA">
      <w:pPr>
        <w:spacing w:line="240" w:lineRule="auto"/>
        <w:rPr>
          <w:rFonts w:eastAsia="Times New Roman" w:cs="Arial"/>
        </w:rPr>
      </w:pPr>
      <w:r w:rsidRPr="007215BA">
        <w:rPr>
          <w:rFonts w:eastAsia="Times New Roman" w:cs="Arial"/>
          <w:color w:val="000000"/>
          <w:lang w:val="en-US"/>
        </w:rPr>
        <w:t>VA</w:t>
      </w:r>
      <w:r w:rsidRPr="007215BA">
        <w:rPr>
          <w:rFonts w:eastAsia="Times New Roman" w:cs="Arial"/>
          <w:color w:val="000000"/>
          <w:lang w:val="ru-RU"/>
        </w:rPr>
        <w:t xml:space="preserve"> </w:t>
      </w:r>
      <w:r w:rsidRPr="007215BA">
        <w:rPr>
          <w:rFonts w:eastAsia="Times New Roman" w:cs="Arial"/>
          <w:color w:val="000000"/>
          <w:lang w:val="en-US"/>
        </w:rPr>
        <w:t>NEPHRON</w:t>
      </w:r>
      <w:r w:rsidRPr="007215BA">
        <w:rPr>
          <w:rFonts w:eastAsia="Times New Roman" w:cs="Arial"/>
          <w:color w:val="000000"/>
          <w:lang w:val="ru-RU"/>
        </w:rPr>
        <w:t>-</w:t>
      </w:r>
      <w:r w:rsidRPr="007215BA">
        <w:rPr>
          <w:rFonts w:eastAsia="Times New Roman" w:cs="Arial"/>
          <w:color w:val="000000"/>
          <w:lang w:val="en-US"/>
        </w:rPr>
        <w:t>D</w:t>
      </w:r>
      <w:r w:rsidRPr="007215BA">
        <w:rPr>
          <w:rFonts w:eastAsia="Times New Roman" w:cs="Arial"/>
          <w:color w:val="000000"/>
          <w:lang w:val="ru-RU"/>
        </w:rPr>
        <w:t xml:space="preserve"> </w:t>
      </w:r>
      <w:r w:rsidRPr="007215BA">
        <w:rPr>
          <w:rFonts w:eastAsia="Times New Roman" w:cs="Arial"/>
          <w:color w:val="000000"/>
          <w:lang w:eastAsia="bg-BG"/>
        </w:rPr>
        <w:t xml:space="preserve">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215BA">
        <w:rPr>
          <w:rFonts w:eastAsia="Times New Roman" w:cs="Arial"/>
          <w:color w:val="000000"/>
          <w:lang w:val="en-US"/>
        </w:rPr>
        <w:t>II</w:t>
      </w:r>
      <w:r w:rsidRPr="007215BA">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B959A6D" w14:textId="30149661" w:rsidR="007215BA" w:rsidRPr="007215BA" w:rsidRDefault="007215BA" w:rsidP="007215BA">
      <w:pPr>
        <w:spacing w:line="240" w:lineRule="auto"/>
        <w:rPr>
          <w:rFonts w:eastAsia="Times New Roman" w:cs="Arial"/>
          <w:color w:val="000000"/>
          <w:lang w:eastAsia="bg-BG"/>
        </w:rPr>
      </w:pPr>
      <w:r w:rsidRPr="007215BA">
        <w:rPr>
          <w:rFonts w:eastAsia="Times New Roman" w:cs="Arial"/>
          <w:color w:val="000000"/>
          <w:lang w:val="en-US"/>
        </w:rPr>
        <w:t>ALTITUDE</w:t>
      </w:r>
      <w:r w:rsidRPr="007215BA">
        <w:rPr>
          <w:rFonts w:eastAsia="Times New Roman" w:cs="Arial"/>
          <w:color w:val="000000"/>
          <w:lang w:val="ru-RU"/>
        </w:rPr>
        <w:t xml:space="preserve"> </w:t>
      </w:r>
      <w:r w:rsidRPr="007215BA">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7215BA">
        <w:rPr>
          <w:rFonts w:eastAsia="Times New Roman" w:cs="Arial"/>
          <w:color w:val="000000"/>
          <w:lang w:val="en-US"/>
        </w:rPr>
        <w:t>ACE</w:t>
      </w:r>
      <w:r w:rsidRPr="007215BA">
        <w:rPr>
          <w:rFonts w:eastAsia="Times New Roman" w:cs="Arial"/>
          <w:color w:val="000000"/>
          <w:lang w:eastAsia="bg-BG"/>
        </w:rPr>
        <w:t xml:space="preserve"> инхибитор или ангиотензин </w:t>
      </w:r>
      <w:r w:rsidRPr="007215BA">
        <w:rPr>
          <w:rFonts w:eastAsia="Times New Roman" w:cs="Arial"/>
          <w:color w:val="000000"/>
          <w:lang w:val="en-US"/>
        </w:rPr>
        <w:t>II</w:t>
      </w:r>
      <w:r w:rsidRPr="007215BA">
        <w:rPr>
          <w:rFonts w:eastAsia="Times New Roman" w:cs="Arial"/>
          <w:color w:val="000000"/>
          <w:lang w:eastAsia="bg-BG"/>
        </w:rPr>
        <w:t xml:space="preserve">-рецепторен блокер при пациенти </w:t>
      </w:r>
      <w:r w:rsidRPr="007215BA">
        <w:rPr>
          <w:rFonts w:eastAsia="Times New Roman" w:cs="Arial"/>
          <w:i/>
          <w:iCs/>
          <w:color w:val="000000"/>
          <w:lang w:eastAsia="bg-BG"/>
        </w:rPr>
        <w:t>със захарен</w:t>
      </w:r>
      <w:r w:rsidRPr="007215BA">
        <w:rPr>
          <w:rFonts w:eastAsia="Times New Roman" w:cs="Arial"/>
          <w:color w:val="000000"/>
          <w:lang w:eastAsia="bg-BG"/>
        </w:rPr>
        <w:t xml:space="preserve"> диабет тип 2 и хронично бъбречно заболяване, сърдечно-съдово заболяване или и двете. Проучването</w:t>
      </w:r>
      <w:r w:rsidRPr="007215BA">
        <w:rPr>
          <w:rFonts w:eastAsia="Times New Roman" w:cs="Arial"/>
          <w:color w:val="000000"/>
          <w:lang w:val="ru-RU"/>
        </w:rPr>
        <w:t xml:space="preserve"> </w:t>
      </w:r>
      <w:r w:rsidRPr="007215BA">
        <w:rPr>
          <w:rFonts w:eastAsia="Times New Roman" w:cs="Arial"/>
          <w:color w:val="000000"/>
          <w:lang w:eastAsia="bg-BG"/>
        </w:rPr>
        <w:t>е прекратена преждевременно поради повишен риск от неблагоприятни последици. Както сърдечно-съдовата</w:t>
      </w:r>
      <w:r>
        <w:rPr>
          <w:rFonts w:eastAsia="Times New Roman" w:cs="Arial"/>
          <w:color w:val="000000"/>
          <w:lang w:eastAsia="bg-BG"/>
        </w:rPr>
        <w:t xml:space="preserve"> </w:t>
      </w:r>
      <w:r w:rsidRPr="007215BA">
        <w:rPr>
          <w:rFonts w:eastAsia="Times New Roman" w:cs="Arial"/>
          <w:color w:val="000000"/>
          <w:lang w:eastAsia="bg-BG"/>
        </w:rPr>
        <w:t>смърт, така и инсултът са по-честа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1B94CA4" w14:textId="77777777" w:rsidR="007215BA" w:rsidRDefault="007215BA" w:rsidP="007215BA">
      <w:pPr>
        <w:spacing w:line="240" w:lineRule="auto"/>
        <w:rPr>
          <w:rFonts w:eastAsia="Times New Roman" w:cs="Arial"/>
          <w:color w:val="000000"/>
          <w:u w:val="single"/>
          <w:lang w:eastAsia="bg-BG"/>
        </w:rPr>
      </w:pPr>
    </w:p>
    <w:p w14:paraId="45521EE4" w14:textId="20D9E1D4"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Педиатрична популация</w:t>
      </w:r>
    </w:p>
    <w:p w14:paraId="7A77DBC1"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Безопасността и ефикасността на телмисартан при деца и юноши на възраст под 18 години не са установени.</w:t>
      </w:r>
    </w:p>
    <w:p w14:paraId="63366D87"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Ефектът за понижаване на артериалното налягане на две дози телмисартан е оценен при 76 хипертоници със значително наднормено тегло на възраст между 6 и &lt;18 години (тегло ≥20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&lt;120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средно тегло 74,6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след прием на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=29 лекувани) или 2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=31 лекувани) в продължение на 4-седмичен период на лечение. При включването наличието на вторична хипертония не е изследвано. При някои участници в проучването дозите са били по-високи от препоръчителните за лечение на хипертония при популацията от възрастни пациенти, достигаща дневна доза, съпоставима с 160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която е изследвана при възрастни пациенти. След корекция на ефектите според възрастовата група средните промени промяна на систолично артериално налягане спрямо изходното ниво са -14,5 (1,7)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в групата с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-6,0 (2,4)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в групата с плацебо. Коригираните промени в диастоличното артериално налягане спрямо изходното ниво са съответно -8,4 (1,5)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-4,5 (1,6)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и 3,5 (2,1)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Промяната е зависима от дозата. Изглежда, че данните за безопасността при пациентите на възраст между 6 и под 18 години са като цяло сходни с тези при възрастните пациенти. Не е правена оценка на безопасността на дългосрочно лечение с телмисартан при деца и юноши.</w:t>
      </w:r>
    </w:p>
    <w:p w14:paraId="3A14BBF8"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lastRenderedPageBreak/>
        <w:t>Повишението на еозонофилите, съобщено при пациенти от тази популация, не е наблюдавано при възрастни пациенти. Не е известно клиничното значение и относимост на това повишение.</w:t>
      </w:r>
    </w:p>
    <w:p w14:paraId="487BF076"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Въз основа на тези клинични данни не могат да бъдат направени заключения относно ефективността и безопасността на телмисартан при хипертонични пациенти от педиатричната популация.</w:t>
      </w:r>
    </w:p>
    <w:p w14:paraId="62E7936E" w14:textId="77777777" w:rsidR="007215BA" w:rsidRPr="007215BA" w:rsidRDefault="007215BA" w:rsidP="007215BA">
      <w:pPr>
        <w:spacing w:line="240" w:lineRule="auto"/>
        <w:rPr>
          <w:rFonts w:eastAsia="Times New Roman" w:cs="Arial"/>
        </w:rPr>
      </w:pPr>
    </w:p>
    <w:p w14:paraId="346B622B" w14:textId="1CBE2C7C" w:rsidR="00875EEC" w:rsidRDefault="002C50EE" w:rsidP="005726E3">
      <w:pPr>
        <w:pStyle w:val="Heading2"/>
      </w:pPr>
      <w:r>
        <w:t>5.2. Фармакокинетични свойства</w:t>
      </w:r>
    </w:p>
    <w:p w14:paraId="46BD6305" w14:textId="6A8C85B7" w:rsidR="007215BA" w:rsidRDefault="007215BA" w:rsidP="007215BA"/>
    <w:p w14:paraId="7DC94D45" w14:textId="77777777"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Абсорбция</w:t>
      </w:r>
    </w:p>
    <w:p w14:paraId="2EA63931"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Абсорбцията на телмисартан е бърза, независимо, че абсорбираното количество варира.</w:t>
      </w:r>
    </w:p>
    <w:p w14:paraId="39ECE0A5"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Средната абсолютна бионаличност на телмисартан е около 50%. Когато телмисартан се приема с храна, редукцията на областта под кривата плазмена концентрация-време </w:t>
      </w:r>
      <w:r w:rsidRPr="007215BA">
        <w:rPr>
          <w:rFonts w:eastAsia="Times New Roman" w:cs="Arial"/>
          <w:color w:val="000000"/>
          <w:lang w:val="ru-RU"/>
        </w:rPr>
        <w:t>(</w:t>
      </w:r>
      <w:r w:rsidRPr="007215BA">
        <w:rPr>
          <w:rFonts w:eastAsia="Times New Roman" w:cs="Arial"/>
          <w:color w:val="000000"/>
          <w:lang w:val="en-US"/>
        </w:rPr>
        <w:t>AUC</w:t>
      </w:r>
      <w:r w:rsidRPr="007215BA">
        <w:rPr>
          <w:rFonts w:eastAsia="Times New Roman" w:cs="Arial"/>
          <w:color w:val="000000"/>
          <w:vertAlign w:val="subscript"/>
          <w:lang w:val="ru-RU"/>
        </w:rPr>
        <w:t>0-∞</w:t>
      </w:r>
      <w:r w:rsidRPr="007215BA">
        <w:rPr>
          <w:rFonts w:eastAsia="Times New Roman" w:cs="Arial"/>
          <w:color w:val="000000"/>
          <w:lang w:eastAsia="bg-BG"/>
        </w:rPr>
        <w:t xml:space="preserve">) на телмисартан варира от около 6% (40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доза) до около 19% (160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доза). Три часа след приложение плазмените концентрации са подобни при приемане на телмисартан на гладно или с храна.</w:t>
      </w:r>
    </w:p>
    <w:p w14:paraId="56B91D10" w14:textId="77777777" w:rsidR="007215BA" w:rsidRDefault="007215BA" w:rsidP="007215BA">
      <w:pPr>
        <w:spacing w:line="240" w:lineRule="auto"/>
        <w:rPr>
          <w:rFonts w:eastAsia="Times New Roman" w:cs="Arial"/>
          <w:color w:val="000000"/>
          <w:u w:val="single"/>
          <w:lang w:eastAsia="bg-BG"/>
        </w:rPr>
      </w:pPr>
    </w:p>
    <w:p w14:paraId="4F72FD98" w14:textId="0A64C3D3"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Линейност/нелинейност</w:t>
      </w:r>
    </w:p>
    <w:p w14:paraId="0977A064"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Не се очаква слабата редукция в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 xml:space="preserve">да предизвика редукция в терапевтичната ефикасност. Няма линейна зависимост между дозите и плазмените нива. Стах и в по-малка степен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 xml:space="preserve">се повишават непропорционално при дози над 40 </w:t>
      </w:r>
      <w:r w:rsidRPr="007215BA">
        <w:rPr>
          <w:rFonts w:eastAsia="Times New Roman" w:cs="Arial"/>
          <w:color w:val="000000"/>
          <w:lang w:val="en-US"/>
        </w:rPr>
        <w:t>mg</w:t>
      </w:r>
      <w:r w:rsidRPr="007215BA">
        <w:rPr>
          <w:rFonts w:eastAsia="Times New Roman" w:cs="Arial"/>
          <w:color w:val="000000"/>
          <w:lang w:val="ru-RU"/>
        </w:rPr>
        <w:t>.</w:t>
      </w:r>
    </w:p>
    <w:p w14:paraId="1AE99C64" w14:textId="77777777" w:rsidR="007215BA" w:rsidRDefault="007215BA" w:rsidP="007215BA">
      <w:pPr>
        <w:spacing w:line="240" w:lineRule="auto"/>
        <w:rPr>
          <w:rFonts w:eastAsia="Times New Roman" w:cs="Arial"/>
          <w:color w:val="000000"/>
          <w:u w:val="single"/>
          <w:lang w:eastAsia="bg-BG"/>
        </w:rPr>
      </w:pPr>
    </w:p>
    <w:p w14:paraId="4D50CC95" w14:textId="169CDD7C"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Разпределение</w:t>
      </w:r>
    </w:p>
    <w:p w14:paraId="2FC54912"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Телмисартан се свързва в голяма степен с плазмените протеини (&gt;99,5%), главно с албумин и алфа-1 кисел глюкопротеин. Средният привиден обем на разпределение при достигане на стационарно състояние </w:t>
      </w:r>
      <w:r w:rsidRPr="007215BA">
        <w:rPr>
          <w:rFonts w:eastAsia="Times New Roman" w:cs="Arial"/>
          <w:color w:val="000000"/>
          <w:lang w:val="ru-RU"/>
        </w:rPr>
        <w:t>(</w:t>
      </w:r>
      <w:proofErr w:type="spellStart"/>
      <w:r w:rsidRPr="007215BA">
        <w:rPr>
          <w:rFonts w:eastAsia="Times New Roman" w:cs="Arial"/>
          <w:color w:val="000000"/>
          <w:lang w:val="en-US"/>
        </w:rPr>
        <w:t>Vdss</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е около 500 </w:t>
      </w:r>
      <w:r w:rsidRPr="007215BA">
        <w:rPr>
          <w:rFonts w:eastAsia="Times New Roman" w:cs="Arial"/>
          <w:color w:val="000000"/>
          <w:lang w:val="en-US"/>
        </w:rPr>
        <w:t>L</w:t>
      </w:r>
      <w:r w:rsidRPr="007215BA">
        <w:rPr>
          <w:rFonts w:eastAsia="Times New Roman" w:cs="Arial"/>
          <w:color w:val="000000"/>
          <w:lang w:val="ru-RU"/>
        </w:rPr>
        <w:t>.</w:t>
      </w:r>
    </w:p>
    <w:p w14:paraId="0E83B73C" w14:textId="77777777" w:rsidR="007215BA" w:rsidRDefault="007215BA" w:rsidP="007215BA">
      <w:pPr>
        <w:spacing w:line="240" w:lineRule="auto"/>
        <w:rPr>
          <w:rFonts w:eastAsia="Times New Roman" w:cs="Arial"/>
          <w:color w:val="000000"/>
          <w:u w:val="single"/>
          <w:lang w:eastAsia="bg-BG"/>
        </w:rPr>
      </w:pPr>
    </w:p>
    <w:p w14:paraId="3E910251" w14:textId="0F21609A"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Биотрансформация</w:t>
      </w:r>
    </w:p>
    <w:p w14:paraId="5C12C1E7"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Телмисартан се метаболизира чрез свързване на основното вещество с глюкуронид. Не е наблюдавана фармакологична активност на конюгатите.</w:t>
      </w:r>
    </w:p>
    <w:p w14:paraId="576B0399" w14:textId="77777777" w:rsidR="007215BA" w:rsidRDefault="007215BA" w:rsidP="007215BA">
      <w:pPr>
        <w:spacing w:line="240" w:lineRule="auto"/>
        <w:rPr>
          <w:rFonts w:eastAsia="Times New Roman" w:cs="Arial"/>
          <w:color w:val="000000"/>
          <w:u w:val="single"/>
          <w:lang w:eastAsia="bg-BG"/>
        </w:rPr>
      </w:pPr>
    </w:p>
    <w:p w14:paraId="56A5AB02" w14:textId="6E19309E"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Елиминиране</w:t>
      </w:r>
    </w:p>
    <w:p w14:paraId="09CA3D67" w14:textId="5B9D4580" w:rsidR="007215BA" w:rsidRPr="007215BA" w:rsidRDefault="007215BA" w:rsidP="007215BA">
      <w:pPr>
        <w:spacing w:line="240" w:lineRule="auto"/>
        <w:rPr>
          <w:rFonts w:eastAsia="Times New Roman" w:cs="Arial"/>
        </w:rPr>
      </w:pPr>
      <w:r w:rsidRPr="007215BA">
        <w:rPr>
          <w:rFonts w:eastAsia="Times New Roman" w:cs="Arial"/>
          <w:color w:val="000000"/>
          <w:lang w:eastAsia="bg-BG"/>
        </w:rPr>
        <w:t>Телмисартан се характеризира с биекспоненциална отслабваща фармакокинетика с терминален елиминационен полуживот &gt;20 часа. Максималната плазмена концентрация (С</w:t>
      </w:r>
      <w:r w:rsidRPr="007215BA">
        <w:rPr>
          <w:rFonts w:eastAsia="Times New Roman" w:cs="Arial"/>
          <w:color w:val="000000"/>
          <w:vertAlign w:val="subscript"/>
          <w:lang w:val="en-US"/>
        </w:rPr>
        <w:t>max</w:t>
      </w:r>
      <w:r w:rsidRPr="007215BA">
        <w:rPr>
          <w:rFonts w:eastAsia="Times New Roman" w:cs="Arial"/>
          <w:color w:val="000000"/>
          <w:lang w:eastAsia="bg-BG"/>
        </w:rPr>
        <w:t>) и</w:t>
      </w:r>
      <w:r w:rsidRPr="007215BA">
        <w:rPr>
          <w:rFonts w:eastAsia="Times New Roman" w:cs="Arial"/>
          <w:color w:val="000000"/>
          <w:lang w:val="ru-RU"/>
        </w:rPr>
        <w:t xml:space="preserve"> </w:t>
      </w:r>
      <w:r w:rsidRPr="007215BA">
        <w:rPr>
          <w:rFonts w:eastAsia="Times New Roman" w:cs="Arial"/>
          <w:color w:val="000000"/>
          <w:lang w:eastAsia="bg-BG"/>
        </w:rPr>
        <w:t xml:space="preserve">в по-малка степен областта под кривата плазмена концентрация-време </w:t>
      </w:r>
      <w:r w:rsidRPr="007215BA">
        <w:rPr>
          <w:rFonts w:eastAsia="Times New Roman" w:cs="Arial"/>
          <w:color w:val="000000"/>
          <w:lang w:val="ru-RU"/>
        </w:rPr>
        <w:t>(</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се повишава</w:t>
      </w:r>
      <w:r w:rsidRPr="007215BA">
        <w:rPr>
          <w:rFonts w:eastAsia="Times New Roman" w:cs="Arial"/>
          <w:color w:val="000000"/>
          <w:lang w:val="ru-RU"/>
        </w:rPr>
        <w:t xml:space="preserve"> </w:t>
      </w:r>
      <w:r w:rsidRPr="007215BA">
        <w:rPr>
          <w:rFonts w:eastAsia="Times New Roman" w:cs="Arial"/>
          <w:color w:val="000000"/>
          <w:lang w:eastAsia="bg-BG"/>
        </w:rPr>
        <w:t>непропорционално на</w:t>
      </w:r>
      <w:r>
        <w:rPr>
          <w:rFonts w:eastAsia="Times New Roman" w:cs="Arial"/>
        </w:rPr>
        <w:t xml:space="preserve"> </w:t>
      </w:r>
      <w:r w:rsidRPr="007215BA">
        <w:rPr>
          <w:rFonts w:eastAsia="Times New Roman" w:cs="Arial"/>
          <w:color w:val="000000"/>
          <w:lang w:eastAsia="bg-BG"/>
        </w:rPr>
        <w:t>дозата. Няма данни за клинически значима акумулация на телмисартан, приет в препоръчваните</w:t>
      </w:r>
      <w:r>
        <w:rPr>
          <w:rFonts w:eastAsia="Times New Roman" w:cs="Arial"/>
        </w:rPr>
        <w:t xml:space="preserve"> </w:t>
      </w:r>
      <w:r w:rsidRPr="007215BA">
        <w:rPr>
          <w:rFonts w:eastAsia="Times New Roman" w:cs="Arial"/>
          <w:color w:val="000000"/>
          <w:lang w:eastAsia="bg-BG"/>
        </w:rPr>
        <w:t>дози. Плазмените концентрации са по-високи при жени, отколкото при мъже, без това да е свързано с влияние върху ефикасността.</w:t>
      </w:r>
    </w:p>
    <w:p w14:paraId="2EA25FFA"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След перорално (и интравенозно) приложение телмисартан се екскретира почти изцяло с фекалиите, главно като непроменено съединение. Кумулативната уринарна екскреция е &lt;1% от дозата. Тоталният плазмен клирънс </w:t>
      </w:r>
      <w:r w:rsidRPr="007215BA">
        <w:rPr>
          <w:rFonts w:eastAsia="Times New Roman" w:cs="Arial"/>
          <w:color w:val="000000"/>
          <w:lang w:val="ru-RU"/>
        </w:rPr>
        <w:t>(</w:t>
      </w:r>
      <w:proofErr w:type="spellStart"/>
      <w:r w:rsidRPr="007215BA">
        <w:rPr>
          <w:rFonts w:eastAsia="Times New Roman" w:cs="Arial"/>
          <w:color w:val="000000"/>
          <w:lang w:val="en-US"/>
        </w:rPr>
        <w:t>Cltot</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е висок (около 1000 </w:t>
      </w:r>
      <w:r w:rsidRPr="007215BA">
        <w:rPr>
          <w:rFonts w:eastAsia="Times New Roman" w:cs="Arial"/>
          <w:color w:val="000000"/>
          <w:lang w:val="en-US"/>
        </w:rPr>
        <w:t>mL</w:t>
      </w:r>
      <w:r w:rsidRPr="007215BA">
        <w:rPr>
          <w:rFonts w:eastAsia="Times New Roman" w:cs="Arial"/>
          <w:color w:val="000000"/>
          <w:lang w:val="ru-RU"/>
        </w:rPr>
        <w:t>/</w:t>
      </w:r>
      <w:r w:rsidRPr="007215BA">
        <w:rPr>
          <w:rFonts w:eastAsia="Times New Roman" w:cs="Arial"/>
          <w:color w:val="000000"/>
          <w:lang w:val="en-US"/>
        </w:rPr>
        <w:t>min</w:t>
      </w:r>
      <w:r w:rsidRPr="007215BA">
        <w:rPr>
          <w:rFonts w:eastAsia="Times New Roman" w:cs="Arial"/>
          <w:color w:val="000000"/>
          <w:lang w:val="ru-RU"/>
        </w:rPr>
        <w:t xml:space="preserve">), </w:t>
      </w:r>
      <w:r w:rsidRPr="007215BA">
        <w:rPr>
          <w:rFonts w:eastAsia="Times New Roman" w:cs="Arial"/>
          <w:color w:val="000000"/>
          <w:lang w:eastAsia="bg-BG"/>
        </w:rPr>
        <w:t xml:space="preserve">сравнен с чернодробния кръвен поток (около 1500 </w:t>
      </w:r>
      <w:r w:rsidRPr="007215BA">
        <w:rPr>
          <w:rFonts w:eastAsia="Times New Roman" w:cs="Arial"/>
          <w:color w:val="000000"/>
          <w:lang w:val="en-US"/>
        </w:rPr>
        <w:t>mL</w:t>
      </w:r>
      <w:r w:rsidRPr="007215BA">
        <w:rPr>
          <w:rFonts w:eastAsia="Times New Roman" w:cs="Arial"/>
          <w:color w:val="000000"/>
          <w:lang w:val="ru-RU"/>
        </w:rPr>
        <w:t>/</w:t>
      </w:r>
      <w:r w:rsidRPr="007215BA">
        <w:rPr>
          <w:rFonts w:eastAsia="Times New Roman" w:cs="Arial"/>
          <w:color w:val="000000"/>
          <w:lang w:val="en-US"/>
        </w:rPr>
        <w:t>min</w:t>
      </w:r>
      <w:r w:rsidRPr="007215BA">
        <w:rPr>
          <w:rFonts w:eastAsia="Times New Roman" w:cs="Arial"/>
          <w:color w:val="000000"/>
          <w:lang w:val="ru-RU"/>
        </w:rPr>
        <w:t>).</w:t>
      </w:r>
    </w:p>
    <w:p w14:paraId="3F1370DA" w14:textId="77777777" w:rsidR="007215BA" w:rsidRDefault="007215BA" w:rsidP="007215BA">
      <w:pPr>
        <w:spacing w:line="240" w:lineRule="auto"/>
        <w:rPr>
          <w:rFonts w:eastAsia="Times New Roman" w:cs="Arial"/>
          <w:i/>
          <w:iCs/>
          <w:color w:val="000000"/>
          <w:lang w:eastAsia="bg-BG"/>
        </w:rPr>
      </w:pPr>
    </w:p>
    <w:p w14:paraId="2648BF35" w14:textId="3B802B8C" w:rsidR="007215BA" w:rsidRPr="007215BA" w:rsidRDefault="007215BA" w:rsidP="007215BA">
      <w:pPr>
        <w:spacing w:line="240" w:lineRule="auto"/>
        <w:rPr>
          <w:rFonts w:eastAsia="Times New Roman" w:cs="Arial"/>
        </w:rPr>
      </w:pPr>
      <w:r w:rsidRPr="007215BA">
        <w:rPr>
          <w:rFonts w:eastAsia="Times New Roman" w:cs="Arial"/>
          <w:i/>
          <w:iCs/>
          <w:color w:val="000000"/>
          <w:lang w:eastAsia="bg-BG"/>
        </w:rPr>
        <w:t>Специални популации</w:t>
      </w:r>
    </w:p>
    <w:p w14:paraId="2B9ED393" w14:textId="77777777" w:rsidR="007215BA" w:rsidRDefault="007215BA" w:rsidP="007215BA">
      <w:pPr>
        <w:spacing w:line="240" w:lineRule="auto"/>
        <w:rPr>
          <w:rFonts w:eastAsia="Times New Roman" w:cs="Arial"/>
          <w:color w:val="000000"/>
          <w:u w:val="single"/>
          <w:lang w:eastAsia="bg-BG"/>
        </w:rPr>
      </w:pPr>
    </w:p>
    <w:p w14:paraId="4FDC0F5F" w14:textId="67DD309D"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Педиатрична популация</w:t>
      </w:r>
    </w:p>
    <w:p w14:paraId="4846956A"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Фармакокинетиката на две дози телмисартан е оценена като второстепенна цел при хипертонични пациенти (</w:t>
      </w:r>
      <w:r w:rsidRPr="007215BA">
        <w:rPr>
          <w:rFonts w:eastAsia="Times New Roman" w:cs="Arial"/>
          <w:color w:val="000000"/>
          <w:lang w:val="en-US"/>
        </w:rPr>
        <w:t>n</w:t>
      </w:r>
      <w:r w:rsidRPr="007215BA">
        <w:rPr>
          <w:rFonts w:eastAsia="Times New Roman" w:cs="Arial"/>
          <w:color w:val="000000"/>
          <w:lang w:eastAsia="bg-BG"/>
        </w:rPr>
        <w:t xml:space="preserve">=57) на възраст между 6 и под 18 години, след прием на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2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в продължение на 4-седмичен период на лечение. Целите, свързани с фармакокинетиката, включват определяне на равновесното състояние на </w:t>
      </w:r>
      <w:r w:rsidRPr="007215BA">
        <w:rPr>
          <w:rFonts w:eastAsia="Times New Roman" w:cs="Arial"/>
          <w:color w:val="000000"/>
          <w:lang w:eastAsia="bg-BG"/>
        </w:rPr>
        <w:lastRenderedPageBreak/>
        <w:t>телмисартан при деца и юноши и проучване на разликите, свързани с възрастта. Въпреки че проучването е прекалено малко, за да може да се направи значима оценка на фармакокинетиката при деца на възраст под 12 години, като цяло резултатите съответстват на установеното при възрастни пациенти и потвърждават нелинейностга на телмисартан, особено С</w:t>
      </w:r>
      <w:r w:rsidRPr="007215BA">
        <w:rPr>
          <w:rFonts w:eastAsia="Times New Roman" w:cs="Arial"/>
          <w:color w:val="000000"/>
          <w:lang w:val="en-US"/>
        </w:rPr>
        <w:t>max</w:t>
      </w:r>
      <w:r w:rsidRPr="007215BA">
        <w:rPr>
          <w:rFonts w:eastAsia="Times New Roman" w:cs="Arial"/>
          <w:color w:val="000000"/>
          <w:lang w:eastAsia="bg-BG"/>
        </w:rPr>
        <w:t>,</w:t>
      </w:r>
    </w:p>
    <w:p w14:paraId="0EC2D0D1" w14:textId="77777777" w:rsidR="007215BA" w:rsidRDefault="007215BA" w:rsidP="007215BA">
      <w:pPr>
        <w:spacing w:line="240" w:lineRule="auto"/>
        <w:rPr>
          <w:rFonts w:eastAsia="Times New Roman" w:cs="Arial"/>
          <w:color w:val="000000"/>
          <w:u w:val="single"/>
          <w:lang w:eastAsia="bg-BG"/>
        </w:rPr>
      </w:pPr>
    </w:p>
    <w:p w14:paraId="56DEDE8B" w14:textId="07276E65"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Пол</w:t>
      </w:r>
    </w:p>
    <w:p w14:paraId="3F0C6EEF"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Наблюдавани са полови различия в плазмените концентрации. Стах и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съответно около 3 и 2 пъти по-високи при жените, сравнени с тези при мъжете.</w:t>
      </w:r>
    </w:p>
    <w:p w14:paraId="1DA53EDC" w14:textId="77777777" w:rsidR="007215BA" w:rsidRDefault="007215BA" w:rsidP="007215BA">
      <w:pPr>
        <w:spacing w:line="240" w:lineRule="auto"/>
        <w:rPr>
          <w:rFonts w:eastAsia="Times New Roman" w:cs="Arial"/>
          <w:color w:val="000000"/>
          <w:u w:val="single"/>
          <w:lang w:eastAsia="bg-BG"/>
        </w:rPr>
      </w:pPr>
    </w:p>
    <w:p w14:paraId="5B08AB01" w14:textId="62D19746"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Старческа възраст</w:t>
      </w:r>
    </w:p>
    <w:p w14:paraId="76951994"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Фармакокинетиката на телмисартан не се различава между пациенти в напреднала възраст и тези, по- млади от 65 години.</w:t>
      </w:r>
    </w:p>
    <w:p w14:paraId="4B5673AE" w14:textId="77777777" w:rsidR="007215BA" w:rsidRDefault="007215BA" w:rsidP="007215BA">
      <w:pPr>
        <w:spacing w:line="240" w:lineRule="auto"/>
        <w:rPr>
          <w:rFonts w:eastAsia="Times New Roman" w:cs="Arial"/>
          <w:color w:val="000000"/>
          <w:u w:val="single"/>
          <w:lang w:eastAsia="bg-BG"/>
        </w:rPr>
      </w:pPr>
    </w:p>
    <w:p w14:paraId="51034943" w14:textId="67693D02"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Бъбречни увреждания</w:t>
      </w:r>
    </w:p>
    <w:p w14:paraId="061E6AFB"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пациенти с леки до умерени и тежки увреждания на бъбречната функция се наблюдава удвояване на плазмените концентрации. Наблюдават се по-ниски плазмени концентрации при пациенти с бъбречна недостатъчност, подложени на диализа. При болни с бъбречна недостатъчност телмисартан се свързва в голяма степен с плазмените протеини и не може да бъде отделен при диализа. При пациенти с бъбречни увреждания елиминационният полуживот не е променен.</w:t>
      </w:r>
    </w:p>
    <w:p w14:paraId="08197206" w14:textId="77777777" w:rsidR="007215BA" w:rsidRDefault="007215BA" w:rsidP="007215BA">
      <w:pPr>
        <w:spacing w:line="240" w:lineRule="auto"/>
        <w:rPr>
          <w:rFonts w:eastAsia="Times New Roman" w:cs="Arial"/>
          <w:color w:val="000000"/>
          <w:u w:val="single"/>
          <w:lang w:eastAsia="bg-BG"/>
        </w:rPr>
      </w:pPr>
    </w:p>
    <w:p w14:paraId="57FAD847" w14:textId="4EA0C103"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Чернодробни увреждания</w:t>
      </w:r>
    </w:p>
    <w:p w14:paraId="0B52C40B" w14:textId="5338132A" w:rsidR="007215BA" w:rsidRDefault="007215BA" w:rsidP="007215BA">
      <w:pPr>
        <w:rPr>
          <w:rFonts w:eastAsia="Times New Roman" w:cs="Arial"/>
          <w:i/>
          <w:iCs/>
          <w:color w:val="000000"/>
          <w:lang w:eastAsia="bg-BG"/>
        </w:rPr>
      </w:pPr>
      <w:r w:rsidRPr="007215BA">
        <w:rPr>
          <w:rFonts w:eastAsia="Times New Roman" w:cs="Arial"/>
          <w:color w:val="000000"/>
          <w:lang w:eastAsia="bg-BG"/>
        </w:rPr>
        <w:t xml:space="preserve">Фармакокинетичните проучвания при пациенти с чернодробни увреждания показват повишаване на абсолютната бионаличност до около 100%. При пациенти с чернодробни увреждания елиминациоиният полуживот не е </w:t>
      </w:r>
      <w:r w:rsidRPr="007215BA">
        <w:rPr>
          <w:rFonts w:eastAsia="Times New Roman" w:cs="Arial"/>
          <w:i/>
          <w:iCs/>
          <w:color w:val="000000"/>
          <w:lang w:eastAsia="bg-BG"/>
        </w:rPr>
        <w:t>променен.</w:t>
      </w:r>
    </w:p>
    <w:p w14:paraId="29441AEF" w14:textId="77777777" w:rsidR="007215BA" w:rsidRPr="007215BA" w:rsidRDefault="007215BA" w:rsidP="007215BA">
      <w:pPr>
        <w:rPr>
          <w:rFonts w:cs="Arial"/>
        </w:rPr>
      </w:pPr>
    </w:p>
    <w:p w14:paraId="4F31844C" w14:textId="34CA1326" w:rsidR="00875EEC" w:rsidRDefault="002C50EE" w:rsidP="005726E3">
      <w:pPr>
        <w:pStyle w:val="Heading2"/>
      </w:pPr>
      <w:r>
        <w:t>5.3. Предклинични данни за безопасност</w:t>
      </w:r>
    </w:p>
    <w:p w14:paraId="474D67DB" w14:textId="7F96083C" w:rsidR="007215BA" w:rsidRDefault="007215BA" w:rsidP="007215BA"/>
    <w:p w14:paraId="2F204612"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предклинични проучвания за безопасност, дози, сравними с тези в клиничния терапевтичен диапазон, са предизвикали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както и повишен калий в серума на нормотензивни животни. При кучета са наблюдавани бъбречна тубуларна дилатация и атрофия. При плъхове и кучета е отбелязано също увреждане на стомашната му коза (ерозия, язви или възпаление). Тези фармакологично медиирани нежелани лекарствени реакции, известни от предклиничните проучвания с инхибитори на ангиотензин конвертиращия ензим и антагонисти на ангиотензин II рецептора, са предотвратени чрез перорално добавяне на физиологичен разтвор.</w:t>
      </w:r>
    </w:p>
    <w:p w14:paraId="2A2DB3F9" w14:textId="77777777" w:rsidR="007215BA" w:rsidRDefault="007215BA" w:rsidP="007215BA">
      <w:pPr>
        <w:spacing w:line="240" w:lineRule="auto"/>
        <w:rPr>
          <w:rFonts w:eastAsia="Times New Roman" w:cs="Arial"/>
          <w:color w:val="000000"/>
          <w:lang w:eastAsia="bg-BG"/>
        </w:rPr>
      </w:pPr>
    </w:p>
    <w:p w14:paraId="39C6D12B" w14:textId="4EDCED88" w:rsid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t>При двата вида животни са наблюдавани повишена активност на плазмения ренин и хипертрофия/хиперплазия на юкстагломерулните клетки. Тези промени, които са също и ефект</w:t>
      </w:r>
      <w:r>
        <w:rPr>
          <w:rFonts w:eastAsia="Times New Roman" w:cs="Arial"/>
        </w:rPr>
        <w:t xml:space="preserve"> </w:t>
      </w:r>
      <w:r w:rsidRPr="007215BA">
        <w:rPr>
          <w:rFonts w:eastAsia="Times New Roman" w:cs="Arial"/>
          <w:color w:val="000000"/>
          <w:lang w:eastAsia="bg-BG"/>
        </w:rPr>
        <w:t xml:space="preserve">на инхибиторите на ангиотензин конвертиращия ензим и на други ангиотензин </w:t>
      </w:r>
      <w:r w:rsidRPr="007215BA">
        <w:rPr>
          <w:rFonts w:eastAsia="Times New Roman" w:cs="Arial"/>
          <w:color w:val="000000"/>
          <w:lang w:val="en-US"/>
        </w:rPr>
        <w:t>II</w:t>
      </w:r>
      <w:r w:rsidRPr="007215BA">
        <w:rPr>
          <w:rFonts w:eastAsia="Times New Roman" w:cs="Arial"/>
          <w:color w:val="000000"/>
          <w:lang w:val="ru-RU"/>
        </w:rPr>
        <w:t xml:space="preserve"> </w:t>
      </w:r>
      <w:r w:rsidRPr="007215BA">
        <w:rPr>
          <w:rFonts w:eastAsia="Times New Roman" w:cs="Arial"/>
          <w:color w:val="000000"/>
          <w:lang w:eastAsia="bg-BG"/>
        </w:rPr>
        <w:t>рецепторни антагонисти, нямат клинична значимост.</w:t>
      </w:r>
    </w:p>
    <w:p w14:paraId="0C9150E1" w14:textId="3DD86C61" w:rsidR="007215BA" w:rsidRDefault="007215BA" w:rsidP="007215BA">
      <w:pPr>
        <w:spacing w:line="240" w:lineRule="auto"/>
        <w:rPr>
          <w:rFonts w:eastAsia="Times New Roman" w:cs="Arial"/>
          <w:color w:val="000000"/>
          <w:lang w:eastAsia="bg-BG"/>
        </w:rPr>
      </w:pPr>
    </w:p>
    <w:p w14:paraId="61CABF96" w14:textId="77777777" w:rsidR="007215BA" w:rsidRPr="007215BA" w:rsidRDefault="007215BA" w:rsidP="007215BA">
      <w:pPr>
        <w:spacing w:line="240" w:lineRule="auto"/>
        <w:rPr>
          <w:rFonts w:eastAsia="Times New Roman" w:cs="Arial"/>
          <w:sz w:val="12"/>
          <w:szCs w:val="24"/>
        </w:rPr>
      </w:pPr>
      <w:r w:rsidRPr="007215BA">
        <w:rPr>
          <w:rFonts w:eastAsia="Times New Roman" w:cs="Arial"/>
          <w:color w:val="000000"/>
          <w:szCs w:val="42"/>
          <w:lang w:eastAsia="bg-BG"/>
        </w:rPr>
        <w:t>Няма категорични доказателства за тератогенен ефект, макар че при токсични дозови нива на телмисартан е наблюдаван ефект върху постнаталното развитие на поколението, напр. по-ниско родилно тегло и забавено отваряне на очите.</w:t>
      </w:r>
    </w:p>
    <w:p w14:paraId="5D659A48" w14:textId="77777777" w:rsidR="007215BA" w:rsidRPr="007215BA" w:rsidRDefault="007215BA" w:rsidP="007215BA">
      <w:pPr>
        <w:spacing w:line="240" w:lineRule="auto"/>
        <w:rPr>
          <w:rFonts w:eastAsia="Times New Roman" w:cs="Arial"/>
          <w:color w:val="000000"/>
          <w:szCs w:val="42"/>
          <w:lang w:eastAsia="bg-BG"/>
        </w:rPr>
      </w:pPr>
    </w:p>
    <w:p w14:paraId="3A24D3A8" w14:textId="31D898AB" w:rsidR="007215BA" w:rsidRPr="007215BA" w:rsidRDefault="007215BA" w:rsidP="007215BA">
      <w:pPr>
        <w:spacing w:line="240" w:lineRule="auto"/>
        <w:rPr>
          <w:rFonts w:eastAsia="Times New Roman" w:cs="Arial"/>
          <w:sz w:val="12"/>
          <w:szCs w:val="24"/>
        </w:rPr>
      </w:pPr>
      <w:r w:rsidRPr="007215BA">
        <w:rPr>
          <w:rFonts w:eastAsia="Times New Roman" w:cs="Arial"/>
          <w:color w:val="000000"/>
          <w:szCs w:val="42"/>
          <w:lang w:eastAsia="bg-BG"/>
        </w:rPr>
        <w:lastRenderedPageBreak/>
        <w:t xml:space="preserve">Няма данни за мутагенна и съответна кластогенна активност при изпитвания </w:t>
      </w:r>
      <w:r w:rsidRPr="007215BA">
        <w:rPr>
          <w:rFonts w:eastAsia="Times New Roman" w:cs="Arial"/>
          <w:i/>
          <w:iCs/>
          <w:color w:val="000000"/>
          <w:szCs w:val="42"/>
          <w:lang w:val="en-US"/>
        </w:rPr>
        <w:t>in</w:t>
      </w:r>
      <w:r w:rsidRPr="007215BA">
        <w:rPr>
          <w:rFonts w:eastAsia="Times New Roman" w:cs="Arial"/>
          <w:i/>
          <w:iCs/>
          <w:color w:val="000000"/>
          <w:szCs w:val="42"/>
          <w:lang w:val="ru-RU"/>
        </w:rPr>
        <w:t xml:space="preserve"> </w:t>
      </w:r>
      <w:r w:rsidRPr="007215BA">
        <w:rPr>
          <w:rFonts w:eastAsia="Times New Roman" w:cs="Arial"/>
          <w:i/>
          <w:iCs/>
          <w:color w:val="000000"/>
          <w:szCs w:val="42"/>
          <w:lang w:val="en-US"/>
        </w:rPr>
        <w:t>vitro</w:t>
      </w:r>
      <w:r w:rsidRPr="007215BA">
        <w:rPr>
          <w:rFonts w:eastAsia="Times New Roman" w:cs="Arial"/>
          <w:color w:val="000000"/>
          <w:szCs w:val="42"/>
          <w:lang w:val="ru-RU"/>
        </w:rPr>
        <w:t xml:space="preserve"> </w:t>
      </w:r>
      <w:r w:rsidRPr="007215BA">
        <w:rPr>
          <w:rFonts w:eastAsia="Times New Roman" w:cs="Arial"/>
          <w:color w:val="000000"/>
          <w:szCs w:val="42"/>
          <w:lang w:eastAsia="bg-BG"/>
        </w:rPr>
        <w:t>и за карциногенност при плъхове и мишки.</w:t>
      </w:r>
    </w:p>
    <w:p w14:paraId="32C29843" w14:textId="77777777" w:rsidR="007215BA" w:rsidRPr="007215BA" w:rsidRDefault="007215BA" w:rsidP="007215BA">
      <w:pPr>
        <w:spacing w:line="240" w:lineRule="auto"/>
        <w:rPr>
          <w:rFonts w:eastAsia="Times New Roman" w:cs="Arial"/>
        </w:rPr>
      </w:pPr>
    </w:p>
    <w:p w14:paraId="1BA6531D" w14:textId="3FC0E555" w:rsidR="00B6672E" w:rsidRDefault="002C50EE" w:rsidP="00936AD0">
      <w:pPr>
        <w:pStyle w:val="Heading1"/>
      </w:pPr>
      <w:r>
        <w:t>7. ПРИТЕЖАТЕЛ НА РАЗРЕШЕНИЕТО ЗА УПОТРЕБА</w:t>
      </w:r>
    </w:p>
    <w:p w14:paraId="662AB9EE" w14:textId="102BC751" w:rsidR="007215BA" w:rsidRDefault="007215BA" w:rsidP="007215BA"/>
    <w:p w14:paraId="7A8A1875" w14:textId="3E463F6E" w:rsidR="007215BA" w:rsidRDefault="007215BA" w:rsidP="007215BA">
      <w:r>
        <w:t>Gedeon Richter P</w:t>
      </w:r>
      <w:r>
        <w:rPr>
          <w:lang w:val="en-US"/>
        </w:rPr>
        <w:t>l</w:t>
      </w:r>
      <w:r>
        <w:t>c.</w:t>
      </w:r>
    </w:p>
    <w:p w14:paraId="7C355E41" w14:textId="77777777" w:rsidR="007215BA" w:rsidRDefault="007215BA" w:rsidP="007215BA">
      <w:pPr>
        <w:rPr>
          <w:rFonts w:ascii="Times New Roman" w:eastAsia="Times New Roman" w:hAnsi="Times New Roman" w:cs="Times New Roman"/>
          <w:color w:val="000000"/>
          <w:lang w:val="en-US"/>
        </w:rPr>
      </w:pPr>
      <w:r w:rsidRPr="007215BA">
        <w:rPr>
          <w:rFonts w:ascii="Times New Roman" w:eastAsia="Times New Roman" w:hAnsi="Times New Roman" w:cs="Times New Roman"/>
          <w:color w:val="000000"/>
          <w:lang w:eastAsia="bg-BG"/>
        </w:rPr>
        <w:t xml:space="preserve">1103 </w:t>
      </w:r>
      <w:r w:rsidRPr="007215BA">
        <w:rPr>
          <w:rFonts w:ascii="Times New Roman" w:eastAsia="Times New Roman" w:hAnsi="Times New Roman" w:cs="Times New Roman"/>
          <w:color w:val="000000"/>
          <w:lang w:val="en-US"/>
        </w:rPr>
        <w:t xml:space="preserve">Budapest, </w:t>
      </w:r>
    </w:p>
    <w:p w14:paraId="74680B9E" w14:textId="55280ADB" w:rsidR="007215BA" w:rsidRPr="007215BA" w:rsidRDefault="007215BA" w:rsidP="007215BA">
      <w:pPr>
        <w:rPr>
          <w:rFonts w:ascii="Times New Roman" w:eastAsia="Times New Roman" w:hAnsi="Times New Roman" w:cs="Times New Roman"/>
          <w:sz w:val="24"/>
          <w:szCs w:val="24"/>
          <w:lang w:val="en-US"/>
        </w:rPr>
      </w:pPr>
      <w:proofErr w:type="spellStart"/>
      <w:r w:rsidRPr="007215BA">
        <w:rPr>
          <w:rFonts w:ascii="Times New Roman" w:eastAsia="Times New Roman" w:hAnsi="Times New Roman" w:cs="Times New Roman"/>
          <w:color w:val="000000"/>
          <w:lang w:val="en-US"/>
        </w:rPr>
        <w:t>Gyomroi</w:t>
      </w:r>
      <w:proofErr w:type="spellEnd"/>
      <w:r w:rsidRPr="007215BA">
        <w:rPr>
          <w:rFonts w:ascii="Times New Roman" w:eastAsia="Times New Roman" w:hAnsi="Times New Roman" w:cs="Times New Roman"/>
          <w:color w:val="000000"/>
          <w:lang w:val="en-US"/>
        </w:rPr>
        <w:t xml:space="preserve"> </w:t>
      </w:r>
      <w:proofErr w:type="spellStart"/>
      <w:r w:rsidRPr="007215BA">
        <w:rPr>
          <w:rFonts w:ascii="Times New Roman" w:eastAsia="Times New Roman" w:hAnsi="Times New Roman" w:cs="Times New Roman"/>
          <w:color w:val="000000"/>
          <w:lang w:val="en-US"/>
        </w:rPr>
        <w:t>ut</w:t>
      </w:r>
      <w:proofErr w:type="spellEnd"/>
      <w:r w:rsidRPr="007215BA">
        <w:rPr>
          <w:rFonts w:ascii="Times New Roman" w:eastAsia="Times New Roman" w:hAnsi="Times New Roman" w:cs="Times New Roman"/>
          <w:color w:val="000000"/>
          <w:lang w:val="en-US"/>
        </w:rPr>
        <w:t xml:space="preserve"> 19-21.</w:t>
      </w:r>
    </w:p>
    <w:p w14:paraId="5692B49F" w14:textId="77777777" w:rsidR="007215BA" w:rsidRPr="007215BA" w:rsidRDefault="007215BA" w:rsidP="007215BA">
      <w:pPr>
        <w:rPr>
          <w:rFonts w:ascii="Times New Roman" w:eastAsia="Times New Roman" w:hAnsi="Times New Roman" w:cs="Times New Roman"/>
          <w:sz w:val="24"/>
          <w:szCs w:val="24"/>
          <w:lang w:val="ru-RU"/>
        </w:rPr>
      </w:pPr>
      <w:r w:rsidRPr="007215BA">
        <w:rPr>
          <w:rFonts w:ascii="Times New Roman" w:eastAsia="Times New Roman" w:hAnsi="Times New Roman" w:cs="Times New Roman"/>
          <w:color w:val="000000"/>
          <w:lang w:eastAsia="bg-BG"/>
        </w:rPr>
        <w:t>Унгария</w:t>
      </w:r>
    </w:p>
    <w:p w14:paraId="27FC34C1" w14:textId="77777777" w:rsidR="007215BA" w:rsidRPr="007215BA" w:rsidRDefault="007215BA" w:rsidP="007215BA">
      <w:pPr>
        <w:rPr>
          <w:lang w:val="ru-RU"/>
        </w:rPr>
      </w:pPr>
    </w:p>
    <w:p w14:paraId="508F3A54" w14:textId="266DD6A1" w:rsidR="00B6672E" w:rsidRDefault="00936AD0" w:rsidP="00936AD0">
      <w:pPr>
        <w:pStyle w:val="Heading1"/>
      </w:pPr>
      <w:r>
        <w:t>8.</w:t>
      </w:r>
      <w:r w:rsidR="002C50EE">
        <w:t>НОМЕР НА РАЗРЕШЕНИЕТО ЗА УПОТРЕБА</w:t>
      </w:r>
    </w:p>
    <w:p w14:paraId="5ECFB16F" w14:textId="60D6CC15" w:rsidR="007215BA" w:rsidRDefault="007215BA" w:rsidP="007215BA"/>
    <w:p w14:paraId="74805E3C" w14:textId="77777777" w:rsidR="007215BA" w:rsidRPr="007215BA" w:rsidRDefault="007215BA" w:rsidP="007215BA">
      <w:pPr>
        <w:rPr>
          <w:sz w:val="24"/>
          <w:szCs w:val="24"/>
        </w:rPr>
      </w:pPr>
      <w:r w:rsidRPr="007215BA">
        <w:rPr>
          <w:lang w:eastAsia="bg-BG"/>
        </w:rPr>
        <w:t xml:space="preserve">Танидон </w:t>
      </w:r>
      <w:r w:rsidRPr="007215BA">
        <w:rPr>
          <w:lang w:val="ru-RU"/>
        </w:rPr>
        <w:t>40</w:t>
      </w:r>
      <w:r w:rsidRPr="007215BA">
        <w:rPr>
          <w:lang w:val="en-US"/>
        </w:rPr>
        <w:t>mg</w:t>
      </w:r>
      <w:r w:rsidRPr="007215BA">
        <w:rPr>
          <w:lang w:val="ru-RU"/>
        </w:rPr>
        <w:t xml:space="preserve"> </w:t>
      </w:r>
      <w:r w:rsidRPr="007215BA">
        <w:rPr>
          <w:lang w:eastAsia="bg-BG"/>
        </w:rPr>
        <w:t>филмирани таблетки: 20110394</w:t>
      </w:r>
    </w:p>
    <w:p w14:paraId="7BAC1250" w14:textId="77777777" w:rsidR="007215BA" w:rsidRPr="007215BA" w:rsidRDefault="007215BA" w:rsidP="007215BA">
      <w:pPr>
        <w:rPr>
          <w:sz w:val="24"/>
          <w:szCs w:val="24"/>
        </w:rPr>
      </w:pPr>
      <w:r w:rsidRPr="007215BA">
        <w:rPr>
          <w:lang w:eastAsia="bg-BG"/>
        </w:rPr>
        <w:t xml:space="preserve">Танидон </w:t>
      </w:r>
      <w:r w:rsidRPr="007215BA">
        <w:rPr>
          <w:lang w:val="ru-RU"/>
        </w:rPr>
        <w:t>80</w:t>
      </w:r>
      <w:r w:rsidRPr="007215BA">
        <w:rPr>
          <w:lang w:val="en-US"/>
        </w:rPr>
        <w:t>mg</w:t>
      </w:r>
      <w:r w:rsidRPr="007215BA">
        <w:rPr>
          <w:lang w:val="ru-RU"/>
        </w:rPr>
        <w:t xml:space="preserve"> </w:t>
      </w:r>
      <w:r w:rsidRPr="007215BA">
        <w:rPr>
          <w:lang w:eastAsia="bg-BG"/>
        </w:rPr>
        <w:t>филмирани таблетки: 20110395</w:t>
      </w:r>
    </w:p>
    <w:p w14:paraId="2B603CE3" w14:textId="77777777" w:rsidR="007215BA" w:rsidRPr="007215BA" w:rsidRDefault="007215BA" w:rsidP="007215BA"/>
    <w:p w14:paraId="3BC5EC53" w14:textId="13478445" w:rsidR="00875EEC" w:rsidRDefault="002C50EE" w:rsidP="005726E3">
      <w:pPr>
        <w:pStyle w:val="Heading1"/>
      </w:pPr>
      <w:r>
        <w:t>9. ДАТА НА ПЪРВО РАЗРЕШАВАНЕ/ПОДНОВЯВАНЕ НА РАЗРЕШЕНИЕТО ЗА УПОТРЕБА</w:t>
      </w:r>
    </w:p>
    <w:p w14:paraId="39AA12A0" w14:textId="4C994982" w:rsidR="007215BA" w:rsidRDefault="007215BA" w:rsidP="007215BA"/>
    <w:p w14:paraId="28CCD323" w14:textId="77777777" w:rsidR="007215BA" w:rsidRPr="007215BA" w:rsidRDefault="007215BA" w:rsidP="007215BA">
      <w:pPr>
        <w:rPr>
          <w:sz w:val="24"/>
          <w:szCs w:val="24"/>
        </w:rPr>
      </w:pPr>
      <w:r w:rsidRPr="007215BA">
        <w:rPr>
          <w:lang w:eastAsia="bg-BG"/>
        </w:rPr>
        <w:t>Дата на първо разрешаване :2 8 юни 2011</w:t>
      </w:r>
    </w:p>
    <w:p w14:paraId="2FA5E1B6" w14:textId="54CCA82D" w:rsidR="007215BA" w:rsidRPr="007215BA" w:rsidRDefault="007215BA" w:rsidP="007215BA">
      <w:r w:rsidRPr="007215BA">
        <w:rPr>
          <w:lang w:eastAsia="bg-BG"/>
        </w:rPr>
        <w:t>Дата на последно подновяване: 20 юни 2017</w:t>
      </w:r>
    </w:p>
    <w:p w14:paraId="43FB38A2" w14:textId="4A5CA49B" w:rsidR="007C605B" w:rsidRDefault="002C50EE" w:rsidP="005726E3">
      <w:pPr>
        <w:pStyle w:val="Heading1"/>
      </w:pPr>
      <w:r>
        <w:t>10. ДАТА НА АКТУАЛИЗИРАНЕ НА ТЕКСТА</w:t>
      </w:r>
      <w:bookmarkEnd w:id="0"/>
    </w:p>
    <w:p w14:paraId="5F23BB7A" w14:textId="0DF3C777" w:rsidR="007215BA" w:rsidRPr="007215BA" w:rsidRDefault="007215BA" w:rsidP="007215BA">
      <w:pPr>
        <w:rPr>
          <w:sz w:val="24"/>
          <w:szCs w:val="24"/>
        </w:rPr>
      </w:pPr>
      <w:r w:rsidRPr="007215BA">
        <w:rPr>
          <w:lang w:eastAsia="bg-BG"/>
        </w:rPr>
        <w:t>21/08/2020</w:t>
      </w:r>
      <w:bookmarkStart w:id="1" w:name="_GoBack"/>
      <w:bookmarkEnd w:id="1"/>
    </w:p>
    <w:sectPr w:rsidR="007215BA" w:rsidRPr="00721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01191"/>
    <w:multiLevelType w:val="hybridMultilevel"/>
    <w:tmpl w:val="E0E074EA"/>
    <w:lvl w:ilvl="0" w:tplc="A7388A80">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51EB9"/>
    <w:rsid w:val="002B3C38"/>
    <w:rsid w:val="002B4DBB"/>
    <w:rsid w:val="002C50EE"/>
    <w:rsid w:val="00340A0A"/>
    <w:rsid w:val="003765DC"/>
    <w:rsid w:val="00395555"/>
    <w:rsid w:val="003E3126"/>
    <w:rsid w:val="00426E5F"/>
    <w:rsid w:val="004A448E"/>
    <w:rsid w:val="004B56A6"/>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215BA"/>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6262</Words>
  <Characters>35699</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2022-12-02T13:05:00Z</dcterms:created>
  <dcterms:modified xsi:type="dcterms:W3CDTF">2022-12-02T13:05:00Z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