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6A1E03CB" w:rsidR="00DB32D3" w:rsidRDefault="00DD466D" w:rsidP="005726E3">
      <w:pPr>
        <w:pStyle w:val="Heading1"/>
      </w:pPr>
      <w:r>
        <w:t>1.ИМЕ НА ЛЕКАРСТВЕНИЯ ПРОДУКТ</w:t>
      </w:r>
    </w:p>
    <w:p w14:paraId="1C8462E2" w14:textId="1DD22D4E" w:rsidR="00D46B5E" w:rsidRDefault="00D46B5E" w:rsidP="00D46B5E"/>
    <w:p w14:paraId="22A14AC3"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/12,5 </w:t>
      </w:r>
      <w:r w:rsidRPr="00D46B5E">
        <w:rPr>
          <w:lang w:val="en-US"/>
        </w:rPr>
        <w:t>mg</w:t>
      </w:r>
      <w:r w:rsidRPr="00D46B5E">
        <w:t xml:space="preserve"> </w:t>
      </w:r>
      <w:r w:rsidRPr="00D46B5E">
        <w:rPr>
          <w:lang w:eastAsia="bg-BG"/>
        </w:rPr>
        <w:t>таблетки</w:t>
      </w:r>
    </w:p>
    <w:p w14:paraId="20BDEE9D"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/25 </w:t>
      </w:r>
      <w:r w:rsidRPr="00D46B5E">
        <w:rPr>
          <w:lang w:val="en-US"/>
        </w:rPr>
        <w:t>mg</w:t>
      </w:r>
      <w:r w:rsidRPr="00D46B5E">
        <w:t xml:space="preserve"> </w:t>
      </w:r>
      <w:r w:rsidRPr="00D46B5E">
        <w:rPr>
          <w:lang w:eastAsia="bg-BG"/>
        </w:rPr>
        <w:t>таблетки</w:t>
      </w:r>
    </w:p>
    <w:p w14:paraId="613B1C1D" w14:textId="77777777" w:rsidR="00D46B5E" w:rsidRDefault="00D46B5E" w:rsidP="00D46B5E"/>
    <w:p w14:paraId="3177CA5D" w14:textId="67C08F02" w:rsidR="00D46B5E" w:rsidRPr="00D46B5E" w:rsidRDefault="00D46B5E" w:rsidP="00D46B5E">
      <w:pPr>
        <w:rPr>
          <w:sz w:val="24"/>
          <w:szCs w:val="24"/>
        </w:rPr>
      </w:pPr>
      <w:r w:rsidRPr="00D46B5E">
        <w:rPr>
          <w:lang w:val="en-US"/>
        </w:rPr>
        <w:t>TANYDON</w:t>
      </w:r>
      <w:r w:rsidRPr="00D46B5E">
        <w:t xml:space="preserve"> </w:t>
      </w:r>
      <w:r w:rsidRPr="00D46B5E">
        <w:rPr>
          <w:lang w:eastAsia="bg-BG"/>
        </w:rPr>
        <w:t xml:space="preserve">НСТ 80 </w:t>
      </w:r>
      <w:r w:rsidRPr="00D46B5E">
        <w:rPr>
          <w:lang w:val="en-US"/>
        </w:rPr>
        <w:t>mg</w:t>
      </w:r>
      <w:r w:rsidRPr="00D46B5E">
        <w:t xml:space="preserve">/12.5 </w:t>
      </w:r>
      <w:r w:rsidRPr="00D46B5E">
        <w:rPr>
          <w:lang w:val="en-US"/>
        </w:rPr>
        <w:t>mg</w:t>
      </w:r>
      <w:r w:rsidRPr="00D46B5E">
        <w:t xml:space="preserve"> </w:t>
      </w:r>
      <w:r w:rsidRPr="00D46B5E">
        <w:rPr>
          <w:lang w:val="en-US"/>
        </w:rPr>
        <w:t>tablets</w:t>
      </w:r>
    </w:p>
    <w:p w14:paraId="2320BB77" w14:textId="5B9B16A5" w:rsidR="00D46B5E" w:rsidRPr="00D46B5E" w:rsidRDefault="00D46B5E" w:rsidP="00D46B5E">
      <w:r w:rsidRPr="00D46B5E">
        <w:rPr>
          <w:lang w:val="en-US"/>
        </w:rPr>
        <w:t>TANYDON</w:t>
      </w:r>
      <w:r w:rsidRPr="00D46B5E">
        <w:t xml:space="preserve"> </w:t>
      </w:r>
      <w:r w:rsidRPr="00D46B5E">
        <w:rPr>
          <w:lang w:eastAsia="bg-BG"/>
        </w:rPr>
        <w:t xml:space="preserve">НСТ </w:t>
      </w:r>
      <w:r w:rsidRPr="00D46B5E">
        <w:t xml:space="preserve">80 </w:t>
      </w:r>
      <w:r w:rsidRPr="00D46B5E">
        <w:rPr>
          <w:lang w:val="en-US"/>
        </w:rPr>
        <w:t>mg</w:t>
      </w:r>
      <w:r w:rsidRPr="00D46B5E">
        <w:t xml:space="preserve">/25 </w:t>
      </w:r>
      <w:r w:rsidRPr="00D46B5E">
        <w:rPr>
          <w:lang w:val="en-US"/>
        </w:rPr>
        <w:t>mg</w:t>
      </w:r>
      <w:r w:rsidRPr="00D46B5E">
        <w:t xml:space="preserve"> </w:t>
      </w:r>
      <w:r w:rsidRPr="00D46B5E">
        <w:rPr>
          <w:lang w:val="en-US"/>
        </w:rPr>
        <w:t>tablets</w:t>
      </w:r>
    </w:p>
    <w:p w14:paraId="48E6CABE" w14:textId="33B25CF4" w:rsidR="00DB32D3" w:rsidRDefault="00DD466D" w:rsidP="005726E3">
      <w:pPr>
        <w:pStyle w:val="Heading1"/>
      </w:pPr>
      <w:r>
        <w:t>2. КАЧЕСТВЕН И КОЛИЧЕСТВЕН СЪСТАВ</w:t>
      </w:r>
    </w:p>
    <w:p w14:paraId="5CA4BD01" w14:textId="36F3AA54" w:rsidR="00D46B5E" w:rsidRDefault="00D46B5E" w:rsidP="00D46B5E"/>
    <w:p w14:paraId="031E1C8D"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/12,5 </w:t>
      </w:r>
      <w:r w:rsidRPr="00D46B5E">
        <w:rPr>
          <w:lang w:val="en-US"/>
        </w:rPr>
        <w:t>mg</w:t>
      </w:r>
      <w:r w:rsidRPr="00D46B5E">
        <w:t xml:space="preserve"> </w:t>
      </w:r>
      <w:r w:rsidRPr="00D46B5E">
        <w:rPr>
          <w:lang w:eastAsia="bg-BG"/>
        </w:rPr>
        <w:t>таблетки</w:t>
      </w:r>
    </w:p>
    <w:p w14:paraId="353A0439" w14:textId="77777777" w:rsidR="00D46B5E" w:rsidRPr="00D46B5E" w:rsidRDefault="00D46B5E" w:rsidP="00D46B5E">
      <w:pPr>
        <w:rPr>
          <w:sz w:val="24"/>
          <w:szCs w:val="24"/>
        </w:rPr>
      </w:pPr>
      <w:r w:rsidRPr="00D46B5E">
        <w:rPr>
          <w:lang w:eastAsia="bg-BG"/>
        </w:rPr>
        <w:t xml:space="preserve">Всяка таблетка съдържа 80 </w:t>
      </w:r>
      <w:r w:rsidRPr="00D46B5E">
        <w:rPr>
          <w:lang w:val="en-US"/>
        </w:rPr>
        <w:t>mg</w:t>
      </w:r>
      <w:r w:rsidRPr="00D46B5E">
        <w:t xml:space="preserve"> </w:t>
      </w:r>
      <w:r w:rsidRPr="00D46B5E">
        <w:rPr>
          <w:lang w:eastAsia="bg-BG"/>
        </w:rPr>
        <w:t xml:space="preserve">телмисартан </w:t>
      </w:r>
      <w:r w:rsidRPr="00D46B5E">
        <w:rPr>
          <w:i/>
          <w:iCs/>
        </w:rPr>
        <w:t>(</w:t>
      </w:r>
      <w:proofErr w:type="spellStart"/>
      <w:r w:rsidRPr="00D46B5E">
        <w:rPr>
          <w:i/>
          <w:iCs/>
          <w:lang w:val="en-US"/>
        </w:rPr>
        <w:t>telmisartan</w:t>
      </w:r>
      <w:proofErr w:type="spellEnd"/>
      <w:r w:rsidRPr="00D46B5E">
        <w:rPr>
          <w:i/>
          <w:iCs/>
        </w:rPr>
        <w:t>)</w:t>
      </w:r>
      <w:r w:rsidRPr="00D46B5E">
        <w:t xml:space="preserve"> </w:t>
      </w:r>
      <w:r w:rsidRPr="00D46B5E">
        <w:rPr>
          <w:lang w:eastAsia="bg-BG"/>
        </w:rPr>
        <w:t xml:space="preserve">и 12,5 </w:t>
      </w:r>
      <w:r w:rsidRPr="00D46B5E">
        <w:rPr>
          <w:lang w:val="en-US"/>
        </w:rPr>
        <w:t>mg</w:t>
      </w:r>
      <w:r w:rsidRPr="00D46B5E">
        <w:t xml:space="preserve"> </w:t>
      </w:r>
      <w:r w:rsidRPr="00D46B5E">
        <w:rPr>
          <w:lang w:eastAsia="bg-BG"/>
        </w:rPr>
        <w:t xml:space="preserve">хидрохлоротиазид </w:t>
      </w:r>
      <w:r w:rsidRPr="00D46B5E">
        <w:rPr>
          <w:i/>
          <w:iCs/>
        </w:rPr>
        <w:t>(</w:t>
      </w:r>
      <w:r w:rsidRPr="00D46B5E">
        <w:rPr>
          <w:i/>
          <w:iCs/>
          <w:lang w:val="en-US"/>
        </w:rPr>
        <w:t>hydrochlorothiazide</w:t>
      </w:r>
      <w:r w:rsidRPr="00D46B5E">
        <w:rPr>
          <w:i/>
          <w:iCs/>
        </w:rPr>
        <w:t>)</w:t>
      </w:r>
      <w:r w:rsidRPr="00D46B5E">
        <w:rPr>
          <w:i/>
          <w:iCs/>
          <w:lang w:eastAsia="bg-BG"/>
        </w:rPr>
        <w:t>.</w:t>
      </w:r>
    </w:p>
    <w:p w14:paraId="0DC0BEA0"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/25 </w:t>
      </w:r>
      <w:r w:rsidRPr="00D46B5E">
        <w:rPr>
          <w:lang w:val="en-US"/>
        </w:rPr>
        <w:t>mg</w:t>
      </w:r>
      <w:r w:rsidRPr="00D46B5E">
        <w:t xml:space="preserve"> </w:t>
      </w:r>
      <w:r w:rsidRPr="00D46B5E">
        <w:rPr>
          <w:lang w:eastAsia="bg-BG"/>
        </w:rPr>
        <w:t>таблетки</w:t>
      </w:r>
    </w:p>
    <w:p w14:paraId="365DC848" w14:textId="77777777" w:rsidR="00D46B5E" w:rsidRPr="00D46B5E" w:rsidRDefault="00D46B5E" w:rsidP="00D46B5E">
      <w:pPr>
        <w:rPr>
          <w:sz w:val="24"/>
          <w:szCs w:val="24"/>
        </w:rPr>
      </w:pPr>
      <w:r w:rsidRPr="00D46B5E">
        <w:rPr>
          <w:lang w:eastAsia="bg-BG"/>
        </w:rPr>
        <w:t xml:space="preserve">Всяка таблетка съдържа 80 </w:t>
      </w:r>
      <w:r w:rsidRPr="00D46B5E">
        <w:rPr>
          <w:lang w:val="en-US"/>
        </w:rPr>
        <w:t>mg</w:t>
      </w:r>
      <w:r w:rsidRPr="00D46B5E">
        <w:t xml:space="preserve"> </w:t>
      </w:r>
      <w:r w:rsidRPr="00D46B5E">
        <w:rPr>
          <w:lang w:eastAsia="bg-BG"/>
        </w:rPr>
        <w:t xml:space="preserve">телмисартан </w:t>
      </w:r>
      <w:r w:rsidRPr="00D46B5E">
        <w:rPr>
          <w:i/>
          <w:iCs/>
        </w:rPr>
        <w:t>(</w:t>
      </w:r>
      <w:proofErr w:type="spellStart"/>
      <w:r w:rsidRPr="00D46B5E">
        <w:rPr>
          <w:i/>
          <w:iCs/>
          <w:lang w:val="en-US"/>
        </w:rPr>
        <w:t>telmisartan</w:t>
      </w:r>
      <w:proofErr w:type="spellEnd"/>
      <w:r w:rsidRPr="00D46B5E">
        <w:rPr>
          <w:i/>
          <w:iCs/>
        </w:rPr>
        <w:t>)</w:t>
      </w:r>
      <w:r w:rsidRPr="00D46B5E">
        <w:t xml:space="preserve"> </w:t>
      </w:r>
      <w:r w:rsidRPr="00D46B5E">
        <w:rPr>
          <w:lang w:eastAsia="bg-BG"/>
        </w:rPr>
        <w:t xml:space="preserve">и 25 </w:t>
      </w:r>
      <w:r w:rsidRPr="00D46B5E">
        <w:rPr>
          <w:lang w:val="en-US"/>
        </w:rPr>
        <w:t>mg</w:t>
      </w:r>
      <w:r w:rsidRPr="00D46B5E">
        <w:t xml:space="preserve"> </w:t>
      </w:r>
      <w:r w:rsidRPr="00D46B5E">
        <w:rPr>
          <w:lang w:eastAsia="bg-BG"/>
        </w:rPr>
        <w:t xml:space="preserve">хидрохлоротиазид </w:t>
      </w:r>
      <w:r w:rsidRPr="00D46B5E">
        <w:rPr>
          <w:i/>
          <w:iCs/>
        </w:rPr>
        <w:t>(</w:t>
      </w:r>
      <w:r w:rsidRPr="00D46B5E">
        <w:rPr>
          <w:i/>
          <w:iCs/>
          <w:lang w:val="en-US"/>
        </w:rPr>
        <w:t>hydrochlorothiazide</w:t>
      </w:r>
      <w:r w:rsidRPr="00D46B5E">
        <w:rPr>
          <w:i/>
          <w:iCs/>
        </w:rPr>
        <w:t>)</w:t>
      </w:r>
      <w:r w:rsidRPr="00D46B5E">
        <w:rPr>
          <w:i/>
          <w:iCs/>
          <w:lang w:eastAsia="bg-BG"/>
        </w:rPr>
        <w:t>,</w:t>
      </w:r>
    </w:p>
    <w:p w14:paraId="3CDA1FA0" w14:textId="77777777" w:rsidR="00D46B5E" w:rsidRPr="00D46B5E" w:rsidRDefault="00D46B5E" w:rsidP="00D46B5E"/>
    <w:p w14:paraId="763B21BA" w14:textId="46D948EC" w:rsidR="001A6EBD" w:rsidRDefault="00DD466D" w:rsidP="00471F10">
      <w:pPr>
        <w:pStyle w:val="Heading1"/>
      </w:pPr>
      <w:r>
        <w:t>3. ЛЕКАРСТВЕНА ФОРМА</w:t>
      </w:r>
    </w:p>
    <w:p w14:paraId="18CF6C9D" w14:textId="68868592" w:rsidR="00D46B5E" w:rsidRDefault="00D46B5E" w:rsidP="00D46B5E"/>
    <w:p w14:paraId="4FB67AAC"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Таблетка.</w:t>
      </w:r>
    </w:p>
    <w:p w14:paraId="554B5A8F" w14:textId="77777777" w:rsidR="00D46B5E" w:rsidRPr="00D46B5E" w:rsidRDefault="00D46B5E" w:rsidP="00D46B5E">
      <w:pPr>
        <w:spacing w:line="240" w:lineRule="auto"/>
        <w:rPr>
          <w:rFonts w:eastAsia="Times New Roman" w:cs="Arial"/>
          <w:color w:val="000000"/>
          <w:u w:val="single"/>
          <w:lang w:eastAsia="bg-BG"/>
        </w:rPr>
      </w:pPr>
    </w:p>
    <w:p w14:paraId="268CE776" w14:textId="49AB8CF4"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/12,5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06985E95"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Таблетките са бели или почти бели, с размер 9,0 х 17,0 </w:t>
      </w:r>
      <w:r w:rsidRPr="00D46B5E">
        <w:rPr>
          <w:rFonts w:eastAsia="Times New Roman" w:cs="Arial"/>
          <w:color w:val="000000"/>
          <w:lang w:val="en-US"/>
        </w:rPr>
        <w:t>mm</w:t>
      </w:r>
      <w:r w:rsidRPr="00D46B5E">
        <w:rPr>
          <w:rFonts w:eastAsia="Times New Roman" w:cs="Arial"/>
          <w:color w:val="000000"/>
          <w:lang w:val="ru-RU"/>
        </w:rPr>
        <w:t xml:space="preserve">, </w:t>
      </w:r>
      <w:r w:rsidRPr="00D46B5E">
        <w:rPr>
          <w:rFonts w:eastAsia="Times New Roman" w:cs="Arial"/>
          <w:color w:val="000000"/>
          <w:lang w:eastAsia="bg-BG"/>
        </w:rPr>
        <w:t xml:space="preserve">с форма на капсула и надпис </w:t>
      </w:r>
      <w:r w:rsidRPr="00D46B5E">
        <w:rPr>
          <w:rFonts w:eastAsia="Times New Roman" w:cs="Arial"/>
          <w:color w:val="000000"/>
          <w:lang w:val="ru-RU"/>
        </w:rPr>
        <w:t>“</w:t>
      </w:r>
      <w:r w:rsidRPr="00D46B5E">
        <w:rPr>
          <w:rFonts w:eastAsia="Times New Roman" w:cs="Arial"/>
          <w:color w:val="000000"/>
          <w:lang w:val="en-US"/>
        </w:rPr>
        <w:t>TH</w:t>
      </w:r>
      <w:r w:rsidRPr="00D46B5E">
        <w:rPr>
          <w:rFonts w:eastAsia="Times New Roman" w:cs="Arial"/>
          <w:color w:val="000000"/>
          <w:lang w:val="ru-RU"/>
        </w:rPr>
        <w:t xml:space="preserve"> </w:t>
      </w:r>
      <w:r w:rsidRPr="00D46B5E">
        <w:rPr>
          <w:rFonts w:eastAsia="Times New Roman" w:cs="Arial"/>
          <w:color w:val="000000"/>
          <w:lang w:eastAsia="bg-BG"/>
        </w:rPr>
        <w:t>12.5” от двете страни.</w:t>
      </w:r>
    </w:p>
    <w:p w14:paraId="1E711CE6"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746E61D1"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Таблетките са бели или почти бели, с размер 9,0 х 17,0 </w:t>
      </w:r>
      <w:r w:rsidRPr="00D46B5E">
        <w:rPr>
          <w:rFonts w:eastAsia="Times New Roman" w:cs="Arial"/>
          <w:color w:val="000000"/>
          <w:lang w:val="en-US"/>
        </w:rPr>
        <w:t>mm</w:t>
      </w:r>
      <w:r w:rsidRPr="00D46B5E">
        <w:rPr>
          <w:rFonts w:eastAsia="Times New Roman" w:cs="Arial"/>
          <w:color w:val="000000"/>
          <w:lang w:val="ru-RU"/>
        </w:rPr>
        <w:t xml:space="preserve">, </w:t>
      </w:r>
      <w:r w:rsidRPr="00D46B5E">
        <w:rPr>
          <w:rFonts w:eastAsia="Times New Roman" w:cs="Arial"/>
          <w:color w:val="000000"/>
          <w:lang w:eastAsia="bg-BG"/>
        </w:rPr>
        <w:t>с овална и двойно-изпъкнала форма, с надпис “ТН”от едната страна и “25” от другата страна.</w:t>
      </w:r>
    </w:p>
    <w:p w14:paraId="0BBF1745" w14:textId="77777777" w:rsidR="00D46B5E" w:rsidRPr="00D46B5E" w:rsidRDefault="00D46B5E" w:rsidP="00D46B5E"/>
    <w:p w14:paraId="490FC2C4" w14:textId="6899DE43" w:rsidR="002C50EE" w:rsidRDefault="002C50EE" w:rsidP="002C50EE">
      <w:pPr>
        <w:pStyle w:val="Heading1"/>
      </w:pPr>
      <w:r>
        <w:t>4. КЛИНИЧНИ ДАННИ</w:t>
      </w:r>
    </w:p>
    <w:p w14:paraId="25C765CE" w14:textId="097693CE" w:rsidR="001A6EBD" w:rsidRDefault="002C50EE" w:rsidP="00471F10">
      <w:pPr>
        <w:pStyle w:val="Heading2"/>
      </w:pPr>
      <w:r>
        <w:t>4.1. Терапевтични показания</w:t>
      </w:r>
    </w:p>
    <w:p w14:paraId="251103A7" w14:textId="18C5F1E4" w:rsidR="00D46B5E" w:rsidRDefault="00D46B5E" w:rsidP="00D46B5E"/>
    <w:p w14:paraId="5396A324"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Лечение на есенциална хипертония.</w:t>
      </w:r>
    </w:p>
    <w:p w14:paraId="341A4AB3" w14:textId="77777777" w:rsidR="00D46B5E" w:rsidRPr="00D46B5E" w:rsidRDefault="00D46B5E" w:rsidP="00D46B5E">
      <w:pPr>
        <w:spacing w:line="240" w:lineRule="auto"/>
        <w:rPr>
          <w:rFonts w:eastAsia="Times New Roman" w:cs="Arial"/>
          <w:color w:val="000000"/>
          <w:u w:val="single"/>
          <w:lang w:eastAsia="bg-BG"/>
        </w:rPr>
      </w:pPr>
    </w:p>
    <w:p w14:paraId="54FD79D0" w14:textId="113EDFBF"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w:t>
      </w:r>
      <w:r w:rsidRPr="00D46B5E">
        <w:rPr>
          <w:rFonts w:eastAsia="Times New Roman" w:cs="Arial"/>
          <w:color w:val="000000"/>
          <w:u w:val="single"/>
          <w:lang w:eastAsia="bg-BG"/>
        </w:rPr>
        <w:t xml:space="preserve">12.5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1B370352"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Комбинираният лекарствен продукт Танидон НСТ е с фиксирани дози (80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телмисартан/12,5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хидрохлоротиазид) и е показан за лечение на възрастни, чието кръвно налягане не е контролирано адекватно само с телмисартан.</w:t>
      </w:r>
    </w:p>
    <w:p w14:paraId="288723B4"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63716BBB" w14:textId="77777777" w:rsidR="00D46B5E" w:rsidRPr="00D46B5E" w:rsidRDefault="00D46B5E" w:rsidP="00D46B5E">
      <w:pPr>
        <w:spacing w:line="240" w:lineRule="auto"/>
        <w:rPr>
          <w:rFonts w:ascii="Times New Roman" w:eastAsia="Times New Roman" w:hAnsi="Times New Roman" w:cs="Times New Roman"/>
          <w:sz w:val="24"/>
          <w:szCs w:val="24"/>
        </w:rPr>
      </w:pPr>
      <w:r w:rsidRPr="00D46B5E">
        <w:rPr>
          <w:rFonts w:eastAsia="Times New Roman" w:cs="Arial"/>
          <w:color w:val="000000"/>
          <w:lang w:eastAsia="bg-BG"/>
        </w:rPr>
        <w:t xml:space="preserve">Комбинираният лекарствен продукт Танидон НСТ е с фиксирани дози (80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телмисартан/25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хидрохлоротиазид) и е показан за лечение на възрастни, чието кръвно налягане не е контролирано адекватно с Танидон НСТ 80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(80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lastRenderedPageBreak/>
        <w:t xml:space="preserve">телмисартан/12,5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хидрохлоротиазид) или на пациенти, които са стабилизирани преди това с телмисартан и хидрохлоротиазид, приемани отделно.</w:t>
      </w:r>
    </w:p>
    <w:p w14:paraId="7CDD7198" w14:textId="77777777" w:rsidR="00D46B5E" w:rsidRPr="00D46B5E" w:rsidRDefault="00D46B5E" w:rsidP="00D46B5E"/>
    <w:p w14:paraId="19026639" w14:textId="2381E2B5" w:rsidR="001A6EBD" w:rsidRDefault="002C50EE" w:rsidP="00471F10">
      <w:pPr>
        <w:pStyle w:val="Heading2"/>
      </w:pPr>
      <w:r>
        <w:t>4.2. Дозировка и начин на приложение</w:t>
      </w:r>
    </w:p>
    <w:p w14:paraId="48E2F925" w14:textId="467CCD8B" w:rsidR="00D46B5E" w:rsidRDefault="00D46B5E" w:rsidP="00D46B5E"/>
    <w:p w14:paraId="377F2793" w14:textId="77777777" w:rsidR="00D46B5E" w:rsidRPr="00D46B5E" w:rsidRDefault="00D46B5E" w:rsidP="00D46B5E">
      <w:pPr>
        <w:pStyle w:val="Heading3"/>
        <w:rPr>
          <w:rFonts w:eastAsia="Times New Roman"/>
          <w:u w:val="single"/>
        </w:rPr>
      </w:pPr>
      <w:r w:rsidRPr="00D46B5E">
        <w:rPr>
          <w:rFonts w:eastAsia="Times New Roman"/>
          <w:u w:val="single"/>
          <w:lang w:eastAsia="bg-BG"/>
        </w:rPr>
        <w:t>Дозировка</w:t>
      </w:r>
    </w:p>
    <w:p w14:paraId="2E499E23"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Танидон НСТ трябва да се приема от пациенти, чието кръвно налягане не е адекватно контролирано при прием само на телмисартан.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 При подходящи клинични показания може директно да се премине от монотерапията към прием на комбинирания лекарствен продукт с фиксирани дози.</w:t>
      </w:r>
    </w:p>
    <w:p w14:paraId="1D070149" w14:textId="77777777" w:rsidR="00D46B5E" w:rsidRPr="00D46B5E" w:rsidRDefault="00D46B5E" w:rsidP="00D46B5E">
      <w:pPr>
        <w:spacing w:line="240" w:lineRule="auto"/>
        <w:rPr>
          <w:rFonts w:eastAsia="Times New Roman" w:cs="Arial"/>
          <w:color w:val="000000"/>
          <w:u w:val="single"/>
          <w:lang w:eastAsia="bg-BG"/>
        </w:rPr>
      </w:pPr>
    </w:p>
    <w:p w14:paraId="59446920" w14:textId="7B76F0F6"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/12,5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3081C43F" w14:textId="18FF4B41"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 xml:space="preserve">Танидон НСТ 80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може да се приложи един път дневно при пациенти, чието кръвно налягане не е адекватно контролирано с телмисартан 80 </w:t>
      </w:r>
      <w:r w:rsidRPr="00D46B5E">
        <w:rPr>
          <w:rFonts w:eastAsia="Times New Roman" w:cs="Arial"/>
          <w:color w:val="000000"/>
          <w:lang w:val="en-US"/>
        </w:rPr>
        <w:t>mg</w:t>
      </w:r>
    </w:p>
    <w:p w14:paraId="7D5273A2"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5F2B0A61" w14:textId="608F1B9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 xml:space="preserve">Танидон НСТ 80 </w:t>
      </w:r>
      <w:r w:rsidRPr="00D46B5E">
        <w:rPr>
          <w:rFonts w:eastAsia="Times New Roman" w:cs="Arial"/>
          <w:color w:val="000000"/>
          <w:lang w:val="en-US"/>
        </w:rPr>
        <w:t>mg</w:t>
      </w:r>
      <w:r w:rsidRPr="00D46B5E">
        <w:rPr>
          <w:rFonts w:eastAsia="Times New Roman" w:cs="Arial"/>
          <w:color w:val="000000"/>
          <w:lang w:val="ru-RU"/>
        </w:rPr>
        <w:t xml:space="preserve">/25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може да се приложи един път дневно при пациенти, чието кръвно налягане не е адекватно контролирано с Танидон НСТ 80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или при пациенти, които са стабилизирани преди това с телмисартан и хидрохлоротиазид, приемани отделно.</w:t>
      </w:r>
    </w:p>
    <w:p w14:paraId="688664E9" w14:textId="77777777" w:rsidR="00D46B5E" w:rsidRPr="00D46B5E" w:rsidRDefault="00D46B5E" w:rsidP="00D46B5E">
      <w:pPr>
        <w:spacing w:line="240" w:lineRule="auto"/>
        <w:rPr>
          <w:rFonts w:eastAsia="Times New Roman" w:cs="Arial"/>
          <w:color w:val="000000"/>
          <w:u w:val="single"/>
          <w:lang w:eastAsia="bg-BG"/>
        </w:rPr>
      </w:pPr>
    </w:p>
    <w:p w14:paraId="113A273F" w14:textId="789E35E4"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Специални популации</w:t>
      </w:r>
    </w:p>
    <w:p w14:paraId="70A3E42B" w14:textId="77777777" w:rsidR="00D46B5E" w:rsidRPr="00D46B5E" w:rsidRDefault="00D46B5E" w:rsidP="00D46B5E">
      <w:pPr>
        <w:spacing w:line="240" w:lineRule="auto"/>
        <w:rPr>
          <w:rFonts w:eastAsia="Times New Roman" w:cs="Arial"/>
          <w:i/>
          <w:iCs/>
          <w:color w:val="000000"/>
          <w:lang w:eastAsia="bg-BG"/>
        </w:rPr>
      </w:pPr>
    </w:p>
    <w:p w14:paraId="7F0066F6" w14:textId="5AD9CD40"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Бъбречно увреждане</w:t>
      </w:r>
    </w:p>
    <w:p w14:paraId="4D7AEBB8" w14:textId="1679D47F"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Препоръчва се периодично проследяване на бъбречната функция (вж. точка 4.3 и точка 4.4).</w:t>
      </w:r>
    </w:p>
    <w:p w14:paraId="5CC8A6A5" w14:textId="77777777" w:rsidR="00D46B5E" w:rsidRPr="00D46B5E" w:rsidRDefault="00D46B5E" w:rsidP="00D46B5E">
      <w:pPr>
        <w:spacing w:line="240" w:lineRule="auto"/>
        <w:rPr>
          <w:rFonts w:eastAsia="Times New Roman" w:cs="Arial"/>
          <w:i/>
          <w:iCs/>
          <w:color w:val="000000"/>
          <w:lang w:eastAsia="bg-BG"/>
        </w:rPr>
      </w:pPr>
    </w:p>
    <w:p w14:paraId="7FB1D186" w14:textId="5A75303E"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Чернодробно увреждане</w:t>
      </w:r>
    </w:p>
    <w:p w14:paraId="63C00028"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При пациенти с леко до средно тежко чернодробно увреждане дозировката не трябва да надвишава Танидон НСТ 40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веднъж дневно. Дози Танидон НСТ 40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от този лекарствен продукт не са налични. За да се постигне 40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доза трябва да се използва алтернативен продукт със същите активни вещества.</w:t>
      </w:r>
    </w:p>
    <w:p w14:paraId="57D2EFBF"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Танидон НСТ не е показан за лечение на пациенти с тежки чернодробни нарушения. Тиазидите трябва да се използват предпазливо при пациенти с нарушена чернодробна функция (вж. точка 4.4).</w:t>
      </w:r>
    </w:p>
    <w:p w14:paraId="6259A037" w14:textId="77777777" w:rsidR="00D46B5E" w:rsidRPr="00D46B5E" w:rsidRDefault="00D46B5E" w:rsidP="00D46B5E">
      <w:pPr>
        <w:spacing w:line="240" w:lineRule="auto"/>
        <w:rPr>
          <w:rFonts w:eastAsia="Times New Roman" w:cs="Arial"/>
          <w:i/>
          <w:iCs/>
          <w:color w:val="000000"/>
          <w:lang w:eastAsia="bg-BG"/>
        </w:rPr>
      </w:pPr>
    </w:p>
    <w:p w14:paraId="52445DD5" w14:textId="18ADE5E7"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Старческа възраст</w:t>
      </w:r>
    </w:p>
    <w:p w14:paraId="23D0A05A"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Не е необходимо коригиране на дозата.</w:t>
      </w:r>
    </w:p>
    <w:p w14:paraId="57341FA8" w14:textId="77777777" w:rsidR="00D46B5E" w:rsidRPr="00D46B5E" w:rsidRDefault="00D46B5E" w:rsidP="00D46B5E">
      <w:pPr>
        <w:spacing w:line="240" w:lineRule="auto"/>
        <w:rPr>
          <w:rFonts w:eastAsia="Times New Roman" w:cs="Arial"/>
          <w:i/>
          <w:iCs/>
          <w:color w:val="000000"/>
          <w:lang w:eastAsia="bg-BG"/>
        </w:rPr>
      </w:pPr>
    </w:p>
    <w:p w14:paraId="15A46CB9" w14:textId="23643AE5"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Педиатрична популация</w:t>
      </w:r>
    </w:p>
    <w:p w14:paraId="5FEBA862"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Не е установена безопасността и ефикасността на Танидон НСТ при деца и юноши на възраст под 18 години. Няма налични данни.</w:t>
      </w:r>
    </w:p>
    <w:p w14:paraId="340D3B04" w14:textId="77777777" w:rsidR="00D46B5E" w:rsidRPr="00D46B5E" w:rsidRDefault="00D46B5E" w:rsidP="00D46B5E">
      <w:pPr>
        <w:spacing w:line="240" w:lineRule="auto"/>
        <w:rPr>
          <w:rFonts w:eastAsia="Times New Roman" w:cs="Arial"/>
          <w:color w:val="000000"/>
          <w:u w:val="single"/>
          <w:lang w:eastAsia="bg-BG"/>
        </w:rPr>
      </w:pPr>
    </w:p>
    <w:p w14:paraId="6EA793C3" w14:textId="05AF6047" w:rsidR="00D46B5E" w:rsidRPr="00D46B5E" w:rsidRDefault="00D46B5E" w:rsidP="00D46B5E">
      <w:pPr>
        <w:pStyle w:val="Heading3"/>
        <w:rPr>
          <w:rFonts w:eastAsia="Times New Roman"/>
          <w:u w:val="single"/>
        </w:rPr>
      </w:pPr>
      <w:r w:rsidRPr="00D46B5E">
        <w:rPr>
          <w:rFonts w:eastAsia="Times New Roman"/>
          <w:u w:val="single"/>
          <w:lang w:eastAsia="bg-BG"/>
        </w:rPr>
        <w:t>Начин на приложение</w:t>
      </w:r>
    </w:p>
    <w:p w14:paraId="2DDC89B7"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За перорално приложение.</w:t>
      </w:r>
    </w:p>
    <w:p w14:paraId="009BFE49"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Таблетките Танидон НСТ са предназначени за перорално приложение веднъж дневно и трябва да се приемат с течност, със или без храна.</w:t>
      </w:r>
    </w:p>
    <w:p w14:paraId="3CE623D0" w14:textId="77777777" w:rsidR="00D46B5E" w:rsidRPr="00D46B5E" w:rsidRDefault="00D46B5E" w:rsidP="00D46B5E"/>
    <w:p w14:paraId="1BF2EFF4" w14:textId="1C63E22A" w:rsidR="001A6EBD" w:rsidRDefault="002C50EE" w:rsidP="00471F10">
      <w:pPr>
        <w:pStyle w:val="Heading2"/>
      </w:pPr>
      <w:r>
        <w:lastRenderedPageBreak/>
        <w:t>4.3. Противопоказания</w:t>
      </w:r>
    </w:p>
    <w:p w14:paraId="3EE8215A" w14:textId="6A544718" w:rsidR="00D46B5E" w:rsidRDefault="00D46B5E" w:rsidP="00D46B5E"/>
    <w:p w14:paraId="2AB51125"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Свръхчувствителност към лекарствените вещества или към някое от помощните вещества, изброени в точка 6.1.</w:t>
      </w:r>
    </w:p>
    <w:p w14:paraId="11AD459C"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Свръхчувствителност към производните на сулфонамидните субстанции (тъй като хидрохлоротиазид е сулфонамидно производно).</w:t>
      </w:r>
    </w:p>
    <w:p w14:paraId="7DF218FC"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Второ и трето тримесечие на бременността (вж. точки 4.4 и 4.6).</w:t>
      </w:r>
    </w:p>
    <w:p w14:paraId="453E3DF5"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Холестаза и обструктивни заболявания на жлъчните пътища.</w:t>
      </w:r>
    </w:p>
    <w:p w14:paraId="7952C610"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Тежко чернодробно увреждане.</w:t>
      </w:r>
    </w:p>
    <w:p w14:paraId="0113D0B4"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 xml:space="preserve">Тежко бъбречно увреждане (креатининов клирънс &lt; 30 </w:t>
      </w:r>
      <w:r w:rsidRPr="00D46B5E">
        <w:rPr>
          <w:rFonts w:eastAsia="Times New Roman" w:cs="Arial"/>
          <w:color w:val="000000"/>
          <w:lang w:val="en-US"/>
        </w:rPr>
        <w:t>ml</w:t>
      </w:r>
      <w:r w:rsidRPr="00D46B5E">
        <w:rPr>
          <w:rFonts w:eastAsia="Times New Roman" w:cs="Arial"/>
          <w:color w:val="000000"/>
          <w:lang w:val="ru-RU"/>
        </w:rPr>
        <w:t>/</w:t>
      </w:r>
      <w:r w:rsidRPr="00D46B5E">
        <w:rPr>
          <w:rFonts w:eastAsia="Times New Roman" w:cs="Arial"/>
          <w:color w:val="000000"/>
          <w:lang w:val="en-US"/>
        </w:rPr>
        <w:t>min</w:t>
      </w:r>
      <w:r w:rsidRPr="00D46B5E">
        <w:rPr>
          <w:rFonts w:eastAsia="Times New Roman" w:cs="Arial"/>
          <w:color w:val="000000"/>
          <w:lang w:val="ru-RU"/>
        </w:rPr>
        <w:t>).</w:t>
      </w:r>
    </w:p>
    <w:p w14:paraId="04458563"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Рефрактерна хипокалиемия, хиперкалциемия.</w:t>
      </w:r>
    </w:p>
    <w:p w14:paraId="3E3855E9" w14:textId="5380839A"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Едновременната употреба на Танидон НСТ с алискирен-съдържащи продукти е противопоказана при пациенти със захарен диабет или бъбречно увреждане (</w:t>
      </w:r>
      <w:r w:rsidRPr="00D46B5E">
        <w:rPr>
          <w:rFonts w:eastAsia="Times New Roman" w:cs="Arial"/>
          <w:color w:val="000000"/>
          <w:lang w:val="en-US"/>
        </w:rPr>
        <w:t>GFR</w:t>
      </w:r>
      <w:r w:rsidRPr="00D46B5E">
        <w:rPr>
          <w:rFonts w:eastAsia="Times New Roman" w:cs="Arial"/>
          <w:color w:val="000000"/>
          <w:lang w:val="ru-RU"/>
        </w:rPr>
        <w:t xml:space="preserve"> &lt;60 </w:t>
      </w:r>
      <w:r w:rsidRPr="00D46B5E">
        <w:rPr>
          <w:rFonts w:eastAsia="Times New Roman" w:cs="Arial"/>
          <w:color w:val="000000"/>
          <w:lang w:val="en-US"/>
        </w:rPr>
        <w:t>ml</w:t>
      </w:r>
      <w:r w:rsidRPr="00D46B5E">
        <w:rPr>
          <w:rFonts w:eastAsia="Times New Roman" w:cs="Arial"/>
          <w:color w:val="000000"/>
          <w:lang w:val="ru-RU"/>
        </w:rPr>
        <w:t>/</w:t>
      </w:r>
      <w:r w:rsidRPr="00D46B5E">
        <w:rPr>
          <w:rFonts w:eastAsia="Times New Roman" w:cs="Arial"/>
          <w:color w:val="000000"/>
          <w:lang w:val="en-US"/>
        </w:rPr>
        <w:t>min</w:t>
      </w:r>
      <w:r w:rsidRPr="00D46B5E">
        <w:rPr>
          <w:rFonts w:eastAsia="Times New Roman" w:cs="Arial"/>
          <w:color w:val="000000"/>
          <w:lang w:val="ru-RU"/>
        </w:rPr>
        <w:t xml:space="preserve">/1,73 </w:t>
      </w:r>
      <w:r w:rsidRPr="00D46B5E">
        <w:rPr>
          <w:rFonts w:eastAsia="Times New Roman" w:cs="Arial"/>
          <w:color w:val="000000"/>
          <w:lang w:val="en-US"/>
        </w:rPr>
        <w:t>m</w:t>
      </w:r>
      <w:r w:rsidRPr="00D46B5E">
        <w:rPr>
          <w:rFonts w:eastAsia="Times New Roman" w:cs="Arial"/>
          <w:color w:val="000000"/>
          <w:vertAlign w:val="superscript"/>
          <w:lang w:val="ru-RU"/>
        </w:rPr>
        <w:t>2</w:t>
      </w:r>
      <w:r w:rsidRPr="00D46B5E">
        <w:rPr>
          <w:rFonts w:eastAsia="Times New Roman" w:cs="Arial"/>
          <w:color w:val="000000"/>
          <w:lang w:val="ru-RU"/>
        </w:rPr>
        <w:t xml:space="preserve">) </w:t>
      </w:r>
      <w:r w:rsidRPr="00D46B5E">
        <w:rPr>
          <w:rFonts w:eastAsia="Times New Roman" w:cs="Arial"/>
          <w:color w:val="000000"/>
          <w:lang w:eastAsia="bg-BG"/>
        </w:rPr>
        <w:t>(вж. точки 4.5 и 5.1).</w:t>
      </w:r>
    </w:p>
    <w:p w14:paraId="589C277E" w14:textId="2048C168" w:rsidR="00D46B5E" w:rsidRPr="00D46B5E" w:rsidRDefault="00D46B5E" w:rsidP="00D46B5E"/>
    <w:p w14:paraId="0C106098" w14:textId="22307CBD" w:rsidR="001A6EBD" w:rsidRDefault="002C50EE" w:rsidP="00471F10">
      <w:pPr>
        <w:pStyle w:val="Heading2"/>
      </w:pPr>
      <w:r>
        <w:t>4.4. Специални предупреждения и предпазни мерки при употреба</w:t>
      </w:r>
    </w:p>
    <w:p w14:paraId="392E1CDA" w14:textId="3915A7E5" w:rsidR="00D46B5E" w:rsidRDefault="00D46B5E" w:rsidP="00D46B5E"/>
    <w:p w14:paraId="2E6A3CD7" w14:textId="7777777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Бременност</w:t>
      </w:r>
    </w:p>
    <w:p w14:paraId="3CACD541"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Не трябва да се започва прием на ангиотензин II рецепторни антагонисти 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 (вж. точки 4.3 и 4.6).</w:t>
      </w:r>
    </w:p>
    <w:p w14:paraId="3052610D" w14:textId="77777777" w:rsidR="00D46B5E" w:rsidRPr="00D46B5E" w:rsidRDefault="00D46B5E" w:rsidP="00D46B5E">
      <w:pPr>
        <w:spacing w:line="240" w:lineRule="auto"/>
        <w:rPr>
          <w:rFonts w:eastAsia="Times New Roman" w:cs="Arial"/>
          <w:color w:val="000000"/>
          <w:u w:val="single"/>
          <w:lang w:eastAsia="bg-BG"/>
        </w:rPr>
      </w:pPr>
    </w:p>
    <w:p w14:paraId="4D7DED96" w14:textId="7AB94328"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Чернодробно увреждане</w:t>
      </w:r>
    </w:p>
    <w:p w14:paraId="73107E9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Танидон НСТ не трябва да се прилага при пациенти с холестаза, с жлъчни обструктивни нарушения или тежка чернодробна недостатъчност(вж. точка 4.3), тъй като по-голямата част от телмисартан се елиминира чрез жлъчката. При тези пациенти може да се очаква намален чернодробен клирънс на телмисартан.</w:t>
      </w:r>
    </w:p>
    <w:p w14:paraId="3E97DEB7" w14:textId="77777777" w:rsidR="00D46B5E" w:rsidRPr="00D46B5E" w:rsidRDefault="00D46B5E" w:rsidP="00D46B5E">
      <w:pPr>
        <w:spacing w:line="240" w:lineRule="auto"/>
        <w:rPr>
          <w:rFonts w:eastAsia="Times New Roman" w:cs="Arial"/>
          <w:color w:val="000000"/>
          <w:lang w:eastAsia="bg-BG"/>
        </w:rPr>
      </w:pPr>
    </w:p>
    <w:p w14:paraId="5AD449CE" w14:textId="6361EB97" w:rsidR="00D46B5E" w:rsidRPr="00D46B5E" w:rsidRDefault="00D46B5E" w:rsidP="00D46B5E">
      <w:pPr>
        <w:spacing w:line="240" w:lineRule="auto"/>
        <w:rPr>
          <w:rFonts w:eastAsia="Times New Roman" w:cs="Arial"/>
        </w:rPr>
      </w:pPr>
      <w:r w:rsidRPr="00D46B5E">
        <w:rPr>
          <w:rFonts w:eastAsia="Times New Roman" w:cs="Arial"/>
          <w:color w:val="000000"/>
          <w:lang w:eastAsia="bg-BG"/>
        </w:rPr>
        <w:t>Освен това, Танидон НСТ трябва да се прилага внимателно при пациенти с нарушения в чернодробната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 клинични данни за използването на Танидон НСТ при пациенти с чернодробно увреждане.</w:t>
      </w:r>
    </w:p>
    <w:p w14:paraId="59029A4E" w14:textId="77777777" w:rsidR="00D46B5E" w:rsidRPr="00D46B5E" w:rsidRDefault="00D46B5E" w:rsidP="00D46B5E">
      <w:pPr>
        <w:spacing w:line="240" w:lineRule="auto"/>
        <w:rPr>
          <w:rFonts w:eastAsia="Times New Roman" w:cs="Arial"/>
          <w:color w:val="000000"/>
          <w:u w:val="single"/>
          <w:lang w:eastAsia="bg-BG"/>
        </w:rPr>
      </w:pPr>
    </w:p>
    <w:p w14:paraId="1D204878" w14:textId="6347EAAB"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Реноваскуларна хипертония</w:t>
      </w:r>
    </w:p>
    <w:p w14:paraId="7A88D4E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Когато пациенти със стеноза на двете бъбречни артерии или стеноза на артерията към единичен функциониращ бъбрек са третирани с лекарствени продукти, повлияващи системата ренин- ангиотензин-алдостерон съществува повишен риск от тежка хипотония и бъбречна недостатъчност.</w:t>
      </w:r>
    </w:p>
    <w:p w14:paraId="4E3C04BE" w14:textId="77777777" w:rsidR="00D46B5E" w:rsidRPr="00D46B5E" w:rsidRDefault="00D46B5E" w:rsidP="00D46B5E">
      <w:pPr>
        <w:spacing w:line="240" w:lineRule="auto"/>
        <w:rPr>
          <w:rFonts w:eastAsia="Times New Roman" w:cs="Arial"/>
          <w:color w:val="000000"/>
          <w:u w:val="single"/>
          <w:lang w:eastAsia="bg-BG"/>
        </w:rPr>
      </w:pPr>
    </w:p>
    <w:p w14:paraId="6E5C42F5" w14:textId="53E689A9"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Бъбречно увреждане и бъбречна трансплантация</w:t>
      </w:r>
    </w:p>
    <w:p w14:paraId="6481B54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Танидон НСТ не трябва да се прилага при пациенти с тежко бъбречно увреждане (креатининов клирънс &lt;30 </w:t>
      </w:r>
      <w:r w:rsidRPr="00D46B5E">
        <w:rPr>
          <w:rFonts w:eastAsia="Times New Roman" w:cs="Arial"/>
          <w:color w:val="000000"/>
          <w:lang w:val="en-US"/>
        </w:rPr>
        <w:t>mL</w:t>
      </w:r>
      <w:r w:rsidRPr="00D46B5E">
        <w:rPr>
          <w:rFonts w:eastAsia="Times New Roman" w:cs="Arial"/>
          <w:color w:val="000000"/>
          <w:lang w:val="ru-RU"/>
        </w:rPr>
        <w:t>/</w:t>
      </w:r>
      <w:r w:rsidRPr="00D46B5E">
        <w:rPr>
          <w:rFonts w:eastAsia="Times New Roman" w:cs="Arial"/>
          <w:color w:val="000000"/>
          <w:lang w:val="en-US"/>
        </w:rPr>
        <w:t>min</w:t>
      </w:r>
      <w:r w:rsidRPr="00D46B5E">
        <w:rPr>
          <w:rFonts w:eastAsia="Times New Roman" w:cs="Arial"/>
          <w:color w:val="000000"/>
          <w:lang w:val="ru-RU"/>
        </w:rPr>
        <w:t xml:space="preserve">) </w:t>
      </w:r>
      <w:r w:rsidRPr="00D46B5E">
        <w:rPr>
          <w:rFonts w:eastAsia="Times New Roman" w:cs="Arial"/>
          <w:color w:val="000000"/>
          <w:lang w:eastAsia="bg-BG"/>
        </w:rPr>
        <w:t xml:space="preserve">(вж. точка 4.3). Няма достатъчно данни по отношение на приложението на телмисартан /хидрохлоротиазид при пациенти, претърпели наскоро бъбречна трансплантация. Налице е ограничен опит от употребата на телмисартан/ </w:t>
      </w:r>
      <w:r w:rsidRPr="00D46B5E">
        <w:rPr>
          <w:rFonts w:eastAsia="Times New Roman" w:cs="Arial"/>
          <w:color w:val="000000"/>
          <w:lang w:eastAsia="bg-BG"/>
        </w:rPr>
        <w:lastRenderedPageBreak/>
        <w:t>хидрохлоротиазид при пациенти с леко до средно тежко бъбречно увреждане, поради което се препоръчва периодично проследяване на нивата на калий, креатинин и пикочна киселина в серума. При пациенти с нарушена бъбречна функция може да се появи азотемия, свързана с тиазидните диуретици.</w:t>
      </w:r>
    </w:p>
    <w:p w14:paraId="086B01D4" w14:textId="77777777" w:rsidR="00D46B5E" w:rsidRPr="00D46B5E" w:rsidRDefault="00D46B5E" w:rsidP="00D46B5E">
      <w:pPr>
        <w:spacing w:line="240" w:lineRule="auto"/>
        <w:rPr>
          <w:rFonts w:eastAsia="Times New Roman" w:cs="Arial"/>
          <w:color w:val="000000"/>
          <w:u w:val="single"/>
          <w:lang w:eastAsia="bg-BG"/>
        </w:rPr>
      </w:pPr>
    </w:p>
    <w:p w14:paraId="5F134904" w14:textId="58AD38DB"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Вътресъдова хиповолемия</w:t>
      </w:r>
    </w:p>
    <w:p w14:paraId="01E5067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Симптоматична хипотония, особено след първата доза, може да се наблюдава при пациенти с тежък натриев дефицит или намален обем на циркулиращата кръв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Танидон НСТ.</w:t>
      </w:r>
    </w:p>
    <w:p w14:paraId="517034FA" w14:textId="77777777" w:rsidR="00D46B5E" w:rsidRPr="00D46B5E" w:rsidRDefault="00D46B5E" w:rsidP="00D46B5E">
      <w:pPr>
        <w:spacing w:line="240" w:lineRule="auto"/>
        <w:rPr>
          <w:rFonts w:eastAsia="Times New Roman" w:cs="Arial"/>
          <w:color w:val="000000"/>
          <w:u w:val="single"/>
          <w:lang w:eastAsia="bg-BG"/>
        </w:rPr>
      </w:pPr>
    </w:p>
    <w:p w14:paraId="4A356E7A" w14:textId="6F8EB986"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Двойно блокиране на ренин-ангиотензин-алдостероновата система (РААС)</w:t>
      </w:r>
    </w:p>
    <w:p w14:paraId="7EDC0C1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Има данни, че едновременната употреба на АСЕ инхибитори, ангиотензин </w:t>
      </w:r>
      <w:r w:rsidRPr="00D46B5E">
        <w:rPr>
          <w:rFonts w:eastAsia="Times New Roman" w:cs="Arial"/>
          <w:color w:val="000000"/>
          <w:lang w:val="en-US"/>
        </w:rPr>
        <w:t>II</w:t>
      </w:r>
      <w:r w:rsidRPr="00D46B5E">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D46B5E">
        <w:rPr>
          <w:rFonts w:eastAsia="Times New Roman" w:cs="Arial"/>
          <w:color w:val="000000"/>
          <w:lang w:val="en-US"/>
        </w:rPr>
        <w:t>II</w:t>
      </w:r>
      <w:r w:rsidRPr="00D46B5E">
        <w:rPr>
          <w:rFonts w:eastAsia="Times New Roman" w:cs="Arial"/>
          <w:color w:val="000000"/>
          <w:lang w:eastAsia="bg-BG"/>
        </w:rPr>
        <w:t>-рецепторни блокери или алискирен (вж. точки 4.5 и 5.1).</w:t>
      </w:r>
    </w:p>
    <w:p w14:paraId="5AC8FA64"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бъбречната функция, електролитите и кръвното налягане.</w:t>
      </w:r>
    </w:p>
    <w:p w14:paraId="6B3AA9F7"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АСЕ инхибитори и ангиотензин </w:t>
      </w:r>
      <w:r w:rsidRPr="00D46B5E">
        <w:rPr>
          <w:rFonts w:eastAsia="Times New Roman" w:cs="Arial"/>
          <w:color w:val="000000"/>
          <w:lang w:val="en-US"/>
        </w:rPr>
        <w:t>II</w:t>
      </w:r>
      <w:r w:rsidRPr="00D46B5E">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EAFD641" w14:textId="77777777" w:rsidR="00D46B5E" w:rsidRPr="00D46B5E" w:rsidRDefault="00D46B5E" w:rsidP="00D46B5E">
      <w:pPr>
        <w:spacing w:line="240" w:lineRule="auto"/>
        <w:rPr>
          <w:rFonts w:eastAsia="Times New Roman" w:cs="Arial"/>
          <w:color w:val="000000"/>
          <w:u w:val="single"/>
          <w:lang w:eastAsia="bg-BG"/>
        </w:rPr>
      </w:pPr>
    </w:p>
    <w:p w14:paraId="44974830" w14:textId="5299E3DA" w:rsidR="00D46B5E" w:rsidRPr="00D46B5E" w:rsidRDefault="00D46B5E" w:rsidP="00D46B5E">
      <w:pPr>
        <w:spacing w:line="240" w:lineRule="auto"/>
        <w:rPr>
          <w:rFonts w:eastAsia="Times New Roman" w:cs="Arial"/>
          <w:color w:val="000000"/>
          <w:u w:val="single"/>
          <w:lang w:eastAsia="bg-BG"/>
        </w:rPr>
      </w:pPr>
      <w:r w:rsidRPr="00D46B5E">
        <w:rPr>
          <w:rFonts w:eastAsia="Times New Roman" w:cs="Arial"/>
          <w:color w:val="000000"/>
          <w:u w:val="single"/>
          <w:lang w:eastAsia="bg-BG"/>
        </w:rPr>
        <w:t>Други състояния със стимулация на системата ренин-ангиотензин-алдостерон</w:t>
      </w:r>
    </w:p>
    <w:p w14:paraId="60C4A1E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пациенти, чийто васкуларен тонус и бъбречна функция зависят основно от активността на системата ренин-ангиотензин-алдостерон (напр.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предизвиква остра хипотония, хиперазотемия, олигурия или рядко остра бъбречна недостатъчност (вж. точка 4.8).</w:t>
      </w:r>
    </w:p>
    <w:p w14:paraId="1EC041EF" w14:textId="77777777" w:rsidR="00D46B5E" w:rsidRPr="00D46B5E" w:rsidRDefault="00D46B5E" w:rsidP="00D46B5E">
      <w:pPr>
        <w:spacing w:line="240" w:lineRule="auto"/>
        <w:rPr>
          <w:rFonts w:eastAsia="Times New Roman" w:cs="Arial"/>
          <w:color w:val="000000"/>
          <w:u w:val="single"/>
          <w:lang w:eastAsia="bg-BG"/>
        </w:rPr>
      </w:pPr>
    </w:p>
    <w:p w14:paraId="72853A9E" w14:textId="5CAE1DF6"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Първичен алдостеронизъм</w:t>
      </w:r>
    </w:p>
    <w:p w14:paraId="7C26B5B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инхибиране на системата ренин-ангиотензин. Поради това, употребата на Танидон НСТ не се препоръчва.</w:t>
      </w:r>
    </w:p>
    <w:p w14:paraId="430C9AF9" w14:textId="77777777" w:rsidR="00D46B5E" w:rsidRPr="00D46B5E" w:rsidRDefault="00D46B5E" w:rsidP="00D46B5E">
      <w:pPr>
        <w:spacing w:line="240" w:lineRule="auto"/>
        <w:rPr>
          <w:rFonts w:eastAsia="Times New Roman" w:cs="Arial"/>
          <w:color w:val="000000"/>
          <w:u w:val="single"/>
          <w:lang w:eastAsia="bg-BG"/>
        </w:rPr>
      </w:pPr>
    </w:p>
    <w:p w14:paraId="7415D9C3" w14:textId="50AE1FF3"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Стеноза на аортната и митрална клапа, обструктивна хипертрофична кардиомиопатия</w:t>
      </w:r>
    </w:p>
    <w:p w14:paraId="054FF52B"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Както при другите вазодилататори, специално внимание е необходимо при пациенти, страдащи от аортна или митрална стеноза или обструктивна хипертрофична кардиомиопатия.</w:t>
      </w:r>
    </w:p>
    <w:p w14:paraId="46B16674" w14:textId="77777777" w:rsidR="00D46B5E" w:rsidRPr="00D46B5E" w:rsidRDefault="00D46B5E" w:rsidP="00D46B5E">
      <w:pPr>
        <w:spacing w:line="240" w:lineRule="auto"/>
        <w:rPr>
          <w:rFonts w:eastAsia="Times New Roman" w:cs="Arial"/>
          <w:color w:val="000000"/>
          <w:u w:val="single"/>
          <w:lang w:eastAsia="bg-BG"/>
        </w:rPr>
      </w:pPr>
    </w:p>
    <w:p w14:paraId="677D38AD" w14:textId="55A2194C"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Метаболитни и ендокринни ефекти</w:t>
      </w:r>
    </w:p>
    <w:p w14:paraId="49F43EAE"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Лечението с тиазиди може да наруши глюкозния толеранс, поради това, при пациенти с диабет, лекувани с инсулин или антидиабетни лекарствени продукти и терапия с телмисартан, може да настъпи хипогликемия. Затова, при тези пациенти трябва да се обмисли съответно проследяване на кръвната захар и може да се наложи коригиране на дозата на инсулина или антидиабетните лекарства, когато е показано. По време на терапията с тиазиди може да се прояви латентен захарен диабет.</w:t>
      </w:r>
    </w:p>
    <w:p w14:paraId="072AA0FA" w14:textId="77777777" w:rsidR="00D46B5E" w:rsidRPr="00D46B5E" w:rsidRDefault="00D46B5E" w:rsidP="00D46B5E">
      <w:pPr>
        <w:spacing w:line="240" w:lineRule="auto"/>
        <w:rPr>
          <w:rFonts w:eastAsia="Times New Roman" w:cs="Arial"/>
          <w:color w:val="000000"/>
          <w:lang w:eastAsia="bg-BG"/>
        </w:rPr>
      </w:pPr>
    </w:p>
    <w:p w14:paraId="3A158063" w14:textId="1EB454EC"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Лечението с тиазидни диуретици се свързва с повишаване на нивата на холестерол и триглицериди. Въпреки това, при доза 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съдържаща се в Танидон НСТ, тези </w:t>
      </w:r>
      <w:r w:rsidRPr="00D46B5E">
        <w:rPr>
          <w:rFonts w:eastAsia="Times New Roman" w:cs="Arial"/>
          <w:color w:val="000000"/>
          <w:lang w:eastAsia="bg-BG"/>
        </w:rPr>
        <w:lastRenderedPageBreak/>
        <w:t>ефекти са минимални или липсват. При някои пациенти на тиазидна терапия може да се развие хиперурикемия или разгърната подагра.</w:t>
      </w:r>
    </w:p>
    <w:p w14:paraId="68E5831B" w14:textId="77777777" w:rsidR="00D46B5E" w:rsidRPr="00D46B5E" w:rsidRDefault="00D46B5E" w:rsidP="00D46B5E">
      <w:pPr>
        <w:spacing w:line="240" w:lineRule="auto"/>
        <w:rPr>
          <w:rFonts w:eastAsia="Times New Roman" w:cs="Arial"/>
          <w:color w:val="000000"/>
          <w:u w:val="single"/>
          <w:lang w:eastAsia="bg-BG"/>
        </w:rPr>
      </w:pPr>
    </w:p>
    <w:p w14:paraId="65EB345F" w14:textId="096E55FD"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Електролитен дисбаланс</w:t>
      </w:r>
    </w:p>
    <w:p w14:paraId="0B451B9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Както при всички пациенти на диуретична терапия е необходимо на определени интервали да се провежда периодично проследяване на нивата на електролитите в серума.</w:t>
      </w:r>
    </w:p>
    <w:p w14:paraId="754166F2"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Началните признаци за водно-електролитен дисбаланс са: сухота в устата, жажда, астения, сънливост, замайване, безпокойство, болка в мускулите или мускулни крампи, мускулна слабост, хипотония, олигурия, тахикардия и стомашно-чревни смущения като гадене или повръщане (вж. точка 4.8).</w:t>
      </w:r>
    </w:p>
    <w:p w14:paraId="7E84EEB6" w14:textId="77777777" w:rsidR="00D46B5E" w:rsidRPr="00D46B5E" w:rsidRDefault="00D46B5E" w:rsidP="00D46B5E">
      <w:pPr>
        <w:spacing w:line="240" w:lineRule="auto"/>
        <w:rPr>
          <w:rFonts w:eastAsia="Times New Roman" w:cs="Arial"/>
          <w:color w:val="000000"/>
          <w:lang w:eastAsia="bg-BG"/>
        </w:rPr>
      </w:pPr>
    </w:p>
    <w:p w14:paraId="691736FD" w14:textId="5E1A01A2"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Хипокалиемия</w:t>
      </w:r>
    </w:p>
    <w:p w14:paraId="3AA58976"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неадекватно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7722F106" w14:textId="77777777" w:rsidR="00D46B5E" w:rsidRPr="00D46B5E" w:rsidRDefault="00D46B5E" w:rsidP="00D46B5E">
      <w:pPr>
        <w:spacing w:line="240" w:lineRule="auto"/>
        <w:rPr>
          <w:rFonts w:eastAsia="Times New Roman" w:cs="Arial"/>
          <w:color w:val="000000"/>
          <w:lang w:eastAsia="bg-BG"/>
        </w:rPr>
      </w:pPr>
    </w:p>
    <w:p w14:paraId="7B974FE0" w14:textId="7B286A65"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Хиперкалиемия</w:t>
      </w:r>
    </w:p>
    <w:p w14:paraId="76E046AC"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В противоположния случай може да се стигне до хиперкалиемия, дължаща се на антагонизма на телмисартан, компонент на Танидон НСТ към ангиотензин </w:t>
      </w:r>
      <w:r w:rsidRPr="00D46B5E">
        <w:rPr>
          <w:rFonts w:eastAsia="Times New Roman" w:cs="Arial"/>
          <w:color w:val="000000"/>
          <w:lang w:val="en-US"/>
        </w:rPr>
        <w:t>II</w:t>
      </w:r>
      <w:r w:rsidRPr="00D46B5E">
        <w:rPr>
          <w:rFonts w:eastAsia="Times New Roman" w:cs="Arial"/>
          <w:color w:val="000000"/>
          <w:lang w:eastAsia="bg-BG"/>
        </w:rPr>
        <w:t xml:space="preserve"> </w:t>
      </w:r>
      <w:r w:rsidRPr="00D46B5E">
        <w:rPr>
          <w:rFonts w:eastAsia="Times New Roman" w:cs="Arial"/>
          <w:color w:val="000000"/>
          <w:lang w:val="ru-RU"/>
        </w:rPr>
        <w:t>(</w:t>
      </w:r>
      <w:r w:rsidRPr="00D46B5E">
        <w:rPr>
          <w:rFonts w:eastAsia="Times New Roman" w:cs="Arial"/>
          <w:color w:val="000000"/>
          <w:lang w:val="en-US"/>
        </w:rPr>
        <w:t>AT</w:t>
      </w:r>
      <w:r w:rsidRPr="00D46B5E">
        <w:rPr>
          <w:rFonts w:eastAsia="Times New Roman" w:cs="Arial"/>
          <w:color w:val="000000"/>
          <w:lang w:val="ru-RU"/>
        </w:rPr>
        <w:t xml:space="preserve">1) </w:t>
      </w:r>
      <w:r w:rsidRPr="00D46B5E">
        <w:rPr>
          <w:rFonts w:eastAsia="Times New Roman" w:cs="Arial"/>
          <w:color w:val="000000"/>
          <w:lang w:eastAsia="bg-BG"/>
        </w:rPr>
        <w:t>рецепторите. Макар че, досега не е отбелязано наличие на клинично значима хиперкалиемия по време на лечение с телмисартан/хидрохлоротиазид, рисковите фактори за развитието й включват бъбречна недостатъчност и/или сърдечна недостатъчност и захарен диабет. Калий-съхраняващите диуретици, калиевите добавки или заместителите на солта, съдържащи калий трябва да бъдат внимателно прилагани по време на лечение с Танидон НСТ (вж. точка 4.5).</w:t>
      </w:r>
    </w:p>
    <w:p w14:paraId="0845625E" w14:textId="77777777" w:rsidR="00D46B5E" w:rsidRPr="00D46B5E" w:rsidRDefault="00D46B5E" w:rsidP="00D46B5E">
      <w:pPr>
        <w:spacing w:line="240" w:lineRule="auto"/>
        <w:rPr>
          <w:rFonts w:eastAsia="Times New Roman" w:cs="Arial"/>
          <w:color w:val="000000"/>
          <w:lang w:eastAsia="bg-BG"/>
        </w:rPr>
      </w:pPr>
    </w:p>
    <w:p w14:paraId="15042FE5" w14:textId="5241AB5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Хипонатриемия и хипохлоремична алкалоза</w:t>
      </w:r>
    </w:p>
    <w:p w14:paraId="063C379D" w14:textId="27AA3F38" w:rsidR="00D46B5E" w:rsidRPr="00D46B5E" w:rsidRDefault="00D46B5E" w:rsidP="00D46B5E">
      <w:pPr>
        <w:spacing w:line="240" w:lineRule="auto"/>
        <w:rPr>
          <w:rFonts w:eastAsia="Times New Roman" w:cs="Arial"/>
        </w:rPr>
      </w:pPr>
      <w:r w:rsidRPr="00D46B5E">
        <w:rPr>
          <w:rFonts w:eastAsia="Times New Roman" w:cs="Arial"/>
          <w:color w:val="000000"/>
          <w:lang w:eastAsia="bg-BG"/>
        </w:rPr>
        <w:t>Няма данни, че Танидон НСТ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6E75E205" w14:textId="77777777" w:rsidR="00D46B5E" w:rsidRPr="00D46B5E" w:rsidRDefault="00D46B5E" w:rsidP="00D46B5E">
      <w:pPr>
        <w:spacing w:line="240" w:lineRule="auto"/>
        <w:rPr>
          <w:rFonts w:eastAsia="Times New Roman" w:cs="Arial"/>
          <w:color w:val="000000"/>
          <w:lang w:eastAsia="bg-BG"/>
        </w:rPr>
      </w:pPr>
    </w:p>
    <w:p w14:paraId="4F2E34B0" w14:textId="76BE5752"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Хиперкалциемия</w:t>
      </w:r>
    </w:p>
    <w:p w14:paraId="3AA815A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могат да намалят излъчването на калций с урината и да доведат до преходни и леки увеличения на серумния калций при липса на установени нарушения в калциевия метаболизъм. Значителната хиперкалциемия може да е доказателство за скрит хиперпаратиреоидизъм. Преди да се проведе изследване на паратироидните функции трябва да се прекрати приема на тиазиди.</w:t>
      </w:r>
    </w:p>
    <w:p w14:paraId="6E20BF14" w14:textId="77777777" w:rsidR="00D46B5E" w:rsidRPr="00D46B5E" w:rsidRDefault="00D46B5E" w:rsidP="00D46B5E">
      <w:pPr>
        <w:spacing w:line="240" w:lineRule="auto"/>
        <w:rPr>
          <w:rFonts w:eastAsia="Times New Roman" w:cs="Arial"/>
          <w:color w:val="000000"/>
          <w:lang w:eastAsia="bg-BG"/>
        </w:rPr>
      </w:pPr>
    </w:p>
    <w:p w14:paraId="5D54BAEE" w14:textId="53547743"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Хипомагнезиемия</w:t>
      </w:r>
    </w:p>
    <w:p w14:paraId="16942CEE"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увеличават отделянето на магнезий с урината, което може да доведе до хипомагнезиемия (вж. точка 4.5).</w:t>
      </w:r>
    </w:p>
    <w:p w14:paraId="7FA5F06C" w14:textId="77777777" w:rsidR="00D46B5E" w:rsidRPr="00D46B5E" w:rsidRDefault="00D46B5E" w:rsidP="00D46B5E">
      <w:pPr>
        <w:spacing w:line="240" w:lineRule="auto"/>
        <w:rPr>
          <w:rFonts w:eastAsia="Times New Roman" w:cs="Arial"/>
          <w:color w:val="000000"/>
          <w:u w:val="single"/>
          <w:lang w:eastAsia="bg-BG"/>
        </w:rPr>
      </w:pPr>
    </w:p>
    <w:p w14:paraId="4D8C7296" w14:textId="7EA44988"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Етнически различия</w:t>
      </w:r>
    </w:p>
    <w:p w14:paraId="2014D35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lastRenderedPageBreak/>
        <w:t>Както при всички ангиотензин II рецепторни антагонисти, телмисартан е очевидно по-малко ефективен в понижаването на кръвното налягане при хора от черната раса, отколкото при другите раси, вероятно поради по-честото срещане в черната популация на ниско рениново ниво с прояви на хипертония.</w:t>
      </w:r>
    </w:p>
    <w:p w14:paraId="313B97B1" w14:textId="77777777" w:rsidR="00D46B5E" w:rsidRPr="00D46B5E" w:rsidRDefault="00D46B5E" w:rsidP="00D46B5E">
      <w:pPr>
        <w:spacing w:line="240" w:lineRule="auto"/>
        <w:rPr>
          <w:rFonts w:eastAsia="Times New Roman" w:cs="Arial"/>
          <w:color w:val="000000"/>
          <w:u w:val="single"/>
          <w:lang w:eastAsia="bg-BG"/>
        </w:rPr>
      </w:pPr>
    </w:p>
    <w:p w14:paraId="59FB7057" w14:textId="5FC55ADC"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Други</w:t>
      </w:r>
    </w:p>
    <w:p w14:paraId="1E11900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Както при други антихипертензивни агенти, ексцесивната редукция на кръвното налягане при пациенти </w:t>
      </w:r>
      <w:r w:rsidRPr="00D46B5E">
        <w:rPr>
          <w:rFonts w:eastAsia="Times New Roman" w:cs="Arial"/>
          <w:i/>
          <w:iCs/>
          <w:color w:val="000000"/>
          <w:lang w:eastAsia="bg-BG"/>
        </w:rPr>
        <w:t>с</w:t>
      </w:r>
      <w:r w:rsidRPr="00D46B5E">
        <w:rPr>
          <w:rFonts w:eastAsia="Times New Roman" w:cs="Arial"/>
          <w:color w:val="000000"/>
          <w:lang w:eastAsia="bg-BG"/>
        </w:rPr>
        <w:t xml:space="preserve"> исхемична кардиопатия или исхемично сърдечно-съдово заболяване може да доведе до миокарден инфаркт или инсулт.</w:t>
      </w:r>
    </w:p>
    <w:p w14:paraId="12C9B8DB" w14:textId="77777777" w:rsidR="00D46B5E" w:rsidRPr="00D46B5E" w:rsidRDefault="00D46B5E" w:rsidP="00D46B5E">
      <w:pPr>
        <w:spacing w:line="240" w:lineRule="auto"/>
        <w:rPr>
          <w:rFonts w:eastAsia="Times New Roman" w:cs="Arial"/>
          <w:color w:val="000000"/>
          <w:u w:val="single"/>
          <w:lang w:eastAsia="bg-BG"/>
        </w:rPr>
      </w:pPr>
    </w:p>
    <w:p w14:paraId="22CE1409" w14:textId="1C054F8E"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Общи</w:t>
      </w:r>
    </w:p>
    <w:p w14:paraId="56E37469"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пациенти със или без анамнеза за алергия или бронхиална астма може да се наблюдават реакции на свръхчувствителност към хидрохлоротиазид, но са по-вероятни при пациенти с такава анамнеза. Има съобщения за обостряне или активиране на системен лупус еритематодес при пациенти, лекувани с тиазидни диуретици, включително хидрохлоротиазид.</w:t>
      </w:r>
    </w:p>
    <w:p w14:paraId="6EF5C37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Има съобщения за реакции на фото чувствителност при употребата на тиазидни диуретици (вж. точка 4.8). Препоръчва се прекратяване на терапията, ако се появи реакция на фоточувствителност в периода на лечение. Ако се счита за необходимо отново включване на диуретик, се препоръчва предпазване на зоните, които се излагат на слънце или на изкуствени </w:t>
      </w:r>
      <w:r w:rsidRPr="00D46B5E">
        <w:rPr>
          <w:rFonts w:eastAsia="Times New Roman" w:cs="Arial"/>
          <w:color w:val="000000"/>
          <w:lang w:val="en-US"/>
        </w:rPr>
        <w:t>UVA</w:t>
      </w:r>
      <w:r w:rsidRPr="00D46B5E">
        <w:rPr>
          <w:rFonts w:eastAsia="Times New Roman" w:cs="Arial"/>
          <w:color w:val="000000"/>
          <w:lang w:val="ru-RU"/>
        </w:rPr>
        <w:t xml:space="preserve"> </w:t>
      </w:r>
      <w:r w:rsidRPr="00D46B5E">
        <w:rPr>
          <w:rFonts w:eastAsia="Times New Roman" w:cs="Arial"/>
          <w:color w:val="000000"/>
          <w:lang w:eastAsia="bg-BG"/>
        </w:rPr>
        <w:t>лъчи.</w:t>
      </w:r>
    </w:p>
    <w:p w14:paraId="207CFEE6" w14:textId="77777777" w:rsidR="00D46B5E" w:rsidRPr="00D46B5E" w:rsidRDefault="00D46B5E" w:rsidP="00D46B5E">
      <w:pPr>
        <w:spacing w:line="240" w:lineRule="auto"/>
        <w:rPr>
          <w:rFonts w:eastAsia="Times New Roman" w:cs="Arial"/>
          <w:color w:val="000000"/>
          <w:lang w:eastAsia="bg-BG"/>
        </w:rPr>
      </w:pPr>
    </w:p>
    <w:p w14:paraId="6559D9CB" w14:textId="56373F1C" w:rsidR="00D46B5E" w:rsidRPr="00D46B5E" w:rsidRDefault="00D46B5E" w:rsidP="00D46B5E">
      <w:pPr>
        <w:spacing w:line="240" w:lineRule="auto"/>
        <w:rPr>
          <w:rFonts w:eastAsia="Times New Roman" w:cs="Arial"/>
        </w:rPr>
      </w:pPr>
      <w:r w:rsidRPr="00D46B5E">
        <w:rPr>
          <w:rFonts w:eastAsia="Times New Roman" w:cs="Arial"/>
          <w:color w:val="000000"/>
          <w:lang w:eastAsia="bg-BG"/>
        </w:rPr>
        <w:t>Остра респираторна токсичност</w:t>
      </w:r>
    </w:p>
    <w:p w14:paraId="430527EC"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D46B5E">
        <w:rPr>
          <w:rFonts w:eastAsia="Times New Roman" w:cs="Arial"/>
          <w:color w:val="000000"/>
          <w:lang w:val="en-US"/>
        </w:rPr>
        <w:t>ARDS</w:t>
      </w:r>
      <w:r w:rsidRPr="00D46B5E">
        <w:rPr>
          <w:rFonts w:eastAsia="Times New Roman" w:cs="Arial"/>
          <w:color w:val="000000"/>
          <w:lang w:val="ru-RU"/>
        </w:rPr>
        <w:t xml:space="preserve"> </w:t>
      </w:r>
      <w:r w:rsidRPr="00D46B5E">
        <w:rPr>
          <w:rFonts w:eastAsia="Times New Roman" w:cs="Arial"/>
          <w:color w:val="000000"/>
          <w:lang w:eastAsia="bg-BG"/>
        </w:rPr>
        <w:t>трябва да бъде спрян приемът на Танидон НСТ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48EE1E0D" w14:textId="77777777" w:rsidR="00D46B5E" w:rsidRPr="00D46B5E" w:rsidRDefault="00D46B5E" w:rsidP="00D46B5E">
      <w:pPr>
        <w:spacing w:line="240" w:lineRule="auto"/>
        <w:rPr>
          <w:rFonts w:eastAsia="Times New Roman" w:cs="Arial"/>
          <w:color w:val="000000"/>
          <w:u w:val="single"/>
          <w:lang w:eastAsia="bg-BG"/>
        </w:rPr>
      </w:pPr>
    </w:p>
    <w:p w14:paraId="37D96725" w14:textId="764B7C5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Хороидален излив. остра миопия и вторична закритоъгълна глаукома</w:t>
      </w:r>
    </w:p>
    <w:p w14:paraId="5EBDB49F" w14:textId="781CA3CB" w:rsidR="00D46B5E" w:rsidRPr="00D46B5E" w:rsidRDefault="00D46B5E" w:rsidP="00D46B5E">
      <w:pPr>
        <w:spacing w:line="240" w:lineRule="auto"/>
        <w:rPr>
          <w:rFonts w:eastAsia="Times New Roman" w:cs="Arial"/>
        </w:rPr>
      </w:pPr>
      <w:r w:rsidRPr="00D46B5E">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остра преходна миопатия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 Първичното лечение е, да се спре приема на хидрохлоротиазид, колкото е възможно по-скоро. Навременно лечение или хирургична интервенция може да се наложи да се обмислят, ако вътреочното налагане остава</w:t>
      </w:r>
      <w:r w:rsidRPr="00D46B5E">
        <w:rPr>
          <w:rFonts w:eastAsia="Times New Roman" w:cs="Arial"/>
          <w:lang w:val="ru-RU"/>
        </w:rPr>
        <w:t xml:space="preserve"> </w:t>
      </w:r>
      <w:r w:rsidRPr="00D46B5E">
        <w:rPr>
          <w:rFonts w:eastAsia="Times New Roman" w:cs="Arial"/>
          <w:color w:val="000000"/>
          <w:lang w:eastAsia="bg-BG"/>
        </w:rPr>
        <w:t>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1192DF3F" w14:textId="4A8B40D6" w:rsidR="00D46B5E" w:rsidRPr="00D46B5E" w:rsidRDefault="00D46B5E" w:rsidP="00D46B5E">
      <w:pPr>
        <w:spacing w:line="240" w:lineRule="auto"/>
        <w:rPr>
          <w:rFonts w:eastAsia="Times New Roman" w:cs="Arial"/>
          <w:color w:val="000000"/>
          <w:lang w:eastAsia="bg-BG"/>
        </w:rPr>
      </w:pPr>
    </w:p>
    <w:p w14:paraId="5D31534B" w14:textId="7777777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Немеланомен рак на кожата</w:t>
      </w:r>
    </w:p>
    <w:p w14:paraId="48555BE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DB3B032"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lastRenderedPageBreak/>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45CE9C23" w14:textId="77777777" w:rsidR="00D46B5E" w:rsidRPr="00D46B5E" w:rsidRDefault="00D46B5E" w:rsidP="00D46B5E">
      <w:pPr>
        <w:spacing w:line="240" w:lineRule="auto"/>
        <w:rPr>
          <w:rFonts w:eastAsia="Times New Roman" w:cs="Arial"/>
          <w:color w:val="000000"/>
          <w:u w:val="single"/>
          <w:lang w:eastAsia="bg-BG"/>
        </w:rPr>
      </w:pPr>
    </w:p>
    <w:p w14:paraId="417B2AA2" w14:textId="25B5AD85"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Помощно вещество</w:t>
      </w:r>
    </w:p>
    <w:p w14:paraId="2D1F52BB"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Това лекарство съдържа по-малко от 1 </w:t>
      </w:r>
      <w:proofErr w:type="spellStart"/>
      <w:r w:rsidRPr="00D46B5E">
        <w:rPr>
          <w:rFonts w:eastAsia="Times New Roman" w:cs="Arial"/>
          <w:color w:val="000000"/>
          <w:lang w:val="en-US"/>
        </w:rPr>
        <w:t>mmol</w:t>
      </w:r>
      <w:proofErr w:type="spellEnd"/>
      <w:r w:rsidRPr="00D46B5E">
        <w:rPr>
          <w:rFonts w:eastAsia="Times New Roman" w:cs="Arial"/>
          <w:color w:val="000000"/>
          <w:lang w:val="ru-RU"/>
        </w:rPr>
        <w:t xml:space="preserve"> </w:t>
      </w:r>
      <w:r w:rsidRPr="00D46B5E">
        <w:rPr>
          <w:rFonts w:eastAsia="Times New Roman" w:cs="Arial"/>
          <w:color w:val="000000"/>
          <w:lang w:eastAsia="bg-BG"/>
        </w:rPr>
        <w:t xml:space="preserve">натрий (23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на таблетка, т.е. може да се каже, че практически не съдържа натрий.</w:t>
      </w:r>
    </w:p>
    <w:p w14:paraId="5B43407C" w14:textId="77777777" w:rsidR="00D46B5E" w:rsidRPr="00D46B5E" w:rsidRDefault="00D46B5E" w:rsidP="00D46B5E">
      <w:pPr>
        <w:spacing w:line="240" w:lineRule="auto"/>
        <w:rPr>
          <w:rFonts w:ascii="Times New Roman" w:eastAsia="Times New Roman" w:hAnsi="Times New Roman" w:cs="Times New Roman"/>
          <w:sz w:val="24"/>
          <w:szCs w:val="24"/>
        </w:rPr>
      </w:pPr>
    </w:p>
    <w:p w14:paraId="174580E8" w14:textId="77777777" w:rsidR="00D46B5E" w:rsidRPr="00D46B5E" w:rsidRDefault="00D46B5E" w:rsidP="00D46B5E"/>
    <w:p w14:paraId="524AC966" w14:textId="30993868" w:rsidR="001A6EBD" w:rsidRDefault="002C50EE" w:rsidP="00471F1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115A828" w14:textId="36E0A6C0" w:rsidR="00D46B5E" w:rsidRDefault="00D46B5E" w:rsidP="00D46B5E"/>
    <w:p w14:paraId="2CF9A7A4" w14:textId="7777777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Литий</w:t>
      </w:r>
    </w:p>
    <w:p w14:paraId="00A0F774"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По време на едновременно приложение на литий с инхибитори на ангиотензин конвертиращия ензим са наблюдавани обратими повишения на серумните литиеви концентрации и прояви на токсичност. Съобщавани са редки случаи и с ангиотензин II рецепторни антагонисти (включително телмисартан/хидрохлоротиазид). Едновременното прилагане на литий и Танидон НСТ не се препоръчва (вж. точка 4.4). Ако тази комбинация е от съществено значение, се препоръчва внимателно проследяване на серумните литиеви нива по време на едновременно приложение,</w:t>
      </w:r>
    </w:p>
    <w:p w14:paraId="17A12D2D" w14:textId="77777777" w:rsidR="00D46B5E" w:rsidRPr="00D46B5E" w:rsidRDefault="00D46B5E" w:rsidP="00D46B5E">
      <w:pPr>
        <w:spacing w:line="240" w:lineRule="auto"/>
        <w:rPr>
          <w:rFonts w:eastAsia="Times New Roman" w:cs="Arial"/>
          <w:color w:val="000000"/>
          <w:u w:val="single"/>
          <w:lang w:eastAsia="bg-BG"/>
        </w:rPr>
      </w:pPr>
    </w:p>
    <w:p w14:paraId="3A41CB72" w14:textId="695FB49F"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Лекарствени продукти, които са свързани със загуба на калий и хипокалиемия</w:t>
      </w:r>
      <w:r w:rsidRPr="00D46B5E">
        <w:rPr>
          <w:rFonts w:eastAsia="Times New Roman" w:cs="Arial"/>
          <w:color w:val="000000"/>
          <w:lang w:eastAsia="bg-BG"/>
        </w:rPr>
        <w:t xml:space="preserve"> (напр. други калиуретични диуретици, лаксативи, кортикостероиди, АСТН, амфотерицин, карбеноксолон, пеницилин </w:t>
      </w:r>
      <w:r w:rsidRPr="00D46B5E">
        <w:rPr>
          <w:rFonts w:eastAsia="Times New Roman" w:cs="Arial"/>
          <w:color w:val="000000"/>
          <w:lang w:val="en-US"/>
        </w:rPr>
        <w:t>G</w:t>
      </w:r>
      <w:r w:rsidRPr="00D46B5E">
        <w:rPr>
          <w:rFonts w:eastAsia="Times New Roman" w:cs="Arial"/>
          <w:color w:val="000000"/>
          <w:lang w:val="ru-RU"/>
        </w:rPr>
        <w:t xml:space="preserve"> </w:t>
      </w:r>
      <w:r w:rsidRPr="00D46B5E">
        <w:rPr>
          <w:rFonts w:eastAsia="Times New Roman" w:cs="Arial"/>
          <w:color w:val="000000"/>
          <w:lang w:eastAsia="bg-BG"/>
        </w:rPr>
        <w:t>натрий, салицилова киселина и производните й).</w:t>
      </w:r>
    </w:p>
    <w:p w14:paraId="7668488D" w14:textId="77777777" w:rsidR="00D46B5E" w:rsidRPr="00D46B5E" w:rsidRDefault="00D46B5E" w:rsidP="00D46B5E">
      <w:pPr>
        <w:spacing w:line="240" w:lineRule="auto"/>
        <w:rPr>
          <w:rFonts w:eastAsia="Times New Roman" w:cs="Arial"/>
          <w:color w:val="000000"/>
          <w:lang w:eastAsia="bg-BG"/>
        </w:rPr>
      </w:pPr>
    </w:p>
    <w:p w14:paraId="0926B800" w14:textId="1D4EE307" w:rsidR="00D46B5E" w:rsidRPr="00D46B5E" w:rsidRDefault="00D46B5E" w:rsidP="00D46B5E">
      <w:pPr>
        <w:spacing w:line="240" w:lineRule="auto"/>
        <w:rPr>
          <w:rFonts w:eastAsia="Times New Roman" w:cs="Arial"/>
        </w:rPr>
      </w:pPr>
      <w:r w:rsidRPr="00D46B5E">
        <w:rPr>
          <w:rFonts w:eastAsia="Times New Roman" w:cs="Arial"/>
          <w:color w:val="000000"/>
          <w:lang w:eastAsia="bg-BG"/>
        </w:rPr>
        <w:t>Ако тези вещества трябва да се приемат едновременно с комбинацията хидрохлоротиазид-телмисартан,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305E3B37" w14:textId="77777777" w:rsidR="00D46B5E" w:rsidRPr="00D46B5E" w:rsidRDefault="00D46B5E" w:rsidP="00D46B5E">
      <w:pPr>
        <w:spacing w:line="240" w:lineRule="auto"/>
        <w:rPr>
          <w:rFonts w:eastAsia="Times New Roman" w:cs="Arial"/>
          <w:color w:val="000000"/>
          <w:u w:val="single"/>
          <w:lang w:eastAsia="bg-BG"/>
        </w:rPr>
      </w:pPr>
    </w:p>
    <w:p w14:paraId="2D6D7FF0" w14:textId="19B42E3B"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 xml:space="preserve">Лекарствени продукти, които могат да повишат калиевите нива или индуцират хиперкалиемия </w:t>
      </w:r>
      <w:r w:rsidRPr="00D46B5E">
        <w:rPr>
          <w:rFonts w:eastAsia="Times New Roman" w:cs="Arial"/>
          <w:color w:val="000000"/>
          <w:lang w:eastAsia="bg-BG"/>
        </w:rPr>
        <w:t>(напр. АСЕ инхибитори, калий-съхраняващи диуретици, калиеви добавки, солеви заместители, съдържащи калий, циклоспорин или други лекарствени продукти като хепарин натрий).</w:t>
      </w:r>
    </w:p>
    <w:p w14:paraId="23B11920" w14:textId="77777777" w:rsidR="00D46B5E" w:rsidRPr="00D46B5E" w:rsidRDefault="00D46B5E" w:rsidP="00D46B5E">
      <w:pPr>
        <w:spacing w:line="240" w:lineRule="auto"/>
        <w:rPr>
          <w:rFonts w:eastAsia="Times New Roman" w:cs="Arial"/>
          <w:color w:val="000000"/>
          <w:lang w:eastAsia="bg-BG"/>
        </w:rPr>
      </w:pPr>
    </w:p>
    <w:p w14:paraId="5CD1ECE8" w14:textId="2A128626" w:rsidR="00D46B5E" w:rsidRPr="00D46B5E" w:rsidRDefault="00D46B5E" w:rsidP="00D46B5E">
      <w:pPr>
        <w:spacing w:line="240" w:lineRule="auto"/>
        <w:rPr>
          <w:rFonts w:eastAsia="Times New Roman" w:cs="Arial"/>
        </w:rPr>
      </w:pPr>
      <w:r w:rsidRPr="00D46B5E">
        <w:rPr>
          <w:rFonts w:eastAsia="Times New Roman" w:cs="Arial"/>
          <w:color w:val="000000"/>
          <w:lang w:eastAsia="bg-BG"/>
        </w:rPr>
        <w:t>Ако тези лекарствени продукти са предписани за употреба едновременно с комбинацията хидрохлоротиазид-телмисартан, препоръчва се мониториране на калиевите плазмени нива. Въз основа на опита с използването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 тази причина не се препоръчва (вж. точка 4.4).</w:t>
      </w:r>
    </w:p>
    <w:p w14:paraId="7B451BE0" w14:textId="77777777" w:rsidR="00D46B5E" w:rsidRPr="00D46B5E" w:rsidRDefault="00D46B5E" w:rsidP="00D46B5E">
      <w:pPr>
        <w:spacing w:line="240" w:lineRule="auto"/>
        <w:rPr>
          <w:rFonts w:eastAsia="Times New Roman" w:cs="Arial"/>
          <w:color w:val="000000"/>
          <w:u w:val="single"/>
          <w:lang w:eastAsia="bg-BG"/>
        </w:rPr>
      </w:pPr>
    </w:p>
    <w:p w14:paraId="7C7A6E7F" w14:textId="5C1DB8BD"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Лекарствени продукти, които се повлияват от нарушения в серумния калий.</w:t>
      </w:r>
      <w:r w:rsidRPr="00D46B5E">
        <w:rPr>
          <w:rFonts w:eastAsia="Times New Roman" w:cs="Arial"/>
          <w:color w:val="000000"/>
          <w:lang w:eastAsia="bg-BG"/>
        </w:rPr>
        <w:t xml:space="preserve"> Препоръчва се периодично проследяване на нивата на серумния калий и ЕКГ, когато Танидон</w:t>
      </w:r>
    </w:p>
    <w:p w14:paraId="48C2F9DD" w14:textId="77777777" w:rsidR="00D46B5E" w:rsidRPr="00D46B5E" w:rsidRDefault="00D46B5E" w:rsidP="00D46B5E">
      <w:pPr>
        <w:rPr>
          <w:rFonts w:eastAsia="Times New Roman" w:cs="Arial"/>
        </w:rPr>
      </w:pPr>
      <w:r w:rsidRPr="00D46B5E">
        <w:rPr>
          <w:rFonts w:eastAsia="Times New Roman" w:cs="Arial"/>
          <w:color w:val="000000"/>
          <w:lang w:eastAsia="bg-BG"/>
        </w:rPr>
        <w:lastRenderedPageBreak/>
        <w:t xml:space="preserve">НСТ се прилага едновременно с лекарствени продукти, които се повлияват от промени в серумния калий (напр. дигиталисови гликозиди, антиаритмични) и следните лекарствени продукти, предизвикващи </w:t>
      </w:r>
      <w:proofErr w:type="spellStart"/>
      <w:r w:rsidRPr="00D46B5E">
        <w:rPr>
          <w:rFonts w:eastAsia="Times New Roman" w:cs="Arial"/>
          <w:color w:val="000000"/>
          <w:lang w:val="en-US"/>
        </w:rPr>
        <w:t>torsades</w:t>
      </w:r>
      <w:proofErr w:type="spellEnd"/>
      <w:r w:rsidRPr="00D46B5E">
        <w:rPr>
          <w:rFonts w:eastAsia="Times New Roman" w:cs="Arial"/>
          <w:color w:val="000000"/>
        </w:rPr>
        <w:t xml:space="preserve"> </w:t>
      </w:r>
      <w:r w:rsidRPr="00D46B5E">
        <w:rPr>
          <w:rFonts w:eastAsia="Times New Roman" w:cs="Arial"/>
          <w:color w:val="000000"/>
          <w:lang w:val="en-US"/>
        </w:rPr>
        <w:t>de</w:t>
      </w:r>
      <w:r w:rsidRPr="00D46B5E">
        <w:rPr>
          <w:rFonts w:eastAsia="Times New Roman" w:cs="Arial"/>
          <w:color w:val="000000"/>
        </w:rPr>
        <w:t xml:space="preserve"> </w:t>
      </w:r>
      <w:r w:rsidRPr="00D46B5E">
        <w:rPr>
          <w:rFonts w:eastAsia="Times New Roman" w:cs="Arial"/>
          <w:color w:val="000000"/>
          <w:lang w:val="en-US"/>
        </w:rPr>
        <w:t>pointes</w:t>
      </w:r>
      <w:r w:rsidRPr="00D46B5E">
        <w:rPr>
          <w:rFonts w:eastAsia="Times New Roman" w:cs="Arial"/>
          <w:color w:val="000000"/>
        </w:rPr>
        <w:t xml:space="preserve"> </w:t>
      </w:r>
      <w:r w:rsidRPr="00D46B5E">
        <w:rPr>
          <w:rFonts w:eastAsia="Times New Roman" w:cs="Arial"/>
          <w:color w:val="000000"/>
          <w:lang w:eastAsia="bg-BG"/>
        </w:rPr>
        <w:t xml:space="preserve">(включващи някои антиаритмични), като хипокалиемията е предразполагащ фактор за </w:t>
      </w:r>
      <w:proofErr w:type="spellStart"/>
      <w:r w:rsidRPr="00D46B5E">
        <w:rPr>
          <w:rFonts w:eastAsia="Times New Roman" w:cs="Arial"/>
          <w:color w:val="000000"/>
          <w:lang w:val="en-US"/>
        </w:rPr>
        <w:t>torsades</w:t>
      </w:r>
      <w:proofErr w:type="spellEnd"/>
      <w:r w:rsidRPr="00D46B5E">
        <w:rPr>
          <w:rFonts w:eastAsia="Times New Roman" w:cs="Arial"/>
          <w:color w:val="000000"/>
        </w:rPr>
        <w:t xml:space="preserve"> </w:t>
      </w:r>
      <w:r w:rsidRPr="00D46B5E">
        <w:rPr>
          <w:rFonts w:eastAsia="Times New Roman" w:cs="Arial"/>
          <w:color w:val="000000"/>
          <w:lang w:val="en-US"/>
        </w:rPr>
        <w:t>de</w:t>
      </w:r>
      <w:r w:rsidRPr="00D46B5E">
        <w:rPr>
          <w:rFonts w:eastAsia="Times New Roman" w:cs="Arial"/>
          <w:color w:val="000000"/>
        </w:rPr>
        <w:t xml:space="preserve"> </w:t>
      </w:r>
      <w:r w:rsidRPr="00D46B5E">
        <w:rPr>
          <w:rFonts w:eastAsia="Times New Roman" w:cs="Arial"/>
          <w:color w:val="000000"/>
          <w:lang w:val="en-US"/>
        </w:rPr>
        <w:t>pointes</w:t>
      </w:r>
      <w:r w:rsidRPr="00D46B5E">
        <w:rPr>
          <w:rFonts w:eastAsia="Times New Roman" w:cs="Arial"/>
          <w:color w:val="000000"/>
        </w:rPr>
        <w:t>.</w:t>
      </w:r>
    </w:p>
    <w:p w14:paraId="74A8BED3" w14:textId="7777777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 xml:space="preserve">клас </w:t>
      </w:r>
      <w:proofErr w:type="spellStart"/>
      <w:r w:rsidRPr="00D46B5E">
        <w:rPr>
          <w:rFonts w:eastAsia="Times New Roman" w:cs="Arial"/>
          <w:color w:val="000000"/>
          <w:lang w:val="en-US"/>
        </w:rPr>
        <w:t>Ia</w:t>
      </w:r>
      <w:proofErr w:type="spellEnd"/>
      <w:r w:rsidRPr="00D46B5E">
        <w:rPr>
          <w:rFonts w:eastAsia="Times New Roman" w:cs="Arial"/>
          <w:color w:val="000000"/>
          <w:lang w:val="ru-RU"/>
        </w:rPr>
        <w:t xml:space="preserve"> </w:t>
      </w:r>
      <w:r w:rsidRPr="00D46B5E">
        <w:rPr>
          <w:rFonts w:eastAsia="Times New Roman" w:cs="Arial"/>
          <w:color w:val="000000"/>
          <w:lang w:eastAsia="bg-BG"/>
        </w:rPr>
        <w:t>антиаритмични (напр. хинидин, хидрохинидин, дизопирамид),</w:t>
      </w:r>
    </w:p>
    <w:p w14:paraId="074CC650" w14:textId="7777777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 xml:space="preserve">клас III антиаритмични (напр. амиодарон, соталол, дофетилид, ибутилид), </w:t>
      </w:r>
    </w:p>
    <w:p w14:paraId="3E8F9E3F" w14:textId="7777777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 xml:space="preserve">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 </w:t>
      </w:r>
    </w:p>
    <w:p w14:paraId="259C4C07" w14:textId="27609061"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други (напр. бепридил, цизаприд, дифеманил, еритромицин IV, халофантрин, мизоластин, пентамидин, спарфлоксацин, терфенадин, винкамин IV).</w:t>
      </w:r>
    </w:p>
    <w:p w14:paraId="66C6DE16" w14:textId="77777777" w:rsidR="00D46B5E" w:rsidRPr="00D46B5E" w:rsidRDefault="00D46B5E" w:rsidP="00D46B5E">
      <w:pPr>
        <w:spacing w:line="240" w:lineRule="auto"/>
        <w:rPr>
          <w:rFonts w:eastAsia="Times New Roman" w:cs="Arial"/>
          <w:color w:val="000000"/>
          <w:u w:val="single"/>
          <w:lang w:eastAsia="bg-BG"/>
        </w:rPr>
      </w:pPr>
    </w:p>
    <w:p w14:paraId="781D5D84" w14:textId="708CDB52"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Дигиталисови гликозиди</w:t>
      </w:r>
    </w:p>
    <w:p w14:paraId="19997AE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Предизвиканата от тиазиди хипокалиемия или хипомагнезиемия благоприятства възникването на предизвикана от дигиталис аритмия (вж. точка 4.4).</w:t>
      </w:r>
    </w:p>
    <w:p w14:paraId="7C6172BC" w14:textId="77777777" w:rsidR="00D46B5E" w:rsidRPr="00D46B5E" w:rsidRDefault="00D46B5E" w:rsidP="00D46B5E">
      <w:pPr>
        <w:spacing w:line="240" w:lineRule="auto"/>
        <w:rPr>
          <w:rFonts w:eastAsia="Times New Roman" w:cs="Arial"/>
          <w:color w:val="000000"/>
          <w:u w:val="single"/>
          <w:lang w:eastAsia="bg-BG"/>
        </w:rPr>
      </w:pPr>
    </w:p>
    <w:p w14:paraId="300CC3C4" w14:textId="7642D139"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Дигоксин</w:t>
      </w:r>
    </w:p>
    <w:p w14:paraId="74BEF37E"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едновременна употреба на телмисартан с дигоксин се наблюдава умерено повишаване на пиковата (49%) и на най-ниската (20%) плазмена концентация на дигоксин. При започване, коригиране на дозата или спиране на лечението с телмисартан, трябва да се наблюдават нивата на дигоксин, за да се поддържат в терапевтичния интервал.</w:t>
      </w:r>
    </w:p>
    <w:p w14:paraId="3EC4ED2D" w14:textId="77777777" w:rsidR="00D46B5E" w:rsidRPr="00D46B5E" w:rsidRDefault="00D46B5E" w:rsidP="00D46B5E">
      <w:pPr>
        <w:spacing w:line="240" w:lineRule="auto"/>
        <w:rPr>
          <w:rFonts w:eastAsia="Times New Roman" w:cs="Arial"/>
          <w:color w:val="000000"/>
          <w:u w:val="single"/>
          <w:lang w:eastAsia="bg-BG"/>
        </w:rPr>
      </w:pPr>
    </w:p>
    <w:p w14:paraId="5C9018F1" w14:textId="417BA064"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Други антихипертензивни средства</w:t>
      </w:r>
    </w:p>
    <w:p w14:paraId="1F19AC3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Телмисартан може да повиши хипотензивния ефект на други антихипертензивни средства.</w:t>
      </w:r>
    </w:p>
    <w:p w14:paraId="584AF0C1" w14:textId="77777777" w:rsidR="00D46B5E" w:rsidRPr="00D46B5E" w:rsidRDefault="00D46B5E" w:rsidP="00D46B5E">
      <w:pPr>
        <w:spacing w:line="240" w:lineRule="auto"/>
        <w:rPr>
          <w:rFonts w:eastAsia="Times New Roman" w:cs="Arial"/>
          <w:color w:val="000000"/>
          <w:lang w:eastAsia="bg-BG"/>
        </w:rPr>
      </w:pPr>
    </w:p>
    <w:p w14:paraId="36F1A66F" w14:textId="70F47240"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D46B5E">
        <w:rPr>
          <w:rFonts w:eastAsia="Times New Roman" w:cs="Arial"/>
          <w:color w:val="000000"/>
          <w:lang w:val="en-US" w:eastAsia="bg-BG"/>
        </w:rPr>
        <w:t>II</w:t>
      </w:r>
      <w:r w:rsidRPr="00D46B5E">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D46B5E">
        <w:rPr>
          <w:rFonts w:eastAsia="Times New Roman" w:cs="Arial"/>
          <w:color w:val="000000"/>
          <w:lang w:val="ru-RU"/>
        </w:rPr>
        <w:t xml:space="preserve"> </w:t>
      </w:r>
      <w:r w:rsidRPr="00D46B5E">
        <w:rPr>
          <w:rFonts w:eastAsia="Times New Roman" w:cs="Arial"/>
          <w:color w:val="000000"/>
          <w:lang w:eastAsia="bg-BG"/>
        </w:rPr>
        <w:t>4.4 и 5.1).</w:t>
      </w:r>
    </w:p>
    <w:p w14:paraId="025EB645" w14:textId="77777777" w:rsidR="00D46B5E" w:rsidRPr="00D46B5E" w:rsidRDefault="00D46B5E" w:rsidP="00D46B5E">
      <w:pPr>
        <w:spacing w:line="240" w:lineRule="auto"/>
        <w:rPr>
          <w:rFonts w:eastAsia="Times New Roman" w:cs="Arial"/>
          <w:color w:val="000000"/>
          <w:u w:val="single"/>
          <w:lang w:eastAsia="bg-BG"/>
        </w:rPr>
      </w:pPr>
    </w:p>
    <w:p w14:paraId="6F8AB6FB" w14:textId="6CCFFE61"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Противодиабетни лекарствени продукти (перорални средства и инсулин)</w:t>
      </w:r>
    </w:p>
    <w:p w14:paraId="379AA00A"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Може да се наложи коригиране на дозите на противодиабетните лекарствени продукти (вж. точка 4.4).</w:t>
      </w:r>
    </w:p>
    <w:p w14:paraId="6F52BE34" w14:textId="77777777" w:rsidR="00D46B5E" w:rsidRPr="00D46B5E" w:rsidRDefault="00D46B5E" w:rsidP="00D46B5E">
      <w:pPr>
        <w:spacing w:line="240" w:lineRule="auto"/>
        <w:rPr>
          <w:rFonts w:eastAsia="Times New Roman" w:cs="Arial"/>
          <w:color w:val="000000"/>
          <w:u w:val="single"/>
          <w:lang w:eastAsia="bg-BG"/>
        </w:rPr>
      </w:pPr>
    </w:p>
    <w:p w14:paraId="41FA65FE" w14:textId="06831F41"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Метформин</w:t>
      </w:r>
    </w:p>
    <w:p w14:paraId="3E278A41"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Метформин трябва да се използва предпазливо поради риск от лактатна ацидоза индуцирана от възможна функционална бъбречна недостатъчност, свързана с хидрохлоротиазид.</w:t>
      </w:r>
    </w:p>
    <w:p w14:paraId="4775E19B" w14:textId="77777777" w:rsidR="00D46B5E" w:rsidRPr="00D46B5E" w:rsidRDefault="00D46B5E" w:rsidP="00D46B5E">
      <w:pPr>
        <w:spacing w:line="240" w:lineRule="auto"/>
        <w:rPr>
          <w:rFonts w:eastAsia="Times New Roman" w:cs="Arial"/>
          <w:color w:val="000000"/>
          <w:u w:val="single"/>
          <w:lang w:eastAsia="bg-BG"/>
        </w:rPr>
      </w:pPr>
    </w:p>
    <w:p w14:paraId="0DEFB64F" w14:textId="5457CD90"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Колестирамин и колестиполови смоли</w:t>
      </w:r>
    </w:p>
    <w:p w14:paraId="4031AE3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наличие на анионно-обменни смоли, абсорбцията на хидрохлоротиазид се нарушава.</w:t>
      </w:r>
    </w:p>
    <w:p w14:paraId="55CD3996" w14:textId="77777777" w:rsidR="00D46B5E" w:rsidRPr="00D46B5E" w:rsidRDefault="00D46B5E" w:rsidP="00D46B5E">
      <w:pPr>
        <w:spacing w:line="240" w:lineRule="auto"/>
        <w:rPr>
          <w:rFonts w:eastAsia="Times New Roman" w:cs="Arial"/>
          <w:color w:val="000000"/>
          <w:u w:val="single"/>
          <w:lang w:eastAsia="bg-BG"/>
        </w:rPr>
      </w:pPr>
    </w:p>
    <w:p w14:paraId="4CF66D8B" w14:textId="105CDE6A"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Нестероидни противовъзпалителни средства</w:t>
      </w:r>
    </w:p>
    <w:p w14:paraId="24D5525A"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НСПВС (т.е. ацетилсалицилова киселина в противовъзпалителни дози, СОХ-2 инхибитори и неселективни НСПВС) могат да намалят диуретичния, натриуретичния и </w:t>
      </w:r>
      <w:r w:rsidRPr="00D46B5E">
        <w:rPr>
          <w:rFonts w:eastAsia="Times New Roman" w:cs="Arial"/>
          <w:color w:val="000000"/>
          <w:lang w:eastAsia="bg-BG"/>
        </w:rPr>
        <w:lastRenderedPageBreak/>
        <w:t>антихипертензивния ефект на тиазидните диуретици и антихипертензивния ефект на ангиотензин II рецепторните антагонисти.</w:t>
      </w:r>
    </w:p>
    <w:p w14:paraId="7FEE05C1" w14:textId="26B6BBE4" w:rsidR="00D46B5E" w:rsidRPr="00D46B5E" w:rsidRDefault="00D46B5E" w:rsidP="00D46B5E">
      <w:pPr>
        <w:spacing w:line="240" w:lineRule="auto"/>
        <w:rPr>
          <w:rFonts w:eastAsia="Times New Roman" w:cs="Arial"/>
          <w:color w:val="000000"/>
          <w:lang w:eastAsia="bg-BG"/>
        </w:rPr>
      </w:pPr>
      <w:r w:rsidRPr="00D46B5E">
        <w:rPr>
          <w:rFonts w:eastAsia="Times New Roman" w:cs="Arial"/>
          <w:color w:val="000000"/>
          <w:lang w:eastAsia="bg-BG"/>
        </w:rPr>
        <w:t>При някои пациенти с нарушена бъбречна функция (напр. дехидратирани пациенти или пациенти в старческа възраст с нарушена бъбречна функция) едновременното приложение на ангиотензин II рецепторни антагонисти и лекарствени продукти, които инхибират циклооксигеназата може да доведе до по-нататъшно влошаване на бъбречната функция, включително е възможна остра бъбречна недостатъчност, която обикновено е</w:t>
      </w:r>
      <w:r w:rsidRPr="00D46B5E">
        <w:rPr>
          <w:rFonts w:eastAsia="Times New Roman" w:cs="Arial"/>
          <w:color w:val="000000"/>
          <w:lang w:val="ru-RU"/>
        </w:rPr>
        <w:t xml:space="preserve"> </w:t>
      </w:r>
      <w:r w:rsidRPr="00D46B5E">
        <w:rPr>
          <w:rFonts w:eastAsia="Times New Roman" w:cs="Arial"/>
          <w:color w:val="000000"/>
          <w:lang w:eastAsia="bg-BG"/>
        </w:rPr>
        <w:t>обратима. По</w:t>
      </w:r>
      <w:r w:rsidRPr="00D46B5E">
        <w:rPr>
          <w:rFonts w:eastAsia="Times New Roman" w:cs="Arial"/>
          <w:color w:val="000000"/>
          <w:vertAlign w:val="subscript"/>
          <w:lang w:eastAsia="bg-BG"/>
        </w:rPr>
        <w:t xml:space="preserve"> </w:t>
      </w:r>
      <w:r w:rsidRPr="00D46B5E">
        <w:rPr>
          <w:rFonts w:eastAsia="Times New Roman" w:cs="Arial"/>
          <w:color w:val="000000"/>
          <w:lang w:eastAsia="bg-BG"/>
        </w:rPr>
        <w:t>тази причина, комбинацията трябва да бъде прилагана с повишено внимание, особено при пациенти в старческа възраст. Пациентите трябва да бъдат адекватно хидратирани и да бъде проследявана бъбречната им функция в началото на комбинираното лечение и периодично след това.</w:t>
      </w:r>
    </w:p>
    <w:p w14:paraId="4B52EDF9" w14:textId="4780429F" w:rsidR="00D46B5E" w:rsidRPr="00D46B5E" w:rsidRDefault="00D46B5E" w:rsidP="00D46B5E">
      <w:pPr>
        <w:spacing w:line="240" w:lineRule="auto"/>
        <w:rPr>
          <w:rFonts w:eastAsia="Times New Roman" w:cs="Arial"/>
          <w:color w:val="000000"/>
          <w:lang w:eastAsia="bg-BG"/>
        </w:rPr>
      </w:pPr>
    </w:p>
    <w:p w14:paraId="200E848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В едно проучване едновременното прилагане на телмисартан и рамиприл е довело до покачване на </w:t>
      </w:r>
      <w:r w:rsidRPr="00D46B5E">
        <w:rPr>
          <w:rFonts w:eastAsia="Times New Roman" w:cs="Arial"/>
          <w:smallCaps/>
          <w:color w:val="000000"/>
          <w:lang w:val="en-US"/>
        </w:rPr>
        <w:t>AUC</w:t>
      </w:r>
      <w:r w:rsidRPr="00D46B5E">
        <w:rPr>
          <w:rFonts w:eastAsia="Times New Roman" w:cs="Arial"/>
          <w:smallCaps/>
          <w:color w:val="000000"/>
          <w:vertAlign w:val="subscript"/>
          <w:lang w:val="ru-RU"/>
        </w:rPr>
        <w:t>0-24</w:t>
      </w:r>
      <w:r w:rsidRPr="00D46B5E">
        <w:rPr>
          <w:rFonts w:eastAsia="Times New Roman" w:cs="Arial"/>
          <w:smallCaps/>
          <w:color w:val="000000"/>
          <w:lang w:val="ru-RU"/>
        </w:rPr>
        <w:t xml:space="preserve"> </w:t>
      </w:r>
      <w:r w:rsidRPr="00D46B5E">
        <w:rPr>
          <w:rFonts w:eastAsia="Times New Roman" w:cs="Arial"/>
          <w:smallCaps/>
          <w:color w:val="000000"/>
          <w:lang w:eastAsia="bg-BG"/>
        </w:rPr>
        <w:t>и</w:t>
      </w:r>
      <w:r w:rsidRPr="00D46B5E">
        <w:rPr>
          <w:rFonts w:eastAsia="Times New Roman" w:cs="Arial"/>
          <w:color w:val="000000"/>
          <w:lang w:eastAsia="bg-BG"/>
        </w:rPr>
        <w:t xml:space="preserve"> С</w:t>
      </w:r>
      <w:r w:rsidRPr="00D46B5E">
        <w:rPr>
          <w:rFonts w:eastAsia="Times New Roman" w:cs="Arial"/>
          <w:color w:val="000000"/>
          <w:vertAlign w:val="subscript"/>
          <w:lang w:val="en-US"/>
        </w:rPr>
        <w:t>max</w:t>
      </w:r>
      <w:r w:rsidRPr="00D46B5E">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4C7B12C0" w14:textId="77777777" w:rsidR="00D46B5E" w:rsidRPr="00D46B5E" w:rsidRDefault="00D46B5E" w:rsidP="00D46B5E">
      <w:pPr>
        <w:spacing w:line="240" w:lineRule="auto"/>
        <w:rPr>
          <w:rFonts w:eastAsia="Times New Roman" w:cs="Arial"/>
          <w:color w:val="000000"/>
          <w:u w:val="single"/>
          <w:lang w:eastAsia="bg-BG"/>
        </w:rPr>
      </w:pPr>
    </w:p>
    <w:p w14:paraId="67FEAA18" w14:textId="219AD8C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Пресорни амини (напр, норадпеналин)</w:t>
      </w:r>
    </w:p>
    <w:p w14:paraId="2FD05B5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Ефекта на пресорните амини може да се намали.</w:t>
      </w:r>
    </w:p>
    <w:p w14:paraId="7BBF0EEF" w14:textId="77777777" w:rsidR="00D46B5E" w:rsidRPr="00D46B5E" w:rsidRDefault="00D46B5E" w:rsidP="00D46B5E">
      <w:pPr>
        <w:spacing w:line="240" w:lineRule="auto"/>
        <w:rPr>
          <w:rFonts w:eastAsia="Times New Roman" w:cs="Arial"/>
          <w:color w:val="000000"/>
          <w:u w:val="single"/>
          <w:lang w:eastAsia="bg-BG"/>
        </w:rPr>
      </w:pPr>
    </w:p>
    <w:p w14:paraId="674E20A1" w14:textId="288B1C0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Недеполяризиращи миорелаксанти (напр. тубокурарин)</w:t>
      </w:r>
    </w:p>
    <w:p w14:paraId="3B46A784"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Хидрохлоротиазид може да потенцира ефекта на недеполяризиращите миорелаксанти.</w:t>
      </w:r>
    </w:p>
    <w:p w14:paraId="5FE34ED9" w14:textId="77777777" w:rsidR="00D46B5E" w:rsidRPr="00D46B5E" w:rsidRDefault="00D46B5E" w:rsidP="00D46B5E">
      <w:pPr>
        <w:spacing w:line="240" w:lineRule="auto"/>
        <w:rPr>
          <w:rFonts w:eastAsia="Times New Roman" w:cs="Arial"/>
          <w:color w:val="000000"/>
          <w:u w:val="single"/>
          <w:lang w:eastAsia="bg-BG"/>
        </w:rPr>
      </w:pPr>
    </w:p>
    <w:p w14:paraId="2095436E" w14:textId="6BACD138"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Лекарствени продукти използвани за лечение на подагра</w:t>
      </w:r>
      <w:r w:rsidRPr="00D46B5E">
        <w:rPr>
          <w:rFonts w:eastAsia="Times New Roman" w:cs="Arial"/>
          <w:color w:val="000000"/>
          <w:lang w:eastAsia="bg-BG"/>
        </w:rPr>
        <w:t xml:space="preserve"> (напр. пробеницид, сулфинпиразон и алопуринол)</w:t>
      </w:r>
    </w:p>
    <w:p w14:paraId="19488996"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Може да се наложи коригиране на дозата на урикозуричните лекарствени продукти, тъй като хидрохлоротиазид може да увеличи серумните нива на пикочната киселина. Може да се наложи повишаване на дозите на пробеницид или сулфинпиразон. Едновременното приемане на тиазиди може да повиши честотата на реакциите на свръхчувствителност към алопуринол.</w:t>
      </w:r>
    </w:p>
    <w:p w14:paraId="0413EB9B" w14:textId="77777777" w:rsidR="00D46B5E" w:rsidRPr="00D46B5E" w:rsidRDefault="00D46B5E" w:rsidP="00D46B5E">
      <w:pPr>
        <w:spacing w:line="240" w:lineRule="auto"/>
        <w:rPr>
          <w:rFonts w:eastAsia="Times New Roman" w:cs="Arial"/>
          <w:color w:val="000000"/>
          <w:u w:val="single"/>
          <w:lang w:eastAsia="bg-BG"/>
        </w:rPr>
      </w:pPr>
    </w:p>
    <w:p w14:paraId="0ED302EE" w14:textId="2E54BE43"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Калциеви соли</w:t>
      </w:r>
    </w:p>
    <w:p w14:paraId="50242A3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Тиазидните диуретици може да повишат серумните нива на калций, което се дължи на понижената му екскреция. Ако трябва да се предпишат калциеви добавки или калиЙ- съхраняващи лекарствени продукти (например лечение с витамин </w:t>
      </w:r>
      <w:r w:rsidRPr="00D46B5E">
        <w:rPr>
          <w:rFonts w:eastAsia="Times New Roman" w:cs="Arial"/>
          <w:color w:val="000000"/>
          <w:lang w:val="en-US"/>
        </w:rPr>
        <w:t>D</w:t>
      </w:r>
      <w:r w:rsidRPr="00D46B5E">
        <w:rPr>
          <w:rFonts w:eastAsia="Times New Roman" w:cs="Arial"/>
          <w:color w:val="000000"/>
          <w:lang w:val="ru-RU"/>
        </w:rPr>
        <w:t xml:space="preserve">), </w:t>
      </w:r>
      <w:r w:rsidRPr="00D46B5E">
        <w:rPr>
          <w:rFonts w:eastAsia="Times New Roman" w:cs="Arial"/>
          <w:color w:val="000000"/>
          <w:lang w:eastAsia="bg-BG"/>
        </w:rPr>
        <w:t>е необходимо да се проследяват серумните нива на калция и съответно да се коригира дозата.</w:t>
      </w:r>
    </w:p>
    <w:p w14:paraId="0AE73CEB" w14:textId="77777777" w:rsidR="00D46B5E" w:rsidRPr="00D46B5E" w:rsidRDefault="00D46B5E" w:rsidP="00D46B5E">
      <w:pPr>
        <w:spacing w:line="240" w:lineRule="auto"/>
        <w:rPr>
          <w:rFonts w:eastAsia="Times New Roman" w:cs="Arial"/>
          <w:color w:val="000000"/>
          <w:u w:val="single"/>
          <w:lang w:eastAsia="bg-BG"/>
        </w:rPr>
      </w:pPr>
    </w:p>
    <w:p w14:paraId="1674844F" w14:textId="0B4255EE"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Бета-блокери и диазоксид</w:t>
      </w:r>
    </w:p>
    <w:p w14:paraId="0F0475A3"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може да повишат хипергликемичните ефекти на бета-блокерите и диазоксид.</w:t>
      </w:r>
    </w:p>
    <w:p w14:paraId="227EFC44" w14:textId="77777777" w:rsidR="00D46B5E" w:rsidRPr="00D46B5E" w:rsidRDefault="00D46B5E" w:rsidP="00D46B5E">
      <w:pPr>
        <w:spacing w:line="240" w:lineRule="auto"/>
        <w:rPr>
          <w:rFonts w:eastAsia="Times New Roman" w:cs="Arial"/>
          <w:color w:val="000000"/>
          <w:u w:val="single"/>
          <w:lang w:eastAsia="bg-BG"/>
        </w:rPr>
      </w:pPr>
    </w:p>
    <w:p w14:paraId="3921A4C3" w14:textId="6418B259"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Антихолинергичните лекарствени продукти</w:t>
      </w:r>
      <w:r w:rsidRPr="00D46B5E">
        <w:rPr>
          <w:rFonts w:eastAsia="Times New Roman" w:cs="Arial"/>
          <w:color w:val="000000"/>
          <w:lang w:eastAsia="bg-BG"/>
        </w:rPr>
        <w:t xml:space="preserve"> (напр. атропин, бипериден) може да повишат бионаличността на тиазидните диуретици чрез понижаване на стомашно-чревния мотилитет и честотата на изпразване на стомаха.</w:t>
      </w:r>
    </w:p>
    <w:p w14:paraId="18AD2A2C" w14:textId="77777777" w:rsidR="00D46B5E" w:rsidRPr="00D46B5E" w:rsidRDefault="00D46B5E" w:rsidP="00D46B5E">
      <w:pPr>
        <w:spacing w:line="240" w:lineRule="auto"/>
        <w:rPr>
          <w:rFonts w:eastAsia="Times New Roman" w:cs="Arial"/>
          <w:color w:val="000000"/>
          <w:u w:val="single"/>
          <w:lang w:eastAsia="bg-BG"/>
        </w:rPr>
      </w:pPr>
    </w:p>
    <w:p w14:paraId="5ABAAFAB" w14:textId="170AE984"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Амантадин</w:t>
      </w:r>
    </w:p>
    <w:p w14:paraId="46F2235D" w14:textId="5C006AB8"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може да увеличат риска от нежелани ефекти, причинени от амантадин.</w:t>
      </w:r>
    </w:p>
    <w:p w14:paraId="5E87FF07" w14:textId="77777777" w:rsidR="00D46B5E" w:rsidRPr="00D46B5E" w:rsidRDefault="00D46B5E" w:rsidP="00D46B5E">
      <w:pPr>
        <w:spacing w:line="240" w:lineRule="auto"/>
        <w:rPr>
          <w:rFonts w:eastAsia="Times New Roman" w:cs="Arial"/>
          <w:color w:val="000000"/>
          <w:u w:val="single"/>
          <w:lang w:eastAsia="bg-BG"/>
        </w:rPr>
      </w:pPr>
    </w:p>
    <w:p w14:paraId="5243845F" w14:textId="46379CD2"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Цитотоксични лекарствени продукти (например циклофосфамид. метотрексат)</w:t>
      </w:r>
    </w:p>
    <w:p w14:paraId="033A0556"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може да намалят бъбречната екскреция на цитотоксичните лекарствени продукти и да потенцират миелосупресиращия им ефект.</w:t>
      </w:r>
    </w:p>
    <w:p w14:paraId="60256878" w14:textId="77777777" w:rsidR="00D46B5E" w:rsidRPr="00D46B5E" w:rsidRDefault="00D46B5E" w:rsidP="00D46B5E">
      <w:pPr>
        <w:spacing w:line="240" w:lineRule="auto"/>
        <w:rPr>
          <w:rFonts w:eastAsia="Times New Roman" w:cs="Arial"/>
          <w:color w:val="000000"/>
          <w:lang w:eastAsia="bg-BG"/>
        </w:rPr>
      </w:pPr>
    </w:p>
    <w:p w14:paraId="63EB5908" w14:textId="224F881C" w:rsidR="00D46B5E" w:rsidRPr="00D46B5E" w:rsidRDefault="00D46B5E" w:rsidP="00D46B5E">
      <w:pPr>
        <w:spacing w:line="240" w:lineRule="auto"/>
        <w:rPr>
          <w:rFonts w:eastAsia="Times New Roman" w:cs="Arial"/>
        </w:rPr>
      </w:pPr>
      <w:r w:rsidRPr="00D46B5E">
        <w:rPr>
          <w:rFonts w:eastAsia="Times New Roman" w:cs="Arial"/>
          <w:color w:val="000000"/>
          <w:lang w:eastAsia="bg-BG"/>
        </w:rPr>
        <w:lastRenderedPageBreak/>
        <w:t>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w:t>
      </w:r>
    </w:p>
    <w:p w14:paraId="56C368DD"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Също така, ортостатичната хипотония може да бъде засилена от алкохол, барбитурати, наркотични вещества или антидепресанти.</w:t>
      </w:r>
    </w:p>
    <w:p w14:paraId="6369F1A2" w14:textId="7745A79A" w:rsidR="00D46B5E" w:rsidRPr="00D46B5E" w:rsidRDefault="00D46B5E" w:rsidP="00D46B5E">
      <w:pPr>
        <w:spacing w:line="240" w:lineRule="auto"/>
        <w:rPr>
          <w:rFonts w:ascii="Times New Roman" w:eastAsia="Times New Roman" w:hAnsi="Times New Roman" w:cs="Times New Roman"/>
          <w:sz w:val="24"/>
          <w:szCs w:val="24"/>
        </w:rPr>
      </w:pPr>
    </w:p>
    <w:p w14:paraId="4762A32B" w14:textId="463BA55F" w:rsidR="001A6EBD" w:rsidRDefault="002C50EE" w:rsidP="00471F10">
      <w:pPr>
        <w:pStyle w:val="Heading2"/>
      </w:pPr>
      <w:r>
        <w:t>4.6. Фертилитет, бременност и кърмене</w:t>
      </w:r>
    </w:p>
    <w:p w14:paraId="79441309" w14:textId="439B4531" w:rsidR="00D46B5E" w:rsidRDefault="00D46B5E" w:rsidP="00D46B5E"/>
    <w:p w14:paraId="2483E752" w14:textId="77777777" w:rsidR="00D46B5E" w:rsidRPr="00D46B5E" w:rsidRDefault="00D46B5E" w:rsidP="00D46B5E">
      <w:pPr>
        <w:pStyle w:val="Heading3"/>
        <w:rPr>
          <w:rFonts w:eastAsia="Times New Roman"/>
          <w:u w:val="single"/>
        </w:rPr>
      </w:pPr>
      <w:r w:rsidRPr="00D46B5E">
        <w:rPr>
          <w:rFonts w:eastAsia="Times New Roman"/>
          <w:u w:val="single"/>
          <w:lang w:eastAsia="bg-BG"/>
        </w:rPr>
        <w:t>Бременност</w:t>
      </w:r>
    </w:p>
    <w:tbl>
      <w:tblPr>
        <w:tblStyle w:val="TableGrid"/>
        <w:tblW w:w="0" w:type="auto"/>
        <w:tblLook w:val="04A0" w:firstRow="1" w:lastRow="0" w:firstColumn="1" w:lastColumn="0" w:noHBand="0" w:noVBand="1"/>
      </w:tblPr>
      <w:tblGrid>
        <w:gridCol w:w="9350"/>
      </w:tblGrid>
      <w:tr w:rsidR="00D46B5E" w:rsidRPr="00D46B5E" w14:paraId="75A8DEF3" w14:textId="77777777" w:rsidTr="00D46B5E">
        <w:tc>
          <w:tcPr>
            <w:tcW w:w="9576" w:type="dxa"/>
          </w:tcPr>
          <w:p w14:paraId="1EEFEECD" w14:textId="4E45D1F2"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Не се препоръчва употребата на ангиотензин II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tc>
      </w:tr>
    </w:tbl>
    <w:p w14:paraId="115B0D48" w14:textId="679422BA" w:rsidR="00D46B5E" w:rsidRPr="00D46B5E" w:rsidRDefault="00D46B5E" w:rsidP="00D46B5E">
      <w:pPr>
        <w:rPr>
          <w:rFonts w:cs="Arial"/>
        </w:rPr>
      </w:pPr>
    </w:p>
    <w:p w14:paraId="751B6881"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Няма достатъчно данни за употребата на Танидон НСТ при бременни жени. животни показват репродуктивна токсичност (вж. точка 5.3).</w:t>
      </w:r>
    </w:p>
    <w:p w14:paraId="328CE5B0" w14:textId="77777777" w:rsidR="00D46B5E" w:rsidRPr="00D46B5E" w:rsidRDefault="00D46B5E" w:rsidP="00D46B5E">
      <w:pPr>
        <w:spacing w:line="240" w:lineRule="auto"/>
        <w:rPr>
          <w:rFonts w:eastAsia="Times New Roman" w:cs="Arial"/>
          <w:color w:val="000000"/>
          <w:lang w:eastAsia="bg-BG"/>
        </w:rPr>
      </w:pPr>
    </w:p>
    <w:p w14:paraId="7502D068" w14:textId="77777777" w:rsidR="00D46B5E" w:rsidRPr="00D46B5E" w:rsidRDefault="00D46B5E" w:rsidP="00D46B5E">
      <w:pPr>
        <w:rPr>
          <w:rFonts w:eastAsia="Times New Roman" w:cs="Arial"/>
          <w:sz w:val="24"/>
          <w:szCs w:val="24"/>
        </w:rPr>
      </w:pPr>
      <w:r w:rsidRPr="00D46B5E">
        <w:rPr>
          <w:rFonts w:eastAsia="Times New Roman" w:cs="Arial"/>
          <w:color w:val="000000"/>
          <w:lang w:eastAsia="bg-BG"/>
        </w:rPr>
        <w:t>Епидемиологичните данни за риска от тератогенност след експозиция на АС</w:t>
      </w:r>
      <w:r w:rsidRPr="00D46B5E">
        <w:rPr>
          <w:rFonts w:eastAsia="Times New Roman" w:cs="Arial"/>
          <w:color w:val="000000"/>
          <w:lang w:val="en-US"/>
        </w:rPr>
        <w:t>E</w:t>
      </w:r>
      <w:r w:rsidRPr="00D46B5E">
        <w:rPr>
          <w:rFonts w:eastAsia="Times New Roman" w:cs="Arial"/>
          <w:color w:val="000000"/>
          <w:lang w:val="ru-RU"/>
        </w:rPr>
        <w:t xml:space="preserve"> </w:t>
      </w:r>
      <w:r w:rsidRPr="00D46B5E">
        <w:rPr>
          <w:rFonts w:eastAsia="Times New Roman" w:cs="Arial"/>
          <w:color w:val="000000"/>
          <w:lang w:eastAsia="bg-BG"/>
        </w:rPr>
        <w:t>инхибитори през първия триместър на бременността не са убедителни. Все пак, не може да се изключи слабо</w:t>
      </w:r>
      <w:r w:rsidRPr="00D46B5E">
        <w:rPr>
          <w:rFonts w:eastAsia="Times New Roman" w:cs="Arial"/>
          <w:color w:val="000000"/>
          <w:vertAlign w:val="superscript"/>
          <w:lang w:eastAsia="bg-BG"/>
        </w:rPr>
        <w:t xml:space="preserve"> </w:t>
      </w:r>
      <w:r w:rsidRPr="00D46B5E">
        <w:rPr>
          <w:rFonts w:eastAsia="Times New Roman" w:cs="Arial"/>
          <w:color w:val="000000"/>
          <w:lang w:eastAsia="bg-BG"/>
        </w:rPr>
        <w:t>повишаване на риска. Докато няма контролирани епидемиологични данни за риска при</w:t>
      </w:r>
      <w:r w:rsidRPr="00D46B5E">
        <w:rPr>
          <w:rFonts w:eastAsia="Times New Roman" w:cs="Arial"/>
          <w:color w:val="000000"/>
          <w:lang w:val="ru-RU" w:eastAsia="bg-BG"/>
        </w:rPr>
        <w:t xml:space="preserve"> </w:t>
      </w:r>
      <w:r w:rsidRPr="00D46B5E">
        <w:rPr>
          <w:rFonts w:eastAsia="Times New Roman" w:cs="Arial"/>
          <w:color w:val="000000"/>
          <w:lang w:eastAsia="bg-BG"/>
        </w:rPr>
        <w:t>употреба на ангиотензин II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w:t>
      </w:r>
    </w:p>
    <w:p w14:paraId="55CD22DD" w14:textId="77777777" w:rsidR="00D46B5E" w:rsidRPr="00D46B5E" w:rsidRDefault="00D46B5E" w:rsidP="00D46B5E">
      <w:pPr>
        <w:spacing w:line="240" w:lineRule="auto"/>
        <w:rPr>
          <w:rFonts w:eastAsia="Times New Roman" w:cs="Arial"/>
          <w:color w:val="000000"/>
          <w:lang w:eastAsia="bg-BG"/>
        </w:rPr>
      </w:pPr>
    </w:p>
    <w:p w14:paraId="08020FCF" w14:textId="18281C2A"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Установено е, че експозицията на ангиотензин II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 Препоръчва се ултразвуков преглед на бъбречната функция и черепа, ако настъпи експозиция на ангиотензин II рецепторни антагонисти през втория триместър на бременността и след това.</w:t>
      </w:r>
    </w:p>
    <w:p w14:paraId="52252C93"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Новородените, чиито майки са приемали ангиотензин II рецепторни антагонисти, трябва да бъдат внимателно наблюдавани за наличие на хипотония (вж. точки 4.3 и 4.4).</w:t>
      </w:r>
    </w:p>
    <w:p w14:paraId="7FDA77F6" w14:textId="77777777" w:rsidR="00D46B5E" w:rsidRPr="00D46B5E" w:rsidRDefault="00D46B5E" w:rsidP="00D46B5E">
      <w:pPr>
        <w:spacing w:line="240" w:lineRule="auto"/>
        <w:rPr>
          <w:rFonts w:eastAsia="Times New Roman" w:cs="Arial"/>
          <w:color w:val="000000"/>
          <w:lang w:eastAsia="bg-BG"/>
        </w:rPr>
      </w:pPr>
    </w:p>
    <w:p w14:paraId="772BDBF7" w14:textId="39BF6D8C"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Опитът с хидрохлоротиазид по време на бременност е ограничен, особено през първия триместър. Проучванията при животни са недостатъчни. 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триместър може да компрометира фето -плацентарната пропускливост, и да причини фетални и неонатални ефекти, като жълтеница, нарушение на електролитния баланс и тромбоцитопения.</w:t>
      </w:r>
    </w:p>
    <w:p w14:paraId="568D8083" w14:textId="77777777" w:rsidR="00D46B5E" w:rsidRPr="00D46B5E" w:rsidRDefault="00D46B5E" w:rsidP="00D46B5E">
      <w:pPr>
        <w:spacing w:line="240" w:lineRule="auto"/>
        <w:rPr>
          <w:rFonts w:eastAsia="Times New Roman" w:cs="Arial"/>
          <w:color w:val="000000"/>
          <w:lang w:eastAsia="bg-BG"/>
        </w:rPr>
      </w:pPr>
    </w:p>
    <w:p w14:paraId="68A28764" w14:textId="7B390BFA"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Хидрохлоротиазид не трябва да се използва при гестационен оток, гестационна хипертония или прееклампсия, поради риск от понижаване на плазмения обем и плацентарна хипоперфузия, без полезен ефект върху хода на заболяването.</w:t>
      </w:r>
    </w:p>
    <w:p w14:paraId="36076E26" w14:textId="77777777" w:rsidR="00D46B5E" w:rsidRPr="00D46B5E" w:rsidRDefault="00D46B5E" w:rsidP="00D46B5E">
      <w:pPr>
        <w:spacing w:line="240" w:lineRule="auto"/>
        <w:rPr>
          <w:rFonts w:eastAsia="Times New Roman" w:cs="Arial"/>
          <w:color w:val="000000"/>
          <w:lang w:eastAsia="bg-BG"/>
        </w:rPr>
      </w:pPr>
    </w:p>
    <w:p w14:paraId="3E31007D" w14:textId="0D8803D3"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2B502B76" w14:textId="77777777" w:rsidR="00D46B5E" w:rsidRPr="00D46B5E" w:rsidRDefault="00D46B5E" w:rsidP="00D46B5E">
      <w:pPr>
        <w:spacing w:line="240" w:lineRule="auto"/>
        <w:rPr>
          <w:rFonts w:eastAsia="Times New Roman" w:cs="Arial"/>
          <w:color w:val="000000"/>
          <w:u w:val="single"/>
          <w:lang w:eastAsia="bg-BG"/>
        </w:rPr>
      </w:pPr>
    </w:p>
    <w:p w14:paraId="78EC8A3B" w14:textId="56197FFF" w:rsidR="00D46B5E" w:rsidRPr="00D46B5E" w:rsidRDefault="00D46B5E" w:rsidP="00D46B5E">
      <w:pPr>
        <w:pStyle w:val="Heading3"/>
        <w:rPr>
          <w:rFonts w:eastAsia="Times New Roman"/>
          <w:u w:val="single"/>
        </w:rPr>
      </w:pPr>
      <w:r w:rsidRPr="00D46B5E">
        <w:rPr>
          <w:rFonts w:eastAsia="Times New Roman"/>
          <w:u w:val="single"/>
          <w:lang w:eastAsia="bg-BG"/>
        </w:rPr>
        <w:t>Кърмене</w:t>
      </w:r>
    </w:p>
    <w:p w14:paraId="257FFCEF"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Тъй като няма данни относно употребата на Танидон НСТ в периода на кърмене, Танидон НСТ не се препоръчва, а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дете.</w:t>
      </w:r>
    </w:p>
    <w:p w14:paraId="4065C75D" w14:textId="77777777" w:rsidR="00D46B5E" w:rsidRPr="00D46B5E" w:rsidRDefault="00D46B5E" w:rsidP="00D46B5E">
      <w:pPr>
        <w:spacing w:line="240" w:lineRule="auto"/>
        <w:rPr>
          <w:rFonts w:eastAsia="Times New Roman" w:cs="Arial"/>
          <w:color w:val="000000"/>
          <w:lang w:eastAsia="bg-BG"/>
        </w:rPr>
      </w:pPr>
    </w:p>
    <w:p w14:paraId="3A172E46" w14:textId="3DA00ED5"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Хидрохлоротиазид се екскретира в малки количества в майчиното мляко. Тиазиди във високи дози, предизвикващи интензивна диуреза може да инхибират продукцията на мляко.</w:t>
      </w:r>
    </w:p>
    <w:p w14:paraId="2656F7EB"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Употребата на Танидон НСТ по време на кърмене не се препоръчва. Ако Танидон НСТ се използва в периода на кърмене, трябва да се поддържат най-ниските възможни дози.</w:t>
      </w:r>
    </w:p>
    <w:p w14:paraId="188A66D2" w14:textId="77777777" w:rsidR="00D46B5E" w:rsidRPr="00D46B5E" w:rsidRDefault="00D46B5E" w:rsidP="00D46B5E">
      <w:pPr>
        <w:spacing w:line="240" w:lineRule="auto"/>
        <w:rPr>
          <w:rFonts w:eastAsia="Times New Roman" w:cs="Arial"/>
          <w:color w:val="000000"/>
          <w:u w:val="single"/>
          <w:lang w:eastAsia="bg-BG"/>
        </w:rPr>
      </w:pPr>
    </w:p>
    <w:p w14:paraId="7171A698" w14:textId="1B9E074A" w:rsidR="00D46B5E" w:rsidRPr="00D46B5E" w:rsidRDefault="00D46B5E" w:rsidP="00D46B5E">
      <w:pPr>
        <w:pStyle w:val="Heading3"/>
        <w:rPr>
          <w:rFonts w:eastAsia="Times New Roman"/>
          <w:u w:val="single"/>
        </w:rPr>
      </w:pPr>
      <w:r w:rsidRPr="00D46B5E">
        <w:rPr>
          <w:rFonts w:eastAsia="Times New Roman"/>
          <w:u w:val="single"/>
          <w:lang w:eastAsia="bg-BG"/>
        </w:rPr>
        <w:t>Фертилитет</w:t>
      </w:r>
    </w:p>
    <w:p w14:paraId="30110636"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В предклинични проучвания не са наблюдавани ефекти на телмисатран и хидрохлоротиазид върху фертилитета на мъжки и женски индивиди.</w:t>
      </w:r>
    </w:p>
    <w:p w14:paraId="39053667" w14:textId="10973DF7" w:rsidR="00D46B5E" w:rsidRPr="00D46B5E" w:rsidRDefault="00D46B5E" w:rsidP="00D46B5E"/>
    <w:p w14:paraId="188B33B4" w14:textId="4E8FC842" w:rsidR="001A6EBD" w:rsidRDefault="002C50EE" w:rsidP="00471F10">
      <w:pPr>
        <w:pStyle w:val="Heading2"/>
      </w:pPr>
      <w:r>
        <w:t>4.7. Ефекти върху способността за шофиране и работа с машини</w:t>
      </w:r>
    </w:p>
    <w:p w14:paraId="7D026EA7" w14:textId="615C0556" w:rsidR="005A3F5B" w:rsidRDefault="005A3F5B" w:rsidP="005A3F5B"/>
    <w:p w14:paraId="503AABB5" w14:textId="77777777" w:rsidR="005A3F5B" w:rsidRPr="005A3F5B" w:rsidRDefault="005A3F5B" w:rsidP="005A3F5B">
      <w:pPr>
        <w:rPr>
          <w:sz w:val="24"/>
          <w:szCs w:val="24"/>
        </w:rPr>
      </w:pPr>
      <w:r w:rsidRPr="005A3F5B">
        <w:rPr>
          <w:lang w:eastAsia="bg-BG"/>
        </w:rPr>
        <w:t>Танидон НСТ може да повлияе върху способността за шофиране и работа с машини. При прием на Танидон НСТ понякога могат да се проявят замайване или сънливост.</w:t>
      </w:r>
    </w:p>
    <w:p w14:paraId="22459A12" w14:textId="77777777" w:rsidR="005A3F5B" w:rsidRPr="005A3F5B" w:rsidRDefault="005A3F5B" w:rsidP="005A3F5B"/>
    <w:p w14:paraId="44CE30A3" w14:textId="75DA24BA" w:rsidR="007122AD" w:rsidRDefault="002C50EE" w:rsidP="00936AD0">
      <w:pPr>
        <w:pStyle w:val="Heading2"/>
      </w:pPr>
      <w:r>
        <w:t>4.8. Нежелани лекарствени реакции</w:t>
      </w:r>
    </w:p>
    <w:p w14:paraId="4CBFFBF0" w14:textId="7C311680" w:rsidR="005A3F5B" w:rsidRDefault="005A3F5B" w:rsidP="005A3F5B"/>
    <w:p w14:paraId="5A8D6B57" w14:textId="77777777" w:rsidR="005A3F5B" w:rsidRPr="0079564D" w:rsidRDefault="005A3F5B" w:rsidP="005A3F5B">
      <w:pPr>
        <w:spacing w:line="240" w:lineRule="auto"/>
        <w:rPr>
          <w:rFonts w:eastAsia="Times New Roman" w:cs="Arial"/>
        </w:rPr>
      </w:pPr>
      <w:r w:rsidRPr="0079564D">
        <w:rPr>
          <w:rFonts w:eastAsia="Times New Roman" w:cs="Arial"/>
          <w:i/>
          <w:iCs/>
          <w:color w:val="000000"/>
          <w:lang w:eastAsia="bg-BG"/>
        </w:rPr>
        <w:t>Кратко изложение на профила на безопасност</w:t>
      </w:r>
    </w:p>
    <w:p w14:paraId="248E649E" w14:textId="77777777" w:rsidR="005A3F5B" w:rsidRPr="0079564D" w:rsidRDefault="005A3F5B" w:rsidP="005A3F5B">
      <w:pPr>
        <w:spacing w:line="240" w:lineRule="auto"/>
        <w:rPr>
          <w:rFonts w:eastAsia="Times New Roman" w:cs="Arial"/>
          <w:color w:val="000000"/>
          <w:lang w:eastAsia="bg-BG"/>
        </w:rPr>
      </w:pPr>
    </w:p>
    <w:p w14:paraId="7E5BDF10" w14:textId="16F66062"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Най-често съобщаваната нежелана лекарствена реакция е замайване. Сериозен ангионевротичен оток може да настъпи рядко (≥1/10 000 до &lt;1/1 000).</w:t>
      </w:r>
    </w:p>
    <w:p w14:paraId="0239376C" w14:textId="04DC5763" w:rsidR="005A3F5B" w:rsidRPr="0079564D" w:rsidRDefault="005A3F5B" w:rsidP="005A3F5B">
      <w:pPr>
        <w:rPr>
          <w:rFonts w:cs="Arial"/>
        </w:rPr>
      </w:pPr>
    </w:p>
    <w:p w14:paraId="401063D1" w14:textId="77777777"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/12,5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4FD22191"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Общата честота на нежеланите лекарствени реакции, съобщени при употреба на телмисартан/хидрохлоротиазид е сравнима с тази на нежеланите лекарствени реакции, съобщени при употреба само на телмисартан в рандомизирани контролирани проучвания, включващи 1 471 пациенти, разпределени на случаен принцип за лечение с телмисартан плюс хидрохлоротиазид (835) или само с телмисартан (636). 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57BF8C0D" w14:textId="77777777" w:rsidR="005A3F5B" w:rsidRPr="0079564D" w:rsidRDefault="005A3F5B" w:rsidP="005A3F5B">
      <w:pPr>
        <w:spacing w:line="240" w:lineRule="auto"/>
        <w:rPr>
          <w:rFonts w:eastAsia="Times New Roman" w:cs="Arial"/>
          <w:color w:val="000000"/>
          <w:u w:val="single"/>
          <w:lang w:eastAsia="bg-BG"/>
        </w:rPr>
      </w:pPr>
    </w:p>
    <w:p w14:paraId="4B5E8CF2" w14:textId="1B6DA0D3"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0551EE85"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Общата честота на нежеланите събития, съобщени при употребата на телмисартан/хидрохлоротиазид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сравнима с тази при употреба на телмисартан/хидрохлоротиазид 80 </w:t>
      </w:r>
      <w:r w:rsidRPr="0079564D">
        <w:rPr>
          <w:rFonts w:eastAsia="Times New Roman" w:cs="Arial"/>
          <w:color w:val="000000"/>
          <w:lang w:val="en-US"/>
        </w:rPr>
        <w:t>mg</w:t>
      </w:r>
      <w:r w:rsidRPr="0079564D">
        <w:rPr>
          <w:rFonts w:eastAsia="Times New Roman" w:cs="Arial"/>
          <w:color w:val="000000"/>
          <w:lang w:val="ru-RU"/>
        </w:rPr>
        <w:t xml:space="preserve">/12,5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6931A3F4" w14:textId="77777777" w:rsidR="005A3F5B" w:rsidRPr="0079564D" w:rsidRDefault="005A3F5B" w:rsidP="005A3F5B">
      <w:pPr>
        <w:spacing w:line="240" w:lineRule="auto"/>
        <w:rPr>
          <w:rFonts w:eastAsia="Times New Roman" w:cs="Arial"/>
          <w:i/>
          <w:iCs/>
          <w:color w:val="000000"/>
          <w:lang w:eastAsia="bg-BG"/>
        </w:rPr>
      </w:pPr>
    </w:p>
    <w:p w14:paraId="3338062F" w14:textId="6A6CC0E9" w:rsidR="005A3F5B" w:rsidRPr="0079564D" w:rsidRDefault="005A3F5B" w:rsidP="005A3F5B">
      <w:pPr>
        <w:spacing w:line="240" w:lineRule="auto"/>
        <w:rPr>
          <w:rFonts w:eastAsia="Times New Roman" w:cs="Arial"/>
        </w:rPr>
      </w:pPr>
      <w:r w:rsidRPr="0079564D">
        <w:rPr>
          <w:rFonts w:eastAsia="Times New Roman" w:cs="Arial"/>
          <w:i/>
          <w:iCs/>
          <w:color w:val="000000"/>
          <w:lang w:eastAsia="bg-BG"/>
        </w:rPr>
        <w:t>Списък на нежеланите лекарствени реакции в табличен формат</w:t>
      </w:r>
    </w:p>
    <w:p w14:paraId="2C8ED850" w14:textId="77777777" w:rsidR="005A3F5B" w:rsidRPr="0079564D" w:rsidRDefault="005A3F5B" w:rsidP="005A3F5B">
      <w:pPr>
        <w:spacing w:line="240" w:lineRule="auto"/>
        <w:rPr>
          <w:rFonts w:eastAsia="Times New Roman" w:cs="Arial"/>
          <w:color w:val="000000"/>
          <w:lang w:eastAsia="bg-BG"/>
        </w:rPr>
      </w:pPr>
    </w:p>
    <w:p w14:paraId="075216D0" w14:textId="306BA467"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Нежеланите лекарствени реакции, съобщени във всички клинични проучвания и настъпили по- често при използването на телмисартан плюс хидрохлоротиазид, отколкото при плацебо (р≤0,05), са описани по-долу в съответствие със системо-органната класификация. При лечение с Танидон НСТ могат да се появят и нежелани лекарствени реакции, които са характерни за самостоятелното прилагане на отделните му съставки, но които не са наблюдавани в клиничните проучвания.</w:t>
      </w:r>
    </w:p>
    <w:p w14:paraId="3B70B2E9" w14:textId="77777777" w:rsidR="005A3F5B" w:rsidRPr="0079564D" w:rsidRDefault="005A3F5B" w:rsidP="005A3F5B">
      <w:pPr>
        <w:spacing w:line="240" w:lineRule="auto"/>
        <w:rPr>
          <w:rFonts w:eastAsia="Times New Roman" w:cs="Arial"/>
          <w:color w:val="000000"/>
          <w:lang w:eastAsia="bg-BG"/>
        </w:rPr>
      </w:pPr>
    </w:p>
    <w:p w14:paraId="7341E5F4" w14:textId="7F0D472E"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Нежеланите лекарствени реакции са категоризирани според честотата, като е използвана 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3FC7D919" w14:textId="77777777" w:rsidR="005A3F5B" w:rsidRPr="0079564D" w:rsidRDefault="005A3F5B" w:rsidP="005A3F5B">
      <w:pPr>
        <w:spacing w:line="240" w:lineRule="auto"/>
        <w:rPr>
          <w:rFonts w:eastAsia="Times New Roman" w:cs="Arial"/>
          <w:color w:val="000000"/>
          <w:lang w:eastAsia="bg-BG"/>
        </w:rPr>
      </w:pPr>
    </w:p>
    <w:p w14:paraId="421FAAEA" w14:textId="6D8C7094" w:rsidR="005A3F5B" w:rsidRPr="0079564D" w:rsidRDefault="005A3F5B" w:rsidP="005A3F5B">
      <w:pPr>
        <w:spacing w:line="240" w:lineRule="auto"/>
        <w:rPr>
          <w:rFonts w:eastAsia="Times New Roman" w:cs="Arial"/>
        </w:rPr>
      </w:pPr>
      <w:r w:rsidRPr="0079564D">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6CCEC970" w14:textId="77777777" w:rsidR="005A3F5B" w:rsidRPr="0079564D" w:rsidRDefault="005A3F5B" w:rsidP="005A3F5B">
      <w:pPr>
        <w:spacing w:line="240" w:lineRule="auto"/>
        <w:rPr>
          <w:rFonts w:eastAsia="Times New Roman" w:cs="Arial"/>
          <w:b/>
          <w:bCs/>
          <w:color w:val="000000"/>
          <w:lang w:eastAsia="bg-BG"/>
        </w:rPr>
      </w:pPr>
      <w:bookmarkStart w:id="1" w:name="bookmark0"/>
    </w:p>
    <w:p w14:paraId="53ECB4CA" w14:textId="70E06D52" w:rsidR="005A3F5B" w:rsidRPr="0079564D" w:rsidRDefault="005A3F5B" w:rsidP="005A3F5B">
      <w:pPr>
        <w:spacing w:line="240" w:lineRule="auto"/>
        <w:rPr>
          <w:rFonts w:eastAsia="Times New Roman" w:cs="Arial"/>
        </w:rPr>
      </w:pPr>
      <w:r w:rsidRPr="0079564D">
        <w:rPr>
          <w:rFonts w:eastAsia="Times New Roman" w:cs="Arial"/>
          <w:b/>
          <w:bCs/>
          <w:color w:val="000000"/>
          <w:lang w:eastAsia="bg-BG"/>
        </w:rPr>
        <w:t>Възможни нежелани реакции на Танидон НСТ (вижте по-долу допълнителната информация за отделните компоненти).</w:t>
      </w:r>
      <w:bookmarkEnd w:id="1"/>
    </w:p>
    <w:p w14:paraId="6F96FF67" w14:textId="77777777" w:rsidR="005A3F5B" w:rsidRPr="0079564D" w:rsidRDefault="005A3F5B" w:rsidP="005A3F5B">
      <w:pPr>
        <w:spacing w:line="240" w:lineRule="auto"/>
        <w:rPr>
          <w:rFonts w:eastAsia="Times New Roman" w:cs="Arial"/>
          <w:color w:val="000000"/>
          <w:lang w:eastAsia="bg-BG"/>
        </w:rPr>
      </w:pPr>
    </w:p>
    <w:p w14:paraId="5C7DCF1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Инфекции и инфестации </w:t>
      </w:r>
    </w:p>
    <w:p w14:paraId="3AE084CC" w14:textId="34D14CD8"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бронхит, фарингит, синузит</w:t>
      </w:r>
    </w:p>
    <w:p w14:paraId="01EFFBB0" w14:textId="77777777" w:rsidR="005A3F5B" w:rsidRPr="0079564D" w:rsidRDefault="005A3F5B" w:rsidP="005A3F5B">
      <w:pPr>
        <w:spacing w:line="240" w:lineRule="auto"/>
        <w:rPr>
          <w:rFonts w:eastAsia="Times New Roman" w:cs="Arial"/>
          <w:color w:val="000000"/>
          <w:lang w:eastAsia="bg-BG"/>
        </w:rPr>
      </w:pPr>
    </w:p>
    <w:p w14:paraId="525350AA" w14:textId="0ED0F913"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имунната система</w:t>
      </w:r>
    </w:p>
    <w:p w14:paraId="614A5954"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обостряне или активиране на системен лупус еритематодес</w:t>
      </w:r>
      <w:r w:rsidRPr="0079564D">
        <w:rPr>
          <w:rFonts w:eastAsia="Times New Roman" w:cs="Arial"/>
          <w:color w:val="000000"/>
          <w:vertAlign w:val="superscript"/>
          <w:lang w:eastAsia="bg-BG"/>
        </w:rPr>
        <w:t>1</w:t>
      </w:r>
    </w:p>
    <w:p w14:paraId="3BC1CF59" w14:textId="77777777" w:rsidR="005A3F5B" w:rsidRPr="0079564D" w:rsidRDefault="005A3F5B" w:rsidP="005A3F5B">
      <w:pPr>
        <w:spacing w:line="240" w:lineRule="auto"/>
        <w:rPr>
          <w:rFonts w:eastAsia="Times New Roman" w:cs="Arial"/>
          <w:color w:val="000000"/>
          <w:lang w:eastAsia="bg-BG"/>
        </w:rPr>
      </w:pPr>
    </w:p>
    <w:p w14:paraId="028EA15E"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метаболизма и храненето </w:t>
      </w:r>
    </w:p>
    <w:p w14:paraId="7C51E7F8" w14:textId="46AD547A"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хипокалиемия</w:t>
      </w:r>
    </w:p>
    <w:p w14:paraId="6D3D09FB"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хиперурикемия, хипонатриемия</w:t>
      </w:r>
    </w:p>
    <w:p w14:paraId="4625FE24" w14:textId="77777777" w:rsidR="005A3F5B" w:rsidRPr="0079564D" w:rsidRDefault="005A3F5B" w:rsidP="005A3F5B">
      <w:pPr>
        <w:spacing w:line="240" w:lineRule="auto"/>
        <w:rPr>
          <w:rFonts w:eastAsia="Times New Roman" w:cs="Arial"/>
          <w:color w:val="000000"/>
          <w:lang w:eastAsia="bg-BG"/>
        </w:rPr>
      </w:pPr>
    </w:p>
    <w:p w14:paraId="77EC7E1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Психични нарушения </w:t>
      </w:r>
    </w:p>
    <w:p w14:paraId="59B4C9CF" w14:textId="76C8297C"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безпокойство</w:t>
      </w:r>
    </w:p>
    <w:p w14:paraId="07AEEC2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депресия</w:t>
      </w:r>
    </w:p>
    <w:p w14:paraId="4B221D3A" w14:textId="77777777" w:rsidR="005A3F5B" w:rsidRPr="0079564D" w:rsidRDefault="005A3F5B" w:rsidP="005A3F5B">
      <w:pPr>
        <w:spacing w:line="240" w:lineRule="auto"/>
        <w:rPr>
          <w:rFonts w:eastAsia="Times New Roman" w:cs="Arial"/>
          <w:color w:val="000000"/>
          <w:lang w:eastAsia="bg-BG"/>
        </w:rPr>
      </w:pPr>
    </w:p>
    <w:p w14:paraId="5787D5F6"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нервната система </w:t>
      </w:r>
    </w:p>
    <w:p w14:paraId="5CA59756" w14:textId="1D9E2896"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чести: замайване</w:t>
      </w:r>
    </w:p>
    <w:p w14:paraId="57ABA6E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синкоп, парестезия</w:t>
      </w:r>
    </w:p>
    <w:p w14:paraId="3A2711F1" w14:textId="617D8C6D" w:rsidR="005A3F5B" w:rsidRPr="0079564D" w:rsidRDefault="005A3F5B" w:rsidP="005A3F5B">
      <w:pPr>
        <w:rPr>
          <w:rFonts w:eastAsia="Times New Roman" w:cs="Arial"/>
          <w:color w:val="000000"/>
          <w:lang w:eastAsia="bg-BG"/>
        </w:rPr>
      </w:pPr>
      <w:r w:rsidRPr="0079564D">
        <w:rPr>
          <w:rFonts w:eastAsia="Times New Roman" w:cs="Arial"/>
          <w:color w:val="000000"/>
          <w:lang w:eastAsia="bg-BG"/>
        </w:rPr>
        <w:t>редки: безсъние, нарушения на съня</w:t>
      </w:r>
    </w:p>
    <w:p w14:paraId="288115DA" w14:textId="7B302761" w:rsidR="005A3F5B" w:rsidRPr="0079564D" w:rsidRDefault="005A3F5B" w:rsidP="005A3F5B">
      <w:pPr>
        <w:rPr>
          <w:rFonts w:eastAsia="Times New Roman" w:cs="Arial"/>
          <w:color w:val="000000"/>
          <w:lang w:eastAsia="bg-BG"/>
        </w:rPr>
      </w:pPr>
    </w:p>
    <w:p w14:paraId="54D8D632"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очите </w:t>
      </w:r>
    </w:p>
    <w:p w14:paraId="029751A7" w14:textId="3F8B0F5A"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нарушения на зрението, замъглено виждане</w:t>
      </w:r>
    </w:p>
    <w:p w14:paraId="7B4583F2" w14:textId="77777777" w:rsidR="005A3F5B" w:rsidRPr="0079564D" w:rsidRDefault="005A3F5B" w:rsidP="005A3F5B">
      <w:pPr>
        <w:spacing w:line="240" w:lineRule="auto"/>
        <w:rPr>
          <w:rFonts w:eastAsia="Times New Roman" w:cs="Arial"/>
          <w:color w:val="000000"/>
          <w:lang w:eastAsia="bg-BG"/>
        </w:rPr>
      </w:pPr>
    </w:p>
    <w:p w14:paraId="11A9F0E4"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ухото и лабиринта </w:t>
      </w:r>
    </w:p>
    <w:p w14:paraId="022423C7" w14:textId="2BEF2D4F"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световъртеж</w:t>
      </w:r>
    </w:p>
    <w:p w14:paraId="2511D75F" w14:textId="77777777" w:rsidR="005A3F5B" w:rsidRPr="0079564D" w:rsidRDefault="005A3F5B" w:rsidP="005A3F5B">
      <w:pPr>
        <w:spacing w:line="240" w:lineRule="auto"/>
        <w:rPr>
          <w:rFonts w:eastAsia="Times New Roman" w:cs="Arial"/>
          <w:color w:val="000000"/>
          <w:lang w:eastAsia="bg-BG"/>
        </w:rPr>
      </w:pPr>
    </w:p>
    <w:p w14:paraId="17156C7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Сърдечни нарушения </w:t>
      </w:r>
    </w:p>
    <w:p w14:paraId="3F7D2DF0" w14:textId="3F18021A"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тахикардия, аритмия</w:t>
      </w:r>
    </w:p>
    <w:p w14:paraId="24E46A0E" w14:textId="77777777" w:rsidR="005A3F5B" w:rsidRPr="0079564D" w:rsidRDefault="005A3F5B" w:rsidP="005A3F5B">
      <w:pPr>
        <w:spacing w:line="240" w:lineRule="auto"/>
        <w:rPr>
          <w:rFonts w:eastAsia="Times New Roman" w:cs="Arial"/>
          <w:color w:val="000000"/>
          <w:lang w:eastAsia="bg-BG"/>
        </w:rPr>
      </w:pPr>
    </w:p>
    <w:p w14:paraId="382A053F"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Съдови нарушения </w:t>
      </w:r>
    </w:p>
    <w:p w14:paraId="405813D8" w14:textId="689F090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хипотония, ортостатична хипотония</w:t>
      </w:r>
    </w:p>
    <w:p w14:paraId="55CD6929" w14:textId="77777777" w:rsidR="005A3F5B" w:rsidRPr="0079564D" w:rsidRDefault="005A3F5B" w:rsidP="005A3F5B">
      <w:pPr>
        <w:spacing w:line="240" w:lineRule="auto"/>
        <w:rPr>
          <w:rFonts w:eastAsia="Times New Roman" w:cs="Arial"/>
          <w:color w:val="000000"/>
          <w:lang w:eastAsia="bg-BG"/>
        </w:rPr>
      </w:pPr>
    </w:p>
    <w:p w14:paraId="074B238A"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Респираторни, гръдни и медиастинални нарушения </w:t>
      </w:r>
    </w:p>
    <w:p w14:paraId="0DFE187E" w14:textId="3F7504EF"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нечести: диспнея</w:t>
      </w:r>
    </w:p>
    <w:p w14:paraId="67FE5723"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редки: респираторен дистрес (включително пневмонити и </w:t>
      </w:r>
    </w:p>
    <w:p w14:paraId="2361D0D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белодробен оток)</w:t>
      </w:r>
    </w:p>
    <w:p w14:paraId="1D3F641A" w14:textId="77777777" w:rsidR="005A3F5B" w:rsidRPr="0079564D" w:rsidRDefault="005A3F5B" w:rsidP="005A3F5B">
      <w:pPr>
        <w:spacing w:line="240" w:lineRule="auto"/>
        <w:rPr>
          <w:rFonts w:eastAsia="Times New Roman" w:cs="Arial"/>
          <w:color w:val="000000"/>
          <w:lang w:eastAsia="bg-BG"/>
        </w:rPr>
      </w:pPr>
    </w:p>
    <w:p w14:paraId="537EB866"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Стомашно-чревни нарушения </w:t>
      </w:r>
    </w:p>
    <w:p w14:paraId="7A960DB0" w14:textId="2B9A24B3"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диария, сухота в устата, флатуленция</w:t>
      </w:r>
    </w:p>
    <w:p w14:paraId="6998189D"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абдоминална болка, запек, диспепсия, повръщане, гастрит</w:t>
      </w:r>
    </w:p>
    <w:p w14:paraId="4994268C" w14:textId="77777777" w:rsidR="005A3F5B" w:rsidRPr="0079564D" w:rsidRDefault="005A3F5B" w:rsidP="005A3F5B">
      <w:pPr>
        <w:spacing w:line="240" w:lineRule="auto"/>
        <w:rPr>
          <w:rFonts w:eastAsia="Times New Roman" w:cs="Arial"/>
          <w:color w:val="000000"/>
          <w:lang w:eastAsia="bg-BG"/>
        </w:rPr>
      </w:pPr>
    </w:p>
    <w:p w14:paraId="638CCCD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Хепато-билиарни нарушения </w:t>
      </w:r>
    </w:p>
    <w:p w14:paraId="0AF52CA9" w14:textId="231E7C21"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абнормна чернодробна функция/чернодробно нарушение</w:t>
      </w:r>
      <w:r w:rsidRPr="0079564D">
        <w:rPr>
          <w:rFonts w:eastAsia="Times New Roman" w:cs="Arial"/>
          <w:color w:val="000000"/>
          <w:vertAlign w:val="superscript"/>
          <w:lang w:eastAsia="bg-BG"/>
        </w:rPr>
        <w:t>2</w:t>
      </w:r>
    </w:p>
    <w:p w14:paraId="7D6E85FF" w14:textId="77777777" w:rsidR="005A3F5B" w:rsidRPr="0079564D" w:rsidRDefault="005A3F5B" w:rsidP="005A3F5B">
      <w:pPr>
        <w:spacing w:line="240" w:lineRule="auto"/>
        <w:rPr>
          <w:rFonts w:eastAsia="Times New Roman" w:cs="Arial"/>
          <w:color w:val="000000"/>
          <w:lang w:eastAsia="bg-BG"/>
        </w:rPr>
      </w:pPr>
    </w:p>
    <w:p w14:paraId="5ACA6F58"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кожата и подкожната тъкан </w:t>
      </w:r>
    </w:p>
    <w:p w14:paraId="7ABEF8E7" w14:textId="47386D6B"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ангоедем (също и с фатален изход), еритема, прурит, обрив,</w:t>
      </w:r>
    </w:p>
    <w:p w14:paraId="0B5FA7E3"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хиперхидроза, уртикария</w:t>
      </w:r>
    </w:p>
    <w:p w14:paraId="62B817D3" w14:textId="77777777" w:rsidR="005A3F5B" w:rsidRPr="0079564D" w:rsidRDefault="005A3F5B" w:rsidP="005A3F5B">
      <w:pPr>
        <w:spacing w:line="240" w:lineRule="auto"/>
        <w:rPr>
          <w:rFonts w:eastAsia="Times New Roman" w:cs="Arial"/>
          <w:color w:val="000000"/>
          <w:lang w:eastAsia="bg-BG"/>
        </w:rPr>
      </w:pPr>
    </w:p>
    <w:p w14:paraId="64024C5D"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мускулно-скелетната система и съединителната тъкан </w:t>
      </w:r>
    </w:p>
    <w:p w14:paraId="6FB86D94" w14:textId="126FBF1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болка в гърба, мускулни спазми, миалгия</w:t>
      </w:r>
    </w:p>
    <w:p w14:paraId="1150B6DD"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артралгия, мускулни крампи, болка в крайник</w:t>
      </w:r>
    </w:p>
    <w:p w14:paraId="292EF3DA" w14:textId="77777777" w:rsidR="005A3F5B" w:rsidRPr="0079564D" w:rsidRDefault="005A3F5B" w:rsidP="005A3F5B">
      <w:pPr>
        <w:spacing w:line="240" w:lineRule="auto"/>
        <w:rPr>
          <w:rFonts w:eastAsia="Times New Roman" w:cs="Arial"/>
          <w:color w:val="000000"/>
          <w:lang w:eastAsia="bg-BG"/>
        </w:rPr>
      </w:pPr>
    </w:p>
    <w:p w14:paraId="2A90DCB4"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възпроизводителната система и гърдата </w:t>
      </w:r>
    </w:p>
    <w:p w14:paraId="6083E592" w14:textId="2D943A64"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еректилна дисфункция</w:t>
      </w:r>
    </w:p>
    <w:p w14:paraId="05C7C768" w14:textId="77777777" w:rsidR="005A3F5B" w:rsidRPr="0079564D" w:rsidRDefault="005A3F5B" w:rsidP="005A3F5B">
      <w:pPr>
        <w:spacing w:line="240" w:lineRule="auto"/>
        <w:rPr>
          <w:rFonts w:eastAsia="Times New Roman" w:cs="Arial"/>
          <w:color w:val="000000"/>
          <w:lang w:eastAsia="bg-BG"/>
        </w:rPr>
      </w:pPr>
    </w:p>
    <w:p w14:paraId="21A0B6DF"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Общи нарушения и ефекти на мястото на приложение </w:t>
      </w:r>
    </w:p>
    <w:p w14:paraId="3F0AEF1A" w14:textId="7693DD61"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болка в гръдния кош</w:t>
      </w:r>
    </w:p>
    <w:p w14:paraId="218382D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грипоподобно заболяване, болка</w:t>
      </w:r>
    </w:p>
    <w:p w14:paraId="27B19CE2" w14:textId="77777777" w:rsidR="005A3F5B" w:rsidRPr="0079564D" w:rsidRDefault="005A3F5B" w:rsidP="005A3F5B">
      <w:pPr>
        <w:spacing w:line="240" w:lineRule="auto"/>
        <w:rPr>
          <w:rFonts w:eastAsia="Times New Roman" w:cs="Arial"/>
          <w:color w:val="000000"/>
          <w:lang w:eastAsia="bg-BG"/>
        </w:rPr>
      </w:pPr>
    </w:p>
    <w:p w14:paraId="7AADBF6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Изследвания </w:t>
      </w:r>
    </w:p>
    <w:p w14:paraId="4D3FA6D5" w14:textId="183D1726"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повишена пикочна киселина в кръвта</w:t>
      </w:r>
    </w:p>
    <w:p w14:paraId="1DF017B7"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повишен креатинин в кръвта, повишена креатин</w:t>
      </w:r>
    </w:p>
    <w:p w14:paraId="1ECA954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фосфокиназа в кръвта, повишени чернодробни ензими</w:t>
      </w:r>
    </w:p>
    <w:p w14:paraId="1712DBD3" w14:textId="77777777" w:rsidR="005A3F5B" w:rsidRPr="0079564D" w:rsidRDefault="005A3F5B" w:rsidP="005A3F5B">
      <w:pPr>
        <w:spacing w:line="240" w:lineRule="auto"/>
        <w:rPr>
          <w:rFonts w:eastAsia="Times New Roman" w:cs="Arial"/>
          <w:color w:val="000000"/>
          <w:lang w:eastAsia="bg-BG"/>
        </w:rPr>
      </w:pPr>
    </w:p>
    <w:p w14:paraId="5CCCCD48" w14:textId="0F2B5ED5" w:rsidR="005A3F5B" w:rsidRPr="0079564D" w:rsidRDefault="005A3F5B" w:rsidP="005A3F5B">
      <w:pPr>
        <w:spacing w:line="240" w:lineRule="auto"/>
        <w:rPr>
          <w:rFonts w:eastAsia="Times New Roman" w:cs="Arial"/>
        </w:rPr>
      </w:pPr>
      <w:r w:rsidRPr="0079564D">
        <w:rPr>
          <w:rFonts w:eastAsia="Times New Roman" w:cs="Arial"/>
          <w:color w:val="000000"/>
          <w:vertAlign w:val="superscript"/>
          <w:lang w:eastAsia="bg-BG"/>
        </w:rPr>
        <w:t>1</w:t>
      </w:r>
      <w:r w:rsidRPr="0079564D">
        <w:rPr>
          <w:rFonts w:eastAsia="Times New Roman" w:cs="Arial"/>
          <w:color w:val="000000"/>
          <w:lang w:eastAsia="bg-BG"/>
        </w:rPr>
        <w:t>: на база на постмаркетинговия опит</w:t>
      </w:r>
    </w:p>
    <w:p w14:paraId="37EC27DC" w14:textId="77777777" w:rsidR="005A3F5B" w:rsidRPr="0079564D" w:rsidRDefault="005A3F5B" w:rsidP="005A3F5B">
      <w:pPr>
        <w:spacing w:line="240" w:lineRule="auto"/>
        <w:rPr>
          <w:rFonts w:eastAsia="Times New Roman" w:cs="Arial"/>
        </w:rPr>
      </w:pPr>
      <w:r w:rsidRPr="0079564D">
        <w:rPr>
          <w:rFonts w:eastAsia="Times New Roman" w:cs="Arial"/>
          <w:color w:val="000000"/>
          <w:vertAlign w:val="superscript"/>
          <w:lang w:eastAsia="bg-BG"/>
        </w:rPr>
        <w:t>2</w:t>
      </w:r>
      <w:r w:rsidRPr="0079564D">
        <w:rPr>
          <w:rFonts w:eastAsia="Times New Roman" w:cs="Arial"/>
          <w:color w:val="000000"/>
          <w:lang w:eastAsia="bg-BG"/>
        </w:rPr>
        <w:t>: за допълнително описание, моля вижте подточка ’’Описание на избрани нежелани реакции”</w:t>
      </w:r>
    </w:p>
    <w:p w14:paraId="2B3840FD" w14:textId="77777777" w:rsidR="005A3F5B" w:rsidRPr="0079564D" w:rsidRDefault="005A3F5B" w:rsidP="005A3F5B">
      <w:pPr>
        <w:spacing w:line="240" w:lineRule="auto"/>
        <w:rPr>
          <w:rFonts w:eastAsia="Times New Roman" w:cs="Arial"/>
          <w:i/>
          <w:iCs/>
          <w:color w:val="000000"/>
          <w:lang w:eastAsia="bg-BG"/>
        </w:rPr>
      </w:pPr>
    </w:p>
    <w:p w14:paraId="79C2018E" w14:textId="0DE1D1BF" w:rsidR="005A3F5B" w:rsidRPr="0079564D" w:rsidRDefault="005A3F5B" w:rsidP="005A3F5B">
      <w:pPr>
        <w:spacing w:line="240" w:lineRule="auto"/>
        <w:rPr>
          <w:rFonts w:eastAsia="Times New Roman" w:cs="Arial"/>
        </w:rPr>
      </w:pPr>
      <w:r w:rsidRPr="0079564D">
        <w:rPr>
          <w:rFonts w:eastAsia="Times New Roman" w:cs="Arial"/>
          <w:i/>
          <w:iCs/>
          <w:color w:val="000000"/>
          <w:lang w:eastAsia="bg-BG"/>
        </w:rPr>
        <w:t>Допълнителна информация за всеки от компонентите</w:t>
      </w:r>
    </w:p>
    <w:p w14:paraId="22C28E3D" w14:textId="50CAD5F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Нежеланите реакции, съобщавани преди това при самостоятелното използване на някой от компонентите, могат да възникнат и при използването на Танидон НСТ, дори да не са наблюдавани при клиничните проучвания на този продукт.</w:t>
      </w:r>
    </w:p>
    <w:p w14:paraId="72894C32" w14:textId="77777777" w:rsidR="005A3F5B" w:rsidRPr="0079564D" w:rsidRDefault="005A3F5B" w:rsidP="005A3F5B">
      <w:pPr>
        <w:spacing w:line="240" w:lineRule="auto"/>
        <w:rPr>
          <w:rFonts w:eastAsia="Times New Roman" w:cs="Arial"/>
          <w:color w:val="000000"/>
          <w:u w:val="single"/>
          <w:lang w:eastAsia="bg-BG"/>
        </w:rPr>
      </w:pPr>
    </w:p>
    <w:p w14:paraId="1CD77222" w14:textId="107EFBA9"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Телмисартан</w:t>
      </w:r>
    </w:p>
    <w:p w14:paraId="10425021" w14:textId="1128258C"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Честотата на нежеланите лекарствени реакции при използването на телмисартан и плацебо е почти еднаква.</w:t>
      </w:r>
    </w:p>
    <w:p w14:paraId="4C3523E8" w14:textId="2DAF5007" w:rsidR="005A3F5B" w:rsidRPr="0079564D" w:rsidRDefault="005A3F5B" w:rsidP="005A3F5B">
      <w:pPr>
        <w:spacing w:line="240" w:lineRule="auto"/>
        <w:rPr>
          <w:rFonts w:eastAsia="Times New Roman" w:cs="Arial"/>
          <w:color w:val="000000"/>
          <w:lang w:eastAsia="bg-BG"/>
        </w:rPr>
      </w:pPr>
    </w:p>
    <w:p w14:paraId="7E0650D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Общата честота на нежеланите лекарствени реакции, съобщени при употреба на телмисартан (41,4%) е сравнима с плацебо (43,9%) при плацебо-контролирани проучвания. Представените по-долу нежелани лекарствени реакции, отразяват резултатите от всички клинични проучвания при пациенти, лекувани с телмисартан за хипертония или при пациенти на 50 години, или по- възрастни с повишен риск от сърдечно-съдови инциденти.</w:t>
      </w:r>
    </w:p>
    <w:p w14:paraId="4348CB4D" w14:textId="77777777" w:rsidR="005A3F5B" w:rsidRPr="0079564D" w:rsidRDefault="005A3F5B" w:rsidP="005A3F5B">
      <w:pPr>
        <w:spacing w:line="240" w:lineRule="auto"/>
        <w:rPr>
          <w:rFonts w:eastAsia="Times New Roman" w:cs="Arial"/>
          <w:color w:val="000000"/>
          <w:lang w:eastAsia="bg-BG"/>
        </w:rPr>
      </w:pPr>
    </w:p>
    <w:p w14:paraId="53577502" w14:textId="50AE2185"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Инфекции и инфестации</w:t>
      </w:r>
    </w:p>
    <w:p w14:paraId="5D30BD25" w14:textId="3405A7A3"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инфекция на горните дихателни пътища, инфекция на пикочните</w:t>
      </w:r>
    </w:p>
    <w:p w14:paraId="31D5121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пътища, включително цистит</w:t>
      </w:r>
    </w:p>
    <w:p w14:paraId="56244B3B"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w:t>
      </w:r>
      <w:r w:rsidRPr="0079564D">
        <w:rPr>
          <w:rFonts w:eastAsia="Times New Roman" w:cs="Arial"/>
          <w:color w:val="000000"/>
          <w:lang w:eastAsia="bg-BG"/>
        </w:rPr>
        <w:tab/>
        <w:t>сепсис, включително с фатален изход</w:t>
      </w:r>
      <w:r w:rsidRPr="0079564D">
        <w:rPr>
          <w:rFonts w:eastAsia="Times New Roman" w:cs="Arial"/>
          <w:color w:val="000000"/>
          <w:vertAlign w:val="superscript"/>
          <w:lang w:eastAsia="bg-BG"/>
        </w:rPr>
        <w:t>3</w:t>
      </w:r>
    </w:p>
    <w:p w14:paraId="16EBCC51" w14:textId="77777777" w:rsidR="005A3F5B" w:rsidRPr="0079564D" w:rsidRDefault="005A3F5B" w:rsidP="005A3F5B">
      <w:pPr>
        <w:spacing w:line="240" w:lineRule="auto"/>
        <w:rPr>
          <w:rFonts w:eastAsia="Times New Roman" w:cs="Arial"/>
          <w:color w:val="000000"/>
          <w:lang w:eastAsia="bg-BG"/>
        </w:rPr>
      </w:pPr>
    </w:p>
    <w:p w14:paraId="1AF9362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кръвта и лимфната система </w:t>
      </w:r>
    </w:p>
    <w:p w14:paraId="496703D4" w14:textId="25E080EE"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анемия</w:t>
      </w:r>
    </w:p>
    <w:p w14:paraId="100ABD5A" w14:textId="43088CB1"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еозинофилия, тромбоцитопения</w:t>
      </w:r>
    </w:p>
    <w:p w14:paraId="6E95589C" w14:textId="77777777" w:rsidR="005A3F5B" w:rsidRPr="0079564D" w:rsidRDefault="005A3F5B" w:rsidP="005A3F5B">
      <w:pPr>
        <w:spacing w:line="240" w:lineRule="auto"/>
        <w:rPr>
          <w:rFonts w:eastAsia="Times New Roman" w:cs="Arial"/>
          <w:color w:val="000000"/>
          <w:lang w:eastAsia="bg-BG"/>
        </w:rPr>
      </w:pPr>
    </w:p>
    <w:p w14:paraId="37A4822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имунната система </w:t>
      </w:r>
    </w:p>
    <w:p w14:paraId="070ED74D" w14:textId="4AF1C1CC"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свръхчувствителност, анафилактични реакции</w:t>
      </w:r>
    </w:p>
    <w:p w14:paraId="188F35C4" w14:textId="77777777" w:rsidR="005A3F5B" w:rsidRPr="0079564D" w:rsidRDefault="005A3F5B" w:rsidP="005A3F5B">
      <w:pPr>
        <w:spacing w:line="240" w:lineRule="auto"/>
        <w:rPr>
          <w:rFonts w:eastAsia="Times New Roman" w:cs="Arial"/>
          <w:color w:val="000000"/>
          <w:lang w:eastAsia="bg-BG"/>
        </w:rPr>
      </w:pPr>
    </w:p>
    <w:p w14:paraId="3864D69E"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метаболизма и храненето </w:t>
      </w:r>
    </w:p>
    <w:p w14:paraId="5F6661E3" w14:textId="4111697C"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хиперкалиемия</w:t>
      </w:r>
    </w:p>
    <w:p w14:paraId="75C63527" w14:textId="20873DA6"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хипогликемия (при пациенти с диабет)</w:t>
      </w:r>
    </w:p>
    <w:p w14:paraId="4767B7F7" w14:textId="77777777" w:rsidR="005A3F5B" w:rsidRPr="0079564D" w:rsidRDefault="005A3F5B" w:rsidP="005A3F5B">
      <w:pPr>
        <w:spacing w:line="240" w:lineRule="auto"/>
        <w:rPr>
          <w:rFonts w:eastAsia="Times New Roman" w:cs="Arial"/>
          <w:color w:val="000000"/>
          <w:lang w:eastAsia="bg-BG"/>
        </w:rPr>
      </w:pPr>
    </w:p>
    <w:p w14:paraId="73257BF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нервната система </w:t>
      </w:r>
    </w:p>
    <w:p w14:paraId="4FF20464" w14:textId="0E3238E9"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сомнолентност</w:t>
      </w:r>
    </w:p>
    <w:p w14:paraId="11270D3A" w14:textId="77777777" w:rsidR="005A3F5B" w:rsidRPr="0079564D" w:rsidRDefault="005A3F5B" w:rsidP="005A3F5B">
      <w:pPr>
        <w:spacing w:line="240" w:lineRule="auto"/>
        <w:rPr>
          <w:rFonts w:eastAsia="Times New Roman" w:cs="Arial"/>
          <w:color w:val="000000"/>
          <w:lang w:eastAsia="bg-BG"/>
        </w:rPr>
      </w:pPr>
    </w:p>
    <w:p w14:paraId="129F4779" w14:textId="710969A7" w:rsidR="005A3F5B" w:rsidRPr="0079564D" w:rsidRDefault="005A3F5B" w:rsidP="005A3F5B">
      <w:pPr>
        <w:spacing w:line="240" w:lineRule="auto"/>
        <w:rPr>
          <w:rFonts w:eastAsia="Times New Roman" w:cs="Arial"/>
        </w:rPr>
      </w:pPr>
      <w:r w:rsidRPr="0079564D">
        <w:rPr>
          <w:rFonts w:eastAsia="Times New Roman" w:cs="Arial"/>
          <w:color w:val="000000"/>
          <w:lang w:eastAsia="bg-BG"/>
        </w:rPr>
        <w:t>Сърдечни нарушения</w:t>
      </w:r>
    </w:p>
    <w:p w14:paraId="0385A9F4" w14:textId="2C1FD369"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брадикардия</w:t>
      </w:r>
    </w:p>
    <w:p w14:paraId="20E1346D" w14:textId="77777777" w:rsidR="005A3F5B" w:rsidRPr="0079564D" w:rsidRDefault="005A3F5B" w:rsidP="005A3F5B">
      <w:pPr>
        <w:spacing w:line="240" w:lineRule="auto"/>
        <w:rPr>
          <w:rFonts w:eastAsia="Times New Roman" w:cs="Arial"/>
          <w:color w:val="000000"/>
          <w:lang w:eastAsia="bg-BG"/>
        </w:rPr>
      </w:pPr>
    </w:p>
    <w:p w14:paraId="3FE16A7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Респираторни, гръдни и медиастинални нарушения </w:t>
      </w:r>
    </w:p>
    <w:p w14:paraId="39D5A393" w14:textId="00811DBA"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кашлица</w:t>
      </w:r>
    </w:p>
    <w:p w14:paraId="53F0FF24" w14:textId="2C148326" w:rsidR="005A3F5B" w:rsidRPr="0079564D" w:rsidRDefault="005A3F5B" w:rsidP="005A3F5B">
      <w:pPr>
        <w:spacing w:line="240" w:lineRule="auto"/>
        <w:rPr>
          <w:rFonts w:eastAsia="Times New Roman" w:cs="Arial"/>
        </w:rPr>
      </w:pPr>
      <w:r w:rsidRPr="0079564D">
        <w:rPr>
          <w:rFonts w:eastAsia="Times New Roman" w:cs="Arial"/>
          <w:color w:val="000000"/>
          <w:lang w:eastAsia="bg-BG"/>
        </w:rPr>
        <w:t>много редки: интерстициална белодробна болест</w:t>
      </w:r>
      <w:r w:rsidRPr="0079564D">
        <w:rPr>
          <w:rFonts w:eastAsia="Times New Roman" w:cs="Arial"/>
          <w:color w:val="000000"/>
          <w:vertAlign w:val="superscript"/>
          <w:lang w:eastAsia="bg-BG"/>
        </w:rPr>
        <w:t>3</w:t>
      </w:r>
    </w:p>
    <w:p w14:paraId="26F6633F" w14:textId="77777777" w:rsidR="005A3F5B" w:rsidRPr="0079564D" w:rsidRDefault="005A3F5B" w:rsidP="005A3F5B">
      <w:pPr>
        <w:spacing w:line="240" w:lineRule="auto"/>
        <w:rPr>
          <w:rFonts w:eastAsia="Times New Roman" w:cs="Arial"/>
          <w:color w:val="000000"/>
          <w:lang w:eastAsia="bg-BG"/>
        </w:rPr>
      </w:pPr>
    </w:p>
    <w:p w14:paraId="2CC3A33B"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Стомашно-чревни нарушения </w:t>
      </w:r>
    </w:p>
    <w:p w14:paraId="5F78DF85" w14:textId="6B1852E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стомашен дискомфорт</w:t>
      </w:r>
    </w:p>
    <w:p w14:paraId="17CC07AA" w14:textId="77777777" w:rsidR="005A3F5B" w:rsidRPr="0079564D" w:rsidRDefault="005A3F5B" w:rsidP="005A3F5B">
      <w:pPr>
        <w:spacing w:line="240" w:lineRule="auto"/>
        <w:rPr>
          <w:rFonts w:eastAsia="Times New Roman" w:cs="Arial"/>
          <w:color w:val="000000"/>
          <w:lang w:eastAsia="bg-BG"/>
        </w:rPr>
      </w:pPr>
    </w:p>
    <w:p w14:paraId="435D971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кожата и подкожната тъкан </w:t>
      </w:r>
    </w:p>
    <w:p w14:paraId="3B23CA2F" w14:textId="4EACADBF"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екзема, лекарствен обрив, токсичен кожен обрив</w:t>
      </w:r>
    </w:p>
    <w:p w14:paraId="2FECBA35" w14:textId="77777777" w:rsidR="005A3F5B" w:rsidRPr="0079564D" w:rsidRDefault="005A3F5B" w:rsidP="005A3F5B">
      <w:pPr>
        <w:spacing w:line="240" w:lineRule="auto"/>
        <w:rPr>
          <w:rFonts w:eastAsia="Times New Roman" w:cs="Arial"/>
          <w:color w:val="000000"/>
          <w:lang w:eastAsia="bg-BG"/>
        </w:rPr>
      </w:pPr>
    </w:p>
    <w:p w14:paraId="78EA2464"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мускулно-скелетната система и съединителната тъкан </w:t>
      </w:r>
    </w:p>
    <w:p w14:paraId="671030E2" w14:textId="0028210D"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артроза, болки в сухожилията</w:t>
      </w:r>
    </w:p>
    <w:p w14:paraId="306F5BBE" w14:textId="77777777" w:rsidR="005A3F5B" w:rsidRPr="0079564D" w:rsidRDefault="005A3F5B" w:rsidP="005A3F5B">
      <w:pPr>
        <w:spacing w:line="240" w:lineRule="auto"/>
        <w:rPr>
          <w:rFonts w:eastAsia="Times New Roman" w:cs="Arial"/>
          <w:color w:val="000000"/>
          <w:lang w:eastAsia="bg-BG"/>
        </w:rPr>
      </w:pPr>
    </w:p>
    <w:p w14:paraId="7AA4B04D"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бъбреците и пикочните пътища </w:t>
      </w:r>
    </w:p>
    <w:p w14:paraId="1BAF60BF" w14:textId="13DD1CFE"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бъбречно увреждане (включително остра бъбречна</w:t>
      </w:r>
      <w:r w:rsidRPr="0079564D">
        <w:rPr>
          <w:rFonts w:eastAsia="Times New Roman" w:cs="Arial"/>
          <w:lang w:val="ru-RU"/>
        </w:rPr>
        <w:t xml:space="preserve"> </w:t>
      </w:r>
      <w:r w:rsidRPr="0079564D">
        <w:rPr>
          <w:rFonts w:eastAsia="Times New Roman" w:cs="Arial"/>
          <w:color w:val="000000"/>
          <w:lang w:eastAsia="bg-BG"/>
        </w:rPr>
        <w:t>недостатъчност)</w:t>
      </w:r>
    </w:p>
    <w:p w14:paraId="3B200DCE" w14:textId="77777777" w:rsidR="005A3F5B" w:rsidRPr="0079564D" w:rsidRDefault="005A3F5B" w:rsidP="005A3F5B">
      <w:pPr>
        <w:spacing w:line="240" w:lineRule="auto"/>
        <w:rPr>
          <w:rFonts w:eastAsia="Times New Roman" w:cs="Arial"/>
          <w:color w:val="000000"/>
          <w:lang w:eastAsia="bg-BG"/>
        </w:rPr>
      </w:pPr>
    </w:p>
    <w:p w14:paraId="42F56657"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Общи нарушения и ефекти на мястото на приложение </w:t>
      </w:r>
    </w:p>
    <w:p w14:paraId="321F52A2" w14:textId="1F160266"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астения</w:t>
      </w:r>
    </w:p>
    <w:p w14:paraId="4F323E37" w14:textId="77777777" w:rsidR="005A3F5B" w:rsidRPr="0079564D" w:rsidRDefault="005A3F5B" w:rsidP="005A3F5B">
      <w:pPr>
        <w:spacing w:line="240" w:lineRule="auto"/>
        <w:rPr>
          <w:rFonts w:eastAsia="Times New Roman" w:cs="Arial"/>
          <w:color w:val="000000"/>
          <w:lang w:eastAsia="bg-BG"/>
        </w:rPr>
      </w:pPr>
    </w:p>
    <w:p w14:paraId="76B1E31F" w14:textId="68B6FDC4" w:rsidR="005A3F5B" w:rsidRPr="0079564D" w:rsidRDefault="005A3F5B" w:rsidP="005A3F5B">
      <w:pPr>
        <w:spacing w:line="240" w:lineRule="auto"/>
        <w:rPr>
          <w:rFonts w:eastAsia="Times New Roman" w:cs="Arial"/>
        </w:rPr>
      </w:pPr>
      <w:r w:rsidRPr="0079564D">
        <w:rPr>
          <w:rFonts w:eastAsia="Times New Roman" w:cs="Arial"/>
          <w:color w:val="000000"/>
          <w:lang w:eastAsia="bg-BG"/>
        </w:rPr>
        <w:t>Изследвания редки: понижен хемоглобин</w:t>
      </w:r>
    </w:p>
    <w:p w14:paraId="41AE396A" w14:textId="77777777" w:rsidR="005A3F5B" w:rsidRPr="0079564D" w:rsidRDefault="005A3F5B" w:rsidP="005A3F5B">
      <w:pPr>
        <w:spacing w:line="240" w:lineRule="auto"/>
        <w:rPr>
          <w:rFonts w:eastAsia="Times New Roman" w:cs="Arial"/>
          <w:color w:val="000000"/>
          <w:vertAlign w:val="superscript"/>
          <w:lang w:eastAsia="bg-BG"/>
        </w:rPr>
      </w:pPr>
    </w:p>
    <w:p w14:paraId="21630709" w14:textId="57BE7C2A" w:rsidR="005A3F5B" w:rsidRPr="0079564D" w:rsidRDefault="005A3F5B" w:rsidP="005A3F5B">
      <w:pPr>
        <w:spacing w:line="240" w:lineRule="auto"/>
        <w:rPr>
          <w:rFonts w:eastAsia="Times New Roman" w:cs="Arial"/>
        </w:rPr>
      </w:pPr>
      <w:r w:rsidRPr="0079564D">
        <w:rPr>
          <w:rFonts w:eastAsia="Times New Roman" w:cs="Arial"/>
          <w:color w:val="000000"/>
          <w:vertAlign w:val="superscript"/>
          <w:lang w:eastAsia="bg-BG"/>
        </w:rPr>
        <w:t>3</w:t>
      </w:r>
      <w:r w:rsidRPr="0079564D">
        <w:rPr>
          <w:rFonts w:eastAsia="Times New Roman" w:cs="Arial"/>
          <w:color w:val="000000"/>
          <w:lang w:eastAsia="bg-BG"/>
        </w:rPr>
        <w:t>: за допълнително описание, моля вижте подточка "Описание на избрани нежелани реакции"</w:t>
      </w:r>
    </w:p>
    <w:p w14:paraId="7107785D" w14:textId="77777777" w:rsidR="005A3F5B" w:rsidRPr="0079564D" w:rsidRDefault="005A3F5B" w:rsidP="005A3F5B">
      <w:pPr>
        <w:spacing w:line="240" w:lineRule="auto"/>
        <w:rPr>
          <w:rFonts w:eastAsia="Times New Roman" w:cs="Arial"/>
          <w:color w:val="000000"/>
          <w:u w:val="single"/>
          <w:lang w:eastAsia="bg-BG"/>
        </w:rPr>
      </w:pPr>
    </w:p>
    <w:p w14:paraId="6F11B7F6" w14:textId="53DD6F66"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Хидрохлоротиазид</w:t>
      </w:r>
    </w:p>
    <w:p w14:paraId="15CB5474"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Хидрохлоротиазид може да причини или обостри състояние на хиповолемия, което от своя</w:t>
      </w:r>
    </w:p>
    <w:p w14:paraId="399DE0BA" w14:textId="5589A10A"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страна може да доведе до електролитен дисбаланс (вж. точка 4.4).</w:t>
      </w:r>
    </w:p>
    <w:p w14:paraId="1BF3ED67" w14:textId="77E74A0D" w:rsidR="005A3F5B" w:rsidRPr="0079564D" w:rsidRDefault="005A3F5B" w:rsidP="005A3F5B">
      <w:pPr>
        <w:spacing w:line="240" w:lineRule="auto"/>
        <w:rPr>
          <w:rFonts w:eastAsia="Times New Roman" w:cs="Arial"/>
          <w:color w:val="000000"/>
          <w:lang w:eastAsia="bg-BG"/>
        </w:rPr>
      </w:pPr>
    </w:p>
    <w:p w14:paraId="011373CE"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Нежеланите лекарствени реакции с неизвестна честота, съобщавани при самостоятелната употреба на хидрохлоротиазид, включват:</w:t>
      </w:r>
    </w:p>
    <w:p w14:paraId="2D1930C0" w14:textId="77777777" w:rsidR="005A3F5B" w:rsidRPr="0079564D" w:rsidRDefault="005A3F5B" w:rsidP="005A3F5B">
      <w:pPr>
        <w:spacing w:line="240" w:lineRule="auto"/>
        <w:rPr>
          <w:rFonts w:eastAsia="Times New Roman" w:cs="Arial"/>
          <w:color w:val="000000"/>
          <w:lang w:eastAsia="bg-BG"/>
        </w:rPr>
      </w:pPr>
    </w:p>
    <w:p w14:paraId="7510882F"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Инфекции и инфестации с неизвестна </w:t>
      </w:r>
    </w:p>
    <w:p w14:paraId="624E4754" w14:textId="3A6FFB82"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сиалоаденит</w:t>
      </w:r>
    </w:p>
    <w:p w14:paraId="001C8B4A"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Неоплазми — доброкачествени, злокачествени и неопределени (вкл. кисти и полипи) </w:t>
      </w:r>
    </w:p>
    <w:p w14:paraId="2DF58265" w14:textId="703948A3" w:rsidR="005A3F5B"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немеланомен рак на кожата (базалноклетьчен карцином и</w:t>
      </w:r>
      <w:r w:rsidR="005A3F5B" w:rsidRPr="0079564D">
        <w:rPr>
          <w:rFonts w:eastAsia="Times New Roman" w:cs="Arial"/>
          <w:lang w:val="ru-RU"/>
        </w:rPr>
        <w:t xml:space="preserve"> </w:t>
      </w:r>
      <w:r w:rsidR="005A3F5B" w:rsidRPr="0079564D">
        <w:rPr>
          <w:rFonts w:eastAsia="Times New Roman" w:cs="Arial"/>
          <w:color w:val="000000"/>
          <w:lang w:eastAsia="bg-BG"/>
        </w:rPr>
        <w:t>сквамозноклетъчен карцином)</w:t>
      </w:r>
    </w:p>
    <w:p w14:paraId="6C20167C" w14:textId="77777777" w:rsidR="005A3F5B" w:rsidRPr="0079564D" w:rsidRDefault="005A3F5B" w:rsidP="005A3F5B">
      <w:pPr>
        <w:spacing w:line="240" w:lineRule="auto"/>
        <w:rPr>
          <w:rFonts w:eastAsia="Times New Roman" w:cs="Arial"/>
          <w:color w:val="000000"/>
          <w:lang w:eastAsia="bg-BG"/>
        </w:rPr>
      </w:pPr>
    </w:p>
    <w:p w14:paraId="1C357D28" w14:textId="77777777" w:rsid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Нарушения на к</w:t>
      </w:r>
      <w:r w:rsidR="0079564D">
        <w:rPr>
          <w:rFonts w:eastAsia="Times New Roman" w:cs="Arial"/>
          <w:color w:val="000000"/>
          <w:lang w:eastAsia="bg-BG"/>
        </w:rPr>
        <w:t xml:space="preserve">ръвта и лимфната система </w:t>
      </w:r>
    </w:p>
    <w:p w14:paraId="3E9815DD" w14:textId="7D14A61C" w:rsidR="005A3F5B" w:rsidRPr="0079564D" w:rsidRDefault="0079564D" w:rsidP="005A3F5B">
      <w:pPr>
        <w:spacing w:line="240" w:lineRule="auto"/>
        <w:rPr>
          <w:rFonts w:eastAsia="Times New Roman" w:cs="Arial"/>
        </w:rPr>
      </w:pPr>
      <w:r>
        <w:rPr>
          <w:rFonts w:eastAsia="Times New Roman" w:cs="Arial"/>
          <w:color w:val="000000"/>
          <w:lang w:eastAsia="bg-BG"/>
        </w:rPr>
        <w:t xml:space="preserve">редки: </w:t>
      </w:r>
      <w:r w:rsidR="005A3F5B" w:rsidRPr="0079564D">
        <w:rPr>
          <w:rFonts w:eastAsia="Times New Roman" w:cs="Arial"/>
          <w:color w:val="000000"/>
          <w:lang w:eastAsia="bg-BG"/>
        </w:rPr>
        <w:t>тромбоцитопения (понякога с пурпура)</w:t>
      </w:r>
    </w:p>
    <w:p w14:paraId="1D696EF4" w14:textId="5EABAB1B" w:rsidR="0079564D"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апластична анемия, хемолитична анемия, потискане на</w:t>
      </w:r>
      <w:r w:rsidRPr="0079564D">
        <w:rPr>
          <w:rFonts w:eastAsia="Times New Roman" w:cs="Arial"/>
          <w:lang w:val="ru-RU"/>
        </w:rPr>
        <w:t xml:space="preserve"> </w:t>
      </w:r>
      <w:r w:rsidR="005A3F5B" w:rsidRPr="0079564D">
        <w:rPr>
          <w:rFonts w:eastAsia="Times New Roman" w:cs="Arial"/>
          <w:color w:val="000000"/>
          <w:lang w:eastAsia="bg-BG"/>
        </w:rPr>
        <w:t xml:space="preserve">костния мозък, левкопения, неутропения, агранулоцитоза, </w:t>
      </w:r>
    </w:p>
    <w:p w14:paraId="4DA49035" w14:textId="77777777" w:rsidR="0079564D" w:rsidRDefault="0079564D" w:rsidP="005A3F5B">
      <w:pPr>
        <w:spacing w:line="240" w:lineRule="auto"/>
        <w:rPr>
          <w:rFonts w:eastAsia="Times New Roman" w:cs="Arial"/>
          <w:color w:val="000000"/>
          <w:lang w:eastAsia="bg-BG"/>
        </w:rPr>
      </w:pPr>
    </w:p>
    <w:p w14:paraId="6ABE4AFA" w14:textId="77777777" w:rsid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Нарушения на имуннат</w:t>
      </w:r>
      <w:r w:rsidR="0079564D">
        <w:rPr>
          <w:rFonts w:eastAsia="Times New Roman" w:cs="Arial"/>
          <w:color w:val="000000"/>
          <w:lang w:eastAsia="bg-BG"/>
        </w:rPr>
        <w:t xml:space="preserve">а система с неизвестна </w:t>
      </w:r>
    </w:p>
    <w:p w14:paraId="63256D53" w14:textId="3D3D10E7" w:rsidR="005A3F5B" w:rsidRPr="0079564D" w:rsidRDefault="0079564D" w:rsidP="005A3F5B">
      <w:pPr>
        <w:spacing w:line="240" w:lineRule="auto"/>
        <w:rPr>
          <w:rFonts w:eastAsia="Times New Roman" w:cs="Arial"/>
        </w:rPr>
      </w:pPr>
      <w:r>
        <w:rPr>
          <w:rFonts w:eastAsia="Times New Roman" w:cs="Arial"/>
          <w:color w:val="000000"/>
          <w:lang w:eastAsia="bg-BG"/>
        </w:rPr>
        <w:t xml:space="preserve">честота: </w:t>
      </w:r>
      <w:r w:rsidR="005A3F5B" w:rsidRPr="0079564D">
        <w:rPr>
          <w:rFonts w:eastAsia="Times New Roman" w:cs="Arial"/>
          <w:color w:val="000000"/>
          <w:lang w:eastAsia="bg-BG"/>
        </w:rPr>
        <w:t>анафилактични реакции, свръхчувствителност</w:t>
      </w:r>
    </w:p>
    <w:p w14:paraId="1FFE0AF9" w14:textId="77777777" w:rsidR="005A3F5B" w:rsidRPr="0079564D" w:rsidRDefault="005A3F5B" w:rsidP="005A3F5B">
      <w:pPr>
        <w:spacing w:line="240" w:lineRule="auto"/>
        <w:rPr>
          <w:rFonts w:eastAsia="Times New Roman" w:cs="Arial"/>
          <w:color w:val="000000"/>
          <w:lang w:eastAsia="bg-BG"/>
        </w:rPr>
      </w:pPr>
    </w:p>
    <w:p w14:paraId="59250A9A" w14:textId="77777777" w:rsid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Нарушения на ендокриннат</w:t>
      </w:r>
      <w:r w:rsidR="0079564D">
        <w:rPr>
          <w:rFonts w:eastAsia="Times New Roman" w:cs="Arial"/>
          <w:color w:val="000000"/>
          <w:lang w:eastAsia="bg-BG"/>
        </w:rPr>
        <w:t xml:space="preserve">а система </w:t>
      </w:r>
    </w:p>
    <w:p w14:paraId="2DDFF3ED" w14:textId="4B500D8F" w:rsidR="005A3F5B" w:rsidRPr="0079564D" w:rsidRDefault="0079564D" w:rsidP="005A3F5B">
      <w:pPr>
        <w:spacing w:line="240" w:lineRule="auto"/>
        <w:rPr>
          <w:rFonts w:eastAsia="Times New Roman" w:cs="Arial"/>
          <w:color w:val="000000"/>
          <w:lang w:eastAsia="bg-BG"/>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недостатъчно контролиран захарен диабет</w:t>
      </w:r>
    </w:p>
    <w:p w14:paraId="0B88A948" w14:textId="77777777" w:rsidR="005A3F5B" w:rsidRPr="0079564D" w:rsidRDefault="005A3F5B" w:rsidP="005A3F5B">
      <w:pPr>
        <w:spacing w:line="240" w:lineRule="auto"/>
        <w:rPr>
          <w:rFonts w:eastAsia="Times New Roman" w:cs="Arial"/>
          <w:color w:val="000000"/>
          <w:lang w:eastAsia="bg-BG"/>
        </w:rPr>
      </w:pPr>
    </w:p>
    <w:p w14:paraId="13016F52"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метаболизма и храненето </w:t>
      </w:r>
    </w:p>
    <w:p w14:paraId="039D9EB9" w14:textId="6ABE7E85"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чести: хипомагнезиемия</w:t>
      </w:r>
    </w:p>
    <w:p w14:paraId="50DEC798" w14:textId="1DE20735"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хиперкалциемия</w:t>
      </w:r>
    </w:p>
    <w:p w14:paraId="0D9BE864" w14:textId="0F84A5BA" w:rsidR="005A3F5B" w:rsidRPr="0079564D" w:rsidRDefault="005A3F5B" w:rsidP="005A3F5B">
      <w:pPr>
        <w:spacing w:line="240" w:lineRule="auto"/>
        <w:rPr>
          <w:rFonts w:eastAsia="Times New Roman" w:cs="Arial"/>
        </w:rPr>
      </w:pPr>
      <w:r w:rsidRPr="0079564D">
        <w:rPr>
          <w:rFonts w:eastAsia="Times New Roman" w:cs="Arial"/>
          <w:color w:val="000000"/>
          <w:lang w:eastAsia="bg-BG"/>
        </w:rPr>
        <w:t>много редки: хипохлоремична алкалоза</w:t>
      </w:r>
    </w:p>
    <w:p w14:paraId="713EB302" w14:textId="7DCB1DDE"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анорексия, понижен апетит, електролитен дисбаланс,</w:t>
      </w:r>
      <w:r w:rsidRPr="0079564D">
        <w:rPr>
          <w:rFonts w:eastAsia="Times New Roman" w:cs="Arial"/>
          <w:lang w:val="ru-RU"/>
        </w:rPr>
        <w:t xml:space="preserve"> </w:t>
      </w:r>
      <w:r w:rsidRPr="0079564D">
        <w:rPr>
          <w:rFonts w:eastAsia="Times New Roman" w:cs="Arial"/>
          <w:color w:val="000000"/>
          <w:lang w:eastAsia="bg-BG"/>
        </w:rPr>
        <w:t>хиперхолестеролемия, хипергликемия, хиповолемия</w:t>
      </w:r>
    </w:p>
    <w:p w14:paraId="7C32D127" w14:textId="77777777" w:rsidR="005A3F5B" w:rsidRPr="0079564D" w:rsidRDefault="005A3F5B" w:rsidP="005A3F5B">
      <w:pPr>
        <w:spacing w:line="240" w:lineRule="auto"/>
        <w:rPr>
          <w:rFonts w:eastAsia="Times New Roman" w:cs="Arial"/>
          <w:color w:val="000000"/>
          <w:lang w:eastAsia="bg-BG"/>
        </w:rPr>
      </w:pPr>
    </w:p>
    <w:p w14:paraId="3683A41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Психични нарушения с неизвестна </w:t>
      </w:r>
    </w:p>
    <w:p w14:paraId="0D6635F6" w14:textId="3FAAE6B1"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безпокойство</w:t>
      </w:r>
    </w:p>
    <w:p w14:paraId="35C90D27" w14:textId="77777777" w:rsidR="005A3F5B" w:rsidRPr="0079564D" w:rsidRDefault="005A3F5B" w:rsidP="005A3F5B">
      <w:pPr>
        <w:spacing w:line="240" w:lineRule="auto"/>
        <w:rPr>
          <w:rFonts w:eastAsia="Times New Roman" w:cs="Arial"/>
          <w:color w:val="000000"/>
          <w:lang w:eastAsia="bg-BG"/>
        </w:rPr>
      </w:pPr>
    </w:p>
    <w:p w14:paraId="64341486"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нервната система </w:t>
      </w:r>
    </w:p>
    <w:p w14:paraId="2530D6F1" w14:textId="52A377B4"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главоболие</w:t>
      </w:r>
    </w:p>
    <w:p w14:paraId="5DB29458" w14:textId="69A2054A"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замайване</w:t>
      </w:r>
    </w:p>
    <w:p w14:paraId="147894BD" w14:textId="77777777" w:rsidR="005A3F5B" w:rsidRPr="0079564D" w:rsidRDefault="005A3F5B" w:rsidP="005A3F5B">
      <w:pPr>
        <w:spacing w:line="240" w:lineRule="auto"/>
        <w:rPr>
          <w:rFonts w:eastAsia="Times New Roman" w:cs="Arial"/>
          <w:color w:val="000000"/>
          <w:lang w:eastAsia="bg-BG"/>
        </w:rPr>
      </w:pPr>
    </w:p>
    <w:p w14:paraId="4A393E2E"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очите с неизвестна </w:t>
      </w:r>
    </w:p>
    <w:p w14:paraId="295F629C" w14:textId="5164D1D0"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ксантопсия, остра миопия, остра закритоъгълна глаукома,</w:t>
      </w:r>
      <w:r w:rsidRPr="0079564D">
        <w:rPr>
          <w:rFonts w:eastAsia="Times New Roman" w:cs="Arial"/>
          <w:lang w:val="ru-RU"/>
        </w:rPr>
        <w:t xml:space="preserve"> </w:t>
      </w:r>
      <w:r w:rsidRPr="0079564D">
        <w:rPr>
          <w:rFonts w:eastAsia="Times New Roman" w:cs="Arial"/>
          <w:color w:val="000000"/>
          <w:lang w:eastAsia="bg-BG"/>
        </w:rPr>
        <w:t>хороидален излив</w:t>
      </w:r>
    </w:p>
    <w:p w14:paraId="129CC019" w14:textId="77777777" w:rsidR="005A3F5B" w:rsidRPr="0079564D" w:rsidRDefault="005A3F5B" w:rsidP="005A3F5B">
      <w:pPr>
        <w:spacing w:line="240" w:lineRule="auto"/>
        <w:rPr>
          <w:rFonts w:eastAsia="Times New Roman" w:cs="Arial"/>
          <w:color w:val="000000"/>
          <w:lang w:eastAsia="bg-BG"/>
        </w:rPr>
      </w:pPr>
    </w:p>
    <w:p w14:paraId="50EFEBD2"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Съдови нарушения с неизвестна </w:t>
      </w:r>
    </w:p>
    <w:p w14:paraId="4B56BD22" w14:textId="5248E116"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некротизиращ васкулит</w:t>
      </w:r>
    </w:p>
    <w:p w14:paraId="7A0250CA" w14:textId="77777777" w:rsidR="005A3F5B" w:rsidRPr="0079564D" w:rsidRDefault="005A3F5B" w:rsidP="005A3F5B">
      <w:pPr>
        <w:spacing w:line="240" w:lineRule="auto"/>
        <w:rPr>
          <w:rFonts w:eastAsia="Times New Roman" w:cs="Arial"/>
          <w:color w:val="000000"/>
          <w:lang w:eastAsia="bg-BG"/>
        </w:rPr>
      </w:pPr>
    </w:p>
    <w:p w14:paraId="27BABCF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Респираторни, гръдни и медиастинални нарушения </w:t>
      </w:r>
    </w:p>
    <w:p w14:paraId="4ED210D8" w14:textId="4EE4DC1F"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много редки: Остър респираторен дистрес синдром </w:t>
      </w:r>
      <w:r w:rsidRPr="0079564D">
        <w:rPr>
          <w:rFonts w:eastAsia="Times New Roman" w:cs="Arial"/>
          <w:color w:val="000000"/>
          <w:lang w:val="ru-RU"/>
        </w:rPr>
        <w:t>(</w:t>
      </w:r>
      <w:r w:rsidRPr="0079564D">
        <w:rPr>
          <w:rFonts w:eastAsia="Times New Roman" w:cs="Arial"/>
          <w:color w:val="000000"/>
          <w:lang w:val="en-US"/>
        </w:rPr>
        <w:t>ARDS</w:t>
      </w:r>
      <w:r w:rsidRPr="0079564D">
        <w:rPr>
          <w:rFonts w:eastAsia="Times New Roman" w:cs="Arial"/>
          <w:color w:val="000000"/>
          <w:lang w:val="ru-RU"/>
        </w:rPr>
        <w:t xml:space="preserve">) </w:t>
      </w:r>
      <w:r w:rsidRPr="0079564D">
        <w:rPr>
          <w:rFonts w:eastAsia="Times New Roman" w:cs="Arial"/>
          <w:color w:val="000000"/>
          <w:lang w:eastAsia="bg-BG"/>
        </w:rPr>
        <w:t>(вж. точка</w:t>
      </w:r>
      <w:r w:rsidRPr="0079564D">
        <w:rPr>
          <w:rFonts w:eastAsia="Times New Roman" w:cs="Arial"/>
          <w:lang w:val="ru-RU"/>
        </w:rPr>
        <w:t xml:space="preserve"> </w:t>
      </w:r>
      <w:r w:rsidRPr="0079564D">
        <w:rPr>
          <w:rFonts w:eastAsia="Times New Roman" w:cs="Arial"/>
          <w:color w:val="000000"/>
          <w:lang w:eastAsia="bg-BG"/>
        </w:rPr>
        <w:t>4.4)</w:t>
      </w:r>
    </w:p>
    <w:p w14:paraId="13511767" w14:textId="77777777" w:rsidR="005A3F5B" w:rsidRPr="0079564D" w:rsidRDefault="005A3F5B" w:rsidP="005A3F5B">
      <w:pPr>
        <w:spacing w:line="240" w:lineRule="auto"/>
        <w:rPr>
          <w:rFonts w:eastAsia="Times New Roman" w:cs="Arial"/>
          <w:color w:val="000000"/>
          <w:lang w:eastAsia="bg-BG"/>
        </w:rPr>
      </w:pPr>
    </w:p>
    <w:p w14:paraId="14E13BF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Стомашно-чревни нарушения </w:t>
      </w:r>
    </w:p>
    <w:p w14:paraId="6BDCFAE5" w14:textId="1D2A5952"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чести: гадене</w:t>
      </w:r>
    </w:p>
    <w:p w14:paraId="17920786" w14:textId="0DF26AEF"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панкреатит, стомашен дискомфорт</w:t>
      </w:r>
    </w:p>
    <w:p w14:paraId="54305F51" w14:textId="77777777" w:rsidR="005A3F5B" w:rsidRPr="0079564D" w:rsidRDefault="005A3F5B" w:rsidP="005A3F5B">
      <w:pPr>
        <w:spacing w:line="240" w:lineRule="auto"/>
        <w:rPr>
          <w:rFonts w:eastAsia="Times New Roman" w:cs="Arial"/>
          <w:color w:val="000000"/>
          <w:lang w:eastAsia="bg-BG"/>
        </w:rPr>
      </w:pPr>
    </w:p>
    <w:p w14:paraId="319CA18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Хепато-билиарни нарушения </w:t>
      </w:r>
    </w:p>
    <w:p w14:paraId="58375B8C" w14:textId="5D246ECE"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хепатоцелуларна жълтеница, холестатична жълтеница</w:t>
      </w:r>
    </w:p>
    <w:p w14:paraId="5D1AFCBD" w14:textId="77777777" w:rsidR="005A3F5B" w:rsidRPr="0079564D" w:rsidRDefault="005A3F5B" w:rsidP="005A3F5B">
      <w:pPr>
        <w:spacing w:line="240" w:lineRule="auto"/>
        <w:rPr>
          <w:rFonts w:eastAsia="Times New Roman" w:cs="Arial"/>
          <w:color w:val="000000"/>
          <w:lang w:eastAsia="bg-BG"/>
        </w:rPr>
      </w:pPr>
    </w:p>
    <w:p w14:paraId="5EBFE8B8" w14:textId="5EC59611"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кожата и подкожната тъкан</w:t>
      </w:r>
    </w:p>
    <w:p w14:paraId="23943218" w14:textId="5EC0DECE"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с неизвестна честота: лупус-подобен синдром, реакции на фоточувствителност,</w:t>
      </w:r>
      <w:r w:rsidRPr="0079564D">
        <w:rPr>
          <w:rFonts w:eastAsia="Times New Roman" w:cs="Arial"/>
          <w:lang w:val="ru-RU"/>
        </w:rPr>
        <w:t xml:space="preserve"> </w:t>
      </w:r>
      <w:r w:rsidRPr="0079564D">
        <w:rPr>
          <w:rFonts w:eastAsia="Times New Roman" w:cs="Arial"/>
          <w:color w:val="000000"/>
          <w:lang w:eastAsia="bg-BG"/>
        </w:rPr>
        <w:t>кожен васкулит, токсична епидермална некролиза, еритема мултиформе</w:t>
      </w:r>
    </w:p>
    <w:p w14:paraId="240907EF" w14:textId="77777777" w:rsidR="005A3F5B" w:rsidRPr="0079564D" w:rsidRDefault="005A3F5B" w:rsidP="005A3F5B">
      <w:pPr>
        <w:spacing w:line="240" w:lineRule="auto"/>
        <w:rPr>
          <w:rFonts w:eastAsia="Times New Roman" w:cs="Arial"/>
          <w:color w:val="000000"/>
          <w:lang w:eastAsia="bg-BG"/>
        </w:rPr>
      </w:pPr>
    </w:p>
    <w:p w14:paraId="075283B0" w14:textId="6F5ED472"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мускулно-скелетната система и съединителната тъкан</w:t>
      </w:r>
    </w:p>
    <w:p w14:paraId="72D61C61" w14:textId="62245E25" w:rsidR="005A3F5B"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слабост</w:t>
      </w:r>
    </w:p>
    <w:p w14:paraId="270DC065" w14:textId="77777777" w:rsidR="005A3F5B" w:rsidRPr="0079564D" w:rsidRDefault="005A3F5B" w:rsidP="005A3F5B">
      <w:pPr>
        <w:spacing w:line="240" w:lineRule="auto"/>
        <w:rPr>
          <w:rFonts w:eastAsia="Times New Roman" w:cs="Arial"/>
          <w:color w:val="000000"/>
          <w:lang w:eastAsia="bg-BG"/>
        </w:rPr>
      </w:pPr>
    </w:p>
    <w:p w14:paraId="1B0BBA3D" w14:textId="671EE39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бъбреците и пикочните пътища</w:t>
      </w:r>
    </w:p>
    <w:p w14:paraId="2BF47986" w14:textId="11D5DEA9"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интерстициален нефрит, бъбречна дисфункция, глюкозурия</w:t>
      </w:r>
    </w:p>
    <w:p w14:paraId="24E7765C" w14:textId="77777777" w:rsidR="005A3F5B" w:rsidRPr="0079564D" w:rsidRDefault="005A3F5B" w:rsidP="005A3F5B">
      <w:pPr>
        <w:spacing w:line="240" w:lineRule="auto"/>
        <w:rPr>
          <w:rFonts w:eastAsia="Times New Roman" w:cs="Arial"/>
          <w:color w:val="000000"/>
          <w:lang w:eastAsia="bg-BG"/>
        </w:rPr>
      </w:pPr>
    </w:p>
    <w:p w14:paraId="5CE6C878" w14:textId="54CBAE38" w:rsidR="005A3F5B" w:rsidRPr="0079564D" w:rsidRDefault="005A3F5B" w:rsidP="005A3F5B">
      <w:pPr>
        <w:spacing w:line="240" w:lineRule="auto"/>
        <w:rPr>
          <w:rFonts w:eastAsia="Times New Roman" w:cs="Arial"/>
        </w:rPr>
      </w:pPr>
      <w:r w:rsidRPr="0079564D">
        <w:rPr>
          <w:rFonts w:eastAsia="Times New Roman" w:cs="Arial"/>
          <w:color w:val="000000"/>
          <w:lang w:eastAsia="bg-BG"/>
        </w:rPr>
        <w:t>Общи нарушения и ефекти на мястото на приложение</w:t>
      </w:r>
    </w:p>
    <w:p w14:paraId="1CA585AD" w14:textId="50FEF385"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w:t>
      </w:r>
      <w:r w:rsidR="0079564D">
        <w:rPr>
          <w:rFonts w:eastAsia="Times New Roman" w:cs="Arial"/>
          <w:color w:val="000000"/>
          <w:lang w:eastAsia="bg-BG"/>
        </w:rPr>
        <w:t xml:space="preserve">а честота: </w:t>
      </w:r>
      <w:r w:rsidRPr="0079564D">
        <w:rPr>
          <w:rFonts w:eastAsia="Times New Roman" w:cs="Arial"/>
          <w:color w:val="000000"/>
          <w:lang w:eastAsia="bg-BG"/>
        </w:rPr>
        <w:t>пирексия</w:t>
      </w:r>
    </w:p>
    <w:p w14:paraId="4860779B" w14:textId="77777777" w:rsidR="005A3F5B" w:rsidRPr="0079564D" w:rsidRDefault="005A3F5B" w:rsidP="005A3F5B">
      <w:pPr>
        <w:spacing w:line="240" w:lineRule="auto"/>
        <w:rPr>
          <w:rFonts w:eastAsia="Times New Roman" w:cs="Arial"/>
          <w:color w:val="000000"/>
          <w:lang w:eastAsia="bg-BG"/>
        </w:rPr>
      </w:pPr>
    </w:p>
    <w:p w14:paraId="15060EC6" w14:textId="5EB45CFE" w:rsidR="005A3F5B" w:rsidRPr="0079564D" w:rsidRDefault="005A3F5B" w:rsidP="005A3F5B">
      <w:pPr>
        <w:spacing w:line="240" w:lineRule="auto"/>
        <w:rPr>
          <w:rFonts w:eastAsia="Times New Roman" w:cs="Arial"/>
        </w:rPr>
      </w:pPr>
      <w:r w:rsidRPr="0079564D">
        <w:rPr>
          <w:rFonts w:eastAsia="Times New Roman" w:cs="Arial"/>
          <w:color w:val="000000"/>
          <w:lang w:eastAsia="bg-BG"/>
        </w:rPr>
        <w:t>Изследвания</w:t>
      </w:r>
    </w:p>
    <w:p w14:paraId="24717C00" w14:textId="2213D437" w:rsidR="005A3F5B"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повишени нива на триглицериди</w:t>
      </w:r>
    </w:p>
    <w:p w14:paraId="26A177C6" w14:textId="77777777" w:rsidR="005A3F5B" w:rsidRPr="0079564D" w:rsidRDefault="005A3F5B" w:rsidP="005A3F5B">
      <w:pPr>
        <w:spacing w:line="240" w:lineRule="auto"/>
        <w:rPr>
          <w:rFonts w:eastAsia="Times New Roman" w:cs="Arial"/>
          <w:color w:val="000000"/>
          <w:u w:val="single"/>
          <w:lang w:eastAsia="bg-BG"/>
        </w:rPr>
      </w:pPr>
    </w:p>
    <w:p w14:paraId="30AEDD13" w14:textId="37D94E66"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Описание на избрани нежелани реакции</w:t>
      </w:r>
    </w:p>
    <w:p w14:paraId="16985551" w14:textId="77777777" w:rsidR="005A3F5B" w:rsidRPr="0079564D" w:rsidRDefault="005A3F5B" w:rsidP="005A3F5B">
      <w:pPr>
        <w:spacing w:line="240" w:lineRule="auto"/>
        <w:rPr>
          <w:rFonts w:eastAsia="Times New Roman" w:cs="Arial"/>
          <w:color w:val="000000"/>
          <w:u w:val="single"/>
          <w:lang w:eastAsia="bg-BG"/>
        </w:rPr>
      </w:pPr>
    </w:p>
    <w:p w14:paraId="3F63E9E9" w14:textId="1B7C9CCE"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Абнормна чернодробна функция/чернодробно нарушение</w:t>
      </w:r>
    </w:p>
    <w:p w14:paraId="77115879"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Повечето случаи на абнормна чернодробна функция/чернодробно нарушение от постмаркетинговия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457F861F" w14:textId="77777777" w:rsidR="005A3F5B" w:rsidRPr="0079564D" w:rsidRDefault="005A3F5B" w:rsidP="005A3F5B">
      <w:pPr>
        <w:spacing w:line="240" w:lineRule="auto"/>
        <w:rPr>
          <w:rFonts w:eastAsia="Times New Roman" w:cs="Arial"/>
          <w:color w:val="000000"/>
          <w:u w:val="single"/>
          <w:lang w:eastAsia="bg-BG"/>
        </w:rPr>
      </w:pPr>
    </w:p>
    <w:p w14:paraId="6F7C0913" w14:textId="6D0DCD07"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Сепсис</w:t>
      </w:r>
    </w:p>
    <w:p w14:paraId="0475062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В проучването </w:t>
      </w:r>
      <w:proofErr w:type="spellStart"/>
      <w:r w:rsidRPr="0079564D">
        <w:rPr>
          <w:rFonts w:eastAsia="Times New Roman" w:cs="Arial"/>
          <w:color w:val="000000"/>
          <w:lang w:val="en-US"/>
        </w:rPr>
        <w:t>PRoFESS</w:t>
      </w:r>
      <w:proofErr w:type="spellEnd"/>
      <w:r w:rsidRPr="0079564D">
        <w:rPr>
          <w:rFonts w:eastAsia="Times New Roman" w:cs="Arial"/>
          <w:color w:val="000000"/>
          <w:lang w:val="ru-RU"/>
        </w:rPr>
        <w:t xml:space="preserve"> </w:t>
      </w:r>
      <w:r w:rsidRPr="0079564D">
        <w:rPr>
          <w:rFonts w:eastAsia="Times New Roman" w:cs="Arial"/>
          <w:color w:val="000000"/>
          <w:lang w:eastAsia="bg-BG"/>
        </w:rPr>
        <w:t>е наблюдавана повишена честота на сепсис при телмисартан в сравнение с плацебо. Събитието може да е случайна находка или да е свързано с непознат до момента механизъм (вж. точка 5.1).</w:t>
      </w:r>
    </w:p>
    <w:p w14:paraId="3893A44B" w14:textId="77777777" w:rsidR="005A3F5B" w:rsidRPr="0079564D" w:rsidRDefault="005A3F5B" w:rsidP="005A3F5B">
      <w:pPr>
        <w:spacing w:line="240" w:lineRule="auto"/>
        <w:rPr>
          <w:rFonts w:eastAsia="Times New Roman" w:cs="Arial"/>
          <w:color w:val="000000"/>
          <w:u w:val="single"/>
          <w:lang w:eastAsia="bg-BG"/>
        </w:rPr>
      </w:pPr>
    </w:p>
    <w:p w14:paraId="1878ECF1" w14:textId="48492169"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Интерстициална белодробна болест</w:t>
      </w:r>
    </w:p>
    <w:p w14:paraId="7226A1EE"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Случаи на интерстициална белодробна болест са докладвани от постмаркетинговия опит, във връзка с приема на телмисартан. Причинно-следствена връзка обаче не е установена.</w:t>
      </w:r>
    </w:p>
    <w:p w14:paraId="4CC48D7A" w14:textId="77777777" w:rsidR="005A3F5B" w:rsidRPr="0079564D" w:rsidRDefault="005A3F5B" w:rsidP="005A3F5B">
      <w:pPr>
        <w:spacing w:line="240" w:lineRule="auto"/>
        <w:rPr>
          <w:rFonts w:eastAsia="Times New Roman" w:cs="Arial"/>
          <w:i/>
          <w:iCs/>
          <w:color w:val="000000"/>
          <w:u w:val="single"/>
          <w:lang w:eastAsia="bg-BG"/>
        </w:rPr>
      </w:pPr>
    </w:p>
    <w:p w14:paraId="4F1F1322" w14:textId="1312A159" w:rsidR="005A3F5B" w:rsidRPr="0079564D" w:rsidRDefault="005A3F5B" w:rsidP="005A3F5B">
      <w:pPr>
        <w:spacing w:line="240" w:lineRule="auto"/>
        <w:rPr>
          <w:rFonts w:eastAsia="Times New Roman" w:cs="Arial"/>
        </w:rPr>
      </w:pPr>
      <w:r w:rsidRPr="0079564D">
        <w:rPr>
          <w:rFonts w:eastAsia="Times New Roman" w:cs="Arial"/>
          <w:i/>
          <w:iCs/>
          <w:color w:val="000000"/>
          <w:u w:val="single"/>
          <w:lang w:eastAsia="bg-BG"/>
        </w:rPr>
        <w:t>Немеланомен рак на кожата</w:t>
      </w:r>
    </w:p>
    <w:p w14:paraId="762DD9F0"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299508AC" w14:textId="77777777" w:rsidR="005A3F5B" w:rsidRPr="0079564D" w:rsidRDefault="005A3F5B" w:rsidP="005A3F5B">
      <w:pPr>
        <w:spacing w:line="240" w:lineRule="auto"/>
        <w:rPr>
          <w:rFonts w:eastAsia="Times New Roman" w:cs="Arial"/>
          <w:color w:val="000000"/>
          <w:u w:val="single"/>
          <w:lang w:eastAsia="bg-BG"/>
        </w:rPr>
      </w:pPr>
    </w:p>
    <w:p w14:paraId="580EBD2E" w14:textId="2B74595D"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Съобщаване на подозирани нежелани реакции</w:t>
      </w:r>
    </w:p>
    <w:p w14:paraId="487C6441"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 928903417, уебсайт: </w:t>
      </w:r>
      <w:r w:rsidRPr="0079564D">
        <w:rPr>
          <w:rFonts w:eastAsia="Times New Roman" w:cs="Arial"/>
        </w:rPr>
        <w:fldChar w:fldCharType="begin"/>
      </w:r>
      <w:r w:rsidRPr="0079564D">
        <w:rPr>
          <w:rFonts w:eastAsia="Times New Roman" w:cs="Arial"/>
        </w:rPr>
        <w:instrText xml:space="preserve"> HYPERLINK "http://www.bda.bg" </w:instrText>
      </w:r>
      <w:r w:rsidRPr="0079564D">
        <w:rPr>
          <w:rFonts w:eastAsia="Times New Roman" w:cs="Arial"/>
        </w:rPr>
      </w:r>
      <w:r w:rsidRPr="0079564D">
        <w:rPr>
          <w:rFonts w:eastAsia="Times New Roman" w:cs="Arial"/>
        </w:rPr>
        <w:fldChar w:fldCharType="separate"/>
      </w:r>
      <w:r w:rsidRPr="0079564D">
        <w:rPr>
          <w:rFonts w:eastAsia="Times New Roman" w:cs="Arial"/>
          <w:color w:val="000000"/>
          <w:u w:val="single"/>
          <w:lang w:val="en-US"/>
        </w:rPr>
        <w:t>www.bda.bg</w:t>
      </w:r>
      <w:r w:rsidRPr="0079564D">
        <w:rPr>
          <w:rFonts w:eastAsia="Times New Roman" w:cs="Arial"/>
        </w:rPr>
        <w:fldChar w:fldCharType="end"/>
      </w:r>
      <w:r w:rsidRPr="0079564D">
        <w:rPr>
          <w:rFonts w:eastAsia="Times New Roman" w:cs="Arial"/>
          <w:color w:val="000000"/>
          <w:lang w:val="en-US"/>
        </w:rPr>
        <w:t>.</w:t>
      </w:r>
    </w:p>
    <w:p w14:paraId="7F10D96B" w14:textId="77777777" w:rsidR="005A3F5B" w:rsidRPr="005A3F5B" w:rsidRDefault="005A3F5B" w:rsidP="005A3F5B">
      <w:pPr>
        <w:spacing w:line="240" w:lineRule="auto"/>
        <w:rPr>
          <w:rFonts w:ascii="Times New Roman" w:eastAsia="Times New Roman" w:hAnsi="Times New Roman" w:cs="Times New Roman"/>
          <w:sz w:val="24"/>
          <w:szCs w:val="24"/>
        </w:rPr>
      </w:pPr>
    </w:p>
    <w:p w14:paraId="0163B69E" w14:textId="77777777" w:rsidR="005A3F5B" w:rsidRPr="005A3F5B" w:rsidRDefault="005A3F5B" w:rsidP="005A3F5B"/>
    <w:p w14:paraId="5A87DBA3" w14:textId="7AD01F05" w:rsidR="007122AD" w:rsidRDefault="002C50EE" w:rsidP="00936AD0">
      <w:pPr>
        <w:pStyle w:val="Heading2"/>
      </w:pPr>
      <w:r>
        <w:t>4.9. Предозиране</w:t>
      </w:r>
    </w:p>
    <w:p w14:paraId="1D42F875" w14:textId="2D425AE0" w:rsidR="0079564D" w:rsidRDefault="0079564D" w:rsidP="0079564D"/>
    <w:p w14:paraId="5E21DFE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Съществува ограничена информация по отношение на предозиране на телмисартан при хора. Не е установено до каква степен хидрохлоротиазид се отделя при хемодиализа.</w:t>
      </w:r>
    </w:p>
    <w:p w14:paraId="13D35081" w14:textId="77777777" w:rsidR="0079564D" w:rsidRPr="0079564D" w:rsidRDefault="0079564D" w:rsidP="0079564D">
      <w:pPr>
        <w:spacing w:line="240" w:lineRule="auto"/>
        <w:rPr>
          <w:rFonts w:eastAsia="Times New Roman" w:cs="Arial"/>
          <w:color w:val="000000"/>
          <w:u w:val="single"/>
          <w:lang w:eastAsia="bg-BG"/>
        </w:rPr>
      </w:pPr>
    </w:p>
    <w:p w14:paraId="54975C69" w14:textId="0F2EDCA5" w:rsidR="0079564D" w:rsidRPr="0079564D" w:rsidRDefault="0079564D" w:rsidP="0079564D">
      <w:pPr>
        <w:pStyle w:val="Heading3"/>
        <w:rPr>
          <w:rFonts w:eastAsia="Times New Roman"/>
          <w:u w:val="single"/>
        </w:rPr>
      </w:pPr>
      <w:r w:rsidRPr="0079564D">
        <w:rPr>
          <w:rFonts w:eastAsia="Times New Roman"/>
          <w:u w:val="single"/>
          <w:lang w:eastAsia="bg-BG"/>
        </w:rPr>
        <w:t>Симптоми</w:t>
      </w:r>
    </w:p>
    <w:p w14:paraId="4DC10A8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Най-изявените прояви на предозиране с телмисартан са хипотония и тахикардия, а също се съобщават и брадикардия, замаяност, повръщане, повишаване на серумния креатинин и остра бъбречна недостатъчност. Предозирането с хидрохлоротиазид се свързва с намаляване на електролитите (хипокалиемия, хипохлоремия) и хиповолемия, дължаща се на ексцесивната диуреза. Най-честите симптоми на предозиране са гадене и сомнолентност. Хипокалием</w:t>
      </w:r>
      <w:r w:rsidRPr="0079564D">
        <w:rPr>
          <w:rFonts w:eastAsia="Times New Roman" w:cs="Arial"/>
          <w:color w:val="000000"/>
          <w:u w:val="single"/>
          <w:lang w:eastAsia="bg-BG"/>
        </w:rPr>
        <w:t xml:space="preserve">ията </w:t>
      </w:r>
      <w:r w:rsidRPr="0079564D">
        <w:rPr>
          <w:rFonts w:eastAsia="Times New Roman" w:cs="Arial"/>
          <w:color w:val="000000"/>
          <w:lang w:eastAsia="bg-BG"/>
        </w:rPr>
        <w:t>може да доведе до мускулни спазми и/или акцентуирана аритмия, свързани с едновременната</w:t>
      </w:r>
      <w:r w:rsidRPr="0079564D">
        <w:rPr>
          <w:rFonts w:eastAsia="Times New Roman" w:cs="Arial"/>
          <w:color w:val="000000"/>
          <w:vertAlign w:val="subscript"/>
          <w:lang w:eastAsia="bg-BG"/>
        </w:rPr>
        <w:t xml:space="preserve"> </w:t>
      </w:r>
      <w:r w:rsidRPr="0079564D">
        <w:rPr>
          <w:rFonts w:eastAsia="Times New Roman" w:cs="Arial"/>
          <w:color w:val="000000"/>
          <w:lang w:eastAsia="bg-BG"/>
        </w:rPr>
        <w:t xml:space="preserve">употреба на дигиталисови гликозиди </w:t>
      </w:r>
      <w:r w:rsidRPr="0079564D">
        <w:rPr>
          <w:rFonts w:eastAsia="Times New Roman" w:cs="Arial"/>
          <w:i/>
          <w:iCs/>
          <w:color w:val="000000"/>
          <w:lang w:eastAsia="bg-BG"/>
        </w:rPr>
        <w:t>или</w:t>
      </w:r>
      <w:r w:rsidRPr="0079564D">
        <w:rPr>
          <w:rFonts w:eastAsia="Times New Roman" w:cs="Arial"/>
          <w:color w:val="000000"/>
          <w:lang w:eastAsia="bg-BG"/>
        </w:rPr>
        <w:t xml:space="preserve"> определени антиаритмични лекарствени продукти.</w:t>
      </w:r>
    </w:p>
    <w:p w14:paraId="7AE387E5" w14:textId="77777777" w:rsidR="0079564D" w:rsidRPr="0079564D" w:rsidRDefault="0079564D" w:rsidP="0079564D">
      <w:pPr>
        <w:spacing w:line="240" w:lineRule="auto"/>
        <w:rPr>
          <w:rFonts w:eastAsia="Times New Roman" w:cs="Arial"/>
          <w:color w:val="000000"/>
          <w:u w:val="single"/>
          <w:lang w:eastAsia="bg-BG"/>
        </w:rPr>
      </w:pPr>
    </w:p>
    <w:p w14:paraId="01BDA37B" w14:textId="2CC41EEF" w:rsidR="0079564D" w:rsidRPr="0079564D" w:rsidRDefault="0079564D" w:rsidP="0079564D">
      <w:pPr>
        <w:pStyle w:val="Heading3"/>
        <w:rPr>
          <w:rFonts w:eastAsia="Times New Roman"/>
          <w:u w:val="single"/>
        </w:rPr>
      </w:pPr>
      <w:r w:rsidRPr="0079564D">
        <w:rPr>
          <w:rFonts w:eastAsia="Times New Roman"/>
          <w:u w:val="single"/>
          <w:lang w:eastAsia="bg-BG"/>
        </w:rPr>
        <w:t>Лечение</w:t>
      </w:r>
    </w:p>
    <w:p w14:paraId="63354F44" w14:textId="1FC0B789" w:rsidR="0079564D" w:rsidRPr="0079564D" w:rsidRDefault="0079564D" w:rsidP="0079564D">
      <w:pPr>
        <w:rPr>
          <w:rFonts w:eastAsia="Times New Roman" w:cs="Arial"/>
          <w:sz w:val="24"/>
          <w:szCs w:val="24"/>
        </w:rPr>
      </w:pPr>
      <w:r w:rsidRPr="0079564D">
        <w:rPr>
          <w:rFonts w:eastAsia="Times New Roman" w:cs="Arial"/>
          <w:color w:val="000000"/>
          <w:lang w:eastAsia="bg-BG"/>
        </w:rPr>
        <w:t>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на</w:t>
      </w:r>
      <w:r w:rsidRPr="0079564D">
        <w:rPr>
          <w:rFonts w:eastAsia="Times New Roman" w:cs="Arial"/>
          <w:color w:val="000000"/>
          <w:lang w:val="ru-RU" w:eastAsia="bg-BG"/>
        </w:rPr>
        <w:t xml:space="preserve"> </w:t>
      </w:r>
      <w:r w:rsidRPr="0079564D">
        <w:rPr>
          <w:rFonts w:eastAsia="Times New Roman" w:cs="Arial"/>
          <w:color w:val="000000"/>
          <w:lang w:eastAsia="bg-BG"/>
        </w:rPr>
        <w:t>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бъде полезно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солеви и обемни заместители.</w:t>
      </w:r>
    </w:p>
    <w:p w14:paraId="65A509F5" w14:textId="77777777" w:rsidR="0079564D" w:rsidRPr="0079564D" w:rsidRDefault="0079564D" w:rsidP="0079564D"/>
    <w:p w14:paraId="02081B24" w14:textId="36FE76F4" w:rsidR="00395555" w:rsidRPr="00395555" w:rsidRDefault="002C50EE" w:rsidP="008A6AF2">
      <w:pPr>
        <w:pStyle w:val="Heading1"/>
      </w:pPr>
      <w:r>
        <w:t>5. ФАРМАКОЛОГИЧНИ СВОЙСТВА</w:t>
      </w:r>
    </w:p>
    <w:p w14:paraId="68A24A1A" w14:textId="1CA5BFE3" w:rsidR="001A6EBD" w:rsidRDefault="002C50EE" w:rsidP="00471F10">
      <w:pPr>
        <w:pStyle w:val="Heading2"/>
      </w:pPr>
      <w:r>
        <w:t>5.1. Фармакодинамични свойства</w:t>
      </w:r>
    </w:p>
    <w:p w14:paraId="1DBF2D60" w14:textId="4A3C8168" w:rsidR="0079564D" w:rsidRDefault="0079564D" w:rsidP="0079564D"/>
    <w:p w14:paraId="79F3A9E4"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Фармакотерапевтична група: Средства, действащи върху ренин-ангиотензиновата система, Ангиотензин II антагонисти и диуретици, АТС код: </w:t>
      </w:r>
      <w:r w:rsidRPr="0079564D">
        <w:rPr>
          <w:rFonts w:eastAsia="Times New Roman" w:cs="Arial"/>
          <w:color w:val="000000"/>
          <w:lang w:val="en-US"/>
        </w:rPr>
        <w:t>C</w:t>
      </w:r>
      <w:r w:rsidRPr="0079564D">
        <w:rPr>
          <w:rFonts w:eastAsia="Times New Roman" w:cs="Arial"/>
          <w:color w:val="000000"/>
          <w:lang w:val="ru-RU"/>
        </w:rPr>
        <w:t>09</w:t>
      </w:r>
      <w:r w:rsidRPr="0079564D">
        <w:rPr>
          <w:rFonts w:eastAsia="Times New Roman" w:cs="Arial"/>
          <w:color w:val="000000"/>
          <w:lang w:val="en-US"/>
        </w:rPr>
        <w:t>DA</w:t>
      </w:r>
      <w:r w:rsidRPr="0079564D">
        <w:rPr>
          <w:rFonts w:eastAsia="Times New Roman" w:cs="Arial"/>
          <w:color w:val="000000"/>
          <w:lang w:val="ru-RU"/>
        </w:rPr>
        <w:t>07</w:t>
      </w:r>
    </w:p>
    <w:p w14:paraId="2E4F78EE" w14:textId="77777777" w:rsidR="0079564D" w:rsidRPr="0079564D" w:rsidRDefault="0079564D" w:rsidP="0079564D">
      <w:pPr>
        <w:spacing w:line="240" w:lineRule="auto"/>
        <w:rPr>
          <w:rFonts w:eastAsia="Times New Roman" w:cs="Arial"/>
          <w:color w:val="000000"/>
          <w:lang w:eastAsia="bg-BG"/>
        </w:rPr>
      </w:pPr>
    </w:p>
    <w:p w14:paraId="13C98ED6" w14:textId="528AB506" w:rsidR="0079564D" w:rsidRPr="0079564D" w:rsidRDefault="0079564D" w:rsidP="0079564D">
      <w:pPr>
        <w:spacing w:line="240" w:lineRule="auto"/>
        <w:rPr>
          <w:rFonts w:eastAsia="Times New Roman" w:cs="Arial"/>
        </w:rPr>
      </w:pPr>
      <w:r w:rsidRPr="0079564D">
        <w:rPr>
          <w:rFonts w:eastAsia="Times New Roman" w:cs="Arial"/>
          <w:color w:val="000000"/>
          <w:lang w:eastAsia="bg-BG"/>
        </w:rPr>
        <w:t>Танидон НСТ е комбинация от ангиотензин И рецепторен антагонист телмисартан и тиазиден диуретик хидрохлоротиазид. При комбинирането им тези съставки имат адитивен антихипертензивен ефект, което води до по-голямо намаляване на кръвното налягане отколкото, ако са приложени поотделно. Танидон НСТ, приеман веднъж дневно в терапевтични дози, води до ефективно и плавно понижаване на кръвното налягане.</w:t>
      </w:r>
    </w:p>
    <w:p w14:paraId="3B6ACAEE" w14:textId="77777777" w:rsidR="0079564D" w:rsidRPr="0079564D" w:rsidRDefault="0079564D" w:rsidP="0079564D">
      <w:pPr>
        <w:spacing w:line="240" w:lineRule="auto"/>
        <w:rPr>
          <w:rFonts w:eastAsia="Times New Roman" w:cs="Arial"/>
          <w:color w:val="000000"/>
          <w:u w:val="single"/>
          <w:lang w:eastAsia="bg-BG"/>
        </w:rPr>
      </w:pPr>
    </w:p>
    <w:p w14:paraId="367956B9" w14:textId="0973D2CD"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Механизъм на действие</w:t>
      </w:r>
    </w:p>
    <w:p w14:paraId="3A87DE9C" w14:textId="77777777" w:rsidR="0079564D" w:rsidRPr="0079564D" w:rsidRDefault="0079564D" w:rsidP="0079564D">
      <w:pPr>
        <w:spacing w:line="240" w:lineRule="auto"/>
        <w:rPr>
          <w:rFonts w:eastAsia="Times New Roman" w:cs="Arial"/>
          <w:color w:val="000000"/>
          <w:lang w:eastAsia="bg-BG"/>
        </w:rPr>
      </w:pPr>
    </w:p>
    <w:p w14:paraId="6800CCC6" w14:textId="39DEFC75"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Телмисартан е перорално ефективен и специфичен ангиотензин II рецепторен антагонист, подтип 1 (АТ1). Той измества с много висок афинитет ангиотензин II от неговото място на свързване в </w:t>
      </w:r>
      <w:r w:rsidRPr="0079564D">
        <w:rPr>
          <w:rFonts w:eastAsia="Times New Roman" w:cs="Arial"/>
          <w:color w:val="000000"/>
          <w:lang w:val="en-US"/>
        </w:rPr>
        <w:t>AT</w:t>
      </w:r>
      <w:r w:rsidRPr="0079564D">
        <w:rPr>
          <w:rFonts w:eastAsia="Times New Roman" w:cs="Arial"/>
          <w:color w:val="000000"/>
          <w:vertAlign w:val="subscript"/>
          <w:lang w:val="ru-RU"/>
        </w:rPr>
        <w:t>1</w:t>
      </w:r>
      <w:r w:rsidRPr="0079564D">
        <w:rPr>
          <w:rFonts w:eastAsia="Times New Roman" w:cs="Arial"/>
          <w:color w:val="000000"/>
          <w:lang w:val="ru-RU"/>
        </w:rPr>
        <w:t xml:space="preserve"> </w:t>
      </w:r>
      <w:r w:rsidRPr="0079564D">
        <w:rPr>
          <w:rFonts w:eastAsia="Times New Roman" w:cs="Arial"/>
          <w:color w:val="000000"/>
          <w:lang w:eastAsia="bg-BG"/>
        </w:rPr>
        <w:t>рецепторния подтип, който е отговорен за известните действия на ангиотензин II. Телмисартан няма дори и частична агонистична активност спрямо АТ</w:t>
      </w:r>
      <w:r w:rsidRPr="0079564D">
        <w:rPr>
          <w:rFonts w:eastAsia="Times New Roman" w:cs="Arial"/>
          <w:color w:val="000000"/>
          <w:vertAlign w:val="subscript"/>
          <w:lang w:eastAsia="bg-BG"/>
        </w:rPr>
        <w:t>1</w:t>
      </w:r>
      <w:r w:rsidRPr="0079564D">
        <w:rPr>
          <w:rFonts w:eastAsia="Times New Roman" w:cs="Arial"/>
          <w:color w:val="000000"/>
          <w:lang w:eastAsia="bg-BG"/>
        </w:rPr>
        <w:t xml:space="preserve"> рецептора. Телмисартан се свързва селективно с </w:t>
      </w:r>
      <w:r w:rsidRPr="0079564D">
        <w:rPr>
          <w:rFonts w:eastAsia="Times New Roman" w:cs="Arial"/>
          <w:color w:val="000000"/>
          <w:lang w:val="en-US"/>
        </w:rPr>
        <w:t>AT</w:t>
      </w:r>
      <w:r w:rsidRPr="0079564D">
        <w:rPr>
          <w:rFonts w:eastAsia="Times New Roman" w:cs="Arial"/>
          <w:color w:val="000000"/>
          <w:vertAlign w:val="subscript"/>
          <w:lang w:val="ru-RU"/>
        </w:rPr>
        <w:t>1</w:t>
      </w:r>
      <w:r w:rsidRPr="0079564D">
        <w:rPr>
          <w:rFonts w:eastAsia="Times New Roman" w:cs="Arial"/>
          <w:color w:val="000000"/>
          <w:lang w:val="ru-RU"/>
        </w:rPr>
        <w:t xml:space="preserve"> </w:t>
      </w:r>
      <w:r w:rsidRPr="0079564D">
        <w:rPr>
          <w:rFonts w:eastAsia="Times New Roman" w:cs="Arial"/>
          <w:color w:val="000000"/>
          <w:lang w:eastAsia="bg-BG"/>
        </w:rPr>
        <w:t>рецептора. Свързването е продължително. Телмисартан не показва афинитет към други рецептори, включително АТ</w:t>
      </w:r>
      <w:r w:rsidRPr="0079564D">
        <w:rPr>
          <w:rFonts w:eastAsia="Times New Roman" w:cs="Arial"/>
          <w:color w:val="000000"/>
          <w:vertAlign w:val="subscript"/>
          <w:lang w:eastAsia="bg-BG"/>
        </w:rPr>
        <w:t>2</w:t>
      </w:r>
      <w:r w:rsidRPr="0079564D">
        <w:rPr>
          <w:rFonts w:eastAsia="Times New Roman" w:cs="Arial"/>
          <w:color w:val="000000"/>
          <w:lang w:eastAsia="bg-BG"/>
        </w:rPr>
        <w:t xml:space="preserve"> и други по-слабо характеризирани АТ рецептори. Функционалната роля на тези рецептори не е известна, не е известен и ефектът на тяхната възможна свръхстимулация от ангиотензин II, чийто нива са повишени от телмисартан. Нивата на плазмения алдостерон са понижени от телмисартан. Телмисартан не инхибира човешкия плазмен ренин и не блокира йонните канали. Телмисартан не инхибира ангиотензин </w:t>
      </w:r>
      <w:r w:rsidRPr="0079564D">
        <w:rPr>
          <w:rFonts w:eastAsia="Times New Roman" w:cs="Arial"/>
          <w:color w:val="000000"/>
          <w:lang w:eastAsia="bg-BG"/>
        </w:rPr>
        <w:lastRenderedPageBreak/>
        <w:t>конвертиращия ензим (кининаза II), ензимът, който също разгражда брадикинина. Поради това не се очаква да потенцира брадикинин-медиираните нежелани лекарствени реакции.</w:t>
      </w:r>
    </w:p>
    <w:p w14:paraId="01BCB268"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Дозата от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телмисартан, приложена при здрави доброволци, почти изцяло инхибира предизвиканото от ангиотензин </w:t>
      </w:r>
      <w:r w:rsidRPr="0079564D">
        <w:rPr>
          <w:rFonts w:eastAsia="Times New Roman" w:cs="Arial"/>
          <w:color w:val="000000"/>
          <w:lang w:val="en-US"/>
        </w:rPr>
        <w:t>II</w:t>
      </w:r>
      <w:r w:rsidRPr="0079564D">
        <w:rPr>
          <w:rFonts w:eastAsia="Times New Roman" w:cs="Arial"/>
          <w:color w:val="000000"/>
          <w:lang w:val="ru-RU"/>
        </w:rPr>
        <w:t xml:space="preserve"> </w:t>
      </w:r>
      <w:r w:rsidRPr="0079564D">
        <w:rPr>
          <w:rFonts w:eastAsia="Times New Roman" w:cs="Arial"/>
          <w:color w:val="000000"/>
          <w:lang w:eastAsia="bg-BG"/>
        </w:rPr>
        <w:t>повишаване на кръвното налягане. Инхибиторният ефект се поддържа над 24 часа, като все още може да бъде установен до 48 часа.</w:t>
      </w:r>
    </w:p>
    <w:p w14:paraId="6142A10D" w14:textId="77777777" w:rsidR="0079564D" w:rsidRPr="0079564D" w:rsidRDefault="0079564D" w:rsidP="0079564D">
      <w:pPr>
        <w:spacing w:line="240" w:lineRule="auto"/>
        <w:rPr>
          <w:rFonts w:eastAsia="Times New Roman" w:cs="Arial"/>
          <w:color w:val="000000"/>
          <w:lang w:eastAsia="bg-BG"/>
        </w:rPr>
      </w:pPr>
    </w:p>
    <w:p w14:paraId="3F14F787" w14:textId="0AF7D8BE" w:rsidR="0079564D" w:rsidRPr="0079564D" w:rsidRDefault="0079564D" w:rsidP="0079564D">
      <w:pPr>
        <w:spacing w:line="240" w:lineRule="auto"/>
        <w:rPr>
          <w:rFonts w:eastAsia="Times New Roman" w:cs="Arial"/>
        </w:rPr>
      </w:pPr>
      <w:r w:rsidRPr="0079564D">
        <w:rPr>
          <w:rFonts w:eastAsia="Times New Roman" w:cs="Arial"/>
          <w:color w:val="000000"/>
          <w:lang w:eastAsia="bg-BG"/>
        </w:rPr>
        <w:t>Хидрохлоротиазид е тиазиден диуретик. Механизмът, по който тиазидните диуретици постигат антихипертензивния си ефект, засега не е напълно изяснен. Тиазидите оказват въздействие върху бъбречните тубуларни механизми на електролитна реабсорбция, като директно повишават секрецията на натрий и хлорид в приблизително еквивалентни количества.</w:t>
      </w:r>
    </w:p>
    <w:p w14:paraId="2268D548"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Диуретичното действие на хидрохлоротиазид намалява плазмения обем, увеличава активността на плазмения ренин, увеличава екскрецията на алдостерон с последващо увеличение на калия в урината и загуба на бикарбонати, и намалява нивата на калиий в серума. Счита се, че едновременното приложение на телмисартан чрез блокиране на системата ренин-ангиотензин- алдостерон води до неутрализиране загубата на калий, която се дължи на тези диуретици. При прилагане на хидрохлоротиазид началото на диурезата е след 2-ия час, като върховият ефект се наблюдава след около 4 часа, докато действието продължава приблизително 6-12 часа.</w:t>
      </w:r>
    </w:p>
    <w:p w14:paraId="51732E67" w14:textId="77777777" w:rsidR="0079564D" w:rsidRPr="0079564D" w:rsidRDefault="0079564D" w:rsidP="0079564D">
      <w:pPr>
        <w:spacing w:line="240" w:lineRule="auto"/>
        <w:rPr>
          <w:rFonts w:eastAsia="Times New Roman" w:cs="Arial"/>
          <w:color w:val="000000"/>
          <w:u w:val="single"/>
          <w:lang w:eastAsia="bg-BG"/>
        </w:rPr>
      </w:pPr>
    </w:p>
    <w:p w14:paraId="2ACAF077" w14:textId="54295A1F"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Клинична ефикасност и безопасност</w:t>
      </w:r>
    </w:p>
    <w:p w14:paraId="77056839" w14:textId="77777777" w:rsidR="0079564D" w:rsidRPr="0079564D" w:rsidRDefault="0079564D" w:rsidP="0079564D">
      <w:pPr>
        <w:spacing w:line="240" w:lineRule="auto"/>
        <w:rPr>
          <w:rFonts w:eastAsia="Times New Roman" w:cs="Arial"/>
          <w:i/>
          <w:iCs/>
          <w:color w:val="000000"/>
          <w:lang w:eastAsia="bg-BG"/>
        </w:rPr>
      </w:pPr>
    </w:p>
    <w:p w14:paraId="4677DFBE" w14:textId="4AC808C6" w:rsidR="0079564D" w:rsidRPr="0079564D" w:rsidRDefault="0079564D" w:rsidP="0079564D">
      <w:pPr>
        <w:spacing w:line="240" w:lineRule="auto"/>
        <w:rPr>
          <w:rFonts w:eastAsia="Times New Roman" w:cs="Arial"/>
        </w:rPr>
      </w:pPr>
      <w:r w:rsidRPr="0079564D">
        <w:rPr>
          <w:rFonts w:eastAsia="Times New Roman" w:cs="Arial"/>
          <w:i/>
          <w:iCs/>
          <w:color w:val="000000"/>
          <w:lang w:eastAsia="bg-BG"/>
        </w:rPr>
        <w:t>Лечение на есенциална хипертония</w:t>
      </w:r>
    </w:p>
    <w:p w14:paraId="78E3AEEC" w14:textId="77777777" w:rsidR="0079564D" w:rsidRPr="0079564D" w:rsidRDefault="0079564D" w:rsidP="0079564D">
      <w:pPr>
        <w:rPr>
          <w:rFonts w:eastAsia="Times New Roman" w:cs="Arial"/>
        </w:rPr>
      </w:pPr>
      <w:r w:rsidRPr="0079564D">
        <w:rPr>
          <w:rFonts w:eastAsia="Times New Roman" w:cs="Arial"/>
          <w:color w:val="000000"/>
          <w:lang w:eastAsia="bg-BG"/>
        </w:rPr>
        <w:t>След прилагане на първата доза телмисартан се наблюдава постепенно поява</w:t>
      </w:r>
      <w:r w:rsidRPr="0079564D">
        <w:rPr>
          <w:rFonts w:eastAsia="Times New Roman" w:cs="Arial"/>
          <w:color w:val="000000"/>
          <w:lang w:val="ru-RU"/>
        </w:rPr>
        <w:t xml:space="preserve"> </w:t>
      </w:r>
      <w:r w:rsidRPr="0079564D">
        <w:rPr>
          <w:rFonts w:eastAsia="Times New Roman" w:cs="Arial"/>
          <w:color w:val="000000"/>
          <w:lang w:eastAsia="bg-BG"/>
        </w:rPr>
        <w:t>на антихипертензивна активност в рамките на 3 часа. Максималната редукция на кръвното налягане се достига напълно в рамките на 4-8 седмици след началото на лечението и се</w:t>
      </w:r>
      <w:r w:rsidRPr="0079564D">
        <w:rPr>
          <w:rFonts w:eastAsia="Times New Roman" w:cs="Arial"/>
          <w:color w:val="000000"/>
          <w:lang w:val="ru-RU" w:eastAsia="bg-BG"/>
        </w:rPr>
        <w:t xml:space="preserve"> </w:t>
      </w:r>
      <w:r w:rsidRPr="0079564D">
        <w:rPr>
          <w:rFonts w:eastAsia="Times New Roman" w:cs="Arial"/>
          <w:color w:val="000000"/>
          <w:lang w:eastAsia="bg-BG"/>
        </w:rPr>
        <w:t xml:space="preserve">поддържа чрез продължителна терапия. 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измерванията в момента на максималния ефект и непосредствено преди приема на следващата доза (съотношението минимални към максимални концентрации, което е постоянно над 80% след прием на дози от 40 и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телмисартан при плацебо контролирани клинични проучвания).</w:t>
      </w:r>
    </w:p>
    <w:p w14:paraId="404DCF56" w14:textId="77777777" w:rsidR="0079564D" w:rsidRPr="0079564D" w:rsidRDefault="0079564D" w:rsidP="0079564D">
      <w:pPr>
        <w:spacing w:line="240" w:lineRule="auto"/>
        <w:rPr>
          <w:rFonts w:eastAsia="Times New Roman" w:cs="Arial"/>
          <w:color w:val="000000"/>
          <w:lang w:eastAsia="bg-BG"/>
        </w:rPr>
      </w:pPr>
    </w:p>
    <w:p w14:paraId="51BA7CC8" w14:textId="6FF90BFD" w:rsidR="0079564D" w:rsidRPr="0079564D" w:rsidRDefault="0079564D" w:rsidP="0079564D">
      <w:pPr>
        <w:spacing w:line="240" w:lineRule="auto"/>
        <w:rPr>
          <w:rFonts w:eastAsia="Times New Roman" w:cs="Arial"/>
        </w:rPr>
      </w:pPr>
      <w:r w:rsidRPr="0079564D">
        <w:rPr>
          <w:rFonts w:eastAsia="Times New Roman" w:cs="Arial"/>
          <w:color w:val="000000"/>
          <w:lang w:eastAsia="bg-BG"/>
        </w:rPr>
        <w:t>При пациенти с хипертония телмисартан редуцира и систолното и диастолното кръвно налягане без да повлиява пулсовата честота.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хидрохлоротиазид и лизиноприл).</w:t>
      </w:r>
    </w:p>
    <w:p w14:paraId="27229321" w14:textId="77777777" w:rsidR="0079564D" w:rsidRPr="0079564D" w:rsidRDefault="0079564D" w:rsidP="0079564D">
      <w:pPr>
        <w:spacing w:line="240" w:lineRule="auto"/>
        <w:rPr>
          <w:rFonts w:eastAsia="Times New Roman" w:cs="Arial"/>
          <w:color w:val="000000"/>
          <w:u w:val="single"/>
          <w:lang w:eastAsia="bg-BG"/>
        </w:rPr>
      </w:pPr>
    </w:p>
    <w:p w14:paraId="7A51F7F8" w14:textId="0417FBC6"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7E0533A3" w14:textId="77777777" w:rsidR="0079564D" w:rsidRPr="0079564D" w:rsidRDefault="0079564D" w:rsidP="0079564D">
      <w:pPr>
        <w:spacing w:line="240" w:lineRule="auto"/>
        <w:rPr>
          <w:rFonts w:eastAsia="Times New Roman" w:cs="Arial"/>
          <w:color w:val="000000"/>
          <w:lang w:eastAsia="bg-BG"/>
        </w:rPr>
      </w:pPr>
      <w:r w:rsidRPr="0079564D">
        <w:rPr>
          <w:rFonts w:eastAsia="Times New Roman" w:cs="Arial"/>
          <w:color w:val="000000"/>
          <w:lang w:eastAsia="bg-BG"/>
        </w:rPr>
        <w:t>В двойно-сляпо контролирано клинично изпитване (</w:t>
      </w:r>
      <w:r w:rsidRPr="0079564D">
        <w:rPr>
          <w:rFonts w:eastAsia="Times New Roman" w:cs="Arial"/>
          <w:color w:val="000000"/>
          <w:lang w:val="en-US"/>
        </w:rPr>
        <w:t>n</w:t>
      </w:r>
      <w:r w:rsidRPr="0079564D">
        <w:rPr>
          <w:rFonts w:eastAsia="Times New Roman" w:cs="Arial"/>
          <w:color w:val="000000"/>
          <w:lang w:eastAsia="bg-BG"/>
        </w:rPr>
        <w:t xml:space="preserve">=687 пациенти, оценени за ефикасност) при пациенти, които не се повлияват от лечението с комбинацията 80 </w:t>
      </w:r>
      <w:r w:rsidRPr="0079564D">
        <w:rPr>
          <w:rFonts w:eastAsia="Times New Roman" w:cs="Arial"/>
          <w:color w:val="000000"/>
          <w:lang w:val="en-US"/>
        </w:rPr>
        <w:t>mg</w:t>
      </w:r>
      <w:r w:rsidRPr="0079564D">
        <w:rPr>
          <w:rFonts w:eastAsia="Times New Roman" w:cs="Arial"/>
          <w:color w:val="000000"/>
          <w:lang w:val="ru-RU"/>
        </w:rPr>
        <w:t xml:space="preserve">/12,5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наблюдавано постепенно увеличаване на ефекта на понижаване на кръвното налягане с 2,7/1,6 </w:t>
      </w:r>
      <w:r w:rsidRPr="0079564D">
        <w:rPr>
          <w:rFonts w:eastAsia="Times New Roman" w:cs="Arial"/>
          <w:color w:val="000000"/>
          <w:lang w:val="en-US"/>
        </w:rPr>
        <w:t>mm</w:t>
      </w:r>
      <w:r w:rsidRPr="0079564D">
        <w:rPr>
          <w:rFonts w:eastAsia="Times New Roman" w:cs="Arial"/>
          <w:color w:val="000000"/>
          <w:lang w:val="ru-RU"/>
        </w:rPr>
        <w:t xml:space="preserve"> </w:t>
      </w:r>
      <w:r w:rsidRPr="0079564D">
        <w:rPr>
          <w:rFonts w:eastAsia="Times New Roman" w:cs="Arial"/>
          <w:color w:val="000000"/>
          <w:lang w:val="en-US"/>
        </w:rPr>
        <w:t>Hg</w:t>
      </w:r>
      <w:r w:rsidRPr="0079564D">
        <w:rPr>
          <w:rFonts w:eastAsia="Times New Roman" w:cs="Arial"/>
          <w:color w:val="000000"/>
          <w:lang w:val="ru-RU"/>
        </w:rPr>
        <w:t xml:space="preserve"> </w:t>
      </w:r>
      <w:r w:rsidRPr="0079564D">
        <w:rPr>
          <w:rFonts w:eastAsia="Times New Roman" w:cs="Arial"/>
          <w:color w:val="000000"/>
          <w:lang w:eastAsia="bg-BG"/>
        </w:rPr>
        <w:t xml:space="preserve">(СКН/ДКН) при комбинацията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спрямо продължително лечение с комбинацията 80 </w:t>
      </w:r>
      <w:r w:rsidRPr="0079564D">
        <w:rPr>
          <w:rFonts w:eastAsia="Times New Roman" w:cs="Arial"/>
          <w:color w:val="000000"/>
          <w:lang w:val="en-US"/>
        </w:rPr>
        <w:t>mg</w:t>
      </w:r>
      <w:r w:rsidRPr="0079564D">
        <w:rPr>
          <w:rFonts w:eastAsia="Times New Roman" w:cs="Arial"/>
          <w:color w:val="000000"/>
          <w:lang w:val="ru-RU"/>
        </w:rPr>
        <w:t xml:space="preserve">/12,5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(разлика в средните промени, коригирани спрямо изходното ниво). В последващо клинично изпитване с комбинацията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се наблюдава допълнително понижаване на </w:t>
      </w:r>
    </w:p>
    <w:p w14:paraId="35A2D3D7" w14:textId="7473154D"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кръвното налягане (изразяващо се в общо понижаване с 11,5/9,9 </w:t>
      </w:r>
      <w:r w:rsidRPr="0079564D">
        <w:rPr>
          <w:rFonts w:eastAsia="Times New Roman" w:cs="Arial"/>
          <w:color w:val="000000"/>
          <w:lang w:val="en-US"/>
        </w:rPr>
        <w:t>mm</w:t>
      </w:r>
      <w:r w:rsidRPr="0079564D">
        <w:rPr>
          <w:rFonts w:eastAsia="Times New Roman" w:cs="Arial"/>
          <w:color w:val="000000"/>
          <w:lang w:val="ru-RU"/>
        </w:rPr>
        <w:t xml:space="preserve"> </w:t>
      </w:r>
      <w:r w:rsidRPr="0079564D">
        <w:rPr>
          <w:rFonts w:eastAsia="Times New Roman" w:cs="Arial"/>
          <w:color w:val="000000"/>
          <w:lang w:val="en-US"/>
        </w:rPr>
        <w:t>Hg</w:t>
      </w:r>
      <w:r w:rsidRPr="0079564D">
        <w:rPr>
          <w:rFonts w:eastAsia="Times New Roman" w:cs="Arial"/>
          <w:color w:val="000000"/>
          <w:lang w:val="ru-RU"/>
        </w:rPr>
        <w:t xml:space="preserve"> </w:t>
      </w:r>
      <w:r w:rsidRPr="0079564D">
        <w:rPr>
          <w:rFonts w:eastAsia="Times New Roman" w:cs="Arial"/>
          <w:color w:val="000000"/>
          <w:lang w:eastAsia="bg-BG"/>
        </w:rPr>
        <w:t>(СКН/ДКН).</w:t>
      </w:r>
    </w:p>
    <w:p w14:paraId="5D6B69ED" w14:textId="77777777" w:rsidR="0079564D" w:rsidRPr="0079564D" w:rsidRDefault="0079564D" w:rsidP="0079564D">
      <w:pPr>
        <w:spacing w:line="240" w:lineRule="auto"/>
        <w:rPr>
          <w:rFonts w:eastAsia="Times New Roman" w:cs="Arial"/>
          <w:color w:val="000000"/>
          <w:lang w:eastAsia="bg-BG"/>
        </w:rPr>
      </w:pPr>
    </w:p>
    <w:p w14:paraId="42A5A490" w14:textId="289B0068"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 обобщен анализ от две сходни 8-седмични двойно-слепи плацебо контролирани клинични изпитвания спрямо 160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валсартан/хидрохлоротиазид (</w:t>
      </w:r>
      <w:r w:rsidRPr="0079564D">
        <w:rPr>
          <w:rFonts w:eastAsia="Times New Roman" w:cs="Arial"/>
          <w:color w:val="000000"/>
          <w:lang w:val="en-US"/>
        </w:rPr>
        <w:t>n</w:t>
      </w:r>
      <w:r w:rsidRPr="0079564D">
        <w:rPr>
          <w:rFonts w:eastAsia="Times New Roman" w:cs="Arial"/>
          <w:color w:val="000000"/>
          <w:lang w:eastAsia="bg-BG"/>
        </w:rPr>
        <w:t xml:space="preserve">=2 121 пациенти, оценени за ефикасност) е наблюдаван значимо по-голям ефект на понижаване на кръвното налягане с 2,2/1,2 </w:t>
      </w:r>
      <w:r w:rsidRPr="0079564D">
        <w:rPr>
          <w:rFonts w:eastAsia="Times New Roman" w:cs="Arial"/>
          <w:color w:val="000000"/>
          <w:lang w:val="en-US"/>
        </w:rPr>
        <w:t>mm</w:t>
      </w:r>
      <w:r w:rsidRPr="0079564D">
        <w:rPr>
          <w:rFonts w:eastAsia="Times New Roman" w:cs="Arial"/>
          <w:color w:val="000000"/>
          <w:lang w:val="ru-RU"/>
        </w:rPr>
        <w:t xml:space="preserve"> </w:t>
      </w:r>
      <w:r w:rsidRPr="0079564D">
        <w:rPr>
          <w:rFonts w:eastAsia="Times New Roman" w:cs="Arial"/>
          <w:color w:val="000000"/>
          <w:lang w:val="en-US"/>
        </w:rPr>
        <w:t>Hg</w:t>
      </w:r>
      <w:r w:rsidRPr="0079564D">
        <w:rPr>
          <w:rFonts w:eastAsia="Times New Roman" w:cs="Arial"/>
          <w:color w:val="000000"/>
          <w:lang w:val="ru-RU"/>
        </w:rPr>
        <w:t xml:space="preserve"> </w:t>
      </w:r>
      <w:r w:rsidRPr="0079564D">
        <w:rPr>
          <w:rFonts w:eastAsia="Times New Roman" w:cs="Arial"/>
          <w:color w:val="000000"/>
          <w:lang w:eastAsia="bg-BG"/>
        </w:rPr>
        <w:t xml:space="preserve">(СКН/ДКН) (разлика в средните промени, коригирани спрямо изходното ниво) в полза на комбинацията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телмисартан/хидрохлоротиазид.</w:t>
      </w:r>
    </w:p>
    <w:p w14:paraId="26512406" w14:textId="77777777" w:rsidR="0079564D" w:rsidRPr="0079564D" w:rsidRDefault="0079564D" w:rsidP="0079564D">
      <w:pPr>
        <w:spacing w:line="240" w:lineRule="auto"/>
        <w:rPr>
          <w:rFonts w:eastAsia="Times New Roman" w:cs="Arial"/>
          <w:color w:val="000000"/>
          <w:lang w:eastAsia="bg-BG"/>
        </w:rPr>
      </w:pPr>
    </w:p>
    <w:p w14:paraId="67A710C3" w14:textId="7CCB8242" w:rsidR="0079564D" w:rsidRPr="0079564D" w:rsidRDefault="0079564D" w:rsidP="0079564D">
      <w:pPr>
        <w:spacing w:line="240" w:lineRule="auto"/>
        <w:rPr>
          <w:rFonts w:eastAsia="Times New Roman" w:cs="Arial"/>
        </w:rPr>
      </w:pPr>
      <w:r w:rsidRPr="0079564D">
        <w:rPr>
          <w:rFonts w:eastAsia="Times New Roman" w:cs="Arial"/>
          <w:color w:val="000000"/>
          <w:lang w:eastAsia="bg-BG"/>
        </w:rPr>
        <w:t>При внезапно прекъсване на лечението с телмисартан кръвното налягане постепенно се връща до стойностите преди лечението, за период от няколко дни без данни за ребаунд хипертоничен ефект.</w:t>
      </w:r>
    </w:p>
    <w:p w14:paraId="0F3AEAA0"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Случаите на суха кашлица са значително по-малко при пациенти, третирани </w:t>
      </w:r>
      <w:r w:rsidRPr="0079564D">
        <w:rPr>
          <w:rFonts w:eastAsia="Times New Roman" w:cs="Arial"/>
          <w:i/>
          <w:iCs/>
          <w:color w:val="000000"/>
          <w:lang w:eastAsia="bg-BG"/>
        </w:rPr>
        <w:t>с</w:t>
      </w:r>
      <w:r w:rsidRPr="0079564D">
        <w:rPr>
          <w:rFonts w:eastAsia="Times New Roman" w:cs="Arial"/>
          <w:color w:val="000000"/>
          <w:lang w:eastAsia="bg-BG"/>
        </w:rPr>
        <w:t xml:space="preserve">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52965855" w14:textId="77777777" w:rsidR="0079564D" w:rsidRPr="0079564D" w:rsidRDefault="0079564D" w:rsidP="0079564D">
      <w:pPr>
        <w:spacing w:line="240" w:lineRule="auto"/>
        <w:rPr>
          <w:rFonts w:eastAsia="Times New Roman" w:cs="Arial"/>
          <w:i/>
          <w:iCs/>
          <w:color w:val="000000"/>
          <w:lang w:eastAsia="bg-BG"/>
        </w:rPr>
      </w:pPr>
    </w:p>
    <w:p w14:paraId="6247B12C" w14:textId="11DFD260" w:rsidR="0079564D" w:rsidRPr="0079564D" w:rsidRDefault="0079564D" w:rsidP="0079564D">
      <w:pPr>
        <w:spacing w:line="240" w:lineRule="auto"/>
        <w:rPr>
          <w:rFonts w:eastAsia="Times New Roman" w:cs="Arial"/>
        </w:rPr>
      </w:pPr>
      <w:r w:rsidRPr="0079564D">
        <w:rPr>
          <w:rFonts w:eastAsia="Times New Roman" w:cs="Arial"/>
          <w:i/>
          <w:iCs/>
          <w:color w:val="000000"/>
          <w:lang w:eastAsia="bg-BG"/>
        </w:rPr>
        <w:t>Профилактика на сърдечно-съдови инциденти</w:t>
      </w:r>
    </w:p>
    <w:p w14:paraId="7364D5E6" w14:textId="3B75235F" w:rsidR="0079564D" w:rsidRPr="0079564D" w:rsidRDefault="0079564D" w:rsidP="0079564D">
      <w:pPr>
        <w:spacing w:line="240" w:lineRule="auto"/>
        <w:rPr>
          <w:rFonts w:eastAsia="Times New Roman" w:cs="Arial"/>
        </w:rPr>
      </w:pPr>
      <w:proofErr w:type="gramStart"/>
      <w:r w:rsidRPr="0079564D">
        <w:rPr>
          <w:rFonts w:eastAsia="Times New Roman" w:cs="Arial"/>
          <w:color w:val="000000"/>
          <w:lang w:val="en-US"/>
        </w:rPr>
        <w:t>ONTARGET</w:t>
      </w:r>
      <w:r w:rsidRPr="0079564D">
        <w:rPr>
          <w:rFonts w:eastAsia="Times New Roman" w:cs="Arial"/>
          <w:color w:val="000000"/>
          <w:lang w:val="ru-RU"/>
        </w:rPr>
        <w:t xml:space="preserve"> (</w:t>
      </w:r>
      <w:proofErr w:type="spellStart"/>
      <w:r w:rsidRPr="0079564D">
        <w:rPr>
          <w:rFonts w:eastAsia="Times New Roman" w:cs="Arial"/>
          <w:color w:val="000000"/>
          <w:lang w:val="en-US"/>
        </w:rPr>
        <w:t>ONgoing</w:t>
      </w:r>
      <w:proofErr w:type="spellEnd"/>
      <w:r w:rsidRPr="0079564D">
        <w:rPr>
          <w:rFonts w:eastAsia="Times New Roman" w:cs="Arial"/>
          <w:color w:val="000000"/>
          <w:lang w:val="ru-RU"/>
        </w:rPr>
        <w:t xml:space="preserve"> </w:t>
      </w:r>
      <w:proofErr w:type="spellStart"/>
      <w:r w:rsidRPr="0079564D">
        <w:rPr>
          <w:rFonts w:eastAsia="Times New Roman" w:cs="Arial"/>
          <w:color w:val="000000"/>
          <w:lang w:val="en-US"/>
        </w:rPr>
        <w:t>Telmisartan</w:t>
      </w:r>
      <w:proofErr w:type="spellEnd"/>
      <w:r w:rsidRPr="0079564D">
        <w:rPr>
          <w:rFonts w:eastAsia="Times New Roman" w:cs="Arial"/>
          <w:color w:val="000000"/>
          <w:lang w:val="ru-RU"/>
        </w:rPr>
        <w:t xml:space="preserve"> </w:t>
      </w:r>
      <w:r w:rsidRPr="0079564D">
        <w:rPr>
          <w:rFonts w:eastAsia="Times New Roman" w:cs="Arial"/>
          <w:color w:val="000000"/>
          <w:lang w:val="en-US"/>
        </w:rPr>
        <w:t>Alone</w:t>
      </w:r>
      <w:r w:rsidRPr="0079564D">
        <w:rPr>
          <w:rFonts w:eastAsia="Times New Roman" w:cs="Arial"/>
          <w:color w:val="000000"/>
          <w:lang w:val="ru-RU"/>
        </w:rPr>
        <w:t xml:space="preserve"> </w:t>
      </w:r>
      <w:r w:rsidRPr="0079564D">
        <w:rPr>
          <w:rFonts w:eastAsia="Times New Roman" w:cs="Arial"/>
          <w:color w:val="000000"/>
          <w:lang w:val="en-US"/>
        </w:rPr>
        <w:t>and</w:t>
      </w:r>
      <w:r w:rsidRPr="0079564D">
        <w:rPr>
          <w:rFonts w:eastAsia="Times New Roman" w:cs="Arial"/>
          <w:color w:val="000000"/>
          <w:lang w:val="ru-RU"/>
        </w:rPr>
        <w:t xml:space="preserve"> </w:t>
      </w:r>
      <w:r w:rsidRPr="0079564D">
        <w:rPr>
          <w:rFonts w:eastAsia="Times New Roman" w:cs="Arial"/>
          <w:color w:val="000000"/>
          <w:lang w:val="en-US"/>
        </w:rPr>
        <w:t>in</w:t>
      </w:r>
      <w:r w:rsidRPr="0079564D">
        <w:rPr>
          <w:rFonts w:eastAsia="Times New Roman" w:cs="Arial"/>
          <w:color w:val="000000"/>
          <w:lang w:val="ru-RU"/>
        </w:rPr>
        <w:t xml:space="preserve"> </w:t>
      </w:r>
      <w:r w:rsidRPr="0079564D">
        <w:rPr>
          <w:rFonts w:eastAsia="Times New Roman" w:cs="Arial"/>
          <w:color w:val="000000"/>
          <w:lang w:val="en-US"/>
        </w:rPr>
        <w:t>Combination</w:t>
      </w:r>
      <w:r w:rsidRPr="0079564D">
        <w:rPr>
          <w:rFonts w:eastAsia="Times New Roman" w:cs="Arial"/>
          <w:color w:val="000000"/>
          <w:lang w:val="ru-RU"/>
        </w:rPr>
        <w:t xml:space="preserve"> </w:t>
      </w:r>
      <w:r w:rsidRPr="0079564D">
        <w:rPr>
          <w:rFonts w:eastAsia="Times New Roman" w:cs="Arial"/>
          <w:color w:val="000000"/>
          <w:lang w:val="en-US"/>
        </w:rPr>
        <w:t>with</w:t>
      </w:r>
      <w:r w:rsidRPr="0079564D">
        <w:rPr>
          <w:rFonts w:eastAsia="Times New Roman" w:cs="Arial"/>
          <w:color w:val="000000"/>
          <w:lang w:val="ru-RU"/>
        </w:rPr>
        <w:t xml:space="preserve"> </w:t>
      </w:r>
      <w:r w:rsidRPr="0079564D">
        <w:rPr>
          <w:rFonts w:eastAsia="Times New Roman" w:cs="Arial"/>
          <w:color w:val="000000"/>
          <w:lang w:val="en-US"/>
        </w:rPr>
        <w:t>Ramipril</w:t>
      </w:r>
      <w:r w:rsidRPr="0079564D">
        <w:rPr>
          <w:rFonts w:eastAsia="Times New Roman" w:cs="Arial"/>
          <w:color w:val="000000"/>
          <w:lang w:val="ru-RU"/>
        </w:rPr>
        <w:t xml:space="preserve"> </w:t>
      </w:r>
      <w:r w:rsidRPr="0079564D">
        <w:rPr>
          <w:rFonts w:eastAsia="Times New Roman" w:cs="Arial"/>
          <w:color w:val="000000"/>
          <w:lang w:val="en-US"/>
        </w:rPr>
        <w:t>Global</w:t>
      </w:r>
      <w:r w:rsidRPr="0079564D">
        <w:rPr>
          <w:rFonts w:eastAsia="Times New Roman" w:cs="Arial"/>
          <w:color w:val="000000"/>
          <w:lang w:val="ru-RU"/>
        </w:rPr>
        <w:t xml:space="preserve"> </w:t>
      </w:r>
      <w:r w:rsidRPr="0079564D">
        <w:rPr>
          <w:rFonts w:eastAsia="Times New Roman" w:cs="Arial"/>
          <w:color w:val="000000"/>
          <w:lang w:val="en-US"/>
        </w:rPr>
        <w:t>Endpoint</w:t>
      </w:r>
      <w:r w:rsidRPr="0079564D">
        <w:rPr>
          <w:rFonts w:eastAsia="Times New Roman" w:cs="Arial"/>
          <w:color w:val="000000"/>
          <w:lang w:val="ru-RU"/>
        </w:rPr>
        <w:t xml:space="preserve"> </w:t>
      </w:r>
      <w:r w:rsidRPr="0079564D">
        <w:rPr>
          <w:rFonts w:eastAsia="Times New Roman" w:cs="Arial"/>
          <w:color w:val="000000"/>
          <w:lang w:val="en-US"/>
        </w:rPr>
        <w:t>Trial</w:t>
      </w:r>
      <w:r w:rsidRPr="0079564D">
        <w:rPr>
          <w:rFonts w:eastAsia="Times New Roman" w:cs="Arial"/>
          <w:color w:val="000000"/>
          <w:lang w:val="ru-RU"/>
        </w:rPr>
        <w:t xml:space="preserve">) </w:t>
      </w:r>
      <w:r w:rsidRPr="0079564D">
        <w:rPr>
          <w:rFonts w:eastAsia="Times New Roman" w:cs="Arial"/>
          <w:color w:val="000000"/>
          <w:lang w:eastAsia="bg-BG"/>
        </w:rPr>
        <w:t>сравнява ефектите от приложението на телмисартан, рамиприл и комбинацията от телмисартан и рамиприл върху резултатите по отношение на сърдечно-съдовата система, при 25 620 пациенти на възраст</w:t>
      </w:r>
      <w:r w:rsidRPr="0079564D">
        <w:rPr>
          <w:rFonts w:eastAsia="Times New Roman" w:cs="Arial"/>
          <w:color w:val="000000"/>
          <w:lang w:val="ru-RU"/>
        </w:rPr>
        <w:t xml:space="preserve"> </w:t>
      </w:r>
      <w:r w:rsidRPr="0079564D">
        <w:rPr>
          <w:rFonts w:eastAsia="Times New Roman" w:cs="Arial"/>
          <w:color w:val="000000"/>
          <w:lang w:eastAsia="bg-BG"/>
        </w:rPr>
        <w:t>≥55 години, с анамнеза за коронарна артериална болест, мозъчен инсулт, преходно нарушение на мозъчното кръвообращение, увреждане на периферни артерии или захарен диабет тип 2, съпътстван с данни за увреждане на прицелните органи (като ретинопатия, левокамерна хипертрофия, макро- или микроалбуминурия), които са популация с риск от настъпване на сърдечно-съдови инциденти.</w:t>
      </w:r>
      <w:proofErr w:type="gramEnd"/>
    </w:p>
    <w:p w14:paraId="40C0633D" w14:textId="77777777" w:rsidR="0079564D" w:rsidRPr="0079564D" w:rsidRDefault="0079564D" w:rsidP="0079564D">
      <w:pPr>
        <w:spacing w:line="240" w:lineRule="auto"/>
        <w:rPr>
          <w:rFonts w:eastAsia="Times New Roman" w:cs="Arial"/>
          <w:color w:val="000000"/>
          <w:lang w:eastAsia="bg-BG"/>
        </w:rPr>
      </w:pPr>
    </w:p>
    <w:p w14:paraId="7E6ECE7D" w14:textId="6CC79C34"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Пациентите са рандомизирани в една от следните три групи за лечение: телмисартан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 xml:space="preserve">=8 542); рамиприл 10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 xml:space="preserve">=8 576) или комбинация от телмисартан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и рамиприл 10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=8 502), последвано от проследяване със средна продължителност от 4,5 години.</w:t>
      </w:r>
    </w:p>
    <w:p w14:paraId="70E8E96E" w14:textId="77777777" w:rsidR="0079564D" w:rsidRPr="0079564D" w:rsidRDefault="0079564D" w:rsidP="0079564D">
      <w:pPr>
        <w:spacing w:line="240" w:lineRule="auto"/>
        <w:rPr>
          <w:rFonts w:eastAsia="Times New Roman" w:cs="Arial"/>
          <w:color w:val="000000"/>
          <w:lang w:eastAsia="bg-BG"/>
        </w:rPr>
      </w:pPr>
    </w:p>
    <w:p w14:paraId="70F1770E" w14:textId="77777777" w:rsidR="0079564D" w:rsidRPr="0079564D" w:rsidRDefault="0079564D" w:rsidP="0079564D">
      <w:pPr>
        <w:rPr>
          <w:rFonts w:eastAsia="Times New Roman" w:cs="Arial"/>
        </w:rPr>
      </w:pPr>
      <w:r w:rsidRPr="0079564D">
        <w:rPr>
          <w:rFonts w:eastAsia="Times New Roman" w:cs="Arial"/>
          <w:color w:val="000000"/>
          <w:lang w:eastAsia="bg-BG"/>
        </w:rPr>
        <w:t>Телмисартан показва сходен ефект с рамиприл по отношение намаляване на първичната</w:t>
      </w:r>
      <w:r w:rsidRPr="0079564D">
        <w:rPr>
          <w:rFonts w:eastAsia="Times New Roman" w:cs="Arial"/>
          <w:i/>
          <w:iCs/>
          <w:color w:val="000000"/>
          <w:lang w:eastAsia="bg-BG"/>
        </w:rPr>
        <w:t xml:space="preserve"> </w:t>
      </w:r>
      <w:r w:rsidRPr="0079564D">
        <w:rPr>
          <w:rFonts w:eastAsia="Times New Roman" w:cs="Arial"/>
          <w:color w:val="000000"/>
          <w:lang w:eastAsia="bg-BG"/>
        </w:rPr>
        <w:t xml:space="preserve">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точка е сходна в групите на телмисартан (16,7%) и рамиприл (16,5%). Коефициентът на риск при телмисартан спрямо рамиприл е 1,01 (97,5% </w:t>
      </w:r>
      <w:r w:rsidRPr="0079564D">
        <w:rPr>
          <w:rFonts w:eastAsia="Times New Roman" w:cs="Arial"/>
          <w:color w:val="000000"/>
          <w:lang w:val="en-US"/>
        </w:rPr>
        <w:t>CI</w:t>
      </w:r>
      <w:r w:rsidRPr="0079564D">
        <w:rPr>
          <w:rFonts w:eastAsia="Times New Roman" w:cs="Arial"/>
          <w:color w:val="000000"/>
          <w:lang w:val="ru-RU"/>
        </w:rPr>
        <w:t xml:space="preserve"> 0,93-1,10; </w:t>
      </w:r>
      <w:r w:rsidRPr="0079564D">
        <w:rPr>
          <w:rFonts w:eastAsia="Times New Roman" w:cs="Arial"/>
          <w:color w:val="000000"/>
          <w:lang w:val="en-US"/>
        </w:rPr>
        <w:t>p</w:t>
      </w:r>
      <w:r w:rsidRPr="0079564D">
        <w:rPr>
          <w:rFonts w:eastAsia="Times New Roman" w:cs="Arial"/>
          <w:color w:val="000000"/>
          <w:lang w:eastAsia="bg-BG"/>
        </w:rPr>
        <w:t xml:space="preserve"> </w:t>
      </w:r>
      <w:r w:rsidRPr="0079564D">
        <w:rPr>
          <w:rFonts w:eastAsia="Times New Roman" w:cs="Arial"/>
          <w:color w:val="000000"/>
          <w:lang w:val="ru-RU"/>
        </w:rPr>
        <w:t>(</w:t>
      </w:r>
      <w:r w:rsidRPr="0079564D">
        <w:rPr>
          <w:rFonts w:eastAsia="Times New Roman" w:cs="Arial"/>
          <w:color w:val="000000"/>
          <w:lang w:eastAsia="bg-BG"/>
        </w:rPr>
        <w:t>не по-малка ефикасност) = 0,0019 при марж от 1,13). Процентът на случаите на смърт по всяка причина е съответно 11,6% и 11,8% при пациентите, лекувани с телмисартан и рамиприл.</w:t>
      </w:r>
    </w:p>
    <w:p w14:paraId="03C6FFC8" w14:textId="77777777" w:rsidR="0079564D" w:rsidRPr="0079564D" w:rsidRDefault="0079564D" w:rsidP="0079564D">
      <w:pPr>
        <w:spacing w:line="240" w:lineRule="auto"/>
        <w:rPr>
          <w:rFonts w:eastAsia="Times New Roman" w:cs="Arial"/>
          <w:color w:val="000000"/>
          <w:lang w:eastAsia="bg-BG"/>
        </w:rPr>
      </w:pPr>
    </w:p>
    <w:p w14:paraId="7A7141DA" w14:textId="2E3D6135"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Установено е, че ефективността на телмисартан е сходна с тази на рамиприл при предварително определената вторична крайна цел от сърдечно-съдова смърт, нефатален инфаркт на миокарда и нефатален мозъчен инсулт [0,99 (97,5% </w:t>
      </w:r>
      <w:r w:rsidRPr="0079564D">
        <w:rPr>
          <w:rFonts w:eastAsia="Times New Roman" w:cs="Arial"/>
          <w:color w:val="000000"/>
          <w:lang w:val="en-US"/>
        </w:rPr>
        <w:t>CI</w:t>
      </w:r>
      <w:r w:rsidRPr="0079564D">
        <w:rPr>
          <w:rFonts w:eastAsia="Times New Roman" w:cs="Arial"/>
          <w:color w:val="000000"/>
        </w:rPr>
        <w:t xml:space="preserve"> </w:t>
      </w:r>
      <w:r w:rsidRPr="0079564D">
        <w:rPr>
          <w:rFonts w:eastAsia="Times New Roman" w:cs="Arial"/>
          <w:color w:val="000000"/>
          <w:lang w:eastAsia="bg-BG"/>
        </w:rPr>
        <w:t xml:space="preserve">0,90 -1,08; р (не по-малка ефикасност) = 0,0004)], първична крайна цел в референтното проучване </w:t>
      </w:r>
      <w:r w:rsidRPr="0079564D">
        <w:rPr>
          <w:rFonts w:eastAsia="Times New Roman" w:cs="Arial"/>
          <w:color w:val="000000"/>
          <w:lang w:val="en-US"/>
        </w:rPr>
        <w:t>HOPE</w:t>
      </w:r>
      <w:r w:rsidRPr="0079564D">
        <w:rPr>
          <w:rFonts w:eastAsia="Times New Roman" w:cs="Arial"/>
          <w:color w:val="000000"/>
        </w:rPr>
        <w:t xml:space="preserve"> (</w:t>
      </w:r>
      <w:r w:rsidRPr="0079564D">
        <w:rPr>
          <w:rFonts w:eastAsia="Times New Roman" w:cs="Arial"/>
          <w:color w:val="000000"/>
          <w:lang w:val="en-US"/>
        </w:rPr>
        <w:t>The</w:t>
      </w:r>
      <w:r w:rsidRPr="0079564D">
        <w:rPr>
          <w:rFonts w:eastAsia="Times New Roman" w:cs="Arial"/>
          <w:color w:val="000000"/>
        </w:rPr>
        <w:t xml:space="preserve"> </w:t>
      </w:r>
      <w:r w:rsidRPr="0079564D">
        <w:rPr>
          <w:rFonts w:eastAsia="Times New Roman" w:cs="Arial"/>
          <w:color w:val="000000"/>
          <w:lang w:val="en-US"/>
        </w:rPr>
        <w:t>Heart</w:t>
      </w:r>
      <w:r w:rsidRPr="0079564D">
        <w:rPr>
          <w:rFonts w:eastAsia="Times New Roman" w:cs="Arial"/>
          <w:color w:val="000000"/>
        </w:rPr>
        <w:t xml:space="preserve"> </w:t>
      </w:r>
      <w:r w:rsidRPr="0079564D">
        <w:rPr>
          <w:rFonts w:eastAsia="Times New Roman" w:cs="Arial"/>
          <w:color w:val="000000"/>
          <w:lang w:val="en-US"/>
        </w:rPr>
        <w:t>Outcomes</w:t>
      </w:r>
      <w:r w:rsidRPr="0079564D">
        <w:rPr>
          <w:rFonts w:eastAsia="Times New Roman" w:cs="Arial"/>
          <w:color w:val="000000"/>
        </w:rPr>
        <w:t xml:space="preserve"> </w:t>
      </w:r>
      <w:r w:rsidRPr="0079564D">
        <w:rPr>
          <w:rFonts w:eastAsia="Times New Roman" w:cs="Arial"/>
          <w:color w:val="000000"/>
          <w:lang w:val="en-US"/>
        </w:rPr>
        <w:t>Prevention</w:t>
      </w:r>
      <w:r w:rsidRPr="0079564D">
        <w:rPr>
          <w:rFonts w:eastAsia="Times New Roman" w:cs="Arial"/>
          <w:color w:val="000000"/>
        </w:rPr>
        <w:t xml:space="preserve"> </w:t>
      </w:r>
      <w:r w:rsidRPr="0079564D">
        <w:rPr>
          <w:rFonts w:eastAsia="Times New Roman" w:cs="Arial"/>
          <w:color w:val="000000"/>
          <w:lang w:val="en-US"/>
        </w:rPr>
        <w:t>Evaluation</w:t>
      </w:r>
      <w:r w:rsidRPr="0079564D">
        <w:rPr>
          <w:rFonts w:eastAsia="Times New Roman" w:cs="Arial"/>
          <w:color w:val="000000"/>
        </w:rPr>
        <w:t xml:space="preserve"> </w:t>
      </w:r>
      <w:r w:rsidRPr="0079564D">
        <w:rPr>
          <w:rFonts w:eastAsia="Times New Roman" w:cs="Arial"/>
          <w:color w:val="000000"/>
          <w:lang w:val="en-US"/>
        </w:rPr>
        <w:t>Study</w:t>
      </w:r>
      <w:r w:rsidRPr="0079564D">
        <w:rPr>
          <w:rFonts w:eastAsia="Times New Roman" w:cs="Arial"/>
          <w:color w:val="000000"/>
        </w:rPr>
        <w:t xml:space="preserve">), </w:t>
      </w:r>
      <w:r w:rsidRPr="0079564D">
        <w:rPr>
          <w:rFonts w:eastAsia="Times New Roman" w:cs="Arial"/>
          <w:color w:val="000000"/>
          <w:lang w:eastAsia="bg-BG"/>
        </w:rPr>
        <w:t>което изследва ефекта на рамиприл спрямо плацебо.</w:t>
      </w:r>
    </w:p>
    <w:p w14:paraId="6F73B5DA" w14:textId="77777777" w:rsidR="0079564D" w:rsidRPr="0079564D" w:rsidRDefault="0079564D" w:rsidP="0079564D">
      <w:pPr>
        <w:spacing w:line="240" w:lineRule="auto"/>
        <w:rPr>
          <w:rFonts w:eastAsia="Times New Roman" w:cs="Arial"/>
          <w:color w:val="000000"/>
          <w:lang w:eastAsia="bg-BG"/>
        </w:rPr>
      </w:pPr>
    </w:p>
    <w:p w14:paraId="65F84C71" w14:textId="044F40C0"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 проучването </w:t>
      </w:r>
      <w:r w:rsidRPr="0079564D">
        <w:rPr>
          <w:rFonts w:eastAsia="Times New Roman" w:cs="Arial"/>
          <w:color w:val="000000"/>
          <w:lang w:val="en-US"/>
        </w:rPr>
        <w:t>TRANSCEND</w:t>
      </w:r>
      <w:r w:rsidRPr="0079564D">
        <w:rPr>
          <w:rFonts w:eastAsia="Times New Roman" w:cs="Arial"/>
          <w:color w:val="000000"/>
          <w:lang w:val="ru-RU"/>
        </w:rPr>
        <w:t xml:space="preserve"> </w:t>
      </w:r>
      <w:r w:rsidRPr="0079564D">
        <w:rPr>
          <w:rFonts w:eastAsia="Times New Roman" w:cs="Arial"/>
          <w:color w:val="000000"/>
          <w:lang w:eastAsia="bg-BG"/>
        </w:rPr>
        <w:t xml:space="preserve">са рандомизирани пациенти с непоносимост към </w:t>
      </w:r>
      <w:r w:rsidRPr="0079564D">
        <w:rPr>
          <w:rFonts w:eastAsia="Times New Roman" w:cs="Arial"/>
          <w:color w:val="000000"/>
          <w:lang w:val="en-US"/>
        </w:rPr>
        <w:t>ACE</w:t>
      </w:r>
      <w:r w:rsidRPr="0079564D">
        <w:rPr>
          <w:rFonts w:eastAsia="Times New Roman" w:cs="Arial"/>
          <w:color w:val="000000"/>
          <w:lang w:val="ru-RU"/>
        </w:rPr>
        <w:t>-</w:t>
      </w:r>
      <w:r w:rsidRPr="0079564D">
        <w:rPr>
          <w:rFonts w:eastAsia="Times New Roman" w:cs="Arial"/>
          <w:color w:val="000000"/>
          <w:lang w:val="en-US"/>
        </w:rPr>
        <w:t>I</w:t>
      </w:r>
      <w:r w:rsidRPr="0079564D">
        <w:rPr>
          <w:rFonts w:eastAsia="Times New Roman" w:cs="Arial"/>
          <w:color w:val="000000"/>
          <w:lang w:val="ru-RU"/>
        </w:rPr>
        <w:t xml:space="preserve"> </w:t>
      </w:r>
      <w:r w:rsidRPr="0079564D">
        <w:rPr>
          <w:rFonts w:eastAsia="Times New Roman" w:cs="Arial"/>
          <w:color w:val="000000"/>
          <w:lang w:eastAsia="bg-BG"/>
        </w:rPr>
        <w:t xml:space="preserve">инхибитори, но иначе със сходни критерии за включване както в проучването </w:t>
      </w:r>
      <w:r w:rsidRPr="0079564D">
        <w:rPr>
          <w:rFonts w:eastAsia="Times New Roman" w:cs="Arial"/>
          <w:color w:val="000000"/>
          <w:lang w:val="en-US"/>
        </w:rPr>
        <w:t>ONTARGET</w:t>
      </w:r>
      <w:r w:rsidRPr="0079564D">
        <w:rPr>
          <w:rFonts w:eastAsia="Times New Roman" w:cs="Arial"/>
          <w:color w:val="000000"/>
          <w:lang w:val="ru-RU"/>
        </w:rPr>
        <w:t xml:space="preserve"> </w:t>
      </w:r>
      <w:r w:rsidRPr="0079564D">
        <w:rPr>
          <w:rFonts w:eastAsia="Times New Roman" w:cs="Arial"/>
          <w:color w:val="000000"/>
          <w:lang w:eastAsia="bg-BG"/>
        </w:rPr>
        <w:lastRenderedPageBreak/>
        <w:t xml:space="preserve">в група, приемаща телмисартан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=2 954) или плацебо (</w:t>
      </w:r>
      <w:r w:rsidRPr="0079564D">
        <w:rPr>
          <w:rFonts w:eastAsia="Times New Roman" w:cs="Arial"/>
          <w:color w:val="000000"/>
          <w:lang w:val="en-US"/>
        </w:rPr>
        <w:t>n</w:t>
      </w:r>
      <w:r w:rsidRPr="0079564D">
        <w:rPr>
          <w:rFonts w:eastAsia="Times New Roman" w:cs="Arial"/>
          <w:color w:val="000000"/>
          <w:lang w:eastAsia="bg-BG"/>
        </w:rPr>
        <w:t xml:space="preserve">=2 972), като и двата продукта се прилагат в допълнение към стандартното лечение. Средната продължителност на проследяване е 4 години и 8 месеца. Не се установява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[15,7% в групата на телмисартан и 17,0% в групата на плацебо, с коефициент на риск 0,92 (95 % </w:t>
      </w:r>
      <w:r w:rsidRPr="0079564D">
        <w:rPr>
          <w:rFonts w:eastAsia="Times New Roman" w:cs="Arial"/>
          <w:color w:val="000000"/>
          <w:lang w:val="en-US"/>
        </w:rPr>
        <w:t>CI</w:t>
      </w:r>
      <w:r w:rsidRPr="0079564D">
        <w:rPr>
          <w:rFonts w:eastAsia="Times New Roman" w:cs="Arial"/>
          <w:color w:val="000000"/>
          <w:lang w:val="ru-RU"/>
        </w:rPr>
        <w:t xml:space="preserve"> </w:t>
      </w:r>
      <w:r w:rsidRPr="0079564D">
        <w:rPr>
          <w:rFonts w:eastAsia="Times New Roman" w:cs="Arial"/>
          <w:color w:val="000000"/>
          <w:lang w:eastAsia="bg-BG"/>
        </w:rPr>
        <w:t xml:space="preserve">0,81 -1,05; р = 0,22)]. Има данни за ползата от телмисартан в сравнение с плацебо по отношение на предварително определената вторична съставна крайна точка от сърдечно-съдова смърт, нефатален инфаркт на миокарда и нефатален мозъчен инсулт [0,87 (95% </w:t>
      </w:r>
      <w:r w:rsidRPr="0079564D">
        <w:rPr>
          <w:rFonts w:eastAsia="Times New Roman" w:cs="Arial"/>
          <w:color w:val="000000"/>
          <w:lang w:val="en-US"/>
        </w:rPr>
        <w:t>CI</w:t>
      </w:r>
      <w:r w:rsidRPr="0079564D">
        <w:rPr>
          <w:rFonts w:eastAsia="Times New Roman" w:cs="Arial"/>
          <w:color w:val="000000"/>
          <w:lang w:val="ru-RU"/>
        </w:rPr>
        <w:t xml:space="preserve"> </w:t>
      </w:r>
      <w:r w:rsidRPr="0079564D">
        <w:rPr>
          <w:rFonts w:eastAsia="Times New Roman" w:cs="Arial"/>
          <w:color w:val="000000"/>
          <w:lang w:eastAsia="bg-BG"/>
        </w:rPr>
        <w:t>0,76-1,00; р=0,048). Няма данни за полза по отношение на намаляване на сърдечно-съдовата смъртност (коефициент на риск 1,03, 95% доверителен интервал 0,85-1,24).</w:t>
      </w:r>
    </w:p>
    <w:p w14:paraId="39563069" w14:textId="77777777" w:rsidR="0079564D" w:rsidRPr="0079564D" w:rsidRDefault="0079564D" w:rsidP="0079564D">
      <w:pPr>
        <w:spacing w:line="240" w:lineRule="auto"/>
        <w:rPr>
          <w:rFonts w:eastAsia="Times New Roman" w:cs="Arial"/>
          <w:color w:val="000000"/>
          <w:lang w:eastAsia="bg-BG"/>
        </w:rPr>
      </w:pPr>
    </w:p>
    <w:p w14:paraId="01997BD2" w14:textId="45145D90" w:rsidR="0079564D" w:rsidRPr="0079564D" w:rsidRDefault="0079564D" w:rsidP="0079564D">
      <w:pPr>
        <w:spacing w:line="240" w:lineRule="auto"/>
        <w:rPr>
          <w:rFonts w:eastAsia="Times New Roman" w:cs="Arial"/>
        </w:rPr>
      </w:pPr>
      <w:r w:rsidRPr="0079564D">
        <w:rPr>
          <w:rFonts w:eastAsia="Times New Roman" w:cs="Arial"/>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при терапия с телмисартан по-често се съобщава за случаи на хипотония.</w:t>
      </w:r>
    </w:p>
    <w:p w14:paraId="25956B56" w14:textId="77777777" w:rsidR="0079564D" w:rsidRPr="0079564D" w:rsidRDefault="0079564D" w:rsidP="0079564D">
      <w:pPr>
        <w:spacing w:line="240" w:lineRule="auto"/>
        <w:rPr>
          <w:rFonts w:eastAsia="Times New Roman" w:cs="Arial"/>
          <w:color w:val="000000"/>
          <w:lang w:eastAsia="bg-BG"/>
        </w:rPr>
      </w:pPr>
    </w:p>
    <w:p w14:paraId="782FE8EC" w14:textId="3A8BF07B" w:rsidR="0079564D" w:rsidRPr="0079564D" w:rsidRDefault="0079564D" w:rsidP="0079564D">
      <w:pPr>
        <w:spacing w:line="240" w:lineRule="auto"/>
        <w:rPr>
          <w:rFonts w:eastAsia="Times New Roman" w:cs="Arial"/>
        </w:rPr>
      </w:pPr>
      <w:r w:rsidRPr="0079564D">
        <w:rPr>
          <w:rFonts w:eastAsia="Times New Roman" w:cs="Arial"/>
          <w:color w:val="000000"/>
          <w:lang w:eastAsia="bg-BG"/>
        </w:rPr>
        <w:t>Комбинирането на телмисартан с рамиприл не дава допълнителна полза спрямо самостоятелната терапия с рамиприл или телмисартан. Сърдечно-съдовата смъртност и смъртността по всяка причина, като числено изражение, са по-високи при комбинираното лечение. Освен това, има значимо по-висока честота на хиперкалиемия, бъбречна недостатъчност, хипотония и синкоп в рамото с пациенти на комбинирано лечение. Поради тази причина, едновременната употреба на телмисартан и рамиприл не се препоръчва при тази популация.</w:t>
      </w:r>
    </w:p>
    <w:p w14:paraId="6BBC4F53" w14:textId="77777777" w:rsidR="0079564D" w:rsidRPr="0079564D" w:rsidRDefault="0079564D" w:rsidP="0079564D">
      <w:pPr>
        <w:spacing w:line="240" w:lineRule="auto"/>
        <w:rPr>
          <w:rFonts w:eastAsia="Times New Roman" w:cs="Arial"/>
          <w:color w:val="000000"/>
          <w:lang w:eastAsia="bg-BG"/>
        </w:rPr>
      </w:pPr>
    </w:p>
    <w:p w14:paraId="6107AA6F" w14:textId="7043951C"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79564D">
        <w:rPr>
          <w:rFonts w:eastAsia="Times New Roman" w:cs="Arial"/>
          <w:color w:val="000000"/>
          <w:lang w:val="ru-RU"/>
        </w:rPr>
        <w:t>"</w:t>
      </w:r>
      <w:r w:rsidRPr="0079564D">
        <w:rPr>
          <w:rFonts w:eastAsia="Times New Roman" w:cs="Arial"/>
          <w:color w:val="000000"/>
          <w:lang w:val="en-US"/>
        </w:rPr>
        <w:t>Prevention</w:t>
      </w:r>
      <w:r w:rsidRPr="0079564D">
        <w:rPr>
          <w:rFonts w:eastAsia="Times New Roman" w:cs="Arial"/>
          <w:color w:val="000000"/>
          <w:lang w:val="ru-RU"/>
        </w:rPr>
        <w:t xml:space="preserve"> </w:t>
      </w:r>
      <w:r w:rsidRPr="0079564D">
        <w:rPr>
          <w:rFonts w:eastAsia="Times New Roman" w:cs="Arial"/>
          <w:color w:val="000000"/>
          <w:lang w:val="en-US"/>
        </w:rPr>
        <w:t>Regimen</w:t>
      </w:r>
      <w:r w:rsidRPr="0079564D">
        <w:rPr>
          <w:rFonts w:eastAsia="Times New Roman" w:cs="Arial"/>
          <w:color w:val="000000"/>
          <w:lang w:val="ru-RU"/>
        </w:rPr>
        <w:t xml:space="preserve"> </w:t>
      </w:r>
      <w:r w:rsidRPr="0079564D">
        <w:rPr>
          <w:rFonts w:eastAsia="Times New Roman" w:cs="Arial"/>
          <w:color w:val="000000"/>
          <w:lang w:val="en-US"/>
        </w:rPr>
        <w:t>For</w:t>
      </w:r>
      <w:r w:rsidRPr="0079564D">
        <w:rPr>
          <w:rFonts w:eastAsia="Times New Roman" w:cs="Arial"/>
          <w:color w:val="000000"/>
          <w:lang w:val="ru-RU"/>
        </w:rPr>
        <w:t xml:space="preserve"> </w:t>
      </w:r>
      <w:r w:rsidRPr="0079564D">
        <w:rPr>
          <w:rFonts w:eastAsia="Times New Roman" w:cs="Arial"/>
          <w:color w:val="000000"/>
          <w:lang w:val="en-US"/>
        </w:rPr>
        <w:t>Effectively</w:t>
      </w:r>
      <w:r w:rsidRPr="0079564D">
        <w:rPr>
          <w:rFonts w:eastAsia="Times New Roman" w:cs="Arial"/>
          <w:color w:val="000000"/>
          <w:lang w:val="ru-RU"/>
        </w:rPr>
        <w:t xml:space="preserve"> </w:t>
      </w:r>
      <w:r w:rsidRPr="0079564D">
        <w:rPr>
          <w:rFonts w:eastAsia="Times New Roman" w:cs="Arial"/>
          <w:color w:val="000000"/>
          <w:lang w:val="en-US"/>
        </w:rPr>
        <w:t>avoiding</w:t>
      </w:r>
      <w:r w:rsidRPr="0079564D">
        <w:rPr>
          <w:rFonts w:eastAsia="Times New Roman" w:cs="Arial"/>
          <w:color w:val="000000"/>
          <w:lang w:val="ru-RU"/>
        </w:rPr>
        <w:t xml:space="preserve"> </w:t>
      </w:r>
      <w:r w:rsidRPr="0079564D">
        <w:rPr>
          <w:rFonts w:eastAsia="Times New Roman" w:cs="Arial"/>
          <w:color w:val="000000"/>
          <w:lang w:val="en-US"/>
        </w:rPr>
        <w:t>Second</w:t>
      </w:r>
      <w:r w:rsidRPr="0079564D">
        <w:rPr>
          <w:rFonts w:eastAsia="Times New Roman" w:cs="Arial"/>
          <w:color w:val="000000"/>
          <w:lang w:val="ru-RU"/>
        </w:rPr>
        <w:t xml:space="preserve"> </w:t>
      </w:r>
      <w:r w:rsidRPr="0079564D">
        <w:rPr>
          <w:rFonts w:eastAsia="Times New Roman" w:cs="Arial"/>
          <w:color w:val="000000"/>
          <w:lang w:val="en-US"/>
        </w:rPr>
        <w:t>Strokes</w:t>
      </w:r>
      <w:r w:rsidRPr="0079564D">
        <w:rPr>
          <w:rFonts w:eastAsia="Times New Roman" w:cs="Arial"/>
          <w:color w:val="000000"/>
          <w:lang w:val="ru-RU"/>
        </w:rPr>
        <w:t>” (</w:t>
      </w:r>
      <w:proofErr w:type="spellStart"/>
      <w:r w:rsidRPr="0079564D">
        <w:rPr>
          <w:rFonts w:eastAsia="Times New Roman" w:cs="Arial"/>
          <w:color w:val="000000"/>
          <w:lang w:val="en-US"/>
        </w:rPr>
        <w:t>PRoFESS</w:t>
      </w:r>
      <w:proofErr w:type="spellEnd"/>
      <w:r w:rsidRPr="0079564D">
        <w:rPr>
          <w:rFonts w:eastAsia="Times New Roman" w:cs="Arial"/>
          <w:color w:val="000000"/>
          <w:lang w:val="ru-RU"/>
        </w:rPr>
        <w:t xml:space="preserve">) </w:t>
      </w:r>
      <w:r w:rsidRPr="0079564D">
        <w:rPr>
          <w:rFonts w:eastAsia="Times New Roman" w:cs="Arial"/>
          <w:color w:val="000000"/>
          <w:lang w:eastAsia="bg-BG"/>
        </w:rPr>
        <w:t xml:space="preserve">при пациенти на </w:t>
      </w:r>
      <w:r w:rsidRPr="0079564D">
        <w:rPr>
          <w:rFonts w:eastAsia="Times New Roman" w:cs="Arial"/>
          <w:color w:val="000000"/>
          <w:lang w:val="ru-RU"/>
        </w:rPr>
        <w:t xml:space="preserve">50 </w:t>
      </w:r>
      <w:r w:rsidRPr="0079564D">
        <w:rPr>
          <w:rFonts w:eastAsia="Times New Roman" w:cs="Arial"/>
          <w:color w:val="000000"/>
          <w:lang w:eastAsia="bg-BG"/>
        </w:rPr>
        <w:t xml:space="preserve">години или по-възрастни,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79564D">
        <w:rPr>
          <w:rFonts w:eastAsia="Times New Roman" w:cs="Arial"/>
          <w:color w:val="000000"/>
          <w:lang w:val="ru-RU"/>
        </w:rPr>
        <w:t>[</w:t>
      </w:r>
      <w:r w:rsidRPr="0079564D">
        <w:rPr>
          <w:rFonts w:eastAsia="Times New Roman" w:cs="Arial"/>
          <w:color w:val="000000"/>
          <w:lang w:val="en-US"/>
        </w:rPr>
        <w:t>RR</w:t>
      </w:r>
      <w:r w:rsidRPr="0079564D">
        <w:rPr>
          <w:rFonts w:eastAsia="Times New Roman" w:cs="Arial"/>
          <w:color w:val="000000"/>
          <w:lang w:val="ru-RU"/>
        </w:rPr>
        <w:t xml:space="preserve"> </w:t>
      </w:r>
      <w:r w:rsidRPr="0079564D">
        <w:rPr>
          <w:rFonts w:eastAsia="Times New Roman" w:cs="Arial"/>
          <w:color w:val="000000"/>
          <w:lang w:eastAsia="bg-BG"/>
        </w:rPr>
        <w:t xml:space="preserve">1,43 (95% доверителен интервал 1,00-2,06)]; честотата на възникване на сепсис с фатален изход е повишена при пациентите, приемащи телмисартан (0,33%) спрямо пациентите на плацебо (0,16%) </w:t>
      </w:r>
      <w:r w:rsidRPr="0079564D">
        <w:rPr>
          <w:rFonts w:eastAsia="Times New Roman" w:cs="Arial"/>
          <w:color w:val="000000"/>
          <w:lang w:val="ru-RU"/>
        </w:rPr>
        <w:t>[</w:t>
      </w:r>
      <w:r w:rsidRPr="0079564D">
        <w:rPr>
          <w:rFonts w:eastAsia="Times New Roman" w:cs="Arial"/>
          <w:color w:val="000000"/>
          <w:lang w:val="en-US"/>
        </w:rPr>
        <w:t>RR</w:t>
      </w:r>
      <w:r w:rsidRPr="0079564D">
        <w:rPr>
          <w:rFonts w:eastAsia="Times New Roman" w:cs="Arial"/>
          <w:color w:val="000000"/>
          <w:lang w:val="ru-RU"/>
        </w:rPr>
        <w:t xml:space="preserve"> </w:t>
      </w:r>
      <w:r w:rsidRPr="0079564D">
        <w:rPr>
          <w:rFonts w:eastAsia="Times New Roman" w:cs="Arial"/>
          <w:color w:val="000000"/>
          <w:lang w:eastAsia="bg-BG"/>
        </w:rPr>
        <w:t>2,07 (95% доверителен интервал 1,14-3,76)].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48086D19" w14:textId="77777777" w:rsidR="0079564D" w:rsidRPr="0079564D" w:rsidRDefault="0079564D" w:rsidP="0079564D">
      <w:pPr>
        <w:spacing w:line="240" w:lineRule="auto"/>
        <w:rPr>
          <w:rFonts w:eastAsia="Times New Roman" w:cs="Arial"/>
          <w:color w:val="000000"/>
          <w:lang w:eastAsia="bg-BG"/>
        </w:rPr>
      </w:pPr>
    </w:p>
    <w:p w14:paraId="7E223DB6" w14:textId="323C229B"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Две големи рандомизирани контролирани проучвания - </w:t>
      </w:r>
      <w:r w:rsidRPr="0079564D">
        <w:rPr>
          <w:rFonts w:eastAsia="Times New Roman" w:cs="Arial"/>
          <w:color w:val="000000"/>
          <w:lang w:val="en-US"/>
        </w:rPr>
        <w:t>ONTARGET</w:t>
      </w:r>
      <w:r w:rsidRPr="0079564D">
        <w:rPr>
          <w:rFonts w:eastAsia="Times New Roman" w:cs="Arial"/>
          <w:color w:val="000000"/>
        </w:rPr>
        <w:t xml:space="preserve"> (</w:t>
      </w:r>
      <w:r w:rsidRPr="0079564D">
        <w:rPr>
          <w:rFonts w:eastAsia="Times New Roman" w:cs="Arial"/>
          <w:color w:val="000000"/>
          <w:lang w:val="en-US"/>
        </w:rPr>
        <w:t>Ongoing</w:t>
      </w:r>
      <w:r w:rsidRPr="0079564D">
        <w:rPr>
          <w:rFonts w:eastAsia="Times New Roman" w:cs="Arial"/>
          <w:color w:val="000000"/>
        </w:rPr>
        <w:t xml:space="preserve"> </w:t>
      </w:r>
      <w:proofErr w:type="spellStart"/>
      <w:r w:rsidRPr="0079564D">
        <w:rPr>
          <w:rFonts w:eastAsia="Times New Roman" w:cs="Arial"/>
          <w:color w:val="000000"/>
          <w:lang w:val="en-US"/>
        </w:rPr>
        <w:t>Telmisartan</w:t>
      </w:r>
      <w:proofErr w:type="spellEnd"/>
      <w:r w:rsidRPr="0079564D">
        <w:rPr>
          <w:rFonts w:eastAsia="Times New Roman" w:cs="Arial"/>
          <w:color w:val="000000"/>
        </w:rPr>
        <w:t xml:space="preserve"> </w:t>
      </w:r>
      <w:r w:rsidRPr="0079564D">
        <w:rPr>
          <w:rFonts w:eastAsia="Times New Roman" w:cs="Arial"/>
          <w:color w:val="000000"/>
          <w:lang w:val="en-US"/>
        </w:rPr>
        <w:t>Alone</w:t>
      </w:r>
      <w:r w:rsidRPr="0079564D">
        <w:rPr>
          <w:rFonts w:eastAsia="Times New Roman" w:cs="Arial"/>
          <w:color w:val="000000"/>
        </w:rPr>
        <w:t xml:space="preserve"> </w:t>
      </w:r>
      <w:r w:rsidRPr="0079564D">
        <w:rPr>
          <w:rFonts w:eastAsia="Times New Roman" w:cs="Arial"/>
          <w:color w:val="000000"/>
          <w:lang w:val="en-US"/>
        </w:rPr>
        <w:t>and</w:t>
      </w:r>
      <w:r w:rsidRPr="0079564D">
        <w:rPr>
          <w:rFonts w:eastAsia="Times New Roman" w:cs="Arial"/>
          <w:color w:val="000000"/>
        </w:rPr>
        <w:t xml:space="preserve"> </w:t>
      </w:r>
      <w:r w:rsidRPr="0079564D">
        <w:rPr>
          <w:rFonts w:eastAsia="Times New Roman" w:cs="Arial"/>
          <w:color w:val="000000"/>
          <w:lang w:val="en-US"/>
        </w:rPr>
        <w:t>in</w:t>
      </w:r>
      <w:r w:rsidRPr="0079564D">
        <w:rPr>
          <w:rFonts w:eastAsia="Times New Roman" w:cs="Arial"/>
          <w:color w:val="000000"/>
        </w:rPr>
        <w:t xml:space="preserve"> </w:t>
      </w:r>
      <w:r w:rsidRPr="0079564D">
        <w:rPr>
          <w:rFonts w:eastAsia="Times New Roman" w:cs="Arial"/>
          <w:color w:val="000000"/>
          <w:lang w:val="en-US"/>
        </w:rPr>
        <w:t>combination</w:t>
      </w:r>
      <w:r w:rsidRPr="0079564D">
        <w:rPr>
          <w:rFonts w:eastAsia="Times New Roman" w:cs="Arial"/>
          <w:color w:val="000000"/>
        </w:rPr>
        <w:t xml:space="preserve"> </w:t>
      </w:r>
      <w:r w:rsidRPr="0079564D">
        <w:rPr>
          <w:rFonts w:eastAsia="Times New Roman" w:cs="Arial"/>
          <w:color w:val="000000"/>
          <w:lang w:val="en-US"/>
        </w:rPr>
        <w:t>with</w:t>
      </w:r>
      <w:r w:rsidRPr="0079564D">
        <w:rPr>
          <w:rFonts w:eastAsia="Times New Roman" w:cs="Arial"/>
          <w:color w:val="000000"/>
        </w:rPr>
        <w:t xml:space="preserve"> </w:t>
      </w:r>
      <w:r w:rsidRPr="0079564D">
        <w:rPr>
          <w:rFonts w:eastAsia="Times New Roman" w:cs="Arial"/>
          <w:color w:val="000000"/>
          <w:lang w:val="en-US"/>
        </w:rPr>
        <w:t>Ramipril</w:t>
      </w:r>
      <w:r w:rsidRPr="0079564D">
        <w:rPr>
          <w:rFonts w:eastAsia="Times New Roman" w:cs="Arial"/>
          <w:color w:val="000000"/>
        </w:rPr>
        <w:t xml:space="preserve"> </w:t>
      </w:r>
      <w:r w:rsidRPr="0079564D">
        <w:rPr>
          <w:rFonts w:eastAsia="Times New Roman" w:cs="Arial"/>
          <w:color w:val="000000"/>
          <w:lang w:val="en-US"/>
        </w:rPr>
        <w:t>Global</w:t>
      </w:r>
      <w:r w:rsidRPr="0079564D">
        <w:rPr>
          <w:rFonts w:eastAsia="Times New Roman" w:cs="Arial"/>
          <w:color w:val="000000"/>
        </w:rPr>
        <w:t xml:space="preserve"> </w:t>
      </w:r>
      <w:r w:rsidRPr="0079564D">
        <w:rPr>
          <w:rFonts w:eastAsia="Times New Roman" w:cs="Arial"/>
          <w:color w:val="000000"/>
          <w:lang w:val="en-US"/>
        </w:rPr>
        <w:t>Endpoint</w:t>
      </w:r>
      <w:r w:rsidRPr="0079564D">
        <w:rPr>
          <w:rFonts w:eastAsia="Times New Roman" w:cs="Arial"/>
          <w:color w:val="000000"/>
        </w:rPr>
        <w:t xml:space="preserve"> </w:t>
      </w:r>
      <w:r w:rsidRPr="0079564D">
        <w:rPr>
          <w:rFonts w:eastAsia="Times New Roman" w:cs="Arial"/>
          <w:color w:val="000000"/>
          <w:lang w:val="en-US"/>
        </w:rPr>
        <w:t>Trial</w:t>
      </w:r>
      <w:r w:rsidRPr="0079564D">
        <w:rPr>
          <w:rFonts w:eastAsia="Times New Roman" w:cs="Arial"/>
          <w:color w:val="000000"/>
        </w:rPr>
        <w:t xml:space="preserve"> - </w:t>
      </w:r>
      <w:r w:rsidRPr="0079564D">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79564D">
        <w:rPr>
          <w:rFonts w:eastAsia="Times New Roman" w:cs="Arial"/>
          <w:color w:val="000000"/>
          <w:lang w:val="en-US"/>
        </w:rPr>
        <w:t>VA</w:t>
      </w:r>
      <w:r w:rsidRPr="0079564D">
        <w:rPr>
          <w:rFonts w:eastAsia="Times New Roman" w:cs="Arial"/>
          <w:color w:val="000000"/>
        </w:rPr>
        <w:t xml:space="preserve"> </w:t>
      </w:r>
      <w:r w:rsidRPr="0079564D">
        <w:rPr>
          <w:rFonts w:eastAsia="Times New Roman" w:cs="Arial"/>
          <w:color w:val="000000"/>
          <w:lang w:val="en-US"/>
        </w:rPr>
        <w:t>NEPHRON</w:t>
      </w:r>
      <w:r w:rsidRPr="0079564D">
        <w:rPr>
          <w:rFonts w:eastAsia="Times New Roman" w:cs="Arial"/>
          <w:color w:val="000000"/>
        </w:rPr>
        <w:t>-</w:t>
      </w:r>
      <w:r w:rsidRPr="0079564D">
        <w:rPr>
          <w:rFonts w:eastAsia="Times New Roman" w:cs="Arial"/>
          <w:color w:val="000000"/>
          <w:lang w:val="en-US"/>
        </w:rPr>
        <w:t>D</w:t>
      </w:r>
      <w:r w:rsidRPr="0079564D">
        <w:rPr>
          <w:rFonts w:eastAsia="Times New Roman" w:cs="Arial"/>
          <w:color w:val="000000"/>
        </w:rPr>
        <w:t xml:space="preserve"> </w:t>
      </w:r>
      <w:r w:rsidRPr="0079564D">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79564D">
        <w:rPr>
          <w:rFonts w:eastAsia="Times New Roman" w:cs="Arial"/>
          <w:color w:val="000000"/>
          <w:lang w:val="en-US"/>
        </w:rPr>
        <w:t>II</w:t>
      </w:r>
      <w:r w:rsidRPr="0079564D">
        <w:rPr>
          <w:rFonts w:eastAsia="Times New Roman" w:cs="Arial"/>
          <w:color w:val="000000"/>
          <w:lang w:eastAsia="bg-BG"/>
        </w:rPr>
        <w:t>-рецепторен блокер.</w:t>
      </w:r>
    </w:p>
    <w:p w14:paraId="02A663B6" w14:textId="77777777" w:rsidR="0079564D" w:rsidRPr="0079564D" w:rsidRDefault="0079564D" w:rsidP="0079564D">
      <w:pPr>
        <w:spacing w:line="240" w:lineRule="auto"/>
        <w:rPr>
          <w:rFonts w:eastAsia="Times New Roman" w:cs="Arial"/>
        </w:rPr>
      </w:pPr>
      <w:r w:rsidRPr="0079564D">
        <w:rPr>
          <w:rFonts w:eastAsia="Times New Roman" w:cs="Arial"/>
          <w:color w:val="000000"/>
          <w:lang w:val="en-US"/>
        </w:rPr>
        <w:t>ONTARGET</w:t>
      </w:r>
      <w:r w:rsidRPr="0079564D">
        <w:rPr>
          <w:rFonts w:eastAsia="Times New Roman" w:cs="Arial"/>
          <w:color w:val="000000"/>
          <w:lang w:val="ru-RU"/>
        </w:rPr>
        <w:t xml:space="preserve"> </w:t>
      </w:r>
      <w:r w:rsidRPr="0079564D">
        <w:rPr>
          <w:rFonts w:eastAsia="Times New Roman" w:cs="Arial"/>
          <w:color w:val="000000"/>
          <w:lang w:eastAsia="bg-BG"/>
        </w:rPr>
        <w:t>е проучване, проведено при пациенти с анамнеза за сърдечно-съдова</w:t>
      </w:r>
      <w:r w:rsidRPr="0079564D">
        <w:rPr>
          <w:rFonts w:eastAsia="Times New Roman" w:cs="Arial"/>
          <w:color w:val="000000"/>
          <w:lang w:val="ru-RU"/>
        </w:rPr>
        <w:t xml:space="preserve"> </w:t>
      </w:r>
      <w:r w:rsidRPr="0079564D">
        <w:rPr>
          <w:rFonts w:eastAsia="Times New Roman" w:cs="Arial"/>
          <w:color w:val="000000"/>
          <w:lang w:eastAsia="bg-BG"/>
        </w:rPr>
        <w:t>или мозъчносъдова болест, или захарен диабет тип 2, придружени с данни за увреждане на ефекторни органи. За по-подробна информация виж по-горе под заглавието ”Профилактика на сърдечно-съдови инциденти”.</w:t>
      </w:r>
    </w:p>
    <w:p w14:paraId="444BE282" w14:textId="77777777" w:rsidR="0079564D" w:rsidRPr="0079564D" w:rsidRDefault="0079564D" w:rsidP="0079564D">
      <w:pPr>
        <w:spacing w:line="240" w:lineRule="auto"/>
        <w:rPr>
          <w:rFonts w:eastAsia="Times New Roman" w:cs="Arial"/>
        </w:rPr>
      </w:pPr>
      <w:r w:rsidRPr="0079564D">
        <w:rPr>
          <w:rFonts w:eastAsia="Times New Roman" w:cs="Arial"/>
          <w:color w:val="000000"/>
          <w:lang w:val="en-US"/>
        </w:rPr>
        <w:t>VA</w:t>
      </w:r>
      <w:r w:rsidRPr="0079564D">
        <w:rPr>
          <w:rFonts w:eastAsia="Times New Roman" w:cs="Arial"/>
          <w:color w:val="000000"/>
          <w:lang w:val="ru-RU"/>
        </w:rPr>
        <w:t xml:space="preserve"> </w:t>
      </w:r>
      <w:r w:rsidRPr="0079564D">
        <w:rPr>
          <w:rFonts w:eastAsia="Times New Roman" w:cs="Arial"/>
          <w:color w:val="000000"/>
          <w:lang w:val="en-US"/>
        </w:rPr>
        <w:t>NEPHRON</w:t>
      </w:r>
      <w:r w:rsidRPr="0079564D">
        <w:rPr>
          <w:rFonts w:eastAsia="Times New Roman" w:cs="Arial"/>
          <w:color w:val="000000"/>
          <w:lang w:val="ru-RU"/>
        </w:rPr>
        <w:t>-</w:t>
      </w:r>
      <w:r w:rsidRPr="0079564D">
        <w:rPr>
          <w:rFonts w:eastAsia="Times New Roman" w:cs="Arial"/>
          <w:color w:val="000000"/>
          <w:lang w:val="en-US"/>
        </w:rPr>
        <w:t>D</w:t>
      </w:r>
      <w:r w:rsidRPr="0079564D">
        <w:rPr>
          <w:rFonts w:eastAsia="Times New Roman" w:cs="Arial"/>
          <w:color w:val="000000"/>
          <w:lang w:val="ru-RU"/>
        </w:rPr>
        <w:t xml:space="preserve"> </w:t>
      </w:r>
      <w:r w:rsidRPr="0079564D">
        <w:rPr>
          <w:rFonts w:eastAsia="Times New Roman" w:cs="Arial"/>
          <w:color w:val="000000"/>
          <w:lang w:eastAsia="bg-BG"/>
        </w:rPr>
        <w:t>е проучване при пациенти със захарен диабет тип 2 и диабетна нефропатия.</w:t>
      </w:r>
    </w:p>
    <w:p w14:paraId="7FCF660B" w14:textId="064E3B4A" w:rsidR="0079564D" w:rsidRPr="0079564D" w:rsidRDefault="0079564D" w:rsidP="0079564D">
      <w:pPr>
        <w:spacing w:line="240" w:lineRule="auto"/>
        <w:rPr>
          <w:rFonts w:eastAsia="Times New Roman" w:cs="Arial"/>
        </w:rPr>
      </w:pPr>
    </w:p>
    <w:p w14:paraId="382FF2D1"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Тези проучвания не показват значим благоприятен ефект върху бъбречните и/или сърдечно</w:t>
      </w:r>
      <w:r w:rsidRPr="0079564D">
        <w:rPr>
          <w:rFonts w:eastAsia="Times New Roman" w:cs="Arial"/>
          <w:color w:val="000000"/>
          <w:lang w:eastAsia="bg-BG"/>
        </w:rPr>
        <w:softHyphen/>
        <w:t xml:space="preserve">съдовите последици и смъртност, като същевременно са наблюдавани повишен </w:t>
      </w:r>
      <w:r w:rsidRPr="0079564D">
        <w:rPr>
          <w:rFonts w:eastAsia="Times New Roman" w:cs="Arial"/>
          <w:color w:val="000000"/>
          <w:lang w:eastAsia="bg-BG"/>
        </w:rPr>
        <w:lastRenderedPageBreak/>
        <w:t xml:space="preserve">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79564D">
        <w:rPr>
          <w:rFonts w:eastAsia="Times New Roman" w:cs="Arial"/>
          <w:color w:val="000000"/>
          <w:lang w:val="en-US"/>
        </w:rPr>
        <w:t>II</w:t>
      </w:r>
      <w:r w:rsidRPr="0079564D">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420C75E7" w14:textId="77777777" w:rsidR="0079564D" w:rsidRPr="0079564D" w:rsidRDefault="0079564D" w:rsidP="0079564D">
      <w:pPr>
        <w:spacing w:line="240" w:lineRule="auto"/>
        <w:rPr>
          <w:rFonts w:eastAsia="Times New Roman" w:cs="Arial"/>
          <w:color w:val="000000"/>
          <w:lang w:val="en-US"/>
        </w:rPr>
      </w:pPr>
    </w:p>
    <w:p w14:paraId="228310D2" w14:textId="0E5DDDA3" w:rsidR="0079564D" w:rsidRPr="0079564D" w:rsidRDefault="0079564D" w:rsidP="0079564D">
      <w:pPr>
        <w:spacing w:line="240" w:lineRule="auto"/>
        <w:rPr>
          <w:rFonts w:eastAsia="Times New Roman" w:cs="Arial"/>
        </w:rPr>
      </w:pPr>
      <w:r w:rsidRPr="0079564D">
        <w:rPr>
          <w:rFonts w:eastAsia="Times New Roman" w:cs="Arial"/>
          <w:color w:val="000000"/>
          <w:lang w:val="en-US"/>
        </w:rPr>
        <w:t>ALTITUDE</w:t>
      </w:r>
      <w:r w:rsidRPr="0079564D">
        <w:rPr>
          <w:rFonts w:eastAsia="Times New Roman" w:cs="Arial"/>
          <w:color w:val="000000"/>
          <w:lang w:val="ru-RU"/>
        </w:rPr>
        <w:t xml:space="preserve"> </w:t>
      </w:r>
      <w:r w:rsidRPr="0079564D">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79564D">
        <w:rPr>
          <w:rFonts w:eastAsia="Times New Roman" w:cs="Arial"/>
          <w:color w:val="000000"/>
          <w:lang w:val="en-US"/>
        </w:rPr>
        <w:t>II</w:t>
      </w:r>
      <w:r w:rsidRPr="0079564D">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27FA206" w14:textId="77777777" w:rsidR="0079564D" w:rsidRPr="0079564D" w:rsidRDefault="0079564D" w:rsidP="0079564D">
      <w:pPr>
        <w:spacing w:line="240" w:lineRule="auto"/>
        <w:rPr>
          <w:rFonts w:eastAsia="Times New Roman" w:cs="Arial"/>
          <w:color w:val="000000"/>
          <w:lang w:eastAsia="bg-BG"/>
        </w:rPr>
      </w:pPr>
    </w:p>
    <w:p w14:paraId="19291A6A" w14:textId="731407E4" w:rsidR="0079564D" w:rsidRPr="0079564D" w:rsidRDefault="0079564D" w:rsidP="0079564D">
      <w:pPr>
        <w:spacing w:line="240" w:lineRule="auto"/>
        <w:rPr>
          <w:rFonts w:eastAsia="Times New Roman" w:cs="Arial"/>
        </w:rPr>
      </w:pPr>
      <w:r w:rsidRPr="0079564D">
        <w:rPr>
          <w:rFonts w:eastAsia="Times New Roman" w:cs="Arial"/>
          <w:color w:val="000000"/>
          <w:lang w:eastAsia="bg-BG"/>
        </w:rPr>
        <w:t>Епидемиологичните проучвания показват, че дългосрочното лечение с хидрохлоротиазид намалява риска от сърдечно-съдова заболеваемост и от смъртност в резултат на сърдечно</w:t>
      </w:r>
      <w:r w:rsidRPr="0079564D">
        <w:rPr>
          <w:rFonts w:eastAsia="Times New Roman" w:cs="Arial"/>
          <w:color w:val="000000"/>
          <w:lang w:eastAsia="bg-BG"/>
        </w:rPr>
        <w:softHyphen/>
        <w:t>съдови болести.</w:t>
      </w:r>
    </w:p>
    <w:p w14:paraId="6A05F059" w14:textId="77777777" w:rsidR="0079564D" w:rsidRPr="0079564D" w:rsidRDefault="0079564D" w:rsidP="0079564D">
      <w:pPr>
        <w:spacing w:line="240" w:lineRule="auto"/>
        <w:rPr>
          <w:rFonts w:eastAsia="Times New Roman" w:cs="Arial"/>
          <w:color w:val="000000"/>
          <w:lang w:eastAsia="bg-BG"/>
        </w:rPr>
      </w:pPr>
    </w:p>
    <w:p w14:paraId="58E70AFB" w14:textId="5577A51B" w:rsidR="0079564D" w:rsidRPr="0079564D" w:rsidRDefault="0079564D" w:rsidP="0079564D">
      <w:pPr>
        <w:spacing w:line="240" w:lineRule="auto"/>
        <w:rPr>
          <w:rFonts w:eastAsia="Times New Roman" w:cs="Arial"/>
        </w:rPr>
      </w:pPr>
      <w:r w:rsidRPr="0079564D">
        <w:rPr>
          <w:rFonts w:eastAsia="Times New Roman" w:cs="Arial"/>
          <w:color w:val="000000"/>
          <w:lang w:eastAsia="bg-BG"/>
        </w:rPr>
        <w:t>Към момента ефектите на фиксираната дозова комбинация на телмисартан/хидрохлоротиазид върху смъртността и сърдечно-съдовата заболеваемост не са известни.</w:t>
      </w:r>
    </w:p>
    <w:p w14:paraId="21B5F14A" w14:textId="77777777" w:rsidR="0079564D" w:rsidRPr="0079564D" w:rsidRDefault="0079564D" w:rsidP="0079564D">
      <w:pPr>
        <w:spacing w:line="240" w:lineRule="auto"/>
        <w:rPr>
          <w:rFonts w:eastAsia="Times New Roman" w:cs="Arial"/>
          <w:i/>
          <w:iCs/>
          <w:color w:val="000000"/>
          <w:lang w:eastAsia="bg-BG"/>
        </w:rPr>
      </w:pPr>
    </w:p>
    <w:p w14:paraId="329D1B0C" w14:textId="160D9265" w:rsidR="0079564D" w:rsidRPr="0079564D" w:rsidRDefault="0079564D" w:rsidP="0079564D">
      <w:pPr>
        <w:spacing w:line="240" w:lineRule="auto"/>
        <w:rPr>
          <w:rFonts w:eastAsia="Times New Roman" w:cs="Arial"/>
        </w:rPr>
      </w:pPr>
      <w:r w:rsidRPr="0079564D">
        <w:rPr>
          <w:rFonts w:eastAsia="Times New Roman" w:cs="Arial"/>
          <w:i/>
          <w:iCs/>
          <w:color w:val="000000"/>
          <w:lang w:eastAsia="bg-BG"/>
        </w:rPr>
        <w:t>Немеланомен рак на кожата</w:t>
      </w:r>
    </w:p>
    <w:p w14:paraId="5023695C"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свързана с коригиран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 xml:space="preserve">2,1 (95% ДИ: 1,7-2,6), нарастващ до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3,9 (3,0-4,9) за висока употреба (</w:t>
      </w:r>
      <w:r w:rsidRPr="0079564D">
        <w:rPr>
          <w:rFonts w:eastAsia="Times New Roman" w:cs="Arial"/>
          <w:color w:val="000000"/>
          <w:lang w:val="ru-RU"/>
        </w:rPr>
        <w:t>~</w:t>
      </w:r>
      <w:r w:rsidRPr="0079564D">
        <w:rPr>
          <w:rFonts w:eastAsia="Times New Roman" w:cs="Arial"/>
          <w:color w:val="000000"/>
          <w:lang w:eastAsia="bg-BG"/>
        </w:rPr>
        <w:t xml:space="preserve">25 000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и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7,7 (5,7-10,5) за най-високата кумулативна доза (</w:t>
      </w:r>
      <w:r w:rsidRPr="0079564D">
        <w:rPr>
          <w:rFonts w:eastAsia="Times New Roman" w:cs="Arial"/>
          <w:color w:val="000000"/>
          <w:lang w:val="ru-RU"/>
        </w:rPr>
        <w:t>~</w:t>
      </w:r>
      <w:r w:rsidRPr="0079564D">
        <w:rPr>
          <w:rFonts w:eastAsia="Times New Roman" w:cs="Arial"/>
          <w:color w:val="000000"/>
          <w:lang w:eastAsia="bg-BG"/>
        </w:rPr>
        <w:t xml:space="preserve">100 000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(вж. също точка 4.4).</w:t>
      </w:r>
    </w:p>
    <w:p w14:paraId="081483B6" w14:textId="77777777" w:rsidR="0079564D" w:rsidRPr="0079564D" w:rsidRDefault="0079564D" w:rsidP="0079564D">
      <w:pPr>
        <w:spacing w:line="240" w:lineRule="auto"/>
        <w:rPr>
          <w:rFonts w:eastAsia="Times New Roman" w:cs="Arial"/>
          <w:color w:val="000000"/>
          <w:u w:val="single"/>
          <w:lang w:eastAsia="bg-BG"/>
        </w:rPr>
      </w:pPr>
    </w:p>
    <w:p w14:paraId="798DCBA1" w14:textId="00E2639F"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Педиатрична популация</w:t>
      </w:r>
    </w:p>
    <w:p w14:paraId="4FC9DE31"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при хипертония с референтния лекарствен продукт, съдържащ телмисартан/хидрохлоротиазид, във всички подгрупи на педиатричната популация (вж. точка 4.2 за информация относно употреба в педиатрията).</w:t>
      </w:r>
    </w:p>
    <w:p w14:paraId="02454C3F" w14:textId="77777777" w:rsidR="0079564D" w:rsidRPr="0079564D" w:rsidRDefault="0079564D" w:rsidP="0079564D">
      <w:pPr>
        <w:spacing w:line="240" w:lineRule="auto"/>
        <w:rPr>
          <w:rFonts w:ascii="Times New Roman" w:eastAsia="Times New Roman" w:hAnsi="Times New Roman" w:cs="Times New Roman"/>
          <w:sz w:val="24"/>
          <w:szCs w:val="24"/>
        </w:rPr>
      </w:pPr>
    </w:p>
    <w:p w14:paraId="0E3D6234" w14:textId="77777777" w:rsidR="0079564D" w:rsidRPr="0079564D" w:rsidRDefault="0079564D" w:rsidP="0079564D"/>
    <w:p w14:paraId="436D48F6" w14:textId="17DAC184" w:rsidR="00BB22B4" w:rsidRDefault="002C50EE" w:rsidP="00471F10">
      <w:pPr>
        <w:pStyle w:val="Heading2"/>
      </w:pPr>
      <w:r>
        <w:t>5.2. Фармакокинетични свойства</w:t>
      </w:r>
    </w:p>
    <w:p w14:paraId="3E3E9BCD" w14:textId="02EBDFD1" w:rsidR="0079564D" w:rsidRDefault="0079564D" w:rsidP="0079564D"/>
    <w:p w14:paraId="212B6A0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lastRenderedPageBreak/>
        <w:t>Едновременното приложение на хидрохлоротиазид и телмисартан при здрави индивиди не променя фармакокинетиката на която и да е от съставките.</w:t>
      </w:r>
    </w:p>
    <w:p w14:paraId="114C1085" w14:textId="77777777" w:rsidR="0079564D" w:rsidRPr="0079564D" w:rsidRDefault="0079564D" w:rsidP="0079564D">
      <w:pPr>
        <w:spacing w:line="240" w:lineRule="auto"/>
        <w:rPr>
          <w:rFonts w:eastAsia="Times New Roman" w:cs="Arial"/>
          <w:color w:val="000000"/>
          <w:u w:val="single"/>
          <w:lang w:eastAsia="bg-BG"/>
        </w:rPr>
      </w:pPr>
    </w:p>
    <w:p w14:paraId="198F3D27" w14:textId="05E730E9" w:rsidR="0079564D" w:rsidRPr="0079564D" w:rsidRDefault="0079564D" w:rsidP="0079564D">
      <w:pPr>
        <w:pStyle w:val="Heading3"/>
        <w:rPr>
          <w:rFonts w:eastAsia="Times New Roman"/>
          <w:u w:val="single"/>
        </w:rPr>
      </w:pPr>
      <w:r w:rsidRPr="0079564D">
        <w:rPr>
          <w:rFonts w:eastAsia="Times New Roman"/>
          <w:u w:val="single"/>
          <w:lang w:eastAsia="bg-BG"/>
        </w:rPr>
        <w:t>Абсорбция</w:t>
      </w:r>
    </w:p>
    <w:p w14:paraId="04265D15" w14:textId="77777777" w:rsidR="0079564D" w:rsidRPr="0079564D" w:rsidRDefault="0079564D" w:rsidP="0079564D">
      <w:pPr>
        <w:rPr>
          <w:rFonts w:eastAsia="Times New Roman" w:cs="Arial"/>
          <w:sz w:val="24"/>
          <w:szCs w:val="24"/>
        </w:rPr>
      </w:pPr>
      <w:r w:rsidRPr="0079564D">
        <w:rPr>
          <w:rFonts w:eastAsia="Times New Roman" w:cs="Arial"/>
          <w:color w:val="000000"/>
          <w:lang w:eastAsia="bg-BG"/>
        </w:rPr>
        <w:t>Телмисартан: Пиковите концентрации на телмисартан се постигат в рамките на</w:t>
      </w:r>
      <w:r w:rsidRPr="0079564D">
        <w:rPr>
          <w:rFonts w:eastAsia="Times New Roman" w:cs="Arial"/>
          <w:color w:val="000000"/>
          <w:lang w:val="ru-RU"/>
        </w:rPr>
        <w:t xml:space="preserve"> 0,5-1,5 </w:t>
      </w:r>
      <w:r w:rsidRPr="0079564D">
        <w:rPr>
          <w:rFonts w:eastAsia="Times New Roman" w:cs="Arial"/>
          <w:color w:val="000000"/>
          <w:lang w:val="en-US"/>
        </w:rPr>
        <w:t>h</w:t>
      </w:r>
      <w:r w:rsidRPr="0079564D">
        <w:rPr>
          <w:rFonts w:eastAsia="Times New Roman" w:cs="Arial"/>
          <w:color w:val="000000"/>
          <w:lang w:val="ru-RU"/>
        </w:rPr>
        <w:t xml:space="preserve"> </w:t>
      </w:r>
      <w:r w:rsidRPr="0079564D">
        <w:rPr>
          <w:rFonts w:eastAsia="Times New Roman" w:cs="Arial"/>
          <w:color w:val="000000"/>
          <w:lang w:eastAsia="bg-BG"/>
        </w:rPr>
        <w:t xml:space="preserve">след перорален прием. Абсолютната бионаличност на телмисартан в дози 40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и 160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съответно 42% и 58%. Храната леко снижава бионаличността на телмисартан като редукцията на областта под кривата плазмена концентрация-време </w:t>
      </w:r>
      <w:r w:rsidRPr="0079564D">
        <w:rPr>
          <w:rFonts w:eastAsia="Times New Roman" w:cs="Arial"/>
          <w:color w:val="000000"/>
          <w:lang w:val="ru-RU"/>
        </w:rPr>
        <w:t>(</w:t>
      </w:r>
      <w:r w:rsidRPr="0079564D">
        <w:rPr>
          <w:rFonts w:eastAsia="Times New Roman" w:cs="Arial"/>
          <w:color w:val="000000"/>
          <w:lang w:val="en-US"/>
        </w:rPr>
        <w:t>AUC</w:t>
      </w:r>
      <w:r w:rsidRPr="0079564D">
        <w:rPr>
          <w:rFonts w:eastAsia="Times New Roman" w:cs="Arial"/>
          <w:color w:val="000000"/>
          <w:lang w:val="ru-RU"/>
        </w:rPr>
        <w:t xml:space="preserve">) </w:t>
      </w:r>
      <w:r w:rsidRPr="0079564D">
        <w:rPr>
          <w:rFonts w:eastAsia="Times New Roman" w:cs="Arial"/>
          <w:color w:val="000000"/>
          <w:lang w:eastAsia="bg-BG"/>
        </w:rPr>
        <w:t xml:space="preserve">на телмисартан е от около 6% при 40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таблетка и около 19% след 160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доза. 3 часа след приложение плазмените концентрации са подобни, независимо дали телмисартан е приложен на гладно или с храна. Не</w:t>
      </w:r>
      <w:r w:rsidRPr="0079564D">
        <w:rPr>
          <w:rFonts w:eastAsia="Times New Roman" w:cs="Arial"/>
          <w:color w:val="000000"/>
          <w:lang w:val="ru-RU" w:eastAsia="bg-BG"/>
        </w:rPr>
        <w:t xml:space="preserve"> </w:t>
      </w:r>
      <w:r w:rsidRPr="0079564D">
        <w:rPr>
          <w:rFonts w:eastAsia="Times New Roman" w:cs="Arial"/>
          <w:color w:val="000000"/>
          <w:lang w:eastAsia="bg-BG"/>
        </w:rPr>
        <w:t xml:space="preserve">се очаква слабата редукция в </w:t>
      </w:r>
      <w:r w:rsidRPr="0079564D">
        <w:rPr>
          <w:rFonts w:eastAsia="Times New Roman" w:cs="Arial"/>
          <w:color w:val="000000"/>
          <w:lang w:val="en-US"/>
        </w:rPr>
        <w:t>AUC</w:t>
      </w:r>
      <w:r w:rsidRPr="0079564D">
        <w:rPr>
          <w:rFonts w:eastAsia="Times New Roman" w:cs="Arial"/>
          <w:color w:val="000000"/>
          <w:lang w:val="ru-RU"/>
        </w:rPr>
        <w:t xml:space="preserve"> </w:t>
      </w:r>
      <w:r w:rsidRPr="0079564D">
        <w:rPr>
          <w:rFonts w:eastAsia="Times New Roman" w:cs="Arial"/>
          <w:color w:val="000000"/>
          <w:lang w:eastAsia="bg-BG"/>
        </w:rPr>
        <w:t>да предизвика редукция в терапевтичната ефикасност. Телмисартан не кумулира значително в плазмата при повторно приложение.</w:t>
      </w:r>
    </w:p>
    <w:p w14:paraId="6C66EC7F" w14:textId="77777777" w:rsidR="0079564D" w:rsidRPr="0079564D" w:rsidRDefault="0079564D" w:rsidP="0079564D">
      <w:pPr>
        <w:spacing w:line="240" w:lineRule="auto"/>
        <w:rPr>
          <w:rFonts w:eastAsia="Times New Roman" w:cs="Arial"/>
          <w:color w:val="000000"/>
          <w:lang w:eastAsia="bg-BG"/>
        </w:rPr>
      </w:pPr>
    </w:p>
    <w:p w14:paraId="4ECDA3AD" w14:textId="089C39ED"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Хидрохлоротиазид: Пиковите концентрации на хидрохлоротиазид се постигат в рамките на приблизително 1,0-3,0 часа след перорален прием на телмисартан/хидрохлоротиазид. Абсолютната бионаличност, базирана на кумулативната ренална екскреция на хидрохлоротиазид, е около 60%.</w:t>
      </w:r>
    </w:p>
    <w:p w14:paraId="374FB9EB" w14:textId="77777777" w:rsidR="0079564D" w:rsidRPr="0079564D" w:rsidRDefault="0079564D" w:rsidP="0079564D">
      <w:pPr>
        <w:spacing w:line="240" w:lineRule="auto"/>
        <w:rPr>
          <w:rFonts w:eastAsia="Times New Roman" w:cs="Arial"/>
          <w:color w:val="000000"/>
          <w:u w:val="single"/>
          <w:lang w:eastAsia="bg-BG"/>
        </w:rPr>
      </w:pPr>
    </w:p>
    <w:p w14:paraId="420D14C4" w14:textId="2702F3CD" w:rsidR="0079564D" w:rsidRPr="0079564D" w:rsidRDefault="0079564D" w:rsidP="0079564D">
      <w:pPr>
        <w:pStyle w:val="Heading3"/>
        <w:rPr>
          <w:rFonts w:eastAsia="Times New Roman"/>
          <w:u w:val="single"/>
        </w:rPr>
      </w:pPr>
      <w:r w:rsidRPr="0079564D">
        <w:rPr>
          <w:rFonts w:eastAsia="Times New Roman"/>
          <w:u w:val="single"/>
          <w:lang w:eastAsia="bg-BG"/>
        </w:rPr>
        <w:t>Разпределение</w:t>
      </w:r>
    </w:p>
    <w:p w14:paraId="0AE272C8"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Телмисартан се свързва в голяма степен с плазмените протеини (&gt;99,5%), главно с албумин и алфа 1-кисел глюкопротеин. Средният привиден обем на разпределение на телмисартан е около 500 литра, което показва допълнително тъканно свързване.</w:t>
      </w:r>
    </w:p>
    <w:p w14:paraId="2C5A1263"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Хидрохлоротиазид се свързва в 68% с плазмените протеини и привидният му обем на разпределение е 0,83-1,14 </w:t>
      </w:r>
      <w:r w:rsidRPr="0079564D">
        <w:rPr>
          <w:rFonts w:eastAsia="Times New Roman" w:cs="Arial"/>
          <w:color w:val="000000"/>
          <w:lang w:val="en-US"/>
        </w:rPr>
        <w:t>L</w:t>
      </w:r>
      <w:r w:rsidRPr="0079564D">
        <w:rPr>
          <w:rFonts w:eastAsia="Times New Roman" w:cs="Arial"/>
          <w:color w:val="000000"/>
          <w:lang w:val="ru-RU"/>
        </w:rPr>
        <w:t>/</w:t>
      </w:r>
      <w:r w:rsidRPr="0079564D">
        <w:rPr>
          <w:rFonts w:eastAsia="Times New Roman" w:cs="Arial"/>
          <w:color w:val="000000"/>
          <w:lang w:val="en-US"/>
        </w:rPr>
        <w:t>kg</w:t>
      </w:r>
      <w:r w:rsidRPr="0079564D">
        <w:rPr>
          <w:rFonts w:eastAsia="Times New Roman" w:cs="Arial"/>
          <w:color w:val="000000"/>
          <w:lang w:val="ru-RU"/>
        </w:rPr>
        <w:t>.</w:t>
      </w:r>
    </w:p>
    <w:p w14:paraId="61B36979" w14:textId="77777777" w:rsidR="0079564D" w:rsidRPr="0079564D" w:rsidRDefault="0079564D" w:rsidP="0079564D">
      <w:pPr>
        <w:spacing w:line="240" w:lineRule="auto"/>
        <w:rPr>
          <w:rFonts w:eastAsia="Times New Roman" w:cs="Arial"/>
          <w:color w:val="000000"/>
          <w:u w:val="single"/>
          <w:lang w:eastAsia="bg-BG"/>
        </w:rPr>
      </w:pPr>
    </w:p>
    <w:p w14:paraId="16802E7E" w14:textId="438BB534" w:rsidR="0079564D" w:rsidRPr="0079564D" w:rsidRDefault="0079564D" w:rsidP="0079564D">
      <w:pPr>
        <w:pStyle w:val="Heading3"/>
        <w:rPr>
          <w:rFonts w:eastAsia="Times New Roman"/>
          <w:u w:val="single"/>
        </w:rPr>
      </w:pPr>
      <w:r w:rsidRPr="0079564D">
        <w:rPr>
          <w:rFonts w:eastAsia="Times New Roman"/>
          <w:u w:val="single"/>
          <w:lang w:eastAsia="bg-BG"/>
        </w:rPr>
        <w:t>Биотрансформация</w:t>
      </w:r>
    </w:p>
    <w:p w14:paraId="4E845909"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Телмисартан се метаболизира чрез конюгация като образува фармакологично неактивен ацилглюкорунид. Глюкорунидът на основното вещество е единственият метаболит, идентифициран при човека. След еднократна доза белязан с радиоактивен въглерод </w:t>
      </w:r>
      <w:r w:rsidRPr="0079564D">
        <w:rPr>
          <w:rFonts w:eastAsia="Times New Roman" w:cs="Arial"/>
          <w:color w:val="000000"/>
          <w:vertAlign w:val="superscript"/>
          <w:lang w:eastAsia="bg-BG"/>
        </w:rPr>
        <w:t>14</w:t>
      </w:r>
      <w:r w:rsidRPr="0079564D">
        <w:rPr>
          <w:rFonts w:eastAsia="Times New Roman" w:cs="Arial"/>
          <w:color w:val="000000"/>
          <w:lang w:eastAsia="bg-BG"/>
        </w:rPr>
        <w:t>С телмисартан глюкорунидът представлява приблизително 11% от измерената радиоактивност в плазмата. Изоензимите на цитохром Р450 нямат участие в метаболизма на телмисартан. Хидрохлоротиазид не се метаболизира при хора.</w:t>
      </w:r>
    </w:p>
    <w:p w14:paraId="15102A3C" w14:textId="77777777" w:rsidR="0079564D" w:rsidRPr="0079564D" w:rsidRDefault="0079564D" w:rsidP="0079564D">
      <w:pPr>
        <w:spacing w:line="240" w:lineRule="auto"/>
        <w:rPr>
          <w:rFonts w:eastAsia="Times New Roman" w:cs="Arial"/>
          <w:color w:val="000000"/>
          <w:u w:val="single"/>
          <w:lang w:eastAsia="bg-BG"/>
        </w:rPr>
      </w:pPr>
    </w:p>
    <w:p w14:paraId="46589020" w14:textId="3AE24224" w:rsidR="0079564D" w:rsidRPr="0079564D" w:rsidRDefault="0079564D" w:rsidP="0079564D">
      <w:pPr>
        <w:pStyle w:val="Heading3"/>
        <w:rPr>
          <w:rFonts w:eastAsia="Times New Roman"/>
          <w:u w:val="single"/>
        </w:rPr>
      </w:pPr>
      <w:r w:rsidRPr="0079564D">
        <w:rPr>
          <w:rFonts w:eastAsia="Times New Roman"/>
          <w:u w:val="single"/>
          <w:lang w:eastAsia="bg-BG"/>
        </w:rPr>
        <w:t>Елиминиране</w:t>
      </w:r>
    </w:p>
    <w:p w14:paraId="4E9DFE01"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Телмисартан: Както след интравенозно, така и след перорално приложение на </w:t>
      </w:r>
      <w:r w:rsidRPr="0079564D">
        <w:rPr>
          <w:rFonts w:eastAsia="Times New Roman" w:cs="Arial"/>
          <w:color w:val="000000"/>
          <w:vertAlign w:val="superscript"/>
          <w:lang w:eastAsia="bg-BG"/>
        </w:rPr>
        <w:t>14</w:t>
      </w:r>
      <w:r w:rsidRPr="0079564D">
        <w:rPr>
          <w:rFonts w:eastAsia="Times New Roman" w:cs="Arial"/>
          <w:color w:val="000000"/>
          <w:lang w:eastAsia="bg-BG"/>
        </w:rPr>
        <w:t xml:space="preserve">С белязан телмисартан, по-голямата част от приетата доза (&gt;97%) се елиминира с изпражненията чрез билиарна екскреция. В урината се откриват само незначителни количества. Тоталния плазмен клирънс на телмисартан след перорално приложение е &gt;1500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 xml:space="preserve">. </w:t>
      </w:r>
      <w:r w:rsidRPr="0079564D">
        <w:rPr>
          <w:rFonts w:eastAsia="Times New Roman" w:cs="Arial"/>
          <w:color w:val="000000"/>
          <w:lang w:eastAsia="bg-BG"/>
        </w:rPr>
        <w:t>Терминалният полуживот на елиминиране е &gt;20 часа.</w:t>
      </w:r>
    </w:p>
    <w:p w14:paraId="61346F3A" w14:textId="77777777" w:rsidR="0079564D" w:rsidRPr="0079564D" w:rsidRDefault="0079564D" w:rsidP="0079564D">
      <w:pPr>
        <w:spacing w:line="240" w:lineRule="auto"/>
        <w:rPr>
          <w:rFonts w:eastAsia="Times New Roman" w:cs="Arial"/>
          <w:color w:val="000000"/>
          <w:lang w:eastAsia="bg-BG"/>
        </w:rPr>
      </w:pPr>
    </w:p>
    <w:p w14:paraId="1E265929" w14:textId="53398872"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Хидрохлоротиазид се екскретира изцяло непроменен с урината. Около 60% от пероралната доза се елиминира непроменена до 48 часа. Бъбречният клирънс е около 250-300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w:t>
      </w:r>
    </w:p>
    <w:p w14:paraId="403749D8"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Терминалният елиминационен полуживот на хидрохлоротиазид е 10-15 часа</w:t>
      </w:r>
    </w:p>
    <w:p w14:paraId="7A02A9D0" w14:textId="77777777" w:rsidR="0079564D" w:rsidRPr="0079564D" w:rsidRDefault="0079564D" w:rsidP="0079564D">
      <w:pPr>
        <w:spacing w:line="240" w:lineRule="auto"/>
        <w:rPr>
          <w:rFonts w:eastAsia="Times New Roman" w:cs="Arial"/>
          <w:color w:val="000000"/>
          <w:u w:val="single"/>
          <w:lang w:eastAsia="bg-BG"/>
        </w:rPr>
      </w:pPr>
    </w:p>
    <w:p w14:paraId="2418B60B" w14:textId="2830FA65" w:rsidR="0079564D" w:rsidRPr="0079564D" w:rsidRDefault="0079564D" w:rsidP="0079564D">
      <w:pPr>
        <w:pStyle w:val="Heading3"/>
        <w:rPr>
          <w:rFonts w:eastAsia="Times New Roman"/>
          <w:u w:val="single"/>
        </w:rPr>
      </w:pPr>
      <w:r w:rsidRPr="0079564D">
        <w:rPr>
          <w:rFonts w:eastAsia="Times New Roman"/>
          <w:u w:val="single"/>
          <w:lang w:eastAsia="bg-BG"/>
        </w:rPr>
        <w:lastRenderedPageBreak/>
        <w:t>Линейност/нелинейност</w:t>
      </w:r>
    </w:p>
    <w:p w14:paraId="630C7DEA"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Телмисартан: Фармакокинетиката на телмисартан при перорално приложение е нелинейна при дози от 20-160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с по-голямо от пропорционалното повишение на плазмените концентрации (С</w:t>
      </w:r>
      <w:r w:rsidRPr="0079564D">
        <w:rPr>
          <w:rFonts w:eastAsia="Times New Roman" w:cs="Arial"/>
          <w:color w:val="000000"/>
          <w:vertAlign w:val="subscript"/>
          <w:lang w:val="en-US"/>
        </w:rPr>
        <w:t>max</w:t>
      </w:r>
      <w:r w:rsidRPr="0079564D">
        <w:rPr>
          <w:rFonts w:eastAsia="Times New Roman" w:cs="Arial"/>
          <w:color w:val="000000"/>
          <w:lang w:eastAsia="bg-BG"/>
        </w:rPr>
        <w:t xml:space="preserve"> и </w:t>
      </w:r>
      <w:r w:rsidRPr="0079564D">
        <w:rPr>
          <w:rFonts w:eastAsia="Times New Roman" w:cs="Arial"/>
          <w:color w:val="000000"/>
          <w:lang w:val="en-US"/>
        </w:rPr>
        <w:t>AUC</w:t>
      </w:r>
      <w:r w:rsidRPr="0079564D">
        <w:rPr>
          <w:rFonts w:eastAsia="Times New Roman" w:cs="Arial"/>
          <w:color w:val="000000"/>
          <w:lang w:val="ru-RU"/>
        </w:rPr>
        <w:t xml:space="preserve">) </w:t>
      </w:r>
      <w:r w:rsidRPr="0079564D">
        <w:rPr>
          <w:rFonts w:eastAsia="Times New Roman" w:cs="Arial"/>
          <w:color w:val="000000"/>
          <w:lang w:eastAsia="bg-BG"/>
        </w:rPr>
        <w:t>при по-високите дози.</w:t>
      </w:r>
    </w:p>
    <w:p w14:paraId="71476381"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Фармакокинетиката на хидрохлоротиазид е линейна.</w:t>
      </w:r>
    </w:p>
    <w:p w14:paraId="02DB68ED" w14:textId="77777777" w:rsidR="0079564D" w:rsidRPr="0079564D" w:rsidRDefault="0079564D" w:rsidP="0079564D">
      <w:pPr>
        <w:spacing w:line="240" w:lineRule="auto"/>
        <w:rPr>
          <w:rFonts w:eastAsia="Times New Roman" w:cs="Arial"/>
          <w:i/>
          <w:iCs/>
          <w:color w:val="000000"/>
          <w:lang w:eastAsia="bg-BG"/>
        </w:rPr>
      </w:pPr>
    </w:p>
    <w:p w14:paraId="5AC14279" w14:textId="339C00E7" w:rsidR="0079564D" w:rsidRPr="0079564D" w:rsidRDefault="0079564D" w:rsidP="0079564D">
      <w:pPr>
        <w:spacing w:line="240" w:lineRule="auto"/>
        <w:rPr>
          <w:rFonts w:eastAsia="Times New Roman" w:cs="Arial"/>
          <w:sz w:val="24"/>
          <w:szCs w:val="24"/>
        </w:rPr>
      </w:pPr>
      <w:r w:rsidRPr="0079564D">
        <w:rPr>
          <w:rFonts w:eastAsia="Times New Roman" w:cs="Arial"/>
          <w:i/>
          <w:iCs/>
          <w:color w:val="000000"/>
          <w:lang w:eastAsia="bg-BG"/>
        </w:rPr>
        <w:t>Специални популации</w:t>
      </w:r>
    </w:p>
    <w:p w14:paraId="74D7E7D8" w14:textId="77777777" w:rsidR="0079564D" w:rsidRPr="0079564D" w:rsidRDefault="0079564D" w:rsidP="0079564D">
      <w:pPr>
        <w:spacing w:line="240" w:lineRule="auto"/>
        <w:rPr>
          <w:rFonts w:eastAsia="Times New Roman" w:cs="Arial"/>
          <w:color w:val="000000"/>
          <w:u w:val="single"/>
          <w:lang w:eastAsia="bg-BG"/>
        </w:rPr>
      </w:pPr>
    </w:p>
    <w:p w14:paraId="43200A7A" w14:textId="3654F8C1"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Старческа възраст</w:t>
      </w:r>
    </w:p>
    <w:p w14:paraId="3F3EC11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Фармакокинетиката на телмисартан не се различава между пациенти в старческа възраст и тези по-млади от 65 години.</w:t>
      </w:r>
    </w:p>
    <w:p w14:paraId="2EFC0765" w14:textId="77777777" w:rsidR="0079564D" w:rsidRPr="0079564D" w:rsidRDefault="0079564D" w:rsidP="0079564D">
      <w:pPr>
        <w:spacing w:line="240" w:lineRule="auto"/>
        <w:rPr>
          <w:rFonts w:eastAsia="Times New Roman" w:cs="Arial"/>
          <w:color w:val="000000"/>
          <w:u w:val="single"/>
          <w:lang w:eastAsia="bg-BG"/>
        </w:rPr>
      </w:pPr>
    </w:p>
    <w:p w14:paraId="65824FDE" w14:textId="19E6313F"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Пол</w:t>
      </w:r>
    </w:p>
    <w:p w14:paraId="533EE08C"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При жени плазмените концентрации на телмисартан обичайно са 2-3 пъти по-високи, отколкото при мъже. В клиничните проучвания, обаче, при жени не се наблюдават значимо увеличен отговор на кръвното налягане или честотата на ортостатична хипотония. Не се налага коригиране на дозата. При жени има тенденция към по-високи плазмени нива на хидрохлоротиазид, отколкото при мъже. Това обаче няма клинична значимост.</w:t>
      </w:r>
    </w:p>
    <w:p w14:paraId="451753C0" w14:textId="77777777" w:rsidR="0079564D" w:rsidRPr="0079564D" w:rsidRDefault="0079564D" w:rsidP="0079564D">
      <w:pPr>
        <w:spacing w:line="240" w:lineRule="auto"/>
        <w:rPr>
          <w:rFonts w:eastAsia="Times New Roman" w:cs="Arial"/>
          <w:color w:val="000000"/>
          <w:u w:val="single"/>
          <w:lang w:eastAsia="bg-BG"/>
        </w:rPr>
      </w:pPr>
    </w:p>
    <w:p w14:paraId="2E394017" w14:textId="15B46870"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Бъбречно увреждане</w:t>
      </w:r>
    </w:p>
    <w:p w14:paraId="0A6C7795" w14:textId="77777777" w:rsidR="0079564D" w:rsidRPr="0079564D" w:rsidRDefault="0079564D" w:rsidP="0079564D">
      <w:pPr>
        <w:rPr>
          <w:rFonts w:eastAsia="Times New Roman" w:cs="Arial"/>
          <w:sz w:val="24"/>
          <w:szCs w:val="24"/>
        </w:rPr>
      </w:pPr>
      <w:r w:rsidRPr="0079564D">
        <w:rPr>
          <w:rFonts w:eastAsia="Times New Roman" w:cs="Arial"/>
          <w:color w:val="000000"/>
          <w:lang w:eastAsia="bg-BG"/>
        </w:rPr>
        <w:t xml:space="preserve">Бъбречната екскреция не допринася за клирънса на телмисартан. Според ограничения опит при пациенти с леко до средно тежко бъбречно увреждане (креатининов клирънс 30-60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w:t>
      </w:r>
      <w:r w:rsidRPr="0079564D">
        <w:rPr>
          <w:rFonts w:eastAsia="Times New Roman" w:cs="Arial"/>
          <w:color w:val="000000"/>
          <w:lang w:eastAsia="bg-BG"/>
        </w:rPr>
        <w:t xml:space="preserve"> средно около 50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 xml:space="preserve">), </w:t>
      </w:r>
      <w:r w:rsidRPr="0079564D">
        <w:rPr>
          <w:rFonts w:eastAsia="Times New Roman" w:cs="Arial"/>
          <w:color w:val="000000"/>
          <w:lang w:eastAsia="bg-BG"/>
        </w:rPr>
        <w:t>не се налага коригиране на дозата при пациенти с намалена бъбречна</w:t>
      </w:r>
      <w:r w:rsidRPr="0079564D">
        <w:rPr>
          <w:rFonts w:eastAsia="Times New Roman" w:cs="Arial"/>
          <w:color w:val="000000"/>
          <w:lang w:val="ru-RU" w:eastAsia="bg-BG"/>
        </w:rPr>
        <w:t xml:space="preserve"> </w:t>
      </w:r>
      <w:r w:rsidRPr="0079564D">
        <w:rPr>
          <w:rFonts w:eastAsia="Times New Roman" w:cs="Arial"/>
          <w:color w:val="000000"/>
          <w:lang w:eastAsia="bg-BG"/>
        </w:rPr>
        <w:t xml:space="preserve">функция. Телмисартан не може да бъде отделен при хемодиализа. При пациенти с нарушени бъбречни функции степента на елиминиране на хидрохлоротиазид е редуцирана. В едно типично проучване, включващо пациенти със среден креатининов клирънс 90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 xml:space="preserve">, </w:t>
      </w:r>
      <w:r w:rsidRPr="0079564D">
        <w:rPr>
          <w:rFonts w:eastAsia="Times New Roman" w:cs="Arial"/>
          <w:color w:val="000000"/>
          <w:lang w:eastAsia="bg-BG"/>
        </w:rPr>
        <w:t>полуживотьт на елиминиране на хидрохлоротиазид се увеличава. При функционално анефрични пациенти елиминационният полуживот е около 34 часа.</w:t>
      </w:r>
    </w:p>
    <w:p w14:paraId="5948D855" w14:textId="77777777" w:rsidR="0079564D" w:rsidRPr="0079564D" w:rsidRDefault="0079564D" w:rsidP="0079564D">
      <w:pPr>
        <w:spacing w:line="240" w:lineRule="auto"/>
        <w:rPr>
          <w:rFonts w:eastAsia="Times New Roman" w:cs="Arial"/>
          <w:color w:val="000000"/>
          <w:u w:val="single"/>
          <w:lang w:eastAsia="bg-BG"/>
        </w:rPr>
      </w:pPr>
    </w:p>
    <w:p w14:paraId="7E345748" w14:textId="1E98718C"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Чернодробно увреждане</w:t>
      </w:r>
    </w:p>
    <w:p w14:paraId="3905624A"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Фармакокинетичните проучвания при пациенти с чернодробно увреждане показват повишаване на абсолютната бионаличност до около 100%. При пациенти с чернодробно увреждане елиминационният полуживот не е променен.</w:t>
      </w:r>
    </w:p>
    <w:p w14:paraId="2DF60E53" w14:textId="49DA3515" w:rsidR="0079564D" w:rsidRPr="0079564D" w:rsidRDefault="0079564D" w:rsidP="0079564D"/>
    <w:p w14:paraId="4F31844C" w14:textId="0C4FB06B" w:rsidR="00875EEC" w:rsidRDefault="002C50EE" w:rsidP="005726E3">
      <w:pPr>
        <w:pStyle w:val="Heading2"/>
      </w:pPr>
      <w:r>
        <w:t>5.3. Предклинични данни за безопасност</w:t>
      </w:r>
    </w:p>
    <w:p w14:paraId="682FAF7E" w14:textId="086C5E93" w:rsidR="0079564D" w:rsidRDefault="0079564D" w:rsidP="0079564D"/>
    <w:p w14:paraId="3B6A4C78"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/12,5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780465BE"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нямат отношение към използването за терапевтични цели при човека.</w:t>
      </w:r>
    </w:p>
    <w:p w14:paraId="33F4C9B1" w14:textId="77777777" w:rsidR="0079564D" w:rsidRPr="0079564D" w:rsidRDefault="0079564D" w:rsidP="0079564D">
      <w:pPr>
        <w:spacing w:line="240" w:lineRule="auto"/>
        <w:rPr>
          <w:rFonts w:eastAsia="Times New Roman" w:cs="Arial"/>
          <w:color w:val="000000"/>
          <w:u w:val="single"/>
          <w:lang w:eastAsia="bg-BG"/>
        </w:rPr>
      </w:pPr>
    </w:p>
    <w:p w14:paraId="5BC0152B" w14:textId="69A682CC"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72F9093B"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Не са проведени допълнителни проучвания с комбинация с фиксирани дози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При предклинични проучвания за безопасност с едновременно приложение на </w:t>
      </w:r>
      <w:r w:rsidRPr="0079564D">
        <w:rPr>
          <w:rFonts w:eastAsia="Times New Roman" w:cs="Arial"/>
          <w:color w:val="000000"/>
          <w:lang w:eastAsia="bg-BG"/>
        </w:rPr>
        <w:lastRenderedPageBreak/>
        <w:t>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нямат отношение към използването за терапевтични цели при човека.</w:t>
      </w:r>
    </w:p>
    <w:p w14:paraId="47EF8D83" w14:textId="77777777" w:rsidR="0079564D" w:rsidRPr="0079564D" w:rsidRDefault="0079564D" w:rsidP="0079564D">
      <w:pPr>
        <w:spacing w:line="240" w:lineRule="auto"/>
        <w:rPr>
          <w:rFonts w:eastAsia="Times New Roman" w:cs="Arial"/>
          <w:color w:val="000000"/>
          <w:lang w:eastAsia="bg-BG"/>
        </w:rPr>
      </w:pPr>
    </w:p>
    <w:p w14:paraId="56E40AE0" w14:textId="50EA4F43"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Токсикологичните находки, добре познати от предклиничните проучвания на инхибитори на ангиотензин конвертиращия ензим и антагонисти на ангиотензин II рецепторите са: намаляване на параметрите на червените кръвни клетки (еритроцити, хемоглобин, хематокрит), промени в бъбречната хемодинамика (повишено ниво на азот в кръвта и креатинин), повишена активност на плазмения ренин, хипертрофия/хиперплазия на юкстагломеруларните клетки и увреждане на стомашната лигавица. Стомашните лезни могат да бъдат предотвратени/ограничени чрез перорално добавяне на физиологичен разтвор и групови жилища за животните. При кучета са наблюдавани бъбречна тубуларна дилатация и атрофия. Счита се, че тези находки се дължат на фармакологичната активност на телмисартан.</w:t>
      </w:r>
    </w:p>
    <w:p w14:paraId="5365DA18" w14:textId="77777777" w:rsidR="0079564D" w:rsidRPr="0079564D" w:rsidRDefault="0079564D" w:rsidP="0079564D">
      <w:pPr>
        <w:spacing w:line="240" w:lineRule="auto"/>
        <w:rPr>
          <w:rFonts w:eastAsia="Times New Roman" w:cs="Arial"/>
          <w:color w:val="000000"/>
          <w:lang w:eastAsia="bg-BG"/>
        </w:rPr>
      </w:pPr>
    </w:p>
    <w:p w14:paraId="058229B1" w14:textId="4C14C211"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Няма ясни данни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и забавено отваряне на очите.</w:t>
      </w:r>
    </w:p>
    <w:p w14:paraId="6D861782"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Няма доказателства за мутагенност и съответна кластогенна активност на телмисартан при изпитвания </w:t>
      </w:r>
      <w:r w:rsidRPr="0079564D">
        <w:rPr>
          <w:rFonts w:eastAsia="Times New Roman" w:cs="Arial"/>
          <w:i/>
          <w:iCs/>
          <w:color w:val="000000"/>
          <w:lang w:val="en-US"/>
        </w:rPr>
        <w:t>in</w:t>
      </w:r>
      <w:r w:rsidRPr="0079564D">
        <w:rPr>
          <w:rFonts w:eastAsia="Times New Roman" w:cs="Arial"/>
          <w:i/>
          <w:iCs/>
          <w:color w:val="000000"/>
          <w:lang w:val="ru-RU"/>
        </w:rPr>
        <w:t xml:space="preserve"> </w:t>
      </w:r>
      <w:r w:rsidRPr="0079564D">
        <w:rPr>
          <w:rFonts w:eastAsia="Times New Roman" w:cs="Arial"/>
          <w:i/>
          <w:iCs/>
          <w:color w:val="000000"/>
          <w:lang w:val="en-US"/>
        </w:rPr>
        <w:t>vitro</w:t>
      </w:r>
      <w:r w:rsidRPr="0079564D">
        <w:rPr>
          <w:rFonts w:eastAsia="Times New Roman" w:cs="Arial"/>
          <w:color w:val="000000"/>
          <w:lang w:val="ru-RU"/>
        </w:rPr>
        <w:t xml:space="preserve"> </w:t>
      </w:r>
      <w:r w:rsidRPr="0079564D">
        <w:rPr>
          <w:rFonts w:eastAsia="Times New Roman" w:cs="Arial"/>
          <w:color w:val="000000"/>
          <w:lang w:eastAsia="bg-BG"/>
        </w:rPr>
        <w:t>и карциногенност при плъхове и мишки. Проучванията с хидрохлоротиазид дават несигурни данни за генотоксичност или карциногенни ефекти при някои експериментални модели. Въпреки това, натрупания опит от използването на хидрохлоротиазид при човека не дава доказателства за връзка между употребата му и повишена честота на неоплазмите.</w:t>
      </w:r>
    </w:p>
    <w:p w14:paraId="4C40B682" w14:textId="77777777" w:rsidR="0079564D" w:rsidRPr="0079564D" w:rsidRDefault="0079564D" w:rsidP="0079564D">
      <w:pPr>
        <w:spacing w:line="240" w:lineRule="auto"/>
        <w:rPr>
          <w:rFonts w:ascii="Times New Roman" w:eastAsia="Times New Roman" w:hAnsi="Times New Roman" w:cs="Times New Roman"/>
          <w:sz w:val="24"/>
          <w:szCs w:val="24"/>
        </w:rPr>
      </w:pPr>
      <w:r w:rsidRPr="0079564D">
        <w:rPr>
          <w:rFonts w:eastAsia="Times New Roman" w:cs="Arial"/>
          <w:color w:val="000000"/>
          <w:lang w:eastAsia="bg-BG"/>
        </w:rPr>
        <w:t>За фетотоксичния потенциал на комбинацията телмисартан/хидрохлоротиазид вж. точка 4.6.</w:t>
      </w:r>
    </w:p>
    <w:p w14:paraId="4074F329" w14:textId="77777777" w:rsidR="0079564D" w:rsidRPr="0079564D" w:rsidRDefault="0079564D" w:rsidP="0079564D"/>
    <w:p w14:paraId="357049A8" w14:textId="5258A319" w:rsidR="00BB22B4" w:rsidRDefault="002C50EE" w:rsidP="00471F10">
      <w:pPr>
        <w:pStyle w:val="Heading1"/>
      </w:pPr>
      <w:r>
        <w:t>7. ПРИТЕЖАТЕЛ НА РАЗРЕШЕНИЕТО ЗА УПОТРЕБА</w:t>
      </w:r>
    </w:p>
    <w:p w14:paraId="2D75DC6F" w14:textId="1D966CD0" w:rsidR="0079564D" w:rsidRDefault="0079564D" w:rsidP="0079564D"/>
    <w:p w14:paraId="0A5B219D" w14:textId="77777777" w:rsidR="0079564D" w:rsidRPr="0079564D" w:rsidRDefault="0079564D" w:rsidP="0079564D">
      <w:pPr>
        <w:rPr>
          <w:sz w:val="24"/>
          <w:szCs w:val="24"/>
          <w:lang w:val="en-US"/>
        </w:rPr>
      </w:pPr>
      <w:proofErr w:type="spellStart"/>
      <w:r w:rsidRPr="0079564D">
        <w:rPr>
          <w:lang w:val="en-US"/>
        </w:rPr>
        <w:t>Gedeon</w:t>
      </w:r>
      <w:proofErr w:type="spellEnd"/>
      <w:r w:rsidRPr="0079564D">
        <w:rPr>
          <w:lang w:val="en-US"/>
        </w:rPr>
        <w:t xml:space="preserve"> Richter Plc.</w:t>
      </w:r>
    </w:p>
    <w:p w14:paraId="65253A22" w14:textId="77777777" w:rsidR="0079564D" w:rsidRPr="0079564D" w:rsidRDefault="0079564D" w:rsidP="0079564D">
      <w:pPr>
        <w:rPr>
          <w:sz w:val="24"/>
          <w:szCs w:val="24"/>
          <w:lang w:val="en-US"/>
        </w:rPr>
      </w:pPr>
      <w:proofErr w:type="spellStart"/>
      <w:r w:rsidRPr="0079564D">
        <w:rPr>
          <w:lang w:val="en-US"/>
        </w:rPr>
        <w:t>Gyomroi</w:t>
      </w:r>
      <w:proofErr w:type="spellEnd"/>
      <w:r w:rsidRPr="0079564D">
        <w:rPr>
          <w:lang w:val="en-US"/>
        </w:rPr>
        <w:t xml:space="preserve"> </w:t>
      </w:r>
      <w:proofErr w:type="spellStart"/>
      <w:r w:rsidRPr="0079564D">
        <w:rPr>
          <w:lang w:val="en-US"/>
        </w:rPr>
        <w:t>ut</w:t>
      </w:r>
      <w:proofErr w:type="spellEnd"/>
      <w:r w:rsidRPr="0079564D">
        <w:rPr>
          <w:lang w:val="en-US"/>
        </w:rPr>
        <w:t xml:space="preserve"> 19-21</w:t>
      </w:r>
    </w:p>
    <w:p w14:paraId="603409BC" w14:textId="77777777" w:rsidR="0079564D" w:rsidRPr="0079564D" w:rsidRDefault="0079564D" w:rsidP="0079564D">
      <w:pPr>
        <w:rPr>
          <w:sz w:val="24"/>
          <w:szCs w:val="24"/>
          <w:lang w:val="ru-RU"/>
        </w:rPr>
      </w:pPr>
      <w:r w:rsidRPr="0079564D">
        <w:rPr>
          <w:lang w:val="ru-RU"/>
        </w:rPr>
        <w:t xml:space="preserve">1103 </w:t>
      </w:r>
      <w:r w:rsidRPr="0079564D">
        <w:rPr>
          <w:lang w:val="en-US"/>
        </w:rPr>
        <w:t>Budapest</w:t>
      </w:r>
    </w:p>
    <w:p w14:paraId="2ED91CEA" w14:textId="476653E7" w:rsidR="0079564D" w:rsidRPr="0079564D" w:rsidRDefault="0079564D" w:rsidP="0079564D">
      <w:r w:rsidRPr="0079564D">
        <w:rPr>
          <w:lang w:eastAsia="bg-BG"/>
        </w:rPr>
        <w:t>Унгария</w:t>
      </w:r>
    </w:p>
    <w:p w14:paraId="796B2EC6" w14:textId="3BADA042" w:rsidR="00BB22B4" w:rsidRDefault="00936AD0" w:rsidP="00471F10">
      <w:pPr>
        <w:pStyle w:val="Heading1"/>
      </w:pPr>
      <w:r>
        <w:t>8.</w:t>
      </w:r>
      <w:r w:rsidR="002C50EE">
        <w:t>НОМЕР НА РАЗРЕШЕНИЕТО ЗА УПОТРЕБА</w:t>
      </w:r>
    </w:p>
    <w:p w14:paraId="0EE9C791" w14:textId="3999B302" w:rsidR="0079564D" w:rsidRDefault="0079564D" w:rsidP="0079564D"/>
    <w:p w14:paraId="61205F4F" w14:textId="77777777" w:rsidR="0079564D" w:rsidRPr="0079564D" w:rsidRDefault="0079564D" w:rsidP="0079564D">
      <w:pPr>
        <w:rPr>
          <w:sz w:val="24"/>
          <w:szCs w:val="24"/>
          <w:lang w:val="ru-RU"/>
        </w:rPr>
      </w:pPr>
      <w:r w:rsidRPr="0079564D">
        <w:rPr>
          <w:lang w:val="ru-RU"/>
        </w:rPr>
        <w:t xml:space="preserve">80 </w:t>
      </w:r>
      <w:r w:rsidRPr="0079564D">
        <w:rPr>
          <w:lang w:val="en-US"/>
        </w:rPr>
        <w:t>mg</w:t>
      </w:r>
      <w:r w:rsidRPr="0079564D">
        <w:rPr>
          <w:lang w:val="ru-RU"/>
        </w:rPr>
        <w:t xml:space="preserve">/12,5 </w:t>
      </w:r>
      <w:r w:rsidRPr="0079564D">
        <w:rPr>
          <w:lang w:val="en-US"/>
        </w:rPr>
        <w:t>mg</w:t>
      </w:r>
      <w:r w:rsidRPr="0079564D">
        <w:rPr>
          <w:lang w:val="ru-RU"/>
        </w:rPr>
        <w:t>: 20130339</w:t>
      </w:r>
    </w:p>
    <w:p w14:paraId="58752972" w14:textId="31F54154" w:rsidR="0079564D" w:rsidRPr="0079564D" w:rsidRDefault="0079564D" w:rsidP="0079564D">
      <w:pPr>
        <w:rPr>
          <w:lang w:val="ru-RU"/>
        </w:rPr>
      </w:pPr>
      <w:r w:rsidRPr="0079564D">
        <w:rPr>
          <w:lang w:val="ru-RU"/>
        </w:rPr>
        <w:t xml:space="preserve">80 </w:t>
      </w:r>
      <w:r w:rsidRPr="0079564D">
        <w:rPr>
          <w:lang w:val="en-US"/>
        </w:rPr>
        <w:t>mg</w:t>
      </w:r>
      <w:r w:rsidRPr="0079564D">
        <w:rPr>
          <w:lang w:val="ru-RU"/>
        </w:rPr>
        <w:t xml:space="preserve">/25 </w:t>
      </w:r>
      <w:r w:rsidRPr="0079564D">
        <w:rPr>
          <w:lang w:val="en-US"/>
        </w:rPr>
        <w:t>mg</w:t>
      </w:r>
      <w:r w:rsidRPr="0079564D">
        <w:rPr>
          <w:lang w:val="ru-RU"/>
        </w:rPr>
        <w:t>: 20130340</w:t>
      </w:r>
    </w:p>
    <w:p w14:paraId="3715C10B" w14:textId="28D7EF03" w:rsidR="00BB22B4" w:rsidRDefault="002C50EE" w:rsidP="00471F10">
      <w:pPr>
        <w:pStyle w:val="Heading1"/>
      </w:pPr>
      <w:r>
        <w:t>9. ДАТА НА ПЪРВО РАЗРЕШАВАНЕ/ПОДНОВЯВАНЕ НА РАЗРЕШЕНИЕТО ЗА УПОТРЕБА</w:t>
      </w:r>
    </w:p>
    <w:p w14:paraId="7EF9021B" w14:textId="31D2B29B" w:rsidR="0079564D" w:rsidRDefault="0079564D" w:rsidP="0079564D"/>
    <w:p w14:paraId="54FAD1D5" w14:textId="77777777" w:rsidR="0079564D" w:rsidRPr="0079564D" w:rsidRDefault="0079564D" w:rsidP="0079564D">
      <w:pPr>
        <w:rPr>
          <w:sz w:val="24"/>
          <w:szCs w:val="24"/>
        </w:rPr>
      </w:pPr>
      <w:bookmarkStart w:id="2" w:name="_GoBack"/>
      <w:r w:rsidRPr="0079564D">
        <w:rPr>
          <w:lang w:eastAsia="bg-BG"/>
        </w:rPr>
        <w:t>Дата на първо разрешаване:15.10.2013</w:t>
      </w:r>
    </w:p>
    <w:p w14:paraId="7B1AB441" w14:textId="728FA43A" w:rsidR="0079564D" w:rsidRPr="0079564D" w:rsidRDefault="0079564D" w:rsidP="0079564D">
      <w:pPr>
        <w:rPr>
          <w:sz w:val="24"/>
          <w:szCs w:val="24"/>
        </w:rPr>
      </w:pPr>
      <w:r w:rsidRPr="0079564D">
        <w:rPr>
          <w:lang w:eastAsia="bg-BG"/>
        </w:rPr>
        <w:t>Дата на последно подновяване: 09.08.2018</w:t>
      </w:r>
    </w:p>
    <w:bookmarkEnd w:id="2"/>
    <w:p w14:paraId="43FB38A2" w14:textId="0C18A683" w:rsidR="007C605B" w:rsidRDefault="002C50EE" w:rsidP="005726E3">
      <w:pPr>
        <w:pStyle w:val="Heading1"/>
      </w:pPr>
      <w:r>
        <w:lastRenderedPageBreak/>
        <w:t>10. ДАТА НА АКТУАЛИЗИРАНЕ НА ТЕКСТА</w:t>
      </w:r>
      <w:bookmarkEnd w:id="0"/>
    </w:p>
    <w:p w14:paraId="472617BD" w14:textId="1B698B40" w:rsidR="00BB22B4" w:rsidRPr="00BB22B4" w:rsidRDefault="00BB22B4" w:rsidP="00BB22B4"/>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4F657F5"/>
    <w:multiLevelType w:val="hybridMultilevel"/>
    <w:tmpl w:val="F8904788"/>
    <w:lvl w:ilvl="0" w:tplc="BF522DA8">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3"/>
  </w:num>
  <w:num w:numId="12">
    <w:abstractNumId w:val="16"/>
  </w:num>
  <w:num w:numId="13">
    <w:abstractNumId w:val="22"/>
  </w:num>
  <w:num w:numId="14">
    <w:abstractNumId w:val="14"/>
  </w:num>
  <w:num w:numId="15">
    <w:abstractNumId w:val="32"/>
  </w:num>
  <w:num w:numId="16">
    <w:abstractNumId w:val="12"/>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8"/>
  </w:num>
  <w:num w:numId="36">
    <w:abstractNumId w:val="11"/>
  </w:num>
  <w:num w:numId="37">
    <w:abstractNumId w:val="1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3F5B"/>
    <w:rsid w:val="005A66D9"/>
    <w:rsid w:val="00605BCA"/>
    <w:rsid w:val="006158A1"/>
    <w:rsid w:val="00617B1F"/>
    <w:rsid w:val="00672487"/>
    <w:rsid w:val="00672600"/>
    <w:rsid w:val="00681D4A"/>
    <w:rsid w:val="00685882"/>
    <w:rsid w:val="007122AD"/>
    <w:rsid w:val="0075649D"/>
    <w:rsid w:val="0079564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B22B4"/>
    <w:rsid w:val="00BF2600"/>
    <w:rsid w:val="00C0049F"/>
    <w:rsid w:val="00C07B84"/>
    <w:rsid w:val="00C33464"/>
    <w:rsid w:val="00C40420"/>
    <w:rsid w:val="00C809A7"/>
    <w:rsid w:val="00C83063"/>
    <w:rsid w:val="00C87E90"/>
    <w:rsid w:val="00CA1B57"/>
    <w:rsid w:val="00CF77F7"/>
    <w:rsid w:val="00D46B5E"/>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8906</Words>
  <Characters>50769</Characters>
  <Application>Microsoft Office Word</Application>
  <DocSecurity>0</DocSecurity>
  <Lines>423</Lines>
  <Paragraphs>119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2022-12-06T12:55:00Z</dcterms:created>
  <dcterms:modified xsi:type="dcterms:W3CDTF">2022-12-06T12:55:00Z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