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6FD9" w14:textId="1A13B246" w:rsidR="002125C3" w:rsidRDefault="002125C3" w:rsidP="002C50EE">
      <w:pPr>
        <w:pStyle w:val="Heading1"/>
        <w:jc w:val="center"/>
      </w:pPr>
      <w:bookmarkStart w:id="0" w:name="_Hlk63124480"/>
    </w:p>
    <w:p w14:paraId="00AAE420" w14:textId="1E8BD05B" w:rsidR="002125C3" w:rsidRPr="002125C3" w:rsidRDefault="002125C3" w:rsidP="002125C3">
      <w:r w:rsidRPr="002125C3">
        <w:rPr>
          <w:lang w:val="ru-RU"/>
        </w:rPr>
        <w:t xml:space="preserve">▼ </w:t>
      </w:r>
      <w:r>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w:t>
      </w:r>
    </w:p>
    <w:p w14:paraId="007A328C" w14:textId="43AF6723" w:rsidR="002C50EE" w:rsidRDefault="002C50EE" w:rsidP="002C50EE">
      <w:pPr>
        <w:pStyle w:val="Heading1"/>
        <w:jc w:val="center"/>
      </w:pPr>
      <w:r>
        <w:t>КРАТКА ХАРАКТЕРИСТИКА НА ПРОДУКТА</w:t>
      </w:r>
    </w:p>
    <w:p w14:paraId="3F971E61" w14:textId="74C50195" w:rsidR="002125C3" w:rsidRDefault="00DD466D" w:rsidP="002125C3">
      <w:pPr>
        <w:pStyle w:val="Heading1"/>
      </w:pPr>
      <w:r>
        <w:t>1.ИМЕ НА ЛЕКАРСТВЕНИЯ ПРОДУКТ</w:t>
      </w:r>
    </w:p>
    <w:p w14:paraId="44DA98C1" w14:textId="1123060C" w:rsidR="002125C3" w:rsidRDefault="002125C3" w:rsidP="002125C3"/>
    <w:p w14:paraId="07ABBD59" w14:textId="6FDFC30D" w:rsidR="002125C3" w:rsidRPr="002125C3" w:rsidRDefault="002125C3" w:rsidP="002125C3">
      <w:pPr>
        <w:rPr>
          <w:sz w:val="12"/>
        </w:rPr>
      </w:pPr>
      <w:r w:rsidRPr="002125C3">
        <w:rPr>
          <w:szCs w:val="40"/>
          <w:lang w:eastAsia="bg-BG"/>
        </w:rPr>
        <w:t xml:space="preserve">Таргоцид 400 </w:t>
      </w:r>
      <w:r w:rsidRPr="002125C3">
        <w:rPr>
          <w:szCs w:val="40"/>
        </w:rPr>
        <w:t xml:space="preserve">mg </w:t>
      </w:r>
      <w:r w:rsidRPr="002125C3">
        <w:rPr>
          <w:szCs w:val="40"/>
          <w:lang w:eastAsia="bg-BG"/>
        </w:rPr>
        <w:t xml:space="preserve">прах и разтворител за инжекционен/инфузионен или перорален разтвор </w:t>
      </w:r>
      <w:r w:rsidRPr="002125C3">
        <w:rPr>
          <w:szCs w:val="40"/>
        </w:rPr>
        <w:t xml:space="preserve">Targocid </w:t>
      </w:r>
      <w:r w:rsidRPr="002125C3">
        <w:rPr>
          <w:szCs w:val="40"/>
          <w:lang w:eastAsia="bg-BG"/>
        </w:rPr>
        <w:t xml:space="preserve">400 </w:t>
      </w:r>
      <w:r w:rsidRPr="002125C3">
        <w:rPr>
          <w:szCs w:val="40"/>
        </w:rPr>
        <w:t>mg powder and solvent for solution for injection/infusion or oral solution</w:t>
      </w:r>
    </w:p>
    <w:p w14:paraId="0A368469" w14:textId="764ABA1D" w:rsidR="00C0049F" w:rsidRDefault="00DD466D" w:rsidP="009F1313">
      <w:pPr>
        <w:pStyle w:val="Heading1"/>
      </w:pPr>
      <w:r>
        <w:t>2. КАЧЕСТВЕН И КОЛИЧЕСТВЕН СЪСТАВ</w:t>
      </w:r>
    </w:p>
    <w:p w14:paraId="2BD2D60F" w14:textId="526ACA1A" w:rsidR="002125C3" w:rsidRDefault="002125C3" w:rsidP="002125C3"/>
    <w:p w14:paraId="65D81A50" w14:textId="09D03E93" w:rsidR="002125C3" w:rsidRPr="002125C3" w:rsidRDefault="002125C3" w:rsidP="002125C3">
      <w:pPr>
        <w:rPr>
          <w:sz w:val="12"/>
        </w:rPr>
      </w:pPr>
      <w:r w:rsidRPr="002125C3">
        <w:rPr>
          <w:szCs w:val="40"/>
        </w:rPr>
        <w:t xml:space="preserve">Всеки флакон съдържа 400 </w:t>
      </w:r>
      <w:r w:rsidRPr="002125C3">
        <w:rPr>
          <w:szCs w:val="40"/>
          <w:lang w:val="en-US"/>
        </w:rPr>
        <w:t>mg</w:t>
      </w:r>
      <w:r w:rsidRPr="002125C3">
        <w:rPr>
          <w:szCs w:val="40"/>
          <w:lang w:val="ru-RU"/>
        </w:rPr>
        <w:t xml:space="preserve"> </w:t>
      </w:r>
      <w:r w:rsidRPr="002125C3">
        <w:rPr>
          <w:szCs w:val="40"/>
        </w:rPr>
        <w:t xml:space="preserve">тейкопланин </w:t>
      </w:r>
      <w:r w:rsidRPr="002125C3">
        <w:rPr>
          <w:szCs w:val="40"/>
          <w:lang w:val="ru-RU"/>
        </w:rPr>
        <w:t>(</w:t>
      </w:r>
      <w:proofErr w:type="spellStart"/>
      <w:r w:rsidRPr="002125C3">
        <w:rPr>
          <w:szCs w:val="40"/>
          <w:lang w:val="en-US"/>
        </w:rPr>
        <w:t>teicoplanin</w:t>
      </w:r>
      <w:proofErr w:type="spellEnd"/>
      <w:r w:rsidRPr="002125C3">
        <w:rPr>
          <w:szCs w:val="40"/>
          <w:lang w:val="ru-RU"/>
        </w:rPr>
        <w:t xml:space="preserve">) </w:t>
      </w:r>
      <w:r w:rsidRPr="002125C3">
        <w:rPr>
          <w:szCs w:val="40"/>
        </w:rPr>
        <w:t>еквивалентно на не по-малко от 400 000</w:t>
      </w:r>
      <w:r w:rsidRPr="002125C3">
        <w:rPr>
          <w:szCs w:val="40"/>
          <w:lang w:val="en-US"/>
        </w:rPr>
        <w:t>IU</w:t>
      </w:r>
      <w:r w:rsidRPr="002125C3">
        <w:rPr>
          <w:szCs w:val="40"/>
        </w:rPr>
        <w:t xml:space="preserve"> След разтваряне, разтворът ще съдържа 400 </w:t>
      </w:r>
      <w:r w:rsidRPr="002125C3">
        <w:rPr>
          <w:szCs w:val="40"/>
          <w:lang w:val="en-US"/>
        </w:rPr>
        <w:t>mg</w:t>
      </w:r>
      <w:r w:rsidRPr="002125C3">
        <w:rPr>
          <w:szCs w:val="40"/>
          <w:lang w:val="ru-RU"/>
        </w:rPr>
        <w:t xml:space="preserve"> </w:t>
      </w:r>
      <w:r w:rsidRPr="002125C3">
        <w:rPr>
          <w:szCs w:val="40"/>
        </w:rPr>
        <w:t xml:space="preserve">тейкопланин в 3,0 </w:t>
      </w:r>
      <w:r w:rsidRPr="002125C3">
        <w:rPr>
          <w:szCs w:val="40"/>
          <w:lang w:val="en-US"/>
        </w:rPr>
        <w:t>ml</w:t>
      </w:r>
    </w:p>
    <w:p w14:paraId="614984C4" w14:textId="14FD4993" w:rsidR="008A6AF2" w:rsidRDefault="00DD466D" w:rsidP="002C50EE">
      <w:pPr>
        <w:pStyle w:val="Heading1"/>
      </w:pPr>
      <w:r>
        <w:t>3. ЛЕКАРСТВЕНА ФОРМА</w:t>
      </w:r>
    </w:p>
    <w:p w14:paraId="53FC3A68" w14:textId="0E5995DB" w:rsidR="002125C3" w:rsidRDefault="002125C3" w:rsidP="002125C3"/>
    <w:p w14:paraId="1BB8A951" w14:textId="77777777" w:rsidR="002125C3" w:rsidRPr="002125C3" w:rsidRDefault="002125C3" w:rsidP="002125C3">
      <w:pPr>
        <w:rPr>
          <w:sz w:val="24"/>
          <w:szCs w:val="24"/>
        </w:rPr>
      </w:pPr>
      <w:r w:rsidRPr="002125C3">
        <w:rPr>
          <w:lang w:eastAsia="bg-BG"/>
        </w:rPr>
        <w:t>Прах и разтворител за инжекционен/инфузионен или перорален разтвор</w:t>
      </w:r>
    </w:p>
    <w:p w14:paraId="1684F2A8" w14:textId="77777777" w:rsidR="002125C3" w:rsidRDefault="002125C3" w:rsidP="002125C3">
      <w:pPr>
        <w:rPr>
          <w:lang w:eastAsia="bg-BG"/>
        </w:rPr>
      </w:pPr>
    </w:p>
    <w:p w14:paraId="16445AC6" w14:textId="055DC351" w:rsidR="002125C3" w:rsidRPr="002125C3" w:rsidRDefault="002125C3" w:rsidP="002125C3">
      <w:pPr>
        <w:rPr>
          <w:sz w:val="24"/>
          <w:szCs w:val="24"/>
        </w:rPr>
      </w:pPr>
      <w:r w:rsidRPr="002125C3">
        <w:rPr>
          <w:lang w:eastAsia="bg-BG"/>
        </w:rPr>
        <w:t>Прах за инжекционен/инфузионен или перорален разтвор: почти бяла, пореста хомогенна маса</w:t>
      </w:r>
      <w:r>
        <w:rPr>
          <w:lang w:eastAsia="bg-BG"/>
        </w:rPr>
        <w:t>.</w:t>
      </w:r>
    </w:p>
    <w:p w14:paraId="1DD69F85" w14:textId="575B294E" w:rsidR="002125C3" w:rsidRPr="002125C3" w:rsidRDefault="002125C3" w:rsidP="002125C3">
      <w:r w:rsidRPr="002125C3">
        <w:rPr>
          <w:lang w:eastAsia="bg-BG"/>
        </w:rPr>
        <w:t>Разтворител: бистра, безцветна течност.</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791ABB4F" w:rsidR="00395555" w:rsidRDefault="00395555" w:rsidP="00395555"/>
    <w:p w14:paraId="2F1510DA" w14:textId="6B480203" w:rsidR="002125C3" w:rsidRPr="002125C3" w:rsidRDefault="002125C3" w:rsidP="002125C3">
      <w:pPr>
        <w:spacing w:line="240" w:lineRule="auto"/>
        <w:rPr>
          <w:rFonts w:eastAsia="Times New Roman" w:cs="Arial"/>
        </w:rPr>
      </w:pPr>
      <w:r w:rsidRPr="002125C3">
        <w:rPr>
          <w:rFonts w:eastAsia="Times New Roman" w:cs="Arial"/>
          <w:color w:val="000000"/>
          <w:lang w:val="en-US"/>
        </w:rPr>
        <w:t>Tap</w:t>
      </w:r>
      <w:r w:rsidRPr="002125C3">
        <w:rPr>
          <w:rFonts w:eastAsia="Times New Roman" w:cs="Arial"/>
          <w:color w:val="000000"/>
          <w:lang w:eastAsia="bg-BG"/>
        </w:rPr>
        <w:t>гоцид е показан при възрастни и деца още от раждането, за парентерално лечение на следните инфекции (вж. точки 4.2,</w:t>
      </w:r>
      <w:r>
        <w:rPr>
          <w:rFonts w:eastAsia="Times New Roman" w:cs="Arial"/>
          <w:color w:val="000000"/>
          <w:lang w:eastAsia="bg-BG"/>
        </w:rPr>
        <w:t xml:space="preserve"> </w:t>
      </w:r>
      <w:r w:rsidRPr="002125C3">
        <w:rPr>
          <w:rFonts w:eastAsia="Times New Roman" w:cs="Arial"/>
          <w:color w:val="000000"/>
          <w:lang w:eastAsia="bg-BG"/>
        </w:rPr>
        <w:t>4.4 и 5.1):</w:t>
      </w:r>
    </w:p>
    <w:p w14:paraId="56343FE7" w14:textId="77777777" w:rsidR="002125C3" w:rsidRPr="002125C3" w:rsidRDefault="002125C3" w:rsidP="002125C3">
      <w:pPr>
        <w:numPr>
          <w:ilvl w:val="0"/>
          <w:numId w:val="32"/>
        </w:numPr>
        <w:spacing w:line="240" w:lineRule="auto"/>
        <w:rPr>
          <w:rFonts w:eastAsia="Times New Roman" w:cs="Arial"/>
          <w:color w:val="000000"/>
          <w:lang w:eastAsia="bg-BG"/>
        </w:rPr>
      </w:pPr>
      <w:r w:rsidRPr="002125C3">
        <w:rPr>
          <w:rFonts w:eastAsia="Times New Roman" w:cs="Arial"/>
          <w:color w:val="000000"/>
          <w:lang w:eastAsia="bg-BG"/>
        </w:rPr>
        <w:t>усложнени инфекции на кожата и меките тъкани,</w:t>
      </w:r>
    </w:p>
    <w:p w14:paraId="2D84706A" w14:textId="77777777" w:rsidR="002125C3" w:rsidRPr="002125C3" w:rsidRDefault="002125C3" w:rsidP="002125C3">
      <w:pPr>
        <w:numPr>
          <w:ilvl w:val="0"/>
          <w:numId w:val="32"/>
        </w:numPr>
        <w:spacing w:line="240" w:lineRule="auto"/>
        <w:rPr>
          <w:rFonts w:eastAsia="Times New Roman" w:cs="Arial"/>
          <w:color w:val="000000"/>
          <w:lang w:eastAsia="bg-BG"/>
        </w:rPr>
      </w:pPr>
      <w:r w:rsidRPr="002125C3">
        <w:rPr>
          <w:rFonts w:eastAsia="Times New Roman" w:cs="Arial"/>
          <w:color w:val="000000"/>
          <w:lang w:eastAsia="bg-BG"/>
        </w:rPr>
        <w:t>инфекции на костите и ставите,</w:t>
      </w:r>
    </w:p>
    <w:p w14:paraId="4CD950C6" w14:textId="77777777" w:rsidR="002125C3" w:rsidRPr="002125C3" w:rsidRDefault="002125C3" w:rsidP="002125C3">
      <w:pPr>
        <w:numPr>
          <w:ilvl w:val="0"/>
          <w:numId w:val="32"/>
        </w:numPr>
        <w:spacing w:line="240" w:lineRule="auto"/>
        <w:rPr>
          <w:rFonts w:eastAsia="Times New Roman" w:cs="Arial"/>
          <w:color w:val="000000"/>
          <w:lang w:eastAsia="bg-BG"/>
        </w:rPr>
      </w:pPr>
      <w:r w:rsidRPr="002125C3">
        <w:rPr>
          <w:rFonts w:eastAsia="Times New Roman" w:cs="Arial"/>
          <w:color w:val="000000"/>
          <w:lang w:eastAsia="bg-BG"/>
        </w:rPr>
        <w:t>вътреболнична пневмония,</w:t>
      </w:r>
    </w:p>
    <w:p w14:paraId="47FC9398" w14:textId="77777777" w:rsidR="002125C3" w:rsidRPr="002125C3" w:rsidRDefault="002125C3" w:rsidP="002125C3">
      <w:pPr>
        <w:numPr>
          <w:ilvl w:val="0"/>
          <w:numId w:val="32"/>
        </w:numPr>
        <w:spacing w:line="240" w:lineRule="auto"/>
        <w:rPr>
          <w:rFonts w:eastAsia="Times New Roman" w:cs="Arial"/>
          <w:color w:val="000000"/>
          <w:lang w:eastAsia="bg-BG"/>
        </w:rPr>
      </w:pPr>
      <w:r w:rsidRPr="002125C3">
        <w:rPr>
          <w:rFonts w:eastAsia="Times New Roman" w:cs="Arial"/>
          <w:color w:val="000000"/>
          <w:lang w:eastAsia="bg-BG"/>
        </w:rPr>
        <w:t>пневмония, придобита в обществото,</w:t>
      </w:r>
    </w:p>
    <w:p w14:paraId="3FB71BFD" w14:textId="77777777" w:rsidR="002125C3" w:rsidRPr="002125C3" w:rsidRDefault="002125C3" w:rsidP="002125C3">
      <w:pPr>
        <w:numPr>
          <w:ilvl w:val="0"/>
          <w:numId w:val="32"/>
        </w:numPr>
        <w:spacing w:line="240" w:lineRule="auto"/>
        <w:rPr>
          <w:rFonts w:eastAsia="Times New Roman" w:cs="Arial"/>
          <w:color w:val="000000"/>
          <w:lang w:eastAsia="bg-BG"/>
        </w:rPr>
      </w:pPr>
      <w:r w:rsidRPr="002125C3">
        <w:rPr>
          <w:rFonts w:eastAsia="Times New Roman" w:cs="Arial"/>
          <w:color w:val="000000"/>
          <w:lang w:eastAsia="bg-BG"/>
        </w:rPr>
        <w:t>усложнени инфекции на пикочните пътища,</w:t>
      </w:r>
    </w:p>
    <w:p w14:paraId="6EB996B8" w14:textId="77777777" w:rsidR="002125C3" w:rsidRPr="002125C3" w:rsidRDefault="002125C3" w:rsidP="002125C3">
      <w:pPr>
        <w:numPr>
          <w:ilvl w:val="0"/>
          <w:numId w:val="32"/>
        </w:numPr>
        <w:spacing w:line="240" w:lineRule="auto"/>
        <w:rPr>
          <w:rFonts w:eastAsia="Times New Roman" w:cs="Arial"/>
          <w:color w:val="000000"/>
          <w:lang w:eastAsia="bg-BG"/>
        </w:rPr>
      </w:pPr>
      <w:r w:rsidRPr="002125C3">
        <w:rPr>
          <w:rFonts w:eastAsia="Times New Roman" w:cs="Arial"/>
          <w:color w:val="000000"/>
          <w:lang w:eastAsia="bg-BG"/>
        </w:rPr>
        <w:t>инфекциозен ендокардит,</w:t>
      </w:r>
    </w:p>
    <w:p w14:paraId="60D7FA91" w14:textId="77777777" w:rsidR="002125C3" w:rsidRPr="002125C3" w:rsidRDefault="002125C3" w:rsidP="002125C3">
      <w:pPr>
        <w:numPr>
          <w:ilvl w:val="0"/>
          <w:numId w:val="32"/>
        </w:numPr>
        <w:spacing w:line="240" w:lineRule="auto"/>
        <w:rPr>
          <w:rFonts w:eastAsia="Times New Roman" w:cs="Arial"/>
          <w:color w:val="000000"/>
          <w:lang w:eastAsia="bg-BG"/>
        </w:rPr>
      </w:pPr>
      <w:r w:rsidRPr="002125C3">
        <w:rPr>
          <w:rFonts w:eastAsia="Times New Roman" w:cs="Arial"/>
          <w:color w:val="000000"/>
          <w:lang w:eastAsia="bg-BG"/>
        </w:rPr>
        <w:t xml:space="preserve">перитонит, свързан с продължителна амбулаторна перитонеална диализа </w:t>
      </w:r>
      <w:r w:rsidRPr="002125C3">
        <w:rPr>
          <w:rFonts w:eastAsia="Times New Roman" w:cs="Arial"/>
          <w:color w:val="000000"/>
        </w:rPr>
        <w:t>(</w:t>
      </w:r>
      <w:r w:rsidRPr="002125C3">
        <w:rPr>
          <w:rFonts w:eastAsia="Times New Roman" w:cs="Arial"/>
          <w:color w:val="000000"/>
          <w:lang w:val="en-US"/>
        </w:rPr>
        <w:t>continuous</w:t>
      </w:r>
      <w:r w:rsidRPr="002125C3">
        <w:rPr>
          <w:rFonts w:eastAsia="Times New Roman" w:cs="Arial"/>
          <w:color w:val="000000"/>
        </w:rPr>
        <w:t xml:space="preserve"> </w:t>
      </w:r>
      <w:r w:rsidRPr="002125C3">
        <w:rPr>
          <w:rFonts w:eastAsia="Times New Roman" w:cs="Arial"/>
          <w:color w:val="000000"/>
          <w:lang w:val="en-US"/>
        </w:rPr>
        <w:t>ambulatory</w:t>
      </w:r>
      <w:r w:rsidRPr="002125C3">
        <w:rPr>
          <w:rFonts w:eastAsia="Times New Roman" w:cs="Arial"/>
          <w:color w:val="000000"/>
        </w:rPr>
        <w:t xml:space="preserve"> </w:t>
      </w:r>
      <w:r w:rsidRPr="002125C3">
        <w:rPr>
          <w:rFonts w:eastAsia="Times New Roman" w:cs="Arial"/>
          <w:color w:val="000000"/>
          <w:lang w:val="en-US"/>
        </w:rPr>
        <w:t>peritoneal</w:t>
      </w:r>
      <w:r w:rsidRPr="002125C3">
        <w:rPr>
          <w:rFonts w:eastAsia="Times New Roman" w:cs="Arial"/>
          <w:color w:val="000000"/>
        </w:rPr>
        <w:t xml:space="preserve"> </w:t>
      </w:r>
      <w:r w:rsidRPr="002125C3">
        <w:rPr>
          <w:rFonts w:eastAsia="Times New Roman" w:cs="Arial"/>
          <w:color w:val="000000"/>
          <w:lang w:val="en-US"/>
        </w:rPr>
        <w:t>dialysis</w:t>
      </w:r>
      <w:r w:rsidRPr="002125C3">
        <w:rPr>
          <w:rFonts w:eastAsia="Times New Roman" w:cs="Arial"/>
          <w:color w:val="000000"/>
        </w:rPr>
        <w:t xml:space="preserve">, </w:t>
      </w:r>
      <w:r w:rsidRPr="002125C3">
        <w:rPr>
          <w:rFonts w:eastAsia="Times New Roman" w:cs="Arial"/>
          <w:color w:val="000000"/>
          <w:lang w:val="en-US"/>
        </w:rPr>
        <w:t>CAPD</w:t>
      </w:r>
      <w:r w:rsidRPr="002125C3">
        <w:rPr>
          <w:rFonts w:eastAsia="Times New Roman" w:cs="Arial"/>
          <w:color w:val="000000"/>
        </w:rPr>
        <w:t>),</w:t>
      </w:r>
    </w:p>
    <w:p w14:paraId="58B471E7" w14:textId="77777777" w:rsidR="002125C3" w:rsidRPr="002125C3" w:rsidRDefault="002125C3" w:rsidP="002125C3">
      <w:pPr>
        <w:numPr>
          <w:ilvl w:val="0"/>
          <w:numId w:val="32"/>
        </w:numPr>
        <w:spacing w:line="240" w:lineRule="auto"/>
        <w:rPr>
          <w:rFonts w:eastAsia="Times New Roman" w:cs="Arial"/>
          <w:color w:val="000000"/>
          <w:lang w:eastAsia="bg-BG"/>
        </w:rPr>
      </w:pPr>
      <w:r w:rsidRPr="002125C3">
        <w:rPr>
          <w:rFonts w:eastAsia="Times New Roman" w:cs="Arial"/>
          <w:color w:val="000000"/>
          <w:lang w:eastAsia="bg-BG"/>
        </w:rPr>
        <w:t>бактериемия, която настъпва вследствие на някоя от изброените по-горе показания.</w:t>
      </w:r>
    </w:p>
    <w:p w14:paraId="52B407B2" w14:textId="77777777" w:rsidR="002125C3" w:rsidRPr="002125C3" w:rsidRDefault="002125C3" w:rsidP="002125C3">
      <w:pPr>
        <w:spacing w:line="240" w:lineRule="auto"/>
        <w:rPr>
          <w:rFonts w:eastAsia="Times New Roman" w:cs="Arial"/>
          <w:color w:val="000000"/>
          <w:lang w:eastAsia="bg-BG"/>
        </w:rPr>
      </w:pPr>
    </w:p>
    <w:p w14:paraId="1D8293F8" w14:textId="087D8716" w:rsidR="002125C3" w:rsidRPr="002125C3" w:rsidRDefault="002125C3" w:rsidP="002125C3">
      <w:pPr>
        <w:spacing w:line="240" w:lineRule="auto"/>
        <w:rPr>
          <w:rFonts w:eastAsia="Times New Roman" w:cs="Arial"/>
        </w:rPr>
      </w:pPr>
      <w:r w:rsidRPr="002125C3">
        <w:rPr>
          <w:rFonts w:eastAsia="Times New Roman" w:cs="Arial"/>
          <w:color w:val="000000"/>
          <w:lang w:eastAsia="bg-BG"/>
        </w:rPr>
        <w:lastRenderedPageBreak/>
        <w:t xml:space="preserve">Таргоцид е показан също като алтернативно перорално лечение на диария и колит, свързани с инфекция с </w:t>
      </w:r>
      <w:r w:rsidRPr="002125C3">
        <w:rPr>
          <w:rFonts w:eastAsia="Times New Roman" w:cs="Arial"/>
          <w:i/>
          <w:iCs/>
          <w:color w:val="000000"/>
          <w:lang w:val="en-US"/>
        </w:rPr>
        <w:t>Clostridium</w:t>
      </w:r>
      <w:r w:rsidRPr="002125C3">
        <w:rPr>
          <w:rFonts w:eastAsia="Times New Roman" w:cs="Arial"/>
          <w:i/>
          <w:iCs/>
          <w:color w:val="000000"/>
          <w:lang w:val="ru-RU"/>
        </w:rPr>
        <w:t xml:space="preserve"> </w:t>
      </w:r>
      <w:r w:rsidRPr="002125C3">
        <w:rPr>
          <w:rFonts w:eastAsia="Times New Roman" w:cs="Arial"/>
          <w:i/>
          <w:iCs/>
          <w:color w:val="000000"/>
          <w:lang w:val="en-US"/>
        </w:rPr>
        <w:t>difficile</w:t>
      </w:r>
      <w:r w:rsidRPr="002125C3">
        <w:rPr>
          <w:rFonts w:eastAsia="Times New Roman" w:cs="Arial"/>
          <w:i/>
          <w:iCs/>
          <w:color w:val="000000"/>
          <w:lang w:val="ru-RU"/>
        </w:rPr>
        <w:t>.</w:t>
      </w:r>
    </w:p>
    <w:p w14:paraId="43AE158C" w14:textId="77777777" w:rsidR="002125C3" w:rsidRPr="002125C3" w:rsidRDefault="002125C3" w:rsidP="002125C3">
      <w:pPr>
        <w:spacing w:line="240" w:lineRule="auto"/>
        <w:rPr>
          <w:rFonts w:eastAsia="Times New Roman" w:cs="Arial"/>
          <w:color w:val="000000"/>
          <w:lang w:eastAsia="bg-BG"/>
        </w:rPr>
      </w:pPr>
    </w:p>
    <w:p w14:paraId="35735DE5" w14:textId="6FA2629D" w:rsidR="002125C3" w:rsidRPr="002125C3" w:rsidRDefault="002125C3" w:rsidP="002125C3">
      <w:pPr>
        <w:spacing w:line="240" w:lineRule="auto"/>
        <w:rPr>
          <w:rFonts w:eastAsia="Times New Roman" w:cs="Arial"/>
        </w:rPr>
      </w:pPr>
      <w:r w:rsidRPr="002125C3">
        <w:rPr>
          <w:rFonts w:eastAsia="Times New Roman" w:cs="Arial"/>
          <w:color w:val="000000"/>
          <w:lang w:eastAsia="bg-BG"/>
        </w:rPr>
        <w:t>При необходимост, тейкопланин трябва да се прилага в комбинация с други антибактериални средства.</w:t>
      </w:r>
    </w:p>
    <w:p w14:paraId="261786FD" w14:textId="77777777" w:rsidR="002125C3" w:rsidRPr="002125C3" w:rsidRDefault="002125C3" w:rsidP="002125C3">
      <w:pPr>
        <w:spacing w:line="240" w:lineRule="auto"/>
        <w:rPr>
          <w:rFonts w:eastAsia="Times New Roman" w:cs="Arial"/>
          <w:color w:val="000000"/>
          <w:lang w:eastAsia="bg-BG"/>
        </w:rPr>
      </w:pPr>
    </w:p>
    <w:p w14:paraId="25E5FB00" w14:textId="02DAFC8E" w:rsidR="002125C3" w:rsidRPr="002125C3" w:rsidRDefault="002125C3" w:rsidP="002125C3">
      <w:pPr>
        <w:spacing w:line="240" w:lineRule="auto"/>
        <w:rPr>
          <w:rFonts w:eastAsia="Times New Roman" w:cs="Arial"/>
        </w:rPr>
      </w:pPr>
      <w:r w:rsidRPr="002125C3">
        <w:rPr>
          <w:rFonts w:eastAsia="Times New Roman" w:cs="Arial"/>
          <w:color w:val="000000"/>
          <w:lang w:eastAsia="bg-BG"/>
        </w:rPr>
        <w:t>Трябва да се обърне внимание на официалните ръководства за правилна употреба на антибактериални средства.</w:t>
      </w:r>
    </w:p>
    <w:p w14:paraId="1190D172" w14:textId="77777777" w:rsidR="002125C3" w:rsidRPr="00395555" w:rsidRDefault="002125C3" w:rsidP="00395555"/>
    <w:p w14:paraId="7C0CA5EB" w14:textId="38EE8868" w:rsidR="00C0049F" w:rsidRDefault="002C50EE" w:rsidP="009F1313">
      <w:pPr>
        <w:pStyle w:val="Heading2"/>
      </w:pPr>
      <w:r>
        <w:t>4.2. Дозировка и начин на приложение</w:t>
      </w:r>
    </w:p>
    <w:p w14:paraId="31F3D659" w14:textId="7272F104" w:rsidR="002125C3" w:rsidRDefault="002125C3" w:rsidP="002125C3"/>
    <w:p w14:paraId="5F3FD1CF" w14:textId="77777777" w:rsidR="002125C3" w:rsidRPr="002125C3" w:rsidRDefault="002125C3" w:rsidP="002125C3">
      <w:pPr>
        <w:spacing w:line="240" w:lineRule="auto"/>
        <w:rPr>
          <w:rFonts w:eastAsia="Times New Roman" w:cs="Arial"/>
        </w:rPr>
      </w:pPr>
      <w:r w:rsidRPr="002125C3">
        <w:rPr>
          <w:rFonts w:eastAsia="Times New Roman" w:cs="Arial"/>
          <w:color w:val="000000"/>
          <w:u w:val="single"/>
          <w:lang w:eastAsia="bg-BG"/>
        </w:rPr>
        <w:t>Дозировка</w:t>
      </w:r>
    </w:p>
    <w:p w14:paraId="2E60EA16"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Дозата и продължителността на лечението трябва да бъдат коригирани в зависимост от типа и тежестта на подлежащата инфекция и от клиничния отговор на пациента, и от фактори от страна на пациента като например възраст и бъбречна функция.</w:t>
      </w:r>
    </w:p>
    <w:p w14:paraId="7762E466" w14:textId="77777777" w:rsidR="002125C3" w:rsidRPr="002125C3" w:rsidRDefault="002125C3" w:rsidP="002125C3">
      <w:pPr>
        <w:spacing w:line="240" w:lineRule="auto"/>
        <w:rPr>
          <w:rFonts w:eastAsia="Times New Roman" w:cs="Arial"/>
          <w:color w:val="000000"/>
          <w:u w:val="single"/>
          <w:lang w:eastAsia="bg-BG"/>
        </w:rPr>
      </w:pPr>
    </w:p>
    <w:p w14:paraId="57011972" w14:textId="7DC13032" w:rsidR="002125C3" w:rsidRPr="002125C3" w:rsidRDefault="002125C3" w:rsidP="002125C3">
      <w:pPr>
        <w:spacing w:line="240" w:lineRule="auto"/>
        <w:rPr>
          <w:rFonts w:eastAsia="Times New Roman" w:cs="Arial"/>
        </w:rPr>
      </w:pPr>
      <w:r w:rsidRPr="002125C3">
        <w:rPr>
          <w:rFonts w:eastAsia="Times New Roman" w:cs="Arial"/>
          <w:color w:val="000000"/>
          <w:u w:val="single"/>
          <w:lang w:eastAsia="bg-BG"/>
        </w:rPr>
        <w:t>Определяне на серумните концентрации</w:t>
      </w:r>
    </w:p>
    <w:p w14:paraId="603A00E1"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С цел да се осигури поддържане на най-ниска минимална серумна концентрация, серумните най-ниски концентрации на тейкопланин трябва да бъдат определяни в стационарно състояние, след прилагане на натоварваща доза:</w:t>
      </w:r>
    </w:p>
    <w:p w14:paraId="2C40A91B" w14:textId="77777777" w:rsidR="002125C3" w:rsidRPr="002125C3" w:rsidRDefault="002125C3" w:rsidP="002125C3">
      <w:pPr>
        <w:pStyle w:val="ListParagraph"/>
        <w:numPr>
          <w:ilvl w:val="0"/>
          <w:numId w:val="32"/>
        </w:numPr>
        <w:spacing w:line="240" w:lineRule="auto"/>
        <w:rPr>
          <w:rFonts w:eastAsia="Times New Roman" w:cs="Arial"/>
          <w:color w:val="000000"/>
          <w:lang w:eastAsia="bg-BG"/>
        </w:rPr>
      </w:pPr>
      <w:r w:rsidRPr="002125C3">
        <w:rPr>
          <w:rFonts w:eastAsia="Times New Roman" w:cs="Arial"/>
          <w:color w:val="000000"/>
          <w:lang w:eastAsia="bg-BG"/>
        </w:rPr>
        <w:t xml:space="preserve">За повечето Грам-положителни инфекции, най-ниски нива на тейкопланин от поне 10 </w:t>
      </w:r>
      <w:r w:rsidRPr="002125C3">
        <w:rPr>
          <w:rFonts w:eastAsia="Times New Roman" w:cs="Arial"/>
          <w:color w:val="000000"/>
          <w:lang w:val="en-US"/>
        </w:rPr>
        <w:t>mg</w:t>
      </w:r>
      <w:r w:rsidRPr="002125C3">
        <w:rPr>
          <w:rFonts w:eastAsia="Times New Roman" w:cs="Arial"/>
          <w:color w:val="000000"/>
          <w:lang w:val="ru-RU"/>
        </w:rPr>
        <w:t>/</w:t>
      </w:r>
      <w:r w:rsidRPr="002125C3">
        <w:rPr>
          <w:rFonts w:eastAsia="Times New Roman" w:cs="Arial"/>
          <w:color w:val="000000"/>
          <w:lang w:val="en-US"/>
        </w:rPr>
        <w:t>l</w:t>
      </w:r>
      <w:r w:rsidRPr="002125C3">
        <w:rPr>
          <w:rFonts w:eastAsia="Times New Roman" w:cs="Arial"/>
          <w:color w:val="000000"/>
          <w:lang w:val="ru-RU"/>
        </w:rPr>
        <w:t xml:space="preserve">, </w:t>
      </w:r>
      <w:r w:rsidRPr="002125C3">
        <w:rPr>
          <w:rFonts w:eastAsia="Times New Roman" w:cs="Arial"/>
          <w:color w:val="000000"/>
          <w:lang w:eastAsia="bg-BG"/>
        </w:rPr>
        <w:t xml:space="preserve">когато са измерени чрез високо ефективна течна хроматография </w:t>
      </w:r>
      <w:r w:rsidRPr="002125C3">
        <w:rPr>
          <w:rFonts w:eastAsia="Times New Roman" w:cs="Arial"/>
          <w:color w:val="000000"/>
          <w:lang w:val="ru-RU"/>
        </w:rPr>
        <w:t>(</w:t>
      </w:r>
      <w:r w:rsidRPr="002125C3">
        <w:rPr>
          <w:rFonts w:eastAsia="Times New Roman" w:cs="Arial"/>
          <w:color w:val="000000"/>
          <w:lang w:val="en-US"/>
        </w:rPr>
        <w:t>HPLC</w:t>
      </w:r>
      <w:r w:rsidRPr="002125C3">
        <w:rPr>
          <w:rFonts w:eastAsia="Times New Roman" w:cs="Arial"/>
          <w:color w:val="000000"/>
          <w:lang w:val="ru-RU"/>
        </w:rPr>
        <w:t xml:space="preserve">), </w:t>
      </w:r>
      <w:r w:rsidRPr="002125C3">
        <w:rPr>
          <w:rFonts w:eastAsia="Times New Roman" w:cs="Arial"/>
          <w:color w:val="000000"/>
          <w:lang w:eastAsia="bg-BG"/>
        </w:rPr>
        <w:t xml:space="preserve">или поне 15 </w:t>
      </w:r>
      <w:r w:rsidRPr="002125C3">
        <w:rPr>
          <w:rFonts w:eastAsia="Times New Roman" w:cs="Arial"/>
          <w:color w:val="000000"/>
          <w:lang w:val="en-US"/>
        </w:rPr>
        <w:t>mg</w:t>
      </w:r>
      <w:r w:rsidRPr="002125C3">
        <w:rPr>
          <w:rFonts w:eastAsia="Times New Roman" w:cs="Arial"/>
          <w:color w:val="000000"/>
          <w:lang w:val="ru-RU"/>
        </w:rPr>
        <w:t>/</w:t>
      </w:r>
      <w:r w:rsidRPr="002125C3">
        <w:rPr>
          <w:rFonts w:eastAsia="Times New Roman" w:cs="Arial"/>
          <w:color w:val="000000"/>
          <w:lang w:val="en-US"/>
        </w:rPr>
        <w:t>l</w:t>
      </w:r>
      <w:r w:rsidRPr="002125C3">
        <w:rPr>
          <w:rFonts w:eastAsia="Times New Roman" w:cs="Arial"/>
          <w:color w:val="000000"/>
          <w:lang w:val="ru-RU"/>
        </w:rPr>
        <w:t xml:space="preserve">, </w:t>
      </w:r>
      <w:r w:rsidRPr="002125C3">
        <w:rPr>
          <w:rFonts w:eastAsia="Times New Roman" w:cs="Arial"/>
          <w:color w:val="000000"/>
          <w:lang w:eastAsia="bg-BG"/>
        </w:rPr>
        <w:t xml:space="preserve">когато са измерени по метода на флуоресцентен поляризационен имунологичен анализ </w:t>
      </w:r>
      <w:r w:rsidRPr="002125C3">
        <w:rPr>
          <w:rFonts w:eastAsia="Times New Roman" w:cs="Arial"/>
          <w:color w:val="000000"/>
          <w:lang w:val="ru-RU"/>
        </w:rPr>
        <w:t>(</w:t>
      </w:r>
      <w:r w:rsidRPr="002125C3">
        <w:rPr>
          <w:rFonts w:eastAsia="Times New Roman" w:cs="Arial"/>
          <w:color w:val="000000"/>
          <w:lang w:val="en-US"/>
        </w:rPr>
        <w:t>Fluorescence</w:t>
      </w:r>
      <w:r w:rsidRPr="002125C3">
        <w:rPr>
          <w:rFonts w:eastAsia="Times New Roman" w:cs="Arial"/>
          <w:color w:val="000000"/>
          <w:lang w:val="ru-RU"/>
        </w:rPr>
        <w:t xml:space="preserve"> </w:t>
      </w:r>
      <w:r w:rsidRPr="002125C3">
        <w:rPr>
          <w:rFonts w:eastAsia="Times New Roman" w:cs="Arial"/>
          <w:color w:val="000000"/>
          <w:lang w:val="en-US"/>
        </w:rPr>
        <w:t>Polarization</w:t>
      </w:r>
      <w:r w:rsidRPr="002125C3">
        <w:rPr>
          <w:rFonts w:eastAsia="Times New Roman" w:cs="Arial"/>
          <w:color w:val="000000"/>
          <w:lang w:val="ru-RU"/>
        </w:rPr>
        <w:t xml:space="preserve"> </w:t>
      </w:r>
      <w:r w:rsidRPr="002125C3">
        <w:rPr>
          <w:rFonts w:eastAsia="Times New Roman" w:cs="Arial"/>
          <w:color w:val="000000"/>
          <w:lang w:val="en-US"/>
        </w:rPr>
        <w:t>Immunoassay</w:t>
      </w:r>
      <w:r w:rsidRPr="002125C3">
        <w:rPr>
          <w:rFonts w:eastAsia="Times New Roman" w:cs="Arial"/>
          <w:color w:val="000000"/>
          <w:lang w:val="ru-RU"/>
        </w:rPr>
        <w:t xml:space="preserve">, </w:t>
      </w:r>
      <w:r w:rsidRPr="002125C3">
        <w:rPr>
          <w:rFonts w:eastAsia="Times New Roman" w:cs="Arial"/>
          <w:color w:val="000000"/>
          <w:lang w:val="en-US"/>
        </w:rPr>
        <w:t>FPIA</w:t>
      </w:r>
      <w:r w:rsidRPr="002125C3">
        <w:rPr>
          <w:rFonts w:eastAsia="Times New Roman" w:cs="Arial"/>
          <w:color w:val="000000"/>
          <w:lang w:val="ru-RU"/>
        </w:rPr>
        <w:t>).</w:t>
      </w:r>
    </w:p>
    <w:p w14:paraId="47A443D4" w14:textId="77777777" w:rsidR="002125C3" w:rsidRPr="002125C3" w:rsidRDefault="002125C3" w:rsidP="002125C3">
      <w:pPr>
        <w:pStyle w:val="ListParagraph"/>
        <w:numPr>
          <w:ilvl w:val="0"/>
          <w:numId w:val="32"/>
        </w:numPr>
        <w:spacing w:line="240" w:lineRule="auto"/>
        <w:rPr>
          <w:rFonts w:eastAsia="Times New Roman" w:cs="Arial"/>
          <w:color w:val="000000"/>
          <w:lang w:eastAsia="bg-BG"/>
        </w:rPr>
      </w:pPr>
      <w:r w:rsidRPr="002125C3">
        <w:rPr>
          <w:rFonts w:eastAsia="Times New Roman" w:cs="Arial"/>
          <w:color w:val="000000"/>
          <w:lang w:eastAsia="bg-BG"/>
        </w:rPr>
        <w:t xml:space="preserve">За ендокардит и други тежки инфекции, най-ниски нива на тейкопланин от 15-30 </w:t>
      </w:r>
      <w:r w:rsidRPr="002125C3">
        <w:rPr>
          <w:rFonts w:eastAsia="Times New Roman" w:cs="Arial"/>
          <w:color w:val="000000"/>
          <w:lang w:val="en-US"/>
        </w:rPr>
        <w:t>mg</w:t>
      </w:r>
      <w:r w:rsidRPr="002125C3">
        <w:rPr>
          <w:rFonts w:eastAsia="Times New Roman" w:cs="Arial"/>
          <w:color w:val="000000"/>
          <w:lang w:val="ru-RU"/>
        </w:rPr>
        <w:t>/</w:t>
      </w:r>
      <w:r w:rsidRPr="002125C3">
        <w:rPr>
          <w:rFonts w:eastAsia="Times New Roman" w:cs="Arial"/>
          <w:color w:val="000000"/>
          <w:lang w:val="en-US"/>
        </w:rPr>
        <w:t>l</w:t>
      </w:r>
      <w:r w:rsidRPr="002125C3">
        <w:rPr>
          <w:rFonts w:eastAsia="Times New Roman" w:cs="Arial"/>
          <w:color w:val="000000"/>
          <w:lang w:val="ru-RU"/>
        </w:rPr>
        <w:t xml:space="preserve"> </w:t>
      </w:r>
      <w:r w:rsidRPr="002125C3">
        <w:rPr>
          <w:rFonts w:eastAsia="Times New Roman" w:cs="Arial"/>
          <w:color w:val="000000"/>
          <w:lang w:eastAsia="bg-BG"/>
        </w:rPr>
        <w:t xml:space="preserve">когато се измерват с </w:t>
      </w:r>
      <w:r w:rsidRPr="002125C3">
        <w:rPr>
          <w:rFonts w:eastAsia="Times New Roman" w:cs="Arial"/>
          <w:color w:val="000000"/>
          <w:lang w:val="en-US"/>
        </w:rPr>
        <w:t>HPLC</w:t>
      </w:r>
      <w:r w:rsidRPr="002125C3">
        <w:rPr>
          <w:rFonts w:eastAsia="Times New Roman" w:cs="Arial"/>
          <w:color w:val="000000"/>
          <w:lang w:val="ru-RU"/>
        </w:rPr>
        <w:t xml:space="preserve">, </w:t>
      </w:r>
      <w:r w:rsidRPr="002125C3">
        <w:rPr>
          <w:rFonts w:eastAsia="Times New Roman" w:cs="Arial"/>
          <w:color w:val="000000"/>
          <w:lang w:eastAsia="bg-BG"/>
        </w:rPr>
        <w:t xml:space="preserve">или 30-40 </w:t>
      </w:r>
      <w:r w:rsidRPr="002125C3">
        <w:rPr>
          <w:rFonts w:eastAsia="Times New Roman" w:cs="Arial"/>
          <w:color w:val="000000"/>
          <w:lang w:val="en-US"/>
        </w:rPr>
        <w:t>mg</w:t>
      </w:r>
      <w:r w:rsidRPr="002125C3">
        <w:rPr>
          <w:rFonts w:eastAsia="Times New Roman" w:cs="Arial"/>
          <w:color w:val="000000"/>
          <w:lang w:val="ru-RU"/>
        </w:rPr>
        <w:t>/</w:t>
      </w:r>
      <w:r w:rsidRPr="002125C3">
        <w:rPr>
          <w:rFonts w:eastAsia="Times New Roman" w:cs="Arial"/>
          <w:color w:val="000000"/>
          <w:lang w:val="en-US"/>
        </w:rPr>
        <w:t>l</w:t>
      </w:r>
      <w:r w:rsidRPr="002125C3">
        <w:rPr>
          <w:rFonts w:eastAsia="Times New Roman" w:cs="Arial"/>
          <w:color w:val="000000"/>
          <w:lang w:val="ru-RU"/>
        </w:rPr>
        <w:t xml:space="preserve"> </w:t>
      </w:r>
      <w:r w:rsidRPr="002125C3">
        <w:rPr>
          <w:rFonts w:eastAsia="Times New Roman" w:cs="Arial"/>
          <w:color w:val="000000"/>
          <w:lang w:eastAsia="bg-BG"/>
        </w:rPr>
        <w:t xml:space="preserve">когато се измерват с метода </w:t>
      </w:r>
      <w:r w:rsidRPr="002125C3">
        <w:rPr>
          <w:rFonts w:eastAsia="Times New Roman" w:cs="Arial"/>
          <w:color w:val="000000"/>
          <w:lang w:val="en-US"/>
        </w:rPr>
        <w:t>FPIA</w:t>
      </w:r>
      <w:r w:rsidRPr="002125C3">
        <w:rPr>
          <w:rFonts w:eastAsia="Times New Roman" w:cs="Arial"/>
          <w:color w:val="000000"/>
          <w:lang w:val="ru-RU"/>
        </w:rPr>
        <w:t>.</w:t>
      </w:r>
    </w:p>
    <w:p w14:paraId="03CAFFC0"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За да се осигури постоянство на тези концентрации, по време на поддържащото лечение, контролиране на серумните концентрации на тейкопланин може да бъде провеждано поне веднъж седмично.</w:t>
      </w:r>
    </w:p>
    <w:p w14:paraId="14117BA5" w14:textId="77777777" w:rsidR="002125C3" w:rsidRPr="002125C3" w:rsidRDefault="002125C3" w:rsidP="002125C3">
      <w:pPr>
        <w:spacing w:line="240" w:lineRule="auto"/>
        <w:rPr>
          <w:rFonts w:eastAsia="Times New Roman" w:cs="Arial"/>
          <w:color w:val="000000"/>
          <w:u w:val="single"/>
          <w:lang w:eastAsia="bg-BG"/>
        </w:rPr>
      </w:pPr>
    </w:p>
    <w:p w14:paraId="1DC21329" w14:textId="3965DE64" w:rsidR="002125C3" w:rsidRPr="002125C3" w:rsidRDefault="002125C3" w:rsidP="002125C3">
      <w:pPr>
        <w:spacing w:line="240" w:lineRule="auto"/>
        <w:rPr>
          <w:rFonts w:eastAsia="Times New Roman" w:cs="Arial"/>
        </w:rPr>
      </w:pPr>
      <w:r w:rsidRPr="002125C3">
        <w:rPr>
          <w:rFonts w:eastAsia="Times New Roman" w:cs="Arial"/>
          <w:color w:val="000000"/>
          <w:u w:val="single"/>
          <w:lang w:eastAsia="bg-BG"/>
        </w:rPr>
        <w:t>Възрастни и пациенти в старческа възраст с нормална бъбречна функция</w:t>
      </w:r>
    </w:p>
    <w:tbl>
      <w:tblPr>
        <w:tblStyle w:val="TableGrid"/>
        <w:tblW w:w="0" w:type="auto"/>
        <w:tblLook w:val="04A0" w:firstRow="1" w:lastRow="0" w:firstColumn="1" w:lastColumn="0" w:noHBand="0" w:noVBand="1"/>
      </w:tblPr>
      <w:tblGrid>
        <w:gridCol w:w="2778"/>
        <w:gridCol w:w="1626"/>
        <w:gridCol w:w="1624"/>
        <w:gridCol w:w="1625"/>
        <w:gridCol w:w="1697"/>
      </w:tblGrid>
      <w:tr w:rsidR="002125C3" w14:paraId="22B329F7" w14:textId="77777777" w:rsidTr="002125C3">
        <w:tc>
          <w:tcPr>
            <w:tcW w:w="2847" w:type="dxa"/>
            <w:vMerge w:val="restart"/>
          </w:tcPr>
          <w:p w14:paraId="152E1706" w14:textId="40514933" w:rsidR="002125C3" w:rsidRPr="002125C3" w:rsidRDefault="002125C3" w:rsidP="002125C3">
            <w:pPr>
              <w:rPr>
                <w:b/>
              </w:rPr>
            </w:pPr>
            <w:r w:rsidRPr="002125C3">
              <w:rPr>
                <w:b/>
              </w:rPr>
              <w:t>Показания</w:t>
            </w:r>
          </w:p>
        </w:tc>
        <w:tc>
          <w:tcPr>
            <w:tcW w:w="3328" w:type="dxa"/>
            <w:gridSpan w:val="2"/>
          </w:tcPr>
          <w:p w14:paraId="45004251" w14:textId="32DE071E" w:rsidR="002125C3" w:rsidRPr="002125C3" w:rsidRDefault="002125C3" w:rsidP="002125C3">
            <w:r w:rsidRPr="002125C3">
              <w:rPr>
                <w:b/>
                <w:bCs/>
                <w:szCs w:val="40"/>
              </w:rPr>
              <w:t>Натоварваща доза</w:t>
            </w:r>
          </w:p>
        </w:tc>
        <w:tc>
          <w:tcPr>
            <w:tcW w:w="3401" w:type="dxa"/>
            <w:gridSpan w:val="2"/>
          </w:tcPr>
          <w:p w14:paraId="42BB337D" w14:textId="0AC3CC4A" w:rsidR="002125C3" w:rsidRPr="002125C3" w:rsidRDefault="002125C3" w:rsidP="002125C3">
            <w:r w:rsidRPr="002125C3">
              <w:rPr>
                <w:b/>
                <w:bCs/>
                <w:szCs w:val="40"/>
              </w:rPr>
              <w:t>Поддържаща доза</w:t>
            </w:r>
          </w:p>
        </w:tc>
      </w:tr>
      <w:tr w:rsidR="002125C3" w14:paraId="2DA090A7" w14:textId="77777777" w:rsidTr="002125C3">
        <w:tc>
          <w:tcPr>
            <w:tcW w:w="2847" w:type="dxa"/>
            <w:vMerge/>
          </w:tcPr>
          <w:p w14:paraId="4E5D9D41" w14:textId="77777777" w:rsidR="002125C3" w:rsidRDefault="002125C3" w:rsidP="002125C3"/>
        </w:tc>
        <w:tc>
          <w:tcPr>
            <w:tcW w:w="1665" w:type="dxa"/>
          </w:tcPr>
          <w:p w14:paraId="7866AD1D" w14:textId="5CFE8C9F" w:rsidR="002125C3" w:rsidRPr="002125C3" w:rsidRDefault="002125C3" w:rsidP="002125C3">
            <w:r w:rsidRPr="002125C3">
              <w:rPr>
                <w:b/>
                <w:bCs/>
                <w:szCs w:val="40"/>
              </w:rPr>
              <w:t>Режим с натоварваща доза</w:t>
            </w:r>
          </w:p>
        </w:tc>
        <w:tc>
          <w:tcPr>
            <w:tcW w:w="1663" w:type="dxa"/>
          </w:tcPr>
          <w:p w14:paraId="160C1DF6" w14:textId="2C65A301" w:rsidR="002125C3" w:rsidRPr="002125C3" w:rsidRDefault="002125C3" w:rsidP="002125C3">
            <w:r w:rsidRPr="002125C3">
              <w:rPr>
                <w:b/>
                <w:bCs/>
                <w:szCs w:val="40"/>
              </w:rPr>
              <w:t>Прицелни най- ниски концентрации от 3 до 5 ден</w:t>
            </w:r>
          </w:p>
        </w:tc>
        <w:tc>
          <w:tcPr>
            <w:tcW w:w="1664" w:type="dxa"/>
          </w:tcPr>
          <w:p w14:paraId="69E6138C" w14:textId="522B1EC6" w:rsidR="002125C3" w:rsidRPr="002125C3" w:rsidRDefault="002125C3" w:rsidP="002125C3">
            <w:r w:rsidRPr="002125C3">
              <w:rPr>
                <w:b/>
                <w:bCs/>
                <w:szCs w:val="40"/>
              </w:rPr>
              <w:t>Поддържаща доза</w:t>
            </w:r>
          </w:p>
        </w:tc>
        <w:tc>
          <w:tcPr>
            <w:tcW w:w="1737" w:type="dxa"/>
          </w:tcPr>
          <w:p w14:paraId="3A88D001" w14:textId="5B4881B9" w:rsidR="002125C3" w:rsidRPr="002125C3" w:rsidRDefault="002125C3" w:rsidP="002125C3">
            <w:r w:rsidRPr="002125C3">
              <w:rPr>
                <w:b/>
                <w:bCs/>
                <w:szCs w:val="40"/>
              </w:rPr>
              <w:t>Прицелни най-ниски концентрации по време на поддържането</w:t>
            </w:r>
          </w:p>
        </w:tc>
      </w:tr>
      <w:tr w:rsidR="002125C3" w14:paraId="532BDE40" w14:textId="77777777" w:rsidTr="002125C3">
        <w:tc>
          <w:tcPr>
            <w:tcW w:w="2847" w:type="dxa"/>
          </w:tcPr>
          <w:p w14:paraId="2BCC618E" w14:textId="31F89497" w:rsidR="002125C3" w:rsidRPr="002125C3" w:rsidRDefault="002125C3" w:rsidP="002125C3">
            <w:pPr>
              <w:pStyle w:val="ListParagraph"/>
              <w:numPr>
                <w:ilvl w:val="0"/>
                <w:numId w:val="2"/>
              </w:numPr>
              <w:spacing w:line="240" w:lineRule="auto"/>
              <w:rPr>
                <w:szCs w:val="40"/>
              </w:rPr>
            </w:pPr>
            <w:r w:rsidRPr="002125C3">
              <w:rPr>
                <w:szCs w:val="40"/>
              </w:rPr>
              <w:t>Усложнени инфекции на кожата и меките тъкани</w:t>
            </w:r>
          </w:p>
          <w:p w14:paraId="5AC75E0D" w14:textId="1B6F6F6D" w:rsidR="002125C3" w:rsidRPr="002125C3" w:rsidRDefault="002125C3" w:rsidP="002125C3">
            <w:pPr>
              <w:pStyle w:val="ListParagraph"/>
              <w:numPr>
                <w:ilvl w:val="0"/>
                <w:numId w:val="2"/>
              </w:numPr>
              <w:spacing w:line="240" w:lineRule="auto"/>
              <w:rPr>
                <w:szCs w:val="40"/>
              </w:rPr>
            </w:pPr>
            <w:r w:rsidRPr="002125C3">
              <w:rPr>
                <w:szCs w:val="40"/>
              </w:rPr>
              <w:t>Пневмония</w:t>
            </w:r>
          </w:p>
          <w:p w14:paraId="03DA2BCA" w14:textId="2D6FEDEB" w:rsidR="002125C3" w:rsidRPr="002125C3" w:rsidRDefault="002125C3" w:rsidP="002125C3">
            <w:r w:rsidRPr="002125C3">
              <w:rPr>
                <w:szCs w:val="40"/>
              </w:rPr>
              <w:lastRenderedPageBreak/>
              <w:t>Усложнени инфекции на пикочните пътища</w:t>
            </w:r>
          </w:p>
        </w:tc>
        <w:tc>
          <w:tcPr>
            <w:tcW w:w="1665" w:type="dxa"/>
          </w:tcPr>
          <w:p w14:paraId="63CEA50B" w14:textId="3A071801" w:rsidR="002125C3" w:rsidRPr="002125C3" w:rsidRDefault="002125C3" w:rsidP="002125C3">
            <w:r w:rsidRPr="002125C3">
              <w:rPr>
                <w:szCs w:val="40"/>
              </w:rPr>
              <w:lastRenderedPageBreak/>
              <w:t xml:space="preserve">6 </w:t>
            </w:r>
            <w:r w:rsidRPr="002125C3">
              <w:rPr>
                <w:szCs w:val="40"/>
                <w:lang w:val="en-US"/>
              </w:rPr>
              <w:t>mg</w:t>
            </w:r>
            <w:r w:rsidRPr="002125C3">
              <w:rPr>
                <w:szCs w:val="40"/>
                <w:lang w:val="ru-RU"/>
              </w:rPr>
              <w:t>/</w:t>
            </w:r>
            <w:r w:rsidRPr="002125C3">
              <w:rPr>
                <w:szCs w:val="40"/>
                <w:lang w:val="en-US"/>
              </w:rPr>
              <w:t>kg</w:t>
            </w:r>
            <w:r w:rsidRPr="002125C3">
              <w:rPr>
                <w:szCs w:val="40"/>
                <w:lang w:val="ru-RU"/>
              </w:rPr>
              <w:t xml:space="preserve"> </w:t>
            </w:r>
            <w:r w:rsidRPr="002125C3">
              <w:rPr>
                <w:szCs w:val="40"/>
              </w:rPr>
              <w:t xml:space="preserve">телесно тегло на всеки 12 часа заЗ интравенозни или </w:t>
            </w:r>
            <w:r w:rsidRPr="002125C3">
              <w:rPr>
                <w:szCs w:val="40"/>
              </w:rPr>
              <w:lastRenderedPageBreak/>
              <w:t>интармускулни приложения</w:t>
            </w:r>
          </w:p>
        </w:tc>
        <w:tc>
          <w:tcPr>
            <w:tcW w:w="1663" w:type="dxa"/>
          </w:tcPr>
          <w:p w14:paraId="099E8DD6" w14:textId="3D30AAB7" w:rsidR="002125C3" w:rsidRPr="002125C3" w:rsidRDefault="002125C3" w:rsidP="002125C3">
            <w:r w:rsidRPr="002125C3">
              <w:rPr>
                <w:szCs w:val="40"/>
              </w:rPr>
              <w:lastRenderedPageBreak/>
              <w:t xml:space="preserve">&gt;15 </w:t>
            </w:r>
            <w:r w:rsidRPr="002125C3">
              <w:rPr>
                <w:szCs w:val="40"/>
                <w:lang w:val="en-US"/>
              </w:rPr>
              <w:t>mg/1</w:t>
            </w:r>
            <w:r w:rsidRPr="002125C3">
              <w:rPr>
                <w:szCs w:val="40"/>
                <w:vertAlign w:val="superscript"/>
                <w:lang w:val="en-US"/>
              </w:rPr>
              <w:t>1</w:t>
            </w:r>
          </w:p>
        </w:tc>
        <w:tc>
          <w:tcPr>
            <w:tcW w:w="1664" w:type="dxa"/>
          </w:tcPr>
          <w:p w14:paraId="22B4015E" w14:textId="0F120BD8" w:rsidR="002125C3" w:rsidRPr="002125C3" w:rsidRDefault="002125C3" w:rsidP="002125C3">
            <w:r w:rsidRPr="002125C3">
              <w:rPr>
                <w:szCs w:val="40"/>
              </w:rPr>
              <w:t xml:space="preserve">6 </w:t>
            </w:r>
            <w:r w:rsidRPr="002125C3">
              <w:rPr>
                <w:szCs w:val="40"/>
                <w:lang w:val="en-US"/>
              </w:rPr>
              <w:t>mg</w:t>
            </w:r>
            <w:r w:rsidRPr="002125C3">
              <w:rPr>
                <w:szCs w:val="40"/>
                <w:lang w:val="ru-RU"/>
              </w:rPr>
              <w:t>/</w:t>
            </w:r>
            <w:r w:rsidRPr="002125C3">
              <w:rPr>
                <w:szCs w:val="40"/>
                <w:lang w:val="en-US"/>
              </w:rPr>
              <w:t>kg</w:t>
            </w:r>
            <w:r w:rsidRPr="002125C3">
              <w:rPr>
                <w:szCs w:val="40"/>
                <w:lang w:val="ru-RU"/>
              </w:rPr>
              <w:t xml:space="preserve"> </w:t>
            </w:r>
            <w:r w:rsidRPr="002125C3">
              <w:rPr>
                <w:szCs w:val="40"/>
              </w:rPr>
              <w:t>телесно тегло интравенозно или интрамускул</w:t>
            </w:r>
            <w:r w:rsidRPr="002125C3">
              <w:rPr>
                <w:szCs w:val="40"/>
              </w:rPr>
              <w:lastRenderedPageBreak/>
              <w:t>но веднъж дневно</w:t>
            </w:r>
          </w:p>
        </w:tc>
        <w:tc>
          <w:tcPr>
            <w:tcW w:w="1737" w:type="dxa"/>
          </w:tcPr>
          <w:p w14:paraId="6EA53695" w14:textId="425D1D62" w:rsidR="002125C3" w:rsidRPr="002125C3" w:rsidRDefault="002125C3" w:rsidP="002125C3">
            <w:r w:rsidRPr="002125C3">
              <w:rPr>
                <w:szCs w:val="40"/>
              </w:rPr>
              <w:lastRenderedPageBreak/>
              <w:t xml:space="preserve">&gt;15 </w:t>
            </w:r>
            <w:r w:rsidRPr="002125C3">
              <w:rPr>
                <w:szCs w:val="40"/>
                <w:lang w:val="en-US"/>
              </w:rPr>
              <w:t>mg/1</w:t>
            </w:r>
            <w:r w:rsidRPr="002125C3">
              <w:rPr>
                <w:szCs w:val="40"/>
                <w:vertAlign w:val="superscript"/>
                <w:lang w:val="en-US"/>
              </w:rPr>
              <w:t xml:space="preserve">1 </w:t>
            </w:r>
            <w:r w:rsidRPr="002125C3">
              <w:rPr>
                <w:szCs w:val="40"/>
              </w:rPr>
              <w:t>веднъж седмично</w:t>
            </w:r>
          </w:p>
        </w:tc>
      </w:tr>
      <w:tr w:rsidR="002125C3" w14:paraId="10D8DC10" w14:textId="77777777" w:rsidTr="002125C3">
        <w:tc>
          <w:tcPr>
            <w:tcW w:w="2847" w:type="dxa"/>
          </w:tcPr>
          <w:p w14:paraId="54FA1B49" w14:textId="5C87CF82" w:rsidR="002125C3" w:rsidRPr="002125C3" w:rsidRDefault="002125C3" w:rsidP="002125C3">
            <w:pPr>
              <w:pStyle w:val="ListParagraph"/>
              <w:numPr>
                <w:ilvl w:val="0"/>
                <w:numId w:val="2"/>
              </w:numPr>
            </w:pPr>
            <w:r w:rsidRPr="002125C3">
              <w:rPr>
                <w:szCs w:val="40"/>
              </w:rPr>
              <w:t>инфекции на костите и ставите</w:t>
            </w:r>
          </w:p>
        </w:tc>
        <w:tc>
          <w:tcPr>
            <w:tcW w:w="1665" w:type="dxa"/>
          </w:tcPr>
          <w:p w14:paraId="19F597CA" w14:textId="06A02EBC" w:rsidR="002125C3" w:rsidRPr="002125C3" w:rsidRDefault="002125C3" w:rsidP="002125C3">
            <w:r w:rsidRPr="002125C3">
              <w:rPr>
                <w:szCs w:val="40"/>
              </w:rPr>
              <w:t xml:space="preserve">12 </w:t>
            </w:r>
            <w:r w:rsidRPr="002125C3">
              <w:rPr>
                <w:szCs w:val="40"/>
                <w:lang w:val="en-US"/>
              </w:rPr>
              <w:t>mg</w:t>
            </w:r>
            <w:r w:rsidRPr="002125C3">
              <w:rPr>
                <w:szCs w:val="40"/>
                <w:lang w:val="ru-RU"/>
              </w:rPr>
              <w:t>/</w:t>
            </w:r>
            <w:r w:rsidRPr="002125C3">
              <w:rPr>
                <w:szCs w:val="40"/>
                <w:lang w:val="en-US"/>
              </w:rPr>
              <w:t>kg</w:t>
            </w:r>
            <w:r w:rsidRPr="002125C3">
              <w:rPr>
                <w:szCs w:val="40"/>
                <w:lang w:val="ru-RU"/>
              </w:rPr>
              <w:t xml:space="preserve"> </w:t>
            </w:r>
            <w:r w:rsidRPr="002125C3">
              <w:rPr>
                <w:szCs w:val="40"/>
              </w:rPr>
              <w:t>телесно теглона всеки 12 часа за 3 до 5 интравенозни приложения</w:t>
            </w:r>
          </w:p>
        </w:tc>
        <w:tc>
          <w:tcPr>
            <w:tcW w:w="1663" w:type="dxa"/>
          </w:tcPr>
          <w:p w14:paraId="7DCCD2CE" w14:textId="4A2DA1FC" w:rsidR="002125C3" w:rsidRPr="002125C3" w:rsidRDefault="002125C3" w:rsidP="002125C3">
            <w:r w:rsidRPr="002125C3">
              <w:rPr>
                <w:szCs w:val="40"/>
              </w:rPr>
              <w:t xml:space="preserve">&gt;20 </w:t>
            </w:r>
            <w:r w:rsidRPr="002125C3">
              <w:rPr>
                <w:szCs w:val="40"/>
                <w:lang w:val="en-US"/>
              </w:rPr>
              <w:t>mg/1</w:t>
            </w:r>
            <w:r w:rsidRPr="002125C3">
              <w:rPr>
                <w:szCs w:val="40"/>
                <w:vertAlign w:val="superscript"/>
                <w:lang w:val="en-US"/>
              </w:rPr>
              <w:t>1</w:t>
            </w:r>
          </w:p>
        </w:tc>
        <w:tc>
          <w:tcPr>
            <w:tcW w:w="1664" w:type="dxa"/>
          </w:tcPr>
          <w:p w14:paraId="35C03268" w14:textId="53AC2985" w:rsidR="002125C3" w:rsidRPr="002125C3" w:rsidRDefault="002125C3" w:rsidP="002125C3">
            <w:r w:rsidRPr="002125C3">
              <w:rPr>
                <w:szCs w:val="40"/>
              </w:rPr>
              <w:t xml:space="preserve">12 </w:t>
            </w:r>
            <w:r w:rsidRPr="002125C3">
              <w:rPr>
                <w:szCs w:val="40"/>
                <w:lang w:val="en-US"/>
              </w:rPr>
              <w:t>mg</w:t>
            </w:r>
            <w:r w:rsidRPr="002125C3">
              <w:rPr>
                <w:szCs w:val="40"/>
                <w:lang w:val="ru-RU"/>
              </w:rPr>
              <w:t>/</w:t>
            </w:r>
            <w:r w:rsidRPr="002125C3">
              <w:rPr>
                <w:szCs w:val="40"/>
                <w:lang w:val="en-US"/>
              </w:rPr>
              <w:t>kg</w:t>
            </w:r>
            <w:r w:rsidRPr="002125C3">
              <w:rPr>
                <w:szCs w:val="40"/>
                <w:lang w:val="ru-RU"/>
              </w:rPr>
              <w:t xml:space="preserve"> </w:t>
            </w:r>
            <w:r w:rsidRPr="002125C3">
              <w:rPr>
                <w:szCs w:val="40"/>
              </w:rPr>
              <w:t>телесно тегло интравенозно или интрамускулно веднъж дневно</w:t>
            </w:r>
          </w:p>
        </w:tc>
        <w:tc>
          <w:tcPr>
            <w:tcW w:w="1737" w:type="dxa"/>
          </w:tcPr>
          <w:p w14:paraId="295A8624" w14:textId="0EC1BF84" w:rsidR="002125C3" w:rsidRPr="002125C3" w:rsidRDefault="002125C3" w:rsidP="002125C3">
            <w:r w:rsidRPr="002125C3">
              <w:rPr>
                <w:szCs w:val="40"/>
              </w:rPr>
              <w:t xml:space="preserve">&gt;20 </w:t>
            </w:r>
            <w:r w:rsidRPr="002125C3">
              <w:rPr>
                <w:szCs w:val="40"/>
                <w:lang w:val="en-US"/>
              </w:rPr>
              <w:t>mg/1</w:t>
            </w:r>
            <w:r w:rsidRPr="002125C3">
              <w:rPr>
                <w:szCs w:val="40"/>
                <w:vertAlign w:val="superscript"/>
                <w:lang w:val="en-US"/>
              </w:rPr>
              <w:t>1</w:t>
            </w:r>
          </w:p>
        </w:tc>
      </w:tr>
      <w:tr w:rsidR="002125C3" w14:paraId="3E5B3884" w14:textId="77777777" w:rsidTr="002125C3">
        <w:tc>
          <w:tcPr>
            <w:tcW w:w="2847" w:type="dxa"/>
          </w:tcPr>
          <w:p w14:paraId="6A7F0224" w14:textId="2DC462D1" w:rsidR="002125C3" w:rsidRPr="002125C3" w:rsidRDefault="002125C3" w:rsidP="002125C3">
            <w:pPr>
              <w:pStyle w:val="ListParagraph"/>
              <w:numPr>
                <w:ilvl w:val="0"/>
                <w:numId w:val="2"/>
              </w:numPr>
            </w:pPr>
            <w:r w:rsidRPr="002125C3">
              <w:rPr>
                <w:szCs w:val="40"/>
              </w:rPr>
              <w:t>инфекциозен ендокардит</w:t>
            </w:r>
          </w:p>
        </w:tc>
        <w:tc>
          <w:tcPr>
            <w:tcW w:w="1665" w:type="dxa"/>
          </w:tcPr>
          <w:p w14:paraId="6AF7607E" w14:textId="77777777" w:rsidR="002125C3" w:rsidRPr="002125C3" w:rsidRDefault="002125C3" w:rsidP="002125C3">
            <w:r w:rsidRPr="002125C3">
              <w:rPr>
                <w:szCs w:val="40"/>
              </w:rPr>
              <w:t xml:space="preserve">12 </w:t>
            </w:r>
            <w:r w:rsidRPr="002125C3">
              <w:rPr>
                <w:szCs w:val="40"/>
                <w:lang w:val="en-US"/>
              </w:rPr>
              <w:t>mg</w:t>
            </w:r>
            <w:r w:rsidRPr="002125C3">
              <w:rPr>
                <w:szCs w:val="40"/>
                <w:lang w:val="ru-RU"/>
              </w:rPr>
              <w:t>/</w:t>
            </w:r>
            <w:r w:rsidRPr="002125C3">
              <w:rPr>
                <w:szCs w:val="40"/>
                <w:lang w:val="en-US"/>
              </w:rPr>
              <w:t>kg</w:t>
            </w:r>
            <w:r w:rsidRPr="002125C3">
              <w:rPr>
                <w:szCs w:val="40"/>
                <w:lang w:val="ru-RU"/>
              </w:rPr>
              <w:t xml:space="preserve"> </w:t>
            </w:r>
            <w:r w:rsidRPr="002125C3">
              <w:rPr>
                <w:szCs w:val="40"/>
              </w:rPr>
              <w:t>телесно теглона всеки 12 часа за</w:t>
            </w:r>
          </w:p>
          <w:p w14:paraId="2581FEFD" w14:textId="2F3D9F0F" w:rsidR="002125C3" w:rsidRPr="002125C3" w:rsidRDefault="002125C3" w:rsidP="002125C3">
            <w:r w:rsidRPr="002125C3">
              <w:rPr>
                <w:szCs w:val="40"/>
              </w:rPr>
              <w:t>3 до 5 интравенозни приложения</w:t>
            </w:r>
          </w:p>
        </w:tc>
        <w:tc>
          <w:tcPr>
            <w:tcW w:w="1663" w:type="dxa"/>
          </w:tcPr>
          <w:p w14:paraId="071FF692" w14:textId="6A0BE1D5" w:rsidR="002125C3" w:rsidRPr="002125C3" w:rsidRDefault="002125C3" w:rsidP="002125C3">
            <w:r w:rsidRPr="002125C3">
              <w:rPr>
                <w:szCs w:val="40"/>
              </w:rPr>
              <w:t xml:space="preserve">30-40 </w:t>
            </w:r>
            <w:r w:rsidRPr="002125C3">
              <w:rPr>
                <w:szCs w:val="40"/>
                <w:lang w:val="en-US"/>
              </w:rPr>
              <w:t>mg/1</w:t>
            </w:r>
            <w:r w:rsidRPr="002125C3">
              <w:rPr>
                <w:szCs w:val="40"/>
                <w:vertAlign w:val="superscript"/>
                <w:lang w:val="en-US"/>
              </w:rPr>
              <w:t>1</w:t>
            </w:r>
          </w:p>
        </w:tc>
        <w:tc>
          <w:tcPr>
            <w:tcW w:w="1664" w:type="dxa"/>
          </w:tcPr>
          <w:p w14:paraId="7042FD87" w14:textId="64E38AFC" w:rsidR="002125C3" w:rsidRPr="002125C3" w:rsidRDefault="002125C3" w:rsidP="002125C3">
            <w:r w:rsidRPr="002125C3">
              <w:rPr>
                <w:szCs w:val="40"/>
              </w:rPr>
              <w:t xml:space="preserve">12 </w:t>
            </w:r>
            <w:r w:rsidRPr="002125C3">
              <w:rPr>
                <w:szCs w:val="40"/>
                <w:lang w:val="en-US"/>
              </w:rPr>
              <w:t>mg</w:t>
            </w:r>
            <w:r w:rsidRPr="002125C3">
              <w:rPr>
                <w:szCs w:val="40"/>
                <w:lang w:val="ru-RU"/>
              </w:rPr>
              <w:t>/</w:t>
            </w:r>
            <w:r w:rsidRPr="002125C3">
              <w:rPr>
                <w:szCs w:val="40"/>
                <w:lang w:val="en-US"/>
              </w:rPr>
              <w:t>kg</w:t>
            </w:r>
            <w:r w:rsidRPr="002125C3">
              <w:rPr>
                <w:szCs w:val="40"/>
                <w:lang w:val="ru-RU"/>
              </w:rPr>
              <w:t xml:space="preserve"> </w:t>
            </w:r>
            <w:r w:rsidRPr="002125C3">
              <w:rPr>
                <w:szCs w:val="40"/>
              </w:rPr>
              <w:t>телесно тегло интравенозно или интрамускулно веднъж дневно</w:t>
            </w:r>
          </w:p>
        </w:tc>
        <w:tc>
          <w:tcPr>
            <w:tcW w:w="1737" w:type="dxa"/>
          </w:tcPr>
          <w:p w14:paraId="5505109D" w14:textId="0857C0E3" w:rsidR="002125C3" w:rsidRPr="002125C3" w:rsidRDefault="002125C3" w:rsidP="002125C3">
            <w:r w:rsidRPr="002125C3">
              <w:rPr>
                <w:szCs w:val="40"/>
              </w:rPr>
              <w:t xml:space="preserve">&gt;30 </w:t>
            </w:r>
            <w:r w:rsidRPr="002125C3">
              <w:rPr>
                <w:szCs w:val="40"/>
                <w:lang w:val="en-US"/>
              </w:rPr>
              <w:t>mg/1</w:t>
            </w:r>
            <w:r w:rsidRPr="002125C3">
              <w:rPr>
                <w:szCs w:val="40"/>
                <w:vertAlign w:val="superscript"/>
                <w:lang w:val="en-US"/>
              </w:rPr>
              <w:t>1</w:t>
            </w:r>
          </w:p>
        </w:tc>
      </w:tr>
    </w:tbl>
    <w:p w14:paraId="4F217D78" w14:textId="77777777" w:rsidR="002125C3" w:rsidRPr="002125C3" w:rsidRDefault="002125C3" w:rsidP="002125C3">
      <w:pPr>
        <w:spacing w:line="240" w:lineRule="auto"/>
        <w:rPr>
          <w:rFonts w:eastAsia="Times New Roman" w:cs="Arial"/>
        </w:rPr>
      </w:pPr>
      <w:r w:rsidRPr="002125C3">
        <w:rPr>
          <w:rFonts w:eastAsia="Times New Roman" w:cs="Arial"/>
          <w:color w:val="000000"/>
          <w:vertAlign w:val="superscript"/>
          <w:lang w:val="ru-RU"/>
        </w:rPr>
        <w:t>1</w:t>
      </w:r>
      <w:r w:rsidRPr="002125C3">
        <w:rPr>
          <w:rFonts w:eastAsia="Times New Roman" w:cs="Arial"/>
          <w:color w:val="000000"/>
          <w:lang w:val="ru-RU"/>
        </w:rPr>
        <w:t xml:space="preserve"> </w:t>
      </w:r>
      <w:r w:rsidRPr="002125C3">
        <w:rPr>
          <w:rFonts w:eastAsia="Times New Roman" w:cs="Arial"/>
          <w:color w:val="000000"/>
          <w:lang w:eastAsia="bg-BG"/>
        </w:rPr>
        <w:t xml:space="preserve">Измерено чрез </w:t>
      </w:r>
      <w:r w:rsidRPr="002125C3">
        <w:rPr>
          <w:rFonts w:eastAsia="Times New Roman" w:cs="Arial"/>
          <w:color w:val="000000"/>
          <w:lang w:val="en-US"/>
        </w:rPr>
        <w:t>FPIA</w:t>
      </w:r>
    </w:p>
    <w:p w14:paraId="52D7312B" w14:textId="77777777" w:rsidR="002125C3" w:rsidRPr="002125C3" w:rsidRDefault="002125C3" w:rsidP="002125C3">
      <w:pPr>
        <w:spacing w:line="240" w:lineRule="auto"/>
        <w:rPr>
          <w:rFonts w:eastAsia="Times New Roman" w:cs="Arial"/>
        </w:rPr>
      </w:pPr>
      <w:r w:rsidRPr="002125C3">
        <w:rPr>
          <w:rFonts w:eastAsia="Times New Roman" w:cs="Arial"/>
          <w:color w:val="000000"/>
          <w:u w:val="single"/>
          <w:lang w:eastAsia="bg-BG"/>
        </w:rPr>
        <w:t>Дозата трябва да се регулира в зависимост от телесното тегло на пациента.</w:t>
      </w:r>
    </w:p>
    <w:p w14:paraId="7EE1B7E0" w14:textId="77777777" w:rsidR="002125C3" w:rsidRPr="002125C3" w:rsidRDefault="002125C3" w:rsidP="002125C3">
      <w:pPr>
        <w:rPr>
          <w:rFonts w:eastAsia="Times New Roman" w:cs="Arial"/>
          <w:color w:val="000000"/>
          <w:u w:val="single"/>
          <w:lang w:eastAsia="bg-BG"/>
        </w:rPr>
      </w:pPr>
    </w:p>
    <w:p w14:paraId="3E951ABE" w14:textId="780B6E7F" w:rsidR="002125C3" w:rsidRPr="002125C3" w:rsidRDefault="002125C3" w:rsidP="002125C3">
      <w:pPr>
        <w:rPr>
          <w:rFonts w:eastAsia="Times New Roman" w:cs="Arial"/>
          <w:color w:val="000000"/>
          <w:u w:val="single"/>
          <w:lang w:eastAsia="bg-BG"/>
        </w:rPr>
      </w:pPr>
      <w:r w:rsidRPr="002125C3">
        <w:rPr>
          <w:rFonts w:eastAsia="Times New Roman" w:cs="Arial"/>
          <w:color w:val="000000"/>
          <w:u w:val="single"/>
          <w:lang w:eastAsia="bg-BG"/>
        </w:rPr>
        <w:t>Продължителност на лечението</w:t>
      </w:r>
    </w:p>
    <w:p w14:paraId="699AE755" w14:textId="76A9A8FA" w:rsidR="002125C3" w:rsidRPr="002125C3" w:rsidRDefault="002125C3" w:rsidP="002125C3">
      <w:pPr>
        <w:rPr>
          <w:rFonts w:eastAsia="Times New Roman" w:cs="Arial"/>
          <w:color w:val="000000"/>
          <w:u w:val="single"/>
          <w:lang w:eastAsia="bg-BG"/>
        </w:rPr>
      </w:pPr>
    </w:p>
    <w:p w14:paraId="623C8739"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Продължителността на лечението трябва да бъде определена въз основа на клиничния отговор. При инфекциозен ендокардит най-малко 21 дни обикновено се считат за подходящи. Лечението не трябва да надвишава 4 месеца.</w:t>
      </w:r>
    </w:p>
    <w:p w14:paraId="4F5B0C01" w14:textId="77777777" w:rsidR="002125C3" w:rsidRPr="002125C3" w:rsidRDefault="002125C3" w:rsidP="002125C3">
      <w:pPr>
        <w:spacing w:line="240" w:lineRule="auto"/>
        <w:rPr>
          <w:rFonts w:eastAsia="Times New Roman" w:cs="Arial"/>
          <w:color w:val="000000"/>
          <w:u w:val="single"/>
          <w:lang w:eastAsia="bg-BG"/>
        </w:rPr>
      </w:pPr>
    </w:p>
    <w:p w14:paraId="471C7697" w14:textId="2D02614A" w:rsidR="002125C3" w:rsidRPr="002125C3" w:rsidRDefault="002125C3" w:rsidP="002125C3">
      <w:pPr>
        <w:spacing w:line="240" w:lineRule="auto"/>
        <w:rPr>
          <w:rFonts w:eastAsia="Times New Roman" w:cs="Arial"/>
        </w:rPr>
      </w:pPr>
      <w:r w:rsidRPr="002125C3">
        <w:rPr>
          <w:rFonts w:eastAsia="Times New Roman" w:cs="Arial"/>
          <w:color w:val="000000"/>
          <w:u w:val="single"/>
          <w:lang w:eastAsia="bg-BG"/>
        </w:rPr>
        <w:t>Комбинирана терапия</w:t>
      </w:r>
    </w:p>
    <w:p w14:paraId="29FE5360"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Тейкопланин има ограничен спектър на антибактериална активност (Грам положителни). Той не е подходящ за употреба като монотерапия за лечение на някои видове инфекции, освен ако патогенът не е вече доказан и не се знае, че е чувствителен или се подозира, че най-вероятният патоген (и) ще бъде (ат) подходящ (и) за лечение с тейкопланин.</w:t>
      </w:r>
    </w:p>
    <w:p w14:paraId="241DF9BC" w14:textId="77777777" w:rsidR="002125C3" w:rsidRPr="002125C3" w:rsidRDefault="002125C3" w:rsidP="002125C3">
      <w:pPr>
        <w:spacing w:line="240" w:lineRule="auto"/>
        <w:rPr>
          <w:rFonts w:eastAsia="Times New Roman" w:cs="Arial"/>
          <w:i/>
          <w:iCs/>
          <w:color w:val="000000"/>
          <w:u w:val="single"/>
          <w:lang w:eastAsia="bg-BG"/>
        </w:rPr>
      </w:pPr>
    </w:p>
    <w:p w14:paraId="1CD15F85" w14:textId="52871ADA" w:rsidR="002125C3" w:rsidRPr="002125C3" w:rsidRDefault="002125C3" w:rsidP="002125C3">
      <w:pPr>
        <w:spacing w:line="240" w:lineRule="auto"/>
        <w:rPr>
          <w:rFonts w:eastAsia="Times New Roman" w:cs="Arial"/>
        </w:rPr>
      </w:pPr>
      <w:r w:rsidRPr="002125C3">
        <w:rPr>
          <w:rFonts w:eastAsia="Times New Roman" w:cs="Arial"/>
          <w:i/>
          <w:iCs/>
          <w:color w:val="000000"/>
          <w:u w:val="single"/>
          <w:lang w:eastAsia="bg-BG"/>
        </w:rPr>
        <w:t xml:space="preserve">Диария и колит, свързани с инфекция с </w:t>
      </w:r>
      <w:r w:rsidRPr="002125C3">
        <w:rPr>
          <w:rFonts w:eastAsia="Times New Roman" w:cs="Arial"/>
          <w:i/>
          <w:iCs/>
          <w:color w:val="000000"/>
          <w:u w:val="single"/>
          <w:lang w:val="en-US"/>
        </w:rPr>
        <w:t>Clostridium</w:t>
      </w:r>
      <w:r w:rsidRPr="002125C3">
        <w:rPr>
          <w:rFonts w:eastAsia="Times New Roman" w:cs="Arial"/>
          <w:i/>
          <w:iCs/>
          <w:color w:val="000000"/>
          <w:u w:val="single"/>
          <w:lang w:val="ru-RU"/>
        </w:rPr>
        <w:t xml:space="preserve"> </w:t>
      </w:r>
      <w:r w:rsidRPr="002125C3">
        <w:rPr>
          <w:rFonts w:eastAsia="Times New Roman" w:cs="Arial"/>
          <w:i/>
          <w:iCs/>
          <w:color w:val="000000"/>
          <w:u w:val="single"/>
          <w:lang w:val="en-US"/>
        </w:rPr>
        <w:t>difficile</w:t>
      </w:r>
    </w:p>
    <w:p w14:paraId="274A3C65"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 xml:space="preserve">Препоръчваната доза е 100-200 </w:t>
      </w:r>
      <w:r w:rsidRPr="002125C3">
        <w:rPr>
          <w:rFonts w:eastAsia="Times New Roman" w:cs="Arial"/>
          <w:color w:val="000000"/>
          <w:lang w:val="en-US"/>
        </w:rPr>
        <w:t>mg</w:t>
      </w:r>
      <w:r w:rsidRPr="002125C3">
        <w:rPr>
          <w:rFonts w:eastAsia="Times New Roman" w:cs="Arial"/>
          <w:color w:val="000000"/>
          <w:lang w:val="ru-RU"/>
        </w:rPr>
        <w:t xml:space="preserve"> </w:t>
      </w:r>
      <w:r w:rsidRPr="002125C3">
        <w:rPr>
          <w:rFonts w:eastAsia="Times New Roman" w:cs="Arial"/>
          <w:color w:val="000000"/>
          <w:lang w:eastAsia="bg-BG"/>
        </w:rPr>
        <w:t>приложена перорално два пъти дневно за 7 до 14 дни.</w:t>
      </w:r>
    </w:p>
    <w:p w14:paraId="2984463B" w14:textId="77777777" w:rsidR="002125C3" w:rsidRPr="002125C3" w:rsidRDefault="002125C3" w:rsidP="002125C3">
      <w:pPr>
        <w:spacing w:line="240" w:lineRule="auto"/>
        <w:rPr>
          <w:rFonts w:eastAsia="Times New Roman" w:cs="Arial"/>
          <w:color w:val="000000"/>
          <w:u w:val="single"/>
          <w:lang w:eastAsia="bg-BG"/>
        </w:rPr>
      </w:pPr>
    </w:p>
    <w:p w14:paraId="65FBC8AE" w14:textId="53A62FCA" w:rsidR="002125C3" w:rsidRPr="002125C3" w:rsidRDefault="002125C3" w:rsidP="002125C3">
      <w:pPr>
        <w:spacing w:line="240" w:lineRule="auto"/>
        <w:rPr>
          <w:rFonts w:eastAsia="Times New Roman" w:cs="Arial"/>
        </w:rPr>
      </w:pPr>
      <w:r w:rsidRPr="002125C3">
        <w:rPr>
          <w:rFonts w:eastAsia="Times New Roman" w:cs="Arial"/>
          <w:color w:val="000000"/>
          <w:u w:val="single"/>
          <w:lang w:eastAsia="bg-BG"/>
        </w:rPr>
        <w:t>Старческа популация</w:t>
      </w:r>
    </w:p>
    <w:p w14:paraId="074E9AD3"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Не се изисква коригиране на дозата, освен ако няма бъбречно увреждане (вж. по-долу).</w:t>
      </w:r>
    </w:p>
    <w:p w14:paraId="031EE790" w14:textId="77777777" w:rsidR="002125C3" w:rsidRPr="002125C3" w:rsidRDefault="002125C3" w:rsidP="002125C3">
      <w:pPr>
        <w:spacing w:line="240" w:lineRule="auto"/>
        <w:rPr>
          <w:rFonts w:eastAsia="Times New Roman" w:cs="Arial"/>
          <w:color w:val="000000"/>
          <w:u w:val="single"/>
          <w:lang w:eastAsia="bg-BG"/>
        </w:rPr>
      </w:pPr>
    </w:p>
    <w:p w14:paraId="6D963B6F" w14:textId="6024E981" w:rsidR="002125C3" w:rsidRPr="002125C3" w:rsidRDefault="002125C3" w:rsidP="002125C3">
      <w:pPr>
        <w:spacing w:line="240" w:lineRule="auto"/>
        <w:rPr>
          <w:rFonts w:eastAsia="Times New Roman" w:cs="Arial"/>
        </w:rPr>
      </w:pPr>
      <w:r w:rsidRPr="002125C3">
        <w:rPr>
          <w:rFonts w:eastAsia="Times New Roman" w:cs="Arial"/>
          <w:color w:val="000000"/>
          <w:u w:val="single"/>
          <w:lang w:eastAsia="bg-BG"/>
        </w:rPr>
        <w:t>Възрастни и пациенти в старческа възраст с нарушена бъбречна функция</w:t>
      </w:r>
    </w:p>
    <w:p w14:paraId="377306AA"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 xml:space="preserve">Не се изисква коригиране на дозата до четвъртия ден от лечението, по време на които дозировката трябва да бъде коригирана за да се поддържа минимална серумна концентрация най-малко от 10 </w:t>
      </w:r>
      <w:r w:rsidRPr="002125C3">
        <w:rPr>
          <w:rFonts w:eastAsia="Times New Roman" w:cs="Arial"/>
          <w:color w:val="000000"/>
          <w:lang w:val="en-US"/>
        </w:rPr>
        <w:t>mg</w:t>
      </w:r>
      <w:r w:rsidRPr="002125C3">
        <w:rPr>
          <w:rFonts w:eastAsia="Times New Roman" w:cs="Arial"/>
          <w:color w:val="000000"/>
          <w:lang w:val="ru-RU"/>
        </w:rPr>
        <w:t xml:space="preserve">/1 </w:t>
      </w:r>
      <w:r w:rsidRPr="002125C3">
        <w:rPr>
          <w:rFonts w:eastAsia="Times New Roman" w:cs="Arial"/>
          <w:color w:val="000000"/>
          <w:lang w:eastAsia="bg-BG"/>
        </w:rPr>
        <w:t xml:space="preserve">когато се определя с </w:t>
      </w:r>
      <w:r w:rsidRPr="002125C3">
        <w:rPr>
          <w:rFonts w:eastAsia="Times New Roman" w:cs="Arial"/>
          <w:color w:val="000000"/>
          <w:lang w:val="en-US"/>
        </w:rPr>
        <w:t>HPLC</w:t>
      </w:r>
      <w:r w:rsidRPr="002125C3">
        <w:rPr>
          <w:rFonts w:eastAsia="Times New Roman" w:cs="Arial"/>
          <w:color w:val="000000"/>
          <w:lang w:val="ru-RU"/>
        </w:rPr>
        <w:t xml:space="preserve">, </w:t>
      </w:r>
      <w:r w:rsidRPr="002125C3">
        <w:rPr>
          <w:rFonts w:eastAsia="Times New Roman" w:cs="Arial"/>
          <w:color w:val="000000"/>
          <w:lang w:eastAsia="bg-BG"/>
        </w:rPr>
        <w:t xml:space="preserve">или поне 15 </w:t>
      </w:r>
      <w:r w:rsidRPr="002125C3">
        <w:rPr>
          <w:rFonts w:eastAsia="Times New Roman" w:cs="Arial"/>
          <w:color w:val="000000"/>
          <w:lang w:val="en-US"/>
        </w:rPr>
        <w:t>mg</w:t>
      </w:r>
      <w:r w:rsidRPr="002125C3">
        <w:rPr>
          <w:rFonts w:eastAsia="Times New Roman" w:cs="Arial"/>
          <w:color w:val="000000"/>
          <w:lang w:val="ru-RU"/>
        </w:rPr>
        <w:t>/</w:t>
      </w:r>
      <w:r w:rsidRPr="002125C3">
        <w:rPr>
          <w:rFonts w:eastAsia="Times New Roman" w:cs="Arial"/>
          <w:color w:val="000000"/>
          <w:lang w:val="en-US"/>
        </w:rPr>
        <w:t>L</w:t>
      </w:r>
      <w:r w:rsidRPr="002125C3">
        <w:rPr>
          <w:rFonts w:eastAsia="Times New Roman" w:cs="Arial"/>
          <w:color w:val="000000"/>
          <w:lang w:val="ru-RU"/>
        </w:rPr>
        <w:t xml:space="preserve"> </w:t>
      </w:r>
      <w:r w:rsidRPr="002125C3">
        <w:rPr>
          <w:rFonts w:eastAsia="Times New Roman" w:cs="Arial"/>
          <w:color w:val="000000"/>
          <w:lang w:eastAsia="bg-BG"/>
        </w:rPr>
        <w:t xml:space="preserve">когато се измерва с </w:t>
      </w:r>
      <w:r w:rsidRPr="002125C3">
        <w:rPr>
          <w:rFonts w:eastAsia="Times New Roman" w:cs="Arial"/>
          <w:color w:val="000000"/>
          <w:lang w:val="en-US"/>
        </w:rPr>
        <w:t>FPIA</w:t>
      </w:r>
      <w:r w:rsidRPr="002125C3">
        <w:rPr>
          <w:rFonts w:eastAsia="Times New Roman" w:cs="Arial"/>
          <w:color w:val="000000"/>
          <w:lang w:val="ru-RU"/>
        </w:rPr>
        <w:t xml:space="preserve"> </w:t>
      </w:r>
      <w:r w:rsidRPr="002125C3">
        <w:rPr>
          <w:rFonts w:eastAsia="Times New Roman" w:cs="Arial"/>
          <w:color w:val="000000"/>
          <w:lang w:eastAsia="bg-BG"/>
        </w:rPr>
        <w:t>метод.</w:t>
      </w:r>
    </w:p>
    <w:p w14:paraId="52D36C9E"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След четвъртия ден на лечение:</w:t>
      </w:r>
    </w:p>
    <w:p w14:paraId="13FAC078" w14:textId="77777777" w:rsidR="002125C3" w:rsidRPr="002125C3" w:rsidRDefault="002125C3" w:rsidP="002125C3">
      <w:pPr>
        <w:pStyle w:val="ListParagraph"/>
        <w:numPr>
          <w:ilvl w:val="0"/>
          <w:numId w:val="33"/>
        </w:numPr>
        <w:spacing w:line="240" w:lineRule="auto"/>
        <w:rPr>
          <w:rFonts w:eastAsia="Times New Roman" w:cs="Arial"/>
          <w:color w:val="000000"/>
          <w:lang w:eastAsia="bg-BG"/>
        </w:rPr>
      </w:pPr>
      <w:r w:rsidRPr="002125C3">
        <w:rPr>
          <w:rFonts w:eastAsia="Times New Roman" w:cs="Arial"/>
          <w:color w:val="000000"/>
          <w:lang w:eastAsia="bg-BG"/>
        </w:rPr>
        <w:lastRenderedPageBreak/>
        <w:t xml:space="preserve">При лека и умерена бъбречна недостатъчност (креатининов клирънс 30-80 </w:t>
      </w:r>
      <w:r w:rsidRPr="002125C3">
        <w:rPr>
          <w:rFonts w:eastAsia="Times New Roman" w:cs="Arial"/>
          <w:color w:val="000000"/>
          <w:lang w:val="en-US"/>
        </w:rPr>
        <w:t>ml</w:t>
      </w:r>
      <w:r w:rsidRPr="002125C3">
        <w:rPr>
          <w:rFonts w:eastAsia="Times New Roman" w:cs="Arial"/>
          <w:color w:val="000000"/>
          <w:lang w:val="ru-RU"/>
        </w:rPr>
        <w:t>/</w:t>
      </w:r>
      <w:r w:rsidRPr="002125C3">
        <w:rPr>
          <w:rFonts w:eastAsia="Times New Roman" w:cs="Arial"/>
          <w:color w:val="000000"/>
          <w:lang w:val="en-US"/>
        </w:rPr>
        <w:t>min</w:t>
      </w:r>
      <w:r w:rsidRPr="002125C3">
        <w:rPr>
          <w:rFonts w:eastAsia="Times New Roman" w:cs="Arial"/>
          <w:color w:val="000000"/>
          <w:lang w:val="ru-RU"/>
        </w:rPr>
        <w:t xml:space="preserve">): </w:t>
      </w:r>
      <w:r w:rsidRPr="002125C3">
        <w:rPr>
          <w:rFonts w:eastAsia="Times New Roman" w:cs="Arial"/>
          <w:color w:val="000000"/>
          <w:lang w:eastAsia="bg-BG"/>
        </w:rPr>
        <w:t>поддържащата доза трябва да бъде намалена на половина или чрез приложение на дозата на всеки два дни или чрез приложение на половината от дозата веднъж дневно.</w:t>
      </w:r>
    </w:p>
    <w:p w14:paraId="15B6719F" w14:textId="77777777" w:rsidR="002125C3" w:rsidRPr="002125C3" w:rsidRDefault="002125C3" w:rsidP="002125C3">
      <w:pPr>
        <w:pStyle w:val="ListParagraph"/>
        <w:numPr>
          <w:ilvl w:val="0"/>
          <w:numId w:val="33"/>
        </w:numPr>
        <w:spacing w:line="240" w:lineRule="auto"/>
        <w:rPr>
          <w:rFonts w:eastAsia="Times New Roman" w:cs="Arial"/>
          <w:color w:val="000000"/>
          <w:lang w:eastAsia="bg-BG"/>
        </w:rPr>
      </w:pPr>
      <w:r w:rsidRPr="002125C3">
        <w:rPr>
          <w:rFonts w:eastAsia="Times New Roman" w:cs="Arial"/>
          <w:color w:val="000000"/>
          <w:lang w:eastAsia="bg-BG"/>
        </w:rPr>
        <w:t xml:space="preserve">При тежка бъбречна недостатъчност (креатининов клирънс по-малък от 30 </w:t>
      </w:r>
      <w:r w:rsidRPr="002125C3">
        <w:rPr>
          <w:rFonts w:eastAsia="Times New Roman" w:cs="Arial"/>
          <w:color w:val="000000"/>
          <w:lang w:val="en-US"/>
        </w:rPr>
        <w:t>ml</w:t>
      </w:r>
      <w:r w:rsidRPr="002125C3">
        <w:rPr>
          <w:rFonts w:eastAsia="Times New Roman" w:cs="Arial"/>
          <w:color w:val="000000"/>
          <w:lang w:val="ru-RU"/>
        </w:rPr>
        <w:t>/</w:t>
      </w:r>
      <w:r w:rsidRPr="002125C3">
        <w:rPr>
          <w:rFonts w:eastAsia="Times New Roman" w:cs="Arial"/>
          <w:color w:val="000000"/>
          <w:lang w:val="en-US"/>
        </w:rPr>
        <w:t>min</w:t>
      </w:r>
      <w:r w:rsidRPr="002125C3">
        <w:rPr>
          <w:rFonts w:eastAsia="Times New Roman" w:cs="Arial"/>
          <w:color w:val="000000"/>
          <w:lang w:val="ru-RU"/>
        </w:rPr>
        <w:t xml:space="preserve">) </w:t>
      </w:r>
      <w:r w:rsidRPr="002125C3">
        <w:rPr>
          <w:rFonts w:eastAsia="Times New Roman" w:cs="Arial"/>
          <w:color w:val="000000"/>
          <w:lang w:eastAsia="bg-BG"/>
        </w:rPr>
        <w:t>и при пациенти на хемодиализа: дозата трябва да бъде една трета от обичайната доза, или чрез приложение на първоначалната доза на всеки трети ден или чрез приложение на една трета от тази доза веднъж дневно.</w:t>
      </w:r>
    </w:p>
    <w:p w14:paraId="133192D1"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Тейкопланин не се отстранява чрез хемодиализа.</w:t>
      </w:r>
    </w:p>
    <w:p w14:paraId="273CBCD4" w14:textId="77777777" w:rsidR="002125C3" w:rsidRPr="002125C3" w:rsidRDefault="002125C3" w:rsidP="002125C3">
      <w:pPr>
        <w:spacing w:line="240" w:lineRule="auto"/>
        <w:rPr>
          <w:rFonts w:eastAsia="Times New Roman" w:cs="Arial"/>
          <w:color w:val="000000"/>
          <w:u w:val="single"/>
          <w:lang w:eastAsia="bg-BG"/>
        </w:rPr>
      </w:pPr>
    </w:p>
    <w:p w14:paraId="6FDA1C49" w14:textId="080E4A15" w:rsidR="002125C3" w:rsidRPr="002125C3" w:rsidRDefault="002125C3" w:rsidP="002125C3">
      <w:pPr>
        <w:spacing w:line="240" w:lineRule="auto"/>
        <w:rPr>
          <w:rFonts w:eastAsia="Times New Roman" w:cs="Arial"/>
        </w:rPr>
      </w:pPr>
      <w:r w:rsidRPr="002125C3">
        <w:rPr>
          <w:rFonts w:eastAsia="Times New Roman" w:cs="Arial"/>
          <w:color w:val="000000"/>
          <w:u w:val="single"/>
          <w:lang w:eastAsia="bg-BG"/>
        </w:rPr>
        <w:t xml:space="preserve">Пациенти на продължителна амбулаторна перитонеална диализа </w:t>
      </w:r>
      <w:r w:rsidRPr="002125C3">
        <w:rPr>
          <w:rFonts w:eastAsia="Times New Roman" w:cs="Arial"/>
          <w:color w:val="000000"/>
          <w:u w:val="single"/>
          <w:lang w:val="ru-RU"/>
        </w:rPr>
        <w:t>(</w:t>
      </w:r>
      <w:r w:rsidRPr="002125C3">
        <w:rPr>
          <w:rFonts w:eastAsia="Times New Roman" w:cs="Arial"/>
          <w:color w:val="000000"/>
          <w:u w:val="single"/>
          <w:lang w:val="en-US"/>
        </w:rPr>
        <w:t>CAPD</w:t>
      </w:r>
      <w:r w:rsidRPr="002125C3">
        <w:rPr>
          <w:rFonts w:eastAsia="Times New Roman" w:cs="Arial"/>
          <w:color w:val="000000"/>
          <w:u w:val="single"/>
          <w:lang w:val="ru-RU"/>
        </w:rPr>
        <w:t>)</w:t>
      </w:r>
    </w:p>
    <w:p w14:paraId="1D7C1DD9"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 xml:space="preserve">След еднократна интравенозна натоварваща доза от 6 </w:t>
      </w:r>
      <w:r w:rsidRPr="002125C3">
        <w:rPr>
          <w:rFonts w:eastAsia="Times New Roman" w:cs="Arial"/>
          <w:color w:val="000000"/>
          <w:lang w:val="en-US"/>
        </w:rPr>
        <w:t>mg</w:t>
      </w:r>
      <w:r w:rsidRPr="002125C3">
        <w:rPr>
          <w:rFonts w:eastAsia="Times New Roman" w:cs="Arial"/>
          <w:color w:val="000000"/>
          <w:lang w:val="ru-RU"/>
        </w:rPr>
        <w:t>/</w:t>
      </w:r>
      <w:r w:rsidRPr="002125C3">
        <w:rPr>
          <w:rFonts w:eastAsia="Times New Roman" w:cs="Arial"/>
          <w:color w:val="000000"/>
          <w:lang w:val="en-US"/>
        </w:rPr>
        <w:t>kg</w:t>
      </w:r>
      <w:r w:rsidRPr="002125C3">
        <w:rPr>
          <w:rFonts w:eastAsia="Times New Roman" w:cs="Arial"/>
          <w:color w:val="000000"/>
          <w:lang w:val="ru-RU"/>
        </w:rPr>
        <w:t xml:space="preserve"> </w:t>
      </w:r>
      <w:r w:rsidRPr="002125C3">
        <w:rPr>
          <w:rFonts w:eastAsia="Times New Roman" w:cs="Arial"/>
          <w:color w:val="000000"/>
          <w:lang w:eastAsia="bg-BG"/>
        </w:rPr>
        <w:t xml:space="preserve">телесно тегло, 20 </w:t>
      </w:r>
      <w:r w:rsidRPr="002125C3">
        <w:rPr>
          <w:rFonts w:eastAsia="Times New Roman" w:cs="Arial"/>
          <w:color w:val="000000"/>
          <w:lang w:val="en-US"/>
        </w:rPr>
        <w:t>mg</w:t>
      </w:r>
      <w:r w:rsidRPr="002125C3">
        <w:rPr>
          <w:rFonts w:eastAsia="Times New Roman" w:cs="Arial"/>
          <w:color w:val="000000"/>
          <w:lang w:val="ru-RU"/>
        </w:rPr>
        <w:t xml:space="preserve">/1 </w:t>
      </w:r>
      <w:r w:rsidRPr="002125C3">
        <w:rPr>
          <w:rFonts w:eastAsia="Times New Roman" w:cs="Arial"/>
          <w:color w:val="000000"/>
          <w:lang w:eastAsia="bg-BG"/>
        </w:rPr>
        <w:t xml:space="preserve">се прилагат в разтвора в диализния сак през първата седмица, 20 </w:t>
      </w:r>
      <w:r w:rsidRPr="002125C3">
        <w:rPr>
          <w:rFonts w:eastAsia="Times New Roman" w:cs="Arial"/>
          <w:color w:val="000000"/>
          <w:lang w:val="en-US"/>
        </w:rPr>
        <w:t>mg</w:t>
      </w:r>
      <w:r w:rsidRPr="002125C3">
        <w:rPr>
          <w:rFonts w:eastAsia="Times New Roman" w:cs="Arial"/>
          <w:color w:val="000000"/>
          <w:lang w:val="ru-RU"/>
        </w:rPr>
        <w:t xml:space="preserve">/1 </w:t>
      </w:r>
      <w:r w:rsidRPr="002125C3">
        <w:rPr>
          <w:rFonts w:eastAsia="Times New Roman" w:cs="Arial"/>
          <w:color w:val="000000"/>
          <w:lang w:eastAsia="bg-BG"/>
        </w:rPr>
        <w:t xml:space="preserve">в различни сакове през втората седмица и след това 20 </w:t>
      </w:r>
      <w:r w:rsidRPr="002125C3">
        <w:rPr>
          <w:rFonts w:eastAsia="Times New Roman" w:cs="Arial"/>
          <w:color w:val="000000"/>
          <w:lang w:val="en-US"/>
        </w:rPr>
        <w:t>mg</w:t>
      </w:r>
      <w:r w:rsidRPr="002125C3">
        <w:rPr>
          <w:rFonts w:eastAsia="Times New Roman" w:cs="Arial"/>
          <w:color w:val="000000"/>
          <w:lang w:val="ru-RU"/>
        </w:rPr>
        <w:t xml:space="preserve">/1 </w:t>
      </w:r>
      <w:r w:rsidRPr="002125C3">
        <w:rPr>
          <w:rFonts w:eastAsia="Times New Roman" w:cs="Arial"/>
          <w:color w:val="000000"/>
          <w:lang w:eastAsia="bg-BG"/>
        </w:rPr>
        <w:t>в нощния сак през третата седмица.</w:t>
      </w:r>
    </w:p>
    <w:p w14:paraId="1E824E9B" w14:textId="77777777" w:rsidR="002125C3" w:rsidRPr="002125C3" w:rsidRDefault="002125C3" w:rsidP="002125C3">
      <w:pPr>
        <w:spacing w:line="240" w:lineRule="auto"/>
        <w:rPr>
          <w:rFonts w:eastAsia="Times New Roman" w:cs="Arial"/>
          <w:color w:val="000000"/>
          <w:u w:val="single"/>
          <w:lang w:eastAsia="bg-BG"/>
        </w:rPr>
      </w:pPr>
    </w:p>
    <w:p w14:paraId="3D91D517" w14:textId="1036B9CB" w:rsidR="002125C3" w:rsidRPr="002125C3" w:rsidRDefault="002125C3" w:rsidP="002125C3">
      <w:pPr>
        <w:spacing w:line="240" w:lineRule="auto"/>
        <w:rPr>
          <w:rFonts w:eastAsia="Times New Roman" w:cs="Arial"/>
        </w:rPr>
      </w:pPr>
      <w:r w:rsidRPr="002125C3">
        <w:rPr>
          <w:rFonts w:eastAsia="Times New Roman" w:cs="Arial"/>
          <w:color w:val="000000"/>
          <w:u w:val="single"/>
          <w:lang w:eastAsia="bg-BG"/>
        </w:rPr>
        <w:t>Педиатрична популация</w:t>
      </w:r>
    </w:p>
    <w:p w14:paraId="1EA8A33B"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Препоръките за дозиране са същите при възрастни и деца над 12 годишна възраст.</w:t>
      </w:r>
    </w:p>
    <w:p w14:paraId="108D1A4D" w14:textId="77777777" w:rsidR="002125C3" w:rsidRPr="002125C3" w:rsidRDefault="002125C3" w:rsidP="002125C3">
      <w:pPr>
        <w:spacing w:line="240" w:lineRule="auto"/>
        <w:rPr>
          <w:rFonts w:eastAsia="Times New Roman" w:cs="Arial"/>
          <w:i/>
          <w:iCs/>
          <w:color w:val="000000"/>
          <w:u w:val="single"/>
          <w:lang w:eastAsia="bg-BG"/>
        </w:rPr>
      </w:pPr>
    </w:p>
    <w:p w14:paraId="468ADA09" w14:textId="2EAF278D" w:rsidR="002125C3" w:rsidRPr="002125C3" w:rsidRDefault="002125C3" w:rsidP="002125C3">
      <w:pPr>
        <w:spacing w:line="240" w:lineRule="auto"/>
        <w:rPr>
          <w:rFonts w:eastAsia="Times New Roman" w:cs="Arial"/>
        </w:rPr>
      </w:pPr>
      <w:r w:rsidRPr="002125C3">
        <w:rPr>
          <w:rFonts w:eastAsia="Times New Roman" w:cs="Arial"/>
          <w:i/>
          <w:iCs/>
          <w:color w:val="000000"/>
          <w:u w:val="single"/>
          <w:lang w:eastAsia="bg-BG"/>
        </w:rPr>
        <w:t>Новородени и деиа на възраст до 2 месеиа</w:t>
      </w:r>
      <w:r w:rsidRPr="002125C3">
        <w:rPr>
          <w:rFonts w:eastAsia="Times New Roman" w:cs="Arial"/>
          <w:i/>
          <w:iCs/>
          <w:color w:val="000000"/>
          <w:lang w:eastAsia="bg-BG"/>
        </w:rPr>
        <w:t>:</w:t>
      </w:r>
    </w:p>
    <w:p w14:paraId="57DB6FAC" w14:textId="77777777" w:rsidR="002125C3" w:rsidRPr="002125C3" w:rsidRDefault="002125C3" w:rsidP="002125C3">
      <w:pPr>
        <w:spacing w:line="240" w:lineRule="auto"/>
        <w:rPr>
          <w:rFonts w:eastAsia="Times New Roman" w:cs="Arial"/>
        </w:rPr>
      </w:pPr>
      <w:r w:rsidRPr="002125C3">
        <w:rPr>
          <w:rFonts w:eastAsia="Times New Roman" w:cs="Arial"/>
          <w:i/>
          <w:iCs/>
          <w:color w:val="000000"/>
          <w:lang w:eastAsia="bg-BG"/>
        </w:rPr>
        <w:t>Натоварваща доза</w:t>
      </w:r>
    </w:p>
    <w:p w14:paraId="1858029D"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 xml:space="preserve">Една единична доза от 16 </w:t>
      </w:r>
      <w:r w:rsidRPr="002125C3">
        <w:rPr>
          <w:rFonts w:eastAsia="Times New Roman" w:cs="Arial"/>
          <w:color w:val="000000"/>
          <w:lang w:val="en-US"/>
        </w:rPr>
        <w:t>mg</w:t>
      </w:r>
      <w:r w:rsidRPr="002125C3">
        <w:rPr>
          <w:rFonts w:eastAsia="Times New Roman" w:cs="Arial"/>
          <w:color w:val="000000"/>
          <w:lang w:val="ru-RU"/>
        </w:rPr>
        <w:t>/</w:t>
      </w:r>
      <w:r w:rsidRPr="002125C3">
        <w:rPr>
          <w:rFonts w:eastAsia="Times New Roman" w:cs="Arial"/>
          <w:color w:val="000000"/>
          <w:lang w:val="en-US"/>
        </w:rPr>
        <w:t>kg</w:t>
      </w:r>
      <w:r w:rsidRPr="002125C3">
        <w:rPr>
          <w:rFonts w:eastAsia="Times New Roman" w:cs="Arial"/>
          <w:color w:val="000000"/>
          <w:lang w:val="ru-RU"/>
        </w:rPr>
        <w:t xml:space="preserve"> </w:t>
      </w:r>
      <w:r w:rsidRPr="002125C3">
        <w:rPr>
          <w:rFonts w:eastAsia="Times New Roman" w:cs="Arial"/>
          <w:color w:val="000000"/>
          <w:lang w:eastAsia="bg-BG"/>
        </w:rPr>
        <w:t xml:space="preserve">телесно тегло, приложена интравенозно чрез инфузия през първия ден. </w:t>
      </w:r>
      <w:r w:rsidRPr="002125C3">
        <w:rPr>
          <w:rFonts w:eastAsia="Times New Roman" w:cs="Arial"/>
          <w:i/>
          <w:iCs/>
          <w:color w:val="000000"/>
          <w:lang w:eastAsia="bg-BG"/>
        </w:rPr>
        <w:t>Поддържаща доза</w:t>
      </w:r>
    </w:p>
    <w:p w14:paraId="0368EE72"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 xml:space="preserve">Една единична доза от 8 </w:t>
      </w:r>
      <w:r w:rsidRPr="002125C3">
        <w:rPr>
          <w:rFonts w:eastAsia="Times New Roman" w:cs="Arial"/>
          <w:color w:val="000000"/>
          <w:lang w:val="en-US"/>
        </w:rPr>
        <w:t>mg</w:t>
      </w:r>
      <w:r w:rsidRPr="002125C3">
        <w:rPr>
          <w:rFonts w:eastAsia="Times New Roman" w:cs="Arial"/>
          <w:color w:val="000000"/>
          <w:lang w:val="ru-RU"/>
        </w:rPr>
        <w:t>/</w:t>
      </w:r>
      <w:r w:rsidRPr="002125C3">
        <w:rPr>
          <w:rFonts w:eastAsia="Times New Roman" w:cs="Arial"/>
          <w:color w:val="000000"/>
          <w:lang w:val="en-US"/>
        </w:rPr>
        <w:t>kg</w:t>
      </w:r>
      <w:r w:rsidRPr="002125C3">
        <w:rPr>
          <w:rFonts w:eastAsia="Times New Roman" w:cs="Arial"/>
          <w:color w:val="000000"/>
          <w:lang w:val="ru-RU"/>
        </w:rPr>
        <w:t xml:space="preserve"> </w:t>
      </w:r>
      <w:r w:rsidRPr="002125C3">
        <w:rPr>
          <w:rFonts w:eastAsia="Times New Roman" w:cs="Arial"/>
          <w:color w:val="000000"/>
          <w:lang w:eastAsia="bg-BG"/>
        </w:rPr>
        <w:t>телесно тегло приложена интравенозно чрез инфузия веднъж дневно.</w:t>
      </w:r>
    </w:p>
    <w:p w14:paraId="1E835060" w14:textId="77777777" w:rsidR="002125C3" w:rsidRPr="002125C3" w:rsidRDefault="002125C3" w:rsidP="002125C3">
      <w:pPr>
        <w:spacing w:line="240" w:lineRule="auto"/>
        <w:rPr>
          <w:rFonts w:eastAsia="Times New Roman" w:cs="Arial"/>
          <w:i/>
          <w:iCs/>
          <w:color w:val="000000"/>
          <w:u w:val="single"/>
          <w:lang w:eastAsia="bg-BG"/>
        </w:rPr>
      </w:pPr>
    </w:p>
    <w:p w14:paraId="6B9041BC" w14:textId="05B57CD9" w:rsidR="002125C3" w:rsidRPr="002125C3" w:rsidRDefault="002125C3" w:rsidP="002125C3">
      <w:pPr>
        <w:spacing w:line="240" w:lineRule="auto"/>
        <w:rPr>
          <w:rFonts w:eastAsia="Times New Roman" w:cs="Arial"/>
        </w:rPr>
      </w:pPr>
      <w:r w:rsidRPr="002125C3">
        <w:rPr>
          <w:rFonts w:eastAsia="Times New Roman" w:cs="Arial"/>
          <w:i/>
          <w:iCs/>
          <w:color w:val="000000"/>
          <w:u w:val="single"/>
          <w:lang w:eastAsia="bg-BG"/>
        </w:rPr>
        <w:t>Деиа (2месеиа до 12 години):</w:t>
      </w:r>
    </w:p>
    <w:p w14:paraId="1836BD97" w14:textId="77777777" w:rsidR="002125C3" w:rsidRPr="002125C3" w:rsidRDefault="002125C3" w:rsidP="002125C3">
      <w:pPr>
        <w:spacing w:line="240" w:lineRule="auto"/>
        <w:rPr>
          <w:rFonts w:eastAsia="Times New Roman" w:cs="Arial"/>
        </w:rPr>
      </w:pPr>
      <w:r w:rsidRPr="002125C3">
        <w:rPr>
          <w:rFonts w:eastAsia="Times New Roman" w:cs="Arial"/>
          <w:i/>
          <w:iCs/>
          <w:color w:val="000000"/>
          <w:lang w:eastAsia="bg-BG"/>
        </w:rPr>
        <w:t>Натоварваща доза</w:t>
      </w:r>
    </w:p>
    <w:p w14:paraId="0713F9BD"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 xml:space="preserve">Една единична доза от 10 </w:t>
      </w:r>
      <w:r w:rsidRPr="002125C3">
        <w:rPr>
          <w:rFonts w:eastAsia="Times New Roman" w:cs="Arial"/>
          <w:color w:val="000000"/>
          <w:lang w:val="en-US"/>
        </w:rPr>
        <w:t>mg</w:t>
      </w:r>
      <w:r w:rsidRPr="002125C3">
        <w:rPr>
          <w:rFonts w:eastAsia="Times New Roman" w:cs="Arial"/>
          <w:color w:val="000000"/>
          <w:lang w:val="ru-RU"/>
        </w:rPr>
        <w:t>/</w:t>
      </w:r>
      <w:r w:rsidRPr="002125C3">
        <w:rPr>
          <w:rFonts w:eastAsia="Times New Roman" w:cs="Arial"/>
          <w:color w:val="000000"/>
          <w:lang w:val="en-US"/>
        </w:rPr>
        <w:t>kg</w:t>
      </w:r>
      <w:r w:rsidRPr="002125C3">
        <w:rPr>
          <w:rFonts w:eastAsia="Times New Roman" w:cs="Arial"/>
          <w:color w:val="000000"/>
          <w:lang w:val="ru-RU"/>
        </w:rPr>
        <w:t xml:space="preserve"> </w:t>
      </w:r>
      <w:r w:rsidRPr="002125C3">
        <w:rPr>
          <w:rFonts w:eastAsia="Times New Roman" w:cs="Arial"/>
          <w:color w:val="000000"/>
          <w:lang w:eastAsia="bg-BG"/>
        </w:rPr>
        <w:t>телесно тегло приложена интравенозно на всеки 12 часа, повторена 3 пъти.</w:t>
      </w:r>
    </w:p>
    <w:p w14:paraId="24607DC3" w14:textId="77777777" w:rsidR="002125C3" w:rsidRPr="002125C3" w:rsidRDefault="002125C3" w:rsidP="002125C3">
      <w:pPr>
        <w:spacing w:line="240" w:lineRule="auto"/>
        <w:rPr>
          <w:rFonts w:eastAsia="Times New Roman" w:cs="Arial"/>
        </w:rPr>
      </w:pPr>
      <w:r w:rsidRPr="002125C3">
        <w:rPr>
          <w:rFonts w:eastAsia="Times New Roman" w:cs="Arial"/>
          <w:i/>
          <w:iCs/>
          <w:color w:val="000000"/>
          <w:lang w:eastAsia="bg-BG"/>
        </w:rPr>
        <w:t>Поддържаща доза</w:t>
      </w:r>
    </w:p>
    <w:p w14:paraId="24C55ADD"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 xml:space="preserve">Една единична доза от 6-10 </w:t>
      </w:r>
      <w:r w:rsidRPr="002125C3">
        <w:rPr>
          <w:rFonts w:eastAsia="Times New Roman" w:cs="Arial"/>
          <w:color w:val="000000"/>
          <w:lang w:val="en-US"/>
        </w:rPr>
        <w:t>mg</w:t>
      </w:r>
      <w:r w:rsidRPr="002125C3">
        <w:rPr>
          <w:rFonts w:eastAsia="Times New Roman" w:cs="Arial"/>
          <w:color w:val="000000"/>
          <w:lang w:val="ru-RU"/>
        </w:rPr>
        <w:t>/</w:t>
      </w:r>
      <w:r w:rsidRPr="002125C3">
        <w:rPr>
          <w:rFonts w:eastAsia="Times New Roman" w:cs="Arial"/>
          <w:color w:val="000000"/>
          <w:lang w:val="en-US"/>
        </w:rPr>
        <w:t>kg</w:t>
      </w:r>
      <w:r w:rsidRPr="002125C3">
        <w:rPr>
          <w:rFonts w:eastAsia="Times New Roman" w:cs="Arial"/>
          <w:color w:val="000000"/>
          <w:lang w:val="ru-RU"/>
        </w:rPr>
        <w:t xml:space="preserve"> </w:t>
      </w:r>
      <w:r w:rsidRPr="002125C3">
        <w:rPr>
          <w:rFonts w:eastAsia="Times New Roman" w:cs="Arial"/>
          <w:color w:val="000000"/>
          <w:lang w:eastAsia="bg-BG"/>
        </w:rPr>
        <w:t>телесно тегло приложена интравенозно веднъж дневно.</w:t>
      </w:r>
    </w:p>
    <w:p w14:paraId="5538F901" w14:textId="77777777" w:rsidR="002125C3" w:rsidRPr="002125C3" w:rsidRDefault="002125C3" w:rsidP="002125C3">
      <w:pPr>
        <w:spacing w:line="240" w:lineRule="auto"/>
        <w:rPr>
          <w:rFonts w:eastAsia="Times New Roman" w:cs="Arial"/>
          <w:color w:val="000000"/>
          <w:u w:val="single"/>
          <w:lang w:eastAsia="bg-BG"/>
        </w:rPr>
      </w:pPr>
    </w:p>
    <w:p w14:paraId="423B8C87" w14:textId="409CAA2B" w:rsidR="002125C3" w:rsidRPr="002125C3" w:rsidRDefault="002125C3" w:rsidP="002125C3">
      <w:pPr>
        <w:spacing w:line="240" w:lineRule="auto"/>
        <w:rPr>
          <w:rFonts w:eastAsia="Times New Roman" w:cs="Arial"/>
        </w:rPr>
      </w:pPr>
      <w:r w:rsidRPr="002125C3">
        <w:rPr>
          <w:rFonts w:eastAsia="Times New Roman" w:cs="Arial"/>
          <w:color w:val="000000"/>
          <w:u w:val="single"/>
          <w:lang w:eastAsia="bg-BG"/>
        </w:rPr>
        <w:t>Начин на приложение</w:t>
      </w:r>
    </w:p>
    <w:p w14:paraId="018AF262"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Тейкопланин трябва да бъде приложен чрез интравенозен или интрамускулен път на въвеждане.</w:t>
      </w:r>
    </w:p>
    <w:p w14:paraId="4A815D30"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Интравенозната инжекция може да бъде приложена или като болус за 3 до 5 минути или като 30-минутна инфузия.</w:t>
      </w:r>
    </w:p>
    <w:p w14:paraId="5FE0CE22" w14:textId="6AA2A2F0" w:rsidR="002125C3" w:rsidRPr="002125C3" w:rsidRDefault="002125C3" w:rsidP="002125C3">
      <w:pPr>
        <w:spacing w:line="240" w:lineRule="auto"/>
        <w:rPr>
          <w:rFonts w:eastAsia="Times New Roman" w:cs="Arial"/>
        </w:rPr>
      </w:pPr>
      <w:r w:rsidRPr="002125C3">
        <w:rPr>
          <w:rFonts w:eastAsia="Times New Roman" w:cs="Arial"/>
          <w:color w:val="000000"/>
          <w:lang w:eastAsia="bg-BG"/>
        </w:rPr>
        <w:t>При новородени трябва да бъде използван само инфузионния начин на прилагане.</w:t>
      </w:r>
    </w:p>
    <w:p w14:paraId="68708B4B" w14:textId="77777777" w:rsidR="002125C3" w:rsidRPr="002125C3" w:rsidRDefault="002125C3" w:rsidP="002125C3">
      <w:pPr>
        <w:spacing w:line="240" w:lineRule="auto"/>
        <w:rPr>
          <w:rFonts w:eastAsia="Times New Roman" w:cs="Arial"/>
          <w:color w:val="000000"/>
          <w:lang w:eastAsia="bg-BG"/>
        </w:rPr>
      </w:pPr>
    </w:p>
    <w:p w14:paraId="4E50CF88" w14:textId="7C51C7F2" w:rsidR="002125C3" w:rsidRPr="002125C3" w:rsidRDefault="002125C3" w:rsidP="002125C3">
      <w:pPr>
        <w:spacing w:line="240" w:lineRule="auto"/>
        <w:rPr>
          <w:rFonts w:eastAsia="Times New Roman" w:cs="Arial"/>
        </w:rPr>
      </w:pPr>
      <w:r w:rsidRPr="002125C3">
        <w:rPr>
          <w:rFonts w:eastAsia="Times New Roman" w:cs="Arial"/>
          <w:color w:val="000000"/>
          <w:lang w:eastAsia="bg-BG"/>
        </w:rPr>
        <w:t xml:space="preserve">При диария и колит, свързани с инфекция с </w:t>
      </w:r>
      <w:r w:rsidRPr="002125C3">
        <w:rPr>
          <w:rFonts w:eastAsia="Times New Roman" w:cs="Arial"/>
          <w:i/>
          <w:iCs/>
          <w:color w:val="000000"/>
          <w:lang w:val="en-US"/>
        </w:rPr>
        <w:t>Clostridium</w:t>
      </w:r>
      <w:r w:rsidRPr="002125C3">
        <w:rPr>
          <w:rFonts w:eastAsia="Times New Roman" w:cs="Arial"/>
          <w:i/>
          <w:iCs/>
          <w:color w:val="000000"/>
          <w:lang w:val="ru-RU"/>
        </w:rPr>
        <w:t xml:space="preserve"> </w:t>
      </w:r>
      <w:r w:rsidRPr="002125C3">
        <w:rPr>
          <w:rFonts w:eastAsia="Times New Roman" w:cs="Arial"/>
          <w:i/>
          <w:iCs/>
          <w:color w:val="000000"/>
          <w:lang w:val="en-US"/>
        </w:rPr>
        <w:t>difficile</w:t>
      </w:r>
      <w:r w:rsidRPr="002125C3">
        <w:rPr>
          <w:rFonts w:eastAsia="Times New Roman" w:cs="Arial"/>
          <w:color w:val="000000"/>
          <w:lang w:val="ru-RU"/>
        </w:rPr>
        <w:t xml:space="preserve"> </w:t>
      </w:r>
      <w:r w:rsidRPr="002125C3">
        <w:rPr>
          <w:rFonts w:eastAsia="Times New Roman" w:cs="Arial"/>
          <w:color w:val="000000"/>
          <w:lang w:eastAsia="bg-BG"/>
        </w:rPr>
        <w:t>да бъде използван перорален начин на прилагане.</w:t>
      </w:r>
    </w:p>
    <w:p w14:paraId="0D3684CD"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За указания относно разтварянето и разреждането на лекарствения продукт преди приложение вижте</w:t>
      </w:r>
    </w:p>
    <w:p w14:paraId="65C47DBF" w14:textId="7F9171A1" w:rsidR="002125C3" w:rsidRPr="002125C3" w:rsidRDefault="002125C3" w:rsidP="002125C3">
      <w:pPr>
        <w:rPr>
          <w:rFonts w:eastAsia="Times New Roman" w:cs="Arial"/>
          <w:color w:val="000000"/>
          <w:u w:val="single"/>
          <w:lang w:eastAsia="bg-BG"/>
        </w:rPr>
      </w:pPr>
      <w:r w:rsidRPr="002125C3">
        <w:rPr>
          <w:rFonts w:eastAsia="Times New Roman" w:cs="Arial"/>
          <w:color w:val="000000"/>
          <w:lang w:eastAsia="bg-BG"/>
        </w:rPr>
        <w:t>точка 6.6.</w:t>
      </w:r>
    </w:p>
    <w:p w14:paraId="62B13D0B" w14:textId="7870572E" w:rsidR="00395555" w:rsidRDefault="002C50EE" w:rsidP="008A6AF2">
      <w:pPr>
        <w:pStyle w:val="Heading2"/>
      </w:pPr>
      <w:r>
        <w:t>4.3. Противопоказания</w:t>
      </w:r>
    </w:p>
    <w:p w14:paraId="08CD84F0" w14:textId="4F719D2A" w:rsidR="002125C3" w:rsidRDefault="002125C3" w:rsidP="002125C3"/>
    <w:p w14:paraId="54A73404" w14:textId="2CB9DB82" w:rsidR="002125C3" w:rsidRDefault="002125C3" w:rsidP="002125C3">
      <w:r>
        <w:t>Свръхчувствителност към тейкопланин или към някое от помощните вещества, изброени в точка 6.1.</w:t>
      </w:r>
    </w:p>
    <w:p w14:paraId="7126E1E4" w14:textId="77777777" w:rsidR="002125C3" w:rsidRPr="002125C3" w:rsidRDefault="002125C3" w:rsidP="002125C3"/>
    <w:p w14:paraId="5A4AC413" w14:textId="7BB4D598" w:rsidR="00395555" w:rsidRDefault="002C50EE" w:rsidP="008A6AF2">
      <w:pPr>
        <w:pStyle w:val="Heading2"/>
      </w:pPr>
      <w:r>
        <w:t>4.4. Специални предупреждения и предпазни мерки при употреба</w:t>
      </w:r>
    </w:p>
    <w:p w14:paraId="63732C77" w14:textId="547DC1FF" w:rsidR="002125C3" w:rsidRDefault="002125C3" w:rsidP="002125C3"/>
    <w:p w14:paraId="54125987" w14:textId="77777777" w:rsidR="002125C3" w:rsidRPr="002125C3" w:rsidRDefault="002125C3" w:rsidP="002125C3">
      <w:pPr>
        <w:spacing w:line="240" w:lineRule="auto"/>
        <w:rPr>
          <w:rFonts w:eastAsia="Times New Roman" w:cs="Arial"/>
        </w:rPr>
      </w:pPr>
      <w:r w:rsidRPr="002125C3">
        <w:rPr>
          <w:rFonts w:eastAsia="Times New Roman" w:cs="Arial"/>
          <w:color w:val="000000"/>
          <w:u w:val="single"/>
          <w:lang w:eastAsia="bg-BG"/>
        </w:rPr>
        <w:t>Реакции на свръхчувствителност</w:t>
      </w:r>
    </w:p>
    <w:p w14:paraId="5F017FC2"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Сериозни, живото-застрашаващи реакции, понякога фатални са били съобщавани при прилагане на тейкопланин (напр. анафилактичен шок). Ако настъпят алергични реакции към тейкопланин, лечението трябва да бъде прекратено незабавно и трябва да започнат подходящи спешни мерки.</w:t>
      </w:r>
    </w:p>
    <w:p w14:paraId="578F2F02"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Тейкопланин трябва да се прилага с внимание при пациенти с известна свръхчувствителност към ванкомицин, тъй като могат да възникнат реакции на кръстосана свръхчувствителност, включително фатален анафилактичен шок.</w:t>
      </w:r>
    </w:p>
    <w:p w14:paraId="463EA586" w14:textId="77777777" w:rsidR="002125C3" w:rsidRPr="002125C3" w:rsidRDefault="002125C3" w:rsidP="002125C3">
      <w:pPr>
        <w:spacing w:line="240" w:lineRule="auto"/>
        <w:rPr>
          <w:rFonts w:eastAsia="Times New Roman" w:cs="Arial"/>
          <w:color w:val="000000"/>
          <w:lang w:eastAsia="bg-BG"/>
        </w:rPr>
      </w:pPr>
    </w:p>
    <w:p w14:paraId="2B0B5165" w14:textId="5BA0E359" w:rsidR="002125C3" w:rsidRPr="002125C3" w:rsidRDefault="002125C3" w:rsidP="002125C3">
      <w:pPr>
        <w:spacing w:line="240" w:lineRule="auto"/>
        <w:rPr>
          <w:rFonts w:eastAsia="Times New Roman" w:cs="Arial"/>
        </w:rPr>
      </w:pPr>
      <w:r w:rsidRPr="002125C3">
        <w:rPr>
          <w:rFonts w:eastAsia="Times New Roman" w:cs="Arial"/>
          <w:color w:val="000000"/>
          <w:lang w:eastAsia="bg-BG"/>
        </w:rPr>
        <w:t xml:space="preserve">Въпреки това, анамнеза за синдрома на "червения човек“ </w:t>
      </w:r>
      <w:r w:rsidRPr="002125C3">
        <w:rPr>
          <w:rFonts w:eastAsia="Times New Roman" w:cs="Arial"/>
          <w:color w:val="000000"/>
          <w:lang w:val="ru-RU"/>
        </w:rPr>
        <w:t>(</w:t>
      </w:r>
      <w:r w:rsidRPr="002125C3">
        <w:rPr>
          <w:rFonts w:eastAsia="Times New Roman" w:cs="Arial"/>
          <w:color w:val="000000"/>
          <w:lang w:val="en-US"/>
        </w:rPr>
        <w:t>red</w:t>
      </w:r>
      <w:r w:rsidRPr="002125C3">
        <w:rPr>
          <w:rFonts w:eastAsia="Times New Roman" w:cs="Arial"/>
          <w:color w:val="000000"/>
          <w:lang w:val="ru-RU"/>
        </w:rPr>
        <w:t xml:space="preserve"> </w:t>
      </w:r>
      <w:r w:rsidRPr="002125C3">
        <w:rPr>
          <w:rFonts w:eastAsia="Times New Roman" w:cs="Arial"/>
          <w:color w:val="000000"/>
          <w:lang w:val="en-US"/>
        </w:rPr>
        <w:t>man</w:t>
      </w:r>
      <w:r w:rsidRPr="002125C3">
        <w:rPr>
          <w:rFonts w:eastAsia="Times New Roman" w:cs="Arial"/>
          <w:color w:val="000000"/>
          <w:lang w:val="ru-RU"/>
        </w:rPr>
        <w:t xml:space="preserve"> </w:t>
      </w:r>
      <w:r w:rsidRPr="002125C3">
        <w:rPr>
          <w:rFonts w:eastAsia="Times New Roman" w:cs="Arial"/>
          <w:color w:val="000000"/>
          <w:lang w:val="en-US"/>
        </w:rPr>
        <w:t>syndrome</w:t>
      </w:r>
      <w:r w:rsidRPr="002125C3">
        <w:rPr>
          <w:rFonts w:eastAsia="Times New Roman" w:cs="Arial"/>
          <w:color w:val="000000"/>
          <w:lang w:val="ru-RU"/>
        </w:rPr>
        <w:t xml:space="preserve">") </w:t>
      </w:r>
      <w:r w:rsidRPr="002125C3">
        <w:rPr>
          <w:rFonts w:eastAsia="Times New Roman" w:cs="Arial"/>
          <w:color w:val="000000"/>
          <w:lang w:eastAsia="bg-BG"/>
        </w:rPr>
        <w:t>при ванкомицин, не е противопоказание за употребата на тейкопланин.</w:t>
      </w:r>
    </w:p>
    <w:p w14:paraId="0E6534A2" w14:textId="77777777" w:rsidR="002125C3" w:rsidRPr="002125C3" w:rsidRDefault="002125C3" w:rsidP="002125C3">
      <w:pPr>
        <w:spacing w:line="240" w:lineRule="auto"/>
        <w:rPr>
          <w:rFonts w:eastAsia="Times New Roman" w:cs="Arial"/>
          <w:color w:val="000000"/>
          <w:u w:val="single"/>
          <w:lang w:eastAsia="bg-BG"/>
        </w:rPr>
      </w:pPr>
    </w:p>
    <w:p w14:paraId="6C3E5838" w14:textId="204EE99F" w:rsidR="002125C3" w:rsidRPr="002125C3" w:rsidRDefault="002125C3" w:rsidP="002125C3">
      <w:pPr>
        <w:spacing w:line="240" w:lineRule="auto"/>
        <w:rPr>
          <w:rFonts w:eastAsia="Times New Roman" w:cs="Arial"/>
        </w:rPr>
      </w:pPr>
      <w:r w:rsidRPr="002125C3">
        <w:rPr>
          <w:rFonts w:eastAsia="Times New Roman" w:cs="Arial"/>
          <w:color w:val="000000"/>
          <w:u w:val="single"/>
          <w:lang w:eastAsia="bg-BG"/>
        </w:rPr>
        <w:t>Реакции, свързани с инфузията</w:t>
      </w:r>
    </w:p>
    <w:p w14:paraId="2ECB55F4"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В редки случаи (дори при първа доза), се наблюдава синдрома на "червения човек“ (комплекс от симптоми, включващи сърбеж, уртикария, еритема, ангионевротичен оток, тахикардия, хипотония, диспнея).</w:t>
      </w:r>
    </w:p>
    <w:p w14:paraId="49AD43FD"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Спиране или забавяне на инфузията може да доведе до прекратяване на тези реакции. Реакциите, свързани с инфузията могат да бъдат ограничени, ако дневната доза не се прилага чрез болус инжекция, а чрез инфузия за период от 30 минути.</w:t>
      </w:r>
    </w:p>
    <w:p w14:paraId="4DF3E2C1" w14:textId="77777777" w:rsidR="002125C3" w:rsidRPr="002125C3" w:rsidRDefault="002125C3" w:rsidP="002125C3">
      <w:pPr>
        <w:spacing w:line="240" w:lineRule="auto"/>
        <w:rPr>
          <w:rFonts w:eastAsia="Times New Roman" w:cs="Arial"/>
          <w:color w:val="000000"/>
          <w:u w:val="single"/>
          <w:lang w:eastAsia="bg-BG"/>
        </w:rPr>
      </w:pPr>
    </w:p>
    <w:p w14:paraId="17160C4A" w14:textId="0E758820" w:rsidR="002125C3" w:rsidRPr="002125C3" w:rsidRDefault="002125C3" w:rsidP="002125C3">
      <w:pPr>
        <w:spacing w:line="240" w:lineRule="auto"/>
        <w:rPr>
          <w:rFonts w:eastAsia="Times New Roman" w:cs="Arial"/>
        </w:rPr>
      </w:pPr>
      <w:r w:rsidRPr="002125C3">
        <w:rPr>
          <w:rFonts w:eastAsia="Times New Roman" w:cs="Arial"/>
          <w:color w:val="000000"/>
          <w:u w:val="single"/>
          <w:lang w:eastAsia="bg-BG"/>
        </w:rPr>
        <w:t>Тежки булозни реакции</w:t>
      </w:r>
    </w:p>
    <w:p w14:paraId="43E24262"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 xml:space="preserve">При употребата на тейкопланин са съобщавани живото-застрашаващи или дори фатални кожни реакции, синдром на </w:t>
      </w:r>
      <w:r w:rsidRPr="002125C3">
        <w:rPr>
          <w:rFonts w:eastAsia="Times New Roman" w:cs="Arial"/>
          <w:color w:val="000000"/>
          <w:lang w:val="en-US"/>
        </w:rPr>
        <w:t>Stevens</w:t>
      </w:r>
      <w:r w:rsidRPr="002125C3">
        <w:rPr>
          <w:rFonts w:eastAsia="Times New Roman" w:cs="Arial"/>
          <w:color w:val="000000"/>
        </w:rPr>
        <w:t>-</w:t>
      </w:r>
      <w:r w:rsidRPr="002125C3">
        <w:rPr>
          <w:rFonts w:eastAsia="Times New Roman" w:cs="Arial"/>
          <w:color w:val="000000"/>
          <w:lang w:val="en-US"/>
        </w:rPr>
        <w:t>Johnson</w:t>
      </w:r>
      <w:r w:rsidRPr="002125C3">
        <w:rPr>
          <w:rFonts w:eastAsia="Times New Roman" w:cs="Arial"/>
          <w:color w:val="000000"/>
        </w:rPr>
        <w:t xml:space="preserve"> (</w:t>
      </w:r>
      <w:r w:rsidRPr="002125C3">
        <w:rPr>
          <w:rFonts w:eastAsia="Times New Roman" w:cs="Arial"/>
          <w:color w:val="000000"/>
          <w:lang w:val="en-US"/>
        </w:rPr>
        <w:t>Stevens</w:t>
      </w:r>
      <w:r w:rsidRPr="002125C3">
        <w:rPr>
          <w:rFonts w:eastAsia="Times New Roman" w:cs="Arial"/>
          <w:color w:val="000000"/>
        </w:rPr>
        <w:t>-</w:t>
      </w:r>
      <w:r w:rsidRPr="002125C3">
        <w:rPr>
          <w:rFonts w:eastAsia="Times New Roman" w:cs="Arial"/>
          <w:color w:val="000000"/>
          <w:lang w:val="en-US"/>
        </w:rPr>
        <w:t>Johnson</w:t>
      </w:r>
      <w:r w:rsidRPr="002125C3">
        <w:rPr>
          <w:rFonts w:eastAsia="Times New Roman" w:cs="Arial"/>
          <w:color w:val="000000"/>
        </w:rPr>
        <w:t xml:space="preserve"> </w:t>
      </w:r>
      <w:r w:rsidRPr="002125C3">
        <w:rPr>
          <w:rFonts w:eastAsia="Times New Roman" w:cs="Arial"/>
          <w:color w:val="000000"/>
          <w:lang w:val="en-US"/>
        </w:rPr>
        <w:t>syndrome</w:t>
      </w:r>
      <w:r w:rsidRPr="002125C3">
        <w:rPr>
          <w:rFonts w:eastAsia="Times New Roman" w:cs="Arial"/>
          <w:color w:val="000000"/>
        </w:rPr>
        <w:t xml:space="preserve">, </w:t>
      </w:r>
      <w:r w:rsidRPr="002125C3">
        <w:rPr>
          <w:rFonts w:eastAsia="Times New Roman" w:cs="Arial"/>
          <w:color w:val="000000"/>
          <w:lang w:val="en-US"/>
        </w:rPr>
        <w:t>SJS</w:t>
      </w:r>
      <w:r w:rsidRPr="002125C3">
        <w:rPr>
          <w:rFonts w:eastAsia="Times New Roman" w:cs="Arial"/>
          <w:color w:val="000000"/>
        </w:rPr>
        <w:t xml:space="preserve">) </w:t>
      </w:r>
      <w:r w:rsidRPr="002125C3">
        <w:rPr>
          <w:rFonts w:eastAsia="Times New Roman" w:cs="Arial"/>
          <w:color w:val="000000"/>
          <w:lang w:eastAsia="bg-BG"/>
        </w:rPr>
        <w:t xml:space="preserve">и токсична епидермална некролиза </w:t>
      </w:r>
      <w:r w:rsidRPr="002125C3">
        <w:rPr>
          <w:rFonts w:eastAsia="Times New Roman" w:cs="Arial"/>
          <w:color w:val="000000"/>
        </w:rPr>
        <w:t>(</w:t>
      </w:r>
      <w:r w:rsidRPr="002125C3">
        <w:rPr>
          <w:rFonts w:eastAsia="Times New Roman" w:cs="Arial"/>
          <w:color w:val="000000"/>
          <w:lang w:val="en-US"/>
        </w:rPr>
        <w:t>Toxic</w:t>
      </w:r>
      <w:r w:rsidRPr="002125C3">
        <w:rPr>
          <w:rFonts w:eastAsia="Times New Roman" w:cs="Arial"/>
          <w:color w:val="000000"/>
        </w:rPr>
        <w:t xml:space="preserve"> </w:t>
      </w:r>
      <w:r w:rsidRPr="002125C3">
        <w:rPr>
          <w:rFonts w:eastAsia="Times New Roman" w:cs="Arial"/>
          <w:color w:val="000000"/>
          <w:lang w:val="en-US"/>
        </w:rPr>
        <w:t>Epidermal</w:t>
      </w:r>
      <w:r w:rsidRPr="002125C3">
        <w:rPr>
          <w:rFonts w:eastAsia="Times New Roman" w:cs="Arial"/>
          <w:color w:val="000000"/>
        </w:rPr>
        <w:t xml:space="preserve"> </w:t>
      </w:r>
      <w:r w:rsidRPr="002125C3">
        <w:rPr>
          <w:rFonts w:eastAsia="Times New Roman" w:cs="Arial"/>
          <w:color w:val="000000"/>
          <w:lang w:val="en-US"/>
        </w:rPr>
        <w:t>Necrolysis</w:t>
      </w:r>
      <w:r w:rsidRPr="002125C3">
        <w:rPr>
          <w:rFonts w:eastAsia="Times New Roman" w:cs="Arial"/>
          <w:color w:val="000000"/>
        </w:rPr>
        <w:t xml:space="preserve">, </w:t>
      </w:r>
      <w:r w:rsidRPr="002125C3">
        <w:rPr>
          <w:rFonts w:eastAsia="Times New Roman" w:cs="Arial"/>
          <w:color w:val="000000"/>
          <w:lang w:val="en-US"/>
        </w:rPr>
        <w:t>TEN</w:t>
      </w:r>
      <w:r w:rsidRPr="002125C3">
        <w:rPr>
          <w:rFonts w:eastAsia="Times New Roman" w:cs="Arial"/>
          <w:color w:val="000000"/>
        </w:rPr>
        <w:t xml:space="preserve">). </w:t>
      </w:r>
      <w:r w:rsidRPr="002125C3">
        <w:rPr>
          <w:rFonts w:eastAsia="Times New Roman" w:cs="Arial"/>
          <w:color w:val="000000"/>
          <w:lang w:eastAsia="bg-BG"/>
        </w:rPr>
        <w:t xml:space="preserve">Ако се появят симптоми или признаци на </w:t>
      </w:r>
      <w:r w:rsidRPr="002125C3">
        <w:rPr>
          <w:rFonts w:eastAsia="Times New Roman" w:cs="Arial"/>
          <w:color w:val="000000"/>
          <w:lang w:val="en-US"/>
        </w:rPr>
        <w:t>SJS</w:t>
      </w:r>
      <w:r w:rsidRPr="002125C3">
        <w:rPr>
          <w:rFonts w:eastAsia="Times New Roman" w:cs="Arial"/>
          <w:color w:val="000000"/>
          <w:lang w:val="ru-RU"/>
        </w:rPr>
        <w:t xml:space="preserve"> </w:t>
      </w:r>
      <w:r w:rsidRPr="002125C3">
        <w:rPr>
          <w:rFonts w:eastAsia="Times New Roman" w:cs="Arial"/>
          <w:color w:val="000000"/>
          <w:lang w:eastAsia="bg-BG"/>
        </w:rPr>
        <w:t xml:space="preserve">или </w:t>
      </w:r>
      <w:r w:rsidRPr="002125C3">
        <w:rPr>
          <w:rFonts w:eastAsia="Times New Roman" w:cs="Arial"/>
          <w:color w:val="000000"/>
          <w:lang w:val="en-US"/>
        </w:rPr>
        <w:t>TEN</w:t>
      </w:r>
      <w:r w:rsidRPr="002125C3">
        <w:rPr>
          <w:rFonts w:eastAsia="Times New Roman" w:cs="Arial"/>
          <w:color w:val="000000"/>
          <w:lang w:val="ru-RU"/>
        </w:rPr>
        <w:t xml:space="preserve"> </w:t>
      </w:r>
      <w:r w:rsidRPr="002125C3">
        <w:rPr>
          <w:rFonts w:eastAsia="Times New Roman" w:cs="Arial"/>
          <w:color w:val="000000"/>
          <w:lang w:eastAsia="bg-BG"/>
        </w:rPr>
        <w:t>(напр. нарастващ кожен обрив често с мехури или лезии по лигавиците), лечението с тейкопланин трябва да се прекрати незабавно.</w:t>
      </w:r>
    </w:p>
    <w:p w14:paraId="5845F284" w14:textId="77777777" w:rsidR="002125C3" w:rsidRPr="002125C3" w:rsidRDefault="002125C3" w:rsidP="002125C3">
      <w:pPr>
        <w:spacing w:line="240" w:lineRule="auto"/>
        <w:rPr>
          <w:rFonts w:eastAsia="Times New Roman" w:cs="Arial"/>
          <w:color w:val="000000"/>
          <w:u w:val="single"/>
          <w:lang w:eastAsia="bg-BG"/>
        </w:rPr>
      </w:pPr>
    </w:p>
    <w:p w14:paraId="5A1978B9" w14:textId="66D36E93" w:rsidR="002125C3" w:rsidRPr="002125C3" w:rsidRDefault="002125C3" w:rsidP="002125C3">
      <w:pPr>
        <w:spacing w:line="240" w:lineRule="auto"/>
        <w:rPr>
          <w:rFonts w:eastAsia="Times New Roman" w:cs="Arial"/>
        </w:rPr>
      </w:pPr>
      <w:r w:rsidRPr="002125C3">
        <w:rPr>
          <w:rFonts w:eastAsia="Times New Roman" w:cs="Arial"/>
          <w:color w:val="000000"/>
          <w:u w:val="single"/>
          <w:lang w:eastAsia="bg-BG"/>
        </w:rPr>
        <w:t>Спектър на антибактериалната активност</w:t>
      </w:r>
    </w:p>
    <w:p w14:paraId="1E394A38"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Тейкопланин има ограничен спектър на антибактериална активност (</w:t>
      </w:r>
      <w:r w:rsidRPr="002125C3">
        <w:rPr>
          <w:rFonts w:eastAsia="Times New Roman" w:cs="Arial"/>
          <w:i/>
          <w:iCs/>
          <w:color w:val="000000"/>
          <w:lang w:eastAsia="bg-BG"/>
        </w:rPr>
        <w:t>Грам - положителни).</w:t>
      </w:r>
      <w:r w:rsidRPr="002125C3">
        <w:rPr>
          <w:rFonts w:eastAsia="Times New Roman" w:cs="Arial"/>
          <w:color w:val="000000"/>
          <w:lang w:eastAsia="bg-BG"/>
        </w:rPr>
        <w:t xml:space="preserve"> Не е подходящ за употреба като монотерапия за лечение на някои видове инфекции, освен ако патогенът е вече доказан и е потвърдено, че е чувствителен или се подозира, че най-вероятния патоген (и) ще е податлив на лечение с тейкопланин.</w:t>
      </w:r>
    </w:p>
    <w:p w14:paraId="192CCD7A" w14:textId="77777777" w:rsidR="002125C3" w:rsidRPr="002125C3" w:rsidRDefault="002125C3" w:rsidP="002125C3">
      <w:pPr>
        <w:spacing w:line="240" w:lineRule="auto"/>
        <w:rPr>
          <w:rFonts w:eastAsia="Times New Roman" w:cs="Arial"/>
          <w:color w:val="000000"/>
          <w:lang w:eastAsia="bg-BG"/>
        </w:rPr>
      </w:pPr>
    </w:p>
    <w:p w14:paraId="16E1073C" w14:textId="038B7C50" w:rsidR="002125C3" w:rsidRPr="002125C3" w:rsidRDefault="002125C3" w:rsidP="002125C3">
      <w:pPr>
        <w:spacing w:line="240" w:lineRule="auto"/>
        <w:rPr>
          <w:rFonts w:eastAsia="Times New Roman" w:cs="Arial"/>
        </w:rPr>
      </w:pPr>
      <w:r w:rsidRPr="002125C3">
        <w:rPr>
          <w:rFonts w:eastAsia="Times New Roman" w:cs="Arial"/>
          <w:color w:val="000000"/>
          <w:lang w:eastAsia="bg-BG"/>
        </w:rPr>
        <w:t>За рационалното приложение на тейкопланин е необходимо да се вземат предвид бактериалният спектър на действие, профилът на безопасност и пригодността на стандартната антибактериална терапия за лечение на отделния пациент. Въз основа на това се очаква, че в повечето случаи тейкопланин ще бъде използван за лечение на тежки инфекции при пациенти, за които стандартното антибактериално лечение се счита за неподходящо.</w:t>
      </w:r>
    </w:p>
    <w:p w14:paraId="0ACD5D93" w14:textId="77777777" w:rsidR="002125C3" w:rsidRPr="002125C3" w:rsidRDefault="002125C3" w:rsidP="002125C3">
      <w:pPr>
        <w:spacing w:line="240" w:lineRule="auto"/>
        <w:rPr>
          <w:rFonts w:eastAsia="Times New Roman" w:cs="Arial"/>
          <w:color w:val="000000"/>
          <w:u w:val="single"/>
          <w:lang w:eastAsia="bg-BG"/>
        </w:rPr>
      </w:pPr>
    </w:p>
    <w:p w14:paraId="51DF47D0" w14:textId="26A1086F" w:rsidR="002125C3" w:rsidRPr="002125C3" w:rsidRDefault="002125C3" w:rsidP="002125C3">
      <w:pPr>
        <w:spacing w:line="240" w:lineRule="auto"/>
        <w:rPr>
          <w:rFonts w:eastAsia="Times New Roman" w:cs="Arial"/>
        </w:rPr>
      </w:pPr>
      <w:r w:rsidRPr="002125C3">
        <w:rPr>
          <w:rFonts w:eastAsia="Times New Roman" w:cs="Arial"/>
          <w:color w:val="000000"/>
          <w:u w:val="single"/>
          <w:lang w:eastAsia="bg-BG"/>
        </w:rPr>
        <w:t>Схема на лечение с натоварваща доза</w:t>
      </w:r>
    </w:p>
    <w:p w14:paraId="7DD2C72F" w14:textId="77777777" w:rsidR="002125C3" w:rsidRPr="002125C3" w:rsidRDefault="002125C3" w:rsidP="002125C3">
      <w:pPr>
        <w:spacing w:line="240" w:lineRule="auto"/>
        <w:rPr>
          <w:rFonts w:eastAsia="Times New Roman" w:cs="Arial"/>
        </w:rPr>
      </w:pPr>
      <w:r w:rsidRPr="002125C3">
        <w:rPr>
          <w:rFonts w:eastAsia="Times New Roman" w:cs="Arial"/>
          <w:color w:val="000000"/>
          <w:lang w:eastAsia="bg-BG"/>
        </w:rPr>
        <w:t xml:space="preserve">Тъй като данните за безопасността са ограничени, пациентите трябва да бъдат наблюдавани внимателно за нежелани реакции, когато тейкопланин се прилага в дози от 12 </w:t>
      </w:r>
      <w:r w:rsidRPr="002125C3">
        <w:rPr>
          <w:rFonts w:eastAsia="Times New Roman" w:cs="Arial"/>
          <w:color w:val="000000"/>
          <w:lang w:val="en-US"/>
        </w:rPr>
        <w:t>mg</w:t>
      </w:r>
      <w:r w:rsidRPr="002125C3">
        <w:rPr>
          <w:rFonts w:eastAsia="Times New Roman" w:cs="Arial"/>
          <w:color w:val="000000"/>
          <w:lang w:val="ru-RU"/>
        </w:rPr>
        <w:t>/</w:t>
      </w:r>
      <w:r w:rsidRPr="002125C3">
        <w:rPr>
          <w:rFonts w:eastAsia="Times New Roman" w:cs="Arial"/>
          <w:color w:val="000000"/>
          <w:lang w:val="en-US"/>
        </w:rPr>
        <w:t>kg</w:t>
      </w:r>
      <w:r w:rsidRPr="002125C3">
        <w:rPr>
          <w:rFonts w:eastAsia="Times New Roman" w:cs="Arial"/>
          <w:color w:val="000000"/>
          <w:lang w:val="ru-RU"/>
        </w:rPr>
        <w:t xml:space="preserve"> </w:t>
      </w:r>
      <w:r w:rsidRPr="002125C3">
        <w:rPr>
          <w:rFonts w:eastAsia="Times New Roman" w:cs="Arial"/>
          <w:color w:val="000000"/>
          <w:lang w:eastAsia="bg-BG"/>
        </w:rPr>
        <w:t>телесно тегло два пъти дневно. При тази схема на лечение, допълнително към препоръчаното периодично хематологично изследване, трябва да се наблюдават стойностите на креатинин в кръвта.</w:t>
      </w:r>
    </w:p>
    <w:p w14:paraId="7BE8A223" w14:textId="77777777" w:rsidR="002125C3" w:rsidRPr="002125C3" w:rsidRDefault="002125C3" w:rsidP="002125C3">
      <w:pPr>
        <w:spacing w:line="240" w:lineRule="auto"/>
        <w:rPr>
          <w:rFonts w:eastAsia="Times New Roman" w:cs="Arial"/>
          <w:color w:val="000000"/>
          <w:lang w:eastAsia="bg-BG"/>
        </w:rPr>
      </w:pPr>
    </w:p>
    <w:p w14:paraId="1A304100" w14:textId="31BEB313" w:rsidR="002125C3" w:rsidRPr="002125C3" w:rsidRDefault="002125C3" w:rsidP="002125C3">
      <w:pPr>
        <w:spacing w:line="240" w:lineRule="auto"/>
        <w:rPr>
          <w:rFonts w:eastAsia="Times New Roman" w:cs="Arial"/>
        </w:rPr>
      </w:pPr>
      <w:r w:rsidRPr="002125C3">
        <w:rPr>
          <w:rFonts w:eastAsia="Times New Roman" w:cs="Arial"/>
          <w:color w:val="000000"/>
          <w:lang w:eastAsia="bg-BG"/>
        </w:rPr>
        <w:lastRenderedPageBreak/>
        <w:t>Тейкопланин не трябва да се прилага интравентрикуларно.</w:t>
      </w:r>
    </w:p>
    <w:p w14:paraId="52A8D34B" w14:textId="77777777" w:rsidR="002125C3" w:rsidRPr="002125C3" w:rsidRDefault="002125C3" w:rsidP="002125C3">
      <w:pPr>
        <w:rPr>
          <w:rFonts w:eastAsia="Times New Roman" w:cs="Arial"/>
          <w:color w:val="000000"/>
          <w:u w:val="single"/>
          <w:lang w:eastAsia="bg-BG"/>
        </w:rPr>
      </w:pPr>
    </w:p>
    <w:p w14:paraId="77883BA2" w14:textId="38B5FB13" w:rsidR="002125C3" w:rsidRDefault="002125C3" w:rsidP="002125C3">
      <w:pPr>
        <w:rPr>
          <w:rFonts w:eastAsia="Times New Roman" w:cs="Arial"/>
          <w:color w:val="000000"/>
          <w:u w:val="single"/>
          <w:lang w:eastAsia="bg-BG"/>
        </w:rPr>
      </w:pPr>
      <w:r w:rsidRPr="002125C3">
        <w:rPr>
          <w:rFonts w:eastAsia="Times New Roman" w:cs="Arial"/>
          <w:color w:val="000000"/>
          <w:u w:val="single"/>
          <w:lang w:eastAsia="bg-BG"/>
        </w:rPr>
        <w:t>Тромбоцитопения</w:t>
      </w:r>
    </w:p>
    <w:p w14:paraId="63C76592" w14:textId="77777777" w:rsidR="002125C3" w:rsidRPr="002125C3" w:rsidRDefault="002125C3" w:rsidP="002125C3">
      <w:pPr>
        <w:spacing w:line="240" w:lineRule="auto"/>
        <w:rPr>
          <w:rFonts w:eastAsia="Times New Roman" w:cs="Arial"/>
          <w:sz w:val="14"/>
          <w:szCs w:val="24"/>
        </w:rPr>
      </w:pPr>
      <w:r w:rsidRPr="002125C3">
        <w:rPr>
          <w:rFonts w:eastAsia="Times New Roman" w:cs="Arial"/>
          <w:color w:val="000000"/>
          <w:szCs w:val="40"/>
          <w:lang w:eastAsia="bg-BG"/>
        </w:rPr>
        <w:t>При употреба на тейкопланин се съобщава за тромбоцитопения. По време на лечението се препоръчват периодични хематологични изследвания, включително пълна кръвна картина.</w:t>
      </w:r>
    </w:p>
    <w:p w14:paraId="01473FBA" w14:textId="77777777" w:rsidR="002125C3" w:rsidRPr="002125C3" w:rsidRDefault="002125C3" w:rsidP="002125C3">
      <w:pPr>
        <w:spacing w:line="240" w:lineRule="auto"/>
        <w:rPr>
          <w:rFonts w:eastAsia="Times New Roman" w:cs="Arial"/>
          <w:color w:val="000000"/>
          <w:szCs w:val="40"/>
          <w:u w:val="single"/>
          <w:lang w:eastAsia="bg-BG"/>
        </w:rPr>
      </w:pPr>
    </w:p>
    <w:p w14:paraId="7390831A" w14:textId="4D16DDC9" w:rsidR="002125C3" w:rsidRPr="002125C3" w:rsidRDefault="002125C3" w:rsidP="002125C3">
      <w:pPr>
        <w:spacing w:line="240" w:lineRule="auto"/>
        <w:rPr>
          <w:rFonts w:eastAsia="Times New Roman" w:cs="Arial"/>
          <w:sz w:val="14"/>
          <w:szCs w:val="24"/>
        </w:rPr>
      </w:pPr>
      <w:r w:rsidRPr="002125C3">
        <w:rPr>
          <w:rFonts w:eastAsia="Times New Roman" w:cs="Arial"/>
          <w:color w:val="000000"/>
          <w:szCs w:val="40"/>
          <w:u w:val="single"/>
          <w:lang w:eastAsia="bg-BG"/>
        </w:rPr>
        <w:t>Нефротоксичност</w:t>
      </w:r>
    </w:p>
    <w:p w14:paraId="0A028053" w14:textId="77777777" w:rsidR="002125C3" w:rsidRPr="002125C3" w:rsidRDefault="002125C3" w:rsidP="002125C3">
      <w:pPr>
        <w:spacing w:line="240" w:lineRule="auto"/>
        <w:rPr>
          <w:rFonts w:eastAsia="Times New Roman" w:cs="Arial"/>
          <w:sz w:val="14"/>
          <w:szCs w:val="24"/>
        </w:rPr>
      </w:pPr>
      <w:r w:rsidRPr="002125C3">
        <w:rPr>
          <w:rFonts w:eastAsia="Times New Roman" w:cs="Arial"/>
          <w:color w:val="000000"/>
          <w:szCs w:val="40"/>
          <w:lang w:eastAsia="bg-BG"/>
        </w:rPr>
        <w:t>При пациенти, лекувани с тейкопланин се съобщава за бъбречна недостатъчност (вж. точка 4.8). Пациенти с бъбречна недостатъчност и/или такива, приемащи тейкопланин едновременно или след други лекарствени продукти с известен нефротоксичен потенциал (аминогликозиди, колистин, амфотерицин В, циклоспорин и цисплатин), трябва да бъдат внимателно проследявани и да се включат за изследвания на слуха.</w:t>
      </w:r>
    </w:p>
    <w:p w14:paraId="1D0197A4" w14:textId="77777777" w:rsidR="002125C3" w:rsidRPr="002125C3" w:rsidRDefault="002125C3" w:rsidP="002125C3">
      <w:pPr>
        <w:spacing w:line="240" w:lineRule="auto"/>
        <w:rPr>
          <w:rFonts w:eastAsia="Times New Roman" w:cs="Arial"/>
          <w:sz w:val="14"/>
          <w:szCs w:val="24"/>
        </w:rPr>
      </w:pPr>
      <w:r w:rsidRPr="002125C3">
        <w:rPr>
          <w:rFonts w:eastAsia="Times New Roman" w:cs="Arial"/>
          <w:color w:val="000000"/>
          <w:szCs w:val="40"/>
          <w:lang w:eastAsia="bg-BG"/>
        </w:rPr>
        <w:t>Тъй като тейкопланин се екскретира предимно чрез бъбреците, дозата на тейкопланин трябва да се коригира при пациенти с бъбречно нарушение (вж. точка 4.2).</w:t>
      </w:r>
    </w:p>
    <w:p w14:paraId="055FF3C1" w14:textId="77777777" w:rsidR="002125C3" w:rsidRPr="002125C3" w:rsidRDefault="002125C3" w:rsidP="002125C3">
      <w:pPr>
        <w:spacing w:line="240" w:lineRule="auto"/>
        <w:rPr>
          <w:rFonts w:eastAsia="Times New Roman" w:cs="Arial"/>
          <w:color w:val="000000"/>
          <w:szCs w:val="40"/>
          <w:u w:val="single"/>
          <w:lang w:eastAsia="bg-BG"/>
        </w:rPr>
      </w:pPr>
    </w:p>
    <w:p w14:paraId="61233DDA" w14:textId="0F2479C3" w:rsidR="002125C3" w:rsidRPr="002125C3" w:rsidRDefault="002125C3" w:rsidP="002125C3">
      <w:pPr>
        <w:spacing w:line="240" w:lineRule="auto"/>
        <w:rPr>
          <w:rFonts w:eastAsia="Times New Roman" w:cs="Arial"/>
          <w:sz w:val="14"/>
          <w:szCs w:val="24"/>
        </w:rPr>
      </w:pPr>
      <w:r w:rsidRPr="002125C3">
        <w:rPr>
          <w:rFonts w:eastAsia="Times New Roman" w:cs="Arial"/>
          <w:color w:val="000000"/>
          <w:szCs w:val="40"/>
          <w:u w:val="single"/>
          <w:lang w:eastAsia="bg-BG"/>
        </w:rPr>
        <w:t>Ототоксичност</w:t>
      </w:r>
    </w:p>
    <w:p w14:paraId="2008B4C8" w14:textId="77777777" w:rsidR="002125C3" w:rsidRPr="002125C3" w:rsidRDefault="002125C3" w:rsidP="002125C3">
      <w:pPr>
        <w:spacing w:line="240" w:lineRule="auto"/>
        <w:rPr>
          <w:rFonts w:eastAsia="Times New Roman" w:cs="Arial"/>
          <w:sz w:val="14"/>
          <w:szCs w:val="24"/>
        </w:rPr>
      </w:pPr>
      <w:r w:rsidRPr="002125C3">
        <w:rPr>
          <w:rFonts w:eastAsia="Times New Roman" w:cs="Arial"/>
          <w:color w:val="000000"/>
          <w:szCs w:val="40"/>
          <w:lang w:eastAsia="bg-BG"/>
        </w:rPr>
        <w:t>Както при другите гликопептиди, при пациенти, лекувани с тейкопланин, се съобщава за ототоксичност (глухота и тинитус) (вж. точка 4.8). Пациенти, които проявяват признаци и симптоми на увреден слух или нарушения на вътрешното ухо по време на лечение с тейкопланин трябва да бъдат внимателно оценявани и наблюдавани, особено в случай на продължително лечение и ако пациентите са с бъбречна недостатъчност. Пациенти, приемащи тейкопланин едновременно с или след други лекарствени продукти с известен невротоксичен/ототоксичен потенциал (аминогликозиди, циклоспорин, цисплатин, фуроземид и етакринова киселина), трябва да бъдат внимателно проследявани и ползата от тейкопланин да се прецени, ако слухът се влоши.</w:t>
      </w:r>
    </w:p>
    <w:p w14:paraId="015E064D" w14:textId="77777777" w:rsidR="002125C3" w:rsidRPr="002125C3" w:rsidRDefault="002125C3" w:rsidP="002125C3">
      <w:pPr>
        <w:spacing w:line="240" w:lineRule="auto"/>
        <w:rPr>
          <w:rFonts w:eastAsia="Times New Roman" w:cs="Arial"/>
          <w:color w:val="000000"/>
          <w:szCs w:val="40"/>
          <w:lang w:eastAsia="bg-BG"/>
        </w:rPr>
      </w:pPr>
    </w:p>
    <w:p w14:paraId="090C154E" w14:textId="360BE507" w:rsidR="002125C3" w:rsidRPr="002125C3" w:rsidRDefault="002125C3" w:rsidP="002125C3">
      <w:pPr>
        <w:spacing w:line="240" w:lineRule="auto"/>
        <w:rPr>
          <w:rFonts w:eastAsia="Times New Roman" w:cs="Arial"/>
          <w:sz w:val="14"/>
          <w:szCs w:val="24"/>
        </w:rPr>
      </w:pPr>
      <w:r w:rsidRPr="002125C3">
        <w:rPr>
          <w:rFonts w:eastAsia="Times New Roman" w:cs="Arial"/>
          <w:color w:val="000000"/>
          <w:szCs w:val="40"/>
          <w:lang w:eastAsia="bg-BG"/>
        </w:rPr>
        <w:t>Трябва да бъдат взети специални предпазни мерки, когато тейкопланин се прилага при пациенти, при които се налага едновременно лечение с ототоксични и/или нефротоксични лекарствени продукти, за които се препоръчва извършване на редовни хематологични, чернодробни и бъбречни функционални тестове.</w:t>
      </w:r>
    </w:p>
    <w:p w14:paraId="6C4534EA" w14:textId="77777777" w:rsidR="002125C3" w:rsidRPr="002125C3" w:rsidRDefault="002125C3" w:rsidP="002125C3">
      <w:pPr>
        <w:spacing w:line="240" w:lineRule="auto"/>
        <w:rPr>
          <w:rFonts w:eastAsia="Times New Roman" w:cs="Arial"/>
          <w:color w:val="000000"/>
          <w:szCs w:val="40"/>
          <w:u w:val="single"/>
          <w:lang w:eastAsia="bg-BG"/>
        </w:rPr>
      </w:pPr>
    </w:p>
    <w:p w14:paraId="2F9A111A" w14:textId="379BBA42" w:rsidR="002125C3" w:rsidRPr="002125C3" w:rsidRDefault="002125C3" w:rsidP="002125C3">
      <w:pPr>
        <w:spacing w:line="240" w:lineRule="auto"/>
        <w:rPr>
          <w:rFonts w:eastAsia="Times New Roman" w:cs="Arial"/>
          <w:sz w:val="14"/>
          <w:szCs w:val="24"/>
        </w:rPr>
      </w:pPr>
      <w:r w:rsidRPr="002125C3">
        <w:rPr>
          <w:rFonts w:eastAsia="Times New Roman" w:cs="Arial"/>
          <w:color w:val="000000"/>
          <w:szCs w:val="40"/>
          <w:u w:val="single"/>
          <w:lang w:eastAsia="bg-BG"/>
        </w:rPr>
        <w:t>Суперинфекция</w:t>
      </w:r>
    </w:p>
    <w:p w14:paraId="3FD3D0A7" w14:textId="3A7B7C9E" w:rsidR="005F633D" w:rsidRDefault="002125C3" w:rsidP="002125C3">
      <w:pPr>
        <w:rPr>
          <w:rFonts w:eastAsia="Times New Roman" w:cs="Arial"/>
          <w:color w:val="000000"/>
          <w:szCs w:val="40"/>
          <w:lang w:eastAsia="bg-BG"/>
        </w:rPr>
      </w:pPr>
      <w:r w:rsidRPr="002125C3">
        <w:rPr>
          <w:rFonts w:eastAsia="Times New Roman" w:cs="Arial"/>
          <w:color w:val="000000"/>
          <w:szCs w:val="40"/>
          <w:lang w:eastAsia="bg-BG"/>
        </w:rPr>
        <w:t>Както и при други антибиотици, приложението на тейкопланин, особено ако е продължително, може да доведе до свръх растеж на нечувствителни микроорганизми. Ако по време на терапията възникне сулеринфекция, трябва да се предприемат подходящи действия.</w:t>
      </w:r>
    </w:p>
    <w:p w14:paraId="2E689F74" w14:textId="77777777" w:rsidR="005F633D" w:rsidRPr="005F633D" w:rsidRDefault="005F633D" w:rsidP="002125C3">
      <w:pPr>
        <w:rPr>
          <w:rFonts w:eastAsia="Times New Roman" w:cs="Arial"/>
          <w:color w:val="000000"/>
          <w:szCs w:val="40"/>
          <w:lang w:eastAsia="bg-BG"/>
        </w:rPr>
      </w:pPr>
    </w:p>
    <w:p w14:paraId="1244F76A" w14:textId="4EE031AD" w:rsidR="00395555" w:rsidRDefault="002C50EE" w:rsidP="008A6AF2">
      <w:pPr>
        <w:pStyle w:val="Heading2"/>
      </w:pPr>
      <w:r>
        <w:t>4.5. Взаимодействие с други лекарствени продукти и други форми на взаимодействие</w:t>
      </w:r>
    </w:p>
    <w:p w14:paraId="09DE915E" w14:textId="7EB9E7C0" w:rsidR="005F633D" w:rsidRDefault="005F633D" w:rsidP="005F633D"/>
    <w:p w14:paraId="6ECD5C87" w14:textId="77777777" w:rsidR="005F633D" w:rsidRPr="005F633D" w:rsidRDefault="005F633D" w:rsidP="005F633D">
      <w:pPr>
        <w:spacing w:line="240" w:lineRule="auto"/>
        <w:rPr>
          <w:rFonts w:eastAsia="Times New Roman" w:cs="Arial"/>
          <w:sz w:val="14"/>
          <w:szCs w:val="24"/>
        </w:rPr>
      </w:pPr>
      <w:r w:rsidRPr="005F633D">
        <w:rPr>
          <w:rFonts w:eastAsia="Times New Roman" w:cs="Arial"/>
          <w:color w:val="000000"/>
          <w:szCs w:val="40"/>
          <w:lang w:eastAsia="bg-BG"/>
        </w:rPr>
        <w:t>Не са провеждани специфични проучвания за взаимодействията.</w:t>
      </w:r>
    </w:p>
    <w:p w14:paraId="2E41BCA7" w14:textId="77777777" w:rsidR="005F633D" w:rsidRPr="005F633D" w:rsidRDefault="005F633D" w:rsidP="005F633D">
      <w:pPr>
        <w:spacing w:line="240" w:lineRule="auto"/>
        <w:rPr>
          <w:rFonts w:eastAsia="Times New Roman" w:cs="Arial"/>
          <w:color w:val="000000"/>
          <w:szCs w:val="40"/>
          <w:lang w:eastAsia="bg-BG"/>
        </w:rPr>
      </w:pPr>
    </w:p>
    <w:p w14:paraId="5763A5AC" w14:textId="3321AEF5" w:rsidR="005F633D" w:rsidRPr="005F633D" w:rsidRDefault="005F633D" w:rsidP="005F633D">
      <w:pPr>
        <w:spacing w:line="240" w:lineRule="auto"/>
        <w:rPr>
          <w:rFonts w:eastAsia="Times New Roman" w:cs="Arial"/>
          <w:sz w:val="14"/>
          <w:szCs w:val="24"/>
        </w:rPr>
      </w:pPr>
      <w:r w:rsidRPr="005F633D">
        <w:rPr>
          <w:rFonts w:eastAsia="Times New Roman" w:cs="Arial"/>
          <w:color w:val="000000"/>
          <w:szCs w:val="40"/>
          <w:lang w:eastAsia="bg-BG"/>
        </w:rPr>
        <w:t>Тейкопланин и разтвори на аминогликозиди са несъвместими и не трябва да бъдат смесвани за инжектиране, обаче, те са съвместими в течности за диализа и могат свободно да се прилагат при лечение на перитонит, свързан с продължителна амбулаторна перитонеална диализа.</w:t>
      </w:r>
    </w:p>
    <w:p w14:paraId="24D7906D" w14:textId="77777777" w:rsidR="005F633D" w:rsidRPr="005F633D" w:rsidRDefault="005F633D" w:rsidP="005F633D">
      <w:pPr>
        <w:spacing w:line="240" w:lineRule="auto"/>
        <w:rPr>
          <w:rFonts w:eastAsia="Times New Roman" w:cs="Arial"/>
          <w:sz w:val="14"/>
          <w:szCs w:val="24"/>
        </w:rPr>
      </w:pPr>
      <w:r w:rsidRPr="005F633D">
        <w:rPr>
          <w:rFonts w:eastAsia="Times New Roman" w:cs="Arial"/>
          <w:color w:val="000000"/>
          <w:szCs w:val="40"/>
          <w:lang w:eastAsia="bg-BG"/>
        </w:rPr>
        <w:t xml:space="preserve">Тейкопланин трябва да се използва внимателно едновременно или след други лекарствени продукти с известен нефротоксичен или ототоксичен потенциал. Те </w:t>
      </w:r>
      <w:r w:rsidRPr="005F633D">
        <w:rPr>
          <w:rFonts w:eastAsia="Times New Roman" w:cs="Arial"/>
          <w:color w:val="000000"/>
          <w:szCs w:val="40"/>
          <w:lang w:eastAsia="bg-BG"/>
        </w:rPr>
        <w:lastRenderedPageBreak/>
        <w:t>включват аминогликозиди, колистин, амфотерицин В, циклоспорин, цисплатин, фуроземид и етакринова киселина (вж. точка 4.4). Въпреки това, няма доказателство за синергична токсичност при комбинации с тейкопланин.</w:t>
      </w:r>
    </w:p>
    <w:p w14:paraId="5BDC7281" w14:textId="77777777" w:rsidR="005F633D" w:rsidRPr="005F633D" w:rsidRDefault="005F633D" w:rsidP="005F633D">
      <w:pPr>
        <w:spacing w:line="240" w:lineRule="auto"/>
        <w:rPr>
          <w:rFonts w:eastAsia="Times New Roman" w:cs="Arial"/>
          <w:color w:val="000000"/>
          <w:szCs w:val="40"/>
          <w:lang w:eastAsia="bg-BG"/>
        </w:rPr>
      </w:pPr>
    </w:p>
    <w:p w14:paraId="7CCC705F" w14:textId="4D65F7B3" w:rsidR="005F633D" w:rsidRPr="005F633D" w:rsidRDefault="005F633D" w:rsidP="005F633D">
      <w:pPr>
        <w:spacing w:line="240" w:lineRule="auto"/>
        <w:rPr>
          <w:rFonts w:eastAsia="Times New Roman" w:cs="Arial"/>
          <w:sz w:val="14"/>
          <w:szCs w:val="24"/>
        </w:rPr>
      </w:pPr>
      <w:r w:rsidRPr="005F633D">
        <w:rPr>
          <w:rFonts w:eastAsia="Times New Roman" w:cs="Arial"/>
          <w:color w:val="000000"/>
          <w:szCs w:val="40"/>
          <w:lang w:eastAsia="bg-BG"/>
        </w:rPr>
        <w:t>В клинични проучвания, тейкопланин е бил прилаган върху много пациенти, които вече са получавали различни лекарства, включително други антибиотици, антихипертензивни, анестетични средства, кардиологични лекарствени продукти и антидиабетни средства, без доказателство за нежелано взаимодействие.</w:t>
      </w:r>
    </w:p>
    <w:p w14:paraId="2A8BB9DC" w14:textId="77777777" w:rsidR="005F633D" w:rsidRPr="005F633D" w:rsidRDefault="005F633D" w:rsidP="005F633D">
      <w:pPr>
        <w:spacing w:line="240" w:lineRule="auto"/>
        <w:rPr>
          <w:rFonts w:eastAsia="Times New Roman" w:cs="Arial"/>
          <w:color w:val="000000"/>
          <w:szCs w:val="40"/>
          <w:u w:val="single"/>
          <w:lang w:eastAsia="bg-BG"/>
        </w:rPr>
      </w:pPr>
    </w:p>
    <w:p w14:paraId="49FFF75B" w14:textId="3C231FE7" w:rsidR="005F633D" w:rsidRPr="005F633D" w:rsidRDefault="005F633D" w:rsidP="005F633D">
      <w:pPr>
        <w:spacing w:line="240" w:lineRule="auto"/>
        <w:rPr>
          <w:rFonts w:eastAsia="Times New Roman" w:cs="Arial"/>
          <w:sz w:val="14"/>
          <w:szCs w:val="24"/>
        </w:rPr>
      </w:pPr>
      <w:r w:rsidRPr="005F633D">
        <w:rPr>
          <w:rFonts w:eastAsia="Times New Roman" w:cs="Arial"/>
          <w:color w:val="000000"/>
          <w:szCs w:val="40"/>
          <w:u w:val="single"/>
          <w:lang w:eastAsia="bg-BG"/>
        </w:rPr>
        <w:t>Педиатрична популация</w:t>
      </w:r>
    </w:p>
    <w:p w14:paraId="7BC127DC" w14:textId="77777777" w:rsidR="005F633D" w:rsidRPr="005F633D" w:rsidRDefault="005F633D" w:rsidP="005F633D">
      <w:pPr>
        <w:spacing w:line="240" w:lineRule="auto"/>
        <w:rPr>
          <w:rFonts w:eastAsia="Times New Roman" w:cs="Arial"/>
          <w:sz w:val="14"/>
          <w:szCs w:val="24"/>
        </w:rPr>
      </w:pPr>
      <w:r w:rsidRPr="005F633D">
        <w:rPr>
          <w:rFonts w:eastAsia="Times New Roman" w:cs="Arial"/>
          <w:color w:val="000000"/>
          <w:szCs w:val="40"/>
          <w:lang w:eastAsia="bg-BG"/>
        </w:rPr>
        <w:t>Проучвания за взаимодействията са провеждани само при възрастни.</w:t>
      </w:r>
    </w:p>
    <w:p w14:paraId="3CFC9CF2" w14:textId="77777777" w:rsidR="005F633D" w:rsidRPr="005F633D" w:rsidRDefault="005F633D" w:rsidP="005F633D"/>
    <w:p w14:paraId="6EADE4D6" w14:textId="644C423E" w:rsidR="00395555" w:rsidRDefault="002C50EE" w:rsidP="008A6AF2">
      <w:pPr>
        <w:pStyle w:val="Heading2"/>
      </w:pPr>
      <w:r>
        <w:t>4.6. Фертилитет, бременност и кърмене</w:t>
      </w:r>
    </w:p>
    <w:p w14:paraId="5C9622DB" w14:textId="06C41FB4" w:rsidR="005F633D" w:rsidRDefault="005F633D" w:rsidP="005F633D"/>
    <w:p w14:paraId="4A01D480" w14:textId="77777777" w:rsidR="005F633D" w:rsidRPr="005F633D" w:rsidRDefault="005F633D" w:rsidP="005F633D">
      <w:pPr>
        <w:pStyle w:val="Heading3"/>
        <w:rPr>
          <w:rFonts w:eastAsia="Times New Roman"/>
          <w:u w:val="single"/>
        </w:rPr>
      </w:pPr>
      <w:r w:rsidRPr="005F633D">
        <w:rPr>
          <w:rFonts w:eastAsia="Times New Roman"/>
          <w:u w:val="single"/>
          <w:lang w:eastAsia="bg-BG"/>
        </w:rPr>
        <w:t>Бременност</w:t>
      </w:r>
    </w:p>
    <w:p w14:paraId="2D5BF573" w14:textId="77777777" w:rsidR="005F633D" w:rsidRPr="005F633D" w:rsidRDefault="005F633D" w:rsidP="005F633D">
      <w:pPr>
        <w:spacing w:line="240" w:lineRule="auto"/>
        <w:rPr>
          <w:rFonts w:eastAsia="Times New Roman" w:cs="Arial"/>
        </w:rPr>
      </w:pPr>
      <w:r w:rsidRPr="005F633D">
        <w:rPr>
          <w:rFonts w:eastAsia="Times New Roman" w:cs="Arial"/>
          <w:color w:val="000000"/>
          <w:lang w:eastAsia="bg-BG"/>
        </w:rPr>
        <w:t>Има ограничени данни от употребата на тейкопланин при бременни жени. Проучванията при животни показват репродуктивна токсичност при високи дози (вж. точка 5.3): при плъхове има повишена честота на мъртвородени и неонатална смъртност. Потенциалният риск при хора е неизвестен.</w:t>
      </w:r>
    </w:p>
    <w:p w14:paraId="3BE410B3" w14:textId="77777777" w:rsidR="005F633D" w:rsidRPr="005F633D" w:rsidRDefault="005F633D" w:rsidP="005F633D">
      <w:pPr>
        <w:spacing w:line="240" w:lineRule="auto"/>
        <w:rPr>
          <w:rFonts w:eastAsia="Times New Roman" w:cs="Arial"/>
        </w:rPr>
      </w:pPr>
      <w:r w:rsidRPr="005F633D">
        <w:rPr>
          <w:rFonts w:eastAsia="Times New Roman" w:cs="Arial"/>
          <w:color w:val="000000"/>
          <w:lang w:eastAsia="bg-BG"/>
        </w:rPr>
        <w:t>Поради това, тейкопланин не трябва да бъде употребяван по време на бременност, освен ако не е абсолютно необходимо. Не може да бъде изключен потенциален риск от увреждане на вътрешното ухо и бъбреците на фетуса (вж. точка 4.4).</w:t>
      </w:r>
    </w:p>
    <w:p w14:paraId="05DB2382" w14:textId="77777777" w:rsidR="005F633D" w:rsidRPr="005F633D" w:rsidRDefault="005F633D" w:rsidP="005F633D">
      <w:pPr>
        <w:spacing w:line="240" w:lineRule="auto"/>
        <w:rPr>
          <w:rFonts w:eastAsia="Times New Roman" w:cs="Arial"/>
          <w:color w:val="000000"/>
          <w:u w:val="single"/>
          <w:lang w:eastAsia="bg-BG"/>
        </w:rPr>
      </w:pPr>
    </w:p>
    <w:p w14:paraId="3761674A" w14:textId="19CA6D98" w:rsidR="005F633D" w:rsidRPr="005F633D" w:rsidRDefault="005F633D" w:rsidP="005F633D">
      <w:pPr>
        <w:pStyle w:val="Heading3"/>
        <w:rPr>
          <w:rFonts w:eastAsia="Times New Roman"/>
          <w:u w:val="single"/>
        </w:rPr>
      </w:pPr>
      <w:r w:rsidRPr="005F633D">
        <w:rPr>
          <w:rFonts w:eastAsia="Times New Roman"/>
          <w:u w:val="single"/>
          <w:lang w:eastAsia="bg-BG"/>
        </w:rPr>
        <w:t>Кърмене</w:t>
      </w:r>
    </w:p>
    <w:p w14:paraId="2EC44791" w14:textId="77777777" w:rsidR="005F633D" w:rsidRPr="005F633D" w:rsidRDefault="005F633D" w:rsidP="005F633D">
      <w:pPr>
        <w:spacing w:line="240" w:lineRule="auto"/>
        <w:rPr>
          <w:rFonts w:eastAsia="Times New Roman" w:cs="Arial"/>
        </w:rPr>
      </w:pPr>
      <w:r w:rsidRPr="005F633D">
        <w:rPr>
          <w:rFonts w:eastAsia="Times New Roman" w:cs="Arial"/>
          <w:color w:val="000000"/>
          <w:lang w:eastAsia="bg-BG"/>
        </w:rPr>
        <w:t>Не е известно дали тейкопланин се екскретира в кърмата. Няма информация относно екскрецията на тейкопланин в млякото на животни. Трябва да се вземе решение дали да се продължи/преустанови кърменето или да се продължи/ преустанови терапията с тейкопланин, като се вземат предвид ползата от кърменето за детето и ползата от терапията с тейкопланин за майката.</w:t>
      </w:r>
    </w:p>
    <w:p w14:paraId="0428517A" w14:textId="77777777" w:rsidR="005F633D" w:rsidRPr="005F633D" w:rsidRDefault="005F633D" w:rsidP="005F633D">
      <w:pPr>
        <w:spacing w:line="240" w:lineRule="auto"/>
        <w:rPr>
          <w:rFonts w:eastAsia="Times New Roman" w:cs="Arial"/>
          <w:color w:val="000000"/>
          <w:u w:val="single"/>
          <w:lang w:eastAsia="bg-BG"/>
        </w:rPr>
      </w:pPr>
    </w:p>
    <w:p w14:paraId="3AFA5CAB" w14:textId="75F647AB" w:rsidR="005F633D" w:rsidRPr="005F633D" w:rsidRDefault="005F633D" w:rsidP="005F633D">
      <w:pPr>
        <w:pStyle w:val="Heading3"/>
        <w:rPr>
          <w:rFonts w:eastAsia="Times New Roman"/>
          <w:u w:val="single"/>
        </w:rPr>
      </w:pPr>
      <w:r w:rsidRPr="005F633D">
        <w:rPr>
          <w:rFonts w:eastAsia="Times New Roman"/>
          <w:u w:val="single"/>
          <w:lang w:eastAsia="bg-BG"/>
        </w:rPr>
        <w:t>Фертилитет</w:t>
      </w:r>
    </w:p>
    <w:p w14:paraId="31C1E18A" w14:textId="77777777" w:rsidR="005F633D" w:rsidRPr="005F633D" w:rsidRDefault="005F633D" w:rsidP="005F633D">
      <w:pPr>
        <w:spacing w:line="240" w:lineRule="auto"/>
        <w:rPr>
          <w:rFonts w:eastAsia="Times New Roman" w:cs="Arial"/>
        </w:rPr>
      </w:pPr>
      <w:r w:rsidRPr="005F633D">
        <w:rPr>
          <w:rFonts w:eastAsia="Times New Roman" w:cs="Arial"/>
          <w:color w:val="000000"/>
          <w:lang w:eastAsia="bg-BG"/>
        </w:rPr>
        <w:t>Репродуктивни проучвания при животни не са показали доказателство за нарушен фертилитет.</w:t>
      </w:r>
    </w:p>
    <w:p w14:paraId="2D00DE56" w14:textId="77777777" w:rsidR="005F633D" w:rsidRPr="005F633D" w:rsidRDefault="005F633D" w:rsidP="005F633D"/>
    <w:p w14:paraId="5766770B" w14:textId="28E856DD" w:rsidR="00395555" w:rsidRDefault="002C50EE" w:rsidP="008A6AF2">
      <w:pPr>
        <w:pStyle w:val="Heading2"/>
      </w:pPr>
      <w:r>
        <w:t>4.7. Ефекти върху способността за шофиране и работа с машини</w:t>
      </w:r>
    </w:p>
    <w:p w14:paraId="745916E0" w14:textId="18CF913A" w:rsidR="005F633D" w:rsidRDefault="005F633D" w:rsidP="005F633D"/>
    <w:p w14:paraId="55CF83A4" w14:textId="77777777" w:rsidR="005F633D" w:rsidRPr="005F633D" w:rsidRDefault="005F633D" w:rsidP="005F633D">
      <w:pPr>
        <w:rPr>
          <w:sz w:val="24"/>
          <w:szCs w:val="24"/>
        </w:rPr>
      </w:pPr>
      <w:r w:rsidRPr="005F633D">
        <w:rPr>
          <w:lang w:val="en-US"/>
        </w:rPr>
        <w:t>Tap</w:t>
      </w:r>
      <w:r w:rsidRPr="005F633D">
        <w:rPr>
          <w:lang w:eastAsia="bg-BG"/>
        </w:rPr>
        <w:t>гоцид повлиява в малка степен способността за шофиране и работа с машини.</w:t>
      </w:r>
    </w:p>
    <w:p w14:paraId="6E032FAA" w14:textId="5B0508ED" w:rsidR="005F633D" w:rsidRDefault="005F633D" w:rsidP="005F633D">
      <w:pPr>
        <w:rPr>
          <w:lang w:eastAsia="bg-BG"/>
        </w:rPr>
      </w:pPr>
      <w:r w:rsidRPr="005F633D">
        <w:rPr>
          <w:lang w:eastAsia="bg-BG"/>
        </w:rPr>
        <w:t>Тейкопланин може да причини замайване и главоболие. Способността за шофиране или работа с машини може да бъде засегната. Пациенти, които имат тези нежелани реакции не трябва да шофират и да работят с машини.</w:t>
      </w:r>
    </w:p>
    <w:p w14:paraId="6B345EA9" w14:textId="77777777" w:rsidR="005F633D" w:rsidRPr="005F633D" w:rsidRDefault="005F633D" w:rsidP="005F633D"/>
    <w:p w14:paraId="4FE16E21" w14:textId="55F2D544" w:rsidR="00395555" w:rsidRDefault="002C50EE" w:rsidP="008A6AF2">
      <w:pPr>
        <w:pStyle w:val="Heading2"/>
      </w:pPr>
      <w:r>
        <w:t>4.8. Нежелани лекарствени реакции</w:t>
      </w:r>
    </w:p>
    <w:p w14:paraId="1E56263C" w14:textId="4D0F3351" w:rsidR="005F633D" w:rsidRDefault="005F633D" w:rsidP="005F633D"/>
    <w:p w14:paraId="136FFE78" w14:textId="77777777" w:rsidR="005F633D" w:rsidRPr="005F633D" w:rsidRDefault="005F633D" w:rsidP="005F633D">
      <w:pPr>
        <w:spacing w:line="240" w:lineRule="auto"/>
        <w:rPr>
          <w:rFonts w:eastAsia="Times New Roman" w:cs="Arial"/>
          <w:sz w:val="14"/>
          <w:szCs w:val="24"/>
        </w:rPr>
      </w:pPr>
      <w:r w:rsidRPr="005F633D">
        <w:rPr>
          <w:rFonts w:eastAsia="Times New Roman" w:cs="Arial"/>
          <w:color w:val="000000"/>
          <w:szCs w:val="40"/>
          <w:u w:val="single"/>
          <w:lang w:eastAsia="bg-BG"/>
        </w:rPr>
        <w:t>Табличен списък на нежеланите реакции</w:t>
      </w:r>
    </w:p>
    <w:p w14:paraId="4A820FD2" w14:textId="77777777" w:rsidR="005F633D" w:rsidRPr="005F633D" w:rsidRDefault="005F633D" w:rsidP="005F633D">
      <w:pPr>
        <w:spacing w:line="240" w:lineRule="auto"/>
        <w:rPr>
          <w:rFonts w:eastAsia="Times New Roman" w:cs="Arial"/>
          <w:sz w:val="14"/>
          <w:szCs w:val="24"/>
        </w:rPr>
      </w:pPr>
      <w:r w:rsidRPr="005F633D">
        <w:rPr>
          <w:rFonts w:eastAsia="Times New Roman" w:cs="Arial"/>
          <w:color w:val="000000"/>
          <w:szCs w:val="40"/>
          <w:lang w:eastAsia="bg-BG"/>
        </w:rPr>
        <w:t>В таблицата по-долу са изброени всички нежелани реакции, които са настъпили с честота по-висока, отколкото при плацебо и при повече от един пациент, като е използвана следната конвенция:</w:t>
      </w:r>
    </w:p>
    <w:p w14:paraId="426BECF9" w14:textId="621A3493" w:rsidR="005F633D" w:rsidRPr="005F633D" w:rsidRDefault="005F633D" w:rsidP="005F633D">
      <w:pPr>
        <w:spacing w:line="240" w:lineRule="auto"/>
        <w:rPr>
          <w:rFonts w:eastAsia="Times New Roman" w:cs="Arial"/>
          <w:sz w:val="14"/>
          <w:szCs w:val="24"/>
        </w:rPr>
      </w:pPr>
      <w:r>
        <w:rPr>
          <w:rFonts w:eastAsia="Times New Roman" w:cs="Arial"/>
          <w:color w:val="000000"/>
          <w:szCs w:val="40"/>
          <w:lang w:eastAsia="bg-BG"/>
        </w:rPr>
        <w:lastRenderedPageBreak/>
        <w:t>Много чести (</w:t>
      </w:r>
      <w:r w:rsidRPr="005F633D">
        <w:rPr>
          <w:rFonts w:eastAsia="Times New Roman" w:cs="Arial"/>
          <w:color w:val="000000"/>
          <w:szCs w:val="40"/>
          <w:lang w:eastAsia="bg-BG"/>
        </w:rPr>
        <w:t>≥</w:t>
      </w:r>
      <w:r>
        <w:rPr>
          <w:rFonts w:eastAsia="Times New Roman" w:cs="Arial"/>
          <w:color w:val="000000"/>
          <w:szCs w:val="40"/>
          <w:lang w:eastAsia="bg-BG"/>
        </w:rPr>
        <w:t>1/10); чести (</w:t>
      </w:r>
      <w:r w:rsidRPr="005F633D">
        <w:rPr>
          <w:rFonts w:eastAsia="Times New Roman" w:cs="Arial"/>
          <w:color w:val="000000"/>
          <w:szCs w:val="40"/>
          <w:lang w:eastAsia="bg-BG"/>
        </w:rPr>
        <w:t>≥</w:t>
      </w:r>
      <w:r>
        <w:rPr>
          <w:rFonts w:eastAsia="Times New Roman" w:cs="Arial"/>
          <w:color w:val="000000"/>
          <w:szCs w:val="40"/>
          <w:lang w:eastAsia="bg-BG"/>
        </w:rPr>
        <w:t>1/100 до &lt;1/10); нечести (</w:t>
      </w:r>
      <w:r w:rsidRPr="005F633D">
        <w:rPr>
          <w:rFonts w:eastAsia="Times New Roman" w:cs="Arial"/>
          <w:color w:val="000000"/>
          <w:szCs w:val="40"/>
          <w:lang w:eastAsia="bg-BG"/>
        </w:rPr>
        <w:t>≥</w:t>
      </w:r>
      <w:r>
        <w:rPr>
          <w:rFonts w:eastAsia="Times New Roman" w:cs="Arial"/>
          <w:color w:val="000000"/>
          <w:szCs w:val="40"/>
          <w:lang w:eastAsia="bg-BG"/>
        </w:rPr>
        <w:t>1/1 000 до &lt;1/100); редки (</w:t>
      </w:r>
      <w:r w:rsidRPr="005F633D">
        <w:rPr>
          <w:rFonts w:eastAsia="Times New Roman" w:cs="Arial"/>
          <w:color w:val="000000"/>
          <w:szCs w:val="40"/>
          <w:lang w:eastAsia="bg-BG"/>
        </w:rPr>
        <w:t>≥1/10 000 до &lt;1/1 000);много редки (&lt;1/10 000); с неизвестна честота (от наличните данни не може да бъде направена оценка).</w:t>
      </w:r>
    </w:p>
    <w:p w14:paraId="5C281062" w14:textId="77777777" w:rsidR="005F633D" w:rsidRPr="005F633D" w:rsidRDefault="005F633D" w:rsidP="005F633D">
      <w:pPr>
        <w:spacing w:line="240" w:lineRule="auto"/>
        <w:rPr>
          <w:rFonts w:eastAsia="Times New Roman" w:cs="Arial"/>
          <w:color w:val="000000"/>
          <w:szCs w:val="40"/>
          <w:lang w:eastAsia="bg-BG"/>
        </w:rPr>
      </w:pPr>
    </w:p>
    <w:p w14:paraId="416EED7D" w14:textId="3657AA2B" w:rsidR="005F633D" w:rsidRPr="005F633D" w:rsidRDefault="005F633D" w:rsidP="005F633D">
      <w:pPr>
        <w:spacing w:line="240" w:lineRule="auto"/>
        <w:rPr>
          <w:rFonts w:eastAsia="Times New Roman" w:cs="Arial"/>
          <w:sz w:val="14"/>
          <w:szCs w:val="24"/>
        </w:rPr>
      </w:pPr>
      <w:r w:rsidRPr="005F633D">
        <w:rPr>
          <w:rFonts w:eastAsia="Times New Roman" w:cs="Arial"/>
          <w:color w:val="000000"/>
          <w:szCs w:val="40"/>
          <w:lang w:eastAsia="bg-BG"/>
        </w:rPr>
        <w:t>При всяко групиране по честота, нежеланите реакции са представени в низходящ ред по отношение на тяхната сериозност.</w:t>
      </w:r>
    </w:p>
    <w:p w14:paraId="5E852E8C" w14:textId="77777777" w:rsidR="005F633D" w:rsidRPr="005F633D" w:rsidRDefault="005F633D" w:rsidP="005F633D">
      <w:pPr>
        <w:rPr>
          <w:rFonts w:eastAsia="Times New Roman" w:cs="Arial"/>
          <w:color w:val="000000"/>
          <w:szCs w:val="40"/>
          <w:lang w:eastAsia="bg-BG"/>
        </w:rPr>
      </w:pPr>
    </w:p>
    <w:p w14:paraId="099FE487" w14:textId="4835EA55" w:rsidR="005F633D" w:rsidRDefault="005F633D" w:rsidP="005F633D">
      <w:pPr>
        <w:rPr>
          <w:rFonts w:eastAsia="Times New Roman" w:cs="Arial"/>
          <w:color w:val="000000"/>
          <w:szCs w:val="40"/>
          <w:lang w:eastAsia="bg-BG"/>
        </w:rPr>
      </w:pPr>
      <w:r w:rsidRPr="005F633D">
        <w:rPr>
          <w:rFonts w:eastAsia="Times New Roman" w:cs="Arial"/>
          <w:color w:val="000000"/>
          <w:szCs w:val="40"/>
          <w:lang w:eastAsia="bg-BG"/>
        </w:rPr>
        <w:t xml:space="preserve">Когато се прилагат дози тейкопланин от 12 </w:t>
      </w:r>
      <w:r w:rsidRPr="005F633D">
        <w:rPr>
          <w:rFonts w:eastAsia="Times New Roman" w:cs="Arial"/>
          <w:color w:val="000000"/>
          <w:szCs w:val="40"/>
          <w:lang w:val="en-US"/>
        </w:rPr>
        <w:t>mg</w:t>
      </w:r>
      <w:r w:rsidRPr="005F633D">
        <w:rPr>
          <w:rFonts w:eastAsia="Times New Roman" w:cs="Arial"/>
          <w:color w:val="000000"/>
          <w:szCs w:val="40"/>
          <w:lang w:val="ru-RU"/>
        </w:rPr>
        <w:t>/</w:t>
      </w:r>
      <w:r w:rsidRPr="005F633D">
        <w:rPr>
          <w:rFonts w:eastAsia="Times New Roman" w:cs="Arial"/>
          <w:color w:val="000000"/>
          <w:szCs w:val="40"/>
          <w:lang w:val="en-US"/>
        </w:rPr>
        <w:t>kg</w:t>
      </w:r>
      <w:r w:rsidRPr="005F633D">
        <w:rPr>
          <w:rFonts w:eastAsia="Times New Roman" w:cs="Arial"/>
          <w:color w:val="000000"/>
          <w:szCs w:val="40"/>
          <w:lang w:val="ru-RU"/>
        </w:rPr>
        <w:t xml:space="preserve"> </w:t>
      </w:r>
      <w:r w:rsidRPr="005F633D">
        <w:rPr>
          <w:rFonts w:eastAsia="Times New Roman" w:cs="Arial"/>
          <w:color w:val="000000"/>
          <w:szCs w:val="40"/>
          <w:lang w:eastAsia="bg-BG"/>
        </w:rPr>
        <w:t>телесно тегло два пъти дневно, трябва да се проследява за нежелани лекарствени реакции (вж. точка 4.4).</w:t>
      </w:r>
    </w:p>
    <w:tbl>
      <w:tblPr>
        <w:tblStyle w:val="TableGrid"/>
        <w:tblW w:w="0" w:type="auto"/>
        <w:tblLook w:val="04A0" w:firstRow="1" w:lastRow="0" w:firstColumn="1" w:lastColumn="0" w:noHBand="0" w:noVBand="1"/>
      </w:tblPr>
      <w:tblGrid>
        <w:gridCol w:w="1763"/>
        <w:gridCol w:w="1144"/>
        <w:gridCol w:w="2087"/>
        <w:gridCol w:w="1509"/>
        <w:gridCol w:w="888"/>
        <w:gridCol w:w="1959"/>
      </w:tblGrid>
      <w:tr w:rsidR="005F633D" w14:paraId="5CD0B99B" w14:textId="77777777" w:rsidTr="005F633D">
        <w:tc>
          <w:tcPr>
            <w:tcW w:w="1774" w:type="dxa"/>
          </w:tcPr>
          <w:p w14:paraId="0235E4C8" w14:textId="0B9AED4B" w:rsidR="005F633D" w:rsidRPr="005F633D" w:rsidRDefault="005F633D" w:rsidP="005F633D">
            <w:pPr>
              <w:rPr>
                <w:rFonts w:eastAsia="Times New Roman" w:cs="Arial"/>
                <w:color w:val="000000"/>
                <w:szCs w:val="40"/>
                <w:lang w:eastAsia="bg-BG"/>
              </w:rPr>
            </w:pPr>
            <w:r w:rsidRPr="005F633D">
              <w:rPr>
                <w:b/>
                <w:bCs/>
                <w:szCs w:val="40"/>
              </w:rPr>
              <w:t>Системо- органен клас</w:t>
            </w:r>
          </w:p>
        </w:tc>
        <w:tc>
          <w:tcPr>
            <w:tcW w:w="1192" w:type="dxa"/>
          </w:tcPr>
          <w:p w14:paraId="518E0EAB" w14:textId="77777777" w:rsidR="005F633D" w:rsidRPr="005F633D" w:rsidRDefault="005F633D" w:rsidP="005F633D">
            <w:r w:rsidRPr="005F633D">
              <w:rPr>
                <w:b/>
                <w:bCs/>
                <w:szCs w:val="40"/>
              </w:rPr>
              <w:t>Чести (</w:t>
            </w:r>
            <w:r w:rsidRPr="005F633D">
              <w:rPr>
                <w:b/>
                <w:bCs/>
                <w:szCs w:val="40"/>
                <w:lang w:val="en-US"/>
              </w:rPr>
              <w:t>≥</w:t>
            </w:r>
            <w:r w:rsidRPr="005F633D">
              <w:rPr>
                <w:b/>
                <w:bCs/>
                <w:szCs w:val="40"/>
              </w:rPr>
              <w:t>1/100 до</w:t>
            </w:r>
          </w:p>
          <w:p w14:paraId="68966E86" w14:textId="51D58758" w:rsidR="005F633D" w:rsidRPr="005F633D" w:rsidRDefault="005F633D" w:rsidP="005F633D">
            <w:pPr>
              <w:rPr>
                <w:rFonts w:eastAsia="Times New Roman" w:cs="Arial"/>
                <w:color w:val="000000"/>
                <w:szCs w:val="40"/>
                <w:lang w:eastAsia="bg-BG"/>
              </w:rPr>
            </w:pPr>
            <w:r w:rsidRPr="005F633D">
              <w:rPr>
                <w:b/>
                <w:bCs/>
                <w:szCs w:val="40"/>
              </w:rPr>
              <w:t>&lt;1/10)</w:t>
            </w:r>
          </w:p>
        </w:tc>
        <w:tc>
          <w:tcPr>
            <w:tcW w:w="2100" w:type="dxa"/>
          </w:tcPr>
          <w:p w14:paraId="07B610EA" w14:textId="77777777" w:rsidR="005F633D" w:rsidRPr="005F633D" w:rsidRDefault="005F633D" w:rsidP="005F633D">
            <w:r w:rsidRPr="005F633D">
              <w:rPr>
                <w:b/>
                <w:bCs/>
                <w:szCs w:val="40"/>
              </w:rPr>
              <w:t>Нечести (</w:t>
            </w:r>
            <w:r w:rsidRPr="005F633D">
              <w:rPr>
                <w:b/>
                <w:bCs/>
                <w:szCs w:val="40"/>
                <w:lang w:val="en-US"/>
              </w:rPr>
              <w:t>≥</w:t>
            </w:r>
            <w:r w:rsidRPr="005F633D">
              <w:rPr>
                <w:b/>
                <w:bCs/>
                <w:szCs w:val="40"/>
              </w:rPr>
              <w:t>1/1 000 до</w:t>
            </w:r>
          </w:p>
          <w:p w14:paraId="6E1AE86A" w14:textId="6EB3A198" w:rsidR="005F633D" w:rsidRPr="005F633D" w:rsidRDefault="005F633D" w:rsidP="005F633D">
            <w:pPr>
              <w:rPr>
                <w:rFonts w:eastAsia="Times New Roman" w:cs="Arial"/>
                <w:color w:val="000000"/>
                <w:szCs w:val="40"/>
                <w:lang w:eastAsia="bg-BG"/>
              </w:rPr>
            </w:pPr>
            <w:r w:rsidRPr="005F633D">
              <w:rPr>
                <w:b/>
                <w:bCs/>
                <w:szCs w:val="40"/>
              </w:rPr>
              <w:t>&lt;1/100)</w:t>
            </w:r>
          </w:p>
        </w:tc>
        <w:tc>
          <w:tcPr>
            <w:tcW w:w="1518" w:type="dxa"/>
          </w:tcPr>
          <w:p w14:paraId="19532445" w14:textId="7C4B3415" w:rsidR="005F633D" w:rsidRPr="005F633D" w:rsidRDefault="005F633D" w:rsidP="005F633D">
            <w:pPr>
              <w:rPr>
                <w:rFonts w:eastAsia="Times New Roman" w:cs="Arial"/>
                <w:color w:val="000000"/>
                <w:szCs w:val="40"/>
                <w:lang w:eastAsia="bg-BG"/>
              </w:rPr>
            </w:pPr>
            <w:r w:rsidRPr="005F633D">
              <w:rPr>
                <w:b/>
                <w:bCs/>
                <w:szCs w:val="40"/>
              </w:rPr>
              <w:t>Редки (</w:t>
            </w:r>
            <w:r w:rsidRPr="005F633D">
              <w:rPr>
                <w:b/>
                <w:bCs/>
                <w:szCs w:val="40"/>
                <w:lang w:val="en-US"/>
              </w:rPr>
              <w:t>≥</w:t>
            </w:r>
            <w:r w:rsidRPr="005F633D">
              <w:rPr>
                <w:b/>
                <w:bCs/>
                <w:szCs w:val="40"/>
              </w:rPr>
              <w:t>1/10 000 до &lt;1/1 000)</w:t>
            </w:r>
          </w:p>
        </w:tc>
        <w:tc>
          <w:tcPr>
            <w:tcW w:w="1020" w:type="dxa"/>
          </w:tcPr>
          <w:p w14:paraId="25A324FD" w14:textId="6C1A112C" w:rsidR="005F633D" w:rsidRPr="005F633D" w:rsidRDefault="005F633D" w:rsidP="005F633D">
            <w:pPr>
              <w:rPr>
                <w:rFonts w:eastAsia="Times New Roman" w:cs="Arial"/>
                <w:color w:val="000000"/>
                <w:szCs w:val="40"/>
                <w:lang w:eastAsia="bg-BG"/>
              </w:rPr>
            </w:pPr>
            <w:r w:rsidRPr="005F633D">
              <w:rPr>
                <w:b/>
                <w:bCs/>
                <w:szCs w:val="40"/>
              </w:rPr>
              <w:t>Много редки (&lt;1/10 000)</w:t>
            </w:r>
          </w:p>
        </w:tc>
        <w:tc>
          <w:tcPr>
            <w:tcW w:w="1972" w:type="dxa"/>
          </w:tcPr>
          <w:p w14:paraId="7ECEC10B" w14:textId="3F11B574" w:rsidR="005F633D" w:rsidRPr="005F633D" w:rsidRDefault="005F633D" w:rsidP="005F633D">
            <w:pPr>
              <w:rPr>
                <w:rFonts w:eastAsia="Times New Roman" w:cs="Arial"/>
                <w:color w:val="000000"/>
                <w:szCs w:val="40"/>
                <w:lang w:eastAsia="bg-BG"/>
              </w:rPr>
            </w:pPr>
            <w:r w:rsidRPr="005F633D">
              <w:rPr>
                <w:b/>
                <w:bCs/>
                <w:szCs w:val="40"/>
              </w:rPr>
              <w:t>С неизвестна честота (от наличните данни не може да бъде направена оценка)</w:t>
            </w:r>
          </w:p>
        </w:tc>
      </w:tr>
      <w:tr w:rsidR="005F633D" w14:paraId="1B0B3797" w14:textId="77777777" w:rsidTr="005F633D">
        <w:tc>
          <w:tcPr>
            <w:tcW w:w="1774" w:type="dxa"/>
          </w:tcPr>
          <w:p w14:paraId="4E6D5DD4" w14:textId="256AEF58" w:rsidR="005F633D" w:rsidRPr="005F633D" w:rsidRDefault="005F633D" w:rsidP="005F633D">
            <w:pPr>
              <w:rPr>
                <w:rFonts w:eastAsia="Times New Roman" w:cs="Arial"/>
                <w:color w:val="000000"/>
                <w:szCs w:val="40"/>
                <w:lang w:eastAsia="bg-BG"/>
              </w:rPr>
            </w:pPr>
            <w:r w:rsidRPr="005F633D">
              <w:rPr>
                <w:szCs w:val="40"/>
              </w:rPr>
              <w:t>Инфекции и инфестации</w:t>
            </w:r>
          </w:p>
        </w:tc>
        <w:tc>
          <w:tcPr>
            <w:tcW w:w="1192" w:type="dxa"/>
          </w:tcPr>
          <w:p w14:paraId="54B564C8" w14:textId="77777777" w:rsidR="005F633D" w:rsidRPr="005F633D" w:rsidRDefault="005F633D" w:rsidP="005F633D">
            <w:pPr>
              <w:rPr>
                <w:rFonts w:eastAsia="Times New Roman" w:cs="Arial"/>
                <w:color w:val="000000"/>
                <w:szCs w:val="40"/>
                <w:lang w:eastAsia="bg-BG"/>
              </w:rPr>
            </w:pPr>
          </w:p>
        </w:tc>
        <w:tc>
          <w:tcPr>
            <w:tcW w:w="2100" w:type="dxa"/>
          </w:tcPr>
          <w:p w14:paraId="4DE83388" w14:textId="77777777" w:rsidR="005F633D" w:rsidRPr="005F633D" w:rsidRDefault="005F633D" w:rsidP="005F633D">
            <w:pPr>
              <w:rPr>
                <w:rFonts w:eastAsia="Times New Roman" w:cs="Arial"/>
                <w:color w:val="000000"/>
                <w:szCs w:val="40"/>
                <w:lang w:eastAsia="bg-BG"/>
              </w:rPr>
            </w:pPr>
          </w:p>
        </w:tc>
        <w:tc>
          <w:tcPr>
            <w:tcW w:w="1518" w:type="dxa"/>
          </w:tcPr>
          <w:p w14:paraId="600DD14E" w14:textId="126CD265" w:rsidR="005F633D" w:rsidRPr="005F633D" w:rsidRDefault="005F633D" w:rsidP="005F633D">
            <w:pPr>
              <w:rPr>
                <w:rFonts w:eastAsia="Times New Roman" w:cs="Arial"/>
                <w:color w:val="000000"/>
                <w:szCs w:val="40"/>
                <w:lang w:eastAsia="bg-BG"/>
              </w:rPr>
            </w:pPr>
            <w:r w:rsidRPr="005F633D">
              <w:rPr>
                <w:szCs w:val="40"/>
              </w:rPr>
              <w:t>Абсцес</w:t>
            </w:r>
          </w:p>
        </w:tc>
        <w:tc>
          <w:tcPr>
            <w:tcW w:w="1020" w:type="dxa"/>
          </w:tcPr>
          <w:p w14:paraId="0D238291" w14:textId="77777777" w:rsidR="005F633D" w:rsidRPr="005F633D" w:rsidRDefault="005F633D" w:rsidP="005F633D">
            <w:pPr>
              <w:rPr>
                <w:rFonts w:eastAsia="Times New Roman" w:cs="Arial"/>
                <w:color w:val="000000"/>
                <w:szCs w:val="40"/>
                <w:lang w:eastAsia="bg-BG"/>
              </w:rPr>
            </w:pPr>
          </w:p>
        </w:tc>
        <w:tc>
          <w:tcPr>
            <w:tcW w:w="1972" w:type="dxa"/>
          </w:tcPr>
          <w:p w14:paraId="2654B75D" w14:textId="73D034D8" w:rsidR="005F633D" w:rsidRPr="005F633D" w:rsidRDefault="005F633D" w:rsidP="005F633D">
            <w:pPr>
              <w:rPr>
                <w:rFonts w:eastAsia="Times New Roman" w:cs="Arial"/>
                <w:color w:val="000000"/>
                <w:szCs w:val="40"/>
                <w:lang w:eastAsia="bg-BG"/>
              </w:rPr>
            </w:pPr>
            <w:r w:rsidRPr="005F633D">
              <w:rPr>
                <w:szCs w:val="40"/>
              </w:rPr>
              <w:t>Суперинфекция (свръхрастеж на нечувствителни микроорганизми)</w:t>
            </w:r>
          </w:p>
        </w:tc>
      </w:tr>
      <w:tr w:rsidR="005F633D" w14:paraId="65A90FCD" w14:textId="77777777" w:rsidTr="005F633D">
        <w:tc>
          <w:tcPr>
            <w:tcW w:w="1774" w:type="dxa"/>
          </w:tcPr>
          <w:p w14:paraId="1860564D" w14:textId="15883F9A" w:rsidR="005F633D" w:rsidRPr="005F633D" w:rsidRDefault="005F633D" w:rsidP="005F633D">
            <w:pPr>
              <w:rPr>
                <w:rFonts w:eastAsia="Times New Roman" w:cs="Arial"/>
                <w:color w:val="000000"/>
                <w:szCs w:val="40"/>
                <w:lang w:eastAsia="bg-BG"/>
              </w:rPr>
            </w:pPr>
            <w:r w:rsidRPr="005F633D">
              <w:rPr>
                <w:szCs w:val="40"/>
              </w:rPr>
              <w:t>Нарушения на кръвта и лимфната система</w:t>
            </w:r>
          </w:p>
        </w:tc>
        <w:tc>
          <w:tcPr>
            <w:tcW w:w="1192" w:type="dxa"/>
          </w:tcPr>
          <w:p w14:paraId="42DB9586" w14:textId="77777777" w:rsidR="005F633D" w:rsidRPr="005F633D" w:rsidRDefault="005F633D" w:rsidP="005F633D">
            <w:pPr>
              <w:rPr>
                <w:rFonts w:eastAsia="Times New Roman" w:cs="Arial"/>
                <w:color w:val="000000"/>
                <w:szCs w:val="40"/>
                <w:lang w:eastAsia="bg-BG"/>
              </w:rPr>
            </w:pPr>
          </w:p>
        </w:tc>
        <w:tc>
          <w:tcPr>
            <w:tcW w:w="2100" w:type="dxa"/>
          </w:tcPr>
          <w:p w14:paraId="7D040F71" w14:textId="26FCB79C" w:rsidR="005F633D" w:rsidRPr="005F633D" w:rsidRDefault="005F633D" w:rsidP="005F633D">
            <w:pPr>
              <w:rPr>
                <w:rFonts w:eastAsia="Times New Roman" w:cs="Arial"/>
                <w:color w:val="000000"/>
                <w:szCs w:val="40"/>
                <w:lang w:eastAsia="bg-BG"/>
              </w:rPr>
            </w:pPr>
            <w:r w:rsidRPr="005F633D">
              <w:rPr>
                <w:szCs w:val="40"/>
              </w:rPr>
              <w:t>Левкопения, тромбоцитопения, еозинофилия</w:t>
            </w:r>
          </w:p>
        </w:tc>
        <w:tc>
          <w:tcPr>
            <w:tcW w:w="1518" w:type="dxa"/>
          </w:tcPr>
          <w:p w14:paraId="1FD1531F" w14:textId="77777777" w:rsidR="005F633D" w:rsidRPr="005F633D" w:rsidRDefault="005F633D" w:rsidP="005F633D">
            <w:pPr>
              <w:rPr>
                <w:rFonts w:eastAsia="Times New Roman" w:cs="Arial"/>
                <w:color w:val="000000"/>
                <w:szCs w:val="40"/>
                <w:lang w:eastAsia="bg-BG"/>
              </w:rPr>
            </w:pPr>
          </w:p>
        </w:tc>
        <w:tc>
          <w:tcPr>
            <w:tcW w:w="1020" w:type="dxa"/>
          </w:tcPr>
          <w:p w14:paraId="3C6E837C" w14:textId="77777777" w:rsidR="005F633D" w:rsidRPr="005F633D" w:rsidRDefault="005F633D" w:rsidP="005F633D">
            <w:pPr>
              <w:rPr>
                <w:rFonts w:eastAsia="Times New Roman" w:cs="Arial"/>
                <w:color w:val="000000"/>
                <w:szCs w:val="40"/>
                <w:lang w:eastAsia="bg-BG"/>
              </w:rPr>
            </w:pPr>
          </w:p>
        </w:tc>
        <w:tc>
          <w:tcPr>
            <w:tcW w:w="1972" w:type="dxa"/>
          </w:tcPr>
          <w:p w14:paraId="76B700DD" w14:textId="481CAC25" w:rsidR="005F633D" w:rsidRPr="005F633D" w:rsidRDefault="005F633D" w:rsidP="005F633D">
            <w:pPr>
              <w:rPr>
                <w:rFonts w:eastAsia="Times New Roman" w:cs="Arial"/>
                <w:color w:val="000000"/>
                <w:szCs w:val="40"/>
                <w:lang w:eastAsia="bg-BG"/>
              </w:rPr>
            </w:pPr>
            <w:r w:rsidRPr="005F633D">
              <w:rPr>
                <w:szCs w:val="40"/>
              </w:rPr>
              <w:t>Агранулоцитоза, неутропения</w:t>
            </w:r>
          </w:p>
        </w:tc>
      </w:tr>
      <w:tr w:rsidR="005F633D" w14:paraId="27CC9BE3" w14:textId="77777777" w:rsidTr="005F633D">
        <w:tc>
          <w:tcPr>
            <w:tcW w:w="1774" w:type="dxa"/>
          </w:tcPr>
          <w:p w14:paraId="21D00C82" w14:textId="0F04E46E" w:rsidR="005F633D" w:rsidRPr="005F633D" w:rsidRDefault="005F633D" w:rsidP="005F633D">
            <w:pPr>
              <w:rPr>
                <w:rFonts w:eastAsia="Times New Roman" w:cs="Arial"/>
                <w:color w:val="000000"/>
                <w:szCs w:val="40"/>
                <w:lang w:eastAsia="bg-BG"/>
              </w:rPr>
            </w:pPr>
            <w:r w:rsidRPr="005F633D">
              <w:rPr>
                <w:szCs w:val="40"/>
              </w:rPr>
              <w:t>Нарушения на имунната система</w:t>
            </w:r>
          </w:p>
        </w:tc>
        <w:tc>
          <w:tcPr>
            <w:tcW w:w="1192" w:type="dxa"/>
          </w:tcPr>
          <w:p w14:paraId="457C9352" w14:textId="77777777" w:rsidR="005F633D" w:rsidRPr="005F633D" w:rsidRDefault="005F633D" w:rsidP="005F633D">
            <w:pPr>
              <w:rPr>
                <w:rFonts w:eastAsia="Times New Roman" w:cs="Arial"/>
                <w:color w:val="000000"/>
                <w:szCs w:val="40"/>
                <w:lang w:eastAsia="bg-BG"/>
              </w:rPr>
            </w:pPr>
          </w:p>
        </w:tc>
        <w:tc>
          <w:tcPr>
            <w:tcW w:w="2100" w:type="dxa"/>
          </w:tcPr>
          <w:p w14:paraId="572C7E30" w14:textId="49BC1365" w:rsidR="005F633D" w:rsidRPr="005F633D" w:rsidRDefault="005F633D" w:rsidP="005F633D">
            <w:pPr>
              <w:rPr>
                <w:rFonts w:eastAsia="Times New Roman" w:cs="Arial"/>
                <w:color w:val="000000"/>
                <w:szCs w:val="40"/>
                <w:lang w:eastAsia="bg-BG"/>
              </w:rPr>
            </w:pPr>
            <w:r w:rsidRPr="005F633D">
              <w:rPr>
                <w:szCs w:val="40"/>
              </w:rPr>
              <w:t>Анафилактична реакция (анафилаксия) (вж. точка 4.4)</w:t>
            </w:r>
          </w:p>
        </w:tc>
        <w:tc>
          <w:tcPr>
            <w:tcW w:w="1518" w:type="dxa"/>
          </w:tcPr>
          <w:p w14:paraId="60F1E9A0" w14:textId="77777777" w:rsidR="005F633D" w:rsidRPr="005F633D" w:rsidRDefault="005F633D" w:rsidP="005F633D">
            <w:pPr>
              <w:rPr>
                <w:rFonts w:eastAsia="Times New Roman" w:cs="Arial"/>
                <w:color w:val="000000"/>
                <w:szCs w:val="40"/>
                <w:lang w:eastAsia="bg-BG"/>
              </w:rPr>
            </w:pPr>
          </w:p>
        </w:tc>
        <w:tc>
          <w:tcPr>
            <w:tcW w:w="1020" w:type="dxa"/>
          </w:tcPr>
          <w:p w14:paraId="3B9C986F" w14:textId="77777777" w:rsidR="005F633D" w:rsidRPr="005F633D" w:rsidRDefault="005F633D" w:rsidP="005F633D">
            <w:pPr>
              <w:rPr>
                <w:rFonts w:eastAsia="Times New Roman" w:cs="Arial"/>
                <w:color w:val="000000"/>
                <w:szCs w:val="40"/>
                <w:lang w:eastAsia="bg-BG"/>
              </w:rPr>
            </w:pPr>
          </w:p>
        </w:tc>
        <w:tc>
          <w:tcPr>
            <w:tcW w:w="1972" w:type="dxa"/>
          </w:tcPr>
          <w:p w14:paraId="4F40F5D0" w14:textId="77777777" w:rsidR="005F633D" w:rsidRPr="005F633D" w:rsidRDefault="005F633D" w:rsidP="005F633D">
            <w:r w:rsidRPr="005F633D">
              <w:rPr>
                <w:szCs w:val="40"/>
                <w:lang w:val="en-US"/>
              </w:rPr>
              <w:t>DRESS</w:t>
            </w:r>
            <w:r w:rsidRPr="005F633D">
              <w:rPr>
                <w:szCs w:val="40"/>
                <w:lang w:val="ru-RU"/>
              </w:rPr>
              <w:t xml:space="preserve"> </w:t>
            </w:r>
            <w:r w:rsidRPr="005F633D">
              <w:rPr>
                <w:szCs w:val="40"/>
              </w:rPr>
              <w:t>синдром (лекарствена реакция с еозинофилия и системни</w:t>
            </w:r>
          </w:p>
          <w:p w14:paraId="0A230A87" w14:textId="77777777" w:rsidR="005F633D" w:rsidRPr="005F633D" w:rsidRDefault="005F633D" w:rsidP="005F633D">
            <w:r w:rsidRPr="005F633D">
              <w:rPr>
                <w:szCs w:val="40"/>
              </w:rPr>
              <w:t>симпоми),</w:t>
            </w:r>
          </w:p>
          <w:p w14:paraId="7D5787F9" w14:textId="77777777" w:rsidR="005F633D" w:rsidRPr="005F633D" w:rsidRDefault="005F633D" w:rsidP="005F633D">
            <w:r w:rsidRPr="005F633D">
              <w:rPr>
                <w:szCs w:val="40"/>
              </w:rPr>
              <w:t>анафилактичен шок (вж.</w:t>
            </w:r>
          </w:p>
          <w:p w14:paraId="0190B717" w14:textId="22085EBC" w:rsidR="005F633D" w:rsidRPr="005F633D" w:rsidRDefault="005F633D" w:rsidP="005F633D">
            <w:pPr>
              <w:rPr>
                <w:rFonts w:eastAsia="Times New Roman" w:cs="Arial"/>
                <w:color w:val="000000"/>
                <w:szCs w:val="40"/>
                <w:lang w:eastAsia="bg-BG"/>
              </w:rPr>
            </w:pPr>
            <w:r w:rsidRPr="005F633D">
              <w:rPr>
                <w:szCs w:val="40"/>
              </w:rPr>
              <w:t>точка 4.4)</w:t>
            </w:r>
          </w:p>
        </w:tc>
      </w:tr>
      <w:tr w:rsidR="005F633D" w14:paraId="6412E625" w14:textId="77777777" w:rsidTr="005F633D">
        <w:tc>
          <w:tcPr>
            <w:tcW w:w="1774" w:type="dxa"/>
            <w:vAlign w:val="bottom"/>
          </w:tcPr>
          <w:p w14:paraId="6F852596" w14:textId="0DFDCB48" w:rsidR="005F633D" w:rsidRPr="005F633D" w:rsidRDefault="005F633D" w:rsidP="005F633D">
            <w:pPr>
              <w:rPr>
                <w:rFonts w:eastAsia="Times New Roman" w:cs="Arial"/>
                <w:color w:val="000000"/>
                <w:lang w:eastAsia="bg-BG"/>
              </w:rPr>
            </w:pPr>
            <w:r w:rsidRPr="005F633D">
              <w:t>Нарушения на нервната система</w:t>
            </w:r>
          </w:p>
        </w:tc>
        <w:tc>
          <w:tcPr>
            <w:tcW w:w="1192" w:type="dxa"/>
          </w:tcPr>
          <w:p w14:paraId="61FFD3D4" w14:textId="77777777" w:rsidR="005F633D" w:rsidRPr="005F633D" w:rsidRDefault="005F633D" w:rsidP="005F633D">
            <w:pPr>
              <w:rPr>
                <w:rFonts w:eastAsia="Times New Roman" w:cs="Arial"/>
                <w:color w:val="000000"/>
                <w:lang w:eastAsia="bg-BG"/>
              </w:rPr>
            </w:pPr>
          </w:p>
        </w:tc>
        <w:tc>
          <w:tcPr>
            <w:tcW w:w="2100" w:type="dxa"/>
          </w:tcPr>
          <w:p w14:paraId="2E6E56A4" w14:textId="5C6C4EB0" w:rsidR="005F633D" w:rsidRPr="005F633D" w:rsidRDefault="005F633D" w:rsidP="005F633D">
            <w:pPr>
              <w:rPr>
                <w:rFonts w:eastAsia="Times New Roman" w:cs="Arial"/>
                <w:color w:val="000000"/>
                <w:lang w:eastAsia="bg-BG"/>
              </w:rPr>
            </w:pPr>
            <w:r w:rsidRPr="005F633D">
              <w:t>Замайване, главоболие</w:t>
            </w:r>
          </w:p>
        </w:tc>
        <w:tc>
          <w:tcPr>
            <w:tcW w:w="1518" w:type="dxa"/>
          </w:tcPr>
          <w:p w14:paraId="59FE9743" w14:textId="77777777" w:rsidR="005F633D" w:rsidRPr="005F633D" w:rsidRDefault="005F633D" w:rsidP="005F633D">
            <w:pPr>
              <w:rPr>
                <w:rFonts w:eastAsia="Times New Roman" w:cs="Arial"/>
                <w:color w:val="000000"/>
                <w:lang w:eastAsia="bg-BG"/>
              </w:rPr>
            </w:pPr>
          </w:p>
        </w:tc>
        <w:tc>
          <w:tcPr>
            <w:tcW w:w="1020" w:type="dxa"/>
          </w:tcPr>
          <w:p w14:paraId="16FDBC56" w14:textId="77777777" w:rsidR="005F633D" w:rsidRPr="005F633D" w:rsidRDefault="005F633D" w:rsidP="005F633D">
            <w:pPr>
              <w:rPr>
                <w:rFonts w:eastAsia="Times New Roman" w:cs="Arial"/>
                <w:color w:val="000000"/>
                <w:lang w:eastAsia="bg-BG"/>
              </w:rPr>
            </w:pPr>
          </w:p>
        </w:tc>
        <w:tc>
          <w:tcPr>
            <w:tcW w:w="1972" w:type="dxa"/>
          </w:tcPr>
          <w:p w14:paraId="1F2EDE4D" w14:textId="4213A55B" w:rsidR="005F633D" w:rsidRPr="005F633D" w:rsidRDefault="005F633D" w:rsidP="005F633D">
            <w:pPr>
              <w:rPr>
                <w:rFonts w:eastAsia="Times New Roman" w:cs="Arial"/>
                <w:color w:val="000000"/>
                <w:lang w:eastAsia="bg-BG"/>
              </w:rPr>
            </w:pPr>
            <w:r w:rsidRPr="005F633D">
              <w:t>Припадъци</w:t>
            </w:r>
          </w:p>
        </w:tc>
      </w:tr>
      <w:tr w:rsidR="005F633D" w14:paraId="1661A413" w14:textId="77777777" w:rsidTr="005F633D">
        <w:tc>
          <w:tcPr>
            <w:tcW w:w="1774" w:type="dxa"/>
          </w:tcPr>
          <w:p w14:paraId="4413FFCB" w14:textId="06BB71B9" w:rsidR="005F633D" w:rsidRPr="005F633D" w:rsidRDefault="005F633D" w:rsidP="005F633D">
            <w:pPr>
              <w:rPr>
                <w:rFonts w:eastAsia="Times New Roman" w:cs="Arial"/>
                <w:color w:val="000000"/>
                <w:lang w:eastAsia="bg-BG"/>
              </w:rPr>
            </w:pPr>
            <w:r w:rsidRPr="005F633D">
              <w:t>Нарушения на ухото и лабиринта</w:t>
            </w:r>
          </w:p>
        </w:tc>
        <w:tc>
          <w:tcPr>
            <w:tcW w:w="1192" w:type="dxa"/>
          </w:tcPr>
          <w:p w14:paraId="4E48ED3B" w14:textId="77777777" w:rsidR="005F633D" w:rsidRPr="005F633D" w:rsidRDefault="005F633D" w:rsidP="005F633D">
            <w:pPr>
              <w:rPr>
                <w:rFonts w:eastAsia="Times New Roman" w:cs="Arial"/>
                <w:color w:val="000000"/>
                <w:lang w:eastAsia="bg-BG"/>
              </w:rPr>
            </w:pPr>
          </w:p>
        </w:tc>
        <w:tc>
          <w:tcPr>
            <w:tcW w:w="2100" w:type="dxa"/>
            <w:vAlign w:val="bottom"/>
          </w:tcPr>
          <w:p w14:paraId="5EC1CC25" w14:textId="60067BA1" w:rsidR="005F633D" w:rsidRPr="005F633D" w:rsidRDefault="005F633D" w:rsidP="005F633D">
            <w:pPr>
              <w:rPr>
                <w:rFonts w:eastAsia="Times New Roman" w:cs="Arial"/>
                <w:color w:val="000000"/>
                <w:lang w:eastAsia="bg-BG"/>
              </w:rPr>
            </w:pPr>
            <w:r w:rsidRPr="005F633D">
              <w:t>Глухота, загуба на слуха (вж. точка 4.4), тинитус, вестибуларни нарушения</w:t>
            </w:r>
          </w:p>
        </w:tc>
        <w:tc>
          <w:tcPr>
            <w:tcW w:w="1518" w:type="dxa"/>
          </w:tcPr>
          <w:p w14:paraId="4BC18DDE" w14:textId="77777777" w:rsidR="005F633D" w:rsidRPr="005F633D" w:rsidRDefault="005F633D" w:rsidP="005F633D">
            <w:pPr>
              <w:rPr>
                <w:rFonts w:eastAsia="Times New Roman" w:cs="Arial"/>
                <w:color w:val="000000"/>
                <w:lang w:eastAsia="bg-BG"/>
              </w:rPr>
            </w:pPr>
          </w:p>
        </w:tc>
        <w:tc>
          <w:tcPr>
            <w:tcW w:w="1020" w:type="dxa"/>
          </w:tcPr>
          <w:p w14:paraId="5B6C631A" w14:textId="77777777" w:rsidR="005F633D" w:rsidRPr="005F633D" w:rsidRDefault="005F633D" w:rsidP="005F633D">
            <w:pPr>
              <w:rPr>
                <w:rFonts w:eastAsia="Times New Roman" w:cs="Arial"/>
                <w:color w:val="000000"/>
                <w:lang w:eastAsia="bg-BG"/>
              </w:rPr>
            </w:pPr>
          </w:p>
        </w:tc>
        <w:tc>
          <w:tcPr>
            <w:tcW w:w="1972" w:type="dxa"/>
          </w:tcPr>
          <w:p w14:paraId="6822B409" w14:textId="77777777" w:rsidR="005F633D" w:rsidRPr="005F633D" w:rsidRDefault="005F633D" w:rsidP="005F633D">
            <w:pPr>
              <w:rPr>
                <w:rFonts w:eastAsia="Times New Roman" w:cs="Arial"/>
                <w:color w:val="000000"/>
                <w:lang w:eastAsia="bg-BG"/>
              </w:rPr>
            </w:pPr>
          </w:p>
        </w:tc>
      </w:tr>
      <w:tr w:rsidR="005F633D" w14:paraId="112B128D" w14:textId="77777777" w:rsidTr="005F633D">
        <w:tc>
          <w:tcPr>
            <w:tcW w:w="1774" w:type="dxa"/>
          </w:tcPr>
          <w:p w14:paraId="3AE02879" w14:textId="73C1BCE1" w:rsidR="005F633D" w:rsidRPr="005F633D" w:rsidRDefault="005F633D" w:rsidP="005F633D">
            <w:pPr>
              <w:rPr>
                <w:rFonts w:eastAsia="Times New Roman" w:cs="Arial"/>
                <w:color w:val="000000"/>
                <w:lang w:eastAsia="bg-BG"/>
              </w:rPr>
            </w:pPr>
            <w:r w:rsidRPr="005F633D">
              <w:t>Съдови нарушения</w:t>
            </w:r>
          </w:p>
        </w:tc>
        <w:tc>
          <w:tcPr>
            <w:tcW w:w="1192" w:type="dxa"/>
          </w:tcPr>
          <w:p w14:paraId="447D6CF1" w14:textId="77777777" w:rsidR="005F633D" w:rsidRPr="005F633D" w:rsidRDefault="005F633D" w:rsidP="005F633D">
            <w:pPr>
              <w:rPr>
                <w:rFonts w:eastAsia="Times New Roman" w:cs="Arial"/>
                <w:color w:val="000000"/>
                <w:lang w:eastAsia="bg-BG"/>
              </w:rPr>
            </w:pPr>
          </w:p>
        </w:tc>
        <w:tc>
          <w:tcPr>
            <w:tcW w:w="2100" w:type="dxa"/>
          </w:tcPr>
          <w:p w14:paraId="1AC9423A" w14:textId="6A780B6E" w:rsidR="005F633D" w:rsidRPr="005F633D" w:rsidRDefault="005F633D" w:rsidP="005F633D">
            <w:pPr>
              <w:rPr>
                <w:rFonts w:eastAsia="Times New Roman" w:cs="Arial"/>
                <w:color w:val="000000"/>
                <w:lang w:eastAsia="bg-BG"/>
              </w:rPr>
            </w:pPr>
            <w:r w:rsidRPr="005F633D">
              <w:t>Флебит</w:t>
            </w:r>
          </w:p>
        </w:tc>
        <w:tc>
          <w:tcPr>
            <w:tcW w:w="1518" w:type="dxa"/>
          </w:tcPr>
          <w:p w14:paraId="35FE7B65" w14:textId="77777777" w:rsidR="005F633D" w:rsidRPr="005F633D" w:rsidRDefault="005F633D" w:rsidP="005F633D">
            <w:pPr>
              <w:rPr>
                <w:rFonts w:eastAsia="Times New Roman" w:cs="Arial"/>
                <w:color w:val="000000"/>
                <w:lang w:eastAsia="bg-BG"/>
              </w:rPr>
            </w:pPr>
          </w:p>
        </w:tc>
        <w:tc>
          <w:tcPr>
            <w:tcW w:w="1020" w:type="dxa"/>
          </w:tcPr>
          <w:p w14:paraId="7ED0A0BD" w14:textId="77777777" w:rsidR="005F633D" w:rsidRPr="005F633D" w:rsidRDefault="005F633D" w:rsidP="005F633D">
            <w:pPr>
              <w:rPr>
                <w:rFonts w:eastAsia="Times New Roman" w:cs="Arial"/>
                <w:color w:val="000000"/>
                <w:lang w:eastAsia="bg-BG"/>
              </w:rPr>
            </w:pPr>
          </w:p>
        </w:tc>
        <w:tc>
          <w:tcPr>
            <w:tcW w:w="1972" w:type="dxa"/>
          </w:tcPr>
          <w:p w14:paraId="24B364B4" w14:textId="1A5B795E" w:rsidR="005F633D" w:rsidRPr="005F633D" w:rsidRDefault="005F633D" w:rsidP="005F633D">
            <w:pPr>
              <w:rPr>
                <w:rFonts w:eastAsia="Times New Roman" w:cs="Arial"/>
                <w:color w:val="000000"/>
                <w:lang w:eastAsia="bg-BG"/>
              </w:rPr>
            </w:pPr>
            <w:r w:rsidRPr="005F633D">
              <w:t>Тромбофлебит</w:t>
            </w:r>
          </w:p>
        </w:tc>
      </w:tr>
      <w:tr w:rsidR="005F633D" w14:paraId="2575955D" w14:textId="77777777" w:rsidTr="005F633D">
        <w:trPr>
          <w:trHeight w:val="1457"/>
        </w:trPr>
        <w:tc>
          <w:tcPr>
            <w:tcW w:w="1774" w:type="dxa"/>
            <w:vAlign w:val="bottom"/>
          </w:tcPr>
          <w:p w14:paraId="3C7377CD" w14:textId="424BCF09" w:rsidR="005F633D" w:rsidRPr="005F633D" w:rsidRDefault="005F633D" w:rsidP="005F633D">
            <w:pPr>
              <w:rPr>
                <w:rFonts w:eastAsia="Times New Roman" w:cs="Arial"/>
                <w:color w:val="000000"/>
                <w:lang w:eastAsia="bg-BG"/>
              </w:rPr>
            </w:pPr>
            <w:r w:rsidRPr="005F633D">
              <w:lastRenderedPageBreak/>
              <w:t>Респиратор</w:t>
            </w:r>
            <w:r w:rsidRPr="005F633D">
              <w:softHyphen/>
              <w:t>ни, гръдни и медиастастина лни нарушения</w:t>
            </w:r>
          </w:p>
        </w:tc>
        <w:tc>
          <w:tcPr>
            <w:tcW w:w="1192" w:type="dxa"/>
          </w:tcPr>
          <w:p w14:paraId="34C7BF60" w14:textId="783AF90D" w:rsidR="005F633D" w:rsidRPr="005F633D" w:rsidRDefault="005F633D" w:rsidP="005F633D">
            <w:pPr>
              <w:rPr>
                <w:rFonts w:eastAsia="Times New Roman" w:cs="Arial"/>
                <w:color w:val="000000"/>
                <w:lang w:eastAsia="bg-BG"/>
              </w:rPr>
            </w:pPr>
          </w:p>
        </w:tc>
        <w:tc>
          <w:tcPr>
            <w:tcW w:w="2100" w:type="dxa"/>
          </w:tcPr>
          <w:p w14:paraId="6E059FC9" w14:textId="7EA5EE8D" w:rsidR="005F633D" w:rsidRPr="005F633D" w:rsidRDefault="005F633D" w:rsidP="005F633D">
            <w:pPr>
              <w:rPr>
                <w:rFonts w:eastAsia="Times New Roman" w:cs="Arial"/>
                <w:color w:val="000000"/>
                <w:lang w:eastAsia="bg-BG"/>
              </w:rPr>
            </w:pPr>
            <w:r w:rsidRPr="005F633D">
              <w:t>Бронхоспазъм</w:t>
            </w:r>
          </w:p>
        </w:tc>
        <w:tc>
          <w:tcPr>
            <w:tcW w:w="1518" w:type="dxa"/>
          </w:tcPr>
          <w:p w14:paraId="68CFE105" w14:textId="77777777" w:rsidR="005F633D" w:rsidRPr="005F633D" w:rsidRDefault="005F633D" w:rsidP="005F633D">
            <w:pPr>
              <w:rPr>
                <w:rFonts w:eastAsia="Times New Roman" w:cs="Arial"/>
                <w:color w:val="000000"/>
                <w:lang w:eastAsia="bg-BG"/>
              </w:rPr>
            </w:pPr>
          </w:p>
        </w:tc>
        <w:tc>
          <w:tcPr>
            <w:tcW w:w="1020" w:type="dxa"/>
          </w:tcPr>
          <w:p w14:paraId="09F87887" w14:textId="77777777" w:rsidR="005F633D" w:rsidRPr="005F633D" w:rsidRDefault="005F633D" w:rsidP="005F633D">
            <w:pPr>
              <w:rPr>
                <w:rFonts w:eastAsia="Times New Roman" w:cs="Arial"/>
                <w:color w:val="000000"/>
                <w:lang w:eastAsia="bg-BG"/>
              </w:rPr>
            </w:pPr>
          </w:p>
        </w:tc>
        <w:tc>
          <w:tcPr>
            <w:tcW w:w="1972" w:type="dxa"/>
          </w:tcPr>
          <w:p w14:paraId="1C348240" w14:textId="77777777" w:rsidR="005F633D" w:rsidRPr="005F633D" w:rsidRDefault="005F633D" w:rsidP="005F633D">
            <w:pPr>
              <w:rPr>
                <w:rFonts w:eastAsia="Times New Roman" w:cs="Arial"/>
                <w:color w:val="000000"/>
                <w:lang w:eastAsia="bg-BG"/>
              </w:rPr>
            </w:pPr>
          </w:p>
        </w:tc>
      </w:tr>
      <w:tr w:rsidR="005F633D" w14:paraId="6F216B97" w14:textId="77777777" w:rsidTr="005F633D">
        <w:tc>
          <w:tcPr>
            <w:tcW w:w="1774" w:type="dxa"/>
            <w:vAlign w:val="bottom"/>
          </w:tcPr>
          <w:p w14:paraId="2AEFC889" w14:textId="2CD3EF4D" w:rsidR="005F633D" w:rsidRPr="005F633D" w:rsidRDefault="005F633D" w:rsidP="005F633D">
            <w:pPr>
              <w:rPr>
                <w:rFonts w:eastAsia="Times New Roman" w:cs="Arial"/>
                <w:color w:val="000000"/>
                <w:szCs w:val="40"/>
                <w:lang w:eastAsia="bg-BG"/>
              </w:rPr>
            </w:pPr>
            <w:r w:rsidRPr="005F633D">
              <w:rPr>
                <w:szCs w:val="40"/>
              </w:rPr>
              <w:t>Стомашно- чревни нарушения</w:t>
            </w:r>
          </w:p>
        </w:tc>
        <w:tc>
          <w:tcPr>
            <w:tcW w:w="1192" w:type="dxa"/>
          </w:tcPr>
          <w:p w14:paraId="4BECE8A4" w14:textId="77777777" w:rsidR="005F633D" w:rsidRPr="005F633D" w:rsidRDefault="005F633D" w:rsidP="005F633D">
            <w:pPr>
              <w:rPr>
                <w:rFonts w:eastAsia="Times New Roman" w:cs="Arial"/>
                <w:color w:val="000000"/>
                <w:szCs w:val="40"/>
                <w:lang w:eastAsia="bg-BG"/>
              </w:rPr>
            </w:pPr>
          </w:p>
        </w:tc>
        <w:tc>
          <w:tcPr>
            <w:tcW w:w="2100" w:type="dxa"/>
          </w:tcPr>
          <w:p w14:paraId="5AA5B03F" w14:textId="59901F22" w:rsidR="005F633D" w:rsidRPr="005F633D" w:rsidRDefault="005F633D" w:rsidP="005F633D">
            <w:pPr>
              <w:rPr>
                <w:rFonts w:eastAsia="Times New Roman" w:cs="Arial"/>
                <w:color w:val="000000"/>
                <w:szCs w:val="40"/>
                <w:lang w:eastAsia="bg-BG"/>
              </w:rPr>
            </w:pPr>
            <w:r w:rsidRPr="005F633D">
              <w:rPr>
                <w:szCs w:val="40"/>
              </w:rPr>
              <w:t>Диария, повръщане, гадене</w:t>
            </w:r>
          </w:p>
        </w:tc>
        <w:tc>
          <w:tcPr>
            <w:tcW w:w="1518" w:type="dxa"/>
          </w:tcPr>
          <w:p w14:paraId="21674478" w14:textId="77777777" w:rsidR="005F633D" w:rsidRPr="005F633D" w:rsidRDefault="005F633D" w:rsidP="005F633D">
            <w:pPr>
              <w:rPr>
                <w:rFonts w:eastAsia="Times New Roman" w:cs="Arial"/>
                <w:color w:val="000000"/>
                <w:szCs w:val="40"/>
                <w:lang w:eastAsia="bg-BG"/>
              </w:rPr>
            </w:pPr>
          </w:p>
        </w:tc>
        <w:tc>
          <w:tcPr>
            <w:tcW w:w="1020" w:type="dxa"/>
          </w:tcPr>
          <w:p w14:paraId="11BA726F" w14:textId="77777777" w:rsidR="005F633D" w:rsidRPr="005F633D" w:rsidRDefault="005F633D" w:rsidP="005F633D">
            <w:pPr>
              <w:rPr>
                <w:rFonts w:eastAsia="Times New Roman" w:cs="Arial"/>
                <w:color w:val="000000"/>
                <w:szCs w:val="40"/>
                <w:lang w:eastAsia="bg-BG"/>
              </w:rPr>
            </w:pPr>
          </w:p>
        </w:tc>
        <w:tc>
          <w:tcPr>
            <w:tcW w:w="1972" w:type="dxa"/>
          </w:tcPr>
          <w:p w14:paraId="38C4C0B3" w14:textId="77777777" w:rsidR="005F633D" w:rsidRPr="005F633D" w:rsidRDefault="005F633D" w:rsidP="005F633D">
            <w:pPr>
              <w:rPr>
                <w:rFonts w:eastAsia="Times New Roman" w:cs="Arial"/>
                <w:color w:val="000000"/>
                <w:szCs w:val="40"/>
                <w:lang w:eastAsia="bg-BG"/>
              </w:rPr>
            </w:pPr>
          </w:p>
        </w:tc>
      </w:tr>
      <w:tr w:rsidR="005F633D" w14:paraId="377BBA61" w14:textId="77777777" w:rsidTr="005F633D">
        <w:tc>
          <w:tcPr>
            <w:tcW w:w="1774" w:type="dxa"/>
          </w:tcPr>
          <w:p w14:paraId="70297484" w14:textId="0907441B" w:rsidR="005F633D" w:rsidRPr="005F633D" w:rsidRDefault="005F633D" w:rsidP="005F633D">
            <w:pPr>
              <w:rPr>
                <w:rFonts w:eastAsia="Times New Roman" w:cs="Arial"/>
                <w:color w:val="000000"/>
                <w:szCs w:val="40"/>
                <w:lang w:eastAsia="bg-BG"/>
              </w:rPr>
            </w:pPr>
            <w:r w:rsidRPr="005F633D">
              <w:rPr>
                <w:szCs w:val="40"/>
              </w:rPr>
              <w:t>Нарушения на кожата и подкожната тъкан</w:t>
            </w:r>
          </w:p>
        </w:tc>
        <w:tc>
          <w:tcPr>
            <w:tcW w:w="1192" w:type="dxa"/>
          </w:tcPr>
          <w:p w14:paraId="0167E51E" w14:textId="76CC70BC" w:rsidR="005F633D" w:rsidRPr="005F633D" w:rsidRDefault="005F633D" w:rsidP="005F633D">
            <w:pPr>
              <w:rPr>
                <w:rFonts w:eastAsia="Times New Roman" w:cs="Arial"/>
                <w:color w:val="000000"/>
                <w:szCs w:val="40"/>
                <w:lang w:eastAsia="bg-BG"/>
              </w:rPr>
            </w:pPr>
            <w:r w:rsidRPr="005F633D">
              <w:rPr>
                <w:szCs w:val="40"/>
              </w:rPr>
              <w:t>Обрив, еритема, сърбеж</w:t>
            </w:r>
          </w:p>
        </w:tc>
        <w:tc>
          <w:tcPr>
            <w:tcW w:w="2100" w:type="dxa"/>
          </w:tcPr>
          <w:p w14:paraId="09CD5870" w14:textId="77777777" w:rsidR="005F633D" w:rsidRPr="005F633D" w:rsidRDefault="005F633D" w:rsidP="005F633D">
            <w:pPr>
              <w:rPr>
                <w:rFonts w:eastAsia="Times New Roman" w:cs="Arial"/>
                <w:color w:val="000000"/>
                <w:szCs w:val="40"/>
                <w:lang w:eastAsia="bg-BG"/>
              </w:rPr>
            </w:pPr>
          </w:p>
        </w:tc>
        <w:tc>
          <w:tcPr>
            <w:tcW w:w="1518" w:type="dxa"/>
          </w:tcPr>
          <w:p w14:paraId="25C67E6E" w14:textId="1C0DCD97" w:rsidR="005F633D" w:rsidRPr="005F633D" w:rsidRDefault="005F633D" w:rsidP="005F633D">
            <w:pPr>
              <w:rPr>
                <w:rFonts w:eastAsia="Times New Roman" w:cs="Arial"/>
                <w:color w:val="000000"/>
                <w:szCs w:val="40"/>
                <w:lang w:eastAsia="bg-BG"/>
              </w:rPr>
            </w:pPr>
            <w:r w:rsidRPr="005F633D">
              <w:rPr>
                <w:szCs w:val="40"/>
              </w:rPr>
              <w:t>синдром на "червения човек“ (т.е. зачервяване на горната частна тялото) (вж. точка 4.4).</w:t>
            </w:r>
          </w:p>
        </w:tc>
        <w:tc>
          <w:tcPr>
            <w:tcW w:w="1020" w:type="dxa"/>
          </w:tcPr>
          <w:p w14:paraId="4AED1AB7" w14:textId="77777777" w:rsidR="005F633D" w:rsidRPr="005F633D" w:rsidRDefault="005F633D" w:rsidP="005F633D">
            <w:pPr>
              <w:rPr>
                <w:rFonts w:eastAsia="Times New Roman" w:cs="Arial"/>
                <w:color w:val="000000"/>
                <w:szCs w:val="40"/>
                <w:lang w:eastAsia="bg-BG"/>
              </w:rPr>
            </w:pPr>
          </w:p>
        </w:tc>
        <w:tc>
          <w:tcPr>
            <w:tcW w:w="1972" w:type="dxa"/>
          </w:tcPr>
          <w:p w14:paraId="0526AB06" w14:textId="5894E5E8" w:rsidR="005F633D" w:rsidRPr="005F633D" w:rsidRDefault="005F633D" w:rsidP="005F633D">
            <w:pPr>
              <w:rPr>
                <w:rFonts w:eastAsia="Times New Roman" w:cs="Arial"/>
                <w:color w:val="000000"/>
                <w:szCs w:val="40"/>
                <w:lang w:eastAsia="bg-BG"/>
              </w:rPr>
            </w:pPr>
            <w:r w:rsidRPr="005F633D">
              <w:rPr>
                <w:szCs w:val="40"/>
              </w:rPr>
              <w:t xml:space="preserve">Токсична епидермална некролиза, синдром на </w:t>
            </w:r>
            <w:r w:rsidRPr="005F633D">
              <w:rPr>
                <w:szCs w:val="40"/>
                <w:lang w:val="en-US"/>
              </w:rPr>
              <w:t>Stevens</w:t>
            </w:r>
            <w:r w:rsidRPr="005F633D">
              <w:rPr>
                <w:szCs w:val="40"/>
              </w:rPr>
              <w:t xml:space="preserve">- </w:t>
            </w:r>
            <w:r w:rsidRPr="005F633D">
              <w:rPr>
                <w:szCs w:val="40"/>
                <w:lang w:val="en-US"/>
              </w:rPr>
              <w:t>Johnson</w:t>
            </w:r>
            <w:r w:rsidRPr="005F633D">
              <w:rPr>
                <w:szCs w:val="40"/>
              </w:rPr>
              <w:t>, еритема мултиформе, ангиоедем, ексфолиативен дерматит, уртикария (вж. точка 4.4)</w:t>
            </w:r>
          </w:p>
        </w:tc>
      </w:tr>
      <w:tr w:rsidR="005F633D" w14:paraId="6C0A6811" w14:textId="77777777" w:rsidTr="005F633D">
        <w:tc>
          <w:tcPr>
            <w:tcW w:w="1774" w:type="dxa"/>
          </w:tcPr>
          <w:p w14:paraId="20A9F3BB" w14:textId="6344DD21" w:rsidR="005F633D" w:rsidRPr="005F633D" w:rsidRDefault="005F633D" w:rsidP="005F633D">
            <w:pPr>
              <w:rPr>
                <w:rFonts w:eastAsia="Times New Roman" w:cs="Arial"/>
                <w:color w:val="000000"/>
                <w:szCs w:val="40"/>
                <w:lang w:eastAsia="bg-BG"/>
              </w:rPr>
            </w:pPr>
            <w:r w:rsidRPr="005F633D">
              <w:rPr>
                <w:szCs w:val="40"/>
              </w:rPr>
              <w:t>Нарушения на бъбреците и пикочните пътища</w:t>
            </w:r>
          </w:p>
        </w:tc>
        <w:tc>
          <w:tcPr>
            <w:tcW w:w="1192" w:type="dxa"/>
          </w:tcPr>
          <w:p w14:paraId="32F81444" w14:textId="77777777" w:rsidR="005F633D" w:rsidRPr="005F633D" w:rsidRDefault="005F633D" w:rsidP="005F633D">
            <w:pPr>
              <w:rPr>
                <w:rFonts w:eastAsia="Times New Roman" w:cs="Arial"/>
                <w:color w:val="000000"/>
                <w:szCs w:val="40"/>
                <w:lang w:eastAsia="bg-BG"/>
              </w:rPr>
            </w:pPr>
          </w:p>
        </w:tc>
        <w:tc>
          <w:tcPr>
            <w:tcW w:w="2100" w:type="dxa"/>
          </w:tcPr>
          <w:p w14:paraId="722E4B8B" w14:textId="63E431BF" w:rsidR="005F633D" w:rsidRPr="005F633D" w:rsidRDefault="005F633D" w:rsidP="005F633D">
            <w:pPr>
              <w:rPr>
                <w:rFonts w:eastAsia="Times New Roman" w:cs="Arial"/>
                <w:color w:val="000000"/>
                <w:szCs w:val="40"/>
                <w:lang w:eastAsia="bg-BG"/>
              </w:rPr>
            </w:pPr>
            <w:r w:rsidRPr="005F633D">
              <w:rPr>
                <w:szCs w:val="40"/>
              </w:rPr>
              <w:t>Повишени нива на креатинин в кръвта</w:t>
            </w:r>
          </w:p>
        </w:tc>
        <w:tc>
          <w:tcPr>
            <w:tcW w:w="1518" w:type="dxa"/>
          </w:tcPr>
          <w:p w14:paraId="75150157" w14:textId="77777777" w:rsidR="005F633D" w:rsidRPr="005F633D" w:rsidRDefault="005F633D" w:rsidP="005F633D">
            <w:pPr>
              <w:rPr>
                <w:rFonts w:eastAsia="Times New Roman" w:cs="Arial"/>
                <w:color w:val="000000"/>
                <w:szCs w:val="40"/>
                <w:lang w:eastAsia="bg-BG"/>
              </w:rPr>
            </w:pPr>
          </w:p>
        </w:tc>
        <w:tc>
          <w:tcPr>
            <w:tcW w:w="1020" w:type="dxa"/>
          </w:tcPr>
          <w:p w14:paraId="41E14B89" w14:textId="77777777" w:rsidR="005F633D" w:rsidRPr="005F633D" w:rsidRDefault="005F633D" w:rsidP="005F633D">
            <w:pPr>
              <w:rPr>
                <w:rFonts w:eastAsia="Times New Roman" w:cs="Arial"/>
                <w:color w:val="000000"/>
                <w:szCs w:val="40"/>
                <w:lang w:eastAsia="bg-BG"/>
              </w:rPr>
            </w:pPr>
          </w:p>
        </w:tc>
        <w:tc>
          <w:tcPr>
            <w:tcW w:w="1972" w:type="dxa"/>
          </w:tcPr>
          <w:p w14:paraId="7B1B9404" w14:textId="445568C5" w:rsidR="005F633D" w:rsidRPr="005F633D" w:rsidRDefault="005F633D" w:rsidP="005F633D">
            <w:pPr>
              <w:rPr>
                <w:rFonts w:eastAsia="Times New Roman" w:cs="Arial"/>
                <w:color w:val="000000"/>
                <w:szCs w:val="40"/>
                <w:lang w:eastAsia="bg-BG"/>
              </w:rPr>
            </w:pPr>
            <w:r w:rsidRPr="005F633D">
              <w:rPr>
                <w:szCs w:val="40"/>
              </w:rPr>
              <w:t>Бъбречна недостатъчност (включително остра бъбречна недостатъчност)</w:t>
            </w:r>
          </w:p>
        </w:tc>
      </w:tr>
      <w:tr w:rsidR="005F633D" w14:paraId="25C35BB7" w14:textId="77777777" w:rsidTr="005F633D">
        <w:tc>
          <w:tcPr>
            <w:tcW w:w="1774" w:type="dxa"/>
            <w:vAlign w:val="bottom"/>
          </w:tcPr>
          <w:p w14:paraId="664755E0" w14:textId="1BA11520" w:rsidR="005F633D" w:rsidRPr="005F633D" w:rsidRDefault="005F633D" w:rsidP="005F633D">
            <w:pPr>
              <w:rPr>
                <w:rFonts w:eastAsia="Times New Roman" w:cs="Arial"/>
                <w:color w:val="000000"/>
                <w:szCs w:val="40"/>
                <w:lang w:eastAsia="bg-BG"/>
              </w:rPr>
            </w:pPr>
            <w:r w:rsidRPr="005F633D">
              <w:rPr>
                <w:szCs w:val="40"/>
              </w:rPr>
              <w:t>Общи нарушения и ефекти на мястото на приложение</w:t>
            </w:r>
          </w:p>
        </w:tc>
        <w:tc>
          <w:tcPr>
            <w:tcW w:w="1192" w:type="dxa"/>
          </w:tcPr>
          <w:p w14:paraId="59B65C66" w14:textId="0DB43203" w:rsidR="005F633D" w:rsidRPr="005F633D" w:rsidRDefault="005F633D" w:rsidP="005F633D">
            <w:pPr>
              <w:rPr>
                <w:rFonts w:eastAsia="Times New Roman" w:cs="Arial"/>
                <w:color w:val="000000"/>
                <w:szCs w:val="40"/>
                <w:lang w:eastAsia="bg-BG"/>
              </w:rPr>
            </w:pPr>
            <w:r w:rsidRPr="005F633D">
              <w:rPr>
                <w:szCs w:val="40"/>
              </w:rPr>
              <w:t>Болка, пирексия</w:t>
            </w:r>
          </w:p>
        </w:tc>
        <w:tc>
          <w:tcPr>
            <w:tcW w:w="2100" w:type="dxa"/>
          </w:tcPr>
          <w:p w14:paraId="44038FB8" w14:textId="77777777" w:rsidR="005F633D" w:rsidRPr="005F633D" w:rsidRDefault="005F633D" w:rsidP="005F633D">
            <w:pPr>
              <w:rPr>
                <w:rFonts w:eastAsia="Times New Roman" w:cs="Arial"/>
                <w:color w:val="000000"/>
                <w:szCs w:val="40"/>
                <w:lang w:eastAsia="bg-BG"/>
              </w:rPr>
            </w:pPr>
          </w:p>
        </w:tc>
        <w:tc>
          <w:tcPr>
            <w:tcW w:w="1518" w:type="dxa"/>
          </w:tcPr>
          <w:p w14:paraId="57AD5771" w14:textId="77777777" w:rsidR="005F633D" w:rsidRPr="005F633D" w:rsidRDefault="005F633D" w:rsidP="005F633D">
            <w:pPr>
              <w:rPr>
                <w:rFonts w:eastAsia="Times New Roman" w:cs="Arial"/>
                <w:color w:val="000000"/>
                <w:szCs w:val="40"/>
                <w:lang w:eastAsia="bg-BG"/>
              </w:rPr>
            </w:pPr>
          </w:p>
        </w:tc>
        <w:tc>
          <w:tcPr>
            <w:tcW w:w="1020" w:type="dxa"/>
          </w:tcPr>
          <w:p w14:paraId="30005C79" w14:textId="77777777" w:rsidR="005F633D" w:rsidRPr="005F633D" w:rsidRDefault="005F633D" w:rsidP="005F633D">
            <w:pPr>
              <w:rPr>
                <w:rFonts w:eastAsia="Times New Roman" w:cs="Arial"/>
                <w:color w:val="000000"/>
                <w:szCs w:val="40"/>
                <w:lang w:eastAsia="bg-BG"/>
              </w:rPr>
            </w:pPr>
          </w:p>
        </w:tc>
        <w:tc>
          <w:tcPr>
            <w:tcW w:w="1972" w:type="dxa"/>
          </w:tcPr>
          <w:p w14:paraId="18E8604E" w14:textId="54EF5835" w:rsidR="005F633D" w:rsidRPr="005F633D" w:rsidRDefault="005F633D" w:rsidP="005F633D">
            <w:pPr>
              <w:rPr>
                <w:rFonts w:eastAsia="Times New Roman" w:cs="Arial"/>
                <w:color w:val="000000"/>
                <w:szCs w:val="40"/>
                <w:lang w:eastAsia="bg-BG"/>
              </w:rPr>
            </w:pPr>
            <w:r w:rsidRPr="005F633D">
              <w:rPr>
                <w:szCs w:val="40"/>
              </w:rPr>
              <w:t>Абсцес на мястото на инжектиране, студени тръпки (втрисане)</w:t>
            </w:r>
          </w:p>
        </w:tc>
      </w:tr>
      <w:tr w:rsidR="005F633D" w14:paraId="756A67EF" w14:textId="77777777" w:rsidTr="005F633D">
        <w:tc>
          <w:tcPr>
            <w:tcW w:w="1774" w:type="dxa"/>
          </w:tcPr>
          <w:p w14:paraId="52A24AFB" w14:textId="69D4C797" w:rsidR="005F633D" w:rsidRPr="005F633D" w:rsidRDefault="005F633D" w:rsidP="005F633D">
            <w:pPr>
              <w:rPr>
                <w:rFonts w:eastAsia="Times New Roman" w:cs="Arial"/>
                <w:color w:val="000000"/>
                <w:szCs w:val="40"/>
                <w:lang w:eastAsia="bg-BG"/>
              </w:rPr>
            </w:pPr>
            <w:r w:rsidRPr="005F633D">
              <w:rPr>
                <w:szCs w:val="40"/>
              </w:rPr>
              <w:t>Изследвания</w:t>
            </w:r>
          </w:p>
        </w:tc>
        <w:tc>
          <w:tcPr>
            <w:tcW w:w="1192" w:type="dxa"/>
          </w:tcPr>
          <w:p w14:paraId="37234E4F" w14:textId="77777777" w:rsidR="005F633D" w:rsidRPr="005F633D" w:rsidRDefault="005F633D" w:rsidP="005F633D">
            <w:pPr>
              <w:rPr>
                <w:rFonts w:eastAsia="Times New Roman" w:cs="Arial"/>
                <w:color w:val="000000"/>
                <w:szCs w:val="40"/>
                <w:lang w:eastAsia="bg-BG"/>
              </w:rPr>
            </w:pPr>
          </w:p>
        </w:tc>
        <w:tc>
          <w:tcPr>
            <w:tcW w:w="2100" w:type="dxa"/>
          </w:tcPr>
          <w:p w14:paraId="607FFF58" w14:textId="22F9D49C" w:rsidR="005F633D" w:rsidRPr="005F633D" w:rsidRDefault="005F633D" w:rsidP="005F633D">
            <w:pPr>
              <w:rPr>
                <w:rFonts w:eastAsia="Times New Roman" w:cs="Arial"/>
                <w:color w:val="000000"/>
                <w:szCs w:val="40"/>
                <w:lang w:eastAsia="bg-BG"/>
              </w:rPr>
            </w:pPr>
            <w:r w:rsidRPr="005F633D">
              <w:rPr>
                <w:szCs w:val="40"/>
              </w:rPr>
              <w:t xml:space="preserve">Повишени трансаминази (преходно нарушение на трансаминазите), Повишени нива на алкална фосфатаза в кръвта (преходно нарушение на алкалната фосфатаза), Повишени нива на креатинин в кръвта (преходно повишение на </w:t>
            </w:r>
            <w:r w:rsidRPr="005F633D">
              <w:rPr>
                <w:szCs w:val="40"/>
              </w:rPr>
              <w:lastRenderedPageBreak/>
              <w:t>серумния креатинин)</w:t>
            </w:r>
          </w:p>
        </w:tc>
        <w:tc>
          <w:tcPr>
            <w:tcW w:w="1518" w:type="dxa"/>
          </w:tcPr>
          <w:p w14:paraId="2973BA39" w14:textId="77777777" w:rsidR="005F633D" w:rsidRDefault="005F633D" w:rsidP="005F633D">
            <w:pPr>
              <w:rPr>
                <w:rFonts w:eastAsia="Times New Roman" w:cs="Arial"/>
                <w:color w:val="000000"/>
                <w:szCs w:val="40"/>
                <w:lang w:eastAsia="bg-BG"/>
              </w:rPr>
            </w:pPr>
          </w:p>
        </w:tc>
        <w:tc>
          <w:tcPr>
            <w:tcW w:w="1020" w:type="dxa"/>
          </w:tcPr>
          <w:p w14:paraId="57BBDBB8" w14:textId="77777777" w:rsidR="005F633D" w:rsidRDefault="005F633D" w:rsidP="005F633D">
            <w:pPr>
              <w:rPr>
                <w:rFonts w:eastAsia="Times New Roman" w:cs="Arial"/>
                <w:color w:val="000000"/>
                <w:szCs w:val="40"/>
                <w:lang w:eastAsia="bg-BG"/>
              </w:rPr>
            </w:pPr>
          </w:p>
        </w:tc>
        <w:tc>
          <w:tcPr>
            <w:tcW w:w="1972" w:type="dxa"/>
          </w:tcPr>
          <w:p w14:paraId="5CE918D4" w14:textId="77777777" w:rsidR="005F633D" w:rsidRDefault="005F633D" w:rsidP="005F633D">
            <w:pPr>
              <w:rPr>
                <w:rFonts w:eastAsia="Times New Roman" w:cs="Arial"/>
                <w:color w:val="000000"/>
                <w:szCs w:val="40"/>
                <w:lang w:eastAsia="bg-BG"/>
              </w:rPr>
            </w:pPr>
          </w:p>
        </w:tc>
      </w:tr>
    </w:tbl>
    <w:p w14:paraId="2E029472" w14:textId="77777777" w:rsidR="005F633D" w:rsidRPr="005F633D" w:rsidRDefault="005F633D" w:rsidP="005F633D">
      <w:pPr>
        <w:spacing w:line="240" w:lineRule="auto"/>
        <w:rPr>
          <w:rFonts w:eastAsia="Times New Roman" w:cs="Arial"/>
        </w:rPr>
      </w:pPr>
      <w:r w:rsidRPr="005F633D">
        <w:rPr>
          <w:rFonts w:eastAsia="Times New Roman" w:cs="Arial"/>
          <w:color w:val="000000"/>
          <w:u w:val="single"/>
          <w:lang w:eastAsia="bg-BG"/>
        </w:rPr>
        <w:t>Съобщаване на подозирани нежелани реакции</w:t>
      </w:r>
    </w:p>
    <w:p w14:paraId="3405A1A5" w14:textId="77777777" w:rsidR="005F633D" w:rsidRPr="005F633D" w:rsidRDefault="005F633D" w:rsidP="005F633D">
      <w:pPr>
        <w:spacing w:line="240" w:lineRule="auto"/>
        <w:rPr>
          <w:rFonts w:eastAsia="Times New Roman" w:cs="Arial"/>
        </w:rPr>
      </w:pPr>
      <w:r w:rsidRPr="005F633D">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 928903417, уебсайт: </w:t>
      </w:r>
      <w:r w:rsidRPr="005F633D">
        <w:rPr>
          <w:rFonts w:eastAsia="Times New Roman" w:cs="Arial"/>
        </w:rPr>
        <w:fldChar w:fldCharType="begin"/>
      </w:r>
      <w:r w:rsidRPr="005F633D">
        <w:rPr>
          <w:rFonts w:eastAsia="Times New Roman" w:cs="Arial"/>
        </w:rPr>
        <w:instrText xml:space="preserve"> HYPERLINK "http://www.bda.bg" </w:instrText>
      </w:r>
      <w:r w:rsidRPr="005F633D">
        <w:rPr>
          <w:rFonts w:eastAsia="Times New Roman" w:cs="Arial"/>
        </w:rPr>
      </w:r>
      <w:r w:rsidRPr="005F633D">
        <w:rPr>
          <w:rFonts w:eastAsia="Times New Roman" w:cs="Arial"/>
        </w:rPr>
        <w:fldChar w:fldCharType="separate"/>
      </w:r>
      <w:r w:rsidRPr="005F633D">
        <w:rPr>
          <w:rFonts w:eastAsia="Times New Roman" w:cs="Arial"/>
          <w:color w:val="000000"/>
          <w:lang w:val="en-US"/>
        </w:rPr>
        <w:t>www.bda.bg</w:t>
      </w:r>
      <w:r w:rsidRPr="005F633D">
        <w:rPr>
          <w:rFonts w:eastAsia="Times New Roman" w:cs="Arial"/>
        </w:rPr>
        <w:fldChar w:fldCharType="end"/>
      </w:r>
      <w:r w:rsidRPr="005F633D">
        <w:rPr>
          <w:rFonts w:eastAsia="Times New Roman" w:cs="Arial"/>
          <w:color w:val="000000"/>
          <w:lang w:val="en-US"/>
        </w:rPr>
        <w:t>.</w:t>
      </w:r>
    </w:p>
    <w:p w14:paraId="576B93D9" w14:textId="77777777" w:rsidR="005F633D" w:rsidRPr="005F633D" w:rsidRDefault="005F633D" w:rsidP="005F633D">
      <w:pPr>
        <w:rPr>
          <w:rFonts w:eastAsia="Times New Roman" w:cs="Arial"/>
          <w:color w:val="000000"/>
          <w:szCs w:val="40"/>
          <w:lang w:eastAsia="bg-BG"/>
        </w:rPr>
      </w:pPr>
    </w:p>
    <w:p w14:paraId="0C36BD6E" w14:textId="70C10AD6" w:rsidR="005F633D" w:rsidRDefault="002C50EE" w:rsidP="005F633D">
      <w:pPr>
        <w:pStyle w:val="Heading2"/>
      </w:pPr>
      <w:r>
        <w:t>4.9. Предозиране</w:t>
      </w:r>
    </w:p>
    <w:p w14:paraId="38C9A436" w14:textId="2AAD77D2" w:rsidR="005F633D" w:rsidRDefault="005F633D" w:rsidP="005F633D"/>
    <w:p w14:paraId="6C8EEFE6" w14:textId="77777777" w:rsidR="00D1791C" w:rsidRPr="00D1791C" w:rsidRDefault="00D1791C" w:rsidP="00D1791C">
      <w:pPr>
        <w:pStyle w:val="Heading3"/>
        <w:rPr>
          <w:rFonts w:eastAsia="Times New Roman"/>
          <w:sz w:val="14"/>
          <w:u w:val="single"/>
        </w:rPr>
      </w:pPr>
      <w:r w:rsidRPr="00D1791C">
        <w:rPr>
          <w:rFonts w:eastAsia="Times New Roman"/>
          <w:u w:val="single"/>
          <w:lang w:eastAsia="bg-BG"/>
        </w:rPr>
        <w:t>Симптоми</w:t>
      </w:r>
    </w:p>
    <w:p w14:paraId="4296425D"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 xml:space="preserve">Съобщавани са случаи на инцидентно приложение на прекомерно високи дози при педиатрични пациенти. При един случай е настъпила ажитация при новородено на 29 дни, на което са били приложени 400 </w:t>
      </w:r>
      <w:r w:rsidRPr="00D1791C">
        <w:rPr>
          <w:rFonts w:eastAsia="Times New Roman" w:cs="Arial"/>
          <w:color w:val="000000"/>
          <w:szCs w:val="40"/>
          <w:lang w:val="en-US"/>
        </w:rPr>
        <w:t>mg</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интравенозно (95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val="ru-RU"/>
        </w:rPr>
        <w:t>).</w:t>
      </w:r>
    </w:p>
    <w:p w14:paraId="4D253474" w14:textId="77777777" w:rsidR="00D1791C" w:rsidRPr="00D1791C" w:rsidRDefault="00D1791C" w:rsidP="00D1791C">
      <w:pPr>
        <w:spacing w:line="240" w:lineRule="auto"/>
        <w:rPr>
          <w:rFonts w:eastAsia="Times New Roman" w:cs="Arial"/>
          <w:color w:val="000000"/>
          <w:szCs w:val="40"/>
          <w:u w:val="single"/>
          <w:lang w:eastAsia="bg-BG"/>
        </w:rPr>
      </w:pPr>
    </w:p>
    <w:p w14:paraId="197CD4B6" w14:textId="7B497BF4" w:rsidR="00D1791C" w:rsidRPr="00D1791C" w:rsidRDefault="00D1791C" w:rsidP="00D1791C">
      <w:pPr>
        <w:pStyle w:val="Heading3"/>
        <w:rPr>
          <w:rFonts w:eastAsia="Times New Roman"/>
          <w:sz w:val="14"/>
          <w:u w:val="single"/>
        </w:rPr>
      </w:pPr>
      <w:r w:rsidRPr="00D1791C">
        <w:rPr>
          <w:rFonts w:eastAsia="Times New Roman"/>
          <w:u w:val="single"/>
          <w:lang w:eastAsia="bg-BG"/>
        </w:rPr>
        <w:t>Овладяване</w:t>
      </w:r>
    </w:p>
    <w:p w14:paraId="64F9054F"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Лечението при предозиране с тейкопланин трябва да е симптоматично.</w:t>
      </w:r>
    </w:p>
    <w:p w14:paraId="404D9492"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Тейкопланин не се отстранява чрез хемодиализа и само бавно се отстранява чрез перитонеална диализа.</w:t>
      </w:r>
    </w:p>
    <w:p w14:paraId="5BDA82B6" w14:textId="77777777" w:rsidR="005F633D" w:rsidRPr="005F633D" w:rsidRDefault="005F633D" w:rsidP="005F633D"/>
    <w:p w14:paraId="02081B24" w14:textId="1F46E296" w:rsidR="00395555" w:rsidRPr="00395555" w:rsidRDefault="002C50EE" w:rsidP="008A6AF2">
      <w:pPr>
        <w:pStyle w:val="Heading1"/>
      </w:pPr>
      <w:r>
        <w:t>5. ФАРМАКОЛОГИЧНИ СВОЙСТВА</w:t>
      </w:r>
    </w:p>
    <w:p w14:paraId="5350637D" w14:textId="6A73CD90" w:rsidR="00395555" w:rsidRDefault="002C50EE" w:rsidP="008A6AF2">
      <w:pPr>
        <w:pStyle w:val="Heading2"/>
      </w:pPr>
      <w:r>
        <w:t>5.1. Фармакодинамични свойства</w:t>
      </w:r>
    </w:p>
    <w:p w14:paraId="77A1EFC4" w14:textId="1A7825F8" w:rsidR="00D1791C" w:rsidRDefault="00D1791C" w:rsidP="00D1791C"/>
    <w:p w14:paraId="19CA5261"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 xml:space="preserve">Фармакотерапевтична група: Антибактериални гликопептиди, АТС код: </w:t>
      </w:r>
      <w:r w:rsidRPr="00D1791C">
        <w:rPr>
          <w:rFonts w:eastAsia="Times New Roman" w:cs="Arial"/>
          <w:color w:val="000000"/>
          <w:szCs w:val="40"/>
          <w:lang w:val="en-US"/>
        </w:rPr>
        <w:t>J</w:t>
      </w:r>
      <w:r w:rsidRPr="00D1791C">
        <w:rPr>
          <w:rFonts w:eastAsia="Times New Roman" w:cs="Arial"/>
          <w:color w:val="000000"/>
          <w:szCs w:val="40"/>
          <w:lang w:val="ru-RU"/>
        </w:rPr>
        <w:t>01</w:t>
      </w:r>
      <w:r w:rsidRPr="00D1791C">
        <w:rPr>
          <w:rFonts w:eastAsia="Times New Roman" w:cs="Arial"/>
          <w:color w:val="000000"/>
          <w:szCs w:val="40"/>
          <w:lang w:val="en-US"/>
        </w:rPr>
        <w:t>XA</w:t>
      </w:r>
      <w:r w:rsidRPr="00D1791C">
        <w:rPr>
          <w:rFonts w:eastAsia="Times New Roman" w:cs="Arial"/>
          <w:color w:val="000000"/>
          <w:szCs w:val="40"/>
          <w:lang w:val="ru-RU"/>
        </w:rPr>
        <w:t xml:space="preserve"> </w:t>
      </w:r>
      <w:r w:rsidRPr="00D1791C">
        <w:rPr>
          <w:rFonts w:eastAsia="Times New Roman" w:cs="Arial"/>
          <w:color w:val="000000"/>
          <w:szCs w:val="40"/>
          <w:lang w:eastAsia="bg-BG"/>
        </w:rPr>
        <w:t>02</w:t>
      </w:r>
    </w:p>
    <w:p w14:paraId="0600450C" w14:textId="77777777" w:rsidR="00D1791C" w:rsidRPr="00D1791C" w:rsidRDefault="00D1791C" w:rsidP="00D1791C">
      <w:pPr>
        <w:spacing w:line="240" w:lineRule="auto"/>
        <w:rPr>
          <w:rFonts w:eastAsia="Times New Roman" w:cs="Arial"/>
          <w:color w:val="000000"/>
          <w:szCs w:val="40"/>
          <w:u w:val="single"/>
          <w:lang w:eastAsia="bg-BG"/>
        </w:rPr>
      </w:pPr>
    </w:p>
    <w:p w14:paraId="01C7213E" w14:textId="0EC711BD"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u w:val="single"/>
          <w:lang w:eastAsia="bg-BG"/>
        </w:rPr>
        <w:t>Механизъм на действие</w:t>
      </w:r>
    </w:p>
    <w:p w14:paraId="4F52FE5F"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 xml:space="preserve">Тейкопланин потиска растежа на чувствителни микроорганизми чрез намеса в биосинтеза на клетачната стена на място различно от мястото на действие на беталактамите. Синтеза на пептидогликан се блокира чрез специфично свързване с </w:t>
      </w:r>
      <w:r w:rsidRPr="00D1791C">
        <w:rPr>
          <w:rFonts w:eastAsia="Times New Roman" w:cs="Arial"/>
          <w:color w:val="000000"/>
          <w:szCs w:val="40"/>
          <w:lang w:val="en-US"/>
        </w:rPr>
        <w:t>D</w:t>
      </w:r>
      <w:r w:rsidRPr="00D1791C">
        <w:rPr>
          <w:rFonts w:eastAsia="Times New Roman" w:cs="Arial"/>
          <w:color w:val="000000"/>
          <w:szCs w:val="40"/>
          <w:lang w:eastAsia="bg-BG"/>
        </w:rPr>
        <w:t>-аланил-</w:t>
      </w:r>
      <w:r w:rsidRPr="00D1791C">
        <w:rPr>
          <w:rFonts w:eastAsia="Times New Roman" w:cs="Arial"/>
          <w:color w:val="000000"/>
          <w:szCs w:val="40"/>
          <w:lang w:val="en-US"/>
        </w:rPr>
        <w:t>D</w:t>
      </w:r>
      <w:r w:rsidRPr="00D1791C">
        <w:rPr>
          <w:rFonts w:eastAsia="Times New Roman" w:cs="Arial"/>
          <w:color w:val="000000"/>
          <w:szCs w:val="40"/>
          <w:lang w:eastAsia="bg-BG"/>
        </w:rPr>
        <w:t>-аланин остатъци.</w:t>
      </w:r>
    </w:p>
    <w:p w14:paraId="2FC0B406" w14:textId="77777777" w:rsidR="00D1791C" w:rsidRPr="00D1791C" w:rsidRDefault="00D1791C" w:rsidP="00D1791C">
      <w:pPr>
        <w:spacing w:line="240" w:lineRule="auto"/>
        <w:rPr>
          <w:rFonts w:eastAsia="Times New Roman" w:cs="Arial"/>
          <w:color w:val="000000"/>
          <w:szCs w:val="40"/>
          <w:u w:val="single"/>
          <w:lang w:eastAsia="bg-BG"/>
        </w:rPr>
      </w:pPr>
    </w:p>
    <w:p w14:paraId="3DF55ADB" w14:textId="4D5E56FE" w:rsidR="00D1791C" w:rsidRPr="00D1791C" w:rsidRDefault="00D1791C" w:rsidP="00D1791C">
      <w:pPr>
        <w:spacing w:line="240" w:lineRule="auto"/>
        <w:rPr>
          <w:rFonts w:eastAsia="Times New Roman" w:cs="Arial"/>
          <w:color w:val="000000"/>
          <w:szCs w:val="40"/>
          <w:u w:val="single"/>
          <w:lang w:eastAsia="bg-BG"/>
        </w:rPr>
      </w:pPr>
      <w:r w:rsidRPr="00D1791C">
        <w:rPr>
          <w:rFonts w:eastAsia="Times New Roman" w:cs="Arial"/>
          <w:color w:val="000000"/>
          <w:szCs w:val="40"/>
          <w:u w:val="single"/>
          <w:lang w:eastAsia="bg-BG"/>
        </w:rPr>
        <w:t>Механизъм на резистентност</w:t>
      </w:r>
    </w:p>
    <w:p w14:paraId="79F71644"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Резистентност към тейкопланин може да се основава на следните механизми:</w:t>
      </w:r>
    </w:p>
    <w:p w14:paraId="171E2ED5" w14:textId="77777777" w:rsidR="00D1791C" w:rsidRPr="00D1791C" w:rsidRDefault="00D1791C" w:rsidP="00D1791C">
      <w:pPr>
        <w:pStyle w:val="ListParagraph"/>
        <w:numPr>
          <w:ilvl w:val="0"/>
          <w:numId w:val="34"/>
        </w:numPr>
        <w:spacing w:line="240" w:lineRule="auto"/>
        <w:rPr>
          <w:rFonts w:eastAsia="Times New Roman" w:cs="Arial"/>
          <w:color w:val="000000"/>
          <w:szCs w:val="40"/>
          <w:lang w:eastAsia="bg-BG"/>
        </w:rPr>
      </w:pPr>
      <w:r w:rsidRPr="00D1791C">
        <w:rPr>
          <w:rFonts w:eastAsia="Times New Roman" w:cs="Arial"/>
          <w:color w:val="000000"/>
          <w:szCs w:val="40"/>
          <w:lang w:eastAsia="bg-BG"/>
        </w:rPr>
        <w:t xml:space="preserve">Изменена таргетна структура: тази форма на резистентност се среща по-специално при </w:t>
      </w:r>
      <w:r w:rsidRPr="00D1791C">
        <w:rPr>
          <w:rFonts w:eastAsia="Times New Roman" w:cs="Arial"/>
          <w:i/>
          <w:iCs/>
          <w:color w:val="000000"/>
          <w:szCs w:val="40"/>
          <w:lang w:val="en-US"/>
        </w:rPr>
        <w:t>Enterococcus</w:t>
      </w:r>
      <w:r w:rsidRPr="00D1791C">
        <w:rPr>
          <w:rFonts w:eastAsia="Times New Roman" w:cs="Arial"/>
          <w:i/>
          <w:iCs/>
          <w:color w:val="000000"/>
          <w:szCs w:val="40"/>
          <w:lang w:val="ru-RU"/>
        </w:rPr>
        <w:t xml:space="preserve"> </w:t>
      </w:r>
      <w:proofErr w:type="spellStart"/>
      <w:r w:rsidRPr="00D1791C">
        <w:rPr>
          <w:rFonts w:eastAsia="Times New Roman" w:cs="Arial"/>
          <w:i/>
          <w:iCs/>
          <w:color w:val="000000"/>
          <w:szCs w:val="40"/>
          <w:lang w:val="en-US"/>
        </w:rPr>
        <w:t>faecium</w:t>
      </w:r>
      <w:proofErr w:type="spellEnd"/>
      <w:r w:rsidRPr="00D1791C">
        <w:rPr>
          <w:rFonts w:eastAsia="Times New Roman" w:cs="Arial"/>
          <w:i/>
          <w:iCs/>
          <w:color w:val="000000"/>
          <w:szCs w:val="40"/>
          <w:lang w:val="ru-RU"/>
        </w:rPr>
        <w:t>.</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Изменението се основава на смяна на крайните </w:t>
      </w:r>
      <w:r w:rsidRPr="00D1791C">
        <w:rPr>
          <w:rFonts w:eastAsia="Times New Roman" w:cs="Arial"/>
          <w:color w:val="000000"/>
          <w:szCs w:val="40"/>
          <w:lang w:val="en-US"/>
        </w:rPr>
        <w:t>D</w:t>
      </w:r>
      <w:r w:rsidRPr="00D1791C">
        <w:rPr>
          <w:rFonts w:eastAsia="Times New Roman" w:cs="Arial"/>
          <w:color w:val="000000"/>
          <w:szCs w:val="40"/>
          <w:lang w:eastAsia="bg-BG"/>
        </w:rPr>
        <w:t>-аланин-</w:t>
      </w:r>
      <w:r w:rsidRPr="00D1791C">
        <w:rPr>
          <w:rFonts w:eastAsia="Times New Roman" w:cs="Arial"/>
          <w:color w:val="000000"/>
          <w:szCs w:val="40"/>
          <w:lang w:val="en-US"/>
        </w:rPr>
        <w:t>D</w:t>
      </w:r>
      <w:r w:rsidRPr="00D1791C">
        <w:rPr>
          <w:rFonts w:eastAsia="Times New Roman" w:cs="Arial"/>
          <w:color w:val="000000"/>
          <w:szCs w:val="40"/>
          <w:lang w:eastAsia="bg-BG"/>
        </w:rPr>
        <w:t xml:space="preserve">-аланин групи от амино-киселинната верига на муреиновия прекурсор с </w:t>
      </w:r>
      <w:r w:rsidRPr="00D1791C">
        <w:rPr>
          <w:rFonts w:eastAsia="Times New Roman" w:cs="Arial"/>
          <w:color w:val="000000"/>
          <w:szCs w:val="40"/>
          <w:lang w:val="en-US"/>
        </w:rPr>
        <w:t>D</w:t>
      </w:r>
      <w:r w:rsidRPr="00D1791C">
        <w:rPr>
          <w:rFonts w:eastAsia="Times New Roman" w:cs="Arial"/>
          <w:color w:val="000000"/>
          <w:szCs w:val="40"/>
          <w:lang w:eastAsia="bg-BG"/>
        </w:rPr>
        <w:t>-Ала-</w:t>
      </w:r>
      <w:r w:rsidRPr="00D1791C">
        <w:rPr>
          <w:rFonts w:eastAsia="Times New Roman" w:cs="Arial"/>
          <w:color w:val="000000"/>
          <w:szCs w:val="40"/>
          <w:lang w:val="en-US"/>
        </w:rPr>
        <w:t>D</w:t>
      </w:r>
      <w:r w:rsidRPr="00D1791C">
        <w:rPr>
          <w:rFonts w:eastAsia="Times New Roman" w:cs="Arial"/>
          <w:color w:val="000000"/>
          <w:szCs w:val="40"/>
          <w:lang w:eastAsia="bg-BG"/>
        </w:rPr>
        <w:t xml:space="preserve">-лактат, което понижава афинитета към ванкомицин. Отговорните ензими са синтезирани наново </w:t>
      </w:r>
      <w:r w:rsidRPr="00D1791C">
        <w:rPr>
          <w:rFonts w:eastAsia="Times New Roman" w:cs="Arial"/>
          <w:color w:val="000000"/>
          <w:szCs w:val="40"/>
          <w:lang w:val="en-US"/>
        </w:rPr>
        <w:t>D</w:t>
      </w:r>
      <w:r w:rsidRPr="00D1791C">
        <w:rPr>
          <w:rFonts w:eastAsia="Times New Roman" w:cs="Arial"/>
          <w:color w:val="000000"/>
          <w:szCs w:val="40"/>
          <w:lang w:eastAsia="bg-BG"/>
        </w:rPr>
        <w:t>-лактат дехидрогеназа или лигаза.</w:t>
      </w:r>
    </w:p>
    <w:p w14:paraId="5DFFFEE1" w14:textId="5ED1CB0B" w:rsidR="00D1791C" w:rsidRPr="00D1791C" w:rsidRDefault="00D1791C" w:rsidP="00D1791C">
      <w:pPr>
        <w:pStyle w:val="ListParagraph"/>
        <w:numPr>
          <w:ilvl w:val="0"/>
          <w:numId w:val="34"/>
        </w:numPr>
        <w:spacing w:line="240" w:lineRule="auto"/>
        <w:rPr>
          <w:rFonts w:eastAsia="Times New Roman" w:cs="Arial"/>
          <w:color w:val="000000"/>
          <w:szCs w:val="40"/>
          <w:lang w:eastAsia="bg-BG"/>
        </w:rPr>
      </w:pPr>
      <w:r w:rsidRPr="00D1791C">
        <w:rPr>
          <w:rFonts w:eastAsia="Times New Roman" w:cs="Arial"/>
          <w:color w:val="000000"/>
          <w:szCs w:val="40"/>
          <w:lang w:eastAsia="bg-BG"/>
        </w:rPr>
        <w:t>Намалената чувствителност или резистентност на стафилококи към тейкопланин се основава на</w:t>
      </w:r>
      <w:r>
        <w:rPr>
          <w:rFonts w:eastAsia="Times New Roman" w:cs="Arial"/>
          <w:color w:val="000000"/>
          <w:szCs w:val="40"/>
          <w:lang w:eastAsia="bg-BG"/>
        </w:rPr>
        <w:t xml:space="preserve"> </w:t>
      </w:r>
      <w:r w:rsidRPr="00D1791C">
        <w:rPr>
          <w:rFonts w:eastAsia="Times New Roman" w:cs="Arial"/>
          <w:color w:val="000000"/>
          <w:szCs w:val="40"/>
          <w:lang w:eastAsia="bg-BG"/>
        </w:rPr>
        <w:t>свръхпродукция на муреинови прекурсори, към които се свързва тейкопланин.</w:t>
      </w:r>
    </w:p>
    <w:p w14:paraId="40B47B63" w14:textId="77777777" w:rsidR="00D1791C" w:rsidRPr="00D1791C" w:rsidRDefault="00D1791C" w:rsidP="00D1791C">
      <w:pPr>
        <w:spacing w:line="240" w:lineRule="auto"/>
        <w:rPr>
          <w:rFonts w:eastAsia="Times New Roman" w:cs="Arial"/>
          <w:color w:val="000000"/>
          <w:szCs w:val="40"/>
          <w:lang w:eastAsia="bg-BG"/>
        </w:rPr>
      </w:pPr>
    </w:p>
    <w:p w14:paraId="40E1E9DC" w14:textId="64D0FE31"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 xml:space="preserve">Може да възникне кръстосана резистентност между тейкопланин и гликопротеина ванкомицин. Редица ванкомицин-резистентни ентерококи са чувствителни към тейкопланин </w:t>
      </w:r>
      <w:r w:rsidRPr="00D1791C">
        <w:rPr>
          <w:rFonts w:eastAsia="Times New Roman" w:cs="Arial"/>
          <w:color w:val="000000"/>
          <w:szCs w:val="40"/>
          <w:lang w:val="ru-RU"/>
        </w:rPr>
        <w:t>(</w:t>
      </w:r>
      <w:r w:rsidRPr="00D1791C">
        <w:rPr>
          <w:rFonts w:eastAsia="Times New Roman" w:cs="Arial"/>
          <w:color w:val="000000"/>
          <w:szCs w:val="40"/>
          <w:lang w:val="en-US"/>
        </w:rPr>
        <w:t>Van</w:t>
      </w:r>
      <w:r w:rsidRPr="00D1791C">
        <w:rPr>
          <w:rFonts w:eastAsia="Times New Roman" w:cs="Arial"/>
          <w:color w:val="000000"/>
          <w:szCs w:val="40"/>
          <w:lang w:val="ru-RU"/>
        </w:rPr>
        <w:t>-</w:t>
      </w:r>
      <w:r w:rsidRPr="00D1791C">
        <w:rPr>
          <w:rFonts w:eastAsia="Times New Roman" w:cs="Arial"/>
          <w:color w:val="000000"/>
          <w:szCs w:val="40"/>
          <w:lang w:val="en-US"/>
        </w:rPr>
        <w:t>B</w:t>
      </w:r>
      <w:r w:rsidRPr="00D1791C">
        <w:rPr>
          <w:rFonts w:eastAsia="Times New Roman" w:cs="Arial"/>
          <w:color w:val="000000"/>
          <w:szCs w:val="40"/>
          <w:lang w:val="ru-RU"/>
        </w:rPr>
        <w:t xml:space="preserve"> </w:t>
      </w:r>
      <w:r w:rsidRPr="00D1791C">
        <w:rPr>
          <w:rFonts w:eastAsia="Times New Roman" w:cs="Arial"/>
          <w:color w:val="000000"/>
          <w:szCs w:val="40"/>
          <w:lang w:eastAsia="bg-BG"/>
        </w:rPr>
        <w:t>фенотип).</w:t>
      </w:r>
    </w:p>
    <w:p w14:paraId="643F208F" w14:textId="77777777" w:rsidR="00D1791C" w:rsidRPr="00D1791C" w:rsidRDefault="00D1791C" w:rsidP="00D1791C">
      <w:pPr>
        <w:spacing w:line="240" w:lineRule="auto"/>
        <w:rPr>
          <w:rFonts w:eastAsia="Times New Roman" w:cs="Arial"/>
          <w:color w:val="000000"/>
          <w:szCs w:val="40"/>
          <w:u w:val="single"/>
          <w:lang w:eastAsia="bg-BG"/>
        </w:rPr>
      </w:pPr>
    </w:p>
    <w:p w14:paraId="35D57AE2" w14:textId="4EBA82F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u w:val="single"/>
          <w:lang w:eastAsia="bg-BG"/>
        </w:rPr>
        <w:t>Гранични стойности при изпитване за чувствителност</w:t>
      </w:r>
    </w:p>
    <w:p w14:paraId="59D80166"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 xml:space="preserve">Граничните стойности на </w:t>
      </w:r>
      <w:r w:rsidRPr="00D1791C">
        <w:rPr>
          <w:rFonts w:eastAsia="Times New Roman" w:cs="Arial"/>
          <w:color w:val="000000"/>
          <w:szCs w:val="40"/>
          <w:lang w:val="en-US"/>
        </w:rPr>
        <w:t>MIC</w:t>
      </w:r>
      <w:r w:rsidRPr="00D1791C">
        <w:rPr>
          <w:rFonts w:eastAsia="Times New Roman" w:cs="Arial"/>
          <w:color w:val="000000"/>
          <w:szCs w:val="40"/>
        </w:rPr>
        <w:t xml:space="preserve"> </w:t>
      </w:r>
      <w:r w:rsidRPr="00D1791C">
        <w:rPr>
          <w:rFonts w:eastAsia="Times New Roman" w:cs="Arial"/>
          <w:color w:val="000000"/>
          <w:szCs w:val="40"/>
          <w:lang w:eastAsia="bg-BG"/>
        </w:rPr>
        <w:t xml:space="preserve">според Европейския комитет за изпитване на антимикробната чувствителност </w:t>
      </w:r>
      <w:r w:rsidRPr="00D1791C">
        <w:rPr>
          <w:rFonts w:eastAsia="Times New Roman" w:cs="Arial"/>
          <w:color w:val="000000"/>
          <w:szCs w:val="40"/>
        </w:rPr>
        <w:t>(</w:t>
      </w:r>
      <w:r w:rsidRPr="00D1791C">
        <w:rPr>
          <w:rFonts w:eastAsia="Times New Roman" w:cs="Arial"/>
          <w:color w:val="000000"/>
          <w:szCs w:val="40"/>
          <w:lang w:val="en-US"/>
        </w:rPr>
        <w:t>European</w:t>
      </w:r>
      <w:r w:rsidRPr="00D1791C">
        <w:rPr>
          <w:rFonts w:eastAsia="Times New Roman" w:cs="Arial"/>
          <w:color w:val="000000"/>
          <w:szCs w:val="40"/>
        </w:rPr>
        <w:t xml:space="preserve"> </w:t>
      </w:r>
      <w:r w:rsidRPr="00D1791C">
        <w:rPr>
          <w:rFonts w:eastAsia="Times New Roman" w:cs="Arial"/>
          <w:color w:val="000000"/>
          <w:szCs w:val="40"/>
          <w:lang w:val="en-US"/>
        </w:rPr>
        <w:t>Committee</w:t>
      </w:r>
      <w:r w:rsidRPr="00D1791C">
        <w:rPr>
          <w:rFonts w:eastAsia="Times New Roman" w:cs="Arial"/>
          <w:color w:val="000000"/>
          <w:szCs w:val="40"/>
        </w:rPr>
        <w:t xml:space="preserve"> </w:t>
      </w:r>
      <w:r w:rsidRPr="00D1791C">
        <w:rPr>
          <w:rFonts w:eastAsia="Times New Roman" w:cs="Arial"/>
          <w:color w:val="000000"/>
          <w:szCs w:val="40"/>
          <w:lang w:val="en-US"/>
        </w:rPr>
        <w:t>on</w:t>
      </w:r>
      <w:r w:rsidRPr="00D1791C">
        <w:rPr>
          <w:rFonts w:eastAsia="Times New Roman" w:cs="Arial"/>
          <w:color w:val="000000"/>
          <w:szCs w:val="40"/>
        </w:rPr>
        <w:t xml:space="preserve"> </w:t>
      </w:r>
      <w:r w:rsidRPr="00D1791C">
        <w:rPr>
          <w:rFonts w:eastAsia="Times New Roman" w:cs="Arial"/>
          <w:color w:val="000000"/>
          <w:szCs w:val="40"/>
          <w:lang w:val="en-US"/>
        </w:rPr>
        <w:t>Antimicrobial</w:t>
      </w:r>
      <w:r w:rsidRPr="00D1791C">
        <w:rPr>
          <w:rFonts w:eastAsia="Times New Roman" w:cs="Arial"/>
          <w:color w:val="000000"/>
          <w:szCs w:val="40"/>
        </w:rPr>
        <w:t xml:space="preserve"> </w:t>
      </w:r>
      <w:r w:rsidRPr="00D1791C">
        <w:rPr>
          <w:rFonts w:eastAsia="Times New Roman" w:cs="Arial"/>
          <w:color w:val="000000"/>
          <w:szCs w:val="40"/>
          <w:lang w:val="en-US"/>
        </w:rPr>
        <w:t>Susceptibility</w:t>
      </w:r>
      <w:r w:rsidRPr="00D1791C">
        <w:rPr>
          <w:rFonts w:eastAsia="Times New Roman" w:cs="Arial"/>
          <w:color w:val="000000"/>
          <w:szCs w:val="40"/>
        </w:rPr>
        <w:t xml:space="preserve"> </w:t>
      </w:r>
      <w:r w:rsidRPr="00D1791C">
        <w:rPr>
          <w:rFonts w:eastAsia="Times New Roman" w:cs="Arial"/>
          <w:color w:val="000000"/>
          <w:szCs w:val="40"/>
          <w:lang w:val="en-US"/>
        </w:rPr>
        <w:t>Testing</w:t>
      </w:r>
      <w:r w:rsidRPr="00D1791C">
        <w:rPr>
          <w:rFonts w:eastAsia="Times New Roman" w:cs="Arial"/>
          <w:color w:val="000000"/>
          <w:szCs w:val="40"/>
        </w:rPr>
        <w:t xml:space="preserve">, </w:t>
      </w:r>
      <w:r w:rsidRPr="00D1791C">
        <w:rPr>
          <w:rFonts w:eastAsia="Times New Roman" w:cs="Arial"/>
          <w:color w:val="000000"/>
          <w:szCs w:val="40"/>
          <w:lang w:val="en-US"/>
        </w:rPr>
        <w:t>EUCAST</w:t>
      </w:r>
      <w:r w:rsidRPr="00D1791C">
        <w:rPr>
          <w:rFonts w:eastAsia="Times New Roman" w:cs="Arial"/>
          <w:color w:val="000000"/>
          <w:szCs w:val="40"/>
        </w:rPr>
        <w:t xml:space="preserve">), </w:t>
      </w:r>
      <w:r w:rsidRPr="00D1791C">
        <w:rPr>
          <w:rFonts w:eastAsia="Times New Roman" w:cs="Arial"/>
          <w:color w:val="000000"/>
          <w:szCs w:val="40"/>
          <w:lang w:eastAsia="bg-BG"/>
        </w:rPr>
        <w:t xml:space="preserve">версия </w:t>
      </w:r>
      <w:r w:rsidRPr="00D1791C">
        <w:rPr>
          <w:rFonts w:eastAsia="Times New Roman" w:cs="Arial"/>
          <w:color w:val="000000"/>
          <w:szCs w:val="40"/>
        </w:rPr>
        <w:t xml:space="preserve">7.1 </w:t>
      </w:r>
      <w:r w:rsidRPr="00D1791C">
        <w:rPr>
          <w:rFonts w:eastAsia="Times New Roman" w:cs="Arial"/>
          <w:color w:val="000000"/>
          <w:szCs w:val="40"/>
          <w:lang w:eastAsia="bg-BG"/>
        </w:rPr>
        <w:t xml:space="preserve">Март </w:t>
      </w:r>
      <w:r w:rsidRPr="00D1791C">
        <w:rPr>
          <w:rFonts w:eastAsia="Times New Roman" w:cs="Arial"/>
          <w:color w:val="000000"/>
          <w:szCs w:val="40"/>
        </w:rPr>
        <w:t xml:space="preserve">10,2017 </w:t>
      </w:r>
      <w:r w:rsidRPr="00D1791C">
        <w:rPr>
          <w:rFonts w:eastAsia="Times New Roman" w:cs="Arial"/>
          <w:color w:val="000000"/>
          <w:szCs w:val="40"/>
          <w:lang w:eastAsia="bg-BG"/>
        </w:rPr>
        <w:t>са показани в следващата таблица:</w:t>
      </w:r>
    </w:p>
    <w:tbl>
      <w:tblPr>
        <w:tblStyle w:val="TableGrid"/>
        <w:tblW w:w="0" w:type="auto"/>
        <w:tblLook w:val="04A0" w:firstRow="1" w:lastRow="0" w:firstColumn="1" w:lastColumn="0" w:noHBand="0" w:noVBand="1"/>
      </w:tblPr>
      <w:tblGrid>
        <w:gridCol w:w="3132"/>
        <w:gridCol w:w="3114"/>
        <w:gridCol w:w="3104"/>
      </w:tblGrid>
      <w:tr w:rsidR="00D1791C" w14:paraId="4F85C67D" w14:textId="77777777" w:rsidTr="00A63BA6">
        <w:tc>
          <w:tcPr>
            <w:tcW w:w="3192" w:type="dxa"/>
            <w:vAlign w:val="bottom"/>
          </w:tcPr>
          <w:p w14:paraId="71894613" w14:textId="0214D6E2" w:rsidR="00D1791C" w:rsidRPr="00D1791C" w:rsidRDefault="00D1791C" w:rsidP="00D1791C">
            <w:r w:rsidRPr="00D1791C">
              <w:rPr>
                <w:b/>
                <w:bCs/>
                <w:szCs w:val="40"/>
              </w:rPr>
              <w:t>Микроорганизъм</w:t>
            </w:r>
          </w:p>
        </w:tc>
        <w:tc>
          <w:tcPr>
            <w:tcW w:w="3192" w:type="dxa"/>
            <w:vAlign w:val="bottom"/>
          </w:tcPr>
          <w:p w14:paraId="3A524C20" w14:textId="748451D3" w:rsidR="00D1791C" w:rsidRPr="00D1791C" w:rsidRDefault="00D1791C" w:rsidP="00D1791C">
            <w:r w:rsidRPr="00D1791C">
              <w:rPr>
                <w:b/>
                <w:bCs/>
                <w:szCs w:val="40"/>
              </w:rPr>
              <w:t>Чувствителен</w:t>
            </w:r>
          </w:p>
        </w:tc>
        <w:tc>
          <w:tcPr>
            <w:tcW w:w="3192" w:type="dxa"/>
            <w:vAlign w:val="bottom"/>
          </w:tcPr>
          <w:p w14:paraId="023F3FF8" w14:textId="1343EE90" w:rsidR="00D1791C" w:rsidRPr="00D1791C" w:rsidRDefault="00D1791C" w:rsidP="00D1791C">
            <w:r w:rsidRPr="00D1791C">
              <w:rPr>
                <w:b/>
                <w:bCs/>
                <w:szCs w:val="40"/>
              </w:rPr>
              <w:t>Резистентен</w:t>
            </w:r>
          </w:p>
        </w:tc>
      </w:tr>
      <w:tr w:rsidR="00D1791C" w14:paraId="3254B67B" w14:textId="77777777" w:rsidTr="00A63BA6">
        <w:tc>
          <w:tcPr>
            <w:tcW w:w="3192" w:type="dxa"/>
            <w:vAlign w:val="bottom"/>
          </w:tcPr>
          <w:p w14:paraId="5A1C887F" w14:textId="3023CBE0" w:rsidR="00D1791C" w:rsidRPr="00D1791C" w:rsidRDefault="00D1791C" w:rsidP="00D1791C">
            <w:r w:rsidRPr="00D1791C">
              <w:rPr>
                <w:i/>
                <w:iCs/>
                <w:szCs w:val="40"/>
                <w:lang w:val="en-US"/>
              </w:rPr>
              <w:t xml:space="preserve">Staphylococcus aureus </w:t>
            </w:r>
            <w:r w:rsidRPr="00D1791C">
              <w:rPr>
                <w:i/>
                <w:iCs/>
                <w:szCs w:val="40"/>
                <w:vertAlign w:val="superscript"/>
                <w:lang w:val="en-US"/>
              </w:rPr>
              <w:t>a</w:t>
            </w:r>
            <w:r w:rsidRPr="00D1791C">
              <w:rPr>
                <w:i/>
                <w:iCs/>
                <w:szCs w:val="40"/>
                <w:vertAlign w:val="superscript"/>
              </w:rPr>
              <w:t xml:space="preserve"> </w:t>
            </w:r>
            <w:r w:rsidRPr="00D1791C">
              <w:rPr>
                <w:i/>
                <w:iCs/>
                <w:szCs w:val="40"/>
                <w:vertAlign w:val="superscript"/>
                <w:lang w:val="en-US"/>
              </w:rPr>
              <w:t>b</w:t>
            </w:r>
          </w:p>
        </w:tc>
        <w:tc>
          <w:tcPr>
            <w:tcW w:w="3192" w:type="dxa"/>
            <w:vAlign w:val="bottom"/>
          </w:tcPr>
          <w:p w14:paraId="13AD4DE0" w14:textId="685127BD" w:rsidR="00D1791C" w:rsidRPr="00D1791C" w:rsidRDefault="00D1791C" w:rsidP="00D1791C">
            <w:r w:rsidRPr="00D1791C">
              <w:rPr>
                <w:szCs w:val="40"/>
                <w:lang w:val="en-US"/>
              </w:rPr>
              <w:t>≤</w:t>
            </w:r>
            <w:r w:rsidRPr="00D1791C">
              <w:rPr>
                <w:szCs w:val="40"/>
              </w:rPr>
              <w:t xml:space="preserve">2 </w:t>
            </w:r>
            <w:r w:rsidRPr="00D1791C">
              <w:rPr>
                <w:szCs w:val="40"/>
                <w:lang w:val="en-US"/>
              </w:rPr>
              <w:t>mg/1</w:t>
            </w:r>
          </w:p>
        </w:tc>
        <w:tc>
          <w:tcPr>
            <w:tcW w:w="3192" w:type="dxa"/>
            <w:vAlign w:val="bottom"/>
          </w:tcPr>
          <w:p w14:paraId="7A9146C4" w14:textId="0C6E75EC" w:rsidR="00D1791C" w:rsidRPr="00D1791C" w:rsidRDefault="00D1791C" w:rsidP="00D1791C">
            <w:r w:rsidRPr="00D1791C">
              <w:rPr>
                <w:szCs w:val="40"/>
                <w:lang w:val="en-US"/>
              </w:rPr>
              <w:t>&gt;2 mg/L</w:t>
            </w:r>
          </w:p>
        </w:tc>
      </w:tr>
      <w:tr w:rsidR="00D1791C" w14:paraId="0E3FB9F9" w14:textId="77777777" w:rsidTr="00A63BA6">
        <w:tc>
          <w:tcPr>
            <w:tcW w:w="3192" w:type="dxa"/>
            <w:vAlign w:val="bottom"/>
          </w:tcPr>
          <w:p w14:paraId="76E94819" w14:textId="04AEA6AB" w:rsidR="00D1791C" w:rsidRPr="00D1791C" w:rsidRDefault="00D1791C" w:rsidP="00D1791C">
            <w:r w:rsidRPr="00D1791C">
              <w:rPr>
                <w:szCs w:val="40"/>
              </w:rPr>
              <w:t xml:space="preserve">Коагулаза-негативни стафилококи </w:t>
            </w:r>
            <w:r w:rsidRPr="00D1791C">
              <w:rPr>
                <w:szCs w:val="40"/>
                <w:vertAlign w:val="superscript"/>
                <w:lang w:val="en-US"/>
              </w:rPr>
              <w:t>a</w:t>
            </w:r>
            <w:r w:rsidRPr="00D1791C">
              <w:rPr>
                <w:szCs w:val="40"/>
                <w:vertAlign w:val="superscript"/>
                <w:lang w:val="ru-RU"/>
              </w:rPr>
              <w:t>,</w:t>
            </w:r>
            <w:r w:rsidRPr="00D1791C">
              <w:rPr>
                <w:szCs w:val="40"/>
                <w:vertAlign w:val="superscript"/>
                <w:lang w:val="en-US"/>
              </w:rPr>
              <w:t>b</w:t>
            </w:r>
          </w:p>
        </w:tc>
        <w:tc>
          <w:tcPr>
            <w:tcW w:w="3192" w:type="dxa"/>
            <w:vAlign w:val="bottom"/>
          </w:tcPr>
          <w:p w14:paraId="6E7FE8DB" w14:textId="3B3CAFFC" w:rsidR="00D1791C" w:rsidRPr="00D1791C" w:rsidRDefault="00D1791C" w:rsidP="00D1791C">
            <w:r w:rsidRPr="00D1791C">
              <w:rPr>
                <w:szCs w:val="40"/>
                <w:lang w:val="en-US"/>
              </w:rPr>
              <w:t>≤</w:t>
            </w:r>
            <w:r w:rsidRPr="00D1791C">
              <w:rPr>
                <w:szCs w:val="40"/>
              </w:rPr>
              <w:t xml:space="preserve">4 </w:t>
            </w:r>
            <w:r w:rsidRPr="00D1791C">
              <w:rPr>
                <w:szCs w:val="40"/>
                <w:lang w:val="en-US"/>
              </w:rPr>
              <w:t>mg/1</w:t>
            </w:r>
          </w:p>
        </w:tc>
        <w:tc>
          <w:tcPr>
            <w:tcW w:w="3192" w:type="dxa"/>
            <w:vAlign w:val="bottom"/>
          </w:tcPr>
          <w:p w14:paraId="3C150A7A" w14:textId="2238236D" w:rsidR="00D1791C" w:rsidRPr="00D1791C" w:rsidRDefault="00D1791C" w:rsidP="00D1791C">
            <w:r w:rsidRPr="00D1791C">
              <w:rPr>
                <w:szCs w:val="40"/>
                <w:lang w:val="en-US"/>
              </w:rPr>
              <w:t>&gt;4 mg/L</w:t>
            </w:r>
          </w:p>
        </w:tc>
      </w:tr>
      <w:tr w:rsidR="00D1791C" w14:paraId="567D88FC" w14:textId="77777777" w:rsidTr="00A63BA6">
        <w:tc>
          <w:tcPr>
            <w:tcW w:w="3192" w:type="dxa"/>
            <w:vAlign w:val="bottom"/>
          </w:tcPr>
          <w:p w14:paraId="3DCE3C28" w14:textId="5EB3CE02" w:rsidR="00D1791C" w:rsidRPr="00D1791C" w:rsidRDefault="00D1791C" w:rsidP="00D1791C">
            <w:r w:rsidRPr="00D1791C">
              <w:rPr>
                <w:i/>
                <w:iCs/>
                <w:szCs w:val="40"/>
                <w:lang w:val="en-US"/>
              </w:rPr>
              <w:t>Enterococcus</w:t>
            </w:r>
            <w:r w:rsidRPr="00D1791C">
              <w:rPr>
                <w:szCs w:val="40"/>
                <w:lang w:val="en-US"/>
              </w:rPr>
              <w:t xml:space="preserve"> spp.</w:t>
            </w:r>
          </w:p>
        </w:tc>
        <w:tc>
          <w:tcPr>
            <w:tcW w:w="3192" w:type="dxa"/>
            <w:vAlign w:val="bottom"/>
          </w:tcPr>
          <w:p w14:paraId="2BE694F0" w14:textId="32F31285" w:rsidR="00D1791C" w:rsidRPr="00D1791C" w:rsidRDefault="00D1791C" w:rsidP="00D1791C">
            <w:r w:rsidRPr="00D1791C">
              <w:rPr>
                <w:szCs w:val="40"/>
                <w:lang w:val="en-US"/>
              </w:rPr>
              <w:t>≤</w:t>
            </w:r>
            <w:r w:rsidRPr="00D1791C">
              <w:rPr>
                <w:szCs w:val="40"/>
              </w:rPr>
              <w:t xml:space="preserve">2 </w:t>
            </w:r>
            <w:r w:rsidRPr="00D1791C">
              <w:rPr>
                <w:szCs w:val="40"/>
                <w:lang w:val="en-US"/>
              </w:rPr>
              <w:t>mg/1</w:t>
            </w:r>
          </w:p>
        </w:tc>
        <w:tc>
          <w:tcPr>
            <w:tcW w:w="3192" w:type="dxa"/>
            <w:vAlign w:val="bottom"/>
          </w:tcPr>
          <w:p w14:paraId="47EC7CD3" w14:textId="321A5275" w:rsidR="00D1791C" w:rsidRPr="00D1791C" w:rsidRDefault="00D1791C" w:rsidP="00D1791C">
            <w:r w:rsidRPr="00D1791C">
              <w:rPr>
                <w:szCs w:val="40"/>
                <w:lang w:val="en-US"/>
              </w:rPr>
              <w:t>&gt;2 mg/L</w:t>
            </w:r>
          </w:p>
        </w:tc>
      </w:tr>
      <w:tr w:rsidR="00D1791C" w14:paraId="698EA5B4" w14:textId="77777777" w:rsidTr="00A63BA6">
        <w:tc>
          <w:tcPr>
            <w:tcW w:w="3192" w:type="dxa"/>
            <w:vAlign w:val="bottom"/>
          </w:tcPr>
          <w:p w14:paraId="28FD1FB0" w14:textId="36DA19B0" w:rsidR="00D1791C" w:rsidRPr="00D1791C" w:rsidRDefault="00D1791C" w:rsidP="00D1791C">
            <w:r w:rsidRPr="00D1791C">
              <w:rPr>
                <w:i/>
                <w:iCs/>
                <w:szCs w:val="40"/>
              </w:rPr>
              <w:t>Стрептококи от</w:t>
            </w:r>
            <w:r w:rsidRPr="00D1791C">
              <w:rPr>
                <w:szCs w:val="40"/>
              </w:rPr>
              <w:t xml:space="preserve"> групи А, В, С, </w:t>
            </w:r>
            <w:r w:rsidRPr="00D1791C">
              <w:rPr>
                <w:szCs w:val="40"/>
                <w:lang w:val="en-US"/>
              </w:rPr>
              <w:t>G</w:t>
            </w:r>
            <w:r w:rsidRPr="00D1791C">
              <w:rPr>
                <w:szCs w:val="40"/>
                <w:lang w:val="ru-RU"/>
              </w:rPr>
              <w:t xml:space="preserve"> </w:t>
            </w:r>
            <w:r w:rsidRPr="00D1791C">
              <w:rPr>
                <w:szCs w:val="40"/>
                <w:vertAlign w:val="superscript"/>
                <w:lang w:val="en-US"/>
              </w:rPr>
              <w:t>b</w:t>
            </w:r>
          </w:p>
        </w:tc>
        <w:tc>
          <w:tcPr>
            <w:tcW w:w="3192" w:type="dxa"/>
            <w:vAlign w:val="bottom"/>
          </w:tcPr>
          <w:p w14:paraId="11B56B3F" w14:textId="68183DD7" w:rsidR="00D1791C" w:rsidRPr="00D1791C" w:rsidRDefault="00D1791C" w:rsidP="00D1791C">
            <w:r w:rsidRPr="00D1791C">
              <w:rPr>
                <w:szCs w:val="40"/>
                <w:lang w:val="en-US"/>
              </w:rPr>
              <w:t>≤</w:t>
            </w:r>
            <w:r w:rsidRPr="00D1791C">
              <w:rPr>
                <w:szCs w:val="40"/>
              </w:rPr>
              <w:t xml:space="preserve">2 </w:t>
            </w:r>
            <w:r w:rsidRPr="00D1791C">
              <w:rPr>
                <w:szCs w:val="40"/>
                <w:lang w:val="en-US"/>
              </w:rPr>
              <w:t>mg/1</w:t>
            </w:r>
          </w:p>
        </w:tc>
        <w:tc>
          <w:tcPr>
            <w:tcW w:w="3192" w:type="dxa"/>
            <w:vAlign w:val="bottom"/>
          </w:tcPr>
          <w:p w14:paraId="77E00E39" w14:textId="05095732" w:rsidR="00D1791C" w:rsidRPr="00D1791C" w:rsidRDefault="00D1791C" w:rsidP="00D1791C">
            <w:r w:rsidRPr="00D1791C">
              <w:rPr>
                <w:szCs w:val="40"/>
                <w:lang w:val="en-US"/>
              </w:rPr>
              <w:t>&gt;2 mg/L</w:t>
            </w:r>
          </w:p>
        </w:tc>
      </w:tr>
      <w:tr w:rsidR="00D1791C" w14:paraId="45A593BD" w14:textId="77777777" w:rsidTr="00A63BA6">
        <w:tc>
          <w:tcPr>
            <w:tcW w:w="3192" w:type="dxa"/>
            <w:vAlign w:val="bottom"/>
          </w:tcPr>
          <w:p w14:paraId="2077D41E" w14:textId="5262D6D4" w:rsidR="00D1791C" w:rsidRPr="00D1791C" w:rsidRDefault="00D1791C" w:rsidP="00D1791C">
            <w:r w:rsidRPr="00D1791C">
              <w:rPr>
                <w:i/>
                <w:iCs/>
                <w:szCs w:val="40"/>
                <w:lang w:val="en-US"/>
              </w:rPr>
              <w:t xml:space="preserve">Streptococcus </w:t>
            </w:r>
            <w:proofErr w:type="spellStart"/>
            <w:r w:rsidRPr="00D1791C">
              <w:rPr>
                <w:i/>
                <w:iCs/>
                <w:szCs w:val="40"/>
                <w:lang w:val="en-US"/>
              </w:rPr>
              <w:t>pneumoniae</w:t>
            </w:r>
            <w:proofErr w:type="spellEnd"/>
            <w:r w:rsidRPr="00D1791C">
              <w:rPr>
                <w:i/>
                <w:iCs/>
                <w:szCs w:val="40"/>
                <w:lang w:val="en-US"/>
              </w:rPr>
              <w:t xml:space="preserve"> </w:t>
            </w:r>
            <w:r w:rsidRPr="00D1791C">
              <w:rPr>
                <w:i/>
                <w:iCs/>
                <w:szCs w:val="40"/>
                <w:vertAlign w:val="superscript"/>
                <w:lang w:val="en-US"/>
              </w:rPr>
              <w:t>b</w:t>
            </w:r>
          </w:p>
        </w:tc>
        <w:tc>
          <w:tcPr>
            <w:tcW w:w="3192" w:type="dxa"/>
            <w:vAlign w:val="bottom"/>
          </w:tcPr>
          <w:p w14:paraId="301141B1" w14:textId="34D86FAA" w:rsidR="00D1791C" w:rsidRPr="00D1791C" w:rsidRDefault="00D1791C" w:rsidP="00D1791C">
            <w:r w:rsidRPr="00D1791C">
              <w:rPr>
                <w:szCs w:val="40"/>
                <w:lang w:val="en-US"/>
              </w:rPr>
              <w:t>≤2 mg/1</w:t>
            </w:r>
          </w:p>
        </w:tc>
        <w:tc>
          <w:tcPr>
            <w:tcW w:w="3192" w:type="dxa"/>
            <w:vAlign w:val="bottom"/>
          </w:tcPr>
          <w:p w14:paraId="2111DF05" w14:textId="6E408EC4" w:rsidR="00D1791C" w:rsidRPr="00D1791C" w:rsidRDefault="00D1791C" w:rsidP="00D1791C">
            <w:r w:rsidRPr="00D1791C">
              <w:rPr>
                <w:szCs w:val="40"/>
                <w:lang w:val="en-US"/>
              </w:rPr>
              <w:t>&gt;2 mg/L</w:t>
            </w:r>
          </w:p>
        </w:tc>
      </w:tr>
      <w:tr w:rsidR="00D1791C" w14:paraId="32D26EB0" w14:textId="77777777" w:rsidTr="00A63BA6">
        <w:tc>
          <w:tcPr>
            <w:tcW w:w="3192" w:type="dxa"/>
            <w:vAlign w:val="bottom"/>
          </w:tcPr>
          <w:p w14:paraId="7C219A17" w14:textId="3DB1F661" w:rsidR="00D1791C" w:rsidRPr="00D1791C" w:rsidRDefault="00D1791C" w:rsidP="00D1791C">
            <w:r w:rsidRPr="00D1791C">
              <w:rPr>
                <w:szCs w:val="40"/>
              </w:rPr>
              <w:t xml:space="preserve">Стрептококи от групата </w:t>
            </w:r>
            <w:proofErr w:type="spellStart"/>
            <w:r w:rsidRPr="00D1791C">
              <w:rPr>
                <w:szCs w:val="40"/>
                <w:lang w:val="en-US"/>
              </w:rPr>
              <w:t>Viridans</w:t>
            </w:r>
            <w:proofErr w:type="spellEnd"/>
            <w:r w:rsidRPr="00D1791C">
              <w:rPr>
                <w:szCs w:val="40"/>
                <w:lang w:val="ru-RU"/>
              </w:rPr>
              <w:t xml:space="preserve"> </w:t>
            </w:r>
            <w:r w:rsidRPr="00D1791C">
              <w:rPr>
                <w:szCs w:val="40"/>
                <w:vertAlign w:val="superscript"/>
                <w:lang w:val="en-US"/>
              </w:rPr>
              <w:t>b</w:t>
            </w:r>
          </w:p>
        </w:tc>
        <w:tc>
          <w:tcPr>
            <w:tcW w:w="3192" w:type="dxa"/>
            <w:vAlign w:val="bottom"/>
          </w:tcPr>
          <w:p w14:paraId="30215BCB" w14:textId="6F45C6C5" w:rsidR="00D1791C" w:rsidRPr="00D1791C" w:rsidRDefault="00D1791C" w:rsidP="00D1791C">
            <w:r w:rsidRPr="00D1791C">
              <w:rPr>
                <w:szCs w:val="40"/>
                <w:lang w:val="en-US"/>
              </w:rPr>
              <w:t>≤2 mg/1</w:t>
            </w:r>
          </w:p>
        </w:tc>
        <w:tc>
          <w:tcPr>
            <w:tcW w:w="3192" w:type="dxa"/>
            <w:vAlign w:val="bottom"/>
          </w:tcPr>
          <w:p w14:paraId="0ACB42E8" w14:textId="62E7641B" w:rsidR="00D1791C" w:rsidRPr="00D1791C" w:rsidRDefault="00D1791C" w:rsidP="00D1791C">
            <w:r w:rsidRPr="00D1791C">
              <w:rPr>
                <w:szCs w:val="40"/>
                <w:lang w:val="en-US"/>
              </w:rPr>
              <w:t>&gt;2 mg/L</w:t>
            </w:r>
          </w:p>
        </w:tc>
      </w:tr>
      <w:tr w:rsidR="00D1791C" w14:paraId="0365BDF5" w14:textId="77777777" w:rsidTr="00A63BA6">
        <w:tc>
          <w:tcPr>
            <w:tcW w:w="3192" w:type="dxa"/>
            <w:vAlign w:val="bottom"/>
          </w:tcPr>
          <w:p w14:paraId="4DED1673" w14:textId="61F8596A" w:rsidR="00D1791C" w:rsidRPr="00D1791C" w:rsidRDefault="00D1791C" w:rsidP="00D1791C">
            <w:r w:rsidRPr="00D1791C">
              <w:rPr>
                <w:szCs w:val="40"/>
              </w:rPr>
              <w:t xml:space="preserve">Грам-положителни анаероби с изключение на </w:t>
            </w:r>
            <w:r w:rsidRPr="00D1791C">
              <w:rPr>
                <w:i/>
                <w:iCs/>
                <w:szCs w:val="40"/>
                <w:lang w:val="en-US"/>
              </w:rPr>
              <w:t>Clostridium</w:t>
            </w:r>
            <w:r w:rsidRPr="00D1791C">
              <w:rPr>
                <w:i/>
                <w:iCs/>
                <w:szCs w:val="40"/>
                <w:lang w:val="ru-RU"/>
              </w:rPr>
              <w:t xml:space="preserve"> </w:t>
            </w:r>
            <w:r w:rsidRPr="00D1791C">
              <w:rPr>
                <w:i/>
                <w:iCs/>
                <w:szCs w:val="40"/>
                <w:lang w:val="en-US"/>
              </w:rPr>
              <w:t>difficile</w:t>
            </w:r>
          </w:p>
        </w:tc>
        <w:tc>
          <w:tcPr>
            <w:tcW w:w="3192" w:type="dxa"/>
          </w:tcPr>
          <w:p w14:paraId="1B8322AE" w14:textId="0F8B3025" w:rsidR="00D1791C" w:rsidRPr="00D1791C" w:rsidRDefault="00D1791C" w:rsidP="00D1791C">
            <w:r w:rsidRPr="00D1791C">
              <w:rPr>
                <w:szCs w:val="40"/>
                <w:lang w:val="en-US"/>
              </w:rPr>
              <w:t>IE</w:t>
            </w:r>
          </w:p>
        </w:tc>
        <w:tc>
          <w:tcPr>
            <w:tcW w:w="3192" w:type="dxa"/>
          </w:tcPr>
          <w:p w14:paraId="10D62C14" w14:textId="69C2BFD9" w:rsidR="00D1791C" w:rsidRPr="00D1791C" w:rsidRDefault="00D1791C" w:rsidP="00D1791C">
            <w:r w:rsidRPr="00D1791C">
              <w:rPr>
                <w:szCs w:val="40"/>
                <w:lang w:val="en-US"/>
              </w:rPr>
              <w:t>IE</w:t>
            </w:r>
          </w:p>
        </w:tc>
      </w:tr>
      <w:tr w:rsidR="00D1791C" w14:paraId="17F131B9" w14:textId="77777777" w:rsidTr="00A63BA6">
        <w:tc>
          <w:tcPr>
            <w:tcW w:w="3192" w:type="dxa"/>
          </w:tcPr>
          <w:p w14:paraId="71350670" w14:textId="6F46E1D0" w:rsidR="00D1791C" w:rsidRPr="00D1791C" w:rsidRDefault="00D1791C" w:rsidP="00D1791C">
            <w:r w:rsidRPr="00D1791C">
              <w:rPr>
                <w:szCs w:val="40"/>
              </w:rPr>
              <w:t>ФК/ФД (не-свързани с определен вид) гранични стойности</w:t>
            </w:r>
            <w:r w:rsidRPr="00D1791C">
              <w:rPr>
                <w:szCs w:val="40"/>
                <w:vertAlign w:val="superscript"/>
              </w:rPr>
              <w:t>с</w:t>
            </w:r>
            <w:r w:rsidRPr="00D1791C">
              <w:rPr>
                <w:szCs w:val="40"/>
              </w:rPr>
              <w:t>’</w:t>
            </w:r>
          </w:p>
        </w:tc>
        <w:tc>
          <w:tcPr>
            <w:tcW w:w="3192" w:type="dxa"/>
            <w:vAlign w:val="bottom"/>
          </w:tcPr>
          <w:p w14:paraId="1A44FDDC" w14:textId="0D51DDAE" w:rsidR="00D1791C" w:rsidRPr="00D1791C" w:rsidRDefault="00D1791C" w:rsidP="00D1791C">
            <w:r w:rsidRPr="00D1791C">
              <w:rPr>
                <w:szCs w:val="40"/>
                <w:lang w:val="en-US"/>
              </w:rPr>
              <w:t>IE</w:t>
            </w:r>
          </w:p>
        </w:tc>
        <w:tc>
          <w:tcPr>
            <w:tcW w:w="3192" w:type="dxa"/>
            <w:vAlign w:val="bottom"/>
          </w:tcPr>
          <w:p w14:paraId="63CBAE79" w14:textId="18B20C18" w:rsidR="00D1791C" w:rsidRPr="00D1791C" w:rsidRDefault="00D1791C" w:rsidP="00D1791C">
            <w:r w:rsidRPr="00D1791C">
              <w:rPr>
                <w:szCs w:val="40"/>
                <w:lang w:val="en-US"/>
              </w:rPr>
              <w:t>IE</w:t>
            </w:r>
          </w:p>
        </w:tc>
      </w:tr>
      <w:tr w:rsidR="00D1791C" w14:paraId="2820F05E" w14:textId="77777777" w:rsidTr="009A0926">
        <w:tc>
          <w:tcPr>
            <w:tcW w:w="9576" w:type="dxa"/>
            <w:gridSpan w:val="3"/>
          </w:tcPr>
          <w:p w14:paraId="1AFAE5B5" w14:textId="77777777" w:rsidR="00D1791C" w:rsidRPr="00D1791C" w:rsidRDefault="00D1791C" w:rsidP="00D1791C">
            <w:pPr>
              <w:spacing w:line="240" w:lineRule="auto"/>
              <w:rPr>
                <w:rFonts w:eastAsia="Times New Roman" w:cs="Arial"/>
                <w:sz w:val="14"/>
                <w:szCs w:val="24"/>
              </w:rPr>
            </w:pPr>
            <w:proofErr w:type="gramStart"/>
            <w:r w:rsidRPr="00D1791C">
              <w:rPr>
                <w:rFonts w:eastAsia="Times New Roman" w:cs="Arial"/>
                <w:i/>
                <w:iCs/>
                <w:color w:val="000000"/>
                <w:szCs w:val="40"/>
                <w:lang w:val="en-US"/>
              </w:rPr>
              <w:t>a</w:t>
            </w:r>
            <w:proofErr w:type="gramEnd"/>
            <w:r w:rsidRPr="00D1791C">
              <w:rPr>
                <w:rFonts w:eastAsia="Times New Roman" w:cs="Arial"/>
                <w:color w:val="000000"/>
                <w:szCs w:val="40"/>
                <w:lang w:val="ru-RU"/>
              </w:rPr>
              <w:t xml:space="preserve"> </w:t>
            </w:r>
            <w:r w:rsidRPr="00D1791C">
              <w:rPr>
                <w:rFonts w:eastAsia="Times New Roman" w:cs="Arial"/>
                <w:color w:val="000000"/>
                <w:szCs w:val="40"/>
                <w:lang w:val="en-US"/>
              </w:rPr>
              <w:t>MICs</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на гликопептидите са зависими от метода и трябва да бъдат определени чрез микроразреждане на бульон (референция </w:t>
            </w:r>
            <w:r w:rsidRPr="00D1791C">
              <w:rPr>
                <w:rFonts w:eastAsia="Times New Roman" w:cs="Arial"/>
                <w:color w:val="000000"/>
                <w:szCs w:val="40"/>
                <w:lang w:val="en-US"/>
              </w:rPr>
              <w:t>ISO</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20776). </w:t>
            </w:r>
            <w:r w:rsidRPr="00D1791C">
              <w:rPr>
                <w:rFonts w:eastAsia="Times New Roman" w:cs="Arial"/>
                <w:i/>
                <w:iCs/>
                <w:color w:val="000000"/>
                <w:szCs w:val="40"/>
                <w:lang w:val="en-US"/>
              </w:rPr>
              <w:t>S</w:t>
            </w:r>
            <w:r w:rsidRPr="00D1791C">
              <w:rPr>
                <w:rFonts w:eastAsia="Times New Roman" w:cs="Arial"/>
                <w:i/>
                <w:iCs/>
                <w:color w:val="000000"/>
                <w:szCs w:val="40"/>
                <w:lang w:val="ru-RU"/>
              </w:rPr>
              <w:t xml:space="preserve">. </w:t>
            </w:r>
            <w:r w:rsidRPr="00D1791C">
              <w:rPr>
                <w:rFonts w:eastAsia="Times New Roman" w:cs="Arial"/>
                <w:i/>
                <w:iCs/>
                <w:color w:val="000000"/>
                <w:szCs w:val="40"/>
                <w:lang w:val="en-US"/>
              </w:rPr>
              <w:t>aureus</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със стойности на </w:t>
            </w:r>
            <w:r w:rsidRPr="00D1791C">
              <w:rPr>
                <w:rFonts w:eastAsia="Times New Roman" w:cs="Arial"/>
                <w:color w:val="000000"/>
                <w:szCs w:val="40"/>
                <w:lang w:val="en-US"/>
              </w:rPr>
              <w:t>MIC</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от 2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L</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за ванкомицин са на границата на </w:t>
            </w:r>
            <w:r w:rsidRPr="00D1791C">
              <w:rPr>
                <w:rFonts w:eastAsia="Times New Roman" w:cs="Arial"/>
                <w:color w:val="000000"/>
                <w:szCs w:val="40"/>
                <w:lang w:val="en-US"/>
              </w:rPr>
              <w:t>MIC</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разпределението на дивия тип и може да има нарушен клиничен отговор. Граничните стойности за резистентност към </w:t>
            </w:r>
            <w:r w:rsidRPr="00D1791C">
              <w:rPr>
                <w:rFonts w:eastAsia="Times New Roman" w:cs="Arial"/>
                <w:i/>
                <w:iCs/>
                <w:color w:val="000000"/>
                <w:szCs w:val="40"/>
                <w:lang w:val="en-US"/>
              </w:rPr>
              <w:t>S</w:t>
            </w:r>
            <w:r w:rsidRPr="00D1791C">
              <w:rPr>
                <w:rFonts w:eastAsia="Times New Roman" w:cs="Arial"/>
                <w:i/>
                <w:iCs/>
                <w:color w:val="000000"/>
                <w:szCs w:val="40"/>
                <w:lang w:val="ru-RU"/>
              </w:rPr>
              <w:t xml:space="preserve">. </w:t>
            </w:r>
            <w:r w:rsidRPr="00D1791C">
              <w:rPr>
                <w:rFonts w:eastAsia="Times New Roman" w:cs="Arial"/>
                <w:i/>
                <w:iCs/>
                <w:color w:val="000000"/>
                <w:szCs w:val="40"/>
                <w:lang w:val="en-US"/>
              </w:rPr>
              <w:t>aureus</w:t>
            </w:r>
            <w:r w:rsidRPr="00D1791C">
              <w:rPr>
                <w:rFonts w:eastAsia="Times New Roman" w:cs="Arial"/>
                <w:i/>
                <w:iCs/>
                <w:color w:val="000000"/>
                <w:szCs w:val="40"/>
                <w:lang w:val="ru-RU"/>
              </w:rPr>
              <w:t xml:space="preserve"> </w:t>
            </w:r>
            <w:r w:rsidRPr="00D1791C">
              <w:rPr>
                <w:rFonts w:eastAsia="Times New Roman" w:cs="Arial"/>
                <w:i/>
                <w:iCs/>
                <w:color w:val="000000"/>
                <w:szCs w:val="40"/>
                <w:lang w:eastAsia="bg-BG"/>
              </w:rPr>
              <w:t>са</w:t>
            </w:r>
            <w:r w:rsidRPr="00D1791C">
              <w:rPr>
                <w:rFonts w:eastAsia="Times New Roman" w:cs="Arial"/>
                <w:color w:val="000000"/>
                <w:szCs w:val="40"/>
                <w:lang w:eastAsia="bg-BG"/>
              </w:rPr>
              <w:t xml:space="preserve"> намалени до 2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L</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за да се избегне съобщаване за междинни </w:t>
            </w:r>
            <w:r w:rsidRPr="00D1791C">
              <w:rPr>
                <w:rFonts w:eastAsia="Times New Roman" w:cs="Arial"/>
                <w:color w:val="000000"/>
                <w:szCs w:val="40"/>
                <w:lang w:val="en-US"/>
              </w:rPr>
              <w:t>GISA</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изолати, тъй като сериозни инфекции с </w:t>
            </w:r>
            <w:r w:rsidRPr="00D1791C">
              <w:rPr>
                <w:rFonts w:eastAsia="Times New Roman" w:cs="Arial"/>
                <w:color w:val="000000"/>
                <w:szCs w:val="40"/>
                <w:lang w:val="en-US"/>
              </w:rPr>
              <w:t>GISA</w:t>
            </w:r>
            <w:r w:rsidRPr="00D1791C">
              <w:rPr>
                <w:rFonts w:eastAsia="Times New Roman" w:cs="Arial"/>
                <w:color w:val="000000"/>
                <w:szCs w:val="40"/>
                <w:lang w:val="ru-RU"/>
              </w:rPr>
              <w:t xml:space="preserve"> </w:t>
            </w:r>
            <w:r w:rsidRPr="00D1791C">
              <w:rPr>
                <w:rFonts w:eastAsia="Times New Roman" w:cs="Arial"/>
                <w:color w:val="000000"/>
                <w:szCs w:val="40"/>
                <w:lang w:eastAsia="bg-BG"/>
              </w:rPr>
              <w:t>изолати са нелечими с повишени дози ванкомицин или тейкопланин.</w:t>
            </w:r>
          </w:p>
          <w:p w14:paraId="264B158A" w14:textId="77777777" w:rsidR="00D1791C" w:rsidRPr="00D1791C" w:rsidRDefault="00D1791C" w:rsidP="00D1791C">
            <w:pPr>
              <w:spacing w:line="240" w:lineRule="auto"/>
              <w:rPr>
                <w:rFonts w:eastAsia="Times New Roman" w:cs="Arial"/>
                <w:sz w:val="14"/>
                <w:szCs w:val="24"/>
              </w:rPr>
            </w:pPr>
            <w:proofErr w:type="gramStart"/>
            <w:r w:rsidRPr="00D1791C">
              <w:rPr>
                <w:rFonts w:eastAsia="Times New Roman" w:cs="Arial"/>
                <w:i/>
                <w:iCs/>
                <w:color w:val="000000"/>
                <w:szCs w:val="40"/>
                <w:lang w:val="en-US"/>
              </w:rPr>
              <w:t>b</w:t>
            </w:r>
            <w:proofErr w:type="gramEnd"/>
            <w:r w:rsidRPr="00D1791C">
              <w:rPr>
                <w:rFonts w:eastAsia="Times New Roman" w:cs="Arial"/>
                <w:color w:val="000000"/>
                <w:szCs w:val="40"/>
                <w:lang w:val="ru-RU"/>
              </w:rPr>
              <w:t xml:space="preserve"> </w:t>
            </w:r>
            <w:r w:rsidRPr="00D1791C">
              <w:rPr>
                <w:rFonts w:eastAsia="Times New Roman" w:cs="Arial"/>
                <w:color w:val="000000"/>
                <w:szCs w:val="40"/>
                <w:lang w:eastAsia="bg-BG"/>
              </w:rPr>
              <w:t>Не нечувствителни изолати са редки или все още не са докладвани. Идентифицирането и резултатът от изпитването за чувствителност към антибиотици върху такъв изолат трябва да бъдат потвърдени и изолата да бъде изпратен в референтна лаборатория..</w:t>
            </w:r>
          </w:p>
          <w:p w14:paraId="29861F3C" w14:textId="77777777" w:rsidR="00D1791C" w:rsidRPr="00D1791C" w:rsidRDefault="00D1791C" w:rsidP="00D1791C">
            <w:pPr>
              <w:spacing w:line="240" w:lineRule="auto"/>
              <w:rPr>
                <w:rFonts w:eastAsia="Times New Roman" w:cs="Arial"/>
                <w:sz w:val="14"/>
                <w:szCs w:val="24"/>
              </w:rPr>
            </w:pPr>
            <w:r w:rsidRPr="00D1791C">
              <w:rPr>
                <w:rFonts w:eastAsia="Times New Roman" w:cs="Arial"/>
                <w:i/>
                <w:iCs/>
                <w:color w:val="000000"/>
                <w:szCs w:val="40"/>
                <w:lang w:eastAsia="bg-BG"/>
              </w:rPr>
              <w:t>с</w:t>
            </w:r>
            <w:r w:rsidRPr="00D1791C">
              <w:rPr>
                <w:rFonts w:eastAsia="Times New Roman" w:cs="Arial"/>
                <w:color w:val="000000"/>
                <w:szCs w:val="40"/>
                <w:lang w:eastAsia="bg-BG"/>
              </w:rPr>
              <w:t xml:space="preserve"> . </w:t>
            </w:r>
            <w:r w:rsidRPr="00D1791C">
              <w:rPr>
                <w:rFonts w:eastAsia="Times New Roman" w:cs="Arial"/>
                <w:color w:val="000000"/>
                <w:szCs w:val="40"/>
                <w:lang w:val="en-US"/>
              </w:rPr>
              <w:t>IE</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"показва, че не са налице достатъчно доказателства, че организмът или групата са подходящи за терапия с агента. Може да бъде съобщена </w:t>
            </w:r>
            <w:r w:rsidRPr="00D1791C">
              <w:rPr>
                <w:rFonts w:eastAsia="Times New Roman" w:cs="Arial"/>
                <w:color w:val="000000"/>
                <w:szCs w:val="40"/>
                <w:lang w:val="en-US"/>
              </w:rPr>
              <w:t>MIC</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с коментар, но без придружаваща категоризация </w:t>
            </w:r>
            <w:r w:rsidRPr="00D1791C">
              <w:rPr>
                <w:rFonts w:eastAsia="Times New Roman" w:cs="Arial"/>
                <w:color w:val="000000"/>
                <w:szCs w:val="40"/>
                <w:lang w:val="en-US"/>
              </w:rPr>
              <w:t>S</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I или </w:t>
            </w:r>
            <w:r w:rsidRPr="00D1791C">
              <w:rPr>
                <w:rFonts w:eastAsia="Times New Roman" w:cs="Arial"/>
                <w:color w:val="000000"/>
                <w:szCs w:val="40"/>
                <w:lang w:val="en-US"/>
              </w:rPr>
              <w:t>R</w:t>
            </w:r>
          </w:p>
          <w:p w14:paraId="33BE571E" w14:textId="77777777" w:rsidR="00D1791C" w:rsidRPr="00D1791C" w:rsidRDefault="00D1791C" w:rsidP="00D1791C">
            <w:pPr>
              <w:rPr>
                <w:szCs w:val="40"/>
              </w:rPr>
            </w:pPr>
          </w:p>
        </w:tc>
      </w:tr>
    </w:tbl>
    <w:p w14:paraId="0E556700" w14:textId="22FC856E" w:rsidR="00D1791C" w:rsidRDefault="00D1791C" w:rsidP="00D1791C"/>
    <w:p w14:paraId="3EBBE7E3"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u w:val="single"/>
          <w:lang w:eastAsia="bg-BG"/>
        </w:rPr>
        <w:t>Връзка фармакокинетика/фармакодинамика</w:t>
      </w:r>
    </w:p>
    <w:p w14:paraId="49BBCF4C"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Антимикробната активност на тейкопланин зависи основно от продължителността на времето, през което нивото на веществото е по-високо от минималната инхибираща концентрация за патогена.</w:t>
      </w:r>
    </w:p>
    <w:p w14:paraId="13A556E6" w14:textId="77777777" w:rsidR="00D1791C" w:rsidRPr="00D1791C" w:rsidRDefault="00D1791C" w:rsidP="00D1791C">
      <w:pPr>
        <w:spacing w:line="240" w:lineRule="auto"/>
        <w:rPr>
          <w:rFonts w:eastAsia="Times New Roman" w:cs="Arial"/>
          <w:color w:val="000000"/>
          <w:szCs w:val="40"/>
          <w:lang w:eastAsia="bg-BG"/>
        </w:rPr>
      </w:pPr>
    </w:p>
    <w:p w14:paraId="450C7CA9" w14:textId="17402A59"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Чувствителност</w:t>
      </w:r>
    </w:p>
    <w:p w14:paraId="4C979843" w14:textId="735CCCA6" w:rsidR="00D1791C" w:rsidRDefault="00D1791C" w:rsidP="00D1791C">
      <w:pPr>
        <w:rPr>
          <w:rFonts w:eastAsia="Times New Roman" w:cs="Arial"/>
          <w:color w:val="000000"/>
          <w:szCs w:val="40"/>
          <w:lang w:eastAsia="bg-BG"/>
        </w:rPr>
      </w:pPr>
      <w:r w:rsidRPr="00D1791C">
        <w:rPr>
          <w:rFonts w:eastAsia="Times New Roman" w:cs="Arial"/>
          <w:color w:val="000000"/>
          <w:szCs w:val="40"/>
          <w:lang w:eastAsia="bg-BG"/>
        </w:rPr>
        <w:t>Разпространението на резистентност може да варира географски и във времето за определени видове и е необходима информация на локално ниво относно резистентността, особено при лечение на тежки инфекции. Ако е необходимо, трябва да се потърси експертен съвет, когато локалното разпространение на резистентност е такова, че ползата от средството поне при някои видове инфекции е под въпрос.</w:t>
      </w:r>
    </w:p>
    <w:p w14:paraId="4A23FE4E" w14:textId="61DFD5DE" w:rsidR="00D1791C" w:rsidRDefault="00D1791C" w:rsidP="00D1791C">
      <w:pPr>
        <w:rPr>
          <w:rFonts w:eastAsia="Times New Roman" w:cs="Arial"/>
          <w:color w:val="000000"/>
          <w:szCs w:val="40"/>
          <w:lang w:eastAsia="bg-BG"/>
        </w:rPr>
      </w:pPr>
    </w:p>
    <w:tbl>
      <w:tblPr>
        <w:tblStyle w:val="TableGrid"/>
        <w:tblW w:w="0" w:type="auto"/>
        <w:tblLook w:val="04A0" w:firstRow="1" w:lastRow="0" w:firstColumn="1" w:lastColumn="0" w:noHBand="0" w:noVBand="1"/>
      </w:tblPr>
      <w:tblGrid>
        <w:gridCol w:w="9350"/>
      </w:tblGrid>
      <w:tr w:rsidR="00D1791C" w14:paraId="255A7385" w14:textId="77777777" w:rsidTr="00D1791C">
        <w:tc>
          <w:tcPr>
            <w:tcW w:w="9576" w:type="dxa"/>
          </w:tcPr>
          <w:p w14:paraId="64A57E7D" w14:textId="77777777" w:rsidR="00D1791C" w:rsidRPr="00D1791C" w:rsidRDefault="00D1791C" w:rsidP="00D1791C">
            <w:r w:rsidRPr="00D1791C">
              <w:rPr>
                <w:b/>
                <w:bCs/>
                <w:szCs w:val="40"/>
              </w:rPr>
              <w:lastRenderedPageBreak/>
              <w:t>Обичайно чувствителни видове</w:t>
            </w:r>
          </w:p>
          <w:p w14:paraId="3BF27746" w14:textId="77777777" w:rsidR="00D1791C" w:rsidRPr="00D1791C" w:rsidRDefault="00D1791C" w:rsidP="00D1791C">
            <w:r w:rsidRPr="00D1791C">
              <w:rPr>
                <w:b/>
                <w:bCs/>
                <w:i/>
                <w:iCs/>
                <w:szCs w:val="40"/>
              </w:rPr>
              <w:t>Аеробни Грам-положителни бактерии</w:t>
            </w:r>
          </w:p>
          <w:p w14:paraId="5FD6878D" w14:textId="77777777" w:rsidR="00D1791C" w:rsidRPr="00D1791C" w:rsidRDefault="00D1791C" w:rsidP="00D1791C">
            <w:proofErr w:type="spellStart"/>
            <w:r w:rsidRPr="00D1791C">
              <w:rPr>
                <w:i/>
                <w:iCs/>
                <w:szCs w:val="40"/>
                <w:lang w:val="en-US"/>
              </w:rPr>
              <w:t>Corynebacterium</w:t>
            </w:r>
            <w:proofErr w:type="spellEnd"/>
            <w:r w:rsidRPr="00D1791C">
              <w:rPr>
                <w:i/>
                <w:iCs/>
                <w:szCs w:val="40"/>
              </w:rPr>
              <w:t xml:space="preserve"> </w:t>
            </w:r>
            <w:proofErr w:type="spellStart"/>
            <w:r w:rsidRPr="00D1791C">
              <w:rPr>
                <w:i/>
                <w:iCs/>
                <w:szCs w:val="40"/>
                <w:lang w:val="en-US"/>
              </w:rPr>
              <w:t>Jeikeium</w:t>
            </w:r>
            <w:proofErr w:type="spellEnd"/>
            <w:r w:rsidRPr="00D1791C">
              <w:rPr>
                <w:i/>
                <w:iCs/>
                <w:szCs w:val="40"/>
              </w:rPr>
              <w:t xml:space="preserve"> </w:t>
            </w:r>
            <w:r w:rsidRPr="00D1791C">
              <w:rPr>
                <w:i/>
                <w:iCs/>
                <w:szCs w:val="40"/>
                <w:vertAlign w:val="superscript"/>
              </w:rPr>
              <w:t>а</w:t>
            </w:r>
          </w:p>
          <w:p w14:paraId="441B253B" w14:textId="77777777" w:rsidR="00D1791C" w:rsidRPr="00D1791C" w:rsidRDefault="00D1791C" w:rsidP="00D1791C">
            <w:r w:rsidRPr="00D1791C">
              <w:rPr>
                <w:i/>
                <w:iCs/>
                <w:szCs w:val="40"/>
                <w:lang w:val="en-US"/>
              </w:rPr>
              <w:t>Enterococcus</w:t>
            </w:r>
            <w:r w:rsidRPr="00D1791C">
              <w:rPr>
                <w:i/>
                <w:iCs/>
                <w:szCs w:val="40"/>
              </w:rPr>
              <w:t xml:space="preserve"> </w:t>
            </w:r>
            <w:proofErr w:type="spellStart"/>
            <w:r w:rsidRPr="00D1791C">
              <w:rPr>
                <w:i/>
                <w:iCs/>
                <w:szCs w:val="40"/>
                <w:lang w:val="en-US"/>
              </w:rPr>
              <w:t>faecalis</w:t>
            </w:r>
            <w:proofErr w:type="spellEnd"/>
          </w:p>
          <w:p w14:paraId="60702FAF" w14:textId="77777777" w:rsidR="00D1791C" w:rsidRPr="00D1791C" w:rsidRDefault="00D1791C" w:rsidP="00D1791C">
            <w:r w:rsidRPr="00D1791C">
              <w:rPr>
                <w:i/>
                <w:iCs/>
                <w:szCs w:val="40"/>
                <w:lang w:val="en-US"/>
              </w:rPr>
              <w:t>Staphylococcus</w:t>
            </w:r>
            <w:r w:rsidRPr="00D1791C">
              <w:rPr>
                <w:i/>
                <w:iCs/>
                <w:szCs w:val="40"/>
              </w:rPr>
              <w:t xml:space="preserve"> </w:t>
            </w:r>
            <w:r w:rsidRPr="00D1791C">
              <w:rPr>
                <w:i/>
                <w:iCs/>
                <w:szCs w:val="40"/>
                <w:lang w:val="en-US"/>
              </w:rPr>
              <w:t>aureus</w:t>
            </w:r>
            <w:r w:rsidRPr="00D1791C">
              <w:rPr>
                <w:szCs w:val="40"/>
              </w:rPr>
              <w:t xml:space="preserve"> (включително метицилин резистентни видове)</w:t>
            </w:r>
          </w:p>
          <w:p w14:paraId="4AE231F4" w14:textId="77777777" w:rsidR="00D1791C" w:rsidRPr="00D1791C" w:rsidRDefault="00D1791C" w:rsidP="00D1791C">
            <w:r w:rsidRPr="00D1791C">
              <w:rPr>
                <w:i/>
                <w:iCs/>
                <w:szCs w:val="40"/>
                <w:lang w:val="en-US"/>
              </w:rPr>
              <w:t xml:space="preserve">Streptococcus </w:t>
            </w:r>
            <w:proofErr w:type="spellStart"/>
            <w:r w:rsidRPr="00D1791C">
              <w:rPr>
                <w:i/>
                <w:iCs/>
                <w:szCs w:val="40"/>
                <w:lang w:val="en-US"/>
              </w:rPr>
              <w:t>agalactiae</w:t>
            </w:r>
            <w:proofErr w:type="spellEnd"/>
          </w:p>
          <w:p w14:paraId="62A32E43" w14:textId="77777777" w:rsidR="00D1791C" w:rsidRPr="00D1791C" w:rsidRDefault="00D1791C" w:rsidP="00D1791C">
            <w:r w:rsidRPr="00D1791C">
              <w:rPr>
                <w:i/>
                <w:iCs/>
                <w:szCs w:val="40"/>
                <w:lang w:val="en-US"/>
              </w:rPr>
              <w:t xml:space="preserve">Streptococcus </w:t>
            </w:r>
            <w:proofErr w:type="spellStart"/>
            <w:r w:rsidRPr="00D1791C">
              <w:rPr>
                <w:i/>
                <w:iCs/>
                <w:szCs w:val="40"/>
                <w:lang w:val="en-US"/>
              </w:rPr>
              <w:t>dysgalactiae</w:t>
            </w:r>
            <w:proofErr w:type="spellEnd"/>
            <w:r w:rsidRPr="00D1791C">
              <w:rPr>
                <w:szCs w:val="40"/>
                <w:lang w:val="en-US"/>
              </w:rPr>
              <w:t xml:space="preserve"> subsp. </w:t>
            </w:r>
            <w:proofErr w:type="spellStart"/>
            <w:r w:rsidRPr="00D1791C">
              <w:rPr>
                <w:i/>
                <w:iCs/>
                <w:szCs w:val="40"/>
                <w:lang w:val="en-US"/>
              </w:rPr>
              <w:t>equisimilis</w:t>
            </w:r>
            <w:proofErr w:type="spellEnd"/>
            <w:r w:rsidRPr="00D1791C">
              <w:rPr>
                <w:i/>
                <w:iCs/>
                <w:szCs w:val="40"/>
                <w:lang w:val="en-US"/>
              </w:rPr>
              <w:t xml:space="preserve"> </w:t>
            </w:r>
            <w:r w:rsidRPr="00D1791C">
              <w:rPr>
                <w:i/>
                <w:iCs/>
                <w:szCs w:val="40"/>
                <w:vertAlign w:val="superscript"/>
                <w:lang w:val="en-US"/>
              </w:rPr>
              <w:t>a</w:t>
            </w:r>
          </w:p>
          <w:p w14:paraId="2932AB44" w14:textId="77777777" w:rsidR="00D1791C" w:rsidRPr="00D1791C" w:rsidRDefault="00D1791C" w:rsidP="00D1791C">
            <w:r w:rsidRPr="00D1791C">
              <w:rPr>
                <w:szCs w:val="40"/>
              </w:rPr>
              <w:t xml:space="preserve">(Стрептококи от групи </w:t>
            </w:r>
            <w:r w:rsidRPr="00D1791C">
              <w:rPr>
                <w:szCs w:val="40"/>
                <w:lang w:val="en-US"/>
              </w:rPr>
              <w:t>C</w:t>
            </w:r>
            <w:r w:rsidRPr="00D1791C">
              <w:rPr>
                <w:szCs w:val="40"/>
                <w:lang w:val="ru-RU"/>
              </w:rPr>
              <w:t xml:space="preserve"> &amp; </w:t>
            </w:r>
            <w:r w:rsidRPr="00D1791C">
              <w:rPr>
                <w:szCs w:val="40"/>
                <w:lang w:val="en-US"/>
              </w:rPr>
              <w:t>G</w:t>
            </w:r>
            <w:r w:rsidRPr="00D1791C">
              <w:rPr>
                <w:szCs w:val="40"/>
                <w:lang w:val="ru-RU"/>
              </w:rPr>
              <w:t xml:space="preserve"> )</w:t>
            </w:r>
          </w:p>
          <w:p w14:paraId="17E10AE6" w14:textId="77777777" w:rsidR="00D1791C" w:rsidRPr="00D1791C" w:rsidRDefault="00D1791C" w:rsidP="00D1791C">
            <w:r w:rsidRPr="00D1791C">
              <w:rPr>
                <w:i/>
                <w:iCs/>
                <w:szCs w:val="40"/>
                <w:lang w:val="en-US"/>
              </w:rPr>
              <w:t>Streptococcus</w:t>
            </w:r>
            <w:r w:rsidRPr="00D1791C">
              <w:rPr>
                <w:i/>
                <w:iCs/>
                <w:szCs w:val="40"/>
              </w:rPr>
              <w:t xml:space="preserve"> </w:t>
            </w:r>
            <w:proofErr w:type="spellStart"/>
            <w:r w:rsidRPr="00D1791C">
              <w:rPr>
                <w:i/>
                <w:iCs/>
                <w:szCs w:val="40"/>
                <w:lang w:val="en-US"/>
              </w:rPr>
              <w:t>pneumoniae</w:t>
            </w:r>
            <w:proofErr w:type="spellEnd"/>
          </w:p>
          <w:p w14:paraId="2F6BE010" w14:textId="77777777" w:rsidR="00D1791C" w:rsidRPr="00D1791C" w:rsidRDefault="00D1791C" w:rsidP="00D1791C">
            <w:r w:rsidRPr="00D1791C">
              <w:rPr>
                <w:i/>
                <w:iCs/>
                <w:szCs w:val="40"/>
                <w:lang w:val="en-US"/>
              </w:rPr>
              <w:t>Streptococcus</w:t>
            </w:r>
            <w:r w:rsidRPr="00D1791C">
              <w:rPr>
                <w:i/>
                <w:iCs/>
                <w:szCs w:val="40"/>
              </w:rPr>
              <w:t xml:space="preserve"> </w:t>
            </w:r>
            <w:proofErr w:type="spellStart"/>
            <w:r w:rsidRPr="00D1791C">
              <w:rPr>
                <w:i/>
                <w:iCs/>
                <w:szCs w:val="40"/>
                <w:lang w:val="en-US"/>
              </w:rPr>
              <w:t>pyogenes</w:t>
            </w:r>
            <w:proofErr w:type="spellEnd"/>
          </w:p>
          <w:p w14:paraId="587F9CBA" w14:textId="77777777" w:rsidR="00D1791C" w:rsidRPr="00D1791C" w:rsidRDefault="00D1791C" w:rsidP="00D1791C">
            <w:r w:rsidRPr="00D1791C">
              <w:rPr>
                <w:szCs w:val="40"/>
              </w:rPr>
              <w:t xml:space="preserve">Стерптококи от групата </w:t>
            </w:r>
            <w:proofErr w:type="spellStart"/>
            <w:r w:rsidRPr="00D1791C">
              <w:rPr>
                <w:szCs w:val="40"/>
                <w:lang w:val="en-US"/>
              </w:rPr>
              <w:t>viridans</w:t>
            </w:r>
            <w:proofErr w:type="spellEnd"/>
            <w:r w:rsidRPr="00D1791C">
              <w:rPr>
                <w:szCs w:val="40"/>
              </w:rPr>
              <w:t xml:space="preserve"> </w:t>
            </w:r>
            <w:r w:rsidRPr="00D1791C">
              <w:rPr>
                <w:szCs w:val="40"/>
                <w:vertAlign w:val="superscript"/>
                <w:lang w:val="en-US"/>
              </w:rPr>
              <w:t>ab</w:t>
            </w:r>
          </w:p>
          <w:p w14:paraId="32AC8062" w14:textId="77777777" w:rsidR="00D1791C" w:rsidRPr="00D1791C" w:rsidRDefault="00D1791C" w:rsidP="00D1791C">
            <w:r w:rsidRPr="00D1791C">
              <w:rPr>
                <w:b/>
                <w:bCs/>
                <w:i/>
                <w:iCs/>
                <w:szCs w:val="40"/>
              </w:rPr>
              <w:t>Анаеробни Грам-положителни бактерии</w:t>
            </w:r>
          </w:p>
          <w:p w14:paraId="1EC61043" w14:textId="77777777" w:rsidR="00D1791C" w:rsidRPr="00D1791C" w:rsidRDefault="00D1791C" w:rsidP="00D1791C">
            <w:r w:rsidRPr="00D1791C">
              <w:rPr>
                <w:i/>
                <w:iCs/>
                <w:szCs w:val="40"/>
                <w:lang w:val="en-US"/>
              </w:rPr>
              <w:t>Clostridium</w:t>
            </w:r>
            <w:r w:rsidRPr="00D1791C">
              <w:rPr>
                <w:i/>
                <w:iCs/>
                <w:szCs w:val="40"/>
                <w:lang w:val="ru-RU"/>
              </w:rPr>
              <w:t xml:space="preserve"> </w:t>
            </w:r>
            <w:r w:rsidRPr="00D1791C">
              <w:rPr>
                <w:i/>
                <w:iCs/>
                <w:szCs w:val="40"/>
                <w:lang w:val="en-US"/>
              </w:rPr>
              <w:t>difficile</w:t>
            </w:r>
            <w:r w:rsidRPr="00D1791C">
              <w:rPr>
                <w:i/>
                <w:iCs/>
                <w:szCs w:val="40"/>
                <w:lang w:val="ru-RU"/>
              </w:rPr>
              <w:t xml:space="preserve"> </w:t>
            </w:r>
            <w:r w:rsidRPr="00D1791C">
              <w:rPr>
                <w:i/>
                <w:iCs/>
                <w:szCs w:val="40"/>
                <w:vertAlign w:val="superscript"/>
              </w:rPr>
              <w:t>а</w:t>
            </w:r>
          </w:p>
          <w:p w14:paraId="1DBAE11A" w14:textId="2F6A99F5" w:rsidR="00D1791C" w:rsidRPr="00D1791C" w:rsidRDefault="00D1791C" w:rsidP="00D1791C">
            <w:pPr>
              <w:rPr>
                <w:rFonts w:cs="Arial"/>
              </w:rPr>
            </w:pPr>
            <w:proofErr w:type="spellStart"/>
            <w:r w:rsidRPr="00D1791C">
              <w:rPr>
                <w:i/>
                <w:iCs/>
                <w:szCs w:val="40"/>
                <w:lang w:val="en-US"/>
              </w:rPr>
              <w:t>Peptostreptococcus</w:t>
            </w:r>
            <w:proofErr w:type="spellEnd"/>
            <w:r w:rsidRPr="00D1791C">
              <w:rPr>
                <w:i/>
                <w:iCs/>
                <w:szCs w:val="40"/>
                <w:lang w:val="en-US"/>
              </w:rPr>
              <w:t xml:space="preserve"> spp.</w:t>
            </w:r>
            <w:r w:rsidRPr="00D1791C">
              <w:rPr>
                <w:i/>
                <w:iCs/>
                <w:szCs w:val="40"/>
                <w:vertAlign w:val="superscript"/>
              </w:rPr>
              <w:t>а</w:t>
            </w:r>
          </w:p>
        </w:tc>
      </w:tr>
      <w:tr w:rsidR="00D1791C" w14:paraId="38EAA1FC" w14:textId="77777777" w:rsidTr="00D1791C">
        <w:tc>
          <w:tcPr>
            <w:tcW w:w="9576" w:type="dxa"/>
          </w:tcPr>
          <w:p w14:paraId="27A107A6" w14:textId="77777777" w:rsidR="00D1791C" w:rsidRPr="00D1791C" w:rsidRDefault="00D1791C" w:rsidP="00D1791C">
            <w:r w:rsidRPr="00D1791C">
              <w:rPr>
                <w:b/>
                <w:bCs/>
                <w:szCs w:val="40"/>
              </w:rPr>
              <w:t>Видове, за които придобитата резистентност може да бъде проблем</w:t>
            </w:r>
          </w:p>
          <w:p w14:paraId="67AF3542" w14:textId="77777777" w:rsidR="00D1791C" w:rsidRPr="00D1791C" w:rsidRDefault="00D1791C" w:rsidP="00D1791C">
            <w:r w:rsidRPr="00D1791C">
              <w:rPr>
                <w:b/>
                <w:bCs/>
                <w:i/>
                <w:iCs/>
                <w:szCs w:val="40"/>
              </w:rPr>
              <w:t>Аеробни Грам-положителни бактерии</w:t>
            </w:r>
          </w:p>
          <w:p w14:paraId="479B0988" w14:textId="77777777" w:rsidR="00D1791C" w:rsidRPr="00D1791C" w:rsidRDefault="00D1791C" w:rsidP="00D1791C">
            <w:r w:rsidRPr="00D1791C">
              <w:rPr>
                <w:i/>
                <w:iCs/>
                <w:szCs w:val="40"/>
                <w:lang w:val="en-US"/>
              </w:rPr>
              <w:t>Enterococcus</w:t>
            </w:r>
            <w:r w:rsidRPr="00D1791C">
              <w:rPr>
                <w:i/>
                <w:iCs/>
                <w:szCs w:val="40"/>
                <w:lang w:val="ru-RU"/>
              </w:rPr>
              <w:t xml:space="preserve"> </w:t>
            </w:r>
            <w:proofErr w:type="spellStart"/>
            <w:r w:rsidRPr="00D1791C">
              <w:rPr>
                <w:i/>
                <w:iCs/>
                <w:szCs w:val="40"/>
                <w:lang w:val="en-US"/>
              </w:rPr>
              <w:t>faecium</w:t>
            </w:r>
            <w:proofErr w:type="spellEnd"/>
          </w:p>
          <w:p w14:paraId="21C9771B" w14:textId="77777777" w:rsidR="00D1791C" w:rsidRPr="00D1791C" w:rsidRDefault="00D1791C" w:rsidP="00D1791C">
            <w:r w:rsidRPr="00D1791C">
              <w:rPr>
                <w:i/>
                <w:iCs/>
                <w:szCs w:val="40"/>
                <w:lang w:val="en-US"/>
              </w:rPr>
              <w:t>Staphylococcus epidermidis</w:t>
            </w:r>
          </w:p>
          <w:p w14:paraId="48EB1256" w14:textId="77777777" w:rsidR="00D1791C" w:rsidRPr="00D1791C" w:rsidRDefault="00D1791C" w:rsidP="00D1791C">
            <w:r w:rsidRPr="00D1791C">
              <w:rPr>
                <w:i/>
                <w:iCs/>
                <w:szCs w:val="40"/>
                <w:lang w:val="en-US"/>
              </w:rPr>
              <w:t xml:space="preserve">Staphylococcus </w:t>
            </w:r>
            <w:proofErr w:type="spellStart"/>
            <w:r w:rsidRPr="00D1791C">
              <w:rPr>
                <w:i/>
                <w:iCs/>
                <w:szCs w:val="40"/>
                <w:lang w:val="en-US"/>
              </w:rPr>
              <w:t>haemolyticus</w:t>
            </w:r>
            <w:proofErr w:type="spellEnd"/>
          </w:p>
          <w:p w14:paraId="1A0E7D53" w14:textId="7D2B4AAD" w:rsidR="00D1791C" w:rsidRPr="00D1791C" w:rsidRDefault="00D1791C" w:rsidP="00D1791C">
            <w:pPr>
              <w:rPr>
                <w:rFonts w:cs="Arial"/>
              </w:rPr>
            </w:pPr>
            <w:r w:rsidRPr="00D1791C">
              <w:rPr>
                <w:i/>
                <w:iCs/>
                <w:szCs w:val="40"/>
                <w:lang w:val="en-US"/>
              </w:rPr>
              <w:t xml:space="preserve">Staphylococcus </w:t>
            </w:r>
            <w:proofErr w:type="spellStart"/>
            <w:r w:rsidRPr="00D1791C">
              <w:rPr>
                <w:i/>
                <w:iCs/>
                <w:szCs w:val="40"/>
                <w:lang w:val="en-US"/>
              </w:rPr>
              <w:t>hominis</w:t>
            </w:r>
            <w:proofErr w:type="spellEnd"/>
          </w:p>
        </w:tc>
      </w:tr>
      <w:tr w:rsidR="00D1791C" w14:paraId="0552B720" w14:textId="77777777" w:rsidTr="00D1791C">
        <w:tc>
          <w:tcPr>
            <w:tcW w:w="9576" w:type="dxa"/>
          </w:tcPr>
          <w:p w14:paraId="00DCBC19" w14:textId="77777777" w:rsidR="00D1791C" w:rsidRPr="00D1791C" w:rsidRDefault="00D1791C" w:rsidP="00D1791C">
            <w:r w:rsidRPr="00D1791C">
              <w:rPr>
                <w:b/>
                <w:bCs/>
                <w:szCs w:val="40"/>
              </w:rPr>
              <w:t xml:space="preserve">Бактерии </w:t>
            </w:r>
            <w:r w:rsidRPr="00D1791C">
              <w:rPr>
                <w:b/>
                <w:bCs/>
                <w:szCs w:val="40"/>
                <w:lang w:val="en-US"/>
              </w:rPr>
              <w:t>c</w:t>
            </w:r>
            <w:r w:rsidRPr="00D1791C">
              <w:rPr>
                <w:b/>
                <w:bCs/>
                <w:szCs w:val="40"/>
                <w:lang w:val="ru-RU"/>
              </w:rPr>
              <w:t xml:space="preserve"> </w:t>
            </w:r>
            <w:r w:rsidRPr="00D1791C">
              <w:rPr>
                <w:b/>
                <w:bCs/>
                <w:szCs w:val="40"/>
              </w:rPr>
              <w:t>присъща резистентност</w:t>
            </w:r>
          </w:p>
          <w:p w14:paraId="2F28B844" w14:textId="77777777" w:rsidR="00D1791C" w:rsidRPr="00D1791C" w:rsidRDefault="00D1791C" w:rsidP="00D1791C">
            <w:r w:rsidRPr="00D1791C">
              <w:rPr>
                <w:szCs w:val="40"/>
              </w:rPr>
              <w:t>Всички Грам-отрицателни бактерии</w:t>
            </w:r>
          </w:p>
          <w:p w14:paraId="4831D07C" w14:textId="77777777" w:rsidR="00D1791C" w:rsidRPr="00D1791C" w:rsidRDefault="00D1791C" w:rsidP="00D1791C">
            <w:r w:rsidRPr="00D1791C">
              <w:rPr>
                <w:b/>
                <w:bCs/>
                <w:i/>
                <w:iCs/>
                <w:szCs w:val="40"/>
              </w:rPr>
              <w:t>Други бактерии</w:t>
            </w:r>
          </w:p>
          <w:p w14:paraId="3A180AD6" w14:textId="77777777" w:rsidR="00D1791C" w:rsidRPr="00D1791C" w:rsidRDefault="00D1791C" w:rsidP="00D1791C">
            <w:r w:rsidRPr="00D1791C">
              <w:rPr>
                <w:i/>
                <w:iCs/>
                <w:szCs w:val="40"/>
                <w:lang w:val="en-US"/>
              </w:rPr>
              <w:t>Chlamydia</w:t>
            </w:r>
            <w:r w:rsidRPr="00D1791C">
              <w:rPr>
                <w:i/>
                <w:iCs/>
                <w:szCs w:val="40"/>
              </w:rPr>
              <w:t xml:space="preserve"> </w:t>
            </w:r>
            <w:proofErr w:type="spellStart"/>
            <w:r w:rsidRPr="00D1791C">
              <w:rPr>
                <w:i/>
                <w:iCs/>
                <w:szCs w:val="40"/>
                <w:lang w:val="en-US"/>
              </w:rPr>
              <w:t>spp</w:t>
            </w:r>
            <w:proofErr w:type="spellEnd"/>
            <w:r w:rsidRPr="00D1791C">
              <w:rPr>
                <w:i/>
                <w:iCs/>
                <w:szCs w:val="40"/>
              </w:rPr>
              <w:t>.</w:t>
            </w:r>
          </w:p>
          <w:p w14:paraId="4764978C" w14:textId="77777777" w:rsidR="00D1791C" w:rsidRPr="00D1791C" w:rsidRDefault="00D1791C" w:rsidP="00D1791C">
            <w:proofErr w:type="spellStart"/>
            <w:r w:rsidRPr="00D1791C">
              <w:rPr>
                <w:i/>
                <w:iCs/>
                <w:szCs w:val="40"/>
                <w:lang w:val="en-US"/>
              </w:rPr>
              <w:t>Chlamydophila</w:t>
            </w:r>
            <w:proofErr w:type="spellEnd"/>
            <w:r w:rsidRPr="00D1791C">
              <w:rPr>
                <w:i/>
                <w:iCs/>
                <w:szCs w:val="40"/>
              </w:rPr>
              <w:t xml:space="preserve"> </w:t>
            </w:r>
            <w:proofErr w:type="spellStart"/>
            <w:r w:rsidRPr="00D1791C">
              <w:rPr>
                <w:i/>
                <w:iCs/>
                <w:szCs w:val="40"/>
                <w:lang w:val="en-US"/>
              </w:rPr>
              <w:t>spp</w:t>
            </w:r>
            <w:proofErr w:type="spellEnd"/>
            <w:r w:rsidRPr="00D1791C">
              <w:rPr>
                <w:i/>
                <w:iCs/>
                <w:szCs w:val="40"/>
              </w:rPr>
              <w:t>.</w:t>
            </w:r>
          </w:p>
          <w:p w14:paraId="7916AD99" w14:textId="77777777" w:rsidR="00D1791C" w:rsidRPr="00D1791C" w:rsidRDefault="00D1791C" w:rsidP="00D1791C">
            <w:r w:rsidRPr="00D1791C">
              <w:rPr>
                <w:i/>
                <w:iCs/>
                <w:szCs w:val="40"/>
                <w:lang w:val="en-US"/>
              </w:rPr>
              <w:t xml:space="preserve">Legionella </w:t>
            </w:r>
            <w:proofErr w:type="spellStart"/>
            <w:r w:rsidRPr="00D1791C">
              <w:rPr>
                <w:i/>
                <w:iCs/>
                <w:szCs w:val="40"/>
                <w:lang w:val="en-US"/>
              </w:rPr>
              <w:t>pneumophila</w:t>
            </w:r>
            <w:proofErr w:type="spellEnd"/>
          </w:p>
          <w:p w14:paraId="1C55094E" w14:textId="760EBB51" w:rsidR="00D1791C" w:rsidRPr="00D1791C" w:rsidRDefault="00D1791C" w:rsidP="00D1791C">
            <w:pPr>
              <w:rPr>
                <w:rFonts w:cs="Arial"/>
              </w:rPr>
            </w:pPr>
            <w:r w:rsidRPr="00D1791C">
              <w:rPr>
                <w:i/>
                <w:iCs/>
                <w:szCs w:val="40"/>
                <w:lang w:val="en-US"/>
              </w:rPr>
              <w:t>Mycoplasma spp.</w:t>
            </w:r>
          </w:p>
        </w:tc>
      </w:tr>
      <w:tr w:rsidR="00D1791C" w14:paraId="5415A94D" w14:textId="77777777" w:rsidTr="00D1791C">
        <w:tc>
          <w:tcPr>
            <w:tcW w:w="9576" w:type="dxa"/>
          </w:tcPr>
          <w:p w14:paraId="2E3512A1" w14:textId="77777777" w:rsidR="00D1791C" w:rsidRPr="00D1791C" w:rsidRDefault="00D1791C" w:rsidP="00D1791C">
            <w:r w:rsidRPr="00D1791C">
              <w:rPr>
                <w:b/>
                <w:bCs/>
                <w:i/>
                <w:iCs/>
                <w:szCs w:val="40"/>
              </w:rPr>
              <w:t>а</w:t>
            </w:r>
            <w:r w:rsidRPr="00D1791C">
              <w:rPr>
                <w:szCs w:val="40"/>
              </w:rPr>
              <w:t xml:space="preserve"> Към момента на публикуване на таблиците данни не са налични. Основната литература,стандартите и препоръките за лечение предполагат чувствителност</w:t>
            </w:r>
          </w:p>
          <w:p w14:paraId="51480C88" w14:textId="45187C3C" w:rsidR="00D1791C" w:rsidRPr="00D1791C" w:rsidRDefault="00D1791C" w:rsidP="00D1791C">
            <w:pPr>
              <w:rPr>
                <w:rFonts w:cs="Arial"/>
              </w:rPr>
            </w:pPr>
            <w:proofErr w:type="gramStart"/>
            <w:r w:rsidRPr="00D1791C">
              <w:rPr>
                <w:b/>
                <w:bCs/>
                <w:i/>
                <w:iCs/>
                <w:szCs w:val="40"/>
                <w:lang w:val="en-US"/>
              </w:rPr>
              <w:t>b</w:t>
            </w:r>
            <w:proofErr w:type="gramEnd"/>
            <w:r w:rsidRPr="00D1791C">
              <w:rPr>
                <w:szCs w:val="40"/>
                <w:lang w:val="ru-RU"/>
              </w:rPr>
              <w:t xml:space="preserve"> </w:t>
            </w:r>
            <w:r w:rsidRPr="00D1791C">
              <w:rPr>
                <w:szCs w:val="40"/>
              </w:rPr>
              <w:t>Събирателен термин за хетерогенна група от видове стрептококи. Честотата на резистентност може да варира в зависимост от определения вид стрептококи.</w:t>
            </w:r>
          </w:p>
        </w:tc>
      </w:tr>
    </w:tbl>
    <w:p w14:paraId="08BDCAA4" w14:textId="2F3B476D" w:rsidR="00D1791C" w:rsidRDefault="00D1791C" w:rsidP="00D1791C">
      <w:pPr>
        <w:rPr>
          <w:rFonts w:cs="Arial"/>
          <w:sz w:val="12"/>
        </w:rPr>
      </w:pPr>
    </w:p>
    <w:p w14:paraId="102FECF4" w14:textId="77777777" w:rsidR="00D1791C" w:rsidRPr="00D1791C" w:rsidRDefault="00D1791C" w:rsidP="00D1791C">
      <w:pPr>
        <w:rPr>
          <w:rFonts w:cs="Arial"/>
          <w:sz w:val="12"/>
        </w:rPr>
      </w:pPr>
    </w:p>
    <w:p w14:paraId="26535098" w14:textId="19A203A4" w:rsidR="00395555" w:rsidRDefault="002C50EE" w:rsidP="008A6AF2">
      <w:pPr>
        <w:pStyle w:val="Heading2"/>
      </w:pPr>
      <w:r>
        <w:t>5.2. Фармакокинетични свойства</w:t>
      </w:r>
    </w:p>
    <w:p w14:paraId="77726A7D" w14:textId="7B6C3B49" w:rsidR="00D1791C" w:rsidRDefault="00D1791C" w:rsidP="00D1791C"/>
    <w:p w14:paraId="0A5D8160"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u w:val="single"/>
          <w:lang w:eastAsia="bg-BG"/>
        </w:rPr>
        <w:t>Абсорбния</w:t>
      </w:r>
    </w:p>
    <w:p w14:paraId="40390077"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 xml:space="preserve">Тейкопланин се прилага парентерално (интравенозно или интрамускулно). След интрамускулно приложение, бионаличността на тейкопланин (сравнена с интравенозно приложение) е почти пълна (90%). След шест дневно интрамускулно приложение на 200 </w:t>
      </w:r>
      <w:r w:rsidRPr="00D1791C">
        <w:rPr>
          <w:rFonts w:eastAsia="Times New Roman" w:cs="Arial"/>
          <w:color w:val="000000"/>
          <w:szCs w:val="40"/>
          <w:lang w:val="en-US"/>
        </w:rPr>
        <w:t>mg</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средната </w:t>
      </w:r>
      <w:r w:rsidRPr="00D1791C">
        <w:rPr>
          <w:rFonts w:eastAsia="Times New Roman" w:cs="Arial"/>
          <w:color w:val="000000"/>
          <w:szCs w:val="40"/>
          <w:lang w:val="ru-RU"/>
        </w:rPr>
        <w:t>(</w:t>
      </w:r>
      <w:r w:rsidRPr="00D1791C">
        <w:rPr>
          <w:rFonts w:eastAsia="Times New Roman" w:cs="Arial"/>
          <w:color w:val="000000"/>
          <w:szCs w:val="40"/>
          <w:lang w:val="en-US"/>
        </w:rPr>
        <w:t>SD</w:t>
      </w:r>
      <w:r w:rsidRPr="00D1791C">
        <w:rPr>
          <w:rFonts w:eastAsia="Times New Roman" w:cs="Arial"/>
          <w:color w:val="000000"/>
          <w:szCs w:val="40"/>
          <w:lang w:val="ru-RU"/>
        </w:rPr>
        <w:t xml:space="preserve">) </w:t>
      </w:r>
      <w:r w:rsidRPr="00D1791C">
        <w:rPr>
          <w:rFonts w:eastAsia="Times New Roman" w:cs="Arial"/>
          <w:color w:val="000000"/>
          <w:szCs w:val="40"/>
          <w:lang w:eastAsia="bg-BG"/>
        </w:rPr>
        <w:t>максимална концентрация на тейкопланин (С</w:t>
      </w:r>
      <w:r w:rsidRPr="00D1791C">
        <w:rPr>
          <w:rFonts w:eastAsia="Times New Roman" w:cs="Arial"/>
          <w:color w:val="000000"/>
          <w:szCs w:val="40"/>
          <w:lang w:val="en-US"/>
        </w:rPr>
        <w:t>max</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се равнява на 12,1 (0,9) </w:t>
      </w:r>
      <w:r w:rsidRPr="00D1791C">
        <w:rPr>
          <w:rFonts w:eastAsia="Times New Roman" w:cs="Arial"/>
          <w:color w:val="000000"/>
          <w:szCs w:val="40"/>
          <w:lang w:val="en-US"/>
        </w:rPr>
        <w:t>mg</w:t>
      </w:r>
      <w:r w:rsidRPr="00D1791C">
        <w:rPr>
          <w:rFonts w:eastAsia="Times New Roman" w:cs="Arial"/>
          <w:color w:val="000000"/>
          <w:szCs w:val="40"/>
          <w:lang w:val="ru-RU"/>
        </w:rPr>
        <w:t xml:space="preserve">/1 </w:t>
      </w:r>
      <w:r w:rsidRPr="00D1791C">
        <w:rPr>
          <w:rFonts w:eastAsia="Times New Roman" w:cs="Arial"/>
          <w:color w:val="000000"/>
          <w:szCs w:val="40"/>
          <w:lang w:eastAsia="bg-BG"/>
        </w:rPr>
        <w:t>и се достига 2 часа след приложението.</w:t>
      </w:r>
    </w:p>
    <w:p w14:paraId="233D785E" w14:textId="77777777" w:rsidR="00D1791C" w:rsidRPr="00D1791C" w:rsidRDefault="00D1791C" w:rsidP="00D1791C">
      <w:pPr>
        <w:spacing w:line="240" w:lineRule="auto"/>
        <w:rPr>
          <w:rFonts w:eastAsia="Times New Roman" w:cs="Arial"/>
          <w:color w:val="000000"/>
          <w:szCs w:val="40"/>
          <w:lang w:eastAsia="bg-BG"/>
        </w:rPr>
      </w:pPr>
    </w:p>
    <w:p w14:paraId="65D3B5BA" w14:textId="67C59DA4"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 xml:space="preserve">След натоварваща доза от 6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приложена интравенозно на всеки 12 часа за 3 до 5 приложения, стойностите на С^ варират от 60 до 70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l</w:t>
      </w:r>
      <w:r w:rsidRPr="00D1791C">
        <w:rPr>
          <w:rFonts w:eastAsia="Times New Roman" w:cs="Arial"/>
          <w:color w:val="000000"/>
          <w:szCs w:val="40"/>
          <w:lang w:val="ru-RU"/>
        </w:rPr>
        <w:t xml:space="preserve"> </w:t>
      </w:r>
      <w:r w:rsidRPr="00D1791C">
        <w:rPr>
          <w:rFonts w:eastAsia="Times New Roman" w:cs="Arial"/>
          <w:color w:val="000000"/>
          <w:szCs w:val="40"/>
          <w:lang w:eastAsia="bg-BG"/>
        </w:rPr>
        <w:t>и С</w:t>
      </w:r>
      <w:r w:rsidRPr="00D1791C">
        <w:rPr>
          <w:rFonts w:eastAsia="Times New Roman" w:cs="Arial"/>
          <w:color w:val="000000"/>
          <w:szCs w:val="40"/>
          <w:vertAlign w:val="subscript"/>
          <w:lang w:val="en-US"/>
        </w:rPr>
        <w:t>trough</w:t>
      </w:r>
      <w:r w:rsidRPr="00D1791C">
        <w:rPr>
          <w:rFonts w:eastAsia="Times New Roman" w:cs="Arial"/>
          <w:color w:val="000000"/>
          <w:szCs w:val="40"/>
          <w:lang w:eastAsia="bg-BG"/>
        </w:rPr>
        <w:t xml:space="preserve"> обичайно е над 10 </w:t>
      </w:r>
      <w:r w:rsidRPr="00D1791C">
        <w:rPr>
          <w:rFonts w:eastAsia="Times New Roman" w:cs="Arial"/>
          <w:color w:val="000000"/>
          <w:szCs w:val="40"/>
          <w:lang w:val="en-US"/>
        </w:rPr>
        <w:t>mg</w:t>
      </w:r>
      <w:r w:rsidRPr="00D1791C">
        <w:rPr>
          <w:rFonts w:eastAsia="Times New Roman" w:cs="Arial"/>
          <w:color w:val="000000"/>
          <w:szCs w:val="40"/>
          <w:lang w:val="ru-RU"/>
        </w:rPr>
        <w:t xml:space="preserve">/1. </w:t>
      </w:r>
      <w:r w:rsidRPr="00D1791C">
        <w:rPr>
          <w:rFonts w:eastAsia="Times New Roman" w:cs="Arial"/>
          <w:color w:val="000000"/>
          <w:szCs w:val="40"/>
          <w:lang w:eastAsia="bg-BG"/>
        </w:rPr>
        <w:t xml:space="preserve">След интравенозна натоварваща доза от 12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приложена на всеки 12 часа за 3 приложения, средните стойности на С^ и </w:t>
      </w:r>
      <w:proofErr w:type="spellStart"/>
      <w:r w:rsidRPr="00D1791C">
        <w:rPr>
          <w:rFonts w:eastAsia="Times New Roman" w:cs="Arial"/>
          <w:color w:val="000000"/>
          <w:szCs w:val="40"/>
          <w:lang w:val="en-US"/>
        </w:rPr>
        <w:t>C</w:t>
      </w:r>
      <w:r w:rsidRPr="00D1791C">
        <w:rPr>
          <w:rFonts w:eastAsia="Times New Roman" w:cs="Arial"/>
          <w:color w:val="000000"/>
          <w:szCs w:val="40"/>
          <w:vertAlign w:val="subscript"/>
          <w:lang w:val="en-US"/>
        </w:rPr>
        <w:t>trough</w:t>
      </w:r>
      <w:proofErr w:type="spellEnd"/>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са оценени приблизително на около 100 </w:t>
      </w:r>
      <w:r w:rsidRPr="00D1791C">
        <w:rPr>
          <w:rFonts w:eastAsia="Times New Roman" w:cs="Arial"/>
          <w:color w:val="000000"/>
          <w:szCs w:val="40"/>
          <w:lang w:val="en-US"/>
        </w:rPr>
        <w:t>mg</w:t>
      </w:r>
      <w:r w:rsidRPr="00D1791C">
        <w:rPr>
          <w:rFonts w:eastAsia="Times New Roman" w:cs="Arial"/>
          <w:color w:val="000000"/>
          <w:szCs w:val="40"/>
          <w:lang w:val="ru-RU"/>
        </w:rPr>
        <w:t xml:space="preserve">/1 </w:t>
      </w:r>
      <w:r w:rsidRPr="00D1791C">
        <w:rPr>
          <w:rFonts w:eastAsia="Times New Roman" w:cs="Arial"/>
          <w:color w:val="000000"/>
          <w:szCs w:val="40"/>
          <w:lang w:eastAsia="bg-BG"/>
        </w:rPr>
        <w:t xml:space="preserve">и 20 </w:t>
      </w:r>
      <w:r w:rsidRPr="00D1791C">
        <w:rPr>
          <w:rFonts w:eastAsia="Times New Roman" w:cs="Arial"/>
          <w:color w:val="000000"/>
          <w:szCs w:val="40"/>
          <w:lang w:val="en-US"/>
        </w:rPr>
        <w:t>mg</w:t>
      </w:r>
      <w:r w:rsidRPr="00D1791C">
        <w:rPr>
          <w:rFonts w:eastAsia="Times New Roman" w:cs="Arial"/>
          <w:color w:val="000000"/>
          <w:szCs w:val="40"/>
          <w:lang w:val="ru-RU"/>
        </w:rPr>
        <w:t>/1</w:t>
      </w:r>
      <w:r w:rsidRPr="00D1791C">
        <w:rPr>
          <w:rFonts w:eastAsia="Times New Roman" w:cs="Arial"/>
          <w:color w:val="000000"/>
          <w:szCs w:val="40"/>
          <w:lang w:eastAsia="bg-BG"/>
        </w:rPr>
        <w:t>, съответно.</w:t>
      </w:r>
    </w:p>
    <w:p w14:paraId="07266A38" w14:textId="77777777" w:rsidR="00D1791C" w:rsidRPr="00D1791C" w:rsidRDefault="00D1791C" w:rsidP="00D1791C">
      <w:pPr>
        <w:spacing w:line="240" w:lineRule="auto"/>
        <w:rPr>
          <w:rFonts w:eastAsia="Times New Roman" w:cs="Arial"/>
          <w:color w:val="000000"/>
          <w:szCs w:val="40"/>
          <w:lang w:eastAsia="bg-BG"/>
        </w:rPr>
      </w:pPr>
    </w:p>
    <w:p w14:paraId="52683B16" w14:textId="3333C1D3"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lastRenderedPageBreak/>
        <w:t xml:space="preserve">След поддържаща доза от 6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val="ru-RU"/>
        </w:rPr>
        <w:t xml:space="preserve"> </w:t>
      </w:r>
      <w:r w:rsidRPr="00D1791C">
        <w:rPr>
          <w:rFonts w:eastAsia="Times New Roman" w:cs="Arial"/>
          <w:color w:val="000000"/>
          <w:szCs w:val="40"/>
          <w:lang w:eastAsia="bg-BG"/>
        </w:rPr>
        <w:t>приложена веднъж дневно стойностите на С</w:t>
      </w:r>
      <w:r w:rsidRPr="00D1791C">
        <w:rPr>
          <w:rFonts w:eastAsia="Times New Roman" w:cs="Arial"/>
          <w:color w:val="000000"/>
          <w:szCs w:val="40"/>
          <w:vertAlign w:val="subscript"/>
          <w:lang w:val="en-US"/>
        </w:rPr>
        <w:t>max</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и </w:t>
      </w:r>
      <w:proofErr w:type="spellStart"/>
      <w:r w:rsidRPr="00D1791C">
        <w:rPr>
          <w:rFonts w:eastAsia="Times New Roman" w:cs="Arial"/>
          <w:color w:val="000000"/>
          <w:szCs w:val="40"/>
          <w:lang w:val="en-US"/>
        </w:rPr>
        <w:t>C</w:t>
      </w:r>
      <w:r w:rsidRPr="00D1791C">
        <w:rPr>
          <w:rFonts w:eastAsia="Times New Roman" w:cs="Arial"/>
          <w:color w:val="000000"/>
          <w:szCs w:val="40"/>
          <w:vertAlign w:val="subscript"/>
          <w:lang w:val="en-US"/>
        </w:rPr>
        <w:t>trough</w:t>
      </w:r>
      <w:proofErr w:type="spellEnd"/>
      <w:r w:rsidRPr="00D1791C">
        <w:rPr>
          <w:rFonts w:eastAsia="Times New Roman" w:cs="Arial"/>
          <w:color w:val="000000"/>
          <w:szCs w:val="40"/>
          <w:vertAlign w:val="subscript"/>
          <w:lang w:val="ru-RU"/>
        </w:rPr>
        <w:t xml:space="preserve"> </w:t>
      </w:r>
      <w:r w:rsidRPr="00D1791C">
        <w:rPr>
          <w:rFonts w:eastAsia="Times New Roman" w:cs="Arial"/>
          <w:color w:val="000000"/>
          <w:szCs w:val="40"/>
          <w:lang w:eastAsia="bg-BG"/>
        </w:rPr>
        <w:t>са</w:t>
      </w:r>
      <w:r w:rsidRPr="00D1791C">
        <w:rPr>
          <w:rFonts w:eastAsia="Times New Roman" w:cs="Arial"/>
          <w:sz w:val="14"/>
          <w:szCs w:val="24"/>
          <w:lang w:val="ru-RU"/>
        </w:rPr>
        <w:t xml:space="preserve"> </w:t>
      </w:r>
      <w:r w:rsidRPr="00D1791C">
        <w:rPr>
          <w:rFonts w:eastAsia="Times New Roman" w:cs="Arial"/>
          <w:color w:val="000000"/>
          <w:szCs w:val="40"/>
          <w:lang w:eastAsia="bg-BG"/>
        </w:rPr>
        <w:t xml:space="preserve">приблизително 70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l</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и 15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l</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съответно. След поддържаща доза от 12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val="ru-RU"/>
        </w:rPr>
        <w:t xml:space="preserve"> </w:t>
      </w:r>
      <w:r w:rsidRPr="00D1791C">
        <w:rPr>
          <w:rFonts w:eastAsia="Times New Roman" w:cs="Arial"/>
          <w:color w:val="000000"/>
          <w:szCs w:val="40"/>
          <w:lang w:eastAsia="bg-BG"/>
        </w:rPr>
        <w:t>веднъж дневно стойностите на С</w:t>
      </w:r>
      <w:r w:rsidRPr="00D1791C">
        <w:rPr>
          <w:rFonts w:eastAsia="Times New Roman" w:cs="Arial"/>
          <w:color w:val="000000"/>
          <w:szCs w:val="40"/>
          <w:vertAlign w:val="subscript"/>
          <w:lang w:eastAsia="bg-BG"/>
        </w:rPr>
        <w:t>trough</w:t>
      </w:r>
      <w:r w:rsidRPr="00D1791C">
        <w:rPr>
          <w:rFonts w:eastAsia="Times New Roman" w:cs="Arial"/>
          <w:color w:val="000000"/>
          <w:szCs w:val="40"/>
          <w:lang w:eastAsia="bg-BG"/>
        </w:rPr>
        <w:t xml:space="preserve"> варират от 18 до 30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l</w:t>
      </w:r>
      <w:r w:rsidRPr="00D1791C">
        <w:rPr>
          <w:rFonts w:eastAsia="Times New Roman" w:cs="Arial"/>
          <w:color w:val="000000"/>
          <w:szCs w:val="40"/>
          <w:lang w:val="ru-RU"/>
        </w:rPr>
        <w:t>.</w:t>
      </w:r>
    </w:p>
    <w:p w14:paraId="022B65B8" w14:textId="639F93FE" w:rsidR="00D1791C" w:rsidRDefault="00D1791C" w:rsidP="00D1791C">
      <w:pPr>
        <w:rPr>
          <w:rFonts w:eastAsia="Times New Roman" w:cs="Arial"/>
          <w:color w:val="000000"/>
          <w:szCs w:val="40"/>
          <w:lang w:eastAsia="bg-BG"/>
        </w:rPr>
      </w:pPr>
      <w:r w:rsidRPr="00D1791C">
        <w:rPr>
          <w:rFonts w:eastAsia="Times New Roman" w:cs="Arial"/>
          <w:color w:val="000000"/>
          <w:szCs w:val="40"/>
          <w:lang w:eastAsia="bg-BG"/>
        </w:rPr>
        <w:t xml:space="preserve">Когато се прилага перорално, тейкопланин не се абсорбира от стомашно-чревния тракт. Когато се прилага перорално в еднократни дози от 250 или 500 </w:t>
      </w:r>
      <w:r w:rsidRPr="00D1791C">
        <w:rPr>
          <w:rFonts w:eastAsia="Times New Roman" w:cs="Arial"/>
          <w:color w:val="000000"/>
          <w:szCs w:val="40"/>
          <w:lang w:val="en-US"/>
        </w:rPr>
        <w:t>mg</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на здрави хора, тейкопланин не се </w:t>
      </w:r>
      <w:r w:rsidRPr="00D1791C">
        <w:rPr>
          <w:rFonts w:eastAsia="Times New Roman" w:cs="Arial"/>
          <w:color w:val="000000"/>
          <w:szCs w:val="40"/>
          <w:u w:val="single"/>
          <w:lang w:eastAsia="bg-BG"/>
        </w:rPr>
        <w:t>откри</w:t>
      </w:r>
      <w:r w:rsidRPr="00D1791C">
        <w:rPr>
          <w:rFonts w:eastAsia="Times New Roman" w:cs="Arial"/>
          <w:color w:val="000000"/>
          <w:szCs w:val="40"/>
          <w:lang w:eastAsia="bg-BG"/>
        </w:rPr>
        <w:t>ва в серума или урината, а се открива само във фецеса (около 45% от приложената доза)</w:t>
      </w:r>
      <w:r w:rsidRPr="00D1791C">
        <w:rPr>
          <w:rFonts w:eastAsia="Times New Roman" w:cs="Arial"/>
          <w:color w:val="000000"/>
          <w:szCs w:val="40"/>
          <w:lang w:val="ru-RU"/>
        </w:rPr>
        <w:t xml:space="preserve"> </w:t>
      </w:r>
      <w:r w:rsidRPr="00D1791C">
        <w:rPr>
          <w:rFonts w:eastAsia="Times New Roman" w:cs="Arial"/>
          <w:color w:val="000000"/>
          <w:szCs w:val="40"/>
          <w:lang w:eastAsia="bg-BG"/>
        </w:rPr>
        <w:t>като непроменен лекарствен продукт.</w:t>
      </w:r>
    </w:p>
    <w:p w14:paraId="7BFD5707" w14:textId="4100ACFE" w:rsidR="00D1791C" w:rsidRDefault="00D1791C" w:rsidP="00D1791C">
      <w:pPr>
        <w:rPr>
          <w:rFonts w:eastAsia="Times New Roman" w:cs="Arial"/>
          <w:color w:val="000000"/>
          <w:szCs w:val="40"/>
          <w:lang w:eastAsia="bg-BG"/>
        </w:rPr>
      </w:pPr>
    </w:p>
    <w:p w14:paraId="2B17389C"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u w:val="single"/>
          <w:lang w:eastAsia="bg-BG"/>
        </w:rPr>
        <w:t>Разпределение</w:t>
      </w:r>
    </w:p>
    <w:p w14:paraId="34E381F4"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Свързването с човешките серумни протеини варира от 87.6 до 90.8% без промяна в зависимост от концентрацията на тейкопланин. Тейкопланин се свързва основно с човешкия серумен албумин. Тейкопланин не се разпределя в червените кръвни клетки.</w:t>
      </w:r>
    </w:p>
    <w:p w14:paraId="16FD39D8"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 xml:space="preserve">Обемът на разпределение при стационарно състояние </w:t>
      </w:r>
      <w:r w:rsidRPr="00D1791C">
        <w:rPr>
          <w:rFonts w:eastAsia="Times New Roman" w:cs="Arial"/>
          <w:color w:val="000000"/>
          <w:szCs w:val="40"/>
          <w:lang w:val="ru-RU"/>
        </w:rPr>
        <w:t>(</w:t>
      </w:r>
      <w:proofErr w:type="spellStart"/>
      <w:r w:rsidRPr="00D1791C">
        <w:rPr>
          <w:rFonts w:eastAsia="Times New Roman" w:cs="Arial"/>
          <w:color w:val="000000"/>
          <w:szCs w:val="40"/>
          <w:lang w:val="en-US"/>
        </w:rPr>
        <w:t>Vss</w:t>
      </w:r>
      <w:proofErr w:type="spellEnd"/>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варира от 0.7 до 1.4 </w:t>
      </w:r>
      <w:r w:rsidRPr="00D1791C">
        <w:rPr>
          <w:rFonts w:eastAsia="Times New Roman" w:cs="Arial"/>
          <w:color w:val="000000"/>
          <w:szCs w:val="40"/>
          <w:lang w:val="en-US"/>
        </w:rPr>
        <w:t>mL</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Най-високите стойности на </w:t>
      </w:r>
      <w:proofErr w:type="spellStart"/>
      <w:r w:rsidRPr="00D1791C">
        <w:rPr>
          <w:rFonts w:eastAsia="Times New Roman" w:cs="Arial"/>
          <w:color w:val="000000"/>
          <w:szCs w:val="40"/>
          <w:lang w:val="en-US"/>
        </w:rPr>
        <w:t>Vss</w:t>
      </w:r>
      <w:proofErr w:type="spellEnd"/>
      <w:r w:rsidRPr="00D1791C">
        <w:rPr>
          <w:rFonts w:eastAsia="Times New Roman" w:cs="Arial"/>
          <w:color w:val="000000"/>
          <w:szCs w:val="40"/>
          <w:lang w:val="ru-RU"/>
        </w:rPr>
        <w:t xml:space="preserve"> </w:t>
      </w:r>
      <w:r w:rsidRPr="00D1791C">
        <w:rPr>
          <w:rFonts w:eastAsia="Times New Roman" w:cs="Arial"/>
          <w:color w:val="000000"/>
          <w:szCs w:val="40"/>
          <w:lang w:eastAsia="bg-BG"/>
        </w:rPr>
        <w:t>са наблюдавани при скорошни проучвания, при които периодът за вземане на проби надвишава 8 дни.</w:t>
      </w:r>
    </w:p>
    <w:p w14:paraId="0BA0E2E5"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 xml:space="preserve">Тейкопланин се разпределя предимно в белия дроб, миокарда и костната тъкан със съотношение тъкан/ серум, надвишаващо 1. В течности на мехури, синовиална течност и перитонеална течност, съотношението тъкан/серум варира от 0.5 до 1. Елиминирането на тейкопланин от перитонеалната течност се осъществява със същата скорост, както </w:t>
      </w:r>
      <w:r w:rsidRPr="00D1791C">
        <w:rPr>
          <w:rFonts w:eastAsia="Times New Roman" w:cs="Arial"/>
          <w:i/>
          <w:iCs/>
          <w:color w:val="000000"/>
          <w:szCs w:val="40"/>
          <w:lang w:eastAsia="bg-BG"/>
        </w:rPr>
        <w:t>и от</w:t>
      </w:r>
      <w:r w:rsidRPr="00D1791C">
        <w:rPr>
          <w:rFonts w:eastAsia="Times New Roman" w:cs="Arial"/>
          <w:color w:val="000000"/>
          <w:szCs w:val="40"/>
          <w:lang w:eastAsia="bg-BG"/>
        </w:rPr>
        <w:t xml:space="preserve"> серума. В плевралната течност и подкожната мастна тъкан съотношенията тъкан/серум се между 0.2 и 0.5. Тейкопланин не прониква лесно в цереброспиналната течност </w:t>
      </w:r>
      <w:r w:rsidRPr="00D1791C">
        <w:rPr>
          <w:rFonts w:eastAsia="Times New Roman" w:cs="Arial"/>
          <w:color w:val="000000"/>
          <w:szCs w:val="40"/>
          <w:lang w:val="ru-RU"/>
        </w:rPr>
        <w:t>(</w:t>
      </w:r>
      <w:r w:rsidRPr="00D1791C">
        <w:rPr>
          <w:rFonts w:eastAsia="Times New Roman" w:cs="Arial"/>
          <w:color w:val="000000"/>
          <w:szCs w:val="40"/>
          <w:lang w:val="en-US"/>
        </w:rPr>
        <w:t>CSF</w:t>
      </w:r>
      <w:r w:rsidRPr="00D1791C">
        <w:rPr>
          <w:rFonts w:eastAsia="Times New Roman" w:cs="Arial"/>
          <w:color w:val="000000"/>
          <w:szCs w:val="40"/>
          <w:lang w:val="ru-RU"/>
        </w:rPr>
        <w:t>).</w:t>
      </w:r>
    </w:p>
    <w:p w14:paraId="1040EBDA" w14:textId="77777777" w:rsidR="00D1791C" w:rsidRPr="00D1791C" w:rsidRDefault="00D1791C" w:rsidP="00D1791C">
      <w:pPr>
        <w:spacing w:line="240" w:lineRule="auto"/>
        <w:rPr>
          <w:rFonts w:eastAsia="Times New Roman" w:cs="Arial"/>
          <w:color w:val="000000"/>
          <w:szCs w:val="40"/>
          <w:u w:val="single"/>
          <w:lang w:eastAsia="bg-BG"/>
        </w:rPr>
      </w:pPr>
    </w:p>
    <w:p w14:paraId="362D3359" w14:textId="2895A753"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u w:val="single"/>
          <w:lang w:eastAsia="bg-BG"/>
        </w:rPr>
        <w:t>Биотрансформация</w:t>
      </w:r>
    </w:p>
    <w:p w14:paraId="7F17B418"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Непроменената форма на тейкопланин е основното съединение идентифицирано в плазмата и урината, показващо минимален метаболизъм. Образуват се два метаболита вероятно чрез хидроксилиране и представляват 2 до 3% от приложената доза.</w:t>
      </w:r>
    </w:p>
    <w:p w14:paraId="6F01869A" w14:textId="77777777" w:rsidR="00D1791C" w:rsidRPr="00D1791C" w:rsidRDefault="00D1791C" w:rsidP="00D1791C">
      <w:pPr>
        <w:spacing w:line="240" w:lineRule="auto"/>
        <w:rPr>
          <w:rFonts w:eastAsia="Times New Roman" w:cs="Arial"/>
          <w:color w:val="000000"/>
          <w:szCs w:val="40"/>
          <w:u w:val="single"/>
          <w:lang w:eastAsia="bg-BG"/>
        </w:rPr>
      </w:pPr>
    </w:p>
    <w:p w14:paraId="4B6509F5" w14:textId="42C73322"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u w:val="single"/>
          <w:lang w:eastAsia="bg-BG"/>
        </w:rPr>
        <w:t>Елиминиране</w:t>
      </w:r>
    </w:p>
    <w:p w14:paraId="7E3BE4FA"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Непроменения тейкопланин се екскретира основно чрез урината (80% в рамките на 16 дни) докато 2.7% от приложената доза се откриват във фецеса (чрез екскреция в жлъчката) в рамките на 8 дни след приложението.</w:t>
      </w:r>
    </w:p>
    <w:p w14:paraId="5ACC3704"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Елиминационния полуживот на тейкопланин варира от 100 до 170 часа в последните изпитвания, при които продължителността на вземане на кръвни проби е около 8 до 35 дни.</w:t>
      </w:r>
    </w:p>
    <w:p w14:paraId="67677961"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 xml:space="preserve">Тейкопланин има нисък общ клирънс в диапазона от 10 до 14 </w:t>
      </w:r>
      <w:r w:rsidRPr="00D1791C">
        <w:rPr>
          <w:rFonts w:eastAsia="Times New Roman" w:cs="Arial"/>
          <w:color w:val="000000"/>
          <w:szCs w:val="40"/>
          <w:lang w:val="en-US"/>
        </w:rPr>
        <w:t>ml</w:t>
      </w:r>
      <w:r w:rsidRPr="00D1791C">
        <w:rPr>
          <w:rFonts w:eastAsia="Times New Roman" w:cs="Arial"/>
          <w:color w:val="000000"/>
          <w:szCs w:val="40"/>
          <w:lang w:val="ru-RU"/>
        </w:rPr>
        <w:t>/</w:t>
      </w:r>
      <w:r w:rsidRPr="00D1791C">
        <w:rPr>
          <w:rFonts w:eastAsia="Times New Roman" w:cs="Arial"/>
          <w:color w:val="000000"/>
          <w:szCs w:val="40"/>
          <w:lang w:val="en-US"/>
        </w:rPr>
        <w:t>h</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и бъбречен клирънс в диапазона от 8 до 12 </w:t>
      </w:r>
      <w:r w:rsidRPr="00D1791C">
        <w:rPr>
          <w:rFonts w:eastAsia="Times New Roman" w:cs="Arial"/>
          <w:color w:val="000000"/>
          <w:szCs w:val="40"/>
          <w:lang w:val="en-US"/>
        </w:rPr>
        <w:t>ml</w:t>
      </w:r>
      <w:r w:rsidRPr="00D1791C">
        <w:rPr>
          <w:rFonts w:eastAsia="Times New Roman" w:cs="Arial"/>
          <w:color w:val="000000"/>
          <w:szCs w:val="40"/>
          <w:lang w:val="ru-RU"/>
        </w:rPr>
        <w:t>/</w:t>
      </w:r>
      <w:r w:rsidRPr="00D1791C">
        <w:rPr>
          <w:rFonts w:eastAsia="Times New Roman" w:cs="Arial"/>
          <w:color w:val="000000"/>
          <w:szCs w:val="40"/>
          <w:lang w:val="en-US"/>
        </w:rPr>
        <w:t>h</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val="ru-RU"/>
        </w:rPr>
        <w:t xml:space="preserve">, </w:t>
      </w:r>
      <w:r w:rsidRPr="00D1791C">
        <w:rPr>
          <w:rFonts w:eastAsia="Times New Roman" w:cs="Arial"/>
          <w:color w:val="000000"/>
          <w:szCs w:val="40"/>
          <w:lang w:eastAsia="bg-BG"/>
        </w:rPr>
        <w:t>показвайки че тейкопланин се екскретира основно чрез бъбречен механизъм.</w:t>
      </w:r>
    </w:p>
    <w:p w14:paraId="3F8740A1" w14:textId="77777777" w:rsidR="00D1791C" w:rsidRPr="00D1791C" w:rsidRDefault="00D1791C" w:rsidP="00D1791C">
      <w:pPr>
        <w:spacing w:line="240" w:lineRule="auto"/>
        <w:rPr>
          <w:rFonts w:eastAsia="Times New Roman" w:cs="Arial"/>
          <w:color w:val="000000"/>
          <w:szCs w:val="40"/>
          <w:u w:val="single"/>
          <w:lang w:eastAsia="bg-BG"/>
        </w:rPr>
      </w:pPr>
    </w:p>
    <w:p w14:paraId="07A871C8" w14:textId="6C381B96"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u w:val="single"/>
          <w:lang w:eastAsia="bg-BG"/>
        </w:rPr>
        <w:t>Линейност</w:t>
      </w:r>
    </w:p>
    <w:p w14:paraId="6421BC94" w14:textId="053AC5CB" w:rsidR="00D1791C" w:rsidRPr="00D1791C" w:rsidRDefault="00D1791C" w:rsidP="00D1791C">
      <w:pPr>
        <w:spacing w:line="240" w:lineRule="auto"/>
        <w:rPr>
          <w:rFonts w:eastAsia="Times New Roman" w:cs="Arial"/>
          <w:color w:val="000000"/>
          <w:szCs w:val="40"/>
          <w:lang w:val="ru-RU"/>
        </w:rPr>
      </w:pPr>
      <w:r w:rsidRPr="00D1791C">
        <w:rPr>
          <w:rFonts w:eastAsia="Times New Roman" w:cs="Arial"/>
          <w:color w:val="000000"/>
          <w:szCs w:val="40"/>
          <w:lang w:eastAsia="bg-BG"/>
        </w:rPr>
        <w:t xml:space="preserve">Тейкопланин показва линейна фармакокинетика при дозиране от 2 до 25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val="ru-RU"/>
        </w:rPr>
        <w:t>.</w:t>
      </w:r>
    </w:p>
    <w:p w14:paraId="3AC2ACDA" w14:textId="77777777" w:rsidR="00D1791C" w:rsidRPr="00D1791C" w:rsidRDefault="00D1791C" w:rsidP="00D1791C">
      <w:pPr>
        <w:spacing w:line="240" w:lineRule="auto"/>
        <w:rPr>
          <w:rFonts w:eastAsia="Times New Roman" w:cs="Arial"/>
          <w:sz w:val="14"/>
          <w:szCs w:val="24"/>
        </w:rPr>
      </w:pPr>
    </w:p>
    <w:p w14:paraId="36B2D24E" w14:textId="69F1618C" w:rsidR="00D1791C" w:rsidRPr="00D1791C" w:rsidRDefault="00D1791C" w:rsidP="00D1791C">
      <w:pPr>
        <w:spacing w:line="240" w:lineRule="auto"/>
        <w:rPr>
          <w:rFonts w:eastAsia="Times New Roman" w:cs="Arial"/>
          <w:b/>
          <w:bCs/>
          <w:color w:val="000000"/>
          <w:szCs w:val="38"/>
          <w:u w:val="single"/>
          <w:lang w:eastAsia="bg-BG"/>
        </w:rPr>
      </w:pPr>
      <w:r w:rsidRPr="00D1791C">
        <w:rPr>
          <w:rFonts w:eastAsia="Times New Roman" w:cs="Arial"/>
          <w:b/>
          <w:bCs/>
          <w:color w:val="000000"/>
          <w:szCs w:val="38"/>
          <w:u w:val="single"/>
          <w:lang w:eastAsia="bg-BG"/>
        </w:rPr>
        <w:t>Специални популации</w:t>
      </w:r>
    </w:p>
    <w:p w14:paraId="75020989" w14:textId="77777777" w:rsidR="00D1791C" w:rsidRPr="00D1791C" w:rsidRDefault="00D1791C" w:rsidP="00D1791C">
      <w:pPr>
        <w:pStyle w:val="ListParagraph"/>
        <w:numPr>
          <w:ilvl w:val="0"/>
          <w:numId w:val="35"/>
        </w:numPr>
        <w:spacing w:line="240" w:lineRule="auto"/>
        <w:rPr>
          <w:rFonts w:eastAsia="Times New Roman" w:cs="Arial"/>
          <w:i/>
          <w:iCs/>
          <w:color w:val="000000"/>
          <w:szCs w:val="40"/>
          <w:lang w:eastAsia="bg-BG"/>
        </w:rPr>
      </w:pPr>
      <w:r w:rsidRPr="00D1791C">
        <w:rPr>
          <w:rFonts w:eastAsia="Times New Roman" w:cs="Arial"/>
          <w:i/>
          <w:iCs/>
          <w:color w:val="000000"/>
          <w:szCs w:val="40"/>
          <w:lang w:eastAsia="bg-BG"/>
        </w:rPr>
        <w:t>Бъбречно увреждане:</w:t>
      </w:r>
    </w:p>
    <w:p w14:paraId="6A34D2AA" w14:textId="7CC20222" w:rsidR="00D1791C" w:rsidRPr="00D1791C" w:rsidRDefault="00D1791C" w:rsidP="00D1791C">
      <w:pPr>
        <w:spacing w:line="240" w:lineRule="auto"/>
        <w:rPr>
          <w:rFonts w:eastAsia="Times New Roman" w:cs="Arial"/>
          <w:color w:val="000000"/>
          <w:szCs w:val="40"/>
          <w:lang w:eastAsia="bg-BG"/>
        </w:rPr>
      </w:pPr>
      <w:r w:rsidRPr="00D1791C">
        <w:rPr>
          <w:rFonts w:eastAsia="Times New Roman" w:cs="Arial"/>
          <w:i/>
          <w:iCs/>
          <w:color w:val="000000"/>
          <w:szCs w:val="40"/>
          <w:lang w:eastAsia="bg-BG"/>
        </w:rPr>
        <w:t>Тъй</w:t>
      </w:r>
      <w:r w:rsidRPr="00D1791C">
        <w:rPr>
          <w:rFonts w:eastAsia="Times New Roman" w:cs="Arial"/>
          <w:color w:val="000000"/>
          <w:szCs w:val="40"/>
          <w:lang w:eastAsia="bg-BG"/>
        </w:rPr>
        <w:t xml:space="preserve"> като тейкопланин се елиминира чрез бъбреците, елиминирането на тейкопланин намалява в съответствие със степента на бъбречно увреждане. Общият и бъбречният клирънс на тейкопланин зависят от креатининовият клирънс.</w:t>
      </w:r>
    </w:p>
    <w:p w14:paraId="39D8C6E7" w14:textId="77777777" w:rsidR="00D1791C" w:rsidRPr="00D1791C" w:rsidRDefault="00D1791C" w:rsidP="00D1791C">
      <w:pPr>
        <w:spacing w:line="240" w:lineRule="auto"/>
        <w:rPr>
          <w:rFonts w:eastAsia="Times New Roman" w:cs="Arial"/>
          <w:sz w:val="14"/>
          <w:szCs w:val="24"/>
        </w:rPr>
      </w:pPr>
    </w:p>
    <w:p w14:paraId="0782B461" w14:textId="77777777" w:rsidR="00D1791C" w:rsidRPr="00D1791C" w:rsidRDefault="00D1791C" w:rsidP="00D1791C">
      <w:pPr>
        <w:pStyle w:val="ListParagraph"/>
        <w:numPr>
          <w:ilvl w:val="0"/>
          <w:numId w:val="35"/>
        </w:numPr>
        <w:spacing w:line="240" w:lineRule="auto"/>
        <w:rPr>
          <w:rFonts w:eastAsia="Times New Roman" w:cs="Arial"/>
          <w:i/>
          <w:iCs/>
          <w:color w:val="000000"/>
          <w:szCs w:val="40"/>
          <w:lang w:eastAsia="bg-BG"/>
        </w:rPr>
      </w:pPr>
      <w:r w:rsidRPr="00D1791C">
        <w:rPr>
          <w:rFonts w:eastAsia="Times New Roman" w:cs="Arial"/>
          <w:i/>
          <w:iCs/>
          <w:color w:val="000000"/>
          <w:szCs w:val="40"/>
          <w:lang w:eastAsia="bg-BG"/>
        </w:rPr>
        <w:t>Пациенти в старческа възраст:</w:t>
      </w:r>
    </w:p>
    <w:p w14:paraId="3C4EA0F0" w14:textId="05FF47C9" w:rsidR="00D1791C" w:rsidRPr="00D1791C" w:rsidRDefault="00D1791C" w:rsidP="00D1791C">
      <w:pPr>
        <w:spacing w:line="240" w:lineRule="auto"/>
        <w:rPr>
          <w:rFonts w:eastAsia="Times New Roman" w:cs="Arial"/>
          <w:color w:val="000000"/>
          <w:szCs w:val="40"/>
          <w:lang w:eastAsia="bg-BG"/>
        </w:rPr>
      </w:pPr>
      <w:r w:rsidRPr="00D1791C">
        <w:rPr>
          <w:rFonts w:eastAsia="Times New Roman" w:cs="Arial"/>
          <w:color w:val="000000"/>
          <w:szCs w:val="40"/>
          <w:lang w:eastAsia="bg-BG"/>
        </w:rPr>
        <w:t>При популацията в старческа възраст, фармакокинетиката на тейкопланин не се засяга, освен при случай на бъбречно увреждане.</w:t>
      </w:r>
    </w:p>
    <w:p w14:paraId="2D71AB36" w14:textId="77777777" w:rsidR="00D1791C" w:rsidRPr="00D1791C" w:rsidRDefault="00D1791C" w:rsidP="00D1791C">
      <w:pPr>
        <w:spacing w:line="240" w:lineRule="auto"/>
        <w:rPr>
          <w:rFonts w:eastAsia="Times New Roman" w:cs="Arial"/>
          <w:sz w:val="14"/>
          <w:szCs w:val="24"/>
        </w:rPr>
      </w:pPr>
    </w:p>
    <w:p w14:paraId="2F80FDC4" w14:textId="77777777" w:rsidR="00D1791C" w:rsidRPr="00D1791C" w:rsidRDefault="00D1791C" w:rsidP="00D1791C">
      <w:pPr>
        <w:pStyle w:val="ListParagraph"/>
        <w:numPr>
          <w:ilvl w:val="0"/>
          <w:numId w:val="35"/>
        </w:numPr>
        <w:spacing w:line="240" w:lineRule="auto"/>
        <w:rPr>
          <w:rFonts w:eastAsia="Times New Roman" w:cs="Arial"/>
          <w:i/>
          <w:iCs/>
          <w:color w:val="000000"/>
          <w:szCs w:val="40"/>
          <w:lang w:eastAsia="bg-BG"/>
        </w:rPr>
      </w:pPr>
      <w:r w:rsidRPr="00D1791C">
        <w:rPr>
          <w:rFonts w:eastAsia="Times New Roman" w:cs="Arial"/>
          <w:i/>
          <w:iCs/>
          <w:color w:val="000000"/>
          <w:szCs w:val="40"/>
          <w:lang w:eastAsia="bg-BG"/>
        </w:rPr>
        <w:lastRenderedPageBreak/>
        <w:t>Педиатрична популация</w:t>
      </w:r>
    </w:p>
    <w:p w14:paraId="51F95314" w14:textId="150D5677" w:rsidR="00D1791C" w:rsidRDefault="00D1791C" w:rsidP="00D1791C">
      <w:pPr>
        <w:spacing w:line="240" w:lineRule="auto"/>
        <w:rPr>
          <w:rFonts w:eastAsia="Times New Roman" w:cs="Arial"/>
          <w:color w:val="000000"/>
          <w:szCs w:val="40"/>
          <w:lang w:eastAsia="bg-BG"/>
        </w:rPr>
      </w:pPr>
      <w:r w:rsidRPr="00D1791C">
        <w:rPr>
          <w:rFonts w:eastAsia="Times New Roman" w:cs="Arial"/>
          <w:color w:val="000000"/>
          <w:szCs w:val="40"/>
          <w:lang w:eastAsia="bg-BG"/>
        </w:rPr>
        <w:t xml:space="preserve">В сравнение с възрастните пациенти се наблюдава по-висок общ клирънс (15,8 </w:t>
      </w:r>
      <w:r w:rsidRPr="00D1791C">
        <w:rPr>
          <w:rFonts w:eastAsia="Times New Roman" w:cs="Arial"/>
          <w:color w:val="000000"/>
          <w:szCs w:val="40"/>
          <w:lang w:val="en-US"/>
        </w:rPr>
        <w:t>ml</w:t>
      </w:r>
      <w:r w:rsidRPr="00D1791C">
        <w:rPr>
          <w:rFonts w:eastAsia="Times New Roman" w:cs="Arial"/>
          <w:color w:val="000000"/>
          <w:szCs w:val="40"/>
          <w:lang w:val="ru-RU"/>
        </w:rPr>
        <w:t>/</w:t>
      </w:r>
      <w:r w:rsidRPr="00D1791C">
        <w:rPr>
          <w:rFonts w:eastAsia="Times New Roman" w:cs="Arial"/>
          <w:color w:val="000000"/>
          <w:szCs w:val="40"/>
          <w:lang w:val="en-US"/>
        </w:rPr>
        <w:t>h</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val="ru-RU"/>
        </w:rPr>
        <w:t xml:space="preserve"> </w:t>
      </w:r>
      <w:r w:rsidRPr="00D1791C">
        <w:rPr>
          <w:rFonts w:eastAsia="Times New Roman" w:cs="Arial"/>
          <w:color w:val="000000"/>
          <w:szCs w:val="40"/>
          <w:lang w:eastAsia="bg-BG"/>
        </w:rPr>
        <w:t xml:space="preserve">за новородени, 14,8 </w:t>
      </w:r>
      <w:r w:rsidRPr="00D1791C">
        <w:rPr>
          <w:rFonts w:eastAsia="Times New Roman" w:cs="Arial"/>
          <w:color w:val="000000"/>
          <w:szCs w:val="40"/>
          <w:lang w:val="en-US"/>
        </w:rPr>
        <w:t>ml</w:t>
      </w:r>
      <w:r w:rsidRPr="00D1791C">
        <w:rPr>
          <w:rFonts w:eastAsia="Times New Roman" w:cs="Arial"/>
          <w:color w:val="000000"/>
          <w:szCs w:val="40"/>
          <w:lang w:val="ru-RU"/>
        </w:rPr>
        <w:t>/</w:t>
      </w:r>
      <w:r w:rsidRPr="00D1791C">
        <w:rPr>
          <w:rFonts w:eastAsia="Times New Roman" w:cs="Arial"/>
          <w:color w:val="000000"/>
          <w:szCs w:val="40"/>
          <w:lang w:val="en-US"/>
        </w:rPr>
        <w:t>h</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val="ru-RU"/>
        </w:rPr>
        <w:t xml:space="preserve"> </w:t>
      </w:r>
      <w:r w:rsidRPr="00D1791C">
        <w:rPr>
          <w:rFonts w:eastAsia="Times New Roman" w:cs="Arial"/>
          <w:color w:val="000000"/>
          <w:szCs w:val="40"/>
          <w:lang w:eastAsia="bg-BG"/>
        </w:rPr>
        <w:t>за средна възраст 8 години) и по-кратък елиминационен полуживот (40 часа за новородени; 58 часа за 8 годишни).</w:t>
      </w:r>
    </w:p>
    <w:p w14:paraId="3BBAC79B" w14:textId="07885DE1" w:rsidR="00D1791C" w:rsidRDefault="00D1791C" w:rsidP="00D1791C">
      <w:pPr>
        <w:spacing w:line="240" w:lineRule="auto"/>
        <w:rPr>
          <w:rFonts w:eastAsia="Times New Roman" w:cs="Arial"/>
          <w:color w:val="000000"/>
          <w:szCs w:val="40"/>
          <w:lang w:eastAsia="bg-BG"/>
        </w:rPr>
      </w:pPr>
    </w:p>
    <w:p w14:paraId="158628AE" w14:textId="77777777" w:rsidR="00D1791C" w:rsidRPr="00D1791C" w:rsidRDefault="00D1791C" w:rsidP="00D1791C">
      <w:pPr>
        <w:spacing w:line="240" w:lineRule="auto"/>
        <w:rPr>
          <w:rFonts w:eastAsia="Times New Roman" w:cs="Arial"/>
          <w:color w:val="000000"/>
          <w:szCs w:val="40"/>
          <w:lang w:eastAsia="bg-BG"/>
        </w:rPr>
      </w:pPr>
    </w:p>
    <w:p w14:paraId="028E658A" w14:textId="6DC5CA51" w:rsidR="00395555" w:rsidRDefault="002C50EE" w:rsidP="008A6AF2">
      <w:pPr>
        <w:pStyle w:val="Heading2"/>
      </w:pPr>
      <w:r>
        <w:t>5.3. Предклинични данни за безопасност</w:t>
      </w:r>
    </w:p>
    <w:p w14:paraId="3FED0E6E" w14:textId="56D34791" w:rsidR="00D1791C" w:rsidRDefault="00D1791C" w:rsidP="00D1791C"/>
    <w:p w14:paraId="03C93C83" w14:textId="77777777"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След многократно парентерално приложение при плъхове и кучета, са наблюдавани ефекти върху бъбреците, като е доказано, че са дозозависими и обратими. Изпитвания за изследване на потенциала за предизвикване на ототоксичност при морски свичета, показват че е възможно леко увреждане на</w:t>
      </w:r>
      <w:r w:rsidRPr="00D1791C">
        <w:rPr>
          <w:rFonts w:eastAsia="Times New Roman" w:cs="Arial"/>
          <w:color w:val="000000"/>
          <w:szCs w:val="40"/>
          <w:u w:val="single"/>
          <w:lang w:eastAsia="bg-BG"/>
        </w:rPr>
        <w:t xml:space="preserve"> </w:t>
      </w:r>
      <w:r w:rsidRPr="00D1791C">
        <w:rPr>
          <w:rFonts w:eastAsia="Times New Roman" w:cs="Arial"/>
          <w:color w:val="000000"/>
          <w:szCs w:val="40"/>
          <w:lang w:eastAsia="bg-BG"/>
        </w:rPr>
        <w:t>кохлеарната и вестибуларна функция, при отсъствие на морфологично увреждане.</w:t>
      </w:r>
    </w:p>
    <w:p w14:paraId="63E3C48D" w14:textId="77777777" w:rsidR="00D1791C" w:rsidRPr="00D1791C" w:rsidRDefault="00D1791C" w:rsidP="00D1791C">
      <w:pPr>
        <w:rPr>
          <w:rFonts w:eastAsia="Times New Roman" w:cs="Arial"/>
          <w:color w:val="000000"/>
          <w:szCs w:val="40"/>
          <w:lang w:eastAsia="bg-BG"/>
        </w:rPr>
      </w:pPr>
    </w:p>
    <w:p w14:paraId="3F782CED" w14:textId="77777777" w:rsidR="00D1791C" w:rsidRPr="00D1791C" w:rsidRDefault="00D1791C" w:rsidP="00D1791C">
      <w:pPr>
        <w:rPr>
          <w:rFonts w:eastAsia="Times New Roman" w:cs="Arial"/>
          <w:sz w:val="14"/>
          <w:szCs w:val="24"/>
        </w:rPr>
      </w:pPr>
      <w:r w:rsidRPr="00D1791C">
        <w:rPr>
          <w:rFonts w:eastAsia="Times New Roman" w:cs="Arial"/>
          <w:color w:val="000000"/>
          <w:szCs w:val="40"/>
          <w:lang w:eastAsia="bg-BG"/>
        </w:rPr>
        <w:t xml:space="preserve">Подкожно приложение на тейкопланин в дози до 40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eastAsia="bg-BG"/>
        </w:rPr>
        <w:t xml:space="preserve">/дневно не засягат фертилитета при мъжки и женски плъхове. При изпитвания върху ембрио-феталното развитие, не са наблюдавани малоформацин след подкожно приложение на дози до 200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eastAsia="bg-BG"/>
        </w:rPr>
        <w:t>/дневно при плъхове и интрамускулно в дози до</w:t>
      </w:r>
      <w:r w:rsidRPr="00D1791C">
        <w:rPr>
          <w:rFonts w:eastAsia="Times New Roman" w:cs="Arial"/>
          <w:color w:val="000000"/>
          <w:szCs w:val="40"/>
          <w:lang w:val="ru-RU" w:eastAsia="bg-BG"/>
        </w:rPr>
        <w:t xml:space="preserve"> </w:t>
      </w:r>
      <w:r w:rsidRPr="00D1791C">
        <w:rPr>
          <w:rFonts w:eastAsia="Times New Roman" w:cs="Arial"/>
          <w:color w:val="000000"/>
          <w:szCs w:val="40"/>
          <w:lang w:val="ru-RU"/>
        </w:rPr>
        <w:t xml:space="preserve">15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val="ru-RU"/>
        </w:rPr>
        <w:t>/</w:t>
      </w:r>
      <w:r w:rsidRPr="00D1791C">
        <w:rPr>
          <w:rFonts w:eastAsia="Times New Roman" w:cs="Arial"/>
          <w:color w:val="000000"/>
          <w:szCs w:val="40"/>
          <w:lang w:eastAsia="bg-BG"/>
        </w:rPr>
        <w:t xml:space="preserve">дневно при зайци. Въпреки това, при плъховете, е имало повишена честота на мъртвородени при дози от 100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eastAsia="bg-BG"/>
        </w:rPr>
        <w:t xml:space="preserve">/дневно и по-високи и неонатална смъртност при дози от 200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val="ru-RU"/>
        </w:rPr>
        <w:t>/</w:t>
      </w:r>
      <w:r w:rsidRPr="00D1791C">
        <w:rPr>
          <w:rFonts w:eastAsia="Times New Roman" w:cs="Arial"/>
          <w:color w:val="000000"/>
          <w:szCs w:val="40"/>
          <w:lang w:eastAsia="bg-BG"/>
        </w:rPr>
        <w:t xml:space="preserve">дневно. Такъв ефект не е съобщаван при дози от 50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val="ru-RU"/>
        </w:rPr>
        <w:t>/</w:t>
      </w:r>
      <w:r w:rsidRPr="00D1791C">
        <w:rPr>
          <w:rFonts w:eastAsia="Times New Roman" w:cs="Arial"/>
          <w:color w:val="000000"/>
          <w:szCs w:val="40"/>
          <w:lang w:eastAsia="bg-BG"/>
        </w:rPr>
        <w:t xml:space="preserve">дневно. Пери- и постнатално проучване при плъхове показва липса на ефекти върху фертилитета на поколението </w:t>
      </w:r>
      <w:r w:rsidRPr="00D1791C">
        <w:rPr>
          <w:rFonts w:eastAsia="Times New Roman" w:cs="Arial"/>
          <w:color w:val="000000"/>
          <w:szCs w:val="40"/>
          <w:lang w:val="en-US"/>
        </w:rPr>
        <w:t>F</w:t>
      </w:r>
      <w:r w:rsidRPr="00D1791C">
        <w:rPr>
          <w:rFonts w:eastAsia="Times New Roman" w:cs="Arial"/>
          <w:color w:val="000000"/>
          <w:szCs w:val="40"/>
          <w:lang w:val="ru-RU"/>
        </w:rPr>
        <w:t xml:space="preserve">1 </w:t>
      </w:r>
      <w:r w:rsidRPr="00D1791C">
        <w:rPr>
          <w:rFonts w:eastAsia="Times New Roman" w:cs="Arial"/>
          <w:color w:val="000000"/>
          <w:szCs w:val="40"/>
          <w:lang w:eastAsia="bg-BG"/>
        </w:rPr>
        <w:t xml:space="preserve">или върху оцеляването и развитието на поколението </w:t>
      </w:r>
      <w:r w:rsidRPr="00D1791C">
        <w:rPr>
          <w:rFonts w:eastAsia="Times New Roman" w:cs="Arial"/>
          <w:color w:val="000000"/>
          <w:szCs w:val="40"/>
          <w:lang w:val="en-US"/>
        </w:rPr>
        <w:t>F</w:t>
      </w:r>
      <w:r w:rsidRPr="00D1791C">
        <w:rPr>
          <w:rFonts w:eastAsia="Times New Roman" w:cs="Arial"/>
          <w:color w:val="000000"/>
          <w:szCs w:val="40"/>
          <w:lang w:val="ru-RU"/>
        </w:rPr>
        <w:t xml:space="preserve">2 </w:t>
      </w:r>
      <w:r w:rsidRPr="00D1791C">
        <w:rPr>
          <w:rFonts w:eastAsia="Times New Roman" w:cs="Arial"/>
          <w:color w:val="000000"/>
          <w:szCs w:val="40"/>
          <w:lang w:eastAsia="bg-BG"/>
        </w:rPr>
        <w:t xml:space="preserve">след подкожно приложение на до 40 </w:t>
      </w:r>
      <w:r w:rsidRPr="00D1791C">
        <w:rPr>
          <w:rFonts w:eastAsia="Times New Roman" w:cs="Arial"/>
          <w:color w:val="000000"/>
          <w:szCs w:val="40"/>
          <w:lang w:val="en-US"/>
        </w:rPr>
        <w:t>mg</w:t>
      </w:r>
      <w:r w:rsidRPr="00D1791C">
        <w:rPr>
          <w:rFonts w:eastAsia="Times New Roman" w:cs="Arial"/>
          <w:color w:val="000000"/>
          <w:szCs w:val="40"/>
          <w:lang w:val="ru-RU"/>
        </w:rPr>
        <w:t>/</w:t>
      </w:r>
      <w:r w:rsidRPr="00D1791C">
        <w:rPr>
          <w:rFonts w:eastAsia="Times New Roman" w:cs="Arial"/>
          <w:color w:val="000000"/>
          <w:szCs w:val="40"/>
          <w:lang w:val="en-US"/>
        </w:rPr>
        <w:t>kg</w:t>
      </w:r>
      <w:r w:rsidRPr="00D1791C">
        <w:rPr>
          <w:rFonts w:eastAsia="Times New Roman" w:cs="Arial"/>
          <w:color w:val="000000"/>
          <w:szCs w:val="40"/>
          <w:lang w:eastAsia="bg-BG"/>
        </w:rPr>
        <w:t>/дневно.</w:t>
      </w:r>
    </w:p>
    <w:p w14:paraId="7C18A718" w14:textId="77777777" w:rsidR="00D1791C" w:rsidRPr="00D1791C" w:rsidRDefault="00D1791C" w:rsidP="00D1791C">
      <w:pPr>
        <w:spacing w:line="240" w:lineRule="auto"/>
        <w:rPr>
          <w:rFonts w:eastAsia="Times New Roman" w:cs="Arial"/>
          <w:color w:val="000000"/>
          <w:szCs w:val="40"/>
          <w:lang w:eastAsia="bg-BG"/>
        </w:rPr>
      </w:pPr>
    </w:p>
    <w:p w14:paraId="00605EE3" w14:textId="0C24D554" w:rsidR="00D1791C" w:rsidRPr="00D1791C" w:rsidRDefault="00D1791C" w:rsidP="00D1791C">
      <w:pPr>
        <w:spacing w:line="240" w:lineRule="auto"/>
        <w:rPr>
          <w:rFonts w:eastAsia="Times New Roman" w:cs="Arial"/>
          <w:sz w:val="14"/>
          <w:szCs w:val="24"/>
        </w:rPr>
      </w:pPr>
      <w:r w:rsidRPr="00D1791C">
        <w:rPr>
          <w:rFonts w:eastAsia="Times New Roman" w:cs="Arial"/>
          <w:color w:val="000000"/>
          <w:szCs w:val="40"/>
          <w:lang w:eastAsia="bg-BG"/>
        </w:rPr>
        <w:t>Тейкопланин не показва никакъв потенциал да предизвиква антигенност (при мишки, морски свинчета или зайци), генотоксичност или локално дразнене.</w:t>
      </w:r>
    </w:p>
    <w:p w14:paraId="026D73E6" w14:textId="33F85247" w:rsidR="00D1791C" w:rsidRPr="00D1791C" w:rsidRDefault="00D1791C" w:rsidP="00D1791C"/>
    <w:p w14:paraId="6A7820AB" w14:textId="5B240194" w:rsidR="008A6AF2" w:rsidRDefault="002C50EE" w:rsidP="00395555">
      <w:pPr>
        <w:pStyle w:val="Heading1"/>
      </w:pPr>
      <w:r>
        <w:t>7. ПРИТЕЖАТЕЛ НА РАЗРЕШЕНИЕТО ЗА УПОТРЕБА</w:t>
      </w:r>
    </w:p>
    <w:p w14:paraId="0F5D63DC" w14:textId="0CCCA147" w:rsidR="00D1791C" w:rsidRDefault="00D1791C" w:rsidP="00D1791C"/>
    <w:p w14:paraId="1B5273AA" w14:textId="77777777" w:rsidR="00D1791C" w:rsidRPr="00D1791C" w:rsidRDefault="00D1791C" w:rsidP="00D1791C">
      <w:pPr>
        <w:rPr>
          <w:sz w:val="24"/>
          <w:szCs w:val="24"/>
        </w:rPr>
      </w:pPr>
      <w:r w:rsidRPr="00D1791C">
        <w:rPr>
          <w:lang w:eastAsia="bg-BG"/>
        </w:rPr>
        <w:t>САНОФИ БЪЛГАРИЯ ЕООД</w:t>
      </w:r>
    </w:p>
    <w:p w14:paraId="452C0012" w14:textId="77777777" w:rsidR="00D1791C" w:rsidRPr="00D1791C" w:rsidRDefault="00D1791C" w:rsidP="00D1791C">
      <w:pPr>
        <w:rPr>
          <w:sz w:val="24"/>
          <w:szCs w:val="24"/>
        </w:rPr>
      </w:pPr>
      <w:r w:rsidRPr="00D1791C">
        <w:rPr>
          <w:lang w:eastAsia="bg-BG"/>
        </w:rPr>
        <w:t>бул. „Цариградско шосе” 90</w:t>
      </w:r>
    </w:p>
    <w:p w14:paraId="440B9F09" w14:textId="77777777" w:rsidR="00D1791C" w:rsidRPr="00D1791C" w:rsidRDefault="00D1791C" w:rsidP="00D1791C">
      <w:pPr>
        <w:rPr>
          <w:sz w:val="24"/>
          <w:szCs w:val="24"/>
        </w:rPr>
      </w:pPr>
      <w:r w:rsidRPr="00D1791C">
        <w:rPr>
          <w:lang w:eastAsia="bg-BG"/>
        </w:rPr>
        <w:t>гр. София 1784</w:t>
      </w:r>
    </w:p>
    <w:p w14:paraId="2153D6AB" w14:textId="0CE0F6B6" w:rsidR="00D1791C" w:rsidRPr="00D1791C" w:rsidRDefault="00D1791C" w:rsidP="00D1791C">
      <w:r w:rsidRPr="00D1791C">
        <w:rPr>
          <w:lang w:eastAsia="bg-BG"/>
        </w:rPr>
        <w:t>България</w:t>
      </w:r>
    </w:p>
    <w:p w14:paraId="04840D59" w14:textId="2D6560D0" w:rsidR="002C50EE" w:rsidRDefault="002C50EE" w:rsidP="00395555">
      <w:pPr>
        <w:pStyle w:val="Heading1"/>
      </w:pPr>
      <w:r>
        <w:t>8. НОМЕР НА РАЗРЕШЕНИЕТО ЗА УПОТРЕБА</w:t>
      </w:r>
    </w:p>
    <w:p w14:paraId="253FC3FC" w14:textId="1A4E6BC6" w:rsidR="00D1791C" w:rsidRDefault="00D1791C" w:rsidP="00D1791C"/>
    <w:p w14:paraId="4D893A82" w14:textId="71EBA10F" w:rsidR="00D1791C" w:rsidRPr="00D1791C" w:rsidRDefault="00D1791C" w:rsidP="00D1791C">
      <w:r>
        <w:t>9800051</w:t>
      </w:r>
    </w:p>
    <w:p w14:paraId="2CCB5832" w14:textId="778EBD8C" w:rsidR="007C605B" w:rsidRDefault="002C50EE" w:rsidP="007C605B">
      <w:pPr>
        <w:pStyle w:val="Heading1"/>
      </w:pPr>
      <w:r>
        <w:t>9. ДАТА НА ПЪРВО РАЗРЕШАВАНЕ/ПОДНОВЯВАНЕ НА РАЗРЕШЕНИЕТО ЗА УПОТРЕБА</w:t>
      </w:r>
    </w:p>
    <w:p w14:paraId="3A0AA2DD" w14:textId="4516CDA1" w:rsidR="00D1791C" w:rsidRDefault="00D1791C" w:rsidP="00D1791C"/>
    <w:p w14:paraId="16DB6F0F" w14:textId="40F62ED4" w:rsidR="00D1791C" w:rsidRPr="00D1791C" w:rsidRDefault="00D1791C" w:rsidP="00D1791C">
      <w:r>
        <w:t>20.02.1998 г./22.10.2015 г.</w:t>
      </w:r>
    </w:p>
    <w:p w14:paraId="0E9D0119" w14:textId="0245C6D7" w:rsidR="002C50EE" w:rsidRDefault="002C50EE" w:rsidP="002C50EE">
      <w:pPr>
        <w:pStyle w:val="Heading1"/>
      </w:pPr>
      <w:r>
        <w:t>10. ДАТА НА АКТУАЛИЗИРАНЕ НА ТЕКСТА</w:t>
      </w:r>
    </w:p>
    <w:bookmarkEnd w:id="0"/>
    <w:p w14:paraId="43FB38A2" w14:textId="5CE315F1" w:rsidR="007C605B" w:rsidRPr="003E3126" w:rsidRDefault="00D1791C" w:rsidP="00D1791C">
      <w:r>
        <w:t>31.01.2017 г.</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19B56CF"/>
    <w:multiLevelType w:val="multilevel"/>
    <w:tmpl w:val="6946006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83F01B7"/>
    <w:multiLevelType w:val="multilevel"/>
    <w:tmpl w:val="6946006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D34E07"/>
    <w:multiLevelType w:val="multilevel"/>
    <w:tmpl w:val="6946006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039F5"/>
    <w:multiLevelType w:val="multilevel"/>
    <w:tmpl w:val="6946006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2"/>
  </w:num>
  <w:num w:numId="8">
    <w:abstractNumId w:val="17"/>
  </w:num>
  <w:num w:numId="9">
    <w:abstractNumId w:val="2"/>
  </w:num>
  <w:num w:numId="10">
    <w:abstractNumId w:val="5"/>
  </w:num>
  <w:num w:numId="11">
    <w:abstractNumId w:val="31"/>
  </w:num>
  <w:num w:numId="12">
    <w:abstractNumId w:val="16"/>
  </w:num>
  <w:num w:numId="13">
    <w:abstractNumId w:val="21"/>
  </w:num>
  <w:num w:numId="14">
    <w:abstractNumId w:val="14"/>
  </w:num>
  <w:num w:numId="15">
    <w:abstractNumId w:val="30"/>
  </w:num>
  <w:num w:numId="16">
    <w:abstractNumId w:val="11"/>
  </w:num>
  <w:num w:numId="17">
    <w:abstractNumId w:val="26"/>
  </w:num>
  <w:num w:numId="18">
    <w:abstractNumId w:val="9"/>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2"/>
  </w:num>
  <w:num w:numId="28">
    <w:abstractNumId w:val="8"/>
  </w:num>
  <w:num w:numId="29">
    <w:abstractNumId w:val="22"/>
  </w:num>
  <w:num w:numId="30">
    <w:abstractNumId w:val="34"/>
  </w:num>
  <w:num w:numId="31">
    <w:abstractNumId w:val="7"/>
  </w:num>
  <w:num w:numId="32">
    <w:abstractNumId w:val="33"/>
  </w:num>
  <w:num w:numId="33">
    <w:abstractNumId w:val="4"/>
  </w:num>
  <w:num w:numId="34">
    <w:abstractNumId w:val="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125C3"/>
    <w:rsid w:val="002B3C38"/>
    <w:rsid w:val="002B4DBB"/>
    <w:rsid w:val="002C50EE"/>
    <w:rsid w:val="00340A0A"/>
    <w:rsid w:val="003765DC"/>
    <w:rsid w:val="00395555"/>
    <w:rsid w:val="003E3126"/>
    <w:rsid w:val="004D4D6B"/>
    <w:rsid w:val="00517A5B"/>
    <w:rsid w:val="00593A00"/>
    <w:rsid w:val="005A66D9"/>
    <w:rsid w:val="005F633D"/>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1791C"/>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4223</Words>
  <Characters>24075</Characters>
  <Application>Microsoft Office Word</Application>
  <DocSecurity>0</DocSecurity>
  <Lines>200</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2021-11-22T15:08:00Z</dcterms:created>
  <dcterms:modified xsi:type="dcterms:W3CDTF">2021-11-22T15:08:00Z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