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1195A40A" w:rsidR="00DB32D3" w:rsidRDefault="00DD466D" w:rsidP="005726E3">
      <w:pPr>
        <w:pStyle w:val="Heading1"/>
      </w:pPr>
      <w:r>
        <w:t>1.ИМЕ НА ЛЕКАРСТВЕНИЯ ПРОДУКТ</w:t>
      </w:r>
    </w:p>
    <w:p w14:paraId="34C2C191" w14:textId="2E88986A" w:rsidR="003B7EC9" w:rsidRDefault="003B7EC9" w:rsidP="003B7EC9"/>
    <w:p w14:paraId="33DAB1D0" w14:textId="77777777" w:rsidR="003B7EC9" w:rsidRPr="003B7EC9" w:rsidRDefault="003B7EC9" w:rsidP="003B7EC9">
      <w:pPr>
        <w:rPr>
          <w:sz w:val="24"/>
          <w:szCs w:val="24"/>
        </w:rPr>
      </w:pPr>
      <w:r w:rsidRPr="003B7EC9">
        <w:rPr>
          <w:lang w:eastAsia="bg-BG"/>
        </w:rPr>
        <w:t xml:space="preserve">Телфорт 80 </w:t>
      </w:r>
      <w:r w:rsidRPr="003B7EC9">
        <w:rPr>
          <w:lang w:val="en-US"/>
        </w:rPr>
        <w:t>mg</w:t>
      </w:r>
      <w:r w:rsidRPr="003B7EC9">
        <w:t xml:space="preserve">/5 </w:t>
      </w:r>
      <w:r w:rsidRPr="003B7EC9">
        <w:rPr>
          <w:lang w:val="en-US"/>
        </w:rPr>
        <w:t>mg</w:t>
      </w:r>
      <w:r w:rsidRPr="003B7EC9">
        <w:t xml:space="preserve"> </w:t>
      </w:r>
      <w:r w:rsidRPr="003B7EC9">
        <w:rPr>
          <w:lang w:eastAsia="bg-BG"/>
        </w:rPr>
        <w:t>таблетки</w:t>
      </w:r>
    </w:p>
    <w:p w14:paraId="67E436D3" w14:textId="77777777" w:rsidR="003B7EC9" w:rsidRPr="003B7EC9" w:rsidRDefault="003B7EC9" w:rsidP="003B7EC9">
      <w:pPr>
        <w:rPr>
          <w:sz w:val="24"/>
          <w:szCs w:val="24"/>
        </w:rPr>
      </w:pPr>
      <w:proofErr w:type="spellStart"/>
      <w:r w:rsidRPr="003B7EC9">
        <w:rPr>
          <w:lang w:val="en-US"/>
        </w:rPr>
        <w:t>Telfort</w:t>
      </w:r>
      <w:proofErr w:type="spellEnd"/>
      <w:r w:rsidRPr="003B7EC9">
        <w:t xml:space="preserve"> </w:t>
      </w:r>
      <w:r w:rsidRPr="003B7EC9">
        <w:rPr>
          <w:lang w:eastAsia="bg-BG"/>
        </w:rPr>
        <w:t xml:space="preserve">80 </w:t>
      </w:r>
      <w:r w:rsidRPr="003B7EC9">
        <w:rPr>
          <w:lang w:val="en-US"/>
        </w:rPr>
        <w:t>mg</w:t>
      </w:r>
      <w:r w:rsidRPr="003B7EC9">
        <w:t xml:space="preserve">/5 </w:t>
      </w:r>
      <w:r w:rsidRPr="003B7EC9">
        <w:rPr>
          <w:lang w:val="en-US"/>
        </w:rPr>
        <w:t>mg</w:t>
      </w:r>
      <w:r w:rsidRPr="003B7EC9">
        <w:t xml:space="preserve"> </w:t>
      </w:r>
      <w:r w:rsidRPr="003B7EC9">
        <w:rPr>
          <w:lang w:val="en-US"/>
        </w:rPr>
        <w:t>tablets</w:t>
      </w:r>
    </w:p>
    <w:p w14:paraId="494BF1F3" w14:textId="77777777" w:rsidR="003B7EC9" w:rsidRPr="003B7EC9" w:rsidRDefault="003B7EC9" w:rsidP="003B7EC9"/>
    <w:p w14:paraId="48E6CABE" w14:textId="39183AAF" w:rsidR="00DB32D3" w:rsidRDefault="00DD466D" w:rsidP="005726E3">
      <w:pPr>
        <w:pStyle w:val="Heading1"/>
      </w:pPr>
      <w:r>
        <w:t>2. КАЧЕСТВЕН И КОЛИЧЕСТВЕН СЪСТАВ</w:t>
      </w:r>
    </w:p>
    <w:p w14:paraId="719012FA" w14:textId="3F3504FF" w:rsidR="003B7EC9" w:rsidRDefault="003B7EC9" w:rsidP="003B7EC9"/>
    <w:p w14:paraId="20FB01D4"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 xml:space="preserve">Телфорт 80 </w:t>
      </w:r>
      <w:r w:rsidRPr="003B7EC9">
        <w:rPr>
          <w:rFonts w:eastAsia="Times New Roman" w:cs="Arial"/>
          <w:bCs/>
          <w:color w:val="000000"/>
          <w:szCs w:val="20"/>
          <w:lang w:val="en-US"/>
        </w:rPr>
        <w:t>mg</w:t>
      </w:r>
      <w:r w:rsidRPr="003B7EC9">
        <w:rPr>
          <w:rFonts w:eastAsia="Times New Roman" w:cs="Arial"/>
          <w:bCs/>
          <w:color w:val="000000"/>
          <w:szCs w:val="20"/>
        </w:rPr>
        <w:t xml:space="preserve">6 </w:t>
      </w:r>
      <w:r w:rsidRPr="003B7EC9">
        <w:rPr>
          <w:rFonts w:eastAsia="Times New Roman" w:cs="Arial"/>
          <w:bCs/>
          <w:color w:val="000000"/>
          <w:szCs w:val="20"/>
          <w:lang w:val="en-US"/>
        </w:rPr>
        <w:t>mg</w:t>
      </w:r>
      <w:r w:rsidRPr="003B7EC9">
        <w:rPr>
          <w:rFonts w:eastAsia="Times New Roman" w:cs="Arial"/>
          <w:bCs/>
          <w:color w:val="000000"/>
          <w:szCs w:val="20"/>
        </w:rPr>
        <w:t xml:space="preserve"> </w:t>
      </w:r>
      <w:r w:rsidRPr="003B7EC9">
        <w:rPr>
          <w:rFonts w:eastAsia="Times New Roman" w:cs="Arial"/>
          <w:bCs/>
          <w:color w:val="000000"/>
          <w:szCs w:val="20"/>
          <w:lang w:eastAsia="bg-BG"/>
        </w:rPr>
        <w:t xml:space="preserve">таблетки: всяка таблетка съдържа 80 </w:t>
      </w:r>
      <w:r w:rsidRPr="003B7EC9">
        <w:rPr>
          <w:rFonts w:eastAsia="Times New Roman" w:cs="Arial"/>
          <w:bCs/>
          <w:color w:val="000000"/>
          <w:szCs w:val="20"/>
          <w:lang w:val="en-US"/>
        </w:rPr>
        <w:t>mg</w:t>
      </w:r>
      <w:r w:rsidRPr="003B7EC9">
        <w:rPr>
          <w:rFonts w:eastAsia="Times New Roman" w:cs="Arial"/>
          <w:bCs/>
          <w:color w:val="000000"/>
          <w:szCs w:val="20"/>
        </w:rPr>
        <w:t xml:space="preserve"> </w:t>
      </w:r>
      <w:r w:rsidRPr="003B7EC9">
        <w:rPr>
          <w:rFonts w:eastAsia="Times New Roman" w:cs="Arial"/>
          <w:bCs/>
          <w:color w:val="000000"/>
          <w:szCs w:val="20"/>
          <w:lang w:eastAsia="bg-BG"/>
        </w:rPr>
        <w:t xml:space="preserve">телмисартан </w:t>
      </w:r>
      <w:r w:rsidRPr="003B7EC9">
        <w:rPr>
          <w:rFonts w:eastAsia="Times New Roman" w:cs="Arial"/>
          <w:bCs/>
          <w:color w:val="000000"/>
          <w:szCs w:val="20"/>
        </w:rPr>
        <w:t>(</w:t>
      </w:r>
      <w:proofErr w:type="spellStart"/>
      <w:r w:rsidRPr="003B7EC9">
        <w:rPr>
          <w:rFonts w:eastAsia="Times New Roman" w:cs="Arial"/>
          <w:bCs/>
          <w:color w:val="000000"/>
          <w:szCs w:val="20"/>
          <w:lang w:val="en-US"/>
        </w:rPr>
        <w:t>telmisartan</w:t>
      </w:r>
      <w:proofErr w:type="spellEnd"/>
      <w:r w:rsidRPr="003B7EC9">
        <w:rPr>
          <w:rFonts w:eastAsia="Times New Roman" w:cs="Arial"/>
          <w:bCs/>
          <w:color w:val="000000"/>
          <w:szCs w:val="20"/>
        </w:rPr>
        <w:t xml:space="preserve">) </w:t>
      </w:r>
      <w:r w:rsidRPr="003B7EC9">
        <w:rPr>
          <w:rFonts w:eastAsia="Times New Roman" w:cs="Arial"/>
          <w:bCs/>
          <w:color w:val="000000"/>
          <w:szCs w:val="20"/>
          <w:lang w:eastAsia="bg-BG"/>
        </w:rPr>
        <w:t xml:space="preserve">и 5 </w:t>
      </w:r>
      <w:r w:rsidRPr="003B7EC9">
        <w:rPr>
          <w:rFonts w:eastAsia="Times New Roman" w:cs="Arial"/>
          <w:bCs/>
          <w:color w:val="000000"/>
          <w:szCs w:val="20"/>
          <w:lang w:val="en-US"/>
        </w:rPr>
        <w:t>mg</w:t>
      </w:r>
      <w:r w:rsidRPr="003B7EC9">
        <w:rPr>
          <w:rFonts w:eastAsia="Times New Roman" w:cs="Arial"/>
          <w:bCs/>
          <w:color w:val="000000"/>
          <w:szCs w:val="20"/>
        </w:rPr>
        <w:t xml:space="preserve"> </w:t>
      </w:r>
      <w:r w:rsidRPr="003B7EC9">
        <w:rPr>
          <w:rFonts w:eastAsia="Times New Roman" w:cs="Arial"/>
          <w:bCs/>
          <w:color w:val="000000"/>
          <w:szCs w:val="20"/>
          <w:lang w:eastAsia="bg-BG"/>
        </w:rPr>
        <w:t xml:space="preserve">амлодипин </w:t>
      </w:r>
      <w:r w:rsidRPr="003B7EC9">
        <w:rPr>
          <w:rFonts w:eastAsia="Times New Roman" w:cs="Arial"/>
          <w:bCs/>
          <w:color w:val="000000"/>
          <w:szCs w:val="20"/>
        </w:rPr>
        <w:t>(</w:t>
      </w:r>
      <w:r w:rsidRPr="003B7EC9">
        <w:rPr>
          <w:rFonts w:eastAsia="Times New Roman" w:cs="Arial"/>
          <w:bCs/>
          <w:color w:val="000000"/>
          <w:szCs w:val="20"/>
          <w:lang w:val="en-US"/>
        </w:rPr>
        <w:t>amlodipine</w:t>
      </w:r>
      <w:r w:rsidRPr="003B7EC9">
        <w:rPr>
          <w:rFonts w:eastAsia="Times New Roman" w:cs="Arial"/>
          <w:bCs/>
          <w:color w:val="000000"/>
          <w:szCs w:val="20"/>
        </w:rPr>
        <w:t xml:space="preserve">) </w:t>
      </w:r>
      <w:r w:rsidRPr="003B7EC9">
        <w:rPr>
          <w:rFonts w:eastAsia="Times New Roman" w:cs="Arial"/>
          <w:bCs/>
          <w:color w:val="000000"/>
          <w:szCs w:val="20"/>
          <w:lang w:eastAsia="bg-BG"/>
        </w:rPr>
        <w:t>(като амлодипинов безилат).</w:t>
      </w:r>
    </w:p>
    <w:p w14:paraId="519E957E" w14:textId="77777777" w:rsidR="003B7EC9" w:rsidRPr="003B7EC9" w:rsidRDefault="003B7EC9" w:rsidP="003B7EC9">
      <w:pPr>
        <w:spacing w:line="240" w:lineRule="auto"/>
        <w:rPr>
          <w:rFonts w:eastAsia="Times New Roman" w:cs="Arial"/>
          <w:bCs/>
          <w:color w:val="000000"/>
          <w:szCs w:val="20"/>
          <w:u w:val="single"/>
          <w:lang w:eastAsia="bg-BG"/>
        </w:rPr>
      </w:pPr>
    </w:p>
    <w:p w14:paraId="5881E6A6" w14:textId="1261EBC5"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u w:val="single"/>
          <w:lang w:eastAsia="bg-BG"/>
        </w:rPr>
        <w:t>Помощни вещества с известен ефект:</w:t>
      </w:r>
    </w:p>
    <w:p w14:paraId="0A7A56D5"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 xml:space="preserve">Телфорт 80 </w:t>
      </w:r>
      <w:r w:rsidRPr="003B7EC9">
        <w:rPr>
          <w:rFonts w:eastAsia="Times New Roman" w:cs="Arial"/>
          <w:bCs/>
          <w:color w:val="000000"/>
          <w:szCs w:val="20"/>
          <w:lang w:val="en-US"/>
        </w:rPr>
        <w:t>mg</w:t>
      </w:r>
      <w:r w:rsidRPr="003B7EC9">
        <w:rPr>
          <w:rFonts w:eastAsia="Times New Roman" w:cs="Arial"/>
          <w:bCs/>
          <w:color w:val="000000"/>
          <w:szCs w:val="20"/>
        </w:rPr>
        <w:t xml:space="preserve">/5 </w:t>
      </w:r>
      <w:r w:rsidRPr="003B7EC9">
        <w:rPr>
          <w:rFonts w:eastAsia="Times New Roman" w:cs="Arial"/>
          <w:bCs/>
          <w:color w:val="000000"/>
          <w:szCs w:val="20"/>
          <w:lang w:val="en-US"/>
        </w:rPr>
        <w:t>mg</w:t>
      </w:r>
      <w:r w:rsidRPr="003B7EC9">
        <w:rPr>
          <w:rFonts w:eastAsia="Times New Roman" w:cs="Arial"/>
          <w:bCs/>
          <w:color w:val="000000"/>
          <w:szCs w:val="20"/>
        </w:rPr>
        <w:t xml:space="preserve">: </w:t>
      </w:r>
      <w:r w:rsidRPr="003B7EC9">
        <w:rPr>
          <w:rFonts w:eastAsia="Times New Roman" w:cs="Arial"/>
          <w:bCs/>
          <w:color w:val="000000"/>
          <w:szCs w:val="20"/>
          <w:lang w:eastAsia="bg-BG"/>
        </w:rPr>
        <w:t xml:space="preserve">Всяка таблетка съдържа 320,4 </w:t>
      </w:r>
      <w:r w:rsidRPr="003B7EC9">
        <w:rPr>
          <w:rFonts w:eastAsia="Times New Roman" w:cs="Arial"/>
          <w:bCs/>
          <w:color w:val="000000"/>
          <w:szCs w:val="20"/>
          <w:lang w:val="en-US"/>
        </w:rPr>
        <w:t>mg</w:t>
      </w:r>
      <w:r w:rsidRPr="003B7EC9">
        <w:rPr>
          <w:rFonts w:eastAsia="Times New Roman" w:cs="Arial"/>
          <w:bCs/>
          <w:color w:val="000000"/>
          <w:szCs w:val="20"/>
        </w:rPr>
        <w:t xml:space="preserve"> </w:t>
      </w:r>
      <w:r w:rsidRPr="003B7EC9">
        <w:rPr>
          <w:rFonts w:eastAsia="Times New Roman" w:cs="Arial"/>
          <w:bCs/>
          <w:color w:val="000000"/>
          <w:szCs w:val="20"/>
          <w:lang w:eastAsia="bg-BG"/>
        </w:rPr>
        <w:t>сорбитол.</w:t>
      </w:r>
    </w:p>
    <w:p w14:paraId="700D6DFF" w14:textId="77777777" w:rsidR="003B7EC9" w:rsidRPr="003B7EC9" w:rsidRDefault="003B7EC9" w:rsidP="003B7EC9"/>
    <w:p w14:paraId="614984C4" w14:textId="39FD24EC" w:rsidR="008A6AF2" w:rsidRDefault="00DD466D" w:rsidP="002C50EE">
      <w:pPr>
        <w:pStyle w:val="Heading1"/>
      </w:pPr>
      <w:r>
        <w:t>3. ЛЕКАРСТВЕНА ФОРМА</w:t>
      </w:r>
    </w:p>
    <w:p w14:paraId="3F7E4222" w14:textId="69BBE85E" w:rsidR="003B7EC9" w:rsidRDefault="003B7EC9" w:rsidP="003B7EC9"/>
    <w:p w14:paraId="05007205"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Таблетка</w:t>
      </w:r>
    </w:p>
    <w:p w14:paraId="5DE2C55D" w14:textId="77777777" w:rsidR="003B7EC9" w:rsidRPr="003B7EC9" w:rsidRDefault="003B7EC9" w:rsidP="003B7EC9">
      <w:pPr>
        <w:spacing w:line="240" w:lineRule="auto"/>
        <w:rPr>
          <w:rFonts w:eastAsia="Times New Roman" w:cs="Arial"/>
          <w:bCs/>
          <w:color w:val="000000"/>
          <w:szCs w:val="20"/>
          <w:lang w:eastAsia="bg-BG"/>
        </w:rPr>
      </w:pPr>
    </w:p>
    <w:p w14:paraId="7D22D14D" w14:textId="79877D6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 xml:space="preserve">Телфорт 80 </w:t>
      </w:r>
      <w:r w:rsidRPr="003B7EC9">
        <w:rPr>
          <w:rFonts w:eastAsia="Times New Roman" w:cs="Arial"/>
          <w:bCs/>
          <w:color w:val="000000"/>
          <w:szCs w:val="20"/>
          <w:lang w:val="en-US"/>
        </w:rPr>
        <w:t>mg</w:t>
      </w:r>
      <w:r w:rsidRPr="003B7EC9">
        <w:rPr>
          <w:rFonts w:eastAsia="Times New Roman" w:cs="Arial"/>
          <w:bCs/>
          <w:color w:val="000000"/>
          <w:szCs w:val="20"/>
          <w:lang w:val="ru-RU"/>
        </w:rPr>
        <w:t xml:space="preserve">/5 </w:t>
      </w:r>
      <w:r w:rsidRPr="003B7EC9">
        <w:rPr>
          <w:rFonts w:eastAsia="Times New Roman" w:cs="Arial"/>
          <w:bCs/>
          <w:color w:val="000000"/>
          <w:szCs w:val="20"/>
          <w:lang w:val="en-US"/>
        </w:rPr>
        <w:t>mg</w:t>
      </w:r>
      <w:r w:rsidRPr="003B7EC9">
        <w:rPr>
          <w:rFonts w:eastAsia="Times New Roman" w:cs="Arial"/>
          <w:bCs/>
          <w:color w:val="000000"/>
          <w:szCs w:val="20"/>
          <w:lang w:val="ru-RU"/>
        </w:rPr>
        <w:t xml:space="preserve">: </w:t>
      </w:r>
      <w:r w:rsidRPr="003B7EC9">
        <w:rPr>
          <w:rFonts w:eastAsia="Times New Roman" w:cs="Arial"/>
          <w:bCs/>
          <w:color w:val="000000"/>
          <w:szCs w:val="20"/>
          <w:lang w:eastAsia="bg-BG"/>
        </w:rPr>
        <w:t xml:space="preserve">бели до жълтеникави, продълговати, двойно изпъкнали таблетки с размери от 18,5 х 8,5 </w:t>
      </w:r>
      <w:r w:rsidRPr="003B7EC9">
        <w:rPr>
          <w:rFonts w:eastAsia="Times New Roman" w:cs="Arial"/>
          <w:bCs/>
          <w:color w:val="000000"/>
          <w:szCs w:val="20"/>
          <w:lang w:val="en-US"/>
        </w:rPr>
        <w:t>mm</w:t>
      </w:r>
      <w:r w:rsidRPr="003B7EC9">
        <w:rPr>
          <w:rFonts w:eastAsia="Times New Roman" w:cs="Arial"/>
          <w:bCs/>
          <w:color w:val="000000"/>
          <w:szCs w:val="20"/>
          <w:lang w:val="ru-RU"/>
        </w:rPr>
        <w:t xml:space="preserve"> </w:t>
      </w:r>
      <w:r w:rsidRPr="003B7EC9">
        <w:rPr>
          <w:rFonts w:eastAsia="Times New Roman" w:cs="Arial"/>
          <w:bCs/>
          <w:color w:val="000000"/>
          <w:szCs w:val="20"/>
          <w:lang w:eastAsia="bg-BG"/>
        </w:rPr>
        <w:t>и гравиран надпис ”80" "5" от едната страна на таблетката.</w:t>
      </w:r>
    </w:p>
    <w:p w14:paraId="3BC46C9C"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Делителната черта не е предназначена за счупване на таблетката.</w:t>
      </w:r>
    </w:p>
    <w:p w14:paraId="68CE4C11" w14:textId="77777777" w:rsidR="003B7EC9" w:rsidRPr="003B7EC9" w:rsidRDefault="003B7EC9" w:rsidP="003B7EC9"/>
    <w:p w14:paraId="490FC2C4" w14:textId="6899DE43" w:rsidR="002C50EE" w:rsidRDefault="002C50EE" w:rsidP="002C50EE">
      <w:pPr>
        <w:pStyle w:val="Heading1"/>
      </w:pPr>
      <w:r>
        <w:t>4. КЛИНИЧНИ ДАННИ</w:t>
      </w:r>
    </w:p>
    <w:p w14:paraId="0771830A" w14:textId="591DC7FC" w:rsidR="00DB32D3" w:rsidRDefault="002C50EE" w:rsidP="005726E3">
      <w:pPr>
        <w:pStyle w:val="Heading2"/>
      </w:pPr>
      <w:r>
        <w:t>4.1. Терапевтични показания</w:t>
      </w:r>
    </w:p>
    <w:p w14:paraId="668DFDE3" w14:textId="7051EA84" w:rsidR="003B7EC9" w:rsidRDefault="003B7EC9" w:rsidP="003B7EC9"/>
    <w:p w14:paraId="119ED03A" w14:textId="670FF4F9" w:rsidR="003B7EC9" w:rsidRDefault="003B7EC9" w:rsidP="003B7EC9">
      <w:pPr>
        <w:rPr>
          <w:lang w:eastAsia="bg-BG"/>
        </w:rPr>
      </w:pPr>
      <w:r w:rsidRPr="003B7EC9">
        <w:rPr>
          <w:lang w:eastAsia="bg-BG"/>
        </w:rPr>
        <w:t>Телфорт е показан като заместваща терапия при възрастни пациенти с есенциална хипертония, на които кръвното налягане, е адекватно контролирано с комбинацията телмисартан и амлодипин, прилагани едновременно в същото лозово ниво.</w:t>
      </w:r>
    </w:p>
    <w:p w14:paraId="6A35CFF1" w14:textId="77777777" w:rsidR="003B7EC9" w:rsidRPr="003B7EC9" w:rsidRDefault="003B7EC9" w:rsidP="003B7EC9">
      <w:pPr>
        <w:rPr>
          <w:sz w:val="24"/>
          <w:szCs w:val="24"/>
        </w:rPr>
      </w:pPr>
    </w:p>
    <w:p w14:paraId="7647A102" w14:textId="45DE4343" w:rsidR="00DB32D3" w:rsidRDefault="002C50EE" w:rsidP="005726E3">
      <w:pPr>
        <w:pStyle w:val="Heading2"/>
      </w:pPr>
      <w:r>
        <w:t>4.2. Дозировка и начин на приложение</w:t>
      </w:r>
    </w:p>
    <w:p w14:paraId="7AC735DB" w14:textId="2D774870" w:rsidR="003B7EC9" w:rsidRPr="003B7EC9" w:rsidRDefault="003B7EC9" w:rsidP="003B7EC9">
      <w:pPr>
        <w:rPr>
          <w:rFonts w:cs="Arial"/>
          <w:sz w:val="24"/>
        </w:rPr>
      </w:pPr>
    </w:p>
    <w:p w14:paraId="31CC1840" w14:textId="77777777" w:rsidR="003B7EC9" w:rsidRPr="003B7EC9" w:rsidRDefault="003B7EC9" w:rsidP="003B7EC9">
      <w:pPr>
        <w:pStyle w:val="Heading3"/>
        <w:rPr>
          <w:rFonts w:eastAsia="Times New Roman"/>
          <w:sz w:val="28"/>
          <w:u w:val="single"/>
        </w:rPr>
      </w:pPr>
      <w:r w:rsidRPr="003B7EC9">
        <w:rPr>
          <w:rFonts w:eastAsia="Times New Roman"/>
          <w:u w:val="single"/>
          <w:lang w:eastAsia="bg-BG"/>
        </w:rPr>
        <w:t>Дозировка</w:t>
      </w:r>
    </w:p>
    <w:p w14:paraId="7DCB0FFC"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Пациентите, приемащи амлодипин и телмисартан като отделни таблетки, могат да приемат таблетки Телфорт съдържащи същите дози на отделните компоненти. Пациентите трябва да използват концентрацията, съответстваща на предишното им лечение.</w:t>
      </w:r>
    </w:p>
    <w:p w14:paraId="3ADB13EF" w14:textId="77777777" w:rsidR="003B7EC9" w:rsidRPr="003B7EC9" w:rsidRDefault="003B7EC9" w:rsidP="003B7EC9">
      <w:pPr>
        <w:spacing w:line="240" w:lineRule="auto"/>
        <w:rPr>
          <w:rFonts w:eastAsia="Times New Roman" w:cs="Arial"/>
          <w:bCs/>
          <w:color w:val="000000"/>
          <w:szCs w:val="20"/>
          <w:lang w:eastAsia="bg-BG"/>
        </w:rPr>
      </w:pPr>
    </w:p>
    <w:p w14:paraId="72313459" w14:textId="4877E6B9"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Препоръчваната доза е една таблетка Телфорт дневно.</w:t>
      </w:r>
    </w:p>
    <w:p w14:paraId="5518F86E" w14:textId="77777777" w:rsidR="003B7EC9" w:rsidRPr="003B7EC9" w:rsidRDefault="003B7EC9" w:rsidP="003B7EC9">
      <w:pPr>
        <w:spacing w:line="240" w:lineRule="auto"/>
        <w:rPr>
          <w:rFonts w:eastAsia="Times New Roman" w:cs="Arial"/>
          <w:bCs/>
          <w:color w:val="000000"/>
          <w:szCs w:val="20"/>
          <w:lang w:eastAsia="bg-BG"/>
        </w:rPr>
      </w:pPr>
    </w:p>
    <w:p w14:paraId="64B239A2" w14:textId="019891AB"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 xml:space="preserve">Максималната дневна доза Телфорт е 80 </w:t>
      </w:r>
      <w:r w:rsidRPr="003B7EC9">
        <w:rPr>
          <w:rFonts w:eastAsia="Times New Roman" w:cs="Arial"/>
          <w:bCs/>
          <w:color w:val="000000"/>
          <w:szCs w:val="20"/>
          <w:lang w:val="en-US"/>
        </w:rPr>
        <w:t>mg</w:t>
      </w:r>
      <w:r w:rsidRPr="003B7EC9">
        <w:rPr>
          <w:rFonts w:eastAsia="Times New Roman" w:cs="Arial"/>
          <w:bCs/>
          <w:color w:val="000000"/>
          <w:szCs w:val="20"/>
          <w:lang w:val="ru-RU"/>
        </w:rPr>
        <w:t xml:space="preserve">/10 </w:t>
      </w:r>
      <w:r w:rsidRPr="003B7EC9">
        <w:rPr>
          <w:rFonts w:eastAsia="Times New Roman" w:cs="Arial"/>
          <w:bCs/>
          <w:color w:val="000000"/>
          <w:szCs w:val="20"/>
          <w:lang w:val="en-US"/>
        </w:rPr>
        <w:t>mg</w:t>
      </w:r>
      <w:r w:rsidRPr="003B7EC9">
        <w:rPr>
          <w:rFonts w:eastAsia="Times New Roman" w:cs="Arial"/>
          <w:bCs/>
          <w:color w:val="000000"/>
          <w:szCs w:val="20"/>
          <w:lang w:val="ru-RU"/>
        </w:rPr>
        <w:t xml:space="preserve"> </w:t>
      </w:r>
      <w:r w:rsidRPr="003B7EC9">
        <w:rPr>
          <w:rFonts w:eastAsia="Times New Roman" w:cs="Arial"/>
          <w:bCs/>
          <w:color w:val="000000"/>
          <w:szCs w:val="20"/>
          <w:lang w:eastAsia="bg-BG"/>
        </w:rPr>
        <w:t>един път дневно.</w:t>
      </w:r>
    </w:p>
    <w:p w14:paraId="2459ED12"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lastRenderedPageBreak/>
        <w:t xml:space="preserve">Максималната дневна доза от телмисартан е 80 </w:t>
      </w:r>
      <w:r w:rsidRPr="003B7EC9">
        <w:rPr>
          <w:rFonts w:eastAsia="Times New Roman" w:cs="Arial"/>
          <w:bCs/>
          <w:color w:val="000000"/>
          <w:szCs w:val="20"/>
          <w:lang w:val="en-US"/>
        </w:rPr>
        <w:t>mg</w:t>
      </w:r>
      <w:r w:rsidRPr="003B7EC9">
        <w:rPr>
          <w:rFonts w:eastAsia="Times New Roman" w:cs="Arial"/>
          <w:bCs/>
          <w:color w:val="000000"/>
          <w:szCs w:val="20"/>
          <w:lang w:val="ru-RU"/>
        </w:rPr>
        <w:t xml:space="preserve"> </w:t>
      </w:r>
      <w:r w:rsidRPr="003B7EC9">
        <w:rPr>
          <w:rFonts w:eastAsia="Times New Roman" w:cs="Arial"/>
          <w:bCs/>
          <w:color w:val="000000"/>
          <w:szCs w:val="20"/>
          <w:lang w:eastAsia="bg-BG"/>
        </w:rPr>
        <w:t xml:space="preserve">и максималната дневна доза от амлодипин е 10 </w:t>
      </w:r>
      <w:r w:rsidRPr="003B7EC9">
        <w:rPr>
          <w:rFonts w:eastAsia="Times New Roman" w:cs="Arial"/>
          <w:bCs/>
          <w:color w:val="000000"/>
          <w:szCs w:val="20"/>
          <w:lang w:val="en-US"/>
        </w:rPr>
        <w:t>mg</w:t>
      </w:r>
      <w:r w:rsidRPr="003B7EC9">
        <w:rPr>
          <w:rFonts w:eastAsia="Times New Roman" w:cs="Arial"/>
          <w:bCs/>
          <w:color w:val="000000"/>
          <w:szCs w:val="20"/>
          <w:lang w:val="ru-RU"/>
        </w:rPr>
        <w:t>.</w:t>
      </w:r>
    </w:p>
    <w:p w14:paraId="1712EF63" w14:textId="77777777" w:rsidR="003B7EC9" w:rsidRPr="003B7EC9" w:rsidRDefault="003B7EC9" w:rsidP="003B7EC9">
      <w:pPr>
        <w:spacing w:line="240" w:lineRule="auto"/>
        <w:rPr>
          <w:rFonts w:eastAsia="Times New Roman" w:cs="Arial"/>
          <w:bCs/>
          <w:i/>
          <w:iCs/>
          <w:color w:val="000000"/>
          <w:szCs w:val="20"/>
          <w:u w:val="single"/>
          <w:lang w:eastAsia="bg-BG"/>
        </w:rPr>
      </w:pPr>
    </w:p>
    <w:p w14:paraId="28E890A0" w14:textId="39FF6D5A" w:rsidR="003B7EC9" w:rsidRPr="003B7EC9" w:rsidRDefault="003B7EC9" w:rsidP="003B7EC9">
      <w:pPr>
        <w:spacing w:line="240" w:lineRule="auto"/>
        <w:rPr>
          <w:rFonts w:eastAsia="Times New Roman" w:cs="Arial"/>
          <w:sz w:val="28"/>
          <w:szCs w:val="24"/>
        </w:rPr>
      </w:pPr>
      <w:r w:rsidRPr="003B7EC9">
        <w:rPr>
          <w:rFonts w:eastAsia="Times New Roman" w:cs="Arial"/>
          <w:bCs/>
          <w:i/>
          <w:iCs/>
          <w:color w:val="000000"/>
          <w:szCs w:val="20"/>
          <w:u w:val="single"/>
          <w:lang w:eastAsia="bg-BG"/>
        </w:rPr>
        <w:t>Специални популации</w:t>
      </w:r>
    </w:p>
    <w:p w14:paraId="7634F0A8" w14:textId="77777777" w:rsidR="003B7EC9" w:rsidRPr="003B7EC9" w:rsidRDefault="003B7EC9" w:rsidP="003B7EC9">
      <w:pPr>
        <w:spacing w:line="240" w:lineRule="auto"/>
        <w:rPr>
          <w:rFonts w:eastAsia="Times New Roman" w:cs="Arial"/>
          <w:bCs/>
          <w:i/>
          <w:iCs/>
          <w:color w:val="000000"/>
          <w:szCs w:val="20"/>
          <w:lang w:eastAsia="bg-BG"/>
        </w:rPr>
      </w:pPr>
    </w:p>
    <w:p w14:paraId="7D010FBB" w14:textId="4C766CB3" w:rsidR="003B7EC9" w:rsidRPr="003B7EC9" w:rsidRDefault="003B7EC9" w:rsidP="003B7EC9">
      <w:pPr>
        <w:spacing w:line="240" w:lineRule="auto"/>
        <w:rPr>
          <w:rFonts w:eastAsia="Times New Roman" w:cs="Arial"/>
          <w:sz w:val="28"/>
          <w:szCs w:val="24"/>
        </w:rPr>
      </w:pPr>
      <w:r w:rsidRPr="003B7EC9">
        <w:rPr>
          <w:rFonts w:eastAsia="Times New Roman" w:cs="Arial"/>
          <w:bCs/>
          <w:i/>
          <w:iCs/>
          <w:color w:val="000000"/>
          <w:szCs w:val="20"/>
          <w:lang w:eastAsia="bg-BG"/>
        </w:rPr>
        <w:t>Старческа възраст</w:t>
      </w:r>
    </w:p>
    <w:p w14:paraId="5422BC24" w14:textId="24CA5C00"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Не се налага при пациенти в напреднала възраст корекция на дозата. Повишаването на дозата</w:t>
      </w:r>
      <w:r>
        <w:rPr>
          <w:rFonts w:eastAsia="Times New Roman" w:cs="Arial"/>
          <w:sz w:val="28"/>
          <w:szCs w:val="24"/>
        </w:rPr>
        <w:t xml:space="preserve"> </w:t>
      </w:r>
      <w:r w:rsidRPr="003B7EC9">
        <w:rPr>
          <w:rFonts w:eastAsia="Times New Roman" w:cs="Arial"/>
          <w:bCs/>
          <w:color w:val="000000"/>
          <w:szCs w:val="20"/>
          <w:lang w:eastAsia="bg-BG"/>
        </w:rPr>
        <w:t>трябва да се извършва с повишено внимание (вж. точки 4.4 и 5.2). Малко е информацията за</w:t>
      </w:r>
      <w:r>
        <w:rPr>
          <w:rFonts w:eastAsia="Times New Roman" w:cs="Arial"/>
          <w:sz w:val="28"/>
          <w:szCs w:val="24"/>
        </w:rPr>
        <w:t xml:space="preserve"> </w:t>
      </w:r>
      <w:r w:rsidRPr="003B7EC9">
        <w:rPr>
          <w:rFonts w:eastAsia="Times New Roman" w:cs="Arial"/>
          <w:bCs/>
          <w:color w:val="000000"/>
          <w:szCs w:val="20"/>
          <w:lang w:eastAsia="bg-BG"/>
        </w:rPr>
        <w:t>приложението му при много възрастни пациенти.</w:t>
      </w:r>
    </w:p>
    <w:p w14:paraId="4ABD9BD4" w14:textId="02382147" w:rsidR="003B7EC9" w:rsidRDefault="003B7EC9" w:rsidP="003B7EC9"/>
    <w:p w14:paraId="35030952" w14:textId="77777777" w:rsidR="003B7EC9" w:rsidRPr="003B7EC9" w:rsidRDefault="003B7EC9" w:rsidP="003B7EC9">
      <w:pPr>
        <w:spacing w:line="240" w:lineRule="auto"/>
        <w:rPr>
          <w:rFonts w:eastAsia="Times New Roman" w:cs="Arial"/>
          <w:sz w:val="28"/>
          <w:szCs w:val="24"/>
        </w:rPr>
      </w:pPr>
      <w:r w:rsidRPr="003B7EC9">
        <w:rPr>
          <w:rFonts w:eastAsia="Times New Roman" w:cs="Arial"/>
          <w:bCs/>
          <w:i/>
          <w:iCs/>
          <w:color w:val="000000"/>
          <w:szCs w:val="20"/>
          <w:lang w:eastAsia="bg-BG"/>
        </w:rPr>
        <w:t>Бъбречно увреждане</w:t>
      </w:r>
    </w:p>
    <w:p w14:paraId="50895825"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Не се налага промяна в дозировката при пациенти с леко до умерено бъбречно увреждане. Съществуващият опит при пациенти с тежко бъбречно увреждане или на хемодиализа е ограничен.</w:t>
      </w:r>
    </w:p>
    <w:p w14:paraId="4007569D"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Препоръчва се повишено внимание, когато се използва Телфорт при такива пациенти, тъй като амлодипин и телмисартан не се диализират (вж. също точка 4.4).</w:t>
      </w:r>
    </w:p>
    <w:p w14:paraId="6C7D31E6" w14:textId="77777777" w:rsidR="003B7EC9" w:rsidRPr="003B7EC9" w:rsidRDefault="003B7EC9" w:rsidP="003B7EC9">
      <w:pPr>
        <w:spacing w:line="240" w:lineRule="auto"/>
        <w:rPr>
          <w:rFonts w:eastAsia="Times New Roman" w:cs="Arial"/>
          <w:bCs/>
          <w:i/>
          <w:iCs/>
          <w:color w:val="000000"/>
          <w:szCs w:val="20"/>
          <w:lang w:eastAsia="bg-BG"/>
        </w:rPr>
      </w:pPr>
    </w:p>
    <w:p w14:paraId="74929056" w14:textId="5C8B710F" w:rsidR="003B7EC9" w:rsidRPr="003B7EC9" w:rsidRDefault="003B7EC9" w:rsidP="003B7EC9">
      <w:pPr>
        <w:spacing w:line="240" w:lineRule="auto"/>
        <w:rPr>
          <w:rFonts w:eastAsia="Times New Roman" w:cs="Arial"/>
          <w:sz w:val="28"/>
          <w:szCs w:val="24"/>
        </w:rPr>
      </w:pPr>
      <w:r w:rsidRPr="003B7EC9">
        <w:rPr>
          <w:rFonts w:eastAsia="Times New Roman" w:cs="Arial"/>
          <w:bCs/>
          <w:i/>
          <w:iCs/>
          <w:color w:val="000000"/>
          <w:szCs w:val="20"/>
          <w:lang w:eastAsia="bg-BG"/>
        </w:rPr>
        <w:t>Чернодробно увреждане</w:t>
      </w:r>
    </w:p>
    <w:p w14:paraId="35B82223" w14:textId="4A2A870A"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 xml:space="preserve">Препоръчителна дозировка не е установена при пациенти с леко до умерено чернодробно увреждане. За телмисартан дозировката не трябва да надвишава 40 </w:t>
      </w:r>
      <w:r w:rsidRPr="003B7EC9">
        <w:rPr>
          <w:rFonts w:eastAsia="Times New Roman" w:cs="Arial"/>
          <w:bCs/>
          <w:color w:val="000000"/>
          <w:szCs w:val="20"/>
          <w:lang w:val="en-US"/>
        </w:rPr>
        <w:t>mg</w:t>
      </w:r>
      <w:r w:rsidRPr="003B7EC9">
        <w:rPr>
          <w:rFonts w:eastAsia="Times New Roman" w:cs="Arial"/>
          <w:bCs/>
          <w:color w:val="000000"/>
          <w:szCs w:val="20"/>
          <w:lang w:val="ru-RU"/>
        </w:rPr>
        <w:t xml:space="preserve"> </w:t>
      </w:r>
      <w:r w:rsidRPr="003B7EC9">
        <w:rPr>
          <w:rFonts w:eastAsia="Times New Roman" w:cs="Arial"/>
          <w:bCs/>
          <w:color w:val="000000"/>
          <w:szCs w:val="20"/>
          <w:lang w:eastAsia="bg-BG"/>
        </w:rPr>
        <w:t>веднъж дневно (вж. точка 4.4 Телфорт е противопоказан при пациенти с тежко чернодробно увреждане (вж. точка 4.3, 4.4 и 5.2). При пациенти с леко до умерено чернодробно увреждане Телфорт трябва да се прилага с повишено внимание.</w:t>
      </w:r>
    </w:p>
    <w:p w14:paraId="562CE386" w14:textId="77777777" w:rsidR="003B7EC9" w:rsidRPr="003B7EC9" w:rsidRDefault="003B7EC9" w:rsidP="003B7EC9">
      <w:pPr>
        <w:spacing w:line="240" w:lineRule="auto"/>
        <w:rPr>
          <w:rFonts w:eastAsia="Times New Roman" w:cs="Arial"/>
          <w:bCs/>
          <w:i/>
          <w:iCs/>
          <w:color w:val="000000"/>
          <w:szCs w:val="20"/>
          <w:lang w:eastAsia="bg-BG"/>
        </w:rPr>
      </w:pPr>
    </w:p>
    <w:p w14:paraId="74026BF5" w14:textId="670C1921" w:rsidR="003B7EC9" w:rsidRPr="003B7EC9" w:rsidRDefault="003B7EC9" w:rsidP="003B7EC9">
      <w:pPr>
        <w:spacing w:line="240" w:lineRule="auto"/>
        <w:rPr>
          <w:rFonts w:eastAsia="Times New Roman" w:cs="Arial"/>
          <w:sz w:val="28"/>
          <w:szCs w:val="24"/>
        </w:rPr>
      </w:pPr>
      <w:r w:rsidRPr="003B7EC9">
        <w:rPr>
          <w:rFonts w:eastAsia="Times New Roman" w:cs="Arial"/>
          <w:bCs/>
          <w:i/>
          <w:iCs/>
          <w:color w:val="000000"/>
          <w:szCs w:val="20"/>
          <w:lang w:eastAsia="bg-BG"/>
        </w:rPr>
        <w:t>Педиатрична популация</w:t>
      </w:r>
    </w:p>
    <w:p w14:paraId="1BF48EA4"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Безопасността и ефикасността на Телфорт при деца на възраст под 18 години не са установени. Няма налични данни.</w:t>
      </w:r>
    </w:p>
    <w:p w14:paraId="1DB5EB2F" w14:textId="77777777" w:rsidR="003B7EC9" w:rsidRPr="003B7EC9" w:rsidRDefault="003B7EC9" w:rsidP="003B7EC9">
      <w:pPr>
        <w:spacing w:line="240" w:lineRule="auto"/>
        <w:rPr>
          <w:rFonts w:eastAsia="Times New Roman" w:cs="Arial"/>
          <w:bCs/>
          <w:color w:val="000000"/>
          <w:szCs w:val="20"/>
          <w:u w:val="single"/>
          <w:lang w:eastAsia="bg-BG"/>
        </w:rPr>
      </w:pPr>
    </w:p>
    <w:p w14:paraId="1010EE24" w14:textId="506DC1F0" w:rsidR="003B7EC9" w:rsidRPr="003B7EC9" w:rsidRDefault="003B7EC9" w:rsidP="003B7EC9">
      <w:pPr>
        <w:pStyle w:val="Heading3"/>
        <w:rPr>
          <w:rFonts w:eastAsia="Times New Roman"/>
          <w:sz w:val="28"/>
          <w:u w:val="single"/>
        </w:rPr>
      </w:pPr>
      <w:r w:rsidRPr="003B7EC9">
        <w:rPr>
          <w:rFonts w:eastAsia="Times New Roman"/>
          <w:u w:val="single"/>
          <w:lang w:eastAsia="bg-BG"/>
        </w:rPr>
        <w:t>Начин на приложение</w:t>
      </w:r>
    </w:p>
    <w:p w14:paraId="748C9645"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Телфорт може да се приема със или без храна. Препоръчва се Телфорт да бъде приеман с течност.</w:t>
      </w:r>
    </w:p>
    <w:p w14:paraId="3E6159E4" w14:textId="77777777" w:rsidR="003B7EC9" w:rsidRPr="003B7EC9" w:rsidRDefault="003B7EC9" w:rsidP="003B7EC9"/>
    <w:p w14:paraId="74903285" w14:textId="40BE3A58" w:rsidR="00DB32D3" w:rsidRDefault="002C50EE" w:rsidP="005726E3">
      <w:pPr>
        <w:pStyle w:val="Heading2"/>
      </w:pPr>
      <w:r>
        <w:t>4.3. Противопоказания</w:t>
      </w:r>
    </w:p>
    <w:p w14:paraId="5CD12732" w14:textId="5ED99236" w:rsidR="003B7EC9" w:rsidRDefault="003B7EC9" w:rsidP="003B7EC9"/>
    <w:p w14:paraId="4D9A6719" w14:textId="77777777" w:rsidR="003B7EC9" w:rsidRPr="003B7EC9" w:rsidRDefault="003B7EC9" w:rsidP="003B7EC9">
      <w:pPr>
        <w:pStyle w:val="ListParagraph"/>
        <w:numPr>
          <w:ilvl w:val="0"/>
          <w:numId w:val="37"/>
        </w:numPr>
        <w:spacing w:line="240" w:lineRule="auto"/>
        <w:rPr>
          <w:rFonts w:eastAsia="Times New Roman" w:cs="Arial"/>
          <w:sz w:val="28"/>
          <w:szCs w:val="24"/>
        </w:rPr>
      </w:pPr>
      <w:r w:rsidRPr="003B7EC9">
        <w:rPr>
          <w:rFonts w:eastAsia="Times New Roman" w:cs="Arial"/>
          <w:bCs/>
          <w:color w:val="000000"/>
          <w:szCs w:val="20"/>
          <w:lang w:eastAsia="bg-BG"/>
        </w:rPr>
        <w:t>Свръхчувствителност към активните вещества, към дихцдропиридинови производни или към някои от помощните вещества, изброени в точка 6.1.</w:t>
      </w:r>
    </w:p>
    <w:p w14:paraId="29EC498E" w14:textId="77777777" w:rsidR="003B7EC9" w:rsidRPr="003B7EC9" w:rsidRDefault="003B7EC9" w:rsidP="003B7EC9">
      <w:pPr>
        <w:pStyle w:val="ListParagraph"/>
        <w:numPr>
          <w:ilvl w:val="0"/>
          <w:numId w:val="37"/>
        </w:numPr>
        <w:spacing w:line="240" w:lineRule="auto"/>
        <w:rPr>
          <w:rFonts w:eastAsia="Times New Roman" w:cs="Arial"/>
          <w:sz w:val="28"/>
          <w:szCs w:val="24"/>
        </w:rPr>
      </w:pPr>
      <w:r w:rsidRPr="003B7EC9">
        <w:rPr>
          <w:rFonts w:eastAsia="Times New Roman" w:cs="Arial"/>
          <w:bCs/>
          <w:color w:val="000000"/>
          <w:szCs w:val="20"/>
          <w:lang w:eastAsia="bg-BG"/>
        </w:rPr>
        <w:t>Втори и трети триместьр на бременността (вж. точки 4.4 и 4.6).</w:t>
      </w:r>
    </w:p>
    <w:p w14:paraId="66F3D722" w14:textId="77777777" w:rsidR="003B7EC9" w:rsidRPr="003B7EC9" w:rsidRDefault="003B7EC9" w:rsidP="003B7EC9">
      <w:pPr>
        <w:pStyle w:val="ListParagraph"/>
        <w:numPr>
          <w:ilvl w:val="0"/>
          <w:numId w:val="37"/>
        </w:numPr>
        <w:spacing w:line="240" w:lineRule="auto"/>
        <w:rPr>
          <w:rFonts w:eastAsia="Times New Roman" w:cs="Arial"/>
          <w:sz w:val="28"/>
          <w:szCs w:val="24"/>
        </w:rPr>
      </w:pPr>
      <w:r w:rsidRPr="003B7EC9">
        <w:rPr>
          <w:rFonts w:eastAsia="Times New Roman" w:cs="Arial"/>
          <w:bCs/>
          <w:color w:val="000000"/>
          <w:szCs w:val="20"/>
          <w:lang w:eastAsia="bg-BG"/>
        </w:rPr>
        <w:t>Жлъчни обструктивни нарушения.</w:t>
      </w:r>
    </w:p>
    <w:p w14:paraId="6D3010C0" w14:textId="77777777" w:rsidR="003B7EC9" w:rsidRPr="003B7EC9" w:rsidRDefault="003B7EC9" w:rsidP="003B7EC9">
      <w:pPr>
        <w:pStyle w:val="ListParagraph"/>
        <w:numPr>
          <w:ilvl w:val="0"/>
          <w:numId w:val="37"/>
        </w:numPr>
        <w:spacing w:line="240" w:lineRule="auto"/>
        <w:rPr>
          <w:rFonts w:eastAsia="Times New Roman" w:cs="Arial"/>
          <w:sz w:val="28"/>
          <w:szCs w:val="24"/>
        </w:rPr>
      </w:pPr>
      <w:r w:rsidRPr="003B7EC9">
        <w:rPr>
          <w:rFonts w:eastAsia="Times New Roman" w:cs="Arial"/>
          <w:bCs/>
          <w:color w:val="000000"/>
          <w:szCs w:val="20"/>
          <w:lang w:eastAsia="bg-BG"/>
        </w:rPr>
        <w:t>Тежко чернодробно увреждане.</w:t>
      </w:r>
    </w:p>
    <w:p w14:paraId="5F2EDBC7" w14:textId="77777777" w:rsidR="003B7EC9" w:rsidRPr="003B7EC9" w:rsidRDefault="003B7EC9" w:rsidP="003B7EC9">
      <w:pPr>
        <w:pStyle w:val="ListParagraph"/>
        <w:numPr>
          <w:ilvl w:val="0"/>
          <w:numId w:val="37"/>
        </w:numPr>
        <w:spacing w:line="240" w:lineRule="auto"/>
        <w:rPr>
          <w:rFonts w:eastAsia="Times New Roman" w:cs="Arial"/>
          <w:sz w:val="28"/>
          <w:szCs w:val="24"/>
        </w:rPr>
      </w:pPr>
      <w:r w:rsidRPr="003B7EC9">
        <w:rPr>
          <w:rFonts w:eastAsia="Times New Roman" w:cs="Arial"/>
          <w:bCs/>
          <w:color w:val="000000"/>
          <w:szCs w:val="20"/>
          <w:lang w:eastAsia="bg-BG"/>
        </w:rPr>
        <w:t>Тежка хипотония.</w:t>
      </w:r>
    </w:p>
    <w:p w14:paraId="2688F9E8" w14:textId="77777777" w:rsidR="003B7EC9" w:rsidRPr="003B7EC9" w:rsidRDefault="003B7EC9" w:rsidP="003B7EC9">
      <w:pPr>
        <w:pStyle w:val="ListParagraph"/>
        <w:numPr>
          <w:ilvl w:val="0"/>
          <w:numId w:val="37"/>
        </w:numPr>
        <w:spacing w:line="240" w:lineRule="auto"/>
        <w:rPr>
          <w:rFonts w:eastAsia="Times New Roman" w:cs="Arial"/>
          <w:sz w:val="28"/>
          <w:szCs w:val="24"/>
        </w:rPr>
      </w:pPr>
      <w:r w:rsidRPr="003B7EC9">
        <w:rPr>
          <w:rFonts w:eastAsia="Times New Roman" w:cs="Arial"/>
          <w:bCs/>
          <w:color w:val="000000"/>
          <w:szCs w:val="20"/>
          <w:lang w:eastAsia="bg-BG"/>
        </w:rPr>
        <w:t>Шок (включително кардиогенен шок).</w:t>
      </w:r>
    </w:p>
    <w:p w14:paraId="1E6BBD61" w14:textId="673CE779" w:rsidR="003B7EC9" w:rsidRPr="003B7EC9" w:rsidRDefault="003B7EC9" w:rsidP="003B7EC9">
      <w:pPr>
        <w:pStyle w:val="ListParagraph"/>
        <w:numPr>
          <w:ilvl w:val="0"/>
          <w:numId w:val="37"/>
        </w:numPr>
        <w:spacing w:line="240" w:lineRule="auto"/>
        <w:rPr>
          <w:rFonts w:eastAsia="Times New Roman" w:cs="Arial"/>
          <w:sz w:val="28"/>
          <w:szCs w:val="24"/>
        </w:rPr>
      </w:pPr>
      <w:r w:rsidRPr="003B7EC9">
        <w:rPr>
          <w:rFonts w:eastAsia="Times New Roman" w:cs="Arial"/>
          <w:bCs/>
          <w:color w:val="000000"/>
          <w:szCs w:val="20"/>
          <w:lang w:eastAsia="bg-BG"/>
        </w:rPr>
        <w:t>Обсгрукция на изходния тракт на лявата камера (напр. високостепенна аортна стеноза). Хемодинамично нестабилна сърдечна недостатъчност след остър миокарден инфаркт.</w:t>
      </w:r>
    </w:p>
    <w:p w14:paraId="264CEBC9"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 xml:space="preserve">Едновременната употреба на Телфорт с алискирен-съдържащи продукти е противопоказана при пациенти със захарен диабет или бъбречно увреждане </w:t>
      </w:r>
      <w:r w:rsidRPr="003B7EC9">
        <w:rPr>
          <w:rFonts w:eastAsia="Times New Roman" w:cs="Arial"/>
          <w:bCs/>
          <w:color w:val="000000"/>
          <w:szCs w:val="20"/>
          <w:lang w:val="ru-RU"/>
        </w:rPr>
        <w:t>(</w:t>
      </w:r>
      <w:r w:rsidRPr="003B7EC9">
        <w:rPr>
          <w:rFonts w:eastAsia="Times New Roman" w:cs="Arial"/>
          <w:bCs/>
          <w:color w:val="000000"/>
          <w:szCs w:val="20"/>
          <w:lang w:val="en-US"/>
        </w:rPr>
        <w:t>GFR</w:t>
      </w:r>
      <w:r w:rsidRPr="003B7EC9">
        <w:rPr>
          <w:rFonts w:eastAsia="Times New Roman" w:cs="Arial"/>
          <w:bCs/>
          <w:color w:val="000000"/>
          <w:szCs w:val="20"/>
          <w:lang w:val="ru-RU"/>
        </w:rPr>
        <w:t xml:space="preserve"> </w:t>
      </w:r>
      <w:r w:rsidRPr="003B7EC9">
        <w:rPr>
          <w:rFonts w:eastAsia="Times New Roman" w:cs="Arial"/>
          <w:bCs/>
          <w:color w:val="000000"/>
          <w:szCs w:val="20"/>
          <w:lang w:eastAsia="bg-BG"/>
        </w:rPr>
        <w:t xml:space="preserve">&lt;60 </w:t>
      </w:r>
      <w:r w:rsidRPr="003B7EC9">
        <w:rPr>
          <w:rFonts w:eastAsia="Times New Roman" w:cs="Arial"/>
          <w:bCs/>
          <w:color w:val="000000"/>
          <w:szCs w:val="20"/>
          <w:lang w:val="en-US"/>
        </w:rPr>
        <w:t>ml</w:t>
      </w:r>
      <w:r w:rsidRPr="003B7EC9">
        <w:rPr>
          <w:rFonts w:eastAsia="Times New Roman" w:cs="Arial"/>
          <w:bCs/>
          <w:color w:val="000000"/>
          <w:szCs w:val="20"/>
          <w:lang w:val="ru-RU"/>
        </w:rPr>
        <w:t>/</w:t>
      </w:r>
      <w:r w:rsidRPr="003B7EC9">
        <w:rPr>
          <w:rFonts w:eastAsia="Times New Roman" w:cs="Arial"/>
          <w:bCs/>
          <w:color w:val="000000"/>
          <w:szCs w:val="20"/>
          <w:lang w:val="en-US"/>
        </w:rPr>
        <w:t>min</w:t>
      </w:r>
      <w:r w:rsidRPr="003B7EC9">
        <w:rPr>
          <w:rFonts w:eastAsia="Times New Roman" w:cs="Arial"/>
          <w:bCs/>
          <w:color w:val="000000"/>
          <w:szCs w:val="20"/>
          <w:lang w:val="ru-RU"/>
        </w:rPr>
        <w:t>/1</w:t>
      </w:r>
      <w:r w:rsidRPr="003B7EC9">
        <w:rPr>
          <w:rFonts w:eastAsia="Times New Roman" w:cs="Arial"/>
          <w:bCs/>
          <w:color w:val="000000"/>
          <w:szCs w:val="20"/>
          <w:lang w:eastAsia="bg-BG"/>
        </w:rPr>
        <w:t xml:space="preserve">,73 </w:t>
      </w:r>
      <w:r w:rsidRPr="003B7EC9">
        <w:rPr>
          <w:rFonts w:eastAsia="Times New Roman" w:cs="Arial"/>
          <w:bCs/>
          <w:color w:val="000000"/>
          <w:szCs w:val="20"/>
          <w:lang w:val="en-US"/>
        </w:rPr>
        <w:t>m</w:t>
      </w:r>
      <w:r w:rsidRPr="003B7EC9">
        <w:rPr>
          <w:rFonts w:eastAsia="Times New Roman" w:cs="Arial"/>
          <w:bCs/>
          <w:color w:val="000000"/>
          <w:szCs w:val="20"/>
          <w:vertAlign w:val="superscript"/>
          <w:lang w:val="ru-RU"/>
        </w:rPr>
        <w:t>2</w:t>
      </w:r>
      <w:r w:rsidRPr="003B7EC9">
        <w:rPr>
          <w:rFonts w:eastAsia="Times New Roman" w:cs="Arial"/>
          <w:bCs/>
          <w:color w:val="000000"/>
          <w:szCs w:val="20"/>
          <w:lang w:val="ru-RU"/>
        </w:rPr>
        <w:t xml:space="preserve">) </w:t>
      </w:r>
      <w:r w:rsidRPr="003B7EC9">
        <w:rPr>
          <w:rFonts w:eastAsia="Times New Roman" w:cs="Arial"/>
          <w:bCs/>
          <w:color w:val="000000"/>
          <w:szCs w:val="20"/>
          <w:lang w:eastAsia="bg-BG"/>
        </w:rPr>
        <w:t>(вж. точки 4.2, 4.4,4.5 и 5.1).</w:t>
      </w:r>
    </w:p>
    <w:p w14:paraId="5BCB14C8" w14:textId="77777777" w:rsidR="003B7EC9" w:rsidRPr="003B7EC9" w:rsidRDefault="003B7EC9" w:rsidP="003B7EC9"/>
    <w:p w14:paraId="76DC8E58" w14:textId="1E51014B" w:rsidR="00DB32D3" w:rsidRDefault="002C50EE" w:rsidP="005726E3">
      <w:pPr>
        <w:pStyle w:val="Heading2"/>
      </w:pPr>
      <w:r>
        <w:lastRenderedPageBreak/>
        <w:t>4.4. Специални предупреждения и предпазни мерки при употреба</w:t>
      </w:r>
    </w:p>
    <w:p w14:paraId="24AB5657" w14:textId="5C1C1501" w:rsidR="003B7EC9" w:rsidRDefault="003B7EC9" w:rsidP="003B7EC9"/>
    <w:p w14:paraId="06BA89D2" w14:textId="77777777" w:rsidR="003B7EC9" w:rsidRPr="003B7EC9" w:rsidRDefault="003B7EC9" w:rsidP="003B7EC9">
      <w:pPr>
        <w:rPr>
          <w:rFonts w:cs="Arial"/>
          <w:u w:val="single"/>
        </w:rPr>
      </w:pPr>
      <w:r w:rsidRPr="003B7EC9">
        <w:rPr>
          <w:u w:val="single"/>
          <w:lang w:eastAsia="bg-BG"/>
        </w:rPr>
        <w:t>Телмисартан</w:t>
      </w:r>
    </w:p>
    <w:p w14:paraId="6ED890CB" w14:textId="77777777" w:rsidR="003B7EC9" w:rsidRPr="003B7EC9" w:rsidRDefault="003B7EC9" w:rsidP="003B7EC9">
      <w:pPr>
        <w:spacing w:line="240" w:lineRule="auto"/>
        <w:rPr>
          <w:rFonts w:eastAsia="Times New Roman" w:cs="Arial"/>
          <w:bCs/>
          <w:i/>
          <w:iCs/>
          <w:color w:val="000000"/>
          <w:lang w:eastAsia="bg-BG"/>
        </w:rPr>
      </w:pPr>
    </w:p>
    <w:p w14:paraId="3D45E214" w14:textId="11A7D665" w:rsidR="003B7EC9" w:rsidRPr="003B7EC9" w:rsidRDefault="003B7EC9" w:rsidP="003B7EC9">
      <w:pPr>
        <w:spacing w:line="240" w:lineRule="auto"/>
        <w:rPr>
          <w:rFonts w:eastAsia="Times New Roman" w:cs="Arial"/>
        </w:rPr>
      </w:pPr>
      <w:r w:rsidRPr="003B7EC9">
        <w:rPr>
          <w:rFonts w:eastAsia="Times New Roman" w:cs="Arial"/>
          <w:bCs/>
          <w:i/>
          <w:iCs/>
          <w:color w:val="000000"/>
          <w:lang w:eastAsia="bg-BG"/>
        </w:rPr>
        <w:t>Бременност</w:t>
      </w:r>
    </w:p>
    <w:p w14:paraId="3CFEFA39"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Не трябва да се започва прием на ангиотензин II рецепторни антагонисти (А</w:t>
      </w:r>
      <w:r w:rsidRPr="003B7EC9">
        <w:rPr>
          <w:rFonts w:eastAsia="Times New Roman" w:cs="Arial"/>
          <w:bCs/>
          <w:color w:val="000000"/>
          <w:lang w:val="en-US"/>
        </w:rPr>
        <w:t>II</w:t>
      </w:r>
      <w:r w:rsidRPr="003B7EC9">
        <w:rPr>
          <w:rFonts w:eastAsia="Times New Roman" w:cs="Arial"/>
          <w:bCs/>
          <w:color w:val="000000"/>
          <w:lang w:eastAsia="bg-BG"/>
        </w:rPr>
        <w:t>РА) по време на бременност. Пациентките, които планират бременност, трябва да преминат към алтернативно антихипертензивно лечение с установен профил на безопасност при употреба по време на бременност, освен ако се счита, че е от особена важност да се продължи лечението с А</w:t>
      </w:r>
      <w:r w:rsidRPr="003B7EC9">
        <w:rPr>
          <w:rFonts w:eastAsia="Times New Roman" w:cs="Arial"/>
          <w:bCs/>
          <w:color w:val="000000"/>
          <w:lang w:val="en-US"/>
        </w:rPr>
        <w:t>II</w:t>
      </w:r>
      <w:r w:rsidRPr="003B7EC9">
        <w:rPr>
          <w:rFonts w:eastAsia="Times New Roman" w:cs="Arial"/>
          <w:bCs/>
          <w:color w:val="000000"/>
          <w:lang w:eastAsia="bg-BG"/>
        </w:rPr>
        <w:t>РА. Ако е диагностицирана бременност, лечението с А</w:t>
      </w:r>
      <w:r w:rsidRPr="003B7EC9">
        <w:rPr>
          <w:rFonts w:eastAsia="Times New Roman" w:cs="Arial"/>
          <w:bCs/>
          <w:color w:val="000000"/>
          <w:lang w:val="en-US"/>
        </w:rPr>
        <w:t>II</w:t>
      </w:r>
      <w:r w:rsidRPr="003B7EC9">
        <w:rPr>
          <w:rFonts w:eastAsia="Times New Roman" w:cs="Arial"/>
          <w:bCs/>
          <w:color w:val="000000"/>
          <w:lang w:eastAsia="bg-BG"/>
        </w:rPr>
        <w:t>РА трябва незабавно да бъде преустановено и ако е подходящо, да се започне алтернативно лечение (вж. точки 4.3 и 4.6).</w:t>
      </w:r>
    </w:p>
    <w:p w14:paraId="43F904A1" w14:textId="77777777" w:rsidR="003B7EC9" w:rsidRPr="003B7EC9" w:rsidRDefault="003B7EC9" w:rsidP="003B7EC9">
      <w:pPr>
        <w:spacing w:line="240" w:lineRule="auto"/>
        <w:rPr>
          <w:rFonts w:eastAsia="Times New Roman" w:cs="Arial"/>
          <w:bCs/>
          <w:i/>
          <w:iCs/>
          <w:color w:val="000000"/>
          <w:lang w:eastAsia="bg-BG"/>
        </w:rPr>
      </w:pPr>
    </w:p>
    <w:p w14:paraId="1CD23832" w14:textId="0537AD1E" w:rsidR="003B7EC9" w:rsidRPr="003B7EC9" w:rsidRDefault="003B7EC9" w:rsidP="003B7EC9">
      <w:pPr>
        <w:spacing w:line="240" w:lineRule="auto"/>
        <w:rPr>
          <w:rFonts w:eastAsia="Times New Roman" w:cs="Arial"/>
        </w:rPr>
      </w:pPr>
      <w:r w:rsidRPr="003B7EC9">
        <w:rPr>
          <w:rFonts w:eastAsia="Times New Roman" w:cs="Arial"/>
          <w:bCs/>
          <w:i/>
          <w:iCs/>
          <w:color w:val="000000"/>
          <w:lang w:eastAsia="bg-BG"/>
        </w:rPr>
        <w:t>Чернодробно увреждане</w:t>
      </w:r>
    </w:p>
    <w:p w14:paraId="3C5EB98E" w14:textId="43337F30" w:rsidR="003B7EC9" w:rsidRPr="003B7EC9" w:rsidRDefault="003B7EC9" w:rsidP="003B7EC9">
      <w:pPr>
        <w:rPr>
          <w:rFonts w:eastAsia="Times New Roman" w:cs="Arial"/>
          <w:bCs/>
          <w:color w:val="000000"/>
          <w:lang w:eastAsia="bg-BG"/>
        </w:rPr>
      </w:pPr>
      <w:r w:rsidRPr="003B7EC9">
        <w:rPr>
          <w:rFonts w:eastAsia="Times New Roman" w:cs="Arial"/>
          <w:bCs/>
          <w:color w:val="000000"/>
          <w:lang w:eastAsia="bg-BG"/>
        </w:rPr>
        <w:t>Не трябва да се прилага при пациенти с холестаза, с жлъчни обструктивни нарушения или тежко чернодробно увреждане (вж. точка 4.3), тъй като по-голямата част от телмисартан се елиминира чрез жлъчката. При тези пациенти може да се очаква намален чернодробен клирънс. Телмисартан трябва да се прилага внимателно при пациенти с леки до умерени нарушения в чернодробната функция.</w:t>
      </w:r>
    </w:p>
    <w:p w14:paraId="29A32117" w14:textId="72394239" w:rsidR="003B7EC9" w:rsidRPr="003B7EC9" w:rsidRDefault="003B7EC9" w:rsidP="003B7EC9">
      <w:pPr>
        <w:rPr>
          <w:rFonts w:eastAsia="Times New Roman" w:cs="Arial"/>
          <w:bCs/>
          <w:color w:val="000000"/>
          <w:lang w:eastAsia="bg-BG"/>
        </w:rPr>
      </w:pPr>
    </w:p>
    <w:p w14:paraId="0DF70D12" w14:textId="77777777" w:rsidR="003B7EC9" w:rsidRPr="003B7EC9" w:rsidRDefault="003B7EC9" w:rsidP="003B7EC9">
      <w:pPr>
        <w:spacing w:line="240" w:lineRule="auto"/>
        <w:rPr>
          <w:rFonts w:eastAsia="Times New Roman" w:cs="Arial"/>
        </w:rPr>
      </w:pPr>
      <w:r w:rsidRPr="003B7EC9">
        <w:rPr>
          <w:rFonts w:eastAsia="Times New Roman" w:cs="Arial"/>
          <w:bCs/>
          <w:i/>
          <w:iCs/>
          <w:color w:val="000000"/>
          <w:lang w:eastAsia="bg-BG"/>
        </w:rPr>
        <w:t>Реноваскуларна хипертония</w:t>
      </w:r>
    </w:p>
    <w:p w14:paraId="59BD326C"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Когато пациенти със стеноза на бъбречна артерия или стеноза на артерията към единствен функциониращ бъбрек са третирани с лекарства, повлияващи системата ренин-ангиотензин- алдостерон, съществува повишен риск от тежка хипотония и бъбречна недостатъчност.</w:t>
      </w:r>
    </w:p>
    <w:p w14:paraId="560F3C5B" w14:textId="77777777" w:rsidR="003B7EC9" w:rsidRPr="003B7EC9" w:rsidRDefault="003B7EC9" w:rsidP="003B7EC9">
      <w:pPr>
        <w:spacing w:line="240" w:lineRule="auto"/>
        <w:rPr>
          <w:rFonts w:eastAsia="Times New Roman" w:cs="Arial"/>
          <w:bCs/>
          <w:i/>
          <w:iCs/>
          <w:color w:val="000000"/>
          <w:lang w:eastAsia="bg-BG"/>
        </w:rPr>
      </w:pPr>
    </w:p>
    <w:p w14:paraId="4A442CA1" w14:textId="68E5E1AB" w:rsidR="003B7EC9" w:rsidRPr="003B7EC9" w:rsidRDefault="003B7EC9" w:rsidP="003B7EC9">
      <w:pPr>
        <w:spacing w:line="240" w:lineRule="auto"/>
        <w:rPr>
          <w:rFonts w:eastAsia="Times New Roman" w:cs="Arial"/>
        </w:rPr>
      </w:pPr>
      <w:r w:rsidRPr="003B7EC9">
        <w:rPr>
          <w:rFonts w:eastAsia="Times New Roman" w:cs="Arial"/>
          <w:bCs/>
          <w:i/>
          <w:iCs/>
          <w:color w:val="000000"/>
          <w:lang w:eastAsia="bg-BG"/>
        </w:rPr>
        <w:t>Бъбречно увреждане и бъбречен трансплантация</w:t>
      </w:r>
    </w:p>
    <w:p w14:paraId="3470FCB2"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Когато се използва телмисартан при пациенти с нарушена бъбречна функция, се препоръчва периодично следене на калия и серумното ниво на креатинина. Няма достатъчно данни по отношение на приложението на телмисартан при пациенти със скорошна бъбречна трансплантация. Телмисартанът не се диализира.</w:t>
      </w:r>
    </w:p>
    <w:p w14:paraId="76B21A26" w14:textId="77777777" w:rsidR="003B7EC9" w:rsidRPr="003B7EC9" w:rsidRDefault="003B7EC9" w:rsidP="003B7EC9">
      <w:pPr>
        <w:spacing w:line="240" w:lineRule="auto"/>
        <w:rPr>
          <w:rFonts w:eastAsia="Times New Roman" w:cs="Arial"/>
          <w:bCs/>
          <w:i/>
          <w:iCs/>
          <w:color w:val="000000"/>
          <w:lang w:eastAsia="bg-BG"/>
        </w:rPr>
      </w:pPr>
    </w:p>
    <w:p w14:paraId="6D9B1B31" w14:textId="218B43BB" w:rsidR="003B7EC9" w:rsidRPr="003B7EC9" w:rsidRDefault="003B7EC9" w:rsidP="003B7EC9">
      <w:pPr>
        <w:spacing w:line="240" w:lineRule="auto"/>
        <w:rPr>
          <w:rFonts w:eastAsia="Times New Roman" w:cs="Arial"/>
        </w:rPr>
      </w:pPr>
      <w:r w:rsidRPr="003B7EC9">
        <w:rPr>
          <w:rFonts w:eastAsia="Times New Roman" w:cs="Arial"/>
          <w:bCs/>
          <w:i/>
          <w:iCs/>
          <w:color w:val="000000"/>
          <w:lang w:eastAsia="bg-BG"/>
        </w:rPr>
        <w:t>Вътресъдова хиповолемия</w:t>
      </w:r>
    </w:p>
    <w:p w14:paraId="48D9BA1A" w14:textId="77777777" w:rsidR="003B7EC9" w:rsidRPr="003B7EC9" w:rsidRDefault="003B7EC9" w:rsidP="003B7EC9">
      <w:pPr>
        <w:spacing w:line="240" w:lineRule="auto"/>
        <w:rPr>
          <w:rFonts w:eastAsia="Times New Roman" w:cs="Arial"/>
          <w:bCs/>
          <w:color w:val="000000"/>
          <w:lang w:eastAsia="bg-BG"/>
        </w:rPr>
      </w:pPr>
      <w:r w:rsidRPr="003B7EC9">
        <w:rPr>
          <w:rFonts w:eastAsia="Times New Roman" w:cs="Arial"/>
          <w:bCs/>
          <w:color w:val="000000"/>
          <w:lang w:eastAsia="bg-BG"/>
        </w:rPr>
        <w:t xml:space="preserve">Симптоматична хипотония, особено след първата доза телмисартан може да се наблюдава при пациенти с тежък натриев и/или обемен дефицит при мощна диуретична терапия, диета с ограничено приемане на сол, диария или повръщане. Такива състояния трябва да бъдат коригирани преди приложение на телмисартан. Натриевият и/или обемен дефицит трябва да бъде коригиран преди </w:t>
      </w:r>
    </w:p>
    <w:p w14:paraId="726F2188" w14:textId="29A20D01"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приложение на телмисартан.</w:t>
      </w:r>
    </w:p>
    <w:p w14:paraId="239B5164" w14:textId="77777777" w:rsidR="003B7EC9" w:rsidRPr="003B7EC9" w:rsidRDefault="003B7EC9" w:rsidP="003B7EC9">
      <w:pPr>
        <w:spacing w:line="240" w:lineRule="auto"/>
        <w:rPr>
          <w:rFonts w:eastAsia="Times New Roman" w:cs="Arial"/>
          <w:bCs/>
          <w:i/>
          <w:iCs/>
          <w:color w:val="000000"/>
          <w:lang w:eastAsia="bg-BG"/>
        </w:rPr>
      </w:pPr>
    </w:p>
    <w:p w14:paraId="2C664CA1" w14:textId="63C55002" w:rsidR="003B7EC9" w:rsidRPr="003B7EC9" w:rsidRDefault="003B7EC9" w:rsidP="003B7EC9">
      <w:pPr>
        <w:spacing w:line="240" w:lineRule="auto"/>
        <w:rPr>
          <w:rFonts w:eastAsia="Times New Roman" w:cs="Arial"/>
        </w:rPr>
      </w:pPr>
      <w:r w:rsidRPr="003B7EC9">
        <w:rPr>
          <w:rFonts w:eastAsia="Times New Roman" w:cs="Arial"/>
          <w:bCs/>
          <w:i/>
          <w:iCs/>
          <w:color w:val="000000"/>
          <w:lang w:eastAsia="bg-BG"/>
        </w:rPr>
        <w:t>Двойно блокиране на систематаренин-ангиотензин-алдостерон (РААС)</w:t>
      </w:r>
    </w:p>
    <w:p w14:paraId="6B967774"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Има данни, че едновременната употреба на АСЕ-инхибитори, ангиотензин II 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АСЕ-инхибитори, ангиотензин II рецепторни блокери или алискирен (вж. точки 4.5 и 5.1).</w:t>
      </w:r>
    </w:p>
    <w:p w14:paraId="06719B79"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 xml:space="preserve">Ако се прецени, че терапията с двойно блокиране е абсолютно необходима, това трябва да се осъществява само под наблюдението на специалист и при често внимателно мониториране на бъбречната функция, електролитите и </w:t>
      </w:r>
      <w:r w:rsidRPr="003B7EC9">
        <w:rPr>
          <w:rFonts w:eastAsia="Times New Roman" w:cs="Arial"/>
          <w:bCs/>
          <w:i/>
          <w:iCs/>
          <w:color w:val="000000"/>
          <w:lang w:eastAsia="bg-BG"/>
        </w:rPr>
        <w:t>кръвното налягане.</w:t>
      </w:r>
    </w:p>
    <w:p w14:paraId="4F662E06"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lastRenderedPageBreak/>
        <w:t xml:space="preserve">АСЕ-инхибитори и ангиотензин </w:t>
      </w:r>
      <w:r w:rsidRPr="003B7EC9">
        <w:rPr>
          <w:rFonts w:eastAsia="Times New Roman" w:cs="Arial"/>
          <w:bCs/>
          <w:color w:val="000000"/>
          <w:lang w:val="en-US"/>
        </w:rPr>
        <w:t>II</w:t>
      </w:r>
      <w:r w:rsidRPr="003B7EC9">
        <w:rPr>
          <w:rFonts w:eastAsia="Times New Roman" w:cs="Arial"/>
          <w:bCs/>
          <w:color w:val="000000"/>
          <w:lang w:eastAsia="bg-BG"/>
        </w:rPr>
        <w:t xml:space="preserve"> рецепторни блокери не трябва да се използват едновременно при пациенти с диабетна нефропатия.</w:t>
      </w:r>
    </w:p>
    <w:p w14:paraId="1E007772"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Като последица от инхибирането на ренин-ангиотензин-алдостерон системата, хипотония, синкоп, хиперкалиемия и промени в бъбречната функция (включително остра бъбречна недостатъчност) са докладвани при предразположени пациенти, особено, ако се комбинират лекарствени продукти, които повлияват тази система. Затова двойната блокада на ренин- ангиотензин-алдостерон системата (например чрез прилагане на телмисартан с другите блокери на ренин-ангиотензин-алдостерон системата) не се препоръчва. Внимателно проследяване на бъбречната функция е препоръчително, ако се счита за необходимо едновременно приложение.</w:t>
      </w:r>
    </w:p>
    <w:p w14:paraId="23A28695" w14:textId="77777777" w:rsidR="003B7EC9" w:rsidRPr="003B7EC9" w:rsidRDefault="003B7EC9" w:rsidP="003B7EC9">
      <w:pPr>
        <w:spacing w:line="240" w:lineRule="auto"/>
        <w:rPr>
          <w:rFonts w:eastAsia="Times New Roman" w:cs="Arial"/>
          <w:bCs/>
          <w:i/>
          <w:iCs/>
          <w:color w:val="000000"/>
          <w:lang w:eastAsia="bg-BG"/>
        </w:rPr>
      </w:pPr>
    </w:p>
    <w:p w14:paraId="12F30D09" w14:textId="188E3C0D" w:rsidR="003B7EC9" w:rsidRPr="003B7EC9" w:rsidRDefault="003B7EC9" w:rsidP="003B7EC9">
      <w:pPr>
        <w:spacing w:line="240" w:lineRule="auto"/>
        <w:rPr>
          <w:rFonts w:eastAsia="Times New Roman" w:cs="Arial"/>
        </w:rPr>
      </w:pPr>
      <w:r w:rsidRPr="003B7EC9">
        <w:rPr>
          <w:rFonts w:eastAsia="Times New Roman" w:cs="Arial"/>
          <w:bCs/>
          <w:i/>
          <w:iCs/>
          <w:color w:val="000000"/>
          <w:lang w:eastAsia="bg-BG"/>
        </w:rPr>
        <w:t>Други състояния със стимулация на системата ренин-ангиотензин-алдостерон</w:t>
      </w:r>
    </w:p>
    <w:p w14:paraId="1147C3BA"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При пациенти, чийто съдов тонус и бъбречна функция зависят основно от активността на системата ренин-ангиотензин-алдостерон системата (например пациенти с тежка застойна сърдечна недостатъчност или подлежащо бъбречно заболяване, включително и стеноза на бъбречната артерия), лечението с лекарствени продукти, които повлияват тази система като телмисартан, се свързва с остра хипотония, хиперазотемия, олигурия или рядко остра бъбречна недостатъчност (вж. точка 4.8).</w:t>
      </w:r>
    </w:p>
    <w:p w14:paraId="1C8D602E" w14:textId="77777777" w:rsidR="003B7EC9" w:rsidRPr="003B7EC9" w:rsidRDefault="003B7EC9" w:rsidP="003B7EC9">
      <w:pPr>
        <w:spacing w:line="240" w:lineRule="auto"/>
        <w:rPr>
          <w:rFonts w:eastAsia="Times New Roman" w:cs="Arial"/>
          <w:bCs/>
          <w:i/>
          <w:iCs/>
          <w:color w:val="000000"/>
          <w:lang w:eastAsia="bg-BG"/>
        </w:rPr>
      </w:pPr>
    </w:p>
    <w:p w14:paraId="092C658E" w14:textId="2D11BD06" w:rsidR="003B7EC9" w:rsidRPr="003B7EC9" w:rsidRDefault="003B7EC9" w:rsidP="003B7EC9">
      <w:pPr>
        <w:spacing w:line="240" w:lineRule="auto"/>
        <w:rPr>
          <w:rFonts w:eastAsia="Times New Roman" w:cs="Arial"/>
        </w:rPr>
      </w:pPr>
      <w:r w:rsidRPr="003B7EC9">
        <w:rPr>
          <w:rFonts w:eastAsia="Times New Roman" w:cs="Arial"/>
          <w:bCs/>
          <w:i/>
          <w:iCs/>
          <w:color w:val="000000"/>
          <w:lang w:eastAsia="bg-BG"/>
        </w:rPr>
        <w:t>Първичен алдостеронизъм</w:t>
      </w:r>
    </w:p>
    <w:p w14:paraId="0740A7CB"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Пациенти с първичен алдостеронизъм по принцип няма да реагират на антихипертензивни лекарствени продукти, действащи чрез инхибиране на ренин-ангиотензин системата. Поради това, употребата на телмисартан не се препоръчва.</w:t>
      </w:r>
    </w:p>
    <w:p w14:paraId="46AAE3B4" w14:textId="77777777" w:rsidR="003B7EC9" w:rsidRPr="003B7EC9" w:rsidRDefault="003B7EC9" w:rsidP="003B7EC9">
      <w:pPr>
        <w:spacing w:line="240" w:lineRule="auto"/>
        <w:rPr>
          <w:rFonts w:eastAsia="Times New Roman" w:cs="Arial"/>
          <w:bCs/>
          <w:i/>
          <w:iCs/>
          <w:color w:val="000000"/>
          <w:lang w:eastAsia="bg-BG"/>
        </w:rPr>
      </w:pPr>
    </w:p>
    <w:p w14:paraId="5671DADB" w14:textId="24EE38D9" w:rsidR="003B7EC9" w:rsidRPr="003B7EC9" w:rsidRDefault="003B7EC9" w:rsidP="003B7EC9">
      <w:pPr>
        <w:spacing w:line="240" w:lineRule="auto"/>
        <w:rPr>
          <w:rFonts w:eastAsia="Times New Roman" w:cs="Arial"/>
          <w:bCs/>
          <w:color w:val="000000"/>
          <w:lang w:eastAsia="bg-BG"/>
        </w:rPr>
      </w:pPr>
      <w:r w:rsidRPr="003B7EC9">
        <w:rPr>
          <w:rFonts w:eastAsia="Times New Roman" w:cs="Arial"/>
          <w:bCs/>
          <w:i/>
          <w:iCs/>
          <w:color w:val="000000"/>
          <w:lang w:eastAsia="bg-BG"/>
        </w:rPr>
        <w:t xml:space="preserve">Стеноза на аортната и митрална клапа, обструктивна хипертрофична кардиомиопатия </w:t>
      </w:r>
      <w:r w:rsidRPr="003B7EC9">
        <w:rPr>
          <w:rFonts w:eastAsia="Times New Roman" w:cs="Arial"/>
          <w:bCs/>
          <w:color w:val="000000"/>
          <w:lang w:eastAsia="bg-BG"/>
        </w:rPr>
        <w:t>Както при другите вазодилататори, специално внимание е необходимо при пациенти с аортна или митрална стеноза или обструктивна хипертрофична кардиомиопатия.</w:t>
      </w:r>
    </w:p>
    <w:p w14:paraId="6207A91B" w14:textId="5AEF6D90" w:rsidR="003B7EC9" w:rsidRPr="003B7EC9" w:rsidRDefault="003B7EC9" w:rsidP="003B7EC9">
      <w:pPr>
        <w:spacing w:line="240" w:lineRule="auto"/>
        <w:rPr>
          <w:rFonts w:eastAsia="Times New Roman" w:cs="Arial"/>
          <w:bCs/>
          <w:color w:val="000000"/>
          <w:lang w:eastAsia="bg-BG"/>
        </w:rPr>
      </w:pPr>
    </w:p>
    <w:p w14:paraId="79D8204D" w14:textId="77777777" w:rsidR="003B7EC9" w:rsidRPr="003B7EC9" w:rsidRDefault="003B7EC9" w:rsidP="003B7EC9">
      <w:pPr>
        <w:spacing w:line="240" w:lineRule="auto"/>
        <w:rPr>
          <w:rFonts w:eastAsia="Times New Roman" w:cs="Arial"/>
        </w:rPr>
      </w:pPr>
      <w:r w:rsidRPr="003B7EC9">
        <w:rPr>
          <w:rFonts w:eastAsia="Times New Roman" w:cs="Arial"/>
          <w:bCs/>
          <w:i/>
          <w:iCs/>
          <w:color w:val="000000"/>
          <w:lang w:eastAsia="bg-BG"/>
        </w:rPr>
        <w:t>Пациенти с диабет, лекувани с инсулин или антидиабетни лекарства</w:t>
      </w:r>
    </w:p>
    <w:p w14:paraId="735C1A4A"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При тези пациенти може да настъпи хипогликемия при лечение с телмисартан. Затова, при тези пациенти трябва да се обмисли съответно проследяване на кръвната захар и може да се наложи коригиране на дозата на инсулина или антидиабетните лекарства, когато е показано.</w:t>
      </w:r>
    </w:p>
    <w:p w14:paraId="3BBFB671" w14:textId="77777777" w:rsidR="003B7EC9" w:rsidRPr="003B7EC9" w:rsidRDefault="003B7EC9" w:rsidP="003B7EC9">
      <w:pPr>
        <w:spacing w:line="240" w:lineRule="auto"/>
        <w:rPr>
          <w:rFonts w:eastAsia="Times New Roman" w:cs="Arial"/>
          <w:bCs/>
          <w:i/>
          <w:iCs/>
          <w:color w:val="000000"/>
          <w:lang w:eastAsia="bg-BG"/>
        </w:rPr>
      </w:pPr>
    </w:p>
    <w:p w14:paraId="2F696D83" w14:textId="5EBAB507" w:rsidR="003B7EC9" w:rsidRPr="003B7EC9" w:rsidRDefault="003B7EC9" w:rsidP="003B7EC9">
      <w:pPr>
        <w:spacing w:line="240" w:lineRule="auto"/>
        <w:rPr>
          <w:rFonts w:eastAsia="Times New Roman" w:cs="Arial"/>
        </w:rPr>
      </w:pPr>
      <w:r w:rsidRPr="003B7EC9">
        <w:rPr>
          <w:rFonts w:eastAsia="Times New Roman" w:cs="Arial"/>
          <w:bCs/>
          <w:i/>
          <w:iCs/>
          <w:color w:val="000000"/>
          <w:lang w:eastAsia="bg-BG"/>
        </w:rPr>
        <w:t>Хиперкалиемия</w:t>
      </w:r>
    </w:p>
    <w:p w14:paraId="7A9B1254"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Употребата на лекарствени продукти, които повлияват ренин-ангиотензин-алдостерон системата може да доведе до хиперкалиемия.</w:t>
      </w:r>
    </w:p>
    <w:p w14:paraId="2A1B1541"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Хиперкалиемията може да бъде с фатален изход при пациенти в напреднала възраст, при пациенти с бъбречна недостатъчност, при пациенти с диабет, при пациенти, лекувани едновременно и с други лекарствени продукти, които могат да повишат нивата на калия и/или при пациенти с придружаващи състояния.</w:t>
      </w:r>
    </w:p>
    <w:p w14:paraId="1F4976D8" w14:textId="77777777" w:rsidR="003B7EC9" w:rsidRPr="003B7EC9" w:rsidRDefault="003B7EC9" w:rsidP="003B7EC9">
      <w:pPr>
        <w:spacing w:line="240" w:lineRule="auto"/>
        <w:rPr>
          <w:rFonts w:eastAsia="Times New Roman" w:cs="Arial"/>
          <w:bCs/>
          <w:color w:val="000000"/>
          <w:lang w:eastAsia="bg-BG"/>
        </w:rPr>
      </w:pPr>
    </w:p>
    <w:p w14:paraId="6C0B3873" w14:textId="44C6F24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Преди да се вземе решение за едновременно приложение на лекарствени продукти, които повлияват ренин-ангиотензин-алдостерон системата, трябва да се прецени съотношението полза/ риск.</w:t>
      </w:r>
    </w:p>
    <w:p w14:paraId="05818BD1"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Основните рискови фактори за възникване на хиперкалиемия, които трябва да се вземат под внимание, са:</w:t>
      </w:r>
    </w:p>
    <w:p w14:paraId="7C037B60" w14:textId="77777777" w:rsidR="003B7EC9" w:rsidRPr="003B7EC9" w:rsidRDefault="003B7EC9" w:rsidP="003B7EC9">
      <w:pPr>
        <w:pStyle w:val="ListParagraph"/>
        <w:numPr>
          <w:ilvl w:val="0"/>
          <w:numId w:val="37"/>
        </w:numPr>
        <w:spacing w:line="240" w:lineRule="auto"/>
        <w:rPr>
          <w:rFonts w:eastAsia="Times New Roman" w:cs="Arial"/>
        </w:rPr>
      </w:pPr>
      <w:r w:rsidRPr="003B7EC9">
        <w:rPr>
          <w:rFonts w:eastAsia="Times New Roman" w:cs="Arial"/>
          <w:bCs/>
          <w:color w:val="000000"/>
          <w:lang w:eastAsia="bg-BG"/>
        </w:rPr>
        <w:t>Захарен диабет, бъбречно увреждане, възраст (&gt;70 години)</w:t>
      </w:r>
    </w:p>
    <w:p w14:paraId="1E340EB9" w14:textId="77777777" w:rsidR="003B7EC9" w:rsidRPr="003B7EC9" w:rsidRDefault="003B7EC9" w:rsidP="003B7EC9">
      <w:pPr>
        <w:pStyle w:val="ListParagraph"/>
        <w:numPr>
          <w:ilvl w:val="0"/>
          <w:numId w:val="37"/>
        </w:numPr>
        <w:spacing w:line="240" w:lineRule="auto"/>
        <w:rPr>
          <w:rFonts w:eastAsia="Times New Roman" w:cs="Arial"/>
        </w:rPr>
      </w:pPr>
      <w:r w:rsidRPr="003B7EC9">
        <w:rPr>
          <w:rFonts w:eastAsia="Times New Roman" w:cs="Arial"/>
          <w:bCs/>
          <w:color w:val="000000"/>
          <w:lang w:eastAsia="bg-BG"/>
        </w:rPr>
        <w:t xml:space="preserve">Комбинация с един или повече лекарствени продукти, които повлияват ренин- ангиотензин-алдостерон системата и/или калиеви добавки. Лекарствени продукти </w:t>
      </w:r>
      <w:r w:rsidRPr="003B7EC9">
        <w:rPr>
          <w:rFonts w:eastAsia="Times New Roman" w:cs="Arial"/>
          <w:bCs/>
          <w:color w:val="000000"/>
          <w:lang w:eastAsia="bg-BG"/>
        </w:rPr>
        <w:lastRenderedPageBreak/>
        <w:t xml:space="preserve">или терапевтични групи лекарства, които могат да предизвикат хиперкалиемия са: солеви заместители, съдържащи калий, калий-съхраняващи диуретици, АСЕ инхибитори, ангиотензин </w:t>
      </w:r>
      <w:r w:rsidRPr="003B7EC9">
        <w:rPr>
          <w:rFonts w:eastAsia="Times New Roman" w:cs="Arial"/>
          <w:bCs/>
          <w:color w:val="000000"/>
          <w:lang w:val="en-US"/>
        </w:rPr>
        <w:t>II</w:t>
      </w:r>
      <w:r w:rsidRPr="003B7EC9">
        <w:rPr>
          <w:rFonts w:eastAsia="Times New Roman" w:cs="Arial"/>
          <w:bCs/>
          <w:color w:val="000000"/>
          <w:lang w:eastAsia="bg-BG"/>
        </w:rPr>
        <w:t xml:space="preserve"> рецепторни антагонисти, нестероидни противовъзпалителни лекарствени продукти (НСПВС, включително селективни СОХ -2 инхибитори), хепарин, имуносупресори (циклоспорин или такролимус) и триметоприм.</w:t>
      </w:r>
    </w:p>
    <w:p w14:paraId="5E40E52E" w14:textId="5BBA8959" w:rsidR="003B7EC9" w:rsidRPr="003B7EC9" w:rsidRDefault="003B7EC9" w:rsidP="003B7EC9">
      <w:pPr>
        <w:pStyle w:val="ListParagraph"/>
        <w:numPr>
          <w:ilvl w:val="0"/>
          <w:numId w:val="37"/>
        </w:numPr>
        <w:spacing w:line="240" w:lineRule="auto"/>
        <w:rPr>
          <w:rFonts w:eastAsia="Times New Roman" w:cs="Arial"/>
        </w:rPr>
      </w:pPr>
      <w:r w:rsidRPr="003B7EC9">
        <w:rPr>
          <w:rFonts w:eastAsia="Times New Roman" w:cs="Arial"/>
          <w:bCs/>
          <w:color w:val="000000"/>
          <w:lang w:eastAsia="bg-BG"/>
        </w:rPr>
        <w:t>Интеркурентни събития и по-специално дехидратиране, остра сърдечна декомпенсация, метаболнтна ацидоза, влошена бъбречна функция, внезапно влошаване на бъбречното състояние (например инфекциозни заболявалия), клетъчно лизиране (например остра исхемия на крайника, рабдомиолиза, обширна травма).</w:t>
      </w:r>
    </w:p>
    <w:p w14:paraId="14409524" w14:textId="77777777" w:rsidR="003B7EC9" w:rsidRPr="003B7EC9" w:rsidRDefault="003B7EC9" w:rsidP="003B7EC9">
      <w:pPr>
        <w:spacing w:line="240" w:lineRule="auto"/>
        <w:rPr>
          <w:rFonts w:eastAsia="Times New Roman" w:cs="Arial"/>
          <w:bCs/>
          <w:color w:val="000000"/>
          <w:lang w:eastAsia="bg-BG"/>
        </w:rPr>
      </w:pPr>
    </w:p>
    <w:p w14:paraId="7AA508CC" w14:textId="4E259E8E"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При рискови пациенти се препоръчва внимателно следене на серумния калий (вж. точка 4.5).</w:t>
      </w:r>
    </w:p>
    <w:p w14:paraId="60230C72" w14:textId="77777777" w:rsidR="003B7EC9" w:rsidRPr="003B7EC9" w:rsidRDefault="003B7EC9" w:rsidP="003B7EC9">
      <w:pPr>
        <w:spacing w:line="240" w:lineRule="auto"/>
        <w:rPr>
          <w:rFonts w:eastAsia="Times New Roman" w:cs="Arial"/>
          <w:bCs/>
          <w:i/>
          <w:iCs/>
          <w:color w:val="000000"/>
          <w:lang w:eastAsia="bg-BG"/>
        </w:rPr>
      </w:pPr>
    </w:p>
    <w:p w14:paraId="284F7A50" w14:textId="0CA63A9B" w:rsidR="003B7EC9" w:rsidRPr="003B7EC9" w:rsidRDefault="003B7EC9" w:rsidP="003B7EC9">
      <w:pPr>
        <w:spacing w:line="240" w:lineRule="auto"/>
        <w:rPr>
          <w:rFonts w:eastAsia="Times New Roman" w:cs="Arial"/>
        </w:rPr>
      </w:pPr>
      <w:r w:rsidRPr="003B7EC9">
        <w:rPr>
          <w:rFonts w:eastAsia="Times New Roman" w:cs="Arial"/>
          <w:bCs/>
          <w:i/>
          <w:iCs/>
          <w:color w:val="000000"/>
          <w:lang w:eastAsia="bg-BG"/>
        </w:rPr>
        <w:t>Етнически различия</w:t>
      </w:r>
    </w:p>
    <w:p w14:paraId="0C1420D0"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 xml:space="preserve">Както е наблюдавано при инхибиторите на ангиотензин конвертиращия ензим, телмисартан и другите ангиотензин </w:t>
      </w:r>
      <w:r w:rsidRPr="003B7EC9">
        <w:rPr>
          <w:rFonts w:eastAsia="Times New Roman" w:cs="Arial"/>
          <w:bCs/>
          <w:color w:val="000000"/>
          <w:lang w:val="en-US"/>
        </w:rPr>
        <w:t>II</w:t>
      </w:r>
      <w:r w:rsidRPr="003B7EC9">
        <w:rPr>
          <w:rFonts w:eastAsia="Times New Roman" w:cs="Arial"/>
          <w:bCs/>
          <w:color w:val="000000"/>
          <w:lang w:eastAsia="bg-BG"/>
        </w:rPr>
        <w:t xml:space="preserve"> рецепторни антагонисти са очевидно по-малко ефективни в понижаването на кръвното налягане при хора от черната раса, отколкото при другите раси, вероятно поради по-честото срещане в черната популация на ниско рениново ниво с прояви на хипертония.</w:t>
      </w:r>
    </w:p>
    <w:p w14:paraId="4F312CFA" w14:textId="77777777" w:rsidR="003B7EC9" w:rsidRPr="003B7EC9" w:rsidRDefault="003B7EC9" w:rsidP="003B7EC9">
      <w:pPr>
        <w:spacing w:line="240" w:lineRule="auto"/>
        <w:rPr>
          <w:rFonts w:eastAsia="Times New Roman" w:cs="Arial"/>
          <w:bCs/>
          <w:i/>
          <w:iCs/>
          <w:color w:val="000000"/>
          <w:lang w:eastAsia="bg-BG"/>
        </w:rPr>
      </w:pPr>
    </w:p>
    <w:p w14:paraId="7B3B858E" w14:textId="40BA8947" w:rsidR="003B7EC9" w:rsidRPr="003B7EC9" w:rsidRDefault="003B7EC9" w:rsidP="003B7EC9">
      <w:pPr>
        <w:spacing w:line="240" w:lineRule="auto"/>
        <w:rPr>
          <w:rFonts w:eastAsia="Times New Roman" w:cs="Arial"/>
        </w:rPr>
      </w:pPr>
      <w:r w:rsidRPr="003B7EC9">
        <w:rPr>
          <w:rFonts w:eastAsia="Times New Roman" w:cs="Arial"/>
          <w:bCs/>
          <w:i/>
          <w:iCs/>
          <w:color w:val="000000"/>
          <w:lang w:eastAsia="bg-BG"/>
        </w:rPr>
        <w:t>Други</w:t>
      </w:r>
    </w:p>
    <w:p w14:paraId="357F890E"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Както при други антихипертензивни агенти, ексцесивната редукция на кръвното налягане при пациенти с исхемична кардиопатия или исхемично сърдечно-съдово може да доведе до миокарден инфаркт или инсулт.</w:t>
      </w:r>
    </w:p>
    <w:p w14:paraId="4513EDAB" w14:textId="77777777" w:rsidR="003B7EC9" w:rsidRPr="003B7EC9" w:rsidRDefault="003B7EC9" w:rsidP="003B7EC9">
      <w:pPr>
        <w:spacing w:line="240" w:lineRule="auto"/>
        <w:rPr>
          <w:rFonts w:eastAsia="Times New Roman" w:cs="Arial"/>
          <w:bCs/>
          <w:color w:val="000000"/>
          <w:u w:val="single"/>
          <w:lang w:eastAsia="bg-BG"/>
        </w:rPr>
      </w:pPr>
    </w:p>
    <w:p w14:paraId="78B9AA49" w14:textId="2C9757E6" w:rsidR="003B7EC9" w:rsidRPr="003B7EC9" w:rsidRDefault="003B7EC9" w:rsidP="003B7EC9">
      <w:pPr>
        <w:spacing w:line="240" w:lineRule="auto"/>
        <w:rPr>
          <w:rFonts w:eastAsia="Times New Roman" w:cs="Arial"/>
        </w:rPr>
      </w:pPr>
      <w:r w:rsidRPr="003B7EC9">
        <w:rPr>
          <w:rFonts w:eastAsia="Times New Roman" w:cs="Arial"/>
          <w:bCs/>
          <w:color w:val="000000"/>
          <w:u w:val="single"/>
          <w:lang w:eastAsia="bg-BG"/>
        </w:rPr>
        <w:t>Амлодипин</w:t>
      </w:r>
    </w:p>
    <w:p w14:paraId="05C6A850"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Безопасността и ефикасността на амлодипин при хипертонична криза не е установена.</w:t>
      </w:r>
    </w:p>
    <w:p w14:paraId="7307C150" w14:textId="77777777" w:rsidR="003B7EC9" w:rsidRPr="003B7EC9" w:rsidRDefault="003B7EC9" w:rsidP="003B7EC9">
      <w:pPr>
        <w:spacing w:line="240" w:lineRule="auto"/>
        <w:rPr>
          <w:rFonts w:eastAsia="Times New Roman" w:cs="Arial"/>
          <w:bCs/>
          <w:i/>
          <w:iCs/>
          <w:color w:val="000000"/>
          <w:lang w:eastAsia="bg-BG"/>
        </w:rPr>
      </w:pPr>
    </w:p>
    <w:p w14:paraId="3133A6DB" w14:textId="28918E2B" w:rsidR="003B7EC9" w:rsidRPr="003B7EC9" w:rsidRDefault="003B7EC9" w:rsidP="003B7EC9">
      <w:pPr>
        <w:spacing w:line="240" w:lineRule="auto"/>
        <w:rPr>
          <w:rFonts w:eastAsia="Times New Roman" w:cs="Arial"/>
        </w:rPr>
      </w:pPr>
      <w:r w:rsidRPr="003B7EC9">
        <w:rPr>
          <w:rFonts w:eastAsia="Times New Roman" w:cs="Arial"/>
          <w:bCs/>
          <w:i/>
          <w:iCs/>
          <w:color w:val="000000"/>
          <w:lang w:eastAsia="bg-BG"/>
        </w:rPr>
        <w:t>Пациенти със сърдечна недостатъчност</w:t>
      </w:r>
    </w:p>
    <w:p w14:paraId="2E4B17B6" w14:textId="2594F654"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 xml:space="preserve">Пациентите със сърдечна недостатъчност трябва да бъдат лекувани с внимание. В дългосрочно плацебо-контролирано изпитване при пациенти с тежка сърдечна недостатъчност </w:t>
      </w:r>
      <w:r w:rsidRPr="003B7EC9">
        <w:rPr>
          <w:rFonts w:eastAsia="Times New Roman" w:cs="Arial"/>
          <w:bCs/>
          <w:color w:val="000000"/>
          <w:lang w:val="ru-RU"/>
        </w:rPr>
        <w:t>(</w:t>
      </w:r>
      <w:r w:rsidRPr="003B7EC9">
        <w:rPr>
          <w:rFonts w:eastAsia="Times New Roman" w:cs="Arial"/>
          <w:bCs/>
          <w:color w:val="000000"/>
          <w:lang w:val="en-US"/>
        </w:rPr>
        <w:t>NYHA</w:t>
      </w:r>
      <w:r w:rsidRPr="003B7EC9">
        <w:rPr>
          <w:rFonts w:eastAsia="Times New Roman" w:cs="Arial"/>
          <w:bCs/>
          <w:color w:val="000000"/>
          <w:lang w:val="ru-RU"/>
        </w:rPr>
        <w:t xml:space="preserve"> </w:t>
      </w:r>
      <w:r w:rsidRPr="003B7EC9">
        <w:rPr>
          <w:rFonts w:eastAsia="Times New Roman" w:cs="Arial"/>
          <w:bCs/>
          <w:color w:val="000000"/>
          <w:lang w:eastAsia="bg-BG"/>
        </w:rPr>
        <w:t>клас III и IV) съобщаваната честота на белодробен оток е била по-висока в групата, лекувана с амлодипин, отколкото в плацебо-групата (вж. точка 5.1). Блокери на калциевите канали включително амлодипин, трябва да се използват с повишено внимание при пациенти със застойна сърдечна недостатъчност, тъй като могат да повишат риска от бъдещи сърдечни съдови събития и смъртност.</w:t>
      </w:r>
    </w:p>
    <w:p w14:paraId="19AE80DE" w14:textId="0B901506" w:rsidR="003B7EC9" w:rsidRPr="003B7EC9" w:rsidRDefault="003B7EC9" w:rsidP="003B7EC9">
      <w:pPr>
        <w:rPr>
          <w:rFonts w:cs="Arial"/>
        </w:rPr>
      </w:pPr>
    </w:p>
    <w:p w14:paraId="15838506" w14:textId="77777777" w:rsidR="003B7EC9" w:rsidRPr="003B7EC9" w:rsidRDefault="003B7EC9" w:rsidP="003B7EC9">
      <w:pPr>
        <w:spacing w:line="240" w:lineRule="auto"/>
        <w:rPr>
          <w:rFonts w:eastAsia="Times New Roman" w:cs="Arial"/>
        </w:rPr>
      </w:pPr>
      <w:r w:rsidRPr="003B7EC9">
        <w:rPr>
          <w:rFonts w:eastAsia="Times New Roman" w:cs="Arial"/>
          <w:bCs/>
          <w:i/>
          <w:iCs/>
          <w:color w:val="000000"/>
          <w:lang w:eastAsia="bg-BG"/>
        </w:rPr>
        <w:t>Пациенти с нарушена чернодробна функция</w:t>
      </w:r>
    </w:p>
    <w:p w14:paraId="7192F60B"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 xml:space="preserve">Полуживотът на амлодипин е удължен, а стойностите на </w:t>
      </w:r>
      <w:r w:rsidRPr="003B7EC9">
        <w:rPr>
          <w:rFonts w:eastAsia="Times New Roman" w:cs="Arial"/>
          <w:bCs/>
          <w:color w:val="000000"/>
          <w:lang w:val="en-US"/>
        </w:rPr>
        <w:t>AUC</w:t>
      </w:r>
      <w:r w:rsidRPr="003B7EC9">
        <w:rPr>
          <w:rFonts w:eastAsia="Times New Roman" w:cs="Arial"/>
          <w:bCs/>
          <w:color w:val="000000"/>
          <w:lang w:val="ru-RU"/>
        </w:rPr>
        <w:t xml:space="preserve"> </w:t>
      </w:r>
      <w:r w:rsidRPr="003B7EC9">
        <w:rPr>
          <w:rFonts w:eastAsia="Times New Roman" w:cs="Arial"/>
          <w:bCs/>
          <w:color w:val="000000"/>
          <w:lang w:eastAsia="bg-BG"/>
        </w:rPr>
        <w:t>са по-високи при пациенти с нарушена чернодробна функция; не са установени препоръки за дозиране. Следователно, амлодипин трябва да се започне с най-ниската доза и да се прояви внимание, както в началото на лечението, така и при повишаване на дозата. При пациенти с тежка чернодробна недостатъчност, може да се наложи бавно титриране на дозата и внимателно мониториране.</w:t>
      </w:r>
    </w:p>
    <w:p w14:paraId="4999A646" w14:textId="77777777" w:rsidR="003B7EC9" w:rsidRPr="003B7EC9" w:rsidRDefault="003B7EC9" w:rsidP="003B7EC9">
      <w:pPr>
        <w:spacing w:line="240" w:lineRule="auto"/>
        <w:rPr>
          <w:rFonts w:eastAsia="Times New Roman" w:cs="Arial"/>
          <w:bCs/>
          <w:i/>
          <w:iCs/>
          <w:color w:val="000000"/>
          <w:lang w:eastAsia="bg-BG"/>
        </w:rPr>
      </w:pPr>
    </w:p>
    <w:p w14:paraId="2DF5ED0C" w14:textId="3A076AD1" w:rsidR="003B7EC9" w:rsidRPr="003B7EC9" w:rsidRDefault="003B7EC9" w:rsidP="003B7EC9">
      <w:pPr>
        <w:spacing w:line="240" w:lineRule="auto"/>
        <w:rPr>
          <w:rFonts w:eastAsia="Times New Roman" w:cs="Arial"/>
        </w:rPr>
      </w:pPr>
      <w:r w:rsidRPr="003B7EC9">
        <w:rPr>
          <w:rFonts w:eastAsia="Times New Roman" w:cs="Arial"/>
          <w:bCs/>
          <w:i/>
          <w:iCs/>
          <w:color w:val="000000"/>
          <w:lang w:eastAsia="bg-BG"/>
        </w:rPr>
        <w:t>Старческа възраст</w:t>
      </w:r>
    </w:p>
    <w:p w14:paraId="4E93B24F"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Повишаване на дозата при пациенти в старческа възраст трябва да се извършва с внимание (вж. точки 4.2 и 5.2).</w:t>
      </w:r>
    </w:p>
    <w:p w14:paraId="7A8252B2" w14:textId="77777777" w:rsidR="003B7EC9" w:rsidRPr="003B7EC9" w:rsidRDefault="003B7EC9" w:rsidP="003B7EC9">
      <w:pPr>
        <w:spacing w:line="240" w:lineRule="auto"/>
        <w:rPr>
          <w:rFonts w:eastAsia="Times New Roman" w:cs="Arial"/>
          <w:bCs/>
          <w:i/>
          <w:iCs/>
          <w:color w:val="000000"/>
          <w:lang w:eastAsia="bg-BG"/>
        </w:rPr>
      </w:pPr>
    </w:p>
    <w:p w14:paraId="132C6F72" w14:textId="268C96CF" w:rsidR="003B7EC9" w:rsidRPr="003B7EC9" w:rsidRDefault="003B7EC9" w:rsidP="003B7EC9">
      <w:pPr>
        <w:spacing w:line="240" w:lineRule="auto"/>
        <w:rPr>
          <w:rFonts w:eastAsia="Times New Roman" w:cs="Arial"/>
        </w:rPr>
      </w:pPr>
      <w:r w:rsidRPr="003B7EC9">
        <w:rPr>
          <w:rFonts w:eastAsia="Times New Roman" w:cs="Arial"/>
          <w:bCs/>
          <w:i/>
          <w:iCs/>
          <w:color w:val="000000"/>
          <w:lang w:eastAsia="bg-BG"/>
        </w:rPr>
        <w:lastRenderedPageBreak/>
        <w:t>Пациенти с бъбречно увреждане</w:t>
      </w:r>
    </w:p>
    <w:p w14:paraId="2ABC2DB9"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Амлодипин може да се използва при тези пациенти в нормални дози. Промени в плазмените концентрации на амлодипин не са свързани със степента на бъбречното увреждане. Амлодипин не се диализира.</w:t>
      </w:r>
    </w:p>
    <w:p w14:paraId="74BE42DE" w14:textId="77777777" w:rsidR="003B7EC9" w:rsidRPr="003B7EC9" w:rsidRDefault="003B7EC9" w:rsidP="003B7EC9">
      <w:pPr>
        <w:spacing w:line="240" w:lineRule="auto"/>
        <w:rPr>
          <w:rFonts w:eastAsia="Times New Roman" w:cs="Arial"/>
          <w:bCs/>
          <w:i/>
          <w:iCs/>
          <w:color w:val="000000"/>
          <w:lang w:eastAsia="bg-BG"/>
        </w:rPr>
      </w:pPr>
    </w:p>
    <w:p w14:paraId="1032ECB9" w14:textId="3254A803" w:rsidR="003B7EC9" w:rsidRPr="003B7EC9" w:rsidRDefault="003B7EC9" w:rsidP="003B7EC9">
      <w:pPr>
        <w:spacing w:line="240" w:lineRule="auto"/>
        <w:rPr>
          <w:rFonts w:eastAsia="Times New Roman" w:cs="Arial"/>
        </w:rPr>
      </w:pPr>
      <w:r w:rsidRPr="003B7EC9">
        <w:rPr>
          <w:rFonts w:eastAsia="Times New Roman" w:cs="Arial"/>
          <w:bCs/>
          <w:i/>
          <w:iCs/>
          <w:color w:val="000000"/>
          <w:lang w:eastAsia="bg-BG"/>
        </w:rPr>
        <w:t>Предупреждения за помощните вещества</w:t>
      </w:r>
    </w:p>
    <w:p w14:paraId="0CB038DF"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 xml:space="preserve">Това лекарство съдържа сорбитол. Пациенти с рядка наследствена непоносимост към фруктоза </w:t>
      </w:r>
      <w:r w:rsidRPr="003B7EC9">
        <w:rPr>
          <w:rFonts w:eastAsia="Times New Roman" w:cs="Arial"/>
          <w:bCs/>
          <w:color w:val="000000"/>
          <w:lang w:val="ru-RU"/>
        </w:rPr>
        <w:t>(</w:t>
      </w:r>
      <w:r w:rsidRPr="003B7EC9">
        <w:rPr>
          <w:rFonts w:eastAsia="Times New Roman" w:cs="Arial"/>
          <w:bCs/>
          <w:color w:val="000000"/>
          <w:lang w:val="en-US"/>
        </w:rPr>
        <w:t>HFI</w:t>
      </w:r>
      <w:r w:rsidRPr="003B7EC9">
        <w:rPr>
          <w:rFonts w:eastAsia="Times New Roman" w:cs="Arial"/>
          <w:bCs/>
          <w:color w:val="000000"/>
          <w:lang w:val="ru-RU"/>
        </w:rPr>
        <w:t xml:space="preserve">) </w:t>
      </w:r>
      <w:r w:rsidRPr="003B7EC9">
        <w:rPr>
          <w:rFonts w:eastAsia="Times New Roman" w:cs="Arial"/>
          <w:bCs/>
          <w:color w:val="000000"/>
          <w:lang w:eastAsia="bg-BG"/>
        </w:rPr>
        <w:t>не трябва да приемат този лекарствен продукт.</w:t>
      </w:r>
    </w:p>
    <w:p w14:paraId="5F82774F"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Адитивният ефект от едновременното приложение на продукти съдържащи сорбитол (или фруктоза) и приемът на сорбитол (или фруктоза) с храната трябва да се вземе в предвид. Съдържанието на сорбитол в лекарствени продукти за перорално приложение може да повлияе бионаличността на други лекарствени продукти за перорално приложение при едновременната им употреба.</w:t>
      </w:r>
    </w:p>
    <w:p w14:paraId="3741422B" w14:textId="77777777" w:rsidR="003B7EC9" w:rsidRPr="003B7EC9" w:rsidRDefault="003B7EC9" w:rsidP="003B7EC9">
      <w:pPr>
        <w:spacing w:line="240" w:lineRule="auto"/>
        <w:rPr>
          <w:rFonts w:eastAsia="Times New Roman" w:cs="Arial"/>
          <w:bCs/>
          <w:color w:val="000000"/>
          <w:lang w:eastAsia="bg-BG"/>
        </w:rPr>
      </w:pPr>
    </w:p>
    <w:p w14:paraId="2B2809A9" w14:textId="42183F4D"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 xml:space="preserve">Това лекарство съдържа по-малко от 1 </w:t>
      </w:r>
      <w:proofErr w:type="spellStart"/>
      <w:r w:rsidRPr="003B7EC9">
        <w:rPr>
          <w:rFonts w:eastAsia="Times New Roman" w:cs="Arial"/>
          <w:bCs/>
          <w:color w:val="000000"/>
          <w:lang w:val="en-US"/>
        </w:rPr>
        <w:t>mmol</w:t>
      </w:r>
      <w:proofErr w:type="spellEnd"/>
      <w:r w:rsidRPr="003B7EC9">
        <w:rPr>
          <w:rFonts w:eastAsia="Times New Roman" w:cs="Arial"/>
          <w:bCs/>
          <w:color w:val="000000"/>
          <w:lang w:val="ru-RU"/>
        </w:rPr>
        <w:t xml:space="preserve"> </w:t>
      </w:r>
      <w:r w:rsidRPr="003B7EC9">
        <w:rPr>
          <w:rFonts w:eastAsia="Times New Roman" w:cs="Arial"/>
          <w:bCs/>
          <w:color w:val="000000"/>
          <w:lang w:eastAsia="bg-BG"/>
        </w:rPr>
        <w:t xml:space="preserve">натрий (23 </w:t>
      </w:r>
      <w:r w:rsidRPr="003B7EC9">
        <w:rPr>
          <w:rFonts w:eastAsia="Times New Roman" w:cs="Arial"/>
          <w:bCs/>
          <w:color w:val="000000"/>
          <w:lang w:val="en-US"/>
        </w:rPr>
        <w:t>mg</w:t>
      </w:r>
      <w:r w:rsidRPr="003B7EC9">
        <w:rPr>
          <w:rFonts w:eastAsia="Times New Roman" w:cs="Arial"/>
          <w:bCs/>
          <w:color w:val="000000"/>
          <w:lang w:val="ru-RU"/>
        </w:rPr>
        <w:t xml:space="preserve">) </w:t>
      </w:r>
      <w:r w:rsidRPr="003B7EC9">
        <w:rPr>
          <w:rFonts w:eastAsia="Times New Roman" w:cs="Arial"/>
          <w:bCs/>
          <w:color w:val="000000"/>
          <w:lang w:eastAsia="bg-BG"/>
        </w:rPr>
        <w:t>в таблетка, така че на практика е „без натрий“.</w:t>
      </w:r>
    </w:p>
    <w:p w14:paraId="31833D81" w14:textId="77777777" w:rsidR="003B7EC9" w:rsidRPr="003B7EC9" w:rsidRDefault="003B7EC9" w:rsidP="003B7EC9"/>
    <w:p w14:paraId="62F27C9B" w14:textId="5D670F5E" w:rsidR="00DB32D3" w:rsidRDefault="002C50EE" w:rsidP="005726E3">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55C568FB" w14:textId="11594B3D" w:rsidR="003B7EC9" w:rsidRDefault="003B7EC9" w:rsidP="003B7EC9"/>
    <w:p w14:paraId="5DDE0863" w14:textId="77777777" w:rsidR="003B7EC9" w:rsidRPr="003B7EC9" w:rsidRDefault="003B7EC9" w:rsidP="003B7EC9">
      <w:pPr>
        <w:spacing w:line="240" w:lineRule="auto"/>
        <w:rPr>
          <w:rFonts w:eastAsia="Times New Roman" w:cs="Arial"/>
        </w:rPr>
      </w:pPr>
      <w:r w:rsidRPr="003B7EC9">
        <w:rPr>
          <w:rFonts w:eastAsia="Times New Roman" w:cs="Arial"/>
          <w:bCs/>
          <w:color w:val="000000"/>
          <w:u w:val="single"/>
          <w:lang w:eastAsia="bg-BG"/>
        </w:rPr>
        <w:t>Свързани с телмисартан</w:t>
      </w:r>
    </w:p>
    <w:p w14:paraId="2150B610" w14:textId="77777777" w:rsidR="003B7EC9" w:rsidRPr="003B7EC9" w:rsidRDefault="003B7EC9" w:rsidP="003B7EC9">
      <w:pPr>
        <w:spacing w:line="240" w:lineRule="auto"/>
        <w:rPr>
          <w:rFonts w:eastAsia="Times New Roman" w:cs="Arial"/>
          <w:bCs/>
          <w:color w:val="000000"/>
          <w:u w:val="single"/>
          <w:lang w:eastAsia="bg-BG"/>
        </w:rPr>
      </w:pPr>
    </w:p>
    <w:p w14:paraId="29F49662" w14:textId="1BFBAE0C" w:rsidR="003B7EC9" w:rsidRPr="003B7EC9" w:rsidRDefault="003B7EC9" w:rsidP="003B7EC9">
      <w:pPr>
        <w:spacing w:line="240" w:lineRule="auto"/>
        <w:rPr>
          <w:rFonts w:eastAsia="Times New Roman" w:cs="Arial"/>
        </w:rPr>
      </w:pPr>
      <w:r w:rsidRPr="003B7EC9">
        <w:rPr>
          <w:rFonts w:eastAsia="Times New Roman" w:cs="Arial"/>
          <w:bCs/>
          <w:color w:val="000000"/>
          <w:u w:val="single"/>
          <w:lang w:eastAsia="bg-BG"/>
        </w:rPr>
        <w:t>Дигоксин</w:t>
      </w:r>
    </w:p>
    <w:p w14:paraId="2739EDF8"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При едновременна употреба на телмисартан с дигоксин се наблюдава умерено повишаване на пиковата (49%) и на най-ниската (20%) плазмена концентация на дигоксин. При започване, коригиране на дозата или спиране на лечението с телмисартан, трябва да се наблюдават нивата на дигоксин, за да се поддържат в терапевтичния интервал.</w:t>
      </w:r>
    </w:p>
    <w:p w14:paraId="37EF8D92" w14:textId="77777777" w:rsidR="003B7EC9" w:rsidRPr="003B7EC9" w:rsidRDefault="003B7EC9" w:rsidP="003B7EC9">
      <w:pPr>
        <w:spacing w:line="240" w:lineRule="auto"/>
        <w:rPr>
          <w:rFonts w:eastAsia="Times New Roman" w:cs="Arial"/>
          <w:bCs/>
          <w:color w:val="000000"/>
          <w:lang w:eastAsia="bg-BG"/>
        </w:rPr>
      </w:pPr>
    </w:p>
    <w:p w14:paraId="746AF7B1" w14:textId="3065440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 xml:space="preserve">Както и другите лекарствени продукти, които повлияват ренин-ангиотензин-алдостерон системата, телмисартан може да предизвика хиперкалиемия (вж. точка 4.4). Този риск може да се увеличи в случай на комбинирано лечение с други лекарствени продукти, които могат също да предизвикат хиперкалиемияхолеви заместители, съдържащи калий, калий-съхранявящи диуретици, АСЕ инихибитори, ангиотензин </w:t>
      </w:r>
      <w:r w:rsidRPr="003B7EC9">
        <w:rPr>
          <w:rFonts w:eastAsia="Times New Roman" w:cs="Arial"/>
          <w:bCs/>
          <w:color w:val="000000"/>
          <w:lang w:val="en-US"/>
        </w:rPr>
        <w:t>II</w:t>
      </w:r>
      <w:r w:rsidRPr="003B7EC9">
        <w:rPr>
          <w:rFonts w:eastAsia="Times New Roman" w:cs="Arial"/>
          <w:bCs/>
          <w:color w:val="000000"/>
          <w:lang w:eastAsia="bg-BG"/>
        </w:rPr>
        <w:t xml:space="preserve"> рецепторни антагонисти, нестероидни противовъзпалителни средства (НСПВС, включително селективни СОХ-2 инхибитори), хеперин, имуносупресори (циклоспорин или такролимус), и триметоприм.</w:t>
      </w:r>
    </w:p>
    <w:p w14:paraId="16046285" w14:textId="77777777" w:rsidR="003B7EC9" w:rsidRPr="003B7EC9" w:rsidRDefault="003B7EC9" w:rsidP="003B7EC9">
      <w:pPr>
        <w:spacing w:line="240" w:lineRule="auto"/>
        <w:rPr>
          <w:rFonts w:eastAsia="Times New Roman" w:cs="Arial"/>
          <w:bCs/>
          <w:color w:val="000000"/>
          <w:lang w:eastAsia="bg-BG"/>
        </w:rPr>
      </w:pPr>
    </w:p>
    <w:p w14:paraId="46AD2EC5" w14:textId="7C16E963"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Възникването на хиперкалиемия зависи от свързаните с това рискови фактори. Рискът се повишава при по-горе посочените лечебни комбинации. Рискът е особено висок при комбинация с калий-съхраняващи диуретици и когато се комбинира със солеви заместители, съдържащи калий. Например при комбинация с АСЕ инхибитори или НСПВС рискът е по- малък, при условие, че стриктно се спазват предпазните мерки при употреба.</w:t>
      </w:r>
    </w:p>
    <w:p w14:paraId="71E4AA59" w14:textId="77777777" w:rsidR="003B7EC9" w:rsidRPr="003B7EC9" w:rsidRDefault="003B7EC9" w:rsidP="003B7EC9">
      <w:pPr>
        <w:spacing w:line="240" w:lineRule="auto"/>
        <w:rPr>
          <w:rFonts w:eastAsia="Times New Roman" w:cs="Arial"/>
          <w:bCs/>
          <w:i/>
          <w:iCs/>
          <w:color w:val="000000"/>
          <w:lang w:eastAsia="bg-BG"/>
        </w:rPr>
      </w:pPr>
    </w:p>
    <w:p w14:paraId="7CE823F0" w14:textId="41443CFE" w:rsidR="003B7EC9" w:rsidRPr="003B7EC9" w:rsidRDefault="003B7EC9" w:rsidP="003B7EC9">
      <w:pPr>
        <w:spacing w:line="240" w:lineRule="auto"/>
        <w:rPr>
          <w:rFonts w:eastAsia="Times New Roman" w:cs="Arial"/>
        </w:rPr>
      </w:pPr>
      <w:r w:rsidRPr="003B7EC9">
        <w:rPr>
          <w:rFonts w:eastAsia="Times New Roman" w:cs="Arial"/>
          <w:bCs/>
          <w:i/>
          <w:iCs/>
          <w:color w:val="000000"/>
          <w:lang w:eastAsia="bg-BG"/>
        </w:rPr>
        <w:t>Едновременното приложение не се препоръ чва</w:t>
      </w:r>
    </w:p>
    <w:p w14:paraId="6C4F01E2" w14:textId="77777777" w:rsidR="003B7EC9" w:rsidRPr="003B7EC9" w:rsidRDefault="003B7EC9" w:rsidP="003B7EC9">
      <w:pPr>
        <w:spacing w:line="240" w:lineRule="auto"/>
        <w:rPr>
          <w:rFonts w:eastAsia="Times New Roman" w:cs="Arial"/>
          <w:bCs/>
          <w:i/>
          <w:iCs/>
          <w:color w:val="000000"/>
          <w:u w:val="single"/>
          <w:lang w:eastAsia="bg-BG"/>
        </w:rPr>
      </w:pPr>
    </w:p>
    <w:p w14:paraId="70B7AF5C" w14:textId="6C67FC82" w:rsidR="003B7EC9" w:rsidRPr="003B7EC9" w:rsidRDefault="003B7EC9" w:rsidP="003B7EC9">
      <w:pPr>
        <w:spacing w:line="240" w:lineRule="auto"/>
        <w:rPr>
          <w:rFonts w:eastAsia="Times New Roman" w:cs="Arial"/>
        </w:rPr>
      </w:pPr>
      <w:r w:rsidRPr="003B7EC9">
        <w:rPr>
          <w:rFonts w:eastAsia="Times New Roman" w:cs="Arial"/>
          <w:bCs/>
          <w:i/>
          <w:iCs/>
          <w:color w:val="000000"/>
          <w:u w:val="single"/>
          <w:lang w:eastAsia="bg-BG"/>
        </w:rPr>
        <w:t>Калий-съхраняваши диуретиии или калиеви добавки</w:t>
      </w:r>
    </w:p>
    <w:p w14:paraId="51CF6251" w14:textId="2E082247" w:rsidR="003B7EC9" w:rsidRPr="003B7EC9" w:rsidRDefault="003B7EC9" w:rsidP="003B7EC9">
      <w:pPr>
        <w:spacing w:line="240" w:lineRule="auto"/>
        <w:rPr>
          <w:rFonts w:eastAsia="Times New Roman" w:cs="Arial"/>
          <w:bCs/>
          <w:color w:val="000000"/>
          <w:lang w:eastAsia="bg-BG"/>
        </w:rPr>
      </w:pPr>
      <w:r w:rsidRPr="003B7EC9">
        <w:rPr>
          <w:rFonts w:eastAsia="Times New Roman" w:cs="Arial"/>
          <w:bCs/>
          <w:color w:val="000000"/>
          <w:lang w:eastAsia="bg-BG"/>
        </w:rPr>
        <w:t>Ангиотензин II рецепторни антагонисти,като телмисартан намаляват загубата</w:t>
      </w:r>
      <w:r w:rsidRPr="003B7EC9">
        <w:rPr>
          <w:rFonts w:eastAsia="Times New Roman" w:cs="Arial"/>
          <w:bCs/>
          <w:color w:val="000000"/>
          <w:lang w:val="ru-RU"/>
        </w:rPr>
        <w:t xml:space="preserve"> </w:t>
      </w:r>
      <w:r w:rsidRPr="003B7EC9">
        <w:rPr>
          <w:rFonts w:eastAsia="Times New Roman" w:cs="Arial"/>
          <w:bCs/>
          <w:color w:val="000000"/>
          <w:lang w:eastAsia="bg-BG"/>
        </w:rPr>
        <w:t>на калии. Калии</w:t>
      </w:r>
      <w:r w:rsidRPr="003B7EC9">
        <w:rPr>
          <w:rFonts w:eastAsia="Times New Roman" w:cs="Arial"/>
          <w:bCs/>
          <w:i/>
          <w:iCs/>
          <w:color w:val="000000"/>
          <w:lang w:eastAsia="bg-BG"/>
        </w:rPr>
        <w:t xml:space="preserve"> </w:t>
      </w:r>
      <w:r w:rsidRPr="003B7EC9">
        <w:rPr>
          <w:rFonts w:eastAsia="Times New Roman" w:cs="Arial"/>
          <w:bCs/>
          <w:color w:val="000000"/>
          <w:lang w:eastAsia="bg-BG"/>
        </w:rPr>
        <w:t>съхраняващите диуретици като спиронолактон, еплеренон, триамтерен или амилорид.</w:t>
      </w:r>
    </w:p>
    <w:p w14:paraId="0917DC48" w14:textId="736A6B81" w:rsidR="003B7EC9" w:rsidRPr="003B7EC9" w:rsidRDefault="003B7EC9" w:rsidP="003B7EC9">
      <w:pPr>
        <w:spacing w:line="240" w:lineRule="auto"/>
        <w:rPr>
          <w:rFonts w:eastAsia="Times New Roman" w:cs="Arial"/>
          <w:bCs/>
          <w:color w:val="000000"/>
          <w:lang w:eastAsia="bg-BG"/>
        </w:rPr>
      </w:pPr>
    </w:p>
    <w:p w14:paraId="323F32D6"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калиевите добавки или волевите заместители, съдържащи калий могат да доведат до значимо повишаване на серумния калий. Ако едновременното приложение е показано поради установена хипокалиемия, то трябва да се извършва с повишено внимание и трябва често да се следи серумния калий.</w:t>
      </w:r>
    </w:p>
    <w:p w14:paraId="3AD0810F" w14:textId="77777777" w:rsidR="003B7EC9" w:rsidRPr="003B7EC9" w:rsidRDefault="003B7EC9" w:rsidP="003B7EC9">
      <w:pPr>
        <w:spacing w:line="240" w:lineRule="auto"/>
        <w:rPr>
          <w:rFonts w:eastAsia="Times New Roman" w:cs="Arial"/>
          <w:bCs/>
          <w:i/>
          <w:iCs/>
          <w:color w:val="000000"/>
          <w:u w:val="single"/>
          <w:lang w:eastAsia="bg-BG"/>
        </w:rPr>
      </w:pPr>
    </w:p>
    <w:p w14:paraId="3D8E120F" w14:textId="0CD3F7A7" w:rsidR="003B7EC9" w:rsidRPr="003B7EC9" w:rsidRDefault="003B7EC9" w:rsidP="003B7EC9">
      <w:pPr>
        <w:spacing w:line="240" w:lineRule="auto"/>
        <w:rPr>
          <w:rFonts w:eastAsia="Times New Roman" w:cs="Arial"/>
        </w:rPr>
      </w:pPr>
      <w:r w:rsidRPr="003B7EC9">
        <w:rPr>
          <w:rFonts w:eastAsia="Times New Roman" w:cs="Arial"/>
          <w:bCs/>
          <w:i/>
          <w:iCs/>
          <w:color w:val="000000"/>
          <w:u w:val="single"/>
          <w:lang w:eastAsia="bg-BG"/>
        </w:rPr>
        <w:t>Литий</w:t>
      </w:r>
    </w:p>
    <w:p w14:paraId="0E57ACE2"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 xml:space="preserve">По време на едновременно приложение на литий с инхибитори на ангиотензин конвертиращия ензим и с ангиотензин </w:t>
      </w:r>
      <w:r w:rsidRPr="003B7EC9">
        <w:rPr>
          <w:rFonts w:eastAsia="Times New Roman" w:cs="Arial"/>
          <w:bCs/>
          <w:color w:val="000000"/>
          <w:lang w:val="en-US"/>
        </w:rPr>
        <w:t>II</w:t>
      </w:r>
      <w:r w:rsidRPr="003B7EC9">
        <w:rPr>
          <w:rFonts w:eastAsia="Times New Roman" w:cs="Arial"/>
          <w:bCs/>
          <w:color w:val="000000"/>
          <w:lang w:eastAsia="bg-BG"/>
        </w:rPr>
        <w:t xml:space="preserve"> рецепторни антагонисти, включително телмисартан, са наблюдавани обратимо повишение на серумните литиеви концентрации и прояви на токсичност. Ако тази комбинация е необходима, се препоръчва внимателно следене на серумните нива на лития.</w:t>
      </w:r>
    </w:p>
    <w:p w14:paraId="07539C8B" w14:textId="77777777" w:rsidR="003B7EC9" w:rsidRPr="003B7EC9" w:rsidRDefault="003B7EC9" w:rsidP="003B7EC9">
      <w:pPr>
        <w:spacing w:line="240" w:lineRule="auto"/>
        <w:rPr>
          <w:rFonts w:eastAsia="Times New Roman" w:cs="Arial"/>
          <w:bCs/>
          <w:i/>
          <w:iCs/>
          <w:color w:val="000000"/>
          <w:lang w:eastAsia="bg-BG"/>
        </w:rPr>
      </w:pPr>
    </w:p>
    <w:p w14:paraId="54900F00" w14:textId="6BF3E98C" w:rsidR="003B7EC9" w:rsidRPr="003B7EC9" w:rsidRDefault="003B7EC9" w:rsidP="003B7EC9">
      <w:pPr>
        <w:spacing w:line="240" w:lineRule="auto"/>
        <w:rPr>
          <w:rFonts w:eastAsia="Times New Roman" w:cs="Arial"/>
        </w:rPr>
      </w:pPr>
      <w:r w:rsidRPr="003B7EC9">
        <w:rPr>
          <w:rFonts w:eastAsia="Times New Roman" w:cs="Arial"/>
          <w:bCs/>
          <w:i/>
          <w:iCs/>
          <w:color w:val="000000"/>
          <w:lang w:eastAsia="bg-BG"/>
        </w:rPr>
        <w:t>Едновременното приложение изисква повишено внимание</w:t>
      </w:r>
    </w:p>
    <w:p w14:paraId="1F6C9B37" w14:textId="77777777" w:rsidR="003B7EC9" w:rsidRPr="003B7EC9" w:rsidRDefault="003B7EC9" w:rsidP="003B7EC9">
      <w:pPr>
        <w:spacing w:line="240" w:lineRule="auto"/>
        <w:rPr>
          <w:rFonts w:eastAsia="Times New Roman" w:cs="Arial"/>
          <w:bCs/>
          <w:i/>
          <w:iCs/>
          <w:color w:val="000000"/>
          <w:u w:val="single"/>
          <w:lang w:eastAsia="bg-BG"/>
        </w:rPr>
      </w:pPr>
    </w:p>
    <w:p w14:paraId="359C55FB" w14:textId="1378E16C" w:rsidR="003B7EC9" w:rsidRPr="003B7EC9" w:rsidRDefault="003B7EC9" w:rsidP="003B7EC9">
      <w:pPr>
        <w:spacing w:line="240" w:lineRule="auto"/>
        <w:rPr>
          <w:rFonts w:eastAsia="Times New Roman" w:cs="Arial"/>
        </w:rPr>
      </w:pPr>
      <w:r w:rsidRPr="003B7EC9">
        <w:rPr>
          <w:rFonts w:eastAsia="Times New Roman" w:cs="Arial"/>
          <w:bCs/>
          <w:i/>
          <w:iCs/>
          <w:color w:val="000000"/>
          <w:u w:val="single"/>
          <w:lang w:eastAsia="bg-BG"/>
        </w:rPr>
        <w:t>Нестероидни противовъзпалителни средства</w:t>
      </w:r>
    </w:p>
    <w:p w14:paraId="499B5600" w14:textId="62092262"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НСПВС (т.е. ацетилсалицилова киселина в противовъзпалителни дози, СОХ-</w:t>
      </w:r>
      <w:r w:rsidRPr="003B7EC9">
        <w:rPr>
          <w:rFonts w:eastAsia="Times New Roman" w:cs="Arial"/>
          <w:bCs/>
          <w:i/>
          <w:iCs/>
          <w:color w:val="000000"/>
          <w:lang w:eastAsia="bg-BG"/>
        </w:rPr>
        <w:t>2</w:t>
      </w:r>
      <w:r w:rsidRPr="003B7EC9">
        <w:rPr>
          <w:rFonts w:eastAsia="Times New Roman" w:cs="Arial"/>
          <w:bCs/>
          <w:color w:val="000000"/>
          <w:lang w:eastAsia="bg-BG"/>
        </w:rPr>
        <w:t xml:space="preserve"> инхибитори и неселективни НСПВС) могат да намалят антихипертензивния ефект на ангиотензин </w:t>
      </w:r>
      <w:r w:rsidRPr="003B7EC9">
        <w:rPr>
          <w:rFonts w:eastAsia="Times New Roman" w:cs="Arial"/>
          <w:bCs/>
          <w:color w:val="000000"/>
          <w:lang w:val="en-US"/>
        </w:rPr>
        <w:t>II</w:t>
      </w:r>
      <w:r w:rsidRPr="003B7EC9">
        <w:rPr>
          <w:rFonts w:eastAsia="Times New Roman" w:cs="Arial"/>
          <w:bCs/>
          <w:color w:val="000000"/>
          <w:lang w:eastAsia="bg-BG"/>
        </w:rPr>
        <w:t xml:space="preserve"> рецепторните антагонисти. При някои пациенти с нарушена бъбречна функция (например дехидратирани пациенти или пациенти в напреднала възраст с нарушена бъбречна функция) едновременното приложение на ангиотензин II рецепторни антагонисти и лекарствени продукти, които инхибират цикло-оксигеназата може да доведе до по-нататъшно влошаване на бъбречната функция, включително е възможна остра бъбречна недостатъчност, която обикновено е обратима. По тази причина, комбинацията трябва да бъде прилагана с повишено внимание, особено при пациенти в напреднала възраст. Пациентите трябва да бъдат адекватно хидратирани и да бъде проследявана бъбречната им функция в началото на комбинираното лечение и периодично след това.</w:t>
      </w:r>
    </w:p>
    <w:p w14:paraId="12507F56" w14:textId="77777777" w:rsidR="003B7EC9" w:rsidRPr="003B7EC9" w:rsidRDefault="003B7EC9" w:rsidP="003B7EC9">
      <w:pPr>
        <w:spacing w:line="240" w:lineRule="auto"/>
        <w:rPr>
          <w:rFonts w:eastAsia="Times New Roman" w:cs="Arial"/>
          <w:bCs/>
          <w:i/>
          <w:iCs/>
          <w:color w:val="000000"/>
          <w:u w:val="single"/>
          <w:lang w:eastAsia="bg-BG"/>
        </w:rPr>
      </w:pPr>
    </w:p>
    <w:p w14:paraId="673F1357" w14:textId="248B628D" w:rsidR="003B7EC9" w:rsidRPr="003B7EC9" w:rsidRDefault="003B7EC9" w:rsidP="003B7EC9">
      <w:pPr>
        <w:spacing w:line="240" w:lineRule="auto"/>
        <w:rPr>
          <w:rFonts w:eastAsia="Times New Roman" w:cs="Arial"/>
        </w:rPr>
      </w:pPr>
      <w:r w:rsidRPr="003B7EC9">
        <w:rPr>
          <w:rFonts w:eastAsia="Times New Roman" w:cs="Arial"/>
          <w:bCs/>
          <w:i/>
          <w:iCs/>
          <w:color w:val="000000"/>
          <w:u w:val="single"/>
          <w:lang w:eastAsia="bg-BG"/>
        </w:rPr>
        <w:t>Рамиприл</w:t>
      </w:r>
    </w:p>
    <w:p w14:paraId="79D5EC89"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 xml:space="preserve">В едно проучване едновременното прилагане на телмисартан и рамиприл е довело до повишаване на </w:t>
      </w:r>
      <w:r w:rsidRPr="003B7EC9">
        <w:rPr>
          <w:rFonts w:eastAsia="Times New Roman" w:cs="Arial"/>
          <w:bCs/>
          <w:color w:val="000000"/>
          <w:lang w:val="en-US"/>
        </w:rPr>
        <w:t>AUC</w:t>
      </w:r>
      <w:r w:rsidRPr="003B7EC9">
        <w:rPr>
          <w:rFonts w:eastAsia="Times New Roman" w:cs="Arial"/>
          <w:bCs/>
          <w:color w:val="000000"/>
          <w:lang w:val="ru-RU"/>
        </w:rPr>
        <w:t xml:space="preserve">0-24 </w:t>
      </w:r>
      <w:r w:rsidRPr="003B7EC9">
        <w:rPr>
          <w:rFonts w:eastAsia="Times New Roman" w:cs="Arial"/>
          <w:bCs/>
          <w:color w:val="000000"/>
          <w:lang w:eastAsia="bg-BG"/>
        </w:rPr>
        <w:t>и С</w:t>
      </w:r>
      <w:r w:rsidRPr="003B7EC9">
        <w:rPr>
          <w:rFonts w:eastAsia="Times New Roman" w:cs="Arial"/>
          <w:bCs/>
          <w:color w:val="000000"/>
          <w:vertAlign w:val="subscript"/>
          <w:lang w:val="en-US"/>
        </w:rPr>
        <w:t>max</w:t>
      </w:r>
      <w:r w:rsidRPr="003B7EC9">
        <w:rPr>
          <w:rFonts w:eastAsia="Times New Roman" w:cs="Arial"/>
          <w:bCs/>
          <w:color w:val="000000"/>
          <w:lang w:eastAsia="bg-BG"/>
        </w:rPr>
        <w:t xml:space="preserve"> на рамиприл и рамиприлат до 2,5 пъти. Клиничната значимост на това наблюдение не е известна.</w:t>
      </w:r>
    </w:p>
    <w:p w14:paraId="5C75E9F3" w14:textId="77777777" w:rsidR="003B7EC9" w:rsidRPr="003B7EC9" w:rsidRDefault="003B7EC9" w:rsidP="003B7EC9">
      <w:pPr>
        <w:spacing w:line="240" w:lineRule="auto"/>
        <w:rPr>
          <w:rFonts w:eastAsia="Times New Roman" w:cs="Arial"/>
          <w:bCs/>
          <w:i/>
          <w:iCs/>
          <w:color w:val="000000"/>
          <w:u w:val="single"/>
          <w:lang w:eastAsia="bg-BG"/>
        </w:rPr>
      </w:pPr>
    </w:p>
    <w:p w14:paraId="1EE02E3F" w14:textId="27E377C1" w:rsidR="003B7EC9" w:rsidRPr="003B7EC9" w:rsidRDefault="003B7EC9" w:rsidP="003B7EC9">
      <w:pPr>
        <w:spacing w:line="240" w:lineRule="auto"/>
        <w:rPr>
          <w:rFonts w:eastAsia="Times New Roman" w:cs="Arial"/>
        </w:rPr>
      </w:pPr>
      <w:r w:rsidRPr="003B7EC9">
        <w:rPr>
          <w:rFonts w:eastAsia="Times New Roman" w:cs="Arial"/>
          <w:bCs/>
          <w:i/>
          <w:iCs/>
          <w:color w:val="000000"/>
          <w:u w:val="single"/>
          <w:lang w:eastAsia="bg-BG"/>
        </w:rPr>
        <w:t>Диуретиии (тиазидни или бримкови диуретиии)</w:t>
      </w:r>
    </w:p>
    <w:p w14:paraId="195ADEB6" w14:textId="05F1CA1D"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Предшестваща терапия с високи дози диуретици като фуроземиц (бримков диуретик) и хидрохлоротиазид (тиазиден диуретик) може да доведе до обемен дефицит и риск от възникване на хипотония при започване на лечение с телмисартан.</w:t>
      </w:r>
    </w:p>
    <w:p w14:paraId="48CA7405" w14:textId="77777777" w:rsidR="003B7EC9" w:rsidRPr="003B7EC9" w:rsidRDefault="003B7EC9" w:rsidP="003B7EC9">
      <w:pPr>
        <w:spacing w:line="240" w:lineRule="auto"/>
        <w:rPr>
          <w:rFonts w:eastAsia="Times New Roman" w:cs="Arial"/>
          <w:bCs/>
          <w:i/>
          <w:iCs/>
          <w:color w:val="000000"/>
          <w:lang w:eastAsia="bg-BG"/>
        </w:rPr>
      </w:pPr>
    </w:p>
    <w:p w14:paraId="4E1EABF5" w14:textId="329CEA04" w:rsidR="003B7EC9" w:rsidRPr="003B7EC9" w:rsidRDefault="003B7EC9" w:rsidP="003B7EC9">
      <w:pPr>
        <w:spacing w:line="240" w:lineRule="auto"/>
        <w:rPr>
          <w:rFonts w:eastAsia="Times New Roman" w:cs="Arial"/>
        </w:rPr>
      </w:pPr>
      <w:r w:rsidRPr="003B7EC9">
        <w:rPr>
          <w:rFonts w:eastAsia="Times New Roman" w:cs="Arial"/>
          <w:bCs/>
          <w:i/>
          <w:iCs/>
          <w:color w:val="000000"/>
          <w:lang w:eastAsia="bg-BG"/>
        </w:rPr>
        <w:t>Трябва са се вземе под внимание при едновременно приложение</w:t>
      </w:r>
    </w:p>
    <w:p w14:paraId="1CAAFB9F" w14:textId="77777777" w:rsidR="003B7EC9" w:rsidRPr="003B7EC9" w:rsidRDefault="003B7EC9" w:rsidP="003B7EC9">
      <w:pPr>
        <w:spacing w:line="240" w:lineRule="auto"/>
        <w:rPr>
          <w:rFonts w:eastAsia="Times New Roman" w:cs="Arial"/>
          <w:bCs/>
          <w:i/>
          <w:iCs/>
          <w:color w:val="000000"/>
          <w:u w:val="single"/>
          <w:lang w:eastAsia="bg-BG"/>
        </w:rPr>
      </w:pPr>
    </w:p>
    <w:p w14:paraId="09B7A68E" w14:textId="19D1B21E" w:rsidR="003B7EC9" w:rsidRPr="003B7EC9" w:rsidRDefault="003B7EC9" w:rsidP="003B7EC9">
      <w:pPr>
        <w:spacing w:line="240" w:lineRule="auto"/>
        <w:rPr>
          <w:rFonts w:eastAsia="Times New Roman" w:cs="Arial"/>
        </w:rPr>
      </w:pPr>
      <w:r w:rsidRPr="003B7EC9">
        <w:rPr>
          <w:rFonts w:eastAsia="Times New Roman" w:cs="Arial"/>
          <w:bCs/>
          <w:i/>
          <w:iCs/>
          <w:color w:val="000000"/>
          <w:u w:val="single"/>
          <w:lang w:eastAsia="bg-BG"/>
        </w:rPr>
        <w:t>Други антихипертензивни лекарствени продукти</w:t>
      </w:r>
    </w:p>
    <w:p w14:paraId="657D532D"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Хипотензивният ефект на телмисартан може да се повиши при едновременното приложение с други антихипергензивни лекарствени продукти.</w:t>
      </w:r>
    </w:p>
    <w:p w14:paraId="0C286E3D" w14:textId="77777777" w:rsidR="003B7EC9" w:rsidRPr="003B7EC9" w:rsidRDefault="003B7EC9" w:rsidP="003B7EC9">
      <w:pPr>
        <w:spacing w:line="240" w:lineRule="auto"/>
        <w:rPr>
          <w:rFonts w:eastAsia="Times New Roman" w:cs="Arial"/>
          <w:bCs/>
          <w:color w:val="000000"/>
          <w:lang w:eastAsia="bg-BG"/>
        </w:rPr>
      </w:pPr>
    </w:p>
    <w:p w14:paraId="13ECCB07" w14:textId="427E8E5D"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Данни от клинични проучвания показват, че двойната блокада на ренин-ангиотензин- алдостерон-системата (РААС) чрез комбинирано използване на АСЕ-инхибитори, ангиотензин II рецепторни блокери или алискирен е свързано с по-висока честота на нежелани реакции като хипотония, хиперкалиемия и намалена бъбречна функция (включително остра бъбречна недостатъчност), в сравнение с използването на един агент повлияващ РААС (вж. точки 4.3,4.4 и 5.1).</w:t>
      </w:r>
    </w:p>
    <w:p w14:paraId="6900F0A7" w14:textId="77777777" w:rsidR="003B7EC9" w:rsidRPr="003B7EC9" w:rsidRDefault="003B7EC9" w:rsidP="003B7EC9">
      <w:pPr>
        <w:spacing w:line="240" w:lineRule="auto"/>
        <w:rPr>
          <w:rFonts w:eastAsia="Times New Roman" w:cs="Arial"/>
          <w:bCs/>
          <w:color w:val="000000"/>
          <w:lang w:eastAsia="bg-BG"/>
        </w:rPr>
      </w:pPr>
    </w:p>
    <w:p w14:paraId="7E3591AC" w14:textId="6683CA9E"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Въз основа на фармакологичните им свойства е възможно лекарствените продукти баклофен, амифостин могат да повишат хипотензивния ефект на всички антихипертензивни средства, включително телмисартан. Също така, ортостатична хипотония може да се влоши от алкохол барбитурати, наркотични вещества или антидепресанти.</w:t>
      </w:r>
    </w:p>
    <w:p w14:paraId="4E7BA9F2" w14:textId="77777777" w:rsidR="003B7EC9" w:rsidRPr="003B7EC9" w:rsidRDefault="003B7EC9" w:rsidP="003B7EC9">
      <w:pPr>
        <w:spacing w:line="240" w:lineRule="auto"/>
        <w:rPr>
          <w:rFonts w:eastAsia="Times New Roman" w:cs="Arial"/>
          <w:bCs/>
          <w:i/>
          <w:iCs/>
          <w:color w:val="000000"/>
          <w:u w:val="single"/>
          <w:lang w:eastAsia="bg-BG"/>
        </w:rPr>
      </w:pPr>
    </w:p>
    <w:p w14:paraId="463D8E07" w14:textId="77777777" w:rsidR="003B7EC9" w:rsidRPr="003B7EC9" w:rsidRDefault="003B7EC9" w:rsidP="003B7EC9">
      <w:pPr>
        <w:spacing w:line="240" w:lineRule="auto"/>
        <w:rPr>
          <w:rFonts w:eastAsia="Times New Roman" w:cs="Arial"/>
          <w:bCs/>
          <w:i/>
          <w:iCs/>
          <w:color w:val="000000"/>
          <w:u w:val="single"/>
          <w:lang w:eastAsia="bg-BG"/>
        </w:rPr>
      </w:pPr>
      <w:r w:rsidRPr="003B7EC9">
        <w:rPr>
          <w:rFonts w:eastAsia="Times New Roman" w:cs="Arial"/>
          <w:bCs/>
          <w:i/>
          <w:iCs/>
          <w:color w:val="000000"/>
          <w:u w:val="single"/>
          <w:lang w:eastAsia="bg-BG"/>
        </w:rPr>
        <w:t xml:space="preserve">Кортикостероиди (системно приложение) </w:t>
      </w:r>
    </w:p>
    <w:p w14:paraId="68227449" w14:textId="793375DD"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Намаляване на антихипертензивния ефект.</w:t>
      </w:r>
    </w:p>
    <w:p w14:paraId="54AB1A4A" w14:textId="0619D595" w:rsidR="003B7EC9" w:rsidRPr="003B7EC9" w:rsidRDefault="003B7EC9" w:rsidP="003B7EC9">
      <w:pPr>
        <w:spacing w:line="240" w:lineRule="auto"/>
        <w:rPr>
          <w:rFonts w:eastAsia="Times New Roman" w:cs="Arial"/>
        </w:rPr>
      </w:pPr>
    </w:p>
    <w:p w14:paraId="39E23A16" w14:textId="77777777" w:rsidR="003B7EC9" w:rsidRPr="003B7EC9" w:rsidRDefault="003B7EC9" w:rsidP="003B7EC9">
      <w:pPr>
        <w:spacing w:line="240" w:lineRule="auto"/>
        <w:rPr>
          <w:rFonts w:eastAsia="Times New Roman" w:cs="Arial"/>
        </w:rPr>
      </w:pPr>
      <w:r w:rsidRPr="003B7EC9">
        <w:rPr>
          <w:rFonts w:eastAsia="Times New Roman" w:cs="Arial"/>
          <w:bCs/>
          <w:color w:val="000000"/>
          <w:u w:val="single"/>
          <w:lang w:eastAsia="bg-BG"/>
        </w:rPr>
        <w:t>Взаимодействия свързани с амлодипин</w:t>
      </w:r>
    </w:p>
    <w:p w14:paraId="11750E5A" w14:textId="77777777" w:rsidR="003B7EC9" w:rsidRPr="003B7EC9" w:rsidRDefault="003B7EC9" w:rsidP="003B7EC9">
      <w:pPr>
        <w:spacing w:line="240" w:lineRule="auto"/>
        <w:rPr>
          <w:rFonts w:eastAsia="Times New Roman" w:cs="Arial"/>
          <w:bCs/>
          <w:i/>
          <w:iCs/>
          <w:color w:val="000000"/>
          <w:lang w:eastAsia="bg-BG"/>
        </w:rPr>
      </w:pPr>
    </w:p>
    <w:p w14:paraId="36DB2F11" w14:textId="49D1D213" w:rsidR="003B7EC9" w:rsidRPr="003B7EC9" w:rsidRDefault="003B7EC9" w:rsidP="003B7EC9">
      <w:pPr>
        <w:spacing w:line="240" w:lineRule="auto"/>
        <w:rPr>
          <w:rFonts w:eastAsia="Times New Roman" w:cs="Arial"/>
        </w:rPr>
      </w:pPr>
      <w:r w:rsidRPr="003B7EC9">
        <w:rPr>
          <w:rFonts w:eastAsia="Times New Roman" w:cs="Arial"/>
          <w:bCs/>
          <w:i/>
          <w:iCs/>
          <w:color w:val="000000"/>
          <w:lang w:eastAsia="bg-BG"/>
        </w:rPr>
        <w:t>Ефекти на други лекарствени продукти върху амлодипин</w:t>
      </w:r>
    </w:p>
    <w:p w14:paraId="2DE51E8D" w14:textId="77777777" w:rsidR="003B7EC9" w:rsidRPr="003B7EC9" w:rsidRDefault="003B7EC9" w:rsidP="003B7EC9">
      <w:pPr>
        <w:spacing w:line="240" w:lineRule="auto"/>
        <w:rPr>
          <w:rFonts w:eastAsia="Times New Roman" w:cs="Arial"/>
          <w:bCs/>
          <w:i/>
          <w:iCs/>
          <w:color w:val="000000"/>
          <w:u w:val="single"/>
          <w:lang w:val="ru-RU"/>
        </w:rPr>
      </w:pPr>
    </w:p>
    <w:p w14:paraId="11A9672F" w14:textId="22583B3C" w:rsidR="003B7EC9" w:rsidRPr="003B7EC9" w:rsidRDefault="003B7EC9" w:rsidP="003B7EC9">
      <w:pPr>
        <w:spacing w:line="240" w:lineRule="auto"/>
        <w:rPr>
          <w:rFonts w:eastAsia="Times New Roman" w:cs="Arial"/>
        </w:rPr>
      </w:pPr>
      <w:r w:rsidRPr="003B7EC9">
        <w:rPr>
          <w:rFonts w:eastAsia="Times New Roman" w:cs="Arial"/>
          <w:bCs/>
          <w:i/>
          <w:iCs/>
          <w:color w:val="000000"/>
          <w:u w:val="single"/>
          <w:lang w:val="en-US"/>
        </w:rPr>
        <w:t>CYP</w:t>
      </w:r>
      <w:r w:rsidRPr="003B7EC9">
        <w:rPr>
          <w:rFonts w:eastAsia="Times New Roman" w:cs="Arial"/>
          <w:bCs/>
          <w:i/>
          <w:iCs/>
          <w:color w:val="000000"/>
          <w:u w:val="single"/>
          <w:lang w:val="ru-RU"/>
        </w:rPr>
        <w:t>3</w:t>
      </w:r>
      <w:r w:rsidRPr="003B7EC9">
        <w:rPr>
          <w:rFonts w:eastAsia="Times New Roman" w:cs="Arial"/>
          <w:bCs/>
          <w:i/>
          <w:iCs/>
          <w:color w:val="000000"/>
          <w:u w:val="single"/>
          <w:lang w:val="en-US"/>
        </w:rPr>
        <w:t>A</w:t>
      </w:r>
      <w:r w:rsidRPr="003B7EC9">
        <w:rPr>
          <w:rFonts w:eastAsia="Times New Roman" w:cs="Arial"/>
          <w:bCs/>
          <w:i/>
          <w:iCs/>
          <w:color w:val="000000"/>
          <w:u w:val="single"/>
          <w:lang w:val="ru-RU"/>
        </w:rPr>
        <w:t xml:space="preserve">4 </w:t>
      </w:r>
      <w:r w:rsidRPr="003B7EC9">
        <w:rPr>
          <w:rFonts w:eastAsia="Times New Roman" w:cs="Arial"/>
          <w:bCs/>
          <w:i/>
          <w:iCs/>
          <w:color w:val="000000"/>
          <w:u w:val="single"/>
          <w:lang w:eastAsia="bg-BG"/>
        </w:rPr>
        <w:t>инхибитори</w:t>
      </w:r>
    </w:p>
    <w:p w14:paraId="2AE83EE8"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 xml:space="preserve">Едновременното приложение на амлодипин със силни или умерени </w:t>
      </w:r>
      <w:r w:rsidRPr="003B7EC9">
        <w:rPr>
          <w:rFonts w:eastAsia="Times New Roman" w:cs="Arial"/>
          <w:bCs/>
          <w:color w:val="000000"/>
          <w:lang w:val="en-US"/>
        </w:rPr>
        <w:t>CYP</w:t>
      </w:r>
      <w:r w:rsidRPr="003B7EC9">
        <w:rPr>
          <w:rFonts w:eastAsia="Times New Roman" w:cs="Arial"/>
          <w:bCs/>
          <w:color w:val="000000"/>
          <w:lang w:val="ru-RU"/>
        </w:rPr>
        <w:t>3</w:t>
      </w:r>
      <w:r w:rsidRPr="003B7EC9">
        <w:rPr>
          <w:rFonts w:eastAsia="Times New Roman" w:cs="Arial"/>
          <w:bCs/>
          <w:color w:val="000000"/>
          <w:lang w:val="en-US"/>
        </w:rPr>
        <w:t>A</w:t>
      </w:r>
      <w:r w:rsidRPr="003B7EC9">
        <w:rPr>
          <w:rFonts w:eastAsia="Times New Roman" w:cs="Arial"/>
          <w:bCs/>
          <w:color w:val="000000"/>
          <w:lang w:val="ru-RU"/>
        </w:rPr>
        <w:t xml:space="preserve">4 </w:t>
      </w:r>
      <w:r w:rsidRPr="003B7EC9">
        <w:rPr>
          <w:rFonts w:eastAsia="Times New Roman" w:cs="Arial"/>
          <w:bCs/>
          <w:color w:val="000000"/>
          <w:lang w:eastAsia="bg-BG"/>
        </w:rPr>
        <w:t>инхибитори (протеазни инхибитори, азолни противогъбични средства, макролиди като еритромицин или кларитромицин, верапамил или дилтиазем) може да доведе до значимо увеличаване на експозицията на амлодипин. Клиничната значимост на тези фармакокинетични вариации може да е по-изразена при пациентите в старческа възраст. Препоръчва се внимателно клинично проследяване и може да се наложи корекция на дозата.</w:t>
      </w:r>
    </w:p>
    <w:p w14:paraId="6BAC785B" w14:textId="77777777" w:rsidR="003B7EC9" w:rsidRPr="003B7EC9" w:rsidRDefault="003B7EC9" w:rsidP="003B7EC9">
      <w:pPr>
        <w:spacing w:line="240" w:lineRule="auto"/>
        <w:rPr>
          <w:rFonts w:eastAsia="Times New Roman" w:cs="Arial"/>
          <w:bCs/>
          <w:i/>
          <w:iCs/>
          <w:color w:val="000000"/>
          <w:u w:val="single"/>
          <w:lang w:val="en-US"/>
        </w:rPr>
      </w:pPr>
    </w:p>
    <w:p w14:paraId="2AC2130A" w14:textId="52B4584E" w:rsidR="003B7EC9" w:rsidRPr="003B7EC9" w:rsidRDefault="003B7EC9" w:rsidP="003B7EC9">
      <w:pPr>
        <w:spacing w:line="240" w:lineRule="auto"/>
        <w:rPr>
          <w:rFonts w:eastAsia="Times New Roman" w:cs="Arial"/>
        </w:rPr>
      </w:pPr>
      <w:r w:rsidRPr="003B7EC9">
        <w:rPr>
          <w:rFonts w:eastAsia="Times New Roman" w:cs="Arial"/>
          <w:bCs/>
          <w:i/>
          <w:iCs/>
          <w:color w:val="000000"/>
          <w:u w:val="single"/>
          <w:lang w:val="en-US"/>
        </w:rPr>
        <w:t>CYP</w:t>
      </w:r>
      <w:r w:rsidRPr="003B7EC9">
        <w:rPr>
          <w:rFonts w:eastAsia="Times New Roman" w:cs="Arial"/>
          <w:bCs/>
          <w:i/>
          <w:iCs/>
          <w:color w:val="000000"/>
          <w:u w:val="single"/>
          <w:lang w:val="ru-RU"/>
        </w:rPr>
        <w:t>3</w:t>
      </w:r>
      <w:r w:rsidRPr="003B7EC9">
        <w:rPr>
          <w:rFonts w:eastAsia="Times New Roman" w:cs="Arial"/>
          <w:bCs/>
          <w:i/>
          <w:iCs/>
          <w:color w:val="000000"/>
          <w:u w:val="single"/>
          <w:lang w:val="en-US"/>
        </w:rPr>
        <w:t>A</w:t>
      </w:r>
      <w:r w:rsidRPr="003B7EC9">
        <w:rPr>
          <w:rFonts w:eastAsia="Times New Roman" w:cs="Arial"/>
          <w:bCs/>
          <w:i/>
          <w:iCs/>
          <w:color w:val="000000"/>
          <w:u w:val="single"/>
          <w:lang w:val="ru-RU"/>
        </w:rPr>
        <w:t xml:space="preserve">4 </w:t>
      </w:r>
      <w:r w:rsidRPr="003B7EC9">
        <w:rPr>
          <w:rFonts w:eastAsia="Times New Roman" w:cs="Arial"/>
          <w:bCs/>
          <w:i/>
          <w:iCs/>
          <w:color w:val="000000"/>
          <w:u w:val="single"/>
          <w:lang w:eastAsia="bg-BG"/>
        </w:rPr>
        <w:t>индуктори</w:t>
      </w:r>
    </w:p>
    <w:p w14:paraId="7261286B"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 xml:space="preserve">При едновременно приложение на известни индуктори на </w:t>
      </w:r>
      <w:r w:rsidRPr="003B7EC9">
        <w:rPr>
          <w:rFonts w:eastAsia="Times New Roman" w:cs="Arial"/>
          <w:bCs/>
          <w:color w:val="000000"/>
          <w:lang w:val="en-US"/>
        </w:rPr>
        <w:t>CYP</w:t>
      </w:r>
      <w:r w:rsidRPr="003B7EC9">
        <w:rPr>
          <w:rFonts w:eastAsia="Times New Roman" w:cs="Arial"/>
          <w:bCs/>
          <w:color w:val="000000"/>
          <w:lang w:val="ru-RU"/>
        </w:rPr>
        <w:t>3</w:t>
      </w:r>
      <w:r w:rsidRPr="003B7EC9">
        <w:rPr>
          <w:rFonts w:eastAsia="Times New Roman" w:cs="Arial"/>
          <w:bCs/>
          <w:color w:val="000000"/>
          <w:lang w:eastAsia="bg-BG"/>
        </w:rPr>
        <w:t xml:space="preserve">А4 плазмената концентрация на амлодипин може да варира. Поради това кръвното налягане трябва да се проследява и да се обмисли адаптиране на дозата както по време, така и след едновременен прием, особено със силни </w:t>
      </w:r>
      <w:r w:rsidRPr="003B7EC9">
        <w:rPr>
          <w:rFonts w:eastAsia="Times New Roman" w:cs="Arial"/>
          <w:bCs/>
          <w:color w:val="000000"/>
          <w:lang w:val="en-US"/>
        </w:rPr>
        <w:t>CYP</w:t>
      </w:r>
      <w:r w:rsidRPr="003B7EC9">
        <w:rPr>
          <w:rFonts w:eastAsia="Times New Roman" w:cs="Arial"/>
          <w:bCs/>
          <w:color w:val="000000"/>
          <w:lang w:val="ru-RU"/>
        </w:rPr>
        <w:t>3</w:t>
      </w:r>
      <w:r w:rsidRPr="003B7EC9">
        <w:rPr>
          <w:rFonts w:eastAsia="Times New Roman" w:cs="Arial"/>
          <w:bCs/>
          <w:color w:val="000000"/>
          <w:lang w:eastAsia="bg-BG"/>
        </w:rPr>
        <w:t>А4 индуктори (напр. рифампицин, жълт кантарион).</w:t>
      </w:r>
    </w:p>
    <w:p w14:paraId="4EECCB9A" w14:textId="77777777" w:rsidR="003B7EC9" w:rsidRPr="003B7EC9" w:rsidRDefault="003B7EC9" w:rsidP="003B7EC9">
      <w:pPr>
        <w:spacing w:line="240" w:lineRule="auto"/>
        <w:rPr>
          <w:rFonts w:eastAsia="Times New Roman" w:cs="Arial"/>
          <w:bCs/>
          <w:i/>
          <w:iCs/>
          <w:color w:val="000000"/>
          <w:u w:val="single"/>
          <w:lang w:eastAsia="bg-BG"/>
        </w:rPr>
      </w:pPr>
    </w:p>
    <w:p w14:paraId="14587D25" w14:textId="52923AF6" w:rsidR="003B7EC9" w:rsidRPr="003B7EC9" w:rsidRDefault="003B7EC9" w:rsidP="003B7EC9">
      <w:pPr>
        <w:spacing w:line="240" w:lineRule="auto"/>
        <w:rPr>
          <w:rFonts w:eastAsia="Times New Roman" w:cs="Arial"/>
        </w:rPr>
      </w:pPr>
      <w:r w:rsidRPr="003B7EC9">
        <w:rPr>
          <w:rFonts w:eastAsia="Times New Roman" w:cs="Arial"/>
          <w:bCs/>
          <w:i/>
          <w:iCs/>
          <w:color w:val="000000"/>
          <w:u w:val="single"/>
          <w:lang w:eastAsia="bg-BG"/>
        </w:rPr>
        <w:t>Грейпфрут и сок от грейпфрут</w:t>
      </w:r>
    </w:p>
    <w:p w14:paraId="21C5BA0D"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Не се препоръчва употреба на амлодипин с грейпфрут или сок от грейпфрут, тъй като при някои пациенти бионаличността може да се повиши и да доведе до засилване на антихипертензивните ефекти.</w:t>
      </w:r>
    </w:p>
    <w:p w14:paraId="0EA2E4FE" w14:textId="77777777" w:rsidR="003B7EC9" w:rsidRPr="003B7EC9" w:rsidRDefault="003B7EC9" w:rsidP="003B7EC9">
      <w:pPr>
        <w:spacing w:line="240" w:lineRule="auto"/>
        <w:rPr>
          <w:rFonts w:eastAsia="Times New Roman" w:cs="Arial"/>
          <w:bCs/>
          <w:i/>
          <w:iCs/>
          <w:color w:val="000000"/>
          <w:u w:val="single"/>
          <w:lang w:eastAsia="bg-BG"/>
        </w:rPr>
      </w:pPr>
    </w:p>
    <w:p w14:paraId="397F54BF" w14:textId="6D4BC3C9" w:rsidR="003B7EC9" w:rsidRPr="003B7EC9" w:rsidRDefault="003B7EC9" w:rsidP="003B7EC9">
      <w:pPr>
        <w:spacing w:line="240" w:lineRule="auto"/>
        <w:rPr>
          <w:rFonts w:eastAsia="Times New Roman" w:cs="Arial"/>
        </w:rPr>
      </w:pPr>
      <w:r w:rsidRPr="003B7EC9">
        <w:rPr>
          <w:rFonts w:eastAsia="Times New Roman" w:cs="Arial"/>
          <w:bCs/>
          <w:i/>
          <w:iCs/>
          <w:color w:val="000000"/>
          <w:u w:val="single"/>
          <w:lang w:eastAsia="bg-BG"/>
        </w:rPr>
        <w:t>Дантролен (инфузия)</w:t>
      </w:r>
    </w:p>
    <w:p w14:paraId="64E2FCED"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При животни са наблюдавани летално камерно мъждене и сърдечно-съдов колапс, свързани с хиперкалиемия след приложение на верапамил и интравенозен дантролен. Поради риск от хиперкалиемия, се препоръчва да се избягва едновременното приложение с антагонисти на калциевите канали като амлодипин при пациенти, предразположени към малигнена хипертермия и при овладяване на малигнена хипертермия.</w:t>
      </w:r>
    </w:p>
    <w:p w14:paraId="61D6B1A5" w14:textId="77777777" w:rsidR="003B7EC9" w:rsidRPr="003B7EC9" w:rsidRDefault="003B7EC9" w:rsidP="003B7EC9">
      <w:pPr>
        <w:spacing w:line="240" w:lineRule="auto"/>
        <w:rPr>
          <w:rFonts w:eastAsia="Times New Roman" w:cs="Arial"/>
          <w:bCs/>
          <w:i/>
          <w:iCs/>
          <w:color w:val="000000"/>
          <w:lang w:eastAsia="bg-BG"/>
        </w:rPr>
      </w:pPr>
    </w:p>
    <w:p w14:paraId="730DEC42" w14:textId="1A379834" w:rsidR="003B7EC9" w:rsidRPr="003B7EC9" w:rsidRDefault="003B7EC9" w:rsidP="003B7EC9">
      <w:pPr>
        <w:spacing w:line="240" w:lineRule="auto"/>
        <w:rPr>
          <w:rFonts w:eastAsia="Times New Roman" w:cs="Arial"/>
        </w:rPr>
      </w:pPr>
      <w:r w:rsidRPr="003B7EC9">
        <w:rPr>
          <w:rFonts w:eastAsia="Times New Roman" w:cs="Arial"/>
          <w:bCs/>
          <w:i/>
          <w:iCs/>
          <w:color w:val="000000"/>
          <w:lang w:eastAsia="bg-BG"/>
        </w:rPr>
        <w:t>Ефекти на амлодипин върху други лекарствени продукти</w:t>
      </w:r>
    </w:p>
    <w:p w14:paraId="0D2A0346" w14:textId="77777777" w:rsidR="003B7EC9" w:rsidRPr="003B7EC9" w:rsidRDefault="003B7EC9" w:rsidP="003B7EC9">
      <w:pPr>
        <w:spacing w:line="240" w:lineRule="auto"/>
        <w:rPr>
          <w:rFonts w:eastAsia="Times New Roman" w:cs="Arial"/>
          <w:bCs/>
          <w:color w:val="000000"/>
          <w:lang w:eastAsia="bg-BG"/>
        </w:rPr>
      </w:pPr>
    </w:p>
    <w:p w14:paraId="782D89D9" w14:textId="658A7EA9"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Ефектите върху понижаване на артериалното налягане на амлодипин се наслагват към понижаващите кръвното налягане ефекти на други лекарствени средства с антихипертензивни свойства.</w:t>
      </w:r>
    </w:p>
    <w:p w14:paraId="6EDB1390" w14:textId="77777777" w:rsidR="003B7EC9" w:rsidRPr="003B7EC9" w:rsidRDefault="003B7EC9" w:rsidP="003B7EC9">
      <w:pPr>
        <w:spacing w:line="240" w:lineRule="auto"/>
        <w:rPr>
          <w:rFonts w:eastAsia="Times New Roman" w:cs="Arial"/>
          <w:bCs/>
          <w:i/>
          <w:iCs/>
          <w:color w:val="000000"/>
          <w:u w:val="single"/>
          <w:lang w:eastAsia="bg-BG"/>
        </w:rPr>
      </w:pPr>
    </w:p>
    <w:p w14:paraId="060E3D00" w14:textId="0469EDF9" w:rsidR="003B7EC9" w:rsidRPr="003B7EC9" w:rsidRDefault="003B7EC9" w:rsidP="003B7EC9">
      <w:pPr>
        <w:spacing w:line="240" w:lineRule="auto"/>
        <w:rPr>
          <w:rFonts w:eastAsia="Times New Roman" w:cs="Arial"/>
        </w:rPr>
      </w:pPr>
      <w:r w:rsidRPr="003B7EC9">
        <w:rPr>
          <w:rFonts w:eastAsia="Times New Roman" w:cs="Arial"/>
          <w:bCs/>
          <w:i/>
          <w:iCs/>
          <w:color w:val="000000"/>
          <w:u w:val="single"/>
          <w:lang w:eastAsia="bg-BG"/>
        </w:rPr>
        <w:t>Такролимус</w:t>
      </w:r>
    </w:p>
    <w:p w14:paraId="6B46E384"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 xml:space="preserve">Има опасност от повишаване на кръвните нива на такролимус, когато се прилага едновременно с амлодипин. За да се избегне токсичност на такролимус, приложението на </w:t>
      </w:r>
      <w:r w:rsidRPr="003B7EC9">
        <w:rPr>
          <w:rFonts w:eastAsia="Times New Roman" w:cs="Arial"/>
          <w:bCs/>
          <w:color w:val="000000"/>
          <w:lang w:eastAsia="bg-BG"/>
        </w:rPr>
        <w:lastRenderedPageBreak/>
        <w:t>амлодипин при пациенти, лекувани с такролимус изисква контрол на кръвните нива на такролимус и корекция на дозата на такролимус, когато е подходящо.</w:t>
      </w:r>
    </w:p>
    <w:p w14:paraId="78F85795" w14:textId="77777777" w:rsidR="003B7EC9" w:rsidRPr="003B7EC9" w:rsidRDefault="003B7EC9" w:rsidP="003B7EC9">
      <w:pPr>
        <w:spacing w:line="240" w:lineRule="auto"/>
        <w:rPr>
          <w:rFonts w:eastAsia="Times New Roman" w:cs="Arial"/>
          <w:bCs/>
          <w:i/>
          <w:iCs/>
          <w:color w:val="000000"/>
          <w:u w:val="single"/>
          <w:lang w:eastAsia="bg-BG"/>
        </w:rPr>
      </w:pPr>
    </w:p>
    <w:p w14:paraId="199339D7" w14:textId="1FCC3ACC" w:rsidR="003B7EC9" w:rsidRPr="003B7EC9" w:rsidRDefault="003B7EC9" w:rsidP="003B7EC9">
      <w:pPr>
        <w:spacing w:line="240" w:lineRule="auto"/>
        <w:rPr>
          <w:rFonts w:eastAsia="Times New Roman" w:cs="Arial"/>
        </w:rPr>
      </w:pPr>
      <w:r w:rsidRPr="003B7EC9">
        <w:rPr>
          <w:rFonts w:eastAsia="Times New Roman" w:cs="Arial"/>
          <w:bCs/>
          <w:i/>
          <w:iCs/>
          <w:color w:val="000000"/>
          <w:u w:val="single"/>
          <w:lang w:eastAsia="bg-BG"/>
        </w:rPr>
        <w:t xml:space="preserve">Рапамииин </w:t>
      </w:r>
      <w:r w:rsidRPr="003B7EC9">
        <w:rPr>
          <w:rFonts w:eastAsia="Times New Roman" w:cs="Arial"/>
          <w:bCs/>
          <w:i/>
          <w:iCs/>
          <w:color w:val="000000"/>
          <w:u w:val="single"/>
          <w:lang w:val="ru-RU"/>
        </w:rPr>
        <w:t>(</w:t>
      </w:r>
      <w:proofErr w:type="spellStart"/>
      <w:r w:rsidRPr="003B7EC9">
        <w:rPr>
          <w:rFonts w:eastAsia="Times New Roman" w:cs="Arial"/>
          <w:bCs/>
          <w:i/>
          <w:iCs/>
          <w:color w:val="000000"/>
          <w:u w:val="single"/>
          <w:lang w:val="en-US"/>
        </w:rPr>
        <w:t>mTOR</w:t>
      </w:r>
      <w:proofErr w:type="spellEnd"/>
      <w:r w:rsidRPr="003B7EC9">
        <w:rPr>
          <w:rFonts w:eastAsia="Times New Roman" w:cs="Arial"/>
          <w:bCs/>
          <w:i/>
          <w:iCs/>
          <w:color w:val="000000"/>
          <w:u w:val="single"/>
          <w:lang w:val="ru-RU"/>
        </w:rPr>
        <w:t xml:space="preserve">) </w:t>
      </w:r>
      <w:r w:rsidRPr="003B7EC9">
        <w:rPr>
          <w:rFonts w:eastAsia="Times New Roman" w:cs="Arial"/>
          <w:bCs/>
          <w:i/>
          <w:iCs/>
          <w:color w:val="000000"/>
          <w:u w:val="single"/>
          <w:lang w:eastAsia="bg-BG"/>
        </w:rPr>
        <w:t>инхибитори</w:t>
      </w:r>
    </w:p>
    <w:p w14:paraId="401E9C63" w14:textId="77777777" w:rsidR="003B7EC9" w:rsidRPr="003B7EC9" w:rsidRDefault="003B7EC9" w:rsidP="003B7EC9">
      <w:pPr>
        <w:spacing w:line="240" w:lineRule="auto"/>
        <w:rPr>
          <w:rFonts w:eastAsia="Times New Roman" w:cs="Arial"/>
        </w:rPr>
      </w:pPr>
      <w:proofErr w:type="spellStart"/>
      <w:proofErr w:type="gramStart"/>
      <w:r w:rsidRPr="003B7EC9">
        <w:rPr>
          <w:rFonts w:eastAsia="Times New Roman" w:cs="Arial"/>
          <w:bCs/>
          <w:color w:val="000000"/>
          <w:lang w:val="en-US"/>
        </w:rPr>
        <w:t>mTOR</w:t>
      </w:r>
      <w:proofErr w:type="spellEnd"/>
      <w:proofErr w:type="gramEnd"/>
      <w:r w:rsidRPr="003B7EC9">
        <w:rPr>
          <w:rFonts w:eastAsia="Times New Roman" w:cs="Arial"/>
          <w:bCs/>
          <w:color w:val="000000"/>
          <w:lang w:val="ru-RU"/>
        </w:rPr>
        <w:t xml:space="preserve"> </w:t>
      </w:r>
      <w:r w:rsidRPr="003B7EC9">
        <w:rPr>
          <w:rFonts w:eastAsia="Times New Roman" w:cs="Arial"/>
          <w:bCs/>
          <w:color w:val="000000"/>
          <w:lang w:eastAsia="bg-BG"/>
        </w:rPr>
        <w:t xml:space="preserve">инхибитори като сиролимус, темсиролимус и еверолимус са субстрати на </w:t>
      </w:r>
      <w:r w:rsidRPr="003B7EC9">
        <w:rPr>
          <w:rFonts w:eastAsia="Times New Roman" w:cs="Arial"/>
          <w:bCs/>
          <w:color w:val="000000"/>
          <w:lang w:val="en-US"/>
        </w:rPr>
        <w:t>CYP</w:t>
      </w:r>
      <w:r w:rsidRPr="003B7EC9">
        <w:rPr>
          <w:rFonts w:eastAsia="Times New Roman" w:cs="Arial"/>
          <w:bCs/>
          <w:color w:val="000000"/>
          <w:lang w:val="ru-RU"/>
        </w:rPr>
        <w:t>3</w:t>
      </w:r>
      <w:r w:rsidRPr="003B7EC9">
        <w:rPr>
          <w:rFonts w:eastAsia="Times New Roman" w:cs="Arial"/>
          <w:bCs/>
          <w:color w:val="000000"/>
          <w:lang w:val="en-US"/>
        </w:rPr>
        <w:t>A</w:t>
      </w:r>
      <w:r w:rsidRPr="003B7EC9">
        <w:rPr>
          <w:rFonts w:eastAsia="Times New Roman" w:cs="Arial"/>
          <w:bCs/>
          <w:color w:val="000000"/>
          <w:lang w:val="ru-RU"/>
        </w:rPr>
        <w:t xml:space="preserve">. </w:t>
      </w:r>
      <w:r w:rsidRPr="003B7EC9">
        <w:rPr>
          <w:rFonts w:eastAsia="Times New Roman" w:cs="Arial"/>
          <w:bCs/>
          <w:color w:val="000000"/>
          <w:lang w:eastAsia="bg-BG"/>
        </w:rPr>
        <w:t xml:space="preserve">Амлодипин е слаб </w:t>
      </w:r>
      <w:r w:rsidRPr="003B7EC9">
        <w:rPr>
          <w:rFonts w:eastAsia="Times New Roman" w:cs="Arial"/>
          <w:bCs/>
          <w:color w:val="000000"/>
          <w:lang w:val="en-US"/>
        </w:rPr>
        <w:t>CYP</w:t>
      </w:r>
      <w:r w:rsidRPr="003B7EC9">
        <w:rPr>
          <w:rFonts w:eastAsia="Times New Roman" w:cs="Arial"/>
          <w:bCs/>
          <w:color w:val="000000"/>
          <w:lang w:val="ru-RU"/>
        </w:rPr>
        <w:t>3</w:t>
      </w:r>
      <w:r w:rsidRPr="003B7EC9">
        <w:rPr>
          <w:rFonts w:eastAsia="Times New Roman" w:cs="Arial"/>
          <w:bCs/>
          <w:color w:val="000000"/>
          <w:lang w:val="en-US"/>
        </w:rPr>
        <w:t>A</w:t>
      </w:r>
      <w:r w:rsidRPr="003B7EC9">
        <w:rPr>
          <w:rFonts w:eastAsia="Times New Roman" w:cs="Arial"/>
          <w:bCs/>
          <w:color w:val="000000"/>
          <w:lang w:val="ru-RU"/>
        </w:rPr>
        <w:t xml:space="preserve"> </w:t>
      </w:r>
      <w:r w:rsidRPr="003B7EC9">
        <w:rPr>
          <w:rFonts w:eastAsia="Times New Roman" w:cs="Arial"/>
          <w:bCs/>
          <w:color w:val="000000"/>
          <w:lang w:eastAsia="bg-BG"/>
        </w:rPr>
        <w:t xml:space="preserve">инхибитор. При едновременна употреба с </w:t>
      </w:r>
      <w:proofErr w:type="spellStart"/>
      <w:r w:rsidRPr="003B7EC9">
        <w:rPr>
          <w:rFonts w:eastAsia="Times New Roman" w:cs="Arial"/>
          <w:bCs/>
          <w:color w:val="000000"/>
          <w:lang w:val="en-US"/>
        </w:rPr>
        <w:t>mTOR</w:t>
      </w:r>
      <w:proofErr w:type="spellEnd"/>
      <w:r w:rsidRPr="003B7EC9">
        <w:rPr>
          <w:rFonts w:eastAsia="Times New Roman" w:cs="Arial"/>
          <w:bCs/>
          <w:color w:val="000000"/>
          <w:lang w:val="ru-RU"/>
        </w:rPr>
        <w:t xml:space="preserve"> </w:t>
      </w:r>
      <w:r w:rsidRPr="003B7EC9">
        <w:rPr>
          <w:rFonts w:eastAsia="Times New Roman" w:cs="Arial"/>
          <w:bCs/>
          <w:color w:val="000000"/>
          <w:lang w:eastAsia="bg-BG"/>
        </w:rPr>
        <w:t xml:space="preserve">инхибитори, амлодипин може да увеличи излагането на </w:t>
      </w:r>
      <w:proofErr w:type="spellStart"/>
      <w:r w:rsidRPr="003B7EC9">
        <w:rPr>
          <w:rFonts w:eastAsia="Times New Roman" w:cs="Arial"/>
          <w:bCs/>
          <w:color w:val="000000"/>
          <w:lang w:val="en-US"/>
        </w:rPr>
        <w:t>mTOR</w:t>
      </w:r>
      <w:proofErr w:type="spellEnd"/>
      <w:r w:rsidRPr="003B7EC9">
        <w:rPr>
          <w:rFonts w:eastAsia="Times New Roman" w:cs="Arial"/>
          <w:bCs/>
          <w:color w:val="000000"/>
          <w:lang w:val="ru-RU"/>
        </w:rPr>
        <w:t xml:space="preserve"> </w:t>
      </w:r>
      <w:r w:rsidRPr="003B7EC9">
        <w:rPr>
          <w:rFonts w:eastAsia="Times New Roman" w:cs="Arial"/>
          <w:bCs/>
          <w:color w:val="000000"/>
          <w:lang w:eastAsia="bg-BG"/>
        </w:rPr>
        <w:t>инхибитори.</w:t>
      </w:r>
    </w:p>
    <w:p w14:paraId="70650FCB" w14:textId="77777777" w:rsidR="003B7EC9" w:rsidRPr="003B7EC9" w:rsidRDefault="003B7EC9" w:rsidP="003B7EC9">
      <w:pPr>
        <w:spacing w:line="240" w:lineRule="auto"/>
        <w:rPr>
          <w:rFonts w:eastAsia="Times New Roman" w:cs="Arial"/>
          <w:bCs/>
          <w:i/>
          <w:iCs/>
          <w:color w:val="000000"/>
          <w:u w:val="single"/>
          <w:lang w:eastAsia="bg-BG"/>
        </w:rPr>
      </w:pPr>
    </w:p>
    <w:p w14:paraId="71624D0A" w14:textId="6A44E729" w:rsidR="003B7EC9" w:rsidRPr="003B7EC9" w:rsidRDefault="003B7EC9" w:rsidP="003B7EC9">
      <w:pPr>
        <w:spacing w:line="240" w:lineRule="auto"/>
        <w:rPr>
          <w:rFonts w:eastAsia="Times New Roman" w:cs="Arial"/>
        </w:rPr>
      </w:pPr>
      <w:r w:rsidRPr="003B7EC9">
        <w:rPr>
          <w:rFonts w:eastAsia="Times New Roman" w:cs="Arial"/>
          <w:bCs/>
          <w:i/>
          <w:iCs/>
          <w:color w:val="000000"/>
          <w:u w:val="single"/>
          <w:lang w:eastAsia="bg-BG"/>
        </w:rPr>
        <w:t>Циклоспорин</w:t>
      </w:r>
    </w:p>
    <w:p w14:paraId="28236A2E" w14:textId="701BE145" w:rsidR="003B7EC9" w:rsidRPr="003B7EC9" w:rsidRDefault="003B7EC9" w:rsidP="003B7EC9">
      <w:pPr>
        <w:spacing w:line="240" w:lineRule="auto"/>
        <w:rPr>
          <w:rFonts w:eastAsia="Times New Roman" w:cs="Arial"/>
          <w:bCs/>
          <w:color w:val="000000"/>
          <w:lang w:eastAsia="bg-BG"/>
        </w:rPr>
      </w:pPr>
      <w:r w:rsidRPr="003B7EC9">
        <w:rPr>
          <w:rFonts w:eastAsia="Times New Roman" w:cs="Arial"/>
          <w:bCs/>
          <w:color w:val="000000"/>
          <w:lang w:eastAsia="bg-BG"/>
        </w:rPr>
        <w:t xml:space="preserve">Не са провеждани проучвания за лекарствени взаимодействия между циклоспорин и амлодипин при здрави доброволци или други популации, с изключение на пациенти с бъбречна трансплантация. При наблюдаваните пациенти концентрацията варира (средно от 0% </w:t>
      </w:r>
      <w:r w:rsidRPr="003B7EC9">
        <w:rPr>
          <w:rFonts w:eastAsia="Times New Roman" w:cs="Arial"/>
          <w:bCs/>
          <w:color w:val="000000"/>
          <w:u w:val="single"/>
          <w:lang w:eastAsia="bg-BG"/>
        </w:rPr>
        <w:t>до 40%</w:t>
      </w:r>
      <w:r w:rsidRPr="003B7EC9">
        <w:rPr>
          <w:rFonts w:eastAsia="Times New Roman" w:cs="Arial"/>
          <w:bCs/>
          <w:color w:val="000000"/>
          <w:lang w:eastAsia="bg-BG"/>
        </w:rPr>
        <w:t>) на циклоспорин. Трябва да се провежда мониторинг на нивата на циклоспорин при пациенти с бъбречна трансплантация, на амлодипин, и дозата на циклоспорин трябва да бъде намалена, когато е необходимо.</w:t>
      </w:r>
    </w:p>
    <w:p w14:paraId="789DFE16" w14:textId="60299318" w:rsidR="003B7EC9" w:rsidRPr="003B7EC9" w:rsidRDefault="003B7EC9" w:rsidP="003B7EC9">
      <w:pPr>
        <w:spacing w:line="240" w:lineRule="auto"/>
        <w:rPr>
          <w:rFonts w:eastAsia="Times New Roman" w:cs="Arial"/>
          <w:bCs/>
          <w:color w:val="000000"/>
          <w:lang w:eastAsia="bg-BG"/>
        </w:rPr>
      </w:pPr>
    </w:p>
    <w:p w14:paraId="47845959" w14:textId="77777777" w:rsidR="003B7EC9" w:rsidRPr="003B7EC9" w:rsidRDefault="003B7EC9" w:rsidP="003B7EC9">
      <w:pPr>
        <w:spacing w:line="240" w:lineRule="auto"/>
        <w:rPr>
          <w:rFonts w:eastAsia="Times New Roman" w:cs="Arial"/>
        </w:rPr>
      </w:pPr>
      <w:r w:rsidRPr="003B7EC9">
        <w:rPr>
          <w:rFonts w:eastAsia="Times New Roman" w:cs="Arial"/>
          <w:bCs/>
          <w:i/>
          <w:iCs/>
          <w:color w:val="000000"/>
          <w:u w:val="single"/>
          <w:lang w:eastAsia="bg-BG"/>
        </w:rPr>
        <w:t>Симвастатин</w:t>
      </w:r>
    </w:p>
    <w:p w14:paraId="3B647A9B"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 xml:space="preserve">Едновременният прием на многократни дози на 10 </w:t>
      </w:r>
      <w:r w:rsidRPr="003B7EC9">
        <w:rPr>
          <w:rFonts w:eastAsia="Times New Roman" w:cs="Arial"/>
          <w:bCs/>
          <w:color w:val="000000"/>
          <w:lang w:val="en-US"/>
        </w:rPr>
        <w:t>mg</w:t>
      </w:r>
      <w:r w:rsidRPr="003B7EC9">
        <w:rPr>
          <w:rFonts w:eastAsia="Times New Roman" w:cs="Arial"/>
          <w:bCs/>
          <w:color w:val="000000"/>
          <w:lang w:val="ru-RU"/>
        </w:rPr>
        <w:t xml:space="preserve"> </w:t>
      </w:r>
      <w:r w:rsidRPr="003B7EC9">
        <w:rPr>
          <w:rFonts w:eastAsia="Times New Roman" w:cs="Arial"/>
          <w:bCs/>
          <w:color w:val="000000"/>
          <w:lang w:eastAsia="bg-BG"/>
        </w:rPr>
        <w:t xml:space="preserve">амлодипин с 80 </w:t>
      </w:r>
      <w:r w:rsidRPr="003B7EC9">
        <w:rPr>
          <w:rFonts w:eastAsia="Times New Roman" w:cs="Arial"/>
          <w:bCs/>
          <w:color w:val="000000"/>
          <w:lang w:val="en-US"/>
        </w:rPr>
        <w:t>mg</w:t>
      </w:r>
      <w:r w:rsidRPr="003B7EC9">
        <w:rPr>
          <w:rFonts w:eastAsia="Times New Roman" w:cs="Arial"/>
          <w:bCs/>
          <w:color w:val="000000"/>
          <w:lang w:val="ru-RU"/>
        </w:rPr>
        <w:t xml:space="preserve"> </w:t>
      </w:r>
      <w:r w:rsidRPr="003B7EC9">
        <w:rPr>
          <w:rFonts w:eastAsia="Times New Roman" w:cs="Arial"/>
          <w:bCs/>
          <w:color w:val="000000"/>
          <w:lang w:eastAsia="bg-BG"/>
        </w:rPr>
        <w:t xml:space="preserve">симвастатин повишава експозицията на симвастатин със 77% в сравнение със симвастатин монотерапия. При пациенти, приемащи амлодипин, пределната доза симвастатин е 20 </w:t>
      </w:r>
      <w:r w:rsidRPr="003B7EC9">
        <w:rPr>
          <w:rFonts w:eastAsia="Times New Roman" w:cs="Arial"/>
          <w:bCs/>
          <w:color w:val="000000"/>
          <w:lang w:val="en-US"/>
        </w:rPr>
        <w:t>mg</w:t>
      </w:r>
      <w:r w:rsidRPr="003B7EC9">
        <w:rPr>
          <w:rFonts w:eastAsia="Times New Roman" w:cs="Arial"/>
          <w:bCs/>
          <w:color w:val="000000"/>
          <w:lang w:val="ru-RU"/>
        </w:rPr>
        <w:t xml:space="preserve"> </w:t>
      </w:r>
      <w:r w:rsidRPr="003B7EC9">
        <w:rPr>
          <w:rFonts w:eastAsia="Times New Roman" w:cs="Arial"/>
          <w:bCs/>
          <w:color w:val="000000"/>
          <w:lang w:eastAsia="bg-BG"/>
        </w:rPr>
        <w:t>дневно.</w:t>
      </w:r>
    </w:p>
    <w:p w14:paraId="096A08E0" w14:textId="77777777" w:rsidR="003B7EC9" w:rsidRPr="003B7EC9" w:rsidRDefault="003B7EC9" w:rsidP="003B7EC9">
      <w:pPr>
        <w:spacing w:line="240" w:lineRule="auto"/>
        <w:rPr>
          <w:rFonts w:eastAsia="Times New Roman" w:cs="Arial"/>
          <w:bCs/>
          <w:color w:val="000000"/>
          <w:lang w:eastAsia="bg-BG"/>
        </w:rPr>
      </w:pPr>
    </w:p>
    <w:p w14:paraId="18C06CE5" w14:textId="291E45D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При клинични изпитвания за взаимодействия амлодипин не повлиява фармакокинетиката на аторвастатин, дигоксин или варфарин.</w:t>
      </w:r>
    </w:p>
    <w:p w14:paraId="29A825C6" w14:textId="1A45F3C4" w:rsidR="003B7EC9" w:rsidRPr="003B7EC9" w:rsidRDefault="003B7EC9" w:rsidP="003B7EC9"/>
    <w:p w14:paraId="006BE4EC" w14:textId="08A56FDD" w:rsidR="00DB32D3" w:rsidRDefault="002C50EE" w:rsidP="005726E3">
      <w:pPr>
        <w:pStyle w:val="Heading2"/>
      </w:pPr>
      <w:r>
        <w:t>4.6. Фертилитет, бременност и кърмене</w:t>
      </w:r>
    </w:p>
    <w:p w14:paraId="4DC1139A" w14:textId="0319DC22" w:rsidR="003B7EC9" w:rsidRDefault="003B7EC9" w:rsidP="003B7EC9"/>
    <w:p w14:paraId="6B70C3D8" w14:textId="77777777" w:rsidR="003B7EC9" w:rsidRPr="003B7EC9" w:rsidRDefault="003B7EC9" w:rsidP="003B7EC9">
      <w:pPr>
        <w:pStyle w:val="Heading3"/>
        <w:rPr>
          <w:rFonts w:eastAsia="Times New Roman"/>
          <w:sz w:val="28"/>
          <w:u w:val="single"/>
        </w:rPr>
      </w:pPr>
      <w:r w:rsidRPr="003B7EC9">
        <w:rPr>
          <w:rFonts w:eastAsia="Times New Roman"/>
          <w:u w:val="single"/>
          <w:lang w:eastAsia="bg-BG"/>
        </w:rPr>
        <w:t>Бременност</w:t>
      </w:r>
    </w:p>
    <w:p w14:paraId="60163166"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Телфорт не се препоръчва по време на първия триместьр и е противопоказан по време на втория, и третия триместьр от бременността.</w:t>
      </w:r>
    </w:p>
    <w:p w14:paraId="4E7200AD"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Телфорт е противопоказан по време на втория и третия триместьр от бременността поради съдържанието на телмисартан.</w:t>
      </w:r>
    </w:p>
    <w:p w14:paraId="3A57007E" w14:textId="77777777" w:rsidR="003B7EC9" w:rsidRPr="003B7EC9" w:rsidRDefault="003B7EC9" w:rsidP="003B7EC9">
      <w:pPr>
        <w:rPr>
          <w:rFonts w:eastAsia="Times New Roman" w:cs="Arial"/>
          <w:bCs/>
          <w:i/>
          <w:iCs/>
          <w:color w:val="000000"/>
          <w:szCs w:val="20"/>
          <w:u w:val="single"/>
          <w:lang w:eastAsia="bg-BG"/>
        </w:rPr>
      </w:pPr>
    </w:p>
    <w:p w14:paraId="121EA805" w14:textId="36BABE50" w:rsidR="003B7EC9" w:rsidRPr="003B7EC9" w:rsidRDefault="003B7EC9" w:rsidP="003B7EC9">
      <w:pPr>
        <w:rPr>
          <w:rFonts w:eastAsia="Times New Roman" w:cs="Arial"/>
          <w:bCs/>
          <w:i/>
          <w:iCs/>
          <w:color w:val="000000"/>
          <w:szCs w:val="20"/>
          <w:u w:val="single"/>
          <w:lang w:eastAsia="bg-BG"/>
        </w:rPr>
      </w:pPr>
      <w:r w:rsidRPr="003B7EC9">
        <w:rPr>
          <w:rFonts w:eastAsia="Times New Roman" w:cs="Arial"/>
          <w:bCs/>
          <w:i/>
          <w:iCs/>
          <w:color w:val="000000"/>
          <w:szCs w:val="20"/>
          <w:u w:val="single"/>
          <w:lang w:eastAsia="bg-BG"/>
        </w:rPr>
        <w:t>Телмисартан</w:t>
      </w:r>
    </w:p>
    <w:tbl>
      <w:tblPr>
        <w:tblStyle w:val="TableGrid"/>
        <w:tblW w:w="0" w:type="auto"/>
        <w:tblLook w:val="04A0" w:firstRow="1" w:lastRow="0" w:firstColumn="1" w:lastColumn="0" w:noHBand="0" w:noVBand="1"/>
      </w:tblPr>
      <w:tblGrid>
        <w:gridCol w:w="9350"/>
      </w:tblGrid>
      <w:tr w:rsidR="003B7EC9" w:rsidRPr="003B7EC9" w14:paraId="116C8AE3" w14:textId="77777777" w:rsidTr="003B7EC9">
        <w:tc>
          <w:tcPr>
            <w:tcW w:w="9576" w:type="dxa"/>
          </w:tcPr>
          <w:p w14:paraId="0A94E69E"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Не се препоръчва употребата А</w:t>
            </w:r>
            <w:r w:rsidRPr="003B7EC9">
              <w:rPr>
                <w:rFonts w:eastAsia="Times New Roman" w:cs="Arial"/>
                <w:bCs/>
                <w:color w:val="000000"/>
                <w:szCs w:val="20"/>
                <w:lang w:val="en-US"/>
              </w:rPr>
              <w:t>II</w:t>
            </w:r>
            <w:r w:rsidRPr="003B7EC9">
              <w:rPr>
                <w:rFonts w:eastAsia="Times New Roman" w:cs="Arial"/>
                <w:bCs/>
                <w:color w:val="000000"/>
                <w:szCs w:val="20"/>
                <w:lang w:eastAsia="bg-BG"/>
              </w:rPr>
              <w:t>РА през първия триместьр на бременността (вж. точка 4.4).</w:t>
            </w:r>
          </w:p>
          <w:p w14:paraId="78DB5583" w14:textId="01AF08B9"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Употребата на А</w:t>
            </w:r>
            <w:r w:rsidRPr="003B7EC9">
              <w:rPr>
                <w:rFonts w:eastAsia="Times New Roman" w:cs="Arial"/>
                <w:bCs/>
                <w:color w:val="000000"/>
                <w:szCs w:val="20"/>
                <w:lang w:val="en-US"/>
              </w:rPr>
              <w:t>II</w:t>
            </w:r>
            <w:r w:rsidRPr="003B7EC9">
              <w:rPr>
                <w:rFonts w:eastAsia="Times New Roman" w:cs="Arial"/>
                <w:bCs/>
                <w:color w:val="000000"/>
                <w:szCs w:val="20"/>
                <w:lang w:eastAsia="bg-BG"/>
              </w:rPr>
              <w:t>РА е противопоказана през втория и третия триместьр на бременността (вж. точки 4.3 и 4.4).</w:t>
            </w:r>
          </w:p>
        </w:tc>
      </w:tr>
    </w:tbl>
    <w:p w14:paraId="3523C30D" w14:textId="32EE4254" w:rsidR="003B7EC9" w:rsidRPr="003B7EC9" w:rsidRDefault="003B7EC9" w:rsidP="003B7EC9">
      <w:pPr>
        <w:rPr>
          <w:rFonts w:cs="Arial"/>
          <w:sz w:val="24"/>
        </w:rPr>
      </w:pPr>
    </w:p>
    <w:p w14:paraId="269C8B66"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 xml:space="preserve">Няма достатъчно данни за употребата на телмисартан при бременни жени. Експерименталните проучвания при животни </w:t>
      </w:r>
      <w:r w:rsidRPr="003B7EC9">
        <w:rPr>
          <w:rFonts w:eastAsia="Times New Roman" w:cs="Arial"/>
          <w:bCs/>
          <w:i/>
          <w:iCs/>
          <w:color w:val="000000"/>
          <w:szCs w:val="20"/>
          <w:lang w:eastAsia="bg-BG"/>
        </w:rPr>
        <w:t>показват</w:t>
      </w:r>
      <w:r w:rsidRPr="003B7EC9">
        <w:rPr>
          <w:rFonts w:eastAsia="Times New Roman" w:cs="Arial"/>
          <w:bCs/>
          <w:color w:val="000000"/>
          <w:szCs w:val="20"/>
          <w:lang w:eastAsia="bg-BG"/>
        </w:rPr>
        <w:t xml:space="preserve"> репродуктивна токсичност (вж. точка 5.3).</w:t>
      </w:r>
    </w:p>
    <w:p w14:paraId="24952610" w14:textId="77777777" w:rsidR="003B7EC9" w:rsidRPr="003B7EC9" w:rsidRDefault="003B7EC9" w:rsidP="003B7EC9">
      <w:pPr>
        <w:spacing w:line="240" w:lineRule="auto"/>
        <w:rPr>
          <w:rFonts w:eastAsia="Times New Roman" w:cs="Arial"/>
          <w:bCs/>
          <w:color w:val="000000"/>
          <w:szCs w:val="20"/>
          <w:lang w:eastAsia="bg-BG"/>
        </w:rPr>
      </w:pPr>
    </w:p>
    <w:p w14:paraId="5E9C953B" w14:textId="02F8F9D6"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Епидемиологичните данни за риска от тератогенност след експозиция на АСЕ инхибитори през първия триместьр на бременността не са убедителни. Все пак, не може да се изключи слабо повишаване на риска. Докато няма контролирани епидемиологични данни за риска при употреба на А</w:t>
      </w:r>
      <w:r w:rsidRPr="003B7EC9">
        <w:rPr>
          <w:rFonts w:eastAsia="Times New Roman" w:cs="Arial"/>
          <w:bCs/>
          <w:color w:val="000000"/>
          <w:szCs w:val="20"/>
          <w:lang w:val="en-US"/>
        </w:rPr>
        <w:t>II</w:t>
      </w:r>
      <w:r w:rsidRPr="003B7EC9">
        <w:rPr>
          <w:rFonts w:eastAsia="Times New Roman" w:cs="Arial"/>
          <w:bCs/>
          <w:color w:val="000000"/>
          <w:szCs w:val="20"/>
          <w:lang w:eastAsia="bg-BG"/>
        </w:rPr>
        <w:t>РА, сходни рискове могат да съществуват и при този клас лекарства.</w:t>
      </w:r>
    </w:p>
    <w:p w14:paraId="3815D5B8"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lastRenderedPageBreak/>
        <w:t>Пациентките, които планират бременност, трябва да преминат към алтернативно антихипертензивно лечение с установен профил на безопасност при употреба по време на бременност, освен ако се счита, че е от особена важност да се продължи лечението с А</w:t>
      </w:r>
      <w:r w:rsidRPr="003B7EC9">
        <w:rPr>
          <w:rFonts w:eastAsia="Times New Roman" w:cs="Arial"/>
          <w:bCs/>
          <w:color w:val="000000"/>
          <w:szCs w:val="20"/>
          <w:lang w:val="en-US"/>
        </w:rPr>
        <w:t>II</w:t>
      </w:r>
      <w:r w:rsidRPr="003B7EC9">
        <w:rPr>
          <w:rFonts w:eastAsia="Times New Roman" w:cs="Arial"/>
          <w:bCs/>
          <w:color w:val="000000"/>
          <w:szCs w:val="20"/>
          <w:lang w:eastAsia="bg-BG"/>
        </w:rPr>
        <w:t>РА. Ако е диагностицирана бременност, лечението с А</w:t>
      </w:r>
      <w:r w:rsidRPr="003B7EC9">
        <w:rPr>
          <w:rFonts w:eastAsia="Times New Roman" w:cs="Arial"/>
          <w:bCs/>
          <w:color w:val="000000"/>
          <w:szCs w:val="20"/>
          <w:lang w:val="en-US"/>
        </w:rPr>
        <w:t>II</w:t>
      </w:r>
      <w:r w:rsidRPr="003B7EC9">
        <w:rPr>
          <w:rFonts w:eastAsia="Times New Roman" w:cs="Arial"/>
          <w:bCs/>
          <w:color w:val="000000"/>
          <w:szCs w:val="20"/>
          <w:lang w:eastAsia="bg-BG"/>
        </w:rPr>
        <w:t>РА трябва незабавно да бъде преустановено и ако е подходящо да бъде започнато алтернативно лечение.</w:t>
      </w:r>
    </w:p>
    <w:p w14:paraId="62C56D41" w14:textId="77777777" w:rsidR="003B7EC9" w:rsidRPr="003B7EC9" w:rsidRDefault="003B7EC9" w:rsidP="003B7EC9">
      <w:pPr>
        <w:spacing w:line="240" w:lineRule="auto"/>
        <w:rPr>
          <w:rFonts w:eastAsia="Times New Roman" w:cs="Arial"/>
          <w:bCs/>
          <w:color w:val="000000"/>
          <w:szCs w:val="20"/>
          <w:lang w:eastAsia="bg-BG"/>
        </w:rPr>
      </w:pPr>
    </w:p>
    <w:p w14:paraId="38B4D327" w14:textId="08E20ACF"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Установено е, че експозицията на А</w:t>
      </w:r>
      <w:r w:rsidRPr="003B7EC9">
        <w:rPr>
          <w:rFonts w:eastAsia="Times New Roman" w:cs="Arial"/>
          <w:bCs/>
          <w:color w:val="000000"/>
          <w:szCs w:val="20"/>
          <w:lang w:val="en-US"/>
        </w:rPr>
        <w:t>II</w:t>
      </w:r>
      <w:r w:rsidRPr="003B7EC9">
        <w:rPr>
          <w:rFonts w:eastAsia="Times New Roman" w:cs="Arial"/>
          <w:bCs/>
          <w:color w:val="000000"/>
          <w:szCs w:val="20"/>
          <w:lang w:eastAsia="bg-BG"/>
        </w:rPr>
        <w:t>РА през втория и третия триместьр на бременността при хора предизвиква фетотоксичност (влошена бъбречна функция, олигохидрамнион, забавена черепна осификация) и неонатална токсичност (бъбречна недостатъчност, хипотония и хиперкалиемия) (вж. точка 5.3).</w:t>
      </w:r>
    </w:p>
    <w:p w14:paraId="0C155ACF"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Препоръчва се ултразвуков изследване на бъбреците и черепа, ако настъпи експозиция на А</w:t>
      </w:r>
      <w:r w:rsidRPr="003B7EC9">
        <w:rPr>
          <w:rFonts w:eastAsia="Times New Roman" w:cs="Arial"/>
          <w:bCs/>
          <w:color w:val="000000"/>
          <w:szCs w:val="20"/>
          <w:lang w:val="en-US"/>
        </w:rPr>
        <w:t>II</w:t>
      </w:r>
      <w:r w:rsidRPr="003B7EC9">
        <w:rPr>
          <w:rFonts w:eastAsia="Times New Roman" w:cs="Arial"/>
          <w:bCs/>
          <w:color w:val="000000"/>
          <w:szCs w:val="20"/>
          <w:lang w:eastAsia="bg-BG"/>
        </w:rPr>
        <w:t>РА през втория триместьр на бременността и след това.</w:t>
      </w:r>
    </w:p>
    <w:p w14:paraId="2A49704C"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Новородените, чийто майки са приемали А</w:t>
      </w:r>
      <w:r w:rsidRPr="003B7EC9">
        <w:rPr>
          <w:rFonts w:eastAsia="Times New Roman" w:cs="Arial"/>
          <w:bCs/>
          <w:color w:val="000000"/>
          <w:szCs w:val="20"/>
          <w:lang w:val="en-US"/>
        </w:rPr>
        <w:t>II</w:t>
      </w:r>
      <w:r w:rsidRPr="003B7EC9">
        <w:rPr>
          <w:rFonts w:eastAsia="Times New Roman" w:cs="Arial"/>
          <w:bCs/>
          <w:color w:val="000000"/>
          <w:szCs w:val="20"/>
          <w:lang w:eastAsia="bg-BG"/>
        </w:rPr>
        <w:t>РА, трябва да бъдат внимателно наблюдавани за хипотония (вж. точки 4.3 и 4.4).</w:t>
      </w:r>
    </w:p>
    <w:p w14:paraId="73040C96" w14:textId="77777777" w:rsidR="003B7EC9" w:rsidRPr="003B7EC9" w:rsidRDefault="003B7EC9" w:rsidP="003B7EC9">
      <w:pPr>
        <w:spacing w:line="240" w:lineRule="auto"/>
        <w:rPr>
          <w:rFonts w:eastAsia="Times New Roman" w:cs="Arial"/>
          <w:bCs/>
          <w:i/>
          <w:iCs/>
          <w:color w:val="000000"/>
          <w:szCs w:val="20"/>
          <w:lang w:eastAsia="bg-BG"/>
        </w:rPr>
      </w:pPr>
    </w:p>
    <w:p w14:paraId="5E65D6D2" w14:textId="4AFD5072" w:rsidR="003B7EC9" w:rsidRPr="003B7EC9" w:rsidRDefault="003B7EC9" w:rsidP="003B7EC9">
      <w:pPr>
        <w:spacing w:line="240" w:lineRule="auto"/>
        <w:rPr>
          <w:rFonts w:eastAsia="Times New Roman" w:cs="Arial"/>
          <w:sz w:val="28"/>
          <w:szCs w:val="24"/>
        </w:rPr>
      </w:pPr>
      <w:r w:rsidRPr="003B7EC9">
        <w:rPr>
          <w:rFonts w:eastAsia="Times New Roman" w:cs="Arial"/>
          <w:bCs/>
          <w:i/>
          <w:iCs/>
          <w:color w:val="000000"/>
          <w:szCs w:val="20"/>
          <w:lang w:eastAsia="bg-BG"/>
        </w:rPr>
        <w:t>Амлодипин</w:t>
      </w:r>
    </w:p>
    <w:p w14:paraId="03EF0D82"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Безопасността на амлодипин по време на бременност при хора не е установена.</w:t>
      </w:r>
    </w:p>
    <w:p w14:paraId="04E5F831"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В проучвания при животни, при високи дози е наблюдавана репродуктивна токсичност (вж. точка 5.3).</w:t>
      </w:r>
    </w:p>
    <w:p w14:paraId="056F199D" w14:textId="0C14CF5E"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Приложение по време на бременност се препоръчва само когато няма безопасна алтернатива и косато болестта сама по себе си носи по-голям риск за майката и плода.</w:t>
      </w:r>
    </w:p>
    <w:p w14:paraId="7ADF9472" w14:textId="77777777" w:rsidR="003B7EC9" w:rsidRPr="003B7EC9" w:rsidRDefault="003B7EC9" w:rsidP="003B7EC9">
      <w:pPr>
        <w:spacing w:line="240" w:lineRule="auto"/>
        <w:rPr>
          <w:rFonts w:eastAsia="Times New Roman" w:cs="Arial"/>
          <w:bCs/>
          <w:color w:val="000000"/>
          <w:szCs w:val="20"/>
          <w:u w:val="single"/>
          <w:lang w:eastAsia="bg-BG"/>
        </w:rPr>
      </w:pPr>
    </w:p>
    <w:p w14:paraId="12365D27" w14:textId="7D63DB43" w:rsidR="003B7EC9" w:rsidRPr="003B7EC9" w:rsidRDefault="003B7EC9" w:rsidP="003B7EC9">
      <w:pPr>
        <w:pStyle w:val="Heading3"/>
        <w:rPr>
          <w:rFonts w:eastAsia="Times New Roman"/>
          <w:sz w:val="28"/>
          <w:u w:val="single"/>
        </w:rPr>
      </w:pPr>
      <w:r w:rsidRPr="003B7EC9">
        <w:rPr>
          <w:rFonts w:eastAsia="Times New Roman"/>
          <w:u w:val="single"/>
          <w:lang w:eastAsia="bg-BG"/>
        </w:rPr>
        <w:t>Кърмене</w:t>
      </w:r>
    </w:p>
    <w:p w14:paraId="79734EEE" w14:textId="1563FB0E" w:rsidR="003B7EC9" w:rsidRPr="003B7EC9" w:rsidRDefault="003B7EC9" w:rsidP="003B7EC9">
      <w:pPr>
        <w:rPr>
          <w:rFonts w:eastAsia="Times New Roman" w:cs="Arial"/>
          <w:bCs/>
          <w:color w:val="000000"/>
          <w:szCs w:val="20"/>
          <w:lang w:eastAsia="bg-BG"/>
        </w:rPr>
      </w:pPr>
      <w:r w:rsidRPr="003B7EC9">
        <w:rPr>
          <w:rFonts w:eastAsia="Times New Roman" w:cs="Arial"/>
          <w:bCs/>
          <w:color w:val="000000"/>
          <w:szCs w:val="20"/>
          <w:lang w:eastAsia="bg-BG"/>
        </w:rPr>
        <w:t>Амлодипин се екскретира в кърмата при хора. Частта от дозата на майката, получена от кърмачето, е изчислена с интерквартилен диапазон 3 - 7%, с максимум 15%. Ефектът на амлодипин върху кърмачетата е неизвестен. Няма данни относно употребата на Телфорт в периода на кърмене. Следователно, Телфорт не се препоръчва, а се предпочитат алтернативни лечения с по-добре установен профил на безопасност в периода на кърмене,  особено при кърмене на новородено или преждевременно родено дете.</w:t>
      </w:r>
    </w:p>
    <w:p w14:paraId="37A2FA83" w14:textId="027156CD" w:rsidR="003B7EC9" w:rsidRPr="003B7EC9" w:rsidRDefault="003B7EC9" w:rsidP="003B7EC9">
      <w:pPr>
        <w:rPr>
          <w:rFonts w:eastAsia="Times New Roman" w:cs="Arial"/>
          <w:bCs/>
          <w:color w:val="000000"/>
          <w:szCs w:val="20"/>
          <w:lang w:eastAsia="bg-BG"/>
        </w:rPr>
      </w:pPr>
    </w:p>
    <w:p w14:paraId="31668548" w14:textId="77777777" w:rsidR="003B7EC9" w:rsidRPr="003B7EC9" w:rsidRDefault="003B7EC9" w:rsidP="003B7EC9">
      <w:pPr>
        <w:pStyle w:val="Heading3"/>
        <w:rPr>
          <w:rFonts w:eastAsia="Times New Roman"/>
          <w:sz w:val="28"/>
          <w:u w:val="single"/>
        </w:rPr>
      </w:pPr>
      <w:r w:rsidRPr="003B7EC9">
        <w:rPr>
          <w:rFonts w:eastAsia="Times New Roman"/>
          <w:u w:val="single"/>
          <w:lang w:eastAsia="bg-BG"/>
        </w:rPr>
        <w:t>Фертилитет</w:t>
      </w:r>
    </w:p>
    <w:p w14:paraId="2F3AA6B4" w14:textId="77777777" w:rsidR="003B7EC9" w:rsidRPr="003B7EC9" w:rsidRDefault="003B7EC9" w:rsidP="003B7EC9">
      <w:pPr>
        <w:spacing w:line="240" w:lineRule="auto"/>
        <w:rPr>
          <w:rFonts w:eastAsia="Times New Roman" w:cs="Arial"/>
          <w:bCs/>
          <w:i/>
          <w:iCs/>
          <w:color w:val="000000"/>
          <w:szCs w:val="20"/>
          <w:lang w:eastAsia="bg-BG"/>
        </w:rPr>
      </w:pPr>
    </w:p>
    <w:p w14:paraId="4513E6FC" w14:textId="3627C844" w:rsidR="003B7EC9" w:rsidRPr="003B7EC9" w:rsidRDefault="003B7EC9" w:rsidP="003B7EC9">
      <w:pPr>
        <w:spacing w:line="240" w:lineRule="auto"/>
        <w:rPr>
          <w:rFonts w:eastAsia="Times New Roman" w:cs="Arial"/>
          <w:sz w:val="28"/>
          <w:szCs w:val="24"/>
        </w:rPr>
      </w:pPr>
      <w:r w:rsidRPr="003B7EC9">
        <w:rPr>
          <w:rFonts w:eastAsia="Times New Roman" w:cs="Arial"/>
          <w:bCs/>
          <w:i/>
          <w:iCs/>
          <w:color w:val="000000"/>
          <w:szCs w:val="20"/>
          <w:lang w:eastAsia="bg-BG"/>
        </w:rPr>
        <w:t>Телмисартан</w:t>
      </w:r>
    </w:p>
    <w:p w14:paraId="2791247F"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В предклинични проучвания не са наблюдавани ефекти на телмисартан върху фертилитета на мъжки и женски индивиди.</w:t>
      </w:r>
    </w:p>
    <w:p w14:paraId="5A602993" w14:textId="77777777" w:rsidR="003B7EC9" w:rsidRPr="003B7EC9" w:rsidRDefault="003B7EC9" w:rsidP="003B7EC9">
      <w:pPr>
        <w:spacing w:line="240" w:lineRule="auto"/>
        <w:rPr>
          <w:rFonts w:eastAsia="Times New Roman" w:cs="Arial"/>
          <w:bCs/>
          <w:i/>
          <w:iCs/>
          <w:color w:val="000000"/>
          <w:szCs w:val="20"/>
          <w:lang w:eastAsia="bg-BG"/>
        </w:rPr>
      </w:pPr>
    </w:p>
    <w:p w14:paraId="0631D28A" w14:textId="3D1499E1" w:rsidR="003B7EC9" w:rsidRPr="003B7EC9" w:rsidRDefault="003B7EC9" w:rsidP="003B7EC9">
      <w:pPr>
        <w:spacing w:line="240" w:lineRule="auto"/>
        <w:rPr>
          <w:rFonts w:eastAsia="Times New Roman" w:cs="Arial"/>
          <w:sz w:val="28"/>
          <w:szCs w:val="24"/>
        </w:rPr>
      </w:pPr>
      <w:r w:rsidRPr="003B7EC9">
        <w:rPr>
          <w:rFonts w:eastAsia="Times New Roman" w:cs="Arial"/>
          <w:bCs/>
          <w:i/>
          <w:iCs/>
          <w:color w:val="000000"/>
          <w:szCs w:val="20"/>
          <w:lang w:eastAsia="bg-BG"/>
        </w:rPr>
        <w:t>Амлодипин</w:t>
      </w:r>
    </w:p>
    <w:p w14:paraId="4066A6AA"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 xml:space="preserve">При някои пациенти, лекувани с блокери на калциевите канали, са съобщени обратими биохимични промени в главичката на сперматозоидите. Клиничните данни са недостатъчни по отношение на потенциалния ефект на </w:t>
      </w:r>
      <w:r w:rsidRPr="003B7EC9">
        <w:rPr>
          <w:rFonts w:eastAsia="Times New Roman" w:cs="Arial"/>
          <w:bCs/>
          <w:i/>
          <w:iCs/>
          <w:color w:val="000000"/>
          <w:szCs w:val="20"/>
          <w:lang w:eastAsia="bg-BG"/>
        </w:rPr>
        <w:t>амлодипин</w:t>
      </w:r>
      <w:r w:rsidRPr="003B7EC9">
        <w:rPr>
          <w:rFonts w:eastAsia="Times New Roman" w:cs="Arial"/>
          <w:bCs/>
          <w:color w:val="000000"/>
          <w:szCs w:val="20"/>
          <w:lang w:eastAsia="bg-BG"/>
        </w:rPr>
        <w:t xml:space="preserve"> върху фертилитета. При едно проучване при плъхове са установени нежелани ефекти върху мъжкия фертилитет (вж. точка 5.3).</w:t>
      </w:r>
    </w:p>
    <w:p w14:paraId="511B9677" w14:textId="77777777" w:rsidR="003B7EC9" w:rsidRPr="003B7EC9" w:rsidRDefault="003B7EC9" w:rsidP="003B7EC9"/>
    <w:p w14:paraId="128BA3A8" w14:textId="1674725D" w:rsidR="00DB32D3" w:rsidRDefault="002C50EE" w:rsidP="005726E3">
      <w:pPr>
        <w:pStyle w:val="Heading2"/>
      </w:pPr>
      <w:r>
        <w:t>4.7. Ефекти върху способността за шофиране и работа с машини</w:t>
      </w:r>
    </w:p>
    <w:p w14:paraId="0C541F9F" w14:textId="124DD554" w:rsidR="003B7EC9" w:rsidRDefault="003B7EC9" w:rsidP="003B7EC9"/>
    <w:p w14:paraId="7E49B244" w14:textId="77777777" w:rsidR="003B7EC9" w:rsidRPr="003B7EC9" w:rsidRDefault="003B7EC9" w:rsidP="003B7EC9">
      <w:pPr>
        <w:rPr>
          <w:sz w:val="24"/>
          <w:szCs w:val="24"/>
        </w:rPr>
      </w:pPr>
      <w:r w:rsidRPr="003B7EC9">
        <w:rPr>
          <w:lang w:eastAsia="bg-BG"/>
        </w:rPr>
        <w:t xml:space="preserve">Телфорт умерено повлиява способността за шофиране и работа с машини. При пациенти приемащи Телфорт със замайване, главоболие, умора или гадене може да се наруши способността им за реакция. Ето защо препоръчва се повишено внимание при шофиране </w:t>
      </w:r>
      <w:r w:rsidRPr="003B7EC9">
        <w:rPr>
          <w:lang w:eastAsia="bg-BG"/>
        </w:rPr>
        <w:lastRenderedPageBreak/>
        <w:t>и работа с машини. Ако при пациентите се проявяват тези нежелани реакции, те трябва да избягват потенциални рискови ситуации като шофиране или работа с машини.</w:t>
      </w:r>
    </w:p>
    <w:p w14:paraId="4EFDC4B1" w14:textId="77777777" w:rsidR="003B7EC9" w:rsidRPr="003B7EC9" w:rsidRDefault="003B7EC9" w:rsidP="003B7EC9"/>
    <w:p w14:paraId="44CE30A3" w14:textId="6C48C938" w:rsidR="007122AD" w:rsidRDefault="002C50EE" w:rsidP="00936AD0">
      <w:pPr>
        <w:pStyle w:val="Heading2"/>
      </w:pPr>
      <w:r>
        <w:t>4.8. Нежелани лекарствени реакции</w:t>
      </w:r>
    </w:p>
    <w:p w14:paraId="3F5C668D" w14:textId="56D6F6C7" w:rsidR="003B7EC9" w:rsidRDefault="003B7EC9" w:rsidP="003B7EC9"/>
    <w:p w14:paraId="233BF490"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Нежеланите реакции, съобщавани за всяка от отделните съставки (амлодипин или телмисартан) могат да бъдат потенциални нежелани реакции при Телфорт.</w:t>
      </w:r>
    </w:p>
    <w:p w14:paraId="203D05BE" w14:textId="77777777" w:rsidR="003B7EC9" w:rsidRPr="003B7EC9" w:rsidRDefault="003B7EC9" w:rsidP="003B7EC9">
      <w:pPr>
        <w:spacing w:line="240" w:lineRule="auto"/>
        <w:rPr>
          <w:rFonts w:eastAsia="Times New Roman" w:cs="Arial"/>
          <w:bCs/>
          <w:color w:val="000000"/>
          <w:szCs w:val="20"/>
          <w:u w:val="single"/>
          <w:lang w:eastAsia="bg-BG"/>
        </w:rPr>
      </w:pPr>
    </w:p>
    <w:p w14:paraId="4E220EB4" w14:textId="78A9AC1E"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u w:val="single"/>
          <w:lang w:eastAsia="bg-BG"/>
        </w:rPr>
        <w:t>Нежелани лекарствени реакции свързани с телмисартан</w:t>
      </w:r>
    </w:p>
    <w:p w14:paraId="308F82A2" w14:textId="77777777" w:rsidR="003B7EC9" w:rsidRPr="003B7EC9" w:rsidRDefault="003B7EC9" w:rsidP="003B7EC9">
      <w:pPr>
        <w:spacing w:line="240" w:lineRule="auto"/>
        <w:rPr>
          <w:rFonts w:eastAsia="Times New Roman" w:cs="Arial"/>
          <w:bCs/>
          <w:i/>
          <w:iCs/>
          <w:color w:val="000000"/>
          <w:szCs w:val="20"/>
          <w:lang w:eastAsia="bg-BG"/>
        </w:rPr>
      </w:pPr>
    </w:p>
    <w:p w14:paraId="0B9AF9CB" w14:textId="601213D4" w:rsidR="003B7EC9" w:rsidRPr="003B7EC9" w:rsidRDefault="003B7EC9" w:rsidP="003B7EC9">
      <w:pPr>
        <w:spacing w:line="240" w:lineRule="auto"/>
        <w:rPr>
          <w:rFonts w:eastAsia="Times New Roman" w:cs="Arial"/>
          <w:sz w:val="28"/>
          <w:szCs w:val="24"/>
        </w:rPr>
      </w:pPr>
      <w:r w:rsidRPr="003B7EC9">
        <w:rPr>
          <w:rFonts w:eastAsia="Times New Roman" w:cs="Arial"/>
          <w:bCs/>
          <w:i/>
          <w:iCs/>
          <w:color w:val="000000"/>
          <w:szCs w:val="20"/>
          <w:lang w:eastAsia="bg-BG"/>
        </w:rPr>
        <w:t>Обобщение на профила на безопасност</w:t>
      </w:r>
    </w:p>
    <w:p w14:paraId="536D9186"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Сериозните нежелани лекарствени реакции включват анафилактични реакции и ангиоедем, които може да настъпят рядко (≥1/10 000 до &lt;1/1 000) и остра бъбречна недостатъчност.</w:t>
      </w:r>
    </w:p>
    <w:p w14:paraId="0BE88B87" w14:textId="77777777" w:rsidR="003B7EC9" w:rsidRPr="003B7EC9" w:rsidRDefault="003B7EC9" w:rsidP="003B7EC9">
      <w:pPr>
        <w:spacing w:line="240" w:lineRule="auto"/>
        <w:rPr>
          <w:rFonts w:eastAsia="Times New Roman" w:cs="Arial"/>
          <w:bCs/>
          <w:color w:val="000000"/>
          <w:szCs w:val="20"/>
          <w:lang w:eastAsia="bg-BG"/>
        </w:rPr>
      </w:pPr>
    </w:p>
    <w:p w14:paraId="183786A0" w14:textId="77777777" w:rsidR="003B7EC9" w:rsidRPr="003B7EC9" w:rsidRDefault="003B7EC9" w:rsidP="003B7EC9">
      <w:pPr>
        <w:spacing w:line="240" w:lineRule="auto"/>
        <w:rPr>
          <w:rFonts w:eastAsia="Times New Roman" w:cs="Arial"/>
          <w:bCs/>
          <w:color w:val="000000"/>
          <w:szCs w:val="20"/>
          <w:lang w:eastAsia="bg-BG"/>
        </w:rPr>
      </w:pPr>
      <w:r w:rsidRPr="003B7EC9">
        <w:rPr>
          <w:rFonts w:eastAsia="Times New Roman" w:cs="Arial"/>
          <w:bCs/>
          <w:color w:val="000000"/>
          <w:szCs w:val="20"/>
          <w:lang w:eastAsia="bg-BG"/>
        </w:rPr>
        <w:t xml:space="preserve">Честотата на нежелани лекарствени реакции, съобщавани при употребата на телмисартан, обикновено е сравнима с плацебо (41,4% спрямо 43,9%) при плацебо-контролирани проучвания при пациенти, лекувани за хипертония. Случаите на проявени нежелани лекарствени реакции не са свързани с дозата и не </w:t>
      </w:r>
      <w:r w:rsidRPr="003B7EC9">
        <w:rPr>
          <w:rFonts w:eastAsia="Times New Roman" w:cs="Arial"/>
          <w:bCs/>
          <w:i/>
          <w:iCs/>
          <w:color w:val="000000"/>
          <w:szCs w:val="20"/>
          <w:lang w:eastAsia="bg-BG"/>
        </w:rPr>
        <w:t>показват</w:t>
      </w:r>
      <w:r w:rsidRPr="003B7EC9">
        <w:rPr>
          <w:rFonts w:eastAsia="Times New Roman" w:cs="Arial"/>
          <w:bCs/>
          <w:color w:val="000000"/>
          <w:szCs w:val="20"/>
          <w:lang w:eastAsia="bg-BG"/>
        </w:rPr>
        <w:t xml:space="preserve"> зависимост от пола, възрастта или расата на пациентите. Профилът на безопасност на телмисартан при пациенти, лекувани за намаляване на сърдечносъдовата </w:t>
      </w:r>
    </w:p>
    <w:p w14:paraId="2D74A509" w14:textId="733D7828"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заболеваемост е сходен с този, наблюдаван при пациенти с хипертония.</w:t>
      </w:r>
    </w:p>
    <w:p w14:paraId="68E3C3FD" w14:textId="77777777" w:rsidR="003B7EC9" w:rsidRPr="003B7EC9" w:rsidRDefault="003B7EC9" w:rsidP="003B7EC9">
      <w:pPr>
        <w:spacing w:line="240" w:lineRule="auto"/>
        <w:rPr>
          <w:rFonts w:eastAsia="Times New Roman" w:cs="Arial"/>
          <w:bCs/>
          <w:color w:val="000000"/>
          <w:szCs w:val="20"/>
          <w:lang w:eastAsia="bg-BG"/>
        </w:rPr>
      </w:pPr>
    </w:p>
    <w:p w14:paraId="6EEC1E90" w14:textId="253477C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Представените по-долу нежелани лекарствени реакции, отразяват резултатите от контролирани клинични проучвания при пациенти, лекувани за хипертония и от пост-маркетингови доклади. Също се имат предвид сериозните нежелани реакции, както и прекъсване на лечението, докладвани при продължителни клинични проучвания, включващи 21 642 пациента, лекувани с телмисартан за намаляване на сърдечносъдовата заболеваемост за период до 6 години.</w:t>
      </w:r>
    </w:p>
    <w:p w14:paraId="07C721DA" w14:textId="77777777" w:rsidR="003B7EC9" w:rsidRPr="003B7EC9" w:rsidRDefault="003B7EC9" w:rsidP="003B7EC9">
      <w:pPr>
        <w:spacing w:line="240" w:lineRule="auto"/>
        <w:rPr>
          <w:rFonts w:eastAsia="Times New Roman" w:cs="Arial"/>
          <w:bCs/>
          <w:i/>
          <w:iCs/>
          <w:color w:val="000000"/>
          <w:szCs w:val="20"/>
          <w:lang w:eastAsia="bg-BG"/>
        </w:rPr>
      </w:pPr>
    </w:p>
    <w:p w14:paraId="735D6169" w14:textId="04E2B1AE" w:rsidR="003B7EC9" w:rsidRPr="003B7EC9" w:rsidRDefault="003B7EC9" w:rsidP="003B7EC9">
      <w:pPr>
        <w:spacing w:line="240" w:lineRule="auto"/>
        <w:rPr>
          <w:rFonts w:eastAsia="Times New Roman" w:cs="Arial"/>
          <w:sz w:val="28"/>
          <w:szCs w:val="24"/>
        </w:rPr>
      </w:pPr>
      <w:r w:rsidRPr="003B7EC9">
        <w:rPr>
          <w:rFonts w:eastAsia="Times New Roman" w:cs="Arial"/>
          <w:bCs/>
          <w:i/>
          <w:iCs/>
          <w:color w:val="000000"/>
          <w:szCs w:val="20"/>
          <w:lang w:eastAsia="bg-BG"/>
        </w:rPr>
        <w:t>Обобщение на нежеланите лекарствени реакции в табличен формат</w:t>
      </w:r>
    </w:p>
    <w:p w14:paraId="74F81F65" w14:textId="77777777" w:rsidR="003B7EC9" w:rsidRPr="003B7EC9" w:rsidRDefault="003B7EC9" w:rsidP="003B7EC9">
      <w:pPr>
        <w:spacing w:line="240" w:lineRule="auto"/>
        <w:rPr>
          <w:rFonts w:eastAsia="Times New Roman" w:cs="Arial"/>
          <w:bCs/>
          <w:color w:val="000000"/>
          <w:szCs w:val="20"/>
          <w:lang w:eastAsia="bg-BG"/>
        </w:rPr>
      </w:pPr>
    </w:p>
    <w:p w14:paraId="606EF6F3" w14:textId="7D6A602A"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Нежеланите лекарствени реакции са категоризирани според честотата, като е използвана следната класификация: много чести (≥1/10), чести (≥1/100 до &lt;1/10), нечести (≥1/1 000 до &lt;1/100), редки (≥1/10 000 до &lt;1/1 000), много редки (&lt;1/10 000), с неизвестна честота (от наличните данни не може да бъде направена оценка).</w:t>
      </w:r>
    </w:p>
    <w:p w14:paraId="1C04A138"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При всяко групиране в зависимост от честотата, нежеланите лекарствени реакции се изброяват в низходящ ред по отношение на тежестта.</w:t>
      </w:r>
    </w:p>
    <w:p w14:paraId="0FC61C0B" w14:textId="5DBF2E24" w:rsidR="003B7EC9" w:rsidRDefault="003B7EC9" w:rsidP="003B7EC9"/>
    <w:tbl>
      <w:tblPr>
        <w:tblStyle w:val="TableGrid"/>
        <w:tblW w:w="0" w:type="auto"/>
        <w:tblLook w:val="04A0" w:firstRow="1" w:lastRow="0" w:firstColumn="1" w:lastColumn="0" w:noHBand="0" w:noVBand="1"/>
      </w:tblPr>
      <w:tblGrid>
        <w:gridCol w:w="3121"/>
        <w:gridCol w:w="3075"/>
        <w:gridCol w:w="3154"/>
      </w:tblGrid>
      <w:tr w:rsidR="00991A37" w14:paraId="32CFA2F9" w14:textId="77777777" w:rsidTr="00991A37">
        <w:tc>
          <w:tcPr>
            <w:tcW w:w="3192" w:type="dxa"/>
            <w:vAlign w:val="bottom"/>
          </w:tcPr>
          <w:p w14:paraId="212F26B4" w14:textId="645FAC6D" w:rsidR="00991A37" w:rsidRPr="00991A37" w:rsidRDefault="00991A37" w:rsidP="00991A37">
            <w:r w:rsidRPr="00991A37">
              <w:rPr>
                <w:bCs/>
                <w:szCs w:val="20"/>
              </w:rPr>
              <w:t>Системо-органен клас</w:t>
            </w:r>
          </w:p>
        </w:tc>
        <w:tc>
          <w:tcPr>
            <w:tcW w:w="3192" w:type="dxa"/>
            <w:vAlign w:val="bottom"/>
          </w:tcPr>
          <w:p w14:paraId="28EC8E33" w14:textId="4566C091" w:rsidR="00991A37" w:rsidRPr="00991A37" w:rsidRDefault="00991A37" w:rsidP="00991A37">
            <w:r w:rsidRPr="00991A37">
              <w:rPr>
                <w:bCs/>
                <w:szCs w:val="20"/>
              </w:rPr>
              <w:t>Честота</w:t>
            </w:r>
          </w:p>
        </w:tc>
        <w:tc>
          <w:tcPr>
            <w:tcW w:w="3192" w:type="dxa"/>
            <w:vAlign w:val="bottom"/>
          </w:tcPr>
          <w:p w14:paraId="161806F5" w14:textId="11F654E5" w:rsidR="00991A37" w:rsidRPr="00991A37" w:rsidRDefault="00991A37" w:rsidP="00991A37">
            <w:r w:rsidRPr="00991A37">
              <w:rPr>
                <w:bCs/>
                <w:szCs w:val="20"/>
              </w:rPr>
              <w:t>Нежелани лекарствени реакции</w:t>
            </w:r>
          </w:p>
        </w:tc>
      </w:tr>
      <w:tr w:rsidR="00991A37" w14:paraId="16FF0FC7" w14:textId="77777777" w:rsidTr="00991A37">
        <w:tc>
          <w:tcPr>
            <w:tcW w:w="3192" w:type="dxa"/>
            <w:vMerge w:val="restart"/>
          </w:tcPr>
          <w:p w14:paraId="62ABE63F" w14:textId="32237CFB" w:rsidR="00991A37" w:rsidRPr="00991A37" w:rsidRDefault="00991A37" w:rsidP="00991A37">
            <w:r w:rsidRPr="00991A37">
              <w:rPr>
                <w:bCs/>
                <w:szCs w:val="20"/>
              </w:rPr>
              <w:t>Инфекции и инфестации:</w:t>
            </w:r>
          </w:p>
        </w:tc>
        <w:tc>
          <w:tcPr>
            <w:tcW w:w="3192" w:type="dxa"/>
          </w:tcPr>
          <w:p w14:paraId="77ACFD23" w14:textId="167E6DF8" w:rsidR="00991A37" w:rsidRPr="00991A37" w:rsidRDefault="00991A37" w:rsidP="00991A37">
            <w:r w:rsidRPr="00991A37">
              <w:rPr>
                <w:bCs/>
                <w:szCs w:val="20"/>
              </w:rPr>
              <w:t>Нечести</w:t>
            </w:r>
          </w:p>
        </w:tc>
        <w:tc>
          <w:tcPr>
            <w:tcW w:w="3192" w:type="dxa"/>
            <w:vAlign w:val="bottom"/>
          </w:tcPr>
          <w:p w14:paraId="42782A64" w14:textId="0B4D9332" w:rsidR="00991A37" w:rsidRPr="00991A37" w:rsidRDefault="00991A37" w:rsidP="00991A37">
            <w:r w:rsidRPr="00991A37">
              <w:rPr>
                <w:bCs/>
                <w:szCs w:val="20"/>
              </w:rPr>
              <w:t>Инфекция на уринарния тракт, включително цистит, инфекция на горния респираторен тракт, включително фарингит и синуит</w:t>
            </w:r>
          </w:p>
        </w:tc>
      </w:tr>
      <w:tr w:rsidR="00991A37" w14:paraId="45D21D7A" w14:textId="77777777" w:rsidTr="00991A37">
        <w:tc>
          <w:tcPr>
            <w:tcW w:w="3192" w:type="dxa"/>
            <w:vMerge/>
          </w:tcPr>
          <w:p w14:paraId="520D09C7" w14:textId="77777777" w:rsidR="00991A37" w:rsidRPr="00991A37" w:rsidRDefault="00991A37" w:rsidP="00991A37"/>
        </w:tc>
        <w:tc>
          <w:tcPr>
            <w:tcW w:w="3192" w:type="dxa"/>
            <w:vAlign w:val="bottom"/>
          </w:tcPr>
          <w:p w14:paraId="593CF1E1" w14:textId="3A149F4F" w:rsidR="00991A37" w:rsidRPr="00991A37" w:rsidRDefault="00991A37" w:rsidP="00991A37">
            <w:r w:rsidRPr="00991A37">
              <w:rPr>
                <w:bCs/>
                <w:szCs w:val="20"/>
              </w:rPr>
              <w:t>Редки</w:t>
            </w:r>
          </w:p>
        </w:tc>
        <w:tc>
          <w:tcPr>
            <w:tcW w:w="3192" w:type="dxa"/>
            <w:vAlign w:val="bottom"/>
          </w:tcPr>
          <w:p w14:paraId="121835BC" w14:textId="443071BD" w:rsidR="00991A37" w:rsidRPr="00991A37" w:rsidRDefault="00991A37" w:rsidP="00991A37">
            <w:r w:rsidRPr="00991A37">
              <w:rPr>
                <w:bCs/>
                <w:szCs w:val="20"/>
              </w:rPr>
              <w:t>Сепсис, включително с фатален изход</w:t>
            </w:r>
            <w:r w:rsidRPr="00991A37">
              <w:rPr>
                <w:bCs/>
                <w:szCs w:val="20"/>
                <w:vertAlign w:val="superscript"/>
              </w:rPr>
              <w:t>1</w:t>
            </w:r>
          </w:p>
        </w:tc>
      </w:tr>
      <w:tr w:rsidR="00991A37" w14:paraId="142BB61D" w14:textId="77777777" w:rsidTr="00991A37">
        <w:tc>
          <w:tcPr>
            <w:tcW w:w="3192" w:type="dxa"/>
            <w:vMerge w:val="restart"/>
          </w:tcPr>
          <w:p w14:paraId="28C1A34B" w14:textId="118849E9" w:rsidR="00991A37" w:rsidRPr="00991A37" w:rsidRDefault="00991A37" w:rsidP="00991A37">
            <w:r w:rsidRPr="00991A37">
              <w:rPr>
                <w:bCs/>
                <w:szCs w:val="20"/>
              </w:rPr>
              <w:lastRenderedPageBreak/>
              <w:t>Нарушения на кръвта и лимфната система</w:t>
            </w:r>
          </w:p>
        </w:tc>
        <w:tc>
          <w:tcPr>
            <w:tcW w:w="3192" w:type="dxa"/>
          </w:tcPr>
          <w:p w14:paraId="27A24326" w14:textId="348838DA" w:rsidR="00991A37" w:rsidRPr="00991A37" w:rsidRDefault="00991A37" w:rsidP="00991A37">
            <w:r w:rsidRPr="00991A37">
              <w:rPr>
                <w:bCs/>
                <w:szCs w:val="20"/>
              </w:rPr>
              <w:t>Нечести</w:t>
            </w:r>
          </w:p>
        </w:tc>
        <w:tc>
          <w:tcPr>
            <w:tcW w:w="3192" w:type="dxa"/>
          </w:tcPr>
          <w:p w14:paraId="16F6C68C" w14:textId="68F9C86D" w:rsidR="00991A37" w:rsidRPr="00991A37" w:rsidRDefault="00991A37" w:rsidP="00991A37">
            <w:r w:rsidRPr="00991A37">
              <w:rPr>
                <w:bCs/>
                <w:szCs w:val="20"/>
              </w:rPr>
              <w:t>Анемия</w:t>
            </w:r>
          </w:p>
        </w:tc>
      </w:tr>
      <w:tr w:rsidR="00991A37" w14:paraId="51B9D1B7" w14:textId="77777777" w:rsidTr="00991A37">
        <w:tc>
          <w:tcPr>
            <w:tcW w:w="3192" w:type="dxa"/>
            <w:vMerge/>
          </w:tcPr>
          <w:p w14:paraId="6BF6346C" w14:textId="77777777" w:rsidR="00991A37" w:rsidRPr="00991A37" w:rsidRDefault="00991A37" w:rsidP="00991A37"/>
        </w:tc>
        <w:tc>
          <w:tcPr>
            <w:tcW w:w="3192" w:type="dxa"/>
          </w:tcPr>
          <w:p w14:paraId="5F4614C9" w14:textId="518AF781" w:rsidR="00991A37" w:rsidRPr="00991A37" w:rsidRDefault="00991A37" w:rsidP="00991A37">
            <w:r w:rsidRPr="00991A37">
              <w:rPr>
                <w:bCs/>
                <w:szCs w:val="20"/>
              </w:rPr>
              <w:t>Редки</w:t>
            </w:r>
          </w:p>
        </w:tc>
        <w:tc>
          <w:tcPr>
            <w:tcW w:w="3192" w:type="dxa"/>
          </w:tcPr>
          <w:p w14:paraId="1E983F1C" w14:textId="5B45FE02" w:rsidR="00991A37" w:rsidRPr="00991A37" w:rsidRDefault="00991A37" w:rsidP="00991A37">
            <w:r w:rsidRPr="00991A37">
              <w:rPr>
                <w:bCs/>
                <w:szCs w:val="20"/>
              </w:rPr>
              <w:t>Еозииофилия, тромбоцитопения</w:t>
            </w:r>
          </w:p>
        </w:tc>
      </w:tr>
      <w:tr w:rsidR="00991A37" w14:paraId="3281B3DF" w14:textId="77777777" w:rsidTr="00991A37">
        <w:tc>
          <w:tcPr>
            <w:tcW w:w="3192" w:type="dxa"/>
          </w:tcPr>
          <w:p w14:paraId="60AF2A54" w14:textId="272E6D04" w:rsidR="00991A37" w:rsidRPr="00991A37" w:rsidRDefault="00991A37" w:rsidP="00991A37">
            <w:r w:rsidRPr="00991A37">
              <w:rPr>
                <w:bCs/>
                <w:szCs w:val="20"/>
              </w:rPr>
              <w:t>Нарушения на имунната система</w:t>
            </w:r>
          </w:p>
        </w:tc>
        <w:tc>
          <w:tcPr>
            <w:tcW w:w="3192" w:type="dxa"/>
          </w:tcPr>
          <w:p w14:paraId="3AF7B1FB" w14:textId="3B190793" w:rsidR="00991A37" w:rsidRPr="00991A37" w:rsidRDefault="00991A37" w:rsidP="00991A37">
            <w:r w:rsidRPr="00991A37">
              <w:rPr>
                <w:bCs/>
                <w:szCs w:val="20"/>
              </w:rPr>
              <w:t>Редки</w:t>
            </w:r>
          </w:p>
        </w:tc>
        <w:tc>
          <w:tcPr>
            <w:tcW w:w="3192" w:type="dxa"/>
          </w:tcPr>
          <w:p w14:paraId="4B73BF60" w14:textId="4A445311" w:rsidR="00991A37" w:rsidRPr="00991A37" w:rsidRDefault="00991A37" w:rsidP="00991A37">
            <w:r w:rsidRPr="00991A37">
              <w:rPr>
                <w:bCs/>
                <w:szCs w:val="20"/>
              </w:rPr>
              <w:t>Анафилактична реакция, свръхчувствителност</w:t>
            </w:r>
          </w:p>
        </w:tc>
      </w:tr>
      <w:tr w:rsidR="00991A37" w14:paraId="74CCA25B" w14:textId="77777777" w:rsidTr="00991A37">
        <w:tc>
          <w:tcPr>
            <w:tcW w:w="3192" w:type="dxa"/>
            <w:vMerge w:val="restart"/>
          </w:tcPr>
          <w:p w14:paraId="34DE3E5D" w14:textId="3A3383A6" w:rsidR="00991A37" w:rsidRPr="00991A37" w:rsidRDefault="00991A37" w:rsidP="00991A37">
            <w:r w:rsidRPr="00991A37">
              <w:rPr>
                <w:bCs/>
                <w:szCs w:val="20"/>
              </w:rPr>
              <w:t>Нарушения на метаболизма и храненето</w:t>
            </w:r>
          </w:p>
        </w:tc>
        <w:tc>
          <w:tcPr>
            <w:tcW w:w="3192" w:type="dxa"/>
          </w:tcPr>
          <w:p w14:paraId="4D0B5325" w14:textId="654E544A" w:rsidR="00991A37" w:rsidRPr="00991A37" w:rsidRDefault="00991A37" w:rsidP="00991A37">
            <w:r w:rsidRPr="00991A37">
              <w:rPr>
                <w:bCs/>
                <w:szCs w:val="20"/>
              </w:rPr>
              <w:t>Нечести</w:t>
            </w:r>
          </w:p>
        </w:tc>
        <w:tc>
          <w:tcPr>
            <w:tcW w:w="3192" w:type="dxa"/>
          </w:tcPr>
          <w:p w14:paraId="468198B8" w14:textId="090484AF" w:rsidR="00991A37" w:rsidRPr="00991A37" w:rsidRDefault="00991A37" w:rsidP="00991A37">
            <w:r w:rsidRPr="00991A37">
              <w:rPr>
                <w:bCs/>
                <w:szCs w:val="20"/>
              </w:rPr>
              <w:t>Хиперкалиемия</w:t>
            </w:r>
          </w:p>
        </w:tc>
      </w:tr>
      <w:tr w:rsidR="00991A37" w14:paraId="47D58005" w14:textId="77777777" w:rsidTr="00991A37">
        <w:tc>
          <w:tcPr>
            <w:tcW w:w="3192" w:type="dxa"/>
            <w:vMerge/>
          </w:tcPr>
          <w:p w14:paraId="697D8341" w14:textId="77777777" w:rsidR="00991A37" w:rsidRPr="00991A37" w:rsidRDefault="00991A37" w:rsidP="00991A37"/>
        </w:tc>
        <w:tc>
          <w:tcPr>
            <w:tcW w:w="3192" w:type="dxa"/>
            <w:vAlign w:val="bottom"/>
          </w:tcPr>
          <w:p w14:paraId="0F213ABE" w14:textId="0D62F356" w:rsidR="00991A37" w:rsidRPr="00991A37" w:rsidRDefault="00991A37" w:rsidP="00991A37">
            <w:r w:rsidRPr="00991A37">
              <w:rPr>
                <w:bCs/>
                <w:szCs w:val="20"/>
              </w:rPr>
              <w:t>Много редки</w:t>
            </w:r>
          </w:p>
        </w:tc>
        <w:tc>
          <w:tcPr>
            <w:tcW w:w="3192" w:type="dxa"/>
          </w:tcPr>
          <w:p w14:paraId="08D7549B" w14:textId="281DE1D7" w:rsidR="00991A37" w:rsidRPr="00991A37" w:rsidRDefault="00991A37" w:rsidP="00991A37">
            <w:r w:rsidRPr="00991A37">
              <w:rPr>
                <w:bCs/>
                <w:szCs w:val="20"/>
              </w:rPr>
              <w:t>Хипогликемия (при пациенти, болни от диабет)</w:t>
            </w:r>
          </w:p>
        </w:tc>
      </w:tr>
      <w:tr w:rsidR="00991A37" w14:paraId="075DEB0F" w14:textId="77777777" w:rsidTr="00991A37">
        <w:tc>
          <w:tcPr>
            <w:tcW w:w="3192" w:type="dxa"/>
            <w:vMerge w:val="restart"/>
          </w:tcPr>
          <w:p w14:paraId="649D251E" w14:textId="6F7FEB5E" w:rsidR="00991A37" w:rsidRPr="00991A37" w:rsidRDefault="00991A37" w:rsidP="00991A37">
            <w:r w:rsidRPr="00991A37">
              <w:rPr>
                <w:bCs/>
                <w:szCs w:val="20"/>
              </w:rPr>
              <w:t>Психични нарушения</w:t>
            </w:r>
          </w:p>
        </w:tc>
        <w:tc>
          <w:tcPr>
            <w:tcW w:w="3192" w:type="dxa"/>
            <w:vAlign w:val="bottom"/>
          </w:tcPr>
          <w:p w14:paraId="7BA5DFEA" w14:textId="1975774D" w:rsidR="00991A37" w:rsidRPr="00991A37" w:rsidRDefault="00991A37" w:rsidP="00991A37">
            <w:r w:rsidRPr="00991A37">
              <w:rPr>
                <w:bCs/>
                <w:szCs w:val="20"/>
              </w:rPr>
              <w:t>Нечести</w:t>
            </w:r>
          </w:p>
        </w:tc>
        <w:tc>
          <w:tcPr>
            <w:tcW w:w="3192" w:type="dxa"/>
            <w:vAlign w:val="bottom"/>
          </w:tcPr>
          <w:p w14:paraId="258C030E" w14:textId="4A6E8C14" w:rsidR="00991A37" w:rsidRPr="00991A37" w:rsidRDefault="00991A37" w:rsidP="00991A37">
            <w:r w:rsidRPr="00991A37">
              <w:rPr>
                <w:bCs/>
                <w:szCs w:val="20"/>
              </w:rPr>
              <w:t>Безсъние, депресия</w:t>
            </w:r>
          </w:p>
        </w:tc>
      </w:tr>
      <w:tr w:rsidR="00991A37" w14:paraId="3B5E2829" w14:textId="77777777" w:rsidTr="00991A37">
        <w:tc>
          <w:tcPr>
            <w:tcW w:w="3192" w:type="dxa"/>
            <w:vMerge/>
          </w:tcPr>
          <w:p w14:paraId="390F500D" w14:textId="77777777" w:rsidR="00991A37" w:rsidRPr="00991A37" w:rsidRDefault="00991A37" w:rsidP="00991A37"/>
        </w:tc>
        <w:tc>
          <w:tcPr>
            <w:tcW w:w="3192" w:type="dxa"/>
          </w:tcPr>
          <w:p w14:paraId="1B7EE601" w14:textId="0E00C392" w:rsidR="00991A37" w:rsidRPr="00991A37" w:rsidRDefault="00991A37" w:rsidP="00991A37">
            <w:r w:rsidRPr="00991A37">
              <w:rPr>
                <w:bCs/>
                <w:szCs w:val="20"/>
              </w:rPr>
              <w:t>Редки</w:t>
            </w:r>
          </w:p>
        </w:tc>
        <w:tc>
          <w:tcPr>
            <w:tcW w:w="3192" w:type="dxa"/>
          </w:tcPr>
          <w:p w14:paraId="6E4A81B0" w14:textId="4E5B6585" w:rsidR="00991A37" w:rsidRPr="00991A37" w:rsidRDefault="00991A37" w:rsidP="00991A37">
            <w:r w:rsidRPr="00991A37">
              <w:rPr>
                <w:bCs/>
                <w:szCs w:val="20"/>
              </w:rPr>
              <w:t>Безпокойство</w:t>
            </w:r>
          </w:p>
        </w:tc>
      </w:tr>
      <w:tr w:rsidR="00991A37" w14:paraId="5CBE75F9" w14:textId="77777777" w:rsidTr="00991A37">
        <w:tc>
          <w:tcPr>
            <w:tcW w:w="3192" w:type="dxa"/>
            <w:vMerge w:val="restart"/>
          </w:tcPr>
          <w:p w14:paraId="2637840A" w14:textId="235282F9" w:rsidR="00991A37" w:rsidRPr="00991A37" w:rsidRDefault="00991A37" w:rsidP="00991A37">
            <w:r w:rsidRPr="00991A37">
              <w:rPr>
                <w:bCs/>
                <w:szCs w:val="20"/>
              </w:rPr>
              <w:t>Нарушения на нервната система</w:t>
            </w:r>
          </w:p>
        </w:tc>
        <w:tc>
          <w:tcPr>
            <w:tcW w:w="3192" w:type="dxa"/>
          </w:tcPr>
          <w:p w14:paraId="3AD130A0" w14:textId="2F775443" w:rsidR="00991A37" w:rsidRPr="00991A37" w:rsidRDefault="00991A37" w:rsidP="00991A37">
            <w:r w:rsidRPr="00991A37">
              <w:rPr>
                <w:bCs/>
                <w:szCs w:val="20"/>
              </w:rPr>
              <w:t>Нечести</w:t>
            </w:r>
          </w:p>
        </w:tc>
        <w:tc>
          <w:tcPr>
            <w:tcW w:w="3192" w:type="dxa"/>
          </w:tcPr>
          <w:p w14:paraId="06433E6C" w14:textId="0FE864F6" w:rsidR="00991A37" w:rsidRPr="00991A37" w:rsidRDefault="00991A37" w:rsidP="00991A37">
            <w:r w:rsidRPr="00991A37">
              <w:rPr>
                <w:bCs/>
                <w:szCs w:val="20"/>
              </w:rPr>
              <w:t>Синкоп</w:t>
            </w:r>
          </w:p>
        </w:tc>
      </w:tr>
      <w:tr w:rsidR="00991A37" w14:paraId="0ADDED99" w14:textId="77777777" w:rsidTr="00991A37">
        <w:tc>
          <w:tcPr>
            <w:tcW w:w="3192" w:type="dxa"/>
            <w:vMerge/>
          </w:tcPr>
          <w:p w14:paraId="11C0A8E7" w14:textId="77777777" w:rsidR="00991A37" w:rsidRPr="00991A37" w:rsidRDefault="00991A37" w:rsidP="00991A37"/>
        </w:tc>
        <w:tc>
          <w:tcPr>
            <w:tcW w:w="3192" w:type="dxa"/>
          </w:tcPr>
          <w:p w14:paraId="271C586C" w14:textId="6175E3F1" w:rsidR="00991A37" w:rsidRPr="00991A37" w:rsidRDefault="00991A37" w:rsidP="00991A37">
            <w:r w:rsidRPr="00991A37">
              <w:rPr>
                <w:bCs/>
                <w:szCs w:val="20"/>
              </w:rPr>
              <w:t>Редки</w:t>
            </w:r>
          </w:p>
        </w:tc>
        <w:tc>
          <w:tcPr>
            <w:tcW w:w="3192" w:type="dxa"/>
          </w:tcPr>
          <w:p w14:paraId="0578EB0C" w14:textId="02B685B2" w:rsidR="00991A37" w:rsidRPr="00991A37" w:rsidRDefault="00991A37" w:rsidP="00991A37">
            <w:r w:rsidRPr="00991A37">
              <w:rPr>
                <w:bCs/>
                <w:szCs w:val="20"/>
              </w:rPr>
              <w:t>Сънливост</w:t>
            </w:r>
          </w:p>
        </w:tc>
      </w:tr>
      <w:tr w:rsidR="00991A37" w14:paraId="33AAD0EB" w14:textId="77777777" w:rsidTr="00991A37">
        <w:tc>
          <w:tcPr>
            <w:tcW w:w="3192" w:type="dxa"/>
          </w:tcPr>
          <w:p w14:paraId="7EF0CFEF" w14:textId="2F33BBC8" w:rsidR="00991A37" w:rsidRPr="00991A37" w:rsidRDefault="00991A37" w:rsidP="00991A37">
            <w:r w:rsidRPr="00991A37">
              <w:rPr>
                <w:bCs/>
                <w:szCs w:val="20"/>
              </w:rPr>
              <w:t>Нарушения на очите</w:t>
            </w:r>
          </w:p>
        </w:tc>
        <w:tc>
          <w:tcPr>
            <w:tcW w:w="3192" w:type="dxa"/>
          </w:tcPr>
          <w:p w14:paraId="7765FD5B" w14:textId="6EB7B163" w:rsidR="00991A37" w:rsidRPr="00991A37" w:rsidRDefault="00991A37" w:rsidP="00991A37">
            <w:r w:rsidRPr="00991A37">
              <w:rPr>
                <w:bCs/>
                <w:szCs w:val="20"/>
              </w:rPr>
              <w:t>Редки</w:t>
            </w:r>
          </w:p>
        </w:tc>
        <w:tc>
          <w:tcPr>
            <w:tcW w:w="3192" w:type="dxa"/>
            <w:vAlign w:val="bottom"/>
          </w:tcPr>
          <w:p w14:paraId="1EB57DE1" w14:textId="181D099F" w:rsidR="00991A37" w:rsidRPr="00991A37" w:rsidRDefault="00991A37" w:rsidP="00991A37">
            <w:r w:rsidRPr="00991A37">
              <w:rPr>
                <w:bCs/>
                <w:szCs w:val="20"/>
              </w:rPr>
              <w:t>Зрителни смущения, включително замъглено виждане</w:t>
            </w:r>
          </w:p>
        </w:tc>
      </w:tr>
      <w:tr w:rsidR="00991A37" w14:paraId="30E8AC5E" w14:textId="77777777" w:rsidTr="00991A37">
        <w:tc>
          <w:tcPr>
            <w:tcW w:w="3192" w:type="dxa"/>
            <w:vAlign w:val="bottom"/>
          </w:tcPr>
          <w:p w14:paraId="3B1D9958" w14:textId="2D06C68B" w:rsidR="00991A37" w:rsidRPr="00991A37" w:rsidRDefault="00991A37" w:rsidP="00991A37">
            <w:r w:rsidRPr="00991A37">
              <w:rPr>
                <w:bCs/>
                <w:szCs w:val="20"/>
              </w:rPr>
              <w:t>Нарушения на ухото и лабиринта</w:t>
            </w:r>
          </w:p>
        </w:tc>
        <w:tc>
          <w:tcPr>
            <w:tcW w:w="3192" w:type="dxa"/>
          </w:tcPr>
          <w:p w14:paraId="799093DD" w14:textId="77FB9BA8" w:rsidR="00991A37" w:rsidRPr="00991A37" w:rsidRDefault="00991A37" w:rsidP="00991A37">
            <w:r w:rsidRPr="00991A37">
              <w:rPr>
                <w:bCs/>
                <w:szCs w:val="20"/>
              </w:rPr>
              <w:t>Нечести</w:t>
            </w:r>
          </w:p>
        </w:tc>
        <w:tc>
          <w:tcPr>
            <w:tcW w:w="3192" w:type="dxa"/>
          </w:tcPr>
          <w:p w14:paraId="3A858FC1" w14:textId="0A8F8215" w:rsidR="00991A37" w:rsidRPr="00991A37" w:rsidRDefault="00991A37" w:rsidP="00991A37">
            <w:r w:rsidRPr="00991A37">
              <w:rPr>
                <w:bCs/>
                <w:szCs w:val="20"/>
              </w:rPr>
              <w:t>Вертиго</w:t>
            </w:r>
          </w:p>
        </w:tc>
      </w:tr>
      <w:tr w:rsidR="00991A37" w14:paraId="4FB023E9" w14:textId="77777777" w:rsidTr="00991A37">
        <w:tc>
          <w:tcPr>
            <w:tcW w:w="3192" w:type="dxa"/>
            <w:vMerge w:val="restart"/>
          </w:tcPr>
          <w:p w14:paraId="69295009" w14:textId="3E7E1175" w:rsidR="00991A37" w:rsidRPr="00991A37" w:rsidRDefault="00991A37" w:rsidP="00991A37">
            <w:r w:rsidRPr="00991A37">
              <w:rPr>
                <w:bCs/>
                <w:szCs w:val="20"/>
              </w:rPr>
              <w:t>Сърдечни нарушения</w:t>
            </w:r>
          </w:p>
        </w:tc>
        <w:tc>
          <w:tcPr>
            <w:tcW w:w="3192" w:type="dxa"/>
          </w:tcPr>
          <w:p w14:paraId="70F06AD1" w14:textId="05708754" w:rsidR="00991A37" w:rsidRPr="00991A37" w:rsidRDefault="00991A37" w:rsidP="00991A37">
            <w:r w:rsidRPr="00991A37">
              <w:rPr>
                <w:bCs/>
                <w:szCs w:val="20"/>
              </w:rPr>
              <w:t>Нечести</w:t>
            </w:r>
          </w:p>
        </w:tc>
        <w:tc>
          <w:tcPr>
            <w:tcW w:w="3192" w:type="dxa"/>
          </w:tcPr>
          <w:p w14:paraId="523ED64D" w14:textId="4904627A" w:rsidR="00991A37" w:rsidRPr="00991A37" w:rsidRDefault="00991A37" w:rsidP="00991A37">
            <w:r w:rsidRPr="00991A37">
              <w:rPr>
                <w:bCs/>
                <w:szCs w:val="20"/>
              </w:rPr>
              <w:t>Брадикардия</w:t>
            </w:r>
          </w:p>
        </w:tc>
      </w:tr>
      <w:tr w:rsidR="00991A37" w14:paraId="685227D7" w14:textId="77777777" w:rsidTr="00991A37">
        <w:tc>
          <w:tcPr>
            <w:tcW w:w="3192" w:type="dxa"/>
            <w:vMerge/>
          </w:tcPr>
          <w:p w14:paraId="335E769D" w14:textId="77777777" w:rsidR="00991A37" w:rsidRPr="00991A37" w:rsidRDefault="00991A37" w:rsidP="00991A37"/>
        </w:tc>
        <w:tc>
          <w:tcPr>
            <w:tcW w:w="3192" w:type="dxa"/>
            <w:vAlign w:val="bottom"/>
          </w:tcPr>
          <w:p w14:paraId="49F93E20" w14:textId="4842CEAB" w:rsidR="00991A37" w:rsidRPr="00991A37" w:rsidRDefault="00991A37" w:rsidP="00991A37">
            <w:r w:rsidRPr="00991A37">
              <w:rPr>
                <w:bCs/>
                <w:szCs w:val="20"/>
              </w:rPr>
              <w:t>Редки</w:t>
            </w:r>
          </w:p>
        </w:tc>
        <w:tc>
          <w:tcPr>
            <w:tcW w:w="3192" w:type="dxa"/>
            <w:vAlign w:val="bottom"/>
          </w:tcPr>
          <w:p w14:paraId="79D12A56" w14:textId="45FF429F" w:rsidR="00991A37" w:rsidRPr="00991A37" w:rsidRDefault="00991A37" w:rsidP="00991A37">
            <w:r w:rsidRPr="00991A37">
              <w:rPr>
                <w:bCs/>
                <w:szCs w:val="20"/>
              </w:rPr>
              <w:t>Тахикардия</w:t>
            </w:r>
          </w:p>
        </w:tc>
      </w:tr>
      <w:tr w:rsidR="00991A37" w14:paraId="471CFAC7" w14:textId="77777777" w:rsidTr="00991A37">
        <w:tc>
          <w:tcPr>
            <w:tcW w:w="3192" w:type="dxa"/>
            <w:vAlign w:val="bottom"/>
          </w:tcPr>
          <w:p w14:paraId="32CF5406" w14:textId="15912165" w:rsidR="00991A37" w:rsidRPr="00991A37" w:rsidRDefault="00991A37" w:rsidP="00991A37">
            <w:r w:rsidRPr="00991A37">
              <w:rPr>
                <w:bCs/>
                <w:szCs w:val="20"/>
              </w:rPr>
              <w:t>Съдови нарушения</w:t>
            </w:r>
          </w:p>
        </w:tc>
        <w:tc>
          <w:tcPr>
            <w:tcW w:w="3192" w:type="dxa"/>
            <w:vAlign w:val="bottom"/>
          </w:tcPr>
          <w:p w14:paraId="56D739C1" w14:textId="7BBAEE96" w:rsidR="00991A37" w:rsidRPr="00991A37" w:rsidRDefault="00991A37" w:rsidP="00991A37">
            <w:r w:rsidRPr="00991A37">
              <w:rPr>
                <w:bCs/>
                <w:szCs w:val="20"/>
              </w:rPr>
              <w:t>Нечести</w:t>
            </w:r>
          </w:p>
        </w:tc>
        <w:tc>
          <w:tcPr>
            <w:tcW w:w="3192" w:type="dxa"/>
            <w:vAlign w:val="bottom"/>
          </w:tcPr>
          <w:p w14:paraId="19CF7735" w14:textId="4D5FFAF6" w:rsidR="00991A37" w:rsidRPr="00991A37" w:rsidRDefault="00991A37" w:rsidP="00991A37">
            <w:r w:rsidRPr="00991A37">
              <w:rPr>
                <w:bCs/>
                <w:szCs w:val="20"/>
              </w:rPr>
              <w:t>Хипотония</w:t>
            </w:r>
            <w:r w:rsidRPr="00991A37">
              <w:rPr>
                <w:bCs/>
                <w:szCs w:val="20"/>
                <w:vertAlign w:val="superscript"/>
              </w:rPr>
              <w:t>2</w:t>
            </w:r>
            <w:r w:rsidRPr="00991A37">
              <w:rPr>
                <w:bCs/>
                <w:szCs w:val="20"/>
              </w:rPr>
              <w:t>, ортостатична хипотония</w:t>
            </w:r>
          </w:p>
        </w:tc>
      </w:tr>
      <w:tr w:rsidR="00991A37" w14:paraId="029AE794" w14:textId="77777777" w:rsidTr="00991A37">
        <w:tc>
          <w:tcPr>
            <w:tcW w:w="3192" w:type="dxa"/>
            <w:vMerge w:val="restart"/>
          </w:tcPr>
          <w:p w14:paraId="3DCD8BEB" w14:textId="762B7C9E" w:rsidR="00991A37" w:rsidRPr="00991A37" w:rsidRDefault="00991A37" w:rsidP="00991A37">
            <w:r w:rsidRPr="00991A37">
              <w:rPr>
                <w:bCs/>
                <w:szCs w:val="20"/>
              </w:rPr>
              <w:t>Респираторни, гръдни и медиастинални нарушения</w:t>
            </w:r>
          </w:p>
        </w:tc>
        <w:tc>
          <w:tcPr>
            <w:tcW w:w="3192" w:type="dxa"/>
          </w:tcPr>
          <w:p w14:paraId="117D983B" w14:textId="7D589DA6" w:rsidR="00991A37" w:rsidRPr="00991A37" w:rsidRDefault="00991A37" w:rsidP="00991A37">
            <w:r w:rsidRPr="00991A37">
              <w:rPr>
                <w:bCs/>
                <w:szCs w:val="20"/>
              </w:rPr>
              <w:t>Нечести</w:t>
            </w:r>
          </w:p>
        </w:tc>
        <w:tc>
          <w:tcPr>
            <w:tcW w:w="3192" w:type="dxa"/>
          </w:tcPr>
          <w:p w14:paraId="1A45CB74" w14:textId="4BA4EB01" w:rsidR="00991A37" w:rsidRPr="00991A37" w:rsidRDefault="00991A37" w:rsidP="00991A37">
            <w:r w:rsidRPr="00991A37">
              <w:rPr>
                <w:bCs/>
                <w:szCs w:val="20"/>
              </w:rPr>
              <w:t>Диспнея, кашлица</w:t>
            </w:r>
          </w:p>
        </w:tc>
      </w:tr>
      <w:tr w:rsidR="00991A37" w14:paraId="4F6E6A55" w14:textId="77777777" w:rsidTr="00991A37">
        <w:tc>
          <w:tcPr>
            <w:tcW w:w="3192" w:type="dxa"/>
            <w:vMerge/>
          </w:tcPr>
          <w:p w14:paraId="0BB2C25B" w14:textId="77777777" w:rsidR="00991A37" w:rsidRPr="00991A37" w:rsidRDefault="00991A37" w:rsidP="00991A37"/>
        </w:tc>
        <w:tc>
          <w:tcPr>
            <w:tcW w:w="3192" w:type="dxa"/>
            <w:vAlign w:val="bottom"/>
          </w:tcPr>
          <w:p w14:paraId="63D6C944" w14:textId="10D86F64" w:rsidR="00991A37" w:rsidRPr="00991A37" w:rsidRDefault="00991A37" w:rsidP="00991A37">
            <w:r w:rsidRPr="00991A37">
              <w:rPr>
                <w:bCs/>
                <w:szCs w:val="20"/>
              </w:rPr>
              <w:t>Много редки</w:t>
            </w:r>
          </w:p>
        </w:tc>
        <w:tc>
          <w:tcPr>
            <w:tcW w:w="3192" w:type="dxa"/>
          </w:tcPr>
          <w:p w14:paraId="41F42CFB" w14:textId="5A3603A0" w:rsidR="00991A37" w:rsidRPr="00991A37" w:rsidRDefault="00991A37" w:rsidP="00991A37">
            <w:r w:rsidRPr="00991A37">
              <w:rPr>
                <w:bCs/>
                <w:szCs w:val="20"/>
              </w:rPr>
              <w:t>Интерстициална белодробна болест*</w:t>
            </w:r>
          </w:p>
        </w:tc>
      </w:tr>
      <w:tr w:rsidR="00991A37" w14:paraId="5CA609CB" w14:textId="77777777" w:rsidTr="00991A37">
        <w:tc>
          <w:tcPr>
            <w:tcW w:w="3192" w:type="dxa"/>
            <w:vMerge w:val="restart"/>
          </w:tcPr>
          <w:p w14:paraId="59F20DDA" w14:textId="65360915" w:rsidR="00991A37" w:rsidRPr="00991A37" w:rsidRDefault="00991A37" w:rsidP="00991A37">
            <w:r w:rsidRPr="00991A37">
              <w:rPr>
                <w:bCs/>
                <w:szCs w:val="20"/>
              </w:rPr>
              <w:t>Стомашно-чревни нарушения</w:t>
            </w:r>
          </w:p>
        </w:tc>
        <w:tc>
          <w:tcPr>
            <w:tcW w:w="3192" w:type="dxa"/>
          </w:tcPr>
          <w:p w14:paraId="360A4F45" w14:textId="65076369" w:rsidR="00991A37" w:rsidRPr="00991A37" w:rsidRDefault="00991A37" w:rsidP="00991A37">
            <w:r w:rsidRPr="00991A37">
              <w:rPr>
                <w:bCs/>
                <w:szCs w:val="20"/>
              </w:rPr>
              <w:t>Нечести</w:t>
            </w:r>
          </w:p>
        </w:tc>
        <w:tc>
          <w:tcPr>
            <w:tcW w:w="3192" w:type="dxa"/>
          </w:tcPr>
          <w:p w14:paraId="448FD332" w14:textId="677DABDA" w:rsidR="00991A37" w:rsidRPr="00991A37" w:rsidRDefault="00991A37" w:rsidP="00991A37">
            <w:r w:rsidRPr="00991A37">
              <w:rPr>
                <w:bCs/>
                <w:szCs w:val="20"/>
              </w:rPr>
              <w:t>Абдоминална болка, диария, диспепсия, флатуленция, повръщане</w:t>
            </w:r>
          </w:p>
        </w:tc>
      </w:tr>
      <w:tr w:rsidR="00991A37" w14:paraId="408C0AA6" w14:textId="77777777" w:rsidTr="00991A37">
        <w:tc>
          <w:tcPr>
            <w:tcW w:w="3192" w:type="dxa"/>
            <w:vMerge/>
          </w:tcPr>
          <w:p w14:paraId="68D28869" w14:textId="77777777" w:rsidR="00991A37" w:rsidRPr="00991A37" w:rsidRDefault="00991A37" w:rsidP="00991A37"/>
        </w:tc>
        <w:tc>
          <w:tcPr>
            <w:tcW w:w="3192" w:type="dxa"/>
          </w:tcPr>
          <w:p w14:paraId="6FC811E9" w14:textId="5B36BBEF" w:rsidR="00991A37" w:rsidRPr="00991A37" w:rsidRDefault="00991A37" w:rsidP="00991A37">
            <w:r w:rsidRPr="00991A37">
              <w:rPr>
                <w:bCs/>
                <w:szCs w:val="20"/>
              </w:rPr>
              <w:t>Редки</w:t>
            </w:r>
          </w:p>
        </w:tc>
        <w:tc>
          <w:tcPr>
            <w:tcW w:w="3192" w:type="dxa"/>
          </w:tcPr>
          <w:p w14:paraId="69641BD1" w14:textId="5DD4B5AF" w:rsidR="00991A37" w:rsidRPr="00991A37" w:rsidRDefault="00991A37" w:rsidP="00991A37">
            <w:r w:rsidRPr="00991A37">
              <w:rPr>
                <w:bCs/>
                <w:szCs w:val="20"/>
              </w:rPr>
              <w:t>Сухота в устата, стомашен дискомфорт, дисгеузия</w:t>
            </w:r>
          </w:p>
        </w:tc>
      </w:tr>
      <w:tr w:rsidR="00991A37" w14:paraId="3C333EF1" w14:textId="77777777" w:rsidTr="00991A37">
        <w:tc>
          <w:tcPr>
            <w:tcW w:w="3192" w:type="dxa"/>
          </w:tcPr>
          <w:p w14:paraId="57816775" w14:textId="444AF010" w:rsidR="00991A37" w:rsidRPr="00991A37" w:rsidRDefault="00991A37" w:rsidP="00991A37">
            <w:r w:rsidRPr="00991A37">
              <w:rPr>
                <w:bCs/>
                <w:szCs w:val="20"/>
              </w:rPr>
              <w:t>Хепато-билиарни нарушения</w:t>
            </w:r>
          </w:p>
        </w:tc>
        <w:tc>
          <w:tcPr>
            <w:tcW w:w="3192" w:type="dxa"/>
          </w:tcPr>
          <w:p w14:paraId="1A6AD596" w14:textId="09E86876" w:rsidR="00991A37" w:rsidRPr="00991A37" w:rsidRDefault="00991A37" w:rsidP="00991A37">
            <w:r w:rsidRPr="00991A37">
              <w:rPr>
                <w:bCs/>
                <w:szCs w:val="20"/>
              </w:rPr>
              <w:t>Редки</w:t>
            </w:r>
          </w:p>
        </w:tc>
        <w:tc>
          <w:tcPr>
            <w:tcW w:w="3192" w:type="dxa"/>
          </w:tcPr>
          <w:p w14:paraId="0F90AC6B" w14:textId="33FC37C2" w:rsidR="00991A37" w:rsidRPr="00991A37" w:rsidRDefault="00991A37" w:rsidP="00991A37">
            <w:r w:rsidRPr="00991A37">
              <w:rPr>
                <w:bCs/>
                <w:szCs w:val="20"/>
              </w:rPr>
              <w:t>Абнормна чернодробна функция/чернодробно нарушение</w:t>
            </w:r>
            <w:r w:rsidRPr="00991A37">
              <w:rPr>
                <w:bCs/>
                <w:szCs w:val="20"/>
                <w:vertAlign w:val="superscript"/>
              </w:rPr>
              <w:t>3</w:t>
            </w:r>
          </w:p>
        </w:tc>
      </w:tr>
      <w:tr w:rsidR="00991A37" w14:paraId="38BB26D5" w14:textId="77777777" w:rsidTr="00991A37">
        <w:tc>
          <w:tcPr>
            <w:tcW w:w="3192" w:type="dxa"/>
            <w:vMerge w:val="restart"/>
          </w:tcPr>
          <w:p w14:paraId="150274A0" w14:textId="6DF3CC7D" w:rsidR="00991A37" w:rsidRPr="00991A37" w:rsidRDefault="00991A37" w:rsidP="00991A37">
            <w:r w:rsidRPr="00991A37">
              <w:rPr>
                <w:bCs/>
                <w:szCs w:val="20"/>
              </w:rPr>
              <w:t>Нарушения на кожата и подкожната тъкан</w:t>
            </w:r>
          </w:p>
        </w:tc>
        <w:tc>
          <w:tcPr>
            <w:tcW w:w="3192" w:type="dxa"/>
          </w:tcPr>
          <w:p w14:paraId="1A40E622" w14:textId="3CF8CE66" w:rsidR="00991A37" w:rsidRPr="00991A37" w:rsidRDefault="00991A37" w:rsidP="00991A37">
            <w:r w:rsidRPr="00991A37">
              <w:rPr>
                <w:bCs/>
                <w:szCs w:val="20"/>
              </w:rPr>
              <w:t>Нечести</w:t>
            </w:r>
          </w:p>
        </w:tc>
        <w:tc>
          <w:tcPr>
            <w:tcW w:w="3192" w:type="dxa"/>
          </w:tcPr>
          <w:p w14:paraId="46C96F2F" w14:textId="3012E39E" w:rsidR="00991A37" w:rsidRPr="00991A37" w:rsidRDefault="00991A37" w:rsidP="00991A37">
            <w:r w:rsidRPr="00991A37">
              <w:rPr>
                <w:bCs/>
                <w:szCs w:val="20"/>
              </w:rPr>
              <w:t>Пруритус, хиперхидроза, обрив</w:t>
            </w:r>
          </w:p>
        </w:tc>
      </w:tr>
      <w:tr w:rsidR="00991A37" w14:paraId="3FAF2A7A" w14:textId="77777777" w:rsidTr="00991A37">
        <w:tc>
          <w:tcPr>
            <w:tcW w:w="3192" w:type="dxa"/>
            <w:vMerge/>
          </w:tcPr>
          <w:p w14:paraId="7ECD7B2A" w14:textId="77777777" w:rsidR="00991A37" w:rsidRPr="00991A37" w:rsidRDefault="00991A37" w:rsidP="00991A37"/>
        </w:tc>
        <w:tc>
          <w:tcPr>
            <w:tcW w:w="3192" w:type="dxa"/>
          </w:tcPr>
          <w:p w14:paraId="2BFAE688" w14:textId="5FB2DF97" w:rsidR="00991A37" w:rsidRPr="00991A37" w:rsidRDefault="00991A37" w:rsidP="00991A37">
            <w:r w:rsidRPr="00991A37">
              <w:rPr>
                <w:bCs/>
                <w:szCs w:val="20"/>
              </w:rPr>
              <w:t>Редки</w:t>
            </w:r>
          </w:p>
        </w:tc>
        <w:tc>
          <w:tcPr>
            <w:tcW w:w="3192" w:type="dxa"/>
            <w:vAlign w:val="bottom"/>
          </w:tcPr>
          <w:p w14:paraId="536AB504" w14:textId="6C3890B9" w:rsidR="00991A37" w:rsidRPr="00991A37" w:rsidRDefault="00991A37" w:rsidP="00991A37">
            <w:r w:rsidRPr="00991A37">
              <w:rPr>
                <w:bCs/>
                <w:szCs w:val="20"/>
              </w:rPr>
              <w:t>Ангиоедем (също и с фатален изход), екзема, еритема, уртикария, лекарствен обрив, токсичен кожен обрив</w:t>
            </w:r>
          </w:p>
        </w:tc>
      </w:tr>
      <w:tr w:rsidR="00991A37" w14:paraId="6EF9F796" w14:textId="77777777" w:rsidTr="00991A37">
        <w:tc>
          <w:tcPr>
            <w:tcW w:w="3192" w:type="dxa"/>
            <w:vMerge w:val="restart"/>
          </w:tcPr>
          <w:p w14:paraId="3DFD63DC" w14:textId="29558841" w:rsidR="00991A37" w:rsidRPr="00991A37" w:rsidRDefault="00991A37" w:rsidP="00991A37">
            <w:r w:rsidRPr="00991A37">
              <w:rPr>
                <w:bCs/>
                <w:szCs w:val="20"/>
              </w:rPr>
              <w:t>Нарушения на мускулно- скелетната система и съединителната тъкан</w:t>
            </w:r>
          </w:p>
        </w:tc>
        <w:tc>
          <w:tcPr>
            <w:tcW w:w="3192" w:type="dxa"/>
          </w:tcPr>
          <w:p w14:paraId="3CECCB16" w14:textId="5158EE4B" w:rsidR="00991A37" w:rsidRPr="00991A37" w:rsidRDefault="00991A37" w:rsidP="00991A37">
            <w:r w:rsidRPr="00991A37">
              <w:rPr>
                <w:bCs/>
                <w:szCs w:val="20"/>
              </w:rPr>
              <w:t>Нечести</w:t>
            </w:r>
          </w:p>
        </w:tc>
        <w:tc>
          <w:tcPr>
            <w:tcW w:w="3192" w:type="dxa"/>
            <w:vAlign w:val="bottom"/>
          </w:tcPr>
          <w:p w14:paraId="6337CE80" w14:textId="5BBA946D" w:rsidR="00991A37" w:rsidRPr="00991A37" w:rsidRDefault="00991A37" w:rsidP="00991A37">
            <w:r w:rsidRPr="00991A37">
              <w:rPr>
                <w:bCs/>
                <w:szCs w:val="20"/>
              </w:rPr>
              <w:t>Болка в гърба (напр. ишиас), мускулни спазми миалгия</w:t>
            </w:r>
          </w:p>
        </w:tc>
      </w:tr>
      <w:tr w:rsidR="00991A37" w14:paraId="0929C1F9" w14:textId="77777777" w:rsidTr="00991A37">
        <w:tc>
          <w:tcPr>
            <w:tcW w:w="3192" w:type="dxa"/>
            <w:vMerge/>
          </w:tcPr>
          <w:p w14:paraId="069C35B3" w14:textId="77777777" w:rsidR="00991A37" w:rsidRPr="00991A37" w:rsidRDefault="00991A37" w:rsidP="00991A37"/>
        </w:tc>
        <w:tc>
          <w:tcPr>
            <w:tcW w:w="3192" w:type="dxa"/>
          </w:tcPr>
          <w:p w14:paraId="31C4BF69" w14:textId="1FDD09FE" w:rsidR="00991A37" w:rsidRPr="00991A37" w:rsidRDefault="00991A37" w:rsidP="00991A37">
            <w:r w:rsidRPr="00991A37">
              <w:rPr>
                <w:bCs/>
                <w:szCs w:val="20"/>
              </w:rPr>
              <w:t>Редки</w:t>
            </w:r>
          </w:p>
        </w:tc>
        <w:tc>
          <w:tcPr>
            <w:tcW w:w="3192" w:type="dxa"/>
            <w:vAlign w:val="bottom"/>
          </w:tcPr>
          <w:p w14:paraId="63EFFF80" w14:textId="7DD51A6E" w:rsidR="00991A37" w:rsidRPr="00991A37" w:rsidRDefault="00991A37" w:rsidP="00991A37">
            <w:r w:rsidRPr="00991A37">
              <w:rPr>
                <w:bCs/>
                <w:szCs w:val="20"/>
              </w:rPr>
              <w:t>Артралгия, болка в крайник, болки в сухожилията (тендинитоподобни симптоми)</w:t>
            </w:r>
          </w:p>
        </w:tc>
      </w:tr>
      <w:tr w:rsidR="00991A37" w14:paraId="6F67434F" w14:textId="77777777" w:rsidTr="00991A37">
        <w:tc>
          <w:tcPr>
            <w:tcW w:w="3192" w:type="dxa"/>
            <w:vAlign w:val="bottom"/>
          </w:tcPr>
          <w:p w14:paraId="22031339" w14:textId="7363E0E6" w:rsidR="00991A37" w:rsidRPr="00991A37" w:rsidRDefault="00991A37" w:rsidP="00991A37">
            <w:r w:rsidRPr="00991A37">
              <w:rPr>
                <w:bCs/>
                <w:szCs w:val="20"/>
              </w:rPr>
              <w:lastRenderedPageBreak/>
              <w:t>Нарушения на бъбреците и пикочните пътища</w:t>
            </w:r>
          </w:p>
        </w:tc>
        <w:tc>
          <w:tcPr>
            <w:tcW w:w="3192" w:type="dxa"/>
          </w:tcPr>
          <w:p w14:paraId="6B053A29" w14:textId="59B7C9F8" w:rsidR="00991A37" w:rsidRPr="00991A37" w:rsidRDefault="00991A37" w:rsidP="00991A37">
            <w:r w:rsidRPr="00991A37">
              <w:rPr>
                <w:bCs/>
                <w:szCs w:val="20"/>
              </w:rPr>
              <w:t>Нечести</w:t>
            </w:r>
          </w:p>
        </w:tc>
        <w:tc>
          <w:tcPr>
            <w:tcW w:w="3192" w:type="dxa"/>
            <w:vAlign w:val="bottom"/>
          </w:tcPr>
          <w:p w14:paraId="42952989" w14:textId="7ACC1704" w:rsidR="00991A37" w:rsidRPr="00991A37" w:rsidRDefault="00991A37" w:rsidP="00991A37">
            <w:r w:rsidRPr="00991A37">
              <w:rPr>
                <w:bCs/>
                <w:szCs w:val="20"/>
              </w:rPr>
              <w:t>Бъбречно увреждане, включително остра бъбречна недостатъчност</w:t>
            </w:r>
          </w:p>
        </w:tc>
      </w:tr>
      <w:tr w:rsidR="00991A37" w14:paraId="1B75879B" w14:textId="77777777" w:rsidTr="00991A37">
        <w:tc>
          <w:tcPr>
            <w:tcW w:w="3192" w:type="dxa"/>
            <w:vMerge w:val="restart"/>
            <w:vAlign w:val="bottom"/>
          </w:tcPr>
          <w:p w14:paraId="678E2608" w14:textId="029BF230" w:rsidR="00991A37" w:rsidRPr="00991A37" w:rsidRDefault="00991A37" w:rsidP="00991A37">
            <w:r w:rsidRPr="00991A37">
              <w:rPr>
                <w:bCs/>
                <w:szCs w:val="20"/>
              </w:rPr>
              <w:t>Общи нарушения и нарушения на мястото на приложение</w:t>
            </w:r>
          </w:p>
        </w:tc>
        <w:tc>
          <w:tcPr>
            <w:tcW w:w="3192" w:type="dxa"/>
          </w:tcPr>
          <w:p w14:paraId="5355F651" w14:textId="33A6C71F" w:rsidR="00991A37" w:rsidRPr="00991A37" w:rsidRDefault="00991A37" w:rsidP="00991A37">
            <w:r w:rsidRPr="00991A37">
              <w:rPr>
                <w:bCs/>
                <w:szCs w:val="20"/>
              </w:rPr>
              <w:t>Нечести</w:t>
            </w:r>
          </w:p>
        </w:tc>
        <w:tc>
          <w:tcPr>
            <w:tcW w:w="3192" w:type="dxa"/>
          </w:tcPr>
          <w:p w14:paraId="23D77378" w14:textId="2031C622" w:rsidR="00991A37" w:rsidRPr="00991A37" w:rsidRDefault="00991A37" w:rsidP="00991A37">
            <w:r w:rsidRPr="00991A37">
              <w:rPr>
                <w:bCs/>
                <w:szCs w:val="20"/>
              </w:rPr>
              <w:t>Болка в гръдния кош, астения</w:t>
            </w:r>
          </w:p>
        </w:tc>
      </w:tr>
      <w:tr w:rsidR="00991A37" w14:paraId="57FFCDBD" w14:textId="77777777" w:rsidTr="00991A37">
        <w:tc>
          <w:tcPr>
            <w:tcW w:w="3192" w:type="dxa"/>
            <w:vMerge/>
            <w:vAlign w:val="bottom"/>
          </w:tcPr>
          <w:p w14:paraId="06E003F4" w14:textId="77777777" w:rsidR="00991A37" w:rsidRPr="00991A37" w:rsidRDefault="00991A37" w:rsidP="00991A37"/>
        </w:tc>
        <w:tc>
          <w:tcPr>
            <w:tcW w:w="3192" w:type="dxa"/>
            <w:vAlign w:val="bottom"/>
          </w:tcPr>
          <w:p w14:paraId="5B04556C" w14:textId="308AD6FA" w:rsidR="00991A37" w:rsidRPr="00991A37" w:rsidRDefault="00991A37" w:rsidP="00991A37">
            <w:r w:rsidRPr="00991A37">
              <w:rPr>
                <w:bCs/>
                <w:szCs w:val="20"/>
              </w:rPr>
              <w:t>Редки</w:t>
            </w:r>
          </w:p>
        </w:tc>
        <w:tc>
          <w:tcPr>
            <w:tcW w:w="3192" w:type="dxa"/>
            <w:vAlign w:val="bottom"/>
          </w:tcPr>
          <w:p w14:paraId="504DE966" w14:textId="5965F961" w:rsidR="00991A37" w:rsidRPr="00991A37" w:rsidRDefault="00991A37" w:rsidP="00991A37">
            <w:r w:rsidRPr="00991A37">
              <w:rPr>
                <w:bCs/>
                <w:szCs w:val="20"/>
              </w:rPr>
              <w:t>Грипоподобно заболяване</w:t>
            </w:r>
          </w:p>
        </w:tc>
      </w:tr>
      <w:tr w:rsidR="00991A37" w14:paraId="4DB54296" w14:textId="77777777" w:rsidTr="00991A37">
        <w:tc>
          <w:tcPr>
            <w:tcW w:w="3192" w:type="dxa"/>
            <w:vMerge w:val="restart"/>
          </w:tcPr>
          <w:p w14:paraId="0B84A3C8" w14:textId="381CDFCC" w:rsidR="00991A37" w:rsidRPr="00991A37" w:rsidRDefault="00991A37" w:rsidP="00991A37">
            <w:r w:rsidRPr="00991A37">
              <w:rPr>
                <w:bCs/>
                <w:szCs w:val="20"/>
              </w:rPr>
              <w:t>Изследвания</w:t>
            </w:r>
          </w:p>
        </w:tc>
        <w:tc>
          <w:tcPr>
            <w:tcW w:w="3192" w:type="dxa"/>
            <w:vAlign w:val="bottom"/>
          </w:tcPr>
          <w:p w14:paraId="7A8BD425" w14:textId="46C25B9E" w:rsidR="00991A37" w:rsidRPr="00991A37" w:rsidRDefault="00991A37" w:rsidP="00991A37">
            <w:r w:rsidRPr="00991A37">
              <w:rPr>
                <w:bCs/>
                <w:szCs w:val="20"/>
              </w:rPr>
              <w:t>Нечести</w:t>
            </w:r>
          </w:p>
        </w:tc>
        <w:tc>
          <w:tcPr>
            <w:tcW w:w="3192" w:type="dxa"/>
            <w:vAlign w:val="bottom"/>
          </w:tcPr>
          <w:p w14:paraId="61567AE3" w14:textId="29419351" w:rsidR="00991A37" w:rsidRPr="00991A37" w:rsidRDefault="00991A37" w:rsidP="00991A37">
            <w:r w:rsidRPr="00991A37">
              <w:rPr>
                <w:bCs/>
                <w:szCs w:val="20"/>
              </w:rPr>
              <w:t>Повишен креатинин в кръвта</w:t>
            </w:r>
          </w:p>
        </w:tc>
      </w:tr>
      <w:tr w:rsidR="00991A37" w14:paraId="49BD666A" w14:textId="77777777" w:rsidTr="00991A37">
        <w:tc>
          <w:tcPr>
            <w:tcW w:w="3192" w:type="dxa"/>
            <w:vMerge/>
          </w:tcPr>
          <w:p w14:paraId="3DC85274" w14:textId="77777777" w:rsidR="00991A37" w:rsidRPr="00991A37" w:rsidRDefault="00991A37" w:rsidP="00991A37"/>
        </w:tc>
        <w:tc>
          <w:tcPr>
            <w:tcW w:w="3192" w:type="dxa"/>
            <w:vAlign w:val="bottom"/>
          </w:tcPr>
          <w:p w14:paraId="490FFD70" w14:textId="53BD58E0" w:rsidR="00991A37" w:rsidRPr="00991A37" w:rsidRDefault="00991A37" w:rsidP="00991A37">
            <w:r w:rsidRPr="00991A37">
              <w:rPr>
                <w:bCs/>
                <w:szCs w:val="20"/>
              </w:rPr>
              <w:t>Редки</w:t>
            </w:r>
          </w:p>
        </w:tc>
        <w:tc>
          <w:tcPr>
            <w:tcW w:w="3192" w:type="dxa"/>
            <w:vAlign w:val="bottom"/>
          </w:tcPr>
          <w:p w14:paraId="057A8E9A" w14:textId="308AF41C" w:rsidR="00991A37" w:rsidRPr="00991A37" w:rsidRDefault="00991A37" w:rsidP="00991A37">
            <w:pPr>
              <w:rPr>
                <w:rFonts w:ascii="Times New Roman" w:eastAsia="Times New Roman" w:hAnsi="Times New Roman" w:cs="Times New Roman"/>
                <w:sz w:val="24"/>
                <w:szCs w:val="24"/>
              </w:rPr>
            </w:pPr>
            <w:r w:rsidRPr="00991A37">
              <w:rPr>
                <w:bCs/>
                <w:szCs w:val="20"/>
              </w:rPr>
              <w:t xml:space="preserve">Понижен хемоглобин, </w:t>
            </w:r>
            <w:r w:rsidRPr="00991A37">
              <w:rPr>
                <w:bCs/>
                <w:szCs w:val="20"/>
                <w:u w:val="single"/>
              </w:rPr>
              <w:t>повиш</w:t>
            </w:r>
            <w:r w:rsidRPr="00991A37">
              <w:rPr>
                <w:bCs/>
                <w:szCs w:val="20"/>
              </w:rPr>
              <w:t>е</w:t>
            </w:r>
            <w:r w:rsidRPr="00991A37">
              <w:rPr>
                <w:bCs/>
                <w:szCs w:val="20"/>
                <w:u w:val="single"/>
              </w:rPr>
              <w:t>на пикочна киселина</w:t>
            </w:r>
            <w:r>
              <w:rPr>
                <w:bCs/>
                <w:szCs w:val="20"/>
                <w:u w:val="single"/>
              </w:rPr>
              <w:t xml:space="preserve"> </w:t>
            </w:r>
            <w:r w:rsidRPr="00991A37">
              <w:rPr>
                <w:lang w:eastAsia="bg-BG"/>
              </w:rPr>
              <w:t>в кръвта, повишени чернодробни ензими, повишена креатин фосфокиназа в кръвта</w:t>
            </w:r>
          </w:p>
        </w:tc>
      </w:tr>
    </w:tbl>
    <w:p w14:paraId="67F04E05" w14:textId="77777777" w:rsidR="00991A37" w:rsidRPr="00991A37" w:rsidRDefault="00991A37" w:rsidP="00991A37">
      <w:pPr>
        <w:spacing w:line="240" w:lineRule="auto"/>
        <w:rPr>
          <w:rFonts w:eastAsia="Times New Roman" w:cs="Arial"/>
          <w:sz w:val="28"/>
          <w:szCs w:val="24"/>
        </w:rPr>
      </w:pPr>
      <w:r w:rsidRPr="00991A37">
        <w:rPr>
          <w:rFonts w:eastAsia="Times New Roman" w:cs="Arial"/>
          <w:bCs/>
          <w:color w:val="000000"/>
          <w:szCs w:val="20"/>
          <w:lang w:eastAsia="bg-BG"/>
        </w:rPr>
        <w:t>1,2, 3, 4. допълнително описание, моля, вижте подточка „</w:t>
      </w:r>
      <w:r w:rsidRPr="00991A37">
        <w:rPr>
          <w:rFonts w:eastAsia="Times New Roman" w:cs="Arial"/>
          <w:bCs/>
          <w:i/>
          <w:iCs/>
          <w:color w:val="000000"/>
          <w:szCs w:val="20"/>
          <w:lang w:eastAsia="bg-BG"/>
        </w:rPr>
        <w:t>Описание на избрани нежелани реакции".</w:t>
      </w:r>
    </w:p>
    <w:p w14:paraId="075976AB" w14:textId="77777777" w:rsidR="00991A37" w:rsidRPr="00991A37" w:rsidRDefault="00991A37" w:rsidP="00991A37">
      <w:pPr>
        <w:spacing w:line="240" w:lineRule="auto"/>
        <w:rPr>
          <w:rFonts w:eastAsia="Times New Roman" w:cs="Arial"/>
          <w:bCs/>
          <w:i/>
          <w:iCs/>
          <w:color w:val="000000"/>
          <w:szCs w:val="20"/>
          <w:lang w:eastAsia="bg-BG"/>
        </w:rPr>
      </w:pPr>
    </w:p>
    <w:p w14:paraId="08EDFFFE" w14:textId="1AAD59C4" w:rsidR="00991A37" w:rsidRPr="00991A37" w:rsidRDefault="00991A37" w:rsidP="00991A37">
      <w:pPr>
        <w:spacing w:line="240" w:lineRule="auto"/>
        <w:rPr>
          <w:rFonts w:eastAsia="Times New Roman" w:cs="Arial"/>
          <w:sz w:val="28"/>
          <w:szCs w:val="24"/>
        </w:rPr>
      </w:pPr>
      <w:r w:rsidRPr="00991A37">
        <w:rPr>
          <w:rFonts w:eastAsia="Times New Roman" w:cs="Arial"/>
          <w:bCs/>
          <w:i/>
          <w:iCs/>
          <w:color w:val="000000"/>
          <w:szCs w:val="20"/>
          <w:lang w:eastAsia="bg-BG"/>
        </w:rPr>
        <w:t>Описание на избрани нежелани лекарствени реакции</w:t>
      </w:r>
    </w:p>
    <w:p w14:paraId="73EB0861" w14:textId="77777777" w:rsidR="00991A37" w:rsidRPr="00991A37" w:rsidRDefault="00991A37" w:rsidP="00991A37">
      <w:pPr>
        <w:spacing w:line="240" w:lineRule="auto"/>
        <w:rPr>
          <w:rFonts w:eastAsia="Times New Roman" w:cs="Arial"/>
          <w:bCs/>
          <w:i/>
          <w:iCs/>
          <w:color w:val="000000"/>
          <w:szCs w:val="20"/>
          <w:u w:val="single"/>
          <w:lang w:eastAsia="bg-BG"/>
        </w:rPr>
      </w:pPr>
    </w:p>
    <w:p w14:paraId="2D827583" w14:textId="6511B8CA" w:rsidR="00991A37" w:rsidRPr="00991A37" w:rsidRDefault="00991A37" w:rsidP="00991A37">
      <w:pPr>
        <w:spacing w:line="240" w:lineRule="auto"/>
        <w:rPr>
          <w:rFonts w:eastAsia="Times New Roman" w:cs="Arial"/>
          <w:sz w:val="28"/>
          <w:szCs w:val="24"/>
        </w:rPr>
      </w:pPr>
      <w:r w:rsidRPr="00991A37">
        <w:rPr>
          <w:rFonts w:eastAsia="Times New Roman" w:cs="Arial"/>
          <w:bCs/>
          <w:i/>
          <w:iCs/>
          <w:color w:val="000000"/>
          <w:szCs w:val="20"/>
          <w:u w:val="single"/>
          <w:lang w:eastAsia="bg-BG"/>
        </w:rPr>
        <w:t>Сепсис</w:t>
      </w:r>
    </w:p>
    <w:p w14:paraId="00E2EBF3" w14:textId="77777777" w:rsidR="00991A37" w:rsidRPr="00991A37" w:rsidRDefault="00991A37" w:rsidP="00991A37">
      <w:pPr>
        <w:spacing w:line="240" w:lineRule="auto"/>
        <w:rPr>
          <w:rFonts w:eastAsia="Times New Roman" w:cs="Arial"/>
          <w:sz w:val="28"/>
          <w:szCs w:val="24"/>
        </w:rPr>
      </w:pPr>
      <w:r w:rsidRPr="00991A37">
        <w:rPr>
          <w:rFonts w:eastAsia="Times New Roman" w:cs="Arial"/>
          <w:bCs/>
          <w:color w:val="000000"/>
          <w:szCs w:val="20"/>
          <w:lang w:eastAsia="bg-BG"/>
        </w:rPr>
        <w:t xml:space="preserve">В проучването </w:t>
      </w:r>
      <w:proofErr w:type="spellStart"/>
      <w:r w:rsidRPr="00991A37">
        <w:rPr>
          <w:rFonts w:eastAsia="Times New Roman" w:cs="Arial"/>
          <w:bCs/>
          <w:color w:val="000000"/>
          <w:szCs w:val="20"/>
          <w:lang w:val="en-US"/>
        </w:rPr>
        <w:t>PRoFESS</w:t>
      </w:r>
      <w:proofErr w:type="spellEnd"/>
      <w:r w:rsidRPr="00991A37">
        <w:rPr>
          <w:rFonts w:eastAsia="Times New Roman" w:cs="Arial"/>
          <w:bCs/>
          <w:color w:val="000000"/>
          <w:szCs w:val="20"/>
          <w:lang w:val="ru-RU"/>
        </w:rPr>
        <w:t xml:space="preserve"> </w:t>
      </w:r>
      <w:r w:rsidRPr="00991A37">
        <w:rPr>
          <w:rFonts w:eastAsia="Times New Roman" w:cs="Arial"/>
          <w:bCs/>
          <w:color w:val="000000"/>
          <w:szCs w:val="20"/>
          <w:lang w:eastAsia="bg-BG"/>
        </w:rPr>
        <w:t>е наблюдавана повишена честота на възникване на сепсис при телмисартан в сравнение с плацебо. Събитието може да е открито случайно или да е свързано с механизъм, който не е познат за момента (вж. също точка 5.1).</w:t>
      </w:r>
    </w:p>
    <w:p w14:paraId="046724A1" w14:textId="77777777" w:rsidR="00991A37" w:rsidRPr="00991A37" w:rsidRDefault="00991A37" w:rsidP="00991A37">
      <w:pPr>
        <w:spacing w:line="240" w:lineRule="auto"/>
        <w:rPr>
          <w:rFonts w:eastAsia="Times New Roman" w:cs="Arial"/>
          <w:bCs/>
          <w:i/>
          <w:iCs/>
          <w:color w:val="000000"/>
          <w:szCs w:val="20"/>
          <w:u w:val="single"/>
          <w:lang w:eastAsia="bg-BG"/>
        </w:rPr>
      </w:pPr>
    </w:p>
    <w:p w14:paraId="1C827616" w14:textId="0E2A3605" w:rsidR="00991A37" w:rsidRPr="00991A37" w:rsidRDefault="00991A37" w:rsidP="00991A37">
      <w:pPr>
        <w:spacing w:line="240" w:lineRule="auto"/>
        <w:rPr>
          <w:rFonts w:eastAsia="Times New Roman" w:cs="Arial"/>
          <w:sz w:val="28"/>
          <w:szCs w:val="24"/>
        </w:rPr>
      </w:pPr>
      <w:r w:rsidRPr="00991A37">
        <w:rPr>
          <w:rFonts w:eastAsia="Times New Roman" w:cs="Arial"/>
          <w:bCs/>
          <w:i/>
          <w:iCs/>
          <w:color w:val="000000"/>
          <w:szCs w:val="20"/>
          <w:u w:val="single"/>
          <w:lang w:eastAsia="bg-BG"/>
        </w:rPr>
        <w:t>Хипотония</w:t>
      </w:r>
    </w:p>
    <w:p w14:paraId="53F8F54C" w14:textId="77777777" w:rsidR="00991A37" w:rsidRPr="00991A37" w:rsidRDefault="00991A37" w:rsidP="00991A37">
      <w:pPr>
        <w:spacing w:line="240" w:lineRule="auto"/>
        <w:rPr>
          <w:rFonts w:eastAsia="Times New Roman" w:cs="Arial"/>
          <w:sz w:val="28"/>
          <w:szCs w:val="24"/>
        </w:rPr>
      </w:pPr>
      <w:r w:rsidRPr="00991A37">
        <w:rPr>
          <w:rFonts w:eastAsia="Times New Roman" w:cs="Arial"/>
          <w:bCs/>
          <w:color w:val="000000"/>
          <w:szCs w:val="20"/>
          <w:lang w:eastAsia="bg-BG"/>
        </w:rPr>
        <w:t>Тази нежелана лекарствена реакция е съобщена като честа при пациенти с контролирано кръвно налягане, лекувани с телмисартан за намаляване на сърдечносъдовата заболеваемост при проведено стандартно лечение.</w:t>
      </w:r>
    </w:p>
    <w:p w14:paraId="6371378D" w14:textId="77777777" w:rsidR="00991A37" w:rsidRPr="00991A37" w:rsidRDefault="00991A37" w:rsidP="00991A37">
      <w:pPr>
        <w:spacing w:line="240" w:lineRule="auto"/>
        <w:rPr>
          <w:rFonts w:eastAsia="Times New Roman" w:cs="Arial"/>
          <w:bCs/>
          <w:i/>
          <w:iCs/>
          <w:color w:val="000000"/>
          <w:szCs w:val="20"/>
          <w:u w:val="single"/>
          <w:lang w:eastAsia="bg-BG"/>
        </w:rPr>
      </w:pPr>
    </w:p>
    <w:p w14:paraId="10E738A5" w14:textId="03F4DA8E" w:rsidR="00991A37" w:rsidRPr="00991A37" w:rsidRDefault="00991A37" w:rsidP="00991A37">
      <w:pPr>
        <w:spacing w:line="240" w:lineRule="auto"/>
        <w:rPr>
          <w:rFonts w:eastAsia="Times New Roman" w:cs="Arial"/>
          <w:sz w:val="28"/>
          <w:szCs w:val="24"/>
        </w:rPr>
      </w:pPr>
      <w:r w:rsidRPr="00991A37">
        <w:rPr>
          <w:rFonts w:eastAsia="Times New Roman" w:cs="Arial"/>
          <w:bCs/>
          <w:i/>
          <w:iCs/>
          <w:color w:val="000000"/>
          <w:szCs w:val="20"/>
          <w:u w:val="single"/>
          <w:lang w:eastAsia="bg-BG"/>
        </w:rPr>
        <w:t>Абнормна чернодробна Функция/чернодробно нарушение</w:t>
      </w:r>
    </w:p>
    <w:p w14:paraId="1174CD70" w14:textId="77777777" w:rsidR="00991A37" w:rsidRPr="00991A37" w:rsidRDefault="00991A37" w:rsidP="00991A37">
      <w:pPr>
        <w:spacing w:line="240" w:lineRule="auto"/>
        <w:rPr>
          <w:rFonts w:eastAsia="Times New Roman" w:cs="Arial"/>
          <w:sz w:val="28"/>
          <w:szCs w:val="24"/>
        </w:rPr>
      </w:pPr>
      <w:r w:rsidRPr="00991A37">
        <w:rPr>
          <w:rFonts w:eastAsia="Times New Roman" w:cs="Arial"/>
          <w:bCs/>
          <w:color w:val="000000"/>
          <w:szCs w:val="20"/>
          <w:lang w:eastAsia="bg-BG"/>
        </w:rPr>
        <w:t>Повечето случаи на абнормна чернодробна функция/ чернодробно нарушение от пост- маркетинговия опит с телмисартан настъпват при пациенти от японски произход. При пациенти от японски произход съществува по-голяма вероятност за развитие на тези нежелани реакции.</w:t>
      </w:r>
    </w:p>
    <w:p w14:paraId="3567A721" w14:textId="77777777" w:rsidR="00991A37" w:rsidRPr="00991A37" w:rsidRDefault="00991A37" w:rsidP="00991A37">
      <w:pPr>
        <w:spacing w:line="240" w:lineRule="auto"/>
        <w:rPr>
          <w:rFonts w:eastAsia="Times New Roman" w:cs="Arial"/>
          <w:bCs/>
          <w:i/>
          <w:iCs/>
          <w:color w:val="000000"/>
          <w:szCs w:val="20"/>
          <w:u w:val="single"/>
          <w:lang w:eastAsia="bg-BG"/>
        </w:rPr>
      </w:pPr>
    </w:p>
    <w:p w14:paraId="48F9FDB4" w14:textId="096CFE62" w:rsidR="00991A37" w:rsidRPr="00991A37" w:rsidRDefault="00991A37" w:rsidP="00991A37">
      <w:pPr>
        <w:spacing w:line="240" w:lineRule="auto"/>
        <w:rPr>
          <w:rFonts w:eastAsia="Times New Roman" w:cs="Arial"/>
          <w:sz w:val="28"/>
          <w:szCs w:val="24"/>
        </w:rPr>
      </w:pPr>
      <w:r w:rsidRPr="00991A37">
        <w:rPr>
          <w:rFonts w:eastAsia="Times New Roman" w:cs="Arial"/>
          <w:bCs/>
          <w:i/>
          <w:iCs/>
          <w:color w:val="000000"/>
          <w:szCs w:val="20"/>
          <w:u w:val="single"/>
          <w:lang w:eastAsia="bg-BG"/>
        </w:rPr>
        <w:t>Интерстиииална белодробна болест</w:t>
      </w:r>
    </w:p>
    <w:p w14:paraId="3986CF30" w14:textId="77777777" w:rsidR="00991A37" w:rsidRPr="00991A37" w:rsidRDefault="00991A37" w:rsidP="00991A37">
      <w:pPr>
        <w:spacing w:line="240" w:lineRule="auto"/>
        <w:rPr>
          <w:rFonts w:eastAsia="Times New Roman" w:cs="Arial"/>
          <w:sz w:val="28"/>
          <w:szCs w:val="24"/>
        </w:rPr>
      </w:pPr>
      <w:r w:rsidRPr="00991A37">
        <w:rPr>
          <w:rFonts w:eastAsia="Times New Roman" w:cs="Arial"/>
          <w:bCs/>
          <w:color w:val="000000"/>
          <w:szCs w:val="20"/>
          <w:lang w:eastAsia="bg-BG"/>
        </w:rPr>
        <w:t>Случаи на интерстициална белодробна болест са докладвани от пост-маркетинговия опит, във връзка с приема на телмисартан. Причинно-следствена връзка обаче не е установена.</w:t>
      </w:r>
    </w:p>
    <w:p w14:paraId="22D1506C" w14:textId="77777777" w:rsidR="00991A37" w:rsidRPr="00991A37" w:rsidRDefault="00991A37" w:rsidP="00991A37">
      <w:pPr>
        <w:spacing w:line="240" w:lineRule="auto"/>
        <w:rPr>
          <w:rFonts w:eastAsia="Times New Roman" w:cs="Arial"/>
          <w:bCs/>
          <w:color w:val="000000"/>
          <w:szCs w:val="20"/>
          <w:u w:val="single"/>
          <w:lang w:eastAsia="bg-BG"/>
        </w:rPr>
      </w:pPr>
    </w:p>
    <w:p w14:paraId="03C73464" w14:textId="6483794C" w:rsidR="00991A37" w:rsidRPr="00991A37" w:rsidRDefault="00991A37" w:rsidP="00991A37">
      <w:pPr>
        <w:spacing w:line="240" w:lineRule="auto"/>
        <w:rPr>
          <w:rFonts w:eastAsia="Times New Roman" w:cs="Arial"/>
          <w:sz w:val="28"/>
          <w:szCs w:val="24"/>
        </w:rPr>
      </w:pPr>
      <w:r w:rsidRPr="00991A37">
        <w:rPr>
          <w:rFonts w:eastAsia="Times New Roman" w:cs="Arial"/>
          <w:bCs/>
          <w:color w:val="000000"/>
          <w:szCs w:val="20"/>
          <w:u w:val="single"/>
          <w:lang w:eastAsia="bg-BG"/>
        </w:rPr>
        <w:t>Нежелани лекарствени реакции свързани с амлодипин</w:t>
      </w:r>
    </w:p>
    <w:p w14:paraId="4F26846E" w14:textId="77777777" w:rsidR="00991A37" w:rsidRPr="00991A37" w:rsidRDefault="00991A37" w:rsidP="00991A37">
      <w:pPr>
        <w:spacing w:line="240" w:lineRule="auto"/>
        <w:rPr>
          <w:rFonts w:eastAsia="Times New Roman" w:cs="Arial"/>
          <w:bCs/>
          <w:i/>
          <w:iCs/>
          <w:color w:val="000000"/>
          <w:szCs w:val="20"/>
          <w:lang w:eastAsia="bg-BG"/>
        </w:rPr>
      </w:pPr>
    </w:p>
    <w:p w14:paraId="0C318C8A" w14:textId="530703B8" w:rsidR="00991A37" w:rsidRPr="00991A37" w:rsidRDefault="00991A37" w:rsidP="00991A37">
      <w:pPr>
        <w:spacing w:line="240" w:lineRule="auto"/>
        <w:rPr>
          <w:rFonts w:eastAsia="Times New Roman" w:cs="Arial"/>
          <w:sz w:val="28"/>
          <w:szCs w:val="24"/>
        </w:rPr>
      </w:pPr>
      <w:r w:rsidRPr="00991A37">
        <w:rPr>
          <w:rFonts w:eastAsia="Times New Roman" w:cs="Arial"/>
          <w:bCs/>
          <w:i/>
          <w:iCs/>
          <w:color w:val="000000"/>
          <w:szCs w:val="20"/>
          <w:lang w:eastAsia="bg-BG"/>
        </w:rPr>
        <w:t>Обобщение на профила на безопасност</w:t>
      </w:r>
    </w:p>
    <w:p w14:paraId="63E9440D" w14:textId="77777777" w:rsidR="00991A37" w:rsidRPr="00991A37" w:rsidRDefault="00991A37" w:rsidP="00991A37">
      <w:pPr>
        <w:spacing w:line="240" w:lineRule="auto"/>
        <w:rPr>
          <w:rFonts w:eastAsia="Times New Roman" w:cs="Arial"/>
          <w:sz w:val="28"/>
          <w:szCs w:val="24"/>
        </w:rPr>
      </w:pPr>
      <w:r w:rsidRPr="00991A37">
        <w:rPr>
          <w:rFonts w:eastAsia="Times New Roman" w:cs="Arial"/>
          <w:bCs/>
          <w:color w:val="000000"/>
          <w:szCs w:val="20"/>
          <w:lang w:eastAsia="bg-BG"/>
        </w:rPr>
        <w:t>Най-често съобщаваните нежеланите лекарствени реакции по време на лечение с амлодипин са сомнолентност, замаяност, главоболие, палпитации, зачервяване, коремна болка, гадене, отоци на глезените, оток и умора.</w:t>
      </w:r>
    </w:p>
    <w:p w14:paraId="639B472E" w14:textId="77777777" w:rsidR="00991A37" w:rsidRPr="00991A37" w:rsidRDefault="00991A37" w:rsidP="00991A37">
      <w:pPr>
        <w:spacing w:line="240" w:lineRule="auto"/>
        <w:rPr>
          <w:rFonts w:eastAsia="Times New Roman" w:cs="Arial"/>
          <w:bCs/>
          <w:color w:val="000000"/>
          <w:szCs w:val="20"/>
          <w:lang w:eastAsia="bg-BG"/>
        </w:rPr>
      </w:pPr>
    </w:p>
    <w:p w14:paraId="06E4903A" w14:textId="13B360F5" w:rsidR="00991A37" w:rsidRPr="00991A37" w:rsidRDefault="00991A37" w:rsidP="00991A37">
      <w:pPr>
        <w:spacing w:line="240" w:lineRule="auto"/>
        <w:rPr>
          <w:rFonts w:eastAsia="Times New Roman" w:cs="Arial"/>
          <w:sz w:val="28"/>
          <w:szCs w:val="24"/>
        </w:rPr>
      </w:pPr>
      <w:r w:rsidRPr="00991A37">
        <w:rPr>
          <w:rFonts w:eastAsia="Times New Roman" w:cs="Arial"/>
          <w:bCs/>
          <w:color w:val="000000"/>
          <w:szCs w:val="20"/>
          <w:lang w:eastAsia="bg-BG"/>
        </w:rPr>
        <w:t>Честотата на нежеланите реакции се определя, чрез използване на следната конвенция:</w:t>
      </w:r>
    </w:p>
    <w:p w14:paraId="097DAAF5" w14:textId="77777777" w:rsidR="00991A37" w:rsidRPr="00991A37" w:rsidRDefault="00991A37" w:rsidP="00991A37">
      <w:pPr>
        <w:spacing w:line="240" w:lineRule="auto"/>
        <w:rPr>
          <w:rFonts w:eastAsia="Times New Roman" w:cs="Arial"/>
          <w:sz w:val="28"/>
          <w:szCs w:val="24"/>
        </w:rPr>
      </w:pPr>
      <w:r w:rsidRPr="00991A37">
        <w:rPr>
          <w:rFonts w:eastAsia="Times New Roman" w:cs="Arial"/>
          <w:bCs/>
          <w:color w:val="000000"/>
          <w:szCs w:val="20"/>
          <w:lang w:eastAsia="bg-BG"/>
        </w:rPr>
        <w:lastRenderedPageBreak/>
        <w:t>Много чести (≥1/10); чести (≥1/100 до &lt;1/10); нечести (≥1/1 000 до &lt;1/100); редки (≥1/10 000 до &lt;1/1 000); много редки (&lt;1/10 000), с неизвестна честота (от наличните данни не може да бъде направена оценка).</w:t>
      </w:r>
    </w:p>
    <w:p w14:paraId="35144116" w14:textId="77777777" w:rsidR="00991A37" w:rsidRPr="00991A37" w:rsidRDefault="00991A37" w:rsidP="00991A37">
      <w:pPr>
        <w:spacing w:line="240" w:lineRule="auto"/>
        <w:rPr>
          <w:rFonts w:eastAsia="Times New Roman" w:cs="Arial"/>
          <w:sz w:val="28"/>
          <w:szCs w:val="24"/>
        </w:rPr>
      </w:pPr>
      <w:r w:rsidRPr="00991A37">
        <w:rPr>
          <w:rFonts w:eastAsia="Times New Roman" w:cs="Arial"/>
          <w:bCs/>
          <w:color w:val="000000"/>
          <w:szCs w:val="20"/>
          <w:lang w:eastAsia="bg-BG"/>
        </w:rPr>
        <w:t>Следните нежелани лекарствени реакции са били съобщавани по време на лечение с амлодипин;</w:t>
      </w:r>
    </w:p>
    <w:p w14:paraId="0A59FB5D" w14:textId="30A8FF15" w:rsidR="003B7EC9" w:rsidRDefault="003B7EC9" w:rsidP="003B7EC9"/>
    <w:tbl>
      <w:tblPr>
        <w:tblStyle w:val="TableGrid"/>
        <w:tblW w:w="0" w:type="auto"/>
        <w:tblLook w:val="04A0" w:firstRow="1" w:lastRow="0" w:firstColumn="1" w:lastColumn="0" w:noHBand="0" w:noVBand="1"/>
      </w:tblPr>
      <w:tblGrid>
        <w:gridCol w:w="3138"/>
        <w:gridCol w:w="3075"/>
        <w:gridCol w:w="3137"/>
      </w:tblGrid>
      <w:tr w:rsidR="00991A37" w14:paraId="16E9278A" w14:textId="77777777" w:rsidTr="00991A37">
        <w:tc>
          <w:tcPr>
            <w:tcW w:w="3192" w:type="dxa"/>
          </w:tcPr>
          <w:p w14:paraId="6EE2CDB3" w14:textId="436BF613" w:rsidR="00991A37" w:rsidRPr="00991A37" w:rsidRDefault="00991A37" w:rsidP="00991A37">
            <w:r w:rsidRPr="00991A37">
              <w:rPr>
                <w:bCs/>
                <w:szCs w:val="20"/>
              </w:rPr>
              <w:t>Системо-оргянен клас</w:t>
            </w:r>
          </w:p>
        </w:tc>
        <w:tc>
          <w:tcPr>
            <w:tcW w:w="3192" w:type="dxa"/>
          </w:tcPr>
          <w:p w14:paraId="0DFA487D" w14:textId="1FCC014F" w:rsidR="00991A37" w:rsidRPr="00991A37" w:rsidRDefault="00991A37" w:rsidP="00991A37">
            <w:r w:rsidRPr="00991A37">
              <w:rPr>
                <w:bCs/>
                <w:szCs w:val="20"/>
              </w:rPr>
              <w:t>Честота</w:t>
            </w:r>
          </w:p>
        </w:tc>
        <w:tc>
          <w:tcPr>
            <w:tcW w:w="3192" w:type="dxa"/>
          </w:tcPr>
          <w:p w14:paraId="55BB8BA5" w14:textId="705AF555" w:rsidR="00991A37" w:rsidRPr="00991A37" w:rsidRDefault="00991A37" w:rsidP="00991A37">
            <w:r w:rsidRPr="00991A37">
              <w:rPr>
                <w:bCs/>
                <w:szCs w:val="20"/>
              </w:rPr>
              <w:t>Нежелани лекарствени реакции</w:t>
            </w:r>
          </w:p>
        </w:tc>
      </w:tr>
      <w:tr w:rsidR="00991A37" w14:paraId="44342531" w14:textId="77777777" w:rsidTr="00991A37">
        <w:tc>
          <w:tcPr>
            <w:tcW w:w="3192" w:type="dxa"/>
          </w:tcPr>
          <w:p w14:paraId="099E9082" w14:textId="6C82C293" w:rsidR="00991A37" w:rsidRPr="00991A37" w:rsidRDefault="00991A37" w:rsidP="00991A37">
            <w:r w:rsidRPr="00991A37">
              <w:rPr>
                <w:bCs/>
                <w:szCs w:val="20"/>
              </w:rPr>
              <w:t>Нарушения на кръвта и лимфната система</w:t>
            </w:r>
          </w:p>
        </w:tc>
        <w:tc>
          <w:tcPr>
            <w:tcW w:w="3192" w:type="dxa"/>
          </w:tcPr>
          <w:p w14:paraId="231A879F" w14:textId="6F6F759D" w:rsidR="00991A37" w:rsidRPr="00991A37" w:rsidRDefault="00991A37" w:rsidP="00991A37">
            <w:r w:rsidRPr="00991A37">
              <w:rPr>
                <w:bCs/>
                <w:szCs w:val="20"/>
              </w:rPr>
              <w:t>Много редки</w:t>
            </w:r>
          </w:p>
        </w:tc>
        <w:tc>
          <w:tcPr>
            <w:tcW w:w="3192" w:type="dxa"/>
          </w:tcPr>
          <w:p w14:paraId="4BD1A1AC" w14:textId="21FFFDC0" w:rsidR="00991A37" w:rsidRPr="00991A37" w:rsidRDefault="00991A37" w:rsidP="00991A37">
            <w:r w:rsidRPr="00991A37">
              <w:rPr>
                <w:bCs/>
                <w:szCs w:val="20"/>
              </w:rPr>
              <w:t>Левкоцитопения, тромбоцитопения</w:t>
            </w:r>
          </w:p>
        </w:tc>
      </w:tr>
      <w:tr w:rsidR="00991A37" w14:paraId="1A84FA35" w14:textId="77777777" w:rsidTr="00991A37">
        <w:tc>
          <w:tcPr>
            <w:tcW w:w="3192" w:type="dxa"/>
          </w:tcPr>
          <w:p w14:paraId="1F839D3F" w14:textId="74B67002" w:rsidR="00991A37" w:rsidRPr="00991A37" w:rsidRDefault="00991A37" w:rsidP="00991A37">
            <w:r w:rsidRPr="00991A37">
              <w:rPr>
                <w:bCs/>
                <w:szCs w:val="20"/>
              </w:rPr>
              <w:t>Нарушения на имунната система</w:t>
            </w:r>
          </w:p>
        </w:tc>
        <w:tc>
          <w:tcPr>
            <w:tcW w:w="3192" w:type="dxa"/>
          </w:tcPr>
          <w:p w14:paraId="17344890" w14:textId="15F404F3" w:rsidR="00991A37" w:rsidRPr="00991A37" w:rsidRDefault="00991A37" w:rsidP="00991A37">
            <w:r w:rsidRPr="00991A37">
              <w:rPr>
                <w:bCs/>
                <w:szCs w:val="20"/>
              </w:rPr>
              <w:t>Много редки</w:t>
            </w:r>
          </w:p>
        </w:tc>
        <w:tc>
          <w:tcPr>
            <w:tcW w:w="3192" w:type="dxa"/>
          </w:tcPr>
          <w:p w14:paraId="4BD08B83" w14:textId="4D6E9A72" w:rsidR="00991A37" w:rsidRPr="00991A37" w:rsidRDefault="00991A37" w:rsidP="00991A37">
            <w:r w:rsidRPr="00991A37">
              <w:rPr>
                <w:bCs/>
                <w:szCs w:val="20"/>
              </w:rPr>
              <w:t>Алергични реакции</w:t>
            </w:r>
          </w:p>
        </w:tc>
      </w:tr>
      <w:tr w:rsidR="00991A37" w14:paraId="088A3E24" w14:textId="77777777" w:rsidTr="00991A37">
        <w:tc>
          <w:tcPr>
            <w:tcW w:w="3192" w:type="dxa"/>
          </w:tcPr>
          <w:p w14:paraId="7A7F8004" w14:textId="2727DBC9" w:rsidR="00991A37" w:rsidRPr="00991A37" w:rsidRDefault="00991A37" w:rsidP="00991A37">
            <w:r w:rsidRPr="00991A37">
              <w:rPr>
                <w:bCs/>
                <w:szCs w:val="20"/>
              </w:rPr>
              <w:t>Нарушения на метаболизма и храненето</w:t>
            </w:r>
          </w:p>
        </w:tc>
        <w:tc>
          <w:tcPr>
            <w:tcW w:w="3192" w:type="dxa"/>
          </w:tcPr>
          <w:p w14:paraId="085F2593" w14:textId="3F2775BA" w:rsidR="00991A37" w:rsidRPr="00991A37" w:rsidRDefault="00991A37" w:rsidP="00991A37">
            <w:r w:rsidRPr="00991A37">
              <w:rPr>
                <w:bCs/>
                <w:szCs w:val="20"/>
              </w:rPr>
              <w:t>Много редки</w:t>
            </w:r>
          </w:p>
        </w:tc>
        <w:tc>
          <w:tcPr>
            <w:tcW w:w="3192" w:type="dxa"/>
          </w:tcPr>
          <w:p w14:paraId="45311F4A" w14:textId="67DC33E3" w:rsidR="00991A37" w:rsidRPr="00991A37" w:rsidRDefault="00991A37" w:rsidP="00991A37">
            <w:r w:rsidRPr="00991A37">
              <w:rPr>
                <w:bCs/>
                <w:szCs w:val="20"/>
              </w:rPr>
              <w:t>Хипергликемия</w:t>
            </w:r>
          </w:p>
        </w:tc>
      </w:tr>
      <w:tr w:rsidR="00991A37" w14:paraId="78ECE805" w14:textId="77777777" w:rsidTr="00991A37">
        <w:tc>
          <w:tcPr>
            <w:tcW w:w="3192" w:type="dxa"/>
            <w:vMerge w:val="restart"/>
          </w:tcPr>
          <w:p w14:paraId="3A7E9FE7" w14:textId="05BF8B12" w:rsidR="00991A37" w:rsidRPr="00991A37" w:rsidRDefault="00991A37" w:rsidP="00991A37">
            <w:r w:rsidRPr="00991A37">
              <w:rPr>
                <w:bCs/>
                <w:szCs w:val="20"/>
              </w:rPr>
              <w:t>Психични нарушения</w:t>
            </w:r>
          </w:p>
        </w:tc>
        <w:tc>
          <w:tcPr>
            <w:tcW w:w="3192" w:type="dxa"/>
          </w:tcPr>
          <w:p w14:paraId="26C93CEF" w14:textId="2046F1D4" w:rsidR="00991A37" w:rsidRPr="00991A37" w:rsidRDefault="00991A37" w:rsidP="00991A37">
            <w:r w:rsidRPr="00991A37">
              <w:rPr>
                <w:bCs/>
                <w:szCs w:val="20"/>
              </w:rPr>
              <w:t>Нечести</w:t>
            </w:r>
          </w:p>
        </w:tc>
        <w:tc>
          <w:tcPr>
            <w:tcW w:w="3192" w:type="dxa"/>
          </w:tcPr>
          <w:p w14:paraId="5CB82602" w14:textId="77777777" w:rsidR="00991A37" w:rsidRPr="00991A37" w:rsidRDefault="00991A37" w:rsidP="00991A37">
            <w:r w:rsidRPr="00991A37">
              <w:rPr>
                <w:bCs/>
                <w:szCs w:val="20"/>
              </w:rPr>
              <w:t>Безсъние, промени в настроението (включително тревожност),</w:t>
            </w:r>
          </w:p>
          <w:p w14:paraId="11335267" w14:textId="1F970C52" w:rsidR="00991A37" w:rsidRPr="00991A37" w:rsidRDefault="00991A37" w:rsidP="00991A37">
            <w:r w:rsidRPr="00991A37">
              <w:rPr>
                <w:bCs/>
                <w:szCs w:val="20"/>
              </w:rPr>
              <w:t>депресия</w:t>
            </w:r>
          </w:p>
        </w:tc>
      </w:tr>
      <w:tr w:rsidR="00991A37" w14:paraId="73A1938F" w14:textId="77777777" w:rsidTr="00991A37">
        <w:tc>
          <w:tcPr>
            <w:tcW w:w="3192" w:type="dxa"/>
            <w:vMerge/>
          </w:tcPr>
          <w:p w14:paraId="338E0745" w14:textId="77777777" w:rsidR="00991A37" w:rsidRPr="00991A37" w:rsidRDefault="00991A37" w:rsidP="00991A37"/>
        </w:tc>
        <w:tc>
          <w:tcPr>
            <w:tcW w:w="3192" w:type="dxa"/>
          </w:tcPr>
          <w:p w14:paraId="6AB9BADB" w14:textId="00C0675B" w:rsidR="00991A37" w:rsidRPr="00991A37" w:rsidRDefault="00991A37" w:rsidP="00991A37">
            <w:r w:rsidRPr="00991A37">
              <w:rPr>
                <w:bCs/>
                <w:szCs w:val="20"/>
              </w:rPr>
              <w:t>Редки</w:t>
            </w:r>
          </w:p>
        </w:tc>
        <w:tc>
          <w:tcPr>
            <w:tcW w:w="3192" w:type="dxa"/>
          </w:tcPr>
          <w:p w14:paraId="724246C3" w14:textId="7049BF0F" w:rsidR="00991A37" w:rsidRPr="00991A37" w:rsidRDefault="00991A37" w:rsidP="00991A37">
            <w:r w:rsidRPr="00991A37">
              <w:rPr>
                <w:bCs/>
                <w:szCs w:val="20"/>
              </w:rPr>
              <w:t>Обърканост</w:t>
            </w:r>
          </w:p>
        </w:tc>
      </w:tr>
      <w:tr w:rsidR="00991A37" w14:paraId="369B19D5" w14:textId="77777777" w:rsidTr="00991A37">
        <w:tc>
          <w:tcPr>
            <w:tcW w:w="3192" w:type="dxa"/>
            <w:vMerge w:val="restart"/>
          </w:tcPr>
          <w:p w14:paraId="18A6C45F" w14:textId="58339AB6" w:rsidR="00991A37" w:rsidRPr="00991A37" w:rsidRDefault="00991A37" w:rsidP="00991A37">
            <w:r w:rsidRPr="00991A37">
              <w:rPr>
                <w:bCs/>
                <w:szCs w:val="20"/>
              </w:rPr>
              <w:t>Нарушения на нервната система</w:t>
            </w:r>
          </w:p>
        </w:tc>
        <w:tc>
          <w:tcPr>
            <w:tcW w:w="3192" w:type="dxa"/>
          </w:tcPr>
          <w:p w14:paraId="50C827E2" w14:textId="4EC30BA9" w:rsidR="00991A37" w:rsidRPr="00991A37" w:rsidRDefault="00991A37" w:rsidP="00991A37">
            <w:r w:rsidRPr="00991A37">
              <w:rPr>
                <w:bCs/>
                <w:szCs w:val="20"/>
              </w:rPr>
              <w:t>Чести</w:t>
            </w:r>
          </w:p>
        </w:tc>
        <w:tc>
          <w:tcPr>
            <w:tcW w:w="3192" w:type="dxa"/>
          </w:tcPr>
          <w:p w14:paraId="29AEEBDC" w14:textId="42BDDDA8" w:rsidR="00991A37" w:rsidRPr="00991A37" w:rsidRDefault="00991A37" w:rsidP="00991A37">
            <w:r w:rsidRPr="00991A37">
              <w:t>Сомнолентност,</w:t>
            </w:r>
            <w:r w:rsidRPr="00991A37">
              <w:rPr>
                <w:i/>
                <w:iCs/>
              </w:rPr>
              <w:t xml:space="preserve"> </w:t>
            </w:r>
            <w:r w:rsidRPr="00991A37">
              <w:t>замаяност, главоболие (особено в началото на лечението</w:t>
            </w:r>
            <w:r w:rsidRPr="00991A37">
              <w:rPr>
                <w:sz w:val="20"/>
              </w:rPr>
              <w:t>)</w:t>
            </w:r>
          </w:p>
        </w:tc>
      </w:tr>
      <w:tr w:rsidR="00991A37" w14:paraId="7B4703DA" w14:textId="77777777" w:rsidTr="00991A37">
        <w:tc>
          <w:tcPr>
            <w:tcW w:w="3192" w:type="dxa"/>
            <w:vMerge/>
          </w:tcPr>
          <w:p w14:paraId="773AE215" w14:textId="77777777" w:rsidR="00991A37" w:rsidRDefault="00991A37" w:rsidP="00991A37"/>
        </w:tc>
        <w:tc>
          <w:tcPr>
            <w:tcW w:w="3192" w:type="dxa"/>
          </w:tcPr>
          <w:p w14:paraId="29003A70" w14:textId="2AE1951D" w:rsidR="00991A37" w:rsidRPr="00991A37" w:rsidRDefault="00991A37" w:rsidP="00991A37">
            <w:r w:rsidRPr="00991A37">
              <w:rPr>
                <w:bCs/>
                <w:szCs w:val="20"/>
              </w:rPr>
              <w:t>Нечести</w:t>
            </w:r>
          </w:p>
        </w:tc>
        <w:tc>
          <w:tcPr>
            <w:tcW w:w="3192" w:type="dxa"/>
          </w:tcPr>
          <w:p w14:paraId="08CEA971" w14:textId="2B224789" w:rsidR="00991A37" w:rsidRPr="00991A37" w:rsidRDefault="00991A37" w:rsidP="00991A37">
            <w:r w:rsidRPr="00991A37">
              <w:rPr>
                <w:bCs/>
                <w:szCs w:val="20"/>
              </w:rPr>
              <w:t>Тремор, дисгеузия, синкоп, хипоестезия, парестезия</w:t>
            </w:r>
          </w:p>
        </w:tc>
      </w:tr>
      <w:tr w:rsidR="00991A37" w14:paraId="5F38D597" w14:textId="77777777" w:rsidTr="00991A37">
        <w:tc>
          <w:tcPr>
            <w:tcW w:w="3192" w:type="dxa"/>
            <w:vMerge/>
          </w:tcPr>
          <w:p w14:paraId="6E6BBE0D" w14:textId="77777777" w:rsidR="00991A37" w:rsidRDefault="00991A37" w:rsidP="00991A37"/>
        </w:tc>
        <w:tc>
          <w:tcPr>
            <w:tcW w:w="3192" w:type="dxa"/>
          </w:tcPr>
          <w:p w14:paraId="3666DC4E" w14:textId="5D1F2FFB" w:rsidR="00991A37" w:rsidRPr="00991A37" w:rsidRDefault="00991A37" w:rsidP="00991A37">
            <w:r w:rsidRPr="00991A37">
              <w:rPr>
                <w:bCs/>
                <w:szCs w:val="20"/>
              </w:rPr>
              <w:t>Много редки</w:t>
            </w:r>
          </w:p>
        </w:tc>
        <w:tc>
          <w:tcPr>
            <w:tcW w:w="3192" w:type="dxa"/>
            <w:vAlign w:val="bottom"/>
          </w:tcPr>
          <w:p w14:paraId="231E5F40" w14:textId="10808887" w:rsidR="00991A37" w:rsidRPr="00991A37" w:rsidRDefault="00991A37" w:rsidP="00991A37">
            <w:r w:rsidRPr="00991A37">
              <w:rPr>
                <w:bCs/>
                <w:szCs w:val="20"/>
              </w:rPr>
              <w:t>Хипертония, периферна невропатия</w:t>
            </w:r>
          </w:p>
        </w:tc>
      </w:tr>
      <w:tr w:rsidR="00991A37" w14:paraId="74B26F4B" w14:textId="77777777" w:rsidTr="00991A37">
        <w:tc>
          <w:tcPr>
            <w:tcW w:w="3192" w:type="dxa"/>
            <w:vMerge/>
          </w:tcPr>
          <w:p w14:paraId="2266FCAA" w14:textId="77777777" w:rsidR="00991A37" w:rsidRDefault="00991A37" w:rsidP="00991A37"/>
        </w:tc>
        <w:tc>
          <w:tcPr>
            <w:tcW w:w="3192" w:type="dxa"/>
          </w:tcPr>
          <w:p w14:paraId="63F7D46E" w14:textId="2E025C71" w:rsidR="00991A37" w:rsidRPr="00991A37" w:rsidRDefault="00991A37" w:rsidP="00991A37">
            <w:r w:rsidRPr="00991A37">
              <w:rPr>
                <w:bCs/>
                <w:szCs w:val="20"/>
              </w:rPr>
              <w:t>С неизвестна честота</w:t>
            </w:r>
          </w:p>
        </w:tc>
        <w:tc>
          <w:tcPr>
            <w:tcW w:w="3192" w:type="dxa"/>
            <w:vAlign w:val="bottom"/>
          </w:tcPr>
          <w:p w14:paraId="359D7586" w14:textId="2BA113C6" w:rsidR="00991A37" w:rsidRPr="00991A37" w:rsidRDefault="00991A37" w:rsidP="00991A37">
            <w:r w:rsidRPr="00991A37">
              <w:rPr>
                <w:bCs/>
                <w:szCs w:val="20"/>
              </w:rPr>
              <w:t>Екстрапирамидни нарушения</w:t>
            </w:r>
          </w:p>
        </w:tc>
      </w:tr>
      <w:tr w:rsidR="00991A37" w14:paraId="3666A0EF" w14:textId="77777777" w:rsidTr="00991A37">
        <w:tc>
          <w:tcPr>
            <w:tcW w:w="3192" w:type="dxa"/>
          </w:tcPr>
          <w:p w14:paraId="7C64735F" w14:textId="504654AA" w:rsidR="00991A37" w:rsidRPr="00991A37" w:rsidRDefault="00991A37" w:rsidP="00991A37">
            <w:r w:rsidRPr="00991A37">
              <w:rPr>
                <w:bCs/>
                <w:szCs w:val="20"/>
              </w:rPr>
              <w:t>Нарушения на очите</w:t>
            </w:r>
          </w:p>
        </w:tc>
        <w:tc>
          <w:tcPr>
            <w:tcW w:w="3192" w:type="dxa"/>
          </w:tcPr>
          <w:p w14:paraId="34AB0FB4" w14:textId="352AEA68" w:rsidR="00991A37" w:rsidRPr="00991A37" w:rsidRDefault="00991A37" w:rsidP="00991A37">
            <w:r w:rsidRPr="00991A37">
              <w:rPr>
                <w:bCs/>
                <w:szCs w:val="20"/>
              </w:rPr>
              <w:t>Чести</w:t>
            </w:r>
          </w:p>
        </w:tc>
        <w:tc>
          <w:tcPr>
            <w:tcW w:w="3192" w:type="dxa"/>
          </w:tcPr>
          <w:p w14:paraId="2186408A" w14:textId="4A6F59CB" w:rsidR="00991A37" w:rsidRPr="00991A37" w:rsidRDefault="00991A37" w:rsidP="00991A37">
            <w:r w:rsidRPr="00991A37">
              <w:rPr>
                <w:bCs/>
                <w:szCs w:val="20"/>
              </w:rPr>
              <w:t>Зрителни нарушения (включително диплопия)</w:t>
            </w:r>
          </w:p>
        </w:tc>
      </w:tr>
      <w:tr w:rsidR="00991A37" w14:paraId="3AFC70BD" w14:textId="77777777" w:rsidTr="00991A37">
        <w:tc>
          <w:tcPr>
            <w:tcW w:w="3192" w:type="dxa"/>
          </w:tcPr>
          <w:p w14:paraId="1A38D083" w14:textId="2CD49B90" w:rsidR="00991A37" w:rsidRPr="00991A37" w:rsidRDefault="00991A37" w:rsidP="00991A37">
            <w:r w:rsidRPr="00991A37">
              <w:rPr>
                <w:bCs/>
                <w:szCs w:val="20"/>
              </w:rPr>
              <w:t>Нарушения на ухото и лабиринта</w:t>
            </w:r>
          </w:p>
        </w:tc>
        <w:tc>
          <w:tcPr>
            <w:tcW w:w="3192" w:type="dxa"/>
          </w:tcPr>
          <w:p w14:paraId="10A3E358" w14:textId="73609C7B" w:rsidR="00991A37" w:rsidRPr="00991A37" w:rsidRDefault="00991A37" w:rsidP="00991A37">
            <w:r w:rsidRPr="00991A37">
              <w:rPr>
                <w:bCs/>
                <w:szCs w:val="20"/>
              </w:rPr>
              <w:t>Нечести</w:t>
            </w:r>
          </w:p>
        </w:tc>
        <w:tc>
          <w:tcPr>
            <w:tcW w:w="3192" w:type="dxa"/>
          </w:tcPr>
          <w:p w14:paraId="7A5571D2" w14:textId="5C600B39" w:rsidR="00991A37" w:rsidRPr="00991A37" w:rsidRDefault="00991A37" w:rsidP="00991A37">
            <w:r w:rsidRPr="00991A37">
              <w:rPr>
                <w:bCs/>
                <w:szCs w:val="20"/>
              </w:rPr>
              <w:t>Тинитус</w:t>
            </w:r>
          </w:p>
        </w:tc>
      </w:tr>
      <w:tr w:rsidR="00991A37" w14:paraId="7B829F38" w14:textId="77777777" w:rsidTr="00991A37">
        <w:tc>
          <w:tcPr>
            <w:tcW w:w="3192" w:type="dxa"/>
            <w:vMerge w:val="restart"/>
          </w:tcPr>
          <w:p w14:paraId="017DC86C" w14:textId="6B9B8350" w:rsidR="00991A37" w:rsidRPr="00991A37" w:rsidRDefault="00991A37" w:rsidP="00991A37">
            <w:r w:rsidRPr="00991A37">
              <w:rPr>
                <w:bCs/>
                <w:szCs w:val="20"/>
              </w:rPr>
              <w:t>Сърдечни нарушения</w:t>
            </w:r>
          </w:p>
        </w:tc>
        <w:tc>
          <w:tcPr>
            <w:tcW w:w="3192" w:type="dxa"/>
            <w:vAlign w:val="bottom"/>
          </w:tcPr>
          <w:p w14:paraId="517E8ED5" w14:textId="48098CB2" w:rsidR="00991A37" w:rsidRPr="00991A37" w:rsidRDefault="00991A37" w:rsidP="00991A37">
            <w:r w:rsidRPr="00991A37">
              <w:rPr>
                <w:bCs/>
                <w:szCs w:val="20"/>
              </w:rPr>
              <w:t>Чести</w:t>
            </w:r>
          </w:p>
        </w:tc>
        <w:tc>
          <w:tcPr>
            <w:tcW w:w="3192" w:type="dxa"/>
            <w:vAlign w:val="bottom"/>
          </w:tcPr>
          <w:p w14:paraId="7F3A52AC" w14:textId="31677397" w:rsidR="00991A37" w:rsidRPr="00991A37" w:rsidRDefault="00991A37" w:rsidP="00991A37">
            <w:r w:rsidRPr="00991A37">
              <w:rPr>
                <w:bCs/>
                <w:szCs w:val="20"/>
              </w:rPr>
              <w:t>Палпитации</w:t>
            </w:r>
          </w:p>
        </w:tc>
      </w:tr>
      <w:tr w:rsidR="00991A37" w14:paraId="63992E10" w14:textId="77777777" w:rsidTr="00991A37">
        <w:tc>
          <w:tcPr>
            <w:tcW w:w="3192" w:type="dxa"/>
            <w:vMerge/>
          </w:tcPr>
          <w:p w14:paraId="5D232898" w14:textId="77777777" w:rsidR="00991A37" w:rsidRPr="00991A37" w:rsidRDefault="00991A37" w:rsidP="00991A37"/>
        </w:tc>
        <w:tc>
          <w:tcPr>
            <w:tcW w:w="3192" w:type="dxa"/>
          </w:tcPr>
          <w:p w14:paraId="28D935CC" w14:textId="68CA230C" w:rsidR="00991A37" w:rsidRPr="00991A37" w:rsidRDefault="00991A37" w:rsidP="00991A37">
            <w:r w:rsidRPr="00991A37">
              <w:rPr>
                <w:bCs/>
                <w:szCs w:val="20"/>
              </w:rPr>
              <w:t>Нечести</w:t>
            </w:r>
          </w:p>
        </w:tc>
        <w:tc>
          <w:tcPr>
            <w:tcW w:w="3192" w:type="dxa"/>
            <w:vAlign w:val="bottom"/>
          </w:tcPr>
          <w:p w14:paraId="2FF1A023" w14:textId="2DAF703B" w:rsidR="00991A37" w:rsidRPr="00991A37" w:rsidRDefault="00991A37" w:rsidP="00991A37">
            <w:r w:rsidRPr="00991A37">
              <w:rPr>
                <w:bCs/>
                <w:szCs w:val="20"/>
              </w:rPr>
              <w:t>Аритмия (включително брадикардия камерна тахикардия и предсърдно мъждене)</w:t>
            </w:r>
          </w:p>
        </w:tc>
      </w:tr>
      <w:tr w:rsidR="00991A37" w14:paraId="1EF6D4F8" w14:textId="77777777" w:rsidTr="00991A37">
        <w:tc>
          <w:tcPr>
            <w:tcW w:w="3192" w:type="dxa"/>
            <w:vMerge/>
          </w:tcPr>
          <w:p w14:paraId="0689035E" w14:textId="77777777" w:rsidR="00991A37" w:rsidRPr="00991A37" w:rsidRDefault="00991A37" w:rsidP="00991A37"/>
        </w:tc>
        <w:tc>
          <w:tcPr>
            <w:tcW w:w="3192" w:type="dxa"/>
            <w:vAlign w:val="bottom"/>
          </w:tcPr>
          <w:p w14:paraId="5152E1AC" w14:textId="3E715E5A" w:rsidR="00991A37" w:rsidRPr="00991A37" w:rsidRDefault="00991A37" w:rsidP="00991A37">
            <w:r w:rsidRPr="00991A37">
              <w:rPr>
                <w:bCs/>
                <w:szCs w:val="20"/>
              </w:rPr>
              <w:t>Много редки</w:t>
            </w:r>
          </w:p>
        </w:tc>
        <w:tc>
          <w:tcPr>
            <w:tcW w:w="3192" w:type="dxa"/>
            <w:vAlign w:val="bottom"/>
          </w:tcPr>
          <w:p w14:paraId="73A869FC" w14:textId="1E3D7126" w:rsidR="00991A37" w:rsidRPr="00991A37" w:rsidRDefault="00991A37" w:rsidP="00991A37">
            <w:r w:rsidRPr="00991A37">
              <w:rPr>
                <w:bCs/>
                <w:szCs w:val="20"/>
              </w:rPr>
              <w:t>Миокарден инфаркт</w:t>
            </w:r>
          </w:p>
        </w:tc>
      </w:tr>
      <w:tr w:rsidR="00991A37" w14:paraId="650189FA" w14:textId="77777777" w:rsidTr="00991A37">
        <w:tc>
          <w:tcPr>
            <w:tcW w:w="3192" w:type="dxa"/>
            <w:vMerge w:val="restart"/>
          </w:tcPr>
          <w:p w14:paraId="7E5501A3" w14:textId="362A791A" w:rsidR="00991A37" w:rsidRPr="00991A37" w:rsidRDefault="00991A37" w:rsidP="00991A37">
            <w:r w:rsidRPr="00991A37">
              <w:rPr>
                <w:bCs/>
                <w:szCs w:val="20"/>
              </w:rPr>
              <w:t>Съдови нарушения</w:t>
            </w:r>
          </w:p>
        </w:tc>
        <w:tc>
          <w:tcPr>
            <w:tcW w:w="3192" w:type="dxa"/>
            <w:vAlign w:val="bottom"/>
          </w:tcPr>
          <w:p w14:paraId="1E2CB85D" w14:textId="16749A10" w:rsidR="00991A37" w:rsidRPr="00991A37" w:rsidRDefault="00991A37" w:rsidP="00991A37">
            <w:r w:rsidRPr="00991A37">
              <w:rPr>
                <w:bCs/>
                <w:szCs w:val="20"/>
              </w:rPr>
              <w:t>Чести</w:t>
            </w:r>
          </w:p>
        </w:tc>
        <w:tc>
          <w:tcPr>
            <w:tcW w:w="3192" w:type="dxa"/>
            <w:vAlign w:val="bottom"/>
          </w:tcPr>
          <w:p w14:paraId="34A97BDD" w14:textId="12471375" w:rsidR="00991A37" w:rsidRPr="00991A37" w:rsidRDefault="00991A37" w:rsidP="00991A37">
            <w:r w:rsidRPr="00991A37">
              <w:rPr>
                <w:bCs/>
                <w:szCs w:val="20"/>
              </w:rPr>
              <w:t>Зачервяване</w:t>
            </w:r>
          </w:p>
        </w:tc>
      </w:tr>
      <w:tr w:rsidR="00991A37" w14:paraId="22845D49" w14:textId="77777777" w:rsidTr="00991A37">
        <w:tc>
          <w:tcPr>
            <w:tcW w:w="3192" w:type="dxa"/>
            <w:vMerge/>
          </w:tcPr>
          <w:p w14:paraId="07171A9C" w14:textId="77777777" w:rsidR="00991A37" w:rsidRPr="00991A37" w:rsidRDefault="00991A37" w:rsidP="00991A37"/>
        </w:tc>
        <w:tc>
          <w:tcPr>
            <w:tcW w:w="3192" w:type="dxa"/>
          </w:tcPr>
          <w:p w14:paraId="1C647D89" w14:textId="4BC23975" w:rsidR="00991A37" w:rsidRPr="00991A37" w:rsidRDefault="00991A37" w:rsidP="00991A37">
            <w:r w:rsidRPr="00991A37">
              <w:rPr>
                <w:bCs/>
                <w:szCs w:val="20"/>
              </w:rPr>
              <w:t>Нечести</w:t>
            </w:r>
          </w:p>
        </w:tc>
        <w:tc>
          <w:tcPr>
            <w:tcW w:w="3192" w:type="dxa"/>
          </w:tcPr>
          <w:p w14:paraId="5630A059" w14:textId="7523220E" w:rsidR="00991A37" w:rsidRPr="00991A37" w:rsidRDefault="00991A37" w:rsidP="00991A37">
            <w:r w:rsidRPr="00991A37">
              <w:rPr>
                <w:bCs/>
                <w:szCs w:val="20"/>
              </w:rPr>
              <w:t>Хипотония</w:t>
            </w:r>
          </w:p>
        </w:tc>
      </w:tr>
      <w:tr w:rsidR="00991A37" w14:paraId="4E0EB032" w14:textId="77777777" w:rsidTr="00991A37">
        <w:tc>
          <w:tcPr>
            <w:tcW w:w="3192" w:type="dxa"/>
            <w:vMerge/>
          </w:tcPr>
          <w:p w14:paraId="4AFB8306" w14:textId="77777777" w:rsidR="00991A37" w:rsidRPr="00991A37" w:rsidRDefault="00991A37" w:rsidP="00991A37"/>
        </w:tc>
        <w:tc>
          <w:tcPr>
            <w:tcW w:w="3192" w:type="dxa"/>
            <w:vAlign w:val="bottom"/>
          </w:tcPr>
          <w:p w14:paraId="2DDE5E4A" w14:textId="5FDE6A25" w:rsidR="00991A37" w:rsidRPr="00991A37" w:rsidRDefault="00991A37" w:rsidP="00991A37">
            <w:r w:rsidRPr="00991A37">
              <w:rPr>
                <w:bCs/>
                <w:szCs w:val="20"/>
              </w:rPr>
              <w:t>Много редки</w:t>
            </w:r>
          </w:p>
        </w:tc>
        <w:tc>
          <w:tcPr>
            <w:tcW w:w="3192" w:type="dxa"/>
            <w:vAlign w:val="bottom"/>
          </w:tcPr>
          <w:p w14:paraId="46D3FFF2" w14:textId="729AFF68" w:rsidR="00991A37" w:rsidRPr="00991A37" w:rsidRDefault="00991A37" w:rsidP="00991A37">
            <w:r w:rsidRPr="00991A37">
              <w:rPr>
                <w:bCs/>
                <w:szCs w:val="20"/>
              </w:rPr>
              <w:t>Васкулит</w:t>
            </w:r>
          </w:p>
        </w:tc>
      </w:tr>
      <w:tr w:rsidR="00991A37" w14:paraId="21B366B8" w14:textId="77777777" w:rsidTr="00991A37">
        <w:tc>
          <w:tcPr>
            <w:tcW w:w="3192" w:type="dxa"/>
            <w:vMerge w:val="restart"/>
          </w:tcPr>
          <w:p w14:paraId="248A3A5E" w14:textId="1E3C792D" w:rsidR="00991A37" w:rsidRPr="00991A37" w:rsidRDefault="00991A37" w:rsidP="00991A37">
            <w:r w:rsidRPr="00991A37">
              <w:rPr>
                <w:bCs/>
                <w:szCs w:val="20"/>
              </w:rPr>
              <w:t>Респираторни, гръдни и медиастинални нарушения</w:t>
            </w:r>
          </w:p>
        </w:tc>
        <w:tc>
          <w:tcPr>
            <w:tcW w:w="3192" w:type="dxa"/>
            <w:vAlign w:val="bottom"/>
          </w:tcPr>
          <w:p w14:paraId="65EDF792" w14:textId="1101713E" w:rsidR="00991A37" w:rsidRPr="00991A37" w:rsidRDefault="00991A37" w:rsidP="00991A37">
            <w:r w:rsidRPr="00991A37">
              <w:rPr>
                <w:bCs/>
                <w:szCs w:val="20"/>
              </w:rPr>
              <w:t>Чести</w:t>
            </w:r>
          </w:p>
        </w:tc>
        <w:tc>
          <w:tcPr>
            <w:tcW w:w="3192" w:type="dxa"/>
            <w:vAlign w:val="bottom"/>
          </w:tcPr>
          <w:p w14:paraId="753F8A8E" w14:textId="7F620C58" w:rsidR="00991A37" w:rsidRPr="00991A37" w:rsidRDefault="00991A37" w:rsidP="00991A37">
            <w:r w:rsidRPr="00991A37">
              <w:rPr>
                <w:bCs/>
                <w:szCs w:val="20"/>
              </w:rPr>
              <w:t>Диспнея</w:t>
            </w:r>
          </w:p>
        </w:tc>
      </w:tr>
      <w:tr w:rsidR="00991A37" w14:paraId="5879D4B4" w14:textId="77777777" w:rsidTr="00991A37">
        <w:tc>
          <w:tcPr>
            <w:tcW w:w="3192" w:type="dxa"/>
            <w:vMerge/>
          </w:tcPr>
          <w:p w14:paraId="7A786181" w14:textId="77777777" w:rsidR="00991A37" w:rsidRPr="00991A37" w:rsidRDefault="00991A37" w:rsidP="00991A37"/>
        </w:tc>
        <w:tc>
          <w:tcPr>
            <w:tcW w:w="3192" w:type="dxa"/>
            <w:vAlign w:val="bottom"/>
          </w:tcPr>
          <w:p w14:paraId="774188B2" w14:textId="6F808E57" w:rsidR="00991A37" w:rsidRPr="00991A37" w:rsidRDefault="00991A37" w:rsidP="00991A37">
            <w:r w:rsidRPr="00991A37">
              <w:rPr>
                <w:bCs/>
                <w:szCs w:val="20"/>
              </w:rPr>
              <w:t>Нечести</w:t>
            </w:r>
          </w:p>
        </w:tc>
        <w:tc>
          <w:tcPr>
            <w:tcW w:w="3192" w:type="dxa"/>
            <w:vAlign w:val="bottom"/>
          </w:tcPr>
          <w:p w14:paraId="2826182A" w14:textId="31E1A1E8" w:rsidR="00991A37" w:rsidRPr="00991A37" w:rsidRDefault="00991A37" w:rsidP="00991A37">
            <w:r w:rsidRPr="00991A37">
              <w:rPr>
                <w:bCs/>
                <w:szCs w:val="20"/>
              </w:rPr>
              <w:t>Кашлица, ринит</w:t>
            </w:r>
          </w:p>
        </w:tc>
      </w:tr>
      <w:tr w:rsidR="00991A37" w14:paraId="0508A5C9" w14:textId="77777777" w:rsidTr="00991A37">
        <w:tc>
          <w:tcPr>
            <w:tcW w:w="3192" w:type="dxa"/>
            <w:vMerge w:val="restart"/>
          </w:tcPr>
          <w:p w14:paraId="54E1E83D" w14:textId="380D1653" w:rsidR="00991A37" w:rsidRPr="00991A37" w:rsidRDefault="00991A37" w:rsidP="00991A37">
            <w:r w:rsidRPr="00991A37">
              <w:rPr>
                <w:bCs/>
                <w:szCs w:val="20"/>
              </w:rPr>
              <w:t>Стомашно-чревни нарушения</w:t>
            </w:r>
          </w:p>
        </w:tc>
        <w:tc>
          <w:tcPr>
            <w:tcW w:w="3192" w:type="dxa"/>
          </w:tcPr>
          <w:p w14:paraId="799746BF" w14:textId="691E4E35" w:rsidR="00991A37" w:rsidRPr="00991A37" w:rsidRDefault="00991A37" w:rsidP="00991A37">
            <w:r w:rsidRPr="00991A37">
              <w:rPr>
                <w:bCs/>
                <w:szCs w:val="20"/>
              </w:rPr>
              <w:t>Чести</w:t>
            </w:r>
          </w:p>
        </w:tc>
        <w:tc>
          <w:tcPr>
            <w:tcW w:w="3192" w:type="dxa"/>
            <w:vAlign w:val="bottom"/>
          </w:tcPr>
          <w:p w14:paraId="3B81FE61" w14:textId="4AAB4236" w:rsidR="00991A37" w:rsidRPr="00991A37" w:rsidRDefault="00991A37" w:rsidP="00991A37">
            <w:r w:rsidRPr="00991A37">
              <w:rPr>
                <w:bCs/>
                <w:szCs w:val="20"/>
              </w:rPr>
              <w:t xml:space="preserve">Абдоминална болка, гадене диспепсия, промяна в обичайната перисталтика </w:t>
            </w:r>
            <w:r w:rsidRPr="00991A37">
              <w:rPr>
                <w:bCs/>
                <w:szCs w:val="20"/>
              </w:rPr>
              <w:lastRenderedPageBreak/>
              <w:t>на червата (включително диария и запек)</w:t>
            </w:r>
          </w:p>
        </w:tc>
      </w:tr>
      <w:tr w:rsidR="00991A37" w14:paraId="21485FCB" w14:textId="77777777" w:rsidTr="00991A37">
        <w:tc>
          <w:tcPr>
            <w:tcW w:w="3192" w:type="dxa"/>
            <w:vMerge/>
          </w:tcPr>
          <w:p w14:paraId="37CCBBA1" w14:textId="77777777" w:rsidR="00991A37" w:rsidRPr="00991A37" w:rsidRDefault="00991A37" w:rsidP="00991A37"/>
        </w:tc>
        <w:tc>
          <w:tcPr>
            <w:tcW w:w="3192" w:type="dxa"/>
            <w:vAlign w:val="bottom"/>
          </w:tcPr>
          <w:p w14:paraId="4446DE63" w14:textId="2717EE3B" w:rsidR="00991A37" w:rsidRPr="00991A37" w:rsidRDefault="00991A37" w:rsidP="00991A37">
            <w:r w:rsidRPr="00991A37">
              <w:rPr>
                <w:bCs/>
                <w:szCs w:val="20"/>
              </w:rPr>
              <w:t>Нечести</w:t>
            </w:r>
          </w:p>
        </w:tc>
        <w:tc>
          <w:tcPr>
            <w:tcW w:w="3192" w:type="dxa"/>
            <w:vAlign w:val="bottom"/>
          </w:tcPr>
          <w:p w14:paraId="6DCE6011" w14:textId="5C1B1464" w:rsidR="00991A37" w:rsidRPr="00991A37" w:rsidRDefault="00991A37" w:rsidP="00991A37">
            <w:r w:rsidRPr="00991A37">
              <w:rPr>
                <w:bCs/>
                <w:szCs w:val="20"/>
              </w:rPr>
              <w:t>Повръщане, сухота в устата</w:t>
            </w:r>
          </w:p>
        </w:tc>
      </w:tr>
      <w:tr w:rsidR="00991A37" w14:paraId="6E748AD7" w14:textId="77777777" w:rsidTr="00991A37">
        <w:tc>
          <w:tcPr>
            <w:tcW w:w="3192" w:type="dxa"/>
            <w:vMerge/>
          </w:tcPr>
          <w:p w14:paraId="708FACB6" w14:textId="77777777" w:rsidR="00991A37" w:rsidRPr="00991A37" w:rsidRDefault="00991A37" w:rsidP="00991A37"/>
        </w:tc>
        <w:tc>
          <w:tcPr>
            <w:tcW w:w="3192" w:type="dxa"/>
          </w:tcPr>
          <w:p w14:paraId="52E1A446" w14:textId="15EA1AB2" w:rsidR="00991A37" w:rsidRPr="00991A37" w:rsidRDefault="00991A37" w:rsidP="00991A37">
            <w:r w:rsidRPr="00991A37">
              <w:rPr>
                <w:bCs/>
                <w:szCs w:val="20"/>
              </w:rPr>
              <w:t>Много редки</w:t>
            </w:r>
          </w:p>
        </w:tc>
        <w:tc>
          <w:tcPr>
            <w:tcW w:w="3192" w:type="dxa"/>
            <w:vAlign w:val="bottom"/>
          </w:tcPr>
          <w:p w14:paraId="3567E979" w14:textId="510ED463" w:rsidR="00991A37" w:rsidRPr="00991A37" w:rsidRDefault="00991A37" w:rsidP="00991A37">
            <w:r w:rsidRPr="00991A37">
              <w:rPr>
                <w:bCs/>
                <w:szCs w:val="20"/>
              </w:rPr>
              <w:t>Панкреатиг, гастрит, хиперплазия на венците</w:t>
            </w:r>
          </w:p>
        </w:tc>
      </w:tr>
      <w:tr w:rsidR="00991A37" w14:paraId="31ED9405" w14:textId="77777777" w:rsidTr="00991A37">
        <w:tc>
          <w:tcPr>
            <w:tcW w:w="3192" w:type="dxa"/>
          </w:tcPr>
          <w:p w14:paraId="07FF49AD" w14:textId="40F6BCDF" w:rsidR="00991A37" w:rsidRPr="00991A37" w:rsidRDefault="00991A37" w:rsidP="00991A37">
            <w:r w:rsidRPr="00991A37">
              <w:rPr>
                <w:bCs/>
                <w:szCs w:val="20"/>
              </w:rPr>
              <w:t>Хепато-билиарни нарушения</w:t>
            </w:r>
          </w:p>
        </w:tc>
        <w:tc>
          <w:tcPr>
            <w:tcW w:w="3192" w:type="dxa"/>
          </w:tcPr>
          <w:p w14:paraId="67BA3727" w14:textId="54B887DC" w:rsidR="00991A37" w:rsidRPr="00991A37" w:rsidRDefault="00991A37" w:rsidP="00991A37">
            <w:r w:rsidRPr="00991A37">
              <w:rPr>
                <w:bCs/>
                <w:szCs w:val="20"/>
              </w:rPr>
              <w:t>Много редки</w:t>
            </w:r>
          </w:p>
        </w:tc>
        <w:tc>
          <w:tcPr>
            <w:tcW w:w="3192" w:type="dxa"/>
          </w:tcPr>
          <w:p w14:paraId="6DE2D40B" w14:textId="4640DC63" w:rsidR="00991A37" w:rsidRPr="00991A37" w:rsidRDefault="00991A37" w:rsidP="00991A37">
            <w:r w:rsidRPr="00991A37">
              <w:rPr>
                <w:bCs/>
                <w:szCs w:val="20"/>
              </w:rPr>
              <w:t>Хепатит, жълтеница, повишени чернодробни ензими*</w:t>
            </w:r>
          </w:p>
        </w:tc>
      </w:tr>
      <w:tr w:rsidR="00991A37" w14:paraId="040A2952" w14:textId="77777777" w:rsidTr="00991A37">
        <w:tc>
          <w:tcPr>
            <w:tcW w:w="3192" w:type="dxa"/>
            <w:vMerge w:val="restart"/>
          </w:tcPr>
          <w:p w14:paraId="02545E8F" w14:textId="41539729" w:rsidR="00991A37" w:rsidRPr="00991A37" w:rsidRDefault="00991A37" w:rsidP="00991A37">
            <w:r w:rsidRPr="00991A37">
              <w:rPr>
                <w:bCs/>
                <w:szCs w:val="20"/>
              </w:rPr>
              <w:t>Нарушения на кожата и подкожната тъкан</w:t>
            </w:r>
          </w:p>
        </w:tc>
        <w:tc>
          <w:tcPr>
            <w:tcW w:w="3192" w:type="dxa"/>
          </w:tcPr>
          <w:p w14:paraId="79BC4626" w14:textId="3EDAC787" w:rsidR="00991A37" w:rsidRPr="00991A37" w:rsidRDefault="00991A37" w:rsidP="00991A37">
            <w:r w:rsidRPr="00991A37">
              <w:rPr>
                <w:bCs/>
                <w:szCs w:val="20"/>
              </w:rPr>
              <w:t>Нечести</w:t>
            </w:r>
          </w:p>
        </w:tc>
        <w:tc>
          <w:tcPr>
            <w:tcW w:w="3192" w:type="dxa"/>
          </w:tcPr>
          <w:p w14:paraId="46DC1478" w14:textId="6A255265" w:rsidR="00991A37" w:rsidRPr="00991A37" w:rsidRDefault="00991A37" w:rsidP="00991A37">
            <w:r w:rsidRPr="00991A37">
              <w:rPr>
                <w:bCs/>
                <w:szCs w:val="20"/>
              </w:rPr>
              <w:t>Алопеция, пурпура, промяна в цвета на кожата, хиперхидроза, пруритус, обрив, екзантем, уртикария</w:t>
            </w:r>
          </w:p>
        </w:tc>
      </w:tr>
      <w:tr w:rsidR="00991A37" w14:paraId="4761158C" w14:textId="77777777" w:rsidTr="00991A37">
        <w:tc>
          <w:tcPr>
            <w:tcW w:w="3192" w:type="dxa"/>
            <w:vMerge/>
          </w:tcPr>
          <w:p w14:paraId="14DFED95" w14:textId="77777777" w:rsidR="00991A37" w:rsidRPr="00991A37" w:rsidRDefault="00991A37" w:rsidP="00991A37"/>
        </w:tc>
        <w:tc>
          <w:tcPr>
            <w:tcW w:w="3192" w:type="dxa"/>
          </w:tcPr>
          <w:p w14:paraId="6DAA28D8" w14:textId="34D6CA0E" w:rsidR="00991A37" w:rsidRPr="00991A37" w:rsidRDefault="00991A37" w:rsidP="00991A37">
            <w:r w:rsidRPr="00991A37">
              <w:rPr>
                <w:bCs/>
                <w:szCs w:val="20"/>
              </w:rPr>
              <w:t>Много редки</w:t>
            </w:r>
          </w:p>
        </w:tc>
        <w:tc>
          <w:tcPr>
            <w:tcW w:w="3192" w:type="dxa"/>
            <w:vAlign w:val="bottom"/>
          </w:tcPr>
          <w:p w14:paraId="33EDDDC1" w14:textId="2F123B00" w:rsidR="00991A37" w:rsidRPr="00991A37" w:rsidRDefault="00991A37" w:rsidP="00991A37">
            <w:r w:rsidRPr="00991A37">
              <w:rPr>
                <w:bCs/>
                <w:szCs w:val="20"/>
              </w:rPr>
              <w:t xml:space="preserve">Ангиоедем, еритема мултиформе, ексфолиативен дерматит, синдром на </w:t>
            </w:r>
            <w:r w:rsidRPr="00991A37">
              <w:rPr>
                <w:bCs/>
                <w:szCs w:val="20"/>
                <w:lang w:val="en-US"/>
              </w:rPr>
              <w:t>Stevens</w:t>
            </w:r>
            <w:r w:rsidRPr="00991A37">
              <w:rPr>
                <w:bCs/>
                <w:szCs w:val="20"/>
                <w:lang w:val="ru-RU"/>
              </w:rPr>
              <w:t xml:space="preserve">- </w:t>
            </w:r>
            <w:r w:rsidRPr="00991A37">
              <w:rPr>
                <w:bCs/>
                <w:szCs w:val="20"/>
                <w:lang w:val="en-US"/>
              </w:rPr>
              <w:t>Johnson</w:t>
            </w:r>
            <w:r w:rsidRPr="00991A37">
              <w:rPr>
                <w:bCs/>
                <w:szCs w:val="20"/>
                <w:lang w:val="ru-RU"/>
              </w:rPr>
              <w:t xml:space="preserve">, </w:t>
            </w:r>
            <w:r w:rsidRPr="00991A37">
              <w:rPr>
                <w:bCs/>
                <w:szCs w:val="20"/>
              </w:rPr>
              <w:t xml:space="preserve">оток на </w:t>
            </w:r>
            <w:proofErr w:type="spellStart"/>
            <w:r w:rsidRPr="00991A37">
              <w:rPr>
                <w:bCs/>
                <w:szCs w:val="20"/>
                <w:lang w:val="en-US"/>
              </w:rPr>
              <w:t>Quincke</w:t>
            </w:r>
            <w:proofErr w:type="spellEnd"/>
            <w:r w:rsidRPr="00991A37">
              <w:rPr>
                <w:bCs/>
                <w:szCs w:val="20"/>
                <w:lang w:val="ru-RU"/>
              </w:rPr>
              <w:t xml:space="preserve">, </w:t>
            </w:r>
            <w:r w:rsidRPr="00991A37">
              <w:rPr>
                <w:bCs/>
                <w:szCs w:val="20"/>
              </w:rPr>
              <w:t>фоточувствителност</w:t>
            </w:r>
          </w:p>
        </w:tc>
      </w:tr>
      <w:tr w:rsidR="00991A37" w14:paraId="7362983E" w14:textId="77777777" w:rsidTr="00991A37">
        <w:trPr>
          <w:trHeight w:val="285"/>
        </w:trPr>
        <w:tc>
          <w:tcPr>
            <w:tcW w:w="3192" w:type="dxa"/>
            <w:vMerge/>
          </w:tcPr>
          <w:p w14:paraId="72846CEE" w14:textId="77777777" w:rsidR="00991A37" w:rsidRPr="00991A37" w:rsidRDefault="00991A37" w:rsidP="00991A37"/>
        </w:tc>
        <w:tc>
          <w:tcPr>
            <w:tcW w:w="3192" w:type="dxa"/>
          </w:tcPr>
          <w:p w14:paraId="5D53D4D4" w14:textId="696E4684" w:rsidR="00991A37" w:rsidRPr="00991A37" w:rsidRDefault="00991A37" w:rsidP="00991A37">
            <w:r w:rsidRPr="00991A37">
              <w:rPr>
                <w:bCs/>
                <w:szCs w:val="20"/>
              </w:rPr>
              <w:t>С неизвестна честота</w:t>
            </w:r>
          </w:p>
        </w:tc>
        <w:tc>
          <w:tcPr>
            <w:tcW w:w="3192" w:type="dxa"/>
            <w:vAlign w:val="bottom"/>
          </w:tcPr>
          <w:p w14:paraId="7418B848" w14:textId="469415C9" w:rsidR="00991A37" w:rsidRPr="00991A37" w:rsidRDefault="00991A37" w:rsidP="00991A37">
            <w:r w:rsidRPr="00991A37">
              <w:rPr>
                <w:bCs/>
                <w:szCs w:val="20"/>
              </w:rPr>
              <w:t>Токсична епидермална некролиза</w:t>
            </w:r>
          </w:p>
        </w:tc>
      </w:tr>
      <w:tr w:rsidR="00991A37" w14:paraId="0C22B6E3" w14:textId="77777777" w:rsidTr="00991A37">
        <w:tc>
          <w:tcPr>
            <w:tcW w:w="3192" w:type="dxa"/>
            <w:vMerge w:val="restart"/>
          </w:tcPr>
          <w:p w14:paraId="2877668E" w14:textId="5187AE78" w:rsidR="00991A37" w:rsidRPr="00991A37" w:rsidRDefault="00991A37" w:rsidP="00991A37">
            <w:r w:rsidRPr="00991A37">
              <w:rPr>
                <w:bCs/>
                <w:szCs w:val="20"/>
              </w:rPr>
              <w:t>Нарушения на мускулно- скелетната система и съединителната тъкан</w:t>
            </w:r>
          </w:p>
        </w:tc>
        <w:tc>
          <w:tcPr>
            <w:tcW w:w="3192" w:type="dxa"/>
          </w:tcPr>
          <w:p w14:paraId="07A61BF3" w14:textId="5D3D0031" w:rsidR="00991A37" w:rsidRPr="00991A37" w:rsidRDefault="00991A37" w:rsidP="00991A37">
            <w:r w:rsidRPr="00991A37">
              <w:rPr>
                <w:bCs/>
                <w:szCs w:val="20"/>
              </w:rPr>
              <w:t>Чести</w:t>
            </w:r>
          </w:p>
        </w:tc>
        <w:tc>
          <w:tcPr>
            <w:tcW w:w="3192" w:type="dxa"/>
            <w:vAlign w:val="bottom"/>
          </w:tcPr>
          <w:p w14:paraId="0A8ADBE6" w14:textId="083D4666" w:rsidR="00991A37" w:rsidRPr="00991A37" w:rsidRDefault="00991A37" w:rsidP="00991A37">
            <w:r w:rsidRPr="00991A37">
              <w:rPr>
                <w:bCs/>
                <w:szCs w:val="20"/>
              </w:rPr>
              <w:t>Оток на глезена, мускулни крампи</w:t>
            </w:r>
          </w:p>
        </w:tc>
      </w:tr>
      <w:tr w:rsidR="00991A37" w14:paraId="702411BB" w14:textId="77777777" w:rsidTr="00991A37">
        <w:tc>
          <w:tcPr>
            <w:tcW w:w="3192" w:type="dxa"/>
            <w:vMerge/>
          </w:tcPr>
          <w:p w14:paraId="2ACEDC03" w14:textId="77777777" w:rsidR="00991A37" w:rsidRPr="00991A37" w:rsidRDefault="00991A37" w:rsidP="00991A37"/>
        </w:tc>
        <w:tc>
          <w:tcPr>
            <w:tcW w:w="3192" w:type="dxa"/>
          </w:tcPr>
          <w:p w14:paraId="5CDB25BF" w14:textId="31C26E6E" w:rsidR="00991A37" w:rsidRPr="00991A37" w:rsidRDefault="00991A37" w:rsidP="00991A37">
            <w:r w:rsidRPr="00991A37">
              <w:rPr>
                <w:bCs/>
                <w:szCs w:val="20"/>
              </w:rPr>
              <w:t>Нечести</w:t>
            </w:r>
          </w:p>
        </w:tc>
        <w:tc>
          <w:tcPr>
            <w:tcW w:w="3192" w:type="dxa"/>
            <w:vAlign w:val="bottom"/>
          </w:tcPr>
          <w:p w14:paraId="0B132E5B" w14:textId="77777777" w:rsidR="00991A37" w:rsidRPr="00991A37" w:rsidRDefault="00991A37" w:rsidP="00991A37">
            <w:r w:rsidRPr="00991A37">
              <w:rPr>
                <w:bCs/>
                <w:szCs w:val="20"/>
              </w:rPr>
              <w:t>Артралгия, миалгия, болка</w:t>
            </w:r>
          </w:p>
          <w:p w14:paraId="5E43F53D" w14:textId="79E61BF7" w:rsidR="00991A37" w:rsidRPr="00991A37" w:rsidRDefault="00991A37" w:rsidP="00991A37">
            <w:r w:rsidRPr="00991A37">
              <w:rPr>
                <w:bCs/>
                <w:szCs w:val="20"/>
              </w:rPr>
              <w:t>в гърба</w:t>
            </w:r>
          </w:p>
        </w:tc>
      </w:tr>
      <w:tr w:rsidR="00991A37" w14:paraId="0262CFF3" w14:textId="77777777" w:rsidTr="00991A37">
        <w:tc>
          <w:tcPr>
            <w:tcW w:w="3192" w:type="dxa"/>
            <w:vAlign w:val="bottom"/>
          </w:tcPr>
          <w:p w14:paraId="32C91457" w14:textId="0BCBDACE" w:rsidR="00991A37" w:rsidRPr="00991A37" w:rsidRDefault="00991A37" w:rsidP="00991A37">
            <w:r w:rsidRPr="00991A37">
              <w:rPr>
                <w:bCs/>
                <w:szCs w:val="20"/>
              </w:rPr>
              <w:t>Нарушения на бъбреците и пикочните пътища</w:t>
            </w:r>
          </w:p>
        </w:tc>
        <w:tc>
          <w:tcPr>
            <w:tcW w:w="3192" w:type="dxa"/>
          </w:tcPr>
          <w:p w14:paraId="671E2C8A" w14:textId="2695BEEB" w:rsidR="00991A37" w:rsidRPr="00991A37" w:rsidRDefault="00991A37" w:rsidP="00991A37">
            <w:r w:rsidRPr="00991A37">
              <w:rPr>
                <w:bCs/>
                <w:szCs w:val="20"/>
              </w:rPr>
              <w:t>Нечести</w:t>
            </w:r>
          </w:p>
        </w:tc>
        <w:tc>
          <w:tcPr>
            <w:tcW w:w="3192" w:type="dxa"/>
            <w:vAlign w:val="bottom"/>
          </w:tcPr>
          <w:p w14:paraId="0B9F894C" w14:textId="72AA9752" w:rsidR="00991A37" w:rsidRPr="00991A37" w:rsidRDefault="00991A37" w:rsidP="00991A37">
            <w:pPr>
              <w:rPr>
                <w:rFonts w:ascii="Times New Roman" w:eastAsia="Times New Roman" w:hAnsi="Times New Roman" w:cs="Times New Roman"/>
                <w:sz w:val="24"/>
                <w:szCs w:val="24"/>
              </w:rPr>
            </w:pPr>
            <w:r w:rsidRPr="00991A37">
              <w:rPr>
                <w:bCs/>
                <w:szCs w:val="20"/>
              </w:rPr>
              <w:t>Нарушен уриниране нощно уриниране,</w:t>
            </w:r>
            <w:r>
              <w:rPr>
                <w:bCs/>
                <w:szCs w:val="20"/>
              </w:rPr>
              <w:t xml:space="preserve"> </w:t>
            </w:r>
            <w:r w:rsidRPr="00991A37">
              <w:rPr>
                <w:lang w:eastAsia="bg-BG"/>
              </w:rPr>
              <w:t>увеличена честота на уриниране</w:t>
            </w:r>
          </w:p>
        </w:tc>
      </w:tr>
      <w:tr w:rsidR="00991A37" w14:paraId="4901052E" w14:textId="77777777" w:rsidTr="00991A37">
        <w:tc>
          <w:tcPr>
            <w:tcW w:w="3192" w:type="dxa"/>
          </w:tcPr>
          <w:p w14:paraId="23D05E9E" w14:textId="44433A4B" w:rsidR="00991A37" w:rsidRPr="00991A37" w:rsidRDefault="00991A37" w:rsidP="00991A37">
            <w:r w:rsidRPr="00991A37">
              <w:rPr>
                <w:bCs/>
                <w:szCs w:val="20"/>
              </w:rPr>
              <w:t>Нарушения на възпризводителната система и гърдата</w:t>
            </w:r>
          </w:p>
        </w:tc>
        <w:tc>
          <w:tcPr>
            <w:tcW w:w="3192" w:type="dxa"/>
          </w:tcPr>
          <w:p w14:paraId="0BCA95DE" w14:textId="62202F9A" w:rsidR="00991A37" w:rsidRPr="00991A37" w:rsidRDefault="00991A37" w:rsidP="00991A37">
            <w:r w:rsidRPr="00991A37">
              <w:rPr>
                <w:bCs/>
                <w:szCs w:val="20"/>
              </w:rPr>
              <w:t>Нечести</w:t>
            </w:r>
          </w:p>
        </w:tc>
        <w:tc>
          <w:tcPr>
            <w:tcW w:w="3192" w:type="dxa"/>
          </w:tcPr>
          <w:p w14:paraId="75E40E2F" w14:textId="07CF176B" w:rsidR="00991A37" w:rsidRPr="00991A37" w:rsidRDefault="00991A37" w:rsidP="00991A37">
            <w:r w:rsidRPr="00991A37">
              <w:rPr>
                <w:bCs/>
                <w:szCs w:val="20"/>
              </w:rPr>
              <w:t>Импотентност, гинекомастия</w:t>
            </w:r>
          </w:p>
        </w:tc>
      </w:tr>
      <w:tr w:rsidR="00991A37" w14:paraId="6D688F49" w14:textId="77777777" w:rsidTr="00991A37">
        <w:tc>
          <w:tcPr>
            <w:tcW w:w="3192" w:type="dxa"/>
            <w:vMerge w:val="restart"/>
          </w:tcPr>
          <w:p w14:paraId="473082F6" w14:textId="2EC209A3" w:rsidR="00991A37" w:rsidRPr="00991A37" w:rsidRDefault="00991A37" w:rsidP="00991A37">
            <w:r w:rsidRPr="00991A37">
              <w:rPr>
                <w:bCs/>
                <w:szCs w:val="20"/>
              </w:rPr>
              <w:t>Общи нарушения и нарушения на мястото на приложение</w:t>
            </w:r>
          </w:p>
        </w:tc>
        <w:tc>
          <w:tcPr>
            <w:tcW w:w="3192" w:type="dxa"/>
          </w:tcPr>
          <w:p w14:paraId="2B1CFB9F" w14:textId="64F87AAB" w:rsidR="00991A37" w:rsidRPr="00991A37" w:rsidRDefault="00991A37" w:rsidP="00991A37">
            <w:r w:rsidRPr="00991A37">
              <w:rPr>
                <w:bCs/>
                <w:szCs w:val="20"/>
              </w:rPr>
              <w:t>Много чести</w:t>
            </w:r>
          </w:p>
        </w:tc>
        <w:tc>
          <w:tcPr>
            <w:tcW w:w="3192" w:type="dxa"/>
          </w:tcPr>
          <w:p w14:paraId="11EDDDF4" w14:textId="2B86E4C3" w:rsidR="00991A37" w:rsidRPr="00991A37" w:rsidRDefault="00991A37" w:rsidP="00991A37">
            <w:r w:rsidRPr="00991A37">
              <w:rPr>
                <w:bCs/>
                <w:szCs w:val="20"/>
              </w:rPr>
              <w:t>Оток</w:t>
            </w:r>
          </w:p>
        </w:tc>
      </w:tr>
      <w:tr w:rsidR="00991A37" w14:paraId="34B565C8" w14:textId="77777777" w:rsidTr="00991A37">
        <w:tc>
          <w:tcPr>
            <w:tcW w:w="3192" w:type="dxa"/>
            <w:vMerge/>
          </w:tcPr>
          <w:p w14:paraId="5F4DE5D1" w14:textId="77777777" w:rsidR="00991A37" w:rsidRPr="00991A37" w:rsidRDefault="00991A37" w:rsidP="00991A37"/>
        </w:tc>
        <w:tc>
          <w:tcPr>
            <w:tcW w:w="3192" w:type="dxa"/>
          </w:tcPr>
          <w:p w14:paraId="4A767E55" w14:textId="7102E33B" w:rsidR="00991A37" w:rsidRPr="00991A37" w:rsidRDefault="00991A37" w:rsidP="00991A37">
            <w:r w:rsidRPr="00991A37">
              <w:rPr>
                <w:bCs/>
                <w:szCs w:val="20"/>
              </w:rPr>
              <w:t>Чести</w:t>
            </w:r>
          </w:p>
        </w:tc>
        <w:tc>
          <w:tcPr>
            <w:tcW w:w="3192" w:type="dxa"/>
          </w:tcPr>
          <w:p w14:paraId="3ED962F0" w14:textId="16D438D6" w:rsidR="00991A37" w:rsidRPr="00991A37" w:rsidRDefault="00991A37" w:rsidP="00991A37">
            <w:r w:rsidRPr="00991A37">
              <w:rPr>
                <w:bCs/>
                <w:szCs w:val="20"/>
              </w:rPr>
              <w:t>Умора, астения</w:t>
            </w:r>
          </w:p>
        </w:tc>
      </w:tr>
      <w:tr w:rsidR="00991A37" w14:paraId="62E59CBB" w14:textId="77777777" w:rsidTr="00991A37">
        <w:tc>
          <w:tcPr>
            <w:tcW w:w="3192" w:type="dxa"/>
            <w:vMerge/>
          </w:tcPr>
          <w:p w14:paraId="2E0E8645" w14:textId="77777777" w:rsidR="00991A37" w:rsidRPr="00991A37" w:rsidRDefault="00991A37" w:rsidP="00991A37"/>
        </w:tc>
        <w:tc>
          <w:tcPr>
            <w:tcW w:w="3192" w:type="dxa"/>
          </w:tcPr>
          <w:p w14:paraId="7E41CC05" w14:textId="66951A85" w:rsidR="00991A37" w:rsidRPr="00991A37" w:rsidRDefault="00991A37" w:rsidP="00991A37">
            <w:r w:rsidRPr="00991A37">
              <w:rPr>
                <w:bCs/>
                <w:szCs w:val="20"/>
              </w:rPr>
              <w:t>Нечести</w:t>
            </w:r>
          </w:p>
        </w:tc>
        <w:tc>
          <w:tcPr>
            <w:tcW w:w="3192" w:type="dxa"/>
          </w:tcPr>
          <w:p w14:paraId="3D3CDC8B" w14:textId="012743AD" w:rsidR="00991A37" w:rsidRPr="00991A37" w:rsidRDefault="00991A37" w:rsidP="00991A37">
            <w:r w:rsidRPr="00991A37">
              <w:rPr>
                <w:bCs/>
                <w:szCs w:val="20"/>
              </w:rPr>
              <w:t>Гръдна болка, болка, неразположение</w:t>
            </w:r>
          </w:p>
        </w:tc>
      </w:tr>
      <w:tr w:rsidR="00991A37" w14:paraId="18BAD4B8" w14:textId="77777777" w:rsidTr="00991A37">
        <w:tc>
          <w:tcPr>
            <w:tcW w:w="3192" w:type="dxa"/>
          </w:tcPr>
          <w:p w14:paraId="1DBAA2C7" w14:textId="5A5BF1C7" w:rsidR="00991A37" w:rsidRPr="00991A37" w:rsidRDefault="00991A37" w:rsidP="00991A37">
            <w:r w:rsidRPr="00991A37">
              <w:rPr>
                <w:bCs/>
                <w:szCs w:val="20"/>
              </w:rPr>
              <w:t>Изследвания</w:t>
            </w:r>
          </w:p>
        </w:tc>
        <w:tc>
          <w:tcPr>
            <w:tcW w:w="3192" w:type="dxa"/>
          </w:tcPr>
          <w:p w14:paraId="1C0374E7" w14:textId="14574666" w:rsidR="00991A37" w:rsidRPr="00991A37" w:rsidRDefault="00991A37" w:rsidP="00991A37">
            <w:r w:rsidRPr="00991A37">
              <w:rPr>
                <w:bCs/>
                <w:szCs w:val="20"/>
              </w:rPr>
              <w:t>Нечести</w:t>
            </w:r>
          </w:p>
        </w:tc>
        <w:tc>
          <w:tcPr>
            <w:tcW w:w="3192" w:type="dxa"/>
          </w:tcPr>
          <w:p w14:paraId="4BA875C5" w14:textId="73347398" w:rsidR="00991A37" w:rsidRPr="00991A37" w:rsidRDefault="00991A37" w:rsidP="00991A37">
            <w:r w:rsidRPr="00991A37">
              <w:rPr>
                <w:bCs/>
                <w:szCs w:val="20"/>
              </w:rPr>
              <w:t>Увеличаване на телесното тегло, намаляване на телесното тегло</w:t>
            </w:r>
          </w:p>
        </w:tc>
      </w:tr>
    </w:tbl>
    <w:p w14:paraId="45C0BB05" w14:textId="6C2F9ADB" w:rsidR="00433F62" w:rsidRPr="00433F62" w:rsidRDefault="00433F62" w:rsidP="00433F62">
      <w:pPr>
        <w:rPr>
          <w:sz w:val="24"/>
          <w:szCs w:val="24"/>
        </w:rPr>
      </w:pPr>
      <w:r>
        <w:rPr>
          <w:lang w:eastAsia="bg-BG"/>
        </w:rPr>
        <w:t>*</w:t>
      </w:r>
      <w:r>
        <w:rPr>
          <w:lang w:val="en-US" w:eastAsia="bg-BG"/>
        </w:rPr>
        <w:t>-</w:t>
      </w:r>
      <w:r w:rsidRPr="00433F62">
        <w:rPr>
          <w:lang w:eastAsia="bg-BG"/>
        </w:rPr>
        <w:t>най-често свързано с холестаза</w:t>
      </w:r>
    </w:p>
    <w:p w14:paraId="605EEE37" w14:textId="77777777" w:rsidR="00433F62" w:rsidRDefault="00433F62" w:rsidP="00433F62">
      <w:pPr>
        <w:rPr>
          <w:u w:val="single"/>
          <w:lang w:eastAsia="bg-BG"/>
        </w:rPr>
      </w:pPr>
    </w:p>
    <w:p w14:paraId="0DD39732" w14:textId="2B831F92" w:rsidR="00433F62" w:rsidRPr="00433F62" w:rsidRDefault="00433F62" w:rsidP="00433F62">
      <w:pPr>
        <w:rPr>
          <w:sz w:val="24"/>
          <w:szCs w:val="24"/>
        </w:rPr>
      </w:pPr>
      <w:r w:rsidRPr="00433F62">
        <w:rPr>
          <w:u w:val="single"/>
          <w:lang w:eastAsia="bg-BG"/>
        </w:rPr>
        <w:t>Съобщаване на подозирани нежелани реакшш</w:t>
      </w:r>
    </w:p>
    <w:p w14:paraId="095C0D9E" w14:textId="77777777" w:rsidR="00433F62" w:rsidRPr="00433F62" w:rsidRDefault="00433F62" w:rsidP="00433F62">
      <w:pPr>
        <w:rPr>
          <w:sz w:val="24"/>
          <w:szCs w:val="24"/>
        </w:rPr>
      </w:pPr>
      <w:r w:rsidRPr="00433F62">
        <w:rPr>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8,1303 София, Тел.: +35 928903417, уебсайт: </w:t>
      </w:r>
      <w:r w:rsidRPr="00433F62">
        <w:rPr>
          <w:sz w:val="24"/>
          <w:szCs w:val="24"/>
        </w:rPr>
        <w:fldChar w:fldCharType="begin"/>
      </w:r>
      <w:r w:rsidRPr="00433F62">
        <w:rPr>
          <w:sz w:val="24"/>
          <w:szCs w:val="24"/>
        </w:rPr>
        <w:instrText xml:space="preserve"> HYPERLINK "http://www.bda.bg" </w:instrText>
      </w:r>
      <w:r w:rsidRPr="00433F62">
        <w:rPr>
          <w:sz w:val="24"/>
          <w:szCs w:val="24"/>
        </w:rPr>
      </w:r>
      <w:r w:rsidRPr="00433F62">
        <w:rPr>
          <w:sz w:val="24"/>
          <w:szCs w:val="24"/>
        </w:rPr>
        <w:fldChar w:fldCharType="separate"/>
      </w:r>
      <w:r w:rsidRPr="00433F62">
        <w:rPr>
          <w:u w:val="single"/>
          <w:lang w:val="en-US"/>
        </w:rPr>
        <w:t>www</w:t>
      </w:r>
      <w:r w:rsidRPr="00433F62">
        <w:rPr>
          <w:u w:val="single"/>
          <w:lang w:val="ru-RU"/>
        </w:rPr>
        <w:t>.</w:t>
      </w:r>
      <w:proofErr w:type="spellStart"/>
      <w:r w:rsidRPr="00433F62">
        <w:rPr>
          <w:u w:val="single"/>
          <w:lang w:val="en-US"/>
        </w:rPr>
        <w:t>bda</w:t>
      </w:r>
      <w:proofErr w:type="spellEnd"/>
      <w:r w:rsidRPr="00433F62">
        <w:rPr>
          <w:u w:val="single"/>
          <w:lang w:val="ru-RU"/>
        </w:rPr>
        <w:t>.</w:t>
      </w:r>
      <w:proofErr w:type="spellStart"/>
      <w:r w:rsidRPr="00433F62">
        <w:rPr>
          <w:u w:val="single"/>
          <w:lang w:val="en-US"/>
        </w:rPr>
        <w:t>bg</w:t>
      </w:r>
      <w:proofErr w:type="spellEnd"/>
      <w:r w:rsidRPr="00433F62">
        <w:rPr>
          <w:sz w:val="24"/>
          <w:szCs w:val="24"/>
        </w:rPr>
        <w:fldChar w:fldCharType="end"/>
      </w:r>
      <w:r w:rsidRPr="00433F62">
        <w:rPr>
          <w:lang w:val="ru-RU"/>
        </w:rPr>
        <w:t>.</w:t>
      </w:r>
    </w:p>
    <w:p w14:paraId="5E4E95E1" w14:textId="77777777" w:rsidR="00991A37" w:rsidRPr="00433F62" w:rsidRDefault="00991A37" w:rsidP="003B7EC9"/>
    <w:p w14:paraId="5A87DBA3" w14:textId="7954C2EF" w:rsidR="007122AD" w:rsidRDefault="002C50EE" w:rsidP="00936AD0">
      <w:pPr>
        <w:pStyle w:val="Heading2"/>
      </w:pPr>
      <w:r>
        <w:lastRenderedPageBreak/>
        <w:t>4.9. Предозиране</w:t>
      </w:r>
    </w:p>
    <w:p w14:paraId="43C742EF" w14:textId="4E5FAB42" w:rsidR="00433F62" w:rsidRDefault="00433F62" w:rsidP="00433F62"/>
    <w:p w14:paraId="5BCDB560" w14:textId="77777777" w:rsidR="00433F62" w:rsidRPr="00433F62" w:rsidRDefault="00433F62" w:rsidP="00433F62">
      <w:pPr>
        <w:pStyle w:val="Heading3"/>
        <w:rPr>
          <w:rFonts w:eastAsia="Times New Roman"/>
          <w:sz w:val="28"/>
          <w:u w:val="single"/>
        </w:rPr>
      </w:pPr>
      <w:r w:rsidRPr="00433F62">
        <w:rPr>
          <w:rFonts w:eastAsia="Times New Roman"/>
          <w:u w:val="single"/>
          <w:lang w:eastAsia="bg-BG"/>
        </w:rPr>
        <w:t>Симптоми</w:t>
      </w:r>
    </w:p>
    <w:p w14:paraId="7DB3FB2A" w14:textId="77777777" w:rsidR="00433F62" w:rsidRPr="00433F62" w:rsidRDefault="00433F62" w:rsidP="00433F62">
      <w:pPr>
        <w:spacing w:line="240" w:lineRule="auto"/>
        <w:rPr>
          <w:rFonts w:eastAsia="Times New Roman" w:cs="Arial"/>
          <w:sz w:val="28"/>
          <w:szCs w:val="24"/>
        </w:rPr>
      </w:pPr>
      <w:r w:rsidRPr="00433F62">
        <w:rPr>
          <w:rFonts w:eastAsia="Times New Roman" w:cs="Arial"/>
          <w:bCs/>
          <w:color w:val="000000"/>
          <w:szCs w:val="20"/>
          <w:lang w:eastAsia="bg-BG"/>
        </w:rPr>
        <w:t>Няма опит с предозиране на Телфорт. Наличните данни предполагат, че значителното предозиране би могло да доведе до тежка периферна вазодилатация и възможно до рефлексна тахикардия. Съобщавано е за изразена, вероятно продължителна системна хипотония до шок, включително с фатален изход.</w:t>
      </w:r>
    </w:p>
    <w:p w14:paraId="7F294A10" w14:textId="77777777" w:rsidR="00433F62" w:rsidRPr="00433F62" w:rsidRDefault="00433F62" w:rsidP="00433F62">
      <w:pPr>
        <w:spacing w:line="240" w:lineRule="auto"/>
        <w:rPr>
          <w:rFonts w:eastAsia="Times New Roman" w:cs="Arial"/>
          <w:bCs/>
          <w:color w:val="000000"/>
          <w:szCs w:val="20"/>
          <w:u w:val="single"/>
          <w:lang w:eastAsia="bg-BG"/>
        </w:rPr>
      </w:pPr>
    </w:p>
    <w:p w14:paraId="7CB76B8C" w14:textId="2563C27F" w:rsidR="00433F62" w:rsidRPr="00433F62" w:rsidRDefault="00433F62" w:rsidP="00433F62">
      <w:pPr>
        <w:pStyle w:val="Heading3"/>
        <w:rPr>
          <w:rFonts w:eastAsia="Times New Roman"/>
          <w:sz w:val="28"/>
          <w:u w:val="single"/>
        </w:rPr>
      </w:pPr>
      <w:r w:rsidRPr="00433F62">
        <w:rPr>
          <w:rFonts w:eastAsia="Times New Roman"/>
          <w:u w:val="single"/>
          <w:lang w:eastAsia="bg-BG"/>
        </w:rPr>
        <w:t>Лечение</w:t>
      </w:r>
    </w:p>
    <w:p w14:paraId="23A5CC47" w14:textId="77777777" w:rsidR="00433F62" w:rsidRPr="00433F62" w:rsidRDefault="00433F62" w:rsidP="00433F62">
      <w:pPr>
        <w:spacing w:line="240" w:lineRule="auto"/>
        <w:rPr>
          <w:rFonts w:eastAsia="Times New Roman" w:cs="Arial"/>
          <w:sz w:val="28"/>
          <w:szCs w:val="24"/>
        </w:rPr>
      </w:pPr>
      <w:r w:rsidRPr="00433F62">
        <w:rPr>
          <w:rFonts w:eastAsia="Times New Roman" w:cs="Arial"/>
          <w:bCs/>
          <w:color w:val="000000"/>
          <w:szCs w:val="20"/>
          <w:lang w:eastAsia="bg-BG"/>
        </w:rPr>
        <w:t xml:space="preserve">Пациентът трябва да бъде внимателно наблюдаван и лечението трябва да бъде </w:t>
      </w:r>
      <w:r w:rsidRPr="00433F62">
        <w:rPr>
          <w:rFonts w:eastAsia="Times New Roman" w:cs="Arial"/>
          <w:bCs/>
          <w:i/>
          <w:iCs/>
          <w:color w:val="000000"/>
          <w:szCs w:val="20"/>
          <w:lang w:eastAsia="bg-BG"/>
        </w:rPr>
        <w:t xml:space="preserve">симптоматично </w:t>
      </w:r>
      <w:r w:rsidRPr="00433F62">
        <w:rPr>
          <w:rFonts w:eastAsia="Times New Roman" w:cs="Arial"/>
          <w:bCs/>
          <w:color w:val="000000"/>
          <w:szCs w:val="20"/>
          <w:lang w:eastAsia="bg-BG"/>
        </w:rPr>
        <w:t>и поддържащо. Овладяването зависи от времето на приемане на продукта и тежестта на симптомите. Препоръчителните мерки включват предизвикване на повръщане и/или стомашна промивка. Прилагането на активен въглен може да допринесе при лечение на предозирането. Необходимо е често проследяване на серумните електролити и креатинин. При поява на хипотония, пациентът трябва да бъде поставен в легнало положение по гръб и бързо да се приложат солеви и обемни заместители.</w:t>
      </w:r>
    </w:p>
    <w:p w14:paraId="2A9A815B" w14:textId="77777777" w:rsidR="00433F62" w:rsidRPr="00433F62" w:rsidRDefault="00433F62" w:rsidP="00433F62">
      <w:pPr>
        <w:spacing w:line="240" w:lineRule="auto"/>
        <w:rPr>
          <w:rFonts w:eastAsia="Times New Roman" w:cs="Arial"/>
          <w:sz w:val="28"/>
          <w:szCs w:val="24"/>
        </w:rPr>
      </w:pPr>
      <w:r w:rsidRPr="00433F62">
        <w:rPr>
          <w:rFonts w:eastAsia="Times New Roman" w:cs="Arial"/>
          <w:bCs/>
          <w:color w:val="000000"/>
          <w:szCs w:val="20"/>
          <w:lang w:eastAsia="bg-BG"/>
        </w:rPr>
        <w:t>При условие, че няма противопоказания, за възстановяване на съдовия тонус и кръвното налягане, може да се приложи вазоконстриктор. Интравенозен калциев глюконат може да е от полза за преодоляване на ефекта на блокада на калциевите канали.</w:t>
      </w:r>
    </w:p>
    <w:p w14:paraId="43FE7A5F" w14:textId="77777777" w:rsidR="00433F62" w:rsidRPr="00433F62" w:rsidRDefault="00433F62" w:rsidP="00433F62">
      <w:pPr>
        <w:spacing w:line="240" w:lineRule="auto"/>
        <w:rPr>
          <w:rFonts w:eastAsia="Times New Roman" w:cs="Arial"/>
          <w:bCs/>
          <w:color w:val="000000"/>
          <w:szCs w:val="20"/>
          <w:lang w:eastAsia="bg-BG"/>
        </w:rPr>
      </w:pPr>
    </w:p>
    <w:p w14:paraId="4739D40D" w14:textId="4E37F6E7" w:rsidR="00433F62" w:rsidRDefault="00433F62" w:rsidP="00433F62">
      <w:pPr>
        <w:spacing w:line="240" w:lineRule="auto"/>
        <w:rPr>
          <w:rFonts w:ascii="Times New Roman" w:eastAsia="Times New Roman" w:hAnsi="Times New Roman" w:cs="Times New Roman"/>
          <w:sz w:val="24"/>
          <w:szCs w:val="24"/>
        </w:rPr>
      </w:pPr>
      <w:r w:rsidRPr="00433F62">
        <w:rPr>
          <w:rFonts w:eastAsia="Times New Roman" w:cs="Arial"/>
          <w:bCs/>
          <w:color w:val="000000"/>
          <w:szCs w:val="20"/>
          <w:lang w:eastAsia="bg-BG"/>
        </w:rPr>
        <w:t>И двете амлодипин и телмисартан е малко вероятно да бъде отстранен чрез хемодиализа.</w:t>
      </w:r>
    </w:p>
    <w:p w14:paraId="5407E651" w14:textId="77777777" w:rsidR="00433F62" w:rsidRPr="00433F62" w:rsidRDefault="00433F62" w:rsidP="00433F62">
      <w:pPr>
        <w:spacing w:line="240" w:lineRule="auto"/>
        <w:rPr>
          <w:rFonts w:ascii="Times New Roman" w:eastAsia="Times New Roman" w:hAnsi="Times New Roman" w:cs="Times New Roman"/>
          <w:sz w:val="24"/>
          <w:szCs w:val="24"/>
        </w:rPr>
      </w:pPr>
    </w:p>
    <w:p w14:paraId="02081B24" w14:textId="36FE76F4" w:rsidR="00395555" w:rsidRPr="00395555" w:rsidRDefault="002C50EE" w:rsidP="008A6AF2">
      <w:pPr>
        <w:pStyle w:val="Heading1"/>
      </w:pPr>
      <w:r>
        <w:t>5. ФАРМАКОЛОГИЧНИ СВОЙСТВА</w:t>
      </w:r>
    </w:p>
    <w:p w14:paraId="6339E404" w14:textId="391B3534" w:rsidR="00875EEC" w:rsidRDefault="002C50EE" w:rsidP="005726E3">
      <w:pPr>
        <w:pStyle w:val="Heading2"/>
      </w:pPr>
      <w:r>
        <w:t>5.1. Фармакодинамични свойства</w:t>
      </w:r>
    </w:p>
    <w:p w14:paraId="63D4CCA0" w14:textId="75BB13ED" w:rsidR="00433F62" w:rsidRDefault="00433F62" w:rsidP="00433F62"/>
    <w:p w14:paraId="6A4BC7B8" w14:textId="77777777" w:rsidR="00433F62" w:rsidRPr="00433F62" w:rsidRDefault="00433F62" w:rsidP="00433F62">
      <w:pPr>
        <w:spacing w:line="240" w:lineRule="auto"/>
        <w:rPr>
          <w:rFonts w:eastAsia="Times New Roman" w:cs="Arial"/>
          <w:sz w:val="28"/>
          <w:szCs w:val="24"/>
        </w:rPr>
      </w:pPr>
      <w:r w:rsidRPr="00433F62">
        <w:rPr>
          <w:rFonts w:eastAsia="Times New Roman" w:cs="Arial"/>
          <w:bCs/>
          <w:color w:val="000000"/>
          <w:szCs w:val="20"/>
          <w:lang w:eastAsia="bg-BG"/>
        </w:rPr>
        <w:t>Фармакотерапевтична група: активни вещества, действащи на ренин-ангиотензиновата система, антагонисти на ангиотензин П, блокери на калциевите канали; АТС код:</w:t>
      </w:r>
    </w:p>
    <w:p w14:paraId="4C2DDA00" w14:textId="77777777" w:rsidR="00433F62" w:rsidRPr="00433F62" w:rsidRDefault="00433F62" w:rsidP="00433F62">
      <w:pPr>
        <w:rPr>
          <w:rFonts w:eastAsia="Times New Roman" w:cs="Arial"/>
          <w:bCs/>
          <w:color w:val="000000"/>
          <w:szCs w:val="20"/>
          <w:lang w:eastAsia="bg-BG"/>
        </w:rPr>
      </w:pPr>
    </w:p>
    <w:p w14:paraId="24F86A54" w14:textId="1610FD15" w:rsidR="00433F62" w:rsidRPr="00433F62" w:rsidRDefault="00433F62" w:rsidP="00433F62">
      <w:pPr>
        <w:rPr>
          <w:rFonts w:eastAsia="Times New Roman" w:cs="Arial"/>
          <w:bCs/>
          <w:color w:val="000000"/>
          <w:szCs w:val="20"/>
          <w:lang w:eastAsia="bg-BG"/>
        </w:rPr>
      </w:pPr>
      <w:r w:rsidRPr="00433F62">
        <w:rPr>
          <w:rFonts w:eastAsia="Times New Roman" w:cs="Arial"/>
          <w:bCs/>
          <w:color w:val="000000"/>
          <w:szCs w:val="20"/>
          <w:lang w:eastAsia="bg-BG"/>
        </w:rPr>
        <w:t xml:space="preserve">Телфорт съчетава две антихипергензивни съставки с допълващ се механизъм за контролиране на кръвното налягане при пациенти с есенциална хипертония: амлодипин принадлежи към клас калциеви антагонисти, а телмисартан към клас антагонисти на ангиотензин </w:t>
      </w:r>
      <w:r w:rsidRPr="00433F62">
        <w:rPr>
          <w:rFonts w:eastAsia="Times New Roman" w:cs="Arial"/>
          <w:bCs/>
          <w:color w:val="000000"/>
          <w:szCs w:val="20"/>
          <w:lang w:val="en-US"/>
        </w:rPr>
        <w:t>II</w:t>
      </w:r>
      <w:r w:rsidRPr="00433F62">
        <w:rPr>
          <w:rFonts w:eastAsia="Times New Roman" w:cs="Arial"/>
          <w:bCs/>
          <w:color w:val="000000"/>
          <w:szCs w:val="20"/>
          <w:lang w:val="ru-RU"/>
        </w:rPr>
        <w:t xml:space="preserve">. </w:t>
      </w:r>
      <w:r w:rsidRPr="00433F62">
        <w:rPr>
          <w:rFonts w:eastAsia="Times New Roman" w:cs="Arial"/>
          <w:bCs/>
          <w:color w:val="000000"/>
          <w:szCs w:val="20"/>
          <w:lang w:eastAsia="bg-BG"/>
        </w:rPr>
        <w:t>Комбинацията на тези съставки има адитивен антихипертензивен ефект, като понижава кръвното налягане в по- голяма степен, отколкото всеки от компонентите самостоятелно.</w:t>
      </w:r>
    </w:p>
    <w:p w14:paraId="24C9C242" w14:textId="6B2E1738" w:rsidR="00433F62" w:rsidRPr="00433F62" w:rsidRDefault="00433F62" w:rsidP="00433F62">
      <w:pPr>
        <w:rPr>
          <w:rFonts w:eastAsia="Times New Roman" w:cs="Arial"/>
          <w:bCs/>
          <w:color w:val="000000"/>
          <w:szCs w:val="20"/>
          <w:lang w:eastAsia="bg-BG"/>
        </w:rPr>
      </w:pPr>
    </w:p>
    <w:p w14:paraId="10F4639A" w14:textId="77777777" w:rsidR="00433F62" w:rsidRPr="00433F62" w:rsidRDefault="00433F62" w:rsidP="00433F62">
      <w:pPr>
        <w:spacing w:line="240" w:lineRule="auto"/>
        <w:rPr>
          <w:rFonts w:eastAsia="Times New Roman" w:cs="Arial"/>
          <w:sz w:val="28"/>
          <w:szCs w:val="24"/>
        </w:rPr>
      </w:pPr>
      <w:r w:rsidRPr="00433F62">
        <w:rPr>
          <w:rFonts w:eastAsia="Times New Roman" w:cs="Arial"/>
          <w:bCs/>
          <w:color w:val="000000"/>
          <w:szCs w:val="20"/>
          <w:u w:val="single"/>
          <w:lang w:eastAsia="bg-BG"/>
        </w:rPr>
        <w:t>Телмисартан</w:t>
      </w:r>
    </w:p>
    <w:p w14:paraId="167EC694" w14:textId="77777777" w:rsidR="00433F62" w:rsidRPr="00433F62" w:rsidRDefault="00433F62" w:rsidP="00433F62">
      <w:pPr>
        <w:spacing w:line="240" w:lineRule="auto"/>
        <w:rPr>
          <w:rFonts w:eastAsia="Times New Roman" w:cs="Arial"/>
          <w:bCs/>
          <w:i/>
          <w:iCs/>
          <w:color w:val="000000"/>
          <w:szCs w:val="20"/>
          <w:lang w:eastAsia="bg-BG"/>
        </w:rPr>
      </w:pPr>
    </w:p>
    <w:p w14:paraId="0A9DCC36" w14:textId="676B328A" w:rsidR="00433F62" w:rsidRPr="00433F62" w:rsidRDefault="00433F62" w:rsidP="00433F62">
      <w:pPr>
        <w:spacing w:line="240" w:lineRule="auto"/>
        <w:rPr>
          <w:rFonts w:eastAsia="Times New Roman" w:cs="Arial"/>
          <w:sz w:val="28"/>
          <w:szCs w:val="24"/>
        </w:rPr>
      </w:pPr>
      <w:r w:rsidRPr="00433F62">
        <w:rPr>
          <w:rFonts w:eastAsia="Times New Roman" w:cs="Arial"/>
          <w:bCs/>
          <w:i/>
          <w:iCs/>
          <w:color w:val="000000"/>
          <w:szCs w:val="20"/>
          <w:lang w:eastAsia="bg-BG"/>
        </w:rPr>
        <w:t>Механизъм на действие</w:t>
      </w:r>
    </w:p>
    <w:p w14:paraId="62AFEF1C" w14:textId="77777777" w:rsidR="00433F62" w:rsidRPr="00433F62" w:rsidRDefault="00433F62" w:rsidP="00433F62">
      <w:pPr>
        <w:spacing w:line="240" w:lineRule="auto"/>
        <w:rPr>
          <w:rFonts w:eastAsia="Times New Roman" w:cs="Arial"/>
          <w:sz w:val="28"/>
          <w:szCs w:val="24"/>
        </w:rPr>
      </w:pPr>
      <w:r w:rsidRPr="00433F62">
        <w:rPr>
          <w:rFonts w:eastAsia="Times New Roman" w:cs="Arial"/>
          <w:bCs/>
          <w:color w:val="000000"/>
          <w:szCs w:val="20"/>
          <w:lang w:eastAsia="bg-BG"/>
        </w:rPr>
        <w:t xml:space="preserve">Телмисартан е перорално активен и специфичен ангиотензин II рецепторен антагонист (тип </w:t>
      </w:r>
      <w:r w:rsidRPr="00433F62">
        <w:rPr>
          <w:rFonts w:eastAsia="Times New Roman" w:cs="Arial"/>
          <w:bCs/>
          <w:color w:val="000000"/>
          <w:szCs w:val="20"/>
          <w:lang w:val="en-US"/>
        </w:rPr>
        <w:t>AT</w:t>
      </w:r>
      <w:r w:rsidRPr="00433F62">
        <w:rPr>
          <w:rFonts w:eastAsia="Times New Roman" w:cs="Arial"/>
          <w:bCs/>
          <w:color w:val="000000"/>
          <w:szCs w:val="20"/>
          <w:lang w:val="ru-RU"/>
        </w:rPr>
        <w:t xml:space="preserve">1). </w:t>
      </w:r>
      <w:r w:rsidRPr="00433F62">
        <w:rPr>
          <w:rFonts w:eastAsia="Times New Roman" w:cs="Arial"/>
          <w:bCs/>
          <w:color w:val="000000"/>
          <w:szCs w:val="20"/>
          <w:lang w:eastAsia="bg-BG"/>
        </w:rPr>
        <w:t xml:space="preserve">Той измества с много висок афинитет ангиотензин </w:t>
      </w:r>
      <w:r w:rsidRPr="00433F62">
        <w:rPr>
          <w:rFonts w:eastAsia="Times New Roman" w:cs="Arial"/>
          <w:bCs/>
          <w:color w:val="000000"/>
          <w:szCs w:val="20"/>
          <w:lang w:val="en-US"/>
        </w:rPr>
        <w:t>II</w:t>
      </w:r>
      <w:r w:rsidRPr="00433F62">
        <w:rPr>
          <w:rFonts w:eastAsia="Times New Roman" w:cs="Arial"/>
          <w:bCs/>
          <w:color w:val="000000"/>
          <w:szCs w:val="20"/>
          <w:lang w:eastAsia="bg-BG"/>
        </w:rPr>
        <w:t xml:space="preserve"> от неговото място на свързване в </w:t>
      </w:r>
      <w:r w:rsidRPr="00433F62">
        <w:rPr>
          <w:rFonts w:eastAsia="Times New Roman" w:cs="Arial"/>
          <w:bCs/>
          <w:color w:val="000000"/>
          <w:szCs w:val="20"/>
          <w:lang w:val="en-US"/>
        </w:rPr>
        <w:t>AT</w:t>
      </w:r>
      <w:r w:rsidRPr="00433F62">
        <w:rPr>
          <w:rFonts w:eastAsia="Times New Roman" w:cs="Arial"/>
          <w:bCs/>
          <w:color w:val="000000"/>
          <w:szCs w:val="20"/>
          <w:lang w:val="ru-RU"/>
        </w:rPr>
        <w:t xml:space="preserve">1 </w:t>
      </w:r>
      <w:r w:rsidRPr="00433F62">
        <w:rPr>
          <w:rFonts w:eastAsia="Times New Roman" w:cs="Arial"/>
          <w:bCs/>
          <w:color w:val="000000"/>
          <w:szCs w:val="20"/>
          <w:lang w:eastAsia="bg-BG"/>
        </w:rPr>
        <w:t xml:space="preserve">рецепторния подтип, който е отговорен за известните действия на ангиотензин </w:t>
      </w:r>
      <w:r w:rsidRPr="00433F62">
        <w:rPr>
          <w:rFonts w:eastAsia="Times New Roman" w:cs="Arial"/>
          <w:bCs/>
          <w:color w:val="000000"/>
          <w:szCs w:val="20"/>
          <w:lang w:val="en-US"/>
        </w:rPr>
        <w:t>II</w:t>
      </w:r>
      <w:r w:rsidRPr="00433F62">
        <w:rPr>
          <w:rFonts w:eastAsia="Times New Roman" w:cs="Arial"/>
          <w:bCs/>
          <w:color w:val="000000"/>
          <w:szCs w:val="20"/>
          <w:lang w:eastAsia="bg-BG"/>
        </w:rPr>
        <w:t xml:space="preserve">. Телмисартан няма дори и частична агонистична активност спрямо </w:t>
      </w:r>
      <w:r w:rsidRPr="00433F62">
        <w:rPr>
          <w:rFonts w:eastAsia="Times New Roman" w:cs="Arial"/>
          <w:bCs/>
          <w:color w:val="000000"/>
          <w:szCs w:val="20"/>
          <w:lang w:val="en-US"/>
        </w:rPr>
        <w:t>AT</w:t>
      </w:r>
      <w:r w:rsidRPr="00433F62">
        <w:rPr>
          <w:rFonts w:eastAsia="Times New Roman" w:cs="Arial"/>
          <w:bCs/>
          <w:color w:val="000000"/>
          <w:szCs w:val="20"/>
          <w:lang w:val="ru-RU"/>
        </w:rPr>
        <w:t xml:space="preserve">1 </w:t>
      </w:r>
      <w:r w:rsidRPr="00433F62">
        <w:rPr>
          <w:rFonts w:eastAsia="Times New Roman" w:cs="Arial"/>
          <w:bCs/>
          <w:color w:val="000000"/>
          <w:szCs w:val="20"/>
          <w:lang w:eastAsia="bg-BG"/>
        </w:rPr>
        <w:t xml:space="preserve">рецептора. Телмисартан се свързва селективно с </w:t>
      </w:r>
      <w:r w:rsidRPr="00433F62">
        <w:rPr>
          <w:rFonts w:eastAsia="Times New Roman" w:cs="Arial"/>
          <w:bCs/>
          <w:color w:val="000000"/>
          <w:szCs w:val="20"/>
          <w:lang w:val="en-US"/>
        </w:rPr>
        <w:t>AT</w:t>
      </w:r>
      <w:r w:rsidRPr="00433F62">
        <w:rPr>
          <w:rFonts w:eastAsia="Times New Roman" w:cs="Arial"/>
          <w:bCs/>
          <w:color w:val="000000"/>
          <w:szCs w:val="20"/>
          <w:lang w:val="ru-RU"/>
        </w:rPr>
        <w:t xml:space="preserve">1 </w:t>
      </w:r>
      <w:r w:rsidRPr="00433F62">
        <w:rPr>
          <w:rFonts w:eastAsia="Times New Roman" w:cs="Arial"/>
          <w:bCs/>
          <w:color w:val="000000"/>
          <w:szCs w:val="20"/>
          <w:lang w:eastAsia="bg-BG"/>
        </w:rPr>
        <w:t xml:space="preserve">рецептора. Свързването е продължително. Телмисартан не показва афинитет към други рецептори, включително АТ2 и други по-слабо характеризирани АТ- рецептори. Функционалната роля на тези </w:t>
      </w:r>
      <w:r w:rsidRPr="00433F62">
        <w:rPr>
          <w:rFonts w:eastAsia="Times New Roman" w:cs="Arial"/>
          <w:bCs/>
          <w:color w:val="000000"/>
          <w:szCs w:val="20"/>
          <w:lang w:eastAsia="bg-BG"/>
        </w:rPr>
        <w:lastRenderedPageBreak/>
        <w:t xml:space="preserve">рецептори не е известна, не е известен и ефекта на тяхната възможна свръхстимулация от ангиотензин </w:t>
      </w:r>
      <w:r w:rsidRPr="00433F62">
        <w:rPr>
          <w:rFonts w:eastAsia="Times New Roman" w:cs="Arial"/>
          <w:bCs/>
          <w:color w:val="000000"/>
          <w:szCs w:val="20"/>
          <w:lang w:val="en-US"/>
        </w:rPr>
        <w:t>II</w:t>
      </w:r>
      <w:r w:rsidRPr="00433F62">
        <w:rPr>
          <w:rFonts w:eastAsia="Times New Roman" w:cs="Arial"/>
          <w:bCs/>
          <w:color w:val="000000"/>
          <w:szCs w:val="20"/>
          <w:lang w:eastAsia="bg-BG"/>
        </w:rPr>
        <w:t>, чийто нива са повишени от телмисартан. Нивата на плазмения алдостерон са понижени от телмисартан. Телмисартан не инхибира човешкия плазмен ренин и не блокира йонните канали. Телмисартан не инхибира ангиотензин конвертиращия ензим (кининаза I</w:t>
      </w:r>
      <w:r w:rsidRPr="00433F62">
        <w:rPr>
          <w:rFonts w:eastAsia="Times New Roman" w:cs="Arial"/>
          <w:bCs/>
          <w:color w:val="000000"/>
          <w:szCs w:val="20"/>
          <w:lang w:val="en-US"/>
        </w:rPr>
        <w:t>I</w:t>
      </w:r>
      <w:r w:rsidRPr="00433F62">
        <w:rPr>
          <w:rFonts w:eastAsia="Times New Roman" w:cs="Arial"/>
          <w:bCs/>
          <w:color w:val="000000"/>
          <w:szCs w:val="20"/>
          <w:lang w:eastAsia="bg-BG"/>
        </w:rPr>
        <w:t>), ензимът, който също разгражда брадикинина. Поради това не се очаква да потенцира брадикинин-медиираните нежелани лекарствени реакции.</w:t>
      </w:r>
    </w:p>
    <w:p w14:paraId="1274E78E" w14:textId="77777777" w:rsidR="00433F62" w:rsidRPr="00433F62" w:rsidRDefault="00433F62" w:rsidP="00433F62">
      <w:pPr>
        <w:spacing w:line="240" w:lineRule="auto"/>
        <w:rPr>
          <w:rFonts w:eastAsia="Times New Roman" w:cs="Arial"/>
          <w:sz w:val="28"/>
          <w:szCs w:val="24"/>
        </w:rPr>
      </w:pPr>
      <w:r w:rsidRPr="00433F62">
        <w:rPr>
          <w:rFonts w:eastAsia="Times New Roman" w:cs="Arial"/>
          <w:bCs/>
          <w:color w:val="000000"/>
          <w:szCs w:val="20"/>
          <w:lang w:eastAsia="bg-BG"/>
        </w:rPr>
        <w:t xml:space="preserve">При хора дозата от 80 </w:t>
      </w:r>
      <w:r w:rsidRPr="00433F62">
        <w:rPr>
          <w:rFonts w:eastAsia="Times New Roman" w:cs="Arial"/>
          <w:bCs/>
          <w:color w:val="000000"/>
          <w:szCs w:val="20"/>
          <w:lang w:val="en-US"/>
        </w:rPr>
        <w:t>mg</w:t>
      </w:r>
      <w:r w:rsidRPr="00433F62">
        <w:rPr>
          <w:rFonts w:eastAsia="Times New Roman" w:cs="Arial"/>
          <w:bCs/>
          <w:color w:val="000000"/>
          <w:szCs w:val="20"/>
          <w:lang w:val="ru-RU"/>
        </w:rPr>
        <w:t xml:space="preserve"> </w:t>
      </w:r>
      <w:r w:rsidRPr="00433F62">
        <w:rPr>
          <w:rFonts w:eastAsia="Times New Roman" w:cs="Arial"/>
          <w:bCs/>
          <w:color w:val="000000"/>
          <w:szCs w:val="20"/>
          <w:lang w:eastAsia="bg-BG"/>
        </w:rPr>
        <w:t>телмисартан почти изцяло инхибира предизвиканото от ангиотензин II повишаване на кръвното налягане. Инхибиторният ефект се поддържа над 24 часа, като все още може да бъде установен до 48 часа.</w:t>
      </w:r>
    </w:p>
    <w:p w14:paraId="241DDE50" w14:textId="77777777" w:rsidR="00433F62" w:rsidRPr="00433F62" w:rsidRDefault="00433F62" w:rsidP="00433F62">
      <w:pPr>
        <w:spacing w:line="240" w:lineRule="auto"/>
        <w:rPr>
          <w:rFonts w:eastAsia="Times New Roman" w:cs="Arial"/>
          <w:bCs/>
          <w:i/>
          <w:iCs/>
          <w:color w:val="000000"/>
          <w:szCs w:val="20"/>
          <w:lang w:eastAsia="bg-BG"/>
        </w:rPr>
      </w:pPr>
    </w:p>
    <w:p w14:paraId="29E3F905" w14:textId="1894EB91" w:rsidR="00433F62" w:rsidRPr="00433F62" w:rsidRDefault="00433F62" w:rsidP="00433F62">
      <w:pPr>
        <w:spacing w:line="240" w:lineRule="auto"/>
        <w:rPr>
          <w:rFonts w:eastAsia="Times New Roman" w:cs="Arial"/>
          <w:sz w:val="28"/>
          <w:szCs w:val="24"/>
        </w:rPr>
      </w:pPr>
      <w:r w:rsidRPr="00433F62">
        <w:rPr>
          <w:rFonts w:eastAsia="Times New Roman" w:cs="Arial"/>
          <w:bCs/>
          <w:i/>
          <w:iCs/>
          <w:color w:val="000000"/>
          <w:szCs w:val="20"/>
          <w:lang w:eastAsia="bg-BG"/>
        </w:rPr>
        <w:t>Клинична ефикасност и безопасност</w:t>
      </w:r>
    </w:p>
    <w:p w14:paraId="29D504C4" w14:textId="77777777" w:rsidR="00433F62" w:rsidRPr="00433F62" w:rsidRDefault="00433F62" w:rsidP="00433F62">
      <w:pPr>
        <w:spacing w:line="240" w:lineRule="auto"/>
        <w:rPr>
          <w:rFonts w:eastAsia="Times New Roman" w:cs="Arial"/>
          <w:sz w:val="28"/>
          <w:szCs w:val="24"/>
        </w:rPr>
      </w:pPr>
      <w:r w:rsidRPr="00433F62">
        <w:rPr>
          <w:rFonts w:eastAsia="Times New Roman" w:cs="Arial"/>
          <w:bCs/>
          <w:color w:val="000000"/>
          <w:szCs w:val="20"/>
          <w:lang w:eastAsia="bg-BG"/>
        </w:rPr>
        <w:t>След прилагане на първата доза телмисартан се наблюдава постепенно поява на антихипертензивна активност в рамките на 3 часа. Максималната редукция на кръвното налягане се достига напълно в рамките на 4 до 8 седмици след началото на лечението и се поддържа чрез продължителна терапия.</w:t>
      </w:r>
    </w:p>
    <w:p w14:paraId="29C62475" w14:textId="77777777" w:rsidR="00433F62" w:rsidRPr="00433F62" w:rsidRDefault="00433F62" w:rsidP="00433F62">
      <w:pPr>
        <w:spacing w:line="240" w:lineRule="auto"/>
        <w:rPr>
          <w:rFonts w:eastAsia="Times New Roman" w:cs="Arial"/>
          <w:bCs/>
          <w:color w:val="000000"/>
          <w:szCs w:val="20"/>
          <w:lang w:eastAsia="bg-BG"/>
        </w:rPr>
      </w:pPr>
    </w:p>
    <w:p w14:paraId="6C24A5C6" w14:textId="28E6653A" w:rsidR="00433F62" w:rsidRPr="00433F62" w:rsidRDefault="00433F62" w:rsidP="00433F62">
      <w:pPr>
        <w:spacing w:line="240" w:lineRule="auto"/>
        <w:rPr>
          <w:rFonts w:eastAsia="Times New Roman" w:cs="Arial"/>
          <w:sz w:val="28"/>
          <w:szCs w:val="24"/>
        </w:rPr>
      </w:pPr>
      <w:r w:rsidRPr="00433F62">
        <w:rPr>
          <w:rFonts w:eastAsia="Times New Roman" w:cs="Arial"/>
          <w:bCs/>
          <w:color w:val="000000"/>
          <w:szCs w:val="20"/>
          <w:lang w:eastAsia="bg-BG"/>
        </w:rPr>
        <w:t xml:space="preserve">След приемане на дозата антихипертензивният ефект персистира повече от 24 часа, като включва и последните 4 часа преди следващото приложение, както показват амбулаторните измервания на кръвното налягане. Това е потвърдено и от съотношението минимални към максимални концентрации, което е постоянно над 80% след прием на дози от 40 и 80 </w:t>
      </w:r>
      <w:r w:rsidRPr="00433F62">
        <w:rPr>
          <w:rFonts w:eastAsia="Times New Roman" w:cs="Arial"/>
          <w:bCs/>
          <w:color w:val="000000"/>
          <w:szCs w:val="20"/>
          <w:lang w:val="en-US"/>
        </w:rPr>
        <w:t>mg</w:t>
      </w:r>
      <w:r w:rsidRPr="00433F62">
        <w:rPr>
          <w:rFonts w:eastAsia="Times New Roman" w:cs="Arial"/>
          <w:bCs/>
          <w:color w:val="000000"/>
          <w:szCs w:val="20"/>
          <w:lang w:val="ru-RU"/>
        </w:rPr>
        <w:t xml:space="preserve"> </w:t>
      </w:r>
      <w:r w:rsidRPr="00433F62">
        <w:rPr>
          <w:rFonts w:eastAsia="Times New Roman" w:cs="Arial"/>
          <w:bCs/>
          <w:color w:val="000000"/>
          <w:szCs w:val="20"/>
          <w:lang w:eastAsia="bg-BG"/>
        </w:rPr>
        <w:t xml:space="preserve">телмисартан при плацебо контролирани клинични проучвания. Налице е очевидна тенденция за връзка между дозата и времето на възстановяването на базалното систолно кръвно налягане </w:t>
      </w:r>
      <w:r w:rsidRPr="00433F62">
        <w:rPr>
          <w:rFonts w:eastAsia="Times New Roman" w:cs="Arial"/>
          <w:bCs/>
          <w:color w:val="000000"/>
          <w:szCs w:val="20"/>
          <w:lang w:val="ru-RU"/>
        </w:rPr>
        <w:t>(</w:t>
      </w:r>
      <w:r w:rsidRPr="00433F62">
        <w:rPr>
          <w:rFonts w:eastAsia="Times New Roman" w:cs="Arial"/>
          <w:bCs/>
          <w:color w:val="000000"/>
          <w:szCs w:val="20"/>
          <w:lang w:val="en-US"/>
        </w:rPr>
        <w:t>SBP</w:t>
      </w:r>
      <w:r w:rsidRPr="00433F62">
        <w:rPr>
          <w:rFonts w:eastAsia="Times New Roman" w:cs="Arial"/>
          <w:bCs/>
          <w:color w:val="000000"/>
          <w:szCs w:val="20"/>
          <w:lang w:val="ru-RU"/>
        </w:rPr>
        <w:t xml:space="preserve">). </w:t>
      </w:r>
      <w:r w:rsidRPr="00433F62">
        <w:rPr>
          <w:rFonts w:eastAsia="Times New Roman" w:cs="Arial"/>
          <w:bCs/>
          <w:color w:val="000000"/>
          <w:szCs w:val="20"/>
          <w:lang w:eastAsia="bg-BG"/>
        </w:rPr>
        <w:t xml:space="preserve">В това отношение данните за диастолно кръвно налягане </w:t>
      </w:r>
      <w:r w:rsidRPr="00433F62">
        <w:rPr>
          <w:rFonts w:eastAsia="Times New Roman" w:cs="Arial"/>
          <w:bCs/>
          <w:color w:val="000000"/>
          <w:szCs w:val="20"/>
          <w:lang w:val="ru-RU"/>
        </w:rPr>
        <w:t>(</w:t>
      </w:r>
      <w:r w:rsidRPr="00433F62">
        <w:rPr>
          <w:rFonts w:eastAsia="Times New Roman" w:cs="Arial"/>
          <w:bCs/>
          <w:color w:val="000000"/>
          <w:szCs w:val="20"/>
          <w:lang w:val="en-US"/>
        </w:rPr>
        <w:t>DBP</w:t>
      </w:r>
      <w:r w:rsidRPr="00433F62">
        <w:rPr>
          <w:rFonts w:eastAsia="Times New Roman" w:cs="Arial"/>
          <w:bCs/>
          <w:color w:val="000000"/>
          <w:szCs w:val="20"/>
          <w:lang w:val="ru-RU"/>
        </w:rPr>
        <w:t xml:space="preserve">) </w:t>
      </w:r>
      <w:r w:rsidRPr="00433F62">
        <w:rPr>
          <w:rFonts w:eastAsia="Times New Roman" w:cs="Arial"/>
          <w:bCs/>
          <w:color w:val="000000"/>
          <w:szCs w:val="20"/>
          <w:lang w:eastAsia="bg-BG"/>
        </w:rPr>
        <w:t>са непостоянни.</w:t>
      </w:r>
    </w:p>
    <w:p w14:paraId="68742409" w14:textId="77777777" w:rsidR="00433F62" w:rsidRPr="00433F62" w:rsidRDefault="00433F62" w:rsidP="00433F62">
      <w:pPr>
        <w:spacing w:line="240" w:lineRule="auto"/>
        <w:rPr>
          <w:rFonts w:eastAsia="Times New Roman" w:cs="Arial"/>
          <w:bCs/>
          <w:color w:val="000000"/>
          <w:szCs w:val="20"/>
          <w:lang w:eastAsia="bg-BG"/>
        </w:rPr>
      </w:pPr>
    </w:p>
    <w:p w14:paraId="54F87D36" w14:textId="317173CC" w:rsidR="00433F62" w:rsidRPr="00433F62" w:rsidRDefault="00433F62" w:rsidP="00433F62">
      <w:pPr>
        <w:spacing w:line="240" w:lineRule="auto"/>
        <w:rPr>
          <w:rFonts w:eastAsia="Times New Roman" w:cs="Arial"/>
          <w:sz w:val="28"/>
          <w:szCs w:val="24"/>
        </w:rPr>
      </w:pPr>
      <w:r w:rsidRPr="00433F62">
        <w:rPr>
          <w:rFonts w:eastAsia="Times New Roman" w:cs="Arial"/>
          <w:bCs/>
          <w:color w:val="000000"/>
          <w:szCs w:val="20"/>
          <w:lang w:eastAsia="bg-BG"/>
        </w:rPr>
        <w:t>При пациенти с хипертония телмисартан редуцира и систолното и диастолното кръвно налягане, без да повлиява честота на пулса. Наличието на диуретичен и натриуретичен ефект, който да допринесе за хипотензивната активност на лекарствения продукт, все още не е доказано. Антихипертензивната ефикасност на телмисартан е сравнима с тази на продукти, представители на други класове антихипертензивни лекарствени продукти (установена при клинични изпитвания, сравняващи телмисартан с амлодипин, атенолол, еналаприл, хидрохлоротиазид и лизиноприл).</w:t>
      </w:r>
    </w:p>
    <w:p w14:paraId="2C3EA46D" w14:textId="77777777" w:rsidR="00433F62" w:rsidRPr="00433F62" w:rsidRDefault="00433F62" w:rsidP="00433F62">
      <w:pPr>
        <w:spacing w:line="240" w:lineRule="auto"/>
        <w:rPr>
          <w:rFonts w:eastAsia="Times New Roman" w:cs="Arial"/>
          <w:bCs/>
          <w:color w:val="000000"/>
          <w:szCs w:val="20"/>
          <w:lang w:eastAsia="bg-BG"/>
        </w:rPr>
      </w:pPr>
    </w:p>
    <w:p w14:paraId="5BE86A31" w14:textId="4A975FAF" w:rsidR="00433F62" w:rsidRPr="00433F62" w:rsidRDefault="00433F62" w:rsidP="00433F62">
      <w:pPr>
        <w:spacing w:line="240" w:lineRule="auto"/>
        <w:rPr>
          <w:rFonts w:eastAsia="Times New Roman" w:cs="Arial"/>
          <w:sz w:val="28"/>
          <w:szCs w:val="24"/>
        </w:rPr>
      </w:pPr>
      <w:r w:rsidRPr="00433F62">
        <w:rPr>
          <w:rFonts w:eastAsia="Times New Roman" w:cs="Arial"/>
          <w:bCs/>
          <w:color w:val="000000"/>
          <w:szCs w:val="20"/>
          <w:lang w:eastAsia="bg-BG"/>
        </w:rPr>
        <w:t>При внезапно прекъсване на лечението с телмисартан кръвното налягане постепенно се връща до стойностите преди лечението, за период от няколко дни без данни за ребаунд хипертоничен ефект.</w:t>
      </w:r>
    </w:p>
    <w:p w14:paraId="37AF133D" w14:textId="77777777" w:rsidR="00433F62" w:rsidRPr="00433F62" w:rsidRDefault="00433F62" w:rsidP="00433F62">
      <w:pPr>
        <w:spacing w:line="240" w:lineRule="auto"/>
        <w:rPr>
          <w:rFonts w:eastAsia="Times New Roman" w:cs="Arial"/>
          <w:bCs/>
          <w:color w:val="000000"/>
          <w:szCs w:val="20"/>
          <w:lang w:eastAsia="bg-BG"/>
        </w:rPr>
      </w:pPr>
    </w:p>
    <w:p w14:paraId="7E3EB104" w14:textId="73059196" w:rsidR="00433F62" w:rsidRPr="00433F62" w:rsidRDefault="00433F62" w:rsidP="00433F62">
      <w:pPr>
        <w:spacing w:line="240" w:lineRule="auto"/>
        <w:rPr>
          <w:rFonts w:eastAsia="Times New Roman" w:cs="Arial"/>
          <w:sz w:val="28"/>
          <w:szCs w:val="24"/>
        </w:rPr>
      </w:pPr>
      <w:r w:rsidRPr="00433F62">
        <w:rPr>
          <w:rFonts w:eastAsia="Times New Roman" w:cs="Arial"/>
          <w:bCs/>
          <w:color w:val="000000"/>
          <w:szCs w:val="20"/>
          <w:lang w:eastAsia="bg-BG"/>
        </w:rPr>
        <w:t>Случаите на суха кашлица са значително по-малко при пациенти, третирани с телмисартан, отколкото при такива, на които са давани инхибитори на ангиотензин конвертиращия ензим в клинични проучвания, директно сравняващи двете антихипертензивни лечения.</w:t>
      </w:r>
    </w:p>
    <w:p w14:paraId="208A41A8" w14:textId="77777777" w:rsidR="00433F62" w:rsidRPr="00433F62" w:rsidRDefault="00433F62" w:rsidP="00433F62">
      <w:pPr>
        <w:rPr>
          <w:rFonts w:eastAsia="Times New Roman" w:cs="Arial"/>
          <w:bCs/>
          <w:color w:val="000000"/>
          <w:szCs w:val="20"/>
          <w:lang w:eastAsia="bg-BG"/>
        </w:rPr>
      </w:pPr>
    </w:p>
    <w:p w14:paraId="623DB6DA" w14:textId="3E00754F" w:rsidR="00433F62" w:rsidRPr="00433F62" w:rsidRDefault="00433F62" w:rsidP="00433F62">
      <w:pPr>
        <w:rPr>
          <w:rFonts w:eastAsia="Times New Roman" w:cs="Arial"/>
          <w:bCs/>
          <w:color w:val="000000"/>
          <w:szCs w:val="20"/>
          <w:lang w:eastAsia="bg-BG"/>
        </w:rPr>
      </w:pPr>
      <w:r w:rsidRPr="00433F62">
        <w:rPr>
          <w:rFonts w:eastAsia="Times New Roman" w:cs="Arial"/>
          <w:bCs/>
          <w:color w:val="000000"/>
          <w:szCs w:val="20"/>
          <w:lang w:eastAsia="bg-BG"/>
        </w:rPr>
        <w:t xml:space="preserve">Две големи рандомизирани контролирани проучвания - </w:t>
      </w:r>
      <w:r w:rsidRPr="00433F62">
        <w:rPr>
          <w:rFonts w:eastAsia="Times New Roman" w:cs="Arial"/>
          <w:bCs/>
          <w:color w:val="000000"/>
          <w:szCs w:val="20"/>
          <w:lang w:val="en-US"/>
        </w:rPr>
        <w:t>ONTARGET</w:t>
      </w:r>
      <w:r w:rsidRPr="00433F62">
        <w:rPr>
          <w:rFonts w:eastAsia="Times New Roman" w:cs="Arial"/>
          <w:bCs/>
          <w:color w:val="000000"/>
          <w:szCs w:val="20"/>
        </w:rPr>
        <w:t xml:space="preserve"> (</w:t>
      </w:r>
      <w:proofErr w:type="spellStart"/>
      <w:r w:rsidRPr="00433F62">
        <w:rPr>
          <w:rFonts w:eastAsia="Times New Roman" w:cs="Arial"/>
          <w:bCs/>
          <w:color w:val="000000"/>
          <w:szCs w:val="20"/>
          <w:lang w:val="en-US"/>
        </w:rPr>
        <w:t>ONgoing</w:t>
      </w:r>
      <w:proofErr w:type="spellEnd"/>
      <w:r w:rsidRPr="00433F62">
        <w:rPr>
          <w:rFonts w:eastAsia="Times New Roman" w:cs="Arial"/>
          <w:bCs/>
          <w:color w:val="000000"/>
          <w:szCs w:val="20"/>
        </w:rPr>
        <w:t xml:space="preserve"> </w:t>
      </w:r>
      <w:proofErr w:type="spellStart"/>
      <w:r w:rsidRPr="00433F62">
        <w:rPr>
          <w:rFonts w:eastAsia="Times New Roman" w:cs="Arial"/>
          <w:bCs/>
          <w:color w:val="000000"/>
          <w:szCs w:val="20"/>
          <w:lang w:val="en-US"/>
        </w:rPr>
        <w:t>Telmisartan</w:t>
      </w:r>
      <w:proofErr w:type="spellEnd"/>
      <w:r w:rsidRPr="00433F62">
        <w:rPr>
          <w:rFonts w:eastAsia="Times New Roman" w:cs="Arial"/>
          <w:bCs/>
          <w:color w:val="000000"/>
          <w:szCs w:val="20"/>
        </w:rPr>
        <w:t xml:space="preserve"> </w:t>
      </w:r>
      <w:r w:rsidRPr="00433F62">
        <w:rPr>
          <w:rFonts w:eastAsia="Times New Roman" w:cs="Arial"/>
          <w:bCs/>
          <w:color w:val="000000"/>
          <w:szCs w:val="20"/>
          <w:lang w:val="en-US"/>
        </w:rPr>
        <w:t>Alone</w:t>
      </w:r>
      <w:r w:rsidRPr="00433F62">
        <w:rPr>
          <w:rFonts w:eastAsia="Times New Roman" w:cs="Arial"/>
          <w:bCs/>
          <w:color w:val="000000"/>
          <w:szCs w:val="20"/>
        </w:rPr>
        <w:t xml:space="preserve"> </w:t>
      </w:r>
      <w:r w:rsidRPr="00433F62">
        <w:rPr>
          <w:rFonts w:eastAsia="Times New Roman" w:cs="Arial"/>
          <w:bCs/>
          <w:color w:val="000000"/>
          <w:szCs w:val="20"/>
          <w:lang w:val="en-US"/>
        </w:rPr>
        <w:t>and</w:t>
      </w:r>
      <w:r w:rsidRPr="00433F62">
        <w:rPr>
          <w:rFonts w:eastAsia="Times New Roman" w:cs="Arial"/>
          <w:bCs/>
          <w:color w:val="000000"/>
          <w:szCs w:val="20"/>
        </w:rPr>
        <w:t xml:space="preserve"> </w:t>
      </w:r>
      <w:r w:rsidRPr="00433F62">
        <w:rPr>
          <w:rFonts w:eastAsia="Times New Roman" w:cs="Arial"/>
          <w:bCs/>
          <w:color w:val="000000"/>
          <w:szCs w:val="20"/>
          <w:lang w:val="en-US"/>
        </w:rPr>
        <w:t>in</w:t>
      </w:r>
      <w:r w:rsidRPr="00433F62">
        <w:rPr>
          <w:rFonts w:eastAsia="Times New Roman" w:cs="Arial"/>
          <w:bCs/>
          <w:color w:val="000000"/>
          <w:szCs w:val="20"/>
        </w:rPr>
        <w:t xml:space="preserve"> </w:t>
      </w:r>
      <w:r w:rsidRPr="00433F62">
        <w:rPr>
          <w:rFonts w:eastAsia="Times New Roman" w:cs="Arial"/>
          <w:bCs/>
          <w:color w:val="000000"/>
          <w:szCs w:val="20"/>
          <w:lang w:val="en-US"/>
        </w:rPr>
        <w:t>combination</w:t>
      </w:r>
      <w:r w:rsidRPr="00433F62">
        <w:rPr>
          <w:rFonts w:eastAsia="Times New Roman" w:cs="Arial"/>
          <w:bCs/>
          <w:color w:val="000000"/>
          <w:szCs w:val="20"/>
        </w:rPr>
        <w:t xml:space="preserve"> </w:t>
      </w:r>
      <w:r w:rsidRPr="00433F62">
        <w:rPr>
          <w:rFonts w:eastAsia="Times New Roman" w:cs="Arial"/>
          <w:bCs/>
          <w:color w:val="000000"/>
          <w:szCs w:val="20"/>
          <w:lang w:val="en-US"/>
        </w:rPr>
        <w:t>with</w:t>
      </w:r>
      <w:r w:rsidRPr="00433F62">
        <w:rPr>
          <w:rFonts w:eastAsia="Times New Roman" w:cs="Arial"/>
          <w:bCs/>
          <w:color w:val="000000"/>
          <w:szCs w:val="20"/>
        </w:rPr>
        <w:t xml:space="preserve"> </w:t>
      </w:r>
      <w:r w:rsidRPr="00433F62">
        <w:rPr>
          <w:rFonts w:eastAsia="Times New Roman" w:cs="Arial"/>
          <w:bCs/>
          <w:color w:val="000000"/>
          <w:szCs w:val="20"/>
          <w:lang w:val="en-US"/>
        </w:rPr>
        <w:t>Ramipril</w:t>
      </w:r>
      <w:r w:rsidRPr="00433F62">
        <w:rPr>
          <w:rFonts w:eastAsia="Times New Roman" w:cs="Arial"/>
          <w:bCs/>
          <w:color w:val="000000"/>
          <w:szCs w:val="20"/>
        </w:rPr>
        <w:t xml:space="preserve"> </w:t>
      </w:r>
      <w:r w:rsidRPr="00433F62">
        <w:rPr>
          <w:rFonts w:eastAsia="Times New Roman" w:cs="Arial"/>
          <w:bCs/>
          <w:color w:val="000000"/>
          <w:szCs w:val="20"/>
          <w:lang w:val="en-US"/>
        </w:rPr>
        <w:t>Global</w:t>
      </w:r>
      <w:r w:rsidRPr="00433F62">
        <w:rPr>
          <w:rFonts w:eastAsia="Times New Roman" w:cs="Arial"/>
          <w:bCs/>
          <w:color w:val="000000"/>
          <w:szCs w:val="20"/>
        </w:rPr>
        <w:t xml:space="preserve"> </w:t>
      </w:r>
      <w:r w:rsidRPr="00433F62">
        <w:rPr>
          <w:rFonts w:eastAsia="Times New Roman" w:cs="Arial"/>
          <w:bCs/>
          <w:color w:val="000000"/>
          <w:szCs w:val="20"/>
          <w:lang w:val="en-US"/>
        </w:rPr>
        <w:t>Endpoint</w:t>
      </w:r>
      <w:r w:rsidRPr="00433F62">
        <w:rPr>
          <w:rFonts w:eastAsia="Times New Roman" w:cs="Arial"/>
          <w:bCs/>
          <w:color w:val="000000"/>
          <w:szCs w:val="20"/>
        </w:rPr>
        <w:t xml:space="preserve"> </w:t>
      </w:r>
      <w:r w:rsidRPr="00433F62">
        <w:rPr>
          <w:rFonts w:eastAsia="Times New Roman" w:cs="Arial"/>
          <w:bCs/>
          <w:color w:val="000000"/>
          <w:szCs w:val="20"/>
          <w:lang w:val="en-US"/>
        </w:rPr>
        <w:t>Trial</w:t>
      </w:r>
      <w:r w:rsidRPr="00433F62">
        <w:rPr>
          <w:rFonts w:eastAsia="Times New Roman" w:cs="Arial"/>
          <w:bCs/>
          <w:color w:val="000000"/>
          <w:szCs w:val="20"/>
        </w:rPr>
        <w:t xml:space="preserve"> - </w:t>
      </w:r>
      <w:r w:rsidRPr="00433F62">
        <w:rPr>
          <w:rFonts w:eastAsia="Times New Roman" w:cs="Arial"/>
          <w:bCs/>
          <w:color w:val="000000"/>
          <w:szCs w:val="20"/>
          <w:lang w:eastAsia="bg-BG"/>
        </w:rPr>
        <w:t xml:space="preserve">текущо глобално изпитване за крайни точки на телмисартан, самостоятелно и в комбинация с рамиприл) и </w:t>
      </w:r>
      <w:r w:rsidRPr="00433F62">
        <w:rPr>
          <w:rFonts w:eastAsia="Times New Roman" w:cs="Arial"/>
          <w:bCs/>
          <w:color w:val="000000"/>
          <w:szCs w:val="20"/>
          <w:lang w:val="en-US"/>
        </w:rPr>
        <w:t>VA</w:t>
      </w:r>
      <w:r w:rsidRPr="00433F62">
        <w:rPr>
          <w:rFonts w:eastAsia="Times New Roman" w:cs="Arial"/>
          <w:bCs/>
          <w:color w:val="000000"/>
          <w:szCs w:val="20"/>
        </w:rPr>
        <w:t xml:space="preserve"> </w:t>
      </w:r>
      <w:r w:rsidRPr="00433F62">
        <w:rPr>
          <w:rFonts w:eastAsia="Times New Roman" w:cs="Arial"/>
          <w:bCs/>
          <w:color w:val="000000"/>
          <w:szCs w:val="20"/>
          <w:lang w:val="en-US"/>
        </w:rPr>
        <w:t>NEPHRON</w:t>
      </w:r>
      <w:r w:rsidRPr="00433F62">
        <w:rPr>
          <w:rFonts w:eastAsia="Times New Roman" w:cs="Arial"/>
          <w:bCs/>
          <w:color w:val="000000"/>
          <w:szCs w:val="20"/>
        </w:rPr>
        <w:t>-</w:t>
      </w:r>
      <w:r w:rsidRPr="00433F62">
        <w:rPr>
          <w:rFonts w:eastAsia="Times New Roman" w:cs="Arial"/>
          <w:bCs/>
          <w:color w:val="000000"/>
          <w:szCs w:val="20"/>
          <w:lang w:val="en-US"/>
        </w:rPr>
        <w:t>D</w:t>
      </w:r>
      <w:r w:rsidRPr="00433F62">
        <w:rPr>
          <w:rFonts w:eastAsia="Times New Roman" w:cs="Arial"/>
          <w:bCs/>
          <w:color w:val="000000"/>
          <w:szCs w:val="20"/>
          <w:lang w:eastAsia="bg-BG"/>
        </w:rPr>
        <w:t xml:space="preserve"> (Клинично проучване свързано с развитие на нефропатия при диабет, проведено от Министерство по въпросите на ветераните) - проучват употребата на ком6инацията от </w:t>
      </w:r>
      <w:r w:rsidRPr="00433F62">
        <w:rPr>
          <w:rFonts w:eastAsia="Times New Roman" w:cs="Arial"/>
          <w:bCs/>
          <w:color w:val="000000"/>
          <w:szCs w:val="20"/>
          <w:lang w:val="en-US"/>
        </w:rPr>
        <w:t>ACE</w:t>
      </w:r>
      <w:r w:rsidRPr="00433F62">
        <w:rPr>
          <w:rFonts w:eastAsia="Times New Roman" w:cs="Arial"/>
          <w:bCs/>
          <w:color w:val="000000"/>
          <w:szCs w:val="20"/>
          <w:lang w:eastAsia="bg-BG"/>
        </w:rPr>
        <w:t xml:space="preserve"> инхибитор и ангиотензин </w:t>
      </w:r>
      <w:r w:rsidRPr="00433F62">
        <w:rPr>
          <w:rFonts w:eastAsia="Times New Roman" w:cs="Arial"/>
          <w:bCs/>
          <w:color w:val="000000"/>
          <w:szCs w:val="20"/>
          <w:lang w:val="en-US"/>
        </w:rPr>
        <w:t>II</w:t>
      </w:r>
      <w:r w:rsidRPr="00433F62">
        <w:rPr>
          <w:rFonts w:eastAsia="Times New Roman" w:cs="Arial"/>
          <w:bCs/>
          <w:color w:val="000000"/>
          <w:szCs w:val="20"/>
          <w:lang w:eastAsia="bg-BG"/>
        </w:rPr>
        <w:t>-рецепторен блокер.</w:t>
      </w:r>
    </w:p>
    <w:p w14:paraId="32A13669" w14:textId="6DB12465" w:rsidR="00433F62" w:rsidRPr="00433F62" w:rsidRDefault="00433F62" w:rsidP="00433F62">
      <w:pPr>
        <w:rPr>
          <w:rFonts w:eastAsia="Times New Roman" w:cs="Arial"/>
          <w:bCs/>
          <w:color w:val="000000"/>
          <w:szCs w:val="20"/>
          <w:lang w:eastAsia="bg-BG"/>
        </w:rPr>
      </w:pPr>
    </w:p>
    <w:p w14:paraId="0815154F" w14:textId="77777777" w:rsidR="00433F62" w:rsidRPr="00433F62" w:rsidRDefault="00433F62" w:rsidP="00433F62">
      <w:pPr>
        <w:spacing w:line="240" w:lineRule="auto"/>
        <w:rPr>
          <w:rFonts w:eastAsia="Times New Roman" w:cs="Arial"/>
          <w:sz w:val="28"/>
          <w:szCs w:val="24"/>
        </w:rPr>
      </w:pPr>
      <w:r w:rsidRPr="00433F62">
        <w:rPr>
          <w:rFonts w:eastAsia="Times New Roman" w:cs="Arial"/>
          <w:bCs/>
          <w:color w:val="000000"/>
          <w:szCs w:val="20"/>
          <w:lang w:val="en-US"/>
        </w:rPr>
        <w:lastRenderedPageBreak/>
        <w:t>ONTARGET</w:t>
      </w:r>
      <w:r w:rsidRPr="00433F62">
        <w:rPr>
          <w:rFonts w:eastAsia="Times New Roman" w:cs="Arial"/>
          <w:bCs/>
          <w:color w:val="000000"/>
          <w:szCs w:val="20"/>
          <w:lang w:val="ru-RU"/>
        </w:rPr>
        <w:t xml:space="preserve"> </w:t>
      </w:r>
      <w:r w:rsidRPr="00433F62">
        <w:rPr>
          <w:rFonts w:eastAsia="Times New Roman" w:cs="Arial"/>
          <w:bCs/>
          <w:color w:val="000000"/>
          <w:szCs w:val="2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433F62">
        <w:rPr>
          <w:rFonts w:eastAsia="Times New Roman" w:cs="Arial"/>
          <w:bCs/>
          <w:color w:val="000000"/>
          <w:szCs w:val="20"/>
          <w:lang w:val="en-US"/>
        </w:rPr>
        <w:t>VA</w:t>
      </w:r>
      <w:r w:rsidRPr="00433F62">
        <w:rPr>
          <w:rFonts w:eastAsia="Times New Roman" w:cs="Arial"/>
          <w:bCs/>
          <w:color w:val="000000"/>
          <w:szCs w:val="20"/>
          <w:lang w:val="ru-RU"/>
        </w:rPr>
        <w:t xml:space="preserve"> </w:t>
      </w:r>
      <w:r w:rsidRPr="00433F62">
        <w:rPr>
          <w:rFonts w:eastAsia="Times New Roman" w:cs="Arial"/>
          <w:bCs/>
          <w:color w:val="000000"/>
          <w:szCs w:val="20"/>
          <w:lang w:val="en-US"/>
        </w:rPr>
        <w:t>NEPHRON</w:t>
      </w:r>
      <w:r w:rsidRPr="00433F62">
        <w:rPr>
          <w:rFonts w:eastAsia="Times New Roman" w:cs="Arial"/>
          <w:bCs/>
          <w:color w:val="000000"/>
          <w:szCs w:val="20"/>
          <w:lang w:val="ru-RU"/>
        </w:rPr>
        <w:t>-</w:t>
      </w:r>
      <w:r w:rsidRPr="00433F62">
        <w:rPr>
          <w:rFonts w:eastAsia="Times New Roman" w:cs="Arial"/>
          <w:bCs/>
          <w:color w:val="000000"/>
          <w:szCs w:val="20"/>
          <w:lang w:val="en-US"/>
        </w:rPr>
        <w:t>D</w:t>
      </w:r>
      <w:r w:rsidRPr="00433F62">
        <w:rPr>
          <w:rFonts w:eastAsia="Times New Roman" w:cs="Arial"/>
          <w:bCs/>
          <w:color w:val="000000"/>
          <w:szCs w:val="20"/>
          <w:lang w:val="ru-RU"/>
        </w:rPr>
        <w:t xml:space="preserve"> </w:t>
      </w:r>
      <w:r w:rsidRPr="00433F62">
        <w:rPr>
          <w:rFonts w:eastAsia="Times New Roman" w:cs="Arial"/>
          <w:bCs/>
          <w:color w:val="000000"/>
          <w:szCs w:val="20"/>
          <w:lang w:eastAsia="bg-BG"/>
        </w:rPr>
        <w:t>е проучване при пациенти със захарен диабет тип 2 и диабетна нефропатия.</w:t>
      </w:r>
    </w:p>
    <w:p w14:paraId="2BDF366A" w14:textId="77777777" w:rsidR="00433F62" w:rsidRPr="00433F62" w:rsidRDefault="00433F62" w:rsidP="00433F62">
      <w:pPr>
        <w:spacing w:line="240" w:lineRule="auto"/>
        <w:rPr>
          <w:rFonts w:eastAsia="Times New Roman" w:cs="Arial"/>
          <w:sz w:val="28"/>
          <w:szCs w:val="24"/>
        </w:rPr>
      </w:pPr>
      <w:r w:rsidRPr="00433F62">
        <w:rPr>
          <w:rFonts w:eastAsia="Times New Roman" w:cs="Arial"/>
          <w:bCs/>
          <w:color w:val="000000"/>
          <w:szCs w:val="20"/>
          <w:lang w:eastAsia="bg-BG"/>
        </w:rPr>
        <w:t>Тези проучвания не показват значим благоприятен ефект върху бъбречните и/или сърдечно</w:t>
      </w:r>
      <w:r w:rsidRPr="00433F62">
        <w:rPr>
          <w:rFonts w:eastAsia="Times New Roman" w:cs="Arial"/>
          <w:bCs/>
          <w:color w:val="000000"/>
          <w:szCs w:val="20"/>
          <w:lang w:eastAsia="bg-BG"/>
        </w:rPr>
        <w:softHyphen/>
        <w:t xml:space="preserve">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w:t>
      </w:r>
      <w:r w:rsidRPr="00433F62">
        <w:rPr>
          <w:rFonts w:eastAsia="Times New Roman" w:cs="Arial"/>
          <w:bCs/>
          <w:color w:val="000000"/>
          <w:szCs w:val="20"/>
          <w:lang w:val="en-US"/>
        </w:rPr>
        <w:t>II</w:t>
      </w:r>
      <w:r w:rsidRPr="00433F62">
        <w:rPr>
          <w:rFonts w:eastAsia="Times New Roman" w:cs="Arial"/>
          <w:bCs/>
          <w:color w:val="000000"/>
          <w:szCs w:val="20"/>
          <w:lang w:eastAsia="bg-BG"/>
        </w:rPr>
        <w:t>-рецепторни блокери.</w:t>
      </w:r>
    </w:p>
    <w:p w14:paraId="2D375B9F" w14:textId="77777777" w:rsidR="00433F62" w:rsidRPr="00433F62" w:rsidRDefault="00433F62" w:rsidP="00433F62">
      <w:pPr>
        <w:spacing w:line="240" w:lineRule="auto"/>
        <w:rPr>
          <w:rFonts w:eastAsia="Times New Roman" w:cs="Arial"/>
          <w:sz w:val="28"/>
          <w:szCs w:val="24"/>
        </w:rPr>
      </w:pPr>
      <w:r w:rsidRPr="00433F62">
        <w:rPr>
          <w:rFonts w:eastAsia="Times New Roman" w:cs="Arial"/>
          <w:bCs/>
          <w:color w:val="000000"/>
          <w:szCs w:val="20"/>
          <w:lang w:eastAsia="bg-BG"/>
        </w:rPr>
        <w:t xml:space="preserve">АСЕ инхибитори и ангиотензин </w:t>
      </w:r>
      <w:r w:rsidRPr="00433F62">
        <w:rPr>
          <w:rFonts w:eastAsia="Times New Roman" w:cs="Arial"/>
          <w:bCs/>
          <w:color w:val="000000"/>
          <w:szCs w:val="20"/>
          <w:lang w:val="en-US"/>
        </w:rPr>
        <w:t>II</w:t>
      </w:r>
      <w:r w:rsidRPr="00433F62">
        <w:rPr>
          <w:rFonts w:eastAsia="Times New Roman" w:cs="Arial"/>
          <w:bCs/>
          <w:color w:val="000000"/>
          <w:szCs w:val="20"/>
          <w:lang w:eastAsia="bg-BG"/>
        </w:rPr>
        <w:t>-рецепторни блокери следователно не трябва да се използват едновременно при пациенти с диабетна нефропатия.</w:t>
      </w:r>
    </w:p>
    <w:p w14:paraId="3FC2B7CE" w14:textId="77777777" w:rsidR="00433F62" w:rsidRPr="00433F62" w:rsidRDefault="00433F62" w:rsidP="00433F62">
      <w:pPr>
        <w:spacing w:line="240" w:lineRule="auto"/>
        <w:rPr>
          <w:rFonts w:eastAsia="Times New Roman" w:cs="Arial"/>
          <w:sz w:val="28"/>
          <w:szCs w:val="24"/>
        </w:rPr>
      </w:pPr>
      <w:r w:rsidRPr="00433F62">
        <w:rPr>
          <w:rFonts w:eastAsia="Times New Roman" w:cs="Arial"/>
          <w:bCs/>
          <w:color w:val="000000"/>
          <w:szCs w:val="20"/>
          <w:lang w:val="en-US"/>
        </w:rPr>
        <w:t>ALTITUDE</w:t>
      </w:r>
      <w:r w:rsidRPr="00433F62">
        <w:rPr>
          <w:rFonts w:eastAsia="Times New Roman" w:cs="Arial"/>
          <w:bCs/>
          <w:color w:val="000000"/>
          <w:szCs w:val="20"/>
          <w:lang w:val="ru-RU"/>
        </w:rPr>
        <w:t xml:space="preserve"> </w:t>
      </w:r>
      <w:r w:rsidRPr="00433F62">
        <w:rPr>
          <w:rFonts w:eastAsia="Times New Roman" w:cs="Arial"/>
          <w:bCs/>
          <w:color w:val="000000"/>
          <w:szCs w:val="2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 е проучване, предназначено да изследва ползата от добавянето на алискирен към стандартна терапия с АСЕ инхибитор или ангиотензин </w:t>
      </w:r>
      <w:r w:rsidRPr="00433F62">
        <w:rPr>
          <w:rFonts w:eastAsia="Times New Roman" w:cs="Arial"/>
          <w:bCs/>
          <w:color w:val="000000"/>
          <w:szCs w:val="20"/>
          <w:lang w:val="en-US"/>
        </w:rPr>
        <w:t>II</w:t>
      </w:r>
      <w:r w:rsidRPr="00433F62">
        <w:rPr>
          <w:rFonts w:eastAsia="Times New Roman" w:cs="Arial"/>
          <w:bCs/>
          <w:color w:val="000000"/>
          <w:szCs w:val="20"/>
          <w:lang w:eastAsia="bg-BG"/>
        </w:rPr>
        <w:t>-рецепторен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76F5DE36" w14:textId="77777777" w:rsidR="00433F62" w:rsidRPr="00433F62" w:rsidRDefault="00433F62" w:rsidP="00433F62">
      <w:pPr>
        <w:spacing w:line="240" w:lineRule="auto"/>
        <w:rPr>
          <w:rFonts w:eastAsia="Times New Roman" w:cs="Arial"/>
          <w:bCs/>
          <w:color w:val="000000"/>
          <w:szCs w:val="20"/>
          <w:u w:val="single"/>
          <w:lang w:eastAsia="bg-BG"/>
        </w:rPr>
      </w:pPr>
    </w:p>
    <w:p w14:paraId="2C1239E5" w14:textId="6031F0F5" w:rsidR="00433F62" w:rsidRPr="00433F62" w:rsidRDefault="00433F62" w:rsidP="00433F62">
      <w:pPr>
        <w:spacing w:line="240" w:lineRule="auto"/>
        <w:rPr>
          <w:rFonts w:eastAsia="Times New Roman" w:cs="Arial"/>
          <w:sz w:val="28"/>
          <w:szCs w:val="24"/>
        </w:rPr>
      </w:pPr>
      <w:r w:rsidRPr="00433F62">
        <w:rPr>
          <w:rFonts w:eastAsia="Times New Roman" w:cs="Arial"/>
          <w:bCs/>
          <w:color w:val="000000"/>
          <w:szCs w:val="20"/>
          <w:u w:val="single"/>
          <w:lang w:eastAsia="bg-BG"/>
        </w:rPr>
        <w:t>Амлодипин</w:t>
      </w:r>
    </w:p>
    <w:p w14:paraId="5243DAC9" w14:textId="77777777" w:rsidR="00433F62" w:rsidRPr="00433F62" w:rsidRDefault="00433F62" w:rsidP="00433F62">
      <w:pPr>
        <w:spacing w:line="240" w:lineRule="auto"/>
        <w:rPr>
          <w:rFonts w:eastAsia="Times New Roman" w:cs="Arial"/>
          <w:sz w:val="28"/>
          <w:szCs w:val="24"/>
        </w:rPr>
      </w:pPr>
      <w:r w:rsidRPr="00433F62">
        <w:rPr>
          <w:rFonts w:eastAsia="Times New Roman" w:cs="Arial"/>
          <w:bCs/>
          <w:color w:val="000000"/>
          <w:szCs w:val="20"/>
          <w:lang w:eastAsia="bg-BG"/>
        </w:rPr>
        <w:t>Амлодипин е инхибитор на инфлукса на калциевите йони от дихидропиридиновата група (блокер на бавните канали или антагонист на калциевия йон) и потиска трансмембранното навлизане на калциеви йони в клетките на сърдечната и съдовата гладка мускулатура. Механизмът на антихипертензивното действие на амлодипин се дължи на директен релаксиращ ефект върху съдовата гладка мускулатура. Точният механизъм, по който амлодипин облекчава стенокардията, не е напълно изяснен, но амлодипин редуцира исхемията по два начина:</w:t>
      </w:r>
    </w:p>
    <w:p w14:paraId="212293C2" w14:textId="77777777" w:rsidR="00433F62" w:rsidRPr="00433F62" w:rsidRDefault="00433F62" w:rsidP="00433F62">
      <w:pPr>
        <w:spacing w:line="240" w:lineRule="auto"/>
        <w:rPr>
          <w:rFonts w:eastAsia="Times New Roman" w:cs="Arial"/>
          <w:bCs/>
          <w:color w:val="000000"/>
          <w:szCs w:val="20"/>
          <w:lang w:eastAsia="bg-BG"/>
        </w:rPr>
      </w:pPr>
    </w:p>
    <w:p w14:paraId="102D2DA2" w14:textId="69644378" w:rsidR="00433F62" w:rsidRPr="00433F62" w:rsidRDefault="00433F62" w:rsidP="00433F62">
      <w:pPr>
        <w:spacing w:line="240" w:lineRule="auto"/>
        <w:rPr>
          <w:rFonts w:eastAsia="Times New Roman" w:cs="Arial"/>
          <w:sz w:val="28"/>
          <w:szCs w:val="24"/>
        </w:rPr>
      </w:pPr>
      <w:r w:rsidRPr="00433F62">
        <w:rPr>
          <w:rFonts w:eastAsia="Times New Roman" w:cs="Arial"/>
          <w:bCs/>
          <w:color w:val="000000"/>
          <w:szCs w:val="20"/>
          <w:lang w:eastAsia="bg-BG"/>
        </w:rPr>
        <w:t>1)Амлодипин предизвиква дилатация на периферните артериоли и така редуцира общото периферно съпротивление (след натоварването), срещу което сърцето работи. Тъй като сърдечната честота остава стабилна, това отбременяване на сърцето намалява енергийната консумация и кислородните нужди на миокарда.</w:t>
      </w:r>
    </w:p>
    <w:p w14:paraId="4BC248A0" w14:textId="77777777" w:rsidR="00433F62" w:rsidRPr="00433F62" w:rsidRDefault="00433F62" w:rsidP="00433F62">
      <w:pPr>
        <w:spacing w:line="240" w:lineRule="auto"/>
        <w:rPr>
          <w:rFonts w:eastAsia="Times New Roman" w:cs="Arial"/>
          <w:bCs/>
          <w:color w:val="000000"/>
          <w:szCs w:val="20"/>
          <w:lang w:eastAsia="bg-BG"/>
        </w:rPr>
      </w:pPr>
    </w:p>
    <w:p w14:paraId="303C66CF" w14:textId="7B34E454" w:rsidR="00433F62" w:rsidRPr="00433F62" w:rsidRDefault="00433F62" w:rsidP="00433F62">
      <w:pPr>
        <w:spacing w:line="240" w:lineRule="auto"/>
        <w:rPr>
          <w:rFonts w:eastAsia="Times New Roman" w:cs="Arial"/>
          <w:bCs/>
          <w:color w:val="000000"/>
          <w:szCs w:val="20"/>
          <w:lang w:eastAsia="bg-BG"/>
        </w:rPr>
      </w:pPr>
      <w:r w:rsidRPr="00433F62">
        <w:rPr>
          <w:rFonts w:eastAsia="Times New Roman" w:cs="Arial"/>
          <w:bCs/>
          <w:color w:val="000000"/>
          <w:szCs w:val="20"/>
          <w:lang w:eastAsia="bg-BG"/>
        </w:rPr>
        <w:t xml:space="preserve">2)Механизмът на действие на амлодипин вероятно включва дилатация на коронарни артерии и артериоли, както в нормалните така и в исхемичните зони. Тази дилатация повишава доставката на кислород при пациенти с коронарен артериален спазъм (ангина на </w:t>
      </w:r>
      <w:proofErr w:type="spellStart"/>
      <w:r w:rsidRPr="00433F62">
        <w:rPr>
          <w:rFonts w:eastAsia="Times New Roman" w:cs="Arial"/>
          <w:bCs/>
          <w:color w:val="000000"/>
          <w:szCs w:val="20"/>
          <w:lang w:val="en-US"/>
        </w:rPr>
        <w:t>Prinzmetal</w:t>
      </w:r>
      <w:proofErr w:type="spellEnd"/>
      <w:r w:rsidRPr="00433F62">
        <w:rPr>
          <w:rFonts w:eastAsia="Times New Roman" w:cs="Arial"/>
          <w:bCs/>
          <w:color w:val="000000"/>
          <w:szCs w:val="20"/>
          <w:lang w:val="ru-RU"/>
        </w:rPr>
        <w:t xml:space="preserve"> </w:t>
      </w:r>
      <w:r w:rsidRPr="00433F62">
        <w:rPr>
          <w:rFonts w:eastAsia="Times New Roman" w:cs="Arial"/>
          <w:bCs/>
          <w:color w:val="000000"/>
          <w:szCs w:val="20"/>
          <w:lang w:eastAsia="bg-BG"/>
        </w:rPr>
        <w:t>или вариант стенокардия).</w:t>
      </w:r>
    </w:p>
    <w:p w14:paraId="22FAB8F5" w14:textId="77777777" w:rsidR="00433F62" w:rsidRPr="00433F62" w:rsidRDefault="00433F62" w:rsidP="00433F62">
      <w:pPr>
        <w:spacing w:line="240" w:lineRule="auto"/>
        <w:rPr>
          <w:rFonts w:eastAsia="Times New Roman" w:cs="Arial"/>
          <w:bCs/>
          <w:color w:val="000000"/>
          <w:szCs w:val="20"/>
          <w:lang w:eastAsia="bg-BG"/>
        </w:rPr>
      </w:pPr>
    </w:p>
    <w:p w14:paraId="1840ED91" w14:textId="37286014" w:rsidR="00433F62" w:rsidRPr="00433F62" w:rsidRDefault="00433F62" w:rsidP="00433F62">
      <w:pPr>
        <w:spacing w:line="240" w:lineRule="auto"/>
        <w:rPr>
          <w:rFonts w:eastAsia="Times New Roman" w:cs="Arial"/>
          <w:sz w:val="28"/>
          <w:szCs w:val="24"/>
        </w:rPr>
      </w:pPr>
      <w:r w:rsidRPr="00433F62">
        <w:rPr>
          <w:rFonts w:eastAsia="Times New Roman" w:cs="Arial"/>
          <w:bCs/>
          <w:color w:val="000000"/>
          <w:szCs w:val="20"/>
          <w:lang w:eastAsia="bg-BG"/>
        </w:rPr>
        <w:t>При пациенти с хипертония еднократното дневно дозиране осигурява клинично значимо понижение на кръвното налягане както в легнало, така и в изправено положение, за интервал от 24 часа. Поради бавното начало на действие, острата хипотония не е характерна за приложението на амлодипин.</w:t>
      </w:r>
    </w:p>
    <w:p w14:paraId="2CF0FE4B" w14:textId="77777777" w:rsidR="00433F62" w:rsidRPr="00433F62" w:rsidRDefault="00433F62" w:rsidP="00433F62">
      <w:pPr>
        <w:rPr>
          <w:rFonts w:eastAsia="Times New Roman" w:cs="Arial"/>
          <w:bCs/>
          <w:color w:val="000000"/>
          <w:szCs w:val="20"/>
          <w:lang w:eastAsia="bg-BG"/>
        </w:rPr>
      </w:pPr>
    </w:p>
    <w:p w14:paraId="3FCE371E" w14:textId="079652BE" w:rsidR="00433F62" w:rsidRPr="00433F62" w:rsidRDefault="00433F62" w:rsidP="00433F62">
      <w:pPr>
        <w:rPr>
          <w:rFonts w:eastAsia="Times New Roman" w:cs="Arial"/>
          <w:bCs/>
          <w:color w:val="000000"/>
          <w:szCs w:val="20"/>
          <w:lang w:eastAsia="bg-BG"/>
        </w:rPr>
      </w:pPr>
      <w:r w:rsidRPr="00433F62">
        <w:rPr>
          <w:rFonts w:eastAsia="Times New Roman" w:cs="Arial"/>
          <w:bCs/>
          <w:color w:val="000000"/>
          <w:szCs w:val="20"/>
          <w:lang w:eastAsia="bg-BG"/>
        </w:rPr>
        <w:t xml:space="preserve">При пациенти с ангина, веднъж дневно приложението на амлодипин увеличава общото време на тренировка до появата на стенокардия и времето до депресия на 1 </w:t>
      </w:r>
      <w:r w:rsidRPr="00433F62">
        <w:rPr>
          <w:rFonts w:eastAsia="Times New Roman" w:cs="Arial"/>
          <w:bCs/>
          <w:color w:val="000000"/>
          <w:szCs w:val="20"/>
          <w:lang w:val="en-US"/>
        </w:rPr>
        <w:t>mm</w:t>
      </w:r>
      <w:r w:rsidRPr="00433F62">
        <w:rPr>
          <w:rFonts w:eastAsia="Times New Roman" w:cs="Arial"/>
          <w:bCs/>
          <w:color w:val="000000"/>
          <w:szCs w:val="20"/>
          <w:lang w:val="ru-RU"/>
        </w:rPr>
        <w:t xml:space="preserve"> </w:t>
      </w:r>
      <w:r w:rsidRPr="00433F62">
        <w:rPr>
          <w:rFonts w:eastAsia="Times New Roman" w:cs="Arial"/>
          <w:bCs/>
          <w:color w:val="000000"/>
          <w:szCs w:val="20"/>
          <w:lang w:val="en-US"/>
        </w:rPr>
        <w:t>ST</w:t>
      </w:r>
      <w:r w:rsidRPr="00433F62">
        <w:rPr>
          <w:rFonts w:eastAsia="Times New Roman" w:cs="Arial"/>
          <w:bCs/>
          <w:color w:val="000000"/>
          <w:szCs w:val="20"/>
          <w:lang w:val="ru-RU"/>
        </w:rPr>
        <w:t xml:space="preserve"> </w:t>
      </w:r>
      <w:r w:rsidRPr="00433F62">
        <w:rPr>
          <w:rFonts w:eastAsia="Times New Roman" w:cs="Arial"/>
          <w:bCs/>
          <w:color w:val="000000"/>
          <w:szCs w:val="20"/>
          <w:lang w:eastAsia="bg-BG"/>
        </w:rPr>
        <w:t xml:space="preserve">и намалява честотата на атака на стенокардия и консумацията на таблетка глицерил </w:t>
      </w:r>
      <w:r w:rsidRPr="00433F62">
        <w:rPr>
          <w:rFonts w:eastAsia="Times New Roman" w:cs="Arial"/>
          <w:bCs/>
          <w:color w:val="000000"/>
          <w:szCs w:val="20"/>
          <w:lang w:eastAsia="bg-BG"/>
        </w:rPr>
        <w:lastRenderedPageBreak/>
        <w:t xml:space="preserve">триниграт. Амлодипин не води до никакви метаболитни нежелани реакции или промени в плазмените липиди и </w:t>
      </w:r>
      <w:r w:rsidRPr="00433F62">
        <w:rPr>
          <w:rFonts w:eastAsia="Times New Roman" w:cs="Arial"/>
          <w:bCs/>
          <w:i/>
          <w:iCs/>
          <w:color w:val="000000"/>
          <w:szCs w:val="20"/>
          <w:lang w:eastAsia="bg-BG"/>
        </w:rPr>
        <w:t>е</w:t>
      </w:r>
      <w:r w:rsidRPr="00433F62">
        <w:rPr>
          <w:rFonts w:eastAsia="Times New Roman" w:cs="Arial"/>
          <w:bCs/>
          <w:color w:val="000000"/>
          <w:szCs w:val="20"/>
          <w:lang w:eastAsia="bg-BG"/>
        </w:rPr>
        <w:t xml:space="preserve"> подходящ за лечение на пациенти с астма, диабет и подагра.</w:t>
      </w:r>
    </w:p>
    <w:p w14:paraId="5D65F538" w14:textId="77777777" w:rsidR="00433F62" w:rsidRPr="00433F62" w:rsidRDefault="00433F62" w:rsidP="00433F62"/>
    <w:p w14:paraId="346B622B" w14:textId="2B7D5E81" w:rsidR="00875EEC" w:rsidRDefault="002C50EE" w:rsidP="005726E3">
      <w:pPr>
        <w:pStyle w:val="Heading2"/>
      </w:pPr>
      <w:r>
        <w:t>5.2. Фармакокинетични свойства</w:t>
      </w:r>
    </w:p>
    <w:p w14:paraId="039F49B1" w14:textId="10DAC214" w:rsidR="00433F62" w:rsidRDefault="00433F62" w:rsidP="00433F62"/>
    <w:p w14:paraId="40F2C340" w14:textId="77777777" w:rsidR="00433F62" w:rsidRPr="00433F62" w:rsidRDefault="00433F62" w:rsidP="00433F62">
      <w:pPr>
        <w:pStyle w:val="Heading3"/>
        <w:rPr>
          <w:rFonts w:eastAsia="Times New Roman"/>
          <w:u w:val="single"/>
        </w:rPr>
      </w:pPr>
      <w:r w:rsidRPr="00433F62">
        <w:rPr>
          <w:rFonts w:eastAsia="Times New Roman"/>
          <w:u w:val="single"/>
          <w:lang w:eastAsia="bg-BG"/>
        </w:rPr>
        <w:t>Телмисартан</w:t>
      </w:r>
    </w:p>
    <w:p w14:paraId="366EDBDF" w14:textId="77777777" w:rsidR="00433F62" w:rsidRPr="00433F62" w:rsidRDefault="00433F62" w:rsidP="00433F62">
      <w:pPr>
        <w:spacing w:line="240" w:lineRule="auto"/>
        <w:rPr>
          <w:rFonts w:eastAsia="Times New Roman" w:cs="Arial"/>
        </w:rPr>
      </w:pPr>
      <w:bookmarkStart w:id="1" w:name="bookmark0"/>
    </w:p>
    <w:p w14:paraId="7B395B6A" w14:textId="77BA056B" w:rsidR="00433F62" w:rsidRPr="00433F62" w:rsidRDefault="00433F62" w:rsidP="00433F62">
      <w:pPr>
        <w:spacing w:line="240" w:lineRule="auto"/>
        <w:rPr>
          <w:rFonts w:eastAsia="Times New Roman" w:cs="Arial"/>
        </w:rPr>
      </w:pPr>
      <w:r w:rsidRPr="00433F62">
        <w:rPr>
          <w:rFonts w:eastAsia="Times New Roman" w:cs="Arial"/>
          <w:bCs/>
          <w:i/>
          <w:iCs/>
          <w:color w:val="000000"/>
          <w:lang w:eastAsia="bg-BG"/>
        </w:rPr>
        <w:t>Абсарбция</w:t>
      </w:r>
      <w:bookmarkEnd w:id="1"/>
    </w:p>
    <w:p w14:paraId="05928B94" w14:textId="55F5D98B" w:rsidR="00433F62" w:rsidRPr="00433F62" w:rsidRDefault="00433F62" w:rsidP="00433F62">
      <w:pPr>
        <w:rPr>
          <w:rFonts w:eastAsia="Times New Roman" w:cs="Arial"/>
          <w:bCs/>
          <w:color w:val="000000"/>
          <w:lang w:eastAsia="bg-BG"/>
        </w:rPr>
      </w:pPr>
      <w:r w:rsidRPr="00433F62">
        <w:rPr>
          <w:rFonts w:eastAsia="Times New Roman" w:cs="Arial"/>
          <w:bCs/>
          <w:color w:val="000000"/>
          <w:lang w:eastAsia="bg-BG"/>
        </w:rPr>
        <w:t>Абсорбцията на телмисартан е бърза, независимо, че абсорбираното количество варира.</w:t>
      </w:r>
    </w:p>
    <w:p w14:paraId="53A79A0A" w14:textId="5FCD44BA" w:rsidR="00433F62" w:rsidRPr="00433F62" w:rsidRDefault="00433F62" w:rsidP="00433F62">
      <w:pPr>
        <w:rPr>
          <w:rFonts w:eastAsia="Times New Roman" w:cs="Arial"/>
          <w:bCs/>
          <w:color w:val="000000"/>
          <w:lang w:eastAsia="bg-BG"/>
        </w:rPr>
      </w:pPr>
    </w:p>
    <w:p w14:paraId="7F82D91F" w14:textId="77777777" w:rsidR="00433F62" w:rsidRPr="00433F62" w:rsidRDefault="00433F62" w:rsidP="00433F62">
      <w:pPr>
        <w:spacing w:line="240" w:lineRule="auto"/>
        <w:rPr>
          <w:rFonts w:eastAsia="Times New Roman" w:cs="Arial"/>
        </w:rPr>
      </w:pPr>
      <w:r w:rsidRPr="00433F62">
        <w:rPr>
          <w:rFonts w:eastAsia="Times New Roman" w:cs="Arial"/>
          <w:bCs/>
          <w:i/>
          <w:iCs/>
          <w:color w:val="000000"/>
          <w:lang w:eastAsia="bg-BG"/>
        </w:rPr>
        <w:t>Средната</w:t>
      </w:r>
      <w:r w:rsidRPr="00433F62">
        <w:rPr>
          <w:rFonts w:eastAsia="Times New Roman" w:cs="Arial"/>
          <w:bCs/>
          <w:color w:val="000000"/>
          <w:lang w:eastAsia="bg-BG"/>
        </w:rPr>
        <w:t xml:space="preserve"> абсолютна бионаличност на телмисартан е около 50%. Когато телмисартан се приема с храна, редукцията на областта под кривата плазмена концентрация-време </w:t>
      </w:r>
      <w:r w:rsidRPr="00433F62">
        <w:rPr>
          <w:rFonts w:eastAsia="Times New Roman" w:cs="Arial"/>
          <w:bCs/>
          <w:color w:val="000000"/>
          <w:lang w:val="ru-RU"/>
        </w:rPr>
        <w:t>(</w:t>
      </w:r>
      <w:r w:rsidRPr="00433F62">
        <w:rPr>
          <w:rFonts w:eastAsia="Times New Roman" w:cs="Arial"/>
          <w:bCs/>
          <w:color w:val="000000"/>
          <w:lang w:val="en-US"/>
        </w:rPr>
        <w:t>AUC</w:t>
      </w:r>
      <w:r w:rsidRPr="00433F62">
        <w:rPr>
          <w:rFonts w:eastAsia="Times New Roman" w:cs="Arial"/>
          <w:bCs/>
          <w:color w:val="000000"/>
          <w:lang w:val="ru-RU"/>
        </w:rPr>
        <w:t>0-</w:t>
      </w:r>
      <w:r w:rsidRPr="00433F62">
        <w:rPr>
          <w:rFonts w:eastAsia="Times New Roman" w:cs="Arial"/>
          <w:bCs/>
          <w:color w:val="000000"/>
          <w:lang w:eastAsia="bg-BG"/>
        </w:rPr>
        <w:t>∞</w:t>
      </w:r>
      <w:r w:rsidRPr="00433F62">
        <w:rPr>
          <w:rFonts w:eastAsia="Times New Roman" w:cs="Arial"/>
          <w:bCs/>
          <w:color w:val="000000"/>
          <w:lang w:val="ru-RU"/>
        </w:rPr>
        <w:t xml:space="preserve">) </w:t>
      </w:r>
      <w:r w:rsidRPr="00433F62">
        <w:rPr>
          <w:rFonts w:eastAsia="Times New Roman" w:cs="Arial"/>
          <w:bCs/>
          <w:color w:val="000000"/>
          <w:lang w:eastAsia="bg-BG"/>
        </w:rPr>
        <w:t xml:space="preserve">на телмисартан варира от около 6% (40 </w:t>
      </w:r>
      <w:r w:rsidRPr="00433F62">
        <w:rPr>
          <w:rFonts w:eastAsia="Times New Roman" w:cs="Arial"/>
          <w:bCs/>
          <w:color w:val="000000"/>
          <w:lang w:val="en-US"/>
        </w:rPr>
        <w:t>mg</w:t>
      </w:r>
      <w:r w:rsidRPr="00433F62">
        <w:rPr>
          <w:rFonts w:eastAsia="Times New Roman" w:cs="Arial"/>
          <w:bCs/>
          <w:color w:val="000000"/>
          <w:lang w:val="ru-RU"/>
        </w:rPr>
        <w:t xml:space="preserve"> </w:t>
      </w:r>
      <w:r w:rsidRPr="00433F62">
        <w:rPr>
          <w:rFonts w:eastAsia="Times New Roman" w:cs="Arial"/>
          <w:bCs/>
          <w:color w:val="000000"/>
          <w:lang w:eastAsia="bg-BG"/>
        </w:rPr>
        <w:t xml:space="preserve">доза) до около 19% (160 </w:t>
      </w:r>
      <w:r w:rsidRPr="00433F62">
        <w:rPr>
          <w:rFonts w:eastAsia="Times New Roman" w:cs="Arial"/>
          <w:bCs/>
          <w:color w:val="000000"/>
          <w:lang w:val="en-US"/>
        </w:rPr>
        <w:t>mg</w:t>
      </w:r>
      <w:r w:rsidRPr="00433F62">
        <w:rPr>
          <w:rFonts w:eastAsia="Times New Roman" w:cs="Arial"/>
          <w:bCs/>
          <w:color w:val="000000"/>
          <w:lang w:val="ru-RU"/>
        </w:rPr>
        <w:t xml:space="preserve"> </w:t>
      </w:r>
      <w:r w:rsidRPr="00433F62">
        <w:rPr>
          <w:rFonts w:eastAsia="Times New Roman" w:cs="Arial"/>
          <w:bCs/>
          <w:color w:val="000000"/>
          <w:lang w:eastAsia="bg-BG"/>
        </w:rPr>
        <w:t>доза). Три часа след приложение плазмените концентрации са подобни при приемане на телмисартан на гладно или с храна.</w:t>
      </w:r>
    </w:p>
    <w:p w14:paraId="02971941" w14:textId="77777777" w:rsidR="00433F62" w:rsidRPr="00433F62" w:rsidRDefault="00433F62" w:rsidP="00433F62">
      <w:pPr>
        <w:spacing w:line="240" w:lineRule="auto"/>
        <w:rPr>
          <w:rFonts w:eastAsia="Times New Roman" w:cs="Arial"/>
          <w:bCs/>
          <w:i/>
          <w:iCs/>
          <w:color w:val="000000"/>
          <w:lang w:eastAsia="bg-BG"/>
        </w:rPr>
      </w:pPr>
    </w:p>
    <w:p w14:paraId="59D0810E" w14:textId="6485F865" w:rsidR="00433F62" w:rsidRPr="00433F62" w:rsidRDefault="00433F62" w:rsidP="00433F62">
      <w:pPr>
        <w:spacing w:line="240" w:lineRule="auto"/>
        <w:rPr>
          <w:rFonts w:eastAsia="Times New Roman" w:cs="Arial"/>
        </w:rPr>
      </w:pPr>
      <w:r w:rsidRPr="00433F62">
        <w:rPr>
          <w:rFonts w:eastAsia="Times New Roman" w:cs="Arial"/>
          <w:bCs/>
          <w:i/>
          <w:iCs/>
          <w:color w:val="000000"/>
          <w:lang w:eastAsia="bg-BG"/>
        </w:rPr>
        <w:t>Разпределение</w:t>
      </w:r>
    </w:p>
    <w:p w14:paraId="2EF3ED99" w14:textId="77777777" w:rsidR="00433F62" w:rsidRPr="00433F62" w:rsidRDefault="00433F62" w:rsidP="00433F62">
      <w:pPr>
        <w:spacing w:line="240" w:lineRule="auto"/>
        <w:rPr>
          <w:rFonts w:eastAsia="Times New Roman" w:cs="Arial"/>
        </w:rPr>
      </w:pPr>
      <w:r w:rsidRPr="00433F62">
        <w:rPr>
          <w:rFonts w:eastAsia="Times New Roman" w:cs="Arial"/>
          <w:bCs/>
          <w:color w:val="000000"/>
          <w:lang w:eastAsia="bg-BG"/>
        </w:rPr>
        <w:t xml:space="preserve">Телмисартан се свързва в голяма степен с плазмените протеини (&gt;99,5%), главно с албумин и алфа-1 кисел глюкопротеин. Средният привиден обем на разпределение при достигане на стационарно състояние </w:t>
      </w:r>
      <w:r w:rsidRPr="00433F62">
        <w:rPr>
          <w:rFonts w:eastAsia="Times New Roman" w:cs="Arial"/>
          <w:bCs/>
          <w:color w:val="000000"/>
          <w:lang w:val="ru-RU"/>
        </w:rPr>
        <w:t>(</w:t>
      </w:r>
      <w:proofErr w:type="spellStart"/>
      <w:r w:rsidRPr="00433F62">
        <w:rPr>
          <w:rFonts w:eastAsia="Times New Roman" w:cs="Arial"/>
          <w:bCs/>
          <w:color w:val="000000"/>
          <w:lang w:val="en-US"/>
        </w:rPr>
        <w:t>Vdss</w:t>
      </w:r>
      <w:proofErr w:type="spellEnd"/>
      <w:r w:rsidRPr="00433F62">
        <w:rPr>
          <w:rFonts w:eastAsia="Times New Roman" w:cs="Arial"/>
          <w:bCs/>
          <w:color w:val="000000"/>
          <w:lang w:val="ru-RU"/>
        </w:rPr>
        <w:t xml:space="preserve">) </w:t>
      </w:r>
      <w:r w:rsidRPr="00433F62">
        <w:rPr>
          <w:rFonts w:eastAsia="Times New Roman" w:cs="Arial"/>
          <w:bCs/>
          <w:color w:val="000000"/>
          <w:lang w:eastAsia="bg-BG"/>
        </w:rPr>
        <w:t>е около 5001.</w:t>
      </w:r>
    </w:p>
    <w:p w14:paraId="056822C6" w14:textId="77777777" w:rsidR="00433F62" w:rsidRPr="00433F62" w:rsidRDefault="00433F62" w:rsidP="00433F62">
      <w:pPr>
        <w:spacing w:line="240" w:lineRule="auto"/>
        <w:rPr>
          <w:rFonts w:eastAsia="Times New Roman" w:cs="Arial"/>
          <w:bCs/>
          <w:i/>
          <w:iCs/>
          <w:color w:val="000000"/>
          <w:lang w:eastAsia="bg-BG"/>
        </w:rPr>
      </w:pPr>
    </w:p>
    <w:p w14:paraId="5EEED58E" w14:textId="79B08EED" w:rsidR="00433F62" w:rsidRPr="00433F62" w:rsidRDefault="00433F62" w:rsidP="00433F62">
      <w:pPr>
        <w:spacing w:line="240" w:lineRule="auto"/>
        <w:rPr>
          <w:rFonts w:eastAsia="Times New Roman" w:cs="Arial"/>
        </w:rPr>
      </w:pPr>
      <w:r w:rsidRPr="00433F62">
        <w:rPr>
          <w:rFonts w:eastAsia="Times New Roman" w:cs="Arial"/>
          <w:bCs/>
          <w:i/>
          <w:iCs/>
          <w:color w:val="000000"/>
          <w:lang w:eastAsia="bg-BG"/>
        </w:rPr>
        <w:t>Биотрансформация</w:t>
      </w:r>
    </w:p>
    <w:p w14:paraId="0B8393A9" w14:textId="77777777" w:rsidR="00433F62" w:rsidRPr="00433F62" w:rsidRDefault="00433F62" w:rsidP="00433F62">
      <w:pPr>
        <w:spacing w:line="240" w:lineRule="auto"/>
        <w:rPr>
          <w:rFonts w:eastAsia="Times New Roman" w:cs="Arial"/>
        </w:rPr>
      </w:pPr>
      <w:r w:rsidRPr="00433F62">
        <w:rPr>
          <w:rFonts w:eastAsia="Times New Roman" w:cs="Arial"/>
          <w:bCs/>
          <w:color w:val="000000"/>
          <w:lang w:eastAsia="bg-BG"/>
        </w:rPr>
        <w:t>Телмисартан се метаболизира чрез свързване на основното вещество с глюкуронвд. Не е наблюдавана фармакологична активност на конюгатите.</w:t>
      </w:r>
    </w:p>
    <w:p w14:paraId="40F92225" w14:textId="77777777" w:rsidR="00433F62" w:rsidRPr="00433F62" w:rsidRDefault="00433F62" w:rsidP="00433F62">
      <w:pPr>
        <w:spacing w:line="240" w:lineRule="auto"/>
        <w:rPr>
          <w:rFonts w:eastAsia="Times New Roman" w:cs="Arial"/>
          <w:bCs/>
          <w:i/>
          <w:iCs/>
          <w:color w:val="000000"/>
          <w:lang w:eastAsia="bg-BG"/>
        </w:rPr>
      </w:pPr>
    </w:p>
    <w:p w14:paraId="51C48386" w14:textId="070AB61D" w:rsidR="00433F62" w:rsidRPr="00433F62" w:rsidRDefault="00433F62" w:rsidP="00433F62">
      <w:pPr>
        <w:spacing w:line="240" w:lineRule="auto"/>
        <w:rPr>
          <w:rFonts w:eastAsia="Times New Roman" w:cs="Arial"/>
        </w:rPr>
      </w:pPr>
      <w:r w:rsidRPr="00433F62">
        <w:rPr>
          <w:rFonts w:eastAsia="Times New Roman" w:cs="Arial"/>
          <w:bCs/>
          <w:i/>
          <w:iCs/>
          <w:color w:val="000000"/>
          <w:lang w:eastAsia="bg-BG"/>
        </w:rPr>
        <w:t>Елиминиране</w:t>
      </w:r>
    </w:p>
    <w:p w14:paraId="7AF6904E" w14:textId="77777777" w:rsidR="00433F62" w:rsidRPr="00433F62" w:rsidRDefault="00433F62" w:rsidP="00433F62">
      <w:pPr>
        <w:spacing w:line="240" w:lineRule="auto"/>
        <w:rPr>
          <w:rFonts w:eastAsia="Times New Roman" w:cs="Arial"/>
        </w:rPr>
      </w:pPr>
      <w:r w:rsidRPr="00433F62">
        <w:rPr>
          <w:rFonts w:eastAsia="Times New Roman" w:cs="Arial"/>
          <w:bCs/>
          <w:color w:val="000000"/>
          <w:lang w:eastAsia="bg-BG"/>
        </w:rPr>
        <w:t>Телмисартан се характеризира с биекспоненциална отслабваща фармакокинетика с терминален елиминационен полуживот &gt;20 часа. Максималната плазмена концентрация (С</w:t>
      </w:r>
      <w:r w:rsidRPr="00433F62">
        <w:rPr>
          <w:rFonts w:eastAsia="Times New Roman" w:cs="Arial"/>
          <w:bCs/>
          <w:color w:val="000000"/>
          <w:lang w:val="en-US"/>
        </w:rPr>
        <w:t>max</w:t>
      </w:r>
      <w:r w:rsidRPr="00433F62">
        <w:rPr>
          <w:rFonts w:eastAsia="Times New Roman" w:cs="Arial"/>
          <w:bCs/>
          <w:color w:val="000000"/>
          <w:lang w:eastAsia="bg-BG"/>
        </w:rPr>
        <w:t xml:space="preserve">) и в по-малка степен областта под кривата плазмена концентрация-време </w:t>
      </w:r>
      <w:r w:rsidRPr="00433F62">
        <w:rPr>
          <w:rFonts w:eastAsia="Times New Roman" w:cs="Arial"/>
          <w:bCs/>
          <w:color w:val="000000"/>
          <w:lang w:val="ru-RU"/>
        </w:rPr>
        <w:t>(</w:t>
      </w:r>
      <w:r w:rsidRPr="00433F62">
        <w:rPr>
          <w:rFonts w:eastAsia="Times New Roman" w:cs="Arial"/>
          <w:bCs/>
          <w:color w:val="000000"/>
          <w:lang w:val="en-US"/>
        </w:rPr>
        <w:t>AUC</w:t>
      </w:r>
      <w:r w:rsidRPr="00433F62">
        <w:rPr>
          <w:rFonts w:eastAsia="Times New Roman" w:cs="Arial"/>
          <w:bCs/>
          <w:color w:val="000000"/>
          <w:lang w:val="ru-RU"/>
        </w:rPr>
        <w:t xml:space="preserve">) </w:t>
      </w:r>
      <w:r w:rsidRPr="00433F62">
        <w:rPr>
          <w:rFonts w:eastAsia="Times New Roman" w:cs="Arial"/>
          <w:bCs/>
          <w:color w:val="000000"/>
          <w:lang w:eastAsia="bg-BG"/>
        </w:rPr>
        <w:t>се повишава непропорционално на дозата. Няма данни за клинически значима акумулация на телмисартан, приет в препоръчваните дози. Плазмените концентрации са по-високи при жени, отколкото при мъже, без това да е свързано с влияние върху ефикасността.</w:t>
      </w:r>
    </w:p>
    <w:p w14:paraId="79D651B5" w14:textId="77777777" w:rsidR="00433F62" w:rsidRPr="00433F62" w:rsidRDefault="00433F62" w:rsidP="00433F62">
      <w:pPr>
        <w:spacing w:line="240" w:lineRule="auto"/>
        <w:rPr>
          <w:rFonts w:eastAsia="Times New Roman" w:cs="Arial"/>
          <w:bCs/>
          <w:i/>
          <w:iCs/>
          <w:color w:val="000000"/>
          <w:lang w:eastAsia="bg-BG"/>
        </w:rPr>
      </w:pPr>
    </w:p>
    <w:p w14:paraId="600AFE5D" w14:textId="309FB458" w:rsidR="00433F62" w:rsidRPr="00433F62" w:rsidRDefault="00433F62" w:rsidP="00433F62">
      <w:pPr>
        <w:spacing w:line="240" w:lineRule="auto"/>
        <w:rPr>
          <w:rFonts w:eastAsia="Times New Roman" w:cs="Arial"/>
        </w:rPr>
      </w:pPr>
      <w:r w:rsidRPr="00433F62">
        <w:rPr>
          <w:rFonts w:eastAsia="Times New Roman" w:cs="Arial"/>
          <w:bCs/>
          <w:i/>
          <w:iCs/>
          <w:color w:val="000000"/>
          <w:lang w:eastAsia="bg-BG"/>
        </w:rPr>
        <w:t>Линейност/ нелинейност</w:t>
      </w:r>
    </w:p>
    <w:p w14:paraId="20CD23B5" w14:textId="77777777" w:rsidR="00433F62" w:rsidRPr="00433F62" w:rsidRDefault="00433F62" w:rsidP="00433F62">
      <w:pPr>
        <w:spacing w:line="240" w:lineRule="auto"/>
        <w:rPr>
          <w:rFonts w:eastAsia="Times New Roman" w:cs="Arial"/>
        </w:rPr>
      </w:pPr>
      <w:r w:rsidRPr="00433F62">
        <w:rPr>
          <w:rFonts w:eastAsia="Times New Roman" w:cs="Arial"/>
          <w:bCs/>
          <w:color w:val="000000"/>
          <w:lang w:eastAsia="bg-BG"/>
        </w:rPr>
        <w:t xml:space="preserve">Не се очаква слабата редукция на </w:t>
      </w:r>
      <w:r w:rsidRPr="00433F62">
        <w:rPr>
          <w:rFonts w:eastAsia="Times New Roman" w:cs="Arial"/>
          <w:bCs/>
          <w:color w:val="000000"/>
          <w:lang w:val="en-US"/>
        </w:rPr>
        <w:t>AUC</w:t>
      </w:r>
      <w:r w:rsidRPr="00433F62">
        <w:rPr>
          <w:rFonts w:eastAsia="Times New Roman" w:cs="Arial"/>
          <w:bCs/>
          <w:color w:val="000000"/>
          <w:lang w:val="ru-RU"/>
        </w:rPr>
        <w:t xml:space="preserve"> </w:t>
      </w:r>
      <w:r w:rsidRPr="00433F62">
        <w:rPr>
          <w:rFonts w:eastAsia="Times New Roman" w:cs="Arial"/>
          <w:bCs/>
          <w:color w:val="000000"/>
          <w:lang w:eastAsia="bg-BG"/>
        </w:rPr>
        <w:t xml:space="preserve">да причини редукция в терапевтичната ефикасност. Няма линейна зависимост между дозите и плазмените нива. </w:t>
      </w:r>
      <w:r w:rsidRPr="00433F62">
        <w:rPr>
          <w:rFonts w:eastAsia="Times New Roman" w:cs="Arial"/>
          <w:bCs/>
          <w:color w:val="000000"/>
          <w:u w:val="single"/>
          <w:lang w:eastAsia="bg-BG"/>
        </w:rPr>
        <w:t>С</w:t>
      </w:r>
      <w:r w:rsidRPr="00433F62">
        <w:rPr>
          <w:rFonts w:eastAsia="Times New Roman" w:cs="Arial"/>
          <w:bCs/>
          <w:color w:val="000000"/>
          <w:u w:val="single"/>
          <w:lang w:val="en-US"/>
        </w:rPr>
        <w:t>max</w:t>
      </w:r>
      <w:r w:rsidRPr="00433F62">
        <w:rPr>
          <w:rFonts w:eastAsia="Times New Roman" w:cs="Arial"/>
          <w:bCs/>
          <w:color w:val="000000"/>
          <w:lang w:eastAsia="bg-BG"/>
        </w:rPr>
        <w:t xml:space="preserve"> и в по-малка степен </w:t>
      </w:r>
      <w:r w:rsidRPr="00433F62">
        <w:rPr>
          <w:rFonts w:eastAsia="Times New Roman" w:cs="Arial"/>
          <w:bCs/>
          <w:color w:val="000000"/>
          <w:lang w:val="en-US"/>
        </w:rPr>
        <w:t>AUC</w:t>
      </w:r>
      <w:r w:rsidRPr="00433F62">
        <w:rPr>
          <w:rFonts w:eastAsia="Times New Roman" w:cs="Arial"/>
          <w:bCs/>
          <w:color w:val="000000"/>
          <w:lang w:val="ru-RU"/>
        </w:rPr>
        <w:t xml:space="preserve"> </w:t>
      </w:r>
      <w:r w:rsidRPr="00433F62">
        <w:rPr>
          <w:rFonts w:eastAsia="Times New Roman" w:cs="Arial"/>
          <w:bCs/>
          <w:color w:val="000000"/>
          <w:lang w:eastAsia="bg-BG"/>
        </w:rPr>
        <w:t xml:space="preserve">се повишават непропорционално при дози над 40 </w:t>
      </w:r>
      <w:r w:rsidRPr="00433F62">
        <w:rPr>
          <w:rFonts w:eastAsia="Times New Roman" w:cs="Arial"/>
          <w:bCs/>
          <w:color w:val="000000"/>
          <w:lang w:val="en-US"/>
        </w:rPr>
        <w:t>mg</w:t>
      </w:r>
      <w:r w:rsidRPr="00433F62">
        <w:rPr>
          <w:rFonts w:eastAsia="Times New Roman" w:cs="Arial"/>
          <w:bCs/>
          <w:color w:val="000000"/>
          <w:lang w:val="ru-RU"/>
        </w:rPr>
        <w:t>.</w:t>
      </w:r>
    </w:p>
    <w:p w14:paraId="06C24EE9" w14:textId="77777777" w:rsidR="00433F62" w:rsidRPr="00433F62" w:rsidRDefault="00433F62" w:rsidP="00433F62">
      <w:pPr>
        <w:spacing w:line="240" w:lineRule="auto"/>
        <w:rPr>
          <w:rFonts w:eastAsia="Times New Roman" w:cs="Arial"/>
          <w:bCs/>
          <w:color w:val="000000"/>
          <w:lang w:eastAsia="bg-BG"/>
        </w:rPr>
      </w:pPr>
    </w:p>
    <w:p w14:paraId="209D2C37" w14:textId="48B5EFEE" w:rsidR="00433F62" w:rsidRPr="00433F62" w:rsidRDefault="00433F62" w:rsidP="00433F62">
      <w:pPr>
        <w:spacing w:line="240" w:lineRule="auto"/>
        <w:rPr>
          <w:rFonts w:eastAsia="Times New Roman" w:cs="Arial"/>
          <w:bCs/>
          <w:color w:val="000000"/>
          <w:lang w:eastAsia="bg-BG"/>
        </w:rPr>
      </w:pPr>
      <w:r w:rsidRPr="00433F62">
        <w:rPr>
          <w:rFonts w:eastAsia="Times New Roman" w:cs="Arial"/>
          <w:bCs/>
          <w:color w:val="000000"/>
          <w:lang w:eastAsia="bg-BG"/>
        </w:rPr>
        <w:t xml:space="preserve">След перорално (и интравенозно) приложение телмисартан се екскретира почти изцяло с фекалиите, </w:t>
      </w:r>
    </w:p>
    <w:p w14:paraId="78DF9C22" w14:textId="1DFD7C7B" w:rsidR="00433F62" w:rsidRPr="00433F62" w:rsidRDefault="00433F62" w:rsidP="00433F62">
      <w:pPr>
        <w:spacing w:line="240" w:lineRule="auto"/>
        <w:rPr>
          <w:rFonts w:eastAsia="Times New Roman" w:cs="Arial"/>
        </w:rPr>
      </w:pPr>
      <w:r w:rsidRPr="00433F62">
        <w:rPr>
          <w:rFonts w:eastAsia="Times New Roman" w:cs="Arial"/>
          <w:bCs/>
          <w:color w:val="000000"/>
          <w:lang w:eastAsia="bg-BG"/>
        </w:rPr>
        <w:t xml:space="preserve">главно като непроменено съединение. Кумулативната уринарна екскреция е &lt;1% от дозата. Тоталният плазмен клирънс </w:t>
      </w:r>
      <w:r w:rsidRPr="00433F62">
        <w:rPr>
          <w:rFonts w:eastAsia="Times New Roman" w:cs="Arial"/>
          <w:bCs/>
          <w:color w:val="000000"/>
          <w:lang w:val="ru-RU"/>
        </w:rPr>
        <w:t>(</w:t>
      </w:r>
      <w:proofErr w:type="spellStart"/>
      <w:r w:rsidRPr="00433F62">
        <w:rPr>
          <w:rFonts w:eastAsia="Times New Roman" w:cs="Arial"/>
          <w:bCs/>
          <w:color w:val="000000"/>
          <w:lang w:val="en-US"/>
        </w:rPr>
        <w:t>Cl</w:t>
      </w:r>
      <w:r w:rsidRPr="00433F62">
        <w:rPr>
          <w:rFonts w:eastAsia="Times New Roman" w:cs="Arial"/>
          <w:bCs/>
          <w:color w:val="000000"/>
          <w:vertAlign w:val="subscript"/>
          <w:lang w:val="en-US"/>
        </w:rPr>
        <w:t>tot</w:t>
      </w:r>
      <w:proofErr w:type="spellEnd"/>
      <w:r w:rsidRPr="00433F62">
        <w:rPr>
          <w:rFonts w:eastAsia="Times New Roman" w:cs="Arial"/>
          <w:bCs/>
          <w:color w:val="000000"/>
          <w:lang w:val="ru-RU"/>
        </w:rPr>
        <w:t xml:space="preserve">) </w:t>
      </w:r>
      <w:r w:rsidRPr="00433F62">
        <w:rPr>
          <w:rFonts w:eastAsia="Times New Roman" w:cs="Arial"/>
          <w:bCs/>
          <w:color w:val="000000"/>
          <w:lang w:eastAsia="bg-BG"/>
        </w:rPr>
        <w:t xml:space="preserve">е висок (около 1 000 </w:t>
      </w:r>
      <w:r w:rsidRPr="00433F62">
        <w:rPr>
          <w:rFonts w:eastAsia="Times New Roman" w:cs="Arial"/>
          <w:bCs/>
          <w:color w:val="000000"/>
          <w:lang w:val="en-US"/>
        </w:rPr>
        <w:t>ml</w:t>
      </w:r>
      <w:r w:rsidRPr="00433F62">
        <w:rPr>
          <w:rFonts w:eastAsia="Times New Roman" w:cs="Arial"/>
          <w:bCs/>
          <w:color w:val="000000"/>
          <w:lang w:val="ru-RU"/>
        </w:rPr>
        <w:t>/</w:t>
      </w:r>
      <w:r w:rsidRPr="00433F62">
        <w:rPr>
          <w:rFonts w:eastAsia="Times New Roman" w:cs="Arial"/>
          <w:bCs/>
          <w:color w:val="000000"/>
          <w:lang w:val="en-US"/>
        </w:rPr>
        <w:t>min</w:t>
      </w:r>
      <w:r w:rsidRPr="00433F62">
        <w:rPr>
          <w:rFonts w:eastAsia="Times New Roman" w:cs="Arial"/>
          <w:bCs/>
          <w:color w:val="000000"/>
          <w:lang w:val="ru-RU"/>
        </w:rPr>
        <w:t xml:space="preserve">), </w:t>
      </w:r>
      <w:r w:rsidRPr="00433F62">
        <w:rPr>
          <w:rFonts w:eastAsia="Times New Roman" w:cs="Arial"/>
          <w:bCs/>
          <w:color w:val="000000"/>
          <w:lang w:eastAsia="bg-BG"/>
        </w:rPr>
        <w:t xml:space="preserve">сравнен с чернодробния кръвен поток (около 1 500 </w:t>
      </w:r>
      <w:r w:rsidRPr="00433F62">
        <w:rPr>
          <w:rFonts w:eastAsia="Times New Roman" w:cs="Arial"/>
          <w:bCs/>
          <w:color w:val="000000"/>
          <w:lang w:val="en-US"/>
        </w:rPr>
        <w:t>ml</w:t>
      </w:r>
      <w:r w:rsidRPr="00433F62">
        <w:rPr>
          <w:rFonts w:eastAsia="Times New Roman" w:cs="Arial"/>
          <w:bCs/>
          <w:color w:val="000000"/>
          <w:lang w:val="ru-RU"/>
        </w:rPr>
        <w:t>/</w:t>
      </w:r>
      <w:r w:rsidRPr="00433F62">
        <w:rPr>
          <w:rFonts w:eastAsia="Times New Roman" w:cs="Arial"/>
          <w:bCs/>
          <w:color w:val="000000"/>
          <w:lang w:val="en-US"/>
        </w:rPr>
        <w:t>min</w:t>
      </w:r>
      <w:r w:rsidRPr="00433F62">
        <w:rPr>
          <w:rFonts w:eastAsia="Times New Roman" w:cs="Arial"/>
          <w:bCs/>
          <w:color w:val="000000"/>
          <w:lang w:val="ru-RU"/>
        </w:rPr>
        <w:t>).</w:t>
      </w:r>
    </w:p>
    <w:p w14:paraId="3D8E7A7A" w14:textId="77777777" w:rsidR="00433F62" w:rsidRPr="00433F62" w:rsidRDefault="00433F62" w:rsidP="00433F62">
      <w:pPr>
        <w:spacing w:line="240" w:lineRule="auto"/>
        <w:rPr>
          <w:rFonts w:eastAsia="Times New Roman" w:cs="Arial"/>
          <w:bCs/>
          <w:i/>
          <w:iCs/>
          <w:color w:val="000000"/>
          <w:lang w:eastAsia="bg-BG"/>
        </w:rPr>
      </w:pPr>
    </w:p>
    <w:p w14:paraId="3575CC33" w14:textId="2E09805F" w:rsidR="00433F62" w:rsidRPr="00433F62" w:rsidRDefault="00433F62" w:rsidP="00433F62">
      <w:pPr>
        <w:spacing w:line="240" w:lineRule="auto"/>
        <w:rPr>
          <w:rFonts w:eastAsia="Times New Roman" w:cs="Arial"/>
        </w:rPr>
      </w:pPr>
      <w:r w:rsidRPr="00433F62">
        <w:rPr>
          <w:rFonts w:eastAsia="Times New Roman" w:cs="Arial"/>
          <w:bCs/>
          <w:i/>
          <w:iCs/>
          <w:color w:val="000000"/>
          <w:lang w:eastAsia="bg-BG"/>
        </w:rPr>
        <w:t>Специални популации</w:t>
      </w:r>
    </w:p>
    <w:p w14:paraId="03839D95" w14:textId="77777777" w:rsidR="00433F62" w:rsidRPr="00433F62" w:rsidRDefault="00433F62" w:rsidP="00433F62">
      <w:pPr>
        <w:spacing w:line="240" w:lineRule="auto"/>
        <w:rPr>
          <w:rFonts w:eastAsia="Times New Roman" w:cs="Arial"/>
          <w:bCs/>
          <w:i/>
          <w:iCs/>
          <w:color w:val="000000"/>
          <w:u w:val="single"/>
          <w:lang w:eastAsia="bg-BG"/>
        </w:rPr>
      </w:pPr>
    </w:p>
    <w:p w14:paraId="03278025" w14:textId="675A0520" w:rsidR="00433F62" w:rsidRPr="00433F62" w:rsidRDefault="00433F62" w:rsidP="00433F62">
      <w:pPr>
        <w:spacing w:line="240" w:lineRule="auto"/>
        <w:rPr>
          <w:rFonts w:eastAsia="Times New Roman" w:cs="Arial"/>
        </w:rPr>
      </w:pPr>
      <w:r w:rsidRPr="00433F62">
        <w:rPr>
          <w:rFonts w:eastAsia="Times New Roman" w:cs="Arial"/>
          <w:bCs/>
          <w:i/>
          <w:iCs/>
          <w:color w:val="000000"/>
          <w:u w:val="single"/>
          <w:lang w:eastAsia="bg-BG"/>
        </w:rPr>
        <w:t>Пол</w:t>
      </w:r>
    </w:p>
    <w:p w14:paraId="1D6BC716" w14:textId="77777777" w:rsidR="00433F62" w:rsidRPr="00433F62" w:rsidRDefault="00433F62" w:rsidP="00433F62">
      <w:pPr>
        <w:spacing w:line="240" w:lineRule="auto"/>
        <w:rPr>
          <w:rFonts w:eastAsia="Times New Roman" w:cs="Arial"/>
        </w:rPr>
      </w:pPr>
      <w:r w:rsidRPr="00433F62">
        <w:rPr>
          <w:rFonts w:eastAsia="Times New Roman" w:cs="Arial"/>
          <w:bCs/>
          <w:color w:val="000000"/>
          <w:lang w:eastAsia="bg-BG"/>
        </w:rPr>
        <w:t>Наблюдавани са полови различия в плазмените концентрации. С</w:t>
      </w:r>
      <w:r w:rsidRPr="00433F62">
        <w:rPr>
          <w:rFonts w:eastAsia="Times New Roman" w:cs="Arial"/>
          <w:bCs/>
          <w:color w:val="000000"/>
          <w:lang w:val="en-US"/>
        </w:rPr>
        <w:t>max</w:t>
      </w:r>
      <w:r w:rsidRPr="00433F62">
        <w:rPr>
          <w:rFonts w:eastAsia="Times New Roman" w:cs="Arial"/>
          <w:bCs/>
          <w:color w:val="000000"/>
          <w:lang w:eastAsia="bg-BG"/>
        </w:rPr>
        <w:t xml:space="preserve"> и </w:t>
      </w:r>
      <w:r w:rsidRPr="00433F62">
        <w:rPr>
          <w:rFonts w:eastAsia="Times New Roman" w:cs="Arial"/>
          <w:bCs/>
          <w:color w:val="000000"/>
          <w:lang w:val="en-US"/>
        </w:rPr>
        <w:t>AUC</w:t>
      </w:r>
      <w:r w:rsidRPr="00433F62">
        <w:rPr>
          <w:rFonts w:eastAsia="Times New Roman" w:cs="Arial"/>
          <w:bCs/>
          <w:color w:val="000000"/>
          <w:lang w:val="ru-RU"/>
        </w:rPr>
        <w:t xml:space="preserve"> </w:t>
      </w:r>
      <w:r w:rsidRPr="00433F62">
        <w:rPr>
          <w:rFonts w:eastAsia="Times New Roman" w:cs="Arial"/>
          <w:bCs/>
          <w:color w:val="000000"/>
          <w:lang w:eastAsia="bg-BG"/>
        </w:rPr>
        <w:t>съответно около 3 и 2 пъти по-високи при жените, сравнени с тези при мъжете.</w:t>
      </w:r>
    </w:p>
    <w:p w14:paraId="37DF563C" w14:textId="77777777" w:rsidR="00433F62" w:rsidRPr="00433F62" w:rsidRDefault="00433F62" w:rsidP="00433F62">
      <w:pPr>
        <w:spacing w:line="240" w:lineRule="auto"/>
        <w:rPr>
          <w:rFonts w:eastAsia="Times New Roman" w:cs="Arial"/>
          <w:bCs/>
          <w:i/>
          <w:iCs/>
          <w:color w:val="000000"/>
          <w:u w:val="single"/>
          <w:lang w:eastAsia="bg-BG"/>
        </w:rPr>
      </w:pPr>
    </w:p>
    <w:p w14:paraId="4AC160F3" w14:textId="6B410164" w:rsidR="00433F62" w:rsidRPr="00433F62" w:rsidRDefault="00433F62" w:rsidP="00433F62">
      <w:pPr>
        <w:spacing w:line="240" w:lineRule="auto"/>
        <w:rPr>
          <w:rFonts w:eastAsia="Times New Roman" w:cs="Arial"/>
        </w:rPr>
      </w:pPr>
      <w:r w:rsidRPr="00433F62">
        <w:rPr>
          <w:rFonts w:eastAsia="Times New Roman" w:cs="Arial"/>
          <w:bCs/>
          <w:i/>
          <w:iCs/>
          <w:color w:val="000000"/>
          <w:u w:val="single"/>
          <w:lang w:eastAsia="bg-BG"/>
        </w:rPr>
        <w:lastRenderedPageBreak/>
        <w:t>Старческа възраст</w:t>
      </w:r>
    </w:p>
    <w:p w14:paraId="77B11F78" w14:textId="77777777" w:rsidR="00433F62" w:rsidRPr="00433F62" w:rsidRDefault="00433F62" w:rsidP="00433F62">
      <w:pPr>
        <w:spacing w:line="240" w:lineRule="auto"/>
        <w:rPr>
          <w:rFonts w:eastAsia="Times New Roman" w:cs="Arial"/>
        </w:rPr>
      </w:pPr>
      <w:r w:rsidRPr="00433F62">
        <w:rPr>
          <w:rFonts w:eastAsia="Times New Roman" w:cs="Arial"/>
          <w:bCs/>
          <w:color w:val="000000"/>
          <w:lang w:eastAsia="bg-BG"/>
        </w:rPr>
        <w:t>Фармакокинетиката на телмисартан не се различава между пациенти в старческа възраст и тези по-млади от 65 години.</w:t>
      </w:r>
    </w:p>
    <w:p w14:paraId="19ABED57" w14:textId="77777777" w:rsidR="00433F62" w:rsidRPr="00433F62" w:rsidRDefault="00433F62" w:rsidP="00433F62">
      <w:pPr>
        <w:spacing w:line="240" w:lineRule="auto"/>
        <w:rPr>
          <w:rFonts w:eastAsia="Times New Roman" w:cs="Arial"/>
          <w:bCs/>
          <w:i/>
          <w:iCs/>
          <w:color w:val="000000"/>
          <w:u w:val="single"/>
          <w:lang w:eastAsia="bg-BG"/>
        </w:rPr>
      </w:pPr>
    </w:p>
    <w:p w14:paraId="61112C96" w14:textId="0DFC0DD9" w:rsidR="00433F62" w:rsidRPr="00433F62" w:rsidRDefault="00433F62" w:rsidP="00433F62">
      <w:pPr>
        <w:spacing w:line="240" w:lineRule="auto"/>
        <w:rPr>
          <w:rFonts w:eastAsia="Times New Roman" w:cs="Arial"/>
        </w:rPr>
      </w:pPr>
      <w:r w:rsidRPr="00433F62">
        <w:rPr>
          <w:rFonts w:eastAsia="Times New Roman" w:cs="Arial"/>
          <w:bCs/>
          <w:i/>
          <w:iCs/>
          <w:color w:val="000000"/>
          <w:u w:val="single"/>
          <w:lang w:eastAsia="bg-BG"/>
        </w:rPr>
        <w:t>Пациенти с бъбречни увреждания</w:t>
      </w:r>
    </w:p>
    <w:p w14:paraId="6AE86935" w14:textId="77777777" w:rsidR="00433F62" w:rsidRPr="00433F62" w:rsidRDefault="00433F62" w:rsidP="00433F62">
      <w:pPr>
        <w:spacing w:line="240" w:lineRule="auto"/>
        <w:rPr>
          <w:rFonts w:eastAsia="Times New Roman" w:cs="Arial"/>
        </w:rPr>
      </w:pPr>
      <w:r w:rsidRPr="00433F62">
        <w:rPr>
          <w:rFonts w:eastAsia="Times New Roman" w:cs="Arial"/>
          <w:bCs/>
          <w:color w:val="000000"/>
          <w:lang w:eastAsia="bg-BG"/>
        </w:rPr>
        <w:t>При пациенти с леки до умерени и тежки увреждания на бъбречната функция се наблюдава удвояване на плазмените концентрации. Наблюдават се по-ниски плазмени концентрации при пациенти с бъбречна недостатъчност, подложени на диализа. При болни с бъбречна недостатъчност телмисартан се свързва в голяма степен с плазмените протеини и не може да бъде отделен при диализа. При пациенти с бъбречни увреждания елиминационният полуживот не е променен.</w:t>
      </w:r>
    </w:p>
    <w:p w14:paraId="2F596AB3" w14:textId="77777777" w:rsidR="00433F62" w:rsidRPr="00433F62" w:rsidRDefault="00433F62" w:rsidP="00433F62">
      <w:pPr>
        <w:spacing w:line="240" w:lineRule="auto"/>
        <w:rPr>
          <w:rFonts w:eastAsia="Times New Roman" w:cs="Arial"/>
          <w:bCs/>
          <w:i/>
          <w:iCs/>
          <w:color w:val="000000"/>
          <w:u w:val="single"/>
          <w:lang w:eastAsia="bg-BG"/>
        </w:rPr>
      </w:pPr>
    </w:p>
    <w:p w14:paraId="7118F39D" w14:textId="73BCDC39" w:rsidR="00433F62" w:rsidRPr="00433F62" w:rsidRDefault="00433F62" w:rsidP="00433F62">
      <w:pPr>
        <w:spacing w:line="240" w:lineRule="auto"/>
        <w:rPr>
          <w:rFonts w:eastAsia="Times New Roman" w:cs="Arial"/>
        </w:rPr>
      </w:pPr>
      <w:r w:rsidRPr="00433F62">
        <w:rPr>
          <w:rFonts w:eastAsia="Times New Roman" w:cs="Arial"/>
          <w:bCs/>
          <w:i/>
          <w:iCs/>
          <w:color w:val="000000"/>
          <w:u w:val="single"/>
          <w:lang w:eastAsia="bg-BG"/>
        </w:rPr>
        <w:t>Пациенти с чернодробни увреждания</w:t>
      </w:r>
    </w:p>
    <w:p w14:paraId="60D27E44" w14:textId="145F0F66" w:rsidR="00433F62" w:rsidRPr="00433F62" w:rsidRDefault="00433F62" w:rsidP="00433F62">
      <w:pPr>
        <w:rPr>
          <w:rFonts w:eastAsia="Times New Roman" w:cs="Arial"/>
          <w:bCs/>
          <w:color w:val="000000"/>
          <w:lang w:eastAsia="bg-BG"/>
        </w:rPr>
      </w:pPr>
      <w:r w:rsidRPr="00433F62">
        <w:rPr>
          <w:rFonts w:eastAsia="Times New Roman" w:cs="Arial"/>
          <w:bCs/>
          <w:color w:val="000000"/>
          <w:lang w:eastAsia="bg-BG"/>
        </w:rPr>
        <w:t>Фармакокинетичните проучвания при пациенти с чернодробни увреждания показват повишаване на абсолютната бионаличност до около 100%. При пациенти с чернодробни увреждания елиминационният полуживот не е променен.</w:t>
      </w:r>
    </w:p>
    <w:p w14:paraId="1DDE82A4" w14:textId="7C468519" w:rsidR="00433F62" w:rsidRPr="00433F62" w:rsidRDefault="00433F62" w:rsidP="00433F62">
      <w:pPr>
        <w:rPr>
          <w:rFonts w:eastAsia="Times New Roman" w:cs="Arial"/>
          <w:bCs/>
          <w:color w:val="000000"/>
          <w:lang w:eastAsia="bg-BG"/>
        </w:rPr>
      </w:pPr>
    </w:p>
    <w:p w14:paraId="7E1A4408" w14:textId="77777777" w:rsidR="00433F62" w:rsidRPr="00433F62" w:rsidRDefault="00433F62" w:rsidP="00433F62">
      <w:pPr>
        <w:pStyle w:val="Heading3"/>
        <w:rPr>
          <w:rFonts w:eastAsia="Times New Roman"/>
          <w:u w:val="single"/>
        </w:rPr>
      </w:pPr>
      <w:r w:rsidRPr="00433F62">
        <w:rPr>
          <w:rFonts w:eastAsia="Times New Roman"/>
          <w:u w:val="single"/>
          <w:lang w:eastAsia="bg-BG"/>
        </w:rPr>
        <w:t>Амлодипин</w:t>
      </w:r>
    </w:p>
    <w:p w14:paraId="18284326" w14:textId="77777777" w:rsidR="00433F62" w:rsidRPr="00433F62" w:rsidRDefault="00433F62" w:rsidP="00433F62">
      <w:pPr>
        <w:spacing w:line="240" w:lineRule="auto"/>
        <w:rPr>
          <w:rFonts w:eastAsia="Times New Roman" w:cs="Arial"/>
          <w:bCs/>
          <w:i/>
          <w:iCs/>
          <w:color w:val="000000"/>
          <w:lang w:eastAsia="bg-BG"/>
        </w:rPr>
      </w:pPr>
    </w:p>
    <w:p w14:paraId="50B0D0DB" w14:textId="58A04948" w:rsidR="00433F62" w:rsidRPr="00433F62" w:rsidRDefault="00433F62" w:rsidP="00433F62">
      <w:pPr>
        <w:spacing w:line="240" w:lineRule="auto"/>
        <w:rPr>
          <w:rFonts w:eastAsia="Times New Roman" w:cs="Arial"/>
        </w:rPr>
      </w:pPr>
      <w:r w:rsidRPr="00433F62">
        <w:rPr>
          <w:rFonts w:eastAsia="Times New Roman" w:cs="Arial"/>
          <w:bCs/>
          <w:i/>
          <w:iCs/>
          <w:color w:val="000000"/>
          <w:lang w:eastAsia="bg-BG"/>
        </w:rPr>
        <w:t>Абсорбция/разпределение:</w:t>
      </w:r>
    </w:p>
    <w:p w14:paraId="2A493568" w14:textId="77777777" w:rsidR="00433F62" w:rsidRPr="00433F62" w:rsidRDefault="00433F62" w:rsidP="00433F62">
      <w:pPr>
        <w:spacing w:line="240" w:lineRule="auto"/>
        <w:rPr>
          <w:rFonts w:eastAsia="Times New Roman" w:cs="Arial"/>
        </w:rPr>
      </w:pPr>
      <w:r w:rsidRPr="00433F62">
        <w:rPr>
          <w:rFonts w:eastAsia="Times New Roman" w:cs="Arial"/>
          <w:bCs/>
          <w:color w:val="000000"/>
          <w:lang w:eastAsia="bg-BG"/>
        </w:rPr>
        <w:t xml:space="preserve">След перорално приложение на терапевтични дози, амлодипин се резорбира добре, като максималните плазмени концентрации се достигат между 6-12 часа след приложение. Абсолютната бионаличност е между 64 и 80%. Обемът на разпределение е приблизително 21 </w:t>
      </w:r>
      <w:r w:rsidRPr="00433F62">
        <w:rPr>
          <w:rFonts w:eastAsia="Times New Roman" w:cs="Arial"/>
          <w:bCs/>
          <w:color w:val="000000"/>
          <w:lang w:val="en-US"/>
        </w:rPr>
        <w:t>l</w:t>
      </w:r>
      <w:r w:rsidRPr="00433F62">
        <w:rPr>
          <w:rFonts w:eastAsia="Times New Roman" w:cs="Arial"/>
          <w:bCs/>
          <w:color w:val="000000"/>
          <w:lang w:val="ru-RU"/>
        </w:rPr>
        <w:t>/</w:t>
      </w:r>
      <w:r w:rsidRPr="00433F62">
        <w:rPr>
          <w:rFonts w:eastAsia="Times New Roman" w:cs="Arial"/>
          <w:bCs/>
          <w:color w:val="000000"/>
          <w:lang w:val="en-US"/>
        </w:rPr>
        <w:t>kg</w:t>
      </w:r>
      <w:r w:rsidRPr="00433F62">
        <w:rPr>
          <w:rFonts w:eastAsia="Times New Roman" w:cs="Arial"/>
          <w:bCs/>
          <w:color w:val="000000"/>
          <w:lang w:val="ru-RU"/>
        </w:rPr>
        <w:t xml:space="preserve">. </w:t>
      </w:r>
      <w:r w:rsidRPr="00433F62">
        <w:rPr>
          <w:rFonts w:eastAsia="Times New Roman" w:cs="Arial"/>
          <w:bCs/>
          <w:color w:val="000000"/>
          <w:lang w:eastAsia="bg-BG"/>
        </w:rPr>
        <w:t xml:space="preserve">Данните от </w:t>
      </w:r>
      <w:r w:rsidRPr="00433F62">
        <w:rPr>
          <w:rFonts w:eastAsia="Times New Roman" w:cs="Arial"/>
          <w:bCs/>
          <w:i/>
          <w:iCs/>
          <w:color w:val="000000"/>
          <w:lang w:val="en-US"/>
        </w:rPr>
        <w:t>in</w:t>
      </w:r>
      <w:r w:rsidRPr="00433F62">
        <w:rPr>
          <w:rFonts w:eastAsia="Times New Roman" w:cs="Arial"/>
          <w:bCs/>
          <w:i/>
          <w:iCs/>
          <w:color w:val="000000"/>
          <w:lang w:val="ru-RU"/>
        </w:rPr>
        <w:t xml:space="preserve"> </w:t>
      </w:r>
      <w:r w:rsidRPr="00433F62">
        <w:rPr>
          <w:rFonts w:eastAsia="Times New Roman" w:cs="Arial"/>
          <w:bCs/>
          <w:i/>
          <w:iCs/>
          <w:color w:val="000000"/>
          <w:lang w:val="en-US"/>
        </w:rPr>
        <w:t>vitro</w:t>
      </w:r>
      <w:r w:rsidRPr="00433F62">
        <w:rPr>
          <w:rFonts w:eastAsia="Times New Roman" w:cs="Arial"/>
          <w:bCs/>
          <w:color w:val="000000"/>
          <w:lang w:val="ru-RU"/>
        </w:rPr>
        <w:t xml:space="preserve"> </w:t>
      </w:r>
      <w:r w:rsidRPr="00433F62">
        <w:rPr>
          <w:rFonts w:eastAsia="Times New Roman" w:cs="Arial"/>
          <w:bCs/>
          <w:color w:val="000000"/>
          <w:lang w:eastAsia="bg-BG"/>
        </w:rPr>
        <w:t>проучвания показват, че приблизително 97,5% от циркулиращия амлодипин е свързан с плазмените протеини.</w:t>
      </w:r>
    </w:p>
    <w:p w14:paraId="1241FBAA" w14:textId="77777777" w:rsidR="00433F62" w:rsidRPr="00433F62" w:rsidRDefault="00433F62" w:rsidP="00433F62">
      <w:pPr>
        <w:spacing w:line="240" w:lineRule="auto"/>
        <w:rPr>
          <w:rFonts w:eastAsia="Times New Roman" w:cs="Arial"/>
          <w:bCs/>
          <w:color w:val="000000"/>
          <w:lang w:eastAsia="bg-BG"/>
        </w:rPr>
      </w:pPr>
    </w:p>
    <w:p w14:paraId="55929412" w14:textId="6C339758" w:rsidR="00433F62" w:rsidRPr="00433F62" w:rsidRDefault="00433F62" w:rsidP="00433F62">
      <w:pPr>
        <w:spacing w:line="240" w:lineRule="auto"/>
        <w:rPr>
          <w:rFonts w:eastAsia="Times New Roman" w:cs="Arial"/>
        </w:rPr>
      </w:pPr>
      <w:r w:rsidRPr="00433F62">
        <w:rPr>
          <w:rFonts w:eastAsia="Times New Roman" w:cs="Arial"/>
          <w:bCs/>
          <w:color w:val="000000"/>
          <w:lang w:eastAsia="bg-BG"/>
        </w:rPr>
        <w:t>Бионаличността на амлодипин не се влияе от приема на храна.</w:t>
      </w:r>
    </w:p>
    <w:p w14:paraId="5AE05BEE" w14:textId="77777777" w:rsidR="00433F62" w:rsidRPr="00433F62" w:rsidRDefault="00433F62" w:rsidP="00433F62">
      <w:pPr>
        <w:spacing w:line="240" w:lineRule="auto"/>
        <w:rPr>
          <w:rFonts w:eastAsia="Times New Roman" w:cs="Arial"/>
          <w:bCs/>
          <w:i/>
          <w:iCs/>
          <w:color w:val="000000"/>
          <w:lang w:eastAsia="bg-BG"/>
        </w:rPr>
      </w:pPr>
    </w:p>
    <w:p w14:paraId="734766B4" w14:textId="5BA4C32C" w:rsidR="00433F62" w:rsidRPr="00433F62" w:rsidRDefault="00433F62" w:rsidP="00433F62">
      <w:pPr>
        <w:spacing w:line="240" w:lineRule="auto"/>
        <w:rPr>
          <w:rFonts w:eastAsia="Times New Roman" w:cs="Arial"/>
        </w:rPr>
      </w:pPr>
      <w:r w:rsidRPr="00433F62">
        <w:rPr>
          <w:rFonts w:eastAsia="Times New Roman" w:cs="Arial"/>
          <w:bCs/>
          <w:i/>
          <w:iCs/>
          <w:color w:val="000000"/>
          <w:lang w:eastAsia="bg-BG"/>
        </w:rPr>
        <w:t>Биотрансформация/елиминиране</w:t>
      </w:r>
    </w:p>
    <w:p w14:paraId="153C0460" w14:textId="77777777" w:rsidR="00433F62" w:rsidRPr="00433F62" w:rsidRDefault="00433F62" w:rsidP="00433F62">
      <w:pPr>
        <w:spacing w:line="240" w:lineRule="auto"/>
        <w:rPr>
          <w:rFonts w:eastAsia="Times New Roman" w:cs="Arial"/>
        </w:rPr>
      </w:pPr>
      <w:r w:rsidRPr="00433F62">
        <w:rPr>
          <w:rFonts w:eastAsia="Times New Roman" w:cs="Arial"/>
          <w:bCs/>
          <w:color w:val="000000"/>
          <w:lang w:eastAsia="bg-BG"/>
        </w:rPr>
        <w:t>Крайният плазмен полуживот е около 35-50 часа и се достига при еднократно дневно приложение. Амлодипин се метаболизира в значителна степен в черния дроб до неактивни метаболити, като с урината се екскретират 10% от лекарството в непроменен вид и 60% от метаболитите.</w:t>
      </w:r>
    </w:p>
    <w:p w14:paraId="74D32F0D" w14:textId="77777777" w:rsidR="00433F62" w:rsidRPr="00433F62" w:rsidRDefault="00433F62" w:rsidP="00433F62">
      <w:pPr>
        <w:spacing w:line="240" w:lineRule="auto"/>
        <w:rPr>
          <w:rFonts w:eastAsia="Times New Roman" w:cs="Arial"/>
          <w:bCs/>
          <w:i/>
          <w:iCs/>
          <w:color w:val="000000"/>
          <w:lang w:eastAsia="bg-BG"/>
        </w:rPr>
      </w:pPr>
    </w:p>
    <w:p w14:paraId="3A808974" w14:textId="0860636E" w:rsidR="00433F62" w:rsidRPr="00433F62" w:rsidRDefault="00433F62" w:rsidP="00433F62">
      <w:pPr>
        <w:spacing w:line="240" w:lineRule="auto"/>
        <w:rPr>
          <w:rFonts w:eastAsia="Times New Roman" w:cs="Arial"/>
        </w:rPr>
      </w:pPr>
      <w:r w:rsidRPr="00433F62">
        <w:rPr>
          <w:rFonts w:eastAsia="Times New Roman" w:cs="Arial"/>
          <w:bCs/>
          <w:i/>
          <w:iCs/>
          <w:color w:val="000000"/>
          <w:lang w:eastAsia="bg-BG"/>
        </w:rPr>
        <w:t>Фармакокинетика при специални популации</w:t>
      </w:r>
    </w:p>
    <w:p w14:paraId="5A2FFC50" w14:textId="77777777" w:rsidR="00433F62" w:rsidRPr="00433F62" w:rsidRDefault="00433F62" w:rsidP="00433F62">
      <w:pPr>
        <w:spacing w:line="240" w:lineRule="auto"/>
        <w:rPr>
          <w:rFonts w:eastAsia="Times New Roman" w:cs="Arial"/>
          <w:bCs/>
          <w:i/>
          <w:iCs/>
          <w:color w:val="000000"/>
          <w:u w:val="single"/>
          <w:lang w:eastAsia="bg-BG"/>
        </w:rPr>
      </w:pPr>
    </w:p>
    <w:p w14:paraId="7025F1EB" w14:textId="64C0F97C" w:rsidR="00433F62" w:rsidRPr="00433F62" w:rsidRDefault="00433F62" w:rsidP="00433F62">
      <w:pPr>
        <w:spacing w:line="240" w:lineRule="auto"/>
        <w:rPr>
          <w:rFonts w:eastAsia="Times New Roman" w:cs="Arial"/>
        </w:rPr>
      </w:pPr>
      <w:r w:rsidRPr="00433F62">
        <w:rPr>
          <w:rFonts w:eastAsia="Times New Roman" w:cs="Arial"/>
          <w:bCs/>
          <w:i/>
          <w:iCs/>
          <w:color w:val="000000"/>
          <w:u w:val="single"/>
          <w:lang w:eastAsia="bg-BG"/>
        </w:rPr>
        <w:t>Чернодробно нарушение</w:t>
      </w:r>
    </w:p>
    <w:p w14:paraId="7ABEA8D9" w14:textId="77777777" w:rsidR="00433F62" w:rsidRPr="00433F62" w:rsidRDefault="00433F62" w:rsidP="00433F62">
      <w:pPr>
        <w:spacing w:line="240" w:lineRule="auto"/>
        <w:rPr>
          <w:rFonts w:eastAsia="Times New Roman" w:cs="Arial"/>
        </w:rPr>
      </w:pPr>
      <w:r w:rsidRPr="00433F62">
        <w:rPr>
          <w:rFonts w:eastAsia="Times New Roman" w:cs="Arial"/>
          <w:bCs/>
          <w:color w:val="000000"/>
          <w:lang w:eastAsia="bg-BG"/>
        </w:rPr>
        <w:t xml:space="preserve">Налични са много ограничени данни за приложението на амлодипин при пациенти с чернодробно нарушение. Пациентите с чернодробна недостатъчност имат понижен </w:t>
      </w:r>
      <w:r w:rsidRPr="00433F62">
        <w:rPr>
          <w:rFonts w:eastAsia="Times New Roman" w:cs="Arial"/>
          <w:bCs/>
          <w:i/>
          <w:iCs/>
          <w:color w:val="000000"/>
          <w:lang w:eastAsia="bg-BG"/>
        </w:rPr>
        <w:t>клирънс</w:t>
      </w:r>
      <w:r w:rsidRPr="00433F62">
        <w:rPr>
          <w:rFonts w:eastAsia="Times New Roman" w:cs="Arial"/>
          <w:bCs/>
          <w:color w:val="000000"/>
          <w:lang w:eastAsia="bg-BG"/>
        </w:rPr>
        <w:t xml:space="preserve"> на амлодипин, водещ до по-дълъг полуживот и повишаване стойностите на </w:t>
      </w:r>
      <w:r w:rsidRPr="00433F62">
        <w:rPr>
          <w:rFonts w:eastAsia="Times New Roman" w:cs="Arial"/>
          <w:bCs/>
          <w:color w:val="000000"/>
          <w:lang w:val="en-US"/>
        </w:rPr>
        <w:t>AUC</w:t>
      </w:r>
      <w:r w:rsidRPr="00433F62">
        <w:rPr>
          <w:rFonts w:eastAsia="Times New Roman" w:cs="Arial"/>
          <w:bCs/>
          <w:color w:val="000000"/>
          <w:lang w:val="ru-RU"/>
        </w:rPr>
        <w:t xml:space="preserve"> </w:t>
      </w:r>
      <w:r w:rsidRPr="00433F62">
        <w:rPr>
          <w:rFonts w:eastAsia="Times New Roman" w:cs="Arial"/>
          <w:bCs/>
          <w:color w:val="000000"/>
          <w:lang w:eastAsia="bg-BG"/>
        </w:rPr>
        <w:t>с приблизително 40-60%.</w:t>
      </w:r>
    </w:p>
    <w:p w14:paraId="63B4E975" w14:textId="77777777" w:rsidR="00433F62" w:rsidRPr="00433F62" w:rsidRDefault="00433F62" w:rsidP="00433F62">
      <w:pPr>
        <w:spacing w:line="240" w:lineRule="auto"/>
        <w:rPr>
          <w:rFonts w:eastAsia="Times New Roman" w:cs="Arial"/>
          <w:bCs/>
          <w:i/>
          <w:iCs/>
          <w:color w:val="000000"/>
          <w:u w:val="single"/>
          <w:lang w:eastAsia="bg-BG"/>
        </w:rPr>
      </w:pPr>
    </w:p>
    <w:p w14:paraId="7F607CFF" w14:textId="7DEF62F9" w:rsidR="00433F62" w:rsidRPr="00433F62" w:rsidRDefault="00433F62" w:rsidP="00433F62">
      <w:pPr>
        <w:spacing w:line="240" w:lineRule="auto"/>
        <w:rPr>
          <w:rFonts w:eastAsia="Times New Roman" w:cs="Arial"/>
        </w:rPr>
      </w:pPr>
      <w:r w:rsidRPr="00433F62">
        <w:rPr>
          <w:rFonts w:eastAsia="Times New Roman" w:cs="Arial"/>
          <w:bCs/>
          <w:i/>
          <w:iCs/>
          <w:color w:val="000000"/>
          <w:u w:val="single"/>
          <w:lang w:eastAsia="bg-BG"/>
        </w:rPr>
        <w:t>Старческа възраст</w:t>
      </w:r>
    </w:p>
    <w:p w14:paraId="33A83FB1" w14:textId="77777777" w:rsidR="00433F62" w:rsidRPr="00433F62" w:rsidRDefault="00433F62" w:rsidP="00433F62">
      <w:pPr>
        <w:spacing w:line="240" w:lineRule="auto"/>
        <w:rPr>
          <w:rFonts w:eastAsia="Times New Roman" w:cs="Arial"/>
        </w:rPr>
      </w:pPr>
      <w:r w:rsidRPr="00433F62">
        <w:rPr>
          <w:rFonts w:eastAsia="Times New Roman" w:cs="Arial"/>
          <w:bCs/>
          <w:color w:val="000000"/>
          <w:lang w:eastAsia="bg-BG"/>
        </w:rPr>
        <w:t xml:space="preserve">Времето за достигане на максимални плазмени концентрации е сходно при индивиди в старческа възраст и по-млади индивиди. При пациентите в старческа възраст, клирънсът на амлодипин е с тенденция към намаляване, която води до увеличаване на </w:t>
      </w:r>
      <w:r w:rsidRPr="00433F62">
        <w:rPr>
          <w:rFonts w:eastAsia="Times New Roman" w:cs="Arial"/>
          <w:bCs/>
          <w:color w:val="000000"/>
          <w:lang w:val="en-US"/>
        </w:rPr>
        <w:t>AUC</w:t>
      </w:r>
      <w:r w:rsidRPr="00433F62">
        <w:rPr>
          <w:rFonts w:eastAsia="Times New Roman" w:cs="Arial"/>
          <w:bCs/>
          <w:color w:val="000000"/>
          <w:lang w:val="ru-RU"/>
        </w:rPr>
        <w:t xml:space="preserve"> </w:t>
      </w:r>
      <w:r w:rsidRPr="00433F62">
        <w:rPr>
          <w:rFonts w:eastAsia="Times New Roman" w:cs="Arial"/>
          <w:bCs/>
          <w:color w:val="000000"/>
          <w:lang w:eastAsia="bg-BG"/>
        </w:rPr>
        <w:t xml:space="preserve">и на елиминационния полуживот. Нарастването на </w:t>
      </w:r>
      <w:r w:rsidRPr="00433F62">
        <w:rPr>
          <w:rFonts w:eastAsia="Times New Roman" w:cs="Arial"/>
          <w:bCs/>
          <w:color w:val="000000"/>
          <w:lang w:val="en-US"/>
        </w:rPr>
        <w:t>AUC</w:t>
      </w:r>
      <w:r w:rsidRPr="00433F62">
        <w:rPr>
          <w:rFonts w:eastAsia="Times New Roman" w:cs="Arial"/>
          <w:bCs/>
          <w:color w:val="000000"/>
          <w:lang w:val="ru-RU"/>
        </w:rPr>
        <w:t xml:space="preserve"> </w:t>
      </w:r>
      <w:r w:rsidRPr="00433F62">
        <w:rPr>
          <w:rFonts w:eastAsia="Times New Roman" w:cs="Arial"/>
          <w:bCs/>
          <w:color w:val="000000"/>
          <w:lang w:eastAsia="bg-BG"/>
        </w:rPr>
        <w:t>и на елиминационния полуживот при пациенти със застойна сърдечна недостатъчност е било според очакваното за съответната възрастова група.</w:t>
      </w:r>
    </w:p>
    <w:p w14:paraId="386D00C6" w14:textId="77777777" w:rsidR="00433F62" w:rsidRPr="00433F62" w:rsidRDefault="00433F62" w:rsidP="00433F62"/>
    <w:p w14:paraId="4F31844C" w14:textId="0BCE659A" w:rsidR="00875EEC" w:rsidRDefault="002C50EE" w:rsidP="005726E3">
      <w:pPr>
        <w:pStyle w:val="Heading2"/>
      </w:pPr>
      <w:r>
        <w:lastRenderedPageBreak/>
        <w:t>5.3. Предклинични данни за безопасност</w:t>
      </w:r>
    </w:p>
    <w:p w14:paraId="081C8AA2" w14:textId="49FF197B" w:rsidR="00433F62" w:rsidRDefault="00433F62" w:rsidP="00433F62"/>
    <w:p w14:paraId="5855BFAB" w14:textId="77777777" w:rsidR="00433F62" w:rsidRPr="00433F62" w:rsidRDefault="00433F62" w:rsidP="00433F62">
      <w:pPr>
        <w:spacing w:line="240" w:lineRule="auto"/>
        <w:rPr>
          <w:rFonts w:eastAsia="Times New Roman" w:cs="Arial"/>
        </w:rPr>
      </w:pPr>
      <w:r w:rsidRPr="00433F62">
        <w:rPr>
          <w:rFonts w:eastAsia="Times New Roman" w:cs="Arial"/>
          <w:bCs/>
          <w:color w:val="000000"/>
          <w:u w:val="single"/>
          <w:lang w:eastAsia="bg-BG"/>
        </w:rPr>
        <w:t>Телмисартан/амиодипин</w:t>
      </w:r>
    </w:p>
    <w:p w14:paraId="6CA6ECFE" w14:textId="77777777" w:rsidR="00433F62" w:rsidRPr="00433F62" w:rsidRDefault="00433F62" w:rsidP="00433F62">
      <w:pPr>
        <w:spacing w:line="240" w:lineRule="auto"/>
        <w:rPr>
          <w:rFonts w:eastAsia="Times New Roman" w:cs="Arial"/>
        </w:rPr>
      </w:pPr>
      <w:r w:rsidRPr="00433F62">
        <w:rPr>
          <w:rFonts w:eastAsia="Times New Roman" w:cs="Arial"/>
          <w:bCs/>
          <w:color w:val="000000"/>
          <w:lang w:eastAsia="bg-BG"/>
        </w:rPr>
        <w:t>Неклиничните проучвания за безопасност, проведени с комбинацията телмисартан / амлодипин са ограничени до проучване на 13-седмично токсичност при многократно прилагане перорално при плъхове. Няма нови прояви на токсичност или добавка нежелани ефекти са наблюдавани.</w:t>
      </w:r>
    </w:p>
    <w:p w14:paraId="28CB1ABA" w14:textId="77777777" w:rsidR="00433F62" w:rsidRPr="00433F62" w:rsidRDefault="00433F62" w:rsidP="00433F62">
      <w:pPr>
        <w:spacing w:line="240" w:lineRule="auto"/>
        <w:rPr>
          <w:rFonts w:eastAsia="Times New Roman" w:cs="Arial"/>
          <w:bCs/>
          <w:color w:val="000000"/>
          <w:u w:val="single"/>
          <w:lang w:eastAsia="bg-BG"/>
        </w:rPr>
      </w:pPr>
    </w:p>
    <w:p w14:paraId="5ADEBF5D" w14:textId="2BA9B680" w:rsidR="00433F62" w:rsidRPr="00433F62" w:rsidRDefault="00433F62" w:rsidP="00433F62">
      <w:pPr>
        <w:spacing w:line="240" w:lineRule="auto"/>
        <w:rPr>
          <w:rFonts w:eastAsia="Times New Roman" w:cs="Arial"/>
        </w:rPr>
      </w:pPr>
      <w:r w:rsidRPr="00433F62">
        <w:rPr>
          <w:rFonts w:eastAsia="Times New Roman" w:cs="Arial"/>
          <w:bCs/>
          <w:color w:val="000000"/>
          <w:u w:val="single"/>
          <w:lang w:eastAsia="bg-BG"/>
        </w:rPr>
        <w:t>Телмисартан</w:t>
      </w:r>
    </w:p>
    <w:p w14:paraId="2E602CA0" w14:textId="77777777" w:rsidR="00433F62" w:rsidRPr="00433F62" w:rsidRDefault="00433F62" w:rsidP="00433F62">
      <w:pPr>
        <w:spacing w:line="240" w:lineRule="auto"/>
        <w:rPr>
          <w:rFonts w:eastAsia="Times New Roman" w:cs="Arial"/>
        </w:rPr>
      </w:pPr>
      <w:r w:rsidRPr="00433F62">
        <w:rPr>
          <w:rFonts w:eastAsia="Times New Roman" w:cs="Arial"/>
          <w:bCs/>
          <w:color w:val="000000"/>
          <w:lang w:eastAsia="bg-BG"/>
        </w:rPr>
        <w:t>При предклинични проучвания за безопасност, дози, сравними с тези в клиничния терапевтичен диапазон, са предизвикали намаляване на параметрите на червените кръвни клетки (еритроцити, хемоглобин, хематокрит), промени в бъбречната хемодинамика (повишено ниво на урея в кръвта и креатинин), както и повишен калий в серума на нормотензивни животни. При кучета са наблюдавани бъбречна тубуларна дилатация и атрофия. При плъхове и кучета е отбелязано също увреждане на стомашната мукоза (ерозия, язви или възпаление). Тези фармакологично медиирани нежелани лекарствени реакции, известни от предклиничните проучвания с инхибитори на ангиотензин конвертиращия ензим и ангиотензин П антагонисти, са предотвратени чрез перорално добавяне на физиологичен разтвор.</w:t>
      </w:r>
    </w:p>
    <w:p w14:paraId="61EAC521" w14:textId="77777777" w:rsidR="00433F62" w:rsidRPr="00433F62" w:rsidRDefault="00433F62" w:rsidP="00433F62">
      <w:pPr>
        <w:rPr>
          <w:rFonts w:eastAsia="Times New Roman" w:cs="Arial"/>
          <w:bCs/>
          <w:color w:val="000000"/>
          <w:lang w:eastAsia="bg-BG"/>
        </w:rPr>
      </w:pPr>
    </w:p>
    <w:p w14:paraId="5A81591A" w14:textId="069963E0" w:rsidR="00433F62" w:rsidRPr="00433F62" w:rsidRDefault="00433F62" w:rsidP="00433F62">
      <w:pPr>
        <w:rPr>
          <w:rFonts w:eastAsia="Times New Roman" w:cs="Arial"/>
          <w:bCs/>
          <w:color w:val="000000"/>
          <w:lang w:eastAsia="bg-BG"/>
        </w:rPr>
      </w:pPr>
      <w:r w:rsidRPr="00433F62">
        <w:rPr>
          <w:rFonts w:eastAsia="Times New Roman" w:cs="Arial"/>
          <w:bCs/>
          <w:color w:val="000000"/>
          <w:lang w:eastAsia="bg-BG"/>
        </w:rPr>
        <w:t xml:space="preserve">При двата вида животни са наблюдавани повишена активност на плазмения ренин и хипертрофия/ хиперплазия на юкстагломерулниге клетки. Тези промени, които са също и ефект на инхибиторите на ангиотензин конвертиращия ензим и на други ангиотензин </w:t>
      </w:r>
      <w:r w:rsidRPr="00433F62">
        <w:rPr>
          <w:rFonts w:eastAsia="Times New Roman" w:cs="Arial"/>
          <w:bCs/>
          <w:color w:val="000000"/>
          <w:lang w:val="en-US"/>
        </w:rPr>
        <w:t>II</w:t>
      </w:r>
      <w:r w:rsidRPr="00433F62">
        <w:rPr>
          <w:rFonts w:eastAsia="Times New Roman" w:cs="Arial"/>
          <w:bCs/>
          <w:color w:val="000000"/>
          <w:lang w:val="ru-RU"/>
        </w:rPr>
        <w:t xml:space="preserve"> </w:t>
      </w:r>
      <w:r w:rsidRPr="00433F62">
        <w:rPr>
          <w:rFonts w:eastAsia="Times New Roman" w:cs="Arial"/>
          <w:bCs/>
          <w:color w:val="000000"/>
          <w:lang w:eastAsia="bg-BG"/>
        </w:rPr>
        <w:t>рецепторни антагонисти, нямат клинична значимост.</w:t>
      </w:r>
    </w:p>
    <w:p w14:paraId="45993688" w14:textId="21CDD50D" w:rsidR="00433F62" w:rsidRPr="00433F62" w:rsidRDefault="00433F62" w:rsidP="00433F62">
      <w:pPr>
        <w:rPr>
          <w:rFonts w:eastAsia="Times New Roman" w:cs="Arial"/>
          <w:bCs/>
          <w:color w:val="000000"/>
          <w:lang w:eastAsia="bg-BG"/>
        </w:rPr>
      </w:pPr>
    </w:p>
    <w:p w14:paraId="6BF72E87" w14:textId="77777777" w:rsidR="00433F62" w:rsidRPr="00433F62" w:rsidRDefault="00433F62" w:rsidP="00433F62">
      <w:pPr>
        <w:spacing w:line="240" w:lineRule="auto"/>
        <w:rPr>
          <w:rFonts w:eastAsia="Times New Roman" w:cs="Arial"/>
        </w:rPr>
      </w:pPr>
      <w:r w:rsidRPr="00433F62">
        <w:rPr>
          <w:rFonts w:eastAsia="Times New Roman" w:cs="Arial"/>
          <w:bCs/>
          <w:color w:val="000000"/>
          <w:lang w:eastAsia="bg-BG"/>
        </w:rPr>
        <w:t>Няма ясни доказателства за тератогенен ефект, въпреки това при токсични дозови нива на телмисартан е наблюдаван ефект върху постнаталното развитие на потомството като по-ниско телесно тегло, закъсняващо отваряне на очите.</w:t>
      </w:r>
    </w:p>
    <w:p w14:paraId="62C81BC5" w14:textId="77777777" w:rsidR="00433F62" w:rsidRPr="00433F62" w:rsidRDefault="00433F62" w:rsidP="00433F62">
      <w:pPr>
        <w:spacing w:line="240" w:lineRule="auto"/>
        <w:rPr>
          <w:rFonts w:eastAsia="Times New Roman" w:cs="Arial"/>
          <w:bCs/>
          <w:color w:val="000000"/>
          <w:lang w:eastAsia="bg-BG"/>
        </w:rPr>
      </w:pPr>
    </w:p>
    <w:p w14:paraId="04C0DD9E" w14:textId="73E2E716" w:rsidR="00433F62" w:rsidRPr="00433F62" w:rsidRDefault="00433F62" w:rsidP="00433F62">
      <w:pPr>
        <w:spacing w:line="240" w:lineRule="auto"/>
        <w:rPr>
          <w:rFonts w:eastAsia="Times New Roman" w:cs="Arial"/>
        </w:rPr>
      </w:pPr>
      <w:r w:rsidRPr="00433F62">
        <w:rPr>
          <w:rFonts w:eastAsia="Times New Roman" w:cs="Arial"/>
          <w:bCs/>
          <w:color w:val="000000"/>
          <w:lang w:eastAsia="bg-BG"/>
        </w:rPr>
        <w:t xml:space="preserve">Няма данни за мутагенна и съответна кластогенна активност при изпитвания </w:t>
      </w:r>
      <w:r w:rsidRPr="00433F62">
        <w:rPr>
          <w:rFonts w:eastAsia="Times New Roman" w:cs="Arial"/>
          <w:bCs/>
          <w:i/>
          <w:iCs/>
          <w:color w:val="000000"/>
          <w:lang w:val="en-US"/>
        </w:rPr>
        <w:t>in</w:t>
      </w:r>
      <w:r w:rsidRPr="00433F62">
        <w:rPr>
          <w:rFonts w:eastAsia="Times New Roman" w:cs="Arial"/>
          <w:bCs/>
          <w:i/>
          <w:iCs/>
          <w:color w:val="000000"/>
          <w:lang w:val="ru-RU"/>
        </w:rPr>
        <w:t xml:space="preserve"> </w:t>
      </w:r>
      <w:r w:rsidRPr="00433F62">
        <w:rPr>
          <w:rFonts w:eastAsia="Times New Roman" w:cs="Arial"/>
          <w:bCs/>
          <w:i/>
          <w:iCs/>
          <w:color w:val="000000"/>
          <w:lang w:val="en-US"/>
        </w:rPr>
        <w:t>vitro</w:t>
      </w:r>
      <w:r w:rsidRPr="00433F62">
        <w:rPr>
          <w:rFonts w:eastAsia="Times New Roman" w:cs="Arial"/>
          <w:bCs/>
          <w:color w:val="000000"/>
          <w:lang w:val="ru-RU"/>
        </w:rPr>
        <w:t xml:space="preserve"> </w:t>
      </w:r>
      <w:r w:rsidRPr="00433F62">
        <w:rPr>
          <w:rFonts w:eastAsia="Times New Roman" w:cs="Arial"/>
          <w:bCs/>
          <w:color w:val="000000"/>
          <w:lang w:eastAsia="bg-BG"/>
        </w:rPr>
        <w:t>и за карциногенност при плъхове и мишки.</w:t>
      </w:r>
    </w:p>
    <w:p w14:paraId="66700E56" w14:textId="77777777" w:rsidR="00433F62" w:rsidRPr="00433F62" w:rsidRDefault="00433F62" w:rsidP="00433F62">
      <w:pPr>
        <w:spacing w:line="240" w:lineRule="auto"/>
        <w:rPr>
          <w:rFonts w:eastAsia="Times New Roman" w:cs="Arial"/>
          <w:bCs/>
          <w:color w:val="000000"/>
          <w:u w:val="single"/>
          <w:lang w:eastAsia="bg-BG"/>
        </w:rPr>
      </w:pPr>
    </w:p>
    <w:p w14:paraId="7602B184" w14:textId="407BBF8B" w:rsidR="00433F62" w:rsidRPr="00433F62" w:rsidRDefault="00433F62" w:rsidP="00433F62">
      <w:pPr>
        <w:spacing w:line="240" w:lineRule="auto"/>
        <w:rPr>
          <w:rFonts w:eastAsia="Times New Roman" w:cs="Arial"/>
        </w:rPr>
      </w:pPr>
      <w:r w:rsidRPr="00433F62">
        <w:rPr>
          <w:rFonts w:eastAsia="Times New Roman" w:cs="Arial"/>
          <w:bCs/>
          <w:color w:val="000000"/>
          <w:u w:val="single"/>
          <w:lang w:eastAsia="bg-BG"/>
        </w:rPr>
        <w:t>Амлодипин</w:t>
      </w:r>
    </w:p>
    <w:p w14:paraId="6060FADB" w14:textId="77777777" w:rsidR="00433F62" w:rsidRPr="00433F62" w:rsidRDefault="00433F62" w:rsidP="00433F62">
      <w:pPr>
        <w:spacing w:line="240" w:lineRule="auto"/>
        <w:rPr>
          <w:rFonts w:eastAsia="Times New Roman" w:cs="Arial"/>
        </w:rPr>
      </w:pPr>
      <w:r w:rsidRPr="00433F62">
        <w:rPr>
          <w:rFonts w:eastAsia="Times New Roman" w:cs="Arial"/>
          <w:bCs/>
          <w:i/>
          <w:iCs/>
          <w:color w:val="000000"/>
          <w:lang w:eastAsia="bg-BG"/>
        </w:rPr>
        <w:t>Репродуктивна токсичност</w:t>
      </w:r>
    </w:p>
    <w:p w14:paraId="03847E9A" w14:textId="77777777" w:rsidR="00433F62" w:rsidRPr="00433F62" w:rsidRDefault="00433F62" w:rsidP="00433F62">
      <w:pPr>
        <w:spacing w:line="240" w:lineRule="auto"/>
        <w:rPr>
          <w:rFonts w:eastAsia="Times New Roman" w:cs="Arial"/>
        </w:rPr>
      </w:pPr>
      <w:r w:rsidRPr="00433F62">
        <w:rPr>
          <w:rFonts w:eastAsia="Times New Roman" w:cs="Arial"/>
          <w:bCs/>
          <w:color w:val="000000"/>
          <w:lang w:eastAsia="bg-BG"/>
        </w:rPr>
        <w:t xml:space="preserve">Репродуктивни проучвания при плъхове и мишки показват закъсняване на датата на раждане, удължена продължителност на раждането и намалена жизнеспособност на потомството при дози приблизително 50 пъти по-високи от максималните препоръчителни дози при хора, изчислени на база </w:t>
      </w:r>
      <w:r w:rsidRPr="00433F62">
        <w:rPr>
          <w:rFonts w:eastAsia="Times New Roman" w:cs="Arial"/>
          <w:bCs/>
          <w:color w:val="000000"/>
          <w:lang w:val="en-US"/>
        </w:rPr>
        <w:t>mg</w:t>
      </w:r>
      <w:r w:rsidRPr="00433F62">
        <w:rPr>
          <w:rFonts w:eastAsia="Times New Roman" w:cs="Arial"/>
          <w:bCs/>
          <w:color w:val="000000"/>
          <w:lang w:val="ru-RU"/>
        </w:rPr>
        <w:t>/</w:t>
      </w:r>
      <w:r w:rsidRPr="00433F62">
        <w:rPr>
          <w:rFonts w:eastAsia="Times New Roman" w:cs="Arial"/>
          <w:bCs/>
          <w:color w:val="000000"/>
          <w:lang w:val="en-US"/>
        </w:rPr>
        <w:t>kg</w:t>
      </w:r>
      <w:r w:rsidRPr="00433F62">
        <w:rPr>
          <w:rFonts w:eastAsia="Times New Roman" w:cs="Arial"/>
          <w:bCs/>
          <w:color w:val="000000"/>
          <w:lang w:val="ru-RU"/>
        </w:rPr>
        <w:t>.</w:t>
      </w:r>
    </w:p>
    <w:p w14:paraId="356D4905" w14:textId="77777777" w:rsidR="00433F62" w:rsidRPr="00433F62" w:rsidRDefault="00433F62" w:rsidP="00433F62">
      <w:pPr>
        <w:spacing w:line="240" w:lineRule="auto"/>
        <w:rPr>
          <w:rFonts w:eastAsia="Times New Roman" w:cs="Arial"/>
          <w:bCs/>
          <w:i/>
          <w:iCs/>
          <w:color w:val="000000"/>
          <w:lang w:eastAsia="bg-BG"/>
        </w:rPr>
      </w:pPr>
    </w:p>
    <w:p w14:paraId="0CF981A9" w14:textId="31DE3A3F" w:rsidR="00433F62" w:rsidRPr="00433F62" w:rsidRDefault="00433F62" w:rsidP="00433F62">
      <w:pPr>
        <w:spacing w:line="240" w:lineRule="auto"/>
        <w:rPr>
          <w:rFonts w:eastAsia="Times New Roman" w:cs="Arial"/>
        </w:rPr>
      </w:pPr>
      <w:r w:rsidRPr="00433F62">
        <w:rPr>
          <w:rFonts w:eastAsia="Times New Roman" w:cs="Arial"/>
          <w:bCs/>
          <w:i/>
          <w:iCs/>
          <w:color w:val="000000"/>
          <w:lang w:eastAsia="bg-BG"/>
        </w:rPr>
        <w:t>Нарушения във фертилитета</w:t>
      </w:r>
    </w:p>
    <w:p w14:paraId="5AEFEE36" w14:textId="77777777" w:rsidR="00433F62" w:rsidRPr="00433F62" w:rsidRDefault="00433F62" w:rsidP="00433F62">
      <w:pPr>
        <w:spacing w:line="240" w:lineRule="auto"/>
        <w:rPr>
          <w:rFonts w:eastAsia="Times New Roman" w:cs="Arial"/>
        </w:rPr>
      </w:pPr>
      <w:r w:rsidRPr="00433F62">
        <w:rPr>
          <w:rFonts w:eastAsia="Times New Roman" w:cs="Arial"/>
          <w:bCs/>
          <w:color w:val="000000"/>
          <w:lang w:eastAsia="bg-BG"/>
        </w:rPr>
        <w:t xml:space="preserve">Няма ефект върху фертилитета на плъхове, третирани с амлодипин (мъжки - 64 дни и женски - 14 дни преди оплождане) в дози до 10 </w:t>
      </w:r>
      <w:r w:rsidRPr="00433F62">
        <w:rPr>
          <w:rFonts w:eastAsia="Times New Roman" w:cs="Arial"/>
          <w:bCs/>
          <w:color w:val="000000"/>
          <w:lang w:val="en-US"/>
        </w:rPr>
        <w:t>mg</w:t>
      </w:r>
      <w:r w:rsidRPr="00433F62">
        <w:rPr>
          <w:rFonts w:eastAsia="Times New Roman" w:cs="Arial"/>
          <w:bCs/>
          <w:color w:val="000000"/>
          <w:lang w:val="ru-RU"/>
        </w:rPr>
        <w:t>/</w:t>
      </w:r>
      <w:r w:rsidRPr="00433F62">
        <w:rPr>
          <w:rFonts w:eastAsia="Times New Roman" w:cs="Arial"/>
          <w:bCs/>
          <w:color w:val="000000"/>
          <w:lang w:val="en-US"/>
        </w:rPr>
        <w:t>kg</w:t>
      </w:r>
      <w:r w:rsidRPr="00433F62">
        <w:rPr>
          <w:rFonts w:eastAsia="Times New Roman" w:cs="Arial"/>
          <w:bCs/>
          <w:color w:val="000000"/>
          <w:lang w:eastAsia="bg-BG"/>
        </w:rPr>
        <w:t xml:space="preserve">/ден (8 пъти* по-високи от максималната препоръчителна за хора доза от 10 </w:t>
      </w:r>
      <w:r w:rsidRPr="00433F62">
        <w:rPr>
          <w:rFonts w:eastAsia="Times New Roman" w:cs="Arial"/>
          <w:bCs/>
          <w:color w:val="000000"/>
          <w:lang w:val="en-US"/>
        </w:rPr>
        <w:t>mg</w:t>
      </w:r>
      <w:r w:rsidRPr="00433F62">
        <w:rPr>
          <w:rFonts w:eastAsia="Times New Roman" w:cs="Arial"/>
          <w:bCs/>
          <w:color w:val="000000"/>
          <w:lang w:val="ru-RU"/>
        </w:rPr>
        <w:t>/</w:t>
      </w:r>
      <w:r w:rsidRPr="00433F62">
        <w:rPr>
          <w:rFonts w:eastAsia="Times New Roman" w:cs="Arial"/>
          <w:bCs/>
          <w:color w:val="000000"/>
          <w:lang w:val="en-US"/>
        </w:rPr>
        <w:t>m</w:t>
      </w:r>
      <w:r w:rsidRPr="00433F62">
        <w:rPr>
          <w:rFonts w:eastAsia="Times New Roman" w:cs="Arial"/>
          <w:bCs/>
          <w:color w:val="000000"/>
          <w:vertAlign w:val="superscript"/>
          <w:lang w:val="ru-RU"/>
        </w:rPr>
        <w:t>2</w:t>
      </w:r>
      <w:r w:rsidRPr="00433F62">
        <w:rPr>
          <w:rFonts w:eastAsia="Times New Roman" w:cs="Arial"/>
          <w:bCs/>
          <w:color w:val="000000"/>
          <w:lang w:val="ru-RU"/>
        </w:rPr>
        <w:t xml:space="preserve">, </w:t>
      </w:r>
      <w:r w:rsidRPr="00433F62">
        <w:rPr>
          <w:rFonts w:eastAsia="Times New Roman" w:cs="Arial"/>
          <w:bCs/>
          <w:color w:val="000000"/>
          <w:lang w:eastAsia="bg-BG"/>
        </w:rPr>
        <w:t xml:space="preserve">изчислена на база </w:t>
      </w:r>
      <w:r w:rsidRPr="00433F62">
        <w:rPr>
          <w:rFonts w:eastAsia="Times New Roman" w:cs="Arial"/>
          <w:bCs/>
          <w:color w:val="000000"/>
          <w:lang w:val="en-US"/>
        </w:rPr>
        <w:t>mg</w:t>
      </w:r>
      <w:r w:rsidRPr="00433F62">
        <w:rPr>
          <w:rFonts w:eastAsia="Times New Roman" w:cs="Arial"/>
          <w:bCs/>
          <w:color w:val="000000"/>
          <w:lang w:val="ru-RU"/>
        </w:rPr>
        <w:t>/</w:t>
      </w:r>
      <w:r w:rsidRPr="00433F62">
        <w:rPr>
          <w:rFonts w:eastAsia="Times New Roman" w:cs="Arial"/>
          <w:bCs/>
          <w:color w:val="000000"/>
          <w:lang w:val="en-US"/>
        </w:rPr>
        <w:t>m</w:t>
      </w:r>
      <w:r w:rsidRPr="00433F62">
        <w:rPr>
          <w:rFonts w:eastAsia="Times New Roman" w:cs="Arial"/>
          <w:bCs/>
          <w:color w:val="000000"/>
          <w:vertAlign w:val="superscript"/>
          <w:lang w:val="ru-RU"/>
        </w:rPr>
        <w:t>2</w:t>
      </w:r>
      <w:r w:rsidRPr="00433F62">
        <w:rPr>
          <w:rFonts w:eastAsia="Times New Roman" w:cs="Arial"/>
          <w:bCs/>
          <w:color w:val="000000"/>
          <w:lang w:val="ru-RU"/>
        </w:rPr>
        <w:t xml:space="preserve">). </w:t>
      </w:r>
      <w:r w:rsidRPr="00433F62">
        <w:rPr>
          <w:rFonts w:eastAsia="Times New Roman" w:cs="Arial"/>
          <w:bCs/>
          <w:color w:val="000000"/>
          <w:lang w:eastAsia="bg-BG"/>
        </w:rPr>
        <w:t xml:space="preserve">В друго проучване при плъхове, при което мъжки плъхове са третирани с амлодипин безилат 30 дни, с доза сравнима с дозата при хора, изчислена на база </w:t>
      </w:r>
      <w:r w:rsidRPr="00433F62">
        <w:rPr>
          <w:rFonts w:eastAsia="Times New Roman" w:cs="Arial"/>
          <w:bCs/>
          <w:color w:val="000000"/>
          <w:lang w:val="en-US"/>
        </w:rPr>
        <w:t>mg</w:t>
      </w:r>
      <w:r w:rsidRPr="00433F62">
        <w:rPr>
          <w:rFonts w:eastAsia="Times New Roman" w:cs="Arial"/>
          <w:bCs/>
          <w:color w:val="000000"/>
          <w:lang w:val="ru-RU"/>
        </w:rPr>
        <w:t>/</w:t>
      </w:r>
      <w:r w:rsidRPr="00433F62">
        <w:rPr>
          <w:rFonts w:eastAsia="Times New Roman" w:cs="Arial"/>
          <w:bCs/>
          <w:color w:val="000000"/>
          <w:lang w:val="en-US"/>
        </w:rPr>
        <w:t>kg</w:t>
      </w:r>
      <w:r w:rsidRPr="00433F62">
        <w:rPr>
          <w:rFonts w:eastAsia="Times New Roman" w:cs="Arial"/>
          <w:bCs/>
          <w:color w:val="000000"/>
          <w:lang w:val="ru-RU"/>
        </w:rPr>
        <w:t xml:space="preserve">, </w:t>
      </w:r>
      <w:r w:rsidRPr="00433F62">
        <w:rPr>
          <w:rFonts w:eastAsia="Times New Roman" w:cs="Arial"/>
          <w:bCs/>
          <w:color w:val="000000"/>
          <w:lang w:eastAsia="bg-BG"/>
        </w:rPr>
        <w:t>са установени понижени плазмени фоликулостимулиращ хормон и тестостерон, както и понижени плътност на спермата и брой на зрели сперматиди и сертолиевите клетки.</w:t>
      </w:r>
    </w:p>
    <w:p w14:paraId="0C96E3AC" w14:textId="77777777" w:rsidR="00433F62" w:rsidRPr="00433F62" w:rsidRDefault="00433F62" w:rsidP="00433F62">
      <w:pPr>
        <w:spacing w:line="240" w:lineRule="auto"/>
        <w:rPr>
          <w:rFonts w:eastAsia="Times New Roman" w:cs="Arial"/>
          <w:bCs/>
          <w:i/>
          <w:iCs/>
          <w:color w:val="000000"/>
          <w:lang w:eastAsia="bg-BG"/>
        </w:rPr>
      </w:pPr>
    </w:p>
    <w:p w14:paraId="419261D6" w14:textId="3C971F41" w:rsidR="00433F62" w:rsidRPr="00433F62" w:rsidRDefault="00433F62" w:rsidP="00433F62">
      <w:pPr>
        <w:spacing w:line="240" w:lineRule="auto"/>
        <w:rPr>
          <w:rFonts w:eastAsia="Times New Roman" w:cs="Arial"/>
        </w:rPr>
      </w:pPr>
      <w:r w:rsidRPr="00433F62">
        <w:rPr>
          <w:rFonts w:eastAsia="Times New Roman" w:cs="Arial"/>
          <w:bCs/>
          <w:i/>
          <w:iCs/>
          <w:color w:val="000000"/>
          <w:lang w:eastAsia="bg-BG"/>
        </w:rPr>
        <w:t>Карциногенеза, мутагенеза</w:t>
      </w:r>
    </w:p>
    <w:p w14:paraId="27C02EE1" w14:textId="77777777" w:rsidR="00433F62" w:rsidRPr="00433F62" w:rsidRDefault="00433F62" w:rsidP="00433F62">
      <w:pPr>
        <w:spacing w:line="240" w:lineRule="auto"/>
        <w:rPr>
          <w:rFonts w:eastAsia="Times New Roman" w:cs="Arial"/>
        </w:rPr>
      </w:pPr>
      <w:r w:rsidRPr="00433F62">
        <w:rPr>
          <w:rFonts w:eastAsia="Times New Roman" w:cs="Arial"/>
          <w:bCs/>
          <w:color w:val="000000"/>
          <w:lang w:eastAsia="bg-BG"/>
        </w:rPr>
        <w:lastRenderedPageBreak/>
        <w:t xml:space="preserve">Няма данни за карциногенност при плъхове и мишки, третирани две години с амлодипин в диетата в концентрации, изчислени да осигурят дневни дозови нива от 0,5,1,25 и 2,5 </w:t>
      </w:r>
      <w:r w:rsidRPr="00433F62">
        <w:rPr>
          <w:rFonts w:eastAsia="Times New Roman" w:cs="Arial"/>
          <w:bCs/>
          <w:color w:val="000000"/>
          <w:lang w:val="en-US"/>
        </w:rPr>
        <w:t>mg</w:t>
      </w:r>
      <w:r w:rsidRPr="00433F62">
        <w:rPr>
          <w:rFonts w:eastAsia="Times New Roman" w:cs="Arial"/>
          <w:bCs/>
          <w:color w:val="000000"/>
          <w:lang w:val="ru-RU"/>
        </w:rPr>
        <w:t>/</w:t>
      </w:r>
      <w:r w:rsidRPr="00433F62">
        <w:rPr>
          <w:rFonts w:eastAsia="Times New Roman" w:cs="Arial"/>
          <w:bCs/>
          <w:color w:val="000000"/>
          <w:lang w:val="en-US"/>
        </w:rPr>
        <w:t>kg</w:t>
      </w:r>
      <w:r w:rsidRPr="00433F62">
        <w:rPr>
          <w:rFonts w:eastAsia="Times New Roman" w:cs="Arial"/>
          <w:bCs/>
          <w:color w:val="000000"/>
          <w:lang w:eastAsia="bg-BG"/>
        </w:rPr>
        <w:t xml:space="preserve">/ден. Най-високата доза (при мишки - близка до, а при плъхове - два пъти* по-висока от максималната препоръчителна клинична доза от 10 </w:t>
      </w:r>
      <w:r w:rsidRPr="00433F62">
        <w:rPr>
          <w:rFonts w:eastAsia="Times New Roman" w:cs="Arial"/>
          <w:bCs/>
          <w:color w:val="000000"/>
          <w:lang w:val="en-US"/>
        </w:rPr>
        <w:t>mg</w:t>
      </w:r>
      <w:r w:rsidRPr="00433F62">
        <w:rPr>
          <w:rFonts w:eastAsia="Times New Roman" w:cs="Arial"/>
          <w:bCs/>
          <w:color w:val="000000"/>
          <w:lang w:val="ru-RU"/>
        </w:rPr>
        <w:t xml:space="preserve">, </w:t>
      </w:r>
      <w:r w:rsidRPr="00433F62">
        <w:rPr>
          <w:rFonts w:eastAsia="Times New Roman" w:cs="Arial"/>
          <w:bCs/>
          <w:color w:val="000000"/>
          <w:lang w:eastAsia="bg-BG"/>
        </w:rPr>
        <w:t xml:space="preserve">изчислена за </w:t>
      </w:r>
      <w:r w:rsidRPr="00433F62">
        <w:rPr>
          <w:rFonts w:eastAsia="Times New Roman" w:cs="Arial"/>
          <w:bCs/>
          <w:color w:val="000000"/>
          <w:lang w:val="en-US"/>
        </w:rPr>
        <w:t>mg</w:t>
      </w:r>
      <w:r w:rsidRPr="00433F62">
        <w:rPr>
          <w:rFonts w:eastAsia="Times New Roman" w:cs="Arial"/>
          <w:bCs/>
          <w:color w:val="000000"/>
          <w:lang w:val="ru-RU"/>
        </w:rPr>
        <w:t>/</w:t>
      </w:r>
      <w:r w:rsidRPr="00433F62">
        <w:rPr>
          <w:rFonts w:eastAsia="Times New Roman" w:cs="Arial"/>
          <w:bCs/>
          <w:color w:val="000000"/>
          <w:lang w:val="en-US"/>
        </w:rPr>
        <w:t>m</w:t>
      </w:r>
      <w:r w:rsidRPr="00433F62">
        <w:rPr>
          <w:rFonts w:eastAsia="Times New Roman" w:cs="Arial"/>
          <w:bCs/>
          <w:color w:val="000000"/>
          <w:vertAlign w:val="superscript"/>
          <w:lang w:val="ru-RU"/>
        </w:rPr>
        <w:t>2</w:t>
      </w:r>
      <w:r w:rsidRPr="00433F62">
        <w:rPr>
          <w:rFonts w:eastAsia="Times New Roman" w:cs="Arial"/>
          <w:bCs/>
          <w:color w:val="000000"/>
          <w:lang w:val="ru-RU"/>
        </w:rPr>
        <w:t xml:space="preserve">) </w:t>
      </w:r>
      <w:r w:rsidRPr="00433F62">
        <w:rPr>
          <w:rFonts w:eastAsia="Times New Roman" w:cs="Arial"/>
          <w:bCs/>
          <w:color w:val="000000"/>
          <w:lang w:eastAsia="bg-BG"/>
        </w:rPr>
        <w:t>е била близка до максимално допустимата доза за мишки, но не и за плъхове.</w:t>
      </w:r>
    </w:p>
    <w:p w14:paraId="53EE9681" w14:textId="77777777" w:rsidR="00433F62" w:rsidRPr="00433F62" w:rsidRDefault="00433F62" w:rsidP="00433F62">
      <w:pPr>
        <w:spacing w:line="240" w:lineRule="auto"/>
        <w:rPr>
          <w:rFonts w:eastAsia="Times New Roman" w:cs="Arial"/>
          <w:bCs/>
          <w:color w:val="000000"/>
          <w:lang w:eastAsia="bg-BG"/>
        </w:rPr>
      </w:pPr>
    </w:p>
    <w:p w14:paraId="12D322F1" w14:textId="13A8F5E9" w:rsidR="00433F62" w:rsidRPr="00433F62" w:rsidRDefault="00433F62" w:rsidP="00433F62">
      <w:pPr>
        <w:spacing w:line="240" w:lineRule="auto"/>
        <w:rPr>
          <w:rFonts w:eastAsia="Times New Roman" w:cs="Arial"/>
        </w:rPr>
      </w:pPr>
      <w:r w:rsidRPr="00433F62">
        <w:rPr>
          <w:rFonts w:eastAsia="Times New Roman" w:cs="Arial"/>
          <w:bCs/>
          <w:color w:val="000000"/>
          <w:lang w:eastAsia="bg-BG"/>
        </w:rPr>
        <w:t>Проучвания за мутагенност не показват лекарствено-обусловени ефекти нито на генно, нито на хромозомно ниво.</w:t>
      </w:r>
    </w:p>
    <w:p w14:paraId="48F029AD" w14:textId="77777777" w:rsidR="00433F62" w:rsidRPr="00433F62" w:rsidRDefault="00433F62" w:rsidP="00433F62">
      <w:pPr>
        <w:spacing w:line="240" w:lineRule="auto"/>
        <w:rPr>
          <w:rFonts w:eastAsia="Times New Roman" w:cs="Arial"/>
        </w:rPr>
      </w:pPr>
      <w:r w:rsidRPr="00433F62">
        <w:rPr>
          <w:rFonts w:eastAsia="Times New Roman" w:cs="Arial"/>
          <w:bCs/>
          <w:color w:val="000000"/>
          <w:lang w:eastAsia="bg-BG"/>
        </w:rPr>
        <w:t xml:space="preserve">* изчислена за пациенти с тегло 50 </w:t>
      </w:r>
      <w:r w:rsidRPr="00433F62">
        <w:rPr>
          <w:rFonts w:eastAsia="Times New Roman" w:cs="Arial"/>
          <w:bCs/>
          <w:color w:val="000000"/>
          <w:lang w:val="en-US"/>
        </w:rPr>
        <w:t>kg</w:t>
      </w:r>
    </w:p>
    <w:p w14:paraId="70731ECC" w14:textId="77777777" w:rsidR="00433F62" w:rsidRPr="00433F62" w:rsidRDefault="00433F62" w:rsidP="00433F62"/>
    <w:p w14:paraId="1BA6531D" w14:textId="51B472C2" w:rsidR="00B6672E" w:rsidRDefault="002C50EE" w:rsidP="00936AD0">
      <w:pPr>
        <w:pStyle w:val="Heading1"/>
      </w:pPr>
      <w:r>
        <w:t>7. ПРИТЕЖАТЕЛ НА РАЗРЕШЕНИЕТО ЗА УПОТРЕБА</w:t>
      </w:r>
    </w:p>
    <w:p w14:paraId="12A36CF2" w14:textId="22974C0B" w:rsidR="00433F62" w:rsidRDefault="00433F62" w:rsidP="00433F62"/>
    <w:p w14:paraId="42840728" w14:textId="77777777" w:rsidR="00433F62" w:rsidRPr="00433F62" w:rsidRDefault="00433F62" w:rsidP="00433F62">
      <w:pPr>
        <w:rPr>
          <w:sz w:val="24"/>
          <w:szCs w:val="24"/>
          <w:lang w:val="en-US"/>
        </w:rPr>
      </w:pPr>
      <w:proofErr w:type="spellStart"/>
      <w:r w:rsidRPr="00433F62">
        <w:rPr>
          <w:lang w:val="en-US"/>
        </w:rPr>
        <w:t>Zentiva</w:t>
      </w:r>
      <w:proofErr w:type="spellEnd"/>
      <w:r w:rsidRPr="00433F62">
        <w:rPr>
          <w:lang w:val="en-US"/>
        </w:rPr>
        <w:t xml:space="preserve"> </w:t>
      </w:r>
      <w:proofErr w:type="spellStart"/>
      <w:r w:rsidRPr="00433F62">
        <w:rPr>
          <w:lang w:val="en-US"/>
        </w:rPr>
        <w:t>k.s</w:t>
      </w:r>
      <w:proofErr w:type="spellEnd"/>
      <w:r w:rsidRPr="00433F62">
        <w:rPr>
          <w:lang w:val="en-US"/>
        </w:rPr>
        <w:t>.</w:t>
      </w:r>
    </w:p>
    <w:p w14:paraId="5E1366BE" w14:textId="77777777" w:rsidR="00433F62" w:rsidRPr="00433F62" w:rsidRDefault="00433F62" w:rsidP="00433F62">
      <w:pPr>
        <w:rPr>
          <w:sz w:val="24"/>
          <w:szCs w:val="24"/>
          <w:lang w:val="en-US"/>
        </w:rPr>
      </w:pPr>
      <w:r w:rsidRPr="00433F62">
        <w:rPr>
          <w:lang w:val="en-US"/>
        </w:rPr>
        <w:t xml:space="preserve">U </w:t>
      </w:r>
      <w:proofErr w:type="spellStart"/>
      <w:r w:rsidRPr="00433F62">
        <w:rPr>
          <w:lang w:val="en-US"/>
        </w:rPr>
        <w:t>kabelovny</w:t>
      </w:r>
      <w:proofErr w:type="spellEnd"/>
      <w:r w:rsidRPr="00433F62">
        <w:rPr>
          <w:lang w:val="en-US"/>
        </w:rPr>
        <w:t xml:space="preserve"> </w:t>
      </w:r>
      <w:r w:rsidRPr="00433F62">
        <w:rPr>
          <w:lang w:eastAsia="bg-BG"/>
        </w:rPr>
        <w:t xml:space="preserve">130, </w:t>
      </w:r>
      <w:proofErr w:type="spellStart"/>
      <w:r w:rsidRPr="00433F62">
        <w:rPr>
          <w:lang w:val="en-US"/>
        </w:rPr>
        <w:t>Dolni</w:t>
      </w:r>
      <w:proofErr w:type="spellEnd"/>
      <w:r w:rsidRPr="00433F62">
        <w:rPr>
          <w:lang w:val="en-US"/>
        </w:rPr>
        <w:t xml:space="preserve"> </w:t>
      </w:r>
      <w:proofErr w:type="spellStart"/>
      <w:r w:rsidRPr="00433F62">
        <w:rPr>
          <w:lang w:val="en-US"/>
        </w:rPr>
        <w:t>Mecholupy</w:t>
      </w:r>
      <w:proofErr w:type="spellEnd"/>
    </w:p>
    <w:p w14:paraId="29595F5E" w14:textId="77777777" w:rsidR="00433F62" w:rsidRPr="00433F62" w:rsidRDefault="00433F62" w:rsidP="00433F62">
      <w:pPr>
        <w:rPr>
          <w:sz w:val="24"/>
          <w:szCs w:val="24"/>
          <w:lang w:val="ru-RU"/>
        </w:rPr>
      </w:pPr>
      <w:r w:rsidRPr="00433F62">
        <w:rPr>
          <w:lang w:val="ru-RU"/>
        </w:rPr>
        <w:t xml:space="preserve">102 37, </w:t>
      </w:r>
      <w:r w:rsidRPr="00433F62">
        <w:rPr>
          <w:lang w:val="en-US"/>
        </w:rPr>
        <w:t>Prague</w:t>
      </w:r>
      <w:r w:rsidRPr="00433F62">
        <w:rPr>
          <w:lang w:val="ru-RU"/>
        </w:rPr>
        <w:t xml:space="preserve"> 10</w:t>
      </w:r>
    </w:p>
    <w:p w14:paraId="214D0A74" w14:textId="64AC528B" w:rsidR="00433F62" w:rsidRPr="00433F62" w:rsidRDefault="00433F62" w:rsidP="00433F62">
      <w:r w:rsidRPr="00433F62">
        <w:rPr>
          <w:lang w:eastAsia="bg-BG"/>
        </w:rPr>
        <w:t>Чешка република</w:t>
      </w:r>
    </w:p>
    <w:p w14:paraId="508F3A54" w14:textId="41E77D95" w:rsidR="00B6672E" w:rsidRDefault="00936AD0" w:rsidP="00936AD0">
      <w:pPr>
        <w:pStyle w:val="Heading1"/>
      </w:pPr>
      <w:r>
        <w:t>8.</w:t>
      </w:r>
      <w:r w:rsidR="002C50EE">
        <w:t>НОМЕР НА РАЗРЕШЕНИЕТО ЗА УПОТРЕБА</w:t>
      </w:r>
    </w:p>
    <w:p w14:paraId="68C983DC" w14:textId="15D47ABF" w:rsidR="00433F62" w:rsidRDefault="00433F62" w:rsidP="00433F62"/>
    <w:p w14:paraId="1375B37A" w14:textId="0046143A" w:rsidR="00433F62" w:rsidRPr="00433F62" w:rsidRDefault="00433F62" w:rsidP="00433F62">
      <w:r>
        <w:rPr>
          <w:lang w:val="en-US"/>
        </w:rPr>
        <w:t>Per</w:t>
      </w:r>
      <w:r w:rsidRPr="00433F62">
        <w:rPr>
          <w:lang w:val="ru-RU"/>
        </w:rPr>
        <w:t xml:space="preserve">. </w:t>
      </w:r>
      <w:r>
        <w:t>№ 20150394</w:t>
      </w:r>
    </w:p>
    <w:p w14:paraId="3BC5EC53" w14:textId="1B82AB3F" w:rsidR="00875EEC" w:rsidRDefault="002C50EE" w:rsidP="005726E3">
      <w:pPr>
        <w:pStyle w:val="Heading1"/>
      </w:pPr>
      <w:r>
        <w:t>9. ДАТА НА ПЪРВО РАЗРЕШАВАНЕ/ПОДНОВЯВАНЕ НА РАЗРЕШЕНИЕТО ЗА УПОТРЕБА</w:t>
      </w:r>
    </w:p>
    <w:p w14:paraId="7EF04FE0" w14:textId="6435313E" w:rsidR="00433F62" w:rsidRDefault="00433F62" w:rsidP="00433F62"/>
    <w:p w14:paraId="6378A8BE" w14:textId="77777777" w:rsidR="00433F62" w:rsidRPr="00433F62" w:rsidRDefault="00433F62" w:rsidP="00433F62">
      <w:pPr>
        <w:rPr>
          <w:sz w:val="24"/>
          <w:szCs w:val="24"/>
        </w:rPr>
      </w:pPr>
      <w:r w:rsidRPr="00433F62">
        <w:rPr>
          <w:lang w:eastAsia="bg-BG"/>
        </w:rPr>
        <w:t>Дата на първо разрешаване: 17.11.2015 г.</w:t>
      </w:r>
    </w:p>
    <w:p w14:paraId="67AF14E0" w14:textId="26EE710B" w:rsidR="00433F62" w:rsidRPr="00433F62" w:rsidRDefault="00433F62" w:rsidP="00433F62">
      <w:r w:rsidRPr="00433F62">
        <w:rPr>
          <w:lang w:eastAsia="bg-BG"/>
        </w:rPr>
        <w:t>Дата на последно подновяване:</w:t>
      </w:r>
    </w:p>
    <w:p w14:paraId="43FB38A2" w14:textId="24737BAE" w:rsidR="007C605B" w:rsidRDefault="002C50EE" w:rsidP="005726E3">
      <w:pPr>
        <w:pStyle w:val="Heading1"/>
      </w:pPr>
      <w:r>
        <w:t>10. ДАТА НА АКТУАЛИЗИРАНЕ НА ТЕКСТА</w:t>
      </w:r>
      <w:bookmarkEnd w:id="0"/>
    </w:p>
    <w:p w14:paraId="7D5C7D07" w14:textId="3255C03C" w:rsidR="00433F62" w:rsidRPr="00433F62" w:rsidRDefault="00433F62" w:rsidP="00433F62">
      <w:r>
        <w:t>14.02.2021 г.</w:t>
      </w:r>
      <w:bookmarkStart w:id="2" w:name="_GoBack"/>
      <w:bookmarkEnd w:id="2"/>
    </w:p>
    <w:sectPr w:rsidR="00433F62" w:rsidRPr="00433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8D22988"/>
    <w:multiLevelType w:val="hybridMultilevel"/>
    <w:tmpl w:val="86804AB6"/>
    <w:lvl w:ilvl="0" w:tplc="64127FC0">
      <w:start w:val="4"/>
      <w:numFmt w:val="bullet"/>
      <w:lvlText w:val="-"/>
      <w:lvlJc w:val="left"/>
      <w:pPr>
        <w:ind w:left="720" w:hanging="360"/>
      </w:pPr>
      <w:rPr>
        <w:rFonts w:ascii="Times New Roman" w:eastAsia="Times New Roman" w:hAnsi="Times New Roman" w:cs="Times New Roman" w:hint="default"/>
        <w:b/>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5"/>
  </w:num>
  <w:num w:numId="4">
    <w:abstractNumId w:val="3"/>
  </w:num>
  <w:num w:numId="5">
    <w:abstractNumId w:val="1"/>
  </w:num>
  <w:num w:numId="6">
    <w:abstractNumId w:val="18"/>
  </w:num>
  <w:num w:numId="7">
    <w:abstractNumId w:val="12"/>
  </w:num>
  <w:num w:numId="8">
    <w:abstractNumId w:val="17"/>
  </w:num>
  <w:num w:numId="9">
    <w:abstractNumId w:val="2"/>
  </w:num>
  <w:num w:numId="10">
    <w:abstractNumId w:val="4"/>
  </w:num>
  <w:num w:numId="11">
    <w:abstractNumId w:val="32"/>
  </w:num>
  <w:num w:numId="12">
    <w:abstractNumId w:val="16"/>
  </w:num>
  <w:num w:numId="13">
    <w:abstractNumId w:val="21"/>
  </w:num>
  <w:num w:numId="14">
    <w:abstractNumId w:val="14"/>
  </w:num>
  <w:num w:numId="15">
    <w:abstractNumId w:val="31"/>
  </w:num>
  <w:num w:numId="16">
    <w:abstractNumId w:val="11"/>
  </w:num>
  <w:num w:numId="17">
    <w:abstractNumId w:val="26"/>
  </w:num>
  <w:num w:numId="18">
    <w:abstractNumId w:val="8"/>
  </w:num>
  <w:num w:numId="19">
    <w:abstractNumId w:val="28"/>
  </w:num>
  <w:num w:numId="20">
    <w:abstractNumId w:val="25"/>
  </w:num>
  <w:num w:numId="21">
    <w:abstractNumId w:val="19"/>
  </w:num>
  <w:num w:numId="22">
    <w:abstractNumId w:val="27"/>
  </w:num>
  <w:num w:numId="23">
    <w:abstractNumId w:val="20"/>
  </w:num>
  <w:num w:numId="24">
    <w:abstractNumId w:val="9"/>
  </w:num>
  <w:num w:numId="25">
    <w:abstractNumId w:val="24"/>
  </w:num>
  <w:num w:numId="26">
    <w:abstractNumId w:val="23"/>
  </w:num>
  <w:num w:numId="27">
    <w:abstractNumId w:val="33"/>
  </w:num>
  <w:num w:numId="28">
    <w:abstractNumId w:val="6"/>
  </w:num>
  <w:num w:numId="29">
    <w:abstractNumId w:val="22"/>
  </w:num>
  <w:num w:numId="30">
    <w:abstractNumId w:val="36"/>
  </w:num>
  <w:num w:numId="31">
    <w:abstractNumId w:val="5"/>
  </w:num>
  <w:num w:numId="32">
    <w:abstractNumId w:val="35"/>
  </w:num>
  <w:num w:numId="33">
    <w:abstractNumId w:val="30"/>
  </w:num>
  <w:num w:numId="34">
    <w:abstractNumId w:val="34"/>
  </w:num>
  <w:num w:numId="35">
    <w:abstractNumId w:val="7"/>
  </w:num>
  <w:num w:numId="36">
    <w:abstractNumId w:val="1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B7EC9"/>
    <w:rsid w:val="003E3126"/>
    <w:rsid w:val="00426E5F"/>
    <w:rsid w:val="00433F62"/>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936AD0"/>
    <w:rsid w:val="009773E4"/>
    <w:rsid w:val="00991A37"/>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04DF5"/>
    <w:rsid w:val="00D86297"/>
    <w:rsid w:val="00DB32D3"/>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7480</Words>
  <Characters>42636</Characters>
  <Application>Microsoft Office Word</Application>
  <DocSecurity>0</DocSecurity>
  <Lines>355</Lines>
  <Paragraphs>100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2022-12-03T16:52:00Z</dcterms:created>
  <dcterms:modified xsi:type="dcterms:W3CDTF">2022-12-03T16:52:00Z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