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195A40A" w:rsidR="00DB32D3" w:rsidRDefault="00DD466D" w:rsidP="005726E3">
      <w:pPr>
        <w:pStyle w:val="Heading1"/>
      </w:pPr>
      <w:r>
        <w:t>1.ИМЕ НА ЛЕКАРСТВЕНИЯ ПРОДУКТ</w:t>
      </w:r>
    </w:p>
    <w:p w14:paraId="34C2C191" w14:textId="2E88986A" w:rsidR="003B7EC9" w:rsidRDefault="003B7EC9" w:rsidP="003B7EC9"/>
    <w:p w14:paraId="33DAB1D0" w14:textId="77777777" w:rsidR="003B7EC9" w:rsidRPr="003B7EC9" w:rsidRDefault="003B7EC9" w:rsidP="003B7EC9">
      <w:pPr>
        <w:rPr>
          <w:sz w:val="24"/>
          <w:szCs w:val="24"/>
        </w:rPr>
      </w:pPr>
      <w:r w:rsidRPr="003B7EC9">
        <w:rPr>
          <w:lang w:eastAsia="bg-BG"/>
        </w:rPr>
        <w:t xml:space="preserve">Телфорт 80 </w:t>
      </w:r>
      <w:r w:rsidRPr="003B7EC9">
        <w:rPr>
          <w:lang w:val="en-US"/>
        </w:rPr>
        <w:t>mg</w:t>
      </w:r>
      <w:r w:rsidRPr="003B7EC9">
        <w:t xml:space="preserve">/5 </w:t>
      </w:r>
      <w:r w:rsidRPr="003B7EC9">
        <w:rPr>
          <w:lang w:val="en-US"/>
        </w:rPr>
        <w:t>mg</w:t>
      </w:r>
      <w:r w:rsidRPr="003B7EC9">
        <w:t xml:space="preserve"> </w:t>
      </w:r>
      <w:r w:rsidRPr="003B7EC9">
        <w:rPr>
          <w:lang w:eastAsia="bg-BG"/>
        </w:rPr>
        <w:t>таблетки</w:t>
      </w:r>
    </w:p>
    <w:p w14:paraId="67E436D3" w14:textId="77777777" w:rsidR="003B7EC9" w:rsidRPr="003B7EC9" w:rsidRDefault="003B7EC9" w:rsidP="003B7EC9">
      <w:pPr>
        <w:rPr>
          <w:sz w:val="24"/>
          <w:szCs w:val="24"/>
        </w:rPr>
      </w:pPr>
      <w:proofErr w:type="spellStart"/>
      <w:r w:rsidRPr="003B7EC9">
        <w:rPr>
          <w:lang w:val="en-US"/>
        </w:rPr>
        <w:t>Telfort</w:t>
      </w:r>
      <w:proofErr w:type="spellEnd"/>
      <w:r w:rsidRPr="003B7EC9">
        <w:t xml:space="preserve"> </w:t>
      </w:r>
      <w:r w:rsidRPr="003B7EC9">
        <w:rPr>
          <w:lang w:eastAsia="bg-BG"/>
        </w:rPr>
        <w:t xml:space="preserve">80 </w:t>
      </w:r>
      <w:r w:rsidRPr="003B7EC9">
        <w:rPr>
          <w:lang w:val="en-US"/>
        </w:rPr>
        <w:t>mg</w:t>
      </w:r>
      <w:r w:rsidRPr="003B7EC9">
        <w:t xml:space="preserve">/5 </w:t>
      </w:r>
      <w:r w:rsidRPr="003B7EC9">
        <w:rPr>
          <w:lang w:val="en-US"/>
        </w:rPr>
        <w:t>mg</w:t>
      </w:r>
      <w:r w:rsidRPr="003B7EC9">
        <w:t xml:space="preserve"> </w:t>
      </w:r>
      <w:r w:rsidRPr="003B7EC9">
        <w:rPr>
          <w:lang w:val="en-US"/>
        </w:rPr>
        <w:t>tablets</w:t>
      </w:r>
    </w:p>
    <w:p w14:paraId="494BF1F3" w14:textId="77777777" w:rsidR="003B7EC9" w:rsidRPr="003B7EC9" w:rsidRDefault="003B7EC9" w:rsidP="003B7EC9"/>
    <w:p w14:paraId="48E6CABE" w14:textId="39183AAF" w:rsidR="00DB32D3" w:rsidRDefault="00DD466D" w:rsidP="005726E3">
      <w:pPr>
        <w:pStyle w:val="Heading1"/>
      </w:pPr>
      <w:r>
        <w:t>2. КАЧЕСТВЕН И КОЛИЧЕСТВЕН СЪСТАВ</w:t>
      </w:r>
    </w:p>
    <w:p w14:paraId="719012FA" w14:textId="3F3504FF" w:rsidR="003B7EC9" w:rsidRDefault="003B7EC9" w:rsidP="003B7EC9"/>
    <w:p w14:paraId="20FB01D4"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Телфорт 80 </w:t>
      </w:r>
      <w:r w:rsidRPr="003B7EC9">
        <w:rPr>
          <w:rFonts w:eastAsia="Times New Roman" w:cs="Arial"/>
          <w:bCs/>
          <w:color w:val="000000"/>
          <w:szCs w:val="20"/>
          <w:lang w:val="en-US"/>
        </w:rPr>
        <w:t>mg</w:t>
      </w:r>
      <w:r w:rsidRPr="003B7EC9">
        <w:rPr>
          <w:rFonts w:eastAsia="Times New Roman" w:cs="Arial"/>
          <w:bCs/>
          <w:color w:val="000000"/>
          <w:szCs w:val="20"/>
        </w:rPr>
        <w:t xml:space="preserve">6 </w:t>
      </w:r>
      <w:r w:rsidRPr="003B7EC9">
        <w:rPr>
          <w:rFonts w:eastAsia="Times New Roman" w:cs="Arial"/>
          <w:bCs/>
          <w:color w:val="000000"/>
          <w:szCs w:val="20"/>
          <w:lang w:val="en-US"/>
        </w:rPr>
        <w:t>mg</w:t>
      </w:r>
      <w:r w:rsidRPr="003B7EC9">
        <w:rPr>
          <w:rFonts w:eastAsia="Times New Roman" w:cs="Arial"/>
          <w:bCs/>
          <w:color w:val="000000"/>
          <w:szCs w:val="20"/>
        </w:rPr>
        <w:t xml:space="preserve"> </w:t>
      </w:r>
      <w:r w:rsidRPr="003B7EC9">
        <w:rPr>
          <w:rFonts w:eastAsia="Times New Roman" w:cs="Arial"/>
          <w:bCs/>
          <w:color w:val="000000"/>
          <w:szCs w:val="20"/>
          <w:lang w:eastAsia="bg-BG"/>
        </w:rPr>
        <w:t xml:space="preserve">таблетки: всяка таблетка съдържа 80 </w:t>
      </w:r>
      <w:r w:rsidRPr="003B7EC9">
        <w:rPr>
          <w:rFonts w:eastAsia="Times New Roman" w:cs="Arial"/>
          <w:bCs/>
          <w:color w:val="000000"/>
          <w:szCs w:val="20"/>
          <w:lang w:val="en-US"/>
        </w:rPr>
        <w:t>mg</w:t>
      </w:r>
      <w:r w:rsidRPr="003B7EC9">
        <w:rPr>
          <w:rFonts w:eastAsia="Times New Roman" w:cs="Arial"/>
          <w:bCs/>
          <w:color w:val="000000"/>
          <w:szCs w:val="20"/>
        </w:rPr>
        <w:t xml:space="preserve"> </w:t>
      </w:r>
      <w:r w:rsidRPr="003B7EC9">
        <w:rPr>
          <w:rFonts w:eastAsia="Times New Roman" w:cs="Arial"/>
          <w:bCs/>
          <w:color w:val="000000"/>
          <w:szCs w:val="20"/>
          <w:lang w:eastAsia="bg-BG"/>
        </w:rPr>
        <w:t xml:space="preserve">телмисартан </w:t>
      </w:r>
      <w:r w:rsidRPr="003B7EC9">
        <w:rPr>
          <w:rFonts w:eastAsia="Times New Roman" w:cs="Arial"/>
          <w:bCs/>
          <w:color w:val="000000"/>
          <w:szCs w:val="20"/>
        </w:rPr>
        <w:t>(</w:t>
      </w:r>
      <w:proofErr w:type="spellStart"/>
      <w:r w:rsidRPr="003B7EC9">
        <w:rPr>
          <w:rFonts w:eastAsia="Times New Roman" w:cs="Arial"/>
          <w:bCs/>
          <w:color w:val="000000"/>
          <w:szCs w:val="20"/>
          <w:lang w:val="en-US"/>
        </w:rPr>
        <w:t>telmisartan</w:t>
      </w:r>
      <w:proofErr w:type="spellEnd"/>
      <w:r w:rsidRPr="003B7EC9">
        <w:rPr>
          <w:rFonts w:eastAsia="Times New Roman" w:cs="Arial"/>
          <w:bCs/>
          <w:color w:val="000000"/>
          <w:szCs w:val="20"/>
        </w:rPr>
        <w:t xml:space="preserve">) </w:t>
      </w:r>
      <w:r w:rsidRPr="003B7EC9">
        <w:rPr>
          <w:rFonts w:eastAsia="Times New Roman" w:cs="Arial"/>
          <w:bCs/>
          <w:color w:val="000000"/>
          <w:szCs w:val="20"/>
          <w:lang w:eastAsia="bg-BG"/>
        </w:rPr>
        <w:t xml:space="preserve">и 5 </w:t>
      </w:r>
      <w:r w:rsidRPr="003B7EC9">
        <w:rPr>
          <w:rFonts w:eastAsia="Times New Roman" w:cs="Arial"/>
          <w:bCs/>
          <w:color w:val="000000"/>
          <w:szCs w:val="20"/>
          <w:lang w:val="en-US"/>
        </w:rPr>
        <w:t>mg</w:t>
      </w:r>
      <w:r w:rsidRPr="003B7EC9">
        <w:rPr>
          <w:rFonts w:eastAsia="Times New Roman" w:cs="Arial"/>
          <w:bCs/>
          <w:color w:val="000000"/>
          <w:szCs w:val="20"/>
        </w:rPr>
        <w:t xml:space="preserve"> </w:t>
      </w:r>
      <w:r w:rsidRPr="003B7EC9">
        <w:rPr>
          <w:rFonts w:eastAsia="Times New Roman" w:cs="Arial"/>
          <w:bCs/>
          <w:color w:val="000000"/>
          <w:szCs w:val="20"/>
          <w:lang w:eastAsia="bg-BG"/>
        </w:rPr>
        <w:t xml:space="preserve">амлодипин </w:t>
      </w:r>
      <w:r w:rsidRPr="003B7EC9">
        <w:rPr>
          <w:rFonts w:eastAsia="Times New Roman" w:cs="Arial"/>
          <w:bCs/>
          <w:color w:val="000000"/>
          <w:szCs w:val="20"/>
        </w:rPr>
        <w:t>(</w:t>
      </w:r>
      <w:r w:rsidRPr="003B7EC9">
        <w:rPr>
          <w:rFonts w:eastAsia="Times New Roman" w:cs="Arial"/>
          <w:bCs/>
          <w:color w:val="000000"/>
          <w:szCs w:val="20"/>
          <w:lang w:val="en-US"/>
        </w:rPr>
        <w:t>amlodipine</w:t>
      </w:r>
      <w:r w:rsidRPr="003B7EC9">
        <w:rPr>
          <w:rFonts w:eastAsia="Times New Roman" w:cs="Arial"/>
          <w:bCs/>
          <w:color w:val="000000"/>
          <w:szCs w:val="20"/>
        </w:rPr>
        <w:t xml:space="preserve">) </w:t>
      </w:r>
      <w:r w:rsidRPr="003B7EC9">
        <w:rPr>
          <w:rFonts w:eastAsia="Times New Roman" w:cs="Arial"/>
          <w:bCs/>
          <w:color w:val="000000"/>
          <w:szCs w:val="20"/>
          <w:lang w:eastAsia="bg-BG"/>
        </w:rPr>
        <w:t>(като амлодипинов безилат).</w:t>
      </w:r>
    </w:p>
    <w:p w14:paraId="519E957E" w14:textId="77777777" w:rsidR="003B7EC9" w:rsidRPr="003B7EC9" w:rsidRDefault="003B7EC9" w:rsidP="003B7EC9">
      <w:pPr>
        <w:spacing w:line="240" w:lineRule="auto"/>
        <w:rPr>
          <w:rFonts w:eastAsia="Times New Roman" w:cs="Arial"/>
          <w:bCs/>
          <w:color w:val="000000"/>
          <w:szCs w:val="20"/>
          <w:u w:val="single"/>
          <w:lang w:eastAsia="bg-BG"/>
        </w:rPr>
      </w:pPr>
    </w:p>
    <w:p w14:paraId="5881E6A6" w14:textId="1261EBC5"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u w:val="single"/>
          <w:lang w:eastAsia="bg-BG"/>
        </w:rPr>
        <w:t>Помощни вещества с известен ефект:</w:t>
      </w:r>
    </w:p>
    <w:p w14:paraId="0A7A56D5"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Телфорт 80 </w:t>
      </w:r>
      <w:r w:rsidRPr="003B7EC9">
        <w:rPr>
          <w:rFonts w:eastAsia="Times New Roman" w:cs="Arial"/>
          <w:bCs/>
          <w:color w:val="000000"/>
          <w:szCs w:val="20"/>
          <w:lang w:val="en-US"/>
        </w:rPr>
        <w:t>mg</w:t>
      </w:r>
      <w:r w:rsidRPr="003B7EC9">
        <w:rPr>
          <w:rFonts w:eastAsia="Times New Roman" w:cs="Arial"/>
          <w:bCs/>
          <w:color w:val="000000"/>
          <w:szCs w:val="20"/>
        </w:rPr>
        <w:t xml:space="preserve">/5 </w:t>
      </w:r>
      <w:r w:rsidRPr="003B7EC9">
        <w:rPr>
          <w:rFonts w:eastAsia="Times New Roman" w:cs="Arial"/>
          <w:bCs/>
          <w:color w:val="000000"/>
          <w:szCs w:val="20"/>
          <w:lang w:val="en-US"/>
        </w:rPr>
        <w:t>mg</w:t>
      </w:r>
      <w:r w:rsidRPr="003B7EC9">
        <w:rPr>
          <w:rFonts w:eastAsia="Times New Roman" w:cs="Arial"/>
          <w:bCs/>
          <w:color w:val="000000"/>
          <w:szCs w:val="20"/>
        </w:rPr>
        <w:t xml:space="preserve">: </w:t>
      </w:r>
      <w:r w:rsidRPr="003B7EC9">
        <w:rPr>
          <w:rFonts w:eastAsia="Times New Roman" w:cs="Arial"/>
          <w:bCs/>
          <w:color w:val="000000"/>
          <w:szCs w:val="20"/>
          <w:lang w:eastAsia="bg-BG"/>
        </w:rPr>
        <w:t xml:space="preserve">Всяка таблетка съдържа 320,4 </w:t>
      </w:r>
      <w:r w:rsidRPr="003B7EC9">
        <w:rPr>
          <w:rFonts w:eastAsia="Times New Roman" w:cs="Arial"/>
          <w:bCs/>
          <w:color w:val="000000"/>
          <w:szCs w:val="20"/>
          <w:lang w:val="en-US"/>
        </w:rPr>
        <w:t>mg</w:t>
      </w:r>
      <w:r w:rsidRPr="003B7EC9">
        <w:rPr>
          <w:rFonts w:eastAsia="Times New Roman" w:cs="Arial"/>
          <w:bCs/>
          <w:color w:val="000000"/>
          <w:szCs w:val="20"/>
        </w:rPr>
        <w:t xml:space="preserve"> </w:t>
      </w:r>
      <w:r w:rsidRPr="003B7EC9">
        <w:rPr>
          <w:rFonts w:eastAsia="Times New Roman" w:cs="Arial"/>
          <w:bCs/>
          <w:color w:val="000000"/>
          <w:szCs w:val="20"/>
          <w:lang w:eastAsia="bg-BG"/>
        </w:rPr>
        <w:t>сорбитол.</w:t>
      </w:r>
    </w:p>
    <w:p w14:paraId="700D6DFF" w14:textId="77777777" w:rsidR="003B7EC9" w:rsidRPr="003B7EC9" w:rsidRDefault="003B7EC9" w:rsidP="003B7EC9"/>
    <w:p w14:paraId="614984C4" w14:textId="39FD24EC" w:rsidR="008A6AF2" w:rsidRDefault="00DD466D" w:rsidP="002C50EE">
      <w:pPr>
        <w:pStyle w:val="Heading1"/>
      </w:pPr>
      <w:r>
        <w:t>3. ЛЕКАРСТВЕНА ФОРМА</w:t>
      </w:r>
    </w:p>
    <w:p w14:paraId="3F7E4222" w14:textId="69BBE85E" w:rsidR="003B7EC9" w:rsidRDefault="003B7EC9" w:rsidP="003B7EC9"/>
    <w:p w14:paraId="05007205"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Таблетка</w:t>
      </w:r>
    </w:p>
    <w:p w14:paraId="5DE2C55D" w14:textId="77777777" w:rsidR="003B7EC9" w:rsidRPr="003B7EC9" w:rsidRDefault="003B7EC9" w:rsidP="003B7EC9">
      <w:pPr>
        <w:spacing w:line="240" w:lineRule="auto"/>
        <w:rPr>
          <w:rFonts w:eastAsia="Times New Roman" w:cs="Arial"/>
          <w:bCs/>
          <w:color w:val="000000"/>
          <w:szCs w:val="20"/>
          <w:lang w:eastAsia="bg-BG"/>
        </w:rPr>
      </w:pPr>
    </w:p>
    <w:p w14:paraId="7D22D14D" w14:textId="79877D6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Телфорт 80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/5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 xml:space="preserve">бели до жълтеникави, продълговати, двойно изпъкнали таблетки с размери от 18,5 х 8,5 </w:t>
      </w:r>
      <w:r w:rsidRPr="003B7EC9">
        <w:rPr>
          <w:rFonts w:eastAsia="Times New Roman" w:cs="Arial"/>
          <w:bCs/>
          <w:color w:val="000000"/>
          <w:szCs w:val="20"/>
          <w:lang w:val="en-US"/>
        </w:rPr>
        <w:t>mm</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и гравиран надпис ”80" "5" от едната страна на таблетката.</w:t>
      </w:r>
    </w:p>
    <w:p w14:paraId="3BC46C9C"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Делителната черта не е предназначена за счупване на таблетката.</w:t>
      </w:r>
    </w:p>
    <w:p w14:paraId="68CE4C11" w14:textId="77777777" w:rsidR="003B7EC9" w:rsidRPr="003B7EC9" w:rsidRDefault="003B7EC9" w:rsidP="003B7EC9"/>
    <w:p w14:paraId="490FC2C4" w14:textId="6899DE43" w:rsidR="002C50EE" w:rsidRDefault="002C50EE" w:rsidP="002C50EE">
      <w:pPr>
        <w:pStyle w:val="Heading1"/>
      </w:pPr>
      <w:r>
        <w:t>4. КЛИНИЧНИ ДАННИ</w:t>
      </w:r>
    </w:p>
    <w:p w14:paraId="0771830A" w14:textId="591DC7FC" w:rsidR="00DB32D3" w:rsidRDefault="002C50EE" w:rsidP="005726E3">
      <w:pPr>
        <w:pStyle w:val="Heading2"/>
      </w:pPr>
      <w:r>
        <w:t>4.1. Терапевтични показания</w:t>
      </w:r>
    </w:p>
    <w:p w14:paraId="668DFDE3" w14:textId="7051EA84" w:rsidR="003B7EC9" w:rsidRDefault="003B7EC9" w:rsidP="003B7EC9"/>
    <w:p w14:paraId="119ED03A" w14:textId="670FF4F9" w:rsidR="003B7EC9" w:rsidRDefault="003B7EC9" w:rsidP="003B7EC9">
      <w:pPr>
        <w:rPr>
          <w:lang w:eastAsia="bg-BG"/>
        </w:rPr>
      </w:pPr>
      <w:r w:rsidRPr="003B7EC9">
        <w:rPr>
          <w:lang w:eastAsia="bg-BG"/>
        </w:rPr>
        <w:t>Телфорт е показан като заместваща терапия при възрастни пациенти с есенциална хипертония, на които кръвното налягане, е адекватно контролирано с комбинацията телмисартан и амлодипин, прилагани едновременно в същото лозово ниво.</w:t>
      </w:r>
    </w:p>
    <w:p w14:paraId="6A35CFF1" w14:textId="77777777" w:rsidR="003B7EC9" w:rsidRPr="003B7EC9" w:rsidRDefault="003B7EC9" w:rsidP="003B7EC9">
      <w:pPr>
        <w:rPr>
          <w:sz w:val="24"/>
          <w:szCs w:val="24"/>
        </w:rPr>
      </w:pPr>
    </w:p>
    <w:p w14:paraId="7647A102" w14:textId="45DE4343" w:rsidR="00DB32D3" w:rsidRDefault="002C50EE" w:rsidP="005726E3">
      <w:pPr>
        <w:pStyle w:val="Heading2"/>
      </w:pPr>
      <w:r>
        <w:t>4.2. Дозировка и начин на приложение</w:t>
      </w:r>
    </w:p>
    <w:p w14:paraId="7AC735DB" w14:textId="2D774870" w:rsidR="003B7EC9" w:rsidRPr="003B7EC9" w:rsidRDefault="003B7EC9" w:rsidP="003B7EC9">
      <w:pPr>
        <w:rPr>
          <w:rFonts w:cs="Arial"/>
          <w:sz w:val="24"/>
        </w:rPr>
      </w:pPr>
    </w:p>
    <w:p w14:paraId="31CC1840" w14:textId="77777777" w:rsidR="003B7EC9" w:rsidRPr="003B7EC9" w:rsidRDefault="003B7EC9" w:rsidP="003B7EC9">
      <w:pPr>
        <w:pStyle w:val="Heading3"/>
        <w:rPr>
          <w:rFonts w:eastAsia="Times New Roman"/>
          <w:sz w:val="28"/>
          <w:u w:val="single"/>
        </w:rPr>
      </w:pPr>
      <w:r w:rsidRPr="003B7EC9">
        <w:rPr>
          <w:rFonts w:eastAsia="Times New Roman"/>
          <w:u w:val="single"/>
          <w:lang w:eastAsia="bg-BG"/>
        </w:rPr>
        <w:t>Дозировка</w:t>
      </w:r>
    </w:p>
    <w:p w14:paraId="7DCB0FFC"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Пациентите, приемащи амлодипин и телмисартан като отделни таблетки, могат да приемат таблетки Телфорт съдържащи същите дози на отделните компоненти. Пациентите трябва да използват концентрацията, съответстваща на предишното им лечение.</w:t>
      </w:r>
    </w:p>
    <w:p w14:paraId="3ADB13EF" w14:textId="77777777" w:rsidR="003B7EC9" w:rsidRPr="003B7EC9" w:rsidRDefault="003B7EC9" w:rsidP="003B7EC9">
      <w:pPr>
        <w:spacing w:line="240" w:lineRule="auto"/>
        <w:rPr>
          <w:rFonts w:eastAsia="Times New Roman" w:cs="Arial"/>
          <w:bCs/>
          <w:color w:val="000000"/>
          <w:szCs w:val="20"/>
          <w:lang w:eastAsia="bg-BG"/>
        </w:rPr>
      </w:pPr>
    </w:p>
    <w:p w14:paraId="72313459" w14:textId="4877E6B9"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Препоръчваната доза е една таблетка Телфорт дневно.</w:t>
      </w:r>
    </w:p>
    <w:p w14:paraId="5518F86E" w14:textId="77777777" w:rsidR="003B7EC9" w:rsidRPr="003B7EC9" w:rsidRDefault="003B7EC9" w:rsidP="003B7EC9">
      <w:pPr>
        <w:spacing w:line="240" w:lineRule="auto"/>
        <w:rPr>
          <w:rFonts w:eastAsia="Times New Roman" w:cs="Arial"/>
          <w:bCs/>
          <w:color w:val="000000"/>
          <w:szCs w:val="20"/>
          <w:lang w:eastAsia="bg-BG"/>
        </w:rPr>
      </w:pPr>
    </w:p>
    <w:p w14:paraId="64B239A2" w14:textId="019891AB"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Максималната дневна доза Телфорт е 80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/10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един път дневно.</w:t>
      </w:r>
    </w:p>
    <w:p w14:paraId="2459ED12"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lastRenderedPageBreak/>
        <w:t xml:space="preserve">Максималната дневна доза от телмисартан е 80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 xml:space="preserve">и максималната дневна доза от амлодипин е 10 </w:t>
      </w:r>
      <w:r w:rsidRPr="003B7EC9">
        <w:rPr>
          <w:rFonts w:eastAsia="Times New Roman" w:cs="Arial"/>
          <w:bCs/>
          <w:color w:val="000000"/>
          <w:szCs w:val="20"/>
          <w:lang w:val="en-US"/>
        </w:rPr>
        <w:t>mg</w:t>
      </w:r>
      <w:r w:rsidRPr="003B7EC9">
        <w:rPr>
          <w:rFonts w:eastAsia="Times New Roman" w:cs="Arial"/>
          <w:bCs/>
          <w:color w:val="000000"/>
          <w:szCs w:val="20"/>
          <w:lang w:val="ru-RU"/>
        </w:rPr>
        <w:t>.</w:t>
      </w:r>
    </w:p>
    <w:p w14:paraId="1712EF63" w14:textId="77777777" w:rsidR="003B7EC9" w:rsidRPr="003B7EC9" w:rsidRDefault="003B7EC9" w:rsidP="003B7EC9">
      <w:pPr>
        <w:spacing w:line="240" w:lineRule="auto"/>
        <w:rPr>
          <w:rFonts w:eastAsia="Times New Roman" w:cs="Arial"/>
          <w:bCs/>
          <w:i/>
          <w:iCs/>
          <w:color w:val="000000"/>
          <w:szCs w:val="20"/>
          <w:u w:val="single"/>
          <w:lang w:eastAsia="bg-BG"/>
        </w:rPr>
      </w:pPr>
    </w:p>
    <w:p w14:paraId="28E890A0" w14:textId="39FF6D5A"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u w:val="single"/>
          <w:lang w:eastAsia="bg-BG"/>
        </w:rPr>
        <w:t>Специални популации</w:t>
      </w:r>
    </w:p>
    <w:p w14:paraId="7634F0A8" w14:textId="77777777" w:rsidR="003B7EC9" w:rsidRPr="003B7EC9" w:rsidRDefault="003B7EC9" w:rsidP="003B7EC9">
      <w:pPr>
        <w:spacing w:line="240" w:lineRule="auto"/>
        <w:rPr>
          <w:rFonts w:eastAsia="Times New Roman" w:cs="Arial"/>
          <w:bCs/>
          <w:i/>
          <w:iCs/>
          <w:color w:val="000000"/>
          <w:szCs w:val="20"/>
          <w:lang w:eastAsia="bg-BG"/>
        </w:rPr>
      </w:pPr>
    </w:p>
    <w:p w14:paraId="7D010FBB" w14:textId="4C766CB3"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Старческа възраст</w:t>
      </w:r>
    </w:p>
    <w:p w14:paraId="5422BC24" w14:textId="24CA5C00"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Не се налага при пациенти в напреднала възраст корекция на дозата. Повишаването на дозата</w:t>
      </w:r>
      <w:r>
        <w:rPr>
          <w:rFonts w:eastAsia="Times New Roman" w:cs="Arial"/>
          <w:sz w:val="28"/>
          <w:szCs w:val="24"/>
        </w:rPr>
        <w:t xml:space="preserve"> </w:t>
      </w:r>
      <w:r w:rsidRPr="003B7EC9">
        <w:rPr>
          <w:rFonts w:eastAsia="Times New Roman" w:cs="Arial"/>
          <w:bCs/>
          <w:color w:val="000000"/>
          <w:szCs w:val="20"/>
          <w:lang w:eastAsia="bg-BG"/>
        </w:rPr>
        <w:t>трябва да се извършва с повишено внимание (вж. точки 4.4 и 5.2). Малко е информацията за</w:t>
      </w:r>
      <w:r>
        <w:rPr>
          <w:rFonts w:eastAsia="Times New Roman" w:cs="Arial"/>
          <w:sz w:val="28"/>
          <w:szCs w:val="24"/>
        </w:rPr>
        <w:t xml:space="preserve"> </w:t>
      </w:r>
      <w:r w:rsidRPr="003B7EC9">
        <w:rPr>
          <w:rFonts w:eastAsia="Times New Roman" w:cs="Arial"/>
          <w:bCs/>
          <w:color w:val="000000"/>
          <w:szCs w:val="20"/>
          <w:lang w:eastAsia="bg-BG"/>
        </w:rPr>
        <w:t>приложението му при много възрастни пациенти.</w:t>
      </w:r>
    </w:p>
    <w:p w14:paraId="4ABD9BD4" w14:textId="02382147" w:rsidR="003B7EC9" w:rsidRDefault="003B7EC9" w:rsidP="003B7EC9"/>
    <w:p w14:paraId="35030952" w14:textId="77777777"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Бъбречно увреждане</w:t>
      </w:r>
    </w:p>
    <w:p w14:paraId="50895825"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Не се налага промяна в дозировката при пациенти с леко до умерено бъбречно увреждане. Съществуващият опит при пациенти с тежко бъбречно увреждане или на хемодиализа е ограничен.</w:t>
      </w:r>
    </w:p>
    <w:p w14:paraId="4007569D"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Препоръчва се повишено внимание, когато се използва Телфорт при такива пациенти, тъй като амлодипин и телмисартан не се диализират (вж. също точка 4.4).</w:t>
      </w:r>
    </w:p>
    <w:p w14:paraId="6C7D31E6" w14:textId="77777777" w:rsidR="003B7EC9" w:rsidRPr="003B7EC9" w:rsidRDefault="003B7EC9" w:rsidP="003B7EC9">
      <w:pPr>
        <w:spacing w:line="240" w:lineRule="auto"/>
        <w:rPr>
          <w:rFonts w:eastAsia="Times New Roman" w:cs="Arial"/>
          <w:bCs/>
          <w:i/>
          <w:iCs/>
          <w:color w:val="000000"/>
          <w:szCs w:val="20"/>
          <w:lang w:eastAsia="bg-BG"/>
        </w:rPr>
      </w:pPr>
    </w:p>
    <w:p w14:paraId="74929056" w14:textId="5C8B710F"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Чернодробно увреждане</w:t>
      </w:r>
    </w:p>
    <w:p w14:paraId="35B82223" w14:textId="4A2A870A"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Препоръчителна дозировка не е установена при пациенти с леко до умерено чернодробно увреждане. За телмисартан дозировката не трябва да надвишава 40 </w:t>
      </w:r>
      <w:r w:rsidRPr="003B7EC9">
        <w:rPr>
          <w:rFonts w:eastAsia="Times New Roman" w:cs="Arial"/>
          <w:bCs/>
          <w:color w:val="000000"/>
          <w:szCs w:val="20"/>
          <w:lang w:val="en-US"/>
        </w:rPr>
        <w:t>mg</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веднъж дневно (вж. точка 4.4 Телфорт е противопоказан при пациенти с тежко чернодробно увреждане (вж. точка 4.3, 4.4 и 5.2). При пациенти с леко до умерено чернодробно увреждане Телфорт трябва да се прилага с повишено внимание.</w:t>
      </w:r>
    </w:p>
    <w:p w14:paraId="562CE386" w14:textId="77777777" w:rsidR="003B7EC9" w:rsidRPr="003B7EC9" w:rsidRDefault="003B7EC9" w:rsidP="003B7EC9">
      <w:pPr>
        <w:spacing w:line="240" w:lineRule="auto"/>
        <w:rPr>
          <w:rFonts w:eastAsia="Times New Roman" w:cs="Arial"/>
          <w:bCs/>
          <w:i/>
          <w:iCs/>
          <w:color w:val="000000"/>
          <w:szCs w:val="20"/>
          <w:lang w:eastAsia="bg-BG"/>
        </w:rPr>
      </w:pPr>
    </w:p>
    <w:p w14:paraId="74026BF5" w14:textId="670C1921"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Педиатрична популация</w:t>
      </w:r>
    </w:p>
    <w:p w14:paraId="1BF48EA4"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Безопасността и ефикасността на Телфорт при деца на възраст под 18 години не са установени. Няма налични данни.</w:t>
      </w:r>
    </w:p>
    <w:p w14:paraId="1DB5EB2F" w14:textId="77777777" w:rsidR="003B7EC9" w:rsidRPr="003B7EC9" w:rsidRDefault="003B7EC9" w:rsidP="003B7EC9">
      <w:pPr>
        <w:spacing w:line="240" w:lineRule="auto"/>
        <w:rPr>
          <w:rFonts w:eastAsia="Times New Roman" w:cs="Arial"/>
          <w:bCs/>
          <w:color w:val="000000"/>
          <w:szCs w:val="20"/>
          <w:u w:val="single"/>
          <w:lang w:eastAsia="bg-BG"/>
        </w:rPr>
      </w:pPr>
    </w:p>
    <w:p w14:paraId="1010EE24" w14:textId="506DC1F0" w:rsidR="003B7EC9" w:rsidRPr="003B7EC9" w:rsidRDefault="003B7EC9" w:rsidP="003B7EC9">
      <w:pPr>
        <w:pStyle w:val="Heading3"/>
        <w:rPr>
          <w:rFonts w:eastAsia="Times New Roman"/>
          <w:sz w:val="28"/>
          <w:u w:val="single"/>
        </w:rPr>
      </w:pPr>
      <w:r w:rsidRPr="003B7EC9">
        <w:rPr>
          <w:rFonts w:eastAsia="Times New Roman"/>
          <w:u w:val="single"/>
          <w:lang w:eastAsia="bg-BG"/>
        </w:rPr>
        <w:t>Начин на приложение</w:t>
      </w:r>
    </w:p>
    <w:p w14:paraId="748C9645"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Телфорт може да се приема със или без храна. Препоръчва се Телфорт да бъде приеман с течност.</w:t>
      </w:r>
    </w:p>
    <w:p w14:paraId="3E6159E4" w14:textId="77777777" w:rsidR="003B7EC9" w:rsidRPr="003B7EC9" w:rsidRDefault="003B7EC9" w:rsidP="003B7EC9"/>
    <w:p w14:paraId="74903285" w14:textId="40BE3A58" w:rsidR="00DB32D3" w:rsidRDefault="002C50EE" w:rsidP="005726E3">
      <w:pPr>
        <w:pStyle w:val="Heading2"/>
      </w:pPr>
      <w:r>
        <w:t>4.3. Противопоказания</w:t>
      </w:r>
    </w:p>
    <w:p w14:paraId="5CD12732" w14:textId="5ED99236" w:rsidR="003B7EC9" w:rsidRDefault="003B7EC9" w:rsidP="003B7EC9"/>
    <w:p w14:paraId="4D9A6719"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Свръхчувствителност към активните вещества, към дихцдропиридинови производни или към някои от помощните вещества, изброени в точка 6.1.</w:t>
      </w:r>
    </w:p>
    <w:p w14:paraId="29EC498E"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Втори и трети триместьр на бременността (вж. точки 4.4 и 4.6).</w:t>
      </w:r>
    </w:p>
    <w:p w14:paraId="66F3D722"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Жлъчни обструктивни нарушения.</w:t>
      </w:r>
    </w:p>
    <w:p w14:paraId="6D3010C0"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Тежко чернодробно увреждане.</w:t>
      </w:r>
    </w:p>
    <w:p w14:paraId="5F2EDBC7"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Тежка хипотония.</w:t>
      </w:r>
    </w:p>
    <w:p w14:paraId="2688F9E8" w14:textId="77777777"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Шок (включително кардиогенен шок).</w:t>
      </w:r>
    </w:p>
    <w:p w14:paraId="1E6BBD61" w14:textId="673CE779" w:rsidR="003B7EC9" w:rsidRPr="003B7EC9" w:rsidRDefault="003B7EC9" w:rsidP="003B7EC9">
      <w:pPr>
        <w:pStyle w:val="ListParagraph"/>
        <w:numPr>
          <w:ilvl w:val="0"/>
          <w:numId w:val="37"/>
        </w:numPr>
        <w:spacing w:line="240" w:lineRule="auto"/>
        <w:rPr>
          <w:rFonts w:eastAsia="Times New Roman" w:cs="Arial"/>
          <w:sz w:val="28"/>
          <w:szCs w:val="24"/>
        </w:rPr>
      </w:pPr>
      <w:r w:rsidRPr="003B7EC9">
        <w:rPr>
          <w:rFonts w:eastAsia="Times New Roman" w:cs="Arial"/>
          <w:bCs/>
          <w:color w:val="000000"/>
          <w:szCs w:val="20"/>
          <w:lang w:eastAsia="bg-BG"/>
        </w:rPr>
        <w:t>Обсгрукция на изходния тракт на лявата камера (напр. високостепенна аортна стеноза). Хемодинамично нестабилна сърдечна недостатъчност след остър миокарден инфаркт.</w:t>
      </w:r>
    </w:p>
    <w:p w14:paraId="264CEBC9"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Едновременната употреба на Телфорт с алискирен-съдържащи продукти е противопоказана при пациенти със захарен диабет или бъбречно увреждане </w:t>
      </w:r>
      <w:r w:rsidRPr="003B7EC9">
        <w:rPr>
          <w:rFonts w:eastAsia="Times New Roman" w:cs="Arial"/>
          <w:bCs/>
          <w:color w:val="000000"/>
          <w:szCs w:val="20"/>
          <w:lang w:val="ru-RU"/>
        </w:rPr>
        <w:t>(</w:t>
      </w:r>
      <w:r w:rsidRPr="003B7EC9">
        <w:rPr>
          <w:rFonts w:eastAsia="Times New Roman" w:cs="Arial"/>
          <w:bCs/>
          <w:color w:val="000000"/>
          <w:szCs w:val="20"/>
          <w:lang w:val="en-US"/>
        </w:rPr>
        <w:t>GFR</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 xml:space="preserve">&lt;60 </w:t>
      </w:r>
      <w:r w:rsidRPr="003B7EC9">
        <w:rPr>
          <w:rFonts w:eastAsia="Times New Roman" w:cs="Arial"/>
          <w:bCs/>
          <w:color w:val="000000"/>
          <w:szCs w:val="20"/>
          <w:lang w:val="en-US"/>
        </w:rPr>
        <w:t>ml</w:t>
      </w:r>
      <w:r w:rsidRPr="003B7EC9">
        <w:rPr>
          <w:rFonts w:eastAsia="Times New Roman" w:cs="Arial"/>
          <w:bCs/>
          <w:color w:val="000000"/>
          <w:szCs w:val="20"/>
          <w:lang w:val="ru-RU"/>
        </w:rPr>
        <w:t>/</w:t>
      </w:r>
      <w:r w:rsidRPr="003B7EC9">
        <w:rPr>
          <w:rFonts w:eastAsia="Times New Roman" w:cs="Arial"/>
          <w:bCs/>
          <w:color w:val="000000"/>
          <w:szCs w:val="20"/>
          <w:lang w:val="en-US"/>
        </w:rPr>
        <w:t>min</w:t>
      </w:r>
      <w:r w:rsidRPr="003B7EC9">
        <w:rPr>
          <w:rFonts w:eastAsia="Times New Roman" w:cs="Arial"/>
          <w:bCs/>
          <w:color w:val="000000"/>
          <w:szCs w:val="20"/>
          <w:lang w:val="ru-RU"/>
        </w:rPr>
        <w:t>/1</w:t>
      </w:r>
      <w:r w:rsidRPr="003B7EC9">
        <w:rPr>
          <w:rFonts w:eastAsia="Times New Roman" w:cs="Arial"/>
          <w:bCs/>
          <w:color w:val="000000"/>
          <w:szCs w:val="20"/>
          <w:lang w:eastAsia="bg-BG"/>
        </w:rPr>
        <w:t xml:space="preserve">,73 </w:t>
      </w:r>
      <w:r w:rsidRPr="003B7EC9">
        <w:rPr>
          <w:rFonts w:eastAsia="Times New Roman" w:cs="Arial"/>
          <w:bCs/>
          <w:color w:val="000000"/>
          <w:szCs w:val="20"/>
          <w:lang w:val="en-US"/>
        </w:rPr>
        <w:t>m</w:t>
      </w:r>
      <w:r w:rsidRPr="003B7EC9">
        <w:rPr>
          <w:rFonts w:eastAsia="Times New Roman" w:cs="Arial"/>
          <w:bCs/>
          <w:color w:val="000000"/>
          <w:szCs w:val="20"/>
          <w:vertAlign w:val="superscript"/>
          <w:lang w:val="ru-RU"/>
        </w:rPr>
        <w:t>2</w:t>
      </w:r>
      <w:r w:rsidRPr="003B7EC9">
        <w:rPr>
          <w:rFonts w:eastAsia="Times New Roman" w:cs="Arial"/>
          <w:bCs/>
          <w:color w:val="000000"/>
          <w:szCs w:val="20"/>
          <w:lang w:val="ru-RU"/>
        </w:rPr>
        <w:t xml:space="preserve">) </w:t>
      </w:r>
      <w:r w:rsidRPr="003B7EC9">
        <w:rPr>
          <w:rFonts w:eastAsia="Times New Roman" w:cs="Arial"/>
          <w:bCs/>
          <w:color w:val="000000"/>
          <w:szCs w:val="20"/>
          <w:lang w:eastAsia="bg-BG"/>
        </w:rPr>
        <w:t>(вж. точки 4.2, 4.4,4.5 и 5.1).</w:t>
      </w:r>
    </w:p>
    <w:p w14:paraId="5BCB14C8" w14:textId="77777777" w:rsidR="003B7EC9" w:rsidRPr="003B7EC9" w:rsidRDefault="003B7EC9" w:rsidP="003B7EC9"/>
    <w:p w14:paraId="76DC8E58" w14:textId="1E51014B" w:rsidR="00DB32D3" w:rsidRDefault="002C50EE" w:rsidP="005726E3">
      <w:pPr>
        <w:pStyle w:val="Heading2"/>
      </w:pPr>
      <w:r>
        <w:lastRenderedPageBreak/>
        <w:t>4.4. Специални предупреждения и предпазни мерки при употреба</w:t>
      </w:r>
    </w:p>
    <w:p w14:paraId="24AB5657" w14:textId="5C1C1501" w:rsidR="003B7EC9" w:rsidRDefault="003B7EC9" w:rsidP="003B7EC9"/>
    <w:p w14:paraId="06BA89D2" w14:textId="77777777" w:rsidR="003B7EC9" w:rsidRPr="003B7EC9" w:rsidRDefault="003B7EC9" w:rsidP="003B7EC9">
      <w:pPr>
        <w:rPr>
          <w:rFonts w:cs="Arial"/>
          <w:u w:val="single"/>
        </w:rPr>
      </w:pPr>
      <w:r w:rsidRPr="003B7EC9">
        <w:rPr>
          <w:u w:val="single"/>
          <w:lang w:eastAsia="bg-BG"/>
        </w:rPr>
        <w:t>Телмисартан</w:t>
      </w:r>
    </w:p>
    <w:p w14:paraId="6ED890CB" w14:textId="77777777" w:rsidR="003B7EC9" w:rsidRPr="003B7EC9" w:rsidRDefault="003B7EC9" w:rsidP="003B7EC9">
      <w:pPr>
        <w:spacing w:line="240" w:lineRule="auto"/>
        <w:rPr>
          <w:rFonts w:eastAsia="Times New Roman" w:cs="Arial"/>
          <w:bCs/>
          <w:i/>
          <w:iCs/>
          <w:color w:val="000000"/>
          <w:lang w:eastAsia="bg-BG"/>
        </w:rPr>
      </w:pPr>
    </w:p>
    <w:p w14:paraId="3D45E214" w14:textId="11A7D665"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Бременност</w:t>
      </w:r>
    </w:p>
    <w:p w14:paraId="3CFEFA39"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Не трябва да се започва прием на ангиотензин II рецепторни антагонисти (А</w:t>
      </w:r>
      <w:r w:rsidRPr="003B7EC9">
        <w:rPr>
          <w:rFonts w:eastAsia="Times New Roman" w:cs="Arial"/>
          <w:bCs/>
          <w:color w:val="000000"/>
          <w:lang w:val="en-US"/>
        </w:rPr>
        <w:t>II</w:t>
      </w:r>
      <w:r w:rsidRPr="003B7EC9">
        <w:rPr>
          <w:rFonts w:eastAsia="Times New Roman" w:cs="Arial"/>
          <w:bCs/>
          <w:color w:val="000000"/>
          <w:lang w:eastAsia="bg-BG"/>
        </w:rPr>
        <w:t>РА) по време на бременност. Пациентките, които планират бременност, трябва да преминат към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А</w:t>
      </w:r>
      <w:r w:rsidRPr="003B7EC9">
        <w:rPr>
          <w:rFonts w:eastAsia="Times New Roman" w:cs="Arial"/>
          <w:bCs/>
          <w:color w:val="000000"/>
          <w:lang w:val="en-US"/>
        </w:rPr>
        <w:t>II</w:t>
      </w:r>
      <w:r w:rsidRPr="003B7EC9">
        <w:rPr>
          <w:rFonts w:eastAsia="Times New Roman" w:cs="Arial"/>
          <w:bCs/>
          <w:color w:val="000000"/>
          <w:lang w:eastAsia="bg-BG"/>
        </w:rPr>
        <w:t>РА. Ако е диагностицирана бременност, лечението с А</w:t>
      </w:r>
      <w:r w:rsidRPr="003B7EC9">
        <w:rPr>
          <w:rFonts w:eastAsia="Times New Roman" w:cs="Arial"/>
          <w:bCs/>
          <w:color w:val="000000"/>
          <w:lang w:val="en-US"/>
        </w:rPr>
        <w:t>II</w:t>
      </w:r>
      <w:r w:rsidRPr="003B7EC9">
        <w:rPr>
          <w:rFonts w:eastAsia="Times New Roman" w:cs="Arial"/>
          <w:bCs/>
          <w:color w:val="000000"/>
          <w:lang w:eastAsia="bg-BG"/>
        </w:rPr>
        <w:t>РА трябва незабавно да бъде преустановено и ако е подходящо, да се започне алтернативно лечение (вж. точки 4.3 и 4.6).</w:t>
      </w:r>
    </w:p>
    <w:p w14:paraId="43F904A1" w14:textId="77777777" w:rsidR="003B7EC9" w:rsidRPr="003B7EC9" w:rsidRDefault="003B7EC9" w:rsidP="003B7EC9">
      <w:pPr>
        <w:spacing w:line="240" w:lineRule="auto"/>
        <w:rPr>
          <w:rFonts w:eastAsia="Times New Roman" w:cs="Arial"/>
          <w:bCs/>
          <w:i/>
          <w:iCs/>
          <w:color w:val="000000"/>
          <w:lang w:eastAsia="bg-BG"/>
        </w:rPr>
      </w:pPr>
    </w:p>
    <w:p w14:paraId="1CD23832" w14:textId="0537AD1E"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Чернодробно увреждане</w:t>
      </w:r>
    </w:p>
    <w:p w14:paraId="3C5EB98E" w14:textId="43337F30" w:rsidR="003B7EC9" w:rsidRPr="003B7EC9" w:rsidRDefault="003B7EC9" w:rsidP="003B7EC9">
      <w:pPr>
        <w:rPr>
          <w:rFonts w:eastAsia="Times New Roman" w:cs="Arial"/>
          <w:bCs/>
          <w:color w:val="000000"/>
          <w:lang w:eastAsia="bg-BG"/>
        </w:rPr>
      </w:pPr>
      <w:r w:rsidRPr="003B7EC9">
        <w:rPr>
          <w:rFonts w:eastAsia="Times New Roman" w:cs="Arial"/>
          <w:bCs/>
          <w:color w:val="000000"/>
          <w:lang w:eastAsia="bg-BG"/>
        </w:rPr>
        <w:t>Не трябва да се прилага при пациенти с холестаза, с жлъчни обструктивни нарушения или тежко чернодробно увреждане (вж. точка 4.3), тъй като по-голямата част от телмисартан се елиминира чрез жлъчката. При тези пациенти може да се очаква намален чернодробен клирънс. Телмисартан трябва да се прилага внимателно при пациенти с леки до умерени нарушения в чернодробната функция.</w:t>
      </w:r>
    </w:p>
    <w:p w14:paraId="29A32117" w14:textId="72394239" w:rsidR="003B7EC9" w:rsidRPr="003B7EC9" w:rsidRDefault="003B7EC9" w:rsidP="003B7EC9">
      <w:pPr>
        <w:rPr>
          <w:rFonts w:eastAsia="Times New Roman" w:cs="Arial"/>
          <w:bCs/>
          <w:color w:val="000000"/>
          <w:lang w:eastAsia="bg-BG"/>
        </w:rPr>
      </w:pPr>
    </w:p>
    <w:p w14:paraId="0DF70D12" w14:textId="77777777"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Реноваскуларна хипертония</w:t>
      </w:r>
    </w:p>
    <w:p w14:paraId="59BD326C"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Когато пациенти със стеноза на бъбречна артерия или стеноза на артерията към единствен функциониращ бъбрек са третирани с лекарства, повлияващи системата ренин-ангиотензин- алдостерон, съществува повишен риск от тежка хипотония и бъбречна недостатъчност.</w:t>
      </w:r>
    </w:p>
    <w:p w14:paraId="560F3C5B" w14:textId="77777777" w:rsidR="003B7EC9" w:rsidRPr="003B7EC9" w:rsidRDefault="003B7EC9" w:rsidP="003B7EC9">
      <w:pPr>
        <w:spacing w:line="240" w:lineRule="auto"/>
        <w:rPr>
          <w:rFonts w:eastAsia="Times New Roman" w:cs="Arial"/>
          <w:bCs/>
          <w:i/>
          <w:iCs/>
          <w:color w:val="000000"/>
          <w:lang w:eastAsia="bg-BG"/>
        </w:rPr>
      </w:pPr>
    </w:p>
    <w:p w14:paraId="4A442CA1" w14:textId="68E5E1AB"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Бъбречно увреждане и бъбречен трансплантация</w:t>
      </w:r>
    </w:p>
    <w:p w14:paraId="3470FCB2"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Когато се използва телмисартан при пациенти с нарушена бъбречна функция, се препоръчва периодично следене на калия и серумното ниво на креатинина. Няма достатъчно данни по отношение на приложението на телмисартан при пациенти със скорошна бъбречна трансплантация. Телмисартанът не се диализира.</w:t>
      </w:r>
    </w:p>
    <w:p w14:paraId="76B21A26" w14:textId="77777777" w:rsidR="003B7EC9" w:rsidRPr="003B7EC9" w:rsidRDefault="003B7EC9" w:rsidP="003B7EC9">
      <w:pPr>
        <w:spacing w:line="240" w:lineRule="auto"/>
        <w:rPr>
          <w:rFonts w:eastAsia="Times New Roman" w:cs="Arial"/>
          <w:bCs/>
          <w:i/>
          <w:iCs/>
          <w:color w:val="000000"/>
          <w:lang w:eastAsia="bg-BG"/>
        </w:rPr>
      </w:pPr>
    </w:p>
    <w:p w14:paraId="6D9B1B31" w14:textId="218B43BB"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Вътресъдова хиповолемия</w:t>
      </w:r>
    </w:p>
    <w:p w14:paraId="48D9BA1A" w14:textId="77777777" w:rsidR="003B7EC9" w:rsidRPr="003B7EC9" w:rsidRDefault="003B7EC9" w:rsidP="003B7EC9">
      <w:pPr>
        <w:spacing w:line="240" w:lineRule="auto"/>
        <w:rPr>
          <w:rFonts w:eastAsia="Times New Roman" w:cs="Arial"/>
          <w:bCs/>
          <w:color w:val="000000"/>
          <w:lang w:eastAsia="bg-BG"/>
        </w:rPr>
      </w:pPr>
      <w:r w:rsidRPr="003B7EC9">
        <w:rPr>
          <w:rFonts w:eastAsia="Times New Roman" w:cs="Arial"/>
          <w:bCs/>
          <w:color w:val="000000"/>
          <w:lang w:eastAsia="bg-BG"/>
        </w:rPr>
        <w:t xml:space="preserve">Симптоматична хипотония, особено след първата доза телмисартан може да се наблюдава при пациенти с тежък натриев и/или обемен дефицит при мощна диуретична терапия, диета с ограничено приемане на сол, диария или повръщане. Такива състояния трябва да бъдат коригирани преди приложение на телмисартан. Натриевият и/или обемен дефицит трябва да бъде коригиран преди </w:t>
      </w:r>
    </w:p>
    <w:p w14:paraId="726F2188" w14:textId="29A20D01"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приложение на телмисартан.</w:t>
      </w:r>
    </w:p>
    <w:p w14:paraId="239B5164" w14:textId="77777777" w:rsidR="003B7EC9" w:rsidRPr="003B7EC9" w:rsidRDefault="003B7EC9" w:rsidP="003B7EC9">
      <w:pPr>
        <w:spacing w:line="240" w:lineRule="auto"/>
        <w:rPr>
          <w:rFonts w:eastAsia="Times New Roman" w:cs="Arial"/>
          <w:bCs/>
          <w:i/>
          <w:iCs/>
          <w:color w:val="000000"/>
          <w:lang w:eastAsia="bg-BG"/>
        </w:rPr>
      </w:pPr>
    </w:p>
    <w:p w14:paraId="2C664CA1" w14:textId="63C55002"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Двойно блокиране на систематаренин-ангиотензин-алдостерон (РААС)</w:t>
      </w:r>
    </w:p>
    <w:p w14:paraId="6B967774"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Има данни, че едновременната употреба на АСЕ-инхибитори, ангиотензин II 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АСЕ-инхибитори, ангиотензин II рецепторни блокери или алискирен (вж. точки 4.5 и 5.1).</w:t>
      </w:r>
    </w:p>
    <w:p w14:paraId="06719B79"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Ако се прецени, че терапията с двойно блокиране е абсолютно необходима, това трябва да се осъществява само под наблюдението на специалист и при често внимателно мониториране на бъбречната функция, електролитите и </w:t>
      </w:r>
      <w:r w:rsidRPr="003B7EC9">
        <w:rPr>
          <w:rFonts w:eastAsia="Times New Roman" w:cs="Arial"/>
          <w:bCs/>
          <w:i/>
          <w:iCs/>
          <w:color w:val="000000"/>
          <w:lang w:eastAsia="bg-BG"/>
        </w:rPr>
        <w:t>кръвното налягане.</w:t>
      </w:r>
    </w:p>
    <w:p w14:paraId="4F662E06"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lastRenderedPageBreak/>
        <w:t xml:space="preserve">АСЕ-инхибитори и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 блокери не трябва да се използват едновременно при пациенти с диабетна нефропатия.</w:t>
      </w:r>
    </w:p>
    <w:p w14:paraId="1E007772"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Като последица от инхибирането на ренин-ангиотензин-алдостерон системата, хипотония, синкоп, хиперкалиемия и промени в бъбречната функция (включително остра бъбречна недостатъчност) са докладвани при предразположени пациенти, особено, ако се комбинират лекарствени продукти, които повлияват тази система. Затова двойната блокада на ренин- ангиотензин-алдостерон системата (например чрез прилагане на телмисартан с другите блокери на ренин-ангиотензин-алдостерон системата) не се препоръчва. Внимателно проследяване на бъбречната функция е препоръчително, ако се счита за необходимо едновременно приложение.</w:t>
      </w:r>
    </w:p>
    <w:p w14:paraId="23A28695" w14:textId="77777777" w:rsidR="003B7EC9" w:rsidRPr="003B7EC9" w:rsidRDefault="003B7EC9" w:rsidP="003B7EC9">
      <w:pPr>
        <w:spacing w:line="240" w:lineRule="auto"/>
        <w:rPr>
          <w:rFonts w:eastAsia="Times New Roman" w:cs="Arial"/>
          <w:bCs/>
          <w:i/>
          <w:iCs/>
          <w:color w:val="000000"/>
          <w:lang w:eastAsia="bg-BG"/>
        </w:rPr>
      </w:pPr>
    </w:p>
    <w:p w14:paraId="12F30D09" w14:textId="188E3C0D"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Други състояния със стимулация на системата ренин-ангиотензин-алдостерон</w:t>
      </w:r>
    </w:p>
    <w:p w14:paraId="1147C3BA"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пациенти, чийто съдов тонус и бъбречна функция зависят основно от активността на системата ренин-ангиотензин-алдостерон системата (например пациенти с тежка застойна сърдечна недостатъчност или подлежащо бъбречно заболяване, включително и стеноза на бъбречната артерия), лечението с лекарствени продукти, които повлияват тази система като телмисартан, се свързва с остра хипотония, хиперазотемия, олигурия или рядко остра бъбречна недостатъчност (вж. точка 4.8).</w:t>
      </w:r>
    </w:p>
    <w:p w14:paraId="1C8D602E" w14:textId="77777777" w:rsidR="003B7EC9" w:rsidRPr="003B7EC9" w:rsidRDefault="003B7EC9" w:rsidP="003B7EC9">
      <w:pPr>
        <w:spacing w:line="240" w:lineRule="auto"/>
        <w:rPr>
          <w:rFonts w:eastAsia="Times New Roman" w:cs="Arial"/>
          <w:bCs/>
          <w:i/>
          <w:iCs/>
          <w:color w:val="000000"/>
          <w:lang w:eastAsia="bg-BG"/>
        </w:rPr>
      </w:pPr>
    </w:p>
    <w:p w14:paraId="092C658E" w14:textId="2D11BD06"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Първичен алдостеронизъм</w:t>
      </w:r>
    </w:p>
    <w:p w14:paraId="0740A7CB"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Пациенти с първичен алдостеронизъм по принцип няма да реагират на антихипертензивни лекарствени продукти, действащи чрез инхибиране на ренин-ангиотензин системата. Поради това, употребата на телмисартан не се препоръчва.</w:t>
      </w:r>
    </w:p>
    <w:p w14:paraId="46AAE3B4" w14:textId="77777777" w:rsidR="003B7EC9" w:rsidRPr="003B7EC9" w:rsidRDefault="003B7EC9" w:rsidP="003B7EC9">
      <w:pPr>
        <w:spacing w:line="240" w:lineRule="auto"/>
        <w:rPr>
          <w:rFonts w:eastAsia="Times New Roman" w:cs="Arial"/>
          <w:bCs/>
          <w:i/>
          <w:iCs/>
          <w:color w:val="000000"/>
          <w:lang w:eastAsia="bg-BG"/>
        </w:rPr>
      </w:pPr>
    </w:p>
    <w:p w14:paraId="5671DADB" w14:textId="24EE38D9" w:rsidR="003B7EC9" w:rsidRPr="003B7EC9" w:rsidRDefault="003B7EC9" w:rsidP="003B7EC9">
      <w:pPr>
        <w:spacing w:line="240" w:lineRule="auto"/>
        <w:rPr>
          <w:rFonts w:eastAsia="Times New Roman" w:cs="Arial"/>
          <w:bCs/>
          <w:color w:val="000000"/>
          <w:lang w:eastAsia="bg-BG"/>
        </w:rPr>
      </w:pPr>
      <w:r w:rsidRPr="003B7EC9">
        <w:rPr>
          <w:rFonts w:eastAsia="Times New Roman" w:cs="Arial"/>
          <w:bCs/>
          <w:i/>
          <w:iCs/>
          <w:color w:val="000000"/>
          <w:lang w:eastAsia="bg-BG"/>
        </w:rPr>
        <w:t xml:space="preserve">Стеноза на аортната и митрална клапа, обструктивна хипертрофична кардиомиопатия </w:t>
      </w:r>
      <w:r w:rsidRPr="003B7EC9">
        <w:rPr>
          <w:rFonts w:eastAsia="Times New Roman" w:cs="Arial"/>
          <w:bCs/>
          <w:color w:val="000000"/>
          <w:lang w:eastAsia="bg-BG"/>
        </w:rPr>
        <w:t>Както при другите вазодилататори, специално внимание е необходимо при пациенти с аортна или митрална стеноза или обструктивна хипертрофична кардиомиопатия.</w:t>
      </w:r>
    </w:p>
    <w:p w14:paraId="6207A91B" w14:textId="5AEF6D90" w:rsidR="003B7EC9" w:rsidRPr="003B7EC9" w:rsidRDefault="003B7EC9" w:rsidP="003B7EC9">
      <w:pPr>
        <w:spacing w:line="240" w:lineRule="auto"/>
        <w:rPr>
          <w:rFonts w:eastAsia="Times New Roman" w:cs="Arial"/>
          <w:bCs/>
          <w:color w:val="000000"/>
          <w:lang w:eastAsia="bg-BG"/>
        </w:rPr>
      </w:pPr>
    </w:p>
    <w:p w14:paraId="79D8204D" w14:textId="77777777"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Пациенти с диабет, лекувани с инсулин или антидиабетни лекарства</w:t>
      </w:r>
    </w:p>
    <w:p w14:paraId="735C1A4A"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тези пациенти може да настъпи хипогликемия при лечение с телмисартан. Затова, при тези пациенти трябва да се обмисли съответно проследяване на кръвната захар и може да се наложи коригиране на дозата на инсулина или антидиабетните лекарства, когато е показано.</w:t>
      </w:r>
    </w:p>
    <w:p w14:paraId="3BBFB671" w14:textId="77777777" w:rsidR="003B7EC9" w:rsidRPr="003B7EC9" w:rsidRDefault="003B7EC9" w:rsidP="003B7EC9">
      <w:pPr>
        <w:spacing w:line="240" w:lineRule="auto"/>
        <w:rPr>
          <w:rFonts w:eastAsia="Times New Roman" w:cs="Arial"/>
          <w:bCs/>
          <w:i/>
          <w:iCs/>
          <w:color w:val="000000"/>
          <w:lang w:eastAsia="bg-BG"/>
        </w:rPr>
      </w:pPr>
    </w:p>
    <w:p w14:paraId="2F696D83" w14:textId="5EBAB507"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Хиперкалиемия</w:t>
      </w:r>
    </w:p>
    <w:p w14:paraId="7A9B1254"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Употребата на лекарствени продукти, които повлияват ренин-ангиотензин-алдостерон системата може да доведе до хиперкалиемия.</w:t>
      </w:r>
    </w:p>
    <w:p w14:paraId="2A1B1541"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Хиперкалиемията може да бъде с фатален изход при пациенти в напреднала възраст, при пациенти с бъбречна недостатъчност, при пациенти с диабет, при пациенти, лекувани едновременно и с други лекарствени продукти, които могат да повишат нивата на калия и/или при пациенти с придружаващи състояния.</w:t>
      </w:r>
    </w:p>
    <w:p w14:paraId="1F4976D8" w14:textId="77777777" w:rsidR="003B7EC9" w:rsidRPr="003B7EC9" w:rsidRDefault="003B7EC9" w:rsidP="003B7EC9">
      <w:pPr>
        <w:spacing w:line="240" w:lineRule="auto"/>
        <w:rPr>
          <w:rFonts w:eastAsia="Times New Roman" w:cs="Arial"/>
          <w:bCs/>
          <w:color w:val="000000"/>
          <w:lang w:eastAsia="bg-BG"/>
        </w:rPr>
      </w:pPr>
    </w:p>
    <w:p w14:paraId="6C0B3873" w14:textId="44C6F24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Преди да се вземе решение за едновременно приложение на лекарствени продукти, които повлияват ренин-ангиотензин-алдостерон системата, трябва да се прецени съотношението полза/ риск.</w:t>
      </w:r>
    </w:p>
    <w:p w14:paraId="05818BD1"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Основните рискови фактори за възникване на хиперкалиемия, които трябва да се вземат под внимание, са:</w:t>
      </w:r>
    </w:p>
    <w:p w14:paraId="7C037B60" w14:textId="77777777" w:rsidR="003B7EC9" w:rsidRPr="003B7EC9" w:rsidRDefault="003B7EC9" w:rsidP="003B7EC9">
      <w:pPr>
        <w:pStyle w:val="ListParagraph"/>
        <w:numPr>
          <w:ilvl w:val="0"/>
          <w:numId w:val="37"/>
        </w:numPr>
        <w:spacing w:line="240" w:lineRule="auto"/>
        <w:rPr>
          <w:rFonts w:eastAsia="Times New Roman" w:cs="Arial"/>
        </w:rPr>
      </w:pPr>
      <w:r w:rsidRPr="003B7EC9">
        <w:rPr>
          <w:rFonts w:eastAsia="Times New Roman" w:cs="Arial"/>
          <w:bCs/>
          <w:color w:val="000000"/>
          <w:lang w:eastAsia="bg-BG"/>
        </w:rPr>
        <w:t>Захарен диабет, бъбречно увреждане, възраст (&gt;70 години)</w:t>
      </w:r>
    </w:p>
    <w:p w14:paraId="1E340EB9" w14:textId="77777777" w:rsidR="003B7EC9" w:rsidRPr="003B7EC9" w:rsidRDefault="003B7EC9" w:rsidP="003B7EC9">
      <w:pPr>
        <w:pStyle w:val="ListParagraph"/>
        <w:numPr>
          <w:ilvl w:val="0"/>
          <w:numId w:val="37"/>
        </w:numPr>
        <w:spacing w:line="240" w:lineRule="auto"/>
        <w:rPr>
          <w:rFonts w:eastAsia="Times New Roman" w:cs="Arial"/>
        </w:rPr>
      </w:pPr>
      <w:r w:rsidRPr="003B7EC9">
        <w:rPr>
          <w:rFonts w:eastAsia="Times New Roman" w:cs="Arial"/>
          <w:bCs/>
          <w:color w:val="000000"/>
          <w:lang w:eastAsia="bg-BG"/>
        </w:rPr>
        <w:t xml:space="preserve">Комбинация с един или повече лекарствени продукти, които повлияват ренин- ангиотензин-алдостерон системата и/или калиеви добавки. Лекарствени продукти </w:t>
      </w:r>
      <w:r w:rsidRPr="003B7EC9">
        <w:rPr>
          <w:rFonts w:eastAsia="Times New Roman" w:cs="Arial"/>
          <w:bCs/>
          <w:color w:val="000000"/>
          <w:lang w:eastAsia="bg-BG"/>
        </w:rPr>
        <w:lastRenderedPageBreak/>
        <w:t xml:space="preserve">или терапевтични групи лекарства, които могат да предизвикат хиперкалиемия са: солеви заместители, съдържащи калий, калий-съхраняващи диуретици, АСЕ инхибитори,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 антагонисти, нестероидни противовъзпалителни лекарствени продукти (НСПВС, включително селективни СОХ -2 инхибитори), хепарин, имуносупресори (циклоспорин или такролимус) и триметоприм.</w:t>
      </w:r>
    </w:p>
    <w:p w14:paraId="5E40E52E" w14:textId="5BBA8959" w:rsidR="003B7EC9" w:rsidRPr="003B7EC9" w:rsidRDefault="003B7EC9" w:rsidP="003B7EC9">
      <w:pPr>
        <w:pStyle w:val="ListParagraph"/>
        <w:numPr>
          <w:ilvl w:val="0"/>
          <w:numId w:val="37"/>
        </w:numPr>
        <w:spacing w:line="240" w:lineRule="auto"/>
        <w:rPr>
          <w:rFonts w:eastAsia="Times New Roman" w:cs="Arial"/>
        </w:rPr>
      </w:pPr>
      <w:r w:rsidRPr="003B7EC9">
        <w:rPr>
          <w:rFonts w:eastAsia="Times New Roman" w:cs="Arial"/>
          <w:bCs/>
          <w:color w:val="000000"/>
          <w:lang w:eastAsia="bg-BG"/>
        </w:rPr>
        <w:t>Интеркурентни събития и по-специално дехидратиране, остра сърдечна декомпенсация, метаболнтна ацидоза, влошена бъбречна функция, внезапно влошаване на бъбречното състояние (например инфекциозни заболявалия), клетъчно лизиране (например остра исхемия на крайника, рабдомиолиза, обширна травма).</w:t>
      </w:r>
    </w:p>
    <w:p w14:paraId="14409524" w14:textId="77777777" w:rsidR="003B7EC9" w:rsidRPr="003B7EC9" w:rsidRDefault="003B7EC9" w:rsidP="003B7EC9">
      <w:pPr>
        <w:spacing w:line="240" w:lineRule="auto"/>
        <w:rPr>
          <w:rFonts w:eastAsia="Times New Roman" w:cs="Arial"/>
          <w:bCs/>
          <w:color w:val="000000"/>
          <w:lang w:eastAsia="bg-BG"/>
        </w:rPr>
      </w:pPr>
    </w:p>
    <w:p w14:paraId="7AA508CC" w14:textId="4E259E8E"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рискови пациенти се препоръчва внимателно следене на серумния калий (вж. точка 4.5).</w:t>
      </w:r>
    </w:p>
    <w:p w14:paraId="60230C72" w14:textId="77777777" w:rsidR="003B7EC9" w:rsidRPr="003B7EC9" w:rsidRDefault="003B7EC9" w:rsidP="003B7EC9">
      <w:pPr>
        <w:spacing w:line="240" w:lineRule="auto"/>
        <w:rPr>
          <w:rFonts w:eastAsia="Times New Roman" w:cs="Arial"/>
          <w:bCs/>
          <w:i/>
          <w:iCs/>
          <w:color w:val="000000"/>
          <w:lang w:eastAsia="bg-BG"/>
        </w:rPr>
      </w:pPr>
    </w:p>
    <w:p w14:paraId="284F7A50" w14:textId="0CA63A9B"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Етнически различия</w:t>
      </w:r>
    </w:p>
    <w:p w14:paraId="0C1420D0"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Както е наблюдавано при инхибиторите на ангиотензин конвертиращия ензим, телмисартан и другите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 антагонисти са очевидно по-малко ефективни в понижаването на кръвното налягане при хора от черната раса, отколкото при другите раси, вероятно поради по-честото срещане в черната популация на ниско рениново ниво с прояви на хипертония.</w:t>
      </w:r>
    </w:p>
    <w:p w14:paraId="4F312CFA" w14:textId="77777777" w:rsidR="003B7EC9" w:rsidRPr="003B7EC9" w:rsidRDefault="003B7EC9" w:rsidP="003B7EC9">
      <w:pPr>
        <w:spacing w:line="240" w:lineRule="auto"/>
        <w:rPr>
          <w:rFonts w:eastAsia="Times New Roman" w:cs="Arial"/>
          <w:bCs/>
          <w:i/>
          <w:iCs/>
          <w:color w:val="000000"/>
          <w:lang w:eastAsia="bg-BG"/>
        </w:rPr>
      </w:pPr>
    </w:p>
    <w:p w14:paraId="7B3B858E" w14:textId="40BA8947"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Други</w:t>
      </w:r>
    </w:p>
    <w:p w14:paraId="357F890E"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Както при други антихипертензивни агенти, ексцесивната редукция на кръвното налягане при пациенти с исхемична кардиопатия или исхемично сърдечно-съдово може да доведе до миокарден инфаркт или инсулт.</w:t>
      </w:r>
    </w:p>
    <w:p w14:paraId="4513EDAB" w14:textId="77777777" w:rsidR="003B7EC9" w:rsidRPr="003B7EC9" w:rsidRDefault="003B7EC9" w:rsidP="003B7EC9">
      <w:pPr>
        <w:spacing w:line="240" w:lineRule="auto"/>
        <w:rPr>
          <w:rFonts w:eastAsia="Times New Roman" w:cs="Arial"/>
          <w:bCs/>
          <w:color w:val="000000"/>
          <w:u w:val="single"/>
          <w:lang w:eastAsia="bg-BG"/>
        </w:rPr>
      </w:pPr>
    </w:p>
    <w:p w14:paraId="78B9AA49" w14:textId="2C9757E6" w:rsidR="003B7EC9" w:rsidRPr="003B7EC9" w:rsidRDefault="003B7EC9" w:rsidP="003B7EC9">
      <w:pPr>
        <w:spacing w:line="240" w:lineRule="auto"/>
        <w:rPr>
          <w:rFonts w:eastAsia="Times New Roman" w:cs="Arial"/>
        </w:rPr>
      </w:pPr>
      <w:r w:rsidRPr="003B7EC9">
        <w:rPr>
          <w:rFonts w:eastAsia="Times New Roman" w:cs="Arial"/>
          <w:bCs/>
          <w:color w:val="000000"/>
          <w:u w:val="single"/>
          <w:lang w:eastAsia="bg-BG"/>
        </w:rPr>
        <w:t>Амлодипин</w:t>
      </w:r>
    </w:p>
    <w:p w14:paraId="05C6A850"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Безопасността и ефикасността на амлодипин при хипертонична криза не е установена.</w:t>
      </w:r>
    </w:p>
    <w:p w14:paraId="7307C150" w14:textId="77777777" w:rsidR="003B7EC9" w:rsidRPr="003B7EC9" w:rsidRDefault="003B7EC9" w:rsidP="003B7EC9">
      <w:pPr>
        <w:spacing w:line="240" w:lineRule="auto"/>
        <w:rPr>
          <w:rFonts w:eastAsia="Times New Roman" w:cs="Arial"/>
          <w:bCs/>
          <w:i/>
          <w:iCs/>
          <w:color w:val="000000"/>
          <w:lang w:eastAsia="bg-BG"/>
        </w:rPr>
      </w:pPr>
    </w:p>
    <w:p w14:paraId="3133A6DB" w14:textId="28918E2B"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Пациенти със сърдечна недостатъчност</w:t>
      </w:r>
    </w:p>
    <w:p w14:paraId="2E4B17B6" w14:textId="2594F654"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Пациентите със сърдечна недостатъчност трябва да бъдат лекувани с внимание. В дългосрочно плацебо-контролирано изпитване при пациенти с тежка сърдечна недостатъчност </w:t>
      </w:r>
      <w:r w:rsidRPr="003B7EC9">
        <w:rPr>
          <w:rFonts w:eastAsia="Times New Roman" w:cs="Arial"/>
          <w:bCs/>
          <w:color w:val="000000"/>
          <w:lang w:val="ru-RU"/>
        </w:rPr>
        <w:t>(</w:t>
      </w:r>
      <w:r w:rsidRPr="003B7EC9">
        <w:rPr>
          <w:rFonts w:eastAsia="Times New Roman" w:cs="Arial"/>
          <w:bCs/>
          <w:color w:val="000000"/>
          <w:lang w:val="en-US"/>
        </w:rPr>
        <w:t>NYHA</w:t>
      </w:r>
      <w:r w:rsidRPr="003B7EC9">
        <w:rPr>
          <w:rFonts w:eastAsia="Times New Roman" w:cs="Arial"/>
          <w:bCs/>
          <w:color w:val="000000"/>
          <w:lang w:val="ru-RU"/>
        </w:rPr>
        <w:t xml:space="preserve"> </w:t>
      </w:r>
      <w:r w:rsidRPr="003B7EC9">
        <w:rPr>
          <w:rFonts w:eastAsia="Times New Roman" w:cs="Arial"/>
          <w:bCs/>
          <w:color w:val="000000"/>
          <w:lang w:eastAsia="bg-BG"/>
        </w:rPr>
        <w:t>клас III и IV) съобщаваната честота на белодробен оток е била по-висока в групата, лекувана с амлодипин, отколкото в плацебо-групата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сърдечни съдови събития и смъртност.</w:t>
      </w:r>
    </w:p>
    <w:p w14:paraId="19AE80DE" w14:textId="0B901506" w:rsidR="003B7EC9" w:rsidRPr="003B7EC9" w:rsidRDefault="003B7EC9" w:rsidP="003B7EC9">
      <w:pPr>
        <w:rPr>
          <w:rFonts w:cs="Arial"/>
        </w:rPr>
      </w:pPr>
    </w:p>
    <w:p w14:paraId="15838506" w14:textId="77777777"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Пациенти с нарушена чернодробна функция</w:t>
      </w:r>
    </w:p>
    <w:p w14:paraId="7192F60B"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Полуживотът на амлодипин е удължен, а стойностите на </w:t>
      </w:r>
      <w:r w:rsidRPr="003B7EC9">
        <w:rPr>
          <w:rFonts w:eastAsia="Times New Roman" w:cs="Arial"/>
          <w:bCs/>
          <w:color w:val="000000"/>
          <w:lang w:val="en-US"/>
        </w:rPr>
        <w:t>AUC</w:t>
      </w:r>
      <w:r w:rsidRPr="003B7EC9">
        <w:rPr>
          <w:rFonts w:eastAsia="Times New Roman" w:cs="Arial"/>
          <w:bCs/>
          <w:color w:val="000000"/>
          <w:lang w:val="ru-RU"/>
        </w:rPr>
        <w:t xml:space="preserve"> </w:t>
      </w:r>
      <w:r w:rsidRPr="003B7EC9">
        <w:rPr>
          <w:rFonts w:eastAsia="Times New Roman" w:cs="Arial"/>
          <w:bCs/>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4999A646" w14:textId="77777777" w:rsidR="003B7EC9" w:rsidRPr="003B7EC9" w:rsidRDefault="003B7EC9" w:rsidP="003B7EC9">
      <w:pPr>
        <w:spacing w:line="240" w:lineRule="auto"/>
        <w:rPr>
          <w:rFonts w:eastAsia="Times New Roman" w:cs="Arial"/>
          <w:bCs/>
          <w:i/>
          <w:iCs/>
          <w:color w:val="000000"/>
          <w:lang w:eastAsia="bg-BG"/>
        </w:rPr>
      </w:pPr>
    </w:p>
    <w:p w14:paraId="2DF5ED0C" w14:textId="3A076AD1"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Старческа възраст</w:t>
      </w:r>
    </w:p>
    <w:p w14:paraId="4E93B24F"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Повишаване на дозата при пациенти в старческа възраст трябва да се извършва с внимание (вж. точки 4.2 и 5.2).</w:t>
      </w:r>
    </w:p>
    <w:p w14:paraId="7A8252B2" w14:textId="77777777" w:rsidR="003B7EC9" w:rsidRPr="003B7EC9" w:rsidRDefault="003B7EC9" w:rsidP="003B7EC9">
      <w:pPr>
        <w:spacing w:line="240" w:lineRule="auto"/>
        <w:rPr>
          <w:rFonts w:eastAsia="Times New Roman" w:cs="Arial"/>
          <w:bCs/>
          <w:i/>
          <w:iCs/>
          <w:color w:val="000000"/>
          <w:lang w:eastAsia="bg-BG"/>
        </w:rPr>
      </w:pPr>
    </w:p>
    <w:p w14:paraId="132C6F72" w14:textId="268C96CF"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lastRenderedPageBreak/>
        <w:t>Пациенти с бъбречно увреждане</w:t>
      </w:r>
    </w:p>
    <w:p w14:paraId="2ABC2DB9"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Амлодипин може да се използва при тези пациенти в нормални дози. Промени в плазмените концентрации на амлодипин не са свързани със степента на бъбречното увреждане. Амлодипин не се диализира.</w:t>
      </w:r>
    </w:p>
    <w:p w14:paraId="74BE42DE" w14:textId="77777777" w:rsidR="003B7EC9" w:rsidRPr="003B7EC9" w:rsidRDefault="003B7EC9" w:rsidP="003B7EC9">
      <w:pPr>
        <w:spacing w:line="240" w:lineRule="auto"/>
        <w:rPr>
          <w:rFonts w:eastAsia="Times New Roman" w:cs="Arial"/>
          <w:bCs/>
          <w:i/>
          <w:iCs/>
          <w:color w:val="000000"/>
          <w:lang w:eastAsia="bg-BG"/>
        </w:rPr>
      </w:pPr>
    </w:p>
    <w:p w14:paraId="1032ECB9" w14:textId="3254A803"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Предупреждения за помощните вещества</w:t>
      </w:r>
    </w:p>
    <w:p w14:paraId="0CB038DF"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Това лекарство съдържа сорбитол. Пациенти с рядка наследствена непоносимост към фруктоза </w:t>
      </w:r>
      <w:r w:rsidRPr="003B7EC9">
        <w:rPr>
          <w:rFonts w:eastAsia="Times New Roman" w:cs="Arial"/>
          <w:bCs/>
          <w:color w:val="000000"/>
          <w:lang w:val="ru-RU"/>
        </w:rPr>
        <w:t>(</w:t>
      </w:r>
      <w:r w:rsidRPr="003B7EC9">
        <w:rPr>
          <w:rFonts w:eastAsia="Times New Roman" w:cs="Arial"/>
          <w:bCs/>
          <w:color w:val="000000"/>
          <w:lang w:val="en-US"/>
        </w:rPr>
        <w:t>HFI</w:t>
      </w:r>
      <w:r w:rsidRPr="003B7EC9">
        <w:rPr>
          <w:rFonts w:eastAsia="Times New Roman" w:cs="Arial"/>
          <w:bCs/>
          <w:color w:val="000000"/>
          <w:lang w:val="ru-RU"/>
        </w:rPr>
        <w:t xml:space="preserve">) </w:t>
      </w:r>
      <w:r w:rsidRPr="003B7EC9">
        <w:rPr>
          <w:rFonts w:eastAsia="Times New Roman" w:cs="Arial"/>
          <w:bCs/>
          <w:color w:val="000000"/>
          <w:lang w:eastAsia="bg-BG"/>
        </w:rPr>
        <w:t>не трябва да приемат този лекарствен продукт.</w:t>
      </w:r>
    </w:p>
    <w:p w14:paraId="5F82774F"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Адитивният ефект от едновременното приложение на продукти съдържащи сорбитол (или фруктоза) и приемът на сорбитол (или фруктоза) с храната трябва да се вземе в предвид. Съдържанието на сорбитол в лекарствени продукти за перорално приложение може да повлияе бионаличността на други лекарствени продукти за перорално приложение при едновременната им употреба.</w:t>
      </w:r>
    </w:p>
    <w:p w14:paraId="3741422B" w14:textId="77777777" w:rsidR="003B7EC9" w:rsidRPr="003B7EC9" w:rsidRDefault="003B7EC9" w:rsidP="003B7EC9">
      <w:pPr>
        <w:spacing w:line="240" w:lineRule="auto"/>
        <w:rPr>
          <w:rFonts w:eastAsia="Times New Roman" w:cs="Arial"/>
          <w:bCs/>
          <w:color w:val="000000"/>
          <w:lang w:eastAsia="bg-BG"/>
        </w:rPr>
      </w:pPr>
    </w:p>
    <w:p w14:paraId="2B2809A9" w14:textId="42183F4D"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Това лекарство съдържа по-малко от 1 </w:t>
      </w:r>
      <w:proofErr w:type="spellStart"/>
      <w:r w:rsidRPr="003B7EC9">
        <w:rPr>
          <w:rFonts w:eastAsia="Times New Roman" w:cs="Arial"/>
          <w:bCs/>
          <w:color w:val="000000"/>
          <w:lang w:val="en-US"/>
        </w:rPr>
        <w:t>mmol</w:t>
      </w:r>
      <w:proofErr w:type="spellEnd"/>
      <w:r w:rsidRPr="003B7EC9">
        <w:rPr>
          <w:rFonts w:eastAsia="Times New Roman" w:cs="Arial"/>
          <w:bCs/>
          <w:color w:val="000000"/>
          <w:lang w:val="ru-RU"/>
        </w:rPr>
        <w:t xml:space="preserve"> </w:t>
      </w:r>
      <w:r w:rsidRPr="003B7EC9">
        <w:rPr>
          <w:rFonts w:eastAsia="Times New Roman" w:cs="Arial"/>
          <w:bCs/>
          <w:color w:val="000000"/>
          <w:lang w:eastAsia="bg-BG"/>
        </w:rPr>
        <w:t xml:space="preserve">натрий (23 </w:t>
      </w:r>
      <w:r w:rsidRPr="003B7EC9">
        <w:rPr>
          <w:rFonts w:eastAsia="Times New Roman" w:cs="Arial"/>
          <w:bCs/>
          <w:color w:val="000000"/>
          <w:lang w:val="en-US"/>
        </w:rPr>
        <w:t>mg</w:t>
      </w:r>
      <w:r w:rsidRPr="003B7EC9">
        <w:rPr>
          <w:rFonts w:eastAsia="Times New Roman" w:cs="Arial"/>
          <w:bCs/>
          <w:color w:val="000000"/>
          <w:lang w:val="ru-RU"/>
        </w:rPr>
        <w:t xml:space="preserve">) </w:t>
      </w:r>
      <w:r w:rsidRPr="003B7EC9">
        <w:rPr>
          <w:rFonts w:eastAsia="Times New Roman" w:cs="Arial"/>
          <w:bCs/>
          <w:color w:val="000000"/>
          <w:lang w:eastAsia="bg-BG"/>
        </w:rPr>
        <w:t>в таблетка, така че на практика е „без натрий“.</w:t>
      </w:r>
    </w:p>
    <w:p w14:paraId="31833D81" w14:textId="77777777" w:rsidR="003B7EC9" w:rsidRPr="003B7EC9" w:rsidRDefault="003B7EC9" w:rsidP="003B7EC9"/>
    <w:p w14:paraId="62F27C9B" w14:textId="5D670F5E"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5C568FB" w14:textId="11594B3D" w:rsidR="003B7EC9" w:rsidRDefault="003B7EC9" w:rsidP="003B7EC9"/>
    <w:p w14:paraId="5DDE0863" w14:textId="77777777" w:rsidR="003B7EC9" w:rsidRPr="003B7EC9" w:rsidRDefault="003B7EC9" w:rsidP="003B7EC9">
      <w:pPr>
        <w:spacing w:line="240" w:lineRule="auto"/>
        <w:rPr>
          <w:rFonts w:eastAsia="Times New Roman" w:cs="Arial"/>
        </w:rPr>
      </w:pPr>
      <w:r w:rsidRPr="003B7EC9">
        <w:rPr>
          <w:rFonts w:eastAsia="Times New Roman" w:cs="Arial"/>
          <w:bCs/>
          <w:color w:val="000000"/>
          <w:u w:val="single"/>
          <w:lang w:eastAsia="bg-BG"/>
        </w:rPr>
        <w:t>Свързани с телмисартан</w:t>
      </w:r>
    </w:p>
    <w:p w14:paraId="2150B610" w14:textId="77777777" w:rsidR="003B7EC9" w:rsidRPr="003B7EC9" w:rsidRDefault="003B7EC9" w:rsidP="003B7EC9">
      <w:pPr>
        <w:spacing w:line="240" w:lineRule="auto"/>
        <w:rPr>
          <w:rFonts w:eastAsia="Times New Roman" w:cs="Arial"/>
          <w:bCs/>
          <w:color w:val="000000"/>
          <w:u w:val="single"/>
          <w:lang w:eastAsia="bg-BG"/>
        </w:rPr>
      </w:pPr>
    </w:p>
    <w:p w14:paraId="29F49662" w14:textId="1BFBAE0C" w:rsidR="003B7EC9" w:rsidRPr="003B7EC9" w:rsidRDefault="003B7EC9" w:rsidP="003B7EC9">
      <w:pPr>
        <w:spacing w:line="240" w:lineRule="auto"/>
        <w:rPr>
          <w:rFonts w:eastAsia="Times New Roman" w:cs="Arial"/>
        </w:rPr>
      </w:pPr>
      <w:r w:rsidRPr="003B7EC9">
        <w:rPr>
          <w:rFonts w:eastAsia="Times New Roman" w:cs="Arial"/>
          <w:bCs/>
          <w:color w:val="000000"/>
          <w:u w:val="single"/>
          <w:lang w:eastAsia="bg-BG"/>
        </w:rPr>
        <w:t>Дигоксин</w:t>
      </w:r>
    </w:p>
    <w:p w14:paraId="2739EDF8"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едновременна употреба на телмисартан с дигоксин се наблюдава умерено повишаване на пиковата (49%) и на най-ниската (20%) плазмена концентация на дигоксин. При започване, коригиране на дозата или спиране на лечението с телмисартан, трябва да се наблюдават нивата на дигоксин, за да се поддържат в терапевтичния интервал.</w:t>
      </w:r>
    </w:p>
    <w:p w14:paraId="37EF8D92" w14:textId="77777777" w:rsidR="003B7EC9" w:rsidRPr="003B7EC9" w:rsidRDefault="003B7EC9" w:rsidP="003B7EC9">
      <w:pPr>
        <w:spacing w:line="240" w:lineRule="auto"/>
        <w:rPr>
          <w:rFonts w:eastAsia="Times New Roman" w:cs="Arial"/>
          <w:bCs/>
          <w:color w:val="000000"/>
          <w:lang w:eastAsia="bg-BG"/>
        </w:rPr>
      </w:pPr>
    </w:p>
    <w:p w14:paraId="746AF7B1" w14:textId="3065440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Както и другите лекарствени продукти, които повлияват ренин-ангиотензин-алдостерон системата, телмисартан може да предизвика хиперкалиемия (вж. точка 4.4). Този риск може да се увеличи в случай на комбинирано лечение с други лекарствени продукти, които могат също да предизвикат хиперкалиемияхолеви заместители, съдържащи калий, калий-съхранявящи диуретици, АСЕ инихибитори,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 антагонисти, нестероидни противовъзпалителни средства (НСПВС, включително селективни СОХ-2 инхибитори), хеперин, имуносупресори (циклоспорин или такролимус), и триметоприм.</w:t>
      </w:r>
    </w:p>
    <w:p w14:paraId="16046285" w14:textId="77777777" w:rsidR="003B7EC9" w:rsidRPr="003B7EC9" w:rsidRDefault="003B7EC9" w:rsidP="003B7EC9">
      <w:pPr>
        <w:spacing w:line="240" w:lineRule="auto"/>
        <w:rPr>
          <w:rFonts w:eastAsia="Times New Roman" w:cs="Arial"/>
          <w:bCs/>
          <w:color w:val="000000"/>
          <w:lang w:eastAsia="bg-BG"/>
        </w:rPr>
      </w:pPr>
    </w:p>
    <w:p w14:paraId="46AD2EC5" w14:textId="7C16E963"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Възникването на хиперкалиемия зависи от свързаните с това рискови фактори. Рискът се повишава при по-горе посочените лечебни комбинации. Рискът е особено висок при комбинация с калий-съхраняващи диуретици и когато се комбинира със солеви заместители, съдържащи калий. Например при комбинация с АСЕ инхибитори или НСПВС рискът е по- малък, при условие, че стриктно се спазват предпазните мерки при употреба.</w:t>
      </w:r>
    </w:p>
    <w:p w14:paraId="71E4AA59" w14:textId="77777777" w:rsidR="003B7EC9" w:rsidRPr="003B7EC9" w:rsidRDefault="003B7EC9" w:rsidP="003B7EC9">
      <w:pPr>
        <w:spacing w:line="240" w:lineRule="auto"/>
        <w:rPr>
          <w:rFonts w:eastAsia="Times New Roman" w:cs="Arial"/>
          <w:bCs/>
          <w:i/>
          <w:iCs/>
          <w:color w:val="000000"/>
          <w:lang w:eastAsia="bg-BG"/>
        </w:rPr>
      </w:pPr>
    </w:p>
    <w:p w14:paraId="7CE823F0" w14:textId="41443CFE"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Едновременното приложение не се препоръ чва</w:t>
      </w:r>
    </w:p>
    <w:p w14:paraId="6C4F01E2" w14:textId="77777777" w:rsidR="003B7EC9" w:rsidRPr="003B7EC9" w:rsidRDefault="003B7EC9" w:rsidP="003B7EC9">
      <w:pPr>
        <w:spacing w:line="240" w:lineRule="auto"/>
        <w:rPr>
          <w:rFonts w:eastAsia="Times New Roman" w:cs="Arial"/>
          <w:bCs/>
          <w:i/>
          <w:iCs/>
          <w:color w:val="000000"/>
          <w:u w:val="single"/>
          <w:lang w:eastAsia="bg-BG"/>
        </w:rPr>
      </w:pPr>
    </w:p>
    <w:p w14:paraId="70B7AF5C" w14:textId="6C67FC82"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Калий-съхраняваши диуретиии или калиеви добавки</w:t>
      </w:r>
    </w:p>
    <w:p w14:paraId="51CF6251" w14:textId="2E082247" w:rsidR="003B7EC9" w:rsidRPr="003B7EC9" w:rsidRDefault="003B7EC9" w:rsidP="003B7EC9">
      <w:pPr>
        <w:spacing w:line="240" w:lineRule="auto"/>
        <w:rPr>
          <w:rFonts w:eastAsia="Times New Roman" w:cs="Arial"/>
          <w:bCs/>
          <w:color w:val="000000"/>
          <w:lang w:eastAsia="bg-BG"/>
        </w:rPr>
      </w:pPr>
      <w:r w:rsidRPr="003B7EC9">
        <w:rPr>
          <w:rFonts w:eastAsia="Times New Roman" w:cs="Arial"/>
          <w:bCs/>
          <w:color w:val="000000"/>
          <w:lang w:eastAsia="bg-BG"/>
        </w:rPr>
        <w:t>Ангиотензин II рецепторни антагонисти,като телмисартан намаляват загубата</w:t>
      </w:r>
      <w:r w:rsidRPr="003B7EC9">
        <w:rPr>
          <w:rFonts w:eastAsia="Times New Roman" w:cs="Arial"/>
          <w:bCs/>
          <w:color w:val="000000"/>
          <w:lang w:val="ru-RU"/>
        </w:rPr>
        <w:t xml:space="preserve"> </w:t>
      </w:r>
      <w:r w:rsidRPr="003B7EC9">
        <w:rPr>
          <w:rFonts w:eastAsia="Times New Roman" w:cs="Arial"/>
          <w:bCs/>
          <w:color w:val="000000"/>
          <w:lang w:eastAsia="bg-BG"/>
        </w:rPr>
        <w:t>на калии. Калии</w:t>
      </w:r>
      <w:r w:rsidRPr="003B7EC9">
        <w:rPr>
          <w:rFonts w:eastAsia="Times New Roman" w:cs="Arial"/>
          <w:bCs/>
          <w:i/>
          <w:iCs/>
          <w:color w:val="000000"/>
          <w:lang w:eastAsia="bg-BG"/>
        </w:rPr>
        <w:t xml:space="preserve"> </w:t>
      </w:r>
      <w:r w:rsidRPr="003B7EC9">
        <w:rPr>
          <w:rFonts w:eastAsia="Times New Roman" w:cs="Arial"/>
          <w:bCs/>
          <w:color w:val="000000"/>
          <w:lang w:eastAsia="bg-BG"/>
        </w:rPr>
        <w:t>съхраняващите диуретици като спиронолактон, еплеренон, триамтерен или амилорид.</w:t>
      </w:r>
    </w:p>
    <w:p w14:paraId="0917DC48" w14:textId="736A6B81" w:rsidR="003B7EC9" w:rsidRPr="003B7EC9" w:rsidRDefault="003B7EC9" w:rsidP="003B7EC9">
      <w:pPr>
        <w:spacing w:line="240" w:lineRule="auto"/>
        <w:rPr>
          <w:rFonts w:eastAsia="Times New Roman" w:cs="Arial"/>
          <w:bCs/>
          <w:color w:val="000000"/>
          <w:lang w:eastAsia="bg-BG"/>
        </w:rPr>
      </w:pPr>
    </w:p>
    <w:p w14:paraId="323F32D6"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калиевите добавки или волевите заместители, съдържащи калий могат да доведат до значимо повишаване на серумния калий. Ако едновременното приложение е показано поради установена хипокалиемия, то трябва да се извършва с повишено внимание и трябва често да се следи серумния калий.</w:t>
      </w:r>
    </w:p>
    <w:p w14:paraId="3AD0810F" w14:textId="77777777" w:rsidR="003B7EC9" w:rsidRPr="003B7EC9" w:rsidRDefault="003B7EC9" w:rsidP="003B7EC9">
      <w:pPr>
        <w:spacing w:line="240" w:lineRule="auto"/>
        <w:rPr>
          <w:rFonts w:eastAsia="Times New Roman" w:cs="Arial"/>
          <w:bCs/>
          <w:i/>
          <w:iCs/>
          <w:color w:val="000000"/>
          <w:u w:val="single"/>
          <w:lang w:eastAsia="bg-BG"/>
        </w:rPr>
      </w:pPr>
    </w:p>
    <w:p w14:paraId="3D8E120F" w14:textId="0CD3F7A7"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Литий</w:t>
      </w:r>
    </w:p>
    <w:p w14:paraId="0E57ACE2"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По време на едновременно приложение на литий с инхибитори на ангиотензин конвертиращия ензим и с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 антагонисти, включително телмисартан, са наблюдавани обратимо повишение на серумните литиеви концентрации и прояви на токсичност. Ако тази комбинация е необходима, се препоръчва внимателно следене на серумните нива на лития.</w:t>
      </w:r>
    </w:p>
    <w:p w14:paraId="07539C8B" w14:textId="77777777" w:rsidR="003B7EC9" w:rsidRPr="003B7EC9" w:rsidRDefault="003B7EC9" w:rsidP="003B7EC9">
      <w:pPr>
        <w:spacing w:line="240" w:lineRule="auto"/>
        <w:rPr>
          <w:rFonts w:eastAsia="Times New Roman" w:cs="Arial"/>
          <w:bCs/>
          <w:i/>
          <w:iCs/>
          <w:color w:val="000000"/>
          <w:lang w:eastAsia="bg-BG"/>
        </w:rPr>
      </w:pPr>
    </w:p>
    <w:p w14:paraId="54900F00" w14:textId="6BF3E98C"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Едновременното приложение изисква повишено внимание</w:t>
      </w:r>
    </w:p>
    <w:p w14:paraId="1F6C9B37" w14:textId="77777777" w:rsidR="003B7EC9" w:rsidRPr="003B7EC9" w:rsidRDefault="003B7EC9" w:rsidP="003B7EC9">
      <w:pPr>
        <w:spacing w:line="240" w:lineRule="auto"/>
        <w:rPr>
          <w:rFonts w:eastAsia="Times New Roman" w:cs="Arial"/>
          <w:bCs/>
          <w:i/>
          <w:iCs/>
          <w:color w:val="000000"/>
          <w:u w:val="single"/>
          <w:lang w:eastAsia="bg-BG"/>
        </w:rPr>
      </w:pPr>
    </w:p>
    <w:p w14:paraId="359C55FB" w14:textId="1378E16C"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Нестероидни противовъзпалителни средства</w:t>
      </w:r>
    </w:p>
    <w:p w14:paraId="499B5600" w14:textId="62092262"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НСПВС (т.е. ацетилсалицилова киселина в противовъзпалителни дози, СОХ-</w:t>
      </w:r>
      <w:r w:rsidRPr="003B7EC9">
        <w:rPr>
          <w:rFonts w:eastAsia="Times New Roman" w:cs="Arial"/>
          <w:bCs/>
          <w:i/>
          <w:iCs/>
          <w:color w:val="000000"/>
          <w:lang w:eastAsia="bg-BG"/>
        </w:rPr>
        <w:t>2</w:t>
      </w:r>
      <w:r w:rsidRPr="003B7EC9">
        <w:rPr>
          <w:rFonts w:eastAsia="Times New Roman" w:cs="Arial"/>
          <w:bCs/>
          <w:color w:val="000000"/>
          <w:lang w:eastAsia="bg-BG"/>
        </w:rPr>
        <w:t xml:space="preserve"> инхибитори и неселективни НСПВС) могат да намалят антихипертензивния ефект на ангиотензин </w:t>
      </w:r>
      <w:r w:rsidRPr="003B7EC9">
        <w:rPr>
          <w:rFonts w:eastAsia="Times New Roman" w:cs="Arial"/>
          <w:bCs/>
          <w:color w:val="000000"/>
          <w:lang w:val="en-US"/>
        </w:rPr>
        <w:t>II</w:t>
      </w:r>
      <w:r w:rsidRPr="003B7EC9">
        <w:rPr>
          <w:rFonts w:eastAsia="Times New Roman" w:cs="Arial"/>
          <w:bCs/>
          <w:color w:val="000000"/>
          <w:lang w:eastAsia="bg-BG"/>
        </w:rPr>
        <w:t xml:space="preserve"> рецепторните антагонисти. При някои пациенти с нарушена бъбречна функция (например дехидратирани пациенти или пациенти в напреднала възраст с нарушена бъбречна функция) едновременното приложение на ангиотензин II рецепторни антагонисти и лекарствени продукти, които инхибират цикло-оксигеназата може да доведе до по-нататъшно влошаване на бъбречната функция, включително е възможна остра бъбречна недостатъчност, която обикновено е обратима. По тази причина, комбинацията трябва да бъде прилагана с повишено внимание, особено при пациенти в напреднала възраст. Пациентите трябва да бъдат адекватно хидратирани и да бъде проследявана бъбречната им функция в началото на комбинираното лечение и периодично след това.</w:t>
      </w:r>
    </w:p>
    <w:p w14:paraId="12507F56" w14:textId="77777777" w:rsidR="003B7EC9" w:rsidRPr="003B7EC9" w:rsidRDefault="003B7EC9" w:rsidP="003B7EC9">
      <w:pPr>
        <w:spacing w:line="240" w:lineRule="auto"/>
        <w:rPr>
          <w:rFonts w:eastAsia="Times New Roman" w:cs="Arial"/>
          <w:bCs/>
          <w:i/>
          <w:iCs/>
          <w:color w:val="000000"/>
          <w:u w:val="single"/>
          <w:lang w:eastAsia="bg-BG"/>
        </w:rPr>
      </w:pPr>
    </w:p>
    <w:p w14:paraId="673F1357" w14:textId="248B628D"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Рамиприл</w:t>
      </w:r>
    </w:p>
    <w:p w14:paraId="79D5EC89"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В едно проучване едновременното прилагане на телмисартан и рамиприл е довело до повишаване на </w:t>
      </w:r>
      <w:r w:rsidRPr="003B7EC9">
        <w:rPr>
          <w:rFonts w:eastAsia="Times New Roman" w:cs="Arial"/>
          <w:bCs/>
          <w:color w:val="000000"/>
          <w:lang w:val="en-US"/>
        </w:rPr>
        <w:t>AUC</w:t>
      </w:r>
      <w:r w:rsidRPr="003B7EC9">
        <w:rPr>
          <w:rFonts w:eastAsia="Times New Roman" w:cs="Arial"/>
          <w:bCs/>
          <w:color w:val="000000"/>
          <w:lang w:val="ru-RU"/>
        </w:rPr>
        <w:t xml:space="preserve">0-24 </w:t>
      </w:r>
      <w:r w:rsidRPr="003B7EC9">
        <w:rPr>
          <w:rFonts w:eastAsia="Times New Roman" w:cs="Arial"/>
          <w:bCs/>
          <w:color w:val="000000"/>
          <w:lang w:eastAsia="bg-BG"/>
        </w:rPr>
        <w:t>и С</w:t>
      </w:r>
      <w:r w:rsidRPr="003B7EC9">
        <w:rPr>
          <w:rFonts w:eastAsia="Times New Roman" w:cs="Arial"/>
          <w:bCs/>
          <w:color w:val="000000"/>
          <w:vertAlign w:val="subscript"/>
          <w:lang w:val="en-US"/>
        </w:rPr>
        <w:t>max</w:t>
      </w:r>
      <w:r w:rsidRPr="003B7EC9">
        <w:rPr>
          <w:rFonts w:eastAsia="Times New Roman" w:cs="Arial"/>
          <w:bCs/>
          <w:color w:val="000000"/>
          <w:lang w:eastAsia="bg-BG"/>
        </w:rPr>
        <w:t xml:space="preserve"> на рамиприл и рамиприлат до 2,5 пъти. Клиничната значимост на това наблюдение не е известна.</w:t>
      </w:r>
    </w:p>
    <w:p w14:paraId="5C75E9F3" w14:textId="77777777" w:rsidR="003B7EC9" w:rsidRPr="003B7EC9" w:rsidRDefault="003B7EC9" w:rsidP="003B7EC9">
      <w:pPr>
        <w:spacing w:line="240" w:lineRule="auto"/>
        <w:rPr>
          <w:rFonts w:eastAsia="Times New Roman" w:cs="Arial"/>
          <w:bCs/>
          <w:i/>
          <w:iCs/>
          <w:color w:val="000000"/>
          <w:u w:val="single"/>
          <w:lang w:eastAsia="bg-BG"/>
        </w:rPr>
      </w:pPr>
    </w:p>
    <w:p w14:paraId="1EE02E3F" w14:textId="27E377C1"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Диуретиии (тиазидни или бримкови диуретиии)</w:t>
      </w:r>
    </w:p>
    <w:p w14:paraId="195ADEB6" w14:textId="05F1CA1D"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Предшестваща терапия с високи дози диуретици като фуроземиц (бримков диуретик) и хидрохлоротиазид (тиазиден диуретик) може да доведе до обемен дефицит и риск от възникване на хипотония при започване на лечение с телмисартан.</w:t>
      </w:r>
    </w:p>
    <w:p w14:paraId="48CA7405" w14:textId="77777777" w:rsidR="003B7EC9" w:rsidRPr="003B7EC9" w:rsidRDefault="003B7EC9" w:rsidP="003B7EC9">
      <w:pPr>
        <w:spacing w:line="240" w:lineRule="auto"/>
        <w:rPr>
          <w:rFonts w:eastAsia="Times New Roman" w:cs="Arial"/>
          <w:bCs/>
          <w:i/>
          <w:iCs/>
          <w:color w:val="000000"/>
          <w:lang w:eastAsia="bg-BG"/>
        </w:rPr>
      </w:pPr>
    </w:p>
    <w:p w14:paraId="4E1EABF5" w14:textId="329CEA04"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Трябва са се вземе под внимание при едновременно приложение</w:t>
      </w:r>
    </w:p>
    <w:p w14:paraId="1CAAFB9F" w14:textId="77777777" w:rsidR="003B7EC9" w:rsidRPr="003B7EC9" w:rsidRDefault="003B7EC9" w:rsidP="003B7EC9">
      <w:pPr>
        <w:spacing w:line="240" w:lineRule="auto"/>
        <w:rPr>
          <w:rFonts w:eastAsia="Times New Roman" w:cs="Arial"/>
          <w:bCs/>
          <w:i/>
          <w:iCs/>
          <w:color w:val="000000"/>
          <w:u w:val="single"/>
          <w:lang w:eastAsia="bg-BG"/>
        </w:rPr>
      </w:pPr>
    </w:p>
    <w:p w14:paraId="09B7A68E" w14:textId="19D1B21E"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Други антихипертензивни лекарствени продукти</w:t>
      </w:r>
    </w:p>
    <w:p w14:paraId="657D532D"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Хипотензивният ефект на телмисартан може да се повиши при едновременното приложение с други антихипергензивни лекарствени продукти.</w:t>
      </w:r>
    </w:p>
    <w:p w14:paraId="0C286E3D" w14:textId="77777777" w:rsidR="003B7EC9" w:rsidRPr="003B7EC9" w:rsidRDefault="003B7EC9" w:rsidP="003B7EC9">
      <w:pPr>
        <w:spacing w:line="240" w:lineRule="auto"/>
        <w:rPr>
          <w:rFonts w:eastAsia="Times New Roman" w:cs="Arial"/>
          <w:bCs/>
          <w:color w:val="000000"/>
          <w:lang w:eastAsia="bg-BG"/>
        </w:rPr>
      </w:pPr>
    </w:p>
    <w:p w14:paraId="13ECCB07" w14:textId="427E8E5D"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Данни от клинични проучвания показват, че двойната блокада на ренин-ангиотензин- алдостерон-системата (РААС) чрез комбинирано използване на АСЕ-инхибитори, ангиотензин II рецепторни блокери или алискирен е свързано с по-висока честота на нежелани реакции като хипотония, хиперкалиемия и намалена бъбречна функция (включително остра бъбречна недостатъчност), в сравнение с използването на един агент повлияващ РААС (вж. точки 4.3,4.4 и 5.1).</w:t>
      </w:r>
    </w:p>
    <w:p w14:paraId="6900F0A7" w14:textId="77777777" w:rsidR="003B7EC9" w:rsidRPr="003B7EC9" w:rsidRDefault="003B7EC9" w:rsidP="003B7EC9">
      <w:pPr>
        <w:spacing w:line="240" w:lineRule="auto"/>
        <w:rPr>
          <w:rFonts w:eastAsia="Times New Roman" w:cs="Arial"/>
          <w:bCs/>
          <w:color w:val="000000"/>
          <w:lang w:eastAsia="bg-BG"/>
        </w:rPr>
      </w:pPr>
    </w:p>
    <w:p w14:paraId="7E3591AC" w14:textId="6683CA9E"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Въз основа на фармакологичните им свойства е възможно лекарствените продукти баклофен, амифостин могат да повишат хипотензивния ефект на всички антихипертензивни средства, включително телмисартан. Също така, ортостатична хипотония може да се влоши от алкохол барбитурати, наркотични вещества или антидепресанти.</w:t>
      </w:r>
    </w:p>
    <w:p w14:paraId="4E7BA9F2" w14:textId="77777777" w:rsidR="003B7EC9" w:rsidRPr="003B7EC9" w:rsidRDefault="003B7EC9" w:rsidP="003B7EC9">
      <w:pPr>
        <w:spacing w:line="240" w:lineRule="auto"/>
        <w:rPr>
          <w:rFonts w:eastAsia="Times New Roman" w:cs="Arial"/>
          <w:bCs/>
          <w:i/>
          <w:iCs/>
          <w:color w:val="000000"/>
          <w:u w:val="single"/>
          <w:lang w:eastAsia="bg-BG"/>
        </w:rPr>
      </w:pPr>
    </w:p>
    <w:p w14:paraId="463D8E07" w14:textId="77777777" w:rsidR="003B7EC9" w:rsidRPr="003B7EC9" w:rsidRDefault="003B7EC9" w:rsidP="003B7EC9">
      <w:pPr>
        <w:spacing w:line="240" w:lineRule="auto"/>
        <w:rPr>
          <w:rFonts w:eastAsia="Times New Roman" w:cs="Arial"/>
          <w:bCs/>
          <w:i/>
          <w:iCs/>
          <w:color w:val="000000"/>
          <w:u w:val="single"/>
          <w:lang w:eastAsia="bg-BG"/>
        </w:rPr>
      </w:pPr>
      <w:r w:rsidRPr="003B7EC9">
        <w:rPr>
          <w:rFonts w:eastAsia="Times New Roman" w:cs="Arial"/>
          <w:bCs/>
          <w:i/>
          <w:iCs/>
          <w:color w:val="000000"/>
          <w:u w:val="single"/>
          <w:lang w:eastAsia="bg-BG"/>
        </w:rPr>
        <w:t xml:space="preserve">Кортикостероиди (системно приложение) </w:t>
      </w:r>
    </w:p>
    <w:p w14:paraId="68227449" w14:textId="793375DD"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Намаляване на антихипертензивния ефект.</w:t>
      </w:r>
    </w:p>
    <w:p w14:paraId="54AB1A4A" w14:textId="0619D595" w:rsidR="003B7EC9" w:rsidRPr="003B7EC9" w:rsidRDefault="003B7EC9" w:rsidP="003B7EC9">
      <w:pPr>
        <w:spacing w:line="240" w:lineRule="auto"/>
        <w:rPr>
          <w:rFonts w:eastAsia="Times New Roman" w:cs="Arial"/>
        </w:rPr>
      </w:pPr>
    </w:p>
    <w:p w14:paraId="39E23A16" w14:textId="77777777" w:rsidR="003B7EC9" w:rsidRPr="003B7EC9" w:rsidRDefault="003B7EC9" w:rsidP="003B7EC9">
      <w:pPr>
        <w:spacing w:line="240" w:lineRule="auto"/>
        <w:rPr>
          <w:rFonts w:eastAsia="Times New Roman" w:cs="Arial"/>
        </w:rPr>
      </w:pPr>
      <w:r w:rsidRPr="003B7EC9">
        <w:rPr>
          <w:rFonts w:eastAsia="Times New Roman" w:cs="Arial"/>
          <w:bCs/>
          <w:color w:val="000000"/>
          <w:u w:val="single"/>
          <w:lang w:eastAsia="bg-BG"/>
        </w:rPr>
        <w:t>Взаимодействия свързани с амлодипин</w:t>
      </w:r>
    </w:p>
    <w:p w14:paraId="11750E5A" w14:textId="77777777" w:rsidR="003B7EC9" w:rsidRPr="003B7EC9" w:rsidRDefault="003B7EC9" w:rsidP="003B7EC9">
      <w:pPr>
        <w:spacing w:line="240" w:lineRule="auto"/>
        <w:rPr>
          <w:rFonts w:eastAsia="Times New Roman" w:cs="Arial"/>
          <w:bCs/>
          <w:i/>
          <w:iCs/>
          <w:color w:val="000000"/>
          <w:lang w:eastAsia="bg-BG"/>
        </w:rPr>
      </w:pPr>
    </w:p>
    <w:p w14:paraId="36DB2F11" w14:textId="49D1D213"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Ефекти на други лекарствени продукти върху амлодипин</w:t>
      </w:r>
    </w:p>
    <w:p w14:paraId="2DE51E8D" w14:textId="77777777" w:rsidR="003B7EC9" w:rsidRPr="003B7EC9" w:rsidRDefault="003B7EC9" w:rsidP="003B7EC9">
      <w:pPr>
        <w:spacing w:line="240" w:lineRule="auto"/>
        <w:rPr>
          <w:rFonts w:eastAsia="Times New Roman" w:cs="Arial"/>
          <w:bCs/>
          <w:i/>
          <w:iCs/>
          <w:color w:val="000000"/>
          <w:u w:val="single"/>
          <w:lang w:val="ru-RU"/>
        </w:rPr>
      </w:pPr>
    </w:p>
    <w:p w14:paraId="11A9672F" w14:textId="22583B3C"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val="en-US"/>
        </w:rPr>
        <w:t>CYP</w:t>
      </w:r>
      <w:r w:rsidRPr="003B7EC9">
        <w:rPr>
          <w:rFonts w:eastAsia="Times New Roman" w:cs="Arial"/>
          <w:bCs/>
          <w:i/>
          <w:iCs/>
          <w:color w:val="000000"/>
          <w:u w:val="single"/>
          <w:lang w:val="ru-RU"/>
        </w:rPr>
        <w:t>3</w:t>
      </w:r>
      <w:r w:rsidRPr="003B7EC9">
        <w:rPr>
          <w:rFonts w:eastAsia="Times New Roman" w:cs="Arial"/>
          <w:bCs/>
          <w:i/>
          <w:iCs/>
          <w:color w:val="000000"/>
          <w:u w:val="single"/>
          <w:lang w:val="en-US"/>
        </w:rPr>
        <w:t>A</w:t>
      </w:r>
      <w:r w:rsidRPr="003B7EC9">
        <w:rPr>
          <w:rFonts w:eastAsia="Times New Roman" w:cs="Arial"/>
          <w:bCs/>
          <w:i/>
          <w:iCs/>
          <w:color w:val="000000"/>
          <w:u w:val="single"/>
          <w:lang w:val="ru-RU"/>
        </w:rPr>
        <w:t xml:space="preserve">4 </w:t>
      </w:r>
      <w:r w:rsidRPr="003B7EC9">
        <w:rPr>
          <w:rFonts w:eastAsia="Times New Roman" w:cs="Arial"/>
          <w:bCs/>
          <w:i/>
          <w:iCs/>
          <w:color w:val="000000"/>
          <w:u w:val="single"/>
          <w:lang w:eastAsia="bg-BG"/>
        </w:rPr>
        <w:t>инхибитори</w:t>
      </w:r>
    </w:p>
    <w:p w14:paraId="2AE83EE8"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Едновременното приложение на амлодипин със силни или умерени </w:t>
      </w:r>
      <w:r w:rsidRPr="003B7EC9">
        <w:rPr>
          <w:rFonts w:eastAsia="Times New Roman" w:cs="Arial"/>
          <w:bCs/>
          <w:color w:val="000000"/>
          <w:lang w:val="en-US"/>
        </w:rPr>
        <w:t>CYP</w:t>
      </w:r>
      <w:r w:rsidRPr="003B7EC9">
        <w:rPr>
          <w:rFonts w:eastAsia="Times New Roman" w:cs="Arial"/>
          <w:bCs/>
          <w:color w:val="000000"/>
          <w:lang w:val="ru-RU"/>
        </w:rPr>
        <w:t>3</w:t>
      </w:r>
      <w:r w:rsidRPr="003B7EC9">
        <w:rPr>
          <w:rFonts w:eastAsia="Times New Roman" w:cs="Arial"/>
          <w:bCs/>
          <w:color w:val="000000"/>
          <w:lang w:val="en-US"/>
        </w:rPr>
        <w:t>A</w:t>
      </w:r>
      <w:r w:rsidRPr="003B7EC9">
        <w:rPr>
          <w:rFonts w:eastAsia="Times New Roman" w:cs="Arial"/>
          <w:bCs/>
          <w:color w:val="000000"/>
          <w:lang w:val="ru-RU"/>
        </w:rPr>
        <w:t xml:space="preserve">4 </w:t>
      </w:r>
      <w:r w:rsidRPr="003B7EC9">
        <w:rPr>
          <w:rFonts w:eastAsia="Times New Roman" w:cs="Arial"/>
          <w:bCs/>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увеличаване на експозицията на амлодипин. Клиничната значимост на тези фармакокинетични вариации може да е по-изразена при пациентите в старческа възраст. Препоръчва се внимателно клинично проследяване и може да се наложи корекция на дозата.</w:t>
      </w:r>
    </w:p>
    <w:p w14:paraId="6BAC785B" w14:textId="77777777" w:rsidR="003B7EC9" w:rsidRPr="003B7EC9" w:rsidRDefault="003B7EC9" w:rsidP="003B7EC9">
      <w:pPr>
        <w:spacing w:line="240" w:lineRule="auto"/>
        <w:rPr>
          <w:rFonts w:eastAsia="Times New Roman" w:cs="Arial"/>
          <w:bCs/>
          <w:i/>
          <w:iCs/>
          <w:color w:val="000000"/>
          <w:u w:val="single"/>
          <w:lang w:val="en-US"/>
        </w:rPr>
      </w:pPr>
    </w:p>
    <w:p w14:paraId="2AC2130A" w14:textId="52B4584E"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val="en-US"/>
        </w:rPr>
        <w:t>CYP</w:t>
      </w:r>
      <w:r w:rsidRPr="003B7EC9">
        <w:rPr>
          <w:rFonts w:eastAsia="Times New Roman" w:cs="Arial"/>
          <w:bCs/>
          <w:i/>
          <w:iCs/>
          <w:color w:val="000000"/>
          <w:u w:val="single"/>
          <w:lang w:val="ru-RU"/>
        </w:rPr>
        <w:t>3</w:t>
      </w:r>
      <w:r w:rsidRPr="003B7EC9">
        <w:rPr>
          <w:rFonts w:eastAsia="Times New Roman" w:cs="Arial"/>
          <w:bCs/>
          <w:i/>
          <w:iCs/>
          <w:color w:val="000000"/>
          <w:u w:val="single"/>
          <w:lang w:val="en-US"/>
        </w:rPr>
        <w:t>A</w:t>
      </w:r>
      <w:r w:rsidRPr="003B7EC9">
        <w:rPr>
          <w:rFonts w:eastAsia="Times New Roman" w:cs="Arial"/>
          <w:bCs/>
          <w:i/>
          <w:iCs/>
          <w:color w:val="000000"/>
          <w:u w:val="single"/>
          <w:lang w:val="ru-RU"/>
        </w:rPr>
        <w:t xml:space="preserve">4 </w:t>
      </w:r>
      <w:r w:rsidRPr="003B7EC9">
        <w:rPr>
          <w:rFonts w:eastAsia="Times New Roman" w:cs="Arial"/>
          <w:bCs/>
          <w:i/>
          <w:iCs/>
          <w:color w:val="000000"/>
          <w:u w:val="single"/>
          <w:lang w:eastAsia="bg-BG"/>
        </w:rPr>
        <w:t>индуктори</w:t>
      </w:r>
    </w:p>
    <w:p w14:paraId="7261286B"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При едновременно приложение на известни индуктори на </w:t>
      </w:r>
      <w:r w:rsidRPr="003B7EC9">
        <w:rPr>
          <w:rFonts w:eastAsia="Times New Roman" w:cs="Arial"/>
          <w:bCs/>
          <w:color w:val="000000"/>
          <w:lang w:val="en-US"/>
        </w:rPr>
        <w:t>CYP</w:t>
      </w:r>
      <w:r w:rsidRPr="003B7EC9">
        <w:rPr>
          <w:rFonts w:eastAsia="Times New Roman" w:cs="Arial"/>
          <w:bCs/>
          <w:color w:val="000000"/>
          <w:lang w:val="ru-RU"/>
        </w:rPr>
        <w:t>3</w:t>
      </w:r>
      <w:r w:rsidRPr="003B7EC9">
        <w:rPr>
          <w:rFonts w:eastAsia="Times New Roman" w:cs="Arial"/>
          <w:bCs/>
          <w:color w:val="000000"/>
          <w:lang w:eastAsia="bg-BG"/>
        </w:rPr>
        <w:t xml:space="preserve">А4 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3B7EC9">
        <w:rPr>
          <w:rFonts w:eastAsia="Times New Roman" w:cs="Arial"/>
          <w:bCs/>
          <w:color w:val="000000"/>
          <w:lang w:val="en-US"/>
        </w:rPr>
        <w:t>CYP</w:t>
      </w:r>
      <w:r w:rsidRPr="003B7EC9">
        <w:rPr>
          <w:rFonts w:eastAsia="Times New Roman" w:cs="Arial"/>
          <w:bCs/>
          <w:color w:val="000000"/>
          <w:lang w:val="ru-RU"/>
        </w:rPr>
        <w:t>3</w:t>
      </w:r>
      <w:r w:rsidRPr="003B7EC9">
        <w:rPr>
          <w:rFonts w:eastAsia="Times New Roman" w:cs="Arial"/>
          <w:bCs/>
          <w:color w:val="000000"/>
          <w:lang w:eastAsia="bg-BG"/>
        </w:rPr>
        <w:t>А4 индуктори (напр. рифампицин, жълт кантарион).</w:t>
      </w:r>
    </w:p>
    <w:p w14:paraId="4EECCB9A" w14:textId="77777777" w:rsidR="003B7EC9" w:rsidRPr="003B7EC9" w:rsidRDefault="003B7EC9" w:rsidP="003B7EC9">
      <w:pPr>
        <w:spacing w:line="240" w:lineRule="auto"/>
        <w:rPr>
          <w:rFonts w:eastAsia="Times New Roman" w:cs="Arial"/>
          <w:bCs/>
          <w:i/>
          <w:iCs/>
          <w:color w:val="000000"/>
          <w:u w:val="single"/>
          <w:lang w:eastAsia="bg-BG"/>
        </w:rPr>
      </w:pPr>
    </w:p>
    <w:p w14:paraId="14587D25" w14:textId="52923AF6"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Грейпфрут и сок от грейпфрут</w:t>
      </w:r>
    </w:p>
    <w:p w14:paraId="21C5BA0D"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Не се препоръчва употреба на амлодипин с грейпфрут или сок от грейпфрут, тъй като при някои пациенти бионаличността може да се повиши и да доведе до засилване на антихипертензивните ефекти.</w:t>
      </w:r>
    </w:p>
    <w:p w14:paraId="0EA2E4FE" w14:textId="77777777" w:rsidR="003B7EC9" w:rsidRPr="003B7EC9" w:rsidRDefault="003B7EC9" w:rsidP="003B7EC9">
      <w:pPr>
        <w:spacing w:line="240" w:lineRule="auto"/>
        <w:rPr>
          <w:rFonts w:eastAsia="Times New Roman" w:cs="Arial"/>
          <w:bCs/>
          <w:i/>
          <w:iCs/>
          <w:color w:val="000000"/>
          <w:u w:val="single"/>
          <w:lang w:eastAsia="bg-BG"/>
        </w:rPr>
      </w:pPr>
    </w:p>
    <w:p w14:paraId="397F54BF" w14:textId="6D4BC3C9"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Дантролен (инфузия)</w:t>
      </w:r>
    </w:p>
    <w:p w14:paraId="64E2FCED"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животни са наблюдавани летално камерно мъждене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61D6B1A5" w14:textId="77777777" w:rsidR="003B7EC9" w:rsidRPr="003B7EC9" w:rsidRDefault="003B7EC9" w:rsidP="003B7EC9">
      <w:pPr>
        <w:spacing w:line="240" w:lineRule="auto"/>
        <w:rPr>
          <w:rFonts w:eastAsia="Times New Roman" w:cs="Arial"/>
          <w:bCs/>
          <w:i/>
          <w:iCs/>
          <w:color w:val="000000"/>
          <w:lang w:eastAsia="bg-BG"/>
        </w:rPr>
      </w:pPr>
    </w:p>
    <w:p w14:paraId="730DEC42" w14:textId="1A379834" w:rsidR="003B7EC9" w:rsidRPr="003B7EC9" w:rsidRDefault="003B7EC9" w:rsidP="003B7EC9">
      <w:pPr>
        <w:spacing w:line="240" w:lineRule="auto"/>
        <w:rPr>
          <w:rFonts w:eastAsia="Times New Roman" w:cs="Arial"/>
        </w:rPr>
      </w:pPr>
      <w:r w:rsidRPr="003B7EC9">
        <w:rPr>
          <w:rFonts w:eastAsia="Times New Roman" w:cs="Arial"/>
          <w:bCs/>
          <w:i/>
          <w:iCs/>
          <w:color w:val="000000"/>
          <w:lang w:eastAsia="bg-BG"/>
        </w:rPr>
        <w:t>Ефекти на амлодипин върху други лекарствени продукти</w:t>
      </w:r>
    </w:p>
    <w:p w14:paraId="0D2A0346" w14:textId="77777777" w:rsidR="003B7EC9" w:rsidRPr="003B7EC9" w:rsidRDefault="003B7EC9" w:rsidP="003B7EC9">
      <w:pPr>
        <w:spacing w:line="240" w:lineRule="auto"/>
        <w:rPr>
          <w:rFonts w:eastAsia="Times New Roman" w:cs="Arial"/>
          <w:bCs/>
          <w:color w:val="000000"/>
          <w:lang w:eastAsia="bg-BG"/>
        </w:rPr>
      </w:pPr>
    </w:p>
    <w:p w14:paraId="782D89D9" w14:textId="658A7EA9"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Ефектите върху понижаване на артериалното налягане на амлодипин се наслагват към понижаващите кръвното налягане ефекти на други лекарствени средства с антихипертензивни свойства.</w:t>
      </w:r>
    </w:p>
    <w:p w14:paraId="6EDB1390" w14:textId="77777777" w:rsidR="003B7EC9" w:rsidRPr="003B7EC9" w:rsidRDefault="003B7EC9" w:rsidP="003B7EC9">
      <w:pPr>
        <w:spacing w:line="240" w:lineRule="auto"/>
        <w:rPr>
          <w:rFonts w:eastAsia="Times New Roman" w:cs="Arial"/>
          <w:bCs/>
          <w:i/>
          <w:iCs/>
          <w:color w:val="000000"/>
          <w:u w:val="single"/>
          <w:lang w:eastAsia="bg-BG"/>
        </w:rPr>
      </w:pPr>
    </w:p>
    <w:p w14:paraId="060E3D00" w14:textId="0469EDF9"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Такролимус</w:t>
      </w:r>
    </w:p>
    <w:p w14:paraId="6B46E384"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Има опасност от повишаване на кръвните нива на такролимус, когато се прилага едновременно с амлодипин. За да се избегне токсичност на такролимус, приложението на </w:t>
      </w:r>
      <w:r w:rsidRPr="003B7EC9">
        <w:rPr>
          <w:rFonts w:eastAsia="Times New Roman" w:cs="Arial"/>
          <w:bCs/>
          <w:color w:val="000000"/>
          <w:lang w:eastAsia="bg-BG"/>
        </w:rPr>
        <w:lastRenderedPageBreak/>
        <w:t>амлодипин при пациенти, лекувани с такролимус изисква контрол на кръвните нива на такролимус и корекция на дозата на такролимус, когато е подходящо.</w:t>
      </w:r>
    </w:p>
    <w:p w14:paraId="78F85795" w14:textId="77777777" w:rsidR="003B7EC9" w:rsidRPr="003B7EC9" w:rsidRDefault="003B7EC9" w:rsidP="003B7EC9">
      <w:pPr>
        <w:spacing w:line="240" w:lineRule="auto"/>
        <w:rPr>
          <w:rFonts w:eastAsia="Times New Roman" w:cs="Arial"/>
          <w:bCs/>
          <w:i/>
          <w:iCs/>
          <w:color w:val="000000"/>
          <w:u w:val="single"/>
          <w:lang w:eastAsia="bg-BG"/>
        </w:rPr>
      </w:pPr>
    </w:p>
    <w:p w14:paraId="199339D7" w14:textId="1FCC3ACC"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 xml:space="preserve">Рапамииин </w:t>
      </w:r>
      <w:r w:rsidRPr="003B7EC9">
        <w:rPr>
          <w:rFonts w:eastAsia="Times New Roman" w:cs="Arial"/>
          <w:bCs/>
          <w:i/>
          <w:iCs/>
          <w:color w:val="000000"/>
          <w:u w:val="single"/>
          <w:lang w:val="ru-RU"/>
        </w:rPr>
        <w:t>(</w:t>
      </w:r>
      <w:proofErr w:type="spellStart"/>
      <w:r w:rsidRPr="003B7EC9">
        <w:rPr>
          <w:rFonts w:eastAsia="Times New Roman" w:cs="Arial"/>
          <w:bCs/>
          <w:i/>
          <w:iCs/>
          <w:color w:val="000000"/>
          <w:u w:val="single"/>
          <w:lang w:val="en-US"/>
        </w:rPr>
        <w:t>mTOR</w:t>
      </w:r>
      <w:proofErr w:type="spellEnd"/>
      <w:r w:rsidRPr="003B7EC9">
        <w:rPr>
          <w:rFonts w:eastAsia="Times New Roman" w:cs="Arial"/>
          <w:bCs/>
          <w:i/>
          <w:iCs/>
          <w:color w:val="000000"/>
          <w:u w:val="single"/>
          <w:lang w:val="ru-RU"/>
        </w:rPr>
        <w:t xml:space="preserve">) </w:t>
      </w:r>
      <w:r w:rsidRPr="003B7EC9">
        <w:rPr>
          <w:rFonts w:eastAsia="Times New Roman" w:cs="Arial"/>
          <w:bCs/>
          <w:i/>
          <w:iCs/>
          <w:color w:val="000000"/>
          <w:u w:val="single"/>
          <w:lang w:eastAsia="bg-BG"/>
        </w:rPr>
        <w:t>инхибитори</w:t>
      </w:r>
    </w:p>
    <w:p w14:paraId="401E9C63" w14:textId="77777777" w:rsidR="003B7EC9" w:rsidRPr="003B7EC9" w:rsidRDefault="003B7EC9" w:rsidP="003B7EC9">
      <w:pPr>
        <w:spacing w:line="240" w:lineRule="auto"/>
        <w:rPr>
          <w:rFonts w:eastAsia="Times New Roman" w:cs="Arial"/>
        </w:rPr>
      </w:pPr>
      <w:proofErr w:type="spellStart"/>
      <w:proofErr w:type="gramStart"/>
      <w:r w:rsidRPr="003B7EC9">
        <w:rPr>
          <w:rFonts w:eastAsia="Times New Roman" w:cs="Arial"/>
          <w:bCs/>
          <w:color w:val="000000"/>
          <w:lang w:val="en-US"/>
        </w:rPr>
        <w:t>mTOR</w:t>
      </w:r>
      <w:proofErr w:type="spellEnd"/>
      <w:proofErr w:type="gramEnd"/>
      <w:r w:rsidRPr="003B7EC9">
        <w:rPr>
          <w:rFonts w:eastAsia="Times New Roman" w:cs="Arial"/>
          <w:bCs/>
          <w:color w:val="000000"/>
          <w:lang w:val="ru-RU"/>
        </w:rPr>
        <w:t xml:space="preserve"> </w:t>
      </w:r>
      <w:r w:rsidRPr="003B7EC9">
        <w:rPr>
          <w:rFonts w:eastAsia="Times New Roman" w:cs="Arial"/>
          <w:bCs/>
          <w:color w:val="000000"/>
          <w:lang w:eastAsia="bg-BG"/>
        </w:rPr>
        <w:t xml:space="preserve">инхибитори като сиролимус, темсиролимус и еверолимус са субстрати на </w:t>
      </w:r>
      <w:r w:rsidRPr="003B7EC9">
        <w:rPr>
          <w:rFonts w:eastAsia="Times New Roman" w:cs="Arial"/>
          <w:bCs/>
          <w:color w:val="000000"/>
          <w:lang w:val="en-US"/>
        </w:rPr>
        <w:t>CYP</w:t>
      </w:r>
      <w:r w:rsidRPr="003B7EC9">
        <w:rPr>
          <w:rFonts w:eastAsia="Times New Roman" w:cs="Arial"/>
          <w:bCs/>
          <w:color w:val="000000"/>
          <w:lang w:val="ru-RU"/>
        </w:rPr>
        <w:t>3</w:t>
      </w:r>
      <w:r w:rsidRPr="003B7EC9">
        <w:rPr>
          <w:rFonts w:eastAsia="Times New Roman" w:cs="Arial"/>
          <w:bCs/>
          <w:color w:val="000000"/>
          <w:lang w:val="en-US"/>
        </w:rPr>
        <w:t>A</w:t>
      </w:r>
      <w:r w:rsidRPr="003B7EC9">
        <w:rPr>
          <w:rFonts w:eastAsia="Times New Roman" w:cs="Arial"/>
          <w:bCs/>
          <w:color w:val="000000"/>
          <w:lang w:val="ru-RU"/>
        </w:rPr>
        <w:t xml:space="preserve">. </w:t>
      </w:r>
      <w:r w:rsidRPr="003B7EC9">
        <w:rPr>
          <w:rFonts w:eastAsia="Times New Roman" w:cs="Arial"/>
          <w:bCs/>
          <w:color w:val="000000"/>
          <w:lang w:eastAsia="bg-BG"/>
        </w:rPr>
        <w:t xml:space="preserve">Амлодипин е слаб </w:t>
      </w:r>
      <w:r w:rsidRPr="003B7EC9">
        <w:rPr>
          <w:rFonts w:eastAsia="Times New Roman" w:cs="Arial"/>
          <w:bCs/>
          <w:color w:val="000000"/>
          <w:lang w:val="en-US"/>
        </w:rPr>
        <w:t>CYP</w:t>
      </w:r>
      <w:r w:rsidRPr="003B7EC9">
        <w:rPr>
          <w:rFonts w:eastAsia="Times New Roman" w:cs="Arial"/>
          <w:bCs/>
          <w:color w:val="000000"/>
          <w:lang w:val="ru-RU"/>
        </w:rPr>
        <w:t>3</w:t>
      </w:r>
      <w:r w:rsidRPr="003B7EC9">
        <w:rPr>
          <w:rFonts w:eastAsia="Times New Roman" w:cs="Arial"/>
          <w:bCs/>
          <w:color w:val="000000"/>
          <w:lang w:val="en-US"/>
        </w:rPr>
        <w:t>A</w:t>
      </w:r>
      <w:r w:rsidRPr="003B7EC9">
        <w:rPr>
          <w:rFonts w:eastAsia="Times New Roman" w:cs="Arial"/>
          <w:bCs/>
          <w:color w:val="000000"/>
          <w:lang w:val="ru-RU"/>
        </w:rPr>
        <w:t xml:space="preserve"> </w:t>
      </w:r>
      <w:r w:rsidRPr="003B7EC9">
        <w:rPr>
          <w:rFonts w:eastAsia="Times New Roman" w:cs="Arial"/>
          <w:bCs/>
          <w:color w:val="000000"/>
          <w:lang w:eastAsia="bg-BG"/>
        </w:rPr>
        <w:t xml:space="preserve">инхибитор. При едновременна употреба с </w:t>
      </w:r>
      <w:proofErr w:type="spellStart"/>
      <w:r w:rsidRPr="003B7EC9">
        <w:rPr>
          <w:rFonts w:eastAsia="Times New Roman" w:cs="Arial"/>
          <w:bCs/>
          <w:color w:val="000000"/>
          <w:lang w:val="en-US"/>
        </w:rPr>
        <w:t>mTOR</w:t>
      </w:r>
      <w:proofErr w:type="spellEnd"/>
      <w:r w:rsidRPr="003B7EC9">
        <w:rPr>
          <w:rFonts w:eastAsia="Times New Roman" w:cs="Arial"/>
          <w:bCs/>
          <w:color w:val="000000"/>
          <w:lang w:val="ru-RU"/>
        </w:rPr>
        <w:t xml:space="preserve"> </w:t>
      </w:r>
      <w:r w:rsidRPr="003B7EC9">
        <w:rPr>
          <w:rFonts w:eastAsia="Times New Roman" w:cs="Arial"/>
          <w:bCs/>
          <w:color w:val="000000"/>
          <w:lang w:eastAsia="bg-BG"/>
        </w:rPr>
        <w:t xml:space="preserve">инхибитори, амлодипин може да увеличи излагането на </w:t>
      </w:r>
      <w:proofErr w:type="spellStart"/>
      <w:r w:rsidRPr="003B7EC9">
        <w:rPr>
          <w:rFonts w:eastAsia="Times New Roman" w:cs="Arial"/>
          <w:bCs/>
          <w:color w:val="000000"/>
          <w:lang w:val="en-US"/>
        </w:rPr>
        <w:t>mTOR</w:t>
      </w:r>
      <w:proofErr w:type="spellEnd"/>
      <w:r w:rsidRPr="003B7EC9">
        <w:rPr>
          <w:rFonts w:eastAsia="Times New Roman" w:cs="Arial"/>
          <w:bCs/>
          <w:color w:val="000000"/>
          <w:lang w:val="ru-RU"/>
        </w:rPr>
        <w:t xml:space="preserve"> </w:t>
      </w:r>
      <w:r w:rsidRPr="003B7EC9">
        <w:rPr>
          <w:rFonts w:eastAsia="Times New Roman" w:cs="Arial"/>
          <w:bCs/>
          <w:color w:val="000000"/>
          <w:lang w:eastAsia="bg-BG"/>
        </w:rPr>
        <w:t>инхибитори.</w:t>
      </w:r>
    </w:p>
    <w:p w14:paraId="70650FCB" w14:textId="77777777" w:rsidR="003B7EC9" w:rsidRPr="003B7EC9" w:rsidRDefault="003B7EC9" w:rsidP="003B7EC9">
      <w:pPr>
        <w:spacing w:line="240" w:lineRule="auto"/>
        <w:rPr>
          <w:rFonts w:eastAsia="Times New Roman" w:cs="Arial"/>
          <w:bCs/>
          <w:i/>
          <w:iCs/>
          <w:color w:val="000000"/>
          <w:u w:val="single"/>
          <w:lang w:eastAsia="bg-BG"/>
        </w:rPr>
      </w:pPr>
    </w:p>
    <w:p w14:paraId="71624D0A" w14:textId="6A44E729"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Циклоспорин</w:t>
      </w:r>
    </w:p>
    <w:p w14:paraId="28236A2E" w14:textId="701BE145" w:rsidR="003B7EC9" w:rsidRPr="003B7EC9" w:rsidRDefault="003B7EC9" w:rsidP="003B7EC9">
      <w:pPr>
        <w:spacing w:line="240" w:lineRule="auto"/>
        <w:rPr>
          <w:rFonts w:eastAsia="Times New Roman" w:cs="Arial"/>
          <w:bCs/>
          <w:color w:val="000000"/>
          <w:lang w:eastAsia="bg-BG"/>
        </w:rPr>
      </w:pPr>
      <w:r w:rsidRPr="003B7EC9">
        <w:rPr>
          <w:rFonts w:eastAsia="Times New Roman" w:cs="Arial"/>
          <w:bCs/>
          <w:color w:val="000000"/>
          <w:lang w:eastAsia="bg-BG"/>
        </w:rPr>
        <w:t xml:space="preserve">Не са провеждани проучвания за лекарствени взаимодействия между циклоспорин и амлодипин при здрави доброволци или други популации, с изключение на пациенти с бъбречна трансплантация. При наблюдаваните пациенти концентрацията варира (средно от 0% </w:t>
      </w:r>
      <w:r w:rsidRPr="003B7EC9">
        <w:rPr>
          <w:rFonts w:eastAsia="Times New Roman" w:cs="Arial"/>
          <w:bCs/>
          <w:color w:val="000000"/>
          <w:u w:val="single"/>
          <w:lang w:eastAsia="bg-BG"/>
        </w:rPr>
        <w:t>до 40%</w:t>
      </w:r>
      <w:r w:rsidRPr="003B7EC9">
        <w:rPr>
          <w:rFonts w:eastAsia="Times New Roman" w:cs="Arial"/>
          <w:bCs/>
          <w:color w:val="000000"/>
          <w:lang w:eastAsia="bg-BG"/>
        </w:rPr>
        <w:t>) на циклоспорин. Трябва да се провежда мониторинг на нивата на циклоспорин при пациенти с бъбречна трансплантация, на амлодипин, и дозата на циклоспорин трябва да бъде намалена, когато е необходимо.</w:t>
      </w:r>
    </w:p>
    <w:p w14:paraId="789DFE16" w14:textId="60299318" w:rsidR="003B7EC9" w:rsidRPr="003B7EC9" w:rsidRDefault="003B7EC9" w:rsidP="003B7EC9">
      <w:pPr>
        <w:spacing w:line="240" w:lineRule="auto"/>
        <w:rPr>
          <w:rFonts w:eastAsia="Times New Roman" w:cs="Arial"/>
          <w:bCs/>
          <w:color w:val="000000"/>
          <w:lang w:eastAsia="bg-BG"/>
        </w:rPr>
      </w:pPr>
    </w:p>
    <w:p w14:paraId="47845959" w14:textId="77777777" w:rsidR="003B7EC9" w:rsidRPr="003B7EC9" w:rsidRDefault="003B7EC9" w:rsidP="003B7EC9">
      <w:pPr>
        <w:spacing w:line="240" w:lineRule="auto"/>
        <w:rPr>
          <w:rFonts w:eastAsia="Times New Roman" w:cs="Arial"/>
        </w:rPr>
      </w:pPr>
      <w:r w:rsidRPr="003B7EC9">
        <w:rPr>
          <w:rFonts w:eastAsia="Times New Roman" w:cs="Arial"/>
          <w:bCs/>
          <w:i/>
          <w:iCs/>
          <w:color w:val="000000"/>
          <w:u w:val="single"/>
          <w:lang w:eastAsia="bg-BG"/>
        </w:rPr>
        <w:t>Симвастатин</w:t>
      </w:r>
    </w:p>
    <w:p w14:paraId="3B647A9B" w14:textId="7777777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 xml:space="preserve">Едновременният прием на многократни дози на 10 </w:t>
      </w:r>
      <w:r w:rsidRPr="003B7EC9">
        <w:rPr>
          <w:rFonts w:eastAsia="Times New Roman" w:cs="Arial"/>
          <w:bCs/>
          <w:color w:val="000000"/>
          <w:lang w:val="en-US"/>
        </w:rPr>
        <w:t>mg</w:t>
      </w:r>
      <w:r w:rsidRPr="003B7EC9">
        <w:rPr>
          <w:rFonts w:eastAsia="Times New Roman" w:cs="Arial"/>
          <w:bCs/>
          <w:color w:val="000000"/>
          <w:lang w:val="ru-RU"/>
        </w:rPr>
        <w:t xml:space="preserve"> </w:t>
      </w:r>
      <w:r w:rsidRPr="003B7EC9">
        <w:rPr>
          <w:rFonts w:eastAsia="Times New Roman" w:cs="Arial"/>
          <w:bCs/>
          <w:color w:val="000000"/>
          <w:lang w:eastAsia="bg-BG"/>
        </w:rPr>
        <w:t xml:space="preserve">амлодипин с 80 </w:t>
      </w:r>
      <w:r w:rsidRPr="003B7EC9">
        <w:rPr>
          <w:rFonts w:eastAsia="Times New Roman" w:cs="Arial"/>
          <w:bCs/>
          <w:color w:val="000000"/>
          <w:lang w:val="en-US"/>
        </w:rPr>
        <w:t>mg</w:t>
      </w:r>
      <w:r w:rsidRPr="003B7EC9">
        <w:rPr>
          <w:rFonts w:eastAsia="Times New Roman" w:cs="Arial"/>
          <w:bCs/>
          <w:color w:val="000000"/>
          <w:lang w:val="ru-RU"/>
        </w:rPr>
        <w:t xml:space="preserve"> </w:t>
      </w:r>
      <w:r w:rsidRPr="003B7EC9">
        <w:rPr>
          <w:rFonts w:eastAsia="Times New Roman" w:cs="Arial"/>
          <w:bCs/>
          <w:color w:val="000000"/>
          <w:lang w:eastAsia="bg-BG"/>
        </w:rPr>
        <w:t xml:space="preserve">симвастатин повишава експозицията на симвастатин със 77% в сравнение със симвастатин монотерапия. При пациенти, приемащи амлодипин, пределната доза симвастатин е 20 </w:t>
      </w:r>
      <w:r w:rsidRPr="003B7EC9">
        <w:rPr>
          <w:rFonts w:eastAsia="Times New Roman" w:cs="Arial"/>
          <w:bCs/>
          <w:color w:val="000000"/>
          <w:lang w:val="en-US"/>
        </w:rPr>
        <w:t>mg</w:t>
      </w:r>
      <w:r w:rsidRPr="003B7EC9">
        <w:rPr>
          <w:rFonts w:eastAsia="Times New Roman" w:cs="Arial"/>
          <w:bCs/>
          <w:color w:val="000000"/>
          <w:lang w:val="ru-RU"/>
        </w:rPr>
        <w:t xml:space="preserve"> </w:t>
      </w:r>
      <w:r w:rsidRPr="003B7EC9">
        <w:rPr>
          <w:rFonts w:eastAsia="Times New Roman" w:cs="Arial"/>
          <w:bCs/>
          <w:color w:val="000000"/>
          <w:lang w:eastAsia="bg-BG"/>
        </w:rPr>
        <w:t>дневно.</w:t>
      </w:r>
    </w:p>
    <w:p w14:paraId="096A08E0" w14:textId="77777777" w:rsidR="003B7EC9" w:rsidRPr="003B7EC9" w:rsidRDefault="003B7EC9" w:rsidP="003B7EC9">
      <w:pPr>
        <w:spacing w:line="240" w:lineRule="auto"/>
        <w:rPr>
          <w:rFonts w:eastAsia="Times New Roman" w:cs="Arial"/>
          <w:bCs/>
          <w:color w:val="000000"/>
          <w:lang w:eastAsia="bg-BG"/>
        </w:rPr>
      </w:pPr>
    </w:p>
    <w:p w14:paraId="18C06CE5" w14:textId="291E45D7" w:rsidR="003B7EC9" w:rsidRPr="003B7EC9" w:rsidRDefault="003B7EC9" w:rsidP="003B7EC9">
      <w:pPr>
        <w:spacing w:line="240" w:lineRule="auto"/>
        <w:rPr>
          <w:rFonts w:eastAsia="Times New Roman" w:cs="Arial"/>
        </w:rPr>
      </w:pPr>
      <w:r w:rsidRPr="003B7EC9">
        <w:rPr>
          <w:rFonts w:eastAsia="Times New Roman" w:cs="Arial"/>
          <w:bCs/>
          <w:color w:val="000000"/>
          <w:lang w:eastAsia="bg-BG"/>
        </w:rPr>
        <w:t>При клинични изпитвания за взаимодействия амлодипин не повлиява фармакокинетиката на аторвастатин, дигоксин или варфарин.</w:t>
      </w:r>
    </w:p>
    <w:p w14:paraId="29A825C6" w14:textId="1A45F3C4" w:rsidR="003B7EC9" w:rsidRPr="003B7EC9" w:rsidRDefault="003B7EC9" w:rsidP="003B7EC9"/>
    <w:p w14:paraId="006BE4EC" w14:textId="08A56FDD" w:rsidR="00DB32D3" w:rsidRDefault="002C50EE" w:rsidP="005726E3">
      <w:pPr>
        <w:pStyle w:val="Heading2"/>
      </w:pPr>
      <w:r>
        <w:t>4.6. Фертилитет, бременност и кърмене</w:t>
      </w:r>
    </w:p>
    <w:p w14:paraId="4DC1139A" w14:textId="0319DC22" w:rsidR="003B7EC9" w:rsidRDefault="003B7EC9" w:rsidP="003B7EC9"/>
    <w:p w14:paraId="6B70C3D8" w14:textId="77777777" w:rsidR="003B7EC9" w:rsidRPr="003B7EC9" w:rsidRDefault="003B7EC9" w:rsidP="003B7EC9">
      <w:pPr>
        <w:pStyle w:val="Heading3"/>
        <w:rPr>
          <w:rFonts w:eastAsia="Times New Roman"/>
          <w:sz w:val="28"/>
          <w:u w:val="single"/>
        </w:rPr>
      </w:pPr>
      <w:r w:rsidRPr="003B7EC9">
        <w:rPr>
          <w:rFonts w:eastAsia="Times New Roman"/>
          <w:u w:val="single"/>
          <w:lang w:eastAsia="bg-BG"/>
        </w:rPr>
        <w:t>Бременност</w:t>
      </w:r>
    </w:p>
    <w:p w14:paraId="60163166"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Телфорт не се препоръчва по време на първия триместьр и е противопоказан по време на втория, и третия триместьр от бременността.</w:t>
      </w:r>
    </w:p>
    <w:p w14:paraId="4E7200AD"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Телфорт е противопоказан по време на втория и третия триместьр от бременността поради съдържанието на телмисартан.</w:t>
      </w:r>
    </w:p>
    <w:p w14:paraId="3A57007E" w14:textId="77777777" w:rsidR="003B7EC9" w:rsidRPr="003B7EC9" w:rsidRDefault="003B7EC9" w:rsidP="003B7EC9">
      <w:pPr>
        <w:rPr>
          <w:rFonts w:eastAsia="Times New Roman" w:cs="Arial"/>
          <w:bCs/>
          <w:i/>
          <w:iCs/>
          <w:color w:val="000000"/>
          <w:szCs w:val="20"/>
          <w:u w:val="single"/>
          <w:lang w:eastAsia="bg-BG"/>
        </w:rPr>
      </w:pPr>
    </w:p>
    <w:p w14:paraId="121EA805" w14:textId="36BABE50" w:rsidR="003B7EC9" w:rsidRPr="003B7EC9" w:rsidRDefault="003B7EC9" w:rsidP="003B7EC9">
      <w:pPr>
        <w:rPr>
          <w:rFonts w:eastAsia="Times New Roman" w:cs="Arial"/>
          <w:bCs/>
          <w:i/>
          <w:iCs/>
          <w:color w:val="000000"/>
          <w:szCs w:val="20"/>
          <w:u w:val="single"/>
          <w:lang w:eastAsia="bg-BG"/>
        </w:rPr>
      </w:pPr>
      <w:r w:rsidRPr="003B7EC9">
        <w:rPr>
          <w:rFonts w:eastAsia="Times New Roman" w:cs="Arial"/>
          <w:bCs/>
          <w:i/>
          <w:iCs/>
          <w:color w:val="000000"/>
          <w:szCs w:val="20"/>
          <w:u w:val="single"/>
          <w:lang w:eastAsia="bg-BG"/>
        </w:rPr>
        <w:t>Телмисартан</w:t>
      </w:r>
    </w:p>
    <w:tbl>
      <w:tblPr>
        <w:tblStyle w:val="TableGrid"/>
        <w:tblW w:w="0" w:type="auto"/>
        <w:tblLook w:val="04A0" w:firstRow="1" w:lastRow="0" w:firstColumn="1" w:lastColumn="0" w:noHBand="0" w:noVBand="1"/>
      </w:tblPr>
      <w:tblGrid>
        <w:gridCol w:w="9350"/>
      </w:tblGrid>
      <w:tr w:rsidR="003B7EC9" w:rsidRPr="003B7EC9" w14:paraId="116C8AE3" w14:textId="77777777" w:rsidTr="003B7EC9">
        <w:tc>
          <w:tcPr>
            <w:tcW w:w="9576" w:type="dxa"/>
          </w:tcPr>
          <w:p w14:paraId="0A94E69E"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Не се препоръчва употребата А</w:t>
            </w:r>
            <w:r w:rsidRPr="003B7EC9">
              <w:rPr>
                <w:rFonts w:eastAsia="Times New Roman" w:cs="Arial"/>
                <w:bCs/>
                <w:color w:val="000000"/>
                <w:szCs w:val="20"/>
                <w:lang w:val="en-US"/>
              </w:rPr>
              <w:t>II</w:t>
            </w:r>
            <w:r w:rsidRPr="003B7EC9">
              <w:rPr>
                <w:rFonts w:eastAsia="Times New Roman" w:cs="Arial"/>
                <w:bCs/>
                <w:color w:val="000000"/>
                <w:szCs w:val="20"/>
                <w:lang w:eastAsia="bg-BG"/>
              </w:rPr>
              <w:t>РА през първия триместьр на бременността (вж. точка 4.4).</w:t>
            </w:r>
          </w:p>
          <w:p w14:paraId="78DB5583" w14:textId="01AF08B9"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Употребата на А</w:t>
            </w:r>
            <w:r w:rsidRPr="003B7EC9">
              <w:rPr>
                <w:rFonts w:eastAsia="Times New Roman" w:cs="Arial"/>
                <w:bCs/>
                <w:color w:val="000000"/>
                <w:szCs w:val="20"/>
                <w:lang w:val="en-US"/>
              </w:rPr>
              <w:t>II</w:t>
            </w:r>
            <w:r w:rsidRPr="003B7EC9">
              <w:rPr>
                <w:rFonts w:eastAsia="Times New Roman" w:cs="Arial"/>
                <w:bCs/>
                <w:color w:val="000000"/>
                <w:szCs w:val="20"/>
                <w:lang w:eastAsia="bg-BG"/>
              </w:rPr>
              <w:t>РА е противопоказана през втория и третия триместьр на бременността (вж. точки 4.3 и 4.4).</w:t>
            </w:r>
          </w:p>
        </w:tc>
      </w:tr>
    </w:tbl>
    <w:p w14:paraId="3523C30D" w14:textId="32EE4254" w:rsidR="003B7EC9" w:rsidRPr="003B7EC9" w:rsidRDefault="003B7EC9" w:rsidP="003B7EC9">
      <w:pPr>
        <w:rPr>
          <w:rFonts w:cs="Arial"/>
          <w:sz w:val="24"/>
        </w:rPr>
      </w:pPr>
    </w:p>
    <w:p w14:paraId="269C8B66"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Няма достатъчно данни за употребата на телмисартан при бременни жени. Експерименталните проучвания при животни </w:t>
      </w:r>
      <w:r w:rsidRPr="003B7EC9">
        <w:rPr>
          <w:rFonts w:eastAsia="Times New Roman" w:cs="Arial"/>
          <w:bCs/>
          <w:i/>
          <w:iCs/>
          <w:color w:val="000000"/>
          <w:szCs w:val="20"/>
          <w:lang w:eastAsia="bg-BG"/>
        </w:rPr>
        <w:t>показват</w:t>
      </w:r>
      <w:r w:rsidRPr="003B7EC9">
        <w:rPr>
          <w:rFonts w:eastAsia="Times New Roman" w:cs="Arial"/>
          <w:bCs/>
          <w:color w:val="000000"/>
          <w:szCs w:val="20"/>
          <w:lang w:eastAsia="bg-BG"/>
        </w:rPr>
        <w:t xml:space="preserve"> репродуктивна токсичност (вж. точка 5.3).</w:t>
      </w:r>
    </w:p>
    <w:p w14:paraId="24952610" w14:textId="77777777" w:rsidR="003B7EC9" w:rsidRPr="003B7EC9" w:rsidRDefault="003B7EC9" w:rsidP="003B7EC9">
      <w:pPr>
        <w:spacing w:line="240" w:lineRule="auto"/>
        <w:rPr>
          <w:rFonts w:eastAsia="Times New Roman" w:cs="Arial"/>
          <w:bCs/>
          <w:color w:val="000000"/>
          <w:szCs w:val="20"/>
          <w:lang w:eastAsia="bg-BG"/>
        </w:rPr>
      </w:pPr>
    </w:p>
    <w:p w14:paraId="5E9C953B" w14:textId="02F8F9D6"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Епидемиологичните данни за риска от тератогенност след експозиция на АСЕ инхибитори през първия триместьр на бременността не са убедителни. Все пак, не може да се изключи слабо повишаване на риска. Докато няма контролирани епидемиологични данни за риска при употреба на А</w:t>
      </w:r>
      <w:r w:rsidRPr="003B7EC9">
        <w:rPr>
          <w:rFonts w:eastAsia="Times New Roman" w:cs="Arial"/>
          <w:bCs/>
          <w:color w:val="000000"/>
          <w:szCs w:val="20"/>
          <w:lang w:val="en-US"/>
        </w:rPr>
        <w:t>II</w:t>
      </w:r>
      <w:r w:rsidRPr="003B7EC9">
        <w:rPr>
          <w:rFonts w:eastAsia="Times New Roman" w:cs="Arial"/>
          <w:bCs/>
          <w:color w:val="000000"/>
          <w:szCs w:val="20"/>
          <w:lang w:eastAsia="bg-BG"/>
        </w:rPr>
        <w:t>РА, сходни рискове могат да съществуват и при този клас лекарства.</w:t>
      </w:r>
    </w:p>
    <w:p w14:paraId="3815D5B8"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lastRenderedPageBreak/>
        <w:t>Пациентките, които планират бременност, трябва да преминат към алтернативно антихипертензивно лечение с установен профил на безопасност при употреба по време на бременност, освен ако се счита, че е от особена важност да се продължи лечението с А</w:t>
      </w:r>
      <w:r w:rsidRPr="003B7EC9">
        <w:rPr>
          <w:rFonts w:eastAsia="Times New Roman" w:cs="Arial"/>
          <w:bCs/>
          <w:color w:val="000000"/>
          <w:szCs w:val="20"/>
          <w:lang w:val="en-US"/>
        </w:rPr>
        <w:t>II</w:t>
      </w:r>
      <w:r w:rsidRPr="003B7EC9">
        <w:rPr>
          <w:rFonts w:eastAsia="Times New Roman" w:cs="Arial"/>
          <w:bCs/>
          <w:color w:val="000000"/>
          <w:szCs w:val="20"/>
          <w:lang w:eastAsia="bg-BG"/>
        </w:rPr>
        <w:t>РА. Ако е диагностицирана бременност, лечението с А</w:t>
      </w:r>
      <w:r w:rsidRPr="003B7EC9">
        <w:rPr>
          <w:rFonts w:eastAsia="Times New Roman" w:cs="Arial"/>
          <w:bCs/>
          <w:color w:val="000000"/>
          <w:szCs w:val="20"/>
          <w:lang w:val="en-US"/>
        </w:rPr>
        <w:t>II</w:t>
      </w:r>
      <w:r w:rsidRPr="003B7EC9">
        <w:rPr>
          <w:rFonts w:eastAsia="Times New Roman" w:cs="Arial"/>
          <w:bCs/>
          <w:color w:val="000000"/>
          <w:szCs w:val="20"/>
          <w:lang w:eastAsia="bg-BG"/>
        </w:rPr>
        <w:t>РА трябва незабавно да бъде преустановено и ако е подходящо да бъде започнато алтернативно лечение.</w:t>
      </w:r>
    </w:p>
    <w:p w14:paraId="62C56D41" w14:textId="77777777" w:rsidR="003B7EC9" w:rsidRPr="003B7EC9" w:rsidRDefault="003B7EC9" w:rsidP="003B7EC9">
      <w:pPr>
        <w:spacing w:line="240" w:lineRule="auto"/>
        <w:rPr>
          <w:rFonts w:eastAsia="Times New Roman" w:cs="Arial"/>
          <w:bCs/>
          <w:color w:val="000000"/>
          <w:szCs w:val="20"/>
          <w:lang w:eastAsia="bg-BG"/>
        </w:rPr>
      </w:pPr>
    </w:p>
    <w:p w14:paraId="38B4D327" w14:textId="08E20ACF"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Установено е, че експозицията на А</w:t>
      </w:r>
      <w:r w:rsidRPr="003B7EC9">
        <w:rPr>
          <w:rFonts w:eastAsia="Times New Roman" w:cs="Arial"/>
          <w:bCs/>
          <w:color w:val="000000"/>
          <w:szCs w:val="20"/>
          <w:lang w:val="en-US"/>
        </w:rPr>
        <w:t>II</w:t>
      </w:r>
      <w:r w:rsidRPr="003B7EC9">
        <w:rPr>
          <w:rFonts w:eastAsia="Times New Roman" w:cs="Arial"/>
          <w:bCs/>
          <w:color w:val="000000"/>
          <w:szCs w:val="20"/>
          <w:lang w:eastAsia="bg-BG"/>
        </w:rPr>
        <w:t>РА през втория и третия триместьр на бременността при хора предизвиква фетотоксичност (влошена бъбречна функция, олигохидрамнион, забавена черепна осификация) и неонатална токсичност (бъбречна недостатъчност, хипотония и хиперкалиемия) (вж. точка 5.3).</w:t>
      </w:r>
    </w:p>
    <w:p w14:paraId="0C155ACF"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Препоръчва се ултразвуков изследване на бъбреците и черепа, ако настъпи експозиция на А</w:t>
      </w:r>
      <w:r w:rsidRPr="003B7EC9">
        <w:rPr>
          <w:rFonts w:eastAsia="Times New Roman" w:cs="Arial"/>
          <w:bCs/>
          <w:color w:val="000000"/>
          <w:szCs w:val="20"/>
          <w:lang w:val="en-US"/>
        </w:rPr>
        <w:t>II</w:t>
      </w:r>
      <w:r w:rsidRPr="003B7EC9">
        <w:rPr>
          <w:rFonts w:eastAsia="Times New Roman" w:cs="Arial"/>
          <w:bCs/>
          <w:color w:val="000000"/>
          <w:szCs w:val="20"/>
          <w:lang w:eastAsia="bg-BG"/>
        </w:rPr>
        <w:t>РА през втория триместьр на бременността и след това.</w:t>
      </w:r>
    </w:p>
    <w:p w14:paraId="2A49704C"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Новородените, чийто майки са приемали А</w:t>
      </w:r>
      <w:r w:rsidRPr="003B7EC9">
        <w:rPr>
          <w:rFonts w:eastAsia="Times New Roman" w:cs="Arial"/>
          <w:bCs/>
          <w:color w:val="000000"/>
          <w:szCs w:val="20"/>
          <w:lang w:val="en-US"/>
        </w:rPr>
        <w:t>II</w:t>
      </w:r>
      <w:r w:rsidRPr="003B7EC9">
        <w:rPr>
          <w:rFonts w:eastAsia="Times New Roman" w:cs="Arial"/>
          <w:bCs/>
          <w:color w:val="000000"/>
          <w:szCs w:val="20"/>
          <w:lang w:eastAsia="bg-BG"/>
        </w:rPr>
        <w:t>РА, трябва да бъдат внимателно наблюдавани за хипотония (вж. точки 4.3 и 4.4).</w:t>
      </w:r>
    </w:p>
    <w:p w14:paraId="73040C96" w14:textId="77777777" w:rsidR="003B7EC9" w:rsidRPr="003B7EC9" w:rsidRDefault="003B7EC9" w:rsidP="003B7EC9">
      <w:pPr>
        <w:spacing w:line="240" w:lineRule="auto"/>
        <w:rPr>
          <w:rFonts w:eastAsia="Times New Roman" w:cs="Arial"/>
          <w:bCs/>
          <w:i/>
          <w:iCs/>
          <w:color w:val="000000"/>
          <w:szCs w:val="20"/>
          <w:lang w:eastAsia="bg-BG"/>
        </w:rPr>
      </w:pPr>
    </w:p>
    <w:p w14:paraId="5E65D6D2" w14:textId="4AFD5072"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Амлодипин</w:t>
      </w:r>
    </w:p>
    <w:p w14:paraId="03EF0D82"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Безопасността на амлодипин по време на бременност при хора не е установена.</w:t>
      </w:r>
    </w:p>
    <w:p w14:paraId="04E5F831"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В проучвания при животни, при високи дози е наблюдавана репродуктивна токсичност (вж. точка 5.3).</w:t>
      </w:r>
    </w:p>
    <w:p w14:paraId="056F199D" w14:textId="0C14CF5E"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Приложение по време на бременност се препоръчва само когато няма безопасна алтернатива и косато болестта сама по себе си носи по-голям риск за майката и плода.</w:t>
      </w:r>
    </w:p>
    <w:p w14:paraId="7ADF9472" w14:textId="77777777" w:rsidR="003B7EC9" w:rsidRPr="003B7EC9" w:rsidRDefault="003B7EC9" w:rsidP="003B7EC9">
      <w:pPr>
        <w:spacing w:line="240" w:lineRule="auto"/>
        <w:rPr>
          <w:rFonts w:eastAsia="Times New Roman" w:cs="Arial"/>
          <w:bCs/>
          <w:color w:val="000000"/>
          <w:szCs w:val="20"/>
          <w:u w:val="single"/>
          <w:lang w:eastAsia="bg-BG"/>
        </w:rPr>
      </w:pPr>
    </w:p>
    <w:p w14:paraId="12365D27" w14:textId="7D63DB43" w:rsidR="003B7EC9" w:rsidRPr="003B7EC9" w:rsidRDefault="003B7EC9" w:rsidP="003B7EC9">
      <w:pPr>
        <w:pStyle w:val="Heading3"/>
        <w:rPr>
          <w:rFonts w:eastAsia="Times New Roman"/>
          <w:sz w:val="28"/>
          <w:u w:val="single"/>
        </w:rPr>
      </w:pPr>
      <w:r w:rsidRPr="003B7EC9">
        <w:rPr>
          <w:rFonts w:eastAsia="Times New Roman"/>
          <w:u w:val="single"/>
          <w:lang w:eastAsia="bg-BG"/>
        </w:rPr>
        <w:t>Кърмене</w:t>
      </w:r>
    </w:p>
    <w:p w14:paraId="79734EEE" w14:textId="1563FB0E" w:rsidR="003B7EC9" w:rsidRPr="003B7EC9" w:rsidRDefault="003B7EC9" w:rsidP="003B7EC9">
      <w:pPr>
        <w:rPr>
          <w:rFonts w:eastAsia="Times New Roman" w:cs="Arial"/>
          <w:bCs/>
          <w:color w:val="000000"/>
          <w:szCs w:val="20"/>
          <w:lang w:eastAsia="bg-BG"/>
        </w:rPr>
      </w:pPr>
      <w:r w:rsidRPr="003B7EC9">
        <w:rPr>
          <w:rFonts w:eastAsia="Times New Roman" w:cs="Arial"/>
          <w:bCs/>
          <w:color w:val="000000"/>
          <w:szCs w:val="20"/>
          <w:lang w:eastAsia="bg-BG"/>
        </w:rPr>
        <w:t>Амлодипин се екскретира в кърмата при хора. Частта от дозата на майката, получена от кърмачето, е изчислена с интерквартилен диапазон 3 - 7%, с максимум 15%. Ефектът на амлодипин върху кърмачетата е неизвестен. Няма данни относно употребата на Телфорт в периода на кърмене. Следователно, Телфорт не се препоръчва, а се предпочитат алтернативни лечения с по-добре установен профил на безопасност в периода на кърмене,  особено при кърмене на новородено или преждевременно родено дете.</w:t>
      </w:r>
    </w:p>
    <w:p w14:paraId="37A2FA83" w14:textId="027156CD" w:rsidR="003B7EC9" w:rsidRPr="003B7EC9" w:rsidRDefault="003B7EC9" w:rsidP="003B7EC9">
      <w:pPr>
        <w:rPr>
          <w:rFonts w:eastAsia="Times New Roman" w:cs="Arial"/>
          <w:bCs/>
          <w:color w:val="000000"/>
          <w:szCs w:val="20"/>
          <w:lang w:eastAsia="bg-BG"/>
        </w:rPr>
      </w:pPr>
    </w:p>
    <w:p w14:paraId="31668548" w14:textId="77777777" w:rsidR="003B7EC9" w:rsidRPr="003B7EC9" w:rsidRDefault="003B7EC9" w:rsidP="003B7EC9">
      <w:pPr>
        <w:pStyle w:val="Heading3"/>
        <w:rPr>
          <w:rFonts w:eastAsia="Times New Roman"/>
          <w:sz w:val="28"/>
          <w:u w:val="single"/>
        </w:rPr>
      </w:pPr>
      <w:r w:rsidRPr="003B7EC9">
        <w:rPr>
          <w:rFonts w:eastAsia="Times New Roman"/>
          <w:u w:val="single"/>
          <w:lang w:eastAsia="bg-BG"/>
        </w:rPr>
        <w:t>Фертилитет</w:t>
      </w:r>
    </w:p>
    <w:p w14:paraId="2F3AA6B4" w14:textId="77777777" w:rsidR="003B7EC9" w:rsidRPr="003B7EC9" w:rsidRDefault="003B7EC9" w:rsidP="003B7EC9">
      <w:pPr>
        <w:spacing w:line="240" w:lineRule="auto"/>
        <w:rPr>
          <w:rFonts w:eastAsia="Times New Roman" w:cs="Arial"/>
          <w:bCs/>
          <w:i/>
          <w:iCs/>
          <w:color w:val="000000"/>
          <w:szCs w:val="20"/>
          <w:lang w:eastAsia="bg-BG"/>
        </w:rPr>
      </w:pPr>
    </w:p>
    <w:p w14:paraId="4513E6FC" w14:textId="3627C844"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Телмисартан</w:t>
      </w:r>
    </w:p>
    <w:p w14:paraId="2791247F"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В предклинични проучвания не са наблюдавани ефекти на телмисартан върху фертилитета на мъжки и женски индивиди.</w:t>
      </w:r>
    </w:p>
    <w:p w14:paraId="5A602993" w14:textId="77777777" w:rsidR="003B7EC9" w:rsidRPr="003B7EC9" w:rsidRDefault="003B7EC9" w:rsidP="003B7EC9">
      <w:pPr>
        <w:spacing w:line="240" w:lineRule="auto"/>
        <w:rPr>
          <w:rFonts w:eastAsia="Times New Roman" w:cs="Arial"/>
          <w:bCs/>
          <w:i/>
          <w:iCs/>
          <w:color w:val="000000"/>
          <w:szCs w:val="20"/>
          <w:lang w:eastAsia="bg-BG"/>
        </w:rPr>
      </w:pPr>
    </w:p>
    <w:p w14:paraId="0631D28A" w14:textId="3D1499E1"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Амлодипин</w:t>
      </w:r>
    </w:p>
    <w:p w14:paraId="4066A6AA"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 xml:space="preserve">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w:t>
      </w:r>
      <w:r w:rsidRPr="003B7EC9">
        <w:rPr>
          <w:rFonts w:eastAsia="Times New Roman" w:cs="Arial"/>
          <w:bCs/>
          <w:i/>
          <w:iCs/>
          <w:color w:val="000000"/>
          <w:szCs w:val="20"/>
          <w:lang w:eastAsia="bg-BG"/>
        </w:rPr>
        <w:t>амлодипин</w:t>
      </w:r>
      <w:r w:rsidRPr="003B7EC9">
        <w:rPr>
          <w:rFonts w:eastAsia="Times New Roman" w:cs="Arial"/>
          <w:bCs/>
          <w:color w:val="000000"/>
          <w:szCs w:val="20"/>
          <w:lang w:eastAsia="bg-BG"/>
        </w:rPr>
        <w:t xml:space="preserve"> върху фертилитета. При едно проучване при плъхове са установени нежелани ефекти върху мъжкия фертилитет (вж. точка 5.3).</w:t>
      </w:r>
    </w:p>
    <w:p w14:paraId="511B9677" w14:textId="77777777" w:rsidR="003B7EC9" w:rsidRPr="003B7EC9" w:rsidRDefault="003B7EC9" w:rsidP="003B7EC9"/>
    <w:p w14:paraId="128BA3A8" w14:textId="1674725D" w:rsidR="00DB32D3" w:rsidRDefault="002C50EE" w:rsidP="005726E3">
      <w:pPr>
        <w:pStyle w:val="Heading2"/>
      </w:pPr>
      <w:r>
        <w:t>4.7. Ефекти върху способността за шофиране и работа с машини</w:t>
      </w:r>
    </w:p>
    <w:p w14:paraId="0C541F9F" w14:textId="124DD554" w:rsidR="003B7EC9" w:rsidRDefault="003B7EC9" w:rsidP="003B7EC9"/>
    <w:p w14:paraId="7E49B244" w14:textId="77777777" w:rsidR="003B7EC9" w:rsidRPr="003B7EC9" w:rsidRDefault="003B7EC9" w:rsidP="003B7EC9">
      <w:pPr>
        <w:rPr>
          <w:sz w:val="24"/>
          <w:szCs w:val="24"/>
        </w:rPr>
      </w:pPr>
      <w:r w:rsidRPr="003B7EC9">
        <w:rPr>
          <w:lang w:eastAsia="bg-BG"/>
        </w:rPr>
        <w:t xml:space="preserve">Телфорт умерено повлиява способността за шофиране и работа с машини. При пациенти приемащи Телфорт със замайване, главоболие, умора или гадене може да се наруши способността им за реакция. Ето защо препоръчва се повишено внимание при шофиране </w:t>
      </w:r>
      <w:r w:rsidRPr="003B7EC9">
        <w:rPr>
          <w:lang w:eastAsia="bg-BG"/>
        </w:rPr>
        <w:lastRenderedPageBreak/>
        <w:t>и работа с машини. Ако при пациентите се проявяват тези нежелани реакции, те трябва да избягват потенциални рискови ситуации като шофиране или работа с машини.</w:t>
      </w:r>
    </w:p>
    <w:p w14:paraId="4EFDC4B1" w14:textId="77777777" w:rsidR="003B7EC9" w:rsidRPr="003B7EC9" w:rsidRDefault="003B7EC9" w:rsidP="003B7EC9"/>
    <w:p w14:paraId="44CE30A3" w14:textId="6C48C938" w:rsidR="007122AD" w:rsidRDefault="002C50EE" w:rsidP="00936AD0">
      <w:pPr>
        <w:pStyle w:val="Heading2"/>
      </w:pPr>
      <w:r>
        <w:t>4.8. Нежелани лекарствени реакции</w:t>
      </w:r>
    </w:p>
    <w:p w14:paraId="3F5C668D" w14:textId="56D6F6C7" w:rsidR="003B7EC9" w:rsidRDefault="003B7EC9" w:rsidP="003B7EC9"/>
    <w:p w14:paraId="233BF490"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Нежеланите реакции, съобщавани за всяка от отделните съставки (амлодипин или телмисартан) могат да бъдат потенциални нежелани реакции при Телфорт.</w:t>
      </w:r>
    </w:p>
    <w:p w14:paraId="203D05BE" w14:textId="77777777" w:rsidR="003B7EC9" w:rsidRPr="003B7EC9" w:rsidRDefault="003B7EC9" w:rsidP="003B7EC9">
      <w:pPr>
        <w:spacing w:line="240" w:lineRule="auto"/>
        <w:rPr>
          <w:rFonts w:eastAsia="Times New Roman" w:cs="Arial"/>
          <w:bCs/>
          <w:color w:val="000000"/>
          <w:szCs w:val="20"/>
          <w:u w:val="single"/>
          <w:lang w:eastAsia="bg-BG"/>
        </w:rPr>
      </w:pPr>
    </w:p>
    <w:p w14:paraId="4E220EB4" w14:textId="78A9AC1E"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u w:val="single"/>
          <w:lang w:eastAsia="bg-BG"/>
        </w:rPr>
        <w:t>Нежелани лекарствени реакции свързани с телмисартан</w:t>
      </w:r>
    </w:p>
    <w:p w14:paraId="308F82A2" w14:textId="77777777" w:rsidR="003B7EC9" w:rsidRPr="003B7EC9" w:rsidRDefault="003B7EC9" w:rsidP="003B7EC9">
      <w:pPr>
        <w:spacing w:line="240" w:lineRule="auto"/>
        <w:rPr>
          <w:rFonts w:eastAsia="Times New Roman" w:cs="Arial"/>
          <w:bCs/>
          <w:i/>
          <w:iCs/>
          <w:color w:val="000000"/>
          <w:szCs w:val="20"/>
          <w:lang w:eastAsia="bg-BG"/>
        </w:rPr>
      </w:pPr>
    </w:p>
    <w:p w14:paraId="0B9AF9CB" w14:textId="601213D4"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Обобщение на профила на безопасност</w:t>
      </w:r>
    </w:p>
    <w:p w14:paraId="536D9186"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Сериозните нежелани лекарствени реакции включват анафилактични реакции и ангиоедем, които може да настъпят рядко (≥1/10 000 до &lt;1/1 000) и остра бъбречна недостатъчност.</w:t>
      </w:r>
    </w:p>
    <w:p w14:paraId="0BE88B87" w14:textId="77777777" w:rsidR="003B7EC9" w:rsidRPr="003B7EC9" w:rsidRDefault="003B7EC9" w:rsidP="003B7EC9">
      <w:pPr>
        <w:spacing w:line="240" w:lineRule="auto"/>
        <w:rPr>
          <w:rFonts w:eastAsia="Times New Roman" w:cs="Arial"/>
          <w:bCs/>
          <w:color w:val="000000"/>
          <w:szCs w:val="20"/>
          <w:lang w:eastAsia="bg-BG"/>
        </w:rPr>
      </w:pPr>
    </w:p>
    <w:p w14:paraId="183786A0" w14:textId="77777777" w:rsidR="003B7EC9" w:rsidRPr="003B7EC9" w:rsidRDefault="003B7EC9" w:rsidP="003B7EC9">
      <w:pPr>
        <w:spacing w:line="240" w:lineRule="auto"/>
        <w:rPr>
          <w:rFonts w:eastAsia="Times New Roman" w:cs="Arial"/>
          <w:bCs/>
          <w:color w:val="000000"/>
          <w:szCs w:val="20"/>
          <w:lang w:eastAsia="bg-BG"/>
        </w:rPr>
      </w:pPr>
      <w:r w:rsidRPr="003B7EC9">
        <w:rPr>
          <w:rFonts w:eastAsia="Times New Roman" w:cs="Arial"/>
          <w:bCs/>
          <w:color w:val="000000"/>
          <w:szCs w:val="20"/>
          <w:lang w:eastAsia="bg-BG"/>
        </w:rPr>
        <w:t xml:space="preserve">Честотата на нежелани лекарствени реакции, съобщавани при употребата на телмисартан, обикновено е сравнима с плацебо (41,4% спрямо 43,9%) при плацебо-контролирани проучвания при пациенти, лекувани за хипертония. Случаите на проявени нежелани лекарствени реакции не са свързани с дозата и не </w:t>
      </w:r>
      <w:r w:rsidRPr="003B7EC9">
        <w:rPr>
          <w:rFonts w:eastAsia="Times New Roman" w:cs="Arial"/>
          <w:bCs/>
          <w:i/>
          <w:iCs/>
          <w:color w:val="000000"/>
          <w:szCs w:val="20"/>
          <w:lang w:eastAsia="bg-BG"/>
        </w:rPr>
        <w:t>показват</w:t>
      </w:r>
      <w:r w:rsidRPr="003B7EC9">
        <w:rPr>
          <w:rFonts w:eastAsia="Times New Roman" w:cs="Arial"/>
          <w:bCs/>
          <w:color w:val="000000"/>
          <w:szCs w:val="20"/>
          <w:lang w:eastAsia="bg-BG"/>
        </w:rPr>
        <w:t xml:space="preserve"> зависимост от пола, възрастта или расата на пациентите. Профилът на безопасност на телмисартан при пациенти, лекувани за намаляване на сърдечносъдовата </w:t>
      </w:r>
    </w:p>
    <w:p w14:paraId="2D74A509" w14:textId="733D7828"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заболеваемост е сходен с този, наблюдаван при пациенти с хипертония.</w:t>
      </w:r>
    </w:p>
    <w:p w14:paraId="68E3C3FD" w14:textId="77777777" w:rsidR="003B7EC9" w:rsidRPr="003B7EC9" w:rsidRDefault="003B7EC9" w:rsidP="003B7EC9">
      <w:pPr>
        <w:spacing w:line="240" w:lineRule="auto"/>
        <w:rPr>
          <w:rFonts w:eastAsia="Times New Roman" w:cs="Arial"/>
          <w:bCs/>
          <w:color w:val="000000"/>
          <w:szCs w:val="20"/>
          <w:lang w:eastAsia="bg-BG"/>
        </w:rPr>
      </w:pPr>
    </w:p>
    <w:p w14:paraId="6EEC1E90" w14:textId="253477C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Представените по-долу нежелани лекарствени реакции, отразяват резултатите от контролирани клинични проучвания при пациенти, лекувани за хипертония и от пост-маркетингови доклади. Също се имат предвид сериозните нежелани реакции, както и прекъсване на лечението, докладвани при продължителни клинични проучвания, включващи 21 642 пациента, лекувани с телмисартан за намаляване на сърдечносъдовата заболеваемост за период до 6 години.</w:t>
      </w:r>
    </w:p>
    <w:p w14:paraId="07C721DA" w14:textId="77777777" w:rsidR="003B7EC9" w:rsidRPr="003B7EC9" w:rsidRDefault="003B7EC9" w:rsidP="003B7EC9">
      <w:pPr>
        <w:spacing w:line="240" w:lineRule="auto"/>
        <w:rPr>
          <w:rFonts w:eastAsia="Times New Roman" w:cs="Arial"/>
          <w:bCs/>
          <w:i/>
          <w:iCs/>
          <w:color w:val="000000"/>
          <w:szCs w:val="20"/>
          <w:lang w:eastAsia="bg-BG"/>
        </w:rPr>
      </w:pPr>
    </w:p>
    <w:p w14:paraId="735D6169" w14:textId="04E2B1AE" w:rsidR="003B7EC9" w:rsidRPr="003B7EC9" w:rsidRDefault="003B7EC9" w:rsidP="003B7EC9">
      <w:pPr>
        <w:spacing w:line="240" w:lineRule="auto"/>
        <w:rPr>
          <w:rFonts w:eastAsia="Times New Roman" w:cs="Arial"/>
          <w:sz w:val="28"/>
          <w:szCs w:val="24"/>
        </w:rPr>
      </w:pPr>
      <w:r w:rsidRPr="003B7EC9">
        <w:rPr>
          <w:rFonts w:eastAsia="Times New Roman" w:cs="Arial"/>
          <w:bCs/>
          <w:i/>
          <w:iCs/>
          <w:color w:val="000000"/>
          <w:szCs w:val="20"/>
          <w:lang w:eastAsia="bg-BG"/>
        </w:rPr>
        <w:t>Обобщение на нежеланите лекарствени реакции в табличен формат</w:t>
      </w:r>
    </w:p>
    <w:p w14:paraId="74F81F65" w14:textId="77777777" w:rsidR="003B7EC9" w:rsidRPr="003B7EC9" w:rsidRDefault="003B7EC9" w:rsidP="003B7EC9">
      <w:pPr>
        <w:spacing w:line="240" w:lineRule="auto"/>
        <w:rPr>
          <w:rFonts w:eastAsia="Times New Roman" w:cs="Arial"/>
          <w:bCs/>
          <w:color w:val="000000"/>
          <w:szCs w:val="20"/>
          <w:lang w:eastAsia="bg-BG"/>
        </w:rPr>
      </w:pPr>
    </w:p>
    <w:p w14:paraId="606EF6F3" w14:textId="7D6A602A"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Нежеланите лекарствени реакции са категоризирани според честотата, като е използвана следната класификация: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1C04A138" w14:textId="77777777" w:rsidR="003B7EC9" w:rsidRPr="003B7EC9" w:rsidRDefault="003B7EC9" w:rsidP="003B7EC9">
      <w:pPr>
        <w:spacing w:line="240" w:lineRule="auto"/>
        <w:rPr>
          <w:rFonts w:eastAsia="Times New Roman" w:cs="Arial"/>
          <w:sz w:val="28"/>
          <w:szCs w:val="24"/>
        </w:rPr>
      </w:pPr>
      <w:r w:rsidRPr="003B7EC9">
        <w:rPr>
          <w:rFonts w:eastAsia="Times New Roman" w:cs="Arial"/>
          <w:bCs/>
          <w:color w:val="000000"/>
          <w:szCs w:val="20"/>
          <w:lang w:eastAsia="bg-BG"/>
        </w:rPr>
        <w:t>При всяко групиране в зависимост от честотата, нежеланите лекарствени реакции се изброяват в низходящ ред по отношение на тежестта.</w:t>
      </w:r>
    </w:p>
    <w:p w14:paraId="0FC61C0B" w14:textId="5DBF2E24" w:rsidR="003B7EC9" w:rsidRDefault="003B7EC9" w:rsidP="003B7EC9"/>
    <w:tbl>
      <w:tblPr>
        <w:tblStyle w:val="TableGrid"/>
        <w:tblW w:w="0" w:type="auto"/>
        <w:tblLook w:val="04A0" w:firstRow="1" w:lastRow="0" w:firstColumn="1" w:lastColumn="0" w:noHBand="0" w:noVBand="1"/>
      </w:tblPr>
      <w:tblGrid>
        <w:gridCol w:w="3121"/>
        <w:gridCol w:w="3075"/>
        <w:gridCol w:w="3154"/>
      </w:tblGrid>
      <w:tr w:rsidR="00991A37" w14:paraId="32CFA2F9" w14:textId="77777777" w:rsidTr="00991A37">
        <w:tc>
          <w:tcPr>
            <w:tcW w:w="3192" w:type="dxa"/>
            <w:vAlign w:val="bottom"/>
          </w:tcPr>
          <w:p w14:paraId="212F26B4" w14:textId="645FAC6D" w:rsidR="00991A37" w:rsidRPr="00991A37" w:rsidRDefault="00991A37" w:rsidP="00991A37">
            <w:r w:rsidRPr="00991A37">
              <w:rPr>
                <w:bCs/>
                <w:szCs w:val="20"/>
              </w:rPr>
              <w:t>Системо-органен клас</w:t>
            </w:r>
          </w:p>
        </w:tc>
        <w:tc>
          <w:tcPr>
            <w:tcW w:w="3192" w:type="dxa"/>
            <w:vAlign w:val="bottom"/>
          </w:tcPr>
          <w:p w14:paraId="28EC8E33" w14:textId="4566C091" w:rsidR="00991A37" w:rsidRPr="00991A37" w:rsidRDefault="00991A37" w:rsidP="00991A37">
            <w:r w:rsidRPr="00991A37">
              <w:rPr>
                <w:bCs/>
                <w:szCs w:val="20"/>
              </w:rPr>
              <w:t>Честота</w:t>
            </w:r>
          </w:p>
        </w:tc>
        <w:tc>
          <w:tcPr>
            <w:tcW w:w="3192" w:type="dxa"/>
            <w:vAlign w:val="bottom"/>
          </w:tcPr>
          <w:p w14:paraId="161806F5" w14:textId="11F654E5" w:rsidR="00991A37" w:rsidRPr="00991A37" w:rsidRDefault="00991A37" w:rsidP="00991A37">
            <w:r w:rsidRPr="00991A37">
              <w:rPr>
                <w:bCs/>
                <w:szCs w:val="20"/>
              </w:rPr>
              <w:t>Нежелани лекарствени реакции</w:t>
            </w:r>
          </w:p>
        </w:tc>
      </w:tr>
      <w:tr w:rsidR="00991A37" w14:paraId="16FF0FC7" w14:textId="77777777" w:rsidTr="00991A37">
        <w:tc>
          <w:tcPr>
            <w:tcW w:w="3192" w:type="dxa"/>
            <w:vMerge w:val="restart"/>
          </w:tcPr>
          <w:p w14:paraId="62ABE63F" w14:textId="32237CFB" w:rsidR="00991A37" w:rsidRPr="00991A37" w:rsidRDefault="00991A37" w:rsidP="00991A37">
            <w:r w:rsidRPr="00991A37">
              <w:rPr>
                <w:bCs/>
                <w:szCs w:val="20"/>
              </w:rPr>
              <w:t>Инфекции и инфестации:</w:t>
            </w:r>
          </w:p>
        </w:tc>
        <w:tc>
          <w:tcPr>
            <w:tcW w:w="3192" w:type="dxa"/>
          </w:tcPr>
          <w:p w14:paraId="77ACFD23" w14:textId="167E6DF8" w:rsidR="00991A37" w:rsidRPr="00991A37" w:rsidRDefault="00991A37" w:rsidP="00991A37">
            <w:r w:rsidRPr="00991A37">
              <w:rPr>
                <w:bCs/>
                <w:szCs w:val="20"/>
              </w:rPr>
              <w:t>Нечести</w:t>
            </w:r>
          </w:p>
        </w:tc>
        <w:tc>
          <w:tcPr>
            <w:tcW w:w="3192" w:type="dxa"/>
            <w:vAlign w:val="bottom"/>
          </w:tcPr>
          <w:p w14:paraId="42782A64" w14:textId="0B4D9332" w:rsidR="00991A37" w:rsidRPr="00991A37" w:rsidRDefault="00991A37" w:rsidP="00991A37">
            <w:r w:rsidRPr="00991A37">
              <w:rPr>
                <w:bCs/>
                <w:szCs w:val="20"/>
              </w:rPr>
              <w:t>Инфекция на уринарния тракт, включително цистит, инфекция на горния респираторен тракт, включително фарингит и синуит</w:t>
            </w:r>
          </w:p>
        </w:tc>
      </w:tr>
      <w:tr w:rsidR="00991A37" w14:paraId="45D21D7A" w14:textId="77777777" w:rsidTr="00991A37">
        <w:tc>
          <w:tcPr>
            <w:tcW w:w="3192" w:type="dxa"/>
            <w:vMerge/>
          </w:tcPr>
          <w:p w14:paraId="520D09C7" w14:textId="77777777" w:rsidR="00991A37" w:rsidRPr="00991A37" w:rsidRDefault="00991A37" w:rsidP="00991A37"/>
        </w:tc>
        <w:tc>
          <w:tcPr>
            <w:tcW w:w="3192" w:type="dxa"/>
            <w:vAlign w:val="bottom"/>
          </w:tcPr>
          <w:p w14:paraId="593CF1E1" w14:textId="3A149F4F" w:rsidR="00991A37" w:rsidRPr="00991A37" w:rsidRDefault="00991A37" w:rsidP="00991A37">
            <w:r w:rsidRPr="00991A37">
              <w:rPr>
                <w:bCs/>
                <w:szCs w:val="20"/>
              </w:rPr>
              <w:t>Редки</w:t>
            </w:r>
          </w:p>
        </w:tc>
        <w:tc>
          <w:tcPr>
            <w:tcW w:w="3192" w:type="dxa"/>
            <w:vAlign w:val="bottom"/>
          </w:tcPr>
          <w:p w14:paraId="121835BC" w14:textId="443071BD" w:rsidR="00991A37" w:rsidRPr="00991A37" w:rsidRDefault="00991A37" w:rsidP="00991A37">
            <w:r w:rsidRPr="00991A37">
              <w:rPr>
                <w:bCs/>
                <w:szCs w:val="20"/>
              </w:rPr>
              <w:t>Сепсис, включително с фатален изход</w:t>
            </w:r>
            <w:r w:rsidRPr="00991A37">
              <w:rPr>
                <w:bCs/>
                <w:szCs w:val="20"/>
                <w:vertAlign w:val="superscript"/>
              </w:rPr>
              <w:t>1</w:t>
            </w:r>
          </w:p>
        </w:tc>
      </w:tr>
      <w:tr w:rsidR="00991A37" w14:paraId="142BB61D" w14:textId="77777777" w:rsidTr="00991A37">
        <w:tc>
          <w:tcPr>
            <w:tcW w:w="3192" w:type="dxa"/>
            <w:vMerge w:val="restart"/>
          </w:tcPr>
          <w:p w14:paraId="28C1A34B" w14:textId="118849E9" w:rsidR="00991A37" w:rsidRPr="00991A37" w:rsidRDefault="00991A37" w:rsidP="00991A37">
            <w:r w:rsidRPr="00991A37">
              <w:rPr>
                <w:bCs/>
                <w:szCs w:val="20"/>
              </w:rPr>
              <w:lastRenderedPageBreak/>
              <w:t>Нарушения на кръвта и лимфната система</w:t>
            </w:r>
          </w:p>
        </w:tc>
        <w:tc>
          <w:tcPr>
            <w:tcW w:w="3192" w:type="dxa"/>
          </w:tcPr>
          <w:p w14:paraId="27A24326" w14:textId="348838DA" w:rsidR="00991A37" w:rsidRPr="00991A37" w:rsidRDefault="00991A37" w:rsidP="00991A37">
            <w:r w:rsidRPr="00991A37">
              <w:rPr>
                <w:bCs/>
                <w:szCs w:val="20"/>
              </w:rPr>
              <w:t>Нечести</w:t>
            </w:r>
          </w:p>
        </w:tc>
        <w:tc>
          <w:tcPr>
            <w:tcW w:w="3192" w:type="dxa"/>
          </w:tcPr>
          <w:p w14:paraId="16F6C68C" w14:textId="68F9C86D" w:rsidR="00991A37" w:rsidRPr="00991A37" w:rsidRDefault="00991A37" w:rsidP="00991A37">
            <w:r w:rsidRPr="00991A37">
              <w:rPr>
                <w:bCs/>
                <w:szCs w:val="20"/>
              </w:rPr>
              <w:t>Анемия</w:t>
            </w:r>
          </w:p>
        </w:tc>
      </w:tr>
      <w:tr w:rsidR="00991A37" w14:paraId="51B9D1B7" w14:textId="77777777" w:rsidTr="00991A37">
        <w:tc>
          <w:tcPr>
            <w:tcW w:w="3192" w:type="dxa"/>
            <w:vMerge/>
          </w:tcPr>
          <w:p w14:paraId="6BF6346C" w14:textId="77777777" w:rsidR="00991A37" w:rsidRPr="00991A37" w:rsidRDefault="00991A37" w:rsidP="00991A37"/>
        </w:tc>
        <w:tc>
          <w:tcPr>
            <w:tcW w:w="3192" w:type="dxa"/>
          </w:tcPr>
          <w:p w14:paraId="5F4614C9" w14:textId="518AF781" w:rsidR="00991A37" w:rsidRPr="00991A37" w:rsidRDefault="00991A37" w:rsidP="00991A37">
            <w:r w:rsidRPr="00991A37">
              <w:rPr>
                <w:bCs/>
                <w:szCs w:val="20"/>
              </w:rPr>
              <w:t>Редки</w:t>
            </w:r>
          </w:p>
        </w:tc>
        <w:tc>
          <w:tcPr>
            <w:tcW w:w="3192" w:type="dxa"/>
          </w:tcPr>
          <w:p w14:paraId="1E983F1C" w14:textId="5B45FE02" w:rsidR="00991A37" w:rsidRPr="00991A37" w:rsidRDefault="00991A37" w:rsidP="00991A37">
            <w:r w:rsidRPr="00991A37">
              <w:rPr>
                <w:bCs/>
                <w:szCs w:val="20"/>
              </w:rPr>
              <w:t>Еозииофилия, тромбоцитопения</w:t>
            </w:r>
          </w:p>
        </w:tc>
      </w:tr>
      <w:tr w:rsidR="00991A37" w14:paraId="3281B3DF" w14:textId="77777777" w:rsidTr="00991A37">
        <w:tc>
          <w:tcPr>
            <w:tcW w:w="3192" w:type="dxa"/>
          </w:tcPr>
          <w:p w14:paraId="60AF2A54" w14:textId="272E6D04" w:rsidR="00991A37" w:rsidRPr="00991A37" w:rsidRDefault="00991A37" w:rsidP="00991A37">
            <w:r w:rsidRPr="00991A37">
              <w:rPr>
                <w:bCs/>
                <w:szCs w:val="20"/>
              </w:rPr>
              <w:t>Нарушения на имунната система</w:t>
            </w:r>
          </w:p>
        </w:tc>
        <w:tc>
          <w:tcPr>
            <w:tcW w:w="3192" w:type="dxa"/>
          </w:tcPr>
          <w:p w14:paraId="3AF7B1FB" w14:textId="3B190793" w:rsidR="00991A37" w:rsidRPr="00991A37" w:rsidRDefault="00991A37" w:rsidP="00991A37">
            <w:r w:rsidRPr="00991A37">
              <w:rPr>
                <w:bCs/>
                <w:szCs w:val="20"/>
              </w:rPr>
              <w:t>Редки</w:t>
            </w:r>
          </w:p>
        </w:tc>
        <w:tc>
          <w:tcPr>
            <w:tcW w:w="3192" w:type="dxa"/>
          </w:tcPr>
          <w:p w14:paraId="4B73BF60" w14:textId="4A445311" w:rsidR="00991A37" w:rsidRPr="00991A37" w:rsidRDefault="00991A37" w:rsidP="00991A37">
            <w:r w:rsidRPr="00991A37">
              <w:rPr>
                <w:bCs/>
                <w:szCs w:val="20"/>
              </w:rPr>
              <w:t>Анафилактична реакция, свръхчувствителност</w:t>
            </w:r>
          </w:p>
        </w:tc>
      </w:tr>
      <w:tr w:rsidR="00991A37" w14:paraId="74CCA25B" w14:textId="77777777" w:rsidTr="00991A37">
        <w:tc>
          <w:tcPr>
            <w:tcW w:w="3192" w:type="dxa"/>
            <w:vMerge w:val="restart"/>
          </w:tcPr>
          <w:p w14:paraId="34DE3E5D" w14:textId="3A3383A6" w:rsidR="00991A37" w:rsidRPr="00991A37" w:rsidRDefault="00991A37" w:rsidP="00991A37">
            <w:r w:rsidRPr="00991A37">
              <w:rPr>
                <w:bCs/>
                <w:szCs w:val="20"/>
              </w:rPr>
              <w:t>Нарушения на метаболизма и храненето</w:t>
            </w:r>
          </w:p>
        </w:tc>
        <w:tc>
          <w:tcPr>
            <w:tcW w:w="3192" w:type="dxa"/>
          </w:tcPr>
          <w:p w14:paraId="4D0B5325" w14:textId="654E544A" w:rsidR="00991A37" w:rsidRPr="00991A37" w:rsidRDefault="00991A37" w:rsidP="00991A37">
            <w:r w:rsidRPr="00991A37">
              <w:rPr>
                <w:bCs/>
                <w:szCs w:val="20"/>
              </w:rPr>
              <w:t>Нечести</w:t>
            </w:r>
          </w:p>
        </w:tc>
        <w:tc>
          <w:tcPr>
            <w:tcW w:w="3192" w:type="dxa"/>
          </w:tcPr>
          <w:p w14:paraId="468198B8" w14:textId="090484AF" w:rsidR="00991A37" w:rsidRPr="00991A37" w:rsidRDefault="00991A37" w:rsidP="00991A37">
            <w:r w:rsidRPr="00991A37">
              <w:rPr>
                <w:bCs/>
                <w:szCs w:val="20"/>
              </w:rPr>
              <w:t>Хиперкалиемия</w:t>
            </w:r>
          </w:p>
        </w:tc>
      </w:tr>
      <w:tr w:rsidR="00991A37" w14:paraId="47D58005" w14:textId="77777777" w:rsidTr="00991A37">
        <w:tc>
          <w:tcPr>
            <w:tcW w:w="3192" w:type="dxa"/>
            <w:vMerge/>
          </w:tcPr>
          <w:p w14:paraId="697D8341" w14:textId="77777777" w:rsidR="00991A37" w:rsidRPr="00991A37" w:rsidRDefault="00991A37" w:rsidP="00991A37"/>
        </w:tc>
        <w:tc>
          <w:tcPr>
            <w:tcW w:w="3192" w:type="dxa"/>
            <w:vAlign w:val="bottom"/>
          </w:tcPr>
          <w:p w14:paraId="0F213ABE" w14:textId="0D62F356" w:rsidR="00991A37" w:rsidRPr="00991A37" w:rsidRDefault="00991A37" w:rsidP="00991A37">
            <w:r w:rsidRPr="00991A37">
              <w:rPr>
                <w:bCs/>
                <w:szCs w:val="20"/>
              </w:rPr>
              <w:t>Много редки</w:t>
            </w:r>
          </w:p>
        </w:tc>
        <w:tc>
          <w:tcPr>
            <w:tcW w:w="3192" w:type="dxa"/>
          </w:tcPr>
          <w:p w14:paraId="08D7549B" w14:textId="281DE1D7" w:rsidR="00991A37" w:rsidRPr="00991A37" w:rsidRDefault="00991A37" w:rsidP="00991A37">
            <w:r w:rsidRPr="00991A37">
              <w:rPr>
                <w:bCs/>
                <w:szCs w:val="20"/>
              </w:rPr>
              <w:t>Хипогликемия (при пациенти, болни от диабет)</w:t>
            </w:r>
          </w:p>
        </w:tc>
      </w:tr>
      <w:tr w:rsidR="00991A37" w14:paraId="075DEB0F" w14:textId="77777777" w:rsidTr="00991A37">
        <w:tc>
          <w:tcPr>
            <w:tcW w:w="3192" w:type="dxa"/>
            <w:vMerge w:val="restart"/>
          </w:tcPr>
          <w:p w14:paraId="649D251E" w14:textId="6F7FEB5E" w:rsidR="00991A37" w:rsidRPr="00991A37" w:rsidRDefault="00991A37" w:rsidP="00991A37">
            <w:r w:rsidRPr="00991A37">
              <w:rPr>
                <w:bCs/>
                <w:szCs w:val="20"/>
              </w:rPr>
              <w:t>Психични нарушения</w:t>
            </w:r>
          </w:p>
        </w:tc>
        <w:tc>
          <w:tcPr>
            <w:tcW w:w="3192" w:type="dxa"/>
            <w:vAlign w:val="bottom"/>
          </w:tcPr>
          <w:p w14:paraId="7BA5DFEA" w14:textId="1975774D" w:rsidR="00991A37" w:rsidRPr="00991A37" w:rsidRDefault="00991A37" w:rsidP="00991A37">
            <w:r w:rsidRPr="00991A37">
              <w:rPr>
                <w:bCs/>
                <w:szCs w:val="20"/>
              </w:rPr>
              <w:t>Нечести</w:t>
            </w:r>
          </w:p>
        </w:tc>
        <w:tc>
          <w:tcPr>
            <w:tcW w:w="3192" w:type="dxa"/>
            <w:vAlign w:val="bottom"/>
          </w:tcPr>
          <w:p w14:paraId="258C030E" w14:textId="4A6E8C14" w:rsidR="00991A37" w:rsidRPr="00991A37" w:rsidRDefault="00991A37" w:rsidP="00991A37">
            <w:r w:rsidRPr="00991A37">
              <w:rPr>
                <w:bCs/>
                <w:szCs w:val="20"/>
              </w:rPr>
              <w:t>Безсъние, депресия</w:t>
            </w:r>
          </w:p>
        </w:tc>
      </w:tr>
      <w:tr w:rsidR="00991A37" w14:paraId="3B5E2829" w14:textId="77777777" w:rsidTr="00991A37">
        <w:tc>
          <w:tcPr>
            <w:tcW w:w="3192" w:type="dxa"/>
            <w:vMerge/>
          </w:tcPr>
          <w:p w14:paraId="390F500D" w14:textId="77777777" w:rsidR="00991A37" w:rsidRPr="00991A37" w:rsidRDefault="00991A37" w:rsidP="00991A37"/>
        </w:tc>
        <w:tc>
          <w:tcPr>
            <w:tcW w:w="3192" w:type="dxa"/>
          </w:tcPr>
          <w:p w14:paraId="1B7EE601" w14:textId="0E00C392" w:rsidR="00991A37" w:rsidRPr="00991A37" w:rsidRDefault="00991A37" w:rsidP="00991A37">
            <w:r w:rsidRPr="00991A37">
              <w:rPr>
                <w:bCs/>
                <w:szCs w:val="20"/>
              </w:rPr>
              <w:t>Редки</w:t>
            </w:r>
          </w:p>
        </w:tc>
        <w:tc>
          <w:tcPr>
            <w:tcW w:w="3192" w:type="dxa"/>
          </w:tcPr>
          <w:p w14:paraId="6E4A81B0" w14:textId="4E5B6585" w:rsidR="00991A37" w:rsidRPr="00991A37" w:rsidRDefault="00991A37" w:rsidP="00991A37">
            <w:r w:rsidRPr="00991A37">
              <w:rPr>
                <w:bCs/>
                <w:szCs w:val="20"/>
              </w:rPr>
              <w:t>Безпокойство</w:t>
            </w:r>
          </w:p>
        </w:tc>
      </w:tr>
      <w:tr w:rsidR="00991A37" w14:paraId="5CBE75F9" w14:textId="77777777" w:rsidTr="00991A37">
        <w:tc>
          <w:tcPr>
            <w:tcW w:w="3192" w:type="dxa"/>
            <w:vMerge w:val="restart"/>
          </w:tcPr>
          <w:p w14:paraId="2637840A" w14:textId="235282F9" w:rsidR="00991A37" w:rsidRPr="00991A37" w:rsidRDefault="00991A37" w:rsidP="00991A37">
            <w:r w:rsidRPr="00991A37">
              <w:rPr>
                <w:bCs/>
                <w:szCs w:val="20"/>
              </w:rPr>
              <w:t>Нарушения на нервната система</w:t>
            </w:r>
          </w:p>
        </w:tc>
        <w:tc>
          <w:tcPr>
            <w:tcW w:w="3192" w:type="dxa"/>
          </w:tcPr>
          <w:p w14:paraId="3AD130A0" w14:textId="2F775443" w:rsidR="00991A37" w:rsidRPr="00991A37" w:rsidRDefault="00991A37" w:rsidP="00991A37">
            <w:r w:rsidRPr="00991A37">
              <w:rPr>
                <w:bCs/>
                <w:szCs w:val="20"/>
              </w:rPr>
              <w:t>Нечести</w:t>
            </w:r>
          </w:p>
        </w:tc>
        <w:tc>
          <w:tcPr>
            <w:tcW w:w="3192" w:type="dxa"/>
          </w:tcPr>
          <w:p w14:paraId="06433E6C" w14:textId="0FE864F6" w:rsidR="00991A37" w:rsidRPr="00991A37" w:rsidRDefault="00991A37" w:rsidP="00991A37">
            <w:r w:rsidRPr="00991A37">
              <w:rPr>
                <w:bCs/>
                <w:szCs w:val="20"/>
              </w:rPr>
              <w:t>Синкоп</w:t>
            </w:r>
          </w:p>
        </w:tc>
      </w:tr>
      <w:tr w:rsidR="00991A37" w14:paraId="0ADDED99" w14:textId="77777777" w:rsidTr="00991A37">
        <w:tc>
          <w:tcPr>
            <w:tcW w:w="3192" w:type="dxa"/>
            <w:vMerge/>
          </w:tcPr>
          <w:p w14:paraId="11C0A8E7" w14:textId="77777777" w:rsidR="00991A37" w:rsidRPr="00991A37" w:rsidRDefault="00991A37" w:rsidP="00991A37"/>
        </w:tc>
        <w:tc>
          <w:tcPr>
            <w:tcW w:w="3192" w:type="dxa"/>
          </w:tcPr>
          <w:p w14:paraId="271C586C" w14:textId="6175E3F1" w:rsidR="00991A37" w:rsidRPr="00991A37" w:rsidRDefault="00991A37" w:rsidP="00991A37">
            <w:r w:rsidRPr="00991A37">
              <w:rPr>
                <w:bCs/>
                <w:szCs w:val="20"/>
              </w:rPr>
              <w:t>Редки</w:t>
            </w:r>
          </w:p>
        </w:tc>
        <w:tc>
          <w:tcPr>
            <w:tcW w:w="3192" w:type="dxa"/>
          </w:tcPr>
          <w:p w14:paraId="0578EB0C" w14:textId="02B685B2" w:rsidR="00991A37" w:rsidRPr="00991A37" w:rsidRDefault="00991A37" w:rsidP="00991A37">
            <w:r w:rsidRPr="00991A37">
              <w:rPr>
                <w:bCs/>
                <w:szCs w:val="20"/>
              </w:rPr>
              <w:t>Сънливост</w:t>
            </w:r>
          </w:p>
        </w:tc>
      </w:tr>
      <w:tr w:rsidR="00991A37" w14:paraId="33AAD0EB" w14:textId="77777777" w:rsidTr="00991A37">
        <w:tc>
          <w:tcPr>
            <w:tcW w:w="3192" w:type="dxa"/>
          </w:tcPr>
          <w:p w14:paraId="7EF0CFEF" w14:textId="2F33BBC8" w:rsidR="00991A37" w:rsidRPr="00991A37" w:rsidRDefault="00991A37" w:rsidP="00991A37">
            <w:r w:rsidRPr="00991A37">
              <w:rPr>
                <w:bCs/>
                <w:szCs w:val="20"/>
              </w:rPr>
              <w:t>Нарушения на очите</w:t>
            </w:r>
          </w:p>
        </w:tc>
        <w:tc>
          <w:tcPr>
            <w:tcW w:w="3192" w:type="dxa"/>
          </w:tcPr>
          <w:p w14:paraId="7765FD5B" w14:textId="6EB7B163" w:rsidR="00991A37" w:rsidRPr="00991A37" w:rsidRDefault="00991A37" w:rsidP="00991A37">
            <w:r w:rsidRPr="00991A37">
              <w:rPr>
                <w:bCs/>
                <w:szCs w:val="20"/>
              </w:rPr>
              <w:t>Редки</w:t>
            </w:r>
          </w:p>
        </w:tc>
        <w:tc>
          <w:tcPr>
            <w:tcW w:w="3192" w:type="dxa"/>
            <w:vAlign w:val="bottom"/>
          </w:tcPr>
          <w:p w14:paraId="1EB57DE1" w14:textId="181D099F" w:rsidR="00991A37" w:rsidRPr="00991A37" w:rsidRDefault="00991A37" w:rsidP="00991A37">
            <w:r w:rsidRPr="00991A37">
              <w:rPr>
                <w:bCs/>
                <w:szCs w:val="20"/>
              </w:rPr>
              <w:t>Зрителни смущения, включително замъглено виждане</w:t>
            </w:r>
          </w:p>
        </w:tc>
      </w:tr>
      <w:tr w:rsidR="00991A37" w14:paraId="30E8AC5E" w14:textId="77777777" w:rsidTr="00991A37">
        <w:tc>
          <w:tcPr>
            <w:tcW w:w="3192" w:type="dxa"/>
            <w:vAlign w:val="bottom"/>
          </w:tcPr>
          <w:p w14:paraId="3B1D9958" w14:textId="2D06C68B" w:rsidR="00991A37" w:rsidRPr="00991A37" w:rsidRDefault="00991A37" w:rsidP="00991A37">
            <w:r w:rsidRPr="00991A37">
              <w:rPr>
                <w:bCs/>
                <w:szCs w:val="20"/>
              </w:rPr>
              <w:t>Нарушения на ухото и лабиринта</w:t>
            </w:r>
          </w:p>
        </w:tc>
        <w:tc>
          <w:tcPr>
            <w:tcW w:w="3192" w:type="dxa"/>
          </w:tcPr>
          <w:p w14:paraId="799093DD" w14:textId="77FB9BA8" w:rsidR="00991A37" w:rsidRPr="00991A37" w:rsidRDefault="00991A37" w:rsidP="00991A37">
            <w:r w:rsidRPr="00991A37">
              <w:rPr>
                <w:bCs/>
                <w:szCs w:val="20"/>
              </w:rPr>
              <w:t>Нечести</w:t>
            </w:r>
          </w:p>
        </w:tc>
        <w:tc>
          <w:tcPr>
            <w:tcW w:w="3192" w:type="dxa"/>
          </w:tcPr>
          <w:p w14:paraId="3A858FC1" w14:textId="0A8F8215" w:rsidR="00991A37" w:rsidRPr="00991A37" w:rsidRDefault="00991A37" w:rsidP="00991A37">
            <w:r w:rsidRPr="00991A37">
              <w:rPr>
                <w:bCs/>
                <w:szCs w:val="20"/>
              </w:rPr>
              <w:t>Вертиго</w:t>
            </w:r>
          </w:p>
        </w:tc>
      </w:tr>
      <w:tr w:rsidR="00991A37" w14:paraId="4FB023E9" w14:textId="77777777" w:rsidTr="00991A37">
        <w:tc>
          <w:tcPr>
            <w:tcW w:w="3192" w:type="dxa"/>
            <w:vMerge w:val="restart"/>
          </w:tcPr>
          <w:p w14:paraId="69295009" w14:textId="3E7E1175" w:rsidR="00991A37" w:rsidRPr="00991A37" w:rsidRDefault="00991A37" w:rsidP="00991A37">
            <w:r w:rsidRPr="00991A37">
              <w:rPr>
                <w:bCs/>
                <w:szCs w:val="20"/>
              </w:rPr>
              <w:t>Сърдечни нарушения</w:t>
            </w:r>
          </w:p>
        </w:tc>
        <w:tc>
          <w:tcPr>
            <w:tcW w:w="3192" w:type="dxa"/>
          </w:tcPr>
          <w:p w14:paraId="70F06AD1" w14:textId="05708754" w:rsidR="00991A37" w:rsidRPr="00991A37" w:rsidRDefault="00991A37" w:rsidP="00991A37">
            <w:r w:rsidRPr="00991A37">
              <w:rPr>
                <w:bCs/>
                <w:szCs w:val="20"/>
              </w:rPr>
              <w:t>Нечести</w:t>
            </w:r>
          </w:p>
        </w:tc>
        <w:tc>
          <w:tcPr>
            <w:tcW w:w="3192" w:type="dxa"/>
          </w:tcPr>
          <w:p w14:paraId="523ED64D" w14:textId="4904627A" w:rsidR="00991A37" w:rsidRPr="00991A37" w:rsidRDefault="00991A37" w:rsidP="00991A37">
            <w:r w:rsidRPr="00991A37">
              <w:rPr>
                <w:bCs/>
                <w:szCs w:val="20"/>
              </w:rPr>
              <w:t>Брадикардия</w:t>
            </w:r>
          </w:p>
        </w:tc>
      </w:tr>
      <w:tr w:rsidR="00991A37" w14:paraId="685227D7" w14:textId="77777777" w:rsidTr="00991A37">
        <w:tc>
          <w:tcPr>
            <w:tcW w:w="3192" w:type="dxa"/>
            <w:vMerge/>
          </w:tcPr>
          <w:p w14:paraId="335E769D" w14:textId="77777777" w:rsidR="00991A37" w:rsidRPr="00991A37" w:rsidRDefault="00991A37" w:rsidP="00991A37"/>
        </w:tc>
        <w:tc>
          <w:tcPr>
            <w:tcW w:w="3192" w:type="dxa"/>
            <w:vAlign w:val="bottom"/>
          </w:tcPr>
          <w:p w14:paraId="49F93E20" w14:textId="4842CEAB" w:rsidR="00991A37" w:rsidRPr="00991A37" w:rsidRDefault="00991A37" w:rsidP="00991A37">
            <w:r w:rsidRPr="00991A37">
              <w:rPr>
                <w:bCs/>
                <w:szCs w:val="20"/>
              </w:rPr>
              <w:t>Редки</w:t>
            </w:r>
          </w:p>
        </w:tc>
        <w:tc>
          <w:tcPr>
            <w:tcW w:w="3192" w:type="dxa"/>
            <w:vAlign w:val="bottom"/>
          </w:tcPr>
          <w:p w14:paraId="79D12A56" w14:textId="45FF429F" w:rsidR="00991A37" w:rsidRPr="00991A37" w:rsidRDefault="00991A37" w:rsidP="00991A37">
            <w:r w:rsidRPr="00991A37">
              <w:rPr>
                <w:bCs/>
                <w:szCs w:val="20"/>
              </w:rPr>
              <w:t>Тахикардия</w:t>
            </w:r>
          </w:p>
        </w:tc>
      </w:tr>
      <w:tr w:rsidR="00991A37" w14:paraId="471CFAC7" w14:textId="77777777" w:rsidTr="00991A37">
        <w:tc>
          <w:tcPr>
            <w:tcW w:w="3192" w:type="dxa"/>
            <w:vAlign w:val="bottom"/>
          </w:tcPr>
          <w:p w14:paraId="32CF5406" w14:textId="15912165" w:rsidR="00991A37" w:rsidRPr="00991A37" w:rsidRDefault="00991A37" w:rsidP="00991A37">
            <w:r w:rsidRPr="00991A37">
              <w:rPr>
                <w:bCs/>
                <w:szCs w:val="20"/>
              </w:rPr>
              <w:t>Съдови нарушения</w:t>
            </w:r>
          </w:p>
        </w:tc>
        <w:tc>
          <w:tcPr>
            <w:tcW w:w="3192" w:type="dxa"/>
            <w:vAlign w:val="bottom"/>
          </w:tcPr>
          <w:p w14:paraId="56D739C1" w14:textId="7BBAEE96" w:rsidR="00991A37" w:rsidRPr="00991A37" w:rsidRDefault="00991A37" w:rsidP="00991A37">
            <w:r w:rsidRPr="00991A37">
              <w:rPr>
                <w:bCs/>
                <w:szCs w:val="20"/>
              </w:rPr>
              <w:t>Нечести</w:t>
            </w:r>
          </w:p>
        </w:tc>
        <w:tc>
          <w:tcPr>
            <w:tcW w:w="3192" w:type="dxa"/>
            <w:vAlign w:val="bottom"/>
          </w:tcPr>
          <w:p w14:paraId="19CF7735" w14:textId="4D5FFAF6" w:rsidR="00991A37" w:rsidRPr="00991A37" w:rsidRDefault="00991A37" w:rsidP="00991A37">
            <w:r w:rsidRPr="00991A37">
              <w:rPr>
                <w:bCs/>
                <w:szCs w:val="20"/>
              </w:rPr>
              <w:t>Хипотония</w:t>
            </w:r>
            <w:r w:rsidRPr="00991A37">
              <w:rPr>
                <w:bCs/>
                <w:szCs w:val="20"/>
                <w:vertAlign w:val="superscript"/>
              </w:rPr>
              <w:t>2</w:t>
            </w:r>
            <w:r w:rsidRPr="00991A37">
              <w:rPr>
                <w:bCs/>
                <w:szCs w:val="20"/>
              </w:rPr>
              <w:t>, ортостатична хипотония</w:t>
            </w:r>
          </w:p>
        </w:tc>
      </w:tr>
      <w:tr w:rsidR="00991A37" w14:paraId="029AE794" w14:textId="77777777" w:rsidTr="00991A37">
        <w:tc>
          <w:tcPr>
            <w:tcW w:w="3192" w:type="dxa"/>
            <w:vMerge w:val="restart"/>
          </w:tcPr>
          <w:p w14:paraId="3DCD8BEB" w14:textId="762B7C9E" w:rsidR="00991A37" w:rsidRPr="00991A37" w:rsidRDefault="00991A37" w:rsidP="00991A37">
            <w:r w:rsidRPr="00991A37">
              <w:rPr>
                <w:bCs/>
                <w:szCs w:val="20"/>
              </w:rPr>
              <w:t>Респираторни, гръдни и медиастинални нарушения</w:t>
            </w:r>
          </w:p>
        </w:tc>
        <w:tc>
          <w:tcPr>
            <w:tcW w:w="3192" w:type="dxa"/>
          </w:tcPr>
          <w:p w14:paraId="117D983B" w14:textId="7D589DA6" w:rsidR="00991A37" w:rsidRPr="00991A37" w:rsidRDefault="00991A37" w:rsidP="00991A37">
            <w:r w:rsidRPr="00991A37">
              <w:rPr>
                <w:bCs/>
                <w:szCs w:val="20"/>
              </w:rPr>
              <w:t>Нечести</w:t>
            </w:r>
          </w:p>
        </w:tc>
        <w:tc>
          <w:tcPr>
            <w:tcW w:w="3192" w:type="dxa"/>
          </w:tcPr>
          <w:p w14:paraId="1A45CB74" w14:textId="4BA4EB01" w:rsidR="00991A37" w:rsidRPr="00991A37" w:rsidRDefault="00991A37" w:rsidP="00991A37">
            <w:r w:rsidRPr="00991A37">
              <w:rPr>
                <w:bCs/>
                <w:szCs w:val="20"/>
              </w:rPr>
              <w:t>Диспнея, кашлица</w:t>
            </w:r>
          </w:p>
        </w:tc>
      </w:tr>
      <w:tr w:rsidR="00991A37" w14:paraId="4F6E6A55" w14:textId="77777777" w:rsidTr="00991A37">
        <w:tc>
          <w:tcPr>
            <w:tcW w:w="3192" w:type="dxa"/>
            <w:vMerge/>
          </w:tcPr>
          <w:p w14:paraId="0BB2C25B" w14:textId="77777777" w:rsidR="00991A37" w:rsidRPr="00991A37" w:rsidRDefault="00991A37" w:rsidP="00991A37"/>
        </w:tc>
        <w:tc>
          <w:tcPr>
            <w:tcW w:w="3192" w:type="dxa"/>
            <w:vAlign w:val="bottom"/>
          </w:tcPr>
          <w:p w14:paraId="63D6C944" w14:textId="10D86F64" w:rsidR="00991A37" w:rsidRPr="00991A37" w:rsidRDefault="00991A37" w:rsidP="00991A37">
            <w:r w:rsidRPr="00991A37">
              <w:rPr>
                <w:bCs/>
                <w:szCs w:val="20"/>
              </w:rPr>
              <w:t>Много редки</w:t>
            </w:r>
          </w:p>
        </w:tc>
        <w:tc>
          <w:tcPr>
            <w:tcW w:w="3192" w:type="dxa"/>
          </w:tcPr>
          <w:p w14:paraId="41F42CFB" w14:textId="5A3603A0" w:rsidR="00991A37" w:rsidRPr="00991A37" w:rsidRDefault="00991A37" w:rsidP="00991A37">
            <w:r w:rsidRPr="00991A37">
              <w:rPr>
                <w:bCs/>
                <w:szCs w:val="20"/>
              </w:rPr>
              <w:t>Интерстициална белодробна болест*</w:t>
            </w:r>
          </w:p>
        </w:tc>
      </w:tr>
      <w:tr w:rsidR="00991A37" w14:paraId="5CA609CB" w14:textId="77777777" w:rsidTr="00991A37">
        <w:tc>
          <w:tcPr>
            <w:tcW w:w="3192" w:type="dxa"/>
            <w:vMerge w:val="restart"/>
          </w:tcPr>
          <w:p w14:paraId="59F20DDA" w14:textId="65360915" w:rsidR="00991A37" w:rsidRPr="00991A37" w:rsidRDefault="00991A37" w:rsidP="00991A37">
            <w:r w:rsidRPr="00991A37">
              <w:rPr>
                <w:bCs/>
                <w:szCs w:val="20"/>
              </w:rPr>
              <w:t>Стомашно-чревни нарушения</w:t>
            </w:r>
          </w:p>
        </w:tc>
        <w:tc>
          <w:tcPr>
            <w:tcW w:w="3192" w:type="dxa"/>
          </w:tcPr>
          <w:p w14:paraId="360A4F45" w14:textId="65076369" w:rsidR="00991A37" w:rsidRPr="00991A37" w:rsidRDefault="00991A37" w:rsidP="00991A37">
            <w:r w:rsidRPr="00991A37">
              <w:rPr>
                <w:bCs/>
                <w:szCs w:val="20"/>
              </w:rPr>
              <w:t>Нечести</w:t>
            </w:r>
          </w:p>
        </w:tc>
        <w:tc>
          <w:tcPr>
            <w:tcW w:w="3192" w:type="dxa"/>
          </w:tcPr>
          <w:p w14:paraId="448FD332" w14:textId="677DABDA" w:rsidR="00991A37" w:rsidRPr="00991A37" w:rsidRDefault="00991A37" w:rsidP="00991A37">
            <w:r w:rsidRPr="00991A37">
              <w:rPr>
                <w:bCs/>
                <w:szCs w:val="20"/>
              </w:rPr>
              <w:t>Абдоминална болка, диария, диспепсия, флатуленция, повръщане</w:t>
            </w:r>
          </w:p>
        </w:tc>
      </w:tr>
      <w:tr w:rsidR="00991A37" w14:paraId="408C0AA6" w14:textId="77777777" w:rsidTr="00991A37">
        <w:tc>
          <w:tcPr>
            <w:tcW w:w="3192" w:type="dxa"/>
            <w:vMerge/>
          </w:tcPr>
          <w:p w14:paraId="68D28869" w14:textId="77777777" w:rsidR="00991A37" w:rsidRPr="00991A37" w:rsidRDefault="00991A37" w:rsidP="00991A37"/>
        </w:tc>
        <w:tc>
          <w:tcPr>
            <w:tcW w:w="3192" w:type="dxa"/>
          </w:tcPr>
          <w:p w14:paraId="6FC811E9" w14:textId="5B36BBEF" w:rsidR="00991A37" w:rsidRPr="00991A37" w:rsidRDefault="00991A37" w:rsidP="00991A37">
            <w:r w:rsidRPr="00991A37">
              <w:rPr>
                <w:bCs/>
                <w:szCs w:val="20"/>
              </w:rPr>
              <w:t>Редки</w:t>
            </w:r>
          </w:p>
        </w:tc>
        <w:tc>
          <w:tcPr>
            <w:tcW w:w="3192" w:type="dxa"/>
          </w:tcPr>
          <w:p w14:paraId="69641BD1" w14:textId="5DD4B5AF" w:rsidR="00991A37" w:rsidRPr="00991A37" w:rsidRDefault="00991A37" w:rsidP="00991A37">
            <w:r w:rsidRPr="00991A37">
              <w:rPr>
                <w:bCs/>
                <w:szCs w:val="20"/>
              </w:rPr>
              <w:t>Сухота в устата, стомашен дискомфорт, дисгеузия</w:t>
            </w:r>
          </w:p>
        </w:tc>
      </w:tr>
      <w:tr w:rsidR="00991A37" w14:paraId="3C333EF1" w14:textId="77777777" w:rsidTr="00991A37">
        <w:tc>
          <w:tcPr>
            <w:tcW w:w="3192" w:type="dxa"/>
          </w:tcPr>
          <w:p w14:paraId="57816775" w14:textId="444AF010" w:rsidR="00991A37" w:rsidRPr="00991A37" w:rsidRDefault="00991A37" w:rsidP="00991A37">
            <w:r w:rsidRPr="00991A37">
              <w:rPr>
                <w:bCs/>
                <w:szCs w:val="20"/>
              </w:rPr>
              <w:t>Хепато-билиарни нарушения</w:t>
            </w:r>
          </w:p>
        </w:tc>
        <w:tc>
          <w:tcPr>
            <w:tcW w:w="3192" w:type="dxa"/>
          </w:tcPr>
          <w:p w14:paraId="1A6AD596" w14:textId="09E86876" w:rsidR="00991A37" w:rsidRPr="00991A37" w:rsidRDefault="00991A37" w:rsidP="00991A37">
            <w:r w:rsidRPr="00991A37">
              <w:rPr>
                <w:bCs/>
                <w:szCs w:val="20"/>
              </w:rPr>
              <w:t>Редки</w:t>
            </w:r>
          </w:p>
        </w:tc>
        <w:tc>
          <w:tcPr>
            <w:tcW w:w="3192" w:type="dxa"/>
          </w:tcPr>
          <w:p w14:paraId="0F90AC6B" w14:textId="33FC37C2" w:rsidR="00991A37" w:rsidRPr="00991A37" w:rsidRDefault="00991A37" w:rsidP="00991A37">
            <w:r w:rsidRPr="00991A37">
              <w:rPr>
                <w:bCs/>
                <w:szCs w:val="20"/>
              </w:rPr>
              <w:t>Абнормна чернодробна функция/чернодробно нарушение</w:t>
            </w:r>
            <w:r w:rsidRPr="00991A37">
              <w:rPr>
                <w:bCs/>
                <w:szCs w:val="20"/>
                <w:vertAlign w:val="superscript"/>
              </w:rPr>
              <w:t>3</w:t>
            </w:r>
          </w:p>
        </w:tc>
      </w:tr>
      <w:tr w:rsidR="00991A37" w14:paraId="38BB26D5" w14:textId="77777777" w:rsidTr="00991A37">
        <w:tc>
          <w:tcPr>
            <w:tcW w:w="3192" w:type="dxa"/>
            <w:vMerge w:val="restart"/>
          </w:tcPr>
          <w:p w14:paraId="150274A0" w14:textId="6DF3CC7D" w:rsidR="00991A37" w:rsidRPr="00991A37" w:rsidRDefault="00991A37" w:rsidP="00991A37">
            <w:r w:rsidRPr="00991A37">
              <w:rPr>
                <w:bCs/>
                <w:szCs w:val="20"/>
              </w:rPr>
              <w:t>Нарушения на кожата и подкожната тъкан</w:t>
            </w:r>
          </w:p>
        </w:tc>
        <w:tc>
          <w:tcPr>
            <w:tcW w:w="3192" w:type="dxa"/>
          </w:tcPr>
          <w:p w14:paraId="1A40E622" w14:textId="3CF8CE66" w:rsidR="00991A37" w:rsidRPr="00991A37" w:rsidRDefault="00991A37" w:rsidP="00991A37">
            <w:r w:rsidRPr="00991A37">
              <w:rPr>
                <w:bCs/>
                <w:szCs w:val="20"/>
              </w:rPr>
              <w:t>Нечести</w:t>
            </w:r>
          </w:p>
        </w:tc>
        <w:tc>
          <w:tcPr>
            <w:tcW w:w="3192" w:type="dxa"/>
          </w:tcPr>
          <w:p w14:paraId="46C96F2F" w14:textId="3012E39E" w:rsidR="00991A37" w:rsidRPr="00991A37" w:rsidRDefault="00991A37" w:rsidP="00991A37">
            <w:r w:rsidRPr="00991A37">
              <w:rPr>
                <w:bCs/>
                <w:szCs w:val="20"/>
              </w:rPr>
              <w:t>Пруритус, хиперхидроза, обрив</w:t>
            </w:r>
          </w:p>
        </w:tc>
      </w:tr>
      <w:tr w:rsidR="00991A37" w14:paraId="3FAF2A7A" w14:textId="77777777" w:rsidTr="00991A37">
        <w:tc>
          <w:tcPr>
            <w:tcW w:w="3192" w:type="dxa"/>
            <w:vMerge/>
          </w:tcPr>
          <w:p w14:paraId="7ECD7B2A" w14:textId="77777777" w:rsidR="00991A37" w:rsidRPr="00991A37" w:rsidRDefault="00991A37" w:rsidP="00991A37"/>
        </w:tc>
        <w:tc>
          <w:tcPr>
            <w:tcW w:w="3192" w:type="dxa"/>
          </w:tcPr>
          <w:p w14:paraId="2BFAE688" w14:textId="5FB2DF97" w:rsidR="00991A37" w:rsidRPr="00991A37" w:rsidRDefault="00991A37" w:rsidP="00991A37">
            <w:r w:rsidRPr="00991A37">
              <w:rPr>
                <w:bCs/>
                <w:szCs w:val="20"/>
              </w:rPr>
              <w:t>Редки</w:t>
            </w:r>
          </w:p>
        </w:tc>
        <w:tc>
          <w:tcPr>
            <w:tcW w:w="3192" w:type="dxa"/>
            <w:vAlign w:val="bottom"/>
          </w:tcPr>
          <w:p w14:paraId="536AB504" w14:textId="6C3890B9" w:rsidR="00991A37" w:rsidRPr="00991A37" w:rsidRDefault="00991A37" w:rsidP="00991A37">
            <w:r w:rsidRPr="00991A37">
              <w:rPr>
                <w:bCs/>
                <w:szCs w:val="20"/>
              </w:rPr>
              <w:t>Ангиоедем (също и с фатален изход), екзема, еритема, уртикария, лекарствен обрив, токсичен кожен обрив</w:t>
            </w:r>
          </w:p>
        </w:tc>
      </w:tr>
      <w:tr w:rsidR="00991A37" w14:paraId="6EF9F796" w14:textId="77777777" w:rsidTr="00991A37">
        <w:tc>
          <w:tcPr>
            <w:tcW w:w="3192" w:type="dxa"/>
            <w:vMerge w:val="restart"/>
          </w:tcPr>
          <w:p w14:paraId="3DFD63DC" w14:textId="29558841" w:rsidR="00991A37" w:rsidRPr="00991A37" w:rsidRDefault="00991A37" w:rsidP="00991A37">
            <w:r w:rsidRPr="00991A37">
              <w:rPr>
                <w:bCs/>
                <w:szCs w:val="20"/>
              </w:rPr>
              <w:t>Нарушения на мускулно- скелетната система и съединителната тъкан</w:t>
            </w:r>
          </w:p>
        </w:tc>
        <w:tc>
          <w:tcPr>
            <w:tcW w:w="3192" w:type="dxa"/>
          </w:tcPr>
          <w:p w14:paraId="3CECCB16" w14:textId="5158EE4B" w:rsidR="00991A37" w:rsidRPr="00991A37" w:rsidRDefault="00991A37" w:rsidP="00991A37">
            <w:r w:rsidRPr="00991A37">
              <w:rPr>
                <w:bCs/>
                <w:szCs w:val="20"/>
              </w:rPr>
              <w:t>Нечести</w:t>
            </w:r>
          </w:p>
        </w:tc>
        <w:tc>
          <w:tcPr>
            <w:tcW w:w="3192" w:type="dxa"/>
            <w:vAlign w:val="bottom"/>
          </w:tcPr>
          <w:p w14:paraId="6337CE80" w14:textId="5BBA946D" w:rsidR="00991A37" w:rsidRPr="00991A37" w:rsidRDefault="00991A37" w:rsidP="00991A37">
            <w:r w:rsidRPr="00991A37">
              <w:rPr>
                <w:bCs/>
                <w:szCs w:val="20"/>
              </w:rPr>
              <w:t>Болка в гърба (напр. ишиас), мускулни спазми миалгия</w:t>
            </w:r>
          </w:p>
        </w:tc>
      </w:tr>
      <w:tr w:rsidR="00991A37" w14:paraId="0929C1F9" w14:textId="77777777" w:rsidTr="00991A37">
        <w:tc>
          <w:tcPr>
            <w:tcW w:w="3192" w:type="dxa"/>
            <w:vMerge/>
          </w:tcPr>
          <w:p w14:paraId="069C35B3" w14:textId="77777777" w:rsidR="00991A37" w:rsidRPr="00991A37" w:rsidRDefault="00991A37" w:rsidP="00991A37"/>
        </w:tc>
        <w:tc>
          <w:tcPr>
            <w:tcW w:w="3192" w:type="dxa"/>
          </w:tcPr>
          <w:p w14:paraId="31C4BF69" w14:textId="1FDD09FE" w:rsidR="00991A37" w:rsidRPr="00991A37" w:rsidRDefault="00991A37" w:rsidP="00991A37">
            <w:r w:rsidRPr="00991A37">
              <w:rPr>
                <w:bCs/>
                <w:szCs w:val="20"/>
              </w:rPr>
              <w:t>Редки</w:t>
            </w:r>
          </w:p>
        </w:tc>
        <w:tc>
          <w:tcPr>
            <w:tcW w:w="3192" w:type="dxa"/>
            <w:vAlign w:val="bottom"/>
          </w:tcPr>
          <w:p w14:paraId="63EFFF80" w14:textId="7DD51A6E" w:rsidR="00991A37" w:rsidRPr="00991A37" w:rsidRDefault="00991A37" w:rsidP="00991A37">
            <w:r w:rsidRPr="00991A37">
              <w:rPr>
                <w:bCs/>
                <w:szCs w:val="20"/>
              </w:rPr>
              <w:t>Артралгия, болка в крайник, болки в сухожилията (тендинитоподобни симптоми)</w:t>
            </w:r>
          </w:p>
        </w:tc>
      </w:tr>
      <w:tr w:rsidR="00991A37" w14:paraId="6F67434F" w14:textId="77777777" w:rsidTr="00991A37">
        <w:tc>
          <w:tcPr>
            <w:tcW w:w="3192" w:type="dxa"/>
            <w:vAlign w:val="bottom"/>
          </w:tcPr>
          <w:p w14:paraId="22031339" w14:textId="7363E0E6" w:rsidR="00991A37" w:rsidRPr="00991A37" w:rsidRDefault="00991A37" w:rsidP="00991A37">
            <w:r w:rsidRPr="00991A37">
              <w:rPr>
                <w:bCs/>
                <w:szCs w:val="20"/>
              </w:rPr>
              <w:lastRenderedPageBreak/>
              <w:t>Нарушения на бъбреците и пикочните пътища</w:t>
            </w:r>
          </w:p>
        </w:tc>
        <w:tc>
          <w:tcPr>
            <w:tcW w:w="3192" w:type="dxa"/>
          </w:tcPr>
          <w:p w14:paraId="6B053A29" w14:textId="59B7C9F8" w:rsidR="00991A37" w:rsidRPr="00991A37" w:rsidRDefault="00991A37" w:rsidP="00991A37">
            <w:r w:rsidRPr="00991A37">
              <w:rPr>
                <w:bCs/>
                <w:szCs w:val="20"/>
              </w:rPr>
              <w:t>Нечести</w:t>
            </w:r>
          </w:p>
        </w:tc>
        <w:tc>
          <w:tcPr>
            <w:tcW w:w="3192" w:type="dxa"/>
            <w:vAlign w:val="bottom"/>
          </w:tcPr>
          <w:p w14:paraId="42952989" w14:textId="7ACC1704" w:rsidR="00991A37" w:rsidRPr="00991A37" w:rsidRDefault="00991A37" w:rsidP="00991A37">
            <w:r w:rsidRPr="00991A37">
              <w:rPr>
                <w:bCs/>
                <w:szCs w:val="20"/>
              </w:rPr>
              <w:t>Бъбречно увреждане, включително остра бъбречна недостатъчност</w:t>
            </w:r>
          </w:p>
        </w:tc>
      </w:tr>
      <w:tr w:rsidR="00991A37" w14:paraId="1B75879B" w14:textId="77777777" w:rsidTr="00991A37">
        <w:tc>
          <w:tcPr>
            <w:tcW w:w="3192" w:type="dxa"/>
            <w:vMerge w:val="restart"/>
            <w:vAlign w:val="bottom"/>
          </w:tcPr>
          <w:p w14:paraId="678E2608" w14:textId="029BF230" w:rsidR="00991A37" w:rsidRPr="00991A37" w:rsidRDefault="00991A37" w:rsidP="00991A37">
            <w:r w:rsidRPr="00991A37">
              <w:rPr>
                <w:bCs/>
                <w:szCs w:val="20"/>
              </w:rPr>
              <w:t>Общи нарушения и нарушения на мястото на приложение</w:t>
            </w:r>
          </w:p>
        </w:tc>
        <w:tc>
          <w:tcPr>
            <w:tcW w:w="3192" w:type="dxa"/>
          </w:tcPr>
          <w:p w14:paraId="5355F651" w14:textId="33A6C71F" w:rsidR="00991A37" w:rsidRPr="00991A37" w:rsidRDefault="00991A37" w:rsidP="00991A37">
            <w:r w:rsidRPr="00991A37">
              <w:rPr>
                <w:bCs/>
                <w:szCs w:val="20"/>
              </w:rPr>
              <w:t>Нечести</w:t>
            </w:r>
          </w:p>
        </w:tc>
        <w:tc>
          <w:tcPr>
            <w:tcW w:w="3192" w:type="dxa"/>
          </w:tcPr>
          <w:p w14:paraId="23D77378" w14:textId="2031C622" w:rsidR="00991A37" w:rsidRPr="00991A37" w:rsidRDefault="00991A37" w:rsidP="00991A37">
            <w:r w:rsidRPr="00991A37">
              <w:rPr>
                <w:bCs/>
                <w:szCs w:val="20"/>
              </w:rPr>
              <w:t>Болка в гръдния кош, астения</w:t>
            </w:r>
          </w:p>
        </w:tc>
      </w:tr>
      <w:tr w:rsidR="00991A37" w14:paraId="57FFCDBD" w14:textId="77777777" w:rsidTr="00991A37">
        <w:tc>
          <w:tcPr>
            <w:tcW w:w="3192" w:type="dxa"/>
            <w:vMerge/>
            <w:vAlign w:val="bottom"/>
          </w:tcPr>
          <w:p w14:paraId="06E003F4" w14:textId="77777777" w:rsidR="00991A37" w:rsidRPr="00991A37" w:rsidRDefault="00991A37" w:rsidP="00991A37"/>
        </w:tc>
        <w:tc>
          <w:tcPr>
            <w:tcW w:w="3192" w:type="dxa"/>
            <w:vAlign w:val="bottom"/>
          </w:tcPr>
          <w:p w14:paraId="5B04556C" w14:textId="308AD6FA" w:rsidR="00991A37" w:rsidRPr="00991A37" w:rsidRDefault="00991A37" w:rsidP="00991A37">
            <w:r w:rsidRPr="00991A37">
              <w:rPr>
                <w:bCs/>
                <w:szCs w:val="20"/>
              </w:rPr>
              <w:t>Редки</w:t>
            </w:r>
          </w:p>
        </w:tc>
        <w:tc>
          <w:tcPr>
            <w:tcW w:w="3192" w:type="dxa"/>
            <w:vAlign w:val="bottom"/>
          </w:tcPr>
          <w:p w14:paraId="504DE966" w14:textId="5965F961" w:rsidR="00991A37" w:rsidRPr="00991A37" w:rsidRDefault="00991A37" w:rsidP="00991A37">
            <w:r w:rsidRPr="00991A37">
              <w:rPr>
                <w:bCs/>
                <w:szCs w:val="20"/>
              </w:rPr>
              <w:t>Грипоподобно заболяване</w:t>
            </w:r>
          </w:p>
        </w:tc>
      </w:tr>
      <w:tr w:rsidR="00991A37" w14:paraId="4DB54296" w14:textId="77777777" w:rsidTr="00991A37">
        <w:tc>
          <w:tcPr>
            <w:tcW w:w="3192" w:type="dxa"/>
            <w:vMerge w:val="restart"/>
          </w:tcPr>
          <w:p w14:paraId="0B84A3C8" w14:textId="381CDFCC" w:rsidR="00991A37" w:rsidRPr="00991A37" w:rsidRDefault="00991A37" w:rsidP="00991A37">
            <w:r w:rsidRPr="00991A37">
              <w:rPr>
                <w:bCs/>
                <w:szCs w:val="20"/>
              </w:rPr>
              <w:t>Изследвания</w:t>
            </w:r>
          </w:p>
        </w:tc>
        <w:tc>
          <w:tcPr>
            <w:tcW w:w="3192" w:type="dxa"/>
            <w:vAlign w:val="bottom"/>
          </w:tcPr>
          <w:p w14:paraId="7A8BD425" w14:textId="46C25B9E" w:rsidR="00991A37" w:rsidRPr="00991A37" w:rsidRDefault="00991A37" w:rsidP="00991A37">
            <w:r w:rsidRPr="00991A37">
              <w:rPr>
                <w:bCs/>
                <w:szCs w:val="20"/>
              </w:rPr>
              <w:t>Нечести</w:t>
            </w:r>
          </w:p>
        </w:tc>
        <w:tc>
          <w:tcPr>
            <w:tcW w:w="3192" w:type="dxa"/>
            <w:vAlign w:val="bottom"/>
          </w:tcPr>
          <w:p w14:paraId="61567AE3" w14:textId="29419351" w:rsidR="00991A37" w:rsidRPr="00991A37" w:rsidRDefault="00991A37" w:rsidP="00991A37">
            <w:r w:rsidRPr="00991A37">
              <w:rPr>
                <w:bCs/>
                <w:szCs w:val="20"/>
              </w:rPr>
              <w:t>Повишен креатинин в кръвта</w:t>
            </w:r>
          </w:p>
        </w:tc>
      </w:tr>
      <w:tr w:rsidR="00991A37" w14:paraId="49BD666A" w14:textId="77777777" w:rsidTr="00991A37">
        <w:tc>
          <w:tcPr>
            <w:tcW w:w="3192" w:type="dxa"/>
            <w:vMerge/>
          </w:tcPr>
          <w:p w14:paraId="3DC85274" w14:textId="77777777" w:rsidR="00991A37" w:rsidRPr="00991A37" w:rsidRDefault="00991A37" w:rsidP="00991A37"/>
        </w:tc>
        <w:tc>
          <w:tcPr>
            <w:tcW w:w="3192" w:type="dxa"/>
            <w:vAlign w:val="bottom"/>
          </w:tcPr>
          <w:p w14:paraId="490FFD70" w14:textId="53BD58E0" w:rsidR="00991A37" w:rsidRPr="00991A37" w:rsidRDefault="00991A37" w:rsidP="00991A37">
            <w:r w:rsidRPr="00991A37">
              <w:rPr>
                <w:bCs/>
                <w:szCs w:val="20"/>
              </w:rPr>
              <w:t>Редки</w:t>
            </w:r>
          </w:p>
        </w:tc>
        <w:tc>
          <w:tcPr>
            <w:tcW w:w="3192" w:type="dxa"/>
            <w:vAlign w:val="bottom"/>
          </w:tcPr>
          <w:p w14:paraId="057A8E9A" w14:textId="308AF41C" w:rsidR="00991A37" w:rsidRPr="00991A37" w:rsidRDefault="00991A37" w:rsidP="00991A37">
            <w:pPr>
              <w:rPr>
                <w:rFonts w:ascii="Times New Roman" w:eastAsia="Times New Roman" w:hAnsi="Times New Roman" w:cs="Times New Roman"/>
                <w:sz w:val="24"/>
                <w:szCs w:val="24"/>
              </w:rPr>
            </w:pPr>
            <w:r w:rsidRPr="00991A37">
              <w:rPr>
                <w:bCs/>
                <w:szCs w:val="20"/>
              </w:rPr>
              <w:t xml:space="preserve">Понижен хемоглобин, </w:t>
            </w:r>
            <w:r w:rsidRPr="00991A37">
              <w:rPr>
                <w:bCs/>
                <w:szCs w:val="20"/>
                <w:u w:val="single"/>
              </w:rPr>
              <w:t>повиш</w:t>
            </w:r>
            <w:r w:rsidRPr="00991A37">
              <w:rPr>
                <w:bCs/>
                <w:szCs w:val="20"/>
              </w:rPr>
              <w:t>е</w:t>
            </w:r>
            <w:r w:rsidRPr="00991A37">
              <w:rPr>
                <w:bCs/>
                <w:szCs w:val="20"/>
                <w:u w:val="single"/>
              </w:rPr>
              <w:t>на пикочна киселина</w:t>
            </w:r>
            <w:r>
              <w:rPr>
                <w:bCs/>
                <w:szCs w:val="20"/>
                <w:u w:val="single"/>
              </w:rPr>
              <w:t xml:space="preserve"> </w:t>
            </w:r>
            <w:r w:rsidRPr="00991A37">
              <w:rPr>
                <w:lang w:eastAsia="bg-BG"/>
              </w:rPr>
              <w:t>в кръвта, повишени чернодробни ензими, повишена креатин фосфокиназа в кръвта</w:t>
            </w:r>
          </w:p>
        </w:tc>
      </w:tr>
    </w:tbl>
    <w:p w14:paraId="67F04E05"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1,2, 3, 4. допълнително описание, моля, вижте подточка „</w:t>
      </w:r>
      <w:r w:rsidRPr="00991A37">
        <w:rPr>
          <w:rFonts w:eastAsia="Times New Roman" w:cs="Arial"/>
          <w:bCs/>
          <w:i/>
          <w:iCs/>
          <w:color w:val="000000"/>
          <w:szCs w:val="20"/>
          <w:lang w:eastAsia="bg-BG"/>
        </w:rPr>
        <w:t>Описание на избрани нежелани реакции".</w:t>
      </w:r>
    </w:p>
    <w:p w14:paraId="075976AB" w14:textId="77777777" w:rsidR="00991A37" w:rsidRPr="00991A37" w:rsidRDefault="00991A37" w:rsidP="00991A37">
      <w:pPr>
        <w:spacing w:line="240" w:lineRule="auto"/>
        <w:rPr>
          <w:rFonts w:eastAsia="Times New Roman" w:cs="Arial"/>
          <w:bCs/>
          <w:i/>
          <w:iCs/>
          <w:color w:val="000000"/>
          <w:szCs w:val="20"/>
          <w:lang w:eastAsia="bg-BG"/>
        </w:rPr>
      </w:pPr>
    </w:p>
    <w:p w14:paraId="08EDFFFE" w14:textId="1AAD59C4"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lang w:eastAsia="bg-BG"/>
        </w:rPr>
        <w:t>Описание на избрани нежелани лекарствени реакции</w:t>
      </w:r>
    </w:p>
    <w:p w14:paraId="73EB0861" w14:textId="77777777" w:rsidR="00991A37" w:rsidRPr="00991A37" w:rsidRDefault="00991A37" w:rsidP="00991A37">
      <w:pPr>
        <w:spacing w:line="240" w:lineRule="auto"/>
        <w:rPr>
          <w:rFonts w:eastAsia="Times New Roman" w:cs="Arial"/>
          <w:bCs/>
          <w:i/>
          <w:iCs/>
          <w:color w:val="000000"/>
          <w:szCs w:val="20"/>
          <w:u w:val="single"/>
          <w:lang w:eastAsia="bg-BG"/>
        </w:rPr>
      </w:pPr>
    </w:p>
    <w:p w14:paraId="2D827583" w14:textId="6511B8CA"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u w:val="single"/>
          <w:lang w:eastAsia="bg-BG"/>
        </w:rPr>
        <w:t>Сепсис</w:t>
      </w:r>
    </w:p>
    <w:p w14:paraId="00E2EBF3"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 xml:space="preserve">В проучването </w:t>
      </w:r>
      <w:proofErr w:type="spellStart"/>
      <w:r w:rsidRPr="00991A37">
        <w:rPr>
          <w:rFonts w:eastAsia="Times New Roman" w:cs="Arial"/>
          <w:bCs/>
          <w:color w:val="000000"/>
          <w:szCs w:val="20"/>
          <w:lang w:val="en-US"/>
        </w:rPr>
        <w:t>PRoFESS</w:t>
      </w:r>
      <w:proofErr w:type="spellEnd"/>
      <w:r w:rsidRPr="00991A37">
        <w:rPr>
          <w:rFonts w:eastAsia="Times New Roman" w:cs="Arial"/>
          <w:bCs/>
          <w:color w:val="000000"/>
          <w:szCs w:val="20"/>
          <w:lang w:val="ru-RU"/>
        </w:rPr>
        <w:t xml:space="preserve"> </w:t>
      </w:r>
      <w:r w:rsidRPr="00991A37">
        <w:rPr>
          <w:rFonts w:eastAsia="Times New Roman" w:cs="Arial"/>
          <w:bCs/>
          <w:color w:val="000000"/>
          <w:szCs w:val="20"/>
          <w:lang w:eastAsia="bg-BG"/>
        </w:rPr>
        <w:t>е наблюдавана повишена честота на възникване на сепсис при телмисартан в сравнение с плацебо. Събитието може да е открито случайно или да е свързано с механизъм, който не е познат за момента (вж. също точка 5.1).</w:t>
      </w:r>
    </w:p>
    <w:p w14:paraId="046724A1" w14:textId="77777777" w:rsidR="00991A37" w:rsidRPr="00991A37" w:rsidRDefault="00991A37" w:rsidP="00991A37">
      <w:pPr>
        <w:spacing w:line="240" w:lineRule="auto"/>
        <w:rPr>
          <w:rFonts w:eastAsia="Times New Roman" w:cs="Arial"/>
          <w:bCs/>
          <w:i/>
          <w:iCs/>
          <w:color w:val="000000"/>
          <w:szCs w:val="20"/>
          <w:u w:val="single"/>
          <w:lang w:eastAsia="bg-BG"/>
        </w:rPr>
      </w:pPr>
    </w:p>
    <w:p w14:paraId="1C827616" w14:textId="0E2A3605"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u w:val="single"/>
          <w:lang w:eastAsia="bg-BG"/>
        </w:rPr>
        <w:t>Хипотония</w:t>
      </w:r>
    </w:p>
    <w:p w14:paraId="53F8F54C"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Тази нежелана лекарствена реакция е съобщена като честа при пациенти с контролирано кръвно налягане, лекувани с телмисартан за намаляване на сърдечносъдовата заболеваемост при проведено стандартно лечение.</w:t>
      </w:r>
    </w:p>
    <w:p w14:paraId="6371378D" w14:textId="77777777" w:rsidR="00991A37" w:rsidRPr="00991A37" w:rsidRDefault="00991A37" w:rsidP="00991A37">
      <w:pPr>
        <w:spacing w:line="240" w:lineRule="auto"/>
        <w:rPr>
          <w:rFonts w:eastAsia="Times New Roman" w:cs="Arial"/>
          <w:bCs/>
          <w:i/>
          <w:iCs/>
          <w:color w:val="000000"/>
          <w:szCs w:val="20"/>
          <w:u w:val="single"/>
          <w:lang w:eastAsia="bg-BG"/>
        </w:rPr>
      </w:pPr>
    </w:p>
    <w:p w14:paraId="10E738A5" w14:textId="03F4DA8E"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u w:val="single"/>
          <w:lang w:eastAsia="bg-BG"/>
        </w:rPr>
        <w:t>Абнормна чернодробна Функция/чернодробно нарушение</w:t>
      </w:r>
    </w:p>
    <w:p w14:paraId="1174CD70"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Повечето случаи на абнормна чернодробна функция/ чернодробно нарушение от пост- маркетинговия опит с телмисартан настъпват при пациенти от японски произход. При пациенти от японски произход съществува по-голяма вероятност за развитие на тези нежелани реакции.</w:t>
      </w:r>
    </w:p>
    <w:p w14:paraId="3567A721" w14:textId="77777777" w:rsidR="00991A37" w:rsidRPr="00991A37" w:rsidRDefault="00991A37" w:rsidP="00991A37">
      <w:pPr>
        <w:spacing w:line="240" w:lineRule="auto"/>
        <w:rPr>
          <w:rFonts w:eastAsia="Times New Roman" w:cs="Arial"/>
          <w:bCs/>
          <w:i/>
          <w:iCs/>
          <w:color w:val="000000"/>
          <w:szCs w:val="20"/>
          <w:u w:val="single"/>
          <w:lang w:eastAsia="bg-BG"/>
        </w:rPr>
      </w:pPr>
    </w:p>
    <w:p w14:paraId="48F9FDB4" w14:textId="096CFE62"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u w:val="single"/>
          <w:lang w:eastAsia="bg-BG"/>
        </w:rPr>
        <w:t>Интерстиииална белодробна болест</w:t>
      </w:r>
    </w:p>
    <w:p w14:paraId="3986CF30"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Случаи на интерстициална белодробна болест са докладвани от пост-маркетинговия опит, във връзка с приема на телмисартан. Причинно-следствена връзка обаче не е установена.</w:t>
      </w:r>
    </w:p>
    <w:p w14:paraId="22D1506C" w14:textId="77777777" w:rsidR="00991A37" w:rsidRPr="00991A37" w:rsidRDefault="00991A37" w:rsidP="00991A37">
      <w:pPr>
        <w:spacing w:line="240" w:lineRule="auto"/>
        <w:rPr>
          <w:rFonts w:eastAsia="Times New Roman" w:cs="Arial"/>
          <w:bCs/>
          <w:color w:val="000000"/>
          <w:szCs w:val="20"/>
          <w:u w:val="single"/>
          <w:lang w:eastAsia="bg-BG"/>
        </w:rPr>
      </w:pPr>
    </w:p>
    <w:p w14:paraId="03C73464" w14:textId="6483794C"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u w:val="single"/>
          <w:lang w:eastAsia="bg-BG"/>
        </w:rPr>
        <w:t>Нежелани лекарствени реакции свързани с амлодипин</w:t>
      </w:r>
    </w:p>
    <w:p w14:paraId="4F26846E" w14:textId="77777777" w:rsidR="00991A37" w:rsidRPr="00991A37" w:rsidRDefault="00991A37" w:rsidP="00991A37">
      <w:pPr>
        <w:spacing w:line="240" w:lineRule="auto"/>
        <w:rPr>
          <w:rFonts w:eastAsia="Times New Roman" w:cs="Arial"/>
          <w:bCs/>
          <w:i/>
          <w:iCs/>
          <w:color w:val="000000"/>
          <w:szCs w:val="20"/>
          <w:lang w:eastAsia="bg-BG"/>
        </w:rPr>
      </w:pPr>
    </w:p>
    <w:p w14:paraId="0C318C8A" w14:textId="530703B8" w:rsidR="00991A37" w:rsidRPr="00991A37" w:rsidRDefault="00991A37" w:rsidP="00991A37">
      <w:pPr>
        <w:spacing w:line="240" w:lineRule="auto"/>
        <w:rPr>
          <w:rFonts w:eastAsia="Times New Roman" w:cs="Arial"/>
          <w:sz w:val="28"/>
          <w:szCs w:val="24"/>
        </w:rPr>
      </w:pPr>
      <w:r w:rsidRPr="00991A37">
        <w:rPr>
          <w:rFonts w:eastAsia="Times New Roman" w:cs="Arial"/>
          <w:bCs/>
          <w:i/>
          <w:iCs/>
          <w:color w:val="000000"/>
          <w:szCs w:val="20"/>
          <w:lang w:eastAsia="bg-BG"/>
        </w:rPr>
        <w:t>Обобщение на профила на безопасност</w:t>
      </w:r>
    </w:p>
    <w:p w14:paraId="63E9440D"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Най-често съобщаваните нежеланите лекарствени реакции по време на лечение с амлодипин са сомнолентност, замаяност, главоболие, палпитации, зачервяване, коремна болка, гадене, отоци на глезените, оток и умора.</w:t>
      </w:r>
    </w:p>
    <w:p w14:paraId="639B472E" w14:textId="77777777" w:rsidR="00991A37" w:rsidRPr="00991A37" w:rsidRDefault="00991A37" w:rsidP="00991A37">
      <w:pPr>
        <w:spacing w:line="240" w:lineRule="auto"/>
        <w:rPr>
          <w:rFonts w:eastAsia="Times New Roman" w:cs="Arial"/>
          <w:bCs/>
          <w:color w:val="000000"/>
          <w:szCs w:val="20"/>
          <w:lang w:eastAsia="bg-BG"/>
        </w:rPr>
      </w:pPr>
    </w:p>
    <w:p w14:paraId="06E4903A" w14:textId="13B360F5"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Честотата на нежеланите реакции се определя, чрез използване на следната конвенция:</w:t>
      </w:r>
    </w:p>
    <w:p w14:paraId="097DAAF5"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lastRenderedPageBreak/>
        <w:t>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35144116" w14:textId="77777777" w:rsidR="00991A37" w:rsidRPr="00991A37" w:rsidRDefault="00991A37" w:rsidP="00991A37">
      <w:pPr>
        <w:spacing w:line="240" w:lineRule="auto"/>
        <w:rPr>
          <w:rFonts w:eastAsia="Times New Roman" w:cs="Arial"/>
          <w:sz w:val="28"/>
          <w:szCs w:val="24"/>
        </w:rPr>
      </w:pPr>
      <w:r w:rsidRPr="00991A37">
        <w:rPr>
          <w:rFonts w:eastAsia="Times New Roman" w:cs="Arial"/>
          <w:bCs/>
          <w:color w:val="000000"/>
          <w:szCs w:val="20"/>
          <w:lang w:eastAsia="bg-BG"/>
        </w:rPr>
        <w:t>Следните нежелани лекарствени реакции са били съобщавани по време на лечение с амлодипин;</w:t>
      </w:r>
    </w:p>
    <w:p w14:paraId="0A59FB5D" w14:textId="30A8FF15" w:rsidR="003B7EC9" w:rsidRDefault="003B7EC9" w:rsidP="003B7EC9"/>
    <w:tbl>
      <w:tblPr>
        <w:tblStyle w:val="TableGrid"/>
        <w:tblW w:w="0" w:type="auto"/>
        <w:tblLook w:val="04A0" w:firstRow="1" w:lastRow="0" w:firstColumn="1" w:lastColumn="0" w:noHBand="0" w:noVBand="1"/>
      </w:tblPr>
      <w:tblGrid>
        <w:gridCol w:w="3138"/>
        <w:gridCol w:w="3075"/>
        <w:gridCol w:w="3137"/>
      </w:tblGrid>
      <w:tr w:rsidR="00991A37" w14:paraId="16E9278A" w14:textId="77777777" w:rsidTr="00991A37">
        <w:tc>
          <w:tcPr>
            <w:tcW w:w="3192" w:type="dxa"/>
          </w:tcPr>
          <w:p w14:paraId="6EE2CDB3" w14:textId="436BF613" w:rsidR="00991A37" w:rsidRPr="00991A37" w:rsidRDefault="00991A37" w:rsidP="00991A37">
            <w:r w:rsidRPr="00991A37">
              <w:rPr>
                <w:bCs/>
                <w:szCs w:val="20"/>
              </w:rPr>
              <w:t>Системо-оргянен клас</w:t>
            </w:r>
          </w:p>
        </w:tc>
        <w:tc>
          <w:tcPr>
            <w:tcW w:w="3192" w:type="dxa"/>
          </w:tcPr>
          <w:p w14:paraId="0DFA487D" w14:textId="1FCC014F" w:rsidR="00991A37" w:rsidRPr="00991A37" w:rsidRDefault="00991A37" w:rsidP="00991A37">
            <w:r w:rsidRPr="00991A37">
              <w:rPr>
                <w:bCs/>
                <w:szCs w:val="20"/>
              </w:rPr>
              <w:t>Честота</w:t>
            </w:r>
          </w:p>
        </w:tc>
        <w:tc>
          <w:tcPr>
            <w:tcW w:w="3192" w:type="dxa"/>
          </w:tcPr>
          <w:p w14:paraId="55BB8BA5" w14:textId="705AF555" w:rsidR="00991A37" w:rsidRPr="00991A37" w:rsidRDefault="00991A37" w:rsidP="00991A37">
            <w:r w:rsidRPr="00991A37">
              <w:rPr>
                <w:bCs/>
                <w:szCs w:val="20"/>
              </w:rPr>
              <w:t>Нежелани лекарствени реакции</w:t>
            </w:r>
          </w:p>
        </w:tc>
      </w:tr>
      <w:tr w:rsidR="00991A37" w14:paraId="44342531" w14:textId="77777777" w:rsidTr="00991A37">
        <w:tc>
          <w:tcPr>
            <w:tcW w:w="3192" w:type="dxa"/>
          </w:tcPr>
          <w:p w14:paraId="099E9082" w14:textId="6C82C293" w:rsidR="00991A37" w:rsidRPr="00991A37" w:rsidRDefault="00991A37" w:rsidP="00991A37">
            <w:r w:rsidRPr="00991A37">
              <w:rPr>
                <w:bCs/>
                <w:szCs w:val="20"/>
              </w:rPr>
              <w:t>Нарушения на кръвта и лимфната система</w:t>
            </w:r>
          </w:p>
        </w:tc>
        <w:tc>
          <w:tcPr>
            <w:tcW w:w="3192" w:type="dxa"/>
          </w:tcPr>
          <w:p w14:paraId="231A879F" w14:textId="6F6F759D" w:rsidR="00991A37" w:rsidRPr="00991A37" w:rsidRDefault="00991A37" w:rsidP="00991A37">
            <w:r w:rsidRPr="00991A37">
              <w:rPr>
                <w:bCs/>
                <w:szCs w:val="20"/>
              </w:rPr>
              <w:t>Много редки</w:t>
            </w:r>
          </w:p>
        </w:tc>
        <w:tc>
          <w:tcPr>
            <w:tcW w:w="3192" w:type="dxa"/>
          </w:tcPr>
          <w:p w14:paraId="4BD1A1AC" w14:textId="21FFFDC0" w:rsidR="00991A37" w:rsidRPr="00991A37" w:rsidRDefault="00991A37" w:rsidP="00991A37">
            <w:r w:rsidRPr="00991A37">
              <w:rPr>
                <w:bCs/>
                <w:szCs w:val="20"/>
              </w:rPr>
              <w:t>Левкоцитопения, тромбоцитопения</w:t>
            </w:r>
          </w:p>
        </w:tc>
      </w:tr>
      <w:tr w:rsidR="00991A37" w14:paraId="1A84FA35" w14:textId="77777777" w:rsidTr="00991A37">
        <w:tc>
          <w:tcPr>
            <w:tcW w:w="3192" w:type="dxa"/>
          </w:tcPr>
          <w:p w14:paraId="1F839D3F" w14:textId="74B67002" w:rsidR="00991A37" w:rsidRPr="00991A37" w:rsidRDefault="00991A37" w:rsidP="00991A37">
            <w:r w:rsidRPr="00991A37">
              <w:rPr>
                <w:bCs/>
                <w:szCs w:val="20"/>
              </w:rPr>
              <w:t>Нарушения на имунната система</w:t>
            </w:r>
          </w:p>
        </w:tc>
        <w:tc>
          <w:tcPr>
            <w:tcW w:w="3192" w:type="dxa"/>
          </w:tcPr>
          <w:p w14:paraId="17344890" w14:textId="15F404F3" w:rsidR="00991A37" w:rsidRPr="00991A37" w:rsidRDefault="00991A37" w:rsidP="00991A37">
            <w:r w:rsidRPr="00991A37">
              <w:rPr>
                <w:bCs/>
                <w:szCs w:val="20"/>
              </w:rPr>
              <w:t>Много редки</w:t>
            </w:r>
          </w:p>
        </w:tc>
        <w:tc>
          <w:tcPr>
            <w:tcW w:w="3192" w:type="dxa"/>
          </w:tcPr>
          <w:p w14:paraId="4BD08B83" w14:textId="4D6E9A72" w:rsidR="00991A37" w:rsidRPr="00991A37" w:rsidRDefault="00991A37" w:rsidP="00991A37">
            <w:r w:rsidRPr="00991A37">
              <w:rPr>
                <w:bCs/>
                <w:szCs w:val="20"/>
              </w:rPr>
              <w:t>Алергични реакции</w:t>
            </w:r>
          </w:p>
        </w:tc>
      </w:tr>
      <w:tr w:rsidR="00991A37" w14:paraId="088A3E24" w14:textId="77777777" w:rsidTr="00991A37">
        <w:tc>
          <w:tcPr>
            <w:tcW w:w="3192" w:type="dxa"/>
          </w:tcPr>
          <w:p w14:paraId="7A7F8004" w14:textId="2727DBC9" w:rsidR="00991A37" w:rsidRPr="00991A37" w:rsidRDefault="00991A37" w:rsidP="00991A37">
            <w:r w:rsidRPr="00991A37">
              <w:rPr>
                <w:bCs/>
                <w:szCs w:val="20"/>
              </w:rPr>
              <w:t>Нарушения на метаболизма и храненето</w:t>
            </w:r>
          </w:p>
        </w:tc>
        <w:tc>
          <w:tcPr>
            <w:tcW w:w="3192" w:type="dxa"/>
          </w:tcPr>
          <w:p w14:paraId="085F2593" w14:textId="3F2775BA" w:rsidR="00991A37" w:rsidRPr="00991A37" w:rsidRDefault="00991A37" w:rsidP="00991A37">
            <w:r w:rsidRPr="00991A37">
              <w:rPr>
                <w:bCs/>
                <w:szCs w:val="20"/>
              </w:rPr>
              <w:t>Много редки</w:t>
            </w:r>
          </w:p>
        </w:tc>
        <w:tc>
          <w:tcPr>
            <w:tcW w:w="3192" w:type="dxa"/>
          </w:tcPr>
          <w:p w14:paraId="45311F4A" w14:textId="67DC33E3" w:rsidR="00991A37" w:rsidRPr="00991A37" w:rsidRDefault="00991A37" w:rsidP="00991A37">
            <w:r w:rsidRPr="00991A37">
              <w:rPr>
                <w:bCs/>
                <w:szCs w:val="20"/>
              </w:rPr>
              <w:t>Хипергликемия</w:t>
            </w:r>
          </w:p>
        </w:tc>
      </w:tr>
      <w:tr w:rsidR="00991A37" w14:paraId="78ECE805" w14:textId="77777777" w:rsidTr="00991A37">
        <w:tc>
          <w:tcPr>
            <w:tcW w:w="3192" w:type="dxa"/>
            <w:vMerge w:val="restart"/>
          </w:tcPr>
          <w:p w14:paraId="3A7E9FE7" w14:textId="05BF8B12" w:rsidR="00991A37" w:rsidRPr="00991A37" w:rsidRDefault="00991A37" w:rsidP="00991A37">
            <w:r w:rsidRPr="00991A37">
              <w:rPr>
                <w:bCs/>
                <w:szCs w:val="20"/>
              </w:rPr>
              <w:t>Психични нарушения</w:t>
            </w:r>
          </w:p>
        </w:tc>
        <w:tc>
          <w:tcPr>
            <w:tcW w:w="3192" w:type="dxa"/>
          </w:tcPr>
          <w:p w14:paraId="26C93CEF" w14:textId="2046F1D4" w:rsidR="00991A37" w:rsidRPr="00991A37" w:rsidRDefault="00991A37" w:rsidP="00991A37">
            <w:r w:rsidRPr="00991A37">
              <w:rPr>
                <w:bCs/>
                <w:szCs w:val="20"/>
              </w:rPr>
              <w:t>Нечести</w:t>
            </w:r>
          </w:p>
        </w:tc>
        <w:tc>
          <w:tcPr>
            <w:tcW w:w="3192" w:type="dxa"/>
          </w:tcPr>
          <w:p w14:paraId="5CB82602" w14:textId="77777777" w:rsidR="00991A37" w:rsidRPr="00991A37" w:rsidRDefault="00991A37" w:rsidP="00991A37">
            <w:r w:rsidRPr="00991A37">
              <w:rPr>
                <w:bCs/>
                <w:szCs w:val="20"/>
              </w:rPr>
              <w:t>Безсъние, промени в настроението (включително тревожност),</w:t>
            </w:r>
          </w:p>
          <w:p w14:paraId="11335267" w14:textId="1F970C52" w:rsidR="00991A37" w:rsidRPr="00991A37" w:rsidRDefault="00991A37" w:rsidP="00991A37">
            <w:r w:rsidRPr="00991A37">
              <w:rPr>
                <w:bCs/>
                <w:szCs w:val="20"/>
              </w:rPr>
              <w:t>депресия</w:t>
            </w:r>
          </w:p>
        </w:tc>
      </w:tr>
      <w:tr w:rsidR="00991A37" w14:paraId="73A1938F" w14:textId="77777777" w:rsidTr="00991A37">
        <w:tc>
          <w:tcPr>
            <w:tcW w:w="3192" w:type="dxa"/>
            <w:vMerge/>
          </w:tcPr>
          <w:p w14:paraId="338E0745" w14:textId="77777777" w:rsidR="00991A37" w:rsidRPr="00991A37" w:rsidRDefault="00991A37" w:rsidP="00991A37"/>
        </w:tc>
        <w:tc>
          <w:tcPr>
            <w:tcW w:w="3192" w:type="dxa"/>
          </w:tcPr>
          <w:p w14:paraId="6AB9BADB" w14:textId="00C0675B" w:rsidR="00991A37" w:rsidRPr="00991A37" w:rsidRDefault="00991A37" w:rsidP="00991A37">
            <w:r w:rsidRPr="00991A37">
              <w:rPr>
                <w:bCs/>
                <w:szCs w:val="20"/>
              </w:rPr>
              <w:t>Редки</w:t>
            </w:r>
          </w:p>
        </w:tc>
        <w:tc>
          <w:tcPr>
            <w:tcW w:w="3192" w:type="dxa"/>
          </w:tcPr>
          <w:p w14:paraId="724246C3" w14:textId="7049BF0F" w:rsidR="00991A37" w:rsidRPr="00991A37" w:rsidRDefault="00991A37" w:rsidP="00991A37">
            <w:r w:rsidRPr="00991A37">
              <w:rPr>
                <w:bCs/>
                <w:szCs w:val="20"/>
              </w:rPr>
              <w:t>Обърканост</w:t>
            </w:r>
          </w:p>
        </w:tc>
      </w:tr>
      <w:tr w:rsidR="00991A37" w14:paraId="369B19D5" w14:textId="77777777" w:rsidTr="00991A37">
        <w:tc>
          <w:tcPr>
            <w:tcW w:w="3192" w:type="dxa"/>
            <w:vMerge w:val="restart"/>
          </w:tcPr>
          <w:p w14:paraId="18A6C45F" w14:textId="58339AB6" w:rsidR="00991A37" w:rsidRPr="00991A37" w:rsidRDefault="00991A37" w:rsidP="00991A37">
            <w:r w:rsidRPr="00991A37">
              <w:rPr>
                <w:bCs/>
                <w:szCs w:val="20"/>
              </w:rPr>
              <w:t>Нарушения на нервната система</w:t>
            </w:r>
          </w:p>
        </w:tc>
        <w:tc>
          <w:tcPr>
            <w:tcW w:w="3192" w:type="dxa"/>
          </w:tcPr>
          <w:p w14:paraId="50C827E2" w14:textId="4EC30BA9" w:rsidR="00991A37" w:rsidRPr="00991A37" w:rsidRDefault="00991A37" w:rsidP="00991A37">
            <w:r w:rsidRPr="00991A37">
              <w:rPr>
                <w:bCs/>
                <w:szCs w:val="20"/>
              </w:rPr>
              <w:t>Чести</w:t>
            </w:r>
          </w:p>
        </w:tc>
        <w:tc>
          <w:tcPr>
            <w:tcW w:w="3192" w:type="dxa"/>
          </w:tcPr>
          <w:p w14:paraId="29AEEBDC" w14:textId="42BDDDA8" w:rsidR="00991A37" w:rsidRPr="00991A37" w:rsidRDefault="00991A37" w:rsidP="00991A37">
            <w:r w:rsidRPr="00991A37">
              <w:t>Сомнолентност,</w:t>
            </w:r>
            <w:r w:rsidRPr="00991A37">
              <w:rPr>
                <w:i/>
                <w:iCs/>
              </w:rPr>
              <w:t xml:space="preserve"> </w:t>
            </w:r>
            <w:r w:rsidRPr="00991A37">
              <w:t>замаяност, главоболие (особено в началото на лечението</w:t>
            </w:r>
            <w:r w:rsidRPr="00991A37">
              <w:rPr>
                <w:sz w:val="20"/>
              </w:rPr>
              <w:t>)</w:t>
            </w:r>
          </w:p>
        </w:tc>
      </w:tr>
      <w:tr w:rsidR="00991A37" w14:paraId="7B4703DA" w14:textId="77777777" w:rsidTr="00991A37">
        <w:tc>
          <w:tcPr>
            <w:tcW w:w="3192" w:type="dxa"/>
            <w:vMerge/>
          </w:tcPr>
          <w:p w14:paraId="773AE215" w14:textId="77777777" w:rsidR="00991A37" w:rsidRDefault="00991A37" w:rsidP="00991A37"/>
        </w:tc>
        <w:tc>
          <w:tcPr>
            <w:tcW w:w="3192" w:type="dxa"/>
          </w:tcPr>
          <w:p w14:paraId="29003A70" w14:textId="2AE1951D" w:rsidR="00991A37" w:rsidRPr="00991A37" w:rsidRDefault="00991A37" w:rsidP="00991A37">
            <w:r w:rsidRPr="00991A37">
              <w:rPr>
                <w:bCs/>
                <w:szCs w:val="20"/>
              </w:rPr>
              <w:t>Нечести</w:t>
            </w:r>
          </w:p>
        </w:tc>
        <w:tc>
          <w:tcPr>
            <w:tcW w:w="3192" w:type="dxa"/>
          </w:tcPr>
          <w:p w14:paraId="08CEA971" w14:textId="2B224789" w:rsidR="00991A37" w:rsidRPr="00991A37" w:rsidRDefault="00991A37" w:rsidP="00991A37">
            <w:r w:rsidRPr="00991A37">
              <w:rPr>
                <w:bCs/>
                <w:szCs w:val="20"/>
              </w:rPr>
              <w:t>Тремор, дисгеузия, синкоп, хипоестезия, парестезия</w:t>
            </w:r>
          </w:p>
        </w:tc>
      </w:tr>
      <w:tr w:rsidR="00991A37" w14:paraId="5F38D597" w14:textId="77777777" w:rsidTr="00991A37">
        <w:tc>
          <w:tcPr>
            <w:tcW w:w="3192" w:type="dxa"/>
            <w:vMerge/>
          </w:tcPr>
          <w:p w14:paraId="6E6BBE0D" w14:textId="77777777" w:rsidR="00991A37" w:rsidRDefault="00991A37" w:rsidP="00991A37"/>
        </w:tc>
        <w:tc>
          <w:tcPr>
            <w:tcW w:w="3192" w:type="dxa"/>
          </w:tcPr>
          <w:p w14:paraId="3666DC4E" w14:textId="5D1F2FFB" w:rsidR="00991A37" w:rsidRPr="00991A37" w:rsidRDefault="00991A37" w:rsidP="00991A37">
            <w:r w:rsidRPr="00991A37">
              <w:rPr>
                <w:bCs/>
                <w:szCs w:val="20"/>
              </w:rPr>
              <w:t>Много редки</w:t>
            </w:r>
          </w:p>
        </w:tc>
        <w:tc>
          <w:tcPr>
            <w:tcW w:w="3192" w:type="dxa"/>
            <w:vAlign w:val="bottom"/>
          </w:tcPr>
          <w:p w14:paraId="231E5F40" w14:textId="10808887" w:rsidR="00991A37" w:rsidRPr="00991A37" w:rsidRDefault="00991A37" w:rsidP="00991A37">
            <w:r w:rsidRPr="00991A37">
              <w:rPr>
                <w:bCs/>
                <w:szCs w:val="20"/>
              </w:rPr>
              <w:t>Хипертония, периферна невропатия</w:t>
            </w:r>
          </w:p>
        </w:tc>
      </w:tr>
      <w:tr w:rsidR="00991A37" w14:paraId="74B26F4B" w14:textId="77777777" w:rsidTr="00991A37">
        <w:tc>
          <w:tcPr>
            <w:tcW w:w="3192" w:type="dxa"/>
            <w:vMerge/>
          </w:tcPr>
          <w:p w14:paraId="2266FCAA" w14:textId="77777777" w:rsidR="00991A37" w:rsidRDefault="00991A37" w:rsidP="00991A37"/>
        </w:tc>
        <w:tc>
          <w:tcPr>
            <w:tcW w:w="3192" w:type="dxa"/>
          </w:tcPr>
          <w:p w14:paraId="63F7D46E" w14:textId="2E025C71" w:rsidR="00991A37" w:rsidRPr="00991A37" w:rsidRDefault="00991A37" w:rsidP="00991A37">
            <w:r w:rsidRPr="00991A37">
              <w:rPr>
                <w:bCs/>
                <w:szCs w:val="20"/>
              </w:rPr>
              <w:t>С неизвестна честота</w:t>
            </w:r>
          </w:p>
        </w:tc>
        <w:tc>
          <w:tcPr>
            <w:tcW w:w="3192" w:type="dxa"/>
            <w:vAlign w:val="bottom"/>
          </w:tcPr>
          <w:p w14:paraId="359D7586" w14:textId="2BA113C6" w:rsidR="00991A37" w:rsidRPr="00991A37" w:rsidRDefault="00991A37" w:rsidP="00991A37">
            <w:r w:rsidRPr="00991A37">
              <w:rPr>
                <w:bCs/>
                <w:szCs w:val="20"/>
              </w:rPr>
              <w:t>Екстрапирамидни нарушения</w:t>
            </w:r>
          </w:p>
        </w:tc>
      </w:tr>
      <w:tr w:rsidR="00991A37" w14:paraId="3666A0EF" w14:textId="77777777" w:rsidTr="00991A37">
        <w:tc>
          <w:tcPr>
            <w:tcW w:w="3192" w:type="dxa"/>
          </w:tcPr>
          <w:p w14:paraId="7C64735F" w14:textId="504654AA" w:rsidR="00991A37" w:rsidRPr="00991A37" w:rsidRDefault="00991A37" w:rsidP="00991A37">
            <w:r w:rsidRPr="00991A37">
              <w:rPr>
                <w:bCs/>
                <w:szCs w:val="20"/>
              </w:rPr>
              <w:t>Нарушения на очите</w:t>
            </w:r>
          </w:p>
        </w:tc>
        <w:tc>
          <w:tcPr>
            <w:tcW w:w="3192" w:type="dxa"/>
          </w:tcPr>
          <w:p w14:paraId="34AB0FB4" w14:textId="352AEA68" w:rsidR="00991A37" w:rsidRPr="00991A37" w:rsidRDefault="00991A37" w:rsidP="00991A37">
            <w:r w:rsidRPr="00991A37">
              <w:rPr>
                <w:bCs/>
                <w:szCs w:val="20"/>
              </w:rPr>
              <w:t>Чести</w:t>
            </w:r>
          </w:p>
        </w:tc>
        <w:tc>
          <w:tcPr>
            <w:tcW w:w="3192" w:type="dxa"/>
          </w:tcPr>
          <w:p w14:paraId="2186408A" w14:textId="4A6F59CB" w:rsidR="00991A37" w:rsidRPr="00991A37" w:rsidRDefault="00991A37" w:rsidP="00991A37">
            <w:r w:rsidRPr="00991A37">
              <w:rPr>
                <w:bCs/>
                <w:szCs w:val="20"/>
              </w:rPr>
              <w:t>Зрителни нарушения (включително диплопия)</w:t>
            </w:r>
          </w:p>
        </w:tc>
      </w:tr>
      <w:tr w:rsidR="00991A37" w14:paraId="3AFC70BD" w14:textId="77777777" w:rsidTr="00991A37">
        <w:tc>
          <w:tcPr>
            <w:tcW w:w="3192" w:type="dxa"/>
          </w:tcPr>
          <w:p w14:paraId="1A38D083" w14:textId="2CD49B90" w:rsidR="00991A37" w:rsidRPr="00991A37" w:rsidRDefault="00991A37" w:rsidP="00991A37">
            <w:r w:rsidRPr="00991A37">
              <w:rPr>
                <w:bCs/>
                <w:szCs w:val="20"/>
              </w:rPr>
              <w:t>Нарушения на ухото и лабиринта</w:t>
            </w:r>
          </w:p>
        </w:tc>
        <w:tc>
          <w:tcPr>
            <w:tcW w:w="3192" w:type="dxa"/>
          </w:tcPr>
          <w:p w14:paraId="10A3E358" w14:textId="73609C7B" w:rsidR="00991A37" w:rsidRPr="00991A37" w:rsidRDefault="00991A37" w:rsidP="00991A37">
            <w:r w:rsidRPr="00991A37">
              <w:rPr>
                <w:bCs/>
                <w:szCs w:val="20"/>
              </w:rPr>
              <w:t>Нечести</w:t>
            </w:r>
          </w:p>
        </w:tc>
        <w:tc>
          <w:tcPr>
            <w:tcW w:w="3192" w:type="dxa"/>
          </w:tcPr>
          <w:p w14:paraId="7A5571D2" w14:textId="5C600B39" w:rsidR="00991A37" w:rsidRPr="00991A37" w:rsidRDefault="00991A37" w:rsidP="00991A37">
            <w:r w:rsidRPr="00991A37">
              <w:rPr>
                <w:bCs/>
                <w:szCs w:val="20"/>
              </w:rPr>
              <w:t>Тинитус</w:t>
            </w:r>
          </w:p>
        </w:tc>
      </w:tr>
      <w:tr w:rsidR="00991A37" w14:paraId="7B829F38" w14:textId="77777777" w:rsidTr="00991A37">
        <w:tc>
          <w:tcPr>
            <w:tcW w:w="3192" w:type="dxa"/>
            <w:vMerge w:val="restart"/>
          </w:tcPr>
          <w:p w14:paraId="017DC86C" w14:textId="6B9B8350" w:rsidR="00991A37" w:rsidRPr="00991A37" w:rsidRDefault="00991A37" w:rsidP="00991A37">
            <w:r w:rsidRPr="00991A37">
              <w:rPr>
                <w:bCs/>
                <w:szCs w:val="20"/>
              </w:rPr>
              <w:t>Сърдечни нарушения</w:t>
            </w:r>
          </w:p>
        </w:tc>
        <w:tc>
          <w:tcPr>
            <w:tcW w:w="3192" w:type="dxa"/>
            <w:vAlign w:val="bottom"/>
          </w:tcPr>
          <w:p w14:paraId="517E8ED5" w14:textId="48098CB2" w:rsidR="00991A37" w:rsidRPr="00991A37" w:rsidRDefault="00991A37" w:rsidP="00991A37">
            <w:r w:rsidRPr="00991A37">
              <w:rPr>
                <w:bCs/>
                <w:szCs w:val="20"/>
              </w:rPr>
              <w:t>Чести</w:t>
            </w:r>
          </w:p>
        </w:tc>
        <w:tc>
          <w:tcPr>
            <w:tcW w:w="3192" w:type="dxa"/>
            <w:vAlign w:val="bottom"/>
          </w:tcPr>
          <w:p w14:paraId="7F3A52AC" w14:textId="31677397" w:rsidR="00991A37" w:rsidRPr="00991A37" w:rsidRDefault="00991A37" w:rsidP="00991A37">
            <w:r w:rsidRPr="00991A37">
              <w:rPr>
                <w:bCs/>
                <w:szCs w:val="20"/>
              </w:rPr>
              <w:t>Палпитации</w:t>
            </w:r>
          </w:p>
        </w:tc>
      </w:tr>
      <w:tr w:rsidR="00991A37" w14:paraId="63992E10" w14:textId="77777777" w:rsidTr="00991A37">
        <w:tc>
          <w:tcPr>
            <w:tcW w:w="3192" w:type="dxa"/>
            <w:vMerge/>
          </w:tcPr>
          <w:p w14:paraId="5D232898" w14:textId="77777777" w:rsidR="00991A37" w:rsidRPr="00991A37" w:rsidRDefault="00991A37" w:rsidP="00991A37"/>
        </w:tc>
        <w:tc>
          <w:tcPr>
            <w:tcW w:w="3192" w:type="dxa"/>
          </w:tcPr>
          <w:p w14:paraId="28D935CC" w14:textId="68CA230C" w:rsidR="00991A37" w:rsidRPr="00991A37" w:rsidRDefault="00991A37" w:rsidP="00991A37">
            <w:r w:rsidRPr="00991A37">
              <w:rPr>
                <w:bCs/>
                <w:szCs w:val="20"/>
              </w:rPr>
              <w:t>Нечести</w:t>
            </w:r>
          </w:p>
        </w:tc>
        <w:tc>
          <w:tcPr>
            <w:tcW w:w="3192" w:type="dxa"/>
            <w:vAlign w:val="bottom"/>
          </w:tcPr>
          <w:p w14:paraId="2FF1A023" w14:textId="2DAF703B" w:rsidR="00991A37" w:rsidRPr="00991A37" w:rsidRDefault="00991A37" w:rsidP="00991A37">
            <w:r w:rsidRPr="00991A37">
              <w:rPr>
                <w:bCs/>
                <w:szCs w:val="20"/>
              </w:rPr>
              <w:t>Аритмия (включително брадикардия камерна тахикардия и предсърдно мъждене)</w:t>
            </w:r>
          </w:p>
        </w:tc>
      </w:tr>
      <w:tr w:rsidR="00991A37" w14:paraId="1EF6D4F8" w14:textId="77777777" w:rsidTr="00991A37">
        <w:tc>
          <w:tcPr>
            <w:tcW w:w="3192" w:type="dxa"/>
            <w:vMerge/>
          </w:tcPr>
          <w:p w14:paraId="0689035E" w14:textId="77777777" w:rsidR="00991A37" w:rsidRPr="00991A37" w:rsidRDefault="00991A37" w:rsidP="00991A37"/>
        </w:tc>
        <w:tc>
          <w:tcPr>
            <w:tcW w:w="3192" w:type="dxa"/>
            <w:vAlign w:val="bottom"/>
          </w:tcPr>
          <w:p w14:paraId="5152E1AC" w14:textId="3E715E5A" w:rsidR="00991A37" w:rsidRPr="00991A37" w:rsidRDefault="00991A37" w:rsidP="00991A37">
            <w:r w:rsidRPr="00991A37">
              <w:rPr>
                <w:bCs/>
                <w:szCs w:val="20"/>
              </w:rPr>
              <w:t>Много редки</w:t>
            </w:r>
          </w:p>
        </w:tc>
        <w:tc>
          <w:tcPr>
            <w:tcW w:w="3192" w:type="dxa"/>
            <w:vAlign w:val="bottom"/>
          </w:tcPr>
          <w:p w14:paraId="73A869FC" w14:textId="1E3D7126" w:rsidR="00991A37" w:rsidRPr="00991A37" w:rsidRDefault="00991A37" w:rsidP="00991A37">
            <w:r w:rsidRPr="00991A37">
              <w:rPr>
                <w:bCs/>
                <w:szCs w:val="20"/>
              </w:rPr>
              <w:t>Миокарден инфаркт</w:t>
            </w:r>
          </w:p>
        </w:tc>
      </w:tr>
      <w:tr w:rsidR="00991A37" w14:paraId="650189FA" w14:textId="77777777" w:rsidTr="00991A37">
        <w:tc>
          <w:tcPr>
            <w:tcW w:w="3192" w:type="dxa"/>
            <w:vMerge w:val="restart"/>
          </w:tcPr>
          <w:p w14:paraId="7E5501A3" w14:textId="362A791A" w:rsidR="00991A37" w:rsidRPr="00991A37" w:rsidRDefault="00991A37" w:rsidP="00991A37">
            <w:r w:rsidRPr="00991A37">
              <w:rPr>
                <w:bCs/>
                <w:szCs w:val="20"/>
              </w:rPr>
              <w:t>Съдови нарушения</w:t>
            </w:r>
          </w:p>
        </w:tc>
        <w:tc>
          <w:tcPr>
            <w:tcW w:w="3192" w:type="dxa"/>
            <w:vAlign w:val="bottom"/>
          </w:tcPr>
          <w:p w14:paraId="1E2CB85D" w14:textId="16749A10" w:rsidR="00991A37" w:rsidRPr="00991A37" w:rsidRDefault="00991A37" w:rsidP="00991A37">
            <w:r w:rsidRPr="00991A37">
              <w:rPr>
                <w:bCs/>
                <w:szCs w:val="20"/>
              </w:rPr>
              <w:t>Чести</w:t>
            </w:r>
          </w:p>
        </w:tc>
        <w:tc>
          <w:tcPr>
            <w:tcW w:w="3192" w:type="dxa"/>
            <w:vAlign w:val="bottom"/>
          </w:tcPr>
          <w:p w14:paraId="34A97BDD" w14:textId="12471375" w:rsidR="00991A37" w:rsidRPr="00991A37" w:rsidRDefault="00991A37" w:rsidP="00991A37">
            <w:r w:rsidRPr="00991A37">
              <w:rPr>
                <w:bCs/>
                <w:szCs w:val="20"/>
              </w:rPr>
              <w:t>Зачервяване</w:t>
            </w:r>
          </w:p>
        </w:tc>
      </w:tr>
      <w:tr w:rsidR="00991A37" w14:paraId="22845D49" w14:textId="77777777" w:rsidTr="00991A37">
        <w:tc>
          <w:tcPr>
            <w:tcW w:w="3192" w:type="dxa"/>
            <w:vMerge/>
          </w:tcPr>
          <w:p w14:paraId="07171A9C" w14:textId="77777777" w:rsidR="00991A37" w:rsidRPr="00991A37" w:rsidRDefault="00991A37" w:rsidP="00991A37"/>
        </w:tc>
        <w:tc>
          <w:tcPr>
            <w:tcW w:w="3192" w:type="dxa"/>
          </w:tcPr>
          <w:p w14:paraId="1C647D89" w14:textId="4BC23975" w:rsidR="00991A37" w:rsidRPr="00991A37" w:rsidRDefault="00991A37" w:rsidP="00991A37">
            <w:r w:rsidRPr="00991A37">
              <w:rPr>
                <w:bCs/>
                <w:szCs w:val="20"/>
              </w:rPr>
              <w:t>Нечести</w:t>
            </w:r>
          </w:p>
        </w:tc>
        <w:tc>
          <w:tcPr>
            <w:tcW w:w="3192" w:type="dxa"/>
          </w:tcPr>
          <w:p w14:paraId="5630A059" w14:textId="7523220E" w:rsidR="00991A37" w:rsidRPr="00991A37" w:rsidRDefault="00991A37" w:rsidP="00991A37">
            <w:r w:rsidRPr="00991A37">
              <w:rPr>
                <w:bCs/>
                <w:szCs w:val="20"/>
              </w:rPr>
              <w:t>Хипотония</w:t>
            </w:r>
          </w:p>
        </w:tc>
      </w:tr>
      <w:tr w:rsidR="00991A37" w14:paraId="4E0EB032" w14:textId="77777777" w:rsidTr="00991A37">
        <w:tc>
          <w:tcPr>
            <w:tcW w:w="3192" w:type="dxa"/>
            <w:vMerge/>
          </w:tcPr>
          <w:p w14:paraId="4AFB8306" w14:textId="77777777" w:rsidR="00991A37" w:rsidRPr="00991A37" w:rsidRDefault="00991A37" w:rsidP="00991A37"/>
        </w:tc>
        <w:tc>
          <w:tcPr>
            <w:tcW w:w="3192" w:type="dxa"/>
            <w:vAlign w:val="bottom"/>
          </w:tcPr>
          <w:p w14:paraId="2DDE5E4A" w14:textId="5FDE6A25" w:rsidR="00991A37" w:rsidRPr="00991A37" w:rsidRDefault="00991A37" w:rsidP="00991A37">
            <w:r w:rsidRPr="00991A37">
              <w:rPr>
                <w:bCs/>
                <w:szCs w:val="20"/>
              </w:rPr>
              <w:t>Много редки</w:t>
            </w:r>
          </w:p>
        </w:tc>
        <w:tc>
          <w:tcPr>
            <w:tcW w:w="3192" w:type="dxa"/>
            <w:vAlign w:val="bottom"/>
          </w:tcPr>
          <w:p w14:paraId="46D3FFF2" w14:textId="729AFF68" w:rsidR="00991A37" w:rsidRPr="00991A37" w:rsidRDefault="00991A37" w:rsidP="00991A37">
            <w:r w:rsidRPr="00991A37">
              <w:rPr>
                <w:bCs/>
                <w:szCs w:val="20"/>
              </w:rPr>
              <w:t>Васкулит</w:t>
            </w:r>
          </w:p>
        </w:tc>
      </w:tr>
      <w:tr w:rsidR="00991A37" w14:paraId="21B366B8" w14:textId="77777777" w:rsidTr="00991A37">
        <w:tc>
          <w:tcPr>
            <w:tcW w:w="3192" w:type="dxa"/>
            <w:vMerge w:val="restart"/>
          </w:tcPr>
          <w:p w14:paraId="248A3A5E" w14:textId="1E3C792D" w:rsidR="00991A37" w:rsidRPr="00991A37" w:rsidRDefault="00991A37" w:rsidP="00991A37">
            <w:r w:rsidRPr="00991A37">
              <w:rPr>
                <w:bCs/>
                <w:szCs w:val="20"/>
              </w:rPr>
              <w:t>Респираторни, гръдни и медиастинални нарушения</w:t>
            </w:r>
          </w:p>
        </w:tc>
        <w:tc>
          <w:tcPr>
            <w:tcW w:w="3192" w:type="dxa"/>
            <w:vAlign w:val="bottom"/>
          </w:tcPr>
          <w:p w14:paraId="65EDF792" w14:textId="1101713E" w:rsidR="00991A37" w:rsidRPr="00991A37" w:rsidRDefault="00991A37" w:rsidP="00991A37">
            <w:r w:rsidRPr="00991A37">
              <w:rPr>
                <w:bCs/>
                <w:szCs w:val="20"/>
              </w:rPr>
              <w:t>Чести</w:t>
            </w:r>
          </w:p>
        </w:tc>
        <w:tc>
          <w:tcPr>
            <w:tcW w:w="3192" w:type="dxa"/>
            <w:vAlign w:val="bottom"/>
          </w:tcPr>
          <w:p w14:paraId="753F8A8E" w14:textId="7F620C58" w:rsidR="00991A37" w:rsidRPr="00991A37" w:rsidRDefault="00991A37" w:rsidP="00991A37">
            <w:r w:rsidRPr="00991A37">
              <w:rPr>
                <w:bCs/>
                <w:szCs w:val="20"/>
              </w:rPr>
              <w:t>Диспнея</w:t>
            </w:r>
          </w:p>
        </w:tc>
      </w:tr>
      <w:tr w:rsidR="00991A37" w14:paraId="5879D4B4" w14:textId="77777777" w:rsidTr="00991A37">
        <w:tc>
          <w:tcPr>
            <w:tcW w:w="3192" w:type="dxa"/>
            <w:vMerge/>
          </w:tcPr>
          <w:p w14:paraId="7A786181" w14:textId="77777777" w:rsidR="00991A37" w:rsidRPr="00991A37" w:rsidRDefault="00991A37" w:rsidP="00991A37"/>
        </w:tc>
        <w:tc>
          <w:tcPr>
            <w:tcW w:w="3192" w:type="dxa"/>
            <w:vAlign w:val="bottom"/>
          </w:tcPr>
          <w:p w14:paraId="774188B2" w14:textId="6F808E57" w:rsidR="00991A37" w:rsidRPr="00991A37" w:rsidRDefault="00991A37" w:rsidP="00991A37">
            <w:r w:rsidRPr="00991A37">
              <w:rPr>
                <w:bCs/>
                <w:szCs w:val="20"/>
              </w:rPr>
              <w:t>Нечести</w:t>
            </w:r>
          </w:p>
        </w:tc>
        <w:tc>
          <w:tcPr>
            <w:tcW w:w="3192" w:type="dxa"/>
            <w:vAlign w:val="bottom"/>
          </w:tcPr>
          <w:p w14:paraId="2826182A" w14:textId="31E1A1E8" w:rsidR="00991A37" w:rsidRPr="00991A37" w:rsidRDefault="00991A37" w:rsidP="00991A37">
            <w:r w:rsidRPr="00991A37">
              <w:rPr>
                <w:bCs/>
                <w:szCs w:val="20"/>
              </w:rPr>
              <w:t>Кашлица, ринит</w:t>
            </w:r>
          </w:p>
        </w:tc>
      </w:tr>
      <w:tr w:rsidR="00991A37" w14:paraId="0508A5C9" w14:textId="77777777" w:rsidTr="00991A37">
        <w:tc>
          <w:tcPr>
            <w:tcW w:w="3192" w:type="dxa"/>
            <w:vMerge w:val="restart"/>
          </w:tcPr>
          <w:p w14:paraId="54E1E83D" w14:textId="380D1653" w:rsidR="00991A37" w:rsidRPr="00991A37" w:rsidRDefault="00991A37" w:rsidP="00991A37">
            <w:r w:rsidRPr="00991A37">
              <w:rPr>
                <w:bCs/>
                <w:szCs w:val="20"/>
              </w:rPr>
              <w:t>Стомашно-чревни нарушения</w:t>
            </w:r>
          </w:p>
        </w:tc>
        <w:tc>
          <w:tcPr>
            <w:tcW w:w="3192" w:type="dxa"/>
          </w:tcPr>
          <w:p w14:paraId="799746BF" w14:textId="691E4E35" w:rsidR="00991A37" w:rsidRPr="00991A37" w:rsidRDefault="00991A37" w:rsidP="00991A37">
            <w:r w:rsidRPr="00991A37">
              <w:rPr>
                <w:bCs/>
                <w:szCs w:val="20"/>
              </w:rPr>
              <w:t>Чести</w:t>
            </w:r>
          </w:p>
        </w:tc>
        <w:tc>
          <w:tcPr>
            <w:tcW w:w="3192" w:type="dxa"/>
            <w:vAlign w:val="bottom"/>
          </w:tcPr>
          <w:p w14:paraId="3B81FE61" w14:textId="4AAB4236" w:rsidR="00991A37" w:rsidRPr="00991A37" w:rsidRDefault="00991A37" w:rsidP="00991A37">
            <w:r w:rsidRPr="00991A37">
              <w:rPr>
                <w:bCs/>
                <w:szCs w:val="20"/>
              </w:rPr>
              <w:t xml:space="preserve">Абдоминална болка, гадене диспепсия, промяна в обичайната перисталтика </w:t>
            </w:r>
            <w:r w:rsidRPr="00991A37">
              <w:rPr>
                <w:bCs/>
                <w:szCs w:val="20"/>
              </w:rPr>
              <w:lastRenderedPageBreak/>
              <w:t>на червата (включително диария и запек)</w:t>
            </w:r>
          </w:p>
        </w:tc>
      </w:tr>
      <w:tr w:rsidR="00991A37" w14:paraId="21485FCB" w14:textId="77777777" w:rsidTr="00991A37">
        <w:tc>
          <w:tcPr>
            <w:tcW w:w="3192" w:type="dxa"/>
            <w:vMerge/>
          </w:tcPr>
          <w:p w14:paraId="37CCBBA1" w14:textId="77777777" w:rsidR="00991A37" w:rsidRPr="00991A37" w:rsidRDefault="00991A37" w:rsidP="00991A37"/>
        </w:tc>
        <w:tc>
          <w:tcPr>
            <w:tcW w:w="3192" w:type="dxa"/>
            <w:vAlign w:val="bottom"/>
          </w:tcPr>
          <w:p w14:paraId="4446DE63" w14:textId="2717EE3B" w:rsidR="00991A37" w:rsidRPr="00991A37" w:rsidRDefault="00991A37" w:rsidP="00991A37">
            <w:r w:rsidRPr="00991A37">
              <w:rPr>
                <w:bCs/>
                <w:szCs w:val="20"/>
              </w:rPr>
              <w:t>Нечести</w:t>
            </w:r>
          </w:p>
        </w:tc>
        <w:tc>
          <w:tcPr>
            <w:tcW w:w="3192" w:type="dxa"/>
            <w:vAlign w:val="bottom"/>
          </w:tcPr>
          <w:p w14:paraId="6DCE6011" w14:textId="5C1B1464" w:rsidR="00991A37" w:rsidRPr="00991A37" w:rsidRDefault="00991A37" w:rsidP="00991A37">
            <w:r w:rsidRPr="00991A37">
              <w:rPr>
                <w:bCs/>
                <w:szCs w:val="20"/>
              </w:rPr>
              <w:t>Повръщане, сухота в устата</w:t>
            </w:r>
          </w:p>
        </w:tc>
      </w:tr>
      <w:tr w:rsidR="00991A37" w14:paraId="6E748AD7" w14:textId="77777777" w:rsidTr="00991A37">
        <w:tc>
          <w:tcPr>
            <w:tcW w:w="3192" w:type="dxa"/>
            <w:vMerge/>
          </w:tcPr>
          <w:p w14:paraId="708FACB6" w14:textId="77777777" w:rsidR="00991A37" w:rsidRPr="00991A37" w:rsidRDefault="00991A37" w:rsidP="00991A37"/>
        </w:tc>
        <w:tc>
          <w:tcPr>
            <w:tcW w:w="3192" w:type="dxa"/>
          </w:tcPr>
          <w:p w14:paraId="52E1A446" w14:textId="15EA1AB2" w:rsidR="00991A37" w:rsidRPr="00991A37" w:rsidRDefault="00991A37" w:rsidP="00991A37">
            <w:r w:rsidRPr="00991A37">
              <w:rPr>
                <w:bCs/>
                <w:szCs w:val="20"/>
              </w:rPr>
              <w:t>Много редки</w:t>
            </w:r>
          </w:p>
        </w:tc>
        <w:tc>
          <w:tcPr>
            <w:tcW w:w="3192" w:type="dxa"/>
            <w:vAlign w:val="bottom"/>
          </w:tcPr>
          <w:p w14:paraId="3567E979" w14:textId="510ED463" w:rsidR="00991A37" w:rsidRPr="00991A37" w:rsidRDefault="00991A37" w:rsidP="00991A37">
            <w:r w:rsidRPr="00991A37">
              <w:rPr>
                <w:bCs/>
                <w:szCs w:val="20"/>
              </w:rPr>
              <w:t>Панкреатиг, гастрит, хиперплазия на венците</w:t>
            </w:r>
          </w:p>
        </w:tc>
      </w:tr>
      <w:tr w:rsidR="00991A37" w14:paraId="31ED9405" w14:textId="77777777" w:rsidTr="00991A37">
        <w:tc>
          <w:tcPr>
            <w:tcW w:w="3192" w:type="dxa"/>
          </w:tcPr>
          <w:p w14:paraId="07FF49AD" w14:textId="40F6BCDF" w:rsidR="00991A37" w:rsidRPr="00991A37" w:rsidRDefault="00991A37" w:rsidP="00991A37">
            <w:r w:rsidRPr="00991A37">
              <w:rPr>
                <w:bCs/>
                <w:szCs w:val="20"/>
              </w:rPr>
              <w:t>Хепато-билиарни нарушения</w:t>
            </w:r>
          </w:p>
        </w:tc>
        <w:tc>
          <w:tcPr>
            <w:tcW w:w="3192" w:type="dxa"/>
          </w:tcPr>
          <w:p w14:paraId="67BA3727" w14:textId="54B887DC" w:rsidR="00991A37" w:rsidRPr="00991A37" w:rsidRDefault="00991A37" w:rsidP="00991A37">
            <w:r w:rsidRPr="00991A37">
              <w:rPr>
                <w:bCs/>
                <w:szCs w:val="20"/>
              </w:rPr>
              <w:t>Много редки</w:t>
            </w:r>
          </w:p>
        </w:tc>
        <w:tc>
          <w:tcPr>
            <w:tcW w:w="3192" w:type="dxa"/>
          </w:tcPr>
          <w:p w14:paraId="6DE2D40B" w14:textId="4640DC63" w:rsidR="00991A37" w:rsidRPr="00991A37" w:rsidRDefault="00991A37" w:rsidP="00991A37">
            <w:r w:rsidRPr="00991A37">
              <w:rPr>
                <w:bCs/>
                <w:szCs w:val="20"/>
              </w:rPr>
              <w:t>Хепатит, жълтеница, повишени чернодробни ензими*</w:t>
            </w:r>
          </w:p>
        </w:tc>
      </w:tr>
      <w:tr w:rsidR="00991A37" w14:paraId="040A2952" w14:textId="77777777" w:rsidTr="00991A37">
        <w:tc>
          <w:tcPr>
            <w:tcW w:w="3192" w:type="dxa"/>
            <w:vMerge w:val="restart"/>
          </w:tcPr>
          <w:p w14:paraId="02545E8F" w14:textId="41539729" w:rsidR="00991A37" w:rsidRPr="00991A37" w:rsidRDefault="00991A37" w:rsidP="00991A37">
            <w:r w:rsidRPr="00991A37">
              <w:rPr>
                <w:bCs/>
                <w:szCs w:val="20"/>
              </w:rPr>
              <w:t>Нарушения на кожата и подкожната тъкан</w:t>
            </w:r>
          </w:p>
        </w:tc>
        <w:tc>
          <w:tcPr>
            <w:tcW w:w="3192" w:type="dxa"/>
          </w:tcPr>
          <w:p w14:paraId="79BC4626" w14:textId="3EDAC787" w:rsidR="00991A37" w:rsidRPr="00991A37" w:rsidRDefault="00991A37" w:rsidP="00991A37">
            <w:r w:rsidRPr="00991A37">
              <w:rPr>
                <w:bCs/>
                <w:szCs w:val="20"/>
              </w:rPr>
              <w:t>Нечести</w:t>
            </w:r>
          </w:p>
        </w:tc>
        <w:tc>
          <w:tcPr>
            <w:tcW w:w="3192" w:type="dxa"/>
          </w:tcPr>
          <w:p w14:paraId="46DC1478" w14:textId="6A255265" w:rsidR="00991A37" w:rsidRPr="00991A37" w:rsidRDefault="00991A37" w:rsidP="00991A37">
            <w:r w:rsidRPr="00991A37">
              <w:rPr>
                <w:bCs/>
                <w:szCs w:val="20"/>
              </w:rPr>
              <w:t>Алопеция, пурпура, промяна в цвета на кожата, хиперхидроза, пруритус, обрив, екзантем, уртикария</w:t>
            </w:r>
          </w:p>
        </w:tc>
      </w:tr>
      <w:tr w:rsidR="00991A37" w14:paraId="4761158C" w14:textId="77777777" w:rsidTr="00991A37">
        <w:tc>
          <w:tcPr>
            <w:tcW w:w="3192" w:type="dxa"/>
            <w:vMerge/>
          </w:tcPr>
          <w:p w14:paraId="14DFED95" w14:textId="77777777" w:rsidR="00991A37" w:rsidRPr="00991A37" w:rsidRDefault="00991A37" w:rsidP="00991A37"/>
        </w:tc>
        <w:tc>
          <w:tcPr>
            <w:tcW w:w="3192" w:type="dxa"/>
          </w:tcPr>
          <w:p w14:paraId="6DAA28D8" w14:textId="34D6CA0E" w:rsidR="00991A37" w:rsidRPr="00991A37" w:rsidRDefault="00991A37" w:rsidP="00991A37">
            <w:r w:rsidRPr="00991A37">
              <w:rPr>
                <w:bCs/>
                <w:szCs w:val="20"/>
              </w:rPr>
              <w:t>Много редки</w:t>
            </w:r>
          </w:p>
        </w:tc>
        <w:tc>
          <w:tcPr>
            <w:tcW w:w="3192" w:type="dxa"/>
            <w:vAlign w:val="bottom"/>
          </w:tcPr>
          <w:p w14:paraId="33EDDDC1" w14:textId="2F123B00" w:rsidR="00991A37" w:rsidRPr="00991A37" w:rsidRDefault="00991A37" w:rsidP="00991A37">
            <w:r w:rsidRPr="00991A37">
              <w:rPr>
                <w:bCs/>
                <w:szCs w:val="20"/>
              </w:rPr>
              <w:t xml:space="preserve">Ангиоедем, еритема мултиформе, ексфолиативен дерматит, синдром на </w:t>
            </w:r>
            <w:r w:rsidRPr="00991A37">
              <w:rPr>
                <w:bCs/>
                <w:szCs w:val="20"/>
                <w:lang w:val="en-US"/>
              </w:rPr>
              <w:t>Stevens</w:t>
            </w:r>
            <w:r w:rsidRPr="00991A37">
              <w:rPr>
                <w:bCs/>
                <w:szCs w:val="20"/>
                <w:lang w:val="ru-RU"/>
              </w:rPr>
              <w:t xml:space="preserve">- </w:t>
            </w:r>
            <w:r w:rsidRPr="00991A37">
              <w:rPr>
                <w:bCs/>
                <w:szCs w:val="20"/>
                <w:lang w:val="en-US"/>
              </w:rPr>
              <w:t>Johnson</w:t>
            </w:r>
            <w:r w:rsidRPr="00991A37">
              <w:rPr>
                <w:bCs/>
                <w:szCs w:val="20"/>
                <w:lang w:val="ru-RU"/>
              </w:rPr>
              <w:t xml:space="preserve">, </w:t>
            </w:r>
            <w:r w:rsidRPr="00991A37">
              <w:rPr>
                <w:bCs/>
                <w:szCs w:val="20"/>
              </w:rPr>
              <w:t xml:space="preserve">оток на </w:t>
            </w:r>
            <w:proofErr w:type="spellStart"/>
            <w:r w:rsidRPr="00991A37">
              <w:rPr>
                <w:bCs/>
                <w:szCs w:val="20"/>
                <w:lang w:val="en-US"/>
              </w:rPr>
              <w:t>Quincke</w:t>
            </w:r>
            <w:proofErr w:type="spellEnd"/>
            <w:r w:rsidRPr="00991A37">
              <w:rPr>
                <w:bCs/>
                <w:szCs w:val="20"/>
                <w:lang w:val="ru-RU"/>
              </w:rPr>
              <w:t xml:space="preserve">, </w:t>
            </w:r>
            <w:r w:rsidRPr="00991A37">
              <w:rPr>
                <w:bCs/>
                <w:szCs w:val="20"/>
              </w:rPr>
              <w:t>фоточувствителност</w:t>
            </w:r>
          </w:p>
        </w:tc>
      </w:tr>
      <w:tr w:rsidR="00991A37" w14:paraId="7362983E" w14:textId="77777777" w:rsidTr="00991A37">
        <w:trPr>
          <w:trHeight w:val="285"/>
        </w:trPr>
        <w:tc>
          <w:tcPr>
            <w:tcW w:w="3192" w:type="dxa"/>
            <w:vMerge/>
          </w:tcPr>
          <w:p w14:paraId="72846CEE" w14:textId="77777777" w:rsidR="00991A37" w:rsidRPr="00991A37" w:rsidRDefault="00991A37" w:rsidP="00991A37"/>
        </w:tc>
        <w:tc>
          <w:tcPr>
            <w:tcW w:w="3192" w:type="dxa"/>
          </w:tcPr>
          <w:p w14:paraId="5D53D4D4" w14:textId="696E4684" w:rsidR="00991A37" w:rsidRPr="00991A37" w:rsidRDefault="00991A37" w:rsidP="00991A37">
            <w:r w:rsidRPr="00991A37">
              <w:rPr>
                <w:bCs/>
                <w:szCs w:val="20"/>
              </w:rPr>
              <w:t>С неизвестна честота</w:t>
            </w:r>
          </w:p>
        </w:tc>
        <w:tc>
          <w:tcPr>
            <w:tcW w:w="3192" w:type="dxa"/>
            <w:vAlign w:val="bottom"/>
          </w:tcPr>
          <w:p w14:paraId="7418B848" w14:textId="469415C9" w:rsidR="00991A37" w:rsidRPr="00991A37" w:rsidRDefault="00991A37" w:rsidP="00991A37">
            <w:r w:rsidRPr="00991A37">
              <w:rPr>
                <w:bCs/>
                <w:szCs w:val="20"/>
              </w:rPr>
              <w:t>Токсична епидермална некролиза</w:t>
            </w:r>
          </w:p>
        </w:tc>
      </w:tr>
      <w:tr w:rsidR="00991A37" w14:paraId="0C22B6E3" w14:textId="77777777" w:rsidTr="00991A37">
        <w:tc>
          <w:tcPr>
            <w:tcW w:w="3192" w:type="dxa"/>
            <w:vMerge w:val="restart"/>
          </w:tcPr>
          <w:p w14:paraId="2877668E" w14:textId="5187AE78" w:rsidR="00991A37" w:rsidRPr="00991A37" w:rsidRDefault="00991A37" w:rsidP="00991A37">
            <w:r w:rsidRPr="00991A37">
              <w:rPr>
                <w:bCs/>
                <w:szCs w:val="20"/>
              </w:rPr>
              <w:t>Нарушения на мускулно- скелетната система и съединителната тъкан</w:t>
            </w:r>
          </w:p>
        </w:tc>
        <w:tc>
          <w:tcPr>
            <w:tcW w:w="3192" w:type="dxa"/>
          </w:tcPr>
          <w:p w14:paraId="07A61BF3" w14:textId="5D3D0031" w:rsidR="00991A37" w:rsidRPr="00991A37" w:rsidRDefault="00991A37" w:rsidP="00991A37">
            <w:r w:rsidRPr="00991A37">
              <w:rPr>
                <w:bCs/>
                <w:szCs w:val="20"/>
              </w:rPr>
              <w:t>Чести</w:t>
            </w:r>
          </w:p>
        </w:tc>
        <w:tc>
          <w:tcPr>
            <w:tcW w:w="3192" w:type="dxa"/>
            <w:vAlign w:val="bottom"/>
          </w:tcPr>
          <w:p w14:paraId="0A8ADBE6" w14:textId="083D4666" w:rsidR="00991A37" w:rsidRPr="00991A37" w:rsidRDefault="00991A37" w:rsidP="00991A37">
            <w:r w:rsidRPr="00991A37">
              <w:rPr>
                <w:bCs/>
                <w:szCs w:val="20"/>
              </w:rPr>
              <w:t>Оток на глезена, мускулни крампи</w:t>
            </w:r>
          </w:p>
        </w:tc>
      </w:tr>
      <w:tr w:rsidR="00991A37" w14:paraId="702411BB" w14:textId="77777777" w:rsidTr="00991A37">
        <w:tc>
          <w:tcPr>
            <w:tcW w:w="3192" w:type="dxa"/>
            <w:vMerge/>
          </w:tcPr>
          <w:p w14:paraId="2ACEDC03" w14:textId="77777777" w:rsidR="00991A37" w:rsidRPr="00991A37" w:rsidRDefault="00991A37" w:rsidP="00991A37"/>
        </w:tc>
        <w:tc>
          <w:tcPr>
            <w:tcW w:w="3192" w:type="dxa"/>
          </w:tcPr>
          <w:p w14:paraId="5CDB25BF" w14:textId="31C26E6E" w:rsidR="00991A37" w:rsidRPr="00991A37" w:rsidRDefault="00991A37" w:rsidP="00991A37">
            <w:r w:rsidRPr="00991A37">
              <w:rPr>
                <w:bCs/>
                <w:szCs w:val="20"/>
              </w:rPr>
              <w:t>Нечести</w:t>
            </w:r>
          </w:p>
        </w:tc>
        <w:tc>
          <w:tcPr>
            <w:tcW w:w="3192" w:type="dxa"/>
            <w:vAlign w:val="bottom"/>
          </w:tcPr>
          <w:p w14:paraId="0B132E5B" w14:textId="77777777" w:rsidR="00991A37" w:rsidRPr="00991A37" w:rsidRDefault="00991A37" w:rsidP="00991A37">
            <w:r w:rsidRPr="00991A37">
              <w:rPr>
                <w:bCs/>
                <w:szCs w:val="20"/>
              </w:rPr>
              <w:t>Артралгия, миалгия, болка</w:t>
            </w:r>
          </w:p>
          <w:p w14:paraId="5E43F53D" w14:textId="79E61BF7" w:rsidR="00991A37" w:rsidRPr="00991A37" w:rsidRDefault="00991A37" w:rsidP="00991A37">
            <w:r w:rsidRPr="00991A37">
              <w:rPr>
                <w:bCs/>
                <w:szCs w:val="20"/>
              </w:rPr>
              <w:t>в гърба</w:t>
            </w:r>
          </w:p>
        </w:tc>
      </w:tr>
      <w:tr w:rsidR="00991A37" w14:paraId="0262CFF3" w14:textId="77777777" w:rsidTr="00991A37">
        <w:tc>
          <w:tcPr>
            <w:tcW w:w="3192" w:type="dxa"/>
            <w:vAlign w:val="bottom"/>
          </w:tcPr>
          <w:p w14:paraId="32C91457" w14:textId="0BCBDACE" w:rsidR="00991A37" w:rsidRPr="00991A37" w:rsidRDefault="00991A37" w:rsidP="00991A37">
            <w:r w:rsidRPr="00991A37">
              <w:rPr>
                <w:bCs/>
                <w:szCs w:val="20"/>
              </w:rPr>
              <w:t>Нарушения на бъбреците и пикочните пътища</w:t>
            </w:r>
          </w:p>
        </w:tc>
        <w:tc>
          <w:tcPr>
            <w:tcW w:w="3192" w:type="dxa"/>
          </w:tcPr>
          <w:p w14:paraId="671E2C8A" w14:textId="2695BEEB" w:rsidR="00991A37" w:rsidRPr="00991A37" w:rsidRDefault="00991A37" w:rsidP="00991A37">
            <w:r w:rsidRPr="00991A37">
              <w:rPr>
                <w:bCs/>
                <w:szCs w:val="20"/>
              </w:rPr>
              <w:t>Нечести</w:t>
            </w:r>
          </w:p>
        </w:tc>
        <w:tc>
          <w:tcPr>
            <w:tcW w:w="3192" w:type="dxa"/>
            <w:vAlign w:val="bottom"/>
          </w:tcPr>
          <w:p w14:paraId="0B9F894C" w14:textId="72AA9752" w:rsidR="00991A37" w:rsidRPr="00991A37" w:rsidRDefault="00991A37" w:rsidP="00991A37">
            <w:pPr>
              <w:rPr>
                <w:rFonts w:ascii="Times New Roman" w:eastAsia="Times New Roman" w:hAnsi="Times New Roman" w:cs="Times New Roman"/>
                <w:sz w:val="24"/>
                <w:szCs w:val="24"/>
              </w:rPr>
            </w:pPr>
            <w:r w:rsidRPr="00991A37">
              <w:rPr>
                <w:bCs/>
                <w:szCs w:val="20"/>
              </w:rPr>
              <w:t>Нарушен уриниране нощно уриниране,</w:t>
            </w:r>
            <w:r>
              <w:rPr>
                <w:bCs/>
                <w:szCs w:val="20"/>
              </w:rPr>
              <w:t xml:space="preserve"> </w:t>
            </w:r>
            <w:r w:rsidRPr="00991A37">
              <w:rPr>
                <w:lang w:eastAsia="bg-BG"/>
              </w:rPr>
              <w:t>увеличена честота на уриниране</w:t>
            </w:r>
          </w:p>
        </w:tc>
      </w:tr>
      <w:tr w:rsidR="00991A37" w14:paraId="4901052E" w14:textId="77777777" w:rsidTr="00991A37">
        <w:tc>
          <w:tcPr>
            <w:tcW w:w="3192" w:type="dxa"/>
          </w:tcPr>
          <w:p w14:paraId="23D05E9E" w14:textId="44433A4B" w:rsidR="00991A37" w:rsidRPr="00991A37" w:rsidRDefault="00991A37" w:rsidP="00991A37">
            <w:r w:rsidRPr="00991A37">
              <w:rPr>
                <w:bCs/>
                <w:szCs w:val="20"/>
              </w:rPr>
              <w:t>Нарушения на възпризводителната система и гърдата</w:t>
            </w:r>
          </w:p>
        </w:tc>
        <w:tc>
          <w:tcPr>
            <w:tcW w:w="3192" w:type="dxa"/>
          </w:tcPr>
          <w:p w14:paraId="0BCA95DE" w14:textId="62202F9A" w:rsidR="00991A37" w:rsidRPr="00991A37" w:rsidRDefault="00991A37" w:rsidP="00991A37">
            <w:r w:rsidRPr="00991A37">
              <w:rPr>
                <w:bCs/>
                <w:szCs w:val="20"/>
              </w:rPr>
              <w:t>Нечести</w:t>
            </w:r>
          </w:p>
        </w:tc>
        <w:tc>
          <w:tcPr>
            <w:tcW w:w="3192" w:type="dxa"/>
          </w:tcPr>
          <w:p w14:paraId="75E40E2F" w14:textId="07CF176B" w:rsidR="00991A37" w:rsidRPr="00991A37" w:rsidRDefault="00991A37" w:rsidP="00991A37">
            <w:r w:rsidRPr="00991A37">
              <w:rPr>
                <w:bCs/>
                <w:szCs w:val="20"/>
              </w:rPr>
              <w:t>Импотентност, гинекомастия</w:t>
            </w:r>
          </w:p>
        </w:tc>
      </w:tr>
      <w:tr w:rsidR="00991A37" w14:paraId="6D688F49" w14:textId="77777777" w:rsidTr="00991A37">
        <w:tc>
          <w:tcPr>
            <w:tcW w:w="3192" w:type="dxa"/>
            <w:vMerge w:val="restart"/>
          </w:tcPr>
          <w:p w14:paraId="473082F6" w14:textId="2EC209A3" w:rsidR="00991A37" w:rsidRPr="00991A37" w:rsidRDefault="00991A37" w:rsidP="00991A37">
            <w:r w:rsidRPr="00991A37">
              <w:rPr>
                <w:bCs/>
                <w:szCs w:val="20"/>
              </w:rPr>
              <w:t>Общи нарушения и нарушения на мястото на приложение</w:t>
            </w:r>
          </w:p>
        </w:tc>
        <w:tc>
          <w:tcPr>
            <w:tcW w:w="3192" w:type="dxa"/>
          </w:tcPr>
          <w:p w14:paraId="2B1CFB9F" w14:textId="64F87AAB" w:rsidR="00991A37" w:rsidRPr="00991A37" w:rsidRDefault="00991A37" w:rsidP="00991A37">
            <w:r w:rsidRPr="00991A37">
              <w:rPr>
                <w:bCs/>
                <w:szCs w:val="20"/>
              </w:rPr>
              <w:t>Много чести</w:t>
            </w:r>
          </w:p>
        </w:tc>
        <w:tc>
          <w:tcPr>
            <w:tcW w:w="3192" w:type="dxa"/>
          </w:tcPr>
          <w:p w14:paraId="11EDDDF4" w14:textId="2B86E4C3" w:rsidR="00991A37" w:rsidRPr="00991A37" w:rsidRDefault="00991A37" w:rsidP="00991A37">
            <w:r w:rsidRPr="00991A37">
              <w:rPr>
                <w:bCs/>
                <w:szCs w:val="20"/>
              </w:rPr>
              <w:t>Оток</w:t>
            </w:r>
          </w:p>
        </w:tc>
      </w:tr>
      <w:tr w:rsidR="00991A37" w14:paraId="34B565C8" w14:textId="77777777" w:rsidTr="00991A37">
        <w:tc>
          <w:tcPr>
            <w:tcW w:w="3192" w:type="dxa"/>
            <w:vMerge/>
          </w:tcPr>
          <w:p w14:paraId="5F4DE5D1" w14:textId="77777777" w:rsidR="00991A37" w:rsidRPr="00991A37" w:rsidRDefault="00991A37" w:rsidP="00991A37"/>
        </w:tc>
        <w:tc>
          <w:tcPr>
            <w:tcW w:w="3192" w:type="dxa"/>
          </w:tcPr>
          <w:p w14:paraId="4A767E55" w14:textId="7102E33B" w:rsidR="00991A37" w:rsidRPr="00991A37" w:rsidRDefault="00991A37" w:rsidP="00991A37">
            <w:r w:rsidRPr="00991A37">
              <w:rPr>
                <w:bCs/>
                <w:szCs w:val="20"/>
              </w:rPr>
              <w:t>Чести</w:t>
            </w:r>
          </w:p>
        </w:tc>
        <w:tc>
          <w:tcPr>
            <w:tcW w:w="3192" w:type="dxa"/>
          </w:tcPr>
          <w:p w14:paraId="3ED962F0" w14:textId="16D438D6" w:rsidR="00991A37" w:rsidRPr="00991A37" w:rsidRDefault="00991A37" w:rsidP="00991A37">
            <w:r w:rsidRPr="00991A37">
              <w:rPr>
                <w:bCs/>
                <w:szCs w:val="20"/>
              </w:rPr>
              <w:t>Умора, астения</w:t>
            </w:r>
          </w:p>
        </w:tc>
      </w:tr>
      <w:tr w:rsidR="00991A37" w14:paraId="62E59CBB" w14:textId="77777777" w:rsidTr="00991A37">
        <w:tc>
          <w:tcPr>
            <w:tcW w:w="3192" w:type="dxa"/>
            <w:vMerge/>
          </w:tcPr>
          <w:p w14:paraId="2E0E8645" w14:textId="77777777" w:rsidR="00991A37" w:rsidRPr="00991A37" w:rsidRDefault="00991A37" w:rsidP="00991A37"/>
        </w:tc>
        <w:tc>
          <w:tcPr>
            <w:tcW w:w="3192" w:type="dxa"/>
          </w:tcPr>
          <w:p w14:paraId="7E41CC05" w14:textId="66951A85" w:rsidR="00991A37" w:rsidRPr="00991A37" w:rsidRDefault="00991A37" w:rsidP="00991A37">
            <w:r w:rsidRPr="00991A37">
              <w:rPr>
                <w:bCs/>
                <w:szCs w:val="20"/>
              </w:rPr>
              <w:t>Нечести</w:t>
            </w:r>
          </w:p>
        </w:tc>
        <w:tc>
          <w:tcPr>
            <w:tcW w:w="3192" w:type="dxa"/>
          </w:tcPr>
          <w:p w14:paraId="3D3CDC8B" w14:textId="012743AD" w:rsidR="00991A37" w:rsidRPr="00991A37" w:rsidRDefault="00991A37" w:rsidP="00991A37">
            <w:r w:rsidRPr="00991A37">
              <w:rPr>
                <w:bCs/>
                <w:szCs w:val="20"/>
              </w:rPr>
              <w:t>Гръдна болка, болка, неразположение</w:t>
            </w:r>
          </w:p>
        </w:tc>
      </w:tr>
      <w:tr w:rsidR="00991A37" w14:paraId="18BAD4B8" w14:textId="77777777" w:rsidTr="00991A37">
        <w:tc>
          <w:tcPr>
            <w:tcW w:w="3192" w:type="dxa"/>
          </w:tcPr>
          <w:p w14:paraId="1DBAA2C7" w14:textId="5A5BF1C7" w:rsidR="00991A37" w:rsidRPr="00991A37" w:rsidRDefault="00991A37" w:rsidP="00991A37">
            <w:r w:rsidRPr="00991A37">
              <w:rPr>
                <w:bCs/>
                <w:szCs w:val="20"/>
              </w:rPr>
              <w:t>Изследвания</w:t>
            </w:r>
          </w:p>
        </w:tc>
        <w:tc>
          <w:tcPr>
            <w:tcW w:w="3192" w:type="dxa"/>
          </w:tcPr>
          <w:p w14:paraId="1C0374E7" w14:textId="14574666" w:rsidR="00991A37" w:rsidRPr="00991A37" w:rsidRDefault="00991A37" w:rsidP="00991A37">
            <w:r w:rsidRPr="00991A37">
              <w:rPr>
                <w:bCs/>
                <w:szCs w:val="20"/>
              </w:rPr>
              <w:t>Нечести</w:t>
            </w:r>
          </w:p>
        </w:tc>
        <w:tc>
          <w:tcPr>
            <w:tcW w:w="3192" w:type="dxa"/>
          </w:tcPr>
          <w:p w14:paraId="4BA875C5" w14:textId="73347398" w:rsidR="00991A37" w:rsidRPr="00991A37" w:rsidRDefault="00991A37" w:rsidP="00991A37">
            <w:r w:rsidRPr="00991A37">
              <w:rPr>
                <w:bCs/>
                <w:szCs w:val="20"/>
              </w:rPr>
              <w:t>Увеличаване на телесното тегло, намаляване на телесното тегло</w:t>
            </w:r>
          </w:p>
        </w:tc>
      </w:tr>
    </w:tbl>
    <w:p w14:paraId="45C0BB05" w14:textId="6C2F9ADB" w:rsidR="00433F62" w:rsidRPr="00433F62" w:rsidRDefault="00433F62" w:rsidP="00433F62">
      <w:pPr>
        <w:rPr>
          <w:sz w:val="24"/>
          <w:szCs w:val="24"/>
        </w:rPr>
      </w:pPr>
      <w:r>
        <w:rPr>
          <w:lang w:eastAsia="bg-BG"/>
        </w:rPr>
        <w:t>*</w:t>
      </w:r>
      <w:r>
        <w:rPr>
          <w:lang w:val="en-US" w:eastAsia="bg-BG"/>
        </w:rPr>
        <w:t>-</w:t>
      </w:r>
      <w:r w:rsidRPr="00433F62">
        <w:rPr>
          <w:lang w:eastAsia="bg-BG"/>
        </w:rPr>
        <w:t>най-често свързано с холестаза</w:t>
      </w:r>
    </w:p>
    <w:p w14:paraId="605EEE37" w14:textId="77777777" w:rsidR="00433F62" w:rsidRDefault="00433F62" w:rsidP="00433F62">
      <w:pPr>
        <w:rPr>
          <w:u w:val="single"/>
          <w:lang w:eastAsia="bg-BG"/>
        </w:rPr>
      </w:pPr>
    </w:p>
    <w:p w14:paraId="0DD39732" w14:textId="2B831F92" w:rsidR="00433F62" w:rsidRPr="00433F62" w:rsidRDefault="00433F62" w:rsidP="00433F62">
      <w:pPr>
        <w:rPr>
          <w:sz w:val="24"/>
          <w:szCs w:val="24"/>
        </w:rPr>
      </w:pPr>
      <w:r w:rsidRPr="00433F62">
        <w:rPr>
          <w:u w:val="single"/>
          <w:lang w:eastAsia="bg-BG"/>
        </w:rPr>
        <w:t>Съобщаване на подозирани нежелани реакшш</w:t>
      </w:r>
    </w:p>
    <w:p w14:paraId="095C0D9E" w14:textId="77777777" w:rsidR="00433F62" w:rsidRPr="00433F62" w:rsidRDefault="00433F62" w:rsidP="00433F62">
      <w:pPr>
        <w:rPr>
          <w:sz w:val="24"/>
          <w:szCs w:val="24"/>
        </w:rPr>
      </w:pPr>
      <w:r w:rsidRPr="00433F62">
        <w:rPr>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8,1303 София, Тел.: +35 928903417, уебсайт: </w:t>
      </w:r>
      <w:r w:rsidRPr="00433F62">
        <w:rPr>
          <w:sz w:val="24"/>
          <w:szCs w:val="24"/>
        </w:rPr>
        <w:fldChar w:fldCharType="begin"/>
      </w:r>
      <w:r w:rsidRPr="00433F62">
        <w:rPr>
          <w:sz w:val="24"/>
          <w:szCs w:val="24"/>
        </w:rPr>
        <w:instrText xml:space="preserve"> HYPERLINK "http://www.bda.bg" </w:instrText>
      </w:r>
      <w:r w:rsidRPr="00433F62">
        <w:rPr>
          <w:sz w:val="24"/>
          <w:szCs w:val="24"/>
        </w:rPr>
      </w:r>
      <w:r w:rsidRPr="00433F62">
        <w:rPr>
          <w:sz w:val="24"/>
          <w:szCs w:val="24"/>
        </w:rPr>
        <w:fldChar w:fldCharType="separate"/>
      </w:r>
      <w:r w:rsidRPr="00433F62">
        <w:rPr>
          <w:u w:val="single"/>
          <w:lang w:val="en-US"/>
        </w:rPr>
        <w:t>www</w:t>
      </w:r>
      <w:r w:rsidRPr="00433F62">
        <w:rPr>
          <w:u w:val="single"/>
          <w:lang w:val="ru-RU"/>
        </w:rPr>
        <w:t>.</w:t>
      </w:r>
      <w:proofErr w:type="spellStart"/>
      <w:r w:rsidRPr="00433F62">
        <w:rPr>
          <w:u w:val="single"/>
          <w:lang w:val="en-US"/>
        </w:rPr>
        <w:t>bda</w:t>
      </w:r>
      <w:proofErr w:type="spellEnd"/>
      <w:r w:rsidRPr="00433F62">
        <w:rPr>
          <w:u w:val="single"/>
          <w:lang w:val="ru-RU"/>
        </w:rPr>
        <w:t>.</w:t>
      </w:r>
      <w:proofErr w:type="spellStart"/>
      <w:r w:rsidRPr="00433F62">
        <w:rPr>
          <w:u w:val="single"/>
          <w:lang w:val="en-US"/>
        </w:rPr>
        <w:t>bg</w:t>
      </w:r>
      <w:proofErr w:type="spellEnd"/>
      <w:r w:rsidRPr="00433F62">
        <w:rPr>
          <w:sz w:val="24"/>
          <w:szCs w:val="24"/>
        </w:rPr>
        <w:fldChar w:fldCharType="end"/>
      </w:r>
      <w:r w:rsidRPr="00433F62">
        <w:rPr>
          <w:lang w:val="ru-RU"/>
        </w:rPr>
        <w:t>.</w:t>
      </w:r>
    </w:p>
    <w:p w14:paraId="5E4E95E1" w14:textId="77777777" w:rsidR="00991A37" w:rsidRPr="00433F62" w:rsidRDefault="00991A37" w:rsidP="003B7EC9"/>
    <w:p w14:paraId="5A87DBA3" w14:textId="7954C2EF" w:rsidR="007122AD" w:rsidRDefault="002C50EE" w:rsidP="00936AD0">
      <w:pPr>
        <w:pStyle w:val="Heading2"/>
      </w:pPr>
      <w:r>
        <w:lastRenderedPageBreak/>
        <w:t>4.9. Предозиране</w:t>
      </w:r>
    </w:p>
    <w:p w14:paraId="43C742EF" w14:textId="4E5FAB42" w:rsidR="00433F62" w:rsidRDefault="00433F62" w:rsidP="00433F62"/>
    <w:p w14:paraId="5BCDB560" w14:textId="77777777" w:rsidR="00433F62" w:rsidRPr="00433F62" w:rsidRDefault="00433F62" w:rsidP="00433F62">
      <w:pPr>
        <w:pStyle w:val="Heading3"/>
        <w:rPr>
          <w:rFonts w:eastAsia="Times New Roman"/>
          <w:sz w:val="28"/>
          <w:u w:val="single"/>
        </w:rPr>
      </w:pPr>
      <w:r w:rsidRPr="00433F62">
        <w:rPr>
          <w:rFonts w:eastAsia="Times New Roman"/>
          <w:u w:val="single"/>
          <w:lang w:eastAsia="bg-BG"/>
        </w:rPr>
        <w:t>Симптоми</w:t>
      </w:r>
    </w:p>
    <w:p w14:paraId="7DB3FB2A"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Няма опит с предозиране на Телфорт. Наличните данни предполагат, че значителното предозиране би могло да доведе до тежка периферна вазодилатация и възможно до рефлексна тахикардия. Съобщавано е за изразена, вероятно продължителна системна хипотония до шок, включително с фатален изход.</w:t>
      </w:r>
    </w:p>
    <w:p w14:paraId="7F294A10" w14:textId="77777777" w:rsidR="00433F62" w:rsidRPr="00433F62" w:rsidRDefault="00433F62" w:rsidP="00433F62">
      <w:pPr>
        <w:spacing w:line="240" w:lineRule="auto"/>
        <w:rPr>
          <w:rFonts w:eastAsia="Times New Roman" w:cs="Arial"/>
          <w:bCs/>
          <w:color w:val="000000"/>
          <w:szCs w:val="20"/>
          <w:u w:val="single"/>
          <w:lang w:eastAsia="bg-BG"/>
        </w:rPr>
      </w:pPr>
    </w:p>
    <w:p w14:paraId="7CB76B8C" w14:textId="2563C27F" w:rsidR="00433F62" w:rsidRPr="00433F62" w:rsidRDefault="00433F62" w:rsidP="00433F62">
      <w:pPr>
        <w:pStyle w:val="Heading3"/>
        <w:rPr>
          <w:rFonts w:eastAsia="Times New Roman"/>
          <w:sz w:val="28"/>
          <w:u w:val="single"/>
        </w:rPr>
      </w:pPr>
      <w:r w:rsidRPr="00433F62">
        <w:rPr>
          <w:rFonts w:eastAsia="Times New Roman"/>
          <w:u w:val="single"/>
          <w:lang w:eastAsia="bg-BG"/>
        </w:rPr>
        <w:t>Лечение</w:t>
      </w:r>
    </w:p>
    <w:p w14:paraId="23A5CC47"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 xml:space="preserve">Пациентът трябва да бъде внимателно наблюдаван и лечението трябва да бъде </w:t>
      </w:r>
      <w:r w:rsidRPr="00433F62">
        <w:rPr>
          <w:rFonts w:eastAsia="Times New Roman" w:cs="Arial"/>
          <w:bCs/>
          <w:i/>
          <w:iCs/>
          <w:color w:val="000000"/>
          <w:szCs w:val="20"/>
          <w:lang w:eastAsia="bg-BG"/>
        </w:rPr>
        <w:t xml:space="preserve">симптоматично </w:t>
      </w:r>
      <w:r w:rsidRPr="00433F62">
        <w:rPr>
          <w:rFonts w:eastAsia="Times New Roman" w:cs="Arial"/>
          <w:bCs/>
          <w:color w:val="000000"/>
          <w:szCs w:val="20"/>
          <w:lang w:eastAsia="bg-BG"/>
        </w:rPr>
        <w:t>и поддържащо. Овладяването зависи от времето на приемане на продукта и тежестта на симптомите. Препоръчителните мерки включват предизвикване на повръщане и/или стомашна промивка. Прилагането на активен въглен може да допринесе при лечение на предозирането. Необходимо е често проследяване на серумните електролити и креатинин. При поява на хипотония, пациентът трябва да бъде поставен в легнало положение по гръб и бързо да се приложат солеви и обемни заместители.</w:t>
      </w:r>
    </w:p>
    <w:p w14:paraId="2A9A815B"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При условие, че няма противопоказания, за възстановяване на съдовия тонус и кръвното налягане, може да се приложи вазоконстриктор. Интравенозен калциев глюконат може да е от полза за преодоляване на ефекта на блокада на калциевите канали.</w:t>
      </w:r>
    </w:p>
    <w:p w14:paraId="43FE7A5F" w14:textId="77777777" w:rsidR="00433F62" w:rsidRPr="00433F62" w:rsidRDefault="00433F62" w:rsidP="00433F62">
      <w:pPr>
        <w:spacing w:line="240" w:lineRule="auto"/>
        <w:rPr>
          <w:rFonts w:eastAsia="Times New Roman" w:cs="Arial"/>
          <w:bCs/>
          <w:color w:val="000000"/>
          <w:szCs w:val="20"/>
          <w:lang w:eastAsia="bg-BG"/>
        </w:rPr>
      </w:pPr>
    </w:p>
    <w:p w14:paraId="4739D40D" w14:textId="4E37F6E7" w:rsidR="00433F62" w:rsidRDefault="00433F62" w:rsidP="00433F62">
      <w:pPr>
        <w:spacing w:line="240" w:lineRule="auto"/>
        <w:rPr>
          <w:rFonts w:ascii="Times New Roman" w:eastAsia="Times New Roman" w:hAnsi="Times New Roman" w:cs="Times New Roman"/>
          <w:sz w:val="24"/>
          <w:szCs w:val="24"/>
        </w:rPr>
      </w:pPr>
      <w:r w:rsidRPr="00433F62">
        <w:rPr>
          <w:rFonts w:eastAsia="Times New Roman" w:cs="Arial"/>
          <w:bCs/>
          <w:color w:val="000000"/>
          <w:szCs w:val="20"/>
          <w:lang w:eastAsia="bg-BG"/>
        </w:rPr>
        <w:t>И двете амлодипин и телмисартан е малко вероятно да бъде отстранен чрез хемодиализа.</w:t>
      </w:r>
    </w:p>
    <w:p w14:paraId="5407E651" w14:textId="77777777" w:rsidR="00433F62" w:rsidRPr="00433F62" w:rsidRDefault="00433F62" w:rsidP="00433F62">
      <w:pPr>
        <w:spacing w:line="240" w:lineRule="auto"/>
        <w:rPr>
          <w:rFonts w:ascii="Times New Roman" w:eastAsia="Times New Roman" w:hAnsi="Times New Roman" w:cs="Times New Roman"/>
          <w:sz w:val="24"/>
          <w:szCs w:val="24"/>
        </w:rPr>
      </w:pPr>
    </w:p>
    <w:p w14:paraId="02081B24" w14:textId="36FE76F4" w:rsidR="00395555" w:rsidRPr="00395555" w:rsidRDefault="002C50EE" w:rsidP="008A6AF2">
      <w:pPr>
        <w:pStyle w:val="Heading1"/>
      </w:pPr>
      <w:r>
        <w:t>5. ФАРМАКОЛОГИЧНИ СВОЙСТВА</w:t>
      </w:r>
    </w:p>
    <w:p w14:paraId="6339E404" w14:textId="391B3534" w:rsidR="00875EEC" w:rsidRDefault="002C50EE" w:rsidP="005726E3">
      <w:pPr>
        <w:pStyle w:val="Heading2"/>
      </w:pPr>
      <w:r>
        <w:t>5.1. Фармакодинамични свойства</w:t>
      </w:r>
    </w:p>
    <w:p w14:paraId="63D4CCA0" w14:textId="75BB13ED" w:rsidR="00433F62" w:rsidRDefault="00433F62" w:rsidP="00433F62"/>
    <w:p w14:paraId="6A4BC7B8"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Фармакотерапевтична група: активни вещества, действащи на ренин-ангиотензиновата система, антагонисти на ангиотензин П, блокери на калциевите канали; АТС код:</w:t>
      </w:r>
    </w:p>
    <w:p w14:paraId="4C2DDA00" w14:textId="77777777" w:rsidR="00433F62" w:rsidRPr="00433F62" w:rsidRDefault="00433F62" w:rsidP="00433F62">
      <w:pPr>
        <w:rPr>
          <w:rFonts w:eastAsia="Times New Roman" w:cs="Arial"/>
          <w:bCs/>
          <w:color w:val="000000"/>
          <w:szCs w:val="20"/>
          <w:lang w:eastAsia="bg-BG"/>
        </w:rPr>
      </w:pPr>
    </w:p>
    <w:p w14:paraId="24F86A54" w14:textId="1610FD15" w:rsidR="00433F62" w:rsidRPr="00433F62" w:rsidRDefault="00433F62" w:rsidP="00433F62">
      <w:pPr>
        <w:rPr>
          <w:rFonts w:eastAsia="Times New Roman" w:cs="Arial"/>
          <w:bCs/>
          <w:color w:val="000000"/>
          <w:szCs w:val="20"/>
          <w:lang w:eastAsia="bg-BG"/>
        </w:rPr>
      </w:pPr>
      <w:r w:rsidRPr="00433F62">
        <w:rPr>
          <w:rFonts w:eastAsia="Times New Roman" w:cs="Arial"/>
          <w:bCs/>
          <w:color w:val="000000"/>
          <w:szCs w:val="20"/>
          <w:lang w:eastAsia="bg-BG"/>
        </w:rPr>
        <w:t xml:space="preserve">Телфорт съчетава две антихипергензивни съставки с допълващ се механизъм за контролиране на кръвното налягане при пациенти с есенциална хипертония: амлодипин принадлежи към клас калциеви антагонисти, а телмисартан към клас антагонисти на ангиотензин </w:t>
      </w:r>
      <w:r w:rsidRPr="00433F62">
        <w:rPr>
          <w:rFonts w:eastAsia="Times New Roman" w:cs="Arial"/>
          <w:bCs/>
          <w:color w:val="000000"/>
          <w:szCs w:val="20"/>
          <w:lang w:val="en-US"/>
        </w:rPr>
        <w:t>II</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Комбинацията на тези съставки има адитивен антихипертензивен ефект, като понижава кръвното налягане в по- голяма степен, отколкото всеки от компонентите самостоятелно.</w:t>
      </w:r>
    </w:p>
    <w:p w14:paraId="24C9C242" w14:textId="6B2E1738" w:rsidR="00433F62" w:rsidRPr="00433F62" w:rsidRDefault="00433F62" w:rsidP="00433F62">
      <w:pPr>
        <w:rPr>
          <w:rFonts w:eastAsia="Times New Roman" w:cs="Arial"/>
          <w:bCs/>
          <w:color w:val="000000"/>
          <w:szCs w:val="20"/>
          <w:lang w:eastAsia="bg-BG"/>
        </w:rPr>
      </w:pPr>
    </w:p>
    <w:p w14:paraId="10F4639A"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u w:val="single"/>
          <w:lang w:eastAsia="bg-BG"/>
        </w:rPr>
        <w:t>Телмисартан</w:t>
      </w:r>
    </w:p>
    <w:p w14:paraId="167EC694" w14:textId="77777777" w:rsidR="00433F62" w:rsidRPr="00433F62" w:rsidRDefault="00433F62" w:rsidP="00433F62">
      <w:pPr>
        <w:spacing w:line="240" w:lineRule="auto"/>
        <w:rPr>
          <w:rFonts w:eastAsia="Times New Roman" w:cs="Arial"/>
          <w:bCs/>
          <w:i/>
          <w:iCs/>
          <w:color w:val="000000"/>
          <w:szCs w:val="20"/>
          <w:lang w:eastAsia="bg-BG"/>
        </w:rPr>
      </w:pPr>
    </w:p>
    <w:p w14:paraId="0A9DCC36" w14:textId="676B328A" w:rsidR="00433F62" w:rsidRPr="00433F62" w:rsidRDefault="00433F62" w:rsidP="00433F62">
      <w:pPr>
        <w:spacing w:line="240" w:lineRule="auto"/>
        <w:rPr>
          <w:rFonts w:eastAsia="Times New Roman" w:cs="Arial"/>
          <w:sz w:val="28"/>
          <w:szCs w:val="24"/>
        </w:rPr>
      </w:pPr>
      <w:r w:rsidRPr="00433F62">
        <w:rPr>
          <w:rFonts w:eastAsia="Times New Roman" w:cs="Arial"/>
          <w:bCs/>
          <w:i/>
          <w:iCs/>
          <w:color w:val="000000"/>
          <w:szCs w:val="20"/>
          <w:lang w:eastAsia="bg-BG"/>
        </w:rPr>
        <w:t>Механизъм на действие</w:t>
      </w:r>
    </w:p>
    <w:p w14:paraId="62AFEF1C"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 xml:space="preserve">Телмисартан е перорално активен и специфичен ангиотензин II рецепторен антагонист (тип </w:t>
      </w:r>
      <w:r w:rsidRPr="00433F62">
        <w:rPr>
          <w:rFonts w:eastAsia="Times New Roman" w:cs="Arial"/>
          <w:bCs/>
          <w:color w:val="000000"/>
          <w:szCs w:val="20"/>
          <w:lang w:val="en-US"/>
        </w:rPr>
        <w:t>AT</w:t>
      </w:r>
      <w:r w:rsidRPr="00433F62">
        <w:rPr>
          <w:rFonts w:eastAsia="Times New Roman" w:cs="Arial"/>
          <w:bCs/>
          <w:color w:val="000000"/>
          <w:szCs w:val="20"/>
          <w:lang w:val="ru-RU"/>
        </w:rPr>
        <w:t xml:space="preserve">1). </w:t>
      </w:r>
      <w:r w:rsidRPr="00433F62">
        <w:rPr>
          <w:rFonts w:eastAsia="Times New Roman" w:cs="Arial"/>
          <w:bCs/>
          <w:color w:val="000000"/>
          <w:szCs w:val="20"/>
          <w:lang w:eastAsia="bg-BG"/>
        </w:rPr>
        <w:t xml:space="preserve">Той измества с много висок афинитет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 xml:space="preserve"> от неговото място на свързване в </w:t>
      </w:r>
      <w:r w:rsidRPr="00433F62">
        <w:rPr>
          <w:rFonts w:eastAsia="Times New Roman" w:cs="Arial"/>
          <w:bCs/>
          <w:color w:val="000000"/>
          <w:szCs w:val="20"/>
          <w:lang w:val="en-US"/>
        </w:rPr>
        <w:t>AT</w:t>
      </w:r>
      <w:r w:rsidRPr="00433F62">
        <w:rPr>
          <w:rFonts w:eastAsia="Times New Roman" w:cs="Arial"/>
          <w:bCs/>
          <w:color w:val="000000"/>
          <w:szCs w:val="20"/>
          <w:lang w:val="ru-RU"/>
        </w:rPr>
        <w:t xml:space="preserve">1 </w:t>
      </w:r>
      <w:r w:rsidRPr="00433F62">
        <w:rPr>
          <w:rFonts w:eastAsia="Times New Roman" w:cs="Arial"/>
          <w:bCs/>
          <w:color w:val="000000"/>
          <w:szCs w:val="20"/>
          <w:lang w:eastAsia="bg-BG"/>
        </w:rPr>
        <w:t xml:space="preserve">рецепторния подтип, който е отговорен за известните действия на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 xml:space="preserve">. Телмисартан няма дори и частична агонистична активност спрямо </w:t>
      </w:r>
      <w:r w:rsidRPr="00433F62">
        <w:rPr>
          <w:rFonts w:eastAsia="Times New Roman" w:cs="Arial"/>
          <w:bCs/>
          <w:color w:val="000000"/>
          <w:szCs w:val="20"/>
          <w:lang w:val="en-US"/>
        </w:rPr>
        <w:t>AT</w:t>
      </w:r>
      <w:r w:rsidRPr="00433F62">
        <w:rPr>
          <w:rFonts w:eastAsia="Times New Roman" w:cs="Arial"/>
          <w:bCs/>
          <w:color w:val="000000"/>
          <w:szCs w:val="20"/>
          <w:lang w:val="ru-RU"/>
        </w:rPr>
        <w:t xml:space="preserve">1 </w:t>
      </w:r>
      <w:r w:rsidRPr="00433F62">
        <w:rPr>
          <w:rFonts w:eastAsia="Times New Roman" w:cs="Arial"/>
          <w:bCs/>
          <w:color w:val="000000"/>
          <w:szCs w:val="20"/>
          <w:lang w:eastAsia="bg-BG"/>
        </w:rPr>
        <w:t xml:space="preserve">рецептора. Телмисартан се свързва селективно с </w:t>
      </w:r>
      <w:r w:rsidRPr="00433F62">
        <w:rPr>
          <w:rFonts w:eastAsia="Times New Roman" w:cs="Arial"/>
          <w:bCs/>
          <w:color w:val="000000"/>
          <w:szCs w:val="20"/>
          <w:lang w:val="en-US"/>
        </w:rPr>
        <w:t>AT</w:t>
      </w:r>
      <w:r w:rsidRPr="00433F62">
        <w:rPr>
          <w:rFonts w:eastAsia="Times New Roman" w:cs="Arial"/>
          <w:bCs/>
          <w:color w:val="000000"/>
          <w:szCs w:val="20"/>
          <w:lang w:val="ru-RU"/>
        </w:rPr>
        <w:t xml:space="preserve">1 </w:t>
      </w:r>
      <w:r w:rsidRPr="00433F62">
        <w:rPr>
          <w:rFonts w:eastAsia="Times New Roman" w:cs="Arial"/>
          <w:bCs/>
          <w:color w:val="000000"/>
          <w:szCs w:val="20"/>
          <w:lang w:eastAsia="bg-BG"/>
        </w:rPr>
        <w:t xml:space="preserve">рецептора. Свързването е продължително. Телмисартан не показва афинитет към други рецептори, включително АТ2 и други по-слабо характеризирани АТ- рецептори. Функционалната роля на тези </w:t>
      </w:r>
      <w:r w:rsidRPr="00433F62">
        <w:rPr>
          <w:rFonts w:eastAsia="Times New Roman" w:cs="Arial"/>
          <w:bCs/>
          <w:color w:val="000000"/>
          <w:szCs w:val="20"/>
          <w:lang w:eastAsia="bg-BG"/>
        </w:rPr>
        <w:lastRenderedPageBreak/>
        <w:t xml:space="preserve">рецептори не е известна, не е известен и ефекта на тяхната възможна свръхстимулация от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 чийто нива са повишени от телмисартан. Нивата на плазмения алдостерон са понижени от телмисартан. Телмисартан не инхибира човешкия плазмен ренин и не блокира йонните канали. Телмисартан не инхибира ангиотензин конвертиращия ензим (кининаза I</w:t>
      </w:r>
      <w:r w:rsidRPr="00433F62">
        <w:rPr>
          <w:rFonts w:eastAsia="Times New Roman" w:cs="Arial"/>
          <w:bCs/>
          <w:color w:val="000000"/>
          <w:szCs w:val="20"/>
          <w:lang w:val="en-US"/>
        </w:rPr>
        <w:t>I</w:t>
      </w:r>
      <w:r w:rsidRPr="00433F62">
        <w:rPr>
          <w:rFonts w:eastAsia="Times New Roman" w:cs="Arial"/>
          <w:bCs/>
          <w:color w:val="000000"/>
          <w:szCs w:val="20"/>
          <w:lang w:eastAsia="bg-BG"/>
        </w:rPr>
        <w:t>), ензимът, който също разгражда брадикинина. Поради това не се очаква да потенцира брадикинин-медиираните нежелани лекарствени реакции.</w:t>
      </w:r>
    </w:p>
    <w:p w14:paraId="1274E78E"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 xml:space="preserve">При хора дозата от 80 </w:t>
      </w:r>
      <w:r w:rsidRPr="00433F62">
        <w:rPr>
          <w:rFonts w:eastAsia="Times New Roman" w:cs="Arial"/>
          <w:bCs/>
          <w:color w:val="000000"/>
          <w:szCs w:val="20"/>
          <w:lang w:val="en-US"/>
        </w:rPr>
        <w:t>mg</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телмисартан почти изцяло инхибира предизвиканото от ангиотензин II повишаване на кръвното налягане. Инхибиторният ефект се поддържа над 24 часа, като все още може да бъде установен до 48 часа.</w:t>
      </w:r>
    </w:p>
    <w:p w14:paraId="241DDE50" w14:textId="77777777" w:rsidR="00433F62" w:rsidRPr="00433F62" w:rsidRDefault="00433F62" w:rsidP="00433F62">
      <w:pPr>
        <w:spacing w:line="240" w:lineRule="auto"/>
        <w:rPr>
          <w:rFonts w:eastAsia="Times New Roman" w:cs="Arial"/>
          <w:bCs/>
          <w:i/>
          <w:iCs/>
          <w:color w:val="000000"/>
          <w:szCs w:val="20"/>
          <w:lang w:eastAsia="bg-BG"/>
        </w:rPr>
      </w:pPr>
    </w:p>
    <w:p w14:paraId="29E3F905" w14:textId="1894EB91" w:rsidR="00433F62" w:rsidRPr="00433F62" w:rsidRDefault="00433F62" w:rsidP="00433F62">
      <w:pPr>
        <w:spacing w:line="240" w:lineRule="auto"/>
        <w:rPr>
          <w:rFonts w:eastAsia="Times New Roman" w:cs="Arial"/>
          <w:sz w:val="28"/>
          <w:szCs w:val="24"/>
        </w:rPr>
      </w:pPr>
      <w:r w:rsidRPr="00433F62">
        <w:rPr>
          <w:rFonts w:eastAsia="Times New Roman" w:cs="Arial"/>
          <w:bCs/>
          <w:i/>
          <w:iCs/>
          <w:color w:val="000000"/>
          <w:szCs w:val="20"/>
          <w:lang w:eastAsia="bg-BG"/>
        </w:rPr>
        <w:t>Клинична ефикасност и безопасност</w:t>
      </w:r>
    </w:p>
    <w:p w14:paraId="29D504C4"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След прилагане на първата доза телмисартан се наблюдава постепенно поява на антихипертензивна активност в рамките на 3 часа. Максималната редукция на кръвното налягане се достига напълно в рамките на 4 до 8 седмици след началото на лечението и се поддържа чрез продължителна терапия.</w:t>
      </w:r>
    </w:p>
    <w:p w14:paraId="29C62475" w14:textId="77777777" w:rsidR="00433F62" w:rsidRPr="00433F62" w:rsidRDefault="00433F62" w:rsidP="00433F62">
      <w:pPr>
        <w:spacing w:line="240" w:lineRule="auto"/>
        <w:rPr>
          <w:rFonts w:eastAsia="Times New Roman" w:cs="Arial"/>
          <w:bCs/>
          <w:color w:val="000000"/>
          <w:szCs w:val="20"/>
          <w:lang w:eastAsia="bg-BG"/>
        </w:rPr>
      </w:pPr>
    </w:p>
    <w:p w14:paraId="6C24A5C6" w14:textId="28E6653A"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 xml:space="preserve">След приемане на дозата антихипертензивният ефект персистира повече от 24 часа, като включва и последните 4 часа преди следващото приложение, както показват амбулаторните измервания на кръвното налягане. Това е потвърдено и от съотношението минимални към максимални концентрации, което е постоянно над 80% след прием на дози от 40 и 80 </w:t>
      </w:r>
      <w:r w:rsidRPr="00433F62">
        <w:rPr>
          <w:rFonts w:eastAsia="Times New Roman" w:cs="Arial"/>
          <w:bCs/>
          <w:color w:val="000000"/>
          <w:szCs w:val="20"/>
          <w:lang w:val="en-US"/>
        </w:rPr>
        <w:t>mg</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 xml:space="preserve">телмисартан при плацебо контролирани клинични проучвания. Налице е очевидна тенденция за връзка между дозата и времето на възстановяването на базалното систолно кръвно налягане </w:t>
      </w:r>
      <w:r w:rsidRPr="00433F62">
        <w:rPr>
          <w:rFonts w:eastAsia="Times New Roman" w:cs="Arial"/>
          <w:bCs/>
          <w:color w:val="000000"/>
          <w:szCs w:val="20"/>
          <w:lang w:val="ru-RU"/>
        </w:rPr>
        <w:t>(</w:t>
      </w:r>
      <w:r w:rsidRPr="00433F62">
        <w:rPr>
          <w:rFonts w:eastAsia="Times New Roman" w:cs="Arial"/>
          <w:bCs/>
          <w:color w:val="000000"/>
          <w:szCs w:val="20"/>
          <w:lang w:val="en-US"/>
        </w:rPr>
        <w:t>SBP</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 xml:space="preserve">В това отношение данните за диастолно кръвно налягане </w:t>
      </w:r>
      <w:r w:rsidRPr="00433F62">
        <w:rPr>
          <w:rFonts w:eastAsia="Times New Roman" w:cs="Arial"/>
          <w:bCs/>
          <w:color w:val="000000"/>
          <w:szCs w:val="20"/>
          <w:lang w:val="ru-RU"/>
        </w:rPr>
        <w:t>(</w:t>
      </w:r>
      <w:r w:rsidRPr="00433F62">
        <w:rPr>
          <w:rFonts w:eastAsia="Times New Roman" w:cs="Arial"/>
          <w:bCs/>
          <w:color w:val="000000"/>
          <w:szCs w:val="20"/>
          <w:lang w:val="en-US"/>
        </w:rPr>
        <w:t>DBP</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са непостоянни.</w:t>
      </w:r>
    </w:p>
    <w:p w14:paraId="68742409" w14:textId="77777777" w:rsidR="00433F62" w:rsidRPr="00433F62" w:rsidRDefault="00433F62" w:rsidP="00433F62">
      <w:pPr>
        <w:spacing w:line="240" w:lineRule="auto"/>
        <w:rPr>
          <w:rFonts w:eastAsia="Times New Roman" w:cs="Arial"/>
          <w:bCs/>
          <w:color w:val="000000"/>
          <w:szCs w:val="20"/>
          <w:lang w:eastAsia="bg-BG"/>
        </w:rPr>
      </w:pPr>
    </w:p>
    <w:p w14:paraId="54F87D36" w14:textId="317173CC"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При пациенти с хипертония телмисартан редуцира и систолното и диастолното кръвно налягане, без да повлиява честота на пулса. Наличието на диуретичен и натриуретичен ефект, който да допринесе за хипотензивната активност на лекарствения продукт, все още не е доказано. Антихипертензивната ефикасност на телмисартан е сравнима с тази на продукти, представители на други класове антихипертензивни лекарствени продукти (установена при клинични изпитвания, сравняващи телмисартан с амлодипин, атенолол, еналаприл, хидрохлоротиазид и лизиноприл).</w:t>
      </w:r>
    </w:p>
    <w:p w14:paraId="2C3EA46D" w14:textId="77777777" w:rsidR="00433F62" w:rsidRPr="00433F62" w:rsidRDefault="00433F62" w:rsidP="00433F62">
      <w:pPr>
        <w:spacing w:line="240" w:lineRule="auto"/>
        <w:rPr>
          <w:rFonts w:eastAsia="Times New Roman" w:cs="Arial"/>
          <w:bCs/>
          <w:color w:val="000000"/>
          <w:szCs w:val="20"/>
          <w:lang w:eastAsia="bg-BG"/>
        </w:rPr>
      </w:pPr>
    </w:p>
    <w:p w14:paraId="5BE86A31" w14:textId="4A975FAF"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При внезапно прекъсване на лечението с телмисартан кръвното налягане постепенно се връща до стойностите преди лечението, за период от няколко дни без данни за ребаунд хипертоничен ефект.</w:t>
      </w:r>
    </w:p>
    <w:p w14:paraId="37AF133D" w14:textId="77777777" w:rsidR="00433F62" w:rsidRPr="00433F62" w:rsidRDefault="00433F62" w:rsidP="00433F62">
      <w:pPr>
        <w:spacing w:line="240" w:lineRule="auto"/>
        <w:rPr>
          <w:rFonts w:eastAsia="Times New Roman" w:cs="Arial"/>
          <w:bCs/>
          <w:color w:val="000000"/>
          <w:szCs w:val="20"/>
          <w:lang w:eastAsia="bg-BG"/>
        </w:rPr>
      </w:pPr>
    </w:p>
    <w:p w14:paraId="7E3EB104" w14:textId="73059196"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Случаите на суха кашлица са значително по-малко при пациенти, третирани с телмисартан, отколкото при такива, на които са давани инхибитори на ангиотензин конвертиращия ензим в клинични проучвания, директно сравняващи двете антихипертензивни лечения.</w:t>
      </w:r>
    </w:p>
    <w:p w14:paraId="208A41A8" w14:textId="77777777" w:rsidR="00433F62" w:rsidRPr="00433F62" w:rsidRDefault="00433F62" w:rsidP="00433F62">
      <w:pPr>
        <w:rPr>
          <w:rFonts w:eastAsia="Times New Roman" w:cs="Arial"/>
          <w:bCs/>
          <w:color w:val="000000"/>
          <w:szCs w:val="20"/>
          <w:lang w:eastAsia="bg-BG"/>
        </w:rPr>
      </w:pPr>
    </w:p>
    <w:p w14:paraId="623DB6DA" w14:textId="3E00754F" w:rsidR="00433F62" w:rsidRPr="00433F62" w:rsidRDefault="00433F62" w:rsidP="00433F62">
      <w:pPr>
        <w:rPr>
          <w:rFonts w:eastAsia="Times New Roman" w:cs="Arial"/>
          <w:bCs/>
          <w:color w:val="000000"/>
          <w:szCs w:val="20"/>
          <w:lang w:eastAsia="bg-BG"/>
        </w:rPr>
      </w:pPr>
      <w:r w:rsidRPr="00433F62">
        <w:rPr>
          <w:rFonts w:eastAsia="Times New Roman" w:cs="Arial"/>
          <w:bCs/>
          <w:color w:val="000000"/>
          <w:szCs w:val="20"/>
          <w:lang w:eastAsia="bg-BG"/>
        </w:rPr>
        <w:t xml:space="preserve">Две големи рандомизирани контролирани проучвания - </w:t>
      </w:r>
      <w:r w:rsidRPr="00433F62">
        <w:rPr>
          <w:rFonts w:eastAsia="Times New Roman" w:cs="Arial"/>
          <w:bCs/>
          <w:color w:val="000000"/>
          <w:szCs w:val="20"/>
          <w:lang w:val="en-US"/>
        </w:rPr>
        <w:t>ONTARGET</w:t>
      </w:r>
      <w:r w:rsidRPr="00433F62">
        <w:rPr>
          <w:rFonts w:eastAsia="Times New Roman" w:cs="Arial"/>
          <w:bCs/>
          <w:color w:val="000000"/>
          <w:szCs w:val="20"/>
        </w:rPr>
        <w:t xml:space="preserve"> (</w:t>
      </w:r>
      <w:proofErr w:type="spellStart"/>
      <w:r w:rsidRPr="00433F62">
        <w:rPr>
          <w:rFonts w:eastAsia="Times New Roman" w:cs="Arial"/>
          <w:bCs/>
          <w:color w:val="000000"/>
          <w:szCs w:val="20"/>
          <w:lang w:val="en-US"/>
        </w:rPr>
        <w:t>ONgoing</w:t>
      </w:r>
      <w:proofErr w:type="spellEnd"/>
      <w:r w:rsidRPr="00433F62">
        <w:rPr>
          <w:rFonts w:eastAsia="Times New Roman" w:cs="Arial"/>
          <w:bCs/>
          <w:color w:val="000000"/>
          <w:szCs w:val="20"/>
        </w:rPr>
        <w:t xml:space="preserve"> </w:t>
      </w:r>
      <w:proofErr w:type="spellStart"/>
      <w:r w:rsidRPr="00433F62">
        <w:rPr>
          <w:rFonts w:eastAsia="Times New Roman" w:cs="Arial"/>
          <w:bCs/>
          <w:color w:val="000000"/>
          <w:szCs w:val="20"/>
          <w:lang w:val="en-US"/>
        </w:rPr>
        <w:t>Telmisartan</w:t>
      </w:r>
      <w:proofErr w:type="spellEnd"/>
      <w:r w:rsidRPr="00433F62">
        <w:rPr>
          <w:rFonts w:eastAsia="Times New Roman" w:cs="Arial"/>
          <w:bCs/>
          <w:color w:val="000000"/>
          <w:szCs w:val="20"/>
        </w:rPr>
        <w:t xml:space="preserve"> </w:t>
      </w:r>
      <w:r w:rsidRPr="00433F62">
        <w:rPr>
          <w:rFonts w:eastAsia="Times New Roman" w:cs="Arial"/>
          <w:bCs/>
          <w:color w:val="000000"/>
          <w:szCs w:val="20"/>
          <w:lang w:val="en-US"/>
        </w:rPr>
        <w:t>Alone</w:t>
      </w:r>
      <w:r w:rsidRPr="00433F62">
        <w:rPr>
          <w:rFonts w:eastAsia="Times New Roman" w:cs="Arial"/>
          <w:bCs/>
          <w:color w:val="000000"/>
          <w:szCs w:val="20"/>
        </w:rPr>
        <w:t xml:space="preserve"> </w:t>
      </w:r>
      <w:r w:rsidRPr="00433F62">
        <w:rPr>
          <w:rFonts w:eastAsia="Times New Roman" w:cs="Arial"/>
          <w:bCs/>
          <w:color w:val="000000"/>
          <w:szCs w:val="20"/>
          <w:lang w:val="en-US"/>
        </w:rPr>
        <w:t>and</w:t>
      </w:r>
      <w:r w:rsidRPr="00433F62">
        <w:rPr>
          <w:rFonts w:eastAsia="Times New Roman" w:cs="Arial"/>
          <w:bCs/>
          <w:color w:val="000000"/>
          <w:szCs w:val="20"/>
        </w:rPr>
        <w:t xml:space="preserve"> </w:t>
      </w:r>
      <w:r w:rsidRPr="00433F62">
        <w:rPr>
          <w:rFonts w:eastAsia="Times New Roman" w:cs="Arial"/>
          <w:bCs/>
          <w:color w:val="000000"/>
          <w:szCs w:val="20"/>
          <w:lang w:val="en-US"/>
        </w:rPr>
        <w:t>in</w:t>
      </w:r>
      <w:r w:rsidRPr="00433F62">
        <w:rPr>
          <w:rFonts w:eastAsia="Times New Roman" w:cs="Arial"/>
          <w:bCs/>
          <w:color w:val="000000"/>
          <w:szCs w:val="20"/>
        </w:rPr>
        <w:t xml:space="preserve"> </w:t>
      </w:r>
      <w:r w:rsidRPr="00433F62">
        <w:rPr>
          <w:rFonts w:eastAsia="Times New Roman" w:cs="Arial"/>
          <w:bCs/>
          <w:color w:val="000000"/>
          <w:szCs w:val="20"/>
          <w:lang w:val="en-US"/>
        </w:rPr>
        <w:t>combination</w:t>
      </w:r>
      <w:r w:rsidRPr="00433F62">
        <w:rPr>
          <w:rFonts w:eastAsia="Times New Roman" w:cs="Arial"/>
          <w:bCs/>
          <w:color w:val="000000"/>
          <w:szCs w:val="20"/>
        </w:rPr>
        <w:t xml:space="preserve"> </w:t>
      </w:r>
      <w:r w:rsidRPr="00433F62">
        <w:rPr>
          <w:rFonts w:eastAsia="Times New Roman" w:cs="Arial"/>
          <w:bCs/>
          <w:color w:val="000000"/>
          <w:szCs w:val="20"/>
          <w:lang w:val="en-US"/>
        </w:rPr>
        <w:t>with</w:t>
      </w:r>
      <w:r w:rsidRPr="00433F62">
        <w:rPr>
          <w:rFonts w:eastAsia="Times New Roman" w:cs="Arial"/>
          <w:bCs/>
          <w:color w:val="000000"/>
          <w:szCs w:val="20"/>
        </w:rPr>
        <w:t xml:space="preserve"> </w:t>
      </w:r>
      <w:r w:rsidRPr="00433F62">
        <w:rPr>
          <w:rFonts w:eastAsia="Times New Roman" w:cs="Arial"/>
          <w:bCs/>
          <w:color w:val="000000"/>
          <w:szCs w:val="20"/>
          <w:lang w:val="en-US"/>
        </w:rPr>
        <w:t>Ramipril</w:t>
      </w:r>
      <w:r w:rsidRPr="00433F62">
        <w:rPr>
          <w:rFonts w:eastAsia="Times New Roman" w:cs="Arial"/>
          <w:bCs/>
          <w:color w:val="000000"/>
          <w:szCs w:val="20"/>
        </w:rPr>
        <w:t xml:space="preserve"> </w:t>
      </w:r>
      <w:r w:rsidRPr="00433F62">
        <w:rPr>
          <w:rFonts w:eastAsia="Times New Roman" w:cs="Arial"/>
          <w:bCs/>
          <w:color w:val="000000"/>
          <w:szCs w:val="20"/>
          <w:lang w:val="en-US"/>
        </w:rPr>
        <w:t>Global</w:t>
      </w:r>
      <w:r w:rsidRPr="00433F62">
        <w:rPr>
          <w:rFonts w:eastAsia="Times New Roman" w:cs="Arial"/>
          <w:bCs/>
          <w:color w:val="000000"/>
          <w:szCs w:val="20"/>
        </w:rPr>
        <w:t xml:space="preserve"> </w:t>
      </w:r>
      <w:r w:rsidRPr="00433F62">
        <w:rPr>
          <w:rFonts w:eastAsia="Times New Roman" w:cs="Arial"/>
          <w:bCs/>
          <w:color w:val="000000"/>
          <w:szCs w:val="20"/>
          <w:lang w:val="en-US"/>
        </w:rPr>
        <w:t>Endpoint</w:t>
      </w:r>
      <w:r w:rsidRPr="00433F62">
        <w:rPr>
          <w:rFonts w:eastAsia="Times New Roman" w:cs="Arial"/>
          <w:bCs/>
          <w:color w:val="000000"/>
          <w:szCs w:val="20"/>
        </w:rPr>
        <w:t xml:space="preserve"> </w:t>
      </w:r>
      <w:r w:rsidRPr="00433F62">
        <w:rPr>
          <w:rFonts w:eastAsia="Times New Roman" w:cs="Arial"/>
          <w:bCs/>
          <w:color w:val="000000"/>
          <w:szCs w:val="20"/>
          <w:lang w:val="en-US"/>
        </w:rPr>
        <w:t>Trial</w:t>
      </w:r>
      <w:r w:rsidRPr="00433F62">
        <w:rPr>
          <w:rFonts w:eastAsia="Times New Roman" w:cs="Arial"/>
          <w:bCs/>
          <w:color w:val="000000"/>
          <w:szCs w:val="20"/>
        </w:rPr>
        <w:t xml:space="preserve"> - </w:t>
      </w:r>
      <w:r w:rsidRPr="00433F62">
        <w:rPr>
          <w:rFonts w:eastAsia="Times New Roman" w:cs="Arial"/>
          <w:bCs/>
          <w:color w:val="000000"/>
          <w:szCs w:val="20"/>
          <w:lang w:eastAsia="bg-BG"/>
        </w:rPr>
        <w:t xml:space="preserve">текущо глобално изпитване за крайни точки на телмисартан, самостоятелно и в комбинация с рамиприл) и </w:t>
      </w:r>
      <w:r w:rsidRPr="00433F62">
        <w:rPr>
          <w:rFonts w:eastAsia="Times New Roman" w:cs="Arial"/>
          <w:bCs/>
          <w:color w:val="000000"/>
          <w:szCs w:val="20"/>
          <w:lang w:val="en-US"/>
        </w:rPr>
        <w:t>VA</w:t>
      </w:r>
      <w:r w:rsidRPr="00433F62">
        <w:rPr>
          <w:rFonts w:eastAsia="Times New Roman" w:cs="Arial"/>
          <w:bCs/>
          <w:color w:val="000000"/>
          <w:szCs w:val="20"/>
        </w:rPr>
        <w:t xml:space="preserve"> </w:t>
      </w:r>
      <w:r w:rsidRPr="00433F62">
        <w:rPr>
          <w:rFonts w:eastAsia="Times New Roman" w:cs="Arial"/>
          <w:bCs/>
          <w:color w:val="000000"/>
          <w:szCs w:val="20"/>
          <w:lang w:val="en-US"/>
        </w:rPr>
        <w:t>NEPHRON</w:t>
      </w:r>
      <w:r w:rsidRPr="00433F62">
        <w:rPr>
          <w:rFonts w:eastAsia="Times New Roman" w:cs="Arial"/>
          <w:bCs/>
          <w:color w:val="000000"/>
          <w:szCs w:val="20"/>
        </w:rPr>
        <w:t>-</w:t>
      </w:r>
      <w:r w:rsidRPr="00433F62">
        <w:rPr>
          <w:rFonts w:eastAsia="Times New Roman" w:cs="Arial"/>
          <w:bCs/>
          <w:color w:val="000000"/>
          <w:szCs w:val="20"/>
          <w:lang w:val="en-US"/>
        </w:rPr>
        <w:t>D</w:t>
      </w:r>
      <w:r w:rsidRPr="00433F62">
        <w:rPr>
          <w:rFonts w:eastAsia="Times New Roman" w:cs="Arial"/>
          <w:bCs/>
          <w:color w:val="000000"/>
          <w:szCs w:val="20"/>
          <w:lang w:eastAsia="bg-BG"/>
        </w:rPr>
        <w:t xml:space="preserve"> (Клинично проучване свързано с развитие на нефропатия при диабет, проведено от Министерство по въпросите на ветераните) - проучват употребата на ком6инацията от </w:t>
      </w:r>
      <w:r w:rsidRPr="00433F62">
        <w:rPr>
          <w:rFonts w:eastAsia="Times New Roman" w:cs="Arial"/>
          <w:bCs/>
          <w:color w:val="000000"/>
          <w:szCs w:val="20"/>
          <w:lang w:val="en-US"/>
        </w:rPr>
        <w:t>ACE</w:t>
      </w:r>
      <w:r w:rsidRPr="00433F62">
        <w:rPr>
          <w:rFonts w:eastAsia="Times New Roman" w:cs="Arial"/>
          <w:bCs/>
          <w:color w:val="000000"/>
          <w:szCs w:val="20"/>
          <w:lang w:eastAsia="bg-BG"/>
        </w:rPr>
        <w:t xml:space="preserve"> инхибитор и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-рецепторен блокер.</w:t>
      </w:r>
    </w:p>
    <w:p w14:paraId="32A13669" w14:textId="6DB12465" w:rsidR="00433F62" w:rsidRPr="00433F62" w:rsidRDefault="00433F62" w:rsidP="00433F62">
      <w:pPr>
        <w:rPr>
          <w:rFonts w:eastAsia="Times New Roman" w:cs="Arial"/>
          <w:bCs/>
          <w:color w:val="000000"/>
          <w:szCs w:val="20"/>
          <w:lang w:eastAsia="bg-BG"/>
        </w:rPr>
      </w:pPr>
    </w:p>
    <w:p w14:paraId="0815154F"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val="en-US"/>
        </w:rPr>
        <w:lastRenderedPageBreak/>
        <w:t>ONTARGET</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433F62">
        <w:rPr>
          <w:rFonts w:eastAsia="Times New Roman" w:cs="Arial"/>
          <w:bCs/>
          <w:color w:val="000000"/>
          <w:szCs w:val="20"/>
          <w:lang w:val="en-US"/>
        </w:rPr>
        <w:t>VA</w:t>
      </w:r>
      <w:r w:rsidRPr="00433F62">
        <w:rPr>
          <w:rFonts w:eastAsia="Times New Roman" w:cs="Arial"/>
          <w:bCs/>
          <w:color w:val="000000"/>
          <w:szCs w:val="20"/>
          <w:lang w:val="ru-RU"/>
        </w:rPr>
        <w:t xml:space="preserve"> </w:t>
      </w:r>
      <w:r w:rsidRPr="00433F62">
        <w:rPr>
          <w:rFonts w:eastAsia="Times New Roman" w:cs="Arial"/>
          <w:bCs/>
          <w:color w:val="000000"/>
          <w:szCs w:val="20"/>
          <w:lang w:val="en-US"/>
        </w:rPr>
        <w:t>NEPHRON</w:t>
      </w:r>
      <w:r w:rsidRPr="00433F62">
        <w:rPr>
          <w:rFonts w:eastAsia="Times New Roman" w:cs="Arial"/>
          <w:bCs/>
          <w:color w:val="000000"/>
          <w:szCs w:val="20"/>
          <w:lang w:val="ru-RU"/>
        </w:rPr>
        <w:t>-</w:t>
      </w:r>
      <w:r w:rsidRPr="00433F62">
        <w:rPr>
          <w:rFonts w:eastAsia="Times New Roman" w:cs="Arial"/>
          <w:bCs/>
          <w:color w:val="000000"/>
          <w:szCs w:val="20"/>
          <w:lang w:val="en-US"/>
        </w:rPr>
        <w:t>D</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е проучване при пациенти със захарен диабет тип 2 и диабетна нефропатия.</w:t>
      </w:r>
    </w:p>
    <w:p w14:paraId="2BDF366A"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Тези проучвания не показват значим благоприятен ефект върху бъбречните и/или сърдечно</w:t>
      </w:r>
      <w:r w:rsidRPr="00433F62">
        <w:rPr>
          <w:rFonts w:eastAsia="Times New Roman" w:cs="Arial"/>
          <w:bCs/>
          <w:color w:val="000000"/>
          <w:szCs w:val="2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-рецепторни блокери.</w:t>
      </w:r>
    </w:p>
    <w:p w14:paraId="2D375B9F"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 xml:space="preserve">АСЕ инхибитори и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-рецепторни блокери следователно не трябва да се използват едновременно при пациенти с диабетна нефропатия.</w:t>
      </w:r>
    </w:p>
    <w:p w14:paraId="3FC2B7CE"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val="en-US"/>
        </w:rPr>
        <w:t>ALTITUDE</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 е проучване, предназначено да изследва ползата от добавянето на алискирен към стандартна терапия с АСЕ инхибитор или ангиотензин </w:t>
      </w:r>
      <w:r w:rsidRPr="00433F62">
        <w:rPr>
          <w:rFonts w:eastAsia="Times New Roman" w:cs="Arial"/>
          <w:bCs/>
          <w:color w:val="000000"/>
          <w:szCs w:val="20"/>
          <w:lang w:val="en-US"/>
        </w:rPr>
        <w:t>II</w:t>
      </w:r>
      <w:r w:rsidRPr="00433F62">
        <w:rPr>
          <w:rFonts w:eastAsia="Times New Roman" w:cs="Arial"/>
          <w:bCs/>
          <w:color w:val="000000"/>
          <w:szCs w:val="2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76F5DE36" w14:textId="77777777" w:rsidR="00433F62" w:rsidRPr="00433F62" w:rsidRDefault="00433F62" w:rsidP="00433F62">
      <w:pPr>
        <w:spacing w:line="240" w:lineRule="auto"/>
        <w:rPr>
          <w:rFonts w:eastAsia="Times New Roman" w:cs="Arial"/>
          <w:bCs/>
          <w:color w:val="000000"/>
          <w:szCs w:val="20"/>
          <w:u w:val="single"/>
          <w:lang w:eastAsia="bg-BG"/>
        </w:rPr>
      </w:pPr>
    </w:p>
    <w:p w14:paraId="2C1239E5" w14:textId="6031F0F5"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u w:val="single"/>
          <w:lang w:eastAsia="bg-BG"/>
        </w:rPr>
        <w:t>Амлодипин</w:t>
      </w:r>
    </w:p>
    <w:p w14:paraId="5243DAC9" w14:textId="77777777"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Амлодипин е инхибитор на инфлукса на калциевите йони от дихидропиридиновата група (блокер на бавните канали или антагонист на калциевия йон) и потиска трансмембранното навлизане на калциеви йони в клетките на сърдечната и съдовата гладка мускулатура. Механизмът на антихипертензивното действие на амлодипин се дължи на директен релаксиращ ефект върху съдовата гладка мускулатура. Точният механизъм, по който амлодипин облекчава стенокардията, не е напълно изяснен, но амлодипин редуцира исхемията по два начина:</w:t>
      </w:r>
    </w:p>
    <w:p w14:paraId="212293C2" w14:textId="77777777" w:rsidR="00433F62" w:rsidRPr="00433F62" w:rsidRDefault="00433F62" w:rsidP="00433F62">
      <w:pPr>
        <w:spacing w:line="240" w:lineRule="auto"/>
        <w:rPr>
          <w:rFonts w:eastAsia="Times New Roman" w:cs="Arial"/>
          <w:bCs/>
          <w:color w:val="000000"/>
          <w:szCs w:val="20"/>
          <w:lang w:eastAsia="bg-BG"/>
        </w:rPr>
      </w:pPr>
    </w:p>
    <w:p w14:paraId="102D2DA2" w14:textId="69644378"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1)Амлодипин предизвиква дилатация на периферните артериоли и така редуцира общото периферно съпротивление (след натоварването),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4BC248A0" w14:textId="77777777" w:rsidR="00433F62" w:rsidRPr="00433F62" w:rsidRDefault="00433F62" w:rsidP="00433F62">
      <w:pPr>
        <w:spacing w:line="240" w:lineRule="auto"/>
        <w:rPr>
          <w:rFonts w:eastAsia="Times New Roman" w:cs="Arial"/>
          <w:bCs/>
          <w:color w:val="000000"/>
          <w:szCs w:val="20"/>
          <w:lang w:eastAsia="bg-BG"/>
        </w:rPr>
      </w:pPr>
    </w:p>
    <w:p w14:paraId="303C66CF" w14:textId="7B34E454" w:rsidR="00433F62" w:rsidRPr="00433F62" w:rsidRDefault="00433F62" w:rsidP="00433F62">
      <w:pPr>
        <w:spacing w:line="240" w:lineRule="auto"/>
        <w:rPr>
          <w:rFonts w:eastAsia="Times New Roman" w:cs="Arial"/>
          <w:bCs/>
          <w:color w:val="000000"/>
          <w:szCs w:val="20"/>
          <w:lang w:eastAsia="bg-BG"/>
        </w:rPr>
      </w:pPr>
      <w:r w:rsidRPr="00433F62">
        <w:rPr>
          <w:rFonts w:eastAsia="Times New Roman" w:cs="Arial"/>
          <w:bCs/>
          <w:color w:val="000000"/>
          <w:szCs w:val="20"/>
          <w:lang w:eastAsia="bg-BG"/>
        </w:rPr>
        <w:t xml:space="preserve">2)Механизмът на действие на амлодипин вероятно включва дилатация на коронарни артерии и артериоли, както в нормалните така и в исхемичните зони. Тази дилатация повишава доставката на кислород при пациенти с коронарен артериален спазъм (ангина на </w:t>
      </w:r>
      <w:proofErr w:type="spellStart"/>
      <w:r w:rsidRPr="00433F62">
        <w:rPr>
          <w:rFonts w:eastAsia="Times New Roman" w:cs="Arial"/>
          <w:bCs/>
          <w:color w:val="000000"/>
          <w:szCs w:val="20"/>
          <w:lang w:val="en-US"/>
        </w:rPr>
        <w:t>Prinzmetal</w:t>
      </w:r>
      <w:proofErr w:type="spellEnd"/>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или вариант стенокардия).</w:t>
      </w:r>
    </w:p>
    <w:p w14:paraId="22FAB8F5" w14:textId="77777777" w:rsidR="00433F62" w:rsidRPr="00433F62" w:rsidRDefault="00433F62" w:rsidP="00433F62">
      <w:pPr>
        <w:spacing w:line="240" w:lineRule="auto"/>
        <w:rPr>
          <w:rFonts w:eastAsia="Times New Roman" w:cs="Arial"/>
          <w:bCs/>
          <w:color w:val="000000"/>
          <w:szCs w:val="20"/>
          <w:lang w:eastAsia="bg-BG"/>
        </w:rPr>
      </w:pPr>
    </w:p>
    <w:p w14:paraId="1840ED91" w14:textId="37286014" w:rsidR="00433F62" w:rsidRPr="00433F62" w:rsidRDefault="00433F62" w:rsidP="00433F62">
      <w:pPr>
        <w:spacing w:line="240" w:lineRule="auto"/>
        <w:rPr>
          <w:rFonts w:eastAsia="Times New Roman" w:cs="Arial"/>
          <w:sz w:val="28"/>
          <w:szCs w:val="24"/>
        </w:rPr>
      </w:pPr>
      <w:r w:rsidRPr="00433F62">
        <w:rPr>
          <w:rFonts w:eastAsia="Times New Roman" w:cs="Arial"/>
          <w:bCs/>
          <w:color w:val="000000"/>
          <w:szCs w:val="20"/>
          <w:lang w:eastAsia="bg-BG"/>
        </w:rPr>
        <w:t>При пациенти с хипертония еднократното дневно дозиране осигурява клинично значимо понижение на кръвното налягане както в легнало, така и в изправено положение, за интервал от 24 часа. Поради бавното начало на действие, острата хипотония не е характерна за приложението на амлодипин.</w:t>
      </w:r>
    </w:p>
    <w:p w14:paraId="2CF0FE4B" w14:textId="77777777" w:rsidR="00433F62" w:rsidRPr="00433F62" w:rsidRDefault="00433F62" w:rsidP="00433F62">
      <w:pPr>
        <w:rPr>
          <w:rFonts w:eastAsia="Times New Roman" w:cs="Arial"/>
          <w:bCs/>
          <w:color w:val="000000"/>
          <w:szCs w:val="20"/>
          <w:lang w:eastAsia="bg-BG"/>
        </w:rPr>
      </w:pPr>
    </w:p>
    <w:p w14:paraId="3FCE371E" w14:textId="079652BE" w:rsidR="00433F62" w:rsidRPr="00433F62" w:rsidRDefault="00433F62" w:rsidP="00433F62">
      <w:pPr>
        <w:rPr>
          <w:rFonts w:eastAsia="Times New Roman" w:cs="Arial"/>
          <w:bCs/>
          <w:color w:val="000000"/>
          <w:szCs w:val="20"/>
          <w:lang w:eastAsia="bg-BG"/>
        </w:rPr>
      </w:pPr>
      <w:r w:rsidRPr="00433F62">
        <w:rPr>
          <w:rFonts w:eastAsia="Times New Roman" w:cs="Arial"/>
          <w:bCs/>
          <w:color w:val="000000"/>
          <w:szCs w:val="20"/>
          <w:lang w:eastAsia="bg-BG"/>
        </w:rPr>
        <w:t xml:space="preserve">При пациенти с ангина, веднъж дневно приложението на амлодипин увеличава общото време на тренировка до появата на стенокардия и времето до депресия на 1 </w:t>
      </w:r>
      <w:r w:rsidRPr="00433F62">
        <w:rPr>
          <w:rFonts w:eastAsia="Times New Roman" w:cs="Arial"/>
          <w:bCs/>
          <w:color w:val="000000"/>
          <w:szCs w:val="20"/>
          <w:lang w:val="en-US"/>
        </w:rPr>
        <w:t>mm</w:t>
      </w:r>
      <w:r w:rsidRPr="00433F62">
        <w:rPr>
          <w:rFonts w:eastAsia="Times New Roman" w:cs="Arial"/>
          <w:bCs/>
          <w:color w:val="000000"/>
          <w:szCs w:val="20"/>
          <w:lang w:val="ru-RU"/>
        </w:rPr>
        <w:t xml:space="preserve"> </w:t>
      </w:r>
      <w:r w:rsidRPr="00433F62">
        <w:rPr>
          <w:rFonts w:eastAsia="Times New Roman" w:cs="Arial"/>
          <w:bCs/>
          <w:color w:val="000000"/>
          <w:szCs w:val="20"/>
          <w:lang w:val="en-US"/>
        </w:rPr>
        <w:t>ST</w:t>
      </w:r>
      <w:r w:rsidRPr="00433F62">
        <w:rPr>
          <w:rFonts w:eastAsia="Times New Roman" w:cs="Arial"/>
          <w:bCs/>
          <w:color w:val="000000"/>
          <w:szCs w:val="20"/>
          <w:lang w:val="ru-RU"/>
        </w:rPr>
        <w:t xml:space="preserve"> </w:t>
      </w:r>
      <w:r w:rsidRPr="00433F62">
        <w:rPr>
          <w:rFonts w:eastAsia="Times New Roman" w:cs="Arial"/>
          <w:bCs/>
          <w:color w:val="000000"/>
          <w:szCs w:val="20"/>
          <w:lang w:eastAsia="bg-BG"/>
        </w:rPr>
        <w:t xml:space="preserve">и намалява честотата на атака на стенокардия и консумацията на таблетка глицерил </w:t>
      </w:r>
      <w:r w:rsidRPr="00433F62">
        <w:rPr>
          <w:rFonts w:eastAsia="Times New Roman" w:cs="Arial"/>
          <w:bCs/>
          <w:color w:val="000000"/>
          <w:szCs w:val="20"/>
          <w:lang w:eastAsia="bg-BG"/>
        </w:rPr>
        <w:lastRenderedPageBreak/>
        <w:t xml:space="preserve">триниграт. Амлодипин не води до никакви метаболитни нежелани реакции или промени в плазмените липиди и </w:t>
      </w:r>
      <w:r w:rsidRPr="00433F62">
        <w:rPr>
          <w:rFonts w:eastAsia="Times New Roman" w:cs="Arial"/>
          <w:bCs/>
          <w:i/>
          <w:iCs/>
          <w:color w:val="000000"/>
          <w:szCs w:val="20"/>
          <w:lang w:eastAsia="bg-BG"/>
        </w:rPr>
        <w:t>е</w:t>
      </w:r>
      <w:r w:rsidRPr="00433F62">
        <w:rPr>
          <w:rFonts w:eastAsia="Times New Roman" w:cs="Arial"/>
          <w:bCs/>
          <w:color w:val="000000"/>
          <w:szCs w:val="20"/>
          <w:lang w:eastAsia="bg-BG"/>
        </w:rPr>
        <w:t xml:space="preserve"> подходящ за лечение на пациенти с астма, диабет и подагра.</w:t>
      </w:r>
    </w:p>
    <w:p w14:paraId="5D65F538" w14:textId="77777777" w:rsidR="00433F62" w:rsidRPr="00433F62" w:rsidRDefault="00433F62" w:rsidP="00433F62"/>
    <w:p w14:paraId="346B622B" w14:textId="2B7D5E81" w:rsidR="00875EEC" w:rsidRDefault="002C50EE" w:rsidP="005726E3">
      <w:pPr>
        <w:pStyle w:val="Heading2"/>
      </w:pPr>
      <w:r>
        <w:t>5.2. Фармакокинетични свойства</w:t>
      </w:r>
    </w:p>
    <w:p w14:paraId="039F49B1" w14:textId="10DAC214" w:rsidR="00433F62" w:rsidRDefault="00433F62" w:rsidP="00433F62"/>
    <w:p w14:paraId="40F2C340" w14:textId="77777777" w:rsidR="00433F62" w:rsidRPr="00433F62" w:rsidRDefault="00433F62" w:rsidP="00433F62">
      <w:pPr>
        <w:pStyle w:val="Heading3"/>
        <w:rPr>
          <w:rFonts w:eastAsia="Times New Roman"/>
          <w:u w:val="single"/>
        </w:rPr>
      </w:pPr>
      <w:r w:rsidRPr="00433F62">
        <w:rPr>
          <w:rFonts w:eastAsia="Times New Roman"/>
          <w:u w:val="single"/>
          <w:lang w:eastAsia="bg-BG"/>
        </w:rPr>
        <w:t>Телмисартан</w:t>
      </w:r>
    </w:p>
    <w:p w14:paraId="366EDBDF" w14:textId="77777777" w:rsidR="00433F62" w:rsidRPr="00433F62" w:rsidRDefault="00433F62" w:rsidP="00433F62">
      <w:pPr>
        <w:spacing w:line="240" w:lineRule="auto"/>
        <w:rPr>
          <w:rFonts w:eastAsia="Times New Roman" w:cs="Arial"/>
        </w:rPr>
      </w:pPr>
      <w:bookmarkStart w:id="1" w:name="bookmark0"/>
    </w:p>
    <w:p w14:paraId="7B395B6A" w14:textId="77BA056B"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Абсарбция</w:t>
      </w:r>
      <w:bookmarkEnd w:id="1"/>
    </w:p>
    <w:p w14:paraId="05928B94" w14:textId="55F5D98B" w:rsidR="00433F62" w:rsidRPr="00433F62" w:rsidRDefault="00433F62" w:rsidP="00433F62">
      <w:pPr>
        <w:rPr>
          <w:rFonts w:eastAsia="Times New Roman" w:cs="Arial"/>
          <w:bCs/>
          <w:color w:val="000000"/>
          <w:lang w:eastAsia="bg-BG"/>
        </w:rPr>
      </w:pPr>
      <w:r w:rsidRPr="00433F62">
        <w:rPr>
          <w:rFonts w:eastAsia="Times New Roman" w:cs="Arial"/>
          <w:bCs/>
          <w:color w:val="000000"/>
          <w:lang w:eastAsia="bg-BG"/>
        </w:rPr>
        <w:t>Абсорбцията на телмисартан е бърза, независимо, че абсорбираното количество варира.</w:t>
      </w:r>
    </w:p>
    <w:p w14:paraId="53A79A0A" w14:textId="5FCD44BA" w:rsidR="00433F62" w:rsidRPr="00433F62" w:rsidRDefault="00433F62" w:rsidP="00433F62">
      <w:pPr>
        <w:rPr>
          <w:rFonts w:eastAsia="Times New Roman" w:cs="Arial"/>
          <w:bCs/>
          <w:color w:val="000000"/>
          <w:lang w:eastAsia="bg-BG"/>
        </w:rPr>
      </w:pPr>
    </w:p>
    <w:p w14:paraId="7F82D91F" w14:textId="77777777"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Средната</w:t>
      </w:r>
      <w:r w:rsidRPr="00433F62">
        <w:rPr>
          <w:rFonts w:eastAsia="Times New Roman" w:cs="Arial"/>
          <w:bCs/>
          <w:color w:val="000000"/>
          <w:lang w:eastAsia="bg-BG"/>
        </w:rPr>
        <w:t xml:space="preserve"> абсолютна бионаличност на телмисартан е около 50%. Когато телмисартан се приема с храна, редукцията на областта под кривата плазмена концентрация-време </w:t>
      </w:r>
      <w:r w:rsidRPr="00433F62">
        <w:rPr>
          <w:rFonts w:eastAsia="Times New Roman" w:cs="Arial"/>
          <w:bCs/>
          <w:color w:val="000000"/>
          <w:lang w:val="ru-RU"/>
        </w:rPr>
        <w:t>(</w:t>
      </w:r>
      <w:r w:rsidRPr="00433F62">
        <w:rPr>
          <w:rFonts w:eastAsia="Times New Roman" w:cs="Arial"/>
          <w:bCs/>
          <w:color w:val="000000"/>
          <w:lang w:val="en-US"/>
        </w:rPr>
        <w:t>AUC</w:t>
      </w:r>
      <w:r w:rsidRPr="00433F62">
        <w:rPr>
          <w:rFonts w:eastAsia="Times New Roman" w:cs="Arial"/>
          <w:bCs/>
          <w:color w:val="000000"/>
          <w:lang w:val="ru-RU"/>
        </w:rPr>
        <w:t>0-</w:t>
      </w:r>
      <w:r w:rsidRPr="00433F62">
        <w:rPr>
          <w:rFonts w:eastAsia="Times New Roman" w:cs="Arial"/>
          <w:bCs/>
          <w:color w:val="000000"/>
          <w:lang w:eastAsia="bg-BG"/>
        </w:rPr>
        <w:t>∞</w:t>
      </w:r>
      <w:r w:rsidRPr="00433F62">
        <w:rPr>
          <w:rFonts w:eastAsia="Times New Roman" w:cs="Arial"/>
          <w:bCs/>
          <w:color w:val="000000"/>
          <w:lang w:val="ru-RU"/>
        </w:rPr>
        <w:t xml:space="preserve">) </w:t>
      </w:r>
      <w:r w:rsidRPr="00433F62">
        <w:rPr>
          <w:rFonts w:eastAsia="Times New Roman" w:cs="Arial"/>
          <w:bCs/>
          <w:color w:val="000000"/>
          <w:lang w:eastAsia="bg-BG"/>
        </w:rPr>
        <w:t xml:space="preserve">на телмисартан варира от около 6% (40 </w:t>
      </w:r>
      <w:r w:rsidRPr="00433F62">
        <w:rPr>
          <w:rFonts w:eastAsia="Times New Roman" w:cs="Arial"/>
          <w:bCs/>
          <w:color w:val="000000"/>
          <w:lang w:val="en-US"/>
        </w:rPr>
        <w:t>mg</w:t>
      </w:r>
      <w:r w:rsidRPr="00433F62">
        <w:rPr>
          <w:rFonts w:eastAsia="Times New Roman" w:cs="Arial"/>
          <w:bCs/>
          <w:color w:val="000000"/>
          <w:lang w:val="ru-RU"/>
        </w:rPr>
        <w:t xml:space="preserve"> </w:t>
      </w:r>
      <w:r w:rsidRPr="00433F62">
        <w:rPr>
          <w:rFonts w:eastAsia="Times New Roman" w:cs="Arial"/>
          <w:bCs/>
          <w:color w:val="000000"/>
          <w:lang w:eastAsia="bg-BG"/>
        </w:rPr>
        <w:t xml:space="preserve">доза) до около 19% (160 </w:t>
      </w:r>
      <w:r w:rsidRPr="00433F62">
        <w:rPr>
          <w:rFonts w:eastAsia="Times New Roman" w:cs="Arial"/>
          <w:bCs/>
          <w:color w:val="000000"/>
          <w:lang w:val="en-US"/>
        </w:rPr>
        <w:t>mg</w:t>
      </w:r>
      <w:r w:rsidRPr="00433F62">
        <w:rPr>
          <w:rFonts w:eastAsia="Times New Roman" w:cs="Arial"/>
          <w:bCs/>
          <w:color w:val="000000"/>
          <w:lang w:val="ru-RU"/>
        </w:rPr>
        <w:t xml:space="preserve"> </w:t>
      </w:r>
      <w:r w:rsidRPr="00433F62">
        <w:rPr>
          <w:rFonts w:eastAsia="Times New Roman" w:cs="Arial"/>
          <w:bCs/>
          <w:color w:val="000000"/>
          <w:lang w:eastAsia="bg-BG"/>
        </w:rPr>
        <w:t>доза). Три часа след приложение плазмените концентрации са подобни при приемане на телмисартан на гладно или с храна.</w:t>
      </w:r>
    </w:p>
    <w:p w14:paraId="02971941" w14:textId="77777777" w:rsidR="00433F62" w:rsidRPr="00433F62" w:rsidRDefault="00433F62" w:rsidP="00433F62">
      <w:pPr>
        <w:spacing w:line="240" w:lineRule="auto"/>
        <w:rPr>
          <w:rFonts w:eastAsia="Times New Roman" w:cs="Arial"/>
          <w:bCs/>
          <w:i/>
          <w:iCs/>
          <w:color w:val="000000"/>
          <w:lang w:eastAsia="bg-BG"/>
        </w:rPr>
      </w:pPr>
    </w:p>
    <w:p w14:paraId="59D0810E" w14:textId="6485F865"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Разпределение</w:t>
      </w:r>
    </w:p>
    <w:p w14:paraId="2EF3ED99"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Телмисартан се свързва в голяма степен с плазмените протеини (&gt;99,5%), главно с албумин и алфа-1 кисел глюкопротеин. Средният привиден обем на разпределение при достигане на стационарно състояние </w:t>
      </w:r>
      <w:r w:rsidRPr="00433F62">
        <w:rPr>
          <w:rFonts w:eastAsia="Times New Roman" w:cs="Arial"/>
          <w:bCs/>
          <w:color w:val="000000"/>
          <w:lang w:val="ru-RU"/>
        </w:rPr>
        <w:t>(</w:t>
      </w:r>
      <w:proofErr w:type="spellStart"/>
      <w:r w:rsidRPr="00433F62">
        <w:rPr>
          <w:rFonts w:eastAsia="Times New Roman" w:cs="Arial"/>
          <w:bCs/>
          <w:color w:val="000000"/>
          <w:lang w:val="en-US"/>
        </w:rPr>
        <w:t>Vdss</w:t>
      </w:r>
      <w:proofErr w:type="spellEnd"/>
      <w:r w:rsidRPr="00433F62">
        <w:rPr>
          <w:rFonts w:eastAsia="Times New Roman" w:cs="Arial"/>
          <w:bCs/>
          <w:color w:val="000000"/>
          <w:lang w:val="ru-RU"/>
        </w:rPr>
        <w:t xml:space="preserve">) </w:t>
      </w:r>
      <w:r w:rsidRPr="00433F62">
        <w:rPr>
          <w:rFonts w:eastAsia="Times New Roman" w:cs="Arial"/>
          <w:bCs/>
          <w:color w:val="000000"/>
          <w:lang w:eastAsia="bg-BG"/>
        </w:rPr>
        <w:t>е около 5001.</w:t>
      </w:r>
    </w:p>
    <w:p w14:paraId="056822C6" w14:textId="77777777" w:rsidR="00433F62" w:rsidRPr="00433F62" w:rsidRDefault="00433F62" w:rsidP="00433F62">
      <w:pPr>
        <w:spacing w:line="240" w:lineRule="auto"/>
        <w:rPr>
          <w:rFonts w:eastAsia="Times New Roman" w:cs="Arial"/>
          <w:bCs/>
          <w:i/>
          <w:iCs/>
          <w:color w:val="000000"/>
          <w:lang w:eastAsia="bg-BG"/>
        </w:rPr>
      </w:pPr>
    </w:p>
    <w:p w14:paraId="5EEED58E" w14:textId="79B08EED"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Биотрансформация</w:t>
      </w:r>
    </w:p>
    <w:p w14:paraId="0B8393A9"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Телмисартан се метаболизира чрез свързване на основното вещество с глюкуронвд. Не е наблюдавана фармакологична активност на конюгатите.</w:t>
      </w:r>
    </w:p>
    <w:p w14:paraId="40F92225" w14:textId="77777777" w:rsidR="00433F62" w:rsidRPr="00433F62" w:rsidRDefault="00433F62" w:rsidP="00433F62">
      <w:pPr>
        <w:spacing w:line="240" w:lineRule="auto"/>
        <w:rPr>
          <w:rFonts w:eastAsia="Times New Roman" w:cs="Arial"/>
          <w:bCs/>
          <w:i/>
          <w:iCs/>
          <w:color w:val="000000"/>
          <w:lang w:eastAsia="bg-BG"/>
        </w:rPr>
      </w:pPr>
    </w:p>
    <w:p w14:paraId="51C48386" w14:textId="070AB61D"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Елиминиране</w:t>
      </w:r>
    </w:p>
    <w:p w14:paraId="7AF6904E"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Телмисартан се характеризира с биекспоненциална отслабваща фармакокинетика с терминален елиминационен полуживот &gt;20 часа. Максималната плазмена концентрация (С</w:t>
      </w:r>
      <w:r w:rsidRPr="00433F62">
        <w:rPr>
          <w:rFonts w:eastAsia="Times New Roman" w:cs="Arial"/>
          <w:bCs/>
          <w:color w:val="000000"/>
          <w:lang w:val="en-US"/>
        </w:rPr>
        <w:t>max</w:t>
      </w:r>
      <w:r w:rsidRPr="00433F62">
        <w:rPr>
          <w:rFonts w:eastAsia="Times New Roman" w:cs="Arial"/>
          <w:bCs/>
          <w:color w:val="000000"/>
          <w:lang w:eastAsia="bg-BG"/>
        </w:rPr>
        <w:t xml:space="preserve">) и в по-малка степен областта под кривата плазмена концентрация-време </w:t>
      </w:r>
      <w:r w:rsidRPr="00433F62">
        <w:rPr>
          <w:rFonts w:eastAsia="Times New Roman" w:cs="Arial"/>
          <w:bCs/>
          <w:color w:val="000000"/>
          <w:lang w:val="ru-RU"/>
        </w:rPr>
        <w:t>(</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се повишава непропорционално на дозата. Няма данни за клинически значима акумулация на телмисартан, приет в препоръчваните дози. Плазмените концентрации са по-високи при жени, отколкото при мъже, без това да е свързано с влияние върху ефикасността.</w:t>
      </w:r>
    </w:p>
    <w:p w14:paraId="79D651B5" w14:textId="77777777" w:rsidR="00433F62" w:rsidRPr="00433F62" w:rsidRDefault="00433F62" w:rsidP="00433F62">
      <w:pPr>
        <w:spacing w:line="240" w:lineRule="auto"/>
        <w:rPr>
          <w:rFonts w:eastAsia="Times New Roman" w:cs="Arial"/>
          <w:bCs/>
          <w:i/>
          <w:iCs/>
          <w:color w:val="000000"/>
          <w:lang w:eastAsia="bg-BG"/>
        </w:rPr>
      </w:pPr>
    </w:p>
    <w:p w14:paraId="600AFE5D" w14:textId="309FB458"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Линейност/ нелинейност</w:t>
      </w:r>
    </w:p>
    <w:p w14:paraId="20CD23B5"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Не се очаква слабата редукция на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 xml:space="preserve">да причини редукция в терапевтичната ефикасност. Няма линейна зависимост между дозите и плазмените нива. </w:t>
      </w:r>
      <w:r w:rsidRPr="00433F62">
        <w:rPr>
          <w:rFonts w:eastAsia="Times New Roman" w:cs="Arial"/>
          <w:bCs/>
          <w:color w:val="000000"/>
          <w:u w:val="single"/>
          <w:lang w:eastAsia="bg-BG"/>
        </w:rPr>
        <w:t>С</w:t>
      </w:r>
      <w:r w:rsidRPr="00433F62">
        <w:rPr>
          <w:rFonts w:eastAsia="Times New Roman" w:cs="Arial"/>
          <w:bCs/>
          <w:color w:val="000000"/>
          <w:u w:val="single"/>
          <w:lang w:val="en-US"/>
        </w:rPr>
        <w:t>max</w:t>
      </w:r>
      <w:r w:rsidRPr="00433F62">
        <w:rPr>
          <w:rFonts w:eastAsia="Times New Roman" w:cs="Arial"/>
          <w:bCs/>
          <w:color w:val="000000"/>
          <w:lang w:eastAsia="bg-BG"/>
        </w:rPr>
        <w:t xml:space="preserve"> и в по-малка степен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 xml:space="preserve">се повишават непропорционално при дози над 40 </w:t>
      </w:r>
      <w:r w:rsidRPr="00433F62">
        <w:rPr>
          <w:rFonts w:eastAsia="Times New Roman" w:cs="Arial"/>
          <w:bCs/>
          <w:color w:val="000000"/>
          <w:lang w:val="en-US"/>
        </w:rPr>
        <w:t>mg</w:t>
      </w:r>
      <w:r w:rsidRPr="00433F62">
        <w:rPr>
          <w:rFonts w:eastAsia="Times New Roman" w:cs="Arial"/>
          <w:bCs/>
          <w:color w:val="000000"/>
          <w:lang w:val="ru-RU"/>
        </w:rPr>
        <w:t>.</w:t>
      </w:r>
    </w:p>
    <w:p w14:paraId="06C24EE9" w14:textId="77777777" w:rsidR="00433F62" w:rsidRPr="00433F62" w:rsidRDefault="00433F62" w:rsidP="00433F62">
      <w:pPr>
        <w:spacing w:line="240" w:lineRule="auto"/>
        <w:rPr>
          <w:rFonts w:eastAsia="Times New Roman" w:cs="Arial"/>
          <w:bCs/>
          <w:color w:val="000000"/>
          <w:lang w:eastAsia="bg-BG"/>
        </w:rPr>
      </w:pPr>
    </w:p>
    <w:p w14:paraId="209D2C37" w14:textId="48B5EFEE" w:rsidR="00433F62" w:rsidRPr="00433F62" w:rsidRDefault="00433F62" w:rsidP="00433F62">
      <w:pPr>
        <w:spacing w:line="240" w:lineRule="auto"/>
        <w:rPr>
          <w:rFonts w:eastAsia="Times New Roman" w:cs="Arial"/>
          <w:bCs/>
          <w:color w:val="000000"/>
          <w:lang w:eastAsia="bg-BG"/>
        </w:rPr>
      </w:pPr>
      <w:r w:rsidRPr="00433F62">
        <w:rPr>
          <w:rFonts w:eastAsia="Times New Roman" w:cs="Arial"/>
          <w:bCs/>
          <w:color w:val="000000"/>
          <w:lang w:eastAsia="bg-BG"/>
        </w:rPr>
        <w:t xml:space="preserve">След перорално (и интравенозно) приложение телмисартан се екскретира почти изцяло с фекалиите, </w:t>
      </w:r>
    </w:p>
    <w:p w14:paraId="78DF9C22" w14:textId="1DFD7C7B"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главно като непроменено съединение. Кумулативната уринарна екскреция е &lt;1% от дозата. Тоталният плазмен клирънс </w:t>
      </w:r>
      <w:r w:rsidRPr="00433F62">
        <w:rPr>
          <w:rFonts w:eastAsia="Times New Roman" w:cs="Arial"/>
          <w:bCs/>
          <w:color w:val="000000"/>
          <w:lang w:val="ru-RU"/>
        </w:rPr>
        <w:t>(</w:t>
      </w:r>
      <w:proofErr w:type="spellStart"/>
      <w:r w:rsidRPr="00433F62">
        <w:rPr>
          <w:rFonts w:eastAsia="Times New Roman" w:cs="Arial"/>
          <w:bCs/>
          <w:color w:val="000000"/>
          <w:lang w:val="en-US"/>
        </w:rPr>
        <w:t>Cl</w:t>
      </w:r>
      <w:r w:rsidRPr="00433F62">
        <w:rPr>
          <w:rFonts w:eastAsia="Times New Roman" w:cs="Arial"/>
          <w:bCs/>
          <w:color w:val="000000"/>
          <w:vertAlign w:val="subscript"/>
          <w:lang w:val="en-US"/>
        </w:rPr>
        <w:t>tot</w:t>
      </w:r>
      <w:proofErr w:type="spellEnd"/>
      <w:r w:rsidRPr="00433F62">
        <w:rPr>
          <w:rFonts w:eastAsia="Times New Roman" w:cs="Arial"/>
          <w:bCs/>
          <w:color w:val="000000"/>
          <w:lang w:val="ru-RU"/>
        </w:rPr>
        <w:t xml:space="preserve">) </w:t>
      </w:r>
      <w:r w:rsidRPr="00433F62">
        <w:rPr>
          <w:rFonts w:eastAsia="Times New Roman" w:cs="Arial"/>
          <w:bCs/>
          <w:color w:val="000000"/>
          <w:lang w:eastAsia="bg-BG"/>
        </w:rPr>
        <w:t xml:space="preserve">е висок (около 1 000 </w:t>
      </w:r>
      <w:r w:rsidRPr="00433F62">
        <w:rPr>
          <w:rFonts w:eastAsia="Times New Roman" w:cs="Arial"/>
          <w:bCs/>
          <w:color w:val="000000"/>
          <w:lang w:val="en-US"/>
        </w:rPr>
        <w:t>ml</w:t>
      </w:r>
      <w:r w:rsidRPr="00433F62">
        <w:rPr>
          <w:rFonts w:eastAsia="Times New Roman" w:cs="Arial"/>
          <w:bCs/>
          <w:color w:val="000000"/>
          <w:lang w:val="ru-RU"/>
        </w:rPr>
        <w:t>/</w:t>
      </w:r>
      <w:r w:rsidRPr="00433F62">
        <w:rPr>
          <w:rFonts w:eastAsia="Times New Roman" w:cs="Arial"/>
          <w:bCs/>
          <w:color w:val="000000"/>
          <w:lang w:val="en-US"/>
        </w:rPr>
        <w:t>min</w:t>
      </w:r>
      <w:r w:rsidRPr="00433F62">
        <w:rPr>
          <w:rFonts w:eastAsia="Times New Roman" w:cs="Arial"/>
          <w:bCs/>
          <w:color w:val="000000"/>
          <w:lang w:val="ru-RU"/>
        </w:rPr>
        <w:t xml:space="preserve">), </w:t>
      </w:r>
      <w:r w:rsidRPr="00433F62">
        <w:rPr>
          <w:rFonts w:eastAsia="Times New Roman" w:cs="Arial"/>
          <w:bCs/>
          <w:color w:val="000000"/>
          <w:lang w:eastAsia="bg-BG"/>
        </w:rPr>
        <w:t xml:space="preserve">сравнен с чернодробния кръвен поток (около 1 500 </w:t>
      </w:r>
      <w:r w:rsidRPr="00433F62">
        <w:rPr>
          <w:rFonts w:eastAsia="Times New Roman" w:cs="Arial"/>
          <w:bCs/>
          <w:color w:val="000000"/>
          <w:lang w:val="en-US"/>
        </w:rPr>
        <w:t>ml</w:t>
      </w:r>
      <w:r w:rsidRPr="00433F62">
        <w:rPr>
          <w:rFonts w:eastAsia="Times New Roman" w:cs="Arial"/>
          <w:bCs/>
          <w:color w:val="000000"/>
          <w:lang w:val="ru-RU"/>
        </w:rPr>
        <w:t>/</w:t>
      </w:r>
      <w:r w:rsidRPr="00433F62">
        <w:rPr>
          <w:rFonts w:eastAsia="Times New Roman" w:cs="Arial"/>
          <w:bCs/>
          <w:color w:val="000000"/>
          <w:lang w:val="en-US"/>
        </w:rPr>
        <w:t>min</w:t>
      </w:r>
      <w:r w:rsidRPr="00433F62">
        <w:rPr>
          <w:rFonts w:eastAsia="Times New Roman" w:cs="Arial"/>
          <w:bCs/>
          <w:color w:val="000000"/>
          <w:lang w:val="ru-RU"/>
        </w:rPr>
        <w:t>).</w:t>
      </w:r>
    </w:p>
    <w:p w14:paraId="3D8E7A7A" w14:textId="77777777" w:rsidR="00433F62" w:rsidRPr="00433F62" w:rsidRDefault="00433F62" w:rsidP="00433F62">
      <w:pPr>
        <w:spacing w:line="240" w:lineRule="auto"/>
        <w:rPr>
          <w:rFonts w:eastAsia="Times New Roman" w:cs="Arial"/>
          <w:bCs/>
          <w:i/>
          <w:iCs/>
          <w:color w:val="000000"/>
          <w:lang w:eastAsia="bg-BG"/>
        </w:rPr>
      </w:pPr>
    </w:p>
    <w:p w14:paraId="3575CC33" w14:textId="2E09805F"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Специални популации</w:t>
      </w:r>
    </w:p>
    <w:p w14:paraId="03839D95" w14:textId="77777777" w:rsidR="00433F62" w:rsidRPr="00433F62" w:rsidRDefault="00433F62" w:rsidP="00433F62">
      <w:pPr>
        <w:spacing w:line="240" w:lineRule="auto"/>
        <w:rPr>
          <w:rFonts w:eastAsia="Times New Roman" w:cs="Arial"/>
          <w:bCs/>
          <w:i/>
          <w:iCs/>
          <w:color w:val="000000"/>
          <w:u w:val="single"/>
          <w:lang w:eastAsia="bg-BG"/>
        </w:rPr>
      </w:pPr>
    </w:p>
    <w:p w14:paraId="03278025" w14:textId="675A0520"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t>Пол</w:t>
      </w:r>
    </w:p>
    <w:p w14:paraId="1D6BC716"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Наблюдавани са полови различия в плазмените концентрации. С</w:t>
      </w:r>
      <w:r w:rsidRPr="00433F62">
        <w:rPr>
          <w:rFonts w:eastAsia="Times New Roman" w:cs="Arial"/>
          <w:bCs/>
          <w:color w:val="000000"/>
          <w:lang w:val="en-US"/>
        </w:rPr>
        <w:t>max</w:t>
      </w:r>
      <w:r w:rsidRPr="00433F62">
        <w:rPr>
          <w:rFonts w:eastAsia="Times New Roman" w:cs="Arial"/>
          <w:bCs/>
          <w:color w:val="000000"/>
          <w:lang w:eastAsia="bg-BG"/>
        </w:rPr>
        <w:t xml:space="preserve"> и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съответно около 3 и 2 пъти по-високи при жените, сравнени с тези при мъжете.</w:t>
      </w:r>
    </w:p>
    <w:p w14:paraId="37DF563C" w14:textId="77777777" w:rsidR="00433F62" w:rsidRPr="00433F62" w:rsidRDefault="00433F62" w:rsidP="00433F62">
      <w:pPr>
        <w:spacing w:line="240" w:lineRule="auto"/>
        <w:rPr>
          <w:rFonts w:eastAsia="Times New Roman" w:cs="Arial"/>
          <w:bCs/>
          <w:i/>
          <w:iCs/>
          <w:color w:val="000000"/>
          <w:u w:val="single"/>
          <w:lang w:eastAsia="bg-BG"/>
        </w:rPr>
      </w:pPr>
    </w:p>
    <w:p w14:paraId="4AC160F3" w14:textId="6B410164"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lastRenderedPageBreak/>
        <w:t>Старческа възраст</w:t>
      </w:r>
    </w:p>
    <w:p w14:paraId="77B11F78"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Фармакокинетиката на телмисартан не се различава между пациенти в старческа възраст и тези по-млади от 65 години.</w:t>
      </w:r>
    </w:p>
    <w:p w14:paraId="19ABED57" w14:textId="77777777" w:rsidR="00433F62" w:rsidRPr="00433F62" w:rsidRDefault="00433F62" w:rsidP="00433F62">
      <w:pPr>
        <w:spacing w:line="240" w:lineRule="auto"/>
        <w:rPr>
          <w:rFonts w:eastAsia="Times New Roman" w:cs="Arial"/>
          <w:bCs/>
          <w:i/>
          <w:iCs/>
          <w:color w:val="000000"/>
          <w:u w:val="single"/>
          <w:lang w:eastAsia="bg-BG"/>
        </w:rPr>
      </w:pPr>
    </w:p>
    <w:p w14:paraId="61112C96" w14:textId="0DFC0DD9"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t>Пациенти с бъбречни увреждания</w:t>
      </w:r>
    </w:p>
    <w:p w14:paraId="6AE86935"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При пациенти с леки до умерени и тежки увреждания на бъбречната функция се наблюдава удвояване на плазмените концентрации. Наблюдават се по-ниски плазмени концентрации при пациенти с бъбречна недостатъчност, подложени на диализа. При болни с бъбречна недостатъчност телмисартан се свързва в голяма степен с плазмените протеини и не може да бъде отделен при диализа. При пациенти с бъбречни увреждания елиминационният полуживот не е променен.</w:t>
      </w:r>
    </w:p>
    <w:p w14:paraId="2F596AB3" w14:textId="77777777" w:rsidR="00433F62" w:rsidRPr="00433F62" w:rsidRDefault="00433F62" w:rsidP="00433F62">
      <w:pPr>
        <w:spacing w:line="240" w:lineRule="auto"/>
        <w:rPr>
          <w:rFonts w:eastAsia="Times New Roman" w:cs="Arial"/>
          <w:bCs/>
          <w:i/>
          <w:iCs/>
          <w:color w:val="000000"/>
          <w:u w:val="single"/>
          <w:lang w:eastAsia="bg-BG"/>
        </w:rPr>
      </w:pPr>
    </w:p>
    <w:p w14:paraId="7118F39D" w14:textId="73BCDC39"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t>Пациенти с чернодробни увреждания</w:t>
      </w:r>
    </w:p>
    <w:p w14:paraId="60D27E44" w14:textId="145F0F66" w:rsidR="00433F62" w:rsidRPr="00433F62" w:rsidRDefault="00433F62" w:rsidP="00433F62">
      <w:pPr>
        <w:rPr>
          <w:rFonts w:eastAsia="Times New Roman" w:cs="Arial"/>
          <w:bCs/>
          <w:color w:val="000000"/>
          <w:lang w:eastAsia="bg-BG"/>
        </w:rPr>
      </w:pPr>
      <w:r w:rsidRPr="00433F62">
        <w:rPr>
          <w:rFonts w:eastAsia="Times New Roman" w:cs="Arial"/>
          <w:bCs/>
          <w:color w:val="000000"/>
          <w:lang w:eastAsia="bg-BG"/>
        </w:rPr>
        <w:t>Фармакокинетичните проучвания при пациенти с чернодробни увреждания показват повишаване на абсолютната бионаличност до около 100%. При пациенти с чернодробни увреждания елиминационният полуживот не е променен.</w:t>
      </w:r>
    </w:p>
    <w:p w14:paraId="1DDE82A4" w14:textId="7C468519" w:rsidR="00433F62" w:rsidRPr="00433F62" w:rsidRDefault="00433F62" w:rsidP="00433F62">
      <w:pPr>
        <w:rPr>
          <w:rFonts w:eastAsia="Times New Roman" w:cs="Arial"/>
          <w:bCs/>
          <w:color w:val="000000"/>
          <w:lang w:eastAsia="bg-BG"/>
        </w:rPr>
      </w:pPr>
    </w:p>
    <w:p w14:paraId="7E1A4408" w14:textId="77777777" w:rsidR="00433F62" w:rsidRPr="00433F62" w:rsidRDefault="00433F62" w:rsidP="00433F62">
      <w:pPr>
        <w:pStyle w:val="Heading3"/>
        <w:rPr>
          <w:rFonts w:eastAsia="Times New Roman"/>
          <w:u w:val="single"/>
        </w:rPr>
      </w:pPr>
      <w:r w:rsidRPr="00433F62">
        <w:rPr>
          <w:rFonts w:eastAsia="Times New Roman"/>
          <w:u w:val="single"/>
          <w:lang w:eastAsia="bg-BG"/>
        </w:rPr>
        <w:t>Амлодипин</w:t>
      </w:r>
    </w:p>
    <w:p w14:paraId="18284326" w14:textId="77777777" w:rsidR="00433F62" w:rsidRPr="00433F62" w:rsidRDefault="00433F62" w:rsidP="00433F62">
      <w:pPr>
        <w:spacing w:line="240" w:lineRule="auto"/>
        <w:rPr>
          <w:rFonts w:eastAsia="Times New Roman" w:cs="Arial"/>
          <w:bCs/>
          <w:i/>
          <w:iCs/>
          <w:color w:val="000000"/>
          <w:lang w:eastAsia="bg-BG"/>
        </w:rPr>
      </w:pPr>
    </w:p>
    <w:p w14:paraId="50B0D0DB" w14:textId="58A04948"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Абсорбция/разпределение:</w:t>
      </w:r>
    </w:p>
    <w:p w14:paraId="2A493568"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След перорално приложение на терапевтични дози, амлодипин се резорбира добре, като максималните плазмени концентрации се достигат между 6-12 часа след приложение. Абсолютната бионаличност е между 64 и 80%. Обемът на разпределение е приблизително 21 </w:t>
      </w:r>
      <w:r w:rsidRPr="00433F62">
        <w:rPr>
          <w:rFonts w:eastAsia="Times New Roman" w:cs="Arial"/>
          <w:bCs/>
          <w:color w:val="000000"/>
          <w:lang w:val="en-US"/>
        </w:rPr>
        <w:t>l</w:t>
      </w:r>
      <w:r w:rsidRPr="00433F62">
        <w:rPr>
          <w:rFonts w:eastAsia="Times New Roman" w:cs="Arial"/>
          <w:bCs/>
          <w:color w:val="000000"/>
          <w:lang w:val="ru-RU"/>
        </w:rPr>
        <w:t>/</w:t>
      </w:r>
      <w:r w:rsidRPr="00433F62">
        <w:rPr>
          <w:rFonts w:eastAsia="Times New Roman" w:cs="Arial"/>
          <w:bCs/>
          <w:color w:val="000000"/>
          <w:lang w:val="en-US"/>
        </w:rPr>
        <w:t>kg</w:t>
      </w:r>
      <w:r w:rsidRPr="00433F62">
        <w:rPr>
          <w:rFonts w:eastAsia="Times New Roman" w:cs="Arial"/>
          <w:bCs/>
          <w:color w:val="000000"/>
          <w:lang w:val="ru-RU"/>
        </w:rPr>
        <w:t xml:space="preserve">. </w:t>
      </w:r>
      <w:r w:rsidRPr="00433F62">
        <w:rPr>
          <w:rFonts w:eastAsia="Times New Roman" w:cs="Arial"/>
          <w:bCs/>
          <w:color w:val="000000"/>
          <w:lang w:eastAsia="bg-BG"/>
        </w:rPr>
        <w:t xml:space="preserve">Данните от </w:t>
      </w:r>
      <w:r w:rsidRPr="00433F62">
        <w:rPr>
          <w:rFonts w:eastAsia="Times New Roman" w:cs="Arial"/>
          <w:bCs/>
          <w:i/>
          <w:iCs/>
          <w:color w:val="000000"/>
          <w:lang w:val="en-US"/>
        </w:rPr>
        <w:t>in</w:t>
      </w:r>
      <w:r w:rsidRPr="00433F62">
        <w:rPr>
          <w:rFonts w:eastAsia="Times New Roman" w:cs="Arial"/>
          <w:bCs/>
          <w:i/>
          <w:iCs/>
          <w:color w:val="000000"/>
          <w:lang w:val="ru-RU"/>
        </w:rPr>
        <w:t xml:space="preserve"> </w:t>
      </w:r>
      <w:r w:rsidRPr="00433F62">
        <w:rPr>
          <w:rFonts w:eastAsia="Times New Roman" w:cs="Arial"/>
          <w:bCs/>
          <w:i/>
          <w:iCs/>
          <w:color w:val="000000"/>
          <w:lang w:val="en-US"/>
        </w:rPr>
        <w:t>vitro</w:t>
      </w:r>
      <w:r w:rsidRPr="00433F62">
        <w:rPr>
          <w:rFonts w:eastAsia="Times New Roman" w:cs="Arial"/>
          <w:bCs/>
          <w:color w:val="000000"/>
          <w:lang w:val="ru-RU"/>
        </w:rPr>
        <w:t xml:space="preserve"> </w:t>
      </w:r>
      <w:r w:rsidRPr="00433F62">
        <w:rPr>
          <w:rFonts w:eastAsia="Times New Roman" w:cs="Arial"/>
          <w:bCs/>
          <w:color w:val="000000"/>
          <w:lang w:eastAsia="bg-BG"/>
        </w:rPr>
        <w:t>проучвания показват, че приблизително 97,5% от циркулиращия амлодипин е свързан с плазмените протеини.</w:t>
      </w:r>
    </w:p>
    <w:p w14:paraId="1241FBAA" w14:textId="77777777" w:rsidR="00433F62" w:rsidRPr="00433F62" w:rsidRDefault="00433F62" w:rsidP="00433F62">
      <w:pPr>
        <w:spacing w:line="240" w:lineRule="auto"/>
        <w:rPr>
          <w:rFonts w:eastAsia="Times New Roman" w:cs="Arial"/>
          <w:bCs/>
          <w:color w:val="000000"/>
          <w:lang w:eastAsia="bg-BG"/>
        </w:rPr>
      </w:pPr>
    </w:p>
    <w:p w14:paraId="55929412" w14:textId="6C339758"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Бионаличността на амлодипин не се влияе от приема на храна.</w:t>
      </w:r>
    </w:p>
    <w:p w14:paraId="5AE05BEE" w14:textId="77777777" w:rsidR="00433F62" w:rsidRPr="00433F62" w:rsidRDefault="00433F62" w:rsidP="00433F62">
      <w:pPr>
        <w:spacing w:line="240" w:lineRule="auto"/>
        <w:rPr>
          <w:rFonts w:eastAsia="Times New Roman" w:cs="Arial"/>
          <w:bCs/>
          <w:i/>
          <w:iCs/>
          <w:color w:val="000000"/>
          <w:lang w:eastAsia="bg-BG"/>
        </w:rPr>
      </w:pPr>
    </w:p>
    <w:p w14:paraId="734766B4" w14:textId="5BA4C32C"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Биотрансформация/елиминиране</w:t>
      </w:r>
    </w:p>
    <w:p w14:paraId="153C0460"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в черния дроб до неактивни метаболити, като с урината се екскретират 10% от лекарството в непроменен вид и 60% от метаболитите.</w:t>
      </w:r>
    </w:p>
    <w:p w14:paraId="74D32F0D" w14:textId="77777777" w:rsidR="00433F62" w:rsidRPr="00433F62" w:rsidRDefault="00433F62" w:rsidP="00433F62">
      <w:pPr>
        <w:spacing w:line="240" w:lineRule="auto"/>
        <w:rPr>
          <w:rFonts w:eastAsia="Times New Roman" w:cs="Arial"/>
          <w:bCs/>
          <w:i/>
          <w:iCs/>
          <w:color w:val="000000"/>
          <w:lang w:eastAsia="bg-BG"/>
        </w:rPr>
      </w:pPr>
    </w:p>
    <w:p w14:paraId="3A808974" w14:textId="0860636E"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Фармакокинетика при специални популации</w:t>
      </w:r>
    </w:p>
    <w:p w14:paraId="5A2FFC50" w14:textId="77777777" w:rsidR="00433F62" w:rsidRPr="00433F62" w:rsidRDefault="00433F62" w:rsidP="00433F62">
      <w:pPr>
        <w:spacing w:line="240" w:lineRule="auto"/>
        <w:rPr>
          <w:rFonts w:eastAsia="Times New Roman" w:cs="Arial"/>
          <w:bCs/>
          <w:i/>
          <w:iCs/>
          <w:color w:val="000000"/>
          <w:u w:val="single"/>
          <w:lang w:eastAsia="bg-BG"/>
        </w:rPr>
      </w:pPr>
    </w:p>
    <w:p w14:paraId="7025F1EB" w14:textId="64C0F97C"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t>Чернодробно нарушение</w:t>
      </w:r>
    </w:p>
    <w:p w14:paraId="7ABEA8D9"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w:t>
      </w:r>
      <w:r w:rsidRPr="00433F62">
        <w:rPr>
          <w:rFonts w:eastAsia="Times New Roman" w:cs="Arial"/>
          <w:bCs/>
          <w:i/>
          <w:iCs/>
          <w:color w:val="000000"/>
          <w:lang w:eastAsia="bg-BG"/>
        </w:rPr>
        <w:t>клирънс</w:t>
      </w:r>
      <w:r w:rsidRPr="00433F62">
        <w:rPr>
          <w:rFonts w:eastAsia="Times New Roman" w:cs="Arial"/>
          <w:bCs/>
          <w:color w:val="000000"/>
          <w:lang w:eastAsia="bg-BG"/>
        </w:rPr>
        <w:t xml:space="preserve"> на амлодипин, водещ до по-дълъг полуживот и повишаване стойностите на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с приблизително 40-60%.</w:t>
      </w:r>
    </w:p>
    <w:p w14:paraId="63B4E975" w14:textId="77777777" w:rsidR="00433F62" w:rsidRPr="00433F62" w:rsidRDefault="00433F62" w:rsidP="00433F62">
      <w:pPr>
        <w:spacing w:line="240" w:lineRule="auto"/>
        <w:rPr>
          <w:rFonts w:eastAsia="Times New Roman" w:cs="Arial"/>
          <w:bCs/>
          <w:i/>
          <w:iCs/>
          <w:color w:val="000000"/>
          <w:u w:val="single"/>
          <w:lang w:eastAsia="bg-BG"/>
        </w:rPr>
      </w:pPr>
    </w:p>
    <w:p w14:paraId="7F607CFF" w14:textId="7DEF62F9" w:rsidR="00433F62" w:rsidRPr="00433F62" w:rsidRDefault="00433F62" w:rsidP="00433F62">
      <w:pPr>
        <w:spacing w:line="240" w:lineRule="auto"/>
        <w:rPr>
          <w:rFonts w:eastAsia="Times New Roman" w:cs="Arial"/>
        </w:rPr>
      </w:pPr>
      <w:r w:rsidRPr="00433F62">
        <w:rPr>
          <w:rFonts w:eastAsia="Times New Roman" w:cs="Arial"/>
          <w:bCs/>
          <w:i/>
          <w:iCs/>
          <w:color w:val="000000"/>
          <w:u w:val="single"/>
          <w:lang w:eastAsia="bg-BG"/>
        </w:rPr>
        <w:t>Старческа възраст</w:t>
      </w:r>
    </w:p>
    <w:p w14:paraId="33A83FB1"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Времето за достигане на максимални плазмени концентрации е сходно при индивиди в старческа възраст и по-млади индивиди. При пациентите в старческа възраст, клирънсът на амлодипин е с тенденция към намаляване, която води до увеличаване на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 xml:space="preserve">и на елиминационния полуживот. Нарастването на </w:t>
      </w:r>
      <w:r w:rsidRPr="00433F62">
        <w:rPr>
          <w:rFonts w:eastAsia="Times New Roman" w:cs="Arial"/>
          <w:bCs/>
          <w:color w:val="000000"/>
          <w:lang w:val="en-US"/>
        </w:rPr>
        <w:t>AUC</w:t>
      </w:r>
      <w:r w:rsidRPr="00433F62">
        <w:rPr>
          <w:rFonts w:eastAsia="Times New Roman" w:cs="Arial"/>
          <w:bCs/>
          <w:color w:val="000000"/>
          <w:lang w:val="ru-RU"/>
        </w:rPr>
        <w:t xml:space="preserve"> </w:t>
      </w:r>
      <w:r w:rsidRPr="00433F62">
        <w:rPr>
          <w:rFonts w:eastAsia="Times New Roman" w:cs="Arial"/>
          <w:bCs/>
          <w:color w:val="000000"/>
          <w:lang w:eastAsia="bg-BG"/>
        </w:rPr>
        <w:t>и на елиминационния полуживот при пациенти със застойна сърдечна недостатъчност е било според очакваното за съответната възрастова група.</w:t>
      </w:r>
    </w:p>
    <w:p w14:paraId="386D00C6" w14:textId="77777777" w:rsidR="00433F62" w:rsidRPr="00433F62" w:rsidRDefault="00433F62" w:rsidP="00433F62"/>
    <w:p w14:paraId="4F31844C" w14:textId="0BCE659A" w:rsidR="00875EEC" w:rsidRDefault="002C50EE" w:rsidP="005726E3">
      <w:pPr>
        <w:pStyle w:val="Heading2"/>
      </w:pPr>
      <w:r>
        <w:lastRenderedPageBreak/>
        <w:t>5.3. Предклинични данни за безопасност</w:t>
      </w:r>
    </w:p>
    <w:p w14:paraId="081C8AA2" w14:textId="49FF197B" w:rsidR="00433F62" w:rsidRDefault="00433F62" w:rsidP="00433F62"/>
    <w:p w14:paraId="5855BFAB" w14:textId="77777777" w:rsidR="00433F62" w:rsidRPr="00433F62" w:rsidRDefault="00433F62" w:rsidP="00433F62">
      <w:pPr>
        <w:spacing w:line="240" w:lineRule="auto"/>
        <w:rPr>
          <w:rFonts w:eastAsia="Times New Roman" w:cs="Arial"/>
        </w:rPr>
      </w:pPr>
      <w:r w:rsidRPr="00433F62">
        <w:rPr>
          <w:rFonts w:eastAsia="Times New Roman" w:cs="Arial"/>
          <w:bCs/>
          <w:color w:val="000000"/>
          <w:u w:val="single"/>
          <w:lang w:eastAsia="bg-BG"/>
        </w:rPr>
        <w:t>Телмисартан/амиодипин</w:t>
      </w:r>
    </w:p>
    <w:p w14:paraId="6CA6ECFE"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Неклиничните проучвания за безопасност, проведени с комбинацията телмисартан / амлодипин са ограничени до проучване на 13-седмично токсичност при многократно прилагане перорално при плъхове. Няма нови прояви на токсичност или добавка нежелани ефекти са наблюдавани.</w:t>
      </w:r>
    </w:p>
    <w:p w14:paraId="28CB1ABA" w14:textId="77777777" w:rsidR="00433F62" w:rsidRPr="00433F62" w:rsidRDefault="00433F62" w:rsidP="00433F62">
      <w:pPr>
        <w:spacing w:line="240" w:lineRule="auto"/>
        <w:rPr>
          <w:rFonts w:eastAsia="Times New Roman" w:cs="Arial"/>
          <w:bCs/>
          <w:color w:val="000000"/>
          <w:u w:val="single"/>
          <w:lang w:eastAsia="bg-BG"/>
        </w:rPr>
      </w:pPr>
    </w:p>
    <w:p w14:paraId="5ADEBF5D" w14:textId="2BA9B680" w:rsidR="00433F62" w:rsidRPr="00433F62" w:rsidRDefault="00433F62" w:rsidP="00433F62">
      <w:pPr>
        <w:spacing w:line="240" w:lineRule="auto"/>
        <w:rPr>
          <w:rFonts w:eastAsia="Times New Roman" w:cs="Arial"/>
        </w:rPr>
      </w:pPr>
      <w:r w:rsidRPr="00433F62">
        <w:rPr>
          <w:rFonts w:eastAsia="Times New Roman" w:cs="Arial"/>
          <w:bCs/>
          <w:color w:val="000000"/>
          <w:u w:val="single"/>
          <w:lang w:eastAsia="bg-BG"/>
        </w:rPr>
        <w:t>Телмисартан</w:t>
      </w:r>
    </w:p>
    <w:p w14:paraId="2E602CA0"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При предклинични проучвания за безопасност, дози, сравними с тези в клиничния терапевтичен диапазон, са предизвикали намаляване на параметрите на червените кръвни клетки (еритроцити, хемоглобин, хематокрит), промени в бъбречната хемодинамика (повишено ниво на урея в кръвта и креатинин), както и повишен калий в серума на нормотензивни животни. При кучета са наблюдавани бъбречна тубуларна дилатация и атрофия. При плъхове и кучета е отбелязано също увреждане на стомашната мукоза (ерозия, язви или възпаление). Тези фармакологично медиирани нежелани лекарствени реакции, известни от предклиничните проучвания с инхибитори на ангиотензин конвертиращия ензим и ангиотензин П антагонисти, са предотвратени чрез перорално добавяне на физиологичен разтвор.</w:t>
      </w:r>
    </w:p>
    <w:p w14:paraId="61EAC521" w14:textId="77777777" w:rsidR="00433F62" w:rsidRPr="00433F62" w:rsidRDefault="00433F62" w:rsidP="00433F62">
      <w:pPr>
        <w:rPr>
          <w:rFonts w:eastAsia="Times New Roman" w:cs="Arial"/>
          <w:bCs/>
          <w:color w:val="000000"/>
          <w:lang w:eastAsia="bg-BG"/>
        </w:rPr>
      </w:pPr>
    </w:p>
    <w:p w14:paraId="5A81591A" w14:textId="069963E0" w:rsidR="00433F62" w:rsidRPr="00433F62" w:rsidRDefault="00433F62" w:rsidP="00433F62">
      <w:pPr>
        <w:rPr>
          <w:rFonts w:eastAsia="Times New Roman" w:cs="Arial"/>
          <w:bCs/>
          <w:color w:val="000000"/>
          <w:lang w:eastAsia="bg-BG"/>
        </w:rPr>
      </w:pPr>
      <w:r w:rsidRPr="00433F62">
        <w:rPr>
          <w:rFonts w:eastAsia="Times New Roman" w:cs="Arial"/>
          <w:bCs/>
          <w:color w:val="000000"/>
          <w:lang w:eastAsia="bg-BG"/>
        </w:rPr>
        <w:t xml:space="preserve">При двата вида животни са наблюдавани повишена активност на плазмения ренин и хипертрофия/ хиперплазия на юкстагломерулниге клетки. Тези промени, които са също и ефект на инхибиторите на ангиотензин конвертиращия ензим и на други ангиотензин </w:t>
      </w:r>
      <w:r w:rsidRPr="00433F62">
        <w:rPr>
          <w:rFonts w:eastAsia="Times New Roman" w:cs="Arial"/>
          <w:bCs/>
          <w:color w:val="000000"/>
          <w:lang w:val="en-US"/>
        </w:rPr>
        <w:t>II</w:t>
      </w:r>
      <w:r w:rsidRPr="00433F62">
        <w:rPr>
          <w:rFonts w:eastAsia="Times New Roman" w:cs="Arial"/>
          <w:bCs/>
          <w:color w:val="000000"/>
          <w:lang w:val="ru-RU"/>
        </w:rPr>
        <w:t xml:space="preserve"> </w:t>
      </w:r>
      <w:r w:rsidRPr="00433F62">
        <w:rPr>
          <w:rFonts w:eastAsia="Times New Roman" w:cs="Arial"/>
          <w:bCs/>
          <w:color w:val="000000"/>
          <w:lang w:eastAsia="bg-BG"/>
        </w:rPr>
        <w:t>рецепторни антагонисти, нямат клинична значимост.</w:t>
      </w:r>
    </w:p>
    <w:p w14:paraId="45993688" w14:textId="21CDD50D" w:rsidR="00433F62" w:rsidRPr="00433F62" w:rsidRDefault="00433F62" w:rsidP="00433F62">
      <w:pPr>
        <w:rPr>
          <w:rFonts w:eastAsia="Times New Roman" w:cs="Arial"/>
          <w:bCs/>
          <w:color w:val="000000"/>
          <w:lang w:eastAsia="bg-BG"/>
        </w:rPr>
      </w:pPr>
    </w:p>
    <w:p w14:paraId="6BF72E87"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Няма ясни доказателства за тератогенен ефект, въпреки това при токсични дозови нива на телмисартан е наблюдаван ефект върху постнаталното развитие на потомството като по-ниско телесно тегло, закъсняващо отваряне на очите.</w:t>
      </w:r>
    </w:p>
    <w:p w14:paraId="62C81BC5" w14:textId="77777777" w:rsidR="00433F62" w:rsidRPr="00433F62" w:rsidRDefault="00433F62" w:rsidP="00433F62">
      <w:pPr>
        <w:spacing w:line="240" w:lineRule="auto"/>
        <w:rPr>
          <w:rFonts w:eastAsia="Times New Roman" w:cs="Arial"/>
          <w:bCs/>
          <w:color w:val="000000"/>
          <w:lang w:eastAsia="bg-BG"/>
        </w:rPr>
      </w:pPr>
    </w:p>
    <w:p w14:paraId="04C0DD9E" w14:textId="73E2E716"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Няма данни за мутагенна и съответна кластогенна активност при изпитвания </w:t>
      </w:r>
      <w:r w:rsidRPr="00433F62">
        <w:rPr>
          <w:rFonts w:eastAsia="Times New Roman" w:cs="Arial"/>
          <w:bCs/>
          <w:i/>
          <w:iCs/>
          <w:color w:val="000000"/>
          <w:lang w:val="en-US"/>
        </w:rPr>
        <w:t>in</w:t>
      </w:r>
      <w:r w:rsidRPr="00433F62">
        <w:rPr>
          <w:rFonts w:eastAsia="Times New Roman" w:cs="Arial"/>
          <w:bCs/>
          <w:i/>
          <w:iCs/>
          <w:color w:val="000000"/>
          <w:lang w:val="ru-RU"/>
        </w:rPr>
        <w:t xml:space="preserve"> </w:t>
      </w:r>
      <w:r w:rsidRPr="00433F62">
        <w:rPr>
          <w:rFonts w:eastAsia="Times New Roman" w:cs="Arial"/>
          <w:bCs/>
          <w:i/>
          <w:iCs/>
          <w:color w:val="000000"/>
          <w:lang w:val="en-US"/>
        </w:rPr>
        <w:t>vitro</w:t>
      </w:r>
      <w:r w:rsidRPr="00433F62">
        <w:rPr>
          <w:rFonts w:eastAsia="Times New Roman" w:cs="Arial"/>
          <w:bCs/>
          <w:color w:val="000000"/>
          <w:lang w:val="ru-RU"/>
        </w:rPr>
        <w:t xml:space="preserve"> </w:t>
      </w:r>
      <w:r w:rsidRPr="00433F62">
        <w:rPr>
          <w:rFonts w:eastAsia="Times New Roman" w:cs="Arial"/>
          <w:bCs/>
          <w:color w:val="000000"/>
          <w:lang w:eastAsia="bg-BG"/>
        </w:rPr>
        <w:t>и за карциногенност при плъхове и мишки.</w:t>
      </w:r>
    </w:p>
    <w:p w14:paraId="66700E56" w14:textId="77777777" w:rsidR="00433F62" w:rsidRPr="00433F62" w:rsidRDefault="00433F62" w:rsidP="00433F62">
      <w:pPr>
        <w:spacing w:line="240" w:lineRule="auto"/>
        <w:rPr>
          <w:rFonts w:eastAsia="Times New Roman" w:cs="Arial"/>
          <w:bCs/>
          <w:color w:val="000000"/>
          <w:u w:val="single"/>
          <w:lang w:eastAsia="bg-BG"/>
        </w:rPr>
      </w:pPr>
    </w:p>
    <w:p w14:paraId="7602B184" w14:textId="407BBF8B" w:rsidR="00433F62" w:rsidRPr="00433F62" w:rsidRDefault="00433F62" w:rsidP="00433F62">
      <w:pPr>
        <w:spacing w:line="240" w:lineRule="auto"/>
        <w:rPr>
          <w:rFonts w:eastAsia="Times New Roman" w:cs="Arial"/>
        </w:rPr>
      </w:pPr>
      <w:r w:rsidRPr="00433F62">
        <w:rPr>
          <w:rFonts w:eastAsia="Times New Roman" w:cs="Arial"/>
          <w:bCs/>
          <w:color w:val="000000"/>
          <w:u w:val="single"/>
          <w:lang w:eastAsia="bg-BG"/>
        </w:rPr>
        <w:t>Амлодипин</w:t>
      </w:r>
    </w:p>
    <w:p w14:paraId="6060FADB" w14:textId="77777777"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Репродуктивна токсичност</w:t>
      </w:r>
    </w:p>
    <w:p w14:paraId="03847E9A"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kg</w:t>
      </w:r>
      <w:r w:rsidRPr="00433F62">
        <w:rPr>
          <w:rFonts w:eastAsia="Times New Roman" w:cs="Arial"/>
          <w:bCs/>
          <w:color w:val="000000"/>
          <w:lang w:val="ru-RU"/>
        </w:rPr>
        <w:t>.</w:t>
      </w:r>
    </w:p>
    <w:p w14:paraId="356D4905" w14:textId="77777777" w:rsidR="00433F62" w:rsidRPr="00433F62" w:rsidRDefault="00433F62" w:rsidP="00433F62">
      <w:pPr>
        <w:spacing w:line="240" w:lineRule="auto"/>
        <w:rPr>
          <w:rFonts w:eastAsia="Times New Roman" w:cs="Arial"/>
          <w:bCs/>
          <w:i/>
          <w:iCs/>
          <w:color w:val="000000"/>
          <w:lang w:eastAsia="bg-BG"/>
        </w:rPr>
      </w:pPr>
    </w:p>
    <w:p w14:paraId="0CF981A9" w14:textId="31DE3A3F"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Нарушения във фертилитета</w:t>
      </w:r>
    </w:p>
    <w:p w14:paraId="5AEFEE36"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Няма ефект върху фертилитета на плъхове, третирани с амлодипин (мъжки - 64 дни и женски - 14 дни преди оплождане) в дози до 10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kg</w:t>
      </w:r>
      <w:r w:rsidRPr="00433F62">
        <w:rPr>
          <w:rFonts w:eastAsia="Times New Roman" w:cs="Arial"/>
          <w:bCs/>
          <w:color w:val="000000"/>
          <w:lang w:eastAsia="bg-BG"/>
        </w:rPr>
        <w:t xml:space="preserve">/ден (8 пъти* по-високи от максималната препоръчителна за хора доза от 10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m</w:t>
      </w:r>
      <w:r w:rsidRPr="00433F62">
        <w:rPr>
          <w:rFonts w:eastAsia="Times New Roman" w:cs="Arial"/>
          <w:bCs/>
          <w:color w:val="000000"/>
          <w:vertAlign w:val="superscript"/>
          <w:lang w:val="ru-RU"/>
        </w:rPr>
        <w:t>2</w:t>
      </w:r>
      <w:r w:rsidRPr="00433F62">
        <w:rPr>
          <w:rFonts w:eastAsia="Times New Roman" w:cs="Arial"/>
          <w:bCs/>
          <w:color w:val="000000"/>
          <w:lang w:val="ru-RU"/>
        </w:rPr>
        <w:t xml:space="preserve">, </w:t>
      </w:r>
      <w:r w:rsidRPr="00433F62">
        <w:rPr>
          <w:rFonts w:eastAsia="Times New Roman" w:cs="Arial"/>
          <w:bCs/>
          <w:color w:val="000000"/>
          <w:lang w:eastAsia="bg-BG"/>
        </w:rPr>
        <w:t xml:space="preserve">изчислена на база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m</w:t>
      </w:r>
      <w:r w:rsidRPr="00433F62">
        <w:rPr>
          <w:rFonts w:eastAsia="Times New Roman" w:cs="Arial"/>
          <w:bCs/>
          <w:color w:val="000000"/>
          <w:vertAlign w:val="superscript"/>
          <w:lang w:val="ru-RU"/>
        </w:rPr>
        <w:t>2</w:t>
      </w:r>
      <w:r w:rsidRPr="00433F62">
        <w:rPr>
          <w:rFonts w:eastAsia="Times New Roman" w:cs="Arial"/>
          <w:bCs/>
          <w:color w:val="000000"/>
          <w:lang w:val="ru-RU"/>
        </w:rPr>
        <w:t xml:space="preserve">). </w:t>
      </w:r>
      <w:r w:rsidRPr="00433F62">
        <w:rPr>
          <w:rFonts w:eastAsia="Times New Roman" w:cs="Arial"/>
          <w:bCs/>
          <w:color w:val="000000"/>
          <w:lang w:eastAsia="bg-BG"/>
        </w:rPr>
        <w:t xml:space="preserve">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kg</w:t>
      </w:r>
      <w:r w:rsidRPr="00433F62">
        <w:rPr>
          <w:rFonts w:eastAsia="Times New Roman" w:cs="Arial"/>
          <w:bCs/>
          <w:color w:val="000000"/>
          <w:lang w:val="ru-RU"/>
        </w:rPr>
        <w:t xml:space="preserve">, </w:t>
      </w:r>
      <w:r w:rsidRPr="00433F62">
        <w:rPr>
          <w:rFonts w:eastAsia="Times New Roman" w:cs="Arial"/>
          <w:bCs/>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сертолиевите клетки.</w:t>
      </w:r>
    </w:p>
    <w:p w14:paraId="0C96E3AC" w14:textId="77777777" w:rsidR="00433F62" w:rsidRPr="00433F62" w:rsidRDefault="00433F62" w:rsidP="00433F62">
      <w:pPr>
        <w:spacing w:line="240" w:lineRule="auto"/>
        <w:rPr>
          <w:rFonts w:eastAsia="Times New Roman" w:cs="Arial"/>
          <w:bCs/>
          <w:i/>
          <w:iCs/>
          <w:color w:val="000000"/>
          <w:lang w:eastAsia="bg-BG"/>
        </w:rPr>
      </w:pPr>
    </w:p>
    <w:p w14:paraId="419261D6" w14:textId="3C971F41" w:rsidR="00433F62" w:rsidRPr="00433F62" w:rsidRDefault="00433F62" w:rsidP="00433F62">
      <w:pPr>
        <w:spacing w:line="240" w:lineRule="auto"/>
        <w:rPr>
          <w:rFonts w:eastAsia="Times New Roman" w:cs="Arial"/>
        </w:rPr>
      </w:pPr>
      <w:r w:rsidRPr="00433F62">
        <w:rPr>
          <w:rFonts w:eastAsia="Times New Roman" w:cs="Arial"/>
          <w:bCs/>
          <w:i/>
          <w:iCs/>
          <w:color w:val="000000"/>
          <w:lang w:eastAsia="bg-BG"/>
        </w:rPr>
        <w:t>Карциногенеза, мутагенеза</w:t>
      </w:r>
    </w:p>
    <w:p w14:paraId="27C02EE1"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lastRenderedPageBreak/>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0,5,1,25 и 2,5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kg</w:t>
      </w:r>
      <w:r w:rsidRPr="00433F62">
        <w:rPr>
          <w:rFonts w:eastAsia="Times New Roman" w:cs="Arial"/>
          <w:bCs/>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433F62">
        <w:rPr>
          <w:rFonts w:eastAsia="Times New Roman" w:cs="Arial"/>
          <w:bCs/>
          <w:color w:val="000000"/>
          <w:lang w:val="en-US"/>
        </w:rPr>
        <w:t>mg</w:t>
      </w:r>
      <w:r w:rsidRPr="00433F62">
        <w:rPr>
          <w:rFonts w:eastAsia="Times New Roman" w:cs="Arial"/>
          <w:bCs/>
          <w:color w:val="000000"/>
          <w:lang w:val="ru-RU"/>
        </w:rPr>
        <w:t xml:space="preserve">, </w:t>
      </w:r>
      <w:r w:rsidRPr="00433F62">
        <w:rPr>
          <w:rFonts w:eastAsia="Times New Roman" w:cs="Arial"/>
          <w:bCs/>
          <w:color w:val="000000"/>
          <w:lang w:eastAsia="bg-BG"/>
        </w:rPr>
        <w:t xml:space="preserve">изчислена за </w:t>
      </w:r>
      <w:r w:rsidRPr="00433F62">
        <w:rPr>
          <w:rFonts w:eastAsia="Times New Roman" w:cs="Arial"/>
          <w:bCs/>
          <w:color w:val="000000"/>
          <w:lang w:val="en-US"/>
        </w:rPr>
        <w:t>mg</w:t>
      </w:r>
      <w:r w:rsidRPr="00433F62">
        <w:rPr>
          <w:rFonts w:eastAsia="Times New Roman" w:cs="Arial"/>
          <w:bCs/>
          <w:color w:val="000000"/>
          <w:lang w:val="ru-RU"/>
        </w:rPr>
        <w:t>/</w:t>
      </w:r>
      <w:r w:rsidRPr="00433F62">
        <w:rPr>
          <w:rFonts w:eastAsia="Times New Roman" w:cs="Arial"/>
          <w:bCs/>
          <w:color w:val="000000"/>
          <w:lang w:val="en-US"/>
        </w:rPr>
        <w:t>m</w:t>
      </w:r>
      <w:r w:rsidRPr="00433F62">
        <w:rPr>
          <w:rFonts w:eastAsia="Times New Roman" w:cs="Arial"/>
          <w:bCs/>
          <w:color w:val="000000"/>
          <w:vertAlign w:val="superscript"/>
          <w:lang w:val="ru-RU"/>
        </w:rPr>
        <w:t>2</w:t>
      </w:r>
      <w:r w:rsidRPr="00433F62">
        <w:rPr>
          <w:rFonts w:eastAsia="Times New Roman" w:cs="Arial"/>
          <w:bCs/>
          <w:color w:val="000000"/>
          <w:lang w:val="ru-RU"/>
        </w:rPr>
        <w:t xml:space="preserve">) </w:t>
      </w:r>
      <w:r w:rsidRPr="00433F62">
        <w:rPr>
          <w:rFonts w:eastAsia="Times New Roman" w:cs="Arial"/>
          <w:bCs/>
          <w:color w:val="000000"/>
          <w:lang w:eastAsia="bg-BG"/>
        </w:rPr>
        <w:t>е била близка до максимално допустимата доза за мишки, но не и за плъхове.</w:t>
      </w:r>
    </w:p>
    <w:p w14:paraId="53EE9681" w14:textId="77777777" w:rsidR="00433F62" w:rsidRPr="00433F62" w:rsidRDefault="00433F62" w:rsidP="00433F62">
      <w:pPr>
        <w:spacing w:line="240" w:lineRule="auto"/>
        <w:rPr>
          <w:rFonts w:eastAsia="Times New Roman" w:cs="Arial"/>
          <w:bCs/>
          <w:color w:val="000000"/>
          <w:lang w:eastAsia="bg-BG"/>
        </w:rPr>
      </w:pPr>
    </w:p>
    <w:p w14:paraId="12D322F1" w14:textId="13A8F5E9"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Проучвания за мутагенност не показват лекарствено-обусловени ефекти нито на генно, нито на хромозомно ниво.</w:t>
      </w:r>
    </w:p>
    <w:p w14:paraId="48F029AD" w14:textId="77777777" w:rsidR="00433F62" w:rsidRPr="00433F62" w:rsidRDefault="00433F62" w:rsidP="00433F62">
      <w:pPr>
        <w:spacing w:line="240" w:lineRule="auto"/>
        <w:rPr>
          <w:rFonts w:eastAsia="Times New Roman" w:cs="Arial"/>
        </w:rPr>
      </w:pPr>
      <w:r w:rsidRPr="00433F62">
        <w:rPr>
          <w:rFonts w:eastAsia="Times New Roman" w:cs="Arial"/>
          <w:bCs/>
          <w:color w:val="000000"/>
          <w:lang w:eastAsia="bg-BG"/>
        </w:rPr>
        <w:t xml:space="preserve">* изчислена за пациенти с тегло 50 </w:t>
      </w:r>
      <w:r w:rsidRPr="00433F62">
        <w:rPr>
          <w:rFonts w:eastAsia="Times New Roman" w:cs="Arial"/>
          <w:bCs/>
          <w:color w:val="000000"/>
          <w:lang w:val="en-US"/>
        </w:rPr>
        <w:t>kg</w:t>
      </w:r>
    </w:p>
    <w:p w14:paraId="70731ECC" w14:textId="77777777" w:rsidR="00433F62" w:rsidRPr="00433F62" w:rsidRDefault="00433F62" w:rsidP="00433F62"/>
    <w:p w14:paraId="1BA6531D" w14:textId="51B472C2" w:rsidR="00B6672E" w:rsidRDefault="002C50EE" w:rsidP="00936AD0">
      <w:pPr>
        <w:pStyle w:val="Heading1"/>
      </w:pPr>
      <w:r>
        <w:t>7. ПРИТЕЖАТЕЛ НА РАЗРЕШЕНИЕТО ЗА УПОТРЕБА</w:t>
      </w:r>
    </w:p>
    <w:p w14:paraId="12A36CF2" w14:textId="22974C0B" w:rsidR="00433F62" w:rsidRDefault="00433F62" w:rsidP="00433F62"/>
    <w:p w14:paraId="42840728" w14:textId="77777777" w:rsidR="00433F62" w:rsidRPr="00433F62" w:rsidRDefault="00433F62" w:rsidP="00433F62">
      <w:pPr>
        <w:rPr>
          <w:sz w:val="24"/>
          <w:szCs w:val="24"/>
          <w:lang w:val="en-US"/>
        </w:rPr>
      </w:pPr>
      <w:proofErr w:type="spellStart"/>
      <w:r w:rsidRPr="00433F62">
        <w:rPr>
          <w:lang w:val="en-US"/>
        </w:rPr>
        <w:t>Zentiva</w:t>
      </w:r>
      <w:proofErr w:type="spellEnd"/>
      <w:r w:rsidRPr="00433F62">
        <w:rPr>
          <w:lang w:val="en-US"/>
        </w:rPr>
        <w:t xml:space="preserve"> </w:t>
      </w:r>
      <w:proofErr w:type="spellStart"/>
      <w:r w:rsidRPr="00433F62">
        <w:rPr>
          <w:lang w:val="en-US"/>
        </w:rPr>
        <w:t>k.s</w:t>
      </w:r>
      <w:proofErr w:type="spellEnd"/>
      <w:r w:rsidRPr="00433F62">
        <w:rPr>
          <w:lang w:val="en-US"/>
        </w:rPr>
        <w:t>.</w:t>
      </w:r>
    </w:p>
    <w:p w14:paraId="5E1366BE" w14:textId="77777777" w:rsidR="00433F62" w:rsidRPr="00433F62" w:rsidRDefault="00433F62" w:rsidP="00433F62">
      <w:pPr>
        <w:rPr>
          <w:sz w:val="24"/>
          <w:szCs w:val="24"/>
          <w:lang w:val="en-US"/>
        </w:rPr>
      </w:pPr>
      <w:r w:rsidRPr="00433F62">
        <w:rPr>
          <w:lang w:val="en-US"/>
        </w:rPr>
        <w:t xml:space="preserve">U </w:t>
      </w:r>
      <w:proofErr w:type="spellStart"/>
      <w:r w:rsidRPr="00433F62">
        <w:rPr>
          <w:lang w:val="en-US"/>
        </w:rPr>
        <w:t>kabelovny</w:t>
      </w:r>
      <w:proofErr w:type="spellEnd"/>
      <w:r w:rsidRPr="00433F62">
        <w:rPr>
          <w:lang w:val="en-US"/>
        </w:rPr>
        <w:t xml:space="preserve"> </w:t>
      </w:r>
      <w:r w:rsidRPr="00433F62">
        <w:rPr>
          <w:lang w:eastAsia="bg-BG"/>
        </w:rPr>
        <w:t xml:space="preserve">130, </w:t>
      </w:r>
      <w:proofErr w:type="spellStart"/>
      <w:r w:rsidRPr="00433F62">
        <w:rPr>
          <w:lang w:val="en-US"/>
        </w:rPr>
        <w:t>Dolni</w:t>
      </w:r>
      <w:proofErr w:type="spellEnd"/>
      <w:r w:rsidRPr="00433F62">
        <w:rPr>
          <w:lang w:val="en-US"/>
        </w:rPr>
        <w:t xml:space="preserve"> </w:t>
      </w:r>
      <w:proofErr w:type="spellStart"/>
      <w:r w:rsidRPr="00433F62">
        <w:rPr>
          <w:lang w:val="en-US"/>
        </w:rPr>
        <w:t>Mecholupy</w:t>
      </w:r>
      <w:proofErr w:type="spellEnd"/>
    </w:p>
    <w:p w14:paraId="29595F5E" w14:textId="77777777" w:rsidR="00433F62" w:rsidRPr="00433F62" w:rsidRDefault="00433F62" w:rsidP="00433F62">
      <w:pPr>
        <w:rPr>
          <w:sz w:val="24"/>
          <w:szCs w:val="24"/>
          <w:lang w:val="ru-RU"/>
        </w:rPr>
      </w:pPr>
      <w:r w:rsidRPr="00433F62">
        <w:rPr>
          <w:lang w:val="ru-RU"/>
        </w:rPr>
        <w:t xml:space="preserve">102 37, </w:t>
      </w:r>
      <w:r w:rsidRPr="00433F62">
        <w:rPr>
          <w:lang w:val="en-US"/>
        </w:rPr>
        <w:t>Prague</w:t>
      </w:r>
      <w:r w:rsidRPr="00433F62">
        <w:rPr>
          <w:lang w:val="ru-RU"/>
        </w:rPr>
        <w:t xml:space="preserve"> 10</w:t>
      </w:r>
    </w:p>
    <w:p w14:paraId="214D0A74" w14:textId="64AC528B" w:rsidR="00433F62" w:rsidRPr="00433F62" w:rsidRDefault="00433F62" w:rsidP="00433F62">
      <w:r w:rsidRPr="00433F62">
        <w:rPr>
          <w:lang w:eastAsia="bg-BG"/>
        </w:rPr>
        <w:t>Чешка република</w:t>
      </w:r>
    </w:p>
    <w:p w14:paraId="508F3A54" w14:textId="41E77D95" w:rsidR="00B6672E" w:rsidRDefault="00936AD0" w:rsidP="00936AD0">
      <w:pPr>
        <w:pStyle w:val="Heading1"/>
      </w:pPr>
      <w:r>
        <w:t>8.</w:t>
      </w:r>
      <w:r w:rsidR="002C50EE">
        <w:t>НОМЕР НА РАЗРЕШЕНИЕТО ЗА УПОТРЕБА</w:t>
      </w:r>
    </w:p>
    <w:p w14:paraId="68C983DC" w14:textId="15D47ABF" w:rsidR="00433F62" w:rsidRDefault="00433F62" w:rsidP="00433F62"/>
    <w:p w14:paraId="1375B37A" w14:textId="0046143A" w:rsidR="00433F62" w:rsidRPr="00433F62" w:rsidRDefault="00433F62" w:rsidP="00433F62">
      <w:r>
        <w:rPr>
          <w:lang w:val="en-US"/>
        </w:rPr>
        <w:t>Per</w:t>
      </w:r>
      <w:r w:rsidRPr="00433F62">
        <w:rPr>
          <w:lang w:val="ru-RU"/>
        </w:rPr>
        <w:t xml:space="preserve">. </w:t>
      </w:r>
      <w:r>
        <w:t>№ 20150394</w:t>
      </w:r>
    </w:p>
    <w:p w14:paraId="3BC5EC53" w14:textId="1B82AB3F" w:rsidR="00875EEC" w:rsidRDefault="002C50EE" w:rsidP="005726E3">
      <w:pPr>
        <w:pStyle w:val="Heading1"/>
      </w:pPr>
      <w:r>
        <w:t>9. ДАТА НА ПЪРВО РАЗРЕШАВАНЕ/ПОДНОВЯВАНЕ НА РАЗРЕШЕНИЕТО ЗА УПОТРЕБА</w:t>
      </w:r>
    </w:p>
    <w:p w14:paraId="7EF04FE0" w14:textId="6435313E" w:rsidR="00433F62" w:rsidRDefault="00433F62" w:rsidP="00433F62"/>
    <w:p w14:paraId="6378A8BE" w14:textId="77777777" w:rsidR="00433F62" w:rsidRPr="00433F62" w:rsidRDefault="00433F62" w:rsidP="00433F62">
      <w:pPr>
        <w:rPr>
          <w:sz w:val="24"/>
          <w:szCs w:val="24"/>
        </w:rPr>
      </w:pPr>
      <w:r w:rsidRPr="00433F62">
        <w:rPr>
          <w:lang w:eastAsia="bg-BG"/>
        </w:rPr>
        <w:t>Дата на първо разрешаване: 17.11.2015 г.</w:t>
      </w:r>
    </w:p>
    <w:p w14:paraId="67AF14E0" w14:textId="26EE710B" w:rsidR="00433F62" w:rsidRPr="00433F62" w:rsidRDefault="00433F62" w:rsidP="00433F62">
      <w:r w:rsidRPr="00433F62">
        <w:rPr>
          <w:lang w:eastAsia="bg-BG"/>
        </w:rPr>
        <w:t>Дата на последно подновяване:</w:t>
      </w:r>
    </w:p>
    <w:p w14:paraId="43FB38A2" w14:textId="24737BAE" w:rsidR="007C605B" w:rsidRDefault="002C50EE" w:rsidP="005726E3">
      <w:pPr>
        <w:pStyle w:val="Heading1"/>
      </w:pPr>
      <w:r>
        <w:t>10. ДАТА НА АКТУАЛИЗИРАНЕ НА ТЕКСТА</w:t>
      </w:r>
      <w:bookmarkEnd w:id="0"/>
    </w:p>
    <w:p w14:paraId="7D5C7D07" w14:textId="3255C03C" w:rsidR="00433F62" w:rsidRPr="00433F62" w:rsidRDefault="00433F62" w:rsidP="00433F62">
      <w:r>
        <w:t>14.02.2021 г.</w:t>
      </w:r>
      <w:bookmarkStart w:id="2" w:name="_GoBack"/>
      <w:bookmarkEnd w:id="2"/>
    </w:p>
    <w:sectPr w:rsidR="00433F62" w:rsidRPr="004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8D22988"/>
    <w:multiLevelType w:val="hybridMultilevel"/>
    <w:tmpl w:val="86804AB6"/>
    <w:lvl w:ilvl="0" w:tplc="64127FC0">
      <w:start w:val="4"/>
      <w:numFmt w:val="bullet"/>
      <w:lvlText w:val="-"/>
      <w:lvlJc w:val="left"/>
      <w:pPr>
        <w:ind w:left="720" w:hanging="360"/>
      </w:pPr>
      <w:rPr>
        <w:rFonts w:ascii="Times New Roman" w:eastAsia="Times New Roman" w:hAnsi="Times New Roman" w:cs="Times New Roman" w:hint="default"/>
        <w:b/>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4"/>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B7EC9"/>
    <w:rsid w:val="003E3126"/>
    <w:rsid w:val="00426E5F"/>
    <w:rsid w:val="00433F62"/>
    <w:rsid w:val="004A448E"/>
    <w:rsid w:val="004D4D6B"/>
    <w:rsid w:val="004F1CE7"/>
    <w:rsid w:val="004F498A"/>
    <w:rsid w:val="00517A5B"/>
    <w:rsid w:val="005726E3"/>
    <w:rsid w:val="00593A00"/>
    <w:rsid w:val="005A66D9"/>
    <w:rsid w:val="00605BCA"/>
    <w:rsid w:val="006158A1"/>
    <w:rsid w:val="00617B1F"/>
    <w:rsid w:val="006501E2"/>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91A37"/>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04DF5"/>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7480</Words>
  <Characters>42636</Characters>
  <Application>Microsoft Office Word</Application>
  <DocSecurity>0</DocSecurity>
  <Lines>355</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2022-12-03T16:53:00Z</dcterms:created>
  <dcterms:modified xsi:type="dcterms:W3CDTF">2022-12-03T16:53:00Z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