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7E0E00A6" w:rsidR="00F53FB7" w:rsidRDefault="00DD466D" w:rsidP="00A93499">
      <w:pPr>
        <w:pStyle w:val="Heading1"/>
      </w:pPr>
      <w:r>
        <w:t>1.ИМЕ НА ЛЕКАРСТВЕНИЯ ПРОДУКТ</w:t>
      </w:r>
    </w:p>
    <w:p w14:paraId="7A3BD364" w14:textId="6429A387" w:rsidR="00C24008" w:rsidRDefault="00C24008" w:rsidP="00C24008"/>
    <w:p w14:paraId="778E4995" w14:textId="77777777" w:rsidR="00C24008" w:rsidRDefault="00C24008" w:rsidP="00C24008">
      <w:pPr>
        <w:rPr>
          <w:lang w:eastAsia="bg-BG"/>
        </w:rPr>
      </w:pPr>
      <w:r w:rsidRPr="00C24008">
        <w:rPr>
          <w:lang w:eastAsia="bg-BG"/>
        </w:rPr>
        <w:t xml:space="preserve">Телмисартан НСТ ЕГИС 40 </w:t>
      </w:r>
      <w:r w:rsidRPr="00C24008">
        <w:rPr>
          <w:lang w:val="en-US"/>
        </w:rPr>
        <w:t xml:space="preserve">mg/12,5 mg </w:t>
      </w:r>
      <w:r w:rsidRPr="00C24008">
        <w:rPr>
          <w:lang w:eastAsia="bg-BG"/>
        </w:rPr>
        <w:t xml:space="preserve">таблетки </w:t>
      </w:r>
    </w:p>
    <w:p w14:paraId="281088E0" w14:textId="28A9E326" w:rsidR="00C24008" w:rsidRPr="00C24008" w:rsidRDefault="00C24008" w:rsidP="00C24008">
      <w:pPr>
        <w:rPr>
          <w:lang w:eastAsia="bg-BG"/>
        </w:rPr>
      </w:pPr>
      <w:r w:rsidRPr="00C24008">
        <w:rPr>
          <w:lang w:eastAsia="bg-BG"/>
        </w:rPr>
        <w:t xml:space="preserve">Телмисартан НСТ ЕГИС 80 </w:t>
      </w:r>
      <w:r w:rsidRPr="00C24008">
        <w:rPr>
          <w:lang w:val="en-US"/>
        </w:rPr>
        <w:t xml:space="preserve">mg/12,5 mg </w:t>
      </w:r>
      <w:r w:rsidRPr="00C24008">
        <w:rPr>
          <w:lang w:eastAsia="bg-BG"/>
        </w:rPr>
        <w:t>таблетки</w:t>
      </w:r>
    </w:p>
    <w:p w14:paraId="1D5FC605" w14:textId="77777777" w:rsidR="00C24008" w:rsidRPr="00C24008" w:rsidRDefault="00C24008" w:rsidP="00C24008">
      <w:pPr>
        <w:rPr>
          <w:sz w:val="24"/>
          <w:szCs w:val="24"/>
          <w:lang w:val="en-US" w:eastAsia="bg-BG"/>
        </w:rPr>
      </w:pPr>
      <w:r w:rsidRPr="00C24008">
        <w:rPr>
          <w:lang w:eastAsia="bg-BG"/>
        </w:rPr>
        <w:t xml:space="preserve">Телмисартан НСТ ЕГИС 80 </w:t>
      </w:r>
      <w:r w:rsidRPr="00C24008">
        <w:rPr>
          <w:lang w:val="en-US"/>
        </w:rPr>
        <w:t xml:space="preserve">mg/25 mg </w:t>
      </w:r>
      <w:r w:rsidRPr="00C24008">
        <w:rPr>
          <w:lang w:eastAsia="bg-BG"/>
        </w:rPr>
        <w:t>таблетки</w:t>
      </w:r>
    </w:p>
    <w:p w14:paraId="4ED5C3AC" w14:textId="77777777" w:rsidR="00C24008" w:rsidRDefault="00C24008" w:rsidP="00C24008">
      <w:pPr>
        <w:rPr>
          <w:lang w:val="en-US"/>
        </w:rPr>
      </w:pPr>
    </w:p>
    <w:p w14:paraId="7E3C7170" w14:textId="47F64C31" w:rsidR="00C24008" w:rsidRPr="00C24008" w:rsidRDefault="00C24008" w:rsidP="00C24008">
      <w:pPr>
        <w:rPr>
          <w:sz w:val="24"/>
          <w:szCs w:val="24"/>
          <w:lang w:val="en-US" w:eastAsia="bg-BG"/>
        </w:rPr>
      </w:pPr>
      <w:r w:rsidRPr="00C24008">
        <w:rPr>
          <w:lang w:val="en-US"/>
        </w:rPr>
        <w:t xml:space="preserve">Telmisartan </w:t>
      </w:r>
      <w:r w:rsidRPr="00C24008">
        <w:rPr>
          <w:lang w:eastAsia="bg-BG"/>
        </w:rPr>
        <w:t xml:space="preserve">НСТ </w:t>
      </w:r>
      <w:r w:rsidRPr="00C24008">
        <w:rPr>
          <w:lang w:val="en-US"/>
        </w:rPr>
        <w:t xml:space="preserve">EGIS </w:t>
      </w:r>
      <w:r w:rsidRPr="00C24008">
        <w:rPr>
          <w:lang w:eastAsia="bg-BG"/>
        </w:rPr>
        <w:t xml:space="preserve">40 </w:t>
      </w:r>
      <w:r w:rsidRPr="00C24008">
        <w:rPr>
          <w:lang w:val="en-US"/>
        </w:rPr>
        <w:t>mg/12.5 mg tablets</w:t>
      </w:r>
    </w:p>
    <w:p w14:paraId="6FD8C00C" w14:textId="77777777" w:rsidR="00C24008" w:rsidRPr="00C24008" w:rsidRDefault="00C24008" w:rsidP="00C24008">
      <w:pPr>
        <w:rPr>
          <w:sz w:val="24"/>
          <w:szCs w:val="24"/>
          <w:lang w:val="en-US" w:eastAsia="bg-BG"/>
        </w:rPr>
      </w:pPr>
      <w:r w:rsidRPr="00C24008">
        <w:rPr>
          <w:lang w:val="en-US"/>
        </w:rPr>
        <w:t xml:space="preserve">Telmisartan </w:t>
      </w:r>
      <w:r w:rsidRPr="00C24008">
        <w:rPr>
          <w:lang w:eastAsia="bg-BG"/>
        </w:rPr>
        <w:t xml:space="preserve">НСТ </w:t>
      </w:r>
      <w:r w:rsidRPr="00C24008">
        <w:rPr>
          <w:lang w:val="en-US"/>
        </w:rPr>
        <w:t>EGIS 80 mg/12.5 mg tablets</w:t>
      </w:r>
    </w:p>
    <w:p w14:paraId="694C733C" w14:textId="77777777" w:rsidR="00C24008" w:rsidRPr="00C24008" w:rsidRDefault="00C24008" w:rsidP="00C24008">
      <w:pPr>
        <w:rPr>
          <w:sz w:val="24"/>
          <w:szCs w:val="24"/>
          <w:lang w:val="en-US" w:eastAsia="bg-BG"/>
        </w:rPr>
      </w:pPr>
      <w:r w:rsidRPr="00C24008">
        <w:rPr>
          <w:lang w:val="en-US"/>
        </w:rPr>
        <w:t>Telmisartan HCT EGIS 80 mg/25 mg tablets</w:t>
      </w:r>
    </w:p>
    <w:p w14:paraId="2C736A28" w14:textId="77777777" w:rsidR="00C24008" w:rsidRPr="00C24008" w:rsidRDefault="00C24008" w:rsidP="00C24008"/>
    <w:p w14:paraId="0DF202EC" w14:textId="2D015C1C" w:rsidR="00F53FB7" w:rsidRDefault="00DD466D" w:rsidP="00A93499">
      <w:pPr>
        <w:pStyle w:val="Heading1"/>
      </w:pPr>
      <w:r>
        <w:t>2. КАЧЕСТВЕН И КОЛИЧЕСТВЕН СЪСТАВ</w:t>
      </w:r>
    </w:p>
    <w:p w14:paraId="28377684" w14:textId="72CA5F58" w:rsidR="00C24008" w:rsidRDefault="00C24008" w:rsidP="00C24008"/>
    <w:p w14:paraId="13F66525" w14:textId="77777777" w:rsidR="00C24008" w:rsidRPr="00C24008" w:rsidRDefault="00C24008" w:rsidP="00C24008">
      <w:pPr>
        <w:rPr>
          <w:sz w:val="24"/>
          <w:szCs w:val="24"/>
          <w:lang w:eastAsia="bg-BG"/>
        </w:rPr>
      </w:pPr>
      <w:r w:rsidRPr="00C24008">
        <w:rPr>
          <w:lang w:eastAsia="bg-BG"/>
        </w:rPr>
        <w:t xml:space="preserve">Всяка таблетка съдържа 40 </w:t>
      </w:r>
      <w:r w:rsidRPr="00C24008">
        <w:rPr>
          <w:lang w:val="en-US"/>
        </w:rPr>
        <w:t xml:space="preserve">mg </w:t>
      </w:r>
      <w:r w:rsidRPr="00C24008">
        <w:rPr>
          <w:lang w:eastAsia="bg-BG"/>
        </w:rPr>
        <w:t xml:space="preserve">телмисартан </w:t>
      </w:r>
      <w:r w:rsidRPr="00C24008">
        <w:rPr>
          <w:i/>
          <w:iCs/>
          <w:lang w:val="en-US"/>
        </w:rPr>
        <w:t>(telmisartan)</w:t>
      </w:r>
      <w:r w:rsidRPr="00C24008">
        <w:rPr>
          <w:lang w:val="en-US"/>
        </w:rPr>
        <w:t xml:space="preserve"> </w:t>
      </w:r>
      <w:r w:rsidRPr="00C24008">
        <w:rPr>
          <w:lang w:eastAsia="bg-BG"/>
        </w:rPr>
        <w:t xml:space="preserve">и 12,5 </w:t>
      </w:r>
      <w:r w:rsidRPr="00C24008">
        <w:rPr>
          <w:lang w:val="en-US"/>
        </w:rPr>
        <w:t xml:space="preserve">mg </w:t>
      </w:r>
      <w:r w:rsidRPr="00C24008">
        <w:rPr>
          <w:lang w:eastAsia="bg-BG"/>
        </w:rPr>
        <w:t xml:space="preserve">хидрохлоротиазид </w:t>
      </w:r>
      <w:r w:rsidRPr="00C24008">
        <w:rPr>
          <w:i/>
          <w:iCs/>
          <w:lang w:val="en-US"/>
        </w:rPr>
        <w:t>(hydrochlorothiazide)</w:t>
      </w:r>
      <w:r w:rsidRPr="00C24008">
        <w:rPr>
          <w:i/>
          <w:iCs/>
          <w:lang w:eastAsia="bg-BG"/>
        </w:rPr>
        <w:t>.</w:t>
      </w:r>
    </w:p>
    <w:p w14:paraId="6E930605" w14:textId="77777777" w:rsidR="00C24008" w:rsidRPr="00C24008" w:rsidRDefault="00C24008" w:rsidP="00C24008">
      <w:pPr>
        <w:rPr>
          <w:sz w:val="24"/>
          <w:szCs w:val="24"/>
          <w:lang w:eastAsia="bg-BG"/>
        </w:rPr>
      </w:pPr>
      <w:r w:rsidRPr="00C24008">
        <w:rPr>
          <w:lang w:eastAsia="bg-BG"/>
        </w:rPr>
        <w:t xml:space="preserve">Всяка таблетка съдържа 80 </w:t>
      </w:r>
      <w:r w:rsidRPr="00C24008">
        <w:rPr>
          <w:lang w:val="en-US"/>
        </w:rPr>
        <w:t xml:space="preserve">mg </w:t>
      </w:r>
      <w:r w:rsidRPr="00C24008">
        <w:rPr>
          <w:lang w:eastAsia="bg-BG"/>
        </w:rPr>
        <w:t xml:space="preserve">телмисартан </w:t>
      </w:r>
      <w:r w:rsidRPr="00C24008">
        <w:rPr>
          <w:i/>
          <w:iCs/>
          <w:lang w:val="en-US"/>
        </w:rPr>
        <w:t>(telmisartan)</w:t>
      </w:r>
      <w:r w:rsidRPr="00C24008">
        <w:rPr>
          <w:lang w:val="en-US"/>
        </w:rPr>
        <w:t xml:space="preserve"> </w:t>
      </w:r>
      <w:r w:rsidRPr="00C24008">
        <w:rPr>
          <w:lang w:eastAsia="bg-BG"/>
        </w:rPr>
        <w:t xml:space="preserve">и 12,5 </w:t>
      </w:r>
      <w:r w:rsidRPr="00C24008">
        <w:rPr>
          <w:lang w:val="en-US"/>
        </w:rPr>
        <w:t xml:space="preserve">mg </w:t>
      </w:r>
      <w:r w:rsidRPr="00C24008">
        <w:rPr>
          <w:lang w:eastAsia="bg-BG"/>
        </w:rPr>
        <w:t xml:space="preserve">хидрохлоротиазид </w:t>
      </w:r>
      <w:r w:rsidRPr="00C24008">
        <w:rPr>
          <w:i/>
          <w:iCs/>
          <w:lang w:val="en-US"/>
        </w:rPr>
        <w:t>(hydrochlorothiazide).</w:t>
      </w:r>
    </w:p>
    <w:p w14:paraId="58B8B86A" w14:textId="533F5337" w:rsidR="00C24008" w:rsidRPr="00C24008" w:rsidRDefault="00C24008" w:rsidP="00C24008">
      <w:pPr>
        <w:rPr>
          <w:sz w:val="24"/>
          <w:szCs w:val="24"/>
          <w:lang w:eastAsia="bg-BG"/>
        </w:rPr>
      </w:pPr>
      <w:r w:rsidRPr="00C24008">
        <w:rPr>
          <w:lang w:eastAsia="bg-BG"/>
        </w:rPr>
        <w:t xml:space="preserve">Всяка таблетка съдържа 80 </w:t>
      </w:r>
      <w:r w:rsidRPr="00C24008">
        <w:rPr>
          <w:lang w:val="en-US"/>
        </w:rPr>
        <w:t xml:space="preserve">mg </w:t>
      </w:r>
      <w:r w:rsidRPr="00C24008">
        <w:rPr>
          <w:lang w:eastAsia="bg-BG"/>
        </w:rPr>
        <w:t xml:space="preserve">телмисартан </w:t>
      </w:r>
      <w:r w:rsidRPr="00C24008">
        <w:rPr>
          <w:i/>
          <w:iCs/>
          <w:lang w:val="en-US"/>
        </w:rPr>
        <w:t>(telmisartan)</w:t>
      </w:r>
      <w:r w:rsidRPr="00C24008">
        <w:rPr>
          <w:lang w:val="en-US"/>
        </w:rPr>
        <w:t xml:space="preserve"> </w:t>
      </w:r>
      <w:r w:rsidRPr="00C24008">
        <w:rPr>
          <w:lang w:eastAsia="bg-BG"/>
        </w:rPr>
        <w:t xml:space="preserve">и 25 </w:t>
      </w:r>
      <w:r w:rsidRPr="00C24008">
        <w:rPr>
          <w:lang w:val="en-US"/>
        </w:rPr>
        <w:t xml:space="preserve">mg </w:t>
      </w:r>
      <w:r w:rsidRPr="00C24008">
        <w:rPr>
          <w:lang w:eastAsia="bg-BG"/>
        </w:rPr>
        <w:t xml:space="preserve">хидрохлоротиазид </w:t>
      </w:r>
      <w:r w:rsidRPr="00C24008">
        <w:rPr>
          <w:i/>
          <w:iCs/>
          <w:lang w:val="en-US"/>
        </w:rPr>
        <w:t>(hydrochlorothiazide).</w:t>
      </w:r>
    </w:p>
    <w:p w14:paraId="4CABB9ED" w14:textId="559ED449" w:rsidR="00F53FB7" w:rsidRDefault="00DD466D" w:rsidP="00A93499">
      <w:pPr>
        <w:pStyle w:val="Heading1"/>
      </w:pPr>
      <w:r>
        <w:t>3. ЛЕКАРСТВЕНА ФОРМА</w:t>
      </w:r>
    </w:p>
    <w:p w14:paraId="4942DD0B" w14:textId="2526D7BF" w:rsidR="00C24008" w:rsidRDefault="00C24008" w:rsidP="00C24008"/>
    <w:p w14:paraId="25A12C27" w14:textId="77777777" w:rsidR="00C24008" w:rsidRPr="00C24008" w:rsidRDefault="00C24008" w:rsidP="00C24008">
      <w:pPr>
        <w:rPr>
          <w:sz w:val="24"/>
          <w:szCs w:val="24"/>
          <w:lang w:eastAsia="bg-BG"/>
        </w:rPr>
      </w:pPr>
      <w:r w:rsidRPr="00C24008">
        <w:rPr>
          <w:lang w:eastAsia="bg-BG"/>
        </w:rPr>
        <w:t>Таблетка.</w:t>
      </w:r>
    </w:p>
    <w:p w14:paraId="3D5C6B14" w14:textId="77777777" w:rsidR="00C24008" w:rsidRDefault="00C24008" w:rsidP="00C24008">
      <w:pPr>
        <w:rPr>
          <w:lang w:eastAsia="bg-BG"/>
        </w:rPr>
      </w:pPr>
    </w:p>
    <w:p w14:paraId="332798E1" w14:textId="10418A1E" w:rsidR="00C24008" w:rsidRPr="00C24008" w:rsidRDefault="00C24008" w:rsidP="00C24008">
      <w:pPr>
        <w:rPr>
          <w:sz w:val="24"/>
          <w:szCs w:val="24"/>
          <w:lang w:eastAsia="bg-BG"/>
        </w:rPr>
      </w:pPr>
      <w:r w:rsidRPr="00C24008">
        <w:rPr>
          <w:lang w:eastAsia="bg-BG"/>
        </w:rPr>
        <w:t xml:space="preserve">Телмисартан НСТ ЕГИС 40 </w:t>
      </w:r>
      <w:r w:rsidRPr="00C24008">
        <w:rPr>
          <w:lang w:val="en-US"/>
        </w:rPr>
        <w:t xml:space="preserve">mg/12,5 mg </w:t>
      </w:r>
      <w:r w:rsidRPr="00C24008">
        <w:rPr>
          <w:lang w:eastAsia="bg-BG"/>
        </w:rPr>
        <w:t>таблетки са бели или почти бели, с размер</w:t>
      </w:r>
    </w:p>
    <w:p w14:paraId="1120B8DF" w14:textId="77777777" w:rsidR="00C24008" w:rsidRPr="00C24008" w:rsidRDefault="00C24008" w:rsidP="00C24008">
      <w:pPr>
        <w:rPr>
          <w:sz w:val="24"/>
          <w:szCs w:val="24"/>
          <w:lang w:eastAsia="bg-BG"/>
        </w:rPr>
      </w:pPr>
      <w:r w:rsidRPr="00C24008">
        <w:rPr>
          <w:lang w:eastAsia="bg-BG"/>
        </w:rPr>
        <w:t xml:space="preserve">6,55 х 13,6 </w:t>
      </w:r>
      <w:r w:rsidRPr="00C24008">
        <w:rPr>
          <w:lang w:val="en-US"/>
        </w:rPr>
        <w:t xml:space="preserve">mm, </w:t>
      </w:r>
      <w:r w:rsidRPr="00C24008">
        <w:rPr>
          <w:lang w:eastAsia="bg-BG"/>
        </w:rPr>
        <w:t>с овална и двойно-изпъкнала форма, с надпис „ТН“ от едната страна.</w:t>
      </w:r>
    </w:p>
    <w:p w14:paraId="2F610147" w14:textId="77777777" w:rsidR="00C24008" w:rsidRPr="00C24008" w:rsidRDefault="00C24008" w:rsidP="00C24008">
      <w:pPr>
        <w:rPr>
          <w:sz w:val="24"/>
          <w:szCs w:val="24"/>
          <w:lang w:eastAsia="bg-BG"/>
        </w:rPr>
      </w:pPr>
      <w:r w:rsidRPr="00C24008">
        <w:rPr>
          <w:lang w:eastAsia="bg-BG"/>
        </w:rPr>
        <w:t xml:space="preserve">Телмисартан НСТ ЕГИС 80 </w:t>
      </w:r>
      <w:r w:rsidRPr="00C24008">
        <w:rPr>
          <w:lang w:val="en-US"/>
        </w:rPr>
        <w:t xml:space="preserve">mg/12,5 mg </w:t>
      </w:r>
      <w:r w:rsidRPr="00C24008">
        <w:rPr>
          <w:lang w:eastAsia="bg-BG"/>
        </w:rPr>
        <w:t>таблетки са бели или почти бели, с размер</w:t>
      </w:r>
    </w:p>
    <w:p w14:paraId="377AD876" w14:textId="77777777" w:rsidR="00C24008" w:rsidRPr="00C24008" w:rsidRDefault="00C24008" w:rsidP="00C24008">
      <w:pPr>
        <w:rPr>
          <w:sz w:val="24"/>
          <w:szCs w:val="24"/>
          <w:lang w:eastAsia="bg-BG"/>
        </w:rPr>
      </w:pPr>
      <w:r w:rsidRPr="00C24008">
        <w:rPr>
          <w:lang w:eastAsia="bg-BG"/>
        </w:rPr>
        <w:t xml:space="preserve">9,0 х 17,0 </w:t>
      </w:r>
      <w:r w:rsidRPr="00C24008">
        <w:rPr>
          <w:lang w:val="en-US"/>
        </w:rPr>
        <w:t xml:space="preserve">mm, </w:t>
      </w:r>
      <w:r w:rsidRPr="00C24008">
        <w:rPr>
          <w:lang w:eastAsia="bg-BG"/>
        </w:rPr>
        <w:t>с форма на капсула и надпис „ТН 12.5“ от двете страни.</w:t>
      </w:r>
    </w:p>
    <w:p w14:paraId="5E2F91AD" w14:textId="7ECEEE45" w:rsidR="00C24008" w:rsidRPr="00C24008" w:rsidRDefault="00C24008" w:rsidP="00C24008">
      <w:r w:rsidRPr="00C24008">
        <w:rPr>
          <w:lang w:eastAsia="bg-BG"/>
        </w:rPr>
        <w:t xml:space="preserve">Телмисартан НСТ ЕГИС 80 </w:t>
      </w:r>
      <w:r w:rsidRPr="00C24008">
        <w:rPr>
          <w:lang w:val="en-US"/>
        </w:rPr>
        <w:t xml:space="preserve">mg/25 mg </w:t>
      </w:r>
      <w:r w:rsidRPr="00C24008">
        <w:rPr>
          <w:lang w:eastAsia="bg-BG"/>
        </w:rPr>
        <w:t xml:space="preserve">таблетки са бели или почти бели, с размер 9,0 х 17,0 </w:t>
      </w:r>
      <w:r w:rsidRPr="00C24008">
        <w:rPr>
          <w:lang w:val="en-US"/>
        </w:rPr>
        <w:t xml:space="preserve">mm, </w:t>
      </w:r>
      <w:r w:rsidRPr="00C24008">
        <w:rPr>
          <w:lang w:eastAsia="bg-BG"/>
        </w:rPr>
        <w:t>с овална и двойно-изпъкнала форма, с надпис „ТН“ от едната страна и „25“ от другата страна.</w:t>
      </w:r>
    </w:p>
    <w:p w14:paraId="490FC2C4" w14:textId="6899DE43" w:rsidR="002C50EE" w:rsidRDefault="002C50EE" w:rsidP="002C50EE">
      <w:pPr>
        <w:pStyle w:val="Heading1"/>
      </w:pPr>
      <w:r>
        <w:t>4. КЛИНИЧНИ ДАННИ</w:t>
      </w:r>
    </w:p>
    <w:p w14:paraId="1A37D275" w14:textId="2826B1CC" w:rsidR="00F53FB7" w:rsidRDefault="002C50EE" w:rsidP="00A93499">
      <w:pPr>
        <w:pStyle w:val="Heading2"/>
      </w:pPr>
      <w:r>
        <w:t>4.1. Терапевтични показания</w:t>
      </w:r>
    </w:p>
    <w:p w14:paraId="6F7FAAA2" w14:textId="0FC20CA7" w:rsidR="00C24008" w:rsidRDefault="00C24008" w:rsidP="00C24008"/>
    <w:p w14:paraId="6600EBBF" w14:textId="77777777" w:rsidR="00C24008" w:rsidRPr="00C24008" w:rsidRDefault="00C24008" w:rsidP="00C24008">
      <w:pPr>
        <w:rPr>
          <w:sz w:val="24"/>
          <w:szCs w:val="24"/>
          <w:lang w:eastAsia="bg-BG"/>
        </w:rPr>
      </w:pPr>
      <w:r w:rsidRPr="00C24008">
        <w:rPr>
          <w:lang w:eastAsia="bg-BG"/>
        </w:rPr>
        <w:t>Лечение на есенциална хипертония.</w:t>
      </w:r>
    </w:p>
    <w:p w14:paraId="7D408209" w14:textId="77777777" w:rsidR="00C24008" w:rsidRDefault="00C24008" w:rsidP="00C24008">
      <w:pPr>
        <w:rPr>
          <w:lang w:eastAsia="bg-BG"/>
        </w:rPr>
      </w:pPr>
    </w:p>
    <w:p w14:paraId="4C60F3F3" w14:textId="0982E2B9" w:rsidR="00C24008" w:rsidRPr="00C24008" w:rsidRDefault="00C24008" w:rsidP="00C24008">
      <w:pPr>
        <w:rPr>
          <w:sz w:val="24"/>
          <w:szCs w:val="24"/>
          <w:lang w:eastAsia="bg-BG"/>
        </w:rPr>
      </w:pPr>
      <w:r w:rsidRPr="00C24008">
        <w:rPr>
          <w:lang w:eastAsia="bg-BG"/>
        </w:rPr>
        <w:t xml:space="preserve">Комбинираният лекарствен продукт Телмисартан НСТ ЕГИС е с фиксирани дози (40 </w:t>
      </w:r>
      <w:r w:rsidRPr="00C24008">
        <w:rPr>
          <w:lang w:val="en-US"/>
        </w:rPr>
        <w:t xml:space="preserve">mg </w:t>
      </w:r>
      <w:r w:rsidRPr="00C24008">
        <w:rPr>
          <w:lang w:eastAsia="bg-BG"/>
        </w:rPr>
        <w:t xml:space="preserve">телмисартан/12,5 </w:t>
      </w:r>
      <w:r w:rsidRPr="00C24008">
        <w:rPr>
          <w:lang w:val="en-US"/>
        </w:rPr>
        <w:t xml:space="preserve">mg </w:t>
      </w:r>
      <w:r w:rsidRPr="00C24008">
        <w:rPr>
          <w:lang w:eastAsia="bg-BG"/>
        </w:rPr>
        <w:t>хидрохлоротиазид) и е показан за лечение на възрастни, чието кръвно налягане не е контролирано адекватно само с телмисартан.</w:t>
      </w:r>
    </w:p>
    <w:p w14:paraId="3E7B8AE4" w14:textId="77777777" w:rsidR="00C24008" w:rsidRPr="00C24008" w:rsidRDefault="00C24008" w:rsidP="00C24008">
      <w:pPr>
        <w:rPr>
          <w:sz w:val="24"/>
          <w:szCs w:val="24"/>
          <w:lang w:eastAsia="bg-BG"/>
        </w:rPr>
      </w:pPr>
      <w:r w:rsidRPr="00C24008">
        <w:rPr>
          <w:lang w:eastAsia="bg-BG"/>
        </w:rPr>
        <w:lastRenderedPageBreak/>
        <w:t xml:space="preserve">Комбинираният лекарствен продукт Телмисартан НСТ ЕГИС е с фиксирани дози </w:t>
      </w:r>
      <w:r w:rsidRPr="00C24008">
        <w:rPr>
          <w:lang w:val="en-US"/>
        </w:rPr>
        <w:t xml:space="preserve">(80 mg </w:t>
      </w:r>
      <w:r w:rsidRPr="00C24008">
        <w:rPr>
          <w:lang w:eastAsia="bg-BG"/>
        </w:rPr>
        <w:t xml:space="preserve">телмисартан/12,5 </w:t>
      </w:r>
      <w:r w:rsidRPr="00C24008">
        <w:rPr>
          <w:lang w:val="en-US"/>
        </w:rPr>
        <w:t xml:space="preserve">mg </w:t>
      </w:r>
      <w:r w:rsidRPr="00C24008">
        <w:rPr>
          <w:lang w:eastAsia="bg-BG"/>
        </w:rPr>
        <w:t>хидрохлоротиазид) и е показан за лечение на възрастни, чието кръвно налягане не е контролирано адекватно само с телмисартан.</w:t>
      </w:r>
    </w:p>
    <w:p w14:paraId="072FAFF8" w14:textId="77777777" w:rsidR="00C24008" w:rsidRPr="00C24008" w:rsidRDefault="00C24008" w:rsidP="00C24008">
      <w:pPr>
        <w:rPr>
          <w:sz w:val="24"/>
          <w:szCs w:val="24"/>
          <w:lang w:eastAsia="bg-BG"/>
        </w:rPr>
      </w:pPr>
      <w:r w:rsidRPr="00C24008">
        <w:rPr>
          <w:lang w:eastAsia="bg-BG"/>
        </w:rPr>
        <w:t xml:space="preserve">Комбинираният лекарствен продукт Телмисартан НСТ ЕГИС е с фиксирани дози (80 </w:t>
      </w:r>
      <w:r w:rsidRPr="00C24008">
        <w:rPr>
          <w:lang w:val="en-US"/>
        </w:rPr>
        <w:t>mg</w:t>
      </w:r>
      <w:r w:rsidRPr="00C24008">
        <w:rPr>
          <w:lang w:eastAsia="bg-BG"/>
        </w:rPr>
        <w:t xml:space="preserve"> телмисартан/25 </w:t>
      </w:r>
      <w:r w:rsidRPr="00C24008">
        <w:rPr>
          <w:lang w:val="en-US"/>
        </w:rPr>
        <w:t xml:space="preserve">mg </w:t>
      </w:r>
      <w:r w:rsidRPr="00C24008">
        <w:rPr>
          <w:lang w:eastAsia="bg-BG"/>
        </w:rPr>
        <w:t>хидрохлоротиазид) и е показан за лечение на възрастни, чието</w:t>
      </w:r>
      <w:r w:rsidRPr="00C24008">
        <w:rPr>
          <w:lang w:val="en-US"/>
        </w:rPr>
        <w:t xml:space="preserve"> </w:t>
      </w:r>
      <w:r w:rsidRPr="00C24008">
        <w:rPr>
          <w:lang w:eastAsia="bg-BG"/>
        </w:rPr>
        <w:t xml:space="preserve">кръвно налягане не е контролирано адекватно с Телмисартан НСТ ЕГИС 80 </w:t>
      </w:r>
      <w:r w:rsidRPr="00C24008">
        <w:rPr>
          <w:lang w:val="en-US"/>
        </w:rPr>
        <w:t>mg/12,5</w:t>
      </w:r>
      <w:r w:rsidRPr="00C24008">
        <w:rPr>
          <w:lang w:eastAsia="bg-BG"/>
        </w:rPr>
        <w:t xml:space="preserve"> </w:t>
      </w:r>
      <w:r w:rsidRPr="00C24008">
        <w:rPr>
          <w:lang w:val="en-US"/>
        </w:rPr>
        <w:t>mg (80 mg</w:t>
      </w:r>
      <w:r>
        <w:t xml:space="preserve"> </w:t>
      </w:r>
      <w:r w:rsidRPr="00C24008">
        <w:rPr>
          <w:lang w:eastAsia="bg-BG"/>
        </w:rPr>
        <w:t xml:space="preserve">телмисартан/12,5 </w:t>
      </w:r>
      <w:r w:rsidRPr="00C24008">
        <w:rPr>
          <w:lang w:val="en-US"/>
        </w:rPr>
        <w:t xml:space="preserve">mg </w:t>
      </w:r>
      <w:r w:rsidRPr="00C24008">
        <w:rPr>
          <w:lang w:eastAsia="bg-BG"/>
        </w:rPr>
        <w:t>хидрохлоротиазид) или пациенти, които са стабилизирани преди това с телмисартан и хидрохлоротиазид, приемани отделно.</w:t>
      </w:r>
    </w:p>
    <w:p w14:paraId="226C29A1" w14:textId="4B7E64CE" w:rsidR="00C24008" w:rsidRPr="00C24008" w:rsidRDefault="00C24008" w:rsidP="00C24008"/>
    <w:p w14:paraId="05D17336" w14:textId="7EC5AEEA" w:rsidR="00F53FB7" w:rsidRDefault="002C50EE" w:rsidP="00A93499">
      <w:pPr>
        <w:pStyle w:val="Heading2"/>
      </w:pPr>
      <w:r>
        <w:t>4.2. Дозировка и начин на приложение</w:t>
      </w:r>
    </w:p>
    <w:p w14:paraId="00D449B0" w14:textId="6B1B9005" w:rsidR="00C24008" w:rsidRDefault="00C24008" w:rsidP="00C24008"/>
    <w:p w14:paraId="54841403" w14:textId="77777777" w:rsidR="00C24008" w:rsidRPr="00C24008" w:rsidRDefault="00C24008" w:rsidP="00C24008">
      <w:pPr>
        <w:pStyle w:val="Heading3"/>
        <w:rPr>
          <w:rFonts w:eastAsia="Times New Roman"/>
          <w:sz w:val="28"/>
          <w:szCs w:val="28"/>
          <w:u w:val="single"/>
          <w:lang w:eastAsia="bg-BG"/>
        </w:rPr>
      </w:pPr>
      <w:r w:rsidRPr="00C24008">
        <w:rPr>
          <w:rFonts w:eastAsia="Times New Roman"/>
          <w:u w:val="single"/>
          <w:lang w:eastAsia="bg-BG"/>
        </w:rPr>
        <w:t>Дозировка</w:t>
      </w:r>
    </w:p>
    <w:p w14:paraId="2CF37B00" w14:textId="77777777" w:rsidR="00C24008" w:rsidRPr="00C24008" w:rsidRDefault="00C24008" w:rsidP="00C24008">
      <w:pPr>
        <w:spacing w:line="240" w:lineRule="auto"/>
        <w:rPr>
          <w:rFonts w:eastAsia="Times New Roman" w:cs="Arial"/>
          <w:color w:val="000000"/>
          <w:lang w:eastAsia="bg-BG"/>
        </w:rPr>
      </w:pPr>
    </w:p>
    <w:p w14:paraId="6A0094AC" w14:textId="49FA9358"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Телмисартан НСТ ЕГИС трябва да се приема от пациенти, чието кръвно налягане не е адекватно контролирано при прием само на телмисартан. Преди да се премине към този комбиниран лекарствен продукт с фиксирани дози е необходимо поотделно да се титрират дозите на всеки от двата компонента. При подходящи клинични показания може директно да се премине от монотерапията към прием на комбинирания лекарствен продукт с фиксирани дози.</w:t>
      </w:r>
    </w:p>
    <w:p w14:paraId="261A3389" w14:textId="77777777" w:rsidR="00C24008" w:rsidRPr="00C24008" w:rsidRDefault="00C24008" w:rsidP="00C24008">
      <w:pPr>
        <w:spacing w:line="240" w:lineRule="auto"/>
        <w:rPr>
          <w:rFonts w:eastAsia="Times New Roman" w:cs="Arial"/>
          <w:color w:val="000000"/>
          <w:u w:val="single"/>
          <w:lang w:eastAsia="bg-BG"/>
        </w:rPr>
      </w:pPr>
    </w:p>
    <w:p w14:paraId="335485AB" w14:textId="13C27549"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u w:val="single"/>
          <w:lang w:eastAsia="bg-BG"/>
        </w:rPr>
        <w:t xml:space="preserve">[40 </w:t>
      </w:r>
      <w:r w:rsidRPr="00C24008">
        <w:rPr>
          <w:rFonts w:eastAsia="Times New Roman" w:cs="Arial"/>
          <w:color w:val="000000"/>
          <w:u w:val="single"/>
          <w:lang w:val="en-US"/>
        </w:rPr>
        <w:t xml:space="preserve">mg/12,5 mg </w:t>
      </w:r>
      <w:r w:rsidRPr="00C24008">
        <w:rPr>
          <w:rFonts w:eastAsia="Times New Roman" w:cs="Arial"/>
          <w:color w:val="000000"/>
          <w:u w:val="single"/>
          <w:lang w:eastAsia="bg-BG"/>
        </w:rPr>
        <w:t xml:space="preserve">и 80 </w:t>
      </w:r>
      <w:r w:rsidRPr="00C24008">
        <w:rPr>
          <w:rFonts w:eastAsia="Times New Roman" w:cs="Arial"/>
          <w:color w:val="000000"/>
          <w:u w:val="single"/>
          <w:lang w:val="en-US"/>
        </w:rPr>
        <w:t>mg/12,5 mg:]</w:t>
      </w:r>
    </w:p>
    <w:p w14:paraId="1BA7C466" w14:textId="77777777" w:rsidR="00C24008" w:rsidRPr="00C24008" w:rsidRDefault="00C24008" w:rsidP="00C24008">
      <w:pPr>
        <w:pStyle w:val="ListParagraph"/>
        <w:numPr>
          <w:ilvl w:val="0"/>
          <w:numId w:val="40"/>
        </w:numPr>
        <w:spacing w:line="240" w:lineRule="auto"/>
        <w:rPr>
          <w:rFonts w:eastAsia="Times New Roman" w:cs="Arial"/>
          <w:sz w:val="28"/>
          <w:szCs w:val="28"/>
          <w:lang w:eastAsia="bg-BG"/>
        </w:rPr>
      </w:pPr>
      <w:r w:rsidRPr="00C24008">
        <w:rPr>
          <w:rFonts w:eastAsia="Times New Roman" w:cs="Arial"/>
          <w:color w:val="000000"/>
          <w:lang w:eastAsia="bg-BG"/>
        </w:rPr>
        <w:t xml:space="preserve">Телмисартан НСТ ЕГИС 40 </w:t>
      </w:r>
      <w:r w:rsidRPr="00C24008">
        <w:rPr>
          <w:rFonts w:eastAsia="Times New Roman" w:cs="Arial"/>
          <w:color w:val="000000"/>
          <w:lang w:val="en-US"/>
        </w:rPr>
        <w:t>mg/1</w:t>
      </w:r>
      <w:r w:rsidRPr="00C24008">
        <w:rPr>
          <w:rFonts w:eastAsia="Times New Roman" w:cs="Arial"/>
          <w:color w:val="000000"/>
          <w:lang w:eastAsia="bg-BG"/>
        </w:rPr>
        <w:t xml:space="preserve">2,5 </w:t>
      </w:r>
      <w:r w:rsidRPr="00C24008">
        <w:rPr>
          <w:rFonts w:eastAsia="Times New Roman" w:cs="Arial"/>
          <w:color w:val="000000"/>
          <w:lang w:val="en-US"/>
        </w:rPr>
        <w:t xml:space="preserve">mg </w:t>
      </w:r>
      <w:r w:rsidRPr="00C24008">
        <w:rPr>
          <w:rFonts w:eastAsia="Times New Roman" w:cs="Arial"/>
          <w:color w:val="000000"/>
          <w:lang w:eastAsia="bg-BG"/>
        </w:rPr>
        <w:t xml:space="preserve">може да се приложи един път дневно при пациенти, чието кръвно налягане не е адекватно контролирано с телмисартан 40 </w:t>
      </w:r>
      <w:r w:rsidRPr="00C24008">
        <w:rPr>
          <w:rFonts w:eastAsia="Times New Roman" w:cs="Arial"/>
          <w:color w:val="000000"/>
          <w:lang w:val="en-US"/>
        </w:rPr>
        <w:t xml:space="preserve">mg </w:t>
      </w:r>
      <w:r w:rsidRPr="00C24008">
        <w:rPr>
          <w:rFonts w:eastAsia="Times New Roman" w:cs="Arial"/>
          <w:color w:val="000000"/>
          <w:lang w:eastAsia="bg-BG"/>
        </w:rPr>
        <w:t xml:space="preserve">Телмисартан НСТ ЕГИС 80 </w:t>
      </w:r>
      <w:r w:rsidRPr="00C24008">
        <w:rPr>
          <w:rFonts w:eastAsia="Times New Roman" w:cs="Arial"/>
          <w:color w:val="000000"/>
          <w:lang w:val="en-US"/>
        </w:rPr>
        <w:t xml:space="preserve">mg/12.5 mg </w:t>
      </w:r>
      <w:r w:rsidRPr="00C24008">
        <w:rPr>
          <w:rFonts w:eastAsia="Times New Roman" w:cs="Arial"/>
          <w:color w:val="000000"/>
          <w:lang w:eastAsia="bg-BG"/>
        </w:rPr>
        <w:t xml:space="preserve">може да се приложи един път дневно при пациенти, чието кръвно налягане не е адекватно контролирано с телмисартан 80 </w:t>
      </w:r>
      <w:r w:rsidRPr="00C24008">
        <w:rPr>
          <w:rFonts w:eastAsia="Times New Roman" w:cs="Arial"/>
          <w:color w:val="000000"/>
          <w:lang w:val="en-US"/>
        </w:rPr>
        <w:t xml:space="preserve">mg </w:t>
      </w:r>
    </w:p>
    <w:p w14:paraId="596265F8" w14:textId="56E14884"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u w:val="single"/>
          <w:lang w:eastAsia="bg-BG"/>
        </w:rPr>
        <w:t xml:space="preserve">[80 </w:t>
      </w:r>
      <w:r w:rsidRPr="00C24008">
        <w:rPr>
          <w:rFonts w:eastAsia="Times New Roman" w:cs="Arial"/>
          <w:color w:val="000000"/>
          <w:u w:val="single"/>
          <w:lang w:val="en-US"/>
        </w:rPr>
        <w:t>mg/25 mg:]</w:t>
      </w:r>
    </w:p>
    <w:p w14:paraId="1A7BAA64" w14:textId="2F332D6C" w:rsidR="00C24008" w:rsidRPr="00C24008" w:rsidRDefault="00C24008" w:rsidP="00C24008">
      <w:pPr>
        <w:pStyle w:val="ListParagraph"/>
        <w:numPr>
          <w:ilvl w:val="0"/>
          <w:numId w:val="40"/>
        </w:numPr>
        <w:spacing w:line="240" w:lineRule="auto"/>
        <w:rPr>
          <w:rFonts w:eastAsia="Times New Roman" w:cs="Arial"/>
          <w:sz w:val="28"/>
          <w:szCs w:val="28"/>
          <w:lang w:eastAsia="bg-BG"/>
        </w:rPr>
      </w:pPr>
      <w:r w:rsidRPr="00C24008">
        <w:rPr>
          <w:rFonts w:eastAsia="Times New Roman" w:cs="Arial"/>
          <w:color w:val="000000"/>
          <w:lang w:eastAsia="bg-BG"/>
        </w:rPr>
        <w:t xml:space="preserve">Телмисартан НСТ ЕГИС 80 </w:t>
      </w:r>
      <w:r w:rsidRPr="00C24008">
        <w:rPr>
          <w:rFonts w:eastAsia="Times New Roman" w:cs="Arial"/>
          <w:color w:val="000000"/>
          <w:lang w:val="en-US"/>
        </w:rPr>
        <w:t xml:space="preserve">mg/25 mg </w:t>
      </w:r>
      <w:r w:rsidRPr="00C24008">
        <w:rPr>
          <w:rFonts w:eastAsia="Times New Roman" w:cs="Arial"/>
          <w:color w:val="000000"/>
          <w:lang w:eastAsia="bg-BG"/>
        </w:rPr>
        <w:t xml:space="preserve">може да се приложи един път дневно при пациенти, чието кръвно налягане не е контролирано адекватно с Телмисартан НСТ ЕГИС 80 </w:t>
      </w:r>
      <w:r w:rsidRPr="00C24008">
        <w:rPr>
          <w:rFonts w:eastAsia="Times New Roman" w:cs="Arial"/>
          <w:color w:val="000000"/>
          <w:lang w:val="en-US"/>
        </w:rPr>
        <w:t xml:space="preserve">mg/12,5 mg </w:t>
      </w:r>
      <w:r w:rsidRPr="00C24008">
        <w:rPr>
          <w:rFonts w:eastAsia="Times New Roman" w:cs="Arial"/>
          <w:color w:val="000000"/>
          <w:lang w:eastAsia="bg-BG"/>
        </w:rPr>
        <w:t>или на пациенти, които са стабилизирани преди това с телмисартан и хидрохлоротиазид, приемани отделно.</w:t>
      </w:r>
    </w:p>
    <w:p w14:paraId="081D893D" w14:textId="77777777" w:rsidR="00C24008" w:rsidRPr="00C24008" w:rsidRDefault="00C24008" w:rsidP="00C24008">
      <w:pPr>
        <w:spacing w:line="240" w:lineRule="auto"/>
        <w:rPr>
          <w:rFonts w:eastAsia="Times New Roman" w:cs="Arial"/>
          <w:color w:val="000000"/>
          <w:lang w:eastAsia="bg-BG"/>
        </w:rPr>
      </w:pPr>
    </w:p>
    <w:p w14:paraId="15447375" w14:textId="19D128F9"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 xml:space="preserve">Телмисартан НСТ ЕГИС се предлага още в дози 40 </w:t>
      </w:r>
      <w:r w:rsidRPr="00C24008">
        <w:rPr>
          <w:rFonts w:eastAsia="Times New Roman" w:cs="Arial"/>
          <w:color w:val="000000"/>
          <w:lang w:val="en-US"/>
        </w:rPr>
        <w:t xml:space="preserve">mg/12,5 mg </w:t>
      </w:r>
      <w:r w:rsidRPr="00C24008">
        <w:rPr>
          <w:rFonts w:eastAsia="Times New Roman" w:cs="Arial"/>
          <w:color w:val="000000"/>
          <w:lang w:eastAsia="bg-BG"/>
        </w:rPr>
        <w:t xml:space="preserve">и 80 </w:t>
      </w:r>
      <w:r w:rsidRPr="00C24008">
        <w:rPr>
          <w:rFonts w:eastAsia="Times New Roman" w:cs="Arial"/>
          <w:color w:val="000000"/>
          <w:lang w:val="en-US"/>
        </w:rPr>
        <w:t>mg/</w:t>
      </w:r>
      <w:r w:rsidRPr="00C24008">
        <w:rPr>
          <w:rFonts w:eastAsia="Times New Roman" w:cs="Arial"/>
          <w:color w:val="000000"/>
          <w:lang w:eastAsia="bg-BG"/>
        </w:rPr>
        <w:t xml:space="preserve">12,5 </w:t>
      </w:r>
      <w:r w:rsidRPr="00C24008">
        <w:rPr>
          <w:rFonts w:eastAsia="Times New Roman" w:cs="Arial"/>
          <w:color w:val="000000"/>
          <w:lang w:val="en-US"/>
        </w:rPr>
        <w:t>mg.</w:t>
      </w:r>
    </w:p>
    <w:p w14:paraId="17F6171C" w14:textId="77777777" w:rsidR="00C24008" w:rsidRPr="00C24008" w:rsidRDefault="00C24008" w:rsidP="00C24008">
      <w:pPr>
        <w:spacing w:line="240" w:lineRule="auto"/>
        <w:rPr>
          <w:rFonts w:eastAsia="Times New Roman" w:cs="Arial"/>
          <w:i/>
          <w:iCs/>
          <w:color w:val="000000"/>
          <w:lang w:eastAsia="bg-BG"/>
        </w:rPr>
      </w:pPr>
    </w:p>
    <w:p w14:paraId="7E0DFAA9" w14:textId="2EEEBDDA" w:rsidR="00C24008" w:rsidRPr="00C24008" w:rsidRDefault="00C24008" w:rsidP="00C24008">
      <w:pPr>
        <w:spacing w:line="240" w:lineRule="auto"/>
        <w:rPr>
          <w:rFonts w:eastAsia="Times New Roman" w:cs="Arial"/>
          <w:sz w:val="28"/>
          <w:szCs w:val="28"/>
          <w:lang w:eastAsia="bg-BG"/>
        </w:rPr>
      </w:pPr>
      <w:r w:rsidRPr="00C24008">
        <w:rPr>
          <w:rFonts w:eastAsia="Times New Roman" w:cs="Arial"/>
          <w:i/>
          <w:iCs/>
          <w:color w:val="000000"/>
          <w:lang w:eastAsia="bg-BG"/>
        </w:rPr>
        <w:t>Специални популации</w:t>
      </w:r>
    </w:p>
    <w:p w14:paraId="15C0FA77" w14:textId="77777777" w:rsidR="00C24008" w:rsidRPr="00C24008" w:rsidRDefault="00C24008" w:rsidP="00C24008">
      <w:pPr>
        <w:spacing w:line="240" w:lineRule="auto"/>
        <w:rPr>
          <w:rFonts w:eastAsia="Times New Roman" w:cs="Arial"/>
          <w:color w:val="000000"/>
          <w:u w:val="single"/>
          <w:lang w:eastAsia="bg-BG"/>
        </w:rPr>
      </w:pPr>
    </w:p>
    <w:p w14:paraId="79561735" w14:textId="7026A626"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u w:val="single"/>
          <w:lang w:eastAsia="bg-BG"/>
        </w:rPr>
        <w:t>Бъбречно увреждане</w:t>
      </w:r>
    </w:p>
    <w:p w14:paraId="76C54928" w14:textId="77777777"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Препоръчва се периодично проследяване на бъбречната функция (вж. точка 4.4).</w:t>
      </w:r>
    </w:p>
    <w:p w14:paraId="12854C69" w14:textId="77777777" w:rsidR="00C24008" w:rsidRPr="00C24008" w:rsidRDefault="00C24008" w:rsidP="00C24008">
      <w:pPr>
        <w:spacing w:line="240" w:lineRule="auto"/>
        <w:rPr>
          <w:rFonts w:eastAsia="Times New Roman" w:cs="Arial"/>
          <w:color w:val="000000"/>
          <w:u w:val="single"/>
          <w:lang w:eastAsia="bg-BG"/>
        </w:rPr>
      </w:pPr>
    </w:p>
    <w:p w14:paraId="09947BF2" w14:textId="2755680C"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u w:val="single"/>
          <w:lang w:eastAsia="bg-BG"/>
        </w:rPr>
        <w:t>Чернодробно увреждане</w:t>
      </w:r>
    </w:p>
    <w:p w14:paraId="2063A27F" w14:textId="77777777"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 xml:space="preserve">При пациенти с леко до средно тежко чернодробно увреждане дозировката не трябва да надвишава Телмисартан НСТ ЕГИС 40 </w:t>
      </w:r>
      <w:r w:rsidRPr="00C24008">
        <w:rPr>
          <w:rFonts w:eastAsia="Times New Roman" w:cs="Arial"/>
          <w:color w:val="000000"/>
          <w:lang w:val="en-US"/>
        </w:rPr>
        <w:t xml:space="preserve">mg/12,5 mg </w:t>
      </w:r>
      <w:r w:rsidRPr="00C24008">
        <w:rPr>
          <w:rFonts w:eastAsia="Times New Roman" w:cs="Arial"/>
          <w:color w:val="000000"/>
          <w:lang w:eastAsia="bg-BG"/>
        </w:rPr>
        <w:t>веднъж дневно. Телмисартан НСТ ЕГИС не е показан за лечение на пациенти с тежки чернодробни нарушения. Тиазидите трябва да се използват предпазливо при пациенти с нарушена чернодробна функция (вж. точка 4.4).</w:t>
      </w:r>
    </w:p>
    <w:p w14:paraId="53F42D3A" w14:textId="77777777" w:rsidR="00C24008" w:rsidRPr="00C24008" w:rsidRDefault="00C24008" w:rsidP="00C24008">
      <w:pPr>
        <w:spacing w:line="240" w:lineRule="auto"/>
        <w:rPr>
          <w:rFonts w:eastAsia="Times New Roman" w:cs="Arial"/>
          <w:color w:val="000000"/>
          <w:u w:val="single"/>
          <w:lang w:eastAsia="bg-BG"/>
        </w:rPr>
      </w:pPr>
    </w:p>
    <w:p w14:paraId="295DA2BA" w14:textId="1ED10687"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u w:val="single"/>
          <w:lang w:eastAsia="bg-BG"/>
        </w:rPr>
        <w:t>Старческа възраст</w:t>
      </w:r>
    </w:p>
    <w:p w14:paraId="08388314" w14:textId="77777777"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Не е необходимо коригиране на дозата.</w:t>
      </w:r>
    </w:p>
    <w:p w14:paraId="691E5FEA" w14:textId="77777777" w:rsidR="00C24008" w:rsidRPr="00C24008" w:rsidRDefault="00C24008" w:rsidP="00C24008">
      <w:pPr>
        <w:spacing w:line="240" w:lineRule="auto"/>
        <w:rPr>
          <w:rFonts w:eastAsia="Times New Roman" w:cs="Arial"/>
          <w:i/>
          <w:iCs/>
          <w:color w:val="000000"/>
          <w:lang w:eastAsia="bg-BG"/>
        </w:rPr>
      </w:pPr>
    </w:p>
    <w:p w14:paraId="7B095102" w14:textId="5977EF26" w:rsidR="00C24008" w:rsidRPr="00C24008" w:rsidRDefault="00C24008" w:rsidP="00C24008">
      <w:pPr>
        <w:spacing w:line="240" w:lineRule="auto"/>
        <w:rPr>
          <w:rFonts w:eastAsia="Times New Roman" w:cs="Arial"/>
          <w:sz w:val="28"/>
          <w:szCs w:val="28"/>
          <w:lang w:eastAsia="bg-BG"/>
        </w:rPr>
      </w:pPr>
      <w:r w:rsidRPr="00C24008">
        <w:rPr>
          <w:rFonts w:eastAsia="Times New Roman" w:cs="Arial"/>
          <w:i/>
          <w:iCs/>
          <w:color w:val="000000"/>
          <w:lang w:eastAsia="bg-BG"/>
        </w:rPr>
        <w:lastRenderedPageBreak/>
        <w:t>Педиатрична популация</w:t>
      </w:r>
    </w:p>
    <w:p w14:paraId="2F75A327" w14:textId="77777777"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Не е установена безопасността и ефикасността на телмисартан/хидрохлоротиазид при деца и юноши на възраст под 18 години. Няма налични данни.</w:t>
      </w:r>
    </w:p>
    <w:p w14:paraId="7354B590" w14:textId="77777777" w:rsidR="00C24008" w:rsidRPr="00C24008" w:rsidRDefault="00C24008" w:rsidP="00C24008">
      <w:pPr>
        <w:spacing w:line="240" w:lineRule="auto"/>
        <w:rPr>
          <w:rFonts w:eastAsia="Times New Roman" w:cs="Arial"/>
          <w:color w:val="000000"/>
          <w:u w:val="single"/>
          <w:lang w:eastAsia="bg-BG"/>
        </w:rPr>
      </w:pPr>
    </w:p>
    <w:p w14:paraId="4F00D886" w14:textId="4D528F6A" w:rsidR="00C24008" w:rsidRPr="00C24008" w:rsidRDefault="00C24008" w:rsidP="00C24008">
      <w:pPr>
        <w:pStyle w:val="Heading3"/>
        <w:rPr>
          <w:rFonts w:eastAsia="Times New Roman"/>
          <w:sz w:val="28"/>
          <w:szCs w:val="28"/>
          <w:u w:val="single"/>
          <w:lang w:eastAsia="bg-BG"/>
        </w:rPr>
      </w:pPr>
      <w:r w:rsidRPr="00C24008">
        <w:rPr>
          <w:rFonts w:eastAsia="Times New Roman"/>
          <w:u w:val="single"/>
          <w:lang w:eastAsia="bg-BG"/>
        </w:rPr>
        <w:t>Начин на приложение</w:t>
      </w:r>
    </w:p>
    <w:p w14:paraId="6E7F5FD9" w14:textId="77777777"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Таблетките Телмисартан НСТ ЕГИС са предназначени за перорално приложение веднъж дневно и трябва да се приемат с течност, с или без храна.</w:t>
      </w:r>
    </w:p>
    <w:p w14:paraId="1B70FAAB" w14:textId="77777777" w:rsidR="00C24008" w:rsidRPr="00C24008" w:rsidRDefault="00C24008" w:rsidP="00C24008"/>
    <w:p w14:paraId="1BF2EFF4" w14:textId="38DA6976" w:rsidR="001A6EBD" w:rsidRDefault="002C50EE" w:rsidP="00471F10">
      <w:pPr>
        <w:pStyle w:val="Heading2"/>
      </w:pPr>
      <w:r>
        <w:t>4.3. Противопоказания</w:t>
      </w:r>
    </w:p>
    <w:p w14:paraId="2E0C9881" w14:textId="34434F07" w:rsidR="00C24008" w:rsidRDefault="00C24008" w:rsidP="00C24008"/>
    <w:p w14:paraId="4A9DC5A5" w14:textId="77777777" w:rsidR="00C24008" w:rsidRPr="00C24008" w:rsidRDefault="00C24008" w:rsidP="00C24008">
      <w:pPr>
        <w:pStyle w:val="ListParagraph"/>
        <w:numPr>
          <w:ilvl w:val="0"/>
          <w:numId w:val="40"/>
        </w:numPr>
        <w:spacing w:line="240" w:lineRule="auto"/>
        <w:rPr>
          <w:rFonts w:eastAsia="Times New Roman" w:cs="Arial"/>
          <w:sz w:val="28"/>
          <w:szCs w:val="28"/>
          <w:lang w:eastAsia="bg-BG"/>
        </w:rPr>
      </w:pPr>
      <w:r w:rsidRPr="00C24008">
        <w:rPr>
          <w:rFonts w:eastAsia="Times New Roman" w:cs="Arial"/>
          <w:color w:val="000000"/>
          <w:lang w:eastAsia="bg-BG"/>
        </w:rPr>
        <w:t>Свръхчувствителност към всяко от лекарствените вещества или към някое от помощните вещества, изброени в точка 6.1.</w:t>
      </w:r>
    </w:p>
    <w:p w14:paraId="1FDF40E7" w14:textId="77777777" w:rsidR="00C24008" w:rsidRPr="00C24008" w:rsidRDefault="00C24008" w:rsidP="00C24008">
      <w:pPr>
        <w:pStyle w:val="ListParagraph"/>
        <w:numPr>
          <w:ilvl w:val="0"/>
          <w:numId w:val="40"/>
        </w:numPr>
        <w:spacing w:line="240" w:lineRule="auto"/>
        <w:rPr>
          <w:rFonts w:eastAsia="Times New Roman" w:cs="Arial"/>
          <w:sz w:val="28"/>
          <w:szCs w:val="28"/>
          <w:lang w:eastAsia="bg-BG"/>
        </w:rPr>
      </w:pPr>
      <w:r w:rsidRPr="00C24008">
        <w:rPr>
          <w:rFonts w:eastAsia="Times New Roman" w:cs="Arial"/>
          <w:color w:val="000000"/>
          <w:lang w:eastAsia="bg-BG"/>
        </w:rPr>
        <w:t>Свръхчувствителност към производните на сулфонамидните субстанции (тъй като хидрохлоротиазид е сулфонамидно производно).</w:t>
      </w:r>
    </w:p>
    <w:p w14:paraId="451BDB3D" w14:textId="77777777" w:rsidR="00C24008" w:rsidRPr="00C24008" w:rsidRDefault="00C24008" w:rsidP="00C24008">
      <w:pPr>
        <w:pStyle w:val="ListParagraph"/>
        <w:numPr>
          <w:ilvl w:val="0"/>
          <w:numId w:val="40"/>
        </w:numPr>
        <w:spacing w:line="240" w:lineRule="auto"/>
        <w:rPr>
          <w:rFonts w:eastAsia="Times New Roman" w:cs="Arial"/>
          <w:sz w:val="28"/>
          <w:szCs w:val="28"/>
          <w:lang w:eastAsia="bg-BG"/>
        </w:rPr>
      </w:pPr>
      <w:r w:rsidRPr="00C24008">
        <w:rPr>
          <w:rFonts w:eastAsia="Times New Roman" w:cs="Arial"/>
          <w:color w:val="000000"/>
          <w:lang w:eastAsia="bg-BG"/>
        </w:rPr>
        <w:t>Второ и трето тримесечие на бременността (вж. точки 4.4 и 4.6). Холестаза и обструктивни заболявания на жлъчните пътища. Тежко чернодробно увреждане.</w:t>
      </w:r>
    </w:p>
    <w:p w14:paraId="6E26AC5A" w14:textId="77777777" w:rsidR="00C24008" w:rsidRPr="00C24008" w:rsidRDefault="00C24008" w:rsidP="00C24008">
      <w:pPr>
        <w:pStyle w:val="ListParagraph"/>
        <w:numPr>
          <w:ilvl w:val="0"/>
          <w:numId w:val="40"/>
        </w:numPr>
        <w:spacing w:line="240" w:lineRule="auto"/>
        <w:rPr>
          <w:rFonts w:eastAsia="Times New Roman" w:cs="Arial"/>
          <w:sz w:val="28"/>
          <w:szCs w:val="28"/>
          <w:lang w:eastAsia="bg-BG"/>
        </w:rPr>
      </w:pPr>
      <w:r w:rsidRPr="00C24008">
        <w:rPr>
          <w:rFonts w:eastAsia="Times New Roman" w:cs="Arial"/>
          <w:color w:val="000000"/>
          <w:lang w:eastAsia="bg-BG"/>
        </w:rPr>
        <w:t xml:space="preserve">Тежко бъбречно увреждане (креатининов клирънс &lt;30 </w:t>
      </w:r>
      <w:r w:rsidRPr="00C24008">
        <w:rPr>
          <w:rFonts w:eastAsia="Times New Roman" w:cs="Arial"/>
          <w:color w:val="000000"/>
          <w:lang w:val="en-US"/>
        </w:rPr>
        <w:t xml:space="preserve">ml/min). </w:t>
      </w:r>
    </w:p>
    <w:p w14:paraId="1E21017F" w14:textId="58B68C06" w:rsidR="00C24008" w:rsidRPr="00C24008" w:rsidRDefault="00C24008" w:rsidP="00C24008">
      <w:pPr>
        <w:pStyle w:val="ListParagraph"/>
        <w:numPr>
          <w:ilvl w:val="0"/>
          <w:numId w:val="40"/>
        </w:numPr>
        <w:spacing w:line="240" w:lineRule="auto"/>
        <w:rPr>
          <w:rFonts w:eastAsia="Times New Roman" w:cs="Arial"/>
          <w:sz w:val="28"/>
          <w:szCs w:val="28"/>
          <w:lang w:eastAsia="bg-BG"/>
        </w:rPr>
      </w:pPr>
      <w:r w:rsidRPr="00C24008">
        <w:rPr>
          <w:rFonts w:eastAsia="Times New Roman" w:cs="Arial"/>
          <w:color w:val="000000"/>
          <w:lang w:eastAsia="bg-BG"/>
        </w:rPr>
        <w:t>Рефрактерна хипокалиемия, хиперкалциемия.</w:t>
      </w:r>
    </w:p>
    <w:p w14:paraId="3C05E9F7" w14:textId="77777777" w:rsidR="00C24008" w:rsidRPr="00C24008" w:rsidRDefault="00C24008" w:rsidP="00C24008">
      <w:pPr>
        <w:rPr>
          <w:rFonts w:eastAsia="Times New Roman" w:cs="Arial"/>
          <w:color w:val="000000"/>
          <w:lang w:eastAsia="bg-BG"/>
        </w:rPr>
      </w:pPr>
    </w:p>
    <w:p w14:paraId="14C6376C" w14:textId="3CC5599F" w:rsidR="00C24008" w:rsidRDefault="00C24008" w:rsidP="00C24008">
      <w:pPr>
        <w:rPr>
          <w:rFonts w:eastAsia="Times New Roman" w:cs="Arial"/>
          <w:color w:val="000000"/>
          <w:lang w:eastAsia="bg-BG"/>
        </w:rPr>
      </w:pPr>
      <w:r w:rsidRPr="00C24008">
        <w:rPr>
          <w:rFonts w:eastAsia="Times New Roman" w:cs="Arial"/>
          <w:color w:val="000000"/>
          <w:lang w:eastAsia="bg-BG"/>
        </w:rPr>
        <w:t xml:space="preserve">Едновременното приложение на Телмисартан НСТ ЕГИС и алискирен-съдържащи продукти е противопоказано при пациенти със захарен диабет или бъбречно увреждане </w:t>
      </w:r>
      <w:r w:rsidRPr="00C24008">
        <w:rPr>
          <w:rFonts w:eastAsia="Times New Roman" w:cs="Arial"/>
          <w:color w:val="000000"/>
          <w:lang w:val="en-US"/>
        </w:rPr>
        <w:t xml:space="preserve">(GFR </w:t>
      </w:r>
      <w:r w:rsidRPr="00C24008">
        <w:rPr>
          <w:rFonts w:eastAsia="Times New Roman" w:cs="Arial"/>
          <w:color w:val="000000"/>
          <w:lang w:eastAsia="bg-BG"/>
        </w:rPr>
        <w:t xml:space="preserve">&lt;60 </w:t>
      </w:r>
      <w:r w:rsidRPr="00C24008">
        <w:rPr>
          <w:rFonts w:eastAsia="Times New Roman" w:cs="Arial"/>
          <w:color w:val="000000"/>
          <w:lang w:val="en-US"/>
        </w:rPr>
        <w:t>ml/min/1.73 m</w:t>
      </w:r>
      <w:r w:rsidRPr="00C24008">
        <w:rPr>
          <w:rFonts w:eastAsia="Times New Roman" w:cs="Arial"/>
          <w:color w:val="000000"/>
          <w:vertAlign w:val="superscript"/>
          <w:lang w:val="en-US"/>
        </w:rPr>
        <w:t>2</w:t>
      </w:r>
      <w:r w:rsidRPr="00C24008">
        <w:rPr>
          <w:rFonts w:eastAsia="Times New Roman" w:cs="Arial"/>
          <w:color w:val="000000"/>
          <w:lang w:val="en-US"/>
        </w:rPr>
        <w:t xml:space="preserve">) </w:t>
      </w:r>
      <w:r w:rsidRPr="00C24008">
        <w:rPr>
          <w:rFonts w:eastAsia="Times New Roman" w:cs="Arial"/>
          <w:color w:val="000000"/>
          <w:lang w:eastAsia="bg-BG"/>
        </w:rPr>
        <w:t>(вж. точки 4.5 и 5.1).</w:t>
      </w:r>
    </w:p>
    <w:p w14:paraId="7A0BFCD4" w14:textId="77777777" w:rsidR="00C24008" w:rsidRPr="00C24008" w:rsidRDefault="00C24008" w:rsidP="00C24008">
      <w:pPr>
        <w:rPr>
          <w:rFonts w:cs="Arial"/>
          <w:sz w:val="24"/>
          <w:szCs w:val="24"/>
        </w:rPr>
      </w:pPr>
    </w:p>
    <w:p w14:paraId="0C106098" w14:textId="574BF44D" w:rsidR="001A6EBD" w:rsidRDefault="002C50EE" w:rsidP="00471F10">
      <w:pPr>
        <w:pStyle w:val="Heading2"/>
      </w:pPr>
      <w:r>
        <w:t>4.4. Специални предупреждения и предпазни мерки при употреба</w:t>
      </w:r>
    </w:p>
    <w:p w14:paraId="17E81048" w14:textId="38EF4993" w:rsidR="00C24008" w:rsidRDefault="00C24008" w:rsidP="00C24008"/>
    <w:p w14:paraId="6E0989F4"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Остра респираторна токсичност</w:t>
      </w:r>
    </w:p>
    <w:p w14:paraId="7EFE4368"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Докладвани са много редки тежки случаи на остра респираторна токсичност, включително остър респираторен дистрес синдром </w:t>
      </w:r>
      <w:r w:rsidRPr="00C24008">
        <w:rPr>
          <w:rFonts w:eastAsia="Times New Roman" w:cs="Arial"/>
          <w:color w:val="000000"/>
          <w:lang w:val="en-US"/>
        </w:rPr>
        <w:t xml:space="preserve">(ARDS) </w:t>
      </w:r>
      <w:r w:rsidRPr="00C24008">
        <w:rPr>
          <w:rFonts w:eastAsia="Times New Roman" w:cs="Arial"/>
          <w:color w:val="000000"/>
          <w:lang w:eastAsia="bg-BG"/>
        </w:rPr>
        <w:t xml:space="preserve">след прием на хидрохлоротиазид. Белодробният оток обикновено се развива в рамките на минути до часове след прием на хидрохлоротиазид. В началото симптомите включват диспнея, треска, белодробна увреда и хипотония. Ако се подозира диагнозата </w:t>
      </w:r>
      <w:r w:rsidRPr="00C24008">
        <w:rPr>
          <w:rFonts w:eastAsia="Times New Roman" w:cs="Arial"/>
          <w:color w:val="000000"/>
          <w:lang w:val="en-US"/>
        </w:rPr>
        <w:t xml:space="preserve">ARDS, </w:t>
      </w:r>
      <w:r w:rsidRPr="00C24008">
        <w:rPr>
          <w:rFonts w:eastAsia="Times New Roman" w:cs="Arial"/>
          <w:color w:val="000000"/>
          <w:lang w:eastAsia="bg-BG"/>
        </w:rPr>
        <w:t xml:space="preserve">приложението на Телмисартан НСТ ЕГИС трябва да се преустанови и да се приложи подходящо лечение. Хидрохлоротиазид не трябва да се прилага на пациенти, които преди това са имали </w:t>
      </w:r>
      <w:r w:rsidRPr="00C24008">
        <w:rPr>
          <w:rFonts w:eastAsia="Times New Roman" w:cs="Arial"/>
          <w:color w:val="000000"/>
          <w:lang w:val="en-US"/>
        </w:rPr>
        <w:t xml:space="preserve">ARDS </w:t>
      </w:r>
      <w:r w:rsidRPr="00C24008">
        <w:rPr>
          <w:rFonts w:eastAsia="Times New Roman" w:cs="Arial"/>
          <w:color w:val="000000"/>
          <w:lang w:eastAsia="bg-BG"/>
        </w:rPr>
        <w:t>след прием на хидрохлоротиазид.</w:t>
      </w:r>
    </w:p>
    <w:p w14:paraId="3E6570D4" w14:textId="77777777" w:rsidR="00C24008" w:rsidRPr="00C24008" w:rsidRDefault="00C24008" w:rsidP="00C24008">
      <w:pPr>
        <w:spacing w:line="240" w:lineRule="auto"/>
        <w:rPr>
          <w:rFonts w:eastAsia="Times New Roman" w:cs="Arial"/>
          <w:color w:val="000000"/>
          <w:u w:val="single"/>
          <w:lang w:eastAsia="bg-BG"/>
        </w:rPr>
      </w:pPr>
    </w:p>
    <w:p w14:paraId="7B6CF107" w14:textId="7456BB89"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Бременност</w:t>
      </w:r>
    </w:p>
    <w:p w14:paraId="1D678A50"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Не трябва да се започва прием на ангиотензин </w:t>
      </w:r>
      <w:r w:rsidRPr="00C24008">
        <w:rPr>
          <w:rFonts w:eastAsia="Times New Roman" w:cs="Arial"/>
          <w:color w:val="000000"/>
          <w:lang w:val="en-US"/>
        </w:rPr>
        <w:t>II</w:t>
      </w:r>
      <w:r w:rsidRPr="00C24008">
        <w:rPr>
          <w:rFonts w:eastAsia="Times New Roman" w:cs="Arial"/>
          <w:color w:val="000000"/>
          <w:lang w:eastAsia="bg-BG"/>
        </w:rPr>
        <w:t xml:space="preserve"> рецепторни антагонисти по време на бременност.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w:t>
      </w:r>
      <w:r w:rsidRPr="00C24008">
        <w:rPr>
          <w:rFonts w:eastAsia="Times New Roman" w:cs="Arial"/>
          <w:color w:val="000000"/>
          <w:lang w:val="en-US"/>
        </w:rPr>
        <w:t>II</w:t>
      </w:r>
      <w:r w:rsidRPr="00C24008">
        <w:rPr>
          <w:rFonts w:eastAsia="Times New Roman" w:cs="Arial"/>
          <w:color w:val="000000"/>
          <w:lang w:eastAsia="bg-BG"/>
        </w:rPr>
        <w:t xml:space="preserve"> рецепторни антагонисти трябва незабавно да бъде преустановено и ако е подходящо да бъде започнато алтернативно лечение (вж. точки 4.3 и 4.6).</w:t>
      </w:r>
    </w:p>
    <w:p w14:paraId="0A90C038" w14:textId="77777777" w:rsidR="00C24008" w:rsidRPr="00C24008" w:rsidRDefault="00C24008" w:rsidP="00C24008">
      <w:pPr>
        <w:spacing w:line="240" w:lineRule="auto"/>
        <w:rPr>
          <w:rFonts w:eastAsia="Times New Roman" w:cs="Arial"/>
          <w:color w:val="000000"/>
          <w:u w:val="single"/>
          <w:lang w:eastAsia="bg-BG"/>
        </w:rPr>
      </w:pPr>
    </w:p>
    <w:p w14:paraId="2831E0C7" w14:textId="54A64ACF"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Чернодробно увреждане</w:t>
      </w:r>
    </w:p>
    <w:p w14:paraId="1C88F13C"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Телмисартан НСТ ЕГИС не трябва да се прилага при пациенти с холестаза, с жлъчни обструктивни нарушения или тежка чернодробна недостатъчност (вж. точка 4.3), тъй като </w:t>
      </w:r>
      <w:r w:rsidRPr="00C24008">
        <w:rPr>
          <w:rFonts w:eastAsia="Times New Roman" w:cs="Arial"/>
          <w:color w:val="000000"/>
          <w:lang w:eastAsia="bg-BG"/>
        </w:rPr>
        <w:lastRenderedPageBreak/>
        <w:t>по- голямата част от телмисартан се елиминира чрез жлъчката. При тези пациенти може да се очаква намален чернодробен клирънс на телмисартан.</w:t>
      </w:r>
    </w:p>
    <w:p w14:paraId="7B6FF2ED" w14:textId="77777777" w:rsidR="00C24008" w:rsidRPr="00C24008" w:rsidRDefault="00C24008" w:rsidP="00C24008">
      <w:pPr>
        <w:spacing w:line="240" w:lineRule="auto"/>
        <w:rPr>
          <w:rFonts w:eastAsia="Times New Roman" w:cs="Arial"/>
          <w:color w:val="000000"/>
          <w:lang w:eastAsia="bg-BG"/>
        </w:rPr>
      </w:pPr>
    </w:p>
    <w:p w14:paraId="4C9B5473" w14:textId="6E2ACFBA"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Освен това, Телмисартан НСТ ЕГИС трябва да се прилага внимателно при пациенти с нарушения в чернодробната функция или прогресиращо чернодробно заболяване, тъй като в тези случаи малки промени във водно-електролитния баланс могат да доведат до чернодробна кома. Няма клинични данни за използването на телмисартан/хидрохлоротиазид при пациенти с чернодробно увреждане.</w:t>
      </w:r>
    </w:p>
    <w:p w14:paraId="4B896C9E" w14:textId="77777777" w:rsidR="00C24008" w:rsidRPr="00C24008" w:rsidRDefault="00C24008" w:rsidP="00C24008">
      <w:pPr>
        <w:spacing w:line="240" w:lineRule="auto"/>
        <w:rPr>
          <w:rFonts w:eastAsia="Times New Roman" w:cs="Arial"/>
          <w:color w:val="000000"/>
          <w:u w:val="single"/>
          <w:lang w:eastAsia="bg-BG"/>
        </w:rPr>
      </w:pPr>
    </w:p>
    <w:p w14:paraId="7E03AED1" w14:textId="10C75EB8"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Реноваскуларна хипертония</w:t>
      </w:r>
    </w:p>
    <w:p w14:paraId="6E568F78"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Когато пациенти със стеноза на двете бъбречни артерии или стеноза на артерията към единствен функциониращ бъбрек са третирани с лекарствени продукти, повлияващи системата ренин-ангиотензин-алдостерон съществува повишен риск от тежка хипотония и бъбречна недостатъчност.</w:t>
      </w:r>
    </w:p>
    <w:p w14:paraId="3DFACAD2" w14:textId="77777777" w:rsidR="00C24008" w:rsidRPr="00C24008" w:rsidRDefault="00C24008" w:rsidP="00C24008">
      <w:pPr>
        <w:spacing w:line="240" w:lineRule="auto"/>
        <w:rPr>
          <w:rFonts w:eastAsia="Times New Roman" w:cs="Arial"/>
          <w:color w:val="000000"/>
          <w:u w:val="single"/>
          <w:lang w:eastAsia="bg-BG"/>
        </w:rPr>
      </w:pPr>
    </w:p>
    <w:p w14:paraId="09CADF11" w14:textId="7218D6F1"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Бъбречно увреждане и бъбречна трансплантация</w:t>
      </w:r>
    </w:p>
    <w:p w14:paraId="0CC833CB" w14:textId="77777777" w:rsidR="00C24008" w:rsidRPr="00C24008" w:rsidRDefault="00C24008" w:rsidP="00C24008">
      <w:pPr>
        <w:rPr>
          <w:rFonts w:eastAsia="Times New Roman" w:cs="Arial"/>
          <w:lang w:eastAsia="bg-BG"/>
        </w:rPr>
      </w:pPr>
      <w:r w:rsidRPr="00C24008">
        <w:rPr>
          <w:rFonts w:eastAsia="Times New Roman" w:cs="Arial"/>
          <w:color w:val="000000"/>
          <w:lang w:eastAsia="bg-BG"/>
        </w:rPr>
        <w:t xml:space="preserve">Телмисартан НСТ ЕГИС не трябва да се прилага при пациенти с тежко бъбречно увреждане (креатининов клирънс &lt;30 </w:t>
      </w:r>
      <w:r w:rsidRPr="00C24008">
        <w:rPr>
          <w:rFonts w:eastAsia="Times New Roman" w:cs="Arial"/>
          <w:color w:val="000000"/>
          <w:lang w:val="en-US"/>
        </w:rPr>
        <w:t xml:space="preserve">ml/min) </w:t>
      </w:r>
      <w:r w:rsidRPr="00C24008">
        <w:rPr>
          <w:rFonts w:eastAsia="Times New Roman" w:cs="Arial"/>
          <w:color w:val="000000"/>
          <w:lang w:eastAsia="bg-BG"/>
        </w:rPr>
        <w:t>(вж. точка 4.3). Няма достатъчно данни по отношение на приложението на телмисартан/хидрохлоротиазид при пациенти, претърпели наскоро бъбречна трансплантация. Налице е ограничен опит от употребата на телмисартан/хидрохлоротиазид при пациенти с леко до средно тежко бъбречно увреждане, поради което се препоръчва периодично</w:t>
      </w:r>
      <w:r w:rsidRPr="00C24008">
        <w:rPr>
          <w:rFonts w:eastAsia="Times New Roman" w:cs="Arial"/>
          <w:color w:val="000000"/>
          <w:lang w:eastAsia="bg-BG"/>
        </w:rPr>
        <w:t xml:space="preserve"> </w:t>
      </w:r>
      <w:r w:rsidRPr="00C24008">
        <w:rPr>
          <w:rFonts w:eastAsia="Times New Roman" w:cs="Arial"/>
          <w:color w:val="000000"/>
          <w:lang w:eastAsia="bg-BG"/>
        </w:rPr>
        <w:t>проследяване на нивата на калий, креатинин и пикочна киселина в серума. При пациенти с нарушена бъбречна функция може да се появи азотемия, свързана с тиазидните диуретици.</w:t>
      </w:r>
    </w:p>
    <w:p w14:paraId="457635A0" w14:textId="77777777" w:rsidR="00C24008" w:rsidRPr="00C24008" w:rsidRDefault="00C24008" w:rsidP="00C24008">
      <w:pPr>
        <w:spacing w:line="240" w:lineRule="auto"/>
        <w:rPr>
          <w:rFonts w:eastAsia="Times New Roman" w:cs="Arial"/>
          <w:color w:val="000000"/>
          <w:u w:val="single"/>
          <w:lang w:eastAsia="bg-BG"/>
        </w:rPr>
      </w:pPr>
    </w:p>
    <w:p w14:paraId="7777BCEC" w14:textId="3D356BD2"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Вътресъдова хиповолемия</w:t>
      </w:r>
    </w:p>
    <w:p w14:paraId="4797A331"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Симптоматична хипотония, особено след първата доза, може да се наблюдава при пациенти с тежък натриев дефицит или намален обем на циркулиращата кръв при мощна диуретична терапия, диета с ограничено приемане на сол, диария или повръщане. Такива състояния трябва да бъдат коригирани преди приложение на Телмисартан НСТ ЕГИС.</w:t>
      </w:r>
    </w:p>
    <w:p w14:paraId="47064E39" w14:textId="77777777" w:rsidR="00C24008" w:rsidRPr="00C24008" w:rsidRDefault="00C24008" w:rsidP="00C24008">
      <w:pPr>
        <w:spacing w:line="240" w:lineRule="auto"/>
        <w:rPr>
          <w:rFonts w:eastAsia="Times New Roman" w:cs="Arial"/>
          <w:color w:val="000000"/>
          <w:u w:val="single"/>
          <w:lang w:eastAsia="bg-BG"/>
        </w:rPr>
      </w:pPr>
    </w:p>
    <w:p w14:paraId="1F5C7993" w14:textId="62F408E6"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Двойно блокиране на ренин-ангиотензин-алдостероновата система (РААС)</w:t>
      </w:r>
    </w:p>
    <w:p w14:paraId="39B0D006"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Има данни, че едновременната употреба на АСЕ инхибитори, ангиотензин </w:t>
      </w:r>
      <w:r w:rsidRPr="00C24008">
        <w:rPr>
          <w:rFonts w:eastAsia="Times New Roman" w:cs="Arial"/>
          <w:color w:val="000000"/>
          <w:lang w:val="en-US"/>
        </w:rPr>
        <w:t>II</w:t>
      </w:r>
      <w:r w:rsidRPr="00C24008">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C24008">
        <w:rPr>
          <w:rFonts w:eastAsia="Times New Roman" w:cs="Arial"/>
          <w:color w:val="000000"/>
          <w:lang w:val="en-US"/>
        </w:rPr>
        <w:t>II</w:t>
      </w:r>
      <w:r w:rsidRPr="00C24008">
        <w:rPr>
          <w:rFonts w:eastAsia="Times New Roman" w:cs="Arial"/>
          <w:color w:val="000000"/>
          <w:lang w:eastAsia="bg-BG"/>
        </w:rPr>
        <w:t>-рецепторни блокери или алискирен (вж. точки 4.5 и 5.1).</w:t>
      </w:r>
    </w:p>
    <w:p w14:paraId="4F2944EE"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7D4634A0"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АСЕ инхибитори и ангиотензин </w:t>
      </w:r>
      <w:r w:rsidRPr="00C24008">
        <w:rPr>
          <w:rFonts w:eastAsia="Times New Roman" w:cs="Arial"/>
          <w:color w:val="000000"/>
          <w:lang w:val="en-US"/>
        </w:rPr>
        <w:t>II</w:t>
      </w:r>
      <w:r w:rsidRPr="00C24008">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3DE92BC8" w14:textId="77777777" w:rsidR="00C24008" w:rsidRPr="00C24008" w:rsidRDefault="00C24008" w:rsidP="00C24008">
      <w:pPr>
        <w:spacing w:line="240" w:lineRule="auto"/>
        <w:rPr>
          <w:rFonts w:eastAsia="Times New Roman" w:cs="Arial"/>
          <w:color w:val="000000"/>
          <w:u w:val="single"/>
          <w:lang w:eastAsia="bg-BG"/>
        </w:rPr>
      </w:pPr>
    </w:p>
    <w:p w14:paraId="095DD9FC" w14:textId="57F3C569"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Други състояния със стимулация на системата ренин-ангиотензин-алдостерон</w:t>
      </w:r>
    </w:p>
    <w:p w14:paraId="708055C3"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При пациенти, чийто съдов тонус и бъбречна функция зависят основно от активността на системата ренин-ангиотензин-алдостерон (напр. пациенти с тежка застойна сърдечна недостатъчност или подлежащо бъбречно заболяване, включително и стеноза на бъбречната артерия), лечението с лекарствени продукти, които повлияват тази система предизвиква остра хипотония, хиперазотемия, олигурия или рядко остра бъбречна недостатъчност (вж. точка 4.8).</w:t>
      </w:r>
    </w:p>
    <w:p w14:paraId="274AADBD" w14:textId="77777777" w:rsidR="00C24008" w:rsidRPr="00C24008" w:rsidRDefault="00C24008" w:rsidP="00C24008">
      <w:pPr>
        <w:spacing w:line="240" w:lineRule="auto"/>
        <w:rPr>
          <w:rFonts w:eastAsia="Times New Roman" w:cs="Arial"/>
          <w:color w:val="000000"/>
          <w:u w:val="single"/>
          <w:lang w:eastAsia="bg-BG"/>
        </w:rPr>
      </w:pPr>
    </w:p>
    <w:p w14:paraId="0667030B" w14:textId="35415AF1"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Първичен алдостеронизъм</w:t>
      </w:r>
    </w:p>
    <w:p w14:paraId="38EC715F"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Пациенти с първичен алдостеронизъм по принцип няма да реагират на антихипертензивни лекарствени продукти, действащи чрез инхибиране на системата ренин-ангиотензин. Поради това, употребата на Телмисартан НСТ ЕГИС не се препоръчва.</w:t>
      </w:r>
    </w:p>
    <w:p w14:paraId="20125E0D" w14:textId="77777777" w:rsidR="00C24008" w:rsidRPr="00C24008" w:rsidRDefault="00C24008" w:rsidP="00C24008">
      <w:pPr>
        <w:spacing w:line="240" w:lineRule="auto"/>
        <w:rPr>
          <w:rFonts w:eastAsia="Times New Roman" w:cs="Arial"/>
          <w:color w:val="000000"/>
          <w:u w:val="single"/>
          <w:lang w:eastAsia="bg-BG"/>
        </w:rPr>
      </w:pPr>
    </w:p>
    <w:p w14:paraId="61C62213" w14:textId="76F7EB7F"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Стеноза на аортната и митрална клапа, обстоуктивна хипертрофична кардиомиопатия</w:t>
      </w:r>
    </w:p>
    <w:p w14:paraId="09162792"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Както при другите вазодилататори, специално внимание е необходимо при пациенти, страдащи от аортна или митрална стеноза или обструктивна хипертрофична кардиомиопатия.</w:t>
      </w:r>
    </w:p>
    <w:p w14:paraId="7D63809C" w14:textId="77777777" w:rsidR="00C24008" w:rsidRPr="00C24008" w:rsidRDefault="00C24008" w:rsidP="00C24008">
      <w:pPr>
        <w:spacing w:line="240" w:lineRule="auto"/>
        <w:rPr>
          <w:rFonts w:eastAsia="Times New Roman" w:cs="Arial"/>
          <w:color w:val="000000"/>
          <w:u w:val="single"/>
          <w:lang w:eastAsia="bg-BG"/>
        </w:rPr>
      </w:pPr>
    </w:p>
    <w:p w14:paraId="31F8B866" w14:textId="7BAED663"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Метаболитни и ендокринни ефекти</w:t>
      </w:r>
    </w:p>
    <w:p w14:paraId="2DC6E8EA"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Лечението с тиазиди може да наруши глюкозния толеранс, поради това, при пациенти с диабет, лекувани с инсулин или антидиабетни лекарствени продукти и терапия с телмисартан, може да настъпи хипогликемия. Затова, при тези пациенти трябва да се обмисли съответно проследяване на кръвната захар и може да се наложи коригиране на дозата на инсулина или антидиабетните лекарствени продукти, когато е показано. По време на терапията с тиазиди може да се прояви латентен захарен диабет.</w:t>
      </w:r>
    </w:p>
    <w:p w14:paraId="42B86BFD" w14:textId="77777777" w:rsidR="00C24008" w:rsidRPr="00C24008" w:rsidRDefault="00C24008" w:rsidP="00C24008">
      <w:pPr>
        <w:spacing w:line="240" w:lineRule="auto"/>
        <w:rPr>
          <w:rFonts w:eastAsia="Times New Roman" w:cs="Arial"/>
          <w:color w:val="000000"/>
          <w:lang w:eastAsia="bg-BG"/>
        </w:rPr>
      </w:pPr>
    </w:p>
    <w:p w14:paraId="6503E9A9" w14:textId="77777777" w:rsidR="00C24008" w:rsidRPr="00C24008"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Лечението с тиазидни диуретици се свързва с повишаване на нивата на холестерол и триглицериди. Въпреки това, при доза 12,5 </w:t>
      </w:r>
      <w:r w:rsidRPr="00C24008">
        <w:rPr>
          <w:rFonts w:eastAsia="Times New Roman" w:cs="Arial"/>
          <w:color w:val="000000"/>
          <w:lang w:val="en-US"/>
        </w:rPr>
        <w:t xml:space="preserve">mg, </w:t>
      </w:r>
      <w:r w:rsidRPr="00C24008">
        <w:rPr>
          <w:rFonts w:eastAsia="Times New Roman" w:cs="Arial"/>
          <w:color w:val="000000"/>
          <w:lang w:eastAsia="bg-BG"/>
        </w:rPr>
        <w:t xml:space="preserve">съдържаща се в телмисартан/хидрохлоротиазид, тези ефекти са минимални или липсват. При някои пациенти на тиазидна терапия може да се развие хиперурикемия или разгърната </w:t>
      </w:r>
    </w:p>
    <w:p w14:paraId="42E213E7" w14:textId="3813A73F"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подагра.</w:t>
      </w:r>
    </w:p>
    <w:p w14:paraId="2FD83584" w14:textId="77777777" w:rsidR="00C24008" w:rsidRPr="00C24008" w:rsidRDefault="00C24008" w:rsidP="00C24008">
      <w:pPr>
        <w:spacing w:line="240" w:lineRule="auto"/>
        <w:rPr>
          <w:rFonts w:eastAsia="Times New Roman" w:cs="Arial"/>
          <w:color w:val="000000"/>
          <w:u w:val="single"/>
          <w:lang w:eastAsia="bg-BG"/>
        </w:rPr>
      </w:pPr>
    </w:p>
    <w:p w14:paraId="762255EA" w14:textId="6227E710"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Електролитен дисбаланс</w:t>
      </w:r>
    </w:p>
    <w:p w14:paraId="1E46D969"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Както при всички пациенти на диуретична терапия е необходимо на</w:t>
      </w:r>
      <w:r w:rsidRPr="00C24008">
        <w:rPr>
          <w:rFonts w:eastAsia="Times New Roman" w:cs="Arial"/>
          <w:color w:val="000000"/>
          <w:lang w:val="en-US"/>
        </w:rPr>
        <w:t xml:space="preserve"> </w:t>
      </w:r>
      <w:r w:rsidRPr="00C24008">
        <w:rPr>
          <w:rFonts w:eastAsia="Times New Roman" w:cs="Arial"/>
          <w:color w:val="000000"/>
          <w:lang w:eastAsia="bg-BG"/>
        </w:rPr>
        <w:t>определени интервали да</w:t>
      </w:r>
    </w:p>
    <w:p w14:paraId="4EE67048" w14:textId="1489E797" w:rsidR="00C24008" w:rsidRPr="00C24008" w:rsidRDefault="00C24008" w:rsidP="00C24008">
      <w:pPr>
        <w:rPr>
          <w:rFonts w:eastAsia="Times New Roman" w:cs="Arial"/>
          <w:color w:val="000000"/>
          <w:lang w:eastAsia="bg-BG"/>
        </w:rPr>
      </w:pPr>
      <w:r w:rsidRPr="00C24008">
        <w:rPr>
          <w:rFonts w:eastAsia="Times New Roman" w:cs="Arial"/>
          <w:color w:val="000000"/>
          <w:lang w:eastAsia="bg-BG"/>
        </w:rPr>
        <w:t xml:space="preserve">се провежда периодично проследяване на нивата на електролитите в </w:t>
      </w:r>
      <w:r w:rsidRPr="00C24008">
        <w:rPr>
          <w:rFonts w:eastAsia="Times New Roman" w:cs="Arial"/>
          <w:color w:val="000000"/>
          <w:lang w:val="en-US"/>
        </w:rPr>
        <w:t>c</w:t>
      </w:r>
      <w:r w:rsidRPr="00C24008">
        <w:rPr>
          <w:rFonts w:eastAsia="Times New Roman" w:cs="Arial"/>
          <w:color w:val="000000"/>
          <w:lang w:eastAsia="bg-BG"/>
        </w:rPr>
        <w:t>ерума.</w:t>
      </w:r>
    </w:p>
    <w:p w14:paraId="09864F25" w14:textId="0096F644" w:rsidR="00C24008" w:rsidRPr="00C24008" w:rsidRDefault="00C24008" w:rsidP="00C24008">
      <w:pPr>
        <w:rPr>
          <w:rFonts w:eastAsia="Times New Roman" w:cs="Arial"/>
          <w:color w:val="000000"/>
          <w:lang w:eastAsia="bg-BG"/>
        </w:rPr>
      </w:pPr>
    </w:p>
    <w:p w14:paraId="6FBFC97D"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Тиазидите, включително хидрохлоротиазид, могат да доведат до водно-електролитен дисбаланс (включително хипокалиемия, хипонатриемия и хипохлоремична алкалоза). Началните признаци за водно-електролитен дисбаланс са: сухота в устата, жажда, астения, сънливост, замайване, безпокойство, болка в мускулите или мускулни крампи, мускулна слабост, хипотония, олигурия, тахикардия и стомашно-чревни смущения като гадене или повръщане (вж. точка 4.8).</w:t>
      </w:r>
    </w:p>
    <w:p w14:paraId="0846BBA7" w14:textId="77777777" w:rsidR="00C24008" w:rsidRPr="00C24008" w:rsidRDefault="00C24008" w:rsidP="00C24008">
      <w:pPr>
        <w:spacing w:line="240" w:lineRule="auto"/>
        <w:rPr>
          <w:rFonts w:eastAsia="Times New Roman" w:cs="Arial"/>
          <w:color w:val="000000"/>
          <w:lang w:eastAsia="bg-BG"/>
        </w:rPr>
      </w:pPr>
    </w:p>
    <w:p w14:paraId="2BA1B17B" w14:textId="4537B786" w:rsidR="00C24008" w:rsidRPr="00C24008" w:rsidRDefault="00C24008" w:rsidP="00C24008">
      <w:pPr>
        <w:pStyle w:val="ListParagraph"/>
        <w:numPr>
          <w:ilvl w:val="0"/>
          <w:numId w:val="40"/>
        </w:numPr>
        <w:spacing w:line="240" w:lineRule="auto"/>
        <w:rPr>
          <w:rFonts w:eastAsia="Times New Roman" w:cs="Arial"/>
          <w:lang w:eastAsia="bg-BG"/>
        </w:rPr>
      </w:pPr>
      <w:r w:rsidRPr="00C24008">
        <w:rPr>
          <w:rFonts w:eastAsia="Times New Roman" w:cs="Arial"/>
          <w:color w:val="000000"/>
          <w:lang w:eastAsia="bg-BG"/>
        </w:rPr>
        <w:t>Хипокалиемия</w:t>
      </w:r>
    </w:p>
    <w:p w14:paraId="752272E7"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Въпреки че, при употребата на тиазидни диуретици може да се развие хипокалиемия, едновременното лечение с телмисартан може да редуцира предизвиканата от диуретиците хипокалиемия. Рискът от развитие на хипокалиемия е по-голям при пациенти с чернодробна цироза, при пациенти със засилена диуреза, при пациенти, които поемат недостатъчно количество електролити през устата и при пациенти, които едновременно се лекуват с кортикостероиди или адренокортикотропен хормон (АСТН) (вж. точка 4.5).</w:t>
      </w:r>
    </w:p>
    <w:p w14:paraId="2FFB1CF2" w14:textId="77777777" w:rsidR="00C24008" w:rsidRPr="00C24008" w:rsidRDefault="00C24008" w:rsidP="00C24008">
      <w:pPr>
        <w:spacing w:line="240" w:lineRule="auto"/>
        <w:rPr>
          <w:rFonts w:eastAsia="Times New Roman" w:cs="Arial"/>
          <w:color w:val="000000"/>
          <w:lang w:eastAsia="bg-BG"/>
        </w:rPr>
      </w:pPr>
    </w:p>
    <w:p w14:paraId="459F031A" w14:textId="128160FC" w:rsidR="00C24008" w:rsidRPr="00C24008" w:rsidRDefault="00C24008" w:rsidP="00C24008">
      <w:pPr>
        <w:pStyle w:val="ListParagraph"/>
        <w:numPr>
          <w:ilvl w:val="0"/>
          <w:numId w:val="40"/>
        </w:numPr>
        <w:spacing w:line="240" w:lineRule="auto"/>
        <w:rPr>
          <w:rFonts w:eastAsia="Times New Roman" w:cs="Arial"/>
          <w:lang w:eastAsia="bg-BG"/>
        </w:rPr>
      </w:pPr>
      <w:r w:rsidRPr="00C24008">
        <w:rPr>
          <w:rFonts w:eastAsia="Times New Roman" w:cs="Arial"/>
          <w:color w:val="000000"/>
          <w:lang w:eastAsia="bg-BG"/>
        </w:rPr>
        <w:t>Хиперкалиемия</w:t>
      </w:r>
    </w:p>
    <w:p w14:paraId="0046C79A"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В противоположния случай може да се стигне до хиперкалиемия, дължаща се на антагонизма на телмисартан, компонент на Телмисартан НСТ ЕГИС към ангиотензин </w:t>
      </w:r>
      <w:r w:rsidRPr="00C24008">
        <w:rPr>
          <w:rFonts w:eastAsia="Times New Roman" w:cs="Arial"/>
          <w:color w:val="000000"/>
          <w:lang w:val="en-US"/>
        </w:rPr>
        <w:t>II</w:t>
      </w:r>
      <w:r w:rsidRPr="00C24008">
        <w:rPr>
          <w:rFonts w:eastAsia="Times New Roman" w:cs="Arial"/>
          <w:color w:val="000000"/>
          <w:lang w:eastAsia="bg-BG"/>
        </w:rPr>
        <w:t xml:space="preserve"> </w:t>
      </w:r>
      <w:r w:rsidRPr="00C24008">
        <w:rPr>
          <w:rFonts w:eastAsia="Times New Roman" w:cs="Arial"/>
          <w:color w:val="000000"/>
          <w:lang w:val="en-US"/>
        </w:rPr>
        <w:t>(AT</w:t>
      </w:r>
      <w:r w:rsidRPr="00C24008">
        <w:rPr>
          <w:rFonts w:eastAsia="Times New Roman" w:cs="Arial"/>
          <w:color w:val="000000"/>
          <w:vertAlign w:val="subscript"/>
          <w:lang w:val="en-US"/>
        </w:rPr>
        <w:t>1</w:t>
      </w:r>
      <w:r w:rsidRPr="00C24008">
        <w:rPr>
          <w:rFonts w:eastAsia="Times New Roman" w:cs="Arial"/>
          <w:color w:val="000000"/>
          <w:lang w:val="en-US"/>
        </w:rPr>
        <w:t xml:space="preserve">) </w:t>
      </w:r>
      <w:r w:rsidRPr="00C24008">
        <w:rPr>
          <w:rFonts w:eastAsia="Times New Roman" w:cs="Arial"/>
          <w:color w:val="000000"/>
          <w:lang w:eastAsia="bg-BG"/>
        </w:rPr>
        <w:t xml:space="preserve">рецепторите. Макар че, досега не е отбелязано наличие на клинично значима </w:t>
      </w:r>
      <w:r w:rsidRPr="00C24008">
        <w:rPr>
          <w:rFonts w:eastAsia="Times New Roman" w:cs="Arial"/>
          <w:color w:val="000000"/>
          <w:lang w:eastAsia="bg-BG"/>
        </w:rPr>
        <w:lastRenderedPageBreak/>
        <w:t>хиперкалиемия по време на лечение с телмисартан/хидрохлоротиазид, рисковите фактори за развитието й включват бъбречна недостатъчност и/или сърдечна недостатъчност и захарен диабет. Калий- съхраняващите диуретици, калиевите добавки или заместителите на солта, съдържащи калий трябва да бъдат внимателно прилагани по време на лечение с Телмисартан НСТ ЕГИС (вж. точка 4.5).</w:t>
      </w:r>
    </w:p>
    <w:p w14:paraId="3DA5153E" w14:textId="77777777" w:rsidR="00C24008" w:rsidRPr="00C24008" w:rsidRDefault="00C24008" w:rsidP="00C24008">
      <w:pPr>
        <w:spacing w:line="240" w:lineRule="auto"/>
        <w:rPr>
          <w:rFonts w:eastAsia="Times New Roman" w:cs="Arial"/>
          <w:color w:val="000000"/>
          <w:lang w:eastAsia="bg-BG"/>
        </w:rPr>
      </w:pPr>
    </w:p>
    <w:p w14:paraId="3664198A" w14:textId="2613A045" w:rsidR="00C24008" w:rsidRPr="00C24008" w:rsidRDefault="00C24008" w:rsidP="00C24008">
      <w:pPr>
        <w:pStyle w:val="ListParagraph"/>
        <w:numPr>
          <w:ilvl w:val="0"/>
          <w:numId w:val="40"/>
        </w:numPr>
        <w:spacing w:line="240" w:lineRule="auto"/>
        <w:rPr>
          <w:rFonts w:eastAsia="Times New Roman" w:cs="Arial"/>
          <w:lang w:eastAsia="bg-BG"/>
        </w:rPr>
      </w:pPr>
      <w:r w:rsidRPr="00C24008">
        <w:rPr>
          <w:rFonts w:eastAsia="Times New Roman" w:cs="Arial"/>
          <w:color w:val="000000"/>
          <w:lang w:eastAsia="bg-BG"/>
        </w:rPr>
        <w:t>Хипонатриемия и хипохлоремична алкалоза</w:t>
      </w:r>
    </w:p>
    <w:p w14:paraId="39349E9F"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Няма данни, че телмисартан/хидрохлоротиазид може да редуцира или предотврати предизвиканата от диуретици хипонатриемия. Хлорният дефицит обикновено е лек и не налага допълнително лечение.</w:t>
      </w:r>
    </w:p>
    <w:p w14:paraId="41D29B77" w14:textId="77777777" w:rsidR="00C24008" w:rsidRPr="00C24008" w:rsidRDefault="00C24008" w:rsidP="00C24008">
      <w:pPr>
        <w:spacing w:line="240" w:lineRule="auto"/>
        <w:rPr>
          <w:rFonts w:eastAsia="Times New Roman" w:cs="Arial"/>
          <w:color w:val="000000"/>
          <w:lang w:eastAsia="bg-BG"/>
        </w:rPr>
      </w:pPr>
    </w:p>
    <w:p w14:paraId="32B619AC" w14:textId="4865FAA0" w:rsidR="00C24008" w:rsidRPr="00C24008" w:rsidRDefault="00C24008" w:rsidP="00C24008">
      <w:pPr>
        <w:pStyle w:val="ListParagraph"/>
        <w:numPr>
          <w:ilvl w:val="0"/>
          <w:numId w:val="40"/>
        </w:numPr>
        <w:spacing w:line="240" w:lineRule="auto"/>
        <w:rPr>
          <w:rFonts w:eastAsia="Times New Roman" w:cs="Arial"/>
          <w:lang w:eastAsia="bg-BG"/>
        </w:rPr>
      </w:pPr>
      <w:r w:rsidRPr="00C24008">
        <w:rPr>
          <w:rFonts w:eastAsia="Times New Roman" w:cs="Arial"/>
          <w:color w:val="000000"/>
          <w:lang w:eastAsia="bg-BG"/>
        </w:rPr>
        <w:t>Хиперкалциемия</w:t>
      </w:r>
    </w:p>
    <w:p w14:paraId="0F03A225"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Тиазидите могат да намалят излъчването на калций с урината и да доведат до преходни и леки увеличения на серумния калций при липса на установени нарушения в калциевия метаболизъм. Значителната хиперкалциемия може да е доказателство за скрит хиперпаратиреоидизъм. Преди да се проведе изследване на паратироидните функции трябва да се прекрати приема на тиазиди.</w:t>
      </w:r>
    </w:p>
    <w:p w14:paraId="28608CC7" w14:textId="77777777" w:rsidR="00C24008" w:rsidRPr="00C24008" w:rsidRDefault="00C24008" w:rsidP="00C24008">
      <w:pPr>
        <w:spacing w:line="240" w:lineRule="auto"/>
        <w:rPr>
          <w:rFonts w:eastAsia="Times New Roman" w:cs="Arial"/>
          <w:color w:val="000000"/>
          <w:lang w:eastAsia="bg-BG"/>
        </w:rPr>
      </w:pPr>
    </w:p>
    <w:p w14:paraId="197023EF" w14:textId="1D5651C1" w:rsidR="00C24008" w:rsidRPr="00C24008" w:rsidRDefault="00C24008" w:rsidP="00C24008">
      <w:pPr>
        <w:pStyle w:val="ListParagraph"/>
        <w:numPr>
          <w:ilvl w:val="0"/>
          <w:numId w:val="40"/>
        </w:numPr>
        <w:spacing w:line="240" w:lineRule="auto"/>
        <w:rPr>
          <w:rFonts w:eastAsia="Times New Roman" w:cs="Arial"/>
          <w:lang w:eastAsia="bg-BG"/>
        </w:rPr>
      </w:pPr>
      <w:r w:rsidRPr="00C24008">
        <w:rPr>
          <w:rFonts w:eastAsia="Times New Roman" w:cs="Arial"/>
          <w:color w:val="000000"/>
          <w:lang w:eastAsia="bg-BG"/>
        </w:rPr>
        <w:t>Хипомагнезиемия</w:t>
      </w:r>
    </w:p>
    <w:p w14:paraId="7E1F4E07"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Тиазидите увеличават отделянето на магнезий с урината, което може да доведе до хипомагнезиемия (вж. точка 4.5).</w:t>
      </w:r>
    </w:p>
    <w:p w14:paraId="7289C6EA" w14:textId="77777777" w:rsidR="00C24008" w:rsidRPr="00C24008" w:rsidRDefault="00C24008" w:rsidP="00C24008">
      <w:pPr>
        <w:spacing w:line="240" w:lineRule="auto"/>
        <w:rPr>
          <w:rFonts w:eastAsia="Times New Roman" w:cs="Arial"/>
          <w:color w:val="000000"/>
          <w:u w:val="single"/>
          <w:lang w:eastAsia="bg-BG"/>
        </w:rPr>
      </w:pPr>
    </w:p>
    <w:p w14:paraId="12016A51" w14:textId="737F37BA"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Етнически различия</w:t>
      </w:r>
    </w:p>
    <w:p w14:paraId="5B585DFF"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Както при всички ангиотензин II рецепторни антагонисти, телмисартан е очевидно по-малко ефективен в понижаването на кръвното налягане при хора от черната раса, отколкото при другите раси, вероятно поради по-честото срещане на ниско рениново ниво при чернокожата хипертензивна популация.</w:t>
      </w:r>
    </w:p>
    <w:p w14:paraId="7B71A31F" w14:textId="77777777" w:rsidR="00C24008" w:rsidRPr="00C24008" w:rsidRDefault="00C24008" w:rsidP="00C24008">
      <w:pPr>
        <w:spacing w:line="240" w:lineRule="auto"/>
        <w:rPr>
          <w:rFonts w:eastAsia="Times New Roman" w:cs="Arial"/>
          <w:color w:val="000000"/>
          <w:u w:val="single"/>
          <w:lang w:eastAsia="bg-BG"/>
        </w:rPr>
      </w:pPr>
    </w:p>
    <w:p w14:paraId="681ADECB" w14:textId="2AA0F206"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Други</w:t>
      </w:r>
    </w:p>
    <w:p w14:paraId="69E205CF"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Както при други антихипертензивни лекарствени продукти, ексцесивната редукция на кръвното налягане при пациенти с исхемична кардиопатия или исхемично сърдечно-съдово заболяване може да доведе до миокарден инфаркт или инсулт.</w:t>
      </w:r>
    </w:p>
    <w:p w14:paraId="41DA433E" w14:textId="77777777" w:rsidR="00C24008" w:rsidRDefault="00C24008" w:rsidP="00C24008">
      <w:pPr>
        <w:spacing w:line="240" w:lineRule="auto"/>
        <w:rPr>
          <w:rFonts w:eastAsia="Times New Roman" w:cs="Arial"/>
          <w:i/>
          <w:iCs/>
          <w:color w:val="000000"/>
          <w:u w:val="single"/>
          <w:lang w:eastAsia="bg-BG"/>
        </w:rPr>
      </w:pPr>
    </w:p>
    <w:p w14:paraId="1F05BDE7" w14:textId="49C5BC6B" w:rsidR="00C24008" w:rsidRPr="00C24008" w:rsidRDefault="00C24008" w:rsidP="00C24008">
      <w:pPr>
        <w:spacing w:line="240" w:lineRule="auto"/>
        <w:rPr>
          <w:rFonts w:eastAsia="Times New Roman" w:cs="Arial"/>
          <w:lang w:eastAsia="bg-BG"/>
        </w:rPr>
      </w:pPr>
      <w:r w:rsidRPr="00C24008">
        <w:rPr>
          <w:rFonts w:eastAsia="Times New Roman" w:cs="Arial"/>
          <w:i/>
          <w:iCs/>
          <w:color w:val="000000"/>
          <w:u w:val="single"/>
          <w:lang w:eastAsia="bg-BG"/>
        </w:rPr>
        <w:t>Общи</w:t>
      </w:r>
      <w:bookmarkStart w:id="1" w:name="bookmark0"/>
      <w:bookmarkEnd w:id="1"/>
    </w:p>
    <w:p w14:paraId="3A679AD2" w14:textId="06290E43"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При пациенти със или без анамнеза за алергия или бронхиална астма може да се наблюдават</w:t>
      </w:r>
      <w:r>
        <w:rPr>
          <w:rFonts w:eastAsia="Times New Roman" w:cs="Arial"/>
          <w:lang w:eastAsia="bg-BG"/>
        </w:rPr>
        <w:t xml:space="preserve"> </w:t>
      </w:r>
      <w:r w:rsidRPr="00C24008">
        <w:rPr>
          <w:rFonts w:eastAsia="Times New Roman" w:cs="Arial"/>
          <w:color w:val="000000"/>
          <w:lang w:eastAsia="bg-BG"/>
        </w:rPr>
        <w:t>реакции на свръхчувствителност към хидрохлоротиазид, но са по-вероятни при пациенти с</w:t>
      </w:r>
      <w:r w:rsidRPr="00C24008">
        <w:rPr>
          <w:rFonts w:eastAsia="Times New Roman" w:cs="Arial"/>
          <w:color w:val="000000"/>
          <w:lang w:eastAsia="bg-BG"/>
        </w:rPr>
        <w:t xml:space="preserve"> </w:t>
      </w:r>
      <w:r w:rsidRPr="00C24008">
        <w:rPr>
          <w:rFonts w:eastAsia="Times New Roman" w:cs="Arial"/>
          <w:color w:val="000000"/>
          <w:lang w:eastAsia="bg-BG"/>
        </w:rPr>
        <w:t>такава анамнеза. Има съобщения за обостряне или активиране на системен лупус еритематодес при пациенти, лекувани с тиазидни диуретици, включително хидрохлоротиазид.</w:t>
      </w:r>
    </w:p>
    <w:p w14:paraId="0DC6EDD1" w14:textId="77777777" w:rsidR="00C24008" w:rsidRDefault="00C24008" w:rsidP="00C24008">
      <w:pPr>
        <w:spacing w:line="240" w:lineRule="auto"/>
        <w:rPr>
          <w:rFonts w:eastAsia="Times New Roman" w:cs="Arial"/>
          <w:color w:val="000000"/>
          <w:lang w:eastAsia="bg-BG"/>
        </w:rPr>
      </w:pPr>
    </w:p>
    <w:p w14:paraId="33AB4F4B" w14:textId="6D526A5A"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Има съобщения за реакции на фоточувствителност при употребата на тиазидни диуретици (вж. точка 4.8). Препоръчва се прекратяване на терапията, ако се появи реакция на фоточувствителност в периода на лечение. Ако се счита за необходимо отново включване на диуретик, се препоръчва предпазване на зоните, които се излагат на слънце или на изкуствени </w:t>
      </w:r>
      <w:r w:rsidRPr="00C24008">
        <w:rPr>
          <w:rFonts w:eastAsia="Times New Roman" w:cs="Arial"/>
          <w:color w:val="000000"/>
          <w:lang w:val="en-US"/>
        </w:rPr>
        <w:t xml:space="preserve">UVA </w:t>
      </w:r>
      <w:r w:rsidRPr="00C24008">
        <w:rPr>
          <w:rFonts w:eastAsia="Times New Roman" w:cs="Arial"/>
          <w:color w:val="000000"/>
          <w:lang w:eastAsia="bg-BG"/>
        </w:rPr>
        <w:t>лъчи.</w:t>
      </w:r>
    </w:p>
    <w:p w14:paraId="4B7F0E8C" w14:textId="77777777" w:rsidR="00C24008" w:rsidRPr="00C24008" w:rsidRDefault="00C24008" w:rsidP="00C24008">
      <w:pPr>
        <w:spacing w:line="240" w:lineRule="auto"/>
        <w:rPr>
          <w:rFonts w:eastAsia="Times New Roman" w:cs="Arial"/>
          <w:color w:val="000000"/>
          <w:u w:val="single"/>
          <w:lang w:eastAsia="bg-BG"/>
        </w:rPr>
      </w:pPr>
    </w:p>
    <w:p w14:paraId="4E0DC464" w14:textId="7540A175"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Хороидален излив. остра миопия и вторична закритоъгьлна глаукома</w:t>
      </w:r>
    </w:p>
    <w:p w14:paraId="0134097F"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Сулфонамид или сулфонамид-производни лекарства може да предизвикат идиосинкратична реакция, водеща до хороидален излив с дефект на зрителното поле, преходна миопия и остра закритоъгьлна глаукома. Симптомите включват намалена зрителна острота с остро начало или болки в очите и обикновено се проявяват часове </w:t>
      </w:r>
      <w:r w:rsidRPr="00C24008">
        <w:rPr>
          <w:rFonts w:eastAsia="Times New Roman" w:cs="Arial"/>
          <w:color w:val="000000"/>
          <w:lang w:eastAsia="bg-BG"/>
        </w:rPr>
        <w:lastRenderedPageBreak/>
        <w:t>или седмици след започване на лечението. Нелекувана, закритоъгълната глаукома може да доведе до перманентна загуба на зрението. Първото лечение е да се прекъсне приложението на хидрохлоротиазид възможно най-бързо. Може да сеналожи да се обмисли нуждата от своевременно консервативно или хирургично лечение, ако вътреочното налягане остане неконтролирано. Рисковите фактори за развитие на закритоъгьлна глаукома може да включват анамнеза за алергия към сулфонамиди или пеницилин.</w:t>
      </w:r>
    </w:p>
    <w:p w14:paraId="034957F6" w14:textId="77777777" w:rsidR="00C24008" w:rsidRPr="00C24008" w:rsidRDefault="00C24008" w:rsidP="00C24008">
      <w:pPr>
        <w:spacing w:line="240" w:lineRule="auto"/>
        <w:rPr>
          <w:rFonts w:eastAsia="Times New Roman" w:cs="Arial"/>
          <w:i/>
          <w:iCs/>
          <w:color w:val="000000"/>
          <w:lang w:eastAsia="bg-BG"/>
        </w:rPr>
      </w:pPr>
    </w:p>
    <w:p w14:paraId="445D0675" w14:textId="645DF33D" w:rsidR="00C24008" w:rsidRPr="00C24008" w:rsidRDefault="00C24008" w:rsidP="00C24008">
      <w:pPr>
        <w:spacing w:line="240" w:lineRule="auto"/>
        <w:rPr>
          <w:rFonts w:eastAsia="Times New Roman" w:cs="Arial"/>
          <w:lang w:eastAsia="bg-BG"/>
        </w:rPr>
      </w:pPr>
      <w:r w:rsidRPr="00C24008">
        <w:rPr>
          <w:rFonts w:eastAsia="Times New Roman" w:cs="Arial"/>
          <w:i/>
          <w:iCs/>
          <w:color w:val="000000"/>
          <w:lang w:eastAsia="bg-BG"/>
        </w:rPr>
        <w:t>Немеланомен рак на кожата</w:t>
      </w:r>
    </w:p>
    <w:p w14:paraId="3FCD8E9F"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В две епидемиологични проучвания, въз основа на данни от Датския национален регистър на раковите заболявания,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4BE54014"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78E36036" w14:textId="77777777" w:rsidR="00C24008" w:rsidRPr="00C24008" w:rsidRDefault="00C24008" w:rsidP="00C24008">
      <w:pPr>
        <w:spacing w:line="240" w:lineRule="auto"/>
        <w:rPr>
          <w:rFonts w:eastAsia="Times New Roman" w:cs="Arial"/>
          <w:color w:val="000000"/>
          <w:u w:val="single"/>
          <w:lang w:eastAsia="bg-BG"/>
        </w:rPr>
      </w:pPr>
    </w:p>
    <w:p w14:paraId="34D822B2" w14:textId="2FC021F4"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Натрий</w:t>
      </w:r>
    </w:p>
    <w:p w14:paraId="62B7E1ED"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Това лекарство съдържа по-малко от 1 </w:t>
      </w:r>
      <w:r w:rsidRPr="00C24008">
        <w:rPr>
          <w:rFonts w:eastAsia="Times New Roman" w:cs="Arial"/>
          <w:color w:val="000000"/>
          <w:lang w:val="en-US"/>
        </w:rPr>
        <w:t xml:space="preserve">mmol </w:t>
      </w:r>
      <w:r w:rsidRPr="00C24008">
        <w:rPr>
          <w:rFonts w:eastAsia="Times New Roman" w:cs="Arial"/>
          <w:color w:val="000000"/>
          <w:lang w:eastAsia="bg-BG"/>
        </w:rPr>
        <w:t xml:space="preserve">натрий (23 </w:t>
      </w:r>
      <w:r w:rsidRPr="00C24008">
        <w:rPr>
          <w:rFonts w:eastAsia="Times New Roman" w:cs="Arial"/>
          <w:color w:val="000000"/>
          <w:lang w:val="en-US"/>
        </w:rPr>
        <w:t xml:space="preserve">mg) </w:t>
      </w:r>
      <w:r w:rsidRPr="00C24008">
        <w:rPr>
          <w:rFonts w:eastAsia="Times New Roman" w:cs="Arial"/>
          <w:color w:val="000000"/>
          <w:lang w:eastAsia="bg-BG"/>
        </w:rPr>
        <w:t>на таблетка, т.е. по същество несъдържа натрий.</w:t>
      </w:r>
    </w:p>
    <w:p w14:paraId="3A724E8B" w14:textId="43632414" w:rsidR="00C24008" w:rsidRPr="00C24008" w:rsidRDefault="00C24008" w:rsidP="00C24008"/>
    <w:p w14:paraId="7ABEA351" w14:textId="7014E1C0"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6C25728A" w14:textId="73A818A2" w:rsidR="00C24008" w:rsidRDefault="00C24008" w:rsidP="00C24008"/>
    <w:p w14:paraId="62316F51"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Литий</w:t>
      </w:r>
    </w:p>
    <w:p w14:paraId="1D8854FD"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По време на едновременно приложение на литий с инхибитори на ангиотензин конвертиращия ензим са наблюдавани обратими повишения на серумните литиеви концентрации и прояви на токсичност. Съобщавани са редки случаи и с ангиотензин II рецепторни антагонисти (включително телмисартан/хидрохлоротиазид). Едновременното прилагане на литий и Телмисартан НСТ ЕГИС не се препоръчва (вж. точка 4.4). Ако тази комбинация е от съществено значение, се препоръчва внимателно проследяване на серумните литиеви нива по време на едновременно приложение.</w:t>
      </w:r>
    </w:p>
    <w:p w14:paraId="12312A3B" w14:textId="77777777" w:rsidR="00C24008" w:rsidRPr="00C24008" w:rsidRDefault="00C24008" w:rsidP="00C24008">
      <w:pPr>
        <w:spacing w:line="240" w:lineRule="auto"/>
        <w:rPr>
          <w:rFonts w:eastAsia="Times New Roman" w:cs="Arial"/>
          <w:lang w:eastAsia="bg-BG"/>
        </w:rPr>
      </w:pPr>
    </w:p>
    <w:p w14:paraId="032DD561"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Лекарствени продукти, които са свързани със загуба на калии и хипокалиемия (напр. други</w:t>
      </w:r>
      <w:r w:rsidRPr="00C24008">
        <w:rPr>
          <w:rFonts w:eastAsia="Times New Roman" w:cs="Arial"/>
          <w:color w:val="000000"/>
          <w:lang w:eastAsia="bg-BG"/>
        </w:rPr>
        <w:t xml:space="preserve"> калиуретични диуретици, лаксативи, кортикостероиди, АСТН, амфотерицин, карбеноксолон</w:t>
      </w:r>
    </w:p>
    <w:p w14:paraId="12C5EC7A" w14:textId="34AB8D52" w:rsidR="00C24008" w:rsidRPr="00C24008" w:rsidRDefault="00C24008" w:rsidP="00C24008">
      <w:pPr>
        <w:rPr>
          <w:rFonts w:eastAsia="Times New Roman" w:cs="Arial"/>
          <w:color w:val="000000"/>
          <w:lang w:eastAsia="bg-BG"/>
        </w:rPr>
      </w:pPr>
      <w:r w:rsidRPr="00C24008">
        <w:rPr>
          <w:rFonts w:eastAsia="Times New Roman" w:cs="Arial"/>
          <w:color w:val="000000"/>
          <w:lang w:eastAsia="bg-BG"/>
        </w:rPr>
        <w:t xml:space="preserve">пеницилин </w:t>
      </w:r>
      <w:r w:rsidRPr="00C24008">
        <w:rPr>
          <w:rFonts w:eastAsia="Times New Roman" w:cs="Arial"/>
          <w:color w:val="000000"/>
          <w:lang w:val="en-US"/>
        </w:rPr>
        <w:t xml:space="preserve">G </w:t>
      </w:r>
      <w:r w:rsidRPr="00C24008">
        <w:rPr>
          <w:rFonts w:eastAsia="Times New Roman" w:cs="Arial"/>
          <w:color w:val="000000"/>
          <w:lang w:eastAsia="bg-BG"/>
        </w:rPr>
        <w:t>натрий, салицилова киселина и производните й).</w:t>
      </w:r>
    </w:p>
    <w:p w14:paraId="34594EC4" w14:textId="612F9615" w:rsidR="00C24008" w:rsidRPr="00C24008" w:rsidRDefault="00C24008" w:rsidP="00C24008">
      <w:pPr>
        <w:rPr>
          <w:rFonts w:eastAsia="Times New Roman" w:cs="Arial"/>
          <w:color w:val="000000"/>
          <w:lang w:eastAsia="bg-BG"/>
        </w:rPr>
      </w:pPr>
    </w:p>
    <w:p w14:paraId="1F003F32"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Ако тези вещества трябва да се приемат едновременно с комбинацията хидрохлоротиазид-телмисартан, се препоръчва проследяване на калиевите нива в плазмата. Тези лекарствени продукти може да потенцират ефектите на хидрохлоротиазид върху серумния калий (вж. точка 4.4).</w:t>
      </w:r>
    </w:p>
    <w:p w14:paraId="652F1D90" w14:textId="77777777" w:rsidR="00C24008" w:rsidRPr="00C24008" w:rsidRDefault="00C24008" w:rsidP="00C24008">
      <w:pPr>
        <w:spacing w:line="240" w:lineRule="auto"/>
        <w:rPr>
          <w:rFonts w:eastAsia="Times New Roman" w:cs="Arial"/>
          <w:color w:val="000000"/>
          <w:u w:val="single"/>
          <w:lang w:eastAsia="bg-BG"/>
        </w:rPr>
      </w:pPr>
    </w:p>
    <w:p w14:paraId="6785147D" w14:textId="2D8BBF1A"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 xml:space="preserve">Лекарствени продукти, които могат да повишат калиевите нива или индуцират хиперкалиемия </w:t>
      </w:r>
      <w:r w:rsidRPr="00C24008">
        <w:rPr>
          <w:rFonts w:eastAsia="Times New Roman" w:cs="Arial"/>
          <w:color w:val="000000"/>
          <w:lang w:eastAsia="bg-BG"/>
        </w:rPr>
        <w:t>(напр. АСЕ инхибитори, калий-съхраняващи диуретици, калиеви добавки, солеви заместители, съдържащи калий, циклоспорин или други лекарствени продукти като хепарин натрий) Ако тези лекарствени продукти са предписани за употреба едновременно с комбинацията хидрохлоротиазид-телмисартан, препоръчва се мониториране на калиевите плазмени нива. Въз основа на опита с използването на други лекарствени продукти, намаляващи действието на системата ренин-ангиотензин, съпътстващото приложение на гореспоменатите лекарствени продукти може да доведе до повишаване на серумния калий и по тази причина не се препоръчва (вж. точка 4.4).</w:t>
      </w:r>
    </w:p>
    <w:p w14:paraId="72494E13" w14:textId="77777777" w:rsidR="00C24008" w:rsidRPr="00C24008" w:rsidRDefault="00C24008" w:rsidP="00C24008">
      <w:pPr>
        <w:spacing w:line="240" w:lineRule="auto"/>
        <w:rPr>
          <w:rFonts w:eastAsia="Times New Roman" w:cs="Arial"/>
          <w:color w:val="000000"/>
          <w:u w:val="single"/>
          <w:lang w:eastAsia="bg-BG"/>
        </w:rPr>
      </w:pPr>
    </w:p>
    <w:p w14:paraId="776FE981" w14:textId="5B8E0456"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 xml:space="preserve">Лекарствени продукти, които се повлияват от нарушения в серумния калий </w:t>
      </w:r>
      <w:r w:rsidRPr="00C24008">
        <w:rPr>
          <w:rFonts w:eastAsia="Times New Roman" w:cs="Arial"/>
          <w:color w:val="000000"/>
          <w:lang w:eastAsia="bg-BG"/>
        </w:rPr>
        <w:t xml:space="preserve">Препоръчва се периодично проследяване на нивата на серумния калий и ЕКГ, когато Телмисартан НСТ ЕГИС се прилага едновременно с лекарствени продукти, които се повлияват от промени в серумния калий (напр. дигиталисови гликозиди, антиаритмични) и следните лекарствени продукти, предизвикващи </w:t>
      </w:r>
      <w:proofErr w:type="spellStart"/>
      <w:r w:rsidRPr="00C24008">
        <w:rPr>
          <w:rFonts w:eastAsia="Times New Roman" w:cs="Arial"/>
          <w:color w:val="000000"/>
          <w:lang w:val="en-US"/>
        </w:rPr>
        <w:t>torsades</w:t>
      </w:r>
      <w:proofErr w:type="spellEnd"/>
      <w:r w:rsidRPr="00C24008">
        <w:rPr>
          <w:rFonts w:eastAsia="Times New Roman" w:cs="Arial"/>
          <w:color w:val="000000"/>
          <w:lang w:val="en-US"/>
        </w:rPr>
        <w:t xml:space="preserve"> de pointes </w:t>
      </w:r>
      <w:r w:rsidRPr="00C24008">
        <w:rPr>
          <w:rFonts w:eastAsia="Times New Roman" w:cs="Arial"/>
          <w:color w:val="000000"/>
          <w:lang w:eastAsia="bg-BG"/>
        </w:rPr>
        <w:t xml:space="preserve">(включващи някои антиаритмични), като хипокалиемията е предразполагащ фактор за </w:t>
      </w:r>
      <w:proofErr w:type="spellStart"/>
      <w:r w:rsidRPr="00C24008">
        <w:rPr>
          <w:rFonts w:eastAsia="Times New Roman" w:cs="Arial"/>
          <w:color w:val="000000"/>
          <w:lang w:val="en-US"/>
        </w:rPr>
        <w:t>torsades</w:t>
      </w:r>
      <w:proofErr w:type="spellEnd"/>
      <w:r w:rsidRPr="00C24008">
        <w:rPr>
          <w:rFonts w:eastAsia="Times New Roman" w:cs="Arial"/>
          <w:color w:val="000000"/>
          <w:lang w:val="en-US"/>
        </w:rPr>
        <w:t xml:space="preserve"> de pointes.</w:t>
      </w:r>
    </w:p>
    <w:p w14:paraId="4EBE5D7F" w14:textId="77777777" w:rsidR="00C24008" w:rsidRPr="00C24008" w:rsidRDefault="00C24008" w:rsidP="00C24008">
      <w:pPr>
        <w:pStyle w:val="ListParagraph"/>
        <w:numPr>
          <w:ilvl w:val="0"/>
          <w:numId w:val="40"/>
        </w:numPr>
        <w:spacing w:line="240" w:lineRule="auto"/>
        <w:rPr>
          <w:rFonts w:eastAsia="Times New Roman" w:cs="Arial"/>
          <w:lang w:eastAsia="bg-BG"/>
        </w:rPr>
      </w:pPr>
      <w:r w:rsidRPr="00C24008">
        <w:rPr>
          <w:rFonts w:eastAsia="Times New Roman" w:cs="Arial"/>
          <w:color w:val="000000"/>
          <w:lang w:eastAsia="bg-BG"/>
        </w:rPr>
        <w:t xml:space="preserve">клас </w:t>
      </w:r>
      <w:proofErr w:type="spellStart"/>
      <w:r w:rsidRPr="00C24008">
        <w:rPr>
          <w:rFonts w:eastAsia="Times New Roman" w:cs="Arial"/>
          <w:color w:val="000000"/>
          <w:lang w:val="en-US"/>
        </w:rPr>
        <w:t>Ia</w:t>
      </w:r>
      <w:proofErr w:type="spellEnd"/>
      <w:r w:rsidRPr="00C24008">
        <w:rPr>
          <w:rFonts w:eastAsia="Times New Roman" w:cs="Arial"/>
          <w:color w:val="000000"/>
          <w:lang w:val="en-US"/>
        </w:rPr>
        <w:t xml:space="preserve"> </w:t>
      </w:r>
      <w:r w:rsidRPr="00C24008">
        <w:rPr>
          <w:rFonts w:eastAsia="Times New Roman" w:cs="Arial"/>
          <w:color w:val="000000"/>
          <w:lang w:eastAsia="bg-BG"/>
        </w:rPr>
        <w:t xml:space="preserve">антиаритмични (напр. хинидин, хидрохинидин, дизопирамид) </w:t>
      </w:r>
    </w:p>
    <w:p w14:paraId="72418B02" w14:textId="77777777" w:rsidR="00C24008" w:rsidRPr="00C24008" w:rsidRDefault="00C24008" w:rsidP="00C24008">
      <w:pPr>
        <w:pStyle w:val="ListParagraph"/>
        <w:numPr>
          <w:ilvl w:val="0"/>
          <w:numId w:val="40"/>
        </w:numPr>
        <w:spacing w:line="240" w:lineRule="auto"/>
        <w:rPr>
          <w:rFonts w:eastAsia="Times New Roman" w:cs="Arial"/>
          <w:lang w:eastAsia="bg-BG"/>
        </w:rPr>
      </w:pPr>
      <w:r w:rsidRPr="00C24008">
        <w:rPr>
          <w:rFonts w:eastAsia="Times New Roman" w:cs="Arial"/>
          <w:color w:val="000000"/>
          <w:lang w:eastAsia="bg-BG"/>
        </w:rPr>
        <w:t xml:space="preserve">клас </w:t>
      </w:r>
      <w:r w:rsidRPr="00C24008">
        <w:rPr>
          <w:rFonts w:eastAsia="Times New Roman" w:cs="Arial"/>
          <w:color w:val="000000"/>
          <w:lang w:val="en-US"/>
        </w:rPr>
        <w:t>III</w:t>
      </w:r>
      <w:r w:rsidRPr="00C24008">
        <w:rPr>
          <w:rFonts w:eastAsia="Times New Roman" w:cs="Arial"/>
          <w:color w:val="000000"/>
          <w:lang w:eastAsia="bg-BG"/>
        </w:rPr>
        <w:t xml:space="preserve"> антиаритмични (напр. амиодарон, соталол, дофетилид, ибутилид) </w:t>
      </w:r>
    </w:p>
    <w:p w14:paraId="5FCCE2F0" w14:textId="77777777" w:rsidR="00C24008" w:rsidRPr="00C24008" w:rsidRDefault="00C24008" w:rsidP="00C24008">
      <w:pPr>
        <w:pStyle w:val="ListParagraph"/>
        <w:numPr>
          <w:ilvl w:val="0"/>
          <w:numId w:val="40"/>
        </w:numPr>
        <w:spacing w:line="240" w:lineRule="auto"/>
        <w:rPr>
          <w:rFonts w:eastAsia="Times New Roman" w:cs="Arial"/>
          <w:lang w:eastAsia="bg-BG"/>
        </w:rPr>
      </w:pPr>
      <w:r w:rsidRPr="00C24008">
        <w:rPr>
          <w:rFonts w:eastAsia="Times New Roman" w:cs="Arial"/>
          <w:color w:val="000000"/>
          <w:lang w:eastAsia="bg-BG"/>
        </w:rPr>
        <w:t>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дроперидол)</w:t>
      </w:r>
    </w:p>
    <w:p w14:paraId="007A227A" w14:textId="3E3DB170" w:rsidR="00C24008" w:rsidRPr="00C24008" w:rsidRDefault="00C24008" w:rsidP="00C24008">
      <w:pPr>
        <w:pStyle w:val="ListParagraph"/>
        <w:numPr>
          <w:ilvl w:val="0"/>
          <w:numId w:val="40"/>
        </w:numPr>
        <w:spacing w:line="240" w:lineRule="auto"/>
        <w:rPr>
          <w:rFonts w:eastAsia="Times New Roman" w:cs="Arial"/>
          <w:lang w:eastAsia="bg-BG"/>
        </w:rPr>
      </w:pPr>
      <w:r w:rsidRPr="00C24008">
        <w:rPr>
          <w:rFonts w:eastAsia="Times New Roman" w:cs="Arial"/>
          <w:color w:val="000000"/>
          <w:lang w:eastAsia="bg-BG"/>
        </w:rPr>
        <w:t>други (напр. бепридил, цизаприд, дифеманил, еритромицин IV, халофантрин, мизоластин, пентамидин, спарфлоксацин, терфенадин, винкамин IV)</w:t>
      </w:r>
    </w:p>
    <w:p w14:paraId="5516CB3D" w14:textId="77777777" w:rsidR="00C24008" w:rsidRPr="00C24008" w:rsidRDefault="00C24008" w:rsidP="00C24008">
      <w:pPr>
        <w:spacing w:line="240" w:lineRule="auto"/>
        <w:rPr>
          <w:rFonts w:eastAsia="Times New Roman" w:cs="Arial"/>
          <w:color w:val="000000"/>
          <w:u w:val="single"/>
          <w:lang w:eastAsia="bg-BG"/>
        </w:rPr>
      </w:pPr>
    </w:p>
    <w:p w14:paraId="688955B8" w14:textId="522AF571"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Дигиталисови гликозиди</w:t>
      </w:r>
    </w:p>
    <w:p w14:paraId="77AA64E9"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Предизвиканата от тиазиди хипокалиемия или хипомагнезиемия благоприятства възникването на предизвикана от дигиталис аритмия (вж. точка 4.4).</w:t>
      </w:r>
    </w:p>
    <w:p w14:paraId="4DD5D6EC" w14:textId="77777777" w:rsidR="00C24008" w:rsidRPr="00C24008" w:rsidRDefault="00C24008" w:rsidP="00C24008">
      <w:pPr>
        <w:spacing w:line="240" w:lineRule="auto"/>
        <w:rPr>
          <w:rFonts w:eastAsia="Times New Roman" w:cs="Arial"/>
          <w:color w:val="000000"/>
          <w:u w:val="single"/>
          <w:lang w:eastAsia="bg-BG"/>
        </w:rPr>
      </w:pPr>
    </w:p>
    <w:p w14:paraId="5EEE279E" w14:textId="667FBF2C"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Дигоксин</w:t>
      </w:r>
    </w:p>
    <w:p w14:paraId="7172C4AB"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Когато телмисартан се прилага едновременно с дигоксин, са наблюдавани усреднено повишаване на пиковите плазмени нива (49%) и минималната концентрация в дозовия интервал (20%) на дигоксин. При започване на лечението, промяна в дозата и спиране на лечението с телмисартан, нивата на дигоксин трябва да се следят, за да се поддържат в терапевтичния диапазон.</w:t>
      </w:r>
    </w:p>
    <w:p w14:paraId="48F9027B" w14:textId="77777777" w:rsidR="00C24008" w:rsidRPr="00C24008" w:rsidRDefault="00C24008" w:rsidP="00C24008">
      <w:pPr>
        <w:spacing w:line="240" w:lineRule="auto"/>
        <w:rPr>
          <w:rFonts w:eastAsia="Times New Roman" w:cs="Arial"/>
          <w:color w:val="000000"/>
          <w:u w:val="single"/>
          <w:lang w:eastAsia="bg-BG"/>
        </w:rPr>
      </w:pPr>
    </w:p>
    <w:p w14:paraId="5AEFC004" w14:textId="1FA2F0B5"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Други антихипертензивни лекарствени продукти</w:t>
      </w:r>
    </w:p>
    <w:p w14:paraId="3AA648DF"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Телмисартан може да повиши хипотензивния ефект на други антихипертензивни средства.</w:t>
      </w:r>
    </w:p>
    <w:p w14:paraId="39FF824B" w14:textId="77777777" w:rsidR="00C24008" w:rsidRPr="00C24008" w:rsidRDefault="00C24008" w:rsidP="00C24008">
      <w:pPr>
        <w:spacing w:line="240" w:lineRule="auto"/>
        <w:rPr>
          <w:rFonts w:eastAsia="Times New Roman" w:cs="Arial"/>
          <w:color w:val="000000"/>
          <w:lang w:eastAsia="bg-BG"/>
        </w:rPr>
      </w:pPr>
    </w:p>
    <w:p w14:paraId="184670AD" w14:textId="13E1016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C24008">
        <w:rPr>
          <w:rFonts w:eastAsia="Times New Roman" w:cs="Arial"/>
          <w:color w:val="000000"/>
          <w:lang w:val="en-US"/>
        </w:rPr>
        <w:t>II</w:t>
      </w:r>
      <w:r w:rsidRPr="00C24008">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2E84452D" w14:textId="77777777" w:rsidR="00C24008" w:rsidRPr="00C24008" w:rsidRDefault="00C24008" w:rsidP="00C24008">
      <w:pPr>
        <w:rPr>
          <w:rFonts w:eastAsia="Times New Roman" w:cs="Arial"/>
          <w:color w:val="000000"/>
          <w:u w:val="single"/>
          <w:lang w:eastAsia="bg-BG"/>
        </w:rPr>
      </w:pPr>
    </w:p>
    <w:p w14:paraId="019BC778" w14:textId="77777777" w:rsidR="00C24008" w:rsidRPr="00C24008" w:rsidRDefault="00C24008" w:rsidP="00C24008">
      <w:pPr>
        <w:rPr>
          <w:rFonts w:eastAsia="Times New Roman" w:cs="Arial"/>
          <w:color w:val="000000"/>
          <w:u w:val="single"/>
          <w:lang w:eastAsia="bg-BG"/>
        </w:rPr>
      </w:pPr>
      <w:r w:rsidRPr="00C24008">
        <w:rPr>
          <w:rFonts w:eastAsia="Times New Roman" w:cs="Arial"/>
          <w:color w:val="000000"/>
          <w:u w:val="single"/>
          <w:lang w:eastAsia="bg-BG"/>
        </w:rPr>
        <w:t xml:space="preserve">Противодиабетни лекарствени продукти (перорални средства и инсулин) </w:t>
      </w:r>
    </w:p>
    <w:p w14:paraId="799D9E82" w14:textId="503FE504" w:rsidR="00C24008" w:rsidRPr="00C24008" w:rsidRDefault="00C24008" w:rsidP="00C24008">
      <w:pPr>
        <w:rPr>
          <w:rFonts w:eastAsia="Times New Roman" w:cs="Arial"/>
          <w:color w:val="000000"/>
          <w:lang w:eastAsia="bg-BG"/>
        </w:rPr>
      </w:pPr>
      <w:r w:rsidRPr="00C24008">
        <w:rPr>
          <w:rFonts w:eastAsia="Times New Roman" w:cs="Arial"/>
          <w:color w:val="000000"/>
          <w:lang w:eastAsia="bg-BG"/>
        </w:rPr>
        <w:t>Може да се наложи коригиране на дозите на противодиабетните лекарствени</w:t>
      </w:r>
      <w:r w:rsidRPr="00C24008">
        <w:rPr>
          <w:rFonts w:eastAsia="Times New Roman" w:cs="Arial"/>
          <w:color w:val="000000"/>
          <w:lang w:val="en-US"/>
        </w:rPr>
        <w:t xml:space="preserve"> </w:t>
      </w:r>
      <w:r w:rsidRPr="00C24008">
        <w:rPr>
          <w:rFonts w:eastAsia="Times New Roman" w:cs="Arial"/>
          <w:color w:val="000000"/>
          <w:lang w:eastAsia="bg-BG"/>
        </w:rPr>
        <w:t>продукти (вж. точка 4.4).</w:t>
      </w:r>
    </w:p>
    <w:p w14:paraId="3E419A8E" w14:textId="75D2FF31" w:rsidR="00C24008" w:rsidRPr="00C24008" w:rsidRDefault="00C24008" w:rsidP="00C24008">
      <w:pPr>
        <w:rPr>
          <w:rFonts w:eastAsia="Times New Roman" w:cs="Arial"/>
          <w:color w:val="000000"/>
          <w:lang w:eastAsia="bg-BG"/>
        </w:rPr>
      </w:pPr>
    </w:p>
    <w:p w14:paraId="1ABD57AE"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Метформин</w:t>
      </w:r>
    </w:p>
    <w:p w14:paraId="6CD979A9"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Метформин трябва да се използва предпазливо поради риск от лактатна ацидоза индуцирана от възможна функционална бъбречна недостатъчност, свързана с хидрохлоротиазид.</w:t>
      </w:r>
    </w:p>
    <w:p w14:paraId="18D2DFD2" w14:textId="77777777" w:rsidR="00C24008" w:rsidRPr="00C24008" w:rsidRDefault="00C24008" w:rsidP="00C24008">
      <w:pPr>
        <w:spacing w:line="240" w:lineRule="auto"/>
        <w:rPr>
          <w:rFonts w:eastAsia="Times New Roman" w:cs="Arial"/>
          <w:color w:val="000000"/>
          <w:u w:val="single"/>
          <w:lang w:eastAsia="bg-BG"/>
        </w:rPr>
      </w:pPr>
    </w:p>
    <w:p w14:paraId="6E1D4539" w14:textId="6D6A0F1E"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Холестирамин и колестиполови смоли</w:t>
      </w:r>
    </w:p>
    <w:p w14:paraId="73F58D38"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При наличие на анионно-обменни смоли, абсорбцията на хидрохлоротиазид се нарушава.</w:t>
      </w:r>
    </w:p>
    <w:p w14:paraId="187DC7D7" w14:textId="77777777" w:rsidR="00C24008" w:rsidRPr="00C24008" w:rsidRDefault="00C24008" w:rsidP="00C24008">
      <w:pPr>
        <w:spacing w:line="240" w:lineRule="auto"/>
        <w:rPr>
          <w:rFonts w:eastAsia="Times New Roman" w:cs="Arial"/>
          <w:color w:val="000000"/>
          <w:u w:val="single"/>
          <w:lang w:eastAsia="bg-BG"/>
        </w:rPr>
      </w:pPr>
    </w:p>
    <w:p w14:paraId="2E37A4BE" w14:textId="6CE140BF"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Нестероидни противовъзпалителни средства</w:t>
      </w:r>
    </w:p>
    <w:p w14:paraId="27B7C931"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НСПВС (т.е. ацетилсалицилова киселина в противовъзпалителни дози, СОХ-2 инхибитори и неселективни НСПВС) могат да намалят диуретичния, натриуретичния и антихипертензивния ефект на тиазидните диуретици и ангиотензин II рецепторните антагонисти.</w:t>
      </w:r>
    </w:p>
    <w:p w14:paraId="50AE312B"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При някои пациенти с нарушена бъбречна функция (напр. дехидратирани пациенти или пациенти в старческа възраст с нарушена бъбречна функция) едновременното приложение на ангиотензин II рецепторни антагонисти и лекарствени продукти, които инхибират циклооксигеназата може да доведе до по-нататъшно влошаване на бъбречната функция, включително е възможна остра бъбречна недостатъчност, която обикновено е обратима. По тази причина, комбинацията трябва да бъде прилагана с повишено внимание, особено при пациенти в старческа възраст. Пациентите трябва да бъдат адекватно хидратирани и да бъде проследявана бъбречната им функция в началото на комбинираното лечение и периодично след това.</w:t>
      </w:r>
    </w:p>
    <w:p w14:paraId="363935D6" w14:textId="77777777" w:rsidR="00C24008" w:rsidRPr="00C24008" w:rsidRDefault="00C24008" w:rsidP="00C24008">
      <w:pPr>
        <w:spacing w:line="240" w:lineRule="auto"/>
        <w:rPr>
          <w:rFonts w:eastAsia="Times New Roman" w:cs="Arial"/>
          <w:color w:val="000000"/>
          <w:lang w:eastAsia="bg-BG"/>
        </w:rPr>
      </w:pPr>
    </w:p>
    <w:p w14:paraId="45A12CB1" w14:textId="2C683EAD"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В едно проучване едновременното прилагане на телмисартан и рамиприл е довело до покачване на </w:t>
      </w:r>
      <w:r w:rsidRPr="00C24008">
        <w:rPr>
          <w:rFonts w:eastAsia="Times New Roman" w:cs="Arial"/>
          <w:color w:val="000000"/>
          <w:lang w:val="en-US"/>
        </w:rPr>
        <w:t>AUC</w:t>
      </w:r>
      <w:r w:rsidRPr="00C24008">
        <w:rPr>
          <w:rFonts w:eastAsia="Times New Roman" w:cs="Arial"/>
          <w:color w:val="000000"/>
          <w:vertAlign w:val="subscript"/>
          <w:lang w:val="en-US"/>
        </w:rPr>
        <w:t>0-24</w:t>
      </w:r>
      <w:r w:rsidRPr="00C24008">
        <w:rPr>
          <w:rFonts w:eastAsia="Times New Roman" w:cs="Arial"/>
          <w:color w:val="000000"/>
          <w:lang w:val="en-US"/>
        </w:rPr>
        <w:t xml:space="preserve"> </w:t>
      </w:r>
      <w:r w:rsidRPr="00C24008">
        <w:rPr>
          <w:rFonts w:eastAsia="Times New Roman" w:cs="Arial"/>
          <w:color w:val="000000"/>
          <w:lang w:eastAsia="bg-BG"/>
        </w:rPr>
        <w:t>и С</w:t>
      </w:r>
      <w:r w:rsidRPr="00C24008">
        <w:rPr>
          <w:rFonts w:eastAsia="Times New Roman" w:cs="Arial"/>
          <w:color w:val="000000"/>
          <w:lang w:val="en-US"/>
        </w:rPr>
        <w:t>max</w:t>
      </w:r>
      <w:r w:rsidRPr="00C24008">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7BDB8A68" w14:textId="77777777" w:rsidR="00C24008" w:rsidRPr="00C24008" w:rsidRDefault="00C24008" w:rsidP="00C24008">
      <w:pPr>
        <w:spacing w:line="240" w:lineRule="auto"/>
        <w:rPr>
          <w:rFonts w:eastAsia="Times New Roman" w:cs="Arial"/>
          <w:color w:val="000000"/>
          <w:u w:val="single"/>
          <w:lang w:eastAsia="bg-BG"/>
        </w:rPr>
      </w:pPr>
    </w:p>
    <w:p w14:paraId="533C559F" w14:textId="4BD3150E"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Пресорни амини (напр. норалреналин)</w:t>
      </w:r>
    </w:p>
    <w:p w14:paraId="4CAD8E00"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Ефектът на пресорните амини може да се намали.</w:t>
      </w:r>
    </w:p>
    <w:p w14:paraId="7B5622EA" w14:textId="77777777" w:rsidR="00C24008" w:rsidRPr="00C24008" w:rsidRDefault="00C24008" w:rsidP="00C24008">
      <w:pPr>
        <w:spacing w:line="240" w:lineRule="auto"/>
        <w:rPr>
          <w:rFonts w:eastAsia="Times New Roman" w:cs="Arial"/>
          <w:color w:val="000000"/>
          <w:u w:val="single"/>
          <w:lang w:eastAsia="bg-BG"/>
        </w:rPr>
      </w:pPr>
    </w:p>
    <w:p w14:paraId="392D7CA7" w14:textId="3059AD32"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Недеполяризиращи миорелаксанти (напр. тубокурарин)</w:t>
      </w:r>
    </w:p>
    <w:p w14:paraId="2113E6AA"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Хидрохлоротиазид може да потенцира ефекта на недеполяризиращите миорелаксанти.</w:t>
      </w:r>
    </w:p>
    <w:p w14:paraId="67B8005D" w14:textId="77777777" w:rsidR="00C24008" w:rsidRPr="00C24008" w:rsidRDefault="00C24008" w:rsidP="00C24008">
      <w:pPr>
        <w:spacing w:line="240" w:lineRule="auto"/>
        <w:rPr>
          <w:rFonts w:eastAsia="Times New Roman" w:cs="Arial"/>
          <w:color w:val="000000"/>
          <w:u w:val="single"/>
          <w:lang w:eastAsia="bg-BG"/>
        </w:rPr>
      </w:pPr>
    </w:p>
    <w:p w14:paraId="1384D2FD" w14:textId="32865D59"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Лекарствени продукти използвани за лечение на подагра (напр. пробеницид. сулфинпиразон и алопуринол)</w:t>
      </w:r>
    </w:p>
    <w:p w14:paraId="699EF578"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Може да се наложи коригиране на дозата на урикозуричните лекарствени продукти, тъй като хидрохлоротиазид може да увеличи серумните нива на пикочната киселина. Може да се наложи повишаване на дозите на пробеницид или сулфинпиразон. Едновременното приемане на тиазиди може да повиши честотата на тежките реакции на свръхчувствителност свързани с лечението с алопуринол, главно при пациенти с бъбречна недостатъчност.</w:t>
      </w:r>
    </w:p>
    <w:p w14:paraId="2A98330B" w14:textId="77777777" w:rsidR="00C24008" w:rsidRPr="00C24008" w:rsidRDefault="00C24008" w:rsidP="00C24008">
      <w:pPr>
        <w:spacing w:line="240" w:lineRule="auto"/>
        <w:rPr>
          <w:rFonts w:eastAsia="Times New Roman" w:cs="Arial"/>
          <w:color w:val="000000"/>
          <w:u w:val="single"/>
          <w:lang w:eastAsia="bg-BG"/>
        </w:rPr>
      </w:pPr>
    </w:p>
    <w:p w14:paraId="123BFA54" w14:textId="43518CED"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Калциеви соли</w:t>
      </w:r>
    </w:p>
    <w:p w14:paraId="21FF140D" w14:textId="18F2D23E"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Тиазидните диуретици може да повишат серумните нива на калций, което се дължи на понижената му екскреция. Ако трябва да се предпишат калциеви добавки или лекарствени продукти, задържащи калций в организма (например терапия с витамин </w:t>
      </w:r>
      <w:r w:rsidRPr="00C24008">
        <w:rPr>
          <w:rFonts w:eastAsia="Times New Roman" w:cs="Arial"/>
          <w:color w:val="000000"/>
          <w:lang w:val="en-US"/>
        </w:rPr>
        <w:t xml:space="preserve">D), </w:t>
      </w:r>
      <w:r w:rsidRPr="00C24008">
        <w:rPr>
          <w:rFonts w:eastAsia="Times New Roman" w:cs="Arial"/>
          <w:color w:val="000000"/>
          <w:lang w:eastAsia="bg-BG"/>
        </w:rPr>
        <w:t>е необходимо да се проследяват серумните нива на калция и съответно да се коригира дозата.</w:t>
      </w:r>
    </w:p>
    <w:p w14:paraId="72E22C5E" w14:textId="77777777" w:rsidR="00C24008" w:rsidRPr="00C24008" w:rsidRDefault="00C24008" w:rsidP="00C24008">
      <w:pPr>
        <w:spacing w:line="240" w:lineRule="auto"/>
        <w:rPr>
          <w:rFonts w:eastAsia="Times New Roman" w:cs="Arial"/>
          <w:color w:val="000000"/>
          <w:u w:val="single"/>
          <w:lang w:eastAsia="bg-BG"/>
        </w:rPr>
      </w:pPr>
    </w:p>
    <w:p w14:paraId="51B0FEA7" w14:textId="2BEB09C2"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Бета-блокери и диазоксид</w:t>
      </w:r>
    </w:p>
    <w:p w14:paraId="0E2634E6"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lastRenderedPageBreak/>
        <w:t>Тиазидите може да повишат хипергликемичните ефекти на бета-блокерите и диазоксид.</w:t>
      </w:r>
    </w:p>
    <w:p w14:paraId="7A1DC5AF" w14:textId="77777777" w:rsidR="00C24008" w:rsidRPr="00C24008" w:rsidRDefault="00C24008" w:rsidP="00C24008">
      <w:pPr>
        <w:spacing w:line="240" w:lineRule="auto"/>
        <w:rPr>
          <w:rFonts w:eastAsia="Times New Roman" w:cs="Arial"/>
          <w:color w:val="000000"/>
          <w:u w:val="single"/>
          <w:lang w:eastAsia="bg-BG"/>
        </w:rPr>
      </w:pPr>
    </w:p>
    <w:p w14:paraId="6AC80211" w14:textId="69CD0AA2"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Антихолинергичните лекарствени продукти</w:t>
      </w:r>
      <w:r w:rsidRPr="00C24008">
        <w:rPr>
          <w:rFonts w:eastAsia="Times New Roman" w:cs="Arial"/>
          <w:color w:val="000000"/>
          <w:lang w:eastAsia="bg-BG"/>
        </w:rPr>
        <w:t xml:space="preserve"> (напр. атропин, бипериден) може да пов</w:t>
      </w:r>
      <w:r w:rsidRPr="00C24008">
        <w:rPr>
          <w:rFonts w:eastAsia="Times New Roman" w:cs="Arial"/>
          <w:color w:val="000000"/>
          <w:u w:val="single"/>
          <w:lang w:eastAsia="bg-BG"/>
        </w:rPr>
        <w:t xml:space="preserve">ишат </w:t>
      </w:r>
      <w:r w:rsidRPr="00C24008">
        <w:rPr>
          <w:rFonts w:eastAsia="Times New Roman" w:cs="Arial"/>
          <w:color w:val="000000"/>
          <w:lang w:eastAsia="bg-BG"/>
        </w:rPr>
        <w:t>бионаличността на тиазидните диуретици чрез понижаване на стомашно-чревния</w:t>
      </w:r>
      <w:r w:rsidRPr="00C24008">
        <w:rPr>
          <w:rFonts w:eastAsia="Times New Roman" w:cs="Arial"/>
          <w:color w:val="000000"/>
          <w:lang w:val="en-US"/>
        </w:rPr>
        <w:t xml:space="preserve"> </w:t>
      </w:r>
      <w:r w:rsidRPr="00C24008">
        <w:rPr>
          <w:rFonts w:eastAsia="Times New Roman" w:cs="Arial"/>
          <w:color w:val="000000"/>
          <w:lang w:eastAsia="bg-BG"/>
        </w:rPr>
        <w:t>мотилитет и честотата на изпразване на стомаха.</w:t>
      </w:r>
    </w:p>
    <w:p w14:paraId="21FEA2A0" w14:textId="77777777" w:rsidR="00C24008" w:rsidRPr="00C24008" w:rsidRDefault="00C24008" w:rsidP="00C24008">
      <w:pPr>
        <w:spacing w:line="240" w:lineRule="auto"/>
        <w:rPr>
          <w:rFonts w:eastAsia="Times New Roman" w:cs="Arial"/>
          <w:color w:val="000000"/>
          <w:u w:val="single"/>
          <w:lang w:eastAsia="bg-BG"/>
        </w:rPr>
      </w:pPr>
    </w:p>
    <w:p w14:paraId="16042DF4" w14:textId="6335CCCC"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Амантидин</w:t>
      </w:r>
    </w:p>
    <w:p w14:paraId="3963B325"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Тиазидите може да увеличат риска от нежелани ефекти, причинени от амантадин</w:t>
      </w:r>
    </w:p>
    <w:p w14:paraId="237DDC47" w14:textId="77777777" w:rsidR="00C24008" w:rsidRPr="00C24008" w:rsidRDefault="00C24008" w:rsidP="00C24008">
      <w:pPr>
        <w:rPr>
          <w:rFonts w:eastAsia="Times New Roman" w:cs="Arial"/>
          <w:color w:val="000000"/>
          <w:u w:val="single"/>
          <w:lang w:eastAsia="bg-BG"/>
        </w:rPr>
      </w:pPr>
    </w:p>
    <w:p w14:paraId="3A94F130" w14:textId="2E7857A7" w:rsidR="00C24008" w:rsidRPr="00C24008" w:rsidRDefault="00C24008" w:rsidP="00C24008">
      <w:pPr>
        <w:rPr>
          <w:rFonts w:eastAsia="Times New Roman" w:cs="Arial"/>
          <w:color w:val="000000"/>
          <w:u w:val="single"/>
          <w:lang w:eastAsia="bg-BG"/>
        </w:rPr>
      </w:pPr>
      <w:r w:rsidRPr="00C24008">
        <w:rPr>
          <w:rFonts w:eastAsia="Times New Roman" w:cs="Arial"/>
          <w:color w:val="000000"/>
          <w:u w:val="single"/>
          <w:lang w:eastAsia="bg-BG"/>
        </w:rPr>
        <w:t>Цитотоксични лекарствени продукти (например циклофосфамид, метотрексат)</w:t>
      </w:r>
    </w:p>
    <w:p w14:paraId="0A8A0ECD"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Тиазидите може да намалят бъбречната екскреция на цитотоксичните лекарствени продукти и да потенцират миелосупресиращия им ефект.</w:t>
      </w:r>
    </w:p>
    <w:p w14:paraId="2DC9049B" w14:textId="77777777" w:rsidR="00C24008" w:rsidRPr="00C24008" w:rsidRDefault="00C24008" w:rsidP="00C24008">
      <w:pPr>
        <w:spacing w:line="240" w:lineRule="auto"/>
        <w:rPr>
          <w:rFonts w:eastAsia="Times New Roman" w:cs="Arial"/>
          <w:color w:val="000000"/>
          <w:lang w:eastAsia="bg-BG"/>
        </w:rPr>
      </w:pPr>
    </w:p>
    <w:p w14:paraId="021640D2" w14:textId="6D77F398" w:rsidR="00C24008" w:rsidRPr="00C24008"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Въз основа на фармакологичните им свойства е възможно да се очаква, че следните лекарствени продукти могат да повишат хипотензивния ефект на всички антихипертензивни средства, включително телмисартан: </w:t>
      </w:r>
    </w:p>
    <w:p w14:paraId="6D668B75" w14:textId="3E3B4015"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баклофен, амифостин.</w:t>
      </w:r>
    </w:p>
    <w:p w14:paraId="1200FA8A" w14:textId="2AC16DF0"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Също така, ортостатичната хипотония може да бъде засилена от алкохол, барбитурати, наркотични вещества или антидепресанти.</w:t>
      </w:r>
    </w:p>
    <w:p w14:paraId="59C75C8F" w14:textId="77777777" w:rsidR="00C24008" w:rsidRPr="00C24008" w:rsidRDefault="00C24008" w:rsidP="00C24008"/>
    <w:p w14:paraId="15A75A66" w14:textId="210C084D" w:rsidR="00A71DCF" w:rsidRDefault="002C50EE" w:rsidP="00A93499">
      <w:pPr>
        <w:pStyle w:val="Heading2"/>
      </w:pPr>
      <w:r>
        <w:t>4.6. Фертилитет, бременност и кърмене</w:t>
      </w:r>
    </w:p>
    <w:p w14:paraId="65A735EE" w14:textId="5ACCE1FF" w:rsidR="00C24008" w:rsidRDefault="00C24008" w:rsidP="00C24008"/>
    <w:p w14:paraId="0106DB1E" w14:textId="65E0C724" w:rsidR="00C24008" w:rsidRPr="00C24008" w:rsidRDefault="00C24008" w:rsidP="00C24008">
      <w:pPr>
        <w:pStyle w:val="Heading3"/>
        <w:rPr>
          <w:u w:val="single"/>
        </w:rPr>
      </w:pPr>
      <w:r w:rsidRPr="00C24008">
        <w:rPr>
          <w:u w:val="single"/>
        </w:rPr>
        <w:t>Бременност</w:t>
      </w:r>
    </w:p>
    <w:tbl>
      <w:tblPr>
        <w:tblStyle w:val="TableGrid"/>
        <w:tblW w:w="0" w:type="auto"/>
        <w:tblLook w:val="04A0" w:firstRow="1" w:lastRow="0" w:firstColumn="1" w:lastColumn="0" w:noHBand="0" w:noVBand="1"/>
      </w:tblPr>
      <w:tblGrid>
        <w:gridCol w:w="9350"/>
      </w:tblGrid>
      <w:tr w:rsidR="00C24008" w:rsidRPr="00C24008" w14:paraId="24208F1E" w14:textId="77777777" w:rsidTr="00C24008">
        <w:tc>
          <w:tcPr>
            <w:tcW w:w="9500" w:type="dxa"/>
          </w:tcPr>
          <w:p w14:paraId="5100BB5C" w14:textId="61C09C3A"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 xml:space="preserve">Не се препоръчва употребата на ангиотензин </w:t>
            </w:r>
            <w:r w:rsidRPr="00C24008">
              <w:rPr>
                <w:rFonts w:eastAsia="Times New Roman" w:cs="Arial"/>
                <w:color w:val="000000"/>
                <w:lang w:val="en-US"/>
              </w:rPr>
              <w:t>II</w:t>
            </w:r>
            <w:r w:rsidRPr="00C24008">
              <w:rPr>
                <w:rFonts w:eastAsia="Times New Roman" w:cs="Arial"/>
                <w:color w:val="000000"/>
                <w:lang w:eastAsia="bg-BG"/>
              </w:rPr>
              <w:t xml:space="preserve"> рецепторни антагонисти през първия триместър на бременността (вж. точка 4.4). Употребата на ангиотензин II рецепторни антагонисти е противопоказана през втория и третия триместър на бременността (вж. точки 4.3 и 4.4).</w:t>
            </w:r>
          </w:p>
        </w:tc>
      </w:tr>
    </w:tbl>
    <w:p w14:paraId="7B4494A1" w14:textId="1A6A1CB4" w:rsidR="00C24008" w:rsidRPr="00C24008" w:rsidRDefault="00C24008" w:rsidP="00C24008">
      <w:pPr>
        <w:rPr>
          <w:rFonts w:cs="Arial"/>
          <w:sz w:val="24"/>
          <w:szCs w:val="24"/>
        </w:rPr>
      </w:pPr>
    </w:p>
    <w:p w14:paraId="66C75804" w14:textId="77777777"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Няма достатъчно данни за употребата на телмисартан/хидрохлоротиазид при бременни жени. Проучванията при животни показват репродуктивна токсичност (вж. точка 5.3).</w:t>
      </w:r>
    </w:p>
    <w:p w14:paraId="3CDAED31" w14:textId="77777777" w:rsidR="00C24008" w:rsidRPr="00C24008" w:rsidRDefault="00C24008" w:rsidP="00C24008">
      <w:pPr>
        <w:spacing w:line="240" w:lineRule="auto"/>
        <w:rPr>
          <w:rFonts w:eastAsia="Times New Roman" w:cs="Arial"/>
          <w:color w:val="000000"/>
          <w:lang w:eastAsia="bg-BG"/>
        </w:rPr>
      </w:pPr>
    </w:p>
    <w:p w14:paraId="08886D18" w14:textId="46FEED1B"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 xml:space="preserve">Епидемиологичните данни за риска от тератогенност след експозиция на АСЕ инхибитори през първия триместър на бременността не са убедителни. Все пак, не може да се изключи слабо повишаване на риска. Докато няма контролирани епидемиологични данни за риска при употреба на ангиотензин II рецепторни антагонисти, сходни рискове могат да съществуват и при този клас лекарства.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w:t>
      </w:r>
      <w:r w:rsidRPr="00C24008">
        <w:rPr>
          <w:rFonts w:eastAsia="Times New Roman" w:cs="Arial"/>
          <w:color w:val="000000"/>
          <w:lang w:val="en-US"/>
        </w:rPr>
        <w:t>II</w:t>
      </w:r>
      <w:r w:rsidRPr="00C24008">
        <w:rPr>
          <w:rFonts w:eastAsia="Times New Roman" w:cs="Arial"/>
          <w:color w:val="000000"/>
          <w:lang w:eastAsia="bg-BG"/>
        </w:rPr>
        <w:t xml:space="preserve"> рецепторни антагонисти трябва незабавно да бъде преустановено и ако е подходящо - да бъде започнато алтернативно лечение.</w:t>
      </w:r>
    </w:p>
    <w:p w14:paraId="298AAAB0" w14:textId="77777777" w:rsidR="00C24008" w:rsidRPr="00C24008" w:rsidRDefault="00C24008" w:rsidP="00C24008">
      <w:pPr>
        <w:spacing w:line="240" w:lineRule="auto"/>
        <w:rPr>
          <w:rFonts w:eastAsia="Times New Roman" w:cs="Arial"/>
          <w:color w:val="000000"/>
          <w:lang w:eastAsia="bg-BG"/>
        </w:rPr>
      </w:pPr>
    </w:p>
    <w:p w14:paraId="74CDEAD0" w14:textId="35CA361C"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 xml:space="preserve">Установено е, че експозицията на ангиотензин </w:t>
      </w:r>
      <w:r w:rsidRPr="00C24008">
        <w:rPr>
          <w:rFonts w:eastAsia="Times New Roman" w:cs="Arial"/>
          <w:color w:val="000000"/>
          <w:lang w:val="en-US"/>
        </w:rPr>
        <w:t>II</w:t>
      </w:r>
      <w:r w:rsidRPr="00C24008">
        <w:rPr>
          <w:rFonts w:eastAsia="Times New Roman" w:cs="Arial"/>
          <w:color w:val="000000"/>
          <w:lang w:eastAsia="bg-BG"/>
        </w:rPr>
        <w:t xml:space="preserve"> рецепторни антагонисти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хиперкалиемия) (вж. точка 5.3). Препоръчва се ултразвуков преглед на бъбречната функция и черепа, ако настъпи </w:t>
      </w:r>
      <w:r w:rsidRPr="00C24008">
        <w:rPr>
          <w:rFonts w:eastAsia="Times New Roman" w:cs="Arial"/>
          <w:color w:val="000000"/>
          <w:lang w:eastAsia="bg-BG"/>
        </w:rPr>
        <w:lastRenderedPageBreak/>
        <w:t xml:space="preserve">експозиция на ангиотензин </w:t>
      </w:r>
      <w:r w:rsidRPr="00C24008">
        <w:rPr>
          <w:rFonts w:eastAsia="Times New Roman" w:cs="Arial"/>
          <w:color w:val="000000"/>
          <w:lang w:val="en-US"/>
        </w:rPr>
        <w:t xml:space="preserve">II </w:t>
      </w:r>
      <w:r w:rsidRPr="00C24008">
        <w:rPr>
          <w:rFonts w:eastAsia="Times New Roman" w:cs="Arial"/>
          <w:color w:val="000000"/>
          <w:lang w:eastAsia="bg-BG"/>
        </w:rPr>
        <w:t>рецепторни антагонисти през втория триместър на бременността и след това.</w:t>
      </w:r>
    </w:p>
    <w:p w14:paraId="1AB61724" w14:textId="77777777"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 xml:space="preserve">Новородените, чиито майки са приемали ангиотензин </w:t>
      </w:r>
      <w:r w:rsidRPr="00C24008">
        <w:rPr>
          <w:rFonts w:eastAsia="Times New Roman" w:cs="Arial"/>
          <w:color w:val="000000"/>
          <w:lang w:val="en-US"/>
        </w:rPr>
        <w:t>II</w:t>
      </w:r>
      <w:r w:rsidRPr="00C24008">
        <w:rPr>
          <w:rFonts w:eastAsia="Times New Roman" w:cs="Arial"/>
          <w:color w:val="000000"/>
          <w:lang w:eastAsia="bg-BG"/>
        </w:rPr>
        <w:t xml:space="preserve"> рецепторни антагонисти, трябва да бъдат внимателно наблюдавани за наличие на хипотония (вж. точки 4.3 и 4.4).</w:t>
      </w:r>
    </w:p>
    <w:p w14:paraId="1AEEF93F" w14:textId="77777777" w:rsidR="00C24008" w:rsidRPr="00C24008" w:rsidRDefault="00C24008" w:rsidP="00C24008">
      <w:pPr>
        <w:spacing w:line="240" w:lineRule="auto"/>
        <w:rPr>
          <w:rFonts w:eastAsia="Times New Roman" w:cs="Arial"/>
          <w:color w:val="000000"/>
          <w:lang w:eastAsia="bg-BG"/>
        </w:rPr>
      </w:pPr>
    </w:p>
    <w:p w14:paraId="56A27101" w14:textId="47C2E599"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Опитът с хидрохлоротиазид по време на бременност е ограничен, особено през първия триместър. Проучванията при животни са недостатъчни. Хидрохлоротиазид преминава през плацентата. Базирайки се на фармакологичния механизъм на действие на хидрохлоротиазид, употребата му през втория и третия триместър може да компрометира фето - плацентарната пропускливост, и да причини фетални и неонатални ефекти, като жълтеница, нарушение на електролитния баланс и тромбоцитопения. Хидрохлоротиазид не трябва да се използва при гестационен оток, гестационна хипертония или прееклампсия, поради риск от понижаване на плазмения обем и плацентарна хипоперфузия, без полезен ефект върху хода на заболяването. Хидрохлоротиазид не трябва да се използва при есенциална хипертония при бременни жени, освен в редки случаи, когато не може да се приложи друго лечение.</w:t>
      </w:r>
    </w:p>
    <w:p w14:paraId="1A77E278" w14:textId="77777777" w:rsidR="00C24008" w:rsidRPr="00C24008" w:rsidRDefault="00C24008" w:rsidP="00C24008">
      <w:pPr>
        <w:spacing w:line="240" w:lineRule="auto"/>
        <w:rPr>
          <w:rFonts w:eastAsia="Times New Roman" w:cs="Arial"/>
          <w:color w:val="000000"/>
          <w:u w:val="single"/>
          <w:lang w:eastAsia="bg-BG"/>
        </w:rPr>
      </w:pPr>
    </w:p>
    <w:p w14:paraId="30D624A8" w14:textId="5CDCB77B" w:rsidR="00C24008" w:rsidRPr="00C24008" w:rsidRDefault="00C24008" w:rsidP="00C24008">
      <w:pPr>
        <w:pStyle w:val="Heading3"/>
        <w:rPr>
          <w:rFonts w:eastAsia="Times New Roman"/>
          <w:sz w:val="28"/>
          <w:szCs w:val="28"/>
          <w:u w:val="single"/>
          <w:lang w:eastAsia="bg-BG"/>
        </w:rPr>
      </w:pPr>
      <w:r w:rsidRPr="00C24008">
        <w:rPr>
          <w:rFonts w:eastAsia="Times New Roman"/>
          <w:u w:val="single"/>
          <w:lang w:eastAsia="bg-BG"/>
        </w:rPr>
        <w:t>Кърмене</w:t>
      </w:r>
    </w:p>
    <w:p w14:paraId="2412D4DE" w14:textId="77777777" w:rsidR="00C24008" w:rsidRPr="00C24008" w:rsidRDefault="00C24008" w:rsidP="00C24008">
      <w:pPr>
        <w:rPr>
          <w:rFonts w:eastAsia="Times New Roman" w:cs="Arial"/>
          <w:sz w:val="28"/>
          <w:szCs w:val="28"/>
          <w:lang w:eastAsia="bg-BG"/>
        </w:rPr>
      </w:pPr>
      <w:r w:rsidRPr="00C24008">
        <w:rPr>
          <w:rFonts w:eastAsia="Times New Roman" w:cs="Arial"/>
          <w:color w:val="000000"/>
          <w:lang w:eastAsia="bg-BG"/>
        </w:rPr>
        <w:t>Тъй като няма данни относно употребата на телмисартан/хидрохлоротиазид в периода на кърмене, Телмисартан НСТ ЕГИС не се препоръчва, а се предпочитат алтернативни лечения</w:t>
      </w:r>
      <w:r w:rsidRPr="00C24008">
        <w:rPr>
          <w:rFonts w:eastAsia="Times New Roman" w:cs="Arial"/>
          <w:color w:val="000000"/>
          <w:lang w:eastAsia="bg-BG"/>
        </w:rPr>
        <w:t xml:space="preserve"> </w:t>
      </w:r>
      <w:r w:rsidRPr="00C24008">
        <w:rPr>
          <w:rFonts w:eastAsia="Times New Roman" w:cs="Arial"/>
          <w:color w:val="000000"/>
          <w:lang w:eastAsia="bg-BG"/>
        </w:rPr>
        <w:t>по-добре установен профил на безопасност в периода на кърмене, особено при кърмене на новородено или преждевременно родено дете.</w:t>
      </w:r>
    </w:p>
    <w:p w14:paraId="2E2023E0" w14:textId="77777777" w:rsidR="00C24008" w:rsidRPr="00C24008" w:rsidRDefault="00C24008" w:rsidP="00C24008">
      <w:pPr>
        <w:spacing w:line="240" w:lineRule="auto"/>
        <w:rPr>
          <w:rFonts w:eastAsia="Times New Roman" w:cs="Arial"/>
          <w:color w:val="000000"/>
          <w:lang w:eastAsia="bg-BG"/>
        </w:rPr>
      </w:pPr>
    </w:p>
    <w:p w14:paraId="017D189A" w14:textId="68736615"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Хидрохлоротиазид се екскретира в малки количества в майчиното мляко. Тиазиди във високи дози, предизвикващи интензивна диуреза може да инхибират продукцията на мляко.</w:t>
      </w:r>
    </w:p>
    <w:p w14:paraId="37257827" w14:textId="77777777"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Употребата на Телмисартан НСТ ЕГИС по време на кърмене не се препоръчва. Ако Телмисартан НСТ ЕГИС се използва в периода на кърмене, трябва да се поддържат най- ниските възможни дози.</w:t>
      </w:r>
    </w:p>
    <w:p w14:paraId="696E319D" w14:textId="77777777" w:rsidR="00C24008" w:rsidRPr="00C24008" w:rsidRDefault="00C24008" w:rsidP="00C24008">
      <w:pPr>
        <w:spacing w:line="240" w:lineRule="auto"/>
        <w:rPr>
          <w:rFonts w:eastAsia="Times New Roman" w:cs="Arial"/>
          <w:color w:val="000000"/>
          <w:u w:val="single"/>
          <w:lang w:eastAsia="bg-BG"/>
        </w:rPr>
      </w:pPr>
    </w:p>
    <w:p w14:paraId="337F5074" w14:textId="220D0B10" w:rsidR="00C24008" w:rsidRPr="00C24008" w:rsidRDefault="00C24008" w:rsidP="00C24008">
      <w:pPr>
        <w:pStyle w:val="Heading3"/>
        <w:rPr>
          <w:rFonts w:eastAsia="Times New Roman"/>
          <w:sz w:val="28"/>
          <w:szCs w:val="28"/>
          <w:u w:val="single"/>
          <w:lang w:eastAsia="bg-BG"/>
        </w:rPr>
      </w:pPr>
      <w:r w:rsidRPr="00C24008">
        <w:rPr>
          <w:rFonts w:eastAsia="Times New Roman"/>
          <w:u w:val="single"/>
          <w:lang w:eastAsia="bg-BG"/>
        </w:rPr>
        <w:t>Фертилитет</w:t>
      </w:r>
    </w:p>
    <w:p w14:paraId="22490D16" w14:textId="363E40BE" w:rsidR="00C24008" w:rsidRPr="00C24008" w:rsidRDefault="00C24008" w:rsidP="00C24008">
      <w:pPr>
        <w:spacing w:line="240" w:lineRule="auto"/>
        <w:rPr>
          <w:rFonts w:eastAsia="Times New Roman" w:cs="Arial"/>
          <w:sz w:val="28"/>
          <w:szCs w:val="28"/>
          <w:lang w:eastAsia="bg-BG"/>
        </w:rPr>
      </w:pPr>
      <w:r w:rsidRPr="00C24008">
        <w:rPr>
          <w:rFonts w:eastAsia="Times New Roman" w:cs="Arial"/>
          <w:color w:val="000000"/>
          <w:lang w:eastAsia="bg-BG"/>
        </w:rPr>
        <w:t>В предклинични проучвания не са наблюдавани ефекти на телмисатран и хидрохлоротиазид върху фертилитета на мъжки и женски индивиди.</w:t>
      </w:r>
    </w:p>
    <w:p w14:paraId="73DBE514" w14:textId="77777777" w:rsidR="00C24008" w:rsidRPr="00C24008" w:rsidRDefault="00C24008" w:rsidP="00C24008"/>
    <w:p w14:paraId="6201597D" w14:textId="295ED619" w:rsidR="00EE6C97" w:rsidRDefault="002C50EE" w:rsidP="00A93499">
      <w:pPr>
        <w:pStyle w:val="Heading2"/>
      </w:pPr>
      <w:r>
        <w:t>4.7. Ефекти върху способността за шофиране и работа с машини</w:t>
      </w:r>
    </w:p>
    <w:p w14:paraId="36485892" w14:textId="107AAA90" w:rsidR="00C24008" w:rsidRDefault="00C24008" w:rsidP="00C24008"/>
    <w:p w14:paraId="738E95B3" w14:textId="77777777" w:rsidR="00C24008" w:rsidRPr="00C24008" w:rsidRDefault="00C24008" w:rsidP="00C24008">
      <w:pPr>
        <w:rPr>
          <w:sz w:val="24"/>
          <w:szCs w:val="24"/>
          <w:lang w:eastAsia="bg-BG"/>
        </w:rPr>
      </w:pPr>
      <w:r w:rsidRPr="00C24008">
        <w:rPr>
          <w:lang w:eastAsia="bg-BG"/>
        </w:rPr>
        <w:t>Телмисартан НСТ ЕГИС може да окаже влияние върху способността за шофиране и работа с машини. Понякога при прием на Телмисартан НСТ ЕГИС могат да се проявят замайване или сънливост.</w:t>
      </w:r>
    </w:p>
    <w:p w14:paraId="4CEE21C4" w14:textId="77777777" w:rsidR="00C24008" w:rsidRPr="00C24008" w:rsidRDefault="00C24008" w:rsidP="00C24008"/>
    <w:p w14:paraId="389A90F4" w14:textId="45A4488D" w:rsidR="00BA5B74" w:rsidRDefault="002C50EE" w:rsidP="00A93499">
      <w:pPr>
        <w:pStyle w:val="Heading2"/>
      </w:pPr>
      <w:r>
        <w:t>4.8. Нежелани лекарствени реакции</w:t>
      </w:r>
    </w:p>
    <w:p w14:paraId="4A8014AD" w14:textId="2EA60751" w:rsidR="00C24008" w:rsidRDefault="00C24008" w:rsidP="00C24008"/>
    <w:p w14:paraId="55605F8C" w14:textId="77777777" w:rsidR="00C24008" w:rsidRPr="00C24008" w:rsidRDefault="00C24008" w:rsidP="00C24008">
      <w:pPr>
        <w:spacing w:line="240" w:lineRule="auto"/>
        <w:rPr>
          <w:rFonts w:eastAsia="Times New Roman" w:cs="Arial"/>
          <w:lang w:eastAsia="bg-BG"/>
        </w:rPr>
      </w:pPr>
      <w:r w:rsidRPr="00C24008">
        <w:rPr>
          <w:rFonts w:eastAsia="Times New Roman" w:cs="Arial"/>
          <w:i/>
          <w:iCs/>
          <w:color w:val="000000"/>
          <w:lang w:eastAsia="bg-BG"/>
        </w:rPr>
        <w:t>Кратко изложение на профила на безопасност</w:t>
      </w:r>
    </w:p>
    <w:p w14:paraId="2335E970" w14:textId="77777777" w:rsidR="00C24008" w:rsidRPr="003900F2" w:rsidRDefault="00C24008" w:rsidP="00C24008">
      <w:pPr>
        <w:spacing w:line="240" w:lineRule="auto"/>
        <w:rPr>
          <w:rFonts w:eastAsia="Times New Roman" w:cs="Arial"/>
          <w:color w:val="000000"/>
          <w:lang w:eastAsia="bg-BG"/>
        </w:rPr>
      </w:pPr>
    </w:p>
    <w:p w14:paraId="6D3E5B98" w14:textId="5CE6F445"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Най-често съобщаваната нежелана лекарствена реакция е замайване. Сериозен ангионевротичен оток може да настъпи рядко (≥1/10 000 до &lt;1/1 000).</w:t>
      </w:r>
    </w:p>
    <w:p w14:paraId="21BD5513" w14:textId="77777777" w:rsidR="00C24008" w:rsidRPr="003900F2" w:rsidRDefault="00C24008" w:rsidP="00C24008">
      <w:pPr>
        <w:spacing w:line="240" w:lineRule="auto"/>
        <w:rPr>
          <w:rFonts w:eastAsia="Times New Roman" w:cs="Arial"/>
          <w:color w:val="000000"/>
          <w:u w:val="single"/>
          <w:lang w:eastAsia="bg-BG"/>
        </w:rPr>
      </w:pPr>
    </w:p>
    <w:p w14:paraId="0C4CB8FA" w14:textId="66493684" w:rsidR="00C24008" w:rsidRPr="00C24008" w:rsidRDefault="00C24008" w:rsidP="00C24008">
      <w:pPr>
        <w:spacing w:line="240" w:lineRule="auto"/>
        <w:rPr>
          <w:rFonts w:eastAsia="Times New Roman" w:cs="Arial"/>
          <w:lang w:eastAsia="bg-BG"/>
        </w:rPr>
      </w:pPr>
      <w:r w:rsidRPr="00C24008">
        <w:rPr>
          <w:rFonts w:eastAsia="Times New Roman" w:cs="Arial"/>
          <w:color w:val="000000"/>
          <w:u w:val="single"/>
          <w:lang w:eastAsia="bg-BG"/>
        </w:rPr>
        <w:t xml:space="preserve">[40 </w:t>
      </w:r>
      <w:r w:rsidRPr="00C24008">
        <w:rPr>
          <w:rFonts w:eastAsia="Times New Roman" w:cs="Arial"/>
          <w:color w:val="000000"/>
          <w:u w:val="single"/>
          <w:lang w:val="en-US"/>
        </w:rPr>
        <w:t xml:space="preserve">mg/12,5 mg </w:t>
      </w:r>
      <w:r w:rsidRPr="00C24008">
        <w:rPr>
          <w:rFonts w:eastAsia="Times New Roman" w:cs="Arial"/>
          <w:color w:val="000000"/>
          <w:u w:val="single"/>
          <w:lang w:eastAsia="bg-BG"/>
        </w:rPr>
        <w:t xml:space="preserve">и 80 </w:t>
      </w:r>
      <w:r w:rsidRPr="00C24008">
        <w:rPr>
          <w:rFonts w:eastAsia="Times New Roman" w:cs="Arial"/>
          <w:color w:val="000000"/>
          <w:u w:val="single"/>
          <w:lang w:val="en-US"/>
        </w:rPr>
        <w:t>mg/12,5 mg</w:t>
      </w:r>
      <w:r w:rsidRPr="00C24008">
        <w:rPr>
          <w:rFonts w:eastAsia="Times New Roman" w:cs="Arial"/>
          <w:color w:val="000000"/>
          <w:lang w:val="en-US"/>
        </w:rPr>
        <w:t>:]</w:t>
      </w:r>
    </w:p>
    <w:p w14:paraId="766111E1"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lastRenderedPageBreak/>
        <w:t xml:space="preserve">Общата честота на нежеланите лекарствени реакции, съобщени при употреба на телмисартан/хидрохлоротиазид е сравнима с тази на нежеланите лекарствени реакции, съобщени при употреба само на телмисартан в рандомизирани контролирани проучвания, включващи 1 471 пациенти, разпределени на случаен принцип за лечение с телмисартан плюс хидрохлоротиазид (835) или само с телмисартан (636). Не е установена зависимост между дозата и нежеланите лекарствени реакции и липсва връзка с пола, възрастта или расовата принадлежност на пациентите. </w:t>
      </w:r>
      <w:r w:rsidRPr="00C24008">
        <w:rPr>
          <w:rFonts w:eastAsia="Times New Roman" w:cs="Arial"/>
          <w:color w:val="000000"/>
          <w:u w:val="single"/>
          <w:lang w:eastAsia="bg-BG"/>
        </w:rPr>
        <w:t xml:space="preserve">[80 </w:t>
      </w:r>
      <w:r w:rsidRPr="00C24008">
        <w:rPr>
          <w:rFonts w:eastAsia="Times New Roman" w:cs="Arial"/>
          <w:color w:val="000000"/>
          <w:u w:val="single"/>
          <w:lang w:val="en-US"/>
        </w:rPr>
        <w:t>mg/25 mg:]</w:t>
      </w:r>
    </w:p>
    <w:p w14:paraId="04F7D463"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 xml:space="preserve">Общата честота на нежеланите събития, съобщени при употребата на телмисартан/хидрохлоротиазид 80 </w:t>
      </w:r>
      <w:r w:rsidRPr="00C24008">
        <w:rPr>
          <w:rFonts w:eastAsia="Times New Roman" w:cs="Arial"/>
          <w:color w:val="000000"/>
          <w:lang w:val="en-US"/>
        </w:rPr>
        <w:t xml:space="preserve">mg/25 mg </w:t>
      </w:r>
      <w:r w:rsidRPr="00C24008">
        <w:rPr>
          <w:rFonts w:eastAsia="Times New Roman" w:cs="Arial"/>
          <w:color w:val="000000"/>
          <w:lang w:eastAsia="bg-BG"/>
        </w:rPr>
        <w:t xml:space="preserve">е сравнима с тази при употреба на телмисартан/хидрохлоротиазид 80 </w:t>
      </w:r>
      <w:r w:rsidRPr="00C24008">
        <w:rPr>
          <w:rFonts w:eastAsia="Times New Roman" w:cs="Arial"/>
          <w:color w:val="000000"/>
          <w:lang w:val="en-US"/>
        </w:rPr>
        <w:t xml:space="preserve">mg/12,5 mg. </w:t>
      </w:r>
      <w:r w:rsidRPr="00C24008">
        <w:rPr>
          <w:rFonts w:eastAsia="Times New Roman" w:cs="Arial"/>
          <w:color w:val="000000"/>
          <w:lang w:eastAsia="bg-BG"/>
        </w:rPr>
        <w:t>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7116FB35" w14:textId="77777777" w:rsidR="00C24008" w:rsidRPr="003900F2" w:rsidRDefault="00C24008" w:rsidP="00C24008">
      <w:pPr>
        <w:spacing w:line="240" w:lineRule="auto"/>
        <w:rPr>
          <w:rFonts w:eastAsia="Times New Roman" w:cs="Arial"/>
          <w:i/>
          <w:iCs/>
          <w:color w:val="000000"/>
          <w:lang w:eastAsia="bg-BG"/>
        </w:rPr>
      </w:pPr>
    </w:p>
    <w:p w14:paraId="329B7FF4" w14:textId="77757BB0" w:rsidR="00C24008" w:rsidRPr="00C24008" w:rsidRDefault="00C24008" w:rsidP="00C24008">
      <w:pPr>
        <w:spacing w:line="240" w:lineRule="auto"/>
        <w:rPr>
          <w:rFonts w:eastAsia="Times New Roman" w:cs="Arial"/>
          <w:lang w:eastAsia="bg-BG"/>
        </w:rPr>
      </w:pPr>
      <w:r w:rsidRPr="00C24008">
        <w:rPr>
          <w:rFonts w:eastAsia="Times New Roman" w:cs="Arial"/>
          <w:i/>
          <w:iCs/>
          <w:color w:val="000000"/>
          <w:lang w:eastAsia="bg-BG"/>
        </w:rPr>
        <w:t>Табличен списък на нежеланите лекарствени реакции</w:t>
      </w:r>
    </w:p>
    <w:p w14:paraId="11D1DD2C" w14:textId="77777777" w:rsidR="00C24008" w:rsidRPr="003900F2" w:rsidRDefault="00C24008" w:rsidP="00C24008">
      <w:pPr>
        <w:spacing w:line="240" w:lineRule="auto"/>
        <w:rPr>
          <w:rFonts w:eastAsia="Times New Roman" w:cs="Arial"/>
          <w:color w:val="000000"/>
          <w:lang w:eastAsia="bg-BG"/>
        </w:rPr>
      </w:pPr>
    </w:p>
    <w:p w14:paraId="12889101" w14:textId="19B00C3A"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Нежеланите лекарствени реакции, съобщени във всички клинични проучвания и настъпили по- често при използването на телмисартан плюс хидрохлоротиазид, отколкото при плацебо (р ≤0,05), са описани по-долу в съответствие със системно-органната класификация. При лечение с телмисартан/хидрохлоротиазид могат да се появят и нежелани лекарствени реакции, които са характерни за самостоятелното прилагане на отделните му съставки, но които не са наблюдавани в клиничните проучвания.</w:t>
      </w:r>
    </w:p>
    <w:p w14:paraId="20321908" w14:textId="77777777" w:rsidR="00C24008" w:rsidRPr="003900F2" w:rsidRDefault="00C24008" w:rsidP="00C24008">
      <w:pPr>
        <w:rPr>
          <w:rFonts w:eastAsia="Times New Roman" w:cs="Arial"/>
          <w:color w:val="000000"/>
          <w:lang w:eastAsia="bg-BG"/>
        </w:rPr>
      </w:pPr>
    </w:p>
    <w:p w14:paraId="3273796E" w14:textId="3CF70BCB" w:rsidR="00C24008" w:rsidRPr="003900F2" w:rsidRDefault="00C24008" w:rsidP="00C24008">
      <w:pPr>
        <w:rPr>
          <w:rFonts w:eastAsia="Times New Roman" w:cs="Arial"/>
          <w:color w:val="000000"/>
          <w:lang w:eastAsia="bg-BG"/>
        </w:rPr>
      </w:pPr>
      <w:r w:rsidRPr="003900F2">
        <w:rPr>
          <w:rFonts w:eastAsia="Times New Roman" w:cs="Arial"/>
          <w:color w:val="000000"/>
          <w:lang w:eastAsia="bg-BG"/>
        </w:rPr>
        <w:t>Нежеланите лекарствени реакции са категоризирани според честотата, като е използвана</w:t>
      </w:r>
      <w:r w:rsidRPr="003900F2">
        <w:rPr>
          <w:rFonts w:eastAsia="Times New Roman" w:cs="Arial"/>
          <w:color w:val="000000"/>
          <w:vertAlign w:val="subscript"/>
          <w:lang w:eastAsia="bg-BG"/>
        </w:rPr>
        <w:t xml:space="preserve"> </w:t>
      </w:r>
      <w:r w:rsidRPr="003900F2">
        <w:rPr>
          <w:rFonts w:eastAsia="Times New Roman" w:cs="Arial"/>
          <w:color w:val="000000"/>
          <w:lang w:eastAsia="bg-BG"/>
        </w:rPr>
        <w:t>следната класификация: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6C8C33F3" w14:textId="59B1DCE0" w:rsidR="00C24008" w:rsidRPr="003900F2" w:rsidRDefault="00C24008" w:rsidP="00C24008">
      <w:pPr>
        <w:rPr>
          <w:rFonts w:eastAsia="Times New Roman" w:cs="Arial"/>
          <w:color w:val="000000"/>
          <w:lang w:eastAsia="bg-BG"/>
        </w:rPr>
      </w:pPr>
    </w:p>
    <w:p w14:paraId="6099CCFC" w14:textId="777777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444013FB" w14:textId="77777777" w:rsidR="00C24008" w:rsidRPr="003900F2" w:rsidRDefault="00C24008" w:rsidP="00C24008">
      <w:pPr>
        <w:spacing w:line="240" w:lineRule="auto"/>
        <w:rPr>
          <w:rFonts w:eastAsia="Times New Roman" w:cs="Arial"/>
          <w:color w:val="000000"/>
          <w:lang w:eastAsia="bg-BG"/>
        </w:rPr>
      </w:pPr>
    </w:p>
    <w:p w14:paraId="0AA24685"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Инфекции и инфестации </w:t>
      </w:r>
    </w:p>
    <w:p w14:paraId="0759C288" w14:textId="39A691BD"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редки:</w:t>
      </w:r>
      <w:r w:rsidRPr="003900F2">
        <w:rPr>
          <w:rFonts w:eastAsia="Times New Roman" w:cs="Arial"/>
          <w:color w:val="000000"/>
          <w:lang w:eastAsia="bg-BG"/>
        </w:rPr>
        <w:t xml:space="preserve"> </w:t>
      </w:r>
      <w:r w:rsidRPr="00C24008">
        <w:rPr>
          <w:rFonts w:eastAsia="Times New Roman" w:cs="Arial"/>
          <w:color w:val="000000"/>
          <w:lang w:eastAsia="bg-BG"/>
        </w:rPr>
        <w:t>бронхит, фарингит, синузит</w:t>
      </w:r>
    </w:p>
    <w:p w14:paraId="3013C422" w14:textId="77777777" w:rsidR="00C24008" w:rsidRPr="003900F2" w:rsidRDefault="00C24008" w:rsidP="00C24008">
      <w:pPr>
        <w:spacing w:line="240" w:lineRule="auto"/>
        <w:rPr>
          <w:rFonts w:eastAsia="Times New Roman" w:cs="Arial"/>
          <w:color w:val="000000"/>
          <w:lang w:eastAsia="bg-BG"/>
        </w:rPr>
      </w:pPr>
    </w:p>
    <w:p w14:paraId="13879DAA"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Нарушения на имунната система </w:t>
      </w:r>
    </w:p>
    <w:p w14:paraId="19888CDD" w14:textId="6A8F38EC" w:rsidR="00C24008" w:rsidRPr="00C24008"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редки:</w:t>
      </w:r>
      <w:r w:rsidRPr="003900F2">
        <w:rPr>
          <w:rFonts w:eastAsia="Times New Roman" w:cs="Arial"/>
          <w:color w:val="000000"/>
          <w:lang w:eastAsia="bg-BG"/>
        </w:rPr>
        <w:t xml:space="preserve"> </w:t>
      </w:r>
      <w:r w:rsidRPr="00C24008">
        <w:rPr>
          <w:rFonts w:eastAsia="Times New Roman" w:cs="Arial"/>
          <w:color w:val="000000"/>
          <w:lang w:eastAsia="bg-BG"/>
        </w:rPr>
        <w:t>обостряне или активиране на системен лупус еритематозус</w:t>
      </w:r>
      <w:r w:rsidRPr="00C24008">
        <w:rPr>
          <w:rFonts w:eastAsia="Times New Roman" w:cs="Arial"/>
          <w:color w:val="000000"/>
          <w:vertAlign w:val="superscript"/>
          <w:lang w:eastAsia="bg-BG"/>
        </w:rPr>
        <w:t>1</w:t>
      </w:r>
    </w:p>
    <w:p w14:paraId="2C7EE5D4" w14:textId="77777777" w:rsidR="00C24008" w:rsidRPr="003900F2" w:rsidRDefault="00C24008" w:rsidP="00C24008">
      <w:pPr>
        <w:spacing w:line="240" w:lineRule="auto"/>
        <w:rPr>
          <w:rFonts w:eastAsia="Times New Roman" w:cs="Arial"/>
          <w:color w:val="000000"/>
          <w:lang w:eastAsia="bg-BG"/>
        </w:rPr>
      </w:pPr>
    </w:p>
    <w:p w14:paraId="57539ACA"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Нарушения на метаболизма и храненето </w:t>
      </w:r>
    </w:p>
    <w:p w14:paraId="2690A944" w14:textId="0F50ADA6"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нечести:</w:t>
      </w:r>
      <w:r w:rsidRPr="003900F2">
        <w:rPr>
          <w:rFonts w:eastAsia="Times New Roman" w:cs="Arial"/>
          <w:color w:val="000000"/>
          <w:lang w:eastAsia="bg-BG"/>
        </w:rPr>
        <w:t xml:space="preserve"> </w:t>
      </w:r>
      <w:r w:rsidRPr="00C24008">
        <w:rPr>
          <w:rFonts w:eastAsia="Times New Roman" w:cs="Arial"/>
          <w:color w:val="000000"/>
          <w:lang w:eastAsia="bg-BG"/>
        </w:rPr>
        <w:t>хипокалиемия</w:t>
      </w:r>
    </w:p>
    <w:p w14:paraId="16BA6B46" w14:textId="7EC2D414"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редки:</w:t>
      </w:r>
      <w:r w:rsidRPr="003900F2">
        <w:rPr>
          <w:rFonts w:eastAsia="Times New Roman" w:cs="Arial"/>
          <w:color w:val="000000"/>
          <w:lang w:eastAsia="bg-BG"/>
        </w:rPr>
        <w:t xml:space="preserve"> </w:t>
      </w:r>
      <w:r w:rsidRPr="00C24008">
        <w:rPr>
          <w:rFonts w:eastAsia="Times New Roman" w:cs="Arial"/>
          <w:color w:val="000000"/>
          <w:lang w:eastAsia="bg-BG"/>
        </w:rPr>
        <w:t>хиперурикемия, хипонатриемия</w:t>
      </w:r>
    </w:p>
    <w:p w14:paraId="1308878E" w14:textId="77777777" w:rsidR="00C24008" w:rsidRPr="003900F2" w:rsidRDefault="00C24008" w:rsidP="00C24008">
      <w:pPr>
        <w:spacing w:line="240" w:lineRule="auto"/>
        <w:rPr>
          <w:rFonts w:eastAsia="Times New Roman" w:cs="Arial"/>
          <w:color w:val="000000"/>
          <w:lang w:eastAsia="bg-BG"/>
        </w:rPr>
      </w:pPr>
    </w:p>
    <w:p w14:paraId="020F22DE"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Психични нарушения </w:t>
      </w:r>
    </w:p>
    <w:p w14:paraId="08B2208B" w14:textId="127A8A0F"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нечести:</w:t>
      </w:r>
      <w:r w:rsidRPr="003900F2">
        <w:rPr>
          <w:rFonts w:eastAsia="Times New Roman" w:cs="Arial"/>
          <w:color w:val="000000"/>
          <w:lang w:eastAsia="bg-BG"/>
        </w:rPr>
        <w:t xml:space="preserve"> </w:t>
      </w:r>
      <w:r w:rsidRPr="00C24008">
        <w:rPr>
          <w:rFonts w:eastAsia="Times New Roman" w:cs="Arial"/>
          <w:color w:val="000000"/>
          <w:lang w:eastAsia="bg-BG"/>
        </w:rPr>
        <w:t>тревожност</w:t>
      </w:r>
    </w:p>
    <w:p w14:paraId="34972C3E" w14:textId="731AE39E"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редки:</w:t>
      </w:r>
      <w:r w:rsidRPr="003900F2">
        <w:rPr>
          <w:rFonts w:eastAsia="Times New Roman" w:cs="Arial"/>
          <w:color w:val="000000"/>
          <w:lang w:eastAsia="bg-BG"/>
        </w:rPr>
        <w:t xml:space="preserve"> </w:t>
      </w:r>
      <w:r w:rsidRPr="00C24008">
        <w:rPr>
          <w:rFonts w:eastAsia="Times New Roman" w:cs="Arial"/>
          <w:color w:val="000000"/>
          <w:lang w:eastAsia="bg-BG"/>
        </w:rPr>
        <w:t>депресия</w:t>
      </w:r>
    </w:p>
    <w:p w14:paraId="7932C7F7" w14:textId="77777777" w:rsidR="00C24008" w:rsidRPr="003900F2" w:rsidRDefault="00C24008" w:rsidP="00C24008">
      <w:pPr>
        <w:spacing w:line="240" w:lineRule="auto"/>
        <w:rPr>
          <w:rFonts w:eastAsia="Times New Roman" w:cs="Arial"/>
          <w:color w:val="000000"/>
          <w:lang w:eastAsia="bg-BG"/>
        </w:rPr>
      </w:pPr>
    </w:p>
    <w:p w14:paraId="007EB232"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Нарушения на нервната система </w:t>
      </w:r>
    </w:p>
    <w:p w14:paraId="268925C2" w14:textId="2B4BD843"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чести:</w:t>
      </w:r>
      <w:r w:rsidRPr="003900F2">
        <w:rPr>
          <w:rFonts w:eastAsia="Times New Roman" w:cs="Arial"/>
          <w:color w:val="000000"/>
          <w:lang w:eastAsia="bg-BG"/>
        </w:rPr>
        <w:t xml:space="preserve"> </w:t>
      </w:r>
      <w:r w:rsidRPr="00C24008">
        <w:rPr>
          <w:rFonts w:eastAsia="Times New Roman" w:cs="Arial"/>
          <w:color w:val="000000"/>
          <w:lang w:eastAsia="bg-BG"/>
        </w:rPr>
        <w:t>замайване</w:t>
      </w:r>
    </w:p>
    <w:p w14:paraId="767A5824" w14:textId="7B0F2BAA"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нечести:</w:t>
      </w:r>
      <w:r w:rsidRPr="003900F2">
        <w:rPr>
          <w:rFonts w:eastAsia="Times New Roman" w:cs="Arial"/>
          <w:color w:val="000000"/>
          <w:lang w:eastAsia="bg-BG"/>
        </w:rPr>
        <w:t xml:space="preserve"> </w:t>
      </w:r>
      <w:r w:rsidRPr="00C24008">
        <w:rPr>
          <w:rFonts w:eastAsia="Times New Roman" w:cs="Arial"/>
          <w:color w:val="000000"/>
          <w:lang w:eastAsia="bg-BG"/>
        </w:rPr>
        <w:t>синкоп, парестезия</w:t>
      </w:r>
    </w:p>
    <w:p w14:paraId="4E946705" w14:textId="11D9B8E6"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редки:</w:t>
      </w:r>
      <w:r w:rsidRPr="003900F2">
        <w:rPr>
          <w:rFonts w:eastAsia="Times New Roman" w:cs="Arial"/>
          <w:color w:val="000000"/>
          <w:lang w:eastAsia="bg-BG"/>
        </w:rPr>
        <w:t xml:space="preserve"> </w:t>
      </w:r>
      <w:r w:rsidRPr="00C24008">
        <w:rPr>
          <w:rFonts w:eastAsia="Times New Roman" w:cs="Arial"/>
          <w:color w:val="000000"/>
          <w:lang w:eastAsia="bg-BG"/>
        </w:rPr>
        <w:t>безсъние, нарушения на съня</w:t>
      </w:r>
    </w:p>
    <w:p w14:paraId="091B0731" w14:textId="77777777" w:rsidR="00C24008" w:rsidRPr="003900F2" w:rsidRDefault="00C24008" w:rsidP="00C24008">
      <w:pPr>
        <w:spacing w:line="240" w:lineRule="auto"/>
        <w:rPr>
          <w:rFonts w:eastAsia="Times New Roman" w:cs="Arial"/>
          <w:color w:val="000000"/>
          <w:lang w:eastAsia="bg-BG"/>
        </w:rPr>
      </w:pPr>
    </w:p>
    <w:p w14:paraId="5A05CC65"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Нарушения на очите </w:t>
      </w:r>
    </w:p>
    <w:p w14:paraId="2E411418" w14:textId="5688D2A4"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lastRenderedPageBreak/>
        <w:t>редки:</w:t>
      </w:r>
      <w:r w:rsidRPr="003900F2">
        <w:rPr>
          <w:rFonts w:eastAsia="Times New Roman" w:cs="Arial"/>
          <w:color w:val="000000"/>
          <w:lang w:eastAsia="bg-BG"/>
        </w:rPr>
        <w:t xml:space="preserve"> </w:t>
      </w:r>
      <w:r w:rsidRPr="00C24008">
        <w:rPr>
          <w:rFonts w:eastAsia="Times New Roman" w:cs="Arial"/>
          <w:color w:val="000000"/>
          <w:lang w:eastAsia="bg-BG"/>
        </w:rPr>
        <w:t>нарушения на зрението, замъглено виждане</w:t>
      </w:r>
    </w:p>
    <w:p w14:paraId="3D879D6C" w14:textId="77777777" w:rsidR="00C24008" w:rsidRPr="003900F2" w:rsidRDefault="00C24008" w:rsidP="00C24008">
      <w:pPr>
        <w:spacing w:line="240" w:lineRule="auto"/>
        <w:rPr>
          <w:rFonts w:eastAsia="Times New Roman" w:cs="Arial"/>
          <w:color w:val="000000"/>
          <w:lang w:eastAsia="bg-BG"/>
        </w:rPr>
      </w:pPr>
    </w:p>
    <w:p w14:paraId="5696A95F"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Нарушения на ухото и лабиринта </w:t>
      </w:r>
    </w:p>
    <w:p w14:paraId="11AC9811" w14:textId="5C3E2177"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нечести:</w:t>
      </w:r>
      <w:r w:rsidRPr="003900F2">
        <w:rPr>
          <w:rFonts w:eastAsia="Times New Roman" w:cs="Arial"/>
          <w:color w:val="000000"/>
          <w:lang w:eastAsia="bg-BG"/>
        </w:rPr>
        <w:t xml:space="preserve"> </w:t>
      </w:r>
      <w:r w:rsidRPr="00C24008">
        <w:rPr>
          <w:rFonts w:eastAsia="Times New Roman" w:cs="Arial"/>
          <w:color w:val="000000"/>
          <w:lang w:eastAsia="bg-BG"/>
        </w:rPr>
        <w:t>световъртеж</w:t>
      </w:r>
    </w:p>
    <w:p w14:paraId="56D6633E" w14:textId="77777777" w:rsidR="00C24008" w:rsidRPr="003900F2" w:rsidRDefault="00C24008" w:rsidP="00C24008">
      <w:pPr>
        <w:spacing w:line="240" w:lineRule="auto"/>
        <w:rPr>
          <w:rFonts w:eastAsia="Times New Roman" w:cs="Arial"/>
          <w:color w:val="000000"/>
          <w:lang w:eastAsia="bg-BG"/>
        </w:rPr>
      </w:pPr>
    </w:p>
    <w:p w14:paraId="3D369DFB"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Сърдечни нарушения </w:t>
      </w:r>
    </w:p>
    <w:p w14:paraId="25527242" w14:textId="71A760B9"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нечести:</w:t>
      </w:r>
      <w:r w:rsidRPr="003900F2">
        <w:rPr>
          <w:rFonts w:eastAsia="Times New Roman" w:cs="Arial"/>
          <w:color w:val="000000"/>
          <w:lang w:eastAsia="bg-BG"/>
        </w:rPr>
        <w:t xml:space="preserve"> </w:t>
      </w:r>
      <w:r w:rsidRPr="00C24008">
        <w:rPr>
          <w:rFonts w:eastAsia="Times New Roman" w:cs="Arial"/>
          <w:color w:val="000000"/>
          <w:lang w:eastAsia="bg-BG"/>
        </w:rPr>
        <w:t>тахикардия, аритмия</w:t>
      </w:r>
    </w:p>
    <w:p w14:paraId="11526925" w14:textId="77777777" w:rsidR="00C24008" w:rsidRPr="003900F2" w:rsidRDefault="00C24008" w:rsidP="00C24008">
      <w:pPr>
        <w:spacing w:line="240" w:lineRule="auto"/>
        <w:rPr>
          <w:rFonts w:eastAsia="Times New Roman" w:cs="Arial"/>
          <w:color w:val="000000"/>
          <w:lang w:eastAsia="bg-BG"/>
        </w:rPr>
      </w:pPr>
    </w:p>
    <w:p w14:paraId="5F99DDBE"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Съдови нарушения </w:t>
      </w:r>
    </w:p>
    <w:p w14:paraId="66F61CA6" w14:textId="56D25F2B"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нечести:</w:t>
      </w:r>
      <w:r w:rsidRPr="003900F2">
        <w:rPr>
          <w:rFonts w:eastAsia="Times New Roman" w:cs="Arial"/>
          <w:color w:val="000000"/>
          <w:lang w:eastAsia="bg-BG"/>
        </w:rPr>
        <w:t xml:space="preserve"> </w:t>
      </w:r>
      <w:r w:rsidRPr="00C24008">
        <w:rPr>
          <w:rFonts w:eastAsia="Times New Roman" w:cs="Arial"/>
          <w:color w:val="000000"/>
          <w:lang w:eastAsia="bg-BG"/>
        </w:rPr>
        <w:t>хипотония, ортостатична хипотония</w:t>
      </w:r>
    </w:p>
    <w:p w14:paraId="702C69CC" w14:textId="77777777" w:rsidR="00C24008" w:rsidRPr="003900F2" w:rsidRDefault="00C24008" w:rsidP="00C24008">
      <w:pPr>
        <w:spacing w:line="240" w:lineRule="auto"/>
        <w:rPr>
          <w:rFonts w:eastAsia="Times New Roman" w:cs="Arial"/>
          <w:color w:val="000000"/>
          <w:lang w:eastAsia="bg-BG"/>
        </w:rPr>
      </w:pPr>
    </w:p>
    <w:p w14:paraId="70E2F64E"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Респираторни, гръдни и медиастинални нарушения </w:t>
      </w:r>
    </w:p>
    <w:p w14:paraId="0AB601DF" w14:textId="318C5D45"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нечести:</w:t>
      </w:r>
      <w:r w:rsidRPr="003900F2">
        <w:rPr>
          <w:rFonts w:eastAsia="Times New Roman" w:cs="Arial"/>
          <w:color w:val="000000"/>
          <w:lang w:eastAsia="bg-BG"/>
        </w:rPr>
        <w:t xml:space="preserve"> </w:t>
      </w:r>
      <w:r w:rsidRPr="00C24008">
        <w:rPr>
          <w:rFonts w:eastAsia="Times New Roman" w:cs="Arial"/>
          <w:color w:val="000000"/>
          <w:lang w:eastAsia="bg-BG"/>
        </w:rPr>
        <w:t>диспнея</w:t>
      </w:r>
    </w:p>
    <w:p w14:paraId="59EF9C78" w14:textId="2B931F2D"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редки:</w:t>
      </w:r>
      <w:r w:rsidRPr="003900F2">
        <w:rPr>
          <w:rFonts w:eastAsia="Times New Roman" w:cs="Arial"/>
          <w:color w:val="000000"/>
          <w:lang w:eastAsia="bg-BG"/>
        </w:rPr>
        <w:t xml:space="preserve"> </w:t>
      </w:r>
      <w:r w:rsidRPr="00C24008">
        <w:rPr>
          <w:rFonts w:eastAsia="Times New Roman" w:cs="Arial"/>
          <w:color w:val="000000"/>
          <w:lang w:eastAsia="bg-BG"/>
        </w:rPr>
        <w:t>респираторен дистрес (включително пневмонит и белодробен</w:t>
      </w:r>
      <w:r w:rsidRPr="003900F2">
        <w:rPr>
          <w:rFonts w:eastAsia="Times New Roman" w:cs="Arial"/>
          <w:lang w:eastAsia="bg-BG"/>
        </w:rPr>
        <w:t xml:space="preserve"> </w:t>
      </w:r>
      <w:r w:rsidRPr="00C24008">
        <w:rPr>
          <w:rFonts w:eastAsia="Times New Roman" w:cs="Arial"/>
          <w:color w:val="000000"/>
          <w:lang w:eastAsia="bg-BG"/>
        </w:rPr>
        <w:t>оток)</w:t>
      </w:r>
    </w:p>
    <w:p w14:paraId="222DAA25" w14:textId="77777777" w:rsidR="00C24008" w:rsidRPr="003900F2" w:rsidRDefault="00C24008" w:rsidP="00C24008">
      <w:pPr>
        <w:spacing w:line="240" w:lineRule="auto"/>
        <w:rPr>
          <w:rFonts w:eastAsia="Times New Roman" w:cs="Arial"/>
          <w:color w:val="000000"/>
          <w:lang w:eastAsia="bg-BG"/>
        </w:rPr>
      </w:pPr>
    </w:p>
    <w:p w14:paraId="4BEF973A"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Стомашно-чревни нарушения </w:t>
      </w:r>
    </w:p>
    <w:p w14:paraId="58528D58" w14:textId="4E0C1958"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нечести:</w:t>
      </w:r>
      <w:r w:rsidRPr="003900F2">
        <w:rPr>
          <w:rFonts w:eastAsia="Times New Roman" w:cs="Arial"/>
          <w:color w:val="000000"/>
          <w:lang w:eastAsia="bg-BG"/>
        </w:rPr>
        <w:t xml:space="preserve"> </w:t>
      </w:r>
      <w:r w:rsidRPr="00C24008">
        <w:rPr>
          <w:rFonts w:eastAsia="Times New Roman" w:cs="Arial"/>
          <w:color w:val="000000"/>
          <w:lang w:eastAsia="bg-BG"/>
        </w:rPr>
        <w:t>диария, сухота в устата, флатуленция</w:t>
      </w:r>
    </w:p>
    <w:p w14:paraId="72055C6E" w14:textId="2DCC1E4C"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редки:</w:t>
      </w:r>
      <w:r w:rsidRPr="003900F2">
        <w:rPr>
          <w:rFonts w:eastAsia="Times New Roman" w:cs="Arial"/>
          <w:color w:val="000000"/>
          <w:lang w:eastAsia="bg-BG"/>
        </w:rPr>
        <w:t xml:space="preserve"> </w:t>
      </w:r>
      <w:r w:rsidRPr="00C24008">
        <w:rPr>
          <w:rFonts w:eastAsia="Times New Roman" w:cs="Arial"/>
          <w:color w:val="000000"/>
          <w:lang w:eastAsia="bg-BG"/>
        </w:rPr>
        <w:t>абдоминална болка, запек, диспепсия, повръщане, гастрит</w:t>
      </w:r>
    </w:p>
    <w:p w14:paraId="0889473C" w14:textId="77777777" w:rsidR="00C24008" w:rsidRPr="003900F2" w:rsidRDefault="00C24008" w:rsidP="00C24008">
      <w:pPr>
        <w:spacing w:line="240" w:lineRule="auto"/>
        <w:rPr>
          <w:rFonts w:eastAsia="Times New Roman" w:cs="Arial"/>
          <w:color w:val="000000"/>
          <w:lang w:eastAsia="bg-BG"/>
        </w:rPr>
      </w:pPr>
    </w:p>
    <w:p w14:paraId="21769EAC"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Хепато-билиарни нарушения </w:t>
      </w:r>
    </w:p>
    <w:p w14:paraId="52B7E4A4" w14:textId="1C8E7DA3"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редки:</w:t>
      </w:r>
      <w:r w:rsidRPr="003900F2">
        <w:rPr>
          <w:rFonts w:eastAsia="Times New Roman" w:cs="Arial"/>
          <w:color w:val="000000"/>
          <w:lang w:eastAsia="bg-BG"/>
        </w:rPr>
        <w:t xml:space="preserve"> </w:t>
      </w:r>
      <w:r w:rsidRPr="00C24008">
        <w:rPr>
          <w:rFonts w:eastAsia="Times New Roman" w:cs="Arial"/>
          <w:color w:val="000000"/>
          <w:lang w:eastAsia="bg-BG"/>
        </w:rPr>
        <w:t>абнормна чернодробна функция/чернодробно нарушение</w:t>
      </w:r>
      <w:r w:rsidRPr="00C24008">
        <w:rPr>
          <w:rFonts w:eastAsia="Times New Roman" w:cs="Arial"/>
          <w:color w:val="000000"/>
          <w:vertAlign w:val="superscript"/>
          <w:lang w:eastAsia="bg-BG"/>
        </w:rPr>
        <w:t>2</w:t>
      </w:r>
    </w:p>
    <w:p w14:paraId="333B3B08" w14:textId="77777777" w:rsidR="00C24008" w:rsidRPr="003900F2" w:rsidRDefault="00C24008" w:rsidP="00C24008">
      <w:pPr>
        <w:spacing w:line="240" w:lineRule="auto"/>
        <w:rPr>
          <w:rFonts w:eastAsia="Times New Roman" w:cs="Arial"/>
          <w:color w:val="000000"/>
          <w:lang w:eastAsia="bg-BG"/>
        </w:rPr>
      </w:pPr>
    </w:p>
    <w:p w14:paraId="6CA1273B"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Нарушения на кожата и подкожната тъкан </w:t>
      </w:r>
    </w:p>
    <w:p w14:paraId="590966FD" w14:textId="73F055A6"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редки:</w:t>
      </w:r>
      <w:r w:rsidRPr="003900F2">
        <w:rPr>
          <w:rFonts w:eastAsia="Times New Roman" w:cs="Arial"/>
          <w:color w:val="000000"/>
          <w:lang w:eastAsia="bg-BG"/>
        </w:rPr>
        <w:t xml:space="preserve"> </w:t>
      </w:r>
      <w:r w:rsidRPr="00C24008">
        <w:rPr>
          <w:rFonts w:eastAsia="Times New Roman" w:cs="Arial"/>
          <w:color w:val="000000"/>
          <w:lang w:eastAsia="bg-BG"/>
        </w:rPr>
        <w:t>ангиоедем (също и с фатален изход), еритема, сърбеж, обрив,</w:t>
      </w:r>
      <w:r w:rsidRPr="003900F2">
        <w:rPr>
          <w:rFonts w:eastAsia="Times New Roman" w:cs="Arial"/>
          <w:lang w:eastAsia="bg-BG"/>
        </w:rPr>
        <w:t xml:space="preserve"> </w:t>
      </w:r>
      <w:r w:rsidRPr="00C24008">
        <w:rPr>
          <w:rFonts w:eastAsia="Times New Roman" w:cs="Arial"/>
          <w:color w:val="000000"/>
          <w:lang w:eastAsia="bg-BG"/>
        </w:rPr>
        <w:t>хиперхидроза, уртикария</w:t>
      </w:r>
    </w:p>
    <w:p w14:paraId="7A5C0B40" w14:textId="77777777" w:rsidR="00C24008" w:rsidRPr="003900F2" w:rsidRDefault="00C24008" w:rsidP="00C24008">
      <w:pPr>
        <w:spacing w:line="240" w:lineRule="auto"/>
        <w:rPr>
          <w:rFonts w:eastAsia="Times New Roman" w:cs="Arial"/>
          <w:color w:val="000000"/>
          <w:lang w:eastAsia="bg-BG"/>
        </w:rPr>
      </w:pPr>
    </w:p>
    <w:p w14:paraId="79E2CDF3" w14:textId="77777777" w:rsidR="00C24008" w:rsidRPr="003900F2" w:rsidRDefault="00C24008" w:rsidP="00C24008">
      <w:pPr>
        <w:spacing w:line="240" w:lineRule="auto"/>
        <w:rPr>
          <w:rFonts w:eastAsia="Times New Roman" w:cs="Arial"/>
          <w:color w:val="000000"/>
          <w:lang w:eastAsia="bg-BG"/>
        </w:rPr>
      </w:pPr>
      <w:r w:rsidRPr="00C24008">
        <w:rPr>
          <w:rFonts w:eastAsia="Times New Roman" w:cs="Arial"/>
          <w:color w:val="000000"/>
          <w:lang w:eastAsia="bg-BG"/>
        </w:rPr>
        <w:t xml:space="preserve">Нарушения на мускулно-скелетната система и съединителната тъкан </w:t>
      </w:r>
    </w:p>
    <w:p w14:paraId="58C0DB0A" w14:textId="3E270475" w:rsidR="00C24008" w:rsidRPr="00C24008" w:rsidRDefault="00C24008" w:rsidP="00C24008">
      <w:pPr>
        <w:spacing w:line="240" w:lineRule="auto"/>
        <w:rPr>
          <w:rFonts w:eastAsia="Times New Roman" w:cs="Arial"/>
          <w:lang w:eastAsia="bg-BG"/>
        </w:rPr>
      </w:pPr>
      <w:r w:rsidRPr="00C24008">
        <w:rPr>
          <w:rFonts w:eastAsia="Times New Roman" w:cs="Arial"/>
          <w:color w:val="000000"/>
          <w:lang w:eastAsia="bg-BG"/>
        </w:rPr>
        <w:t>нечести:</w:t>
      </w:r>
      <w:r w:rsidRPr="003900F2">
        <w:rPr>
          <w:rFonts w:eastAsia="Times New Roman" w:cs="Arial"/>
          <w:color w:val="000000"/>
          <w:lang w:eastAsia="bg-BG"/>
        </w:rPr>
        <w:t xml:space="preserve"> </w:t>
      </w:r>
      <w:r w:rsidRPr="00C24008">
        <w:rPr>
          <w:rFonts w:eastAsia="Times New Roman" w:cs="Arial"/>
          <w:color w:val="000000"/>
          <w:lang w:eastAsia="bg-BG"/>
        </w:rPr>
        <w:t>болка в гърба, мускулни спазми, миалгия</w:t>
      </w:r>
    </w:p>
    <w:p w14:paraId="177350EC" w14:textId="61F18337" w:rsidR="00C24008" w:rsidRPr="003900F2" w:rsidRDefault="00C24008" w:rsidP="00C24008">
      <w:pPr>
        <w:rPr>
          <w:rFonts w:eastAsia="Times New Roman" w:cs="Arial"/>
          <w:color w:val="000000"/>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артралгия, мускулни крампи, болка в крайник</w:t>
      </w:r>
    </w:p>
    <w:p w14:paraId="0943C514" w14:textId="07EC4505" w:rsidR="003900F2" w:rsidRPr="003900F2" w:rsidRDefault="003900F2" w:rsidP="00C24008">
      <w:pPr>
        <w:rPr>
          <w:rFonts w:eastAsia="Times New Roman" w:cs="Arial"/>
          <w:color w:val="000000"/>
          <w:lang w:eastAsia="bg-BG"/>
        </w:rPr>
      </w:pPr>
    </w:p>
    <w:p w14:paraId="3666561D"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възпроизводителната система и гърдата </w:t>
      </w:r>
    </w:p>
    <w:p w14:paraId="31A41D27" w14:textId="1FF2885F"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нечести:</w:t>
      </w:r>
      <w:r w:rsidRPr="003900F2">
        <w:rPr>
          <w:rFonts w:eastAsia="Times New Roman" w:cs="Arial"/>
          <w:color w:val="000000"/>
          <w:lang w:eastAsia="bg-BG"/>
        </w:rPr>
        <w:t xml:space="preserve"> </w:t>
      </w:r>
      <w:r w:rsidRPr="003900F2">
        <w:rPr>
          <w:rFonts w:eastAsia="Times New Roman" w:cs="Arial"/>
          <w:color w:val="000000"/>
          <w:lang w:eastAsia="bg-BG"/>
        </w:rPr>
        <w:t>еректилна дисфункция</w:t>
      </w:r>
    </w:p>
    <w:p w14:paraId="6D081440" w14:textId="77777777" w:rsidR="003900F2" w:rsidRPr="003900F2" w:rsidRDefault="003900F2" w:rsidP="003900F2">
      <w:pPr>
        <w:spacing w:line="240" w:lineRule="auto"/>
        <w:rPr>
          <w:rFonts w:eastAsia="Times New Roman" w:cs="Arial"/>
          <w:color w:val="000000"/>
          <w:lang w:eastAsia="bg-BG"/>
        </w:rPr>
      </w:pPr>
    </w:p>
    <w:p w14:paraId="5CD95360"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Общи нарушения и ефекти на мястото на приложение </w:t>
      </w:r>
    </w:p>
    <w:p w14:paraId="7FFF353C" w14:textId="47D8A25B"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нечести:</w:t>
      </w:r>
      <w:r w:rsidRPr="003900F2">
        <w:rPr>
          <w:rFonts w:eastAsia="Times New Roman" w:cs="Arial"/>
          <w:color w:val="000000"/>
          <w:lang w:eastAsia="bg-BG"/>
        </w:rPr>
        <w:t xml:space="preserve"> </w:t>
      </w:r>
      <w:r w:rsidRPr="003900F2">
        <w:rPr>
          <w:rFonts w:eastAsia="Times New Roman" w:cs="Arial"/>
          <w:color w:val="000000"/>
          <w:lang w:eastAsia="bg-BG"/>
        </w:rPr>
        <w:t>болка в гръдния кош</w:t>
      </w:r>
    </w:p>
    <w:p w14:paraId="7CAA375A"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ab/>
        <w:t>грипоподобно заболяване, болка</w:t>
      </w:r>
    </w:p>
    <w:p w14:paraId="47B3E719" w14:textId="77777777" w:rsidR="003900F2" w:rsidRPr="003900F2" w:rsidRDefault="003900F2" w:rsidP="003900F2">
      <w:pPr>
        <w:spacing w:line="240" w:lineRule="auto"/>
        <w:rPr>
          <w:rFonts w:eastAsia="Times New Roman" w:cs="Arial"/>
          <w:color w:val="000000"/>
          <w:lang w:eastAsia="bg-BG"/>
        </w:rPr>
      </w:pPr>
    </w:p>
    <w:p w14:paraId="291A81F1" w14:textId="69FDC678"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Изследвания</w:t>
      </w:r>
    </w:p>
    <w:p w14:paraId="78F7B2F8" w14:textId="10162940"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нечести:</w:t>
      </w:r>
      <w:r w:rsidRPr="003900F2">
        <w:rPr>
          <w:rFonts w:eastAsia="Times New Roman" w:cs="Arial"/>
          <w:color w:val="000000"/>
          <w:lang w:eastAsia="bg-BG"/>
        </w:rPr>
        <w:t xml:space="preserve"> </w:t>
      </w:r>
      <w:r w:rsidRPr="003900F2">
        <w:rPr>
          <w:rFonts w:eastAsia="Times New Roman" w:cs="Arial"/>
          <w:color w:val="000000"/>
          <w:lang w:eastAsia="bg-BG"/>
        </w:rPr>
        <w:t>повишена пикочна киселина в кръвта</w:t>
      </w:r>
    </w:p>
    <w:p w14:paraId="1427A828" w14:textId="464E2499"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ab/>
        <w:t>повишен креатинин в кръвта, повишена креатин фосфокиназа в</w:t>
      </w:r>
      <w:r w:rsidRPr="003900F2">
        <w:rPr>
          <w:rFonts w:eastAsia="Times New Roman" w:cs="Arial"/>
          <w:lang w:eastAsia="bg-BG"/>
        </w:rPr>
        <w:t xml:space="preserve"> </w:t>
      </w:r>
      <w:r w:rsidRPr="003900F2">
        <w:rPr>
          <w:rFonts w:eastAsia="Times New Roman" w:cs="Arial"/>
          <w:color w:val="000000"/>
          <w:lang w:eastAsia="bg-BG"/>
        </w:rPr>
        <w:t>кръвта, повишени чернодробни ензими</w:t>
      </w:r>
    </w:p>
    <w:p w14:paraId="126B979C" w14:textId="77777777" w:rsidR="003900F2" w:rsidRPr="003900F2" w:rsidRDefault="003900F2" w:rsidP="003900F2">
      <w:pPr>
        <w:spacing w:line="240" w:lineRule="auto"/>
        <w:rPr>
          <w:rFonts w:eastAsia="Times New Roman" w:cs="Arial"/>
          <w:color w:val="000000"/>
          <w:lang w:eastAsia="bg-BG"/>
        </w:rPr>
      </w:pPr>
    </w:p>
    <w:p w14:paraId="506AC71E" w14:textId="62509CFF"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vertAlign w:val="superscript"/>
          <w:lang w:eastAsia="bg-BG"/>
        </w:rPr>
        <w:t>1</w:t>
      </w:r>
      <w:r w:rsidRPr="003900F2">
        <w:rPr>
          <w:rFonts w:eastAsia="Times New Roman" w:cs="Arial"/>
          <w:color w:val="000000"/>
          <w:lang w:eastAsia="bg-BG"/>
        </w:rPr>
        <w:t>:</w:t>
      </w:r>
      <w:r w:rsidRPr="003900F2">
        <w:rPr>
          <w:rFonts w:eastAsia="Times New Roman" w:cs="Arial"/>
          <w:color w:val="000000"/>
          <w:lang w:eastAsia="bg-BG"/>
        </w:rPr>
        <w:t>на база на постмаркетинговия опит</w:t>
      </w:r>
    </w:p>
    <w:p w14:paraId="2B65B9C5" w14:textId="7598396E" w:rsidR="003900F2" w:rsidRPr="003900F2" w:rsidRDefault="003900F2" w:rsidP="003900F2">
      <w:pPr>
        <w:spacing w:line="240" w:lineRule="auto"/>
        <w:rPr>
          <w:rFonts w:eastAsia="Times New Roman" w:cs="Arial"/>
          <w:i/>
          <w:iCs/>
          <w:color w:val="000000"/>
          <w:lang w:eastAsia="bg-BG"/>
        </w:rPr>
      </w:pPr>
      <w:r w:rsidRPr="003900F2">
        <w:rPr>
          <w:rFonts w:eastAsia="Times New Roman" w:cs="Arial"/>
          <w:i/>
          <w:iCs/>
          <w:color w:val="000000"/>
          <w:vertAlign w:val="superscript"/>
          <w:lang w:eastAsia="bg-BG"/>
        </w:rPr>
        <w:t>2</w:t>
      </w:r>
      <w:r w:rsidRPr="003900F2">
        <w:rPr>
          <w:rFonts w:eastAsia="Times New Roman" w:cs="Arial"/>
          <w:i/>
          <w:iCs/>
          <w:color w:val="000000"/>
          <w:lang w:eastAsia="bg-BG"/>
        </w:rPr>
        <w:t>:</w:t>
      </w:r>
      <w:r w:rsidRPr="003900F2">
        <w:rPr>
          <w:rFonts w:eastAsia="Times New Roman" w:cs="Arial"/>
          <w:i/>
          <w:iCs/>
          <w:color w:val="000000"/>
          <w:lang w:eastAsia="bg-BG"/>
        </w:rPr>
        <w:t>за</w:t>
      </w:r>
      <w:r w:rsidRPr="003900F2">
        <w:rPr>
          <w:rFonts w:eastAsia="Times New Roman" w:cs="Arial"/>
          <w:color w:val="000000"/>
          <w:lang w:eastAsia="bg-BG"/>
        </w:rPr>
        <w:t xml:space="preserve"> допълнително описание, моля вижте подточка </w:t>
      </w:r>
      <w:r w:rsidRPr="003900F2">
        <w:rPr>
          <w:rFonts w:eastAsia="Times New Roman" w:cs="Arial"/>
          <w:i/>
          <w:iCs/>
          <w:color w:val="000000"/>
          <w:lang w:eastAsia="bg-BG"/>
        </w:rPr>
        <w:t>„Описание на избрани нежелани реакции"</w:t>
      </w:r>
    </w:p>
    <w:p w14:paraId="5E28F8F6" w14:textId="77777777" w:rsidR="003900F2" w:rsidRPr="003900F2" w:rsidRDefault="003900F2" w:rsidP="003900F2">
      <w:pPr>
        <w:spacing w:line="240" w:lineRule="auto"/>
        <w:rPr>
          <w:rFonts w:eastAsia="Times New Roman" w:cs="Arial"/>
          <w:i/>
          <w:iCs/>
          <w:color w:val="000000"/>
          <w:lang w:eastAsia="bg-BG"/>
        </w:rPr>
      </w:pPr>
    </w:p>
    <w:p w14:paraId="7894754F" w14:textId="17C0E54A" w:rsidR="003900F2" w:rsidRPr="003900F2" w:rsidRDefault="003900F2" w:rsidP="003900F2">
      <w:pPr>
        <w:spacing w:line="240" w:lineRule="auto"/>
        <w:rPr>
          <w:rFonts w:eastAsia="Times New Roman" w:cs="Arial"/>
          <w:lang w:eastAsia="bg-BG"/>
        </w:rPr>
      </w:pPr>
      <w:r w:rsidRPr="003900F2">
        <w:rPr>
          <w:rFonts w:eastAsia="Times New Roman" w:cs="Arial"/>
          <w:i/>
          <w:iCs/>
          <w:color w:val="000000"/>
          <w:lang w:eastAsia="bg-BG"/>
        </w:rPr>
        <w:t>Допълнителна информация за всеки от компонентите</w:t>
      </w:r>
    </w:p>
    <w:p w14:paraId="7265411F" w14:textId="5BB58D70"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Нежеланите реакции, съобщавани преди това при самостоятелното използване на някой от компонентите, могат да възникнат и при използването на телмисартан/хидрохлоротиазид, дори да не са наблюдавани при клиничните проучвания на този продукт.</w:t>
      </w:r>
    </w:p>
    <w:p w14:paraId="07F34022" w14:textId="77777777" w:rsidR="003900F2" w:rsidRPr="003900F2" w:rsidRDefault="003900F2" w:rsidP="003900F2">
      <w:pPr>
        <w:spacing w:line="240" w:lineRule="auto"/>
        <w:rPr>
          <w:rFonts w:eastAsia="Times New Roman" w:cs="Arial"/>
          <w:color w:val="000000"/>
          <w:u w:val="single"/>
          <w:lang w:eastAsia="bg-BG"/>
        </w:rPr>
      </w:pPr>
    </w:p>
    <w:p w14:paraId="318031FB" w14:textId="3EDEE490"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Телмисартан</w:t>
      </w:r>
    </w:p>
    <w:p w14:paraId="1E0A3D6E"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Честотата на нежеланите лекарствени реакции при използването на телмисартан и плацебо е почти еднаква.</w:t>
      </w:r>
    </w:p>
    <w:p w14:paraId="28561D73" w14:textId="77777777" w:rsidR="003900F2" w:rsidRPr="003900F2" w:rsidRDefault="003900F2" w:rsidP="003900F2">
      <w:pPr>
        <w:spacing w:line="240" w:lineRule="auto"/>
        <w:rPr>
          <w:rFonts w:eastAsia="Times New Roman" w:cs="Arial"/>
          <w:color w:val="000000"/>
          <w:lang w:eastAsia="bg-BG"/>
        </w:rPr>
      </w:pPr>
    </w:p>
    <w:p w14:paraId="09E3773C" w14:textId="19F00756"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Общата честота на нежеланите лекарствени реакции, съобщени при употреба на телмисартан (41,4%) е сравнима с плацебо (43,9%) при плацебо-контролирани проучвания. Представените по-долу нежелани лекарствени реакции, отразяват резултатите от всички клинични проучвания при пациенти, лекувани с телмисартан за хипертония или при пациенти на 50 години, или по- възрастни с повишен риск от сърдечно-съдови инциденти.</w:t>
      </w:r>
    </w:p>
    <w:p w14:paraId="4AF44A93" w14:textId="77777777" w:rsidR="003900F2" w:rsidRPr="003900F2" w:rsidRDefault="003900F2" w:rsidP="003900F2">
      <w:pPr>
        <w:spacing w:line="240" w:lineRule="auto"/>
        <w:rPr>
          <w:rFonts w:eastAsia="Times New Roman" w:cs="Arial"/>
          <w:color w:val="000000"/>
          <w:lang w:eastAsia="bg-BG"/>
        </w:rPr>
      </w:pPr>
    </w:p>
    <w:p w14:paraId="7661FD34" w14:textId="0AB488E4"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Инфекции и инфестации</w:t>
      </w:r>
    </w:p>
    <w:p w14:paraId="283BADE0" w14:textId="255254AD"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нечести:</w:t>
      </w:r>
      <w:r w:rsidRPr="003900F2">
        <w:rPr>
          <w:rFonts w:eastAsia="Times New Roman" w:cs="Arial"/>
          <w:color w:val="000000"/>
          <w:lang w:eastAsia="bg-BG"/>
        </w:rPr>
        <w:t xml:space="preserve"> </w:t>
      </w:r>
      <w:r w:rsidRPr="003900F2">
        <w:rPr>
          <w:rFonts w:eastAsia="Times New Roman" w:cs="Arial"/>
          <w:color w:val="000000"/>
          <w:lang w:eastAsia="bg-BG"/>
        </w:rPr>
        <w:t>инфекция на горните дихателни пътища, инфекция на пикочните</w:t>
      </w:r>
    </w:p>
    <w:p w14:paraId="148A3921"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пътища, включително цистит</w:t>
      </w:r>
    </w:p>
    <w:p w14:paraId="15BE56CC" w14:textId="787A73F0"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сепсис, включително с фатален изход</w:t>
      </w:r>
      <w:r w:rsidRPr="003900F2">
        <w:rPr>
          <w:rFonts w:eastAsia="Times New Roman" w:cs="Arial"/>
          <w:color w:val="000000"/>
          <w:vertAlign w:val="superscript"/>
          <w:lang w:eastAsia="bg-BG"/>
        </w:rPr>
        <w:t>3</w:t>
      </w:r>
    </w:p>
    <w:p w14:paraId="0F66E9E3" w14:textId="77777777" w:rsidR="003900F2" w:rsidRPr="003900F2" w:rsidRDefault="003900F2" w:rsidP="003900F2">
      <w:pPr>
        <w:spacing w:line="240" w:lineRule="auto"/>
        <w:rPr>
          <w:rFonts w:eastAsia="Times New Roman" w:cs="Arial"/>
          <w:color w:val="000000"/>
          <w:lang w:eastAsia="bg-BG"/>
        </w:rPr>
      </w:pPr>
    </w:p>
    <w:p w14:paraId="1F84ED05"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кръвта и лимфната система </w:t>
      </w:r>
    </w:p>
    <w:p w14:paraId="42147F3D" w14:textId="7A0EA961"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нечести:</w:t>
      </w:r>
      <w:r w:rsidRPr="003900F2">
        <w:rPr>
          <w:rFonts w:eastAsia="Times New Roman" w:cs="Arial"/>
          <w:color w:val="000000"/>
          <w:lang w:eastAsia="bg-BG"/>
        </w:rPr>
        <w:t xml:space="preserve"> </w:t>
      </w:r>
      <w:r w:rsidRPr="003900F2">
        <w:rPr>
          <w:rFonts w:eastAsia="Times New Roman" w:cs="Arial"/>
          <w:color w:val="000000"/>
          <w:lang w:eastAsia="bg-BG"/>
        </w:rPr>
        <w:t>анемия</w:t>
      </w:r>
    </w:p>
    <w:p w14:paraId="27622AAB" w14:textId="7A00403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еозинофилия, тромбоцитопения</w:t>
      </w:r>
    </w:p>
    <w:p w14:paraId="549B0A69" w14:textId="77777777" w:rsidR="003900F2" w:rsidRPr="003900F2" w:rsidRDefault="003900F2" w:rsidP="003900F2">
      <w:pPr>
        <w:spacing w:line="240" w:lineRule="auto"/>
        <w:rPr>
          <w:rFonts w:eastAsia="Times New Roman" w:cs="Arial"/>
          <w:color w:val="000000"/>
          <w:lang w:eastAsia="bg-BG"/>
        </w:rPr>
      </w:pPr>
    </w:p>
    <w:p w14:paraId="5837B1B7"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имунната система </w:t>
      </w:r>
    </w:p>
    <w:p w14:paraId="7C0B9DFC" w14:textId="64A4F58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свръхчувствителност, анафилактични реакции</w:t>
      </w:r>
    </w:p>
    <w:p w14:paraId="0CF20EAC" w14:textId="77777777" w:rsidR="003900F2" w:rsidRPr="003900F2" w:rsidRDefault="003900F2" w:rsidP="003900F2">
      <w:pPr>
        <w:spacing w:line="240" w:lineRule="auto"/>
        <w:rPr>
          <w:rFonts w:eastAsia="Times New Roman" w:cs="Arial"/>
          <w:color w:val="000000"/>
          <w:lang w:eastAsia="bg-BG"/>
        </w:rPr>
      </w:pPr>
    </w:p>
    <w:p w14:paraId="64B8D1C4" w14:textId="5AEB38E2"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Нарушения на метаболизма и храненето</w:t>
      </w:r>
    </w:p>
    <w:p w14:paraId="21544AE9" w14:textId="754507FF"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Нечести:</w:t>
      </w:r>
      <w:r w:rsidRPr="003900F2">
        <w:rPr>
          <w:rFonts w:eastAsia="Times New Roman" w:cs="Arial"/>
          <w:color w:val="000000"/>
          <w:lang w:eastAsia="bg-BG"/>
        </w:rPr>
        <w:t xml:space="preserve"> </w:t>
      </w:r>
      <w:r w:rsidRPr="003900F2">
        <w:rPr>
          <w:rFonts w:eastAsia="Times New Roman" w:cs="Arial"/>
          <w:color w:val="000000"/>
          <w:lang w:eastAsia="bg-BG"/>
        </w:rPr>
        <w:t>хиперкалиемия</w:t>
      </w:r>
    </w:p>
    <w:p w14:paraId="39CA860A" w14:textId="3287EDEB"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хипогликемия (при пациенти с диабет)</w:t>
      </w:r>
    </w:p>
    <w:p w14:paraId="7CC9F5F4" w14:textId="77777777" w:rsidR="003900F2" w:rsidRPr="003900F2" w:rsidRDefault="003900F2" w:rsidP="003900F2">
      <w:pPr>
        <w:spacing w:line="240" w:lineRule="auto"/>
        <w:rPr>
          <w:rFonts w:eastAsia="Times New Roman" w:cs="Arial"/>
          <w:color w:val="000000"/>
          <w:lang w:eastAsia="bg-BG"/>
        </w:rPr>
      </w:pPr>
    </w:p>
    <w:p w14:paraId="29850CB8" w14:textId="3D29846C"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Нарушения на нервната система</w:t>
      </w:r>
    </w:p>
    <w:p w14:paraId="7045B593" w14:textId="0CBEB866"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сомнолентност</w:t>
      </w:r>
    </w:p>
    <w:p w14:paraId="0BB4DE6D" w14:textId="34C5A602" w:rsidR="003900F2" w:rsidRPr="003900F2" w:rsidRDefault="003900F2" w:rsidP="003900F2">
      <w:pPr>
        <w:spacing w:line="240" w:lineRule="auto"/>
        <w:rPr>
          <w:rFonts w:eastAsia="Times New Roman" w:cs="Arial"/>
          <w:color w:val="000000"/>
          <w:lang w:eastAsia="bg-BG"/>
        </w:rPr>
      </w:pPr>
    </w:p>
    <w:p w14:paraId="7BF9A2D9"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Сърдечни нарушения</w:t>
      </w:r>
    </w:p>
    <w:p w14:paraId="32E953CC" w14:textId="396DC4B9"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нечести:</w:t>
      </w:r>
      <w:r w:rsidRPr="003900F2">
        <w:rPr>
          <w:rFonts w:eastAsia="Times New Roman" w:cs="Arial"/>
          <w:color w:val="000000"/>
          <w:lang w:eastAsia="bg-BG"/>
        </w:rPr>
        <w:t xml:space="preserve"> </w:t>
      </w:r>
      <w:r w:rsidRPr="003900F2">
        <w:rPr>
          <w:rFonts w:eastAsia="Times New Roman" w:cs="Arial"/>
          <w:color w:val="000000"/>
          <w:lang w:eastAsia="bg-BG"/>
        </w:rPr>
        <w:t>брадикардия</w:t>
      </w:r>
    </w:p>
    <w:p w14:paraId="5C7AFDC7" w14:textId="77777777" w:rsidR="003900F2" w:rsidRPr="003900F2" w:rsidRDefault="003900F2" w:rsidP="003900F2">
      <w:pPr>
        <w:spacing w:line="240" w:lineRule="auto"/>
        <w:rPr>
          <w:rFonts w:eastAsia="Times New Roman" w:cs="Arial"/>
          <w:color w:val="000000"/>
          <w:lang w:eastAsia="bg-BG"/>
        </w:rPr>
      </w:pPr>
    </w:p>
    <w:p w14:paraId="09F15E32"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Респираторни, гръдни и медиастинални нарушения </w:t>
      </w:r>
    </w:p>
    <w:p w14:paraId="3C40816A" w14:textId="02A1882A"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нечести:</w:t>
      </w:r>
      <w:r w:rsidRPr="003900F2">
        <w:rPr>
          <w:rFonts w:eastAsia="Times New Roman" w:cs="Arial"/>
          <w:color w:val="000000"/>
          <w:lang w:eastAsia="bg-BG"/>
        </w:rPr>
        <w:t xml:space="preserve"> </w:t>
      </w:r>
      <w:r w:rsidRPr="003900F2">
        <w:rPr>
          <w:rFonts w:eastAsia="Times New Roman" w:cs="Arial"/>
          <w:color w:val="000000"/>
          <w:lang w:eastAsia="bg-BG"/>
        </w:rPr>
        <w:t>кашлица</w:t>
      </w:r>
    </w:p>
    <w:p w14:paraId="11B1A437" w14:textId="141FF1F2"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много редки:</w:t>
      </w:r>
      <w:r w:rsidRPr="003900F2">
        <w:rPr>
          <w:rFonts w:eastAsia="Times New Roman" w:cs="Arial"/>
          <w:color w:val="000000"/>
          <w:lang w:eastAsia="bg-BG"/>
        </w:rPr>
        <w:t xml:space="preserve"> </w:t>
      </w:r>
      <w:r w:rsidRPr="003900F2">
        <w:rPr>
          <w:rFonts w:eastAsia="Times New Roman" w:cs="Arial"/>
          <w:color w:val="000000"/>
          <w:lang w:eastAsia="bg-BG"/>
        </w:rPr>
        <w:t>интерстициална белодробна болест</w:t>
      </w:r>
      <w:r w:rsidRPr="003900F2">
        <w:rPr>
          <w:rFonts w:eastAsia="Times New Roman" w:cs="Arial"/>
          <w:color w:val="000000"/>
          <w:vertAlign w:val="superscript"/>
          <w:lang w:eastAsia="bg-BG"/>
        </w:rPr>
        <w:t>3</w:t>
      </w:r>
    </w:p>
    <w:p w14:paraId="7F25C079" w14:textId="77777777" w:rsidR="003900F2" w:rsidRPr="003900F2" w:rsidRDefault="003900F2" w:rsidP="003900F2">
      <w:pPr>
        <w:spacing w:line="240" w:lineRule="auto"/>
        <w:rPr>
          <w:rFonts w:eastAsia="Times New Roman" w:cs="Arial"/>
          <w:color w:val="000000"/>
          <w:lang w:eastAsia="bg-BG"/>
        </w:rPr>
      </w:pPr>
    </w:p>
    <w:p w14:paraId="482437BE"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Стомашно-чревни нарушения </w:t>
      </w:r>
    </w:p>
    <w:p w14:paraId="66F58A40" w14:textId="4FA355ED"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стомашен дискомфорт</w:t>
      </w:r>
    </w:p>
    <w:p w14:paraId="05CCA7ED" w14:textId="77777777" w:rsidR="003900F2" w:rsidRPr="003900F2" w:rsidRDefault="003900F2" w:rsidP="003900F2">
      <w:pPr>
        <w:spacing w:line="240" w:lineRule="auto"/>
        <w:rPr>
          <w:rFonts w:eastAsia="Times New Roman" w:cs="Arial"/>
          <w:color w:val="000000"/>
          <w:lang w:eastAsia="bg-BG"/>
        </w:rPr>
      </w:pPr>
    </w:p>
    <w:p w14:paraId="74C5A2E5" w14:textId="6655D4AC"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Нарушения на кожата и подкожната тъкан</w:t>
      </w:r>
    </w:p>
    <w:p w14:paraId="5D072FBD" w14:textId="74ED7D35"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е</w:t>
      </w:r>
      <w:r w:rsidRPr="003900F2">
        <w:rPr>
          <w:rFonts w:eastAsia="Times New Roman" w:cs="Arial"/>
          <w:color w:val="000000"/>
          <w:lang w:eastAsia="bg-BG"/>
        </w:rPr>
        <w:t>кзема, лекарствен обрив, токсичен кожен обрив</w:t>
      </w:r>
    </w:p>
    <w:p w14:paraId="5EF3B3CB" w14:textId="77777777" w:rsidR="003900F2" w:rsidRPr="003900F2" w:rsidRDefault="003900F2" w:rsidP="003900F2">
      <w:pPr>
        <w:spacing w:line="240" w:lineRule="auto"/>
        <w:rPr>
          <w:rFonts w:eastAsia="Times New Roman" w:cs="Arial"/>
          <w:color w:val="000000"/>
          <w:lang w:eastAsia="bg-BG"/>
        </w:rPr>
      </w:pPr>
    </w:p>
    <w:p w14:paraId="221D6704"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мускулно-скелетната система и съединителната тъкан </w:t>
      </w:r>
    </w:p>
    <w:p w14:paraId="77BF4BEF" w14:textId="24BDD83D"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артроза, болки в сухожилията</w:t>
      </w:r>
    </w:p>
    <w:p w14:paraId="6C8C3D2B" w14:textId="77777777" w:rsidR="003900F2" w:rsidRPr="003900F2" w:rsidRDefault="003900F2" w:rsidP="003900F2">
      <w:pPr>
        <w:spacing w:line="240" w:lineRule="auto"/>
        <w:rPr>
          <w:rFonts w:eastAsia="Times New Roman" w:cs="Arial"/>
          <w:color w:val="000000"/>
          <w:lang w:eastAsia="bg-BG"/>
        </w:rPr>
      </w:pPr>
    </w:p>
    <w:p w14:paraId="673362E6"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бъбреците и пикочните пътища </w:t>
      </w:r>
    </w:p>
    <w:p w14:paraId="6F079239" w14:textId="165D6F5B"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нечести:</w:t>
      </w:r>
      <w:r w:rsidRPr="003900F2">
        <w:rPr>
          <w:rFonts w:eastAsia="Times New Roman" w:cs="Arial"/>
          <w:color w:val="000000"/>
          <w:lang w:eastAsia="bg-BG"/>
        </w:rPr>
        <w:t xml:space="preserve"> </w:t>
      </w:r>
      <w:r w:rsidRPr="003900F2">
        <w:rPr>
          <w:rFonts w:eastAsia="Times New Roman" w:cs="Arial"/>
          <w:color w:val="000000"/>
          <w:lang w:eastAsia="bg-BG"/>
        </w:rPr>
        <w:t>бъбречно увреждане (включително остра бъбречна</w:t>
      </w:r>
      <w:r w:rsidRPr="003900F2">
        <w:rPr>
          <w:rFonts w:eastAsia="Times New Roman" w:cs="Arial"/>
          <w:lang w:eastAsia="bg-BG"/>
        </w:rPr>
        <w:t xml:space="preserve"> </w:t>
      </w:r>
      <w:r w:rsidRPr="003900F2">
        <w:rPr>
          <w:rFonts w:eastAsia="Times New Roman" w:cs="Arial"/>
          <w:color w:val="000000"/>
          <w:lang w:eastAsia="bg-BG"/>
        </w:rPr>
        <w:t>недостатъчност)</w:t>
      </w:r>
    </w:p>
    <w:p w14:paraId="5A370EB3" w14:textId="77777777" w:rsidR="003900F2" w:rsidRPr="003900F2" w:rsidRDefault="003900F2" w:rsidP="003900F2">
      <w:pPr>
        <w:spacing w:line="240" w:lineRule="auto"/>
        <w:rPr>
          <w:rFonts w:eastAsia="Times New Roman" w:cs="Arial"/>
          <w:color w:val="000000"/>
          <w:lang w:eastAsia="bg-BG"/>
        </w:rPr>
      </w:pPr>
    </w:p>
    <w:p w14:paraId="419D279C"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Общи нарушения и ефекти на мястото на приложение </w:t>
      </w:r>
    </w:p>
    <w:p w14:paraId="10817AC4" w14:textId="62D93398"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lastRenderedPageBreak/>
        <w:t>нечести:</w:t>
      </w:r>
      <w:r w:rsidRPr="003900F2">
        <w:rPr>
          <w:rFonts w:eastAsia="Times New Roman" w:cs="Arial"/>
          <w:color w:val="000000"/>
          <w:lang w:eastAsia="bg-BG"/>
        </w:rPr>
        <w:t xml:space="preserve"> </w:t>
      </w:r>
      <w:r w:rsidRPr="003900F2">
        <w:rPr>
          <w:rFonts w:eastAsia="Times New Roman" w:cs="Arial"/>
          <w:color w:val="000000"/>
          <w:lang w:eastAsia="bg-BG"/>
        </w:rPr>
        <w:t>астения</w:t>
      </w:r>
    </w:p>
    <w:p w14:paraId="7956984E" w14:textId="77777777" w:rsidR="003900F2" w:rsidRPr="003900F2" w:rsidRDefault="003900F2" w:rsidP="003900F2">
      <w:pPr>
        <w:spacing w:line="240" w:lineRule="auto"/>
        <w:rPr>
          <w:rFonts w:eastAsia="Times New Roman" w:cs="Arial"/>
          <w:color w:val="000000"/>
          <w:lang w:eastAsia="bg-BG"/>
        </w:rPr>
      </w:pPr>
    </w:p>
    <w:p w14:paraId="365AFFE1"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Изследвания </w:t>
      </w:r>
    </w:p>
    <w:p w14:paraId="524F58FD" w14:textId="0A1DDAAE"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понижен хемоглобин</w:t>
      </w:r>
    </w:p>
    <w:p w14:paraId="6DEBAA80" w14:textId="77777777" w:rsidR="003900F2" w:rsidRPr="003900F2" w:rsidRDefault="003900F2" w:rsidP="003900F2">
      <w:pPr>
        <w:spacing w:line="240" w:lineRule="auto"/>
        <w:rPr>
          <w:rFonts w:eastAsia="Times New Roman" w:cs="Arial"/>
          <w:color w:val="000000"/>
          <w:vertAlign w:val="superscript"/>
          <w:lang w:eastAsia="bg-BG"/>
        </w:rPr>
      </w:pPr>
    </w:p>
    <w:p w14:paraId="4915CD0F" w14:textId="02937492" w:rsidR="003900F2" w:rsidRPr="003900F2" w:rsidRDefault="003900F2" w:rsidP="003900F2">
      <w:pPr>
        <w:spacing w:line="240" w:lineRule="auto"/>
        <w:rPr>
          <w:rFonts w:eastAsia="Times New Roman" w:cs="Arial"/>
          <w:lang w:eastAsia="bg-BG"/>
        </w:rPr>
      </w:pPr>
      <w:r w:rsidRPr="003900F2">
        <w:rPr>
          <w:rFonts w:eastAsia="Times New Roman" w:cs="Arial"/>
          <w:color w:val="000000"/>
          <w:vertAlign w:val="superscript"/>
          <w:lang w:eastAsia="bg-BG"/>
        </w:rPr>
        <w:t>3</w:t>
      </w:r>
      <w:r w:rsidRPr="003900F2">
        <w:rPr>
          <w:rFonts w:eastAsia="Times New Roman" w:cs="Arial"/>
          <w:color w:val="000000"/>
          <w:lang w:eastAsia="bg-BG"/>
        </w:rPr>
        <w:t xml:space="preserve">:за допълнително описание, моля вижте подточка </w:t>
      </w:r>
      <w:r w:rsidRPr="003900F2">
        <w:rPr>
          <w:rFonts w:eastAsia="Times New Roman" w:cs="Arial"/>
          <w:i/>
          <w:iCs/>
          <w:color w:val="000000"/>
          <w:lang w:eastAsia="bg-BG"/>
        </w:rPr>
        <w:t>„Описание на избрани нежелани реакции“</w:t>
      </w:r>
    </w:p>
    <w:p w14:paraId="4AB7EFEA" w14:textId="77777777" w:rsidR="003900F2" w:rsidRPr="003900F2" w:rsidRDefault="003900F2" w:rsidP="003900F2">
      <w:pPr>
        <w:spacing w:line="240" w:lineRule="auto"/>
        <w:rPr>
          <w:rFonts w:eastAsia="Times New Roman" w:cs="Arial"/>
          <w:color w:val="000000"/>
          <w:u w:val="single"/>
          <w:lang w:eastAsia="bg-BG"/>
        </w:rPr>
      </w:pPr>
    </w:p>
    <w:p w14:paraId="6468888C" w14:textId="0D3BD06F"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Хидрохлоротиазид</w:t>
      </w:r>
    </w:p>
    <w:p w14:paraId="194B435F"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Хидрохлоротиазид може да причини или обостри състояние на хиповолемия, което от своя страна може да доведе до електролитен дисбаланс (вж. точка 4.4).</w:t>
      </w:r>
    </w:p>
    <w:p w14:paraId="5C2E9DF6" w14:textId="77777777" w:rsidR="003900F2" w:rsidRPr="003900F2" w:rsidRDefault="003900F2" w:rsidP="003900F2">
      <w:pPr>
        <w:spacing w:line="240" w:lineRule="auto"/>
        <w:rPr>
          <w:rFonts w:eastAsia="Times New Roman" w:cs="Arial"/>
          <w:color w:val="000000"/>
          <w:lang w:eastAsia="bg-BG"/>
        </w:rPr>
      </w:pPr>
    </w:p>
    <w:p w14:paraId="77644530" w14:textId="04F8E9D1"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Нежеланите лекарствени реакции с неизвестна честота, съобщавани при самостоятелната употреба на хидрохлоротиазид, включват:</w:t>
      </w:r>
    </w:p>
    <w:p w14:paraId="4E76B8E5" w14:textId="77777777" w:rsidR="003900F2" w:rsidRPr="003900F2" w:rsidRDefault="003900F2" w:rsidP="003900F2">
      <w:pPr>
        <w:spacing w:line="240" w:lineRule="auto"/>
        <w:rPr>
          <w:rFonts w:eastAsia="Times New Roman" w:cs="Arial"/>
          <w:color w:val="000000"/>
          <w:lang w:eastAsia="bg-BG"/>
        </w:rPr>
      </w:pPr>
    </w:p>
    <w:p w14:paraId="0511368A"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Инфекции и инфестации </w:t>
      </w:r>
    </w:p>
    <w:p w14:paraId="5CBF2CAF" w14:textId="3BA005F4"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сиалоаденит</w:t>
      </w:r>
    </w:p>
    <w:p w14:paraId="62E3C2AA" w14:textId="77777777" w:rsidR="003900F2" w:rsidRPr="003900F2" w:rsidRDefault="003900F2" w:rsidP="003900F2">
      <w:pPr>
        <w:spacing w:line="240" w:lineRule="auto"/>
        <w:rPr>
          <w:rFonts w:eastAsia="Times New Roman" w:cs="Arial"/>
          <w:color w:val="000000"/>
          <w:lang w:eastAsia="bg-BG"/>
        </w:rPr>
      </w:pPr>
    </w:p>
    <w:p w14:paraId="2D22254B" w14:textId="0065F7E5"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Неоплазми - доброкачествени, злокачествени и неопределени (вкл. кисти и полипи) с неизвестна честота: немеланомен рак на кожата (базалноклетъчен карцином и сквамозноклетъчен карцином)</w:t>
      </w:r>
    </w:p>
    <w:p w14:paraId="31BCE326" w14:textId="77777777" w:rsidR="003900F2" w:rsidRPr="003900F2" w:rsidRDefault="003900F2" w:rsidP="003900F2">
      <w:pPr>
        <w:spacing w:line="240" w:lineRule="auto"/>
        <w:rPr>
          <w:rFonts w:eastAsia="Times New Roman" w:cs="Arial"/>
          <w:color w:val="000000"/>
          <w:lang w:eastAsia="bg-BG"/>
        </w:rPr>
      </w:pPr>
    </w:p>
    <w:p w14:paraId="3E859C89"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кръвта и лимфната система </w:t>
      </w:r>
    </w:p>
    <w:p w14:paraId="11FD816B" w14:textId="0B395A4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тромбоцитопения (понякога с пурпура)</w:t>
      </w:r>
    </w:p>
    <w:p w14:paraId="455AB12D"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апластична анемия, хемолитична анеммия, потискане на костния мозък, левкопения, неутропения, агранулоцитоза</w:t>
      </w:r>
    </w:p>
    <w:p w14:paraId="0F32A813" w14:textId="77777777" w:rsidR="003900F2" w:rsidRPr="003900F2" w:rsidRDefault="003900F2" w:rsidP="003900F2">
      <w:pPr>
        <w:spacing w:line="240" w:lineRule="auto"/>
        <w:rPr>
          <w:rFonts w:eastAsia="Times New Roman" w:cs="Arial"/>
          <w:color w:val="000000"/>
          <w:lang w:eastAsia="bg-BG"/>
        </w:rPr>
      </w:pPr>
    </w:p>
    <w:p w14:paraId="35DBBA6A"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имунната система </w:t>
      </w:r>
    </w:p>
    <w:p w14:paraId="434BD3E1" w14:textId="324901ED"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анафилактични реакции, свръхчувствителност</w:t>
      </w:r>
    </w:p>
    <w:p w14:paraId="6B823CF8" w14:textId="77777777" w:rsidR="003900F2" w:rsidRPr="003900F2" w:rsidRDefault="003900F2" w:rsidP="003900F2">
      <w:pPr>
        <w:spacing w:line="240" w:lineRule="auto"/>
        <w:rPr>
          <w:rFonts w:eastAsia="Times New Roman" w:cs="Arial"/>
          <w:color w:val="000000"/>
          <w:lang w:eastAsia="bg-BG"/>
        </w:rPr>
      </w:pPr>
    </w:p>
    <w:p w14:paraId="4F0C31FC" w14:textId="25669581"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Нарушения на ендокринната система</w:t>
      </w:r>
    </w:p>
    <w:p w14:paraId="21E662D2"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недостатъчно контролиран захарен диабет</w:t>
      </w:r>
    </w:p>
    <w:p w14:paraId="1D7E6D3A" w14:textId="498B3BC4" w:rsidR="003900F2" w:rsidRPr="003900F2" w:rsidRDefault="003900F2" w:rsidP="003900F2">
      <w:pPr>
        <w:spacing w:line="240" w:lineRule="auto"/>
        <w:rPr>
          <w:rFonts w:eastAsia="Times New Roman" w:cs="Arial"/>
          <w:lang w:eastAsia="bg-BG"/>
        </w:rPr>
      </w:pPr>
    </w:p>
    <w:p w14:paraId="54ACF493"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метаболизма и храненето </w:t>
      </w:r>
    </w:p>
    <w:p w14:paraId="2F014D5E" w14:textId="604A7CD3"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чести:</w:t>
      </w:r>
      <w:r w:rsidRPr="003900F2">
        <w:rPr>
          <w:rFonts w:eastAsia="Times New Roman" w:cs="Arial"/>
          <w:color w:val="000000"/>
          <w:lang w:eastAsia="bg-BG"/>
        </w:rPr>
        <w:t xml:space="preserve"> </w:t>
      </w:r>
      <w:r w:rsidRPr="003900F2">
        <w:rPr>
          <w:rFonts w:eastAsia="Times New Roman" w:cs="Arial"/>
          <w:color w:val="000000"/>
          <w:lang w:eastAsia="bg-BG"/>
        </w:rPr>
        <w:t>хипомагнезиемия</w:t>
      </w:r>
    </w:p>
    <w:p w14:paraId="6001DC9F" w14:textId="34CA71A6"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хиперкалциемия</w:t>
      </w:r>
    </w:p>
    <w:p w14:paraId="4279B8EC" w14:textId="06C758EF"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много редки:</w:t>
      </w:r>
      <w:r w:rsidRPr="003900F2">
        <w:rPr>
          <w:rFonts w:eastAsia="Times New Roman" w:cs="Arial"/>
          <w:color w:val="000000"/>
          <w:lang w:eastAsia="bg-BG"/>
        </w:rPr>
        <w:t xml:space="preserve"> </w:t>
      </w:r>
      <w:r w:rsidRPr="003900F2">
        <w:rPr>
          <w:rFonts w:eastAsia="Times New Roman" w:cs="Arial"/>
          <w:color w:val="000000"/>
          <w:lang w:eastAsia="bg-BG"/>
        </w:rPr>
        <w:t>хипохлоремична алкалоза</w:t>
      </w:r>
    </w:p>
    <w:p w14:paraId="52B8048F"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анорексия, понижен апетит, електролитен дисбаланс, хиперхолестеролемия, хипергликемия, хиповолемия</w:t>
      </w:r>
    </w:p>
    <w:p w14:paraId="36680A6B" w14:textId="77777777" w:rsidR="003900F2" w:rsidRPr="003900F2" w:rsidRDefault="003900F2" w:rsidP="003900F2">
      <w:pPr>
        <w:spacing w:line="240" w:lineRule="auto"/>
        <w:rPr>
          <w:rFonts w:eastAsia="Times New Roman" w:cs="Arial"/>
          <w:color w:val="000000"/>
          <w:lang w:eastAsia="bg-BG"/>
        </w:rPr>
      </w:pPr>
    </w:p>
    <w:p w14:paraId="4FAEBF05"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Психични нарушения с неизвестна </w:t>
      </w:r>
    </w:p>
    <w:p w14:paraId="7893BF15" w14:textId="560D1A1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честота: безпокойство</w:t>
      </w:r>
    </w:p>
    <w:p w14:paraId="3A44374D" w14:textId="77777777" w:rsidR="003900F2" w:rsidRPr="003900F2" w:rsidRDefault="003900F2" w:rsidP="003900F2">
      <w:pPr>
        <w:spacing w:line="240" w:lineRule="auto"/>
        <w:rPr>
          <w:rFonts w:eastAsia="Times New Roman" w:cs="Arial"/>
          <w:color w:val="000000"/>
          <w:lang w:eastAsia="bg-BG"/>
        </w:rPr>
      </w:pPr>
    </w:p>
    <w:p w14:paraId="1A756E17"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нервната система </w:t>
      </w:r>
    </w:p>
    <w:p w14:paraId="5716805D" w14:textId="629DAD45"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редки:</w:t>
      </w:r>
      <w:r w:rsidRPr="003900F2">
        <w:rPr>
          <w:rFonts w:eastAsia="Times New Roman" w:cs="Arial"/>
          <w:color w:val="000000"/>
          <w:lang w:eastAsia="bg-BG"/>
        </w:rPr>
        <w:t xml:space="preserve"> </w:t>
      </w:r>
      <w:r w:rsidRPr="003900F2">
        <w:rPr>
          <w:rFonts w:eastAsia="Times New Roman" w:cs="Arial"/>
          <w:color w:val="000000"/>
          <w:lang w:eastAsia="bg-BG"/>
        </w:rPr>
        <w:t>главоболие</w:t>
      </w:r>
    </w:p>
    <w:p w14:paraId="154753D1"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замайване</w:t>
      </w:r>
    </w:p>
    <w:p w14:paraId="344C211C" w14:textId="77777777" w:rsidR="003900F2" w:rsidRPr="003900F2" w:rsidRDefault="003900F2" w:rsidP="003900F2">
      <w:pPr>
        <w:spacing w:line="240" w:lineRule="auto"/>
        <w:rPr>
          <w:rFonts w:eastAsia="Times New Roman" w:cs="Arial"/>
          <w:color w:val="000000"/>
          <w:lang w:eastAsia="bg-BG"/>
        </w:rPr>
      </w:pPr>
    </w:p>
    <w:p w14:paraId="4D7A3809"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очите </w:t>
      </w:r>
    </w:p>
    <w:p w14:paraId="6C673F35" w14:textId="3F021206"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с неизвестна честота: ксантопсия, хороидален излив, остра миопия, остра закритоъгьлна глаукома</w:t>
      </w:r>
    </w:p>
    <w:p w14:paraId="5A0736D3" w14:textId="77777777" w:rsidR="003900F2" w:rsidRPr="003900F2" w:rsidRDefault="003900F2" w:rsidP="003900F2">
      <w:pPr>
        <w:spacing w:line="240" w:lineRule="auto"/>
        <w:rPr>
          <w:rFonts w:eastAsia="Times New Roman" w:cs="Arial"/>
          <w:color w:val="000000"/>
          <w:lang w:eastAsia="bg-BG"/>
        </w:rPr>
      </w:pPr>
    </w:p>
    <w:p w14:paraId="09F8650A"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lastRenderedPageBreak/>
        <w:t xml:space="preserve">Съдови нарушения </w:t>
      </w:r>
    </w:p>
    <w:p w14:paraId="4FF0BCA1" w14:textId="6436160A"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с неизвестна честота: некротизиращ васкулит</w:t>
      </w:r>
    </w:p>
    <w:p w14:paraId="5FB01C2D" w14:textId="77777777" w:rsidR="003900F2" w:rsidRPr="003900F2" w:rsidRDefault="003900F2" w:rsidP="003900F2">
      <w:pPr>
        <w:spacing w:line="240" w:lineRule="auto"/>
        <w:rPr>
          <w:rFonts w:eastAsia="Times New Roman" w:cs="Arial"/>
          <w:color w:val="000000"/>
          <w:lang w:eastAsia="bg-BG"/>
        </w:rPr>
      </w:pPr>
    </w:p>
    <w:p w14:paraId="61814760" w14:textId="61CF1045"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Респираторни, гръдни и медиастинални нарушения</w:t>
      </w:r>
    </w:p>
    <w:p w14:paraId="379C1461"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много редки: остър респираторен дистрес синдром </w:t>
      </w:r>
      <w:r w:rsidRPr="003900F2">
        <w:rPr>
          <w:rFonts w:eastAsia="Times New Roman" w:cs="Arial"/>
          <w:color w:val="000000"/>
          <w:lang w:val="en-US"/>
        </w:rPr>
        <w:t xml:space="preserve">(ARDS) </w:t>
      </w:r>
      <w:r w:rsidRPr="003900F2">
        <w:rPr>
          <w:rFonts w:eastAsia="Times New Roman" w:cs="Arial"/>
          <w:color w:val="000000"/>
          <w:lang w:eastAsia="bg-BG"/>
        </w:rPr>
        <w:t>(вж. точка 4.4)</w:t>
      </w:r>
    </w:p>
    <w:p w14:paraId="68E71B3B" w14:textId="77777777" w:rsidR="003900F2" w:rsidRPr="003900F2" w:rsidRDefault="003900F2" w:rsidP="003900F2">
      <w:pPr>
        <w:spacing w:line="240" w:lineRule="auto"/>
        <w:rPr>
          <w:rFonts w:eastAsia="Times New Roman" w:cs="Arial"/>
          <w:color w:val="000000"/>
          <w:lang w:eastAsia="bg-BG"/>
        </w:rPr>
      </w:pPr>
    </w:p>
    <w:p w14:paraId="76E5B3F8"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Стомашно-чревни нарушения </w:t>
      </w:r>
    </w:p>
    <w:p w14:paraId="79C6934B" w14:textId="6C8C5114"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чести:</w:t>
      </w:r>
      <w:r w:rsidRPr="003900F2">
        <w:rPr>
          <w:rFonts w:eastAsia="Times New Roman" w:cs="Arial"/>
          <w:color w:val="000000"/>
          <w:lang w:eastAsia="bg-BG"/>
        </w:rPr>
        <w:t xml:space="preserve"> </w:t>
      </w:r>
      <w:r w:rsidRPr="003900F2">
        <w:rPr>
          <w:rFonts w:eastAsia="Times New Roman" w:cs="Arial"/>
          <w:color w:val="000000"/>
          <w:lang w:eastAsia="bg-BG"/>
        </w:rPr>
        <w:t>гадене</w:t>
      </w:r>
    </w:p>
    <w:p w14:paraId="520D9E14"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панкреатит, стомашен дискомфорт</w:t>
      </w:r>
    </w:p>
    <w:p w14:paraId="4D14B56C" w14:textId="77777777" w:rsidR="003900F2" w:rsidRPr="003900F2" w:rsidRDefault="003900F2" w:rsidP="003900F2">
      <w:pPr>
        <w:spacing w:line="240" w:lineRule="auto"/>
        <w:rPr>
          <w:rFonts w:eastAsia="Times New Roman" w:cs="Arial"/>
          <w:color w:val="000000"/>
          <w:lang w:eastAsia="bg-BG"/>
        </w:rPr>
      </w:pPr>
    </w:p>
    <w:p w14:paraId="48AFABD5"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Хепато-билиарни нарушения </w:t>
      </w:r>
    </w:p>
    <w:p w14:paraId="6F764C97" w14:textId="0B975BF6"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хепатоцелуларна жълтеница, холестатична жълтеница</w:t>
      </w:r>
    </w:p>
    <w:p w14:paraId="1D39D38F" w14:textId="77777777" w:rsidR="003900F2" w:rsidRPr="003900F2" w:rsidRDefault="003900F2" w:rsidP="003900F2">
      <w:pPr>
        <w:spacing w:line="240" w:lineRule="auto"/>
        <w:rPr>
          <w:rFonts w:eastAsia="Times New Roman" w:cs="Arial"/>
          <w:color w:val="000000"/>
          <w:lang w:eastAsia="bg-BG"/>
        </w:rPr>
      </w:pPr>
    </w:p>
    <w:p w14:paraId="28652934" w14:textId="2E80C60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Нарушения на кожата и подкожната тъкан</w:t>
      </w:r>
    </w:p>
    <w:p w14:paraId="4BEA7C8B"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лупус-подобен синдром, реакции на фоточувствителност, кожен васкулит, токсична епидермална некролиза, еритема мултиформе</w:t>
      </w:r>
    </w:p>
    <w:p w14:paraId="1C201B06" w14:textId="77777777" w:rsidR="003900F2" w:rsidRPr="003900F2" w:rsidRDefault="003900F2" w:rsidP="003900F2">
      <w:pPr>
        <w:spacing w:line="240" w:lineRule="auto"/>
        <w:rPr>
          <w:rFonts w:eastAsia="Times New Roman" w:cs="Arial"/>
          <w:color w:val="000000"/>
          <w:lang w:eastAsia="bg-BG"/>
        </w:rPr>
      </w:pPr>
    </w:p>
    <w:p w14:paraId="505297D3"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мускулно-скелетната система и съединителната тъкан </w:t>
      </w:r>
    </w:p>
    <w:p w14:paraId="7DB8B35D" w14:textId="5D9C4D69"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слабост</w:t>
      </w:r>
    </w:p>
    <w:p w14:paraId="6554DFA5" w14:textId="77777777" w:rsidR="003900F2" w:rsidRPr="003900F2" w:rsidRDefault="003900F2" w:rsidP="003900F2">
      <w:pPr>
        <w:spacing w:line="240" w:lineRule="auto"/>
        <w:rPr>
          <w:rFonts w:eastAsia="Times New Roman" w:cs="Arial"/>
          <w:color w:val="000000"/>
          <w:lang w:eastAsia="bg-BG"/>
        </w:rPr>
      </w:pPr>
    </w:p>
    <w:p w14:paraId="219148A3"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Нарушения на бъбреците и пикочните пътища </w:t>
      </w:r>
    </w:p>
    <w:p w14:paraId="31C5F2F1" w14:textId="61FC27D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интерстициален нефрит, бъбречна дисфункция, глюкозурия</w:t>
      </w:r>
    </w:p>
    <w:p w14:paraId="280E241E" w14:textId="77777777" w:rsidR="003900F2" w:rsidRPr="003900F2" w:rsidRDefault="003900F2" w:rsidP="003900F2">
      <w:pPr>
        <w:spacing w:line="240" w:lineRule="auto"/>
        <w:rPr>
          <w:rFonts w:eastAsia="Times New Roman" w:cs="Arial"/>
          <w:color w:val="000000"/>
          <w:lang w:eastAsia="bg-BG"/>
        </w:rPr>
      </w:pPr>
    </w:p>
    <w:p w14:paraId="6DC60D61"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Общи нарушения и ефекти на мястото на приложение </w:t>
      </w:r>
    </w:p>
    <w:p w14:paraId="1205E0A5" w14:textId="209ACD63"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 неизвестна честота: пирексия</w:t>
      </w:r>
    </w:p>
    <w:p w14:paraId="42B02648" w14:textId="77777777" w:rsidR="003900F2" w:rsidRPr="003900F2" w:rsidRDefault="003900F2" w:rsidP="003900F2">
      <w:pPr>
        <w:spacing w:line="240" w:lineRule="auto"/>
        <w:rPr>
          <w:rFonts w:eastAsia="Times New Roman" w:cs="Arial"/>
          <w:color w:val="000000"/>
          <w:lang w:eastAsia="bg-BG"/>
        </w:rPr>
      </w:pPr>
    </w:p>
    <w:p w14:paraId="7E6C6CE7"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Изследвания с неизвестна </w:t>
      </w:r>
    </w:p>
    <w:p w14:paraId="0687CC4C" w14:textId="00600354"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честота: повишени нива на триглицериди</w:t>
      </w:r>
    </w:p>
    <w:p w14:paraId="36EF99F7" w14:textId="77777777" w:rsidR="003900F2" w:rsidRPr="003900F2" w:rsidRDefault="003900F2" w:rsidP="003900F2">
      <w:pPr>
        <w:spacing w:line="240" w:lineRule="auto"/>
        <w:rPr>
          <w:rFonts w:eastAsia="Times New Roman" w:cs="Arial"/>
          <w:i/>
          <w:iCs/>
          <w:color w:val="000000"/>
          <w:lang w:eastAsia="bg-BG"/>
        </w:rPr>
      </w:pPr>
    </w:p>
    <w:p w14:paraId="22B5357C" w14:textId="7AB96F4B" w:rsidR="003900F2" w:rsidRPr="003900F2" w:rsidRDefault="003900F2" w:rsidP="003900F2">
      <w:pPr>
        <w:spacing w:line="240" w:lineRule="auto"/>
        <w:rPr>
          <w:rFonts w:eastAsia="Times New Roman" w:cs="Arial"/>
          <w:lang w:eastAsia="bg-BG"/>
        </w:rPr>
      </w:pPr>
      <w:r w:rsidRPr="003900F2">
        <w:rPr>
          <w:rFonts w:eastAsia="Times New Roman" w:cs="Arial"/>
          <w:i/>
          <w:iCs/>
          <w:color w:val="000000"/>
          <w:lang w:eastAsia="bg-BG"/>
        </w:rPr>
        <w:t>Описание на избрани нежелани реакции</w:t>
      </w:r>
    </w:p>
    <w:p w14:paraId="0F532607" w14:textId="77777777" w:rsidR="003900F2" w:rsidRPr="003900F2" w:rsidRDefault="003900F2" w:rsidP="003900F2">
      <w:pPr>
        <w:spacing w:line="240" w:lineRule="auto"/>
        <w:rPr>
          <w:rFonts w:eastAsia="Times New Roman" w:cs="Arial"/>
          <w:color w:val="000000"/>
          <w:u w:val="single"/>
          <w:lang w:eastAsia="bg-BG"/>
        </w:rPr>
      </w:pPr>
    </w:p>
    <w:p w14:paraId="1CD1A087" w14:textId="20F26D2D"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Абнормна чернодробна функция/чернодробно нарушение</w:t>
      </w:r>
    </w:p>
    <w:p w14:paraId="310823A6"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Повечето случаи на абнормна чернодробна функция/чернодробно нарушение от постмаркетинговия опит с телмисартан настъпват при пациенти от японски произход. При пациенти от японски произход съществува по-голяма вероятност за развитие на тези нежелани реакции.</w:t>
      </w:r>
    </w:p>
    <w:p w14:paraId="3D4AF9DA" w14:textId="77777777" w:rsidR="003900F2" w:rsidRPr="003900F2" w:rsidRDefault="003900F2" w:rsidP="003900F2">
      <w:pPr>
        <w:spacing w:line="240" w:lineRule="auto"/>
        <w:rPr>
          <w:rFonts w:eastAsia="Times New Roman" w:cs="Arial"/>
          <w:color w:val="000000"/>
          <w:u w:val="single"/>
          <w:lang w:eastAsia="bg-BG"/>
        </w:rPr>
      </w:pPr>
    </w:p>
    <w:p w14:paraId="204C7185" w14:textId="03E68362"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Сепсис</w:t>
      </w:r>
    </w:p>
    <w:p w14:paraId="2D1C4B5F"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В проучването </w:t>
      </w:r>
      <w:proofErr w:type="spellStart"/>
      <w:r w:rsidRPr="003900F2">
        <w:rPr>
          <w:rFonts w:eastAsia="Times New Roman" w:cs="Arial"/>
          <w:color w:val="000000"/>
          <w:lang w:val="en-US"/>
        </w:rPr>
        <w:t>PRoFESS</w:t>
      </w:r>
      <w:proofErr w:type="spellEnd"/>
      <w:r w:rsidRPr="003900F2">
        <w:rPr>
          <w:rFonts w:eastAsia="Times New Roman" w:cs="Arial"/>
          <w:color w:val="000000"/>
          <w:lang w:val="en-US"/>
        </w:rPr>
        <w:t xml:space="preserve"> </w:t>
      </w:r>
      <w:r w:rsidRPr="003900F2">
        <w:rPr>
          <w:rFonts w:eastAsia="Times New Roman" w:cs="Arial"/>
          <w:color w:val="000000"/>
          <w:lang w:eastAsia="bg-BG"/>
        </w:rPr>
        <w:t>е наблюдавана повишена честота на сепсис при телмисартан в сравнение с плацебо. Събитието може да е случайна находка или да е свързано с непознат до момента механизъм (вж. точка 5.1).</w:t>
      </w:r>
    </w:p>
    <w:p w14:paraId="40FEA472" w14:textId="77777777" w:rsidR="003900F2" w:rsidRPr="003900F2" w:rsidRDefault="003900F2" w:rsidP="003900F2">
      <w:pPr>
        <w:spacing w:line="240" w:lineRule="auto"/>
        <w:rPr>
          <w:rFonts w:eastAsia="Times New Roman" w:cs="Arial"/>
          <w:color w:val="000000"/>
          <w:u w:val="single"/>
          <w:lang w:eastAsia="bg-BG"/>
        </w:rPr>
      </w:pPr>
    </w:p>
    <w:p w14:paraId="31844910" w14:textId="3C48695B"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Интерстиниална белодробна болест</w:t>
      </w:r>
    </w:p>
    <w:p w14:paraId="3AF3C494"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Случаи на интерстициална белодробна болест са докладвани от постмаркетинговия опит, във връзка с приема на телмисартан. Причинно-следственна връзка обаче не е установена.</w:t>
      </w:r>
    </w:p>
    <w:p w14:paraId="493C88BE" w14:textId="77777777" w:rsidR="003900F2" w:rsidRPr="003900F2" w:rsidRDefault="003900F2" w:rsidP="003900F2">
      <w:pPr>
        <w:spacing w:line="240" w:lineRule="auto"/>
        <w:rPr>
          <w:rFonts w:eastAsia="Times New Roman" w:cs="Arial"/>
          <w:color w:val="000000"/>
          <w:u w:val="single"/>
          <w:lang w:eastAsia="bg-BG"/>
        </w:rPr>
      </w:pPr>
    </w:p>
    <w:p w14:paraId="34C92C78" w14:textId="03F781D5"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Немеланомен рак на кожата:</w:t>
      </w:r>
    </w:p>
    <w:p w14:paraId="24BBD51B"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4476A004" w14:textId="77777777" w:rsidR="003900F2" w:rsidRPr="003900F2" w:rsidRDefault="003900F2" w:rsidP="003900F2">
      <w:pPr>
        <w:spacing w:line="240" w:lineRule="auto"/>
        <w:rPr>
          <w:rFonts w:eastAsia="Times New Roman" w:cs="Arial"/>
          <w:color w:val="000000"/>
          <w:u w:val="single"/>
          <w:lang w:eastAsia="bg-BG"/>
        </w:rPr>
      </w:pPr>
    </w:p>
    <w:p w14:paraId="54EB3AA8" w14:textId="3256BBFD"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lastRenderedPageBreak/>
        <w:t>Съобщаване на подозирани нежелани реакции</w:t>
      </w:r>
    </w:p>
    <w:p w14:paraId="7D809E13" w14:textId="5F3634AB"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 1303 София, Тел.: +3 5 928903417, уебсайт: </w:t>
      </w:r>
      <w:r w:rsidRPr="003900F2">
        <w:rPr>
          <w:rFonts w:eastAsia="Times New Roman" w:cs="Arial"/>
          <w:lang w:eastAsia="bg-BG"/>
        </w:rPr>
        <w:fldChar w:fldCharType="begin"/>
      </w:r>
      <w:r w:rsidRPr="003900F2">
        <w:rPr>
          <w:rFonts w:eastAsia="Times New Roman" w:cs="Arial"/>
          <w:lang w:eastAsia="bg-BG"/>
        </w:rPr>
        <w:instrText xml:space="preserve"> HYPERLINK "http://www.bda.bg" </w:instrText>
      </w:r>
      <w:r w:rsidRPr="003900F2">
        <w:rPr>
          <w:rFonts w:eastAsia="Times New Roman" w:cs="Arial"/>
          <w:lang w:eastAsia="bg-BG"/>
        </w:rPr>
      </w:r>
      <w:r w:rsidRPr="003900F2">
        <w:rPr>
          <w:rFonts w:eastAsia="Times New Roman" w:cs="Arial"/>
          <w:lang w:eastAsia="bg-BG"/>
        </w:rPr>
        <w:fldChar w:fldCharType="separate"/>
      </w:r>
      <w:r w:rsidRPr="003900F2">
        <w:rPr>
          <w:rFonts w:eastAsia="Times New Roman" w:cs="Arial"/>
          <w:color w:val="000000"/>
          <w:u w:val="single"/>
          <w:lang w:val="en-US"/>
        </w:rPr>
        <w:t>www.bda.bg</w:t>
      </w:r>
      <w:r w:rsidRPr="003900F2">
        <w:rPr>
          <w:rFonts w:eastAsia="Times New Roman" w:cs="Arial"/>
          <w:lang w:eastAsia="bg-BG"/>
        </w:rPr>
        <w:fldChar w:fldCharType="end"/>
      </w:r>
    </w:p>
    <w:p w14:paraId="0E207F80" w14:textId="77777777" w:rsidR="003900F2" w:rsidRPr="00C24008" w:rsidRDefault="003900F2" w:rsidP="00C24008"/>
    <w:p w14:paraId="4A5904B1" w14:textId="11DECFCD" w:rsidR="00EE6C97" w:rsidRDefault="002C50EE" w:rsidP="00A93499">
      <w:pPr>
        <w:pStyle w:val="Heading2"/>
      </w:pPr>
      <w:r>
        <w:t>4.9. Предозиране</w:t>
      </w:r>
    </w:p>
    <w:p w14:paraId="2BD69BF4" w14:textId="6329A71F" w:rsidR="003900F2" w:rsidRDefault="003900F2" w:rsidP="003900F2"/>
    <w:p w14:paraId="235B3381"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Съществува ограничена информация по отношение на предозиране на телмисартан при хора. Не е установено до каква степен хидрохлоротиазид се отделя при хемодиализа.</w:t>
      </w:r>
    </w:p>
    <w:p w14:paraId="62323635" w14:textId="77777777" w:rsidR="003900F2" w:rsidRPr="003900F2" w:rsidRDefault="003900F2" w:rsidP="003900F2">
      <w:pPr>
        <w:spacing w:line="240" w:lineRule="auto"/>
        <w:rPr>
          <w:rFonts w:eastAsia="Times New Roman" w:cs="Arial"/>
          <w:color w:val="000000"/>
          <w:u w:val="single"/>
          <w:lang w:eastAsia="bg-BG"/>
        </w:rPr>
      </w:pPr>
    </w:p>
    <w:p w14:paraId="7CD39F72" w14:textId="6640E230" w:rsidR="003900F2" w:rsidRPr="003900F2" w:rsidRDefault="003900F2" w:rsidP="003900F2">
      <w:pPr>
        <w:pStyle w:val="Heading3"/>
        <w:rPr>
          <w:rFonts w:eastAsia="Times New Roman"/>
          <w:sz w:val="28"/>
          <w:szCs w:val="28"/>
          <w:u w:val="single"/>
          <w:lang w:eastAsia="bg-BG"/>
        </w:rPr>
      </w:pPr>
      <w:r w:rsidRPr="003900F2">
        <w:rPr>
          <w:rFonts w:eastAsia="Times New Roman"/>
          <w:u w:val="single"/>
          <w:lang w:eastAsia="bg-BG"/>
        </w:rPr>
        <w:t>Симптоми</w:t>
      </w:r>
    </w:p>
    <w:p w14:paraId="5D98D279"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Най-изявените прояви на предозиране с телмисартан са хипотония и тахикардия, а също се съобщават и брадикардия, замаяност, повишаване на серумния креатинин и остра бъбречна недостатъчност. Предозирането с хидрохлоротиазид се свързва с намаляване на електролитите (хипокалиемия, хипохлоремия) и хиповолемия, дължаща се на ексцесивната диуреза. Най- честите симптоми на предозиране са гадене и сомнолентност. Хипокалиемията може да доведе до мускулни спазми и/или акцентуирана аритмия, свързани с едновременната употреба на дигиталисови гликозиди или определени антиаритмични лекарствени продукти.</w:t>
      </w:r>
    </w:p>
    <w:p w14:paraId="01DBB7EA" w14:textId="77777777" w:rsidR="003900F2" w:rsidRPr="003900F2" w:rsidRDefault="003900F2" w:rsidP="003900F2">
      <w:pPr>
        <w:spacing w:line="240" w:lineRule="auto"/>
        <w:rPr>
          <w:rFonts w:eastAsia="Times New Roman" w:cs="Arial"/>
          <w:color w:val="000000"/>
          <w:u w:val="single"/>
          <w:lang w:eastAsia="bg-BG"/>
        </w:rPr>
      </w:pPr>
    </w:p>
    <w:p w14:paraId="4ACF41C0" w14:textId="3B56893D" w:rsidR="003900F2" w:rsidRPr="003900F2" w:rsidRDefault="003900F2" w:rsidP="003900F2">
      <w:pPr>
        <w:pStyle w:val="Heading3"/>
        <w:rPr>
          <w:rFonts w:eastAsia="Times New Roman"/>
          <w:sz w:val="28"/>
          <w:szCs w:val="28"/>
          <w:u w:val="single"/>
          <w:lang w:eastAsia="bg-BG"/>
        </w:rPr>
      </w:pPr>
      <w:r w:rsidRPr="003900F2">
        <w:rPr>
          <w:rFonts w:eastAsia="Times New Roman"/>
          <w:u w:val="single"/>
          <w:lang w:eastAsia="bg-BG"/>
        </w:rPr>
        <w:t>Лечение</w:t>
      </w:r>
    </w:p>
    <w:p w14:paraId="4FFD350A" w14:textId="0C1A3BC5" w:rsidR="003900F2" w:rsidRPr="003900F2" w:rsidRDefault="003900F2" w:rsidP="003900F2">
      <w:pPr>
        <w:rPr>
          <w:rFonts w:cs="Arial"/>
          <w:sz w:val="24"/>
          <w:szCs w:val="24"/>
        </w:rPr>
      </w:pPr>
      <w:r w:rsidRPr="003900F2">
        <w:rPr>
          <w:rFonts w:eastAsia="Times New Roman" w:cs="Arial"/>
          <w:color w:val="000000"/>
          <w:lang w:eastAsia="bg-BG"/>
        </w:rPr>
        <w:t>Телмисартан не се очиства при хемодиализа. Пациентът трябва да бъде внимателно наблюдаван и лечението трябва да бъде симптоматично и поддържащо. Овладяването зависи от времето на 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бъде полезно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 гръб положение и бързо да се приложат солеви и обемни заместители.</w:t>
      </w:r>
    </w:p>
    <w:p w14:paraId="02081B24" w14:textId="36FE76F4" w:rsidR="00395555" w:rsidRPr="00395555" w:rsidRDefault="002C50EE" w:rsidP="008A6AF2">
      <w:pPr>
        <w:pStyle w:val="Heading1"/>
      </w:pPr>
      <w:r>
        <w:t>5. ФАРМАКОЛОГИЧНИ СВОЙСТВА</w:t>
      </w:r>
    </w:p>
    <w:p w14:paraId="3B9FA2B5" w14:textId="5326FA97" w:rsidR="00EE6C97" w:rsidRDefault="002C50EE" w:rsidP="00A93499">
      <w:pPr>
        <w:pStyle w:val="Heading2"/>
      </w:pPr>
      <w:r>
        <w:t>5.1. Фармакодинамични свойства</w:t>
      </w:r>
    </w:p>
    <w:p w14:paraId="1968564A" w14:textId="52C309C8" w:rsidR="003900F2" w:rsidRDefault="003900F2" w:rsidP="003900F2"/>
    <w:p w14:paraId="66652443"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Фармакотерапевтична група: Ангиотензин II антагонисти и диуретици, АТС код: </w:t>
      </w:r>
      <w:r w:rsidRPr="003900F2">
        <w:rPr>
          <w:rFonts w:eastAsia="Times New Roman" w:cs="Arial"/>
          <w:color w:val="000000"/>
          <w:lang w:val="en-US"/>
        </w:rPr>
        <w:t>C09DA07</w:t>
      </w:r>
    </w:p>
    <w:p w14:paraId="7212EE7B" w14:textId="77777777" w:rsidR="003900F2" w:rsidRPr="003900F2" w:rsidRDefault="003900F2" w:rsidP="003900F2">
      <w:pPr>
        <w:spacing w:line="240" w:lineRule="auto"/>
        <w:rPr>
          <w:rFonts w:eastAsia="Times New Roman" w:cs="Arial"/>
          <w:color w:val="000000"/>
          <w:lang w:eastAsia="bg-BG"/>
        </w:rPr>
      </w:pPr>
    </w:p>
    <w:p w14:paraId="512CFD0C" w14:textId="025AD7BC"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Телмисартан НСТ ЕГИС е комбинация от ангиотензин II рецепторен антагонист телмисартан и тиазиден диуретик хидрохлоротиазид. При комбинирането им тези съставки имат адитивен антихипертензивен ефект, което води до по-голямо намаляване на кръвното налягане отколкото, ако са приложени поотделно. Телмисартан НСТ ЕГИС, приеман веднъж дневно в терапевтични дози, води до ефективно и плавно понижаване на кръвното налягане.</w:t>
      </w:r>
    </w:p>
    <w:p w14:paraId="1F5B20A4" w14:textId="5B53E4D0" w:rsidR="003900F2" w:rsidRPr="003900F2" w:rsidRDefault="003900F2" w:rsidP="003900F2">
      <w:pPr>
        <w:rPr>
          <w:rFonts w:cs="Arial"/>
        </w:rPr>
      </w:pPr>
    </w:p>
    <w:p w14:paraId="14AE2A95"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Механизъм на действие</w:t>
      </w:r>
    </w:p>
    <w:p w14:paraId="78A441CF"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Телмисартан е перорално ефективен и специфичен ангиотензин II рецепторен антагонист (тип </w:t>
      </w:r>
      <w:r w:rsidRPr="003900F2">
        <w:rPr>
          <w:rFonts w:eastAsia="Times New Roman" w:cs="Arial"/>
          <w:color w:val="000000"/>
          <w:lang w:val="en-US"/>
        </w:rPr>
        <w:t>AT</w:t>
      </w:r>
      <w:r w:rsidRPr="003900F2">
        <w:rPr>
          <w:rFonts w:eastAsia="Times New Roman" w:cs="Arial"/>
          <w:color w:val="000000"/>
          <w:vertAlign w:val="subscript"/>
          <w:lang w:val="en-US"/>
        </w:rPr>
        <w:t>1</w:t>
      </w:r>
      <w:r w:rsidRPr="003900F2">
        <w:rPr>
          <w:rFonts w:eastAsia="Times New Roman" w:cs="Arial"/>
          <w:color w:val="000000"/>
          <w:lang w:val="en-US"/>
        </w:rPr>
        <w:t xml:space="preserve">). </w:t>
      </w:r>
      <w:r w:rsidRPr="003900F2">
        <w:rPr>
          <w:rFonts w:eastAsia="Times New Roman" w:cs="Arial"/>
          <w:color w:val="000000"/>
          <w:lang w:eastAsia="bg-BG"/>
        </w:rPr>
        <w:t xml:space="preserve">Той измества с много висок афинитет ангиотензин II от неговото място на </w:t>
      </w:r>
      <w:r w:rsidRPr="003900F2">
        <w:rPr>
          <w:rFonts w:eastAsia="Times New Roman" w:cs="Arial"/>
          <w:color w:val="000000"/>
          <w:lang w:eastAsia="bg-BG"/>
        </w:rPr>
        <w:lastRenderedPageBreak/>
        <w:t xml:space="preserve">свързване в </w:t>
      </w:r>
      <w:r w:rsidRPr="003900F2">
        <w:rPr>
          <w:rFonts w:eastAsia="Times New Roman" w:cs="Arial"/>
          <w:color w:val="000000"/>
          <w:lang w:val="en-US"/>
        </w:rPr>
        <w:t>AT</w:t>
      </w:r>
      <w:r w:rsidRPr="003900F2">
        <w:rPr>
          <w:rFonts w:eastAsia="Times New Roman" w:cs="Arial"/>
          <w:color w:val="000000"/>
          <w:vertAlign w:val="subscript"/>
          <w:lang w:val="en-US"/>
        </w:rPr>
        <w:t>1</w:t>
      </w:r>
      <w:r w:rsidRPr="003900F2">
        <w:rPr>
          <w:rFonts w:eastAsia="Times New Roman" w:cs="Arial"/>
          <w:color w:val="000000"/>
          <w:lang w:val="en-US"/>
        </w:rPr>
        <w:t xml:space="preserve"> </w:t>
      </w:r>
      <w:r w:rsidRPr="003900F2">
        <w:rPr>
          <w:rFonts w:eastAsia="Times New Roman" w:cs="Arial"/>
          <w:color w:val="000000"/>
          <w:lang w:eastAsia="bg-BG"/>
        </w:rPr>
        <w:t xml:space="preserve">рецепторния подтип, който е отговорен за известните действия на ангиотензин II. Телмисартан няма дори и частична агонистична активност спрямо </w:t>
      </w:r>
      <w:r w:rsidRPr="003900F2">
        <w:rPr>
          <w:rFonts w:eastAsia="Times New Roman" w:cs="Arial"/>
          <w:color w:val="000000"/>
          <w:lang w:val="en-US"/>
        </w:rPr>
        <w:t>AT</w:t>
      </w:r>
      <w:r w:rsidRPr="003900F2">
        <w:rPr>
          <w:rFonts w:eastAsia="Times New Roman" w:cs="Arial"/>
          <w:color w:val="000000"/>
          <w:vertAlign w:val="subscript"/>
          <w:lang w:val="en-US"/>
        </w:rPr>
        <w:t>1</w:t>
      </w:r>
      <w:r w:rsidRPr="003900F2">
        <w:rPr>
          <w:rFonts w:eastAsia="Times New Roman" w:cs="Arial"/>
          <w:color w:val="000000"/>
          <w:lang w:val="en-US"/>
        </w:rPr>
        <w:t xml:space="preserve"> </w:t>
      </w:r>
      <w:r w:rsidRPr="003900F2">
        <w:rPr>
          <w:rFonts w:eastAsia="Times New Roman" w:cs="Arial"/>
          <w:color w:val="000000"/>
          <w:lang w:eastAsia="bg-BG"/>
        </w:rPr>
        <w:t xml:space="preserve">рецептора. Телмисартан се свързва селективно с </w:t>
      </w:r>
      <w:r w:rsidRPr="003900F2">
        <w:rPr>
          <w:rFonts w:eastAsia="Times New Roman" w:cs="Arial"/>
          <w:color w:val="000000"/>
          <w:lang w:val="en-US"/>
        </w:rPr>
        <w:t>AT</w:t>
      </w:r>
      <w:r w:rsidRPr="003900F2">
        <w:rPr>
          <w:rFonts w:eastAsia="Times New Roman" w:cs="Arial"/>
          <w:color w:val="000000"/>
          <w:vertAlign w:val="subscript"/>
          <w:lang w:val="en-US"/>
        </w:rPr>
        <w:t>1</w:t>
      </w:r>
      <w:r w:rsidRPr="003900F2">
        <w:rPr>
          <w:rFonts w:eastAsia="Times New Roman" w:cs="Arial"/>
          <w:color w:val="000000"/>
          <w:lang w:val="en-US"/>
        </w:rPr>
        <w:t xml:space="preserve"> </w:t>
      </w:r>
      <w:r w:rsidRPr="003900F2">
        <w:rPr>
          <w:rFonts w:eastAsia="Times New Roman" w:cs="Arial"/>
          <w:color w:val="000000"/>
          <w:lang w:eastAsia="bg-BG"/>
        </w:rPr>
        <w:t>рецептора. Свързването е продължително. Телмисартан не показва афинитет към други рецептори, включително АТ</w:t>
      </w:r>
      <w:r w:rsidRPr="003900F2">
        <w:rPr>
          <w:rFonts w:eastAsia="Times New Roman" w:cs="Arial"/>
          <w:color w:val="000000"/>
          <w:vertAlign w:val="subscript"/>
          <w:lang w:eastAsia="bg-BG"/>
        </w:rPr>
        <w:t>2</w:t>
      </w:r>
      <w:r w:rsidRPr="003900F2">
        <w:rPr>
          <w:rFonts w:eastAsia="Times New Roman" w:cs="Arial"/>
          <w:color w:val="000000"/>
          <w:lang w:eastAsia="bg-BG"/>
        </w:rPr>
        <w:t xml:space="preserve"> и други по-слабо характеризирани АТ рецептори. Функционалната роля на тези рецептори не е известна, не е известен и ефектът на тяхната възможна свръхстимулация от ангиотензин II, чийто нива са повишени от телмисартан. Нивата на плазмения алдостерон са понижени от телмисартан. Телмисартан не инхибира човешкия плазмен ренин и не блокира йонните канали. Телмисартан не инхибира ангиотензин конвертиращия ензим (кининаза II), ензимът, който също разгражда брадикинина. Поради това не се очаква да потенцира брадикинин-медиираните нежелани лекарствени реакции.</w:t>
      </w:r>
    </w:p>
    <w:p w14:paraId="507D9E6E"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Дозата от 80 </w:t>
      </w:r>
      <w:r w:rsidRPr="003900F2">
        <w:rPr>
          <w:rFonts w:eastAsia="Times New Roman" w:cs="Arial"/>
          <w:color w:val="000000"/>
          <w:lang w:val="en-US"/>
        </w:rPr>
        <w:t xml:space="preserve">mg </w:t>
      </w:r>
      <w:r w:rsidRPr="003900F2">
        <w:rPr>
          <w:rFonts w:eastAsia="Times New Roman" w:cs="Arial"/>
          <w:color w:val="000000"/>
          <w:lang w:eastAsia="bg-BG"/>
        </w:rPr>
        <w:t>телмисартан, приложена при здрави доброволци, почти изцяло инхибира предизвиканото от ангиотензин II повишаване на кръвното налягане. Инхибиторният ефект се поддържа над 24 часа, като все още може да бъде установен до 48 часа.</w:t>
      </w:r>
    </w:p>
    <w:p w14:paraId="54820F92" w14:textId="77777777" w:rsidR="003900F2" w:rsidRPr="003900F2" w:rsidRDefault="003900F2" w:rsidP="003900F2">
      <w:pPr>
        <w:spacing w:line="240" w:lineRule="auto"/>
        <w:rPr>
          <w:rFonts w:eastAsia="Times New Roman" w:cs="Arial"/>
          <w:color w:val="000000"/>
          <w:lang w:eastAsia="bg-BG"/>
        </w:rPr>
      </w:pPr>
    </w:p>
    <w:p w14:paraId="7E33C217" w14:textId="4630ADA3"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Хидрохлоротиазид е тиазиден диуретик. Механизмът, по който тиазидните диуретици постигат антихипертензивния си ефект, не е напълно изяснен. Тиазидите оказват въздействие върху механизмите на реабсорбция на електролити в бъбречните тубули, като директно повишават екскрецията на натрий и хлор в приблизително еквивалентни количества. Диуретичното действие на хидрохлоротиазид намалява плазмения обем, повишава активността на ренин в плазмата, увеличава екскрецията на алдостерон с последващо увеличение на калия в урината и загуба на бикарбонати, и намалява нивата на калий в серума. Счита се, че едновременното приложение на телмисартан, блокирането на системата ренин-ангиотензин-алдостерон, води до обратен ефект по отношение на загубата на калий, която се дължи на тези диуретици. При прилагане на хидрохлоротиазид началото на диурезата е след 2 часа, като пик на ефекта се наблюдава след около 4 часа и персистира в продължение на приблизително 6-12 часа.</w:t>
      </w:r>
    </w:p>
    <w:p w14:paraId="2D990DEC" w14:textId="77777777" w:rsidR="003900F2" w:rsidRPr="003900F2" w:rsidRDefault="003900F2" w:rsidP="003900F2">
      <w:pPr>
        <w:spacing w:line="240" w:lineRule="auto"/>
        <w:rPr>
          <w:rFonts w:eastAsia="Times New Roman" w:cs="Arial"/>
          <w:color w:val="000000"/>
          <w:u w:val="single"/>
          <w:lang w:eastAsia="bg-BG"/>
        </w:rPr>
      </w:pPr>
    </w:p>
    <w:p w14:paraId="22A9EE49" w14:textId="1C9C2736"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Клинична ефикасност и безопасност</w:t>
      </w:r>
    </w:p>
    <w:p w14:paraId="1FFD06F3" w14:textId="77777777" w:rsidR="003900F2" w:rsidRPr="003900F2" w:rsidRDefault="003900F2" w:rsidP="003900F2">
      <w:pPr>
        <w:spacing w:line="240" w:lineRule="auto"/>
        <w:rPr>
          <w:rFonts w:eastAsia="Times New Roman" w:cs="Arial"/>
          <w:color w:val="000000"/>
          <w:lang w:eastAsia="bg-BG"/>
        </w:rPr>
      </w:pPr>
    </w:p>
    <w:p w14:paraId="6C2718CB" w14:textId="63B7DF43"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След прилагане на първата доза телмисартан се наблюдава постепенно поява на антихипертензивна активност в рамките на 3 часа. Максималната редукция на кръвното налягане се достига напълно в рамките на 4-8 седмици след началото на лечението и се поддържа чрез продължителна терапия. След приемане на дозата, антихипертензивният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измерванията в момента на максималния ефект и непосредствено преди приема на следващата доза (съотношението минимални към максимални концентрации, което е постоянно над 80% след прием на дози от 40 и 80 </w:t>
      </w:r>
      <w:r w:rsidRPr="003900F2">
        <w:rPr>
          <w:rFonts w:eastAsia="Times New Roman" w:cs="Arial"/>
          <w:color w:val="000000"/>
          <w:lang w:val="en-US"/>
        </w:rPr>
        <w:t xml:space="preserve">mg </w:t>
      </w:r>
      <w:r w:rsidRPr="003900F2">
        <w:rPr>
          <w:rFonts w:eastAsia="Times New Roman" w:cs="Arial"/>
          <w:color w:val="000000"/>
          <w:lang w:eastAsia="bg-BG"/>
        </w:rPr>
        <w:t>телмисартан при плацебо контролирани клинични проучвания).</w:t>
      </w:r>
    </w:p>
    <w:p w14:paraId="300467A2" w14:textId="77777777" w:rsidR="003900F2" w:rsidRPr="003900F2" w:rsidRDefault="003900F2" w:rsidP="003900F2">
      <w:pPr>
        <w:spacing w:line="240" w:lineRule="auto"/>
        <w:rPr>
          <w:rFonts w:eastAsia="Times New Roman" w:cs="Arial"/>
          <w:color w:val="000000"/>
          <w:lang w:eastAsia="bg-BG"/>
        </w:rPr>
      </w:pPr>
    </w:p>
    <w:p w14:paraId="32EF1F61" w14:textId="49006A8C"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При пациенти с хипертония телмисартан редуцира и систолното и диастолното кръвно налягане без да повлиява пулсовата честота. 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телмисартан с амлодипин, атенолол, еналаприл, хидрохлоротиазид и лизиноприл).</w:t>
      </w:r>
    </w:p>
    <w:p w14:paraId="1A939AFE"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 xml:space="preserve">[80 </w:t>
      </w:r>
      <w:r w:rsidRPr="003900F2">
        <w:rPr>
          <w:rFonts w:eastAsia="Times New Roman" w:cs="Arial"/>
          <w:color w:val="000000"/>
          <w:u w:val="single"/>
          <w:lang w:val="en-US"/>
        </w:rPr>
        <w:t>mg/25 mg:]</w:t>
      </w:r>
    </w:p>
    <w:p w14:paraId="3C7DE158" w14:textId="34088579" w:rsidR="003900F2" w:rsidRPr="003900F2" w:rsidRDefault="003900F2" w:rsidP="003900F2">
      <w:pPr>
        <w:rPr>
          <w:rFonts w:eastAsia="Times New Roman" w:cs="Arial"/>
          <w:color w:val="000000"/>
          <w:lang w:eastAsia="bg-BG"/>
        </w:rPr>
      </w:pPr>
      <w:r w:rsidRPr="003900F2">
        <w:rPr>
          <w:rFonts w:eastAsia="Times New Roman" w:cs="Arial"/>
          <w:color w:val="000000"/>
          <w:lang w:eastAsia="bg-BG"/>
        </w:rPr>
        <w:t xml:space="preserve">В двойно-сляпо контролирано клинично изпитване (п=687 пациенти, оценени за ефикасност) при пациенти, които не се повлияват от лечението с комбинацията 80 </w:t>
      </w:r>
      <w:r w:rsidRPr="003900F2">
        <w:rPr>
          <w:rFonts w:eastAsia="Times New Roman" w:cs="Arial"/>
          <w:color w:val="000000"/>
          <w:lang w:val="en-US"/>
        </w:rPr>
        <w:t>mg/1</w:t>
      </w:r>
      <w:r w:rsidRPr="003900F2">
        <w:rPr>
          <w:rFonts w:eastAsia="Times New Roman" w:cs="Arial"/>
          <w:color w:val="000000"/>
          <w:lang w:eastAsia="bg-BG"/>
        </w:rPr>
        <w:t xml:space="preserve">2,5 </w:t>
      </w:r>
      <w:r w:rsidRPr="003900F2">
        <w:rPr>
          <w:rFonts w:eastAsia="Times New Roman" w:cs="Arial"/>
          <w:color w:val="000000"/>
          <w:lang w:val="en-US"/>
        </w:rPr>
        <w:t xml:space="preserve">mg </w:t>
      </w:r>
      <w:r w:rsidRPr="003900F2">
        <w:rPr>
          <w:rFonts w:eastAsia="Times New Roman" w:cs="Arial"/>
          <w:color w:val="000000"/>
          <w:lang w:eastAsia="bg-BG"/>
        </w:rPr>
        <w:t xml:space="preserve">е наблюдавано постепенно увеличаване на ефекта на понижаване на </w:t>
      </w:r>
      <w:r w:rsidRPr="003900F2">
        <w:rPr>
          <w:rFonts w:eastAsia="Times New Roman" w:cs="Arial"/>
          <w:color w:val="000000"/>
          <w:lang w:eastAsia="bg-BG"/>
        </w:rPr>
        <w:lastRenderedPageBreak/>
        <w:t xml:space="preserve">кръвното налягане с 2,7/1,6 </w:t>
      </w:r>
      <w:r w:rsidRPr="003900F2">
        <w:rPr>
          <w:rFonts w:eastAsia="Times New Roman" w:cs="Arial"/>
          <w:color w:val="000000"/>
          <w:lang w:val="en-US"/>
        </w:rPr>
        <w:t xml:space="preserve">mm Hg </w:t>
      </w:r>
      <w:r w:rsidRPr="003900F2">
        <w:rPr>
          <w:rFonts w:eastAsia="Times New Roman" w:cs="Arial"/>
          <w:color w:val="000000"/>
          <w:lang w:eastAsia="bg-BG"/>
        </w:rPr>
        <w:t xml:space="preserve">(СКН/ДКН) при комбинацията 80 </w:t>
      </w:r>
      <w:r w:rsidRPr="003900F2">
        <w:rPr>
          <w:rFonts w:eastAsia="Times New Roman" w:cs="Arial"/>
          <w:color w:val="000000"/>
          <w:lang w:val="en-US"/>
        </w:rPr>
        <w:t xml:space="preserve">mg/25 mg </w:t>
      </w:r>
      <w:r w:rsidRPr="003900F2">
        <w:rPr>
          <w:rFonts w:eastAsia="Times New Roman" w:cs="Arial"/>
          <w:color w:val="000000"/>
          <w:lang w:eastAsia="bg-BG"/>
        </w:rPr>
        <w:t xml:space="preserve">спрямо продължително лечение с комбинацията 80 </w:t>
      </w:r>
      <w:r w:rsidRPr="003900F2">
        <w:rPr>
          <w:rFonts w:eastAsia="Times New Roman" w:cs="Arial"/>
          <w:color w:val="000000"/>
          <w:lang w:val="en-US"/>
        </w:rPr>
        <w:t xml:space="preserve">mg/12,5 mg </w:t>
      </w:r>
      <w:r w:rsidRPr="003900F2">
        <w:rPr>
          <w:rFonts w:eastAsia="Times New Roman" w:cs="Arial"/>
          <w:color w:val="000000"/>
          <w:lang w:eastAsia="bg-BG"/>
        </w:rPr>
        <w:t xml:space="preserve">(разлика в средните промени, коригирани спрямо изходното ниво). В последващо клинично изпитване с комбинацията 80 </w:t>
      </w:r>
      <w:r w:rsidRPr="003900F2">
        <w:rPr>
          <w:rFonts w:eastAsia="Times New Roman" w:cs="Arial"/>
          <w:color w:val="000000"/>
          <w:lang w:val="en-US"/>
        </w:rPr>
        <w:t xml:space="preserve">mg/25 mg </w:t>
      </w:r>
      <w:r w:rsidRPr="003900F2">
        <w:rPr>
          <w:rFonts w:eastAsia="Times New Roman" w:cs="Arial"/>
          <w:color w:val="000000"/>
          <w:lang w:eastAsia="bg-BG"/>
        </w:rPr>
        <w:t xml:space="preserve">се наблюдава допълнително понижаване на кръвното налягане (изразяващо се в общо понижававане с 11,5/9,9 </w:t>
      </w:r>
      <w:r w:rsidRPr="003900F2">
        <w:rPr>
          <w:rFonts w:eastAsia="Times New Roman" w:cs="Arial"/>
          <w:color w:val="000000"/>
          <w:lang w:val="en-US"/>
        </w:rPr>
        <w:t xml:space="preserve">mmHg </w:t>
      </w:r>
      <w:r w:rsidRPr="003900F2">
        <w:rPr>
          <w:rFonts w:eastAsia="Times New Roman" w:cs="Arial"/>
          <w:color w:val="000000"/>
          <w:lang w:eastAsia="bg-BG"/>
        </w:rPr>
        <w:t>(СКН/ДКН).</w:t>
      </w:r>
    </w:p>
    <w:p w14:paraId="45F541B5" w14:textId="6CE692EB" w:rsidR="003900F2" w:rsidRPr="003900F2" w:rsidRDefault="003900F2" w:rsidP="003900F2">
      <w:pPr>
        <w:rPr>
          <w:rFonts w:eastAsia="Times New Roman" w:cs="Arial"/>
          <w:color w:val="000000"/>
          <w:lang w:eastAsia="bg-BG"/>
        </w:rPr>
      </w:pPr>
    </w:p>
    <w:p w14:paraId="4B15C731"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В обобщен анализ от две сходни 8 -седмични двойно-слепи плацебо контролирани клинични изпитвания спрямо 160 </w:t>
      </w:r>
      <w:r w:rsidRPr="003900F2">
        <w:rPr>
          <w:rFonts w:eastAsia="Times New Roman" w:cs="Arial"/>
          <w:color w:val="000000"/>
          <w:lang w:val="en-US"/>
        </w:rPr>
        <w:t xml:space="preserve">mg/25 mg </w:t>
      </w:r>
      <w:r w:rsidRPr="003900F2">
        <w:rPr>
          <w:rFonts w:eastAsia="Times New Roman" w:cs="Arial"/>
          <w:color w:val="000000"/>
          <w:lang w:eastAsia="bg-BG"/>
        </w:rPr>
        <w:t xml:space="preserve">валсартан/хидрохлоротиазид (п=2 121 пациенти, оценени за ефикасност) е наблюдаван значимо по-голям ефект на понижаване на кръвното налягане с 2,2/1,2 </w:t>
      </w:r>
      <w:r w:rsidRPr="003900F2">
        <w:rPr>
          <w:rFonts w:eastAsia="Times New Roman" w:cs="Arial"/>
          <w:color w:val="000000"/>
          <w:lang w:val="en-US"/>
        </w:rPr>
        <w:t xml:space="preserve">mm Hg </w:t>
      </w:r>
      <w:r w:rsidRPr="003900F2">
        <w:rPr>
          <w:rFonts w:eastAsia="Times New Roman" w:cs="Arial"/>
          <w:color w:val="000000"/>
          <w:lang w:eastAsia="bg-BG"/>
        </w:rPr>
        <w:t xml:space="preserve">(СКН/ДКН) (разлика в средните промени, коригирани спрямо изходното ниво) в полза на комбинацията 80 </w:t>
      </w:r>
      <w:r w:rsidRPr="003900F2">
        <w:rPr>
          <w:rFonts w:eastAsia="Times New Roman" w:cs="Arial"/>
          <w:color w:val="000000"/>
          <w:lang w:val="en-US"/>
        </w:rPr>
        <w:t xml:space="preserve">mg/25 mg </w:t>
      </w:r>
      <w:r w:rsidRPr="003900F2">
        <w:rPr>
          <w:rFonts w:eastAsia="Times New Roman" w:cs="Arial"/>
          <w:color w:val="000000"/>
          <w:lang w:eastAsia="bg-BG"/>
        </w:rPr>
        <w:t>телмисартан/хидрохлоротиазид.</w:t>
      </w:r>
    </w:p>
    <w:p w14:paraId="1845F6E5" w14:textId="77777777" w:rsidR="003900F2" w:rsidRPr="003900F2" w:rsidRDefault="003900F2" w:rsidP="003900F2">
      <w:pPr>
        <w:spacing w:line="240" w:lineRule="auto"/>
        <w:rPr>
          <w:rFonts w:eastAsia="Times New Roman" w:cs="Arial"/>
          <w:color w:val="000000"/>
          <w:lang w:eastAsia="bg-BG"/>
        </w:rPr>
      </w:pPr>
    </w:p>
    <w:p w14:paraId="1D876FE8" w14:textId="476C13F2"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При внезапно прекъсване на лечението с телмисартан кръвното налягане постепенно се връща до стойностите преди лечението, за период от няколко дни без данни за ребаунд хипертония. Случаите на суха кашлица са значително по-малко при пациенти, третирани с телмисартан,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366D3FA3" w14:textId="77777777" w:rsidR="003900F2" w:rsidRPr="003900F2" w:rsidRDefault="003900F2" w:rsidP="003900F2">
      <w:pPr>
        <w:spacing w:line="240" w:lineRule="auto"/>
        <w:rPr>
          <w:rFonts w:eastAsia="Times New Roman" w:cs="Arial"/>
          <w:color w:val="000000"/>
          <w:lang w:eastAsia="bg-BG"/>
        </w:rPr>
      </w:pPr>
    </w:p>
    <w:p w14:paraId="6FDCC73C" w14:textId="4F1D69B6"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Профилактика на сърдечно-съдови инциденти</w:t>
      </w:r>
    </w:p>
    <w:p w14:paraId="03D42C3B"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val="en-US"/>
        </w:rPr>
        <w:t>ONTARGET (</w:t>
      </w:r>
      <w:proofErr w:type="spellStart"/>
      <w:r w:rsidRPr="003900F2">
        <w:rPr>
          <w:rFonts w:eastAsia="Times New Roman" w:cs="Arial"/>
          <w:color w:val="000000"/>
          <w:lang w:val="en-US"/>
        </w:rPr>
        <w:t>ONgoing</w:t>
      </w:r>
      <w:proofErr w:type="spellEnd"/>
      <w:r w:rsidRPr="003900F2">
        <w:rPr>
          <w:rFonts w:eastAsia="Times New Roman" w:cs="Arial"/>
          <w:color w:val="000000"/>
          <w:lang w:val="en-US"/>
        </w:rPr>
        <w:t xml:space="preserve"> Telmisartan Alone and in Combination with Ramipril Global Endpoint Trial) </w:t>
      </w:r>
      <w:r w:rsidRPr="003900F2">
        <w:rPr>
          <w:rFonts w:eastAsia="Times New Roman" w:cs="Arial"/>
          <w:color w:val="000000"/>
          <w:lang w:eastAsia="bg-BG"/>
        </w:rPr>
        <w:t>сравнява ефектите от приложението на телмисартан, рамиприл и комбинацията от телмисартан и рамиприл върху резултатите по отношение на сърдечно-съдовата система, при 25 620 пациенти на възраст ≥55 години, с анамнеза за коронарна артериална болест, мозъчен инсулт, преходно нарушение на мозъчното кръвообращение, увреждане на периферни артерии или захарен диабет тип 2, съпътстван с данни за увреждане на прицелните органи (като ретинопатия, левокамерна хипертрофия, макро- или микроалбуминурия), които са популация с риск от настъпване на сърдечно-съдови инциденти.</w:t>
      </w:r>
    </w:p>
    <w:p w14:paraId="63CC3400" w14:textId="77777777" w:rsidR="003900F2" w:rsidRPr="003900F2" w:rsidRDefault="003900F2" w:rsidP="003900F2">
      <w:pPr>
        <w:spacing w:line="240" w:lineRule="auto"/>
        <w:rPr>
          <w:rFonts w:eastAsia="Times New Roman" w:cs="Arial"/>
          <w:color w:val="000000"/>
          <w:lang w:eastAsia="bg-BG"/>
        </w:rPr>
      </w:pPr>
    </w:p>
    <w:p w14:paraId="7DB18868" w14:textId="182F25DC"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Пациентите са рандомизирани в една от следните три групи за лечение: телмисартан 80 </w:t>
      </w:r>
      <w:r w:rsidRPr="003900F2">
        <w:rPr>
          <w:rFonts w:eastAsia="Times New Roman" w:cs="Arial"/>
          <w:color w:val="000000"/>
          <w:lang w:val="en-US"/>
        </w:rPr>
        <w:t xml:space="preserve">mg </w:t>
      </w:r>
      <w:r w:rsidRPr="003900F2">
        <w:rPr>
          <w:rFonts w:eastAsia="Times New Roman" w:cs="Arial"/>
          <w:color w:val="000000"/>
          <w:lang w:eastAsia="bg-BG"/>
        </w:rPr>
        <w:t>(</w:t>
      </w:r>
      <w:r w:rsidRPr="003900F2">
        <w:rPr>
          <w:rFonts w:eastAsia="Times New Roman" w:cs="Arial"/>
          <w:color w:val="000000"/>
          <w:lang w:val="en-US"/>
        </w:rPr>
        <w:t>n</w:t>
      </w:r>
      <w:r w:rsidRPr="003900F2">
        <w:rPr>
          <w:rFonts w:eastAsia="Times New Roman" w:cs="Arial"/>
          <w:color w:val="000000"/>
          <w:lang w:eastAsia="bg-BG"/>
        </w:rPr>
        <w:t xml:space="preserve">=8 542); рамиприл 10 </w:t>
      </w:r>
      <w:r w:rsidRPr="003900F2">
        <w:rPr>
          <w:rFonts w:eastAsia="Times New Roman" w:cs="Arial"/>
          <w:color w:val="000000"/>
          <w:lang w:val="en-US"/>
        </w:rPr>
        <w:t xml:space="preserve">mg </w:t>
      </w:r>
      <w:r w:rsidRPr="003900F2">
        <w:rPr>
          <w:rFonts w:eastAsia="Times New Roman" w:cs="Arial"/>
          <w:color w:val="000000"/>
          <w:lang w:eastAsia="bg-BG"/>
        </w:rPr>
        <w:t>(</w:t>
      </w:r>
      <w:r w:rsidRPr="003900F2">
        <w:rPr>
          <w:rFonts w:eastAsia="Times New Roman" w:cs="Arial"/>
          <w:color w:val="000000"/>
          <w:lang w:val="en-US"/>
        </w:rPr>
        <w:t>n</w:t>
      </w:r>
      <w:r w:rsidRPr="003900F2">
        <w:rPr>
          <w:rFonts w:eastAsia="Times New Roman" w:cs="Arial"/>
          <w:color w:val="000000"/>
          <w:lang w:eastAsia="bg-BG"/>
        </w:rPr>
        <w:t xml:space="preserve">=8 576) или комбинация от телмисартан 80 </w:t>
      </w:r>
      <w:r w:rsidRPr="003900F2">
        <w:rPr>
          <w:rFonts w:eastAsia="Times New Roman" w:cs="Arial"/>
          <w:color w:val="000000"/>
          <w:lang w:val="en-US"/>
        </w:rPr>
        <w:t xml:space="preserve">mg </w:t>
      </w:r>
      <w:r w:rsidRPr="003900F2">
        <w:rPr>
          <w:rFonts w:eastAsia="Times New Roman" w:cs="Arial"/>
          <w:color w:val="000000"/>
          <w:lang w:eastAsia="bg-BG"/>
        </w:rPr>
        <w:t xml:space="preserve">и рамиприл 10 </w:t>
      </w:r>
      <w:r w:rsidRPr="003900F2">
        <w:rPr>
          <w:rFonts w:eastAsia="Times New Roman" w:cs="Arial"/>
          <w:color w:val="000000"/>
          <w:lang w:val="en-US"/>
        </w:rPr>
        <w:t xml:space="preserve">mg </w:t>
      </w:r>
      <w:r w:rsidRPr="003900F2">
        <w:rPr>
          <w:rFonts w:eastAsia="Times New Roman" w:cs="Arial"/>
          <w:color w:val="000000"/>
          <w:lang w:eastAsia="bg-BG"/>
        </w:rPr>
        <w:t>(</w:t>
      </w:r>
      <w:r w:rsidRPr="003900F2">
        <w:rPr>
          <w:rFonts w:eastAsia="Times New Roman" w:cs="Arial"/>
          <w:color w:val="000000"/>
          <w:lang w:val="en-US"/>
        </w:rPr>
        <w:t>n</w:t>
      </w:r>
      <w:r w:rsidRPr="003900F2">
        <w:rPr>
          <w:rFonts w:eastAsia="Times New Roman" w:cs="Arial"/>
          <w:color w:val="000000"/>
          <w:lang w:eastAsia="bg-BG"/>
        </w:rPr>
        <w:t>=8 502), последвано от проследяване със средна продължителност от 4,5 години.</w:t>
      </w:r>
    </w:p>
    <w:p w14:paraId="40CC7285" w14:textId="77777777" w:rsidR="003900F2" w:rsidRPr="003900F2" w:rsidRDefault="003900F2" w:rsidP="003900F2">
      <w:pPr>
        <w:spacing w:line="240" w:lineRule="auto"/>
        <w:rPr>
          <w:rFonts w:eastAsia="Times New Roman" w:cs="Arial"/>
          <w:color w:val="000000"/>
          <w:lang w:eastAsia="bg-BG"/>
        </w:rPr>
      </w:pPr>
    </w:p>
    <w:p w14:paraId="1ECAE7BB" w14:textId="2BF3BDFE"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Телмисартан показва сходен ефект с рамиприл по отношение намаляване на първичната съставна крайна точка от сърдечно-съдова смърт, нефатален инфаркт на миокарда, нефатален мозъчен инсулт или хоспитализация поради застойна сърдечна недостатъчност. Честотата на първичната крайна точка е сходна в групите на телмисартан (16,7%) и рамиприл (16,5%). Коефициентът на риск при телмисартан спрямо рамиприл е 1,01 (97,5% </w:t>
      </w:r>
      <w:r w:rsidRPr="003900F2">
        <w:rPr>
          <w:rFonts w:eastAsia="Times New Roman" w:cs="Arial"/>
          <w:color w:val="000000"/>
          <w:lang w:val="en-US"/>
        </w:rPr>
        <w:t xml:space="preserve">CI </w:t>
      </w:r>
      <w:r w:rsidRPr="003900F2">
        <w:rPr>
          <w:rFonts w:eastAsia="Times New Roman" w:cs="Arial"/>
          <w:color w:val="000000"/>
          <w:lang w:eastAsia="bg-BG"/>
        </w:rPr>
        <w:t>0,93 -1,10; р (не по- малка ефикасност) = 0,0019 при марж от 1,13). Процентът на случаите на смърт по всяка причина е съответно 11,6% и 11,8% при пациентите, лекувани с телмисартан и рамиприл.</w:t>
      </w:r>
    </w:p>
    <w:p w14:paraId="310D8935" w14:textId="77777777" w:rsidR="003900F2" w:rsidRPr="003900F2" w:rsidRDefault="003900F2" w:rsidP="003900F2">
      <w:pPr>
        <w:spacing w:line="240" w:lineRule="auto"/>
        <w:rPr>
          <w:rFonts w:eastAsia="Times New Roman" w:cs="Arial"/>
          <w:color w:val="000000"/>
          <w:lang w:eastAsia="bg-BG"/>
        </w:rPr>
      </w:pPr>
    </w:p>
    <w:p w14:paraId="6928C4C7" w14:textId="7E522976"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Установено е, че ефективността на телмисартан е сходна с тази на рамиприл при предварително определената вторична крайна цел от сърдечно-съдова смърт, нефатален инфаркт на миокарда и нефатален мозъчен инсулт [0,99 (97,5% </w:t>
      </w:r>
      <w:r w:rsidRPr="003900F2">
        <w:rPr>
          <w:rFonts w:eastAsia="Times New Roman" w:cs="Arial"/>
          <w:color w:val="000000"/>
          <w:lang w:val="en-US"/>
        </w:rPr>
        <w:t xml:space="preserve">CI </w:t>
      </w:r>
      <w:r w:rsidRPr="003900F2">
        <w:rPr>
          <w:rFonts w:eastAsia="Times New Roman" w:cs="Arial"/>
          <w:color w:val="000000"/>
          <w:lang w:eastAsia="bg-BG"/>
        </w:rPr>
        <w:t xml:space="preserve">0,90 -1,08; р (не по-малка ефикасност) = 0,0004)], първична крайна цел в референтното проучване </w:t>
      </w:r>
      <w:r w:rsidRPr="003900F2">
        <w:rPr>
          <w:rFonts w:eastAsia="Times New Roman" w:cs="Arial"/>
          <w:color w:val="000000"/>
          <w:lang w:val="en-US"/>
        </w:rPr>
        <w:lastRenderedPageBreak/>
        <w:t xml:space="preserve">HOPE (The Heart Outcomes Prevention Evaluation Study), </w:t>
      </w:r>
      <w:r w:rsidRPr="003900F2">
        <w:rPr>
          <w:rFonts w:eastAsia="Times New Roman" w:cs="Arial"/>
          <w:color w:val="000000"/>
          <w:lang w:eastAsia="bg-BG"/>
        </w:rPr>
        <w:t>което изследва ефекта на рамиприл спрямо плацебо.</w:t>
      </w:r>
    </w:p>
    <w:p w14:paraId="3D60DE9A" w14:textId="77777777" w:rsidR="003900F2" w:rsidRPr="003900F2" w:rsidRDefault="003900F2" w:rsidP="003900F2">
      <w:pPr>
        <w:spacing w:line="240" w:lineRule="auto"/>
        <w:rPr>
          <w:rFonts w:eastAsia="Times New Roman" w:cs="Arial"/>
          <w:color w:val="000000"/>
          <w:lang w:eastAsia="bg-BG"/>
        </w:rPr>
      </w:pPr>
    </w:p>
    <w:p w14:paraId="649F3D3A" w14:textId="7B491E13"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В проучването </w:t>
      </w:r>
      <w:r w:rsidRPr="003900F2">
        <w:rPr>
          <w:rFonts w:eastAsia="Times New Roman" w:cs="Arial"/>
          <w:color w:val="000000"/>
          <w:lang w:val="en-US"/>
        </w:rPr>
        <w:t xml:space="preserve">TRANSCEND </w:t>
      </w:r>
      <w:r w:rsidRPr="003900F2">
        <w:rPr>
          <w:rFonts w:eastAsia="Times New Roman" w:cs="Arial"/>
          <w:color w:val="000000"/>
          <w:lang w:eastAsia="bg-BG"/>
        </w:rPr>
        <w:t xml:space="preserve">са рандомизирани пациенти с непоносимост към </w:t>
      </w:r>
      <w:r w:rsidRPr="003900F2">
        <w:rPr>
          <w:rFonts w:eastAsia="Times New Roman" w:cs="Arial"/>
          <w:color w:val="000000"/>
          <w:lang w:val="en-US"/>
        </w:rPr>
        <w:t xml:space="preserve">ACE-I </w:t>
      </w:r>
      <w:r w:rsidRPr="003900F2">
        <w:rPr>
          <w:rFonts w:eastAsia="Times New Roman" w:cs="Arial"/>
          <w:color w:val="000000"/>
          <w:lang w:eastAsia="bg-BG"/>
        </w:rPr>
        <w:t xml:space="preserve">инхибитори, но иначе със сходни критерии за включване както в проучването </w:t>
      </w:r>
      <w:r w:rsidRPr="003900F2">
        <w:rPr>
          <w:rFonts w:eastAsia="Times New Roman" w:cs="Arial"/>
          <w:color w:val="000000"/>
          <w:lang w:val="en-US"/>
        </w:rPr>
        <w:t xml:space="preserve">ONTARGET </w:t>
      </w:r>
      <w:r w:rsidRPr="003900F2">
        <w:rPr>
          <w:rFonts w:eastAsia="Times New Roman" w:cs="Arial"/>
          <w:color w:val="000000"/>
          <w:lang w:eastAsia="bg-BG"/>
        </w:rPr>
        <w:t xml:space="preserve">в група, приемаща телмисартан 80 </w:t>
      </w:r>
      <w:r w:rsidRPr="003900F2">
        <w:rPr>
          <w:rFonts w:eastAsia="Times New Roman" w:cs="Arial"/>
          <w:color w:val="000000"/>
          <w:lang w:val="en-US"/>
        </w:rPr>
        <w:t xml:space="preserve">mg </w:t>
      </w:r>
      <w:r w:rsidRPr="003900F2">
        <w:rPr>
          <w:rFonts w:eastAsia="Times New Roman" w:cs="Arial"/>
          <w:color w:val="000000"/>
          <w:lang w:eastAsia="bg-BG"/>
        </w:rPr>
        <w:t>(</w:t>
      </w:r>
      <w:r w:rsidRPr="003900F2">
        <w:rPr>
          <w:rFonts w:eastAsia="Times New Roman" w:cs="Arial"/>
          <w:color w:val="000000"/>
          <w:lang w:val="en-US"/>
        </w:rPr>
        <w:t>n</w:t>
      </w:r>
      <w:r w:rsidRPr="003900F2">
        <w:rPr>
          <w:rFonts w:eastAsia="Times New Roman" w:cs="Arial"/>
          <w:color w:val="000000"/>
          <w:lang w:eastAsia="bg-BG"/>
        </w:rPr>
        <w:t>=2 954) или плацебо (</w:t>
      </w:r>
      <w:r w:rsidRPr="003900F2">
        <w:rPr>
          <w:rFonts w:eastAsia="Times New Roman" w:cs="Arial"/>
          <w:color w:val="000000"/>
          <w:lang w:val="en-US"/>
        </w:rPr>
        <w:t>n</w:t>
      </w:r>
      <w:r w:rsidRPr="003900F2">
        <w:rPr>
          <w:rFonts w:eastAsia="Times New Roman" w:cs="Arial"/>
          <w:color w:val="000000"/>
          <w:lang w:eastAsia="bg-BG"/>
        </w:rPr>
        <w:t xml:space="preserve">=2 972), като и двата продукта се прилагат в допълнение към стандартното лечение. Средната продължителност на проследяване е 4 години и 8 месеца. Не се установява статистически значима разлика в честотата на първичната съставна крайна точка (сърдечно-съдова смърт, нефатален инфаркт на миокарда, нефатален мозъчен инсулт или хоспитализация поради застойна сърдечна недостатъчност) [15,7% в групата на телмисартан и 17,0% в групата на плацебо, с коефициент на риск 0,92 (95% </w:t>
      </w:r>
      <w:r w:rsidRPr="003900F2">
        <w:rPr>
          <w:rFonts w:eastAsia="Times New Roman" w:cs="Arial"/>
          <w:color w:val="000000"/>
          <w:lang w:val="en-US"/>
        </w:rPr>
        <w:t xml:space="preserve">CI </w:t>
      </w:r>
      <w:r w:rsidRPr="003900F2">
        <w:rPr>
          <w:rFonts w:eastAsia="Times New Roman" w:cs="Arial"/>
          <w:color w:val="000000"/>
          <w:lang w:eastAsia="bg-BG"/>
        </w:rPr>
        <w:t xml:space="preserve">0,81 -1,05; р = 0,22)]. Има данни за ползата от телмисартан в сравнение с плацебо по отношение на предварително определената вторична съставна крайна точка от сърдечно-съдова смърт, нефатален инфаркт на миокарда и нефатален мозъчен инсулт [0,87 </w:t>
      </w:r>
      <w:r w:rsidRPr="003900F2">
        <w:rPr>
          <w:rFonts w:eastAsia="Times New Roman" w:cs="Arial"/>
          <w:color w:val="000000"/>
          <w:lang w:val="en-US"/>
        </w:rPr>
        <w:t>(95%</w:t>
      </w:r>
      <w:r w:rsidRPr="003900F2">
        <w:rPr>
          <w:rFonts w:eastAsia="Times New Roman" w:cs="Arial"/>
          <w:color w:val="000000"/>
          <w:lang w:eastAsia="bg-BG"/>
        </w:rPr>
        <w:t xml:space="preserve"> </w:t>
      </w:r>
      <w:r w:rsidRPr="003900F2">
        <w:rPr>
          <w:rFonts w:eastAsia="Times New Roman" w:cs="Arial"/>
          <w:color w:val="000000"/>
          <w:lang w:val="en-US"/>
        </w:rPr>
        <w:t>CI 0,76-1,00; p</w:t>
      </w:r>
      <w:r w:rsidRPr="003900F2">
        <w:rPr>
          <w:rFonts w:eastAsia="Times New Roman" w:cs="Arial"/>
          <w:lang w:eastAsia="bg-BG"/>
        </w:rPr>
        <w:t xml:space="preserve"> </w:t>
      </w:r>
      <w:r w:rsidRPr="003900F2">
        <w:rPr>
          <w:rFonts w:eastAsia="Times New Roman" w:cs="Arial"/>
          <w:color w:val="000000"/>
          <w:lang w:eastAsia="bg-BG"/>
        </w:rPr>
        <w:t>= 0,048). Няма данни за полза по отношение на намаляване на сърдечно-съдовата смъртност</w:t>
      </w:r>
      <w:r w:rsidRPr="003900F2">
        <w:rPr>
          <w:rFonts w:eastAsia="Times New Roman" w:cs="Arial"/>
          <w:lang w:eastAsia="bg-BG"/>
        </w:rPr>
        <w:t xml:space="preserve"> </w:t>
      </w:r>
      <w:r w:rsidRPr="003900F2">
        <w:rPr>
          <w:rFonts w:eastAsia="Times New Roman" w:cs="Arial"/>
          <w:color w:val="000000"/>
          <w:lang w:eastAsia="bg-BG"/>
        </w:rPr>
        <w:t>(коефициент на риск 1,03, 95% доверителен интервал 0,85 - 1,24).</w:t>
      </w:r>
    </w:p>
    <w:p w14:paraId="3F13CAB8" w14:textId="7554CC95" w:rsidR="003900F2" w:rsidRPr="003900F2" w:rsidRDefault="003900F2" w:rsidP="003900F2">
      <w:pPr>
        <w:spacing w:line="240" w:lineRule="auto"/>
        <w:rPr>
          <w:rFonts w:eastAsia="Times New Roman" w:cs="Arial"/>
          <w:color w:val="000000"/>
          <w:lang w:eastAsia="bg-BG"/>
        </w:rPr>
      </w:pPr>
    </w:p>
    <w:p w14:paraId="5B8BF02D"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Кашлица и ангиоедем се съобщават по-рядко при пациенти, лекувани с телмисартан, отколкото при пациенти, лекувани с рамиприл, докато при терапия с телмисартан по-често се съобщава за случаи на хипотония.</w:t>
      </w:r>
    </w:p>
    <w:p w14:paraId="7E3B4FE1" w14:textId="77777777" w:rsidR="003900F2" w:rsidRPr="003900F2" w:rsidRDefault="003900F2" w:rsidP="003900F2">
      <w:pPr>
        <w:spacing w:line="240" w:lineRule="auto"/>
        <w:rPr>
          <w:rFonts w:eastAsia="Times New Roman" w:cs="Arial"/>
          <w:color w:val="000000"/>
          <w:lang w:eastAsia="bg-BG"/>
        </w:rPr>
      </w:pPr>
    </w:p>
    <w:p w14:paraId="2289CABD" w14:textId="18AB49CF"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Комбинирането на телмисартан с рамиприл не дава допълнителна полза спрямо самостоятелната терапия с рамиприл или телмисартан. Сърдечно-съдовата смъртност и смъртността по всяка причина, като числено изражение, са по-високи при комбинираното лечение. Освен това, има значимо по-висока честота на хиперкалиемия, бъбречна недостатъчност, хипотония и синкоп в рамото с пациенти на комбинирано лечение. Поради тази причина, едновременната употреба на телмисартан и рамиприл не се препоръчва при тази популация.</w:t>
      </w:r>
    </w:p>
    <w:p w14:paraId="40CA3636" w14:textId="77777777" w:rsidR="003900F2" w:rsidRPr="003900F2" w:rsidRDefault="003900F2" w:rsidP="003900F2">
      <w:pPr>
        <w:spacing w:line="240" w:lineRule="auto"/>
        <w:rPr>
          <w:rFonts w:eastAsia="Times New Roman" w:cs="Arial"/>
          <w:color w:val="000000"/>
          <w:lang w:eastAsia="bg-BG"/>
        </w:rPr>
      </w:pPr>
    </w:p>
    <w:p w14:paraId="1B3366B7" w14:textId="44746818"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В проучването „Профилактичен режим за ефективно предпазване от повторен мозъчен инсулт“ </w:t>
      </w:r>
      <w:r w:rsidRPr="003900F2">
        <w:rPr>
          <w:rFonts w:eastAsia="Times New Roman" w:cs="Arial"/>
          <w:color w:val="000000"/>
          <w:lang w:val="en-US"/>
        </w:rPr>
        <w:t>"Prevention Regimen For Effectively avoiding Second Strokes" (</w:t>
      </w:r>
      <w:proofErr w:type="spellStart"/>
      <w:r w:rsidRPr="003900F2">
        <w:rPr>
          <w:rFonts w:eastAsia="Times New Roman" w:cs="Arial"/>
          <w:color w:val="000000"/>
          <w:lang w:val="en-US"/>
        </w:rPr>
        <w:t>PRoFESS</w:t>
      </w:r>
      <w:proofErr w:type="spellEnd"/>
      <w:r w:rsidRPr="003900F2">
        <w:rPr>
          <w:rFonts w:eastAsia="Times New Roman" w:cs="Arial"/>
          <w:color w:val="000000"/>
          <w:lang w:val="en-US"/>
        </w:rPr>
        <w:t xml:space="preserve">) </w:t>
      </w:r>
      <w:r w:rsidRPr="003900F2">
        <w:rPr>
          <w:rFonts w:eastAsia="Times New Roman" w:cs="Arial"/>
          <w:color w:val="000000"/>
          <w:lang w:eastAsia="bg-BG"/>
        </w:rPr>
        <w:t xml:space="preserve">при пациенти на </w:t>
      </w:r>
      <w:r w:rsidRPr="003900F2">
        <w:rPr>
          <w:rFonts w:eastAsia="Times New Roman" w:cs="Arial"/>
          <w:color w:val="000000"/>
          <w:lang w:val="en-US"/>
        </w:rPr>
        <w:t xml:space="preserve">50 </w:t>
      </w:r>
      <w:r w:rsidRPr="003900F2">
        <w:rPr>
          <w:rFonts w:eastAsia="Times New Roman" w:cs="Arial"/>
          <w:color w:val="000000"/>
          <w:lang w:eastAsia="bg-BG"/>
        </w:rPr>
        <w:t xml:space="preserve">години или по-възрастни, които наскоро са получили мозъчен инсулт се забелязва повишена честота на възникване на сепсис при телмисартан в сравнение с плацебо, 0,70% спрямо 0,49% </w:t>
      </w:r>
      <w:r w:rsidRPr="003900F2">
        <w:rPr>
          <w:rFonts w:eastAsia="Times New Roman" w:cs="Arial"/>
          <w:color w:val="000000"/>
          <w:lang w:val="en-US"/>
        </w:rPr>
        <w:t xml:space="preserve">[RR </w:t>
      </w:r>
      <w:r w:rsidRPr="003900F2">
        <w:rPr>
          <w:rFonts w:eastAsia="Times New Roman" w:cs="Arial"/>
          <w:color w:val="000000"/>
          <w:lang w:eastAsia="bg-BG"/>
        </w:rPr>
        <w:t xml:space="preserve">1,43 (95% доверителен интервал 1,00-2,06)]; честотата на възникване на сепсис с фатален изход е повишена при пациентите, приемащи телмисартан (0,33%) спрямо пациентите на плацебо (0,16%) </w:t>
      </w:r>
      <w:r w:rsidRPr="003900F2">
        <w:rPr>
          <w:rFonts w:eastAsia="Times New Roman" w:cs="Arial"/>
          <w:color w:val="000000"/>
          <w:lang w:val="en-US"/>
        </w:rPr>
        <w:t xml:space="preserve">[RR </w:t>
      </w:r>
      <w:r w:rsidRPr="003900F2">
        <w:rPr>
          <w:rFonts w:eastAsia="Times New Roman" w:cs="Arial"/>
          <w:color w:val="000000"/>
          <w:lang w:eastAsia="bg-BG"/>
        </w:rPr>
        <w:t>2,07 (95% доверителен интервал 1,14-3,76)]. Наблюдаваната повишена честота на възникване на сепсис, свързана с употребата на телмисартан може да е случайно открита или да е свързана с механизъм, който е непознат за момента.</w:t>
      </w:r>
    </w:p>
    <w:p w14:paraId="01951C7F" w14:textId="77777777" w:rsidR="003900F2" w:rsidRPr="003900F2" w:rsidRDefault="003900F2" w:rsidP="003900F2">
      <w:pPr>
        <w:spacing w:line="240" w:lineRule="auto"/>
        <w:rPr>
          <w:rFonts w:eastAsia="Times New Roman" w:cs="Arial"/>
          <w:color w:val="000000"/>
          <w:lang w:eastAsia="bg-BG"/>
        </w:rPr>
      </w:pPr>
    </w:p>
    <w:p w14:paraId="1DF83AD9" w14:textId="288E9920"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Две големи рандомизирани контролирани проучвания - </w:t>
      </w:r>
      <w:r w:rsidRPr="003900F2">
        <w:rPr>
          <w:rFonts w:eastAsia="Times New Roman" w:cs="Arial"/>
          <w:color w:val="000000"/>
          <w:lang w:val="en-US"/>
        </w:rPr>
        <w:t xml:space="preserve">ONTARGET (Ongoing Telmisartan Alone and in combination with Ramipril Global Endpoint Trial - </w:t>
      </w:r>
      <w:r w:rsidRPr="003900F2">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3900F2">
        <w:rPr>
          <w:rFonts w:eastAsia="Times New Roman" w:cs="Arial"/>
          <w:color w:val="000000"/>
          <w:lang w:val="en-US"/>
        </w:rPr>
        <w:t xml:space="preserve">VA NEPHRON-D </w:t>
      </w:r>
      <w:r w:rsidRPr="003900F2">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3900F2">
        <w:rPr>
          <w:rFonts w:eastAsia="Times New Roman" w:cs="Arial"/>
          <w:color w:val="000000"/>
          <w:lang w:val="en-US"/>
        </w:rPr>
        <w:t>II</w:t>
      </w:r>
      <w:r w:rsidRPr="003900F2">
        <w:rPr>
          <w:rFonts w:eastAsia="Times New Roman" w:cs="Arial"/>
          <w:color w:val="000000"/>
          <w:lang w:eastAsia="bg-BG"/>
        </w:rPr>
        <w:t>-рецепторен блокер.</w:t>
      </w:r>
    </w:p>
    <w:p w14:paraId="56F64B6E"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val="en-US"/>
        </w:rPr>
        <w:t xml:space="preserve">ONTARGET </w:t>
      </w:r>
      <w:r w:rsidRPr="003900F2">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За по-детайлна информация вижте в „Профилактика на сърдечно-съдови инциденти“.</w:t>
      </w:r>
    </w:p>
    <w:p w14:paraId="41B8A86E"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val="en-US"/>
        </w:rPr>
        <w:lastRenderedPageBreak/>
        <w:t xml:space="preserve">VA NEPHRON-D </w:t>
      </w:r>
      <w:r w:rsidRPr="003900F2">
        <w:rPr>
          <w:rFonts w:eastAsia="Times New Roman" w:cs="Arial"/>
          <w:color w:val="00000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w:t>
      </w:r>
      <w:r w:rsidRPr="003900F2">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3900F2">
        <w:rPr>
          <w:rFonts w:eastAsia="Times New Roman" w:cs="Arial"/>
          <w:color w:val="000000"/>
          <w:lang w:val="en-US"/>
        </w:rPr>
        <w:t>II</w:t>
      </w:r>
      <w:r w:rsidRPr="003900F2">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63ECDB0B" w14:textId="77777777" w:rsidR="003900F2" w:rsidRPr="003900F2" w:rsidRDefault="003900F2" w:rsidP="003900F2">
      <w:pPr>
        <w:spacing w:line="240" w:lineRule="auto"/>
        <w:rPr>
          <w:rFonts w:eastAsia="Times New Roman" w:cs="Arial"/>
          <w:color w:val="000000"/>
          <w:lang w:val="en-US"/>
        </w:rPr>
      </w:pPr>
    </w:p>
    <w:p w14:paraId="64226C42" w14:textId="5072ECA2" w:rsidR="003900F2" w:rsidRPr="003900F2" w:rsidRDefault="003900F2" w:rsidP="003900F2">
      <w:pPr>
        <w:spacing w:line="240" w:lineRule="auto"/>
        <w:rPr>
          <w:rFonts w:eastAsia="Times New Roman" w:cs="Arial"/>
          <w:lang w:eastAsia="bg-BG"/>
        </w:rPr>
      </w:pPr>
      <w:r w:rsidRPr="003900F2">
        <w:rPr>
          <w:rFonts w:eastAsia="Times New Roman" w:cs="Arial"/>
          <w:color w:val="000000"/>
          <w:lang w:val="en-US"/>
        </w:rPr>
        <w:t xml:space="preserve">ALTITUDE </w:t>
      </w:r>
      <w:r w:rsidRPr="003900F2">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3900F2">
        <w:rPr>
          <w:rFonts w:eastAsia="Times New Roman" w:cs="Arial"/>
          <w:color w:val="000000"/>
          <w:lang w:val="en-US"/>
        </w:rPr>
        <w:t>II</w:t>
      </w:r>
      <w:r w:rsidRPr="003900F2">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w:t>
      </w:r>
      <w:r w:rsidRPr="003900F2">
        <w:rPr>
          <w:rFonts w:eastAsia="Times New Roman" w:cs="Arial"/>
          <w:color w:val="000000"/>
          <w:u w:val="single"/>
          <w:lang w:eastAsia="bg-BG"/>
        </w:rPr>
        <w:t xml:space="preserve">ни </w:t>
      </w:r>
      <w:r w:rsidRPr="003900F2">
        <w:rPr>
          <w:rFonts w:eastAsia="Times New Roman" w:cs="Arial"/>
          <w:color w:val="000000"/>
          <w:lang w:eastAsia="bg-BG"/>
        </w:rPr>
        <w:t>събития (хиперкалиемия, хипотония и бъбречна дисфункция) се съобщават по-често в групата на алискирен, отколкото в групата на плацебо.</w:t>
      </w:r>
    </w:p>
    <w:p w14:paraId="005B3863" w14:textId="77777777" w:rsidR="003900F2" w:rsidRPr="003900F2" w:rsidRDefault="003900F2" w:rsidP="003900F2">
      <w:pPr>
        <w:spacing w:line="240" w:lineRule="auto"/>
        <w:rPr>
          <w:rFonts w:eastAsia="Times New Roman" w:cs="Arial"/>
          <w:color w:val="000000"/>
          <w:lang w:eastAsia="bg-BG"/>
        </w:rPr>
      </w:pPr>
    </w:p>
    <w:p w14:paraId="513964DE" w14:textId="468EDEE5"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Епидемиологичните проучвания показват, че дългосрочното лечение с хидрохлоротиазид намалява риска от сърдечно-съдова болестност и смъртност.</w:t>
      </w:r>
    </w:p>
    <w:p w14:paraId="7209C21E" w14:textId="7B68F9B2" w:rsidR="003900F2" w:rsidRPr="003900F2" w:rsidRDefault="003900F2" w:rsidP="003900F2">
      <w:pPr>
        <w:spacing w:line="240" w:lineRule="auto"/>
        <w:rPr>
          <w:rFonts w:eastAsia="Times New Roman" w:cs="Arial"/>
          <w:color w:val="000000"/>
          <w:lang w:eastAsia="bg-BG"/>
        </w:rPr>
      </w:pPr>
    </w:p>
    <w:p w14:paraId="291EBCF8"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Към момента ефектите на фиксираната дозова комбинация на телмисартан/хидрохлоротиазид върху смъртността и сърдечно-съдовата болестност не са известни.</w:t>
      </w:r>
    </w:p>
    <w:p w14:paraId="1CAFEC1C" w14:textId="77777777" w:rsidR="003900F2" w:rsidRPr="003900F2" w:rsidRDefault="003900F2" w:rsidP="003900F2">
      <w:pPr>
        <w:spacing w:line="240" w:lineRule="auto"/>
        <w:rPr>
          <w:rFonts w:eastAsia="Times New Roman" w:cs="Arial"/>
          <w:color w:val="000000"/>
          <w:u w:val="single"/>
          <w:lang w:eastAsia="bg-BG"/>
        </w:rPr>
      </w:pPr>
    </w:p>
    <w:p w14:paraId="1B443F9A" w14:textId="6465490A"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Немеланомен рак на кожата:</w:t>
      </w:r>
    </w:p>
    <w:p w14:paraId="2448B1B1"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3900F2">
        <w:rPr>
          <w:rFonts w:eastAsia="Times New Roman" w:cs="Arial"/>
          <w:color w:val="000000"/>
          <w:lang w:val="en-US"/>
        </w:rPr>
        <w:t xml:space="preserve">mg) </w:t>
      </w:r>
      <w:r w:rsidRPr="003900F2">
        <w:rPr>
          <w:rFonts w:eastAsia="Times New Roman" w:cs="Arial"/>
          <w:color w:val="000000"/>
          <w:lang w:eastAsia="bg-BG"/>
        </w:rPr>
        <w:t xml:space="preserve">е свързана с коригиран </w:t>
      </w:r>
      <w:r w:rsidRPr="003900F2">
        <w:rPr>
          <w:rFonts w:eastAsia="Times New Roman" w:cs="Arial"/>
          <w:color w:val="000000"/>
          <w:lang w:val="en-US"/>
        </w:rPr>
        <w:t xml:space="preserve">OR </w:t>
      </w:r>
      <w:r w:rsidRPr="003900F2">
        <w:rPr>
          <w:rFonts w:eastAsia="Times New Roman" w:cs="Arial"/>
          <w:color w:val="000000"/>
          <w:lang w:eastAsia="bg-BG"/>
        </w:rPr>
        <w:t xml:space="preserve">1,29 (95% ДИ: 1,23 - 1,35)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3900F2">
        <w:rPr>
          <w:rFonts w:eastAsia="Times New Roman" w:cs="Arial"/>
          <w:color w:val="000000"/>
          <w:lang w:val="en-US"/>
        </w:rPr>
        <w:t xml:space="preserve">OR </w:t>
      </w:r>
      <w:r w:rsidRPr="003900F2">
        <w:rPr>
          <w:rFonts w:eastAsia="Times New Roman" w:cs="Arial"/>
          <w:color w:val="000000"/>
          <w:lang w:eastAsia="bg-BG"/>
        </w:rPr>
        <w:t xml:space="preserve">2Д (95% ДИ: 1,7 - 2,6), нарастващ до </w:t>
      </w:r>
      <w:r w:rsidRPr="003900F2">
        <w:rPr>
          <w:rFonts w:eastAsia="Times New Roman" w:cs="Arial"/>
          <w:color w:val="000000"/>
          <w:lang w:val="en-US"/>
        </w:rPr>
        <w:t xml:space="preserve">OR </w:t>
      </w:r>
      <w:r w:rsidRPr="003900F2">
        <w:rPr>
          <w:rFonts w:eastAsia="Times New Roman" w:cs="Arial"/>
          <w:color w:val="000000"/>
          <w:lang w:eastAsia="bg-BG"/>
        </w:rPr>
        <w:t xml:space="preserve">3,9 (3,0 - 4,9) за висока употреба (~ 25 000 </w:t>
      </w:r>
      <w:r w:rsidRPr="003900F2">
        <w:rPr>
          <w:rFonts w:eastAsia="Times New Roman" w:cs="Arial"/>
          <w:color w:val="000000"/>
          <w:lang w:val="en-US"/>
        </w:rPr>
        <w:t xml:space="preserve">mg) </w:t>
      </w:r>
      <w:r w:rsidRPr="003900F2">
        <w:rPr>
          <w:rFonts w:eastAsia="Times New Roman" w:cs="Arial"/>
          <w:color w:val="000000"/>
          <w:lang w:eastAsia="bg-BG"/>
        </w:rPr>
        <w:t xml:space="preserve">и </w:t>
      </w:r>
      <w:r w:rsidRPr="003900F2">
        <w:rPr>
          <w:rFonts w:eastAsia="Times New Roman" w:cs="Arial"/>
          <w:color w:val="000000"/>
          <w:lang w:val="en-US"/>
        </w:rPr>
        <w:t xml:space="preserve">OR </w:t>
      </w:r>
      <w:r w:rsidRPr="003900F2">
        <w:rPr>
          <w:rFonts w:eastAsia="Times New Roman" w:cs="Arial"/>
          <w:color w:val="000000"/>
          <w:lang w:eastAsia="bg-BG"/>
        </w:rPr>
        <w:t xml:space="preserve">7,7 (5,7 -10,5) за най-високата кумулативна доза (~ 100 000 </w:t>
      </w:r>
      <w:r w:rsidRPr="003900F2">
        <w:rPr>
          <w:rFonts w:eastAsia="Times New Roman" w:cs="Arial"/>
          <w:color w:val="000000"/>
          <w:lang w:val="en-US"/>
        </w:rPr>
        <w:t xml:space="preserve">mg) </w:t>
      </w:r>
      <w:r w:rsidRPr="003900F2">
        <w:rPr>
          <w:rFonts w:eastAsia="Times New Roman" w:cs="Arial"/>
          <w:color w:val="000000"/>
          <w:lang w:eastAsia="bg-BG"/>
        </w:rPr>
        <w:t>(вж. също точка 4.4).</w:t>
      </w:r>
    </w:p>
    <w:p w14:paraId="727FD6FA" w14:textId="77777777" w:rsidR="003900F2" w:rsidRPr="003900F2" w:rsidRDefault="003900F2" w:rsidP="003900F2">
      <w:pPr>
        <w:spacing w:line="240" w:lineRule="auto"/>
        <w:rPr>
          <w:rFonts w:eastAsia="Times New Roman" w:cs="Arial"/>
          <w:color w:val="000000"/>
          <w:u w:val="single"/>
          <w:lang w:eastAsia="bg-BG"/>
        </w:rPr>
      </w:pPr>
    </w:p>
    <w:p w14:paraId="13D5965D" w14:textId="2401C218" w:rsidR="003900F2" w:rsidRPr="003900F2" w:rsidRDefault="003900F2" w:rsidP="003900F2">
      <w:pPr>
        <w:spacing w:line="240" w:lineRule="auto"/>
        <w:rPr>
          <w:rFonts w:eastAsia="Times New Roman" w:cs="Arial"/>
          <w:lang w:eastAsia="bg-BG"/>
        </w:rPr>
      </w:pPr>
      <w:r w:rsidRPr="003900F2">
        <w:rPr>
          <w:rFonts w:eastAsia="Times New Roman" w:cs="Arial"/>
          <w:color w:val="000000"/>
          <w:u w:val="single"/>
          <w:lang w:eastAsia="bg-BG"/>
        </w:rPr>
        <w:t>Педиатрична популация</w:t>
      </w:r>
    </w:p>
    <w:p w14:paraId="03F63712" w14:textId="77777777" w:rsidR="003900F2" w:rsidRPr="003900F2" w:rsidRDefault="003900F2" w:rsidP="003900F2">
      <w:pPr>
        <w:spacing w:line="240" w:lineRule="auto"/>
        <w:rPr>
          <w:rFonts w:eastAsia="Times New Roman" w:cs="Arial"/>
          <w:lang w:eastAsia="bg-BG"/>
        </w:rPr>
      </w:pPr>
      <w:r w:rsidRPr="003900F2">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телмисартан/хидрохлоротиазид във всички подгрупи на педиатричната популация при хипертония (вж. точка 4.2 за информация относно употреба в педиатрията).</w:t>
      </w:r>
    </w:p>
    <w:p w14:paraId="05402B29" w14:textId="77777777" w:rsidR="003900F2" w:rsidRPr="003900F2" w:rsidRDefault="003900F2" w:rsidP="003900F2">
      <w:pPr>
        <w:spacing w:line="240" w:lineRule="auto"/>
        <w:rPr>
          <w:rFonts w:ascii="Times New Roman" w:eastAsia="Times New Roman" w:hAnsi="Times New Roman" w:cs="Times New Roman"/>
          <w:color w:val="000000"/>
          <w:sz w:val="20"/>
          <w:szCs w:val="20"/>
          <w:lang w:eastAsia="bg-BG"/>
        </w:rPr>
      </w:pPr>
    </w:p>
    <w:p w14:paraId="173D7F1D" w14:textId="29203562" w:rsidR="00EE6C97" w:rsidRDefault="002C50EE" w:rsidP="00A93499">
      <w:pPr>
        <w:pStyle w:val="Heading2"/>
      </w:pPr>
      <w:r>
        <w:t>5.2. Фармакокинетични свойства</w:t>
      </w:r>
    </w:p>
    <w:p w14:paraId="53ACA8B9" w14:textId="21D19CEC" w:rsidR="003900F2" w:rsidRDefault="003900F2" w:rsidP="003900F2"/>
    <w:p w14:paraId="41E0BF76"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lastRenderedPageBreak/>
        <w:t>Едновременното приложение на хидрохлоротиазид и телмисартан при здрави индивиди не променя фармакокинетиката на която и да е от съставките.</w:t>
      </w:r>
    </w:p>
    <w:p w14:paraId="7600C2F3" w14:textId="77777777" w:rsidR="003900F2" w:rsidRPr="003900F2" w:rsidRDefault="003900F2" w:rsidP="003900F2">
      <w:pPr>
        <w:spacing w:line="240" w:lineRule="auto"/>
        <w:rPr>
          <w:rFonts w:eastAsia="Times New Roman" w:cs="Arial"/>
          <w:color w:val="000000"/>
          <w:u w:val="single"/>
          <w:lang w:eastAsia="bg-BG"/>
        </w:rPr>
      </w:pPr>
    </w:p>
    <w:p w14:paraId="661DE8DB" w14:textId="669B7C69"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Абсорбция</w:t>
      </w:r>
    </w:p>
    <w:p w14:paraId="43F4C7C6" w14:textId="77777777" w:rsidR="003900F2" w:rsidRPr="003900F2" w:rsidRDefault="003900F2" w:rsidP="003900F2">
      <w:pPr>
        <w:spacing w:line="240" w:lineRule="auto"/>
        <w:rPr>
          <w:rFonts w:eastAsia="Times New Roman" w:cs="Arial"/>
          <w:color w:val="000000"/>
          <w:lang w:eastAsia="bg-BG"/>
        </w:rPr>
      </w:pPr>
    </w:p>
    <w:p w14:paraId="5683EF92" w14:textId="77777777" w:rsidR="003900F2" w:rsidRPr="003900F2" w:rsidRDefault="003900F2" w:rsidP="003900F2">
      <w:pPr>
        <w:spacing w:line="240" w:lineRule="auto"/>
        <w:rPr>
          <w:rFonts w:eastAsia="Times New Roman" w:cs="Arial"/>
          <w:color w:val="000000"/>
          <w:lang w:eastAsia="bg-BG"/>
        </w:rPr>
      </w:pPr>
      <w:r w:rsidRPr="003900F2">
        <w:rPr>
          <w:rFonts w:eastAsia="Times New Roman" w:cs="Arial"/>
          <w:color w:val="000000"/>
          <w:lang w:eastAsia="bg-BG"/>
        </w:rPr>
        <w:t xml:space="preserve">Телмисартан: Пиковите концентрации на телмисартан се постигат в рамките на 0,5-1,5 </w:t>
      </w:r>
      <w:r w:rsidRPr="003900F2">
        <w:rPr>
          <w:rFonts w:eastAsia="Times New Roman" w:cs="Arial"/>
          <w:color w:val="000000"/>
          <w:lang w:val="en-US"/>
        </w:rPr>
        <w:t xml:space="preserve">h </w:t>
      </w:r>
      <w:r w:rsidRPr="003900F2">
        <w:rPr>
          <w:rFonts w:eastAsia="Times New Roman" w:cs="Arial"/>
          <w:color w:val="000000"/>
          <w:lang w:eastAsia="bg-BG"/>
        </w:rPr>
        <w:t xml:space="preserve">след перорален прием. Абсолютната бионаличност на телмисартан в дози 40 </w:t>
      </w:r>
      <w:r w:rsidRPr="003900F2">
        <w:rPr>
          <w:rFonts w:eastAsia="Times New Roman" w:cs="Arial"/>
          <w:color w:val="000000"/>
          <w:lang w:val="en-US"/>
        </w:rPr>
        <w:t xml:space="preserve">mg </w:t>
      </w:r>
      <w:r w:rsidRPr="003900F2">
        <w:rPr>
          <w:rFonts w:eastAsia="Times New Roman" w:cs="Arial"/>
          <w:color w:val="000000"/>
          <w:lang w:eastAsia="bg-BG"/>
        </w:rPr>
        <w:t xml:space="preserve">и 160 </w:t>
      </w:r>
      <w:r w:rsidRPr="003900F2">
        <w:rPr>
          <w:rFonts w:eastAsia="Times New Roman" w:cs="Arial"/>
          <w:color w:val="000000"/>
          <w:lang w:val="en-US"/>
        </w:rPr>
        <w:t xml:space="preserve">mg </w:t>
      </w:r>
      <w:r w:rsidRPr="003900F2">
        <w:rPr>
          <w:rFonts w:eastAsia="Times New Roman" w:cs="Arial"/>
          <w:color w:val="000000"/>
          <w:lang w:eastAsia="bg-BG"/>
        </w:rPr>
        <w:t xml:space="preserve">е съответно 42% и 58%. Храната леко снижава бионаличността на телмисартан като редукцията на областта под кривата плазмена концентрация-време </w:t>
      </w:r>
      <w:r w:rsidRPr="003900F2">
        <w:rPr>
          <w:rFonts w:eastAsia="Times New Roman" w:cs="Arial"/>
          <w:color w:val="000000"/>
          <w:lang w:val="en-US"/>
        </w:rPr>
        <w:t xml:space="preserve">(AUC) </w:t>
      </w:r>
      <w:r w:rsidRPr="003900F2">
        <w:rPr>
          <w:rFonts w:eastAsia="Times New Roman" w:cs="Arial"/>
          <w:color w:val="000000"/>
          <w:lang w:eastAsia="bg-BG"/>
        </w:rPr>
        <w:t xml:space="preserve">на телмисартан е от около 6% при 40 </w:t>
      </w:r>
      <w:r w:rsidRPr="003900F2">
        <w:rPr>
          <w:rFonts w:eastAsia="Times New Roman" w:cs="Arial"/>
          <w:color w:val="000000"/>
          <w:lang w:val="en-US"/>
        </w:rPr>
        <w:t xml:space="preserve">mg </w:t>
      </w:r>
      <w:r w:rsidRPr="003900F2">
        <w:rPr>
          <w:rFonts w:eastAsia="Times New Roman" w:cs="Arial"/>
          <w:color w:val="000000"/>
          <w:lang w:eastAsia="bg-BG"/>
        </w:rPr>
        <w:t xml:space="preserve">таблетка и около 19% след 160 </w:t>
      </w:r>
      <w:r w:rsidRPr="003900F2">
        <w:rPr>
          <w:rFonts w:eastAsia="Times New Roman" w:cs="Arial"/>
          <w:color w:val="000000"/>
          <w:lang w:val="en-US"/>
        </w:rPr>
        <w:t xml:space="preserve">mg </w:t>
      </w:r>
      <w:r w:rsidRPr="003900F2">
        <w:rPr>
          <w:rFonts w:eastAsia="Times New Roman" w:cs="Arial"/>
          <w:color w:val="000000"/>
          <w:lang w:eastAsia="bg-BG"/>
        </w:rPr>
        <w:t xml:space="preserve">доза. 3 часа след приложение плазмените концентрации са подобни, независимо дали телмисартан е приложен на гладно или с храна. Не се очаква слабата редукция в </w:t>
      </w:r>
      <w:r w:rsidRPr="003900F2">
        <w:rPr>
          <w:rFonts w:eastAsia="Times New Roman" w:cs="Arial"/>
          <w:color w:val="000000"/>
          <w:lang w:val="en-US"/>
        </w:rPr>
        <w:t xml:space="preserve">AUC </w:t>
      </w:r>
      <w:r w:rsidRPr="003900F2">
        <w:rPr>
          <w:rFonts w:eastAsia="Times New Roman" w:cs="Arial"/>
          <w:color w:val="000000"/>
          <w:lang w:eastAsia="bg-BG"/>
        </w:rPr>
        <w:t xml:space="preserve">да предизвика редукция в терапевтичната </w:t>
      </w:r>
    </w:p>
    <w:p w14:paraId="247B1558" w14:textId="20A0DE7C"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ефикасност. Телмисартан не кумулира значително в плазмата при повторно приложение.</w:t>
      </w:r>
    </w:p>
    <w:p w14:paraId="46578C8E" w14:textId="77777777" w:rsidR="003900F2" w:rsidRPr="003900F2" w:rsidRDefault="003900F2" w:rsidP="003900F2">
      <w:pPr>
        <w:spacing w:line="240" w:lineRule="auto"/>
        <w:rPr>
          <w:rFonts w:eastAsia="Times New Roman" w:cs="Arial"/>
          <w:color w:val="000000"/>
          <w:lang w:eastAsia="bg-BG"/>
        </w:rPr>
      </w:pPr>
    </w:p>
    <w:p w14:paraId="20EE8725" w14:textId="1E8A9A8B"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Хидрохлоротиазид: Пиковите концентрации на хидрохлоротиазид се постигат в рамките на приблизително 1,0-3,0 часа след перорален прием на телмисартан/хидрохлоротиазид. Абсолютната бионаличност, базирана на кумулативната ренална екскреция на хидрохлоротиазид, е около 60%.</w:t>
      </w:r>
    </w:p>
    <w:p w14:paraId="578DBB43" w14:textId="77777777" w:rsidR="003900F2" w:rsidRPr="003900F2" w:rsidRDefault="003900F2" w:rsidP="003900F2">
      <w:pPr>
        <w:spacing w:line="240" w:lineRule="auto"/>
        <w:rPr>
          <w:rFonts w:eastAsia="Times New Roman" w:cs="Arial"/>
          <w:color w:val="000000"/>
          <w:u w:val="single"/>
          <w:lang w:eastAsia="bg-BG"/>
        </w:rPr>
      </w:pPr>
    </w:p>
    <w:p w14:paraId="79C3566D" w14:textId="27B7F70F"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Разпределение</w:t>
      </w:r>
    </w:p>
    <w:p w14:paraId="55D79872"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Телмисартан се свързва в голяма степен с плазмените протеини (&gt;99,5%), главно с албумин и алфа 1-кисел глюкопротеин. Средният привиден обем на разпределение на телмисартан е около 500 литра, което показва допълнително тъканно свързване.</w:t>
      </w:r>
    </w:p>
    <w:p w14:paraId="4B002933"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Хидрохлоротиазид се свързва в 68% с плазмените протеини и привидният му обем на разпределение е 0,83-1,14</w:t>
      </w:r>
      <w:r w:rsidRPr="003900F2">
        <w:rPr>
          <w:rFonts w:eastAsia="Times New Roman" w:cs="Arial"/>
          <w:color w:val="000000"/>
          <w:lang w:val="en-US"/>
        </w:rPr>
        <w:t>1/kg.</w:t>
      </w:r>
    </w:p>
    <w:p w14:paraId="3F42B57F" w14:textId="77777777" w:rsidR="003900F2" w:rsidRPr="003900F2" w:rsidRDefault="003900F2" w:rsidP="003900F2">
      <w:pPr>
        <w:spacing w:line="240" w:lineRule="auto"/>
        <w:rPr>
          <w:rFonts w:eastAsia="Times New Roman" w:cs="Arial"/>
          <w:color w:val="000000"/>
          <w:u w:val="single"/>
          <w:lang w:eastAsia="bg-BG"/>
        </w:rPr>
      </w:pPr>
    </w:p>
    <w:p w14:paraId="603976EC" w14:textId="7355D7BF"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Биотрансформация</w:t>
      </w:r>
    </w:p>
    <w:p w14:paraId="17941D12"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Телмисартан се метаболизира чрез конюгация като образува фармакологично неактивен</w:t>
      </w:r>
    </w:p>
    <w:p w14:paraId="312A528D" w14:textId="77777777" w:rsidR="003900F2" w:rsidRPr="003900F2" w:rsidRDefault="003900F2" w:rsidP="003900F2">
      <w:pPr>
        <w:rPr>
          <w:rFonts w:eastAsia="Times New Roman" w:cs="Arial"/>
          <w:sz w:val="28"/>
          <w:szCs w:val="28"/>
          <w:lang w:eastAsia="bg-BG"/>
        </w:rPr>
      </w:pPr>
      <w:r w:rsidRPr="003900F2">
        <w:rPr>
          <w:rFonts w:eastAsia="Times New Roman" w:cs="Arial"/>
          <w:color w:val="000000"/>
          <w:lang w:eastAsia="bg-BG"/>
        </w:rPr>
        <w:t>ацилглюкорунид. Глюкорунидът на основното вещество е единственият метаболит идентифициран при човека. След еднократна доза телмисартан, белязан с радиоактивен</w:t>
      </w:r>
      <w:r w:rsidRPr="003900F2">
        <w:rPr>
          <w:rFonts w:eastAsia="Times New Roman" w:cs="Arial"/>
          <w:color w:val="000000"/>
          <w:lang w:eastAsia="bg-BG"/>
        </w:rPr>
        <w:t xml:space="preserve"> </w:t>
      </w:r>
      <w:r w:rsidRPr="003900F2">
        <w:rPr>
          <w:rFonts w:eastAsia="Times New Roman" w:cs="Arial"/>
          <w:color w:val="000000"/>
          <w:lang w:eastAsia="bg-BG"/>
        </w:rPr>
        <w:t xml:space="preserve">въглерод </w:t>
      </w:r>
      <w:r w:rsidRPr="003900F2">
        <w:rPr>
          <w:rFonts w:eastAsia="Times New Roman" w:cs="Arial"/>
          <w:color w:val="000000"/>
          <w:vertAlign w:val="superscript"/>
          <w:lang w:eastAsia="bg-BG"/>
        </w:rPr>
        <w:t>14</w:t>
      </w:r>
      <w:r w:rsidRPr="003900F2">
        <w:rPr>
          <w:rFonts w:eastAsia="Times New Roman" w:cs="Arial"/>
          <w:color w:val="000000"/>
          <w:lang w:eastAsia="bg-BG"/>
        </w:rPr>
        <w:t>С, глюкорунидът представлява приблизително 11% от измерената радиоактивност в плазмата. Изоензимите на цитохром Р450 нямат участие в метаболизма на телмисартан. Хидрохлоротиазид не се метаболизира при хора.</w:t>
      </w:r>
    </w:p>
    <w:p w14:paraId="73E3EDBA" w14:textId="77777777" w:rsidR="003900F2" w:rsidRPr="003900F2" w:rsidRDefault="003900F2" w:rsidP="003900F2">
      <w:pPr>
        <w:spacing w:line="240" w:lineRule="auto"/>
        <w:rPr>
          <w:rFonts w:eastAsia="Times New Roman" w:cs="Arial"/>
          <w:color w:val="000000"/>
          <w:u w:val="single"/>
          <w:lang w:eastAsia="bg-BG"/>
        </w:rPr>
      </w:pPr>
    </w:p>
    <w:p w14:paraId="3FADC523" w14:textId="2E5E54B2"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Елиминиране</w:t>
      </w:r>
    </w:p>
    <w:p w14:paraId="0870A85C"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 xml:space="preserve">Телмисартан: Както след интравенозно, така и след перорално приложение на </w:t>
      </w:r>
      <w:r w:rsidRPr="003900F2">
        <w:rPr>
          <w:rFonts w:eastAsia="Times New Roman" w:cs="Arial"/>
          <w:color w:val="000000"/>
          <w:vertAlign w:val="superscript"/>
          <w:lang w:eastAsia="bg-BG"/>
        </w:rPr>
        <w:t>14</w:t>
      </w:r>
      <w:r w:rsidRPr="003900F2">
        <w:rPr>
          <w:rFonts w:eastAsia="Times New Roman" w:cs="Arial"/>
          <w:color w:val="000000"/>
          <w:lang w:eastAsia="bg-BG"/>
        </w:rPr>
        <w:t xml:space="preserve">С-белязан телмисартан, по-голямата част от приетата доза (&gt;97%) се елиминира с изпражненията чрез билиарна екскреция. В урината се откриват само незначителни количества. Тоталния плазмен клирънс на телмисартан след перорално приложение е &gt;1500 </w:t>
      </w:r>
      <w:r w:rsidRPr="003900F2">
        <w:rPr>
          <w:rFonts w:eastAsia="Times New Roman" w:cs="Arial"/>
          <w:color w:val="000000"/>
          <w:lang w:val="en-US"/>
        </w:rPr>
        <w:t xml:space="preserve">ml/min. </w:t>
      </w:r>
      <w:r w:rsidRPr="003900F2">
        <w:rPr>
          <w:rFonts w:eastAsia="Times New Roman" w:cs="Arial"/>
          <w:color w:val="000000"/>
          <w:lang w:eastAsia="bg-BG"/>
        </w:rPr>
        <w:t>Терминалният полуживот на елиминиране е &gt;20 часа.</w:t>
      </w:r>
    </w:p>
    <w:p w14:paraId="2142334C" w14:textId="77777777" w:rsidR="003900F2" w:rsidRPr="003900F2" w:rsidRDefault="003900F2" w:rsidP="003900F2">
      <w:pPr>
        <w:spacing w:line="240" w:lineRule="auto"/>
        <w:rPr>
          <w:rFonts w:eastAsia="Times New Roman" w:cs="Arial"/>
          <w:color w:val="000000"/>
          <w:lang w:eastAsia="bg-BG"/>
        </w:rPr>
      </w:pPr>
    </w:p>
    <w:p w14:paraId="64F78053" w14:textId="0A23FA33"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 xml:space="preserve">Хидрохлоротиазид се екскретира изцяло непроменен с урината. Около 60% от пероралната доза се елиминира непроменена до 48 часа. Бъбречният клирънс е около 250 - 300 </w:t>
      </w:r>
      <w:r w:rsidRPr="003900F2">
        <w:rPr>
          <w:rFonts w:eastAsia="Times New Roman" w:cs="Arial"/>
          <w:color w:val="000000"/>
          <w:lang w:val="en-US"/>
        </w:rPr>
        <w:t>ml/min.</w:t>
      </w:r>
    </w:p>
    <w:p w14:paraId="0602E51F"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Терминалният елиминационен полуживот на хидрохлоротиазид е 10 -15 часа.</w:t>
      </w:r>
    </w:p>
    <w:p w14:paraId="11A48F1B" w14:textId="77777777" w:rsidR="003900F2" w:rsidRPr="003900F2" w:rsidRDefault="003900F2" w:rsidP="003900F2">
      <w:pPr>
        <w:spacing w:line="240" w:lineRule="auto"/>
        <w:rPr>
          <w:rFonts w:eastAsia="Times New Roman" w:cs="Arial"/>
          <w:color w:val="000000"/>
          <w:u w:val="single"/>
          <w:lang w:eastAsia="bg-BG"/>
        </w:rPr>
      </w:pPr>
    </w:p>
    <w:p w14:paraId="381C7821" w14:textId="03B6AA01"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Линейност/нелинейност</w:t>
      </w:r>
    </w:p>
    <w:p w14:paraId="373967B9"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lastRenderedPageBreak/>
        <w:t xml:space="preserve">Телмисартан: фармакокинетиката на перорално приложения телмисартан с дози от 20-60 </w:t>
      </w:r>
      <w:r w:rsidRPr="003900F2">
        <w:rPr>
          <w:rFonts w:eastAsia="Times New Roman" w:cs="Arial"/>
          <w:color w:val="000000"/>
          <w:lang w:val="en-US"/>
        </w:rPr>
        <w:t xml:space="preserve">mg </w:t>
      </w:r>
      <w:r w:rsidRPr="003900F2">
        <w:rPr>
          <w:rFonts w:eastAsia="Times New Roman" w:cs="Arial"/>
          <w:color w:val="000000"/>
          <w:lang w:eastAsia="bg-BG"/>
        </w:rPr>
        <w:t xml:space="preserve">е нелинейна, като се наблюдава непропорционално повишение на плазмените концентрации </w:t>
      </w:r>
      <w:r w:rsidRPr="003900F2">
        <w:rPr>
          <w:rFonts w:eastAsia="Times New Roman" w:cs="Arial"/>
          <w:color w:val="000000"/>
          <w:lang w:val="en-US"/>
        </w:rPr>
        <w:t>(</w:t>
      </w:r>
      <w:proofErr w:type="spellStart"/>
      <w:r w:rsidRPr="003900F2">
        <w:rPr>
          <w:rFonts w:eastAsia="Times New Roman" w:cs="Arial"/>
          <w:color w:val="000000"/>
          <w:lang w:val="en-US"/>
        </w:rPr>
        <w:t>C</w:t>
      </w:r>
      <w:r w:rsidRPr="003900F2">
        <w:rPr>
          <w:rFonts w:eastAsia="Times New Roman" w:cs="Arial"/>
          <w:color w:val="000000"/>
          <w:vertAlign w:val="subscript"/>
          <w:lang w:val="en-US"/>
        </w:rPr>
        <w:t>max</w:t>
      </w:r>
      <w:proofErr w:type="spellEnd"/>
      <w:r w:rsidRPr="003900F2">
        <w:rPr>
          <w:rFonts w:eastAsia="Times New Roman" w:cs="Arial"/>
          <w:color w:val="000000"/>
          <w:lang w:val="en-US"/>
        </w:rPr>
        <w:t xml:space="preserve"> and AUC) </w:t>
      </w:r>
      <w:r w:rsidRPr="003900F2">
        <w:rPr>
          <w:rFonts w:eastAsia="Times New Roman" w:cs="Arial"/>
          <w:color w:val="000000"/>
          <w:lang w:eastAsia="bg-BG"/>
        </w:rPr>
        <w:t>с повишаване на дозата.</w:t>
      </w:r>
    </w:p>
    <w:p w14:paraId="304D06F7"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Хидрохлоротиазид показва линейна фармакокинетика.</w:t>
      </w:r>
    </w:p>
    <w:p w14:paraId="74C75244" w14:textId="77777777" w:rsidR="003900F2" w:rsidRPr="003900F2" w:rsidRDefault="003900F2" w:rsidP="003900F2">
      <w:pPr>
        <w:spacing w:line="240" w:lineRule="auto"/>
        <w:rPr>
          <w:rFonts w:eastAsia="Times New Roman" w:cs="Arial"/>
          <w:i/>
          <w:iCs/>
          <w:color w:val="000000"/>
          <w:lang w:eastAsia="bg-BG"/>
        </w:rPr>
      </w:pPr>
    </w:p>
    <w:p w14:paraId="1610F4A5" w14:textId="7112AEC3" w:rsidR="003900F2" w:rsidRPr="003900F2" w:rsidRDefault="003900F2" w:rsidP="003900F2">
      <w:pPr>
        <w:spacing w:line="240" w:lineRule="auto"/>
        <w:rPr>
          <w:rFonts w:eastAsia="Times New Roman" w:cs="Arial"/>
          <w:sz w:val="28"/>
          <w:szCs w:val="28"/>
          <w:lang w:eastAsia="bg-BG"/>
        </w:rPr>
      </w:pPr>
      <w:r w:rsidRPr="003900F2">
        <w:rPr>
          <w:rFonts w:eastAsia="Times New Roman" w:cs="Arial"/>
          <w:i/>
          <w:iCs/>
          <w:color w:val="000000"/>
          <w:lang w:eastAsia="bg-BG"/>
        </w:rPr>
        <w:t>Специални популации</w:t>
      </w:r>
    </w:p>
    <w:p w14:paraId="69FEE570" w14:textId="77777777" w:rsidR="003900F2" w:rsidRPr="003900F2" w:rsidRDefault="003900F2" w:rsidP="003900F2">
      <w:pPr>
        <w:spacing w:line="240" w:lineRule="auto"/>
        <w:rPr>
          <w:rFonts w:eastAsia="Times New Roman" w:cs="Arial"/>
          <w:color w:val="000000"/>
          <w:u w:val="single"/>
          <w:lang w:eastAsia="bg-BG"/>
        </w:rPr>
      </w:pPr>
    </w:p>
    <w:p w14:paraId="23861949" w14:textId="1DABFC68"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Старческа възраст</w:t>
      </w:r>
    </w:p>
    <w:p w14:paraId="6A84D9F6"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Фармакокинетиката на телмисартан не се различава между пациенти в старческа възраст и тези по-млади от 65 години.</w:t>
      </w:r>
    </w:p>
    <w:p w14:paraId="24031014" w14:textId="77777777" w:rsidR="003900F2" w:rsidRPr="003900F2" w:rsidRDefault="003900F2" w:rsidP="003900F2">
      <w:pPr>
        <w:spacing w:line="240" w:lineRule="auto"/>
        <w:rPr>
          <w:rFonts w:eastAsia="Times New Roman" w:cs="Arial"/>
          <w:color w:val="000000"/>
          <w:u w:val="single"/>
          <w:lang w:eastAsia="bg-BG"/>
        </w:rPr>
      </w:pPr>
    </w:p>
    <w:p w14:paraId="05AAA769" w14:textId="72B4FAB6"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Пол</w:t>
      </w:r>
    </w:p>
    <w:p w14:paraId="7EE50FFA"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При жени плазмените концентрации на телмисартан обичайно са 2-3 пъти по-високи, отколкото при мъже. В клиничните проучвания, обаче, при жени не се наблюдават значимо увеличен отговор на кръвното налягане или честотата на ортостатична хипотония. Не се налага коригиране на дозата. При жени има тенденция към по-високи плазмени нива на хидрохлоротиазид, отколкото при мъже. Това обаче няма клинична значимост.</w:t>
      </w:r>
    </w:p>
    <w:p w14:paraId="42268F28" w14:textId="77777777" w:rsidR="003900F2" w:rsidRPr="003900F2" w:rsidRDefault="003900F2" w:rsidP="003900F2">
      <w:pPr>
        <w:spacing w:line="240" w:lineRule="auto"/>
        <w:rPr>
          <w:rFonts w:eastAsia="Times New Roman" w:cs="Arial"/>
          <w:color w:val="000000"/>
          <w:u w:val="single"/>
          <w:lang w:eastAsia="bg-BG"/>
        </w:rPr>
      </w:pPr>
    </w:p>
    <w:p w14:paraId="34A2E9CD" w14:textId="248CA1C4"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Бъбречно увреждане</w:t>
      </w:r>
    </w:p>
    <w:p w14:paraId="68F01A3D"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 xml:space="preserve">Бъбречната екскреция не допринася за клирънса на телмисартан. Според ограничения опит при пациенти с леко до средно тежко бъбречно увреждане (креатининов клирънс 30-60 </w:t>
      </w:r>
      <w:r w:rsidRPr="003900F2">
        <w:rPr>
          <w:rFonts w:eastAsia="Times New Roman" w:cs="Arial"/>
          <w:color w:val="000000"/>
          <w:lang w:val="en-US"/>
        </w:rPr>
        <w:t xml:space="preserve">ml/min, </w:t>
      </w:r>
      <w:r w:rsidRPr="003900F2">
        <w:rPr>
          <w:rFonts w:eastAsia="Times New Roman" w:cs="Arial"/>
          <w:color w:val="000000"/>
          <w:lang w:eastAsia="bg-BG"/>
        </w:rPr>
        <w:t xml:space="preserve">средно около 50 </w:t>
      </w:r>
      <w:r w:rsidRPr="003900F2">
        <w:rPr>
          <w:rFonts w:eastAsia="Times New Roman" w:cs="Arial"/>
          <w:color w:val="000000"/>
          <w:lang w:val="en-US"/>
        </w:rPr>
        <w:t xml:space="preserve">ml/min), </w:t>
      </w:r>
      <w:r w:rsidRPr="003900F2">
        <w:rPr>
          <w:rFonts w:eastAsia="Times New Roman" w:cs="Arial"/>
          <w:color w:val="000000"/>
          <w:lang w:eastAsia="bg-BG"/>
        </w:rPr>
        <w:t xml:space="preserve">не се налага коригиране на дозата при пациенти с намалена бъбречна функция. Телмисартан не може да бъде елиминиран от тялото при хемодиализа. При пациенти с нарушени бъбречни функции степента на елиминиране на хидрохлоротиазид е редуцирана. В едно типично проучване, включващо пациенти със среден креатининов клирънс 90 </w:t>
      </w:r>
      <w:r w:rsidRPr="003900F2">
        <w:rPr>
          <w:rFonts w:eastAsia="Times New Roman" w:cs="Arial"/>
          <w:color w:val="000000"/>
          <w:lang w:val="en-US"/>
        </w:rPr>
        <w:t xml:space="preserve">ml/min, </w:t>
      </w:r>
      <w:r w:rsidRPr="003900F2">
        <w:rPr>
          <w:rFonts w:eastAsia="Times New Roman" w:cs="Arial"/>
          <w:color w:val="000000"/>
          <w:lang w:eastAsia="bg-BG"/>
        </w:rPr>
        <w:t>полуживотът на елиминиране на хидрохлоротиазид се увеличава. При функционално анефрични пациенти елиминационният полуживот е около 34 часа.</w:t>
      </w:r>
    </w:p>
    <w:p w14:paraId="5313ED41" w14:textId="77777777" w:rsidR="003900F2" w:rsidRPr="003900F2" w:rsidRDefault="003900F2" w:rsidP="003900F2">
      <w:pPr>
        <w:spacing w:line="240" w:lineRule="auto"/>
        <w:rPr>
          <w:rFonts w:eastAsia="Times New Roman" w:cs="Arial"/>
          <w:color w:val="000000"/>
          <w:u w:val="single"/>
          <w:lang w:eastAsia="bg-BG"/>
        </w:rPr>
      </w:pPr>
    </w:p>
    <w:p w14:paraId="5E2B7BE9" w14:textId="5C4EB8C9"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Чернодробно увреждане</w:t>
      </w:r>
    </w:p>
    <w:p w14:paraId="017DC9CD" w14:textId="3E81C894" w:rsidR="003900F2" w:rsidRPr="003900F2" w:rsidRDefault="003900F2" w:rsidP="003900F2">
      <w:pPr>
        <w:rPr>
          <w:rFonts w:eastAsia="Times New Roman" w:cs="Arial"/>
          <w:color w:val="000000"/>
          <w:lang w:eastAsia="bg-BG"/>
        </w:rPr>
      </w:pPr>
      <w:r w:rsidRPr="003900F2">
        <w:rPr>
          <w:rFonts w:eastAsia="Times New Roman" w:cs="Arial"/>
          <w:color w:val="000000"/>
          <w:lang w:eastAsia="bg-BG"/>
        </w:rPr>
        <w:t>Фармакокинетичните проучвания при пациенти с чернодробно увреждане показват повишаване на абсолютната бионаличност до около 100%. При пациенти с чернодробно увреждане елиминационният полуживот не е променен.</w:t>
      </w:r>
    </w:p>
    <w:p w14:paraId="13F8BA2C" w14:textId="77777777" w:rsidR="003900F2" w:rsidRPr="003900F2" w:rsidRDefault="003900F2" w:rsidP="003900F2"/>
    <w:p w14:paraId="0CC65FE3" w14:textId="0CBAD10C" w:rsidR="00EE6C97" w:rsidRDefault="002C50EE" w:rsidP="00A93499">
      <w:pPr>
        <w:pStyle w:val="Heading2"/>
      </w:pPr>
      <w:r>
        <w:t>5.3. Предклинични данни за безопасност</w:t>
      </w:r>
    </w:p>
    <w:p w14:paraId="75F27FF0" w14:textId="73231E6F" w:rsidR="003900F2" w:rsidRDefault="003900F2" w:rsidP="003900F2"/>
    <w:p w14:paraId="2F665083"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При предклинични проучвания за безопасност с едновременно приложение на телмисартан и хидрохлоротиазид при нормотензивни плъхове и кучета, дози, сравними с тези в клиничнич</w:t>
      </w:r>
    </w:p>
    <w:p w14:paraId="42576B33" w14:textId="77777777" w:rsidR="003900F2" w:rsidRPr="003900F2" w:rsidRDefault="003900F2" w:rsidP="003900F2">
      <w:pPr>
        <w:rPr>
          <w:rFonts w:eastAsia="Times New Roman" w:cs="Arial"/>
          <w:sz w:val="28"/>
          <w:szCs w:val="28"/>
          <w:lang w:eastAsia="bg-BG"/>
        </w:rPr>
      </w:pPr>
      <w:r w:rsidRPr="003900F2">
        <w:rPr>
          <w:rFonts w:eastAsia="Times New Roman" w:cs="Arial"/>
          <w:color w:val="000000"/>
          <w:lang w:eastAsia="bg-BG"/>
        </w:rPr>
        <w:t>терапевтичен диапазон, не предизвикват ефекти различни от наблюдаваните при</w:t>
      </w:r>
      <w:r w:rsidRPr="003900F2">
        <w:rPr>
          <w:rFonts w:eastAsia="Times New Roman" w:cs="Arial"/>
          <w:color w:val="000000"/>
          <w:lang w:eastAsia="bg-BG"/>
        </w:rPr>
        <w:t xml:space="preserve"> </w:t>
      </w:r>
      <w:r w:rsidRPr="003900F2">
        <w:rPr>
          <w:rFonts w:eastAsia="Times New Roman" w:cs="Arial"/>
          <w:color w:val="000000"/>
          <w:lang w:eastAsia="bg-BG"/>
        </w:rPr>
        <w:t>самостоятелното приложение на двете вещества. Наблюдаваните токсикологични промени нямат отношение към използването за терапевтични цели при човека.</w:t>
      </w:r>
    </w:p>
    <w:p w14:paraId="79A0EB3A" w14:textId="77777777" w:rsidR="003900F2" w:rsidRPr="003900F2" w:rsidRDefault="003900F2" w:rsidP="003900F2">
      <w:pPr>
        <w:spacing w:line="240" w:lineRule="auto"/>
        <w:rPr>
          <w:rFonts w:eastAsia="Times New Roman" w:cs="Arial"/>
          <w:color w:val="000000"/>
          <w:u w:val="single"/>
          <w:lang w:eastAsia="bg-BG"/>
        </w:rPr>
      </w:pPr>
    </w:p>
    <w:p w14:paraId="2EB86071" w14:textId="2D3C33EE"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u w:val="single"/>
          <w:lang w:eastAsia="bg-BG"/>
        </w:rPr>
        <w:t xml:space="preserve">[80 </w:t>
      </w:r>
      <w:r w:rsidRPr="003900F2">
        <w:rPr>
          <w:rFonts w:eastAsia="Times New Roman" w:cs="Arial"/>
          <w:color w:val="000000"/>
          <w:u w:val="single"/>
          <w:lang w:val="en-US"/>
        </w:rPr>
        <w:t>mg/25 mg:]</w:t>
      </w:r>
    </w:p>
    <w:p w14:paraId="72588B84"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 xml:space="preserve">Не са проведени допълнителни проучвания с комбинация с фиксирани дози 80 </w:t>
      </w:r>
      <w:r w:rsidRPr="003900F2">
        <w:rPr>
          <w:rFonts w:eastAsia="Times New Roman" w:cs="Arial"/>
          <w:color w:val="000000"/>
          <w:lang w:val="en-US"/>
        </w:rPr>
        <w:t xml:space="preserve">mg/25 mg. </w:t>
      </w:r>
      <w:r w:rsidRPr="003900F2">
        <w:rPr>
          <w:rFonts w:eastAsia="Times New Roman" w:cs="Arial"/>
          <w:color w:val="000000"/>
          <w:lang w:eastAsia="bg-BG"/>
        </w:rPr>
        <w:t xml:space="preserve">При предклинични проучвания за безопасност с едновременно приложение на 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Наблюдаваните </w:t>
      </w:r>
      <w:r w:rsidRPr="003900F2">
        <w:rPr>
          <w:rFonts w:eastAsia="Times New Roman" w:cs="Arial"/>
          <w:color w:val="000000"/>
          <w:lang w:eastAsia="bg-BG"/>
        </w:rPr>
        <w:lastRenderedPageBreak/>
        <w:t>токсикологични промени нямат отношение към използването за терапевтични цели при човека.</w:t>
      </w:r>
    </w:p>
    <w:p w14:paraId="4C583C47" w14:textId="77777777" w:rsidR="003900F2" w:rsidRPr="003900F2" w:rsidRDefault="003900F2" w:rsidP="003900F2">
      <w:pPr>
        <w:spacing w:line="240" w:lineRule="auto"/>
        <w:rPr>
          <w:rFonts w:eastAsia="Times New Roman" w:cs="Arial"/>
          <w:color w:val="000000"/>
          <w:lang w:eastAsia="bg-BG"/>
        </w:rPr>
      </w:pPr>
    </w:p>
    <w:p w14:paraId="49ED3732" w14:textId="2D6D11FF"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Токсикологичните находки, добре познати от предклиничните проучвания на инхибитори на ангиотензин конвертиращия ензим и антагонисти на ангиотензин II рецепторите са: намаляване на параметрите на червените кръвни клетки (еритроцити, хемоглобин, хематокрит), промени в бъбречната хемодинамика (повишено ниво на азот в кръвта и креатинин), повишена активност на плазмения ренин, хипертрофия/хиперплазия на юкстагломеруларните клетки и увреждане на стомашната лигавица. Стомашните лезии могат да бъдат предотвратени/ограничени чрез перорално добавяне на физиологичен разтвор и групови жилища за животните. При кучета са наблюдавани дилатация и атрофия на бъбречните тубули. Счита се, че тези находки се дължат на фармакологичната активност на телмисартан.</w:t>
      </w:r>
    </w:p>
    <w:p w14:paraId="481F456A" w14:textId="77777777" w:rsidR="003900F2" w:rsidRPr="003900F2" w:rsidRDefault="003900F2" w:rsidP="003900F2">
      <w:pPr>
        <w:spacing w:line="240" w:lineRule="auto"/>
        <w:rPr>
          <w:rFonts w:eastAsia="Times New Roman" w:cs="Arial"/>
          <w:color w:val="000000"/>
          <w:lang w:eastAsia="bg-BG"/>
        </w:rPr>
      </w:pPr>
    </w:p>
    <w:p w14:paraId="2C6B56E7" w14:textId="700D450F"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Няма ясни данни за тератогенен ефект, въпреки това при токсични дозови нива на телмисартан е наблюдаван ефект върху постнаталното развитие на потомството, като по-ниско телесно тегло и забавено отваряне на очите.</w:t>
      </w:r>
    </w:p>
    <w:p w14:paraId="2CF19850" w14:textId="77777777" w:rsidR="003900F2" w:rsidRPr="003900F2" w:rsidRDefault="003900F2" w:rsidP="003900F2">
      <w:pPr>
        <w:spacing w:line="240" w:lineRule="auto"/>
        <w:rPr>
          <w:rFonts w:eastAsia="Times New Roman" w:cs="Arial"/>
          <w:sz w:val="28"/>
          <w:szCs w:val="28"/>
          <w:lang w:eastAsia="bg-BG"/>
        </w:rPr>
      </w:pPr>
      <w:r w:rsidRPr="003900F2">
        <w:rPr>
          <w:rFonts w:eastAsia="Times New Roman" w:cs="Arial"/>
          <w:color w:val="000000"/>
          <w:lang w:eastAsia="bg-BG"/>
        </w:rPr>
        <w:t xml:space="preserve">Няма доказателства за мутагенност и съответна кластогенна активност на телмисартан при изпитвания </w:t>
      </w:r>
      <w:r w:rsidRPr="003900F2">
        <w:rPr>
          <w:rFonts w:eastAsia="Times New Roman" w:cs="Arial"/>
          <w:i/>
          <w:iCs/>
          <w:color w:val="000000"/>
          <w:lang w:val="en-US"/>
        </w:rPr>
        <w:t>in vitro</w:t>
      </w:r>
      <w:r w:rsidRPr="003900F2">
        <w:rPr>
          <w:rFonts w:eastAsia="Times New Roman" w:cs="Arial"/>
          <w:color w:val="000000"/>
          <w:lang w:val="en-US"/>
        </w:rPr>
        <w:t xml:space="preserve"> </w:t>
      </w:r>
      <w:r w:rsidRPr="003900F2">
        <w:rPr>
          <w:rFonts w:eastAsia="Times New Roman" w:cs="Arial"/>
          <w:color w:val="000000"/>
          <w:lang w:eastAsia="bg-BG"/>
        </w:rPr>
        <w:t>и канцерогенност при плъхове и мишки. Проучванията с хидрохлоротиазид дават несигурни данни за генотоксичност или канцерогенни ефекти при някои експериментални модели. Въпреки това, натрупаният опит от използването на хидрохлоротиазид при човека не дава доказателства за връзка между употребата му и повишена честота на неоплазмите.</w:t>
      </w:r>
    </w:p>
    <w:p w14:paraId="25537918" w14:textId="4B6CF7F9" w:rsidR="003900F2" w:rsidRPr="003900F2" w:rsidRDefault="003900F2" w:rsidP="003900F2">
      <w:pPr>
        <w:rPr>
          <w:rFonts w:cs="Arial"/>
          <w:sz w:val="24"/>
          <w:szCs w:val="24"/>
        </w:rPr>
      </w:pPr>
      <w:r w:rsidRPr="003900F2">
        <w:rPr>
          <w:rFonts w:eastAsia="Times New Roman" w:cs="Arial"/>
          <w:color w:val="000000"/>
          <w:lang w:eastAsia="bg-BG"/>
        </w:rPr>
        <w:t>За фетотоксичния потенциал на комбинацията телмисартан/хидрохлоротиазид вж. точка 4.6.</w:t>
      </w:r>
    </w:p>
    <w:p w14:paraId="357049A8" w14:textId="7A3302FD" w:rsidR="00BB22B4" w:rsidRDefault="002C50EE" w:rsidP="00471F10">
      <w:pPr>
        <w:pStyle w:val="Heading1"/>
      </w:pPr>
      <w:r>
        <w:t>7. ПРИТЕЖАТЕЛ НА РАЗРЕШЕНИЕТО ЗА УПОТРЕБА</w:t>
      </w:r>
    </w:p>
    <w:p w14:paraId="12069DF9" w14:textId="22E708E4" w:rsidR="003900F2" w:rsidRDefault="003900F2" w:rsidP="003900F2"/>
    <w:p w14:paraId="17000B29" w14:textId="77777777" w:rsidR="003900F2" w:rsidRPr="003900F2" w:rsidRDefault="003900F2" w:rsidP="003900F2">
      <w:pPr>
        <w:rPr>
          <w:sz w:val="24"/>
          <w:szCs w:val="24"/>
          <w:lang w:val="en-US" w:eastAsia="bg-BG"/>
        </w:rPr>
      </w:pPr>
      <w:r w:rsidRPr="003900F2">
        <w:rPr>
          <w:lang w:val="en-US"/>
        </w:rPr>
        <w:t>Egis Pharmaceuticals PLC</w:t>
      </w:r>
    </w:p>
    <w:p w14:paraId="77B8DA4A" w14:textId="77777777" w:rsidR="003900F2" w:rsidRPr="003900F2" w:rsidRDefault="003900F2" w:rsidP="003900F2">
      <w:pPr>
        <w:rPr>
          <w:sz w:val="24"/>
          <w:szCs w:val="24"/>
          <w:lang w:val="en-US" w:eastAsia="bg-BG"/>
        </w:rPr>
      </w:pPr>
      <w:r w:rsidRPr="003900F2">
        <w:rPr>
          <w:lang w:eastAsia="bg-BG"/>
        </w:rPr>
        <w:t xml:space="preserve">1106 </w:t>
      </w:r>
      <w:r w:rsidRPr="003900F2">
        <w:rPr>
          <w:lang w:val="en-US"/>
        </w:rPr>
        <w:t xml:space="preserve">Budapest, </w:t>
      </w:r>
      <w:proofErr w:type="spellStart"/>
      <w:r w:rsidRPr="003900F2">
        <w:rPr>
          <w:lang w:val="en-US"/>
        </w:rPr>
        <w:t>Kereszturi</w:t>
      </w:r>
      <w:proofErr w:type="spellEnd"/>
      <w:r w:rsidRPr="003900F2">
        <w:rPr>
          <w:lang w:val="en-US"/>
        </w:rPr>
        <w:t xml:space="preserve"> </w:t>
      </w:r>
      <w:proofErr w:type="spellStart"/>
      <w:r w:rsidRPr="003900F2">
        <w:rPr>
          <w:lang w:val="en-US"/>
        </w:rPr>
        <w:t>ut</w:t>
      </w:r>
      <w:proofErr w:type="spellEnd"/>
      <w:r w:rsidRPr="003900F2">
        <w:rPr>
          <w:lang w:val="en-US"/>
        </w:rPr>
        <w:t xml:space="preserve"> 30-38.</w:t>
      </w:r>
    </w:p>
    <w:p w14:paraId="144CC57C" w14:textId="099B4FA5" w:rsidR="003900F2" w:rsidRPr="003900F2" w:rsidRDefault="003900F2" w:rsidP="003900F2">
      <w:pPr>
        <w:rPr>
          <w:lang w:val="en-US"/>
        </w:rPr>
      </w:pPr>
      <w:r w:rsidRPr="003900F2">
        <w:rPr>
          <w:lang w:eastAsia="bg-BG"/>
        </w:rPr>
        <w:t>Унгария</w:t>
      </w:r>
    </w:p>
    <w:p w14:paraId="0A53321D" w14:textId="28113E57" w:rsidR="00EE6C97" w:rsidRDefault="00936AD0" w:rsidP="00A93499">
      <w:pPr>
        <w:pStyle w:val="Heading1"/>
      </w:pPr>
      <w:r>
        <w:t>8.</w:t>
      </w:r>
      <w:r w:rsidR="002C50EE">
        <w:t>НОМЕР НА РАЗРЕШЕНИЕТО ЗА УПОТРЕБА</w:t>
      </w:r>
    </w:p>
    <w:p w14:paraId="38914CD3" w14:textId="393CFD7D" w:rsidR="003900F2" w:rsidRDefault="003900F2" w:rsidP="003900F2"/>
    <w:p w14:paraId="130E4B21" w14:textId="77777777" w:rsidR="003900F2" w:rsidRPr="003900F2" w:rsidRDefault="003900F2" w:rsidP="003900F2">
      <w:pPr>
        <w:rPr>
          <w:sz w:val="24"/>
          <w:szCs w:val="24"/>
          <w:lang w:eastAsia="bg-BG"/>
        </w:rPr>
      </w:pPr>
      <w:r w:rsidRPr="003900F2">
        <w:rPr>
          <w:lang w:eastAsia="bg-BG"/>
        </w:rPr>
        <w:t xml:space="preserve">Телмисартан НСТ ЕГИС 40 </w:t>
      </w:r>
      <w:r w:rsidRPr="003900F2">
        <w:rPr>
          <w:lang w:val="en-US"/>
        </w:rPr>
        <w:t xml:space="preserve">mg/12,5 mg </w:t>
      </w:r>
      <w:r w:rsidRPr="003900F2">
        <w:rPr>
          <w:lang w:eastAsia="bg-BG"/>
        </w:rPr>
        <w:t>таблетки: Рег.№: 20130239</w:t>
      </w:r>
    </w:p>
    <w:p w14:paraId="2664F33A" w14:textId="77777777" w:rsidR="003900F2" w:rsidRPr="003900F2" w:rsidRDefault="003900F2" w:rsidP="003900F2">
      <w:pPr>
        <w:rPr>
          <w:sz w:val="24"/>
          <w:szCs w:val="24"/>
          <w:lang w:eastAsia="bg-BG"/>
        </w:rPr>
      </w:pPr>
      <w:r w:rsidRPr="003900F2">
        <w:rPr>
          <w:lang w:eastAsia="bg-BG"/>
        </w:rPr>
        <w:t xml:space="preserve">Телмисартан НСТ ЕГИС 80 </w:t>
      </w:r>
      <w:r w:rsidRPr="003900F2">
        <w:rPr>
          <w:lang w:val="en-US"/>
        </w:rPr>
        <w:t xml:space="preserve">mg/12,5 mg </w:t>
      </w:r>
      <w:r w:rsidRPr="003900F2">
        <w:rPr>
          <w:lang w:eastAsia="bg-BG"/>
        </w:rPr>
        <w:t>таблетки: Рег.№: 20130241</w:t>
      </w:r>
    </w:p>
    <w:p w14:paraId="73D57F25" w14:textId="09D3C16E" w:rsidR="003900F2" w:rsidRPr="003900F2" w:rsidRDefault="003900F2" w:rsidP="003900F2">
      <w:r w:rsidRPr="003900F2">
        <w:rPr>
          <w:lang w:eastAsia="bg-BG"/>
        </w:rPr>
        <w:t xml:space="preserve">Телмисартан НСТ ЕГИС 80 </w:t>
      </w:r>
      <w:r w:rsidRPr="003900F2">
        <w:rPr>
          <w:lang w:val="en-US"/>
        </w:rPr>
        <w:t xml:space="preserve">mg/25 mg </w:t>
      </w:r>
      <w:r w:rsidRPr="003900F2">
        <w:rPr>
          <w:lang w:eastAsia="bg-BG"/>
        </w:rPr>
        <w:t>таблетки: Рег.№: 20130240</w:t>
      </w:r>
    </w:p>
    <w:p w14:paraId="3715C10B" w14:textId="5FFDACF7" w:rsidR="00BB22B4" w:rsidRDefault="002C50EE" w:rsidP="00471F10">
      <w:pPr>
        <w:pStyle w:val="Heading1"/>
      </w:pPr>
      <w:r>
        <w:t>9. ДАТА НА ПЪРВО РАЗРЕШАВАНЕ/ПОДНОВЯВАНЕ НА РАЗРЕШЕНИЕТО ЗА УПОТРЕБА</w:t>
      </w:r>
    </w:p>
    <w:p w14:paraId="21E16436" w14:textId="5ECE3558" w:rsidR="003900F2" w:rsidRDefault="003900F2" w:rsidP="003900F2"/>
    <w:p w14:paraId="2F52C2EA" w14:textId="77777777" w:rsidR="003900F2" w:rsidRPr="003900F2" w:rsidRDefault="003900F2" w:rsidP="003900F2">
      <w:pPr>
        <w:rPr>
          <w:sz w:val="24"/>
          <w:szCs w:val="24"/>
          <w:lang w:eastAsia="bg-BG"/>
        </w:rPr>
      </w:pPr>
      <w:r w:rsidRPr="003900F2">
        <w:rPr>
          <w:lang w:eastAsia="bg-BG"/>
        </w:rPr>
        <w:t>Дата на първо разрешаване за употреба: 26.07.2013 г.</w:t>
      </w:r>
    </w:p>
    <w:p w14:paraId="27E166FC" w14:textId="150C66CC" w:rsidR="003900F2" w:rsidRPr="003900F2" w:rsidRDefault="003900F2" w:rsidP="003900F2">
      <w:r w:rsidRPr="003900F2">
        <w:rPr>
          <w:lang w:eastAsia="bg-BG"/>
        </w:rPr>
        <w:t>Дата на първо подновяване: 17.05.2018 г.</w:t>
      </w:r>
    </w:p>
    <w:p w14:paraId="43FB38A2" w14:textId="0C18A683" w:rsidR="007C605B" w:rsidRDefault="002C50EE" w:rsidP="005726E3">
      <w:pPr>
        <w:pStyle w:val="Heading1"/>
      </w:pPr>
      <w:r>
        <w:t>10. ДАТА НА АКТУАЛИЗИРАНЕ НА ТЕКСТА</w:t>
      </w:r>
      <w:bookmarkEnd w:id="0"/>
    </w:p>
    <w:p w14:paraId="472617BD" w14:textId="1CF09C64" w:rsidR="00BB22B4" w:rsidRPr="00BB22B4" w:rsidRDefault="003900F2" w:rsidP="003900F2">
      <w:r>
        <w:t>Декември, 2021 г.</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C0103"/>
    <w:multiLevelType w:val="hybridMultilevel"/>
    <w:tmpl w:val="0A664EA4"/>
    <w:lvl w:ilvl="0" w:tplc="C77A22EC">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2"/>
  </w:num>
  <w:num w:numId="14" w16cid:durableId="1670476636">
    <w:abstractNumId w:val="14"/>
  </w:num>
  <w:num w:numId="15" w16cid:durableId="1000155783">
    <w:abstractNumId w:val="33"/>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0"/>
  </w:num>
  <w:num w:numId="22" w16cid:durableId="1276465">
    <w:abstractNumId w:val="29"/>
  </w:num>
  <w:num w:numId="23" w16cid:durableId="1624310558">
    <w:abstractNumId w:val="21"/>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10624866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00F2"/>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24008"/>
    <w:rsid w:val="00C33464"/>
    <w:rsid w:val="00C40420"/>
    <w:rsid w:val="00C809A7"/>
    <w:rsid w:val="00C83063"/>
    <w:rsid w:val="00C87E90"/>
    <w:rsid w:val="00CA1B57"/>
    <w:rsid w:val="00CF77F7"/>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9005</Words>
  <Characters>51329</Characters>
  <Application>Microsoft Office Word</Application>
  <DocSecurity>0</DocSecurity>
  <Lines>427</Lines>
  <Paragraphs>120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2023-01-23T02:01:00Z</dcterms:created>
  <dcterms:modified xsi:type="dcterms:W3CDTF">2023-01-23T02:01:00Z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