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26659DEB" w:rsidR="00F53FB7" w:rsidRDefault="00DD466D" w:rsidP="00A93499">
      <w:pPr>
        <w:pStyle w:val="Heading1"/>
      </w:pPr>
      <w:r>
        <w:t>1.ИМЕ НА ЛЕКАРСТВЕНИЯ ПРОДУКТ</w:t>
      </w:r>
    </w:p>
    <w:p w14:paraId="23680A54" w14:textId="6960F6B4" w:rsidR="009B0AA9" w:rsidRDefault="009B0AA9" w:rsidP="009B0AA9"/>
    <w:p w14:paraId="39DD7874" w14:textId="77777777" w:rsidR="009B0AA9" w:rsidRPr="009B0AA9" w:rsidRDefault="009B0AA9" w:rsidP="009B0AA9">
      <w:pPr>
        <w:rPr>
          <w:sz w:val="24"/>
          <w:szCs w:val="24"/>
          <w:lang w:val="en-US" w:eastAsia="bg-BG"/>
        </w:rPr>
      </w:pPr>
      <w:r w:rsidRPr="009B0AA9">
        <w:rPr>
          <w:lang w:eastAsia="bg-BG"/>
        </w:rPr>
        <w:t xml:space="preserve">ТЕЛМОТЕНС 80 </w:t>
      </w:r>
      <w:r w:rsidRPr="009B0AA9">
        <w:rPr>
          <w:lang w:val="en-US"/>
        </w:rPr>
        <w:t xml:space="preserve">mg </w:t>
      </w:r>
      <w:r w:rsidRPr="009B0AA9">
        <w:rPr>
          <w:lang w:eastAsia="bg-BG"/>
        </w:rPr>
        <w:t>филмирани таблетки</w:t>
      </w:r>
    </w:p>
    <w:p w14:paraId="0062CDB1" w14:textId="77777777" w:rsidR="009B0AA9" w:rsidRPr="009B0AA9" w:rsidRDefault="009B0AA9" w:rsidP="009B0AA9">
      <w:pPr>
        <w:rPr>
          <w:sz w:val="24"/>
          <w:szCs w:val="24"/>
          <w:lang w:val="en-US" w:eastAsia="bg-BG"/>
        </w:rPr>
      </w:pPr>
      <w:r w:rsidRPr="009B0AA9">
        <w:rPr>
          <w:lang w:val="en-US"/>
        </w:rPr>
        <w:t xml:space="preserve">TELMOTENS </w:t>
      </w:r>
      <w:r w:rsidRPr="009B0AA9">
        <w:rPr>
          <w:lang w:eastAsia="bg-BG"/>
        </w:rPr>
        <w:t xml:space="preserve">80 </w:t>
      </w:r>
      <w:r w:rsidRPr="009B0AA9">
        <w:rPr>
          <w:lang w:val="en-US"/>
        </w:rPr>
        <w:t>mg film-coated tablets</w:t>
      </w:r>
    </w:p>
    <w:p w14:paraId="47E54E74" w14:textId="77777777" w:rsidR="009B0AA9" w:rsidRPr="009B0AA9" w:rsidRDefault="009B0AA9" w:rsidP="009B0AA9"/>
    <w:p w14:paraId="0DF202EC" w14:textId="23EA936E" w:rsidR="00F53FB7" w:rsidRDefault="00DD466D" w:rsidP="00A93499">
      <w:pPr>
        <w:pStyle w:val="Heading1"/>
      </w:pPr>
      <w:r>
        <w:t>2. КАЧЕСТВЕН И КОЛИЧЕСТВЕН СЪСТАВ</w:t>
      </w:r>
    </w:p>
    <w:p w14:paraId="79269AC8" w14:textId="590CD0DB" w:rsidR="009B0AA9" w:rsidRDefault="009B0AA9" w:rsidP="009B0AA9"/>
    <w:p w14:paraId="5C6B8A59" w14:textId="77777777" w:rsidR="009B0AA9" w:rsidRPr="009B0AA9" w:rsidRDefault="009B0AA9" w:rsidP="009B0AA9">
      <w:pPr>
        <w:rPr>
          <w:sz w:val="24"/>
          <w:szCs w:val="24"/>
          <w:lang w:eastAsia="bg-BG"/>
        </w:rPr>
      </w:pPr>
      <w:r w:rsidRPr="009B0AA9">
        <w:rPr>
          <w:lang w:eastAsia="bg-BG"/>
        </w:rPr>
        <w:t xml:space="preserve">Всяка таблетка съдържа 80 </w:t>
      </w:r>
      <w:r w:rsidRPr="009B0AA9">
        <w:rPr>
          <w:lang w:val="en-US"/>
        </w:rPr>
        <w:t xml:space="preserve">mg </w:t>
      </w:r>
      <w:r w:rsidRPr="009B0AA9">
        <w:rPr>
          <w:lang w:eastAsia="bg-BG"/>
        </w:rPr>
        <w:t xml:space="preserve">телмисартан </w:t>
      </w:r>
      <w:r w:rsidRPr="009B0AA9">
        <w:rPr>
          <w:lang w:val="en-US"/>
        </w:rPr>
        <w:t>(telmisartan).</w:t>
      </w:r>
    </w:p>
    <w:p w14:paraId="454980E0" w14:textId="77777777" w:rsidR="009B0AA9" w:rsidRDefault="009B0AA9" w:rsidP="009B0AA9">
      <w:pPr>
        <w:rPr>
          <w:u w:val="single"/>
          <w:lang w:eastAsia="bg-BG"/>
        </w:rPr>
      </w:pPr>
    </w:p>
    <w:p w14:paraId="24A766A1" w14:textId="6B76BD4F" w:rsidR="009B0AA9" w:rsidRPr="009B0AA9" w:rsidRDefault="009B0AA9" w:rsidP="009B0AA9">
      <w:pPr>
        <w:rPr>
          <w:sz w:val="24"/>
          <w:szCs w:val="24"/>
          <w:lang w:eastAsia="bg-BG"/>
        </w:rPr>
      </w:pPr>
      <w:r w:rsidRPr="009B0AA9">
        <w:rPr>
          <w:u w:val="single"/>
          <w:lang w:eastAsia="bg-BG"/>
        </w:rPr>
        <w:t>Помощно вещество с известно действие</w:t>
      </w:r>
    </w:p>
    <w:p w14:paraId="5BB55878" w14:textId="4518F05A" w:rsidR="009B0AA9" w:rsidRPr="009B0AA9" w:rsidRDefault="009B0AA9" w:rsidP="009B0AA9">
      <w:r w:rsidRPr="009B0AA9">
        <w:rPr>
          <w:lang w:eastAsia="bg-BG"/>
        </w:rPr>
        <w:t xml:space="preserve">Всяка таблетка от 80 </w:t>
      </w:r>
      <w:r w:rsidRPr="009B0AA9">
        <w:rPr>
          <w:lang w:val="en-US"/>
        </w:rPr>
        <w:t xml:space="preserve">mg </w:t>
      </w:r>
      <w:r w:rsidRPr="009B0AA9">
        <w:rPr>
          <w:lang w:eastAsia="bg-BG"/>
        </w:rPr>
        <w:t xml:space="preserve">съдържа 434,7 </w:t>
      </w:r>
      <w:r w:rsidRPr="009B0AA9">
        <w:rPr>
          <w:lang w:val="en-US"/>
        </w:rPr>
        <w:t xml:space="preserve">mg </w:t>
      </w:r>
      <w:r w:rsidRPr="009B0AA9">
        <w:rPr>
          <w:lang w:eastAsia="bg-BG"/>
        </w:rPr>
        <w:t>лактоза монохидрат.</w:t>
      </w:r>
    </w:p>
    <w:p w14:paraId="4CABB9ED" w14:textId="045383C2" w:rsidR="00F53FB7" w:rsidRDefault="00DD466D" w:rsidP="00A93499">
      <w:pPr>
        <w:pStyle w:val="Heading1"/>
      </w:pPr>
      <w:r>
        <w:t>3. ЛЕКАРСТВЕНА ФОРМА</w:t>
      </w:r>
    </w:p>
    <w:p w14:paraId="12F26054" w14:textId="7766287D" w:rsidR="009B0AA9" w:rsidRDefault="009B0AA9" w:rsidP="009B0AA9"/>
    <w:p w14:paraId="67639904" w14:textId="77777777" w:rsidR="009B0AA9" w:rsidRPr="009B0AA9" w:rsidRDefault="009B0AA9" w:rsidP="009B0AA9">
      <w:pPr>
        <w:rPr>
          <w:sz w:val="24"/>
          <w:szCs w:val="24"/>
          <w:lang w:eastAsia="bg-BG"/>
        </w:rPr>
      </w:pPr>
      <w:r w:rsidRPr="009B0AA9">
        <w:rPr>
          <w:lang w:eastAsia="bg-BG"/>
        </w:rPr>
        <w:t>Филмирана таблетка.</w:t>
      </w:r>
    </w:p>
    <w:p w14:paraId="7F1B766A" w14:textId="77777777" w:rsidR="009B0AA9" w:rsidRDefault="009B0AA9" w:rsidP="009B0AA9">
      <w:pPr>
        <w:rPr>
          <w:lang w:eastAsia="bg-BG"/>
        </w:rPr>
      </w:pPr>
    </w:p>
    <w:p w14:paraId="72F22E0E" w14:textId="6CC29001" w:rsidR="009B0AA9" w:rsidRPr="009B0AA9" w:rsidRDefault="009B0AA9" w:rsidP="009B0AA9">
      <w:pPr>
        <w:rPr>
          <w:sz w:val="24"/>
          <w:szCs w:val="24"/>
          <w:lang w:eastAsia="bg-BG"/>
        </w:rPr>
      </w:pPr>
      <w:r w:rsidRPr="009B0AA9">
        <w:rPr>
          <w:lang w:eastAsia="bg-BG"/>
        </w:rPr>
        <w:t xml:space="preserve">Жълти, продълговати филмирани таблетки, с гравирано означение ‘80’ от едната страна и гравирано означение ‘Т’ от другата страна. Размери на таблетката-16,3 </w:t>
      </w:r>
      <w:r w:rsidRPr="009B0AA9">
        <w:rPr>
          <w:lang w:val="en-US"/>
        </w:rPr>
        <w:t xml:space="preserve">mm </w:t>
      </w:r>
      <w:r w:rsidRPr="009B0AA9">
        <w:rPr>
          <w:lang w:eastAsia="bg-BG"/>
        </w:rPr>
        <w:t xml:space="preserve">х 8,0 </w:t>
      </w:r>
      <w:r w:rsidRPr="009B0AA9">
        <w:rPr>
          <w:lang w:val="en-US"/>
        </w:rPr>
        <w:t>mm.</w:t>
      </w:r>
    </w:p>
    <w:p w14:paraId="252C4989" w14:textId="77777777" w:rsidR="009B0AA9" w:rsidRPr="009B0AA9" w:rsidRDefault="009B0AA9" w:rsidP="009B0AA9"/>
    <w:p w14:paraId="490FC2C4" w14:textId="6899DE43" w:rsidR="002C50EE" w:rsidRDefault="002C50EE" w:rsidP="002C50EE">
      <w:pPr>
        <w:pStyle w:val="Heading1"/>
      </w:pPr>
      <w:r>
        <w:t>4. КЛИНИЧНИ ДАННИ</w:t>
      </w:r>
    </w:p>
    <w:p w14:paraId="1A37D275" w14:textId="6B2A62F7" w:rsidR="00F53FB7" w:rsidRDefault="002C50EE" w:rsidP="00A93499">
      <w:pPr>
        <w:pStyle w:val="Heading2"/>
      </w:pPr>
      <w:r>
        <w:t>4.1. Терапевтични показания</w:t>
      </w:r>
    </w:p>
    <w:p w14:paraId="54237E50" w14:textId="70B1A225" w:rsidR="009B0AA9" w:rsidRDefault="009B0AA9" w:rsidP="009B0AA9"/>
    <w:p w14:paraId="0CE855DF"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u w:val="single"/>
          <w:lang w:eastAsia="bg-BG"/>
        </w:rPr>
        <w:t>Хипертония</w:t>
      </w:r>
    </w:p>
    <w:p w14:paraId="48330748"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Лечение на есенциална хипертония при възрастни.</w:t>
      </w:r>
    </w:p>
    <w:p w14:paraId="42272666" w14:textId="77777777" w:rsidR="009B0AA9" w:rsidRPr="009B0AA9" w:rsidRDefault="009B0AA9" w:rsidP="009B0AA9">
      <w:pPr>
        <w:spacing w:line="240" w:lineRule="auto"/>
        <w:rPr>
          <w:rFonts w:eastAsia="Times New Roman" w:cs="Arial"/>
          <w:color w:val="000000"/>
          <w:u w:val="single"/>
          <w:lang w:eastAsia="bg-BG"/>
        </w:rPr>
      </w:pPr>
    </w:p>
    <w:p w14:paraId="68AB22A1" w14:textId="6A044DBC"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u w:val="single"/>
          <w:lang w:eastAsia="bg-BG"/>
        </w:rPr>
        <w:t>Сърдечно-съдова профилактика</w:t>
      </w:r>
    </w:p>
    <w:p w14:paraId="085C73A7"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Намаляване на сърдечно-съдовата заболеваемост при възрастни с</w:t>
      </w:r>
    </w:p>
    <w:p w14:paraId="1643C6E5" w14:textId="77777777" w:rsidR="009B0AA9" w:rsidRPr="009B0AA9" w:rsidRDefault="009B0AA9" w:rsidP="009B0AA9">
      <w:pPr>
        <w:pStyle w:val="ListParagraph"/>
        <w:numPr>
          <w:ilvl w:val="0"/>
          <w:numId w:val="40"/>
        </w:numPr>
        <w:spacing w:line="240" w:lineRule="auto"/>
        <w:rPr>
          <w:rFonts w:eastAsia="Times New Roman" w:cs="Arial"/>
          <w:sz w:val="28"/>
          <w:szCs w:val="28"/>
          <w:lang w:eastAsia="bg-BG"/>
        </w:rPr>
      </w:pPr>
      <w:r w:rsidRPr="009B0AA9">
        <w:rPr>
          <w:rFonts w:eastAsia="Times New Roman" w:cs="Arial"/>
          <w:color w:val="000000"/>
          <w:lang w:eastAsia="bg-BG"/>
        </w:rPr>
        <w:t>изразена атеротромботична сърдечно-съдова болест (анамнеза за коронарна болест на</w:t>
      </w:r>
      <w:r w:rsidRPr="009B0AA9">
        <w:rPr>
          <w:rFonts w:eastAsia="Times New Roman" w:cs="Arial"/>
          <w:color w:val="000000"/>
          <w:lang w:val="en-US" w:eastAsia="bg-BG"/>
        </w:rPr>
        <w:t xml:space="preserve"> </w:t>
      </w:r>
      <w:r w:rsidRPr="009B0AA9">
        <w:rPr>
          <w:rFonts w:eastAsia="Times New Roman" w:cs="Arial"/>
          <w:color w:val="000000"/>
          <w:lang w:eastAsia="bg-BG"/>
        </w:rPr>
        <w:t>сърцето, инсулт или периферно артериално заболяване) или</w:t>
      </w:r>
    </w:p>
    <w:p w14:paraId="69A65289" w14:textId="642C20CD" w:rsidR="009B0AA9" w:rsidRPr="009B0AA9" w:rsidRDefault="009B0AA9" w:rsidP="009B0AA9">
      <w:pPr>
        <w:pStyle w:val="ListParagraph"/>
        <w:numPr>
          <w:ilvl w:val="0"/>
          <w:numId w:val="40"/>
        </w:numPr>
        <w:spacing w:line="240" w:lineRule="auto"/>
        <w:rPr>
          <w:rFonts w:eastAsia="Times New Roman" w:cs="Arial"/>
          <w:sz w:val="28"/>
          <w:szCs w:val="28"/>
          <w:lang w:eastAsia="bg-BG"/>
        </w:rPr>
      </w:pPr>
      <w:r w:rsidRPr="009B0AA9">
        <w:rPr>
          <w:rFonts w:eastAsia="Times New Roman" w:cs="Arial"/>
          <w:color w:val="000000"/>
          <w:lang w:eastAsia="bg-BG"/>
        </w:rPr>
        <w:t xml:space="preserve">захарен диабет тип </w:t>
      </w:r>
      <w:r w:rsidRPr="009B0AA9">
        <w:rPr>
          <w:rFonts w:eastAsia="Times New Roman" w:cs="Arial"/>
          <w:color w:val="000000"/>
          <w:lang w:val="en-US" w:eastAsia="bg-BG"/>
        </w:rPr>
        <w:t>II</w:t>
      </w:r>
      <w:r w:rsidRPr="009B0AA9">
        <w:rPr>
          <w:rFonts w:eastAsia="Times New Roman" w:cs="Arial"/>
          <w:color w:val="000000"/>
          <w:lang w:eastAsia="bg-BG"/>
        </w:rPr>
        <w:t xml:space="preserve"> с доказано увреждане на таргетните органи.</w:t>
      </w:r>
    </w:p>
    <w:p w14:paraId="0BF338AF" w14:textId="77777777" w:rsidR="009B0AA9" w:rsidRPr="009B0AA9" w:rsidRDefault="009B0AA9" w:rsidP="009B0AA9">
      <w:pPr>
        <w:spacing w:line="240" w:lineRule="auto"/>
        <w:rPr>
          <w:rFonts w:eastAsia="Times New Roman" w:cs="Arial"/>
          <w:sz w:val="28"/>
          <w:szCs w:val="28"/>
          <w:lang w:eastAsia="bg-BG"/>
        </w:rPr>
      </w:pPr>
    </w:p>
    <w:p w14:paraId="05D17336" w14:textId="7F0014EE" w:rsidR="00F53FB7" w:rsidRDefault="002C50EE" w:rsidP="00A93499">
      <w:pPr>
        <w:pStyle w:val="Heading2"/>
      </w:pPr>
      <w:r>
        <w:t>4.2. Дозировка и начин на приложение</w:t>
      </w:r>
    </w:p>
    <w:p w14:paraId="412FDC88" w14:textId="1F2E2914" w:rsidR="009B0AA9" w:rsidRDefault="009B0AA9" w:rsidP="009B0AA9"/>
    <w:p w14:paraId="214CBD7D" w14:textId="77777777" w:rsidR="009B0AA9" w:rsidRPr="009B0AA9" w:rsidRDefault="009B0AA9" w:rsidP="009B0AA9">
      <w:pPr>
        <w:pStyle w:val="Heading3"/>
        <w:rPr>
          <w:rFonts w:eastAsia="Times New Roman"/>
          <w:sz w:val="28"/>
          <w:szCs w:val="28"/>
          <w:u w:val="single"/>
          <w:lang w:eastAsia="bg-BG"/>
        </w:rPr>
      </w:pPr>
      <w:r w:rsidRPr="009B0AA9">
        <w:rPr>
          <w:rFonts w:eastAsia="Times New Roman"/>
          <w:u w:val="single"/>
          <w:lang w:eastAsia="bg-BG"/>
        </w:rPr>
        <w:t>Дозировка</w:t>
      </w:r>
    </w:p>
    <w:p w14:paraId="0538CBE2" w14:textId="77777777" w:rsidR="009B0AA9" w:rsidRPr="009B0AA9" w:rsidRDefault="009B0AA9" w:rsidP="009B0AA9">
      <w:pPr>
        <w:spacing w:line="240" w:lineRule="auto"/>
        <w:rPr>
          <w:rFonts w:eastAsia="Times New Roman" w:cs="Arial"/>
          <w:i/>
          <w:iCs/>
          <w:color w:val="000000"/>
          <w:lang w:eastAsia="bg-BG"/>
        </w:rPr>
      </w:pPr>
    </w:p>
    <w:p w14:paraId="180E3A6F" w14:textId="05E03408" w:rsidR="009B0AA9" w:rsidRPr="009B0AA9" w:rsidRDefault="009B0AA9" w:rsidP="009B0AA9">
      <w:pPr>
        <w:spacing w:line="240" w:lineRule="auto"/>
        <w:rPr>
          <w:rFonts w:eastAsia="Times New Roman" w:cs="Arial"/>
          <w:sz w:val="28"/>
          <w:szCs w:val="28"/>
          <w:lang w:eastAsia="bg-BG"/>
        </w:rPr>
      </w:pPr>
      <w:r w:rsidRPr="009B0AA9">
        <w:rPr>
          <w:rFonts w:eastAsia="Times New Roman" w:cs="Arial"/>
          <w:i/>
          <w:iCs/>
          <w:color w:val="000000"/>
          <w:lang w:eastAsia="bg-BG"/>
        </w:rPr>
        <w:t>Лечение на есенциална хипертония</w:t>
      </w:r>
    </w:p>
    <w:p w14:paraId="74E46104"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 xml:space="preserve">Обичайната ефективна доза е 40 </w:t>
      </w:r>
      <w:r w:rsidRPr="009B0AA9">
        <w:rPr>
          <w:rFonts w:eastAsia="Times New Roman" w:cs="Arial"/>
          <w:color w:val="000000"/>
          <w:lang w:val="en-US"/>
        </w:rPr>
        <w:t xml:space="preserve">mg </w:t>
      </w:r>
      <w:r w:rsidRPr="009B0AA9">
        <w:rPr>
          <w:rFonts w:eastAsia="Times New Roman" w:cs="Arial"/>
          <w:color w:val="000000"/>
          <w:lang w:eastAsia="bg-BG"/>
        </w:rPr>
        <w:t xml:space="preserve">веднъж дневно. Някои пациенти могат да се повлияят и от дневна доза от 20 </w:t>
      </w:r>
      <w:r w:rsidRPr="009B0AA9">
        <w:rPr>
          <w:rFonts w:eastAsia="Times New Roman" w:cs="Arial"/>
          <w:color w:val="000000"/>
          <w:lang w:val="en-US"/>
        </w:rPr>
        <w:t xml:space="preserve">mg. </w:t>
      </w:r>
      <w:r w:rsidRPr="009B0AA9">
        <w:rPr>
          <w:rFonts w:eastAsia="Times New Roman" w:cs="Arial"/>
          <w:color w:val="000000"/>
          <w:lang w:eastAsia="bg-BG"/>
        </w:rPr>
        <w:t xml:space="preserve">В случаите, когато таргетното кръвно налягане не се постигне, дозата на телмисартан може да бъде повишена максимално до 80 </w:t>
      </w:r>
      <w:r w:rsidRPr="009B0AA9">
        <w:rPr>
          <w:rFonts w:eastAsia="Times New Roman" w:cs="Arial"/>
          <w:color w:val="000000"/>
          <w:lang w:val="en-US"/>
        </w:rPr>
        <w:t xml:space="preserve">mg </w:t>
      </w:r>
      <w:r w:rsidRPr="009B0AA9">
        <w:rPr>
          <w:rFonts w:eastAsia="Times New Roman" w:cs="Arial"/>
          <w:color w:val="000000"/>
          <w:lang w:eastAsia="bg-BG"/>
        </w:rPr>
        <w:t xml:space="preserve">веднъж дневно. Алтернативно телмисартан може да се прилага в комбинация с тиазидни диуретици като хидрохлоротиазид, за който е установено, че има адитивен понижаващ </w:t>
      </w:r>
      <w:r w:rsidRPr="009B0AA9">
        <w:rPr>
          <w:rFonts w:eastAsia="Times New Roman" w:cs="Arial"/>
          <w:color w:val="000000"/>
          <w:lang w:eastAsia="bg-BG"/>
        </w:rPr>
        <w:lastRenderedPageBreak/>
        <w:t>кръвното налягане ефект съвместно с телмисартан. Когато се взема решение за повишаване на дозата, трябва да се има предвид, че максималният антихипертензивен ефект се достига в рамките на четири до осем седмици след започване на лечението (вж. точка 5.1).</w:t>
      </w:r>
    </w:p>
    <w:p w14:paraId="637413A1" w14:textId="77777777" w:rsidR="009B0AA9" w:rsidRPr="009B0AA9" w:rsidRDefault="009B0AA9" w:rsidP="009B0AA9">
      <w:pPr>
        <w:spacing w:line="240" w:lineRule="auto"/>
        <w:rPr>
          <w:rFonts w:eastAsia="Times New Roman" w:cs="Arial"/>
          <w:i/>
          <w:iCs/>
          <w:color w:val="000000"/>
          <w:lang w:eastAsia="bg-BG"/>
        </w:rPr>
      </w:pPr>
    </w:p>
    <w:p w14:paraId="786AD0D8" w14:textId="6EF260AF" w:rsidR="009B0AA9" w:rsidRPr="009B0AA9" w:rsidRDefault="009B0AA9" w:rsidP="009B0AA9">
      <w:pPr>
        <w:spacing w:line="240" w:lineRule="auto"/>
        <w:rPr>
          <w:rFonts w:eastAsia="Times New Roman" w:cs="Arial"/>
          <w:sz w:val="28"/>
          <w:szCs w:val="28"/>
          <w:lang w:eastAsia="bg-BG"/>
        </w:rPr>
      </w:pPr>
      <w:r w:rsidRPr="009B0AA9">
        <w:rPr>
          <w:rFonts w:eastAsia="Times New Roman" w:cs="Arial"/>
          <w:i/>
          <w:iCs/>
          <w:color w:val="000000"/>
          <w:lang w:eastAsia="bg-BG"/>
        </w:rPr>
        <w:t>Сърдечно-съдова профилактика</w:t>
      </w:r>
    </w:p>
    <w:p w14:paraId="48EAB8A2" w14:textId="772203A4" w:rsidR="009B0AA9" w:rsidRPr="009B0AA9" w:rsidRDefault="009B0AA9" w:rsidP="009B0AA9">
      <w:pPr>
        <w:rPr>
          <w:rFonts w:eastAsia="Times New Roman" w:cs="Arial"/>
          <w:color w:val="000000"/>
          <w:lang w:eastAsia="bg-BG"/>
        </w:rPr>
      </w:pPr>
      <w:r w:rsidRPr="009B0AA9">
        <w:rPr>
          <w:rFonts w:eastAsia="Times New Roman" w:cs="Arial"/>
          <w:color w:val="000000"/>
          <w:lang w:eastAsia="bg-BG"/>
        </w:rPr>
        <w:t xml:space="preserve">Препоръчителната доза е 80 </w:t>
      </w:r>
      <w:r w:rsidRPr="009B0AA9">
        <w:rPr>
          <w:rFonts w:eastAsia="Times New Roman" w:cs="Arial"/>
          <w:color w:val="000000"/>
          <w:lang w:val="en-US"/>
        </w:rPr>
        <w:t xml:space="preserve">mg </w:t>
      </w:r>
      <w:r w:rsidRPr="009B0AA9">
        <w:rPr>
          <w:rFonts w:eastAsia="Times New Roman" w:cs="Arial"/>
          <w:color w:val="000000"/>
          <w:lang w:eastAsia="bg-BG"/>
        </w:rPr>
        <w:t>веднъж дневно. Не е известно дали дози по-ниски от 80</w:t>
      </w:r>
      <w:r w:rsidRPr="009B0AA9">
        <w:rPr>
          <w:rFonts w:eastAsia="Times New Roman" w:cs="Arial"/>
          <w:color w:val="000000"/>
          <w:lang w:val="en-US"/>
        </w:rPr>
        <w:t xml:space="preserve"> mg </w:t>
      </w:r>
      <w:r w:rsidRPr="009B0AA9">
        <w:rPr>
          <w:rFonts w:eastAsia="Times New Roman" w:cs="Arial"/>
          <w:color w:val="000000"/>
          <w:lang w:eastAsia="bg-BG"/>
        </w:rPr>
        <w:t>са ефективни при намаляване на сърдечно-съдовата заболеваемост.</w:t>
      </w:r>
    </w:p>
    <w:p w14:paraId="6EF2A9F4" w14:textId="6E6EEDC0" w:rsidR="009B0AA9" w:rsidRPr="009B0AA9" w:rsidRDefault="009B0AA9" w:rsidP="009B0AA9">
      <w:pPr>
        <w:rPr>
          <w:rFonts w:eastAsia="Times New Roman" w:cs="Arial"/>
          <w:color w:val="000000"/>
          <w:lang w:eastAsia="bg-BG"/>
        </w:rPr>
      </w:pPr>
    </w:p>
    <w:p w14:paraId="409C96B2"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При започване на терапия с телмисартан за намаляване на сърдечно-съдовата заболеваемост се препоръчва постоянно мониториране на кръвното налягане и ако е целесъобразно, може да се наложи коригиране на лекарствата, които понижават кръвното налягане.</w:t>
      </w:r>
    </w:p>
    <w:p w14:paraId="5427F327" w14:textId="77777777" w:rsidR="009B0AA9" w:rsidRPr="009B0AA9" w:rsidRDefault="009B0AA9" w:rsidP="009B0AA9">
      <w:pPr>
        <w:spacing w:line="240" w:lineRule="auto"/>
        <w:rPr>
          <w:rFonts w:eastAsia="Times New Roman" w:cs="Arial"/>
          <w:i/>
          <w:iCs/>
          <w:color w:val="000000"/>
          <w:lang w:eastAsia="bg-BG"/>
        </w:rPr>
      </w:pPr>
    </w:p>
    <w:p w14:paraId="524DF1FF" w14:textId="586274CE" w:rsidR="009B0AA9" w:rsidRPr="009B0AA9" w:rsidRDefault="009B0AA9" w:rsidP="009B0AA9">
      <w:pPr>
        <w:spacing w:line="240" w:lineRule="auto"/>
        <w:rPr>
          <w:rFonts w:eastAsia="Times New Roman" w:cs="Arial"/>
          <w:sz w:val="28"/>
          <w:szCs w:val="28"/>
          <w:lang w:eastAsia="bg-BG"/>
        </w:rPr>
      </w:pPr>
      <w:r w:rsidRPr="009B0AA9">
        <w:rPr>
          <w:rFonts w:eastAsia="Times New Roman" w:cs="Arial"/>
          <w:i/>
          <w:iCs/>
          <w:color w:val="000000"/>
          <w:lang w:eastAsia="bg-BG"/>
        </w:rPr>
        <w:t>Специални популации</w:t>
      </w:r>
    </w:p>
    <w:p w14:paraId="17A3A0E8" w14:textId="77777777" w:rsidR="009B0AA9" w:rsidRPr="009B0AA9" w:rsidRDefault="009B0AA9" w:rsidP="009B0AA9">
      <w:pPr>
        <w:spacing w:line="240" w:lineRule="auto"/>
        <w:rPr>
          <w:rFonts w:eastAsia="Times New Roman" w:cs="Arial"/>
          <w:i/>
          <w:iCs/>
          <w:color w:val="000000"/>
          <w:u w:val="single"/>
          <w:lang w:eastAsia="bg-BG"/>
        </w:rPr>
      </w:pPr>
    </w:p>
    <w:p w14:paraId="13499A7B" w14:textId="1BA803B9" w:rsidR="009B0AA9" w:rsidRPr="009B0AA9" w:rsidRDefault="009B0AA9" w:rsidP="009B0AA9">
      <w:pPr>
        <w:spacing w:line="240" w:lineRule="auto"/>
        <w:rPr>
          <w:rFonts w:eastAsia="Times New Roman" w:cs="Arial"/>
          <w:sz w:val="28"/>
          <w:szCs w:val="28"/>
          <w:lang w:eastAsia="bg-BG"/>
        </w:rPr>
      </w:pPr>
      <w:r w:rsidRPr="009B0AA9">
        <w:rPr>
          <w:rFonts w:eastAsia="Times New Roman" w:cs="Arial"/>
          <w:i/>
          <w:iCs/>
          <w:color w:val="000000"/>
          <w:u w:val="single"/>
          <w:lang w:eastAsia="bg-BG"/>
        </w:rPr>
        <w:t>Пациенти с бъбречно увреждане</w:t>
      </w:r>
    </w:p>
    <w:p w14:paraId="09B8282B"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 xml:space="preserve">Опитът при пациенти с тежки нарушения на бъбречната функция или пациенти на хемодиализа е ограничен. При тези пациенти се препоръчва по-ниска начална доза от 20 </w:t>
      </w:r>
      <w:r w:rsidRPr="009B0AA9">
        <w:rPr>
          <w:rFonts w:eastAsia="Times New Roman" w:cs="Arial"/>
          <w:color w:val="000000"/>
          <w:lang w:val="en-US"/>
        </w:rPr>
        <w:t xml:space="preserve">mg </w:t>
      </w:r>
      <w:r w:rsidRPr="009B0AA9">
        <w:rPr>
          <w:rFonts w:eastAsia="Times New Roman" w:cs="Arial"/>
          <w:color w:val="000000"/>
          <w:lang w:eastAsia="bg-BG"/>
        </w:rPr>
        <w:t>(вж. точка 4.4). При пациенти с леко до умерено тежко бъбречно увреждане, не се налага корекция на дозата.</w:t>
      </w:r>
    </w:p>
    <w:p w14:paraId="474575A2" w14:textId="77777777" w:rsidR="009B0AA9" w:rsidRPr="009B0AA9" w:rsidRDefault="009B0AA9" w:rsidP="009B0AA9">
      <w:pPr>
        <w:spacing w:line="240" w:lineRule="auto"/>
        <w:rPr>
          <w:rFonts w:eastAsia="Times New Roman" w:cs="Arial"/>
          <w:i/>
          <w:iCs/>
          <w:color w:val="000000"/>
          <w:u w:val="single"/>
          <w:lang w:eastAsia="bg-BG"/>
        </w:rPr>
      </w:pPr>
    </w:p>
    <w:p w14:paraId="78E9B809" w14:textId="7B60AFCE" w:rsidR="009B0AA9" w:rsidRPr="009B0AA9" w:rsidRDefault="009B0AA9" w:rsidP="009B0AA9">
      <w:pPr>
        <w:spacing w:line="240" w:lineRule="auto"/>
        <w:rPr>
          <w:rFonts w:eastAsia="Times New Roman" w:cs="Arial"/>
          <w:sz w:val="28"/>
          <w:szCs w:val="28"/>
          <w:lang w:eastAsia="bg-BG"/>
        </w:rPr>
      </w:pPr>
      <w:r w:rsidRPr="009B0AA9">
        <w:rPr>
          <w:rFonts w:eastAsia="Times New Roman" w:cs="Arial"/>
          <w:i/>
          <w:iCs/>
          <w:color w:val="000000"/>
          <w:u w:val="single"/>
          <w:lang w:eastAsia="bg-BG"/>
        </w:rPr>
        <w:t>Пациенти с чернодробно увреждане</w:t>
      </w:r>
    </w:p>
    <w:p w14:paraId="394616DF"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 xml:space="preserve">Приложението на ТЕЛМОТЕНС е противопоказано при пациенти с тежко чернодробно увреждане (виж точка </w:t>
      </w:r>
      <w:r w:rsidRPr="009B0AA9">
        <w:rPr>
          <w:rFonts w:eastAsia="Times New Roman" w:cs="Arial"/>
          <w:color w:val="000000"/>
          <w:lang w:val="en-US"/>
        </w:rPr>
        <w:t>4.3.).</w:t>
      </w:r>
    </w:p>
    <w:p w14:paraId="50E84E8A"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 xml:space="preserve">При пациенти с леко до умерено тежко увреждане на чернодробната функция дозата не трябва да надвишава 40 </w:t>
      </w:r>
      <w:r w:rsidRPr="009B0AA9">
        <w:rPr>
          <w:rFonts w:eastAsia="Times New Roman" w:cs="Arial"/>
          <w:color w:val="000000"/>
          <w:lang w:val="en-US"/>
        </w:rPr>
        <w:t xml:space="preserve">mg </w:t>
      </w:r>
      <w:r w:rsidRPr="009B0AA9">
        <w:rPr>
          <w:rFonts w:eastAsia="Times New Roman" w:cs="Arial"/>
          <w:color w:val="000000"/>
          <w:lang w:eastAsia="bg-BG"/>
        </w:rPr>
        <w:t>веднъж дневно (вж. точка 4.4).</w:t>
      </w:r>
    </w:p>
    <w:p w14:paraId="0539335A" w14:textId="77777777" w:rsidR="009B0AA9" w:rsidRPr="009B0AA9" w:rsidRDefault="009B0AA9" w:rsidP="009B0AA9">
      <w:pPr>
        <w:spacing w:line="240" w:lineRule="auto"/>
        <w:rPr>
          <w:rFonts w:eastAsia="Times New Roman" w:cs="Arial"/>
          <w:i/>
          <w:iCs/>
          <w:color w:val="000000"/>
          <w:u w:val="single"/>
          <w:lang w:eastAsia="bg-BG"/>
        </w:rPr>
      </w:pPr>
    </w:p>
    <w:p w14:paraId="7B19E2B0" w14:textId="4EBEB52C" w:rsidR="009B0AA9" w:rsidRPr="009B0AA9" w:rsidRDefault="009B0AA9" w:rsidP="009B0AA9">
      <w:pPr>
        <w:spacing w:line="240" w:lineRule="auto"/>
        <w:rPr>
          <w:rFonts w:eastAsia="Times New Roman" w:cs="Arial"/>
          <w:sz w:val="28"/>
          <w:szCs w:val="28"/>
          <w:lang w:eastAsia="bg-BG"/>
        </w:rPr>
      </w:pPr>
      <w:r w:rsidRPr="009B0AA9">
        <w:rPr>
          <w:rFonts w:eastAsia="Times New Roman" w:cs="Arial"/>
          <w:i/>
          <w:iCs/>
          <w:color w:val="000000"/>
          <w:u w:val="single"/>
          <w:lang w:eastAsia="bg-BG"/>
        </w:rPr>
        <w:t>Пациенти в старческа възраст</w:t>
      </w:r>
    </w:p>
    <w:p w14:paraId="2B1A82FC"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Не е необходимо коригиране на дозата при пациенти в старческа възраст.</w:t>
      </w:r>
    </w:p>
    <w:p w14:paraId="389D20C7" w14:textId="77777777" w:rsidR="009B0AA9" w:rsidRPr="009B0AA9" w:rsidRDefault="009B0AA9" w:rsidP="009B0AA9">
      <w:pPr>
        <w:spacing w:line="240" w:lineRule="auto"/>
        <w:rPr>
          <w:rFonts w:eastAsia="Times New Roman" w:cs="Arial"/>
          <w:i/>
          <w:iCs/>
          <w:color w:val="000000"/>
          <w:u w:val="single"/>
          <w:lang w:eastAsia="bg-BG"/>
        </w:rPr>
      </w:pPr>
    </w:p>
    <w:p w14:paraId="331FB991" w14:textId="7E73B96A" w:rsidR="009B0AA9" w:rsidRPr="009B0AA9" w:rsidRDefault="009B0AA9" w:rsidP="009B0AA9">
      <w:pPr>
        <w:spacing w:line="240" w:lineRule="auto"/>
        <w:rPr>
          <w:rFonts w:eastAsia="Times New Roman" w:cs="Arial"/>
          <w:sz w:val="28"/>
          <w:szCs w:val="28"/>
          <w:lang w:eastAsia="bg-BG"/>
        </w:rPr>
      </w:pPr>
      <w:r w:rsidRPr="009B0AA9">
        <w:rPr>
          <w:rFonts w:eastAsia="Times New Roman" w:cs="Arial"/>
          <w:i/>
          <w:iCs/>
          <w:color w:val="000000"/>
          <w:u w:val="single"/>
          <w:lang w:eastAsia="bg-BG"/>
        </w:rPr>
        <w:t>Педиатрична популация</w:t>
      </w:r>
    </w:p>
    <w:p w14:paraId="631EB61B"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Безопасността и ефикасността на телмисартан при деца и юноши под 18-годишна възраст не е установена.</w:t>
      </w:r>
    </w:p>
    <w:p w14:paraId="2C3D201F"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Наличните понастоящем данни са описани в точки 5.1 и 5.2, но препоръки за дозировка не може да бъдат направени.</w:t>
      </w:r>
    </w:p>
    <w:p w14:paraId="21BF958B" w14:textId="77777777" w:rsidR="009B0AA9" w:rsidRPr="009B0AA9" w:rsidRDefault="009B0AA9" w:rsidP="009B0AA9">
      <w:pPr>
        <w:spacing w:line="240" w:lineRule="auto"/>
        <w:rPr>
          <w:rFonts w:eastAsia="Times New Roman" w:cs="Arial"/>
          <w:color w:val="000000"/>
          <w:u w:val="single"/>
          <w:lang w:eastAsia="bg-BG"/>
        </w:rPr>
      </w:pPr>
    </w:p>
    <w:p w14:paraId="400617D5" w14:textId="7EFF4323" w:rsidR="009B0AA9" w:rsidRPr="009B0AA9" w:rsidRDefault="009B0AA9" w:rsidP="009B0AA9">
      <w:pPr>
        <w:pStyle w:val="Heading3"/>
        <w:rPr>
          <w:rFonts w:eastAsia="Times New Roman"/>
          <w:sz w:val="28"/>
          <w:szCs w:val="28"/>
          <w:u w:val="single"/>
          <w:lang w:eastAsia="bg-BG"/>
        </w:rPr>
      </w:pPr>
      <w:r w:rsidRPr="009B0AA9">
        <w:rPr>
          <w:rFonts w:eastAsia="Times New Roman"/>
          <w:u w:val="single"/>
          <w:lang w:eastAsia="bg-BG"/>
        </w:rPr>
        <w:t>Начин на приложение</w:t>
      </w:r>
    </w:p>
    <w:p w14:paraId="44CD26A9"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Таблетките телмисартан са предназначени за перорално приложение веднъж дневно и трябва да се поглъщат с малко вода, с или без храна.</w:t>
      </w:r>
    </w:p>
    <w:p w14:paraId="10EA6FAD" w14:textId="77777777" w:rsidR="009B0AA9" w:rsidRPr="009B0AA9" w:rsidRDefault="009B0AA9" w:rsidP="009B0AA9">
      <w:pPr>
        <w:spacing w:line="240" w:lineRule="auto"/>
        <w:rPr>
          <w:rFonts w:eastAsia="Times New Roman" w:cs="Arial"/>
          <w:i/>
          <w:iCs/>
          <w:color w:val="000000"/>
          <w:lang w:eastAsia="bg-BG"/>
        </w:rPr>
      </w:pPr>
    </w:p>
    <w:p w14:paraId="0D510AE6" w14:textId="4DD8CAD7" w:rsidR="009B0AA9" w:rsidRPr="009B0AA9" w:rsidRDefault="009B0AA9" w:rsidP="009B0AA9">
      <w:pPr>
        <w:spacing w:line="240" w:lineRule="auto"/>
        <w:rPr>
          <w:rFonts w:eastAsia="Times New Roman" w:cs="Arial"/>
          <w:sz w:val="28"/>
          <w:szCs w:val="28"/>
          <w:lang w:eastAsia="bg-BG"/>
        </w:rPr>
      </w:pPr>
      <w:r w:rsidRPr="009B0AA9">
        <w:rPr>
          <w:rFonts w:eastAsia="Times New Roman" w:cs="Arial"/>
          <w:i/>
          <w:iCs/>
          <w:color w:val="000000"/>
          <w:lang w:eastAsia="bg-BG"/>
        </w:rPr>
        <w:t>Предпазни мерки при работа или приложение на лекарствения продукт</w:t>
      </w:r>
    </w:p>
    <w:p w14:paraId="791BC370" w14:textId="77777777" w:rsidR="009B0AA9" w:rsidRPr="009B0AA9" w:rsidRDefault="009B0AA9" w:rsidP="009B0AA9">
      <w:pPr>
        <w:spacing w:line="240" w:lineRule="auto"/>
        <w:rPr>
          <w:rFonts w:ascii="Times New Roman" w:eastAsia="Times New Roman" w:hAnsi="Times New Roman" w:cs="Times New Roman"/>
          <w:sz w:val="24"/>
          <w:szCs w:val="24"/>
          <w:lang w:eastAsia="bg-BG"/>
        </w:rPr>
      </w:pPr>
      <w:r w:rsidRPr="009B0AA9">
        <w:rPr>
          <w:rFonts w:eastAsia="Times New Roman" w:cs="Arial"/>
          <w:color w:val="000000"/>
          <w:lang w:eastAsia="bg-BG"/>
        </w:rPr>
        <w:t>Телмисартан трябва да се съхранява в запечатан блистер поради хигроскопичните свойства на таблетките. Таблетките трябва да се изваждат от блистера непосредствено преди приема (вж. точка 6.6.)</w:t>
      </w:r>
    </w:p>
    <w:p w14:paraId="30A3BF2F" w14:textId="77777777" w:rsidR="009B0AA9" w:rsidRPr="009B0AA9" w:rsidRDefault="009B0AA9" w:rsidP="009B0AA9"/>
    <w:p w14:paraId="1BF2EFF4" w14:textId="345C9631" w:rsidR="001A6EBD" w:rsidRDefault="002C50EE" w:rsidP="00471F10">
      <w:pPr>
        <w:pStyle w:val="Heading2"/>
      </w:pPr>
      <w:r>
        <w:t>4.3. Противопоказания</w:t>
      </w:r>
    </w:p>
    <w:p w14:paraId="5EFAA1B4" w14:textId="501A504E" w:rsidR="009B0AA9" w:rsidRDefault="009B0AA9" w:rsidP="009B0AA9"/>
    <w:p w14:paraId="592D7DF5" w14:textId="77777777" w:rsidR="009B0AA9" w:rsidRPr="009B0AA9" w:rsidRDefault="009B0AA9" w:rsidP="009B0AA9">
      <w:pPr>
        <w:pStyle w:val="ListParagraph"/>
        <w:numPr>
          <w:ilvl w:val="0"/>
          <w:numId w:val="40"/>
        </w:numPr>
        <w:spacing w:line="240" w:lineRule="auto"/>
        <w:rPr>
          <w:rFonts w:eastAsia="Times New Roman" w:cs="Arial"/>
          <w:sz w:val="28"/>
          <w:szCs w:val="28"/>
          <w:lang w:eastAsia="bg-BG"/>
        </w:rPr>
      </w:pPr>
      <w:r w:rsidRPr="009B0AA9">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7200A41F" w14:textId="77777777" w:rsidR="009B0AA9" w:rsidRPr="009B0AA9" w:rsidRDefault="009B0AA9" w:rsidP="009B0AA9">
      <w:pPr>
        <w:pStyle w:val="ListParagraph"/>
        <w:numPr>
          <w:ilvl w:val="0"/>
          <w:numId w:val="40"/>
        </w:numPr>
        <w:spacing w:line="240" w:lineRule="auto"/>
        <w:rPr>
          <w:rFonts w:eastAsia="Times New Roman" w:cs="Arial"/>
          <w:sz w:val="28"/>
          <w:szCs w:val="28"/>
          <w:lang w:eastAsia="bg-BG"/>
        </w:rPr>
      </w:pPr>
      <w:r w:rsidRPr="009B0AA9">
        <w:rPr>
          <w:rFonts w:eastAsia="Times New Roman" w:cs="Arial"/>
          <w:color w:val="000000"/>
          <w:lang w:eastAsia="bg-BG"/>
        </w:rPr>
        <w:lastRenderedPageBreak/>
        <w:t>Втори и трети триместър на бременността (вж. точки 4.4 и 4.6).</w:t>
      </w:r>
    </w:p>
    <w:p w14:paraId="74DB0842" w14:textId="77777777" w:rsidR="009B0AA9" w:rsidRPr="009B0AA9" w:rsidRDefault="009B0AA9" w:rsidP="009B0AA9">
      <w:pPr>
        <w:pStyle w:val="ListParagraph"/>
        <w:numPr>
          <w:ilvl w:val="0"/>
          <w:numId w:val="40"/>
        </w:numPr>
        <w:spacing w:line="240" w:lineRule="auto"/>
        <w:rPr>
          <w:rFonts w:eastAsia="Times New Roman" w:cs="Arial"/>
          <w:sz w:val="28"/>
          <w:szCs w:val="28"/>
          <w:lang w:eastAsia="bg-BG"/>
        </w:rPr>
      </w:pPr>
      <w:r w:rsidRPr="009B0AA9">
        <w:rPr>
          <w:rFonts w:eastAsia="Times New Roman" w:cs="Arial"/>
          <w:color w:val="000000"/>
          <w:lang w:eastAsia="bg-BG"/>
        </w:rPr>
        <w:t>Обструктивни заболявания на жлъчните пътища.</w:t>
      </w:r>
    </w:p>
    <w:p w14:paraId="01EF06DF" w14:textId="77777777" w:rsidR="009B0AA9" w:rsidRPr="009B0AA9" w:rsidRDefault="009B0AA9" w:rsidP="009B0AA9">
      <w:pPr>
        <w:pStyle w:val="ListParagraph"/>
        <w:numPr>
          <w:ilvl w:val="0"/>
          <w:numId w:val="40"/>
        </w:numPr>
        <w:spacing w:line="240" w:lineRule="auto"/>
        <w:rPr>
          <w:rFonts w:eastAsia="Times New Roman" w:cs="Arial"/>
          <w:sz w:val="28"/>
          <w:szCs w:val="28"/>
          <w:lang w:eastAsia="bg-BG"/>
        </w:rPr>
      </w:pPr>
      <w:r w:rsidRPr="009B0AA9">
        <w:rPr>
          <w:rFonts w:eastAsia="Times New Roman" w:cs="Arial"/>
          <w:color w:val="000000"/>
          <w:lang w:eastAsia="bg-BG"/>
        </w:rPr>
        <w:t>Тежко чернодробно увреждане.</w:t>
      </w:r>
    </w:p>
    <w:p w14:paraId="10C09E45" w14:textId="6C688CD0" w:rsidR="009B0AA9" w:rsidRPr="009B0AA9" w:rsidRDefault="009B0AA9" w:rsidP="009B0AA9">
      <w:pPr>
        <w:pStyle w:val="ListParagraph"/>
        <w:numPr>
          <w:ilvl w:val="0"/>
          <w:numId w:val="40"/>
        </w:numPr>
        <w:spacing w:line="240" w:lineRule="auto"/>
        <w:rPr>
          <w:rFonts w:eastAsia="Times New Roman" w:cs="Arial"/>
          <w:sz w:val="28"/>
          <w:szCs w:val="28"/>
          <w:lang w:eastAsia="bg-BG"/>
        </w:rPr>
      </w:pPr>
      <w:r w:rsidRPr="009B0AA9">
        <w:rPr>
          <w:rFonts w:eastAsia="Times New Roman" w:cs="Arial"/>
          <w:color w:val="000000"/>
          <w:lang w:eastAsia="bg-BG"/>
        </w:rPr>
        <w:t xml:space="preserve">Едновременната употреба на телмисартан с алискирен е противопоказана при пациенти със захарен диабет или бъбречно увреждане </w:t>
      </w:r>
      <w:r w:rsidRPr="009B0AA9">
        <w:rPr>
          <w:rFonts w:eastAsia="Times New Roman" w:cs="Arial"/>
          <w:color w:val="000000"/>
          <w:lang w:val="en-US"/>
        </w:rPr>
        <w:t xml:space="preserve">(GFR </w:t>
      </w:r>
      <w:r w:rsidRPr="009B0AA9">
        <w:rPr>
          <w:rFonts w:eastAsia="Times New Roman" w:cs="Arial"/>
          <w:color w:val="000000"/>
          <w:lang w:eastAsia="bg-BG"/>
        </w:rPr>
        <w:t xml:space="preserve">&lt; 60 </w:t>
      </w:r>
      <w:r w:rsidRPr="009B0AA9">
        <w:rPr>
          <w:rFonts w:eastAsia="Times New Roman" w:cs="Arial"/>
          <w:color w:val="000000"/>
          <w:lang w:val="en-US"/>
        </w:rPr>
        <w:t xml:space="preserve">ml/min/1,73 </w:t>
      </w:r>
      <w:r w:rsidRPr="009B0AA9">
        <w:rPr>
          <w:rFonts w:eastAsia="Times New Roman" w:cs="Arial"/>
          <w:color w:val="000000"/>
          <w:lang w:eastAsia="bg-BG"/>
        </w:rPr>
        <w:t>m2) (вж. точка 4.2, 4.4, 4.5).</w:t>
      </w:r>
    </w:p>
    <w:p w14:paraId="1C8798FB" w14:textId="77777777" w:rsidR="009B0AA9" w:rsidRPr="009B0AA9" w:rsidRDefault="009B0AA9" w:rsidP="009B0AA9"/>
    <w:p w14:paraId="0C106098" w14:textId="5D52E1CC" w:rsidR="001A6EBD" w:rsidRDefault="002C50EE" w:rsidP="00471F10">
      <w:pPr>
        <w:pStyle w:val="Heading2"/>
      </w:pPr>
      <w:r>
        <w:t>4.4. Специални предупреждения и предпазни мерки при употреба</w:t>
      </w:r>
    </w:p>
    <w:p w14:paraId="4FAD3097" w14:textId="422DF6C2" w:rsidR="009B0AA9" w:rsidRDefault="009B0AA9" w:rsidP="009B0AA9"/>
    <w:p w14:paraId="743929E3" w14:textId="77777777" w:rsidR="009B0AA9" w:rsidRPr="009B0AA9" w:rsidRDefault="009B0AA9" w:rsidP="009B0AA9">
      <w:pPr>
        <w:pStyle w:val="Heading3"/>
        <w:rPr>
          <w:rFonts w:eastAsia="Times New Roman"/>
          <w:u w:val="single"/>
          <w:lang w:eastAsia="bg-BG"/>
        </w:rPr>
      </w:pPr>
      <w:r w:rsidRPr="009B0AA9">
        <w:rPr>
          <w:rFonts w:eastAsia="Times New Roman"/>
          <w:u w:val="single"/>
          <w:lang w:eastAsia="bg-BG"/>
        </w:rPr>
        <w:t>Бременност</w:t>
      </w:r>
    </w:p>
    <w:p w14:paraId="4A073F26" w14:textId="77777777" w:rsidR="009B0AA9" w:rsidRPr="009B0AA9" w:rsidRDefault="009B0AA9" w:rsidP="009B0AA9">
      <w:pPr>
        <w:rPr>
          <w:rFonts w:eastAsia="Times New Roman" w:cs="Arial"/>
          <w:lang w:eastAsia="bg-BG"/>
        </w:rPr>
      </w:pPr>
      <w:r w:rsidRPr="009B0AA9">
        <w:rPr>
          <w:rFonts w:eastAsia="Times New Roman" w:cs="Arial"/>
          <w:color w:val="000000"/>
          <w:lang w:eastAsia="bg-BG"/>
        </w:rPr>
        <w:t>По време на бременност не трябва да се започва прием на ангиотензин II рецепторни антагонисти.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продължаването на лечението с ангиотензин II рецепторни антагонисти бъде оценено като крайно необходимо. Ако е установена бременност, лечението с ангиотензин</w:t>
      </w:r>
      <w:r w:rsidRPr="009B0AA9">
        <w:rPr>
          <w:rFonts w:eastAsia="Times New Roman" w:cs="Arial"/>
          <w:color w:val="000000"/>
          <w:lang w:val="en-US" w:eastAsia="bg-BG"/>
        </w:rPr>
        <w:t xml:space="preserve"> </w:t>
      </w:r>
      <w:r w:rsidRPr="009B0AA9">
        <w:rPr>
          <w:rFonts w:eastAsia="Times New Roman" w:cs="Arial"/>
          <w:color w:val="000000"/>
          <w:lang w:eastAsia="bg-BG"/>
        </w:rPr>
        <w:t>II рецепторни антагонисти трябва незабавно да бъде прекратено и ако е подходящо, да се започне алтернативна терапия (вж. точки 4.3 и 4.6).</w:t>
      </w:r>
    </w:p>
    <w:p w14:paraId="09E43F86" w14:textId="77777777" w:rsidR="009B0AA9" w:rsidRPr="009B0AA9" w:rsidRDefault="009B0AA9" w:rsidP="009B0AA9">
      <w:pPr>
        <w:spacing w:line="240" w:lineRule="auto"/>
        <w:rPr>
          <w:rFonts w:eastAsia="Times New Roman" w:cs="Arial"/>
          <w:color w:val="000000"/>
          <w:u w:val="single"/>
          <w:lang w:eastAsia="bg-BG"/>
        </w:rPr>
      </w:pPr>
    </w:p>
    <w:p w14:paraId="130E71A5" w14:textId="14E7563E" w:rsidR="009B0AA9" w:rsidRPr="009B0AA9" w:rsidRDefault="009B0AA9" w:rsidP="009B0AA9">
      <w:pPr>
        <w:spacing w:line="240" w:lineRule="auto"/>
        <w:rPr>
          <w:rFonts w:eastAsia="Times New Roman" w:cs="Arial"/>
          <w:lang w:eastAsia="bg-BG"/>
        </w:rPr>
      </w:pPr>
      <w:r w:rsidRPr="009B0AA9">
        <w:rPr>
          <w:rFonts w:eastAsia="Times New Roman" w:cs="Arial"/>
          <w:color w:val="000000"/>
          <w:u w:val="single"/>
          <w:lang w:eastAsia="bg-BG"/>
        </w:rPr>
        <w:t>Чернодробно увреждане</w:t>
      </w:r>
    </w:p>
    <w:p w14:paraId="2C2A7C71"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Телмисартан не трябва да се прилага при пациенти с холестаза, с обструктивни жлъчни нарушения или тежко чернодробно увреждане (вж. точка 4.3), тъй като телмисартан се елиминира предимно чрез жлъчката. При тези пациенти може да се очаква намален чернодробен клирънс на телмисартан. Телмисартан трябва да се прилага с повишено внимание при пациенти с лека до умерена степен на чернодробно увреждане.</w:t>
      </w:r>
    </w:p>
    <w:p w14:paraId="1D4119BD" w14:textId="77777777" w:rsidR="009B0AA9" w:rsidRPr="009B0AA9" w:rsidRDefault="009B0AA9" w:rsidP="009B0AA9">
      <w:pPr>
        <w:spacing w:line="240" w:lineRule="auto"/>
        <w:rPr>
          <w:rFonts w:eastAsia="Times New Roman" w:cs="Arial"/>
          <w:color w:val="000000"/>
          <w:u w:val="single"/>
          <w:lang w:eastAsia="bg-BG"/>
        </w:rPr>
      </w:pPr>
    </w:p>
    <w:p w14:paraId="74F4C90C" w14:textId="1465B799" w:rsidR="009B0AA9" w:rsidRPr="009B0AA9" w:rsidRDefault="009B0AA9" w:rsidP="009B0AA9">
      <w:pPr>
        <w:spacing w:line="240" w:lineRule="auto"/>
        <w:rPr>
          <w:rFonts w:eastAsia="Times New Roman" w:cs="Arial"/>
          <w:lang w:eastAsia="bg-BG"/>
        </w:rPr>
      </w:pPr>
      <w:r w:rsidRPr="009B0AA9">
        <w:rPr>
          <w:rFonts w:eastAsia="Times New Roman" w:cs="Arial"/>
          <w:color w:val="000000"/>
          <w:u w:val="single"/>
          <w:lang w:eastAsia="bg-BG"/>
        </w:rPr>
        <w:t>Реноваскуларна хипертония</w:t>
      </w:r>
    </w:p>
    <w:p w14:paraId="6DD1D4EE"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Съществува повишен риск от тежка хипотония и бъбречна недостатъчност при пациенти с двустранна стеноза на бъбречните артерии или стеноза на артерията на единствен функциониращ бъбрек, при лечение с медикаменти, повлияващи ренин-ангиотензин- алдостероновата система.</w:t>
      </w:r>
    </w:p>
    <w:p w14:paraId="3F54D50A" w14:textId="77777777" w:rsidR="009B0AA9" w:rsidRPr="009B0AA9" w:rsidRDefault="009B0AA9" w:rsidP="009B0AA9">
      <w:pPr>
        <w:spacing w:line="240" w:lineRule="auto"/>
        <w:rPr>
          <w:rFonts w:eastAsia="Times New Roman" w:cs="Arial"/>
          <w:color w:val="000000"/>
          <w:u w:val="single"/>
          <w:lang w:eastAsia="bg-BG"/>
        </w:rPr>
      </w:pPr>
    </w:p>
    <w:p w14:paraId="25E2AD2B" w14:textId="65852121" w:rsidR="009B0AA9" w:rsidRPr="009B0AA9" w:rsidRDefault="009B0AA9" w:rsidP="009B0AA9">
      <w:pPr>
        <w:spacing w:line="240" w:lineRule="auto"/>
        <w:rPr>
          <w:rFonts w:eastAsia="Times New Roman" w:cs="Arial"/>
          <w:lang w:eastAsia="bg-BG"/>
        </w:rPr>
      </w:pPr>
      <w:r w:rsidRPr="009B0AA9">
        <w:rPr>
          <w:rFonts w:eastAsia="Times New Roman" w:cs="Arial"/>
          <w:color w:val="000000"/>
          <w:u w:val="single"/>
          <w:lang w:eastAsia="bg-BG"/>
        </w:rPr>
        <w:t>Бъбречно увреждане и бъбречна трансплантация</w:t>
      </w:r>
    </w:p>
    <w:p w14:paraId="041A0418"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Когато телмисартан се приема от пациенти с нарушена бъбречна функция, се препоръчва периодично мониториране на серумните нива на калий и креатинин. Няма достатъчно опит по отношение използването на телмисартан при пациенти, претърпели наскоро бъбречна трансплантация.</w:t>
      </w:r>
    </w:p>
    <w:p w14:paraId="58AC2B81" w14:textId="77777777" w:rsidR="009B0AA9" w:rsidRPr="009B0AA9" w:rsidRDefault="009B0AA9" w:rsidP="009B0AA9">
      <w:pPr>
        <w:spacing w:line="240" w:lineRule="auto"/>
        <w:rPr>
          <w:rFonts w:eastAsia="Times New Roman" w:cs="Arial"/>
          <w:color w:val="000000"/>
          <w:u w:val="single"/>
          <w:lang w:eastAsia="bg-BG"/>
        </w:rPr>
      </w:pPr>
    </w:p>
    <w:p w14:paraId="751BCC68" w14:textId="347DC99C" w:rsidR="009B0AA9" w:rsidRPr="009B0AA9" w:rsidRDefault="009B0AA9" w:rsidP="009B0AA9">
      <w:pPr>
        <w:spacing w:line="240" w:lineRule="auto"/>
        <w:rPr>
          <w:rFonts w:eastAsia="Times New Roman" w:cs="Arial"/>
          <w:lang w:eastAsia="bg-BG"/>
        </w:rPr>
      </w:pPr>
      <w:r w:rsidRPr="009B0AA9">
        <w:rPr>
          <w:rFonts w:eastAsia="Times New Roman" w:cs="Arial"/>
          <w:color w:val="000000"/>
          <w:u w:val="single"/>
          <w:lang w:eastAsia="bg-BG"/>
        </w:rPr>
        <w:t>Вътресъдова хиповолемия</w:t>
      </w:r>
    </w:p>
    <w:p w14:paraId="467D9AC1"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Симптоматична хипотония, особено след първата доза телмисартан, е възможна при пациенти с хиповолемия и/или натриев дефицит в резултат на агресивна диуретична терапия, диета с ограничен прием на сол, диария или повръщане. Такива състояния трябва да бъдат коригирани преди прилагане на телмисартан. Натриевият дефицит и/или хиповолемията трябва да бъдат коригирани преди приема на телмисартан.</w:t>
      </w:r>
    </w:p>
    <w:p w14:paraId="0E42B0ED" w14:textId="77777777" w:rsidR="009B0AA9" w:rsidRPr="009B0AA9" w:rsidRDefault="009B0AA9" w:rsidP="009B0AA9">
      <w:pPr>
        <w:spacing w:line="240" w:lineRule="auto"/>
        <w:rPr>
          <w:rFonts w:eastAsia="Times New Roman" w:cs="Arial"/>
          <w:color w:val="000000"/>
          <w:u w:val="single"/>
          <w:lang w:eastAsia="bg-BG"/>
        </w:rPr>
      </w:pPr>
    </w:p>
    <w:p w14:paraId="5BA6CA62" w14:textId="600DD8CA" w:rsidR="009B0AA9" w:rsidRPr="009B0AA9" w:rsidRDefault="009B0AA9" w:rsidP="009B0AA9">
      <w:pPr>
        <w:spacing w:line="240" w:lineRule="auto"/>
        <w:rPr>
          <w:rFonts w:eastAsia="Times New Roman" w:cs="Arial"/>
          <w:lang w:eastAsia="bg-BG"/>
        </w:rPr>
      </w:pPr>
      <w:r w:rsidRPr="009B0AA9">
        <w:rPr>
          <w:rFonts w:eastAsia="Times New Roman" w:cs="Arial"/>
          <w:color w:val="000000"/>
          <w:u w:val="single"/>
          <w:lang w:eastAsia="bg-BG"/>
        </w:rPr>
        <w:t>Двойно блокиране на ренин-ангиотензин-алдостероновата система</w:t>
      </w:r>
    </w:p>
    <w:p w14:paraId="62A13E20" w14:textId="77777777" w:rsidR="009B0AA9" w:rsidRPr="009B0AA9" w:rsidRDefault="009B0AA9" w:rsidP="009B0AA9">
      <w:pPr>
        <w:spacing w:line="240" w:lineRule="auto"/>
        <w:rPr>
          <w:rFonts w:eastAsia="Times New Roman" w:cs="Arial"/>
          <w:color w:val="000000"/>
          <w:lang w:eastAsia="bg-BG"/>
        </w:rPr>
      </w:pPr>
    </w:p>
    <w:p w14:paraId="28AEFD80" w14:textId="2F8A2B05"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 xml:space="preserve">Има данни, че едновременната употреба на АСЕ инхибитори, ангиотензин </w:t>
      </w:r>
      <w:r w:rsidRPr="009B0AA9">
        <w:rPr>
          <w:rFonts w:eastAsia="Times New Roman" w:cs="Arial"/>
          <w:color w:val="000000"/>
          <w:lang w:val="en-US"/>
        </w:rPr>
        <w:t>II</w:t>
      </w:r>
      <w:r w:rsidRPr="009B0AA9">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w:t>
      </w:r>
      <w:r w:rsidRPr="009B0AA9">
        <w:rPr>
          <w:rFonts w:eastAsia="Times New Roman" w:cs="Arial"/>
          <w:color w:val="000000"/>
          <w:lang w:eastAsia="bg-BG"/>
        </w:rPr>
        <w:lastRenderedPageBreak/>
        <w:t xml:space="preserve">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9B0AA9">
        <w:rPr>
          <w:rFonts w:eastAsia="Times New Roman" w:cs="Arial"/>
          <w:color w:val="000000"/>
          <w:lang w:val="en-US"/>
        </w:rPr>
        <w:t>II</w:t>
      </w:r>
      <w:r w:rsidRPr="009B0AA9">
        <w:rPr>
          <w:rFonts w:eastAsia="Times New Roman" w:cs="Arial"/>
          <w:color w:val="000000"/>
          <w:lang w:eastAsia="bg-BG"/>
        </w:rPr>
        <w:t>-рецепторни блокери или алискирен (вж. точки 4.5 и 5.1).</w:t>
      </w:r>
    </w:p>
    <w:p w14:paraId="5C3FE08E"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19968540"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 xml:space="preserve">АСЕ инхибитори и ангиотензин </w:t>
      </w:r>
      <w:r w:rsidRPr="009B0AA9">
        <w:rPr>
          <w:rFonts w:eastAsia="Times New Roman" w:cs="Arial"/>
          <w:color w:val="000000"/>
          <w:lang w:val="en-US"/>
        </w:rPr>
        <w:t>II</w:t>
      </w:r>
      <w:r w:rsidRPr="009B0AA9">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4CAA42CC" w14:textId="77777777" w:rsidR="009B0AA9" w:rsidRPr="009B0AA9" w:rsidRDefault="009B0AA9" w:rsidP="009B0AA9">
      <w:pPr>
        <w:spacing w:line="240" w:lineRule="auto"/>
        <w:rPr>
          <w:rFonts w:eastAsia="Times New Roman" w:cs="Arial"/>
          <w:color w:val="000000"/>
          <w:u w:val="single"/>
          <w:lang w:eastAsia="bg-BG"/>
        </w:rPr>
      </w:pPr>
    </w:p>
    <w:p w14:paraId="3E829DAD" w14:textId="5ED92D43" w:rsidR="009B0AA9" w:rsidRPr="009B0AA9" w:rsidRDefault="009B0AA9" w:rsidP="009B0AA9">
      <w:pPr>
        <w:spacing w:line="240" w:lineRule="auto"/>
        <w:rPr>
          <w:rFonts w:eastAsia="Times New Roman" w:cs="Arial"/>
          <w:lang w:eastAsia="bg-BG"/>
        </w:rPr>
      </w:pPr>
      <w:r w:rsidRPr="009B0AA9">
        <w:rPr>
          <w:rFonts w:eastAsia="Times New Roman" w:cs="Arial"/>
          <w:color w:val="000000"/>
          <w:u w:val="single"/>
          <w:lang w:eastAsia="bg-BG"/>
        </w:rPr>
        <w:t>Други състояния със стимулация на ренин-ангиотензин-алдостероновата система</w:t>
      </w:r>
    </w:p>
    <w:p w14:paraId="33E7BCE1"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При пациенти, при които съдовият тонус и бъбречната функция зависят основно от активността на ренин-ангиотензин-алдостероновата система (например, пациенти с тежка застойна сърдечна недостатъчност или подлежащо бъбречно заболяване, включително стеноза на бъбречната артерия), лечението с лекарствени продукти, които повлияват тази система, като например телмисартан, се свързва с остра хипотония, хиперазотемия, олигурия или рядко остра бъбречна недостатъчност (вж. точка 4.8).</w:t>
      </w:r>
    </w:p>
    <w:p w14:paraId="109C91CB" w14:textId="77777777" w:rsidR="009B0AA9" w:rsidRPr="009B0AA9" w:rsidRDefault="009B0AA9" w:rsidP="009B0AA9">
      <w:pPr>
        <w:spacing w:line="240" w:lineRule="auto"/>
        <w:rPr>
          <w:rFonts w:eastAsia="Times New Roman" w:cs="Arial"/>
          <w:color w:val="000000"/>
          <w:u w:val="single"/>
          <w:lang w:eastAsia="bg-BG"/>
        </w:rPr>
      </w:pPr>
    </w:p>
    <w:p w14:paraId="5C45E512" w14:textId="3AD175AF" w:rsidR="009B0AA9" w:rsidRPr="009B0AA9" w:rsidRDefault="009B0AA9" w:rsidP="009B0AA9">
      <w:pPr>
        <w:spacing w:line="240" w:lineRule="auto"/>
        <w:rPr>
          <w:rFonts w:eastAsia="Times New Roman" w:cs="Arial"/>
          <w:lang w:eastAsia="bg-BG"/>
        </w:rPr>
      </w:pPr>
      <w:r w:rsidRPr="009B0AA9">
        <w:rPr>
          <w:rFonts w:eastAsia="Times New Roman" w:cs="Arial"/>
          <w:color w:val="000000"/>
          <w:u w:val="single"/>
          <w:lang w:eastAsia="bg-BG"/>
        </w:rPr>
        <w:t>Първичен алдостеронизъм</w:t>
      </w:r>
    </w:p>
    <w:p w14:paraId="0071BB82"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Пациенти с първичен алдостеронизъм обикновено не се повлияват от лечение с антихипертензивни лекарствени продукти, действащи чрез потискане на ренин- ангиотензиновата система. Поради това, употребата на телмисартан не се препоръчва</w:t>
      </w:r>
    </w:p>
    <w:p w14:paraId="26332725" w14:textId="77777777" w:rsidR="009B0AA9" w:rsidRPr="009B0AA9" w:rsidRDefault="009B0AA9" w:rsidP="009B0AA9">
      <w:pPr>
        <w:spacing w:line="240" w:lineRule="auto"/>
        <w:rPr>
          <w:rFonts w:eastAsia="Times New Roman" w:cs="Arial"/>
          <w:lang w:eastAsia="bg-BG"/>
        </w:rPr>
      </w:pPr>
    </w:p>
    <w:p w14:paraId="5008CF38" w14:textId="137183C6" w:rsidR="009B0AA9" w:rsidRPr="009B0AA9" w:rsidRDefault="009B0AA9" w:rsidP="009B0AA9">
      <w:pPr>
        <w:spacing w:line="240" w:lineRule="auto"/>
        <w:rPr>
          <w:rFonts w:eastAsia="Times New Roman" w:cs="Arial"/>
          <w:lang w:val="en-US" w:eastAsia="bg-BG"/>
        </w:rPr>
      </w:pPr>
      <w:r w:rsidRPr="009B0AA9">
        <w:rPr>
          <w:rFonts w:eastAsia="Times New Roman" w:cs="Arial"/>
          <w:color w:val="000000"/>
          <w:u w:val="single"/>
          <w:lang w:eastAsia="bg-BG"/>
        </w:rPr>
        <w:t>Стеноза на аортната и митралната клапа, обструктивна хипертрофична кардиомиопатия</w:t>
      </w:r>
    </w:p>
    <w:p w14:paraId="4571CAE6"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Както при другите вазодилататори, специално внимание е необходимо при пациенти със стеноза на аортната или митралната клапа, или обструктивна хипертрофична кардиомиопатия.</w:t>
      </w:r>
    </w:p>
    <w:p w14:paraId="13DCCA9D" w14:textId="77777777" w:rsidR="009B0AA9" w:rsidRPr="009B0AA9" w:rsidRDefault="009B0AA9" w:rsidP="009B0AA9">
      <w:pPr>
        <w:spacing w:line="240" w:lineRule="auto"/>
        <w:rPr>
          <w:rFonts w:eastAsia="Times New Roman" w:cs="Arial"/>
          <w:color w:val="000000"/>
          <w:u w:val="single"/>
          <w:lang w:eastAsia="bg-BG"/>
        </w:rPr>
      </w:pPr>
    </w:p>
    <w:p w14:paraId="3981A109" w14:textId="7ED03060" w:rsidR="009B0AA9" w:rsidRPr="009B0AA9" w:rsidRDefault="009B0AA9" w:rsidP="009B0AA9">
      <w:pPr>
        <w:spacing w:line="240" w:lineRule="auto"/>
        <w:rPr>
          <w:rFonts w:eastAsia="Times New Roman" w:cs="Arial"/>
          <w:lang w:eastAsia="bg-BG"/>
        </w:rPr>
      </w:pPr>
      <w:r w:rsidRPr="009B0AA9">
        <w:rPr>
          <w:rFonts w:eastAsia="Times New Roman" w:cs="Arial"/>
          <w:color w:val="000000"/>
          <w:u w:val="single"/>
          <w:lang w:eastAsia="bg-BG"/>
        </w:rPr>
        <w:t>Пациенти с диабет, приемащи инсулин или антидиабетични средства</w:t>
      </w:r>
    </w:p>
    <w:p w14:paraId="3D0BBB0C"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По време на лечение с телмисартан при тези пациенти е възможна появата на хипогликемия. Поради това при тях е необходим подходящ контрол на кръвната захар и, когато е показано, може да се наложи коригиране на дозата на инсулина или антидиабетичния продукт.</w:t>
      </w:r>
    </w:p>
    <w:p w14:paraId="28E90DAD" w14:textId="77777777" w:rsidR="009B0AA9" w:rsidRPr="009B0AA9" w:rsidRDefault="009B0AA9" w:rsidP="009B0AA9">
      <w:pPr>
        <w:spacing w:line="240" w:lineRule="auto"/>
        <w:rPr>
          <w:rFonts w:eastAsia="Times New Roman" w:cs="Arial"/>
          <w:color w:val="000000"/>
          <w:u w:val="single"/>
          <w:lang w:eastAsia="bg-BG"/>
        </w:rPr>
      </w:pPr>
    </w:p>
    <w:p w14:paraId="0613A0F7" w14:textId="1855A6B4" w:rsidR="009B0AA9" w:rsidRPr="009B0AA9" w:rsidRDefault="009B0AA9" w:rsidP="009B0AA9">
      <w:pPr>
        <w:spacing w:line="240" w:lineRule="auto"/>
        <w:rPr>
          <w:rFonts w:eastAsia="Times New Roman" w:cs="Arial"/>
          <w:lang w:eastAsia="bg-BG"/>
        </w:rPr>
      </w:pPr>
      <w:r w:rsidRPr="009B0AA9">
        <w:rPr>
          <w:rFonts w:eastAsia="Times New Roman" w:cs="Arial"/>
          <w:color w:val="000000"/>
          <w:u w:val="single"/>
          <w:lang w:eastAsia="bg-BG"/>
        </w:rPr>
        <w:t>Хиперкалиемия</w:t>
      </w:r>
    </w:p>
    <w:p w14:paraId="3A12E2E5"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Употребата на лекарствени продукти, които повлияват ренин-ангиотензин-алдостероновата система може да предизвика хиперкалиемия.</w:t>
      </w:r>
    </w:p>
    <w:p w14:paraId="16A33DBD" w14:textId="77777777" w:rsidR="009B0AA9" w:rsidRPr="009B0AA9" w:rsidRDefault="009B0AA9" w:rsidP="009B0AA9">
      <w:pPr>
        <w:spacing w:line="240" w:lineRule="auto"/>
        <w:rPr>
          <w:rFonts w:eastAsia="Times New Roman" w:cs="Arial"/>
          <w:color w:val="000000"/>
          <w:lang w:eastAsia="bg-BG"/>
        </w:rPr>
      </w:pPr>
    </w:p>
    <w:p w14:paraId="019749C1" w14:textId="0FBE67DD"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При пациенти в старческа възраст, такива с бъбречна недостатъчност, с диабет, пациенти, лекувани едновременно и с други лекарствени продукти, които могат да повишат нивата на калия и/или при пациенти с интеркурентни състояния, хиперкалиемията може да бъде фатална.</w:t>
      </w:r>
    </w:p>
    <w:p w14:paraId="5DEB998E" w14:textId="77777777" w:rsidR="009B0AA9" w:rsidRPr="009B0AA9" w:rsidRDefault="009B0AA9" w:rsidP="009B0AA9">
      <w:pPr>
        <w:spacing w:line="240" w:lineRule="auto"/>
        <w:rPr>
          <w:rFonts w:eastAsia="Times New Roman" w:cs="Arial"/>
          <w:color w:val="000000"/>
          <w:lang w:eastAsia="bg-BG"/>
        </w:rPr>
      </w:pPr>
    </w:p>
    <w:p w14:paraId="23F52D6F" w14:textId="0F8434D5"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Преди да се вземе решение за едновременно прилагане на лекарствени продукти, които повлияват ренин-ангиотензин-алдостероновата система, трябва да се прецени съотношението полза/риск.</w:t>
      </w:r>
    </w:p>
    <w:p w14:paraId="61164EB1" w14:textId="77777777" w:rsidR="009B0AA9" w:rsidRPr="009B0AA9" w:rsidRDefault="009B0AA9" w:rsidP="009B0AA9">
      <w:pPr>
        <w:spacing w:line="240" w:lineRule="auto"/>
        <w:rPr>
          <w:rFonts w:eastAsia="Times New Roman" w:cs="Arial"/>
          <w:color w:val="000000"/>
          <w:lang w:eastAsia="bg-BG"/>
        </w:rPr>
      </w:pPr>
    </w:p>
    <w:p w14:paraId="0FDCB745" w14:textId="326ED60C"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Основните рискови фактори за възникване на хиперкалиемия, които трябва да се вземат под внимание са:</w:t>
      </w:r>
    </w:p>
    <w:p w14:paraId="18175869" w14:textId="77777777" w:rsidR="009B0AA9" w:rsidRPr="009B0AA9" w:rsidRDefault="009B0AA9" w:rsidP="009B0AA9">
      <w:pPr>
        <w:pStyle w:val="ListParagraph"/>
        <w:numPr>
          <w:ilvl w:val="0"/>
          <w:numId w:val="40"/>
        </w:numPr>
        <w:spacing w:line="240" w:lineRule="auto"/>
        <w:rPr>
          <w:rFonts w:eastAsia="Times New Roman" w:cs="Arial"/>
          <w:lang w:eastAsia="bg-BG"/>
        </w:rPr>
      </w:pPr>
      <w:r w:rsidRPr="009B0AA9">
        <w:rPr>
          <w:rFonts w:eastAsia="Times New Roman" w:cs="Arial"/>
          <w:color w:val="000000"/>
          <w:lang w:eastAsia="bg-BG"/>
        </w:rPr>
        <w:t>Захарен диабет, бъбречно увреждане, възраст (&gt; 70 години).</w:t>
      </w:r>
    </w:p>
    <w:p w14:paraId="2A33CF55" w14:textId="77777777" w:rsidR="009B0AA9" w:rsidRPr="009B0AA9" w:rsidRDefault="009B0AA9" w:rsidP="009B0AA9">
      <w:pPr>
        <w:pStyle w:val="ListParagraph"/>
        <w:numPr>
          <w:ilvl w:val="0"/>
          <w:numId w:val="40"/>
        </w:numPr>
        <w:spacing w:line="240" w:lineRule="auto"/>
        <w:rPr>
          <w:rFonts w:eastAsia="Times New Roman" w:cs="Arial"/>
          <w:lang w:eastAsia="bg-BG"/>
        </w:rPr>
      </w:pPr>
      <w:r w:rsidRPr="009B0AA9">
        <w:rPr>
          <w:rFonts w:eastAsia="Times New Roman" w:cs="Arial"/>
          <w:color w:val="000000"/>
          <w:lang w:eastAsia="bg-BG"/>
        </w:rPr>
        <w:t xml:space="preserve">Комбинация с един или повече лекарствени продукти, които повлияват ренин- ангиотензин-алдостероновата система и/или добавки, съдържащи калий. </w:t>
      </w:r>
      <w:r w:rsidRPr="009B0AA9">
        <w:rPr>
          <w:rFonts w:eastAsia="Times New Roman" w:cs="Arial"/>
          <w:color w:val="000000"/>
          <w:lang w:eastAsia="bg-BG"/>
        </w:rPr>
        <w:lastRenderedPageBreak/>
        <w:t>Лекарствени продукти или терапевтични групи лекарства, които могат да провокират появата на хиперкалиемия са съдържащи калий заместители на солта, калий-съхраняващи диуретици, АСЕ инхибитори, ангиотензин II рецепторни антагонисти, нестероидни противовъзпалителни средства (НСПВС, включително селективни СОХ-2 инхибитори), хепарин, имуносупресори (циклоспорин или такролимус) и триметоприм.</w:t>
      </w:r>
    </w:p>
    <w:p w14:paraId="50EBB2BC" w14:textId="48456B57" w:rsidR="009B0AA9" w:rsidRPr="009B0AA9" w:rsidRDefault="009B0AA9" w:rsidP="009B0AA9">
      <w:pPr>
        <w:pStyle w:val="ListParagraph"/>
        <w:numPr>
          <w:ilvl w:val="0"/>
          <w:numId w:val="40"/>
        </w:numPr>
        <w:spacing w:line="240" w:lineRule="auto"/>
        <w:rPr>
          <w:rFonts w:eastAsia="Times New Roman" w:cs="Arial"/>
          <w:lang w:eastAsia="bg-BG"/>
        </w:rPr>
      </w:pPr>
      <w:r w:rsidRPr="009B0AA9">
        <w:rPr>
          <w:rFonts w:eastAsia="Times New Roman" w:cs="Arial"/>
          <w:color w:val="000000"/>
          <w:lang w:eastAsia="bg-BG"/>
        </w:rPr>
        <w:t>Интеркурентни събития и в частност дехидратация, остра сърдечна декомпенсация, метаболитна ацидоза, влошена бъбречна функция, внезапно влошаване на бъбречното състояние (например инфекциозни заболявания), клетъчен лизис (например остра исхемия на крайника, рабдомиолиза, обширна травма).</w:t>
      </w:r>
    </w:p>
    <w:p w14:paraId="7D34A6EB"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При рискови пациенти се препоръчва внимателно мониториране на серумния калий (вж. точка 4.5).</w:t>
      </w:r>
    </w:p>
    <w:p w14:paraId="13638794" w14:textId="77777777" w:rsidR="009B0AA9" w:rsidRPr="009B0AA9" w:rsidRDefault="009B0AA9" w:rsidP="009B0AA9">
      <w:pPr>
        <w:spacing w:line="240" w:lineRule="auto"/>
        <w:rPr>
          <w:rFonts w:eastAsia="Times New Roman" w:cs="Arial"/>
          <w:color w:val="000000"/>
          <w:u w:val="single"/>
          <w:lang w:eastAsia="bg-BG"/>
        </w:rPr>
      </w:pPr>
    </w:p>
    <w:p w14:paraId="67F4704B" w14:textId="20A5CAD8" w:rsidR="009B0AA9" w:rsidRPr="009B0AA9" w:rsidRDefault="009B0AA9" w:rsidP="009B0AA9">
      <w:pPr>
        <w:spacing w:line="240" w:lineRule="auto"/>
        <w:rPr>
          <w:rFonts w:eastAsia="Times New Roman" w:cs="Arial"/>
          <w:lang w:eastAsia="bg-BG"/>
        </w:rPr>
      </w:pPr>
      <w:r w:rsidRPr="009B0AA9">
        <w:rPr>
          <w:rFonts w:eastAsia="Times New Roman" w:cs="Arial"/>
          <w:color w:val="000000"/>
          <w:u w:val="single"/>
          <w:lang w:eastAsia="bg-BG"/>
        </w:rPr>
        <w:t>Лактоза</w:t>
      </w:r>
    </w:p>
    <w:p w14:paraId="2784CEE1"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 xml:space="preserve">Този лекарствен продукт съдържа лактоза. Пациенти с редки наследствени проблеми на непоносимост към галактоза, </w:t>
      </w:r>
      <w:r w:rsidRPr="009B0AA9">
        <w:rPr>
          <w:rFonts w:eastAsia="Times New Roman" w:cs="Arial"/>
          <w:color w:val="000000"/>
          <w:lang w:val="en-US"/>
        </w:rPr>
        <w:t xml:space="preserve">Lapp </w:t>
      </w:r>
      <w:r w:rsidRPr="009B0AA9">
        <w:rPr>
          <w:rFonts w:eastAsia="Times New Roman" w:cs="Arial"/>
          <w:color w:val="000000"/>
          <w:lang w:eastAsia="bg-BG"/>
        </w:rPr>
        <w:t>лактазен дефицит или глюкозо-галактозна малабсорбция не трябва да приемат това лекарство.</w:t>
      </w:r>
    </w:p>
    <w:p w14:paraId="13229F3D" w14:textId="77777777" w:rsidR="009B0AA9" w:rsidRPr="009B0AA9" w:rsidRDefault="009B0AA9" w:rsidP="009B0AA9">
      <w:pPr>
        <w:spacing w:line="240" w:lineRule="auto"/>
        <w:rPr>
          <w:rFonts w:eastAsia="Times New Roman" w:cs="Arial"/>
          <w:color w:val="000000"/>
          <w:u w:val="single"/>
          <w:lang w:eastAsia="bg-BG"/>
        </w:rPr>
      </w:pPr>
    </w:p>
    <w:p w14:paraId="2D015B37" w14:textId="6C54FAB3" w:rsidR="009B0AA9" w:rsidRPr="009B0AA9" w:rsidRDefault="009B0AA9" w:rsidP="009B0AA9">
      <w:pPr>
        <w:spacing w:line="240" w:lineRule="auto"/>
        <w:rPr>
          <w:rFonts w:eastAsia="Times New Roman" w:cs="Arial"/>
          <w:lang w:eastAsia="bg-BG"/>
        </w:rPr>
      </w:pPr>
      <w:r w:rsidRPr="009B0AA9">
        <w:rPr>
          <w:rFonts w:eastAsia="Times New Roman" w:cs="Arial"/>
          <w:color w:val="000000"/>
          <w:u w:val="single"/>
          <w:lang w:eastAsia="bg-BG"/>
        </w:rPr>
        <w:t>Етнически различия</w:t>
      </w:r>
    </w:p>
    <w:p w14:paraId="28151FC7" w14:textId="77777777" w:rsidR="009B0AA9" w:rsidRPr="009B0AA9" w:rsidRDefault="009B0AA9" w:rsidP="009B0AA9">
      <w:pPr>
        <w:spacing w:line="240" w:lineRule="auto"/>
        <w:rPr>
          <w:rFonts w:eastAsia="Times New Roman" w:cs="Arial"/>
          <w:lang w:eastAsia="bg-BG"/>
        </w:rPr>
      </w:pPr>
      <w:r w:rsidRPr="009B0AA9">
        <w:rPr>
          <w:rFonts w:eastAsia="Times New Roman" w:cs="Arial"/>
          <w:color w:val="000000"/>
          <w:lang w:eastAsia="bg-BG"/>
        </w:rPr>
        <w:t>Както е наблюдавано при инхибиторите на ангиотензин конвертиращия ензим, телмисартан и другите ангиотензин II рецепторни антагонисти са очевидно по-малко ефективни в понижаването на кръвното налягане при хора от черната раса, отколкото при другите раси, вероятно поради по-голямата честота на състоянията на ниско рениново ниво сред чернокожите пацинти и с хипертония.</w:t>
      </w:r>
    </w:p>
    <w:p w14:paraId="680B9FD0" w14:textId="77777777" w:rsidR="009B0AA9" w:rsidRPr="009B0AA9" w:rsidRDefault="009B0AA9" w:rsidP="009B0AA9">
      <w:pPr>
        <w:spacing w:line="240" w:lineRule="auto"/>
        <w:rPr>
          <w:rFonts w:eastAsia="Times New Roman" w:cs="Arial"/>
          <w:b/>
          <w:bCs/>
          <w:color w:val="000000"/>
          <w:u w:val="single"/>
          <w:lang w:eastAsia="bg-BG"/>
        </w:rPr>
      </w:pPr>
    </w:p>
    <w:p w14:paraId="4D70E41E" w14:textId="3243A487" w:rsidR="009B0AA9" w:rsidRPr="009B0AA9" w:rsidRDefault="009B0AA9" w:rsidP="009B0AA9">
      <w:pPr>
        <w:pStyle w:val="Heading3"/>
        <w:rPr>
          <w:rFonts w:eastAsia="Times New Roman"/>
          <w:u w:val="single"/>
          <w:lang w:eastAsia="bg-BG"/>
        </w:rPr>
      </w:pPr>
      <w:r w:rsidRPr="009B0AA9">
        <w:rPr>
          <w:rFonts w:eastAsia="Times New Roman"/>
          <w:u w:val="single"/>
          <w:lang w:eastAsia="bg-BG"/>
        </w:rPr>
        <w:t>Други</w:t>
      </w:r>
    </w:p>
    <w:p w14:paraId="78604B83" w14:textId="20FEE76D" w:rsidR="009B0AA9" w:rsidRPr="009B0AA9" w:rsidRDefault="009B0AA9" w:rsidP="009B0AA9">
      <w:pPr>
        <w:rPr>
          <w:rFonts w:eastAsia="Times New Roman" w:cs="Arial"/>
          <w:color w:val="000000"/>
          <w:lang w:eastAsia="bg-BG"/>
        </w:rPr>
      </w:pPr>
      <w:r w:rsidRPr="009B0AA9">
        <w:rPr>
          <w:rFonts w:eastAsia="Times New Roman" w:cs="Arial"/>
          <w:color w:val="000000"/>
          <w:lang w:eastAsia="bg-BG"/>
        </w:rPr>
        <w:t>Както при други антихипертензивни лекарства, значителното понижаване на кръвното налягане при пациенти с исхемична кардиомиопатия или исхемично сърдечно-съдово заболяване може да доведе до инфаркт на миокарда или мозъчен инсулт.</w:t>
      </w:r>
    </w:p>
    <w:p w14:paraId="6E00F38C" w14:textId="77777777" w:rsidR="009B0AA9" w:rsidRPr="009B0AA9" w:rsidRDefault="009B0AA9" w:rsidP="009B0AA9"/>
    <w:p w14:paraId="7ABEA351" w14:textId="4C43BD8B"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5DCB5CA7" w14:textId="5DAE66BB" w:rsidR="009B0AA9" w:rsidRDefault="009B0AA9" w:rsidP="009B0AA9"/>
    <w:p w14:paraId="3CF0C4F5"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Дигоксин</w:t>
      </w:r>
    </w:p>
    <w:p w14:paraId="7BC0C4B1"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При едновременна употреба на телмисартан с дигоксин се наблюдава умерено повишаване на пиковата (49%) и на най-ниската (20%) плазмена концентация на дигоксин. При започване, коригиране на дозата или спиране на лечението с телмисартан, трябва да се наблюдават нивата на дигоксин, за да се поддържат в терапевтичния интервал.</w:t>
      </w:r>
    </w:p>
    <w:p w14:paraId="0786F9E6" w14:textId="77777777" w:rsidR="009B0AA9" w:rsidRPr="009B0AA9" w:rsidRDefault="009B0AA9" w:rsidP="009B0AA9">
      <w:pPr>
        <w:spacing w:line="240" w:lineRule="auto"/>
        <w:rPr>
          <w:rFonts w:eastAsia="Times New Roman" w:cs="Arial"/>
          <w:color w:val="000000"/>
          <w:lang w:eastAsia="bg-BG"/>
        </w:rPr>
      </w:pPr>
    </w:p>
    <w:p w14:paraId="2D46A467" w14:textId="3F6E5A32"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Както и другите лекарствени продукти, които повлияват ренин-ангиотензин-алдостероновата система, телмисартан може да провокира появата на хиперкалиемия (вж. точка 4.4). Този риск може да се повиши в случай на комбинирано лечение с други лекарствени продукти, които също могат да предизвикат хиперкалиемия (съдържащи калий заместители на солта, калий- съхраняващи диуретици, АСЕ инхибитори, ангиотензин II рецепторни антагонисти, нестероидни противовъзпалителни средства (НСПВС, включително селективни СОХ -2 инхибитори), хепарин, имуносупресори (циклоспорин или такролимус) и триметоприм.</w:t>
      </w:r>
    </w:p>
    <w:p w14:paraId="4FDA362A" w14:textId="77777777" w:rsidR="009B0AA9" w:rsidRPr="009B0AA9" w:rsidRDefault="009B0AA9" w:rsidP="009B0AA9">
      <w:pPr>
        <w:spacing w:line="240" w:lineRule="auto"/>
        <w:rPr>
          <w:rFonts w:eastAsia="Times New Roman" w:cs="Arial"/>
          <w:color w:val="000000"/>
          <w:lang w:eastAsia="bg-BG"/>
        </w:rPr>
      </w:pPr>
    </w:p>
    <w:p w14:paraId="0A1DBEB1" w14:textId="602D95D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Възникването на хиперкалиемия зависи от свързаните с това рискови фактори. Рискът се повишава при посочените по-горе терапевтични комбинации. Рискът е особено висок при комбинация с калий-съхраняващи диуретици или със съдържащи калий заместители на солта. Например при комбинация с АСЕ инхибитори или НСПВС рискът е по-малък, при условие че стриктно се спазват предпазните мерки при употреба.</w:t>
      </w:r>
    </w:p>
    <w:p w14:paraId="6225002E" w14:textId="77777777" w:rsidR="009B0AA9" w:rsidRPr="009B0AA9" w:rsidRDefault="009B0AA9" w:rsidP="009B0AA9">
      <w:pPr>
        <w:spacing w:line="240" w:lineRule="auto"/>
        <w:rPr>
          <w:rFonts w:eastAsia="Times New Roman" w:cs="Arial"/>
          <w:i/>
          <w:iCs/>
          <w:color w:val="000000"/>
          <w:lang w:eastAsia="bg-BG"/>
        </w:rPr>
      </w:pPr>
    </w:p>
    <w:p w14:paraId="3229336A" w14:textId="015CDA07" w:rsidR="009B0AA9" w:rsidRPr="009B0AA9" w:rsidRDefault="009B0AA9" w:rsidP="009B0AA9">
      <w:pPr>
        <w:spacing w:line="240" w:lineRule="auto"/>
        <w:rPr>
          <w:rFonts w:eastAsia="Times New Roman" w:cs="Arial"/>
          <w:sz w:val="28"/>
          <w:szCs w:val="28"/>
          <w:lang w:eastAsia="bg-BG"/>
        </w:rPr>
      </w:pPr>
      <w:r w:rsidRPr="009B0AA9">
        <w:rPr>
          <w:rFonts w:eastAsia="Times New Roman" w:cs="Arial"/>
          <w:i/>
          <w:iCs/>
          <w:color w:val="000000"/>
          <w:lang w:eastAsia="bg-BG"/>
        </w:rPr>
        <w:t>Не се препоръчва едновременно приложение с</w:t>
      </w:r>
    </w:p>
    <w:p w14:paraId="403B7C99" w14:textId="77777777" w:rsidR="009B0AA9" w:rsidRPr="009B0AA9" w:rsidRDefault="009B0AA9" w:rsidP="009B0AA9">
      <w:pPr>
        <w:spacing w:line="240" w:lineRule="auto"/>
        <w:rPr>
          <w:rFonts w:eastAsia="Times New Roman" w:cs="Arial"/>
          <w:color w:val="000000"/>
          <w:u w:val="single"/>
          <w:lang w:eastAsia="bg-BG"/>
        </w:rPr>
      </w:pPr>
    </w:p>
    <w:p w14:paraId="71A63C4D" w14:textId="4084C30C"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u w:val="single"/>
          <w:lang w:eastAsia="bg-BG"/>
        </w:rPr>
        <w:t>Калий-съхраняващи диуретици или калиеви добавки</w:t>
      </w:r>
    </w:p>
    <w:p w14:paraId="11644B2A"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Ангиотензин II рецепторните антагонисти, какъвто е телмисартан, намаляват предизвиканата от диуретиците загуба на калий. Калий-съхраняващите диуретици като спиринолактон, еплеренон, триамтерен или амилорид, калиевите добавки или съдържащите калий заместители на солта могат да доведат до значимо повишаване на серумния калий. Ако едновременното приложение е показано поради установена хипокалиемия, това трябва да става с повишено внимание и при често мониториране на серумния калий.</w:t>
      </w:r>
    </w:p>
    <w:p w14:paraId="25D231CB" w14:textId="77777777" w:rsidR="009B0AA9" w:rsidRPr="009B0AA9" w:rsidRDefault="009B0AA9" w:rsidP="009B0AA9">
      <w:pPr>
        <w:spacing w:line="240" w:lineRule="auto"/>
        <w:rPr>
          <w:rFonts w:eastAsia="Times New Roman" w:cs="Arial"/>
          <w:color w:val="000000"/>
          <w:u w:val="single"/>
          <w:lang w:eastAsia="bg-BG"/>
        </w:rPr>
      </w:pPr>
    </w:p>
    <w:p w14:paraId="4FA44108" w14:textId="4527E03C"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u w:val="single"/>
          <w:lang w:eastAsia="bg-BG"/>
        </w:rPr>
        <w:t>Литий</w:t>
      </w:r>
    </w:p>
    <w:p w14:paraId="6B5FA147"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Има съобщения за обратимо повишение на серумните концентрации на лития и прояви на токсичност при едновременно приложение на литий с инхибитори на ангиотензин- конвертиращия ензим и с ангиотензин II рецепторни антагонисти, включително телмисартан. Ако тази комбинация е доказано необходима, се препоръчва внимателно мониториране на серумните нива на лития.</w:t>
      </w:r>
    </w:p>
    <w:p w14:paraId="531E4F62" w14:textId="77777777" w:rsidR="009B0AA9" w:rsidRPr="009B0AA9" w:rsidRDefault="009B0AA9" w:rsidP="009B0AA9">
      <w:pPr>
        <w:spacing w:line="240" w:lineRule="auto"/>
        <w:rPr>
          <w:rFonts w:eastAsia="Times New Roman" w:cs="Arial"/>
          <w:i/>
          <w:iCs/>
          <w:color w:val="000000"/>
          <w:lang w:eastAsia="bg-BG"/>
        </w:rPr>
      </w:pPr>
    </w:p>
    <w:p w14:paraId="4EBB04AC" w14:textId="0BCD03FA" w:rsidR="009B0AA9" w:rsidRPr="009B0AA9" w:rsidRDefault="009B0AA9" w:rsidP="009B0AA9">
      <w:pPr>
        <w:spacing w:line="240" w:lineRule="auto"/>
        <w:rPr>
          <w:rFonts w:eastAsia="Times New Roman" w:cs="Arial"/>
          <w:sz w:val="28"/>
          <w:szCs w:val="28"/>
          <w:lang w:eastAsia="bg-BG"/>
        </w:rPr>
      </w:pPr>
      <w:r w:rsidRPr="009B0AA9">
        <w:rPr>
          <w:rFonts w:eastAsia="Times New Roman" w:cs="Arial"/>
          <w:i/>
          <w:iCs/>
          <w:color w:val="000000"/>
          <w:lang w:eastAsia="bg-BG"/>
        </w:rPr>
        <w:t>Необходимо е повишено внимание при едновременно приложение с</w:t>
      </w:r>
    </w:p>
    <w:p w14:paraId="1E34B0FE" w14:textId="77777777" w:rsidR="009B0AA9" w:rsidRPr="009B0AA9" w:rsidRDefault="009B0AA9" w:rsidP="009B0AA9">
      <w:pPr>
        <w:spacing w:line="240" w:lineRule="auto"/>
        <w:rPr>
          <w:rFonts w:eastAsia="Times New Roman" w:cs="Arial"/>
          <w:color w:val="000000"/>
          <w:u w:val="single"/>
          <w:lang w:eastAsia="bg-BG"/>
        </w:rPr>
      </w:pPr>
    </w:p>
    <w:p w14:paraId="77AF1944" w14:textId="4CD839F8"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u w:val="single"/>
          <w:lang w:eastAsia="bg-BG"/>
        </w:rPr>
        <w:t>Нестероидни противовъзпалителни средства</w:t>
      </w:r>
    </w:p>
    <w:p w14:paraId="13693D4B"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НСПВС (т.е. ацетилсалицилова киселина в дози, оказващи противовъзпалителен ефект, СОХ-2 инхибитори и неселективни НСПВС) могат да намалят антихипертензивния ефект на ангиотензин II рецепторните антагонисти. При някои пациенти с нарушена бъбречна функция (например дехидратирани пациенти или пациенти в старческа възраст с нарушена бъбречна функция) едновременното приложение на ангиотензин II рецепторни антагонисти и СОХ- инхибитори може да доведе до по-нататъшно влошаване на бъбречната функция, включително възможна остра бъбречна недостатъчност, която обикновено е обратима. По тази причина, комбинацията трябва да бъде прилагана с повишено внимание, особено при пациенти в старческа възраст. Пациентите трябва да бъдат адекватно хидратирани и да бъде проследявана бъбречната им функция в началото на комбинираното лечение и периодично след това.</w:t>
      </w:r>
    </w:p>
    <w:p w14:paraId="3E8E45DB" w14:textId="77777777" w:rsidR="009B0AA9" w:rsidRPr="009B0AA9" w:rsidRDefault="009B0AA9" w:rsidP="009B0AA9">
      <w:pPr>
        <w:spacing w:line="240" w:lineRule="auto"/>
        <w:rPr>
          <w:rFonts w:eastAsia="Times New Roman" w:cs="Arial"/>
          <w:color w:val="000000"/>
          <w:lang w:eastAsia="bg-BG"/>
        </w:rPr>
      </w:pPr>
    </w:p>
    <w:p w14:paraId="75EB5B1D" w14:textId="61135AC6" w:rsidR="009B0AA9" w:rsidRPr="009B0AA9" w:rsidRDefault="009B0AA9" w:rsidP="009B0AA9">
      <w:pPr>
        <w:spacing w:line="240" w:lineRule="auto"/>
        <w:rPr>
          <w:rFonts w:eastAsia="Times New Roman" w:cs="Arial"/>
          <w:color w:val="000000"/>
          <w:lang w:eastAsia="bg-BG"/>
        </w:rPr>
      </w:pPr>
      <w:r w:rsidRPr="009B0AA9">
        <w:rPr>
          <w:rFonts w:eastAsia="Times New Roman" w:cs="Arial"/>
          <w:color w:val="000000"/>
          <w:lang w:eastAsia="bg-BG"/>
        </w:rPr>
        <w:t>В едно проучване едновременното прилагане на телмисартан и рамиприл е довело</w:t>
      </w:r>
      <w:r w:rsidRPr="009B0AA9">
        <w:rPr>
          <w:rFonts w:eastAsia="Times New Roman" w:cs="Arial"/>
          <w:color w:val="000000"/>
          <w:lang w:val="en-US"/>
        </w:rPr>
        <w:t xml:space="preserve"> </w:t>
      </w:r>
      <w:r w:rsidRPr="009B0AA9">
        <w:rPr>
          <w:rFonts w:eastAsia="Times New Roman" w:cs="Arial"/>
          <w:color w:val="000000"/>
          <w:lang w:eastAsia="bg-BG"/>
        </w:rPr>
        <w:t xml:space="preserve">до покачване на </w:t>
      </w:r>
      <w:r w:rsidRPr="009B0AA9">
        <w:rPr>
          <w:rFonts w:eastAsia="Times New Roman" w:cs="Arial"/>
          <w:color w:val="000000"/>
          <w:lang w:val="en-US"/>
        </w:rPr>
        <w:t>AUC</w:t>
      </w:r>
      <w:r w:rsidRPr="009B0AA9">
        <w:rPr>
          <w:rFonts w:eastAsia="Times New Roman" w:cs="Arial"/>
          <w:color w:val="000000"/>
          <w:vertAlign w:val="subscript"/>
          <w:lang w:val="en-US"/>
        </w:rPr>
        <w:t>0-24</w:t>
      </w:r>
      <w:r w:rsidRPr="009B0AA9">
        <w:rPr>
          <w:rFonts w:eastAsia="Times New Roman" w:cs="Arial"/>
          <w:color w:val="000000"/>
          <w:lang w:val="en-US"/>
        </w:rPr>
        <w:t xml:space="preserve"> </w:t>
      </w:r>
      <w:r w:rsidRPr="009B0AA9">
        <w:rPr>
          <w:rFonts w:eastAsia="Times New Roman" w:cs="Arial"/>
          <w:color w:val="000000"/>
          <w:lang w:eastAsia="bg-BG"/>
        </w:rPr>
        <w:t xml:space="preserve">и </w:t>
      </w:r>
    </w:p>
    <w:p w14:paraId="476115D3" w14:textId="6676C834"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С</w:t>
      </w:r>
      <w:r w:rsidRPr="009B0AA9">
        <w:rPr>
          <w:rFonts w:eastAsia="Times New Roman" w:cs="Arial"/>
          <w:color w:val="000000"/>
          <w:vertAlign w:val="subscript"/>
          <w:lang w:val="en-US"/>
        </w:rPr>
        <w:t>max</w:t>
      </w:r>
      <w:r w:rsidRPr="009B0AA9">
        <w:rPr>
          <w:rFonts w:eastAsia="Times New Roman" w:cs="Arial"/>
          <w:color w:val="000000"/>
          <w:lang w:eastAsia="bg-BG"/>
        </w:rPr>
        <w:t xml:space="preserve"> на рамиприл и рамиприлат до 2,5 пъти. Клиничната значимост на това наблюдение не е известна.</w:t>
      </w:r>
    </w:p>
    <w:p w14:paraId="635B8AFE" w14:textId="77777777" w:rsidR="009B0AA9" w:rsidRPr="009B0AA9" w:rsidRDefault="009B0AA9" w:rsidP="009B0AA9">
      <w:pPr>
        <w:rPr>
          <w:rFonts w:eastAsia="Times New Roman" w:cs="Arial"/>
          <w:color w:val="000000"/>
          <w:u w:val="single"/>
          <w:lang w:eastAsia="bg-BG"/>
        </w:rPr>
      </w:pPr>
    </w:p>
    <w:p w14:paraId="06A7FBA3" w14:textId="49F020A4" w:rsidR="009B0AA9" w:rsidRPr="009B0AA9" w:rsidRDefault="009B0AA9" w:rsidP="009B0AA9">
      <w:pPr>
        <w:rPr>
          <w:rFonts w:eastAsia="Times New Roman" w:cs="Arial"/>
          <w:color w:val="000000"/>
          <w:u w:val="single"/>
          <w:lang w:eastAsia="bg-BG"/>
        </w:rPr>
      </w:pPr>
      <w:r w:rsidRPr="009B0AA9">
        <w:rPr>
          <w:rFonts w:eastAsia="Times New Roman" w:cs="Arial"/>
          <w:color w:val="000000"/>
          <w:u w:val="single"/>
          <w:lang w:eastAsia="bg-BG"/>
        </w:rPr>
        <w:t>Диуретици (тиазидни или бримкови диуретици)</w:t>
      </w:r>
    </w:p>
    <w:p w14:paraId="5806CEDE"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Предшестваща терапия с високи дози диуретици като фуроземид (бримков диуретик) и хидрохлоротиазид (тиазиден диуретик) може да доведе до хиповолемия и риск от хипотония при започване на лечение с телмисартан.</w:t>
      </w:r>
    </w:p>
    <w:p w14:paraId="56FD4F0D" w14:textId="77777777" w:rsidR="009B0AA9" w:rsidRPr="009B0AA9" w:rsidRDefault="009B0AA9" w:rsidP="009B0AA9">
      <w:pPr>
        <w:spacing w:line="240" w:lineRule="auto"/>
        <w:rPr>
          <w:rFonts w:eastAsia="Times New Roman" w:cs="Arial"/>
          <w:i/>
          <w:iCs/>
          <w:color w:val="000000"/>
          <w:lang w:eastAsia="bg-BG"/>
        </w:rPr>
      </w:pPr>
    </w:p>
    <w:p w14:paraId="183B0919" w14:textId="5DD53273" w:rsidR="009B0AA9" w:rsidRPr="009B0AA9" w:rsidRDefault="009B0AA9" w:rsidP="009B0AA9">
      <w:pPr>
        <w:spacing w:line="240" w:lineRule="auto"/>
        <w:rPr>
          <w:rFonts w:eastAsia="Times New Roman" w:cs="Arial"/>
          <w:sz w:val="28"/>
          <w:szCs w:val="28"/>
          <w:lang w:eastAsia="bg-BG"/>
        </w:rPr>
      </w:pPr>
      <w:r w:rsidRPr="009B0AA9">
        <w:rPr>
          <w:rFonts w:eastAsia="Times New Roman" w:cs="Arial"/>
          <w:i/>
          <w:iCs/>
          <w:color w:val="000000"/>
          <w:lang w:eastAsia="bg-BG"/>
        </w:rPr>
        <w:t>Трябва да се вземе под внимание при едновременно приложение с</w:t>
      </w:r>
    </w:p>
    <w:p w14:paraId="642E5B67" w14:textId="77777777" w:rsidR="009B0AA9" w:rsidRPr="009B0AA9" w:rsidRDefault="009B0AA9" w:rsidP="009B0AA9">
      <w:pPr>
        <w:spacing w:line="240" w:lineRule="auto"/>
        <w:rPr>
          <w:rFonts w:eastAsia="Times New Roman" w:cs="Arial"/>
          <w:color w:val="000000"/>
          <w:u w:val="single"/>
          <w:lang w:eastAsia="bg-BG"/>
        </w:rPr>
      </w:pPr>
    </w:p>
    <w:p w14:paraId="2BD8C486" w14:textId="4ECE876E"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u w:val="single"/>
          <w:lang w:eastAsia="bg-BG"/>
        </w:rPr>
        <w:t>Други антихипертензивни лекарствени продукти</w:t>
      </w:r>
    </w:p>
    <w:p w14:paraId="35F80440" w14:textId="77777777"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Понижаващият кръвното налягане ефект на телмисартан може да се повиши при едновременното приложение с други антихипертензивни лекарствени продукти.</w:t>
      </w:r>
    </w:p>
    <w:p w14:paraId="71DB1EB3" w14:textId="77777777" w:rsidR="009B0AA9" w:rsidRPr="009B0AA9" w:rsidRDefault="009B0AA9" w:rsidP="009B0AA9">
      <w:pPr>
        <w:spacing w:line="240" w:lineRule="auto"/>
        <w:rPr>
          <w:rFonts w:eastAsia="Times New Roman" w:cs="Arial"/>
          <w:color w:val="000000"/>
          <w:lang w:eastAsia="bg-BG"/>
        </w:rPr>
      </w:pPr>
    </w:p>
    <w:p w14:paraId="06C7CE3D" w14:textId="61757374"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 xml:space="preserve">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w:t>
      </w:r>
      <w:r w:rsidRPr="009B0AA9">
        <w:rPr>
          <w:rFonts w:eastAsia="Times New Roman" w:cs="Arial"/>
          <w:color w:val="000000"/>
          <w:lang w:val="en-US"/>
        </w:rPr>
        <w:t>II</w:t>
      </w:r>
      <w:r w:rsidRPr="009B0AA9">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6E073E7E" w14:textId="77777777" w:rsidR="009B0AA9" w:rsidRPr="009B0AA9" w:rsidRDefault="009B0AA9" w:rsidP="009B0AA9">
      <w:pPr>
        <w:spacing w:line="240" w:lineRule="auto"/>
        <w:rPr>
          <w:rFonts w:eastAsia="Times New Roman" w:cs="Arial"/>
          <w:color w:val="000000"/>
          <w:lang w:eastAsia="bg-BG"/>
        </w:rPr>
      </w:pPr>
    </w:p>
    <w:p w14:paraId="3A3FBC79" w14:textId="7E35B900" w:rsidR="009B0AA9" w:rsidRPr="009B0AA9" w:rsidRDefault="009B0AA9" w:rsidP="009B0AA9">
      <w:pPr>
        <w:spacing w:line="240" w:lineRule="auto"/>
        <w:rPr>
          <w:rFonts w:eastAsia="Times New Roman" w:cs="Arial"/>
          <w:sz w:val="28"/>
          <w:szCs w:val="28"/>
          <w:lang w:eastAsia="bg-BG"/>
        </w:rPr>
      </w:pPr>
      <w:r w:rsidRPr="009B0AA9">
        <w:rPr>
          <w:rFonts w:eastAsia="Times New Roman" w:cs="Arial"/>
          <w:color w:val="000000"/>
          <w:lang w:eastAsia="bg-BG"/>
        </w:rPr>
        <w:t>Въз основа на фармакологичните им свойства е възможно да се очаква, че следните лекарствени продукти могат да потенцират хипотензивния ефект на всички антихипертензивни средства, включително телмисартан: баклофен, амифостин. Освен това, ортостатичната хипотония може да бъде засилена от алкохол, барбитурати, наркотични вещества или антидепресанти.</w:t>
      </w:r>
    </w:p>
    <w:p w14:paraId="2BAEE117" w14:textId="77777777" w:rsidR="009B0AA9" w:rsidRPr="009B0AA9" w:rsidRDefault="009B0AA9" w:rsidP="009B0AA9">
      <w:pPr>
        <w:rPr>
          <w:rFonts w:eastAsia="Times New Roman" w:cs="Arial"/>
          <w:color w:val="000000"/>
          <w:u w:val="single"/>
          <w:lang w:eastAsia="bg-BG"/>
        </w:rPr>
      </w:pPr>
    </w:p>
    <w:p w14:paraId="2299B601" w14:textId="77777777" w:rsidR="009B0AA9" w:rsidRPr="009B0AA9" w:rsidRDefault="009B0AA9" w:rsidP="009B0AA9">
      <w:pPr>
        <w:rPr>
          <w:rFonts w:eastAsia="Times New Roman" w:cs="Arial"/>
          <w:color w:val="000000"/>
          <w:u w:val="single"/>
          <w:lang w:eastAsia="bg-BG"/>
        </w:rPr>
      </w:pPr>
      <w:r w:rsidRPr="009B0AA9">
        <w:rPr>
          <w:rFonts w:eastAsia="Times New Roman" w:cs="Arial"/>
          <w:color w:val="000000"/>
          <w:u w:val="single"/>
          <w:lang w:eastAsia="bg-BG"/>
        </w:rPr>
        <w:t xml:space="preserve">Кортикостероиди (системно приложение) </w:t>
      </w:r>
    </w:p>
    <w:p w14:paraId="1C2122C6" w14:textId="7DE7F630" w:rsidR="009B0AA9" w:rsidRPr="009B0AA9" w:rsidRDefault="009B0AA9" w:rsidP="009B0AA9">
      <w:pPr>
        <w:rPr>
          <w:rFonts w:eastAsia="Times New Roman" w:cs="Arial"/>
          <w:color w:val="000000"/>
          <w:lang w:eastAsia="bg-BG"/>
        </w:rPr>
      </w:pPr>
      <w:r w:rsidRPr="009B0AA9">
        <w:rPr>
          <w:rFonts w:eastAsia="Times New Roman" w:cs="Arial"/>
          <w:color w:val="000000"/>
          <w:lang w:eastAsia="bg-BG"/>
        </w:rPr>
        <w:t>Намаляване на антихипертензивния ефект.</w:t>
      </w:r>
    </w:p>
    <w:p w14:paraId="46DC879F" w14:textId="77777777" w:rsidR="009B0AA9" w:rsidRPr="009B0AA9" w:rsidRDefault="009B0AA9" w:rsidP="009B0AA9"/>
    <w:p w14:paraId="15A75A66" w14:textId="07CAA127" w:rsidR="00A71DCF" w:rsidRDefault="002C50EE" w:rsidP="00A93499">
      <w:pPr>
        <w:pStyle w:val="Heading2"/>
      </w:pPr>
      <w:r>
        <w:t>4.6. Фертилитет, бременност и кърмене</w:t>
      </w:r>
    </w:p>
    <w:p w14:paraId="0394FAC9" w14:textId="0565AB8B" w:rsidR="00713FA9" w:rsidRDefault="00713FA9" w:rsidP="00713FA9"/>
    <w:p w14:paraId="2872A1A7" w14:textId="4AF691D4" w:rsidR="00713FA9" w:rsidRPr="00713FA9" w:rsidRDefault="00713FA9" w:rsidP="00713FA9">
      <w:pPr>
        <w:pStyle w:val="Heading3"/>
        <w:rPr>
          <w:u w:val="single"/>
        </w:rPr>
      </w:pPr>
      <w:r w:rsidRPr="00713FA9">
        <w:rPr>
          <w:u w:val="single"/>
        </w:rPr>
        <w:t>Бременност</w:t>
      </w:r>
    </w:p>
    <w:tbl>
      <w:tblPr>
        <w:tblStyle w:val="TableGrid"/>
        <w:tblW w:w="0" w:type="auto"/>
        <w:tblLook w:val="04A0" w:firstRow="1" w:lastRow="0" w:firstColumn="1" w:lastColumn="0" w:noHBand="0" w:noVBand="1"/>
      </w:tblPr>
      <w:tblGrid>
        <w:gridCol w:w="9350"/>
      </w:tblGrid>
      <w:tr w:rsidR="00713FA9" w:rsidRPr="00713FA9" w14:paraId="452C0768" w14:textId="77777777" w:rsidTr="00713FA9">
        <w:tc>
          <w:tcPr>
            <w:tcW w:w="9500" w:type="dxa"/>
          </w:tcPr>
          <w:p w14:paraId="27A02158" w14:textId="714EC9B8" w:rsidR="00713FA9" w:rsidRPr="00713FA9" w:rsidRDefault="00713FA9" w:rsidP="00713FA9">
            <w:pPr>
              <w:spacing w:line="240" w:lineRule="auto"/>
              <w:rPr>
                <w:rFonts w:eastAsia="Times New Roman" w:cs="Arial"/>
                <w:sz w:val="28"/>
                <w:szCs w:val="28"/>
                <w:lang w:eastAsia="bg-BG"/>
              </w:rPr>
            </w:pPr>
            <w:r w:rsidRPr="00713FA9">
              <w:rPr>
                <w:rFonts w:eastAsia="Times New Roman" w:cs="Arial"/>
                <w:color w:val="000000"/>
                <w:lang w:eastAsia="bg-BG"/>
              </w:rPr>
              <w:t>Не се препоръчва употребата на ангиотензин II рецепторни антагонисти през първия триместър на бременността (вж. точка 4.4). Употребата на ангиотензин II рецепторни антагонисти е противопоказана през втория и третия триместър на бременността (вж.</w:t>
            </w:r>
            <w:r w:rsidRPr="00713FA9">
              <w:rPr>
                <w:rFonts w:eastAsia="Times New Roman" w:cs="Arial"/>
                <w:color w:val="000000"/>
                <w:lang w:eastAsia="bg-BG"/>
              </w:rPr>
              <w:t xml:space="preserve"> </w:t>
            </w:r>
            <w:r w:rsidRPr="00713FA9">
              <w:rPr>
                <w:rFonts w:eastAsia="Times New Roman" w:cs="Arial"/>
                <w:color w:val="000000"/>
                <w:lang w:eastAsia="bg-BG"/>
              </w:rPr>
              <w:t>точки 4.3 и 4.4).</w:t>
            </w:r>
          </w:p>
        </w:tc>
      </w:tr>
    </w:tbl>
    <w:p w14:paraId="70455DAF" w14:textId="2DFD6A96" w:rsidR="00713FA9" w:rsidRPr="00713FA9" w:rsidRDefault="00713FA9" w:rsidP="00713FA9">
      <w:pPr>
        <w:rPr>
          <w:rFonts w:cs="Arial"/>
          <w:sz w:val="24"/>
          <w:szCs w:val="24"/>
        </w:rPr>
      </w:pPr>
    </w:p>
    <w:p w14:paraId="7787171E" w14:textId="77777777" w:rsidR="00713FA9" w:rsidRPr="00713FA9" w:rsidRDefault="00713FA9" w:rsidP="00713FA9">
      <w:pPr>
        <w:spacing w:line="240" w:lineRule="auto"/>
        <w:rPr>
          <w:rFonts w:eastAsia="Times New Roman" w:cs="Arial"/>
          <w:sz w:val="28"/>
          <w:szCs w:val="28"/>
          <w:lang w:eastAsia="bg-BG"/>
        </w:rPr>
      </w:pPr>
      <w:r w:rsidRPr="00713FA9">
        <w:rPr>
          <w:rFonts w:eastAsia="Times New Roman" w:cs="Arial"/>
          <w:color w:val="000000"/>
          <w:lang w:eastAsia="bg-BG"/>
        </w:rPr>
        <w:t>Няма достатъчно данни за употребата на телмисартан при бременни жени. Проучванията при животни са установили репродуктивна токсичност (вж. точка 5.3).</w:t>
      </w:r>
    </w:p>
    <w:p w14:paraId="20723D04" w14:textId="77777777" w:rsidR="00713FA9" w:rsidRPr="00713FA9" w:rsidRDefault="00713FA9" w:rsidP="00713FA9">
      <w:pPr>
        <w:spacing w:line="240" w:lineRule="auto"/>
        <w:rPr>
          <w:rFonts w:eastAsia="Times New Roman" w:cs="Arial"/>
          <w:color w:val="000000"/>
          <w:lang w:eastAsia="bg-BG"/>
        </w:rPr>
      </w:pPr>
    </w:p>
    <w:p w14:paraId="148ED828" w14:textId="7F37F300" w:rsidR="00713FA9" w:rsidRPr="00713FA9" w:rsidRDefault="00713FA9" w:rsidP="00713FA9">
      <w:pPr>
        <w:spacing w:line="240" w:lineRule="auto"/>
        <w:rPr>
          <w:rFonts w:eastAsia="Times New Roman" w:cs="Arial"/>
          <w:sz w:val="28"/>
          <w:szCs w:val="28"/>
          <w:lang w:eastAsia="bg-BG"/>
        </w:rPr>
      </w:pPr>
      <w:r w:rsidRPr="00713FA9">
        <w:rPr>
          <w:rFonts w:eastAsia="Times New Roman" w:cs="Arial"/>
          <w:color w:val="000000"/>
          <w:lang w:eastAsia="bg-BG"/>
        </w:rPr>
        <w:t>Епидемиологичните данни за риска от тератогенност след експозиция на АСЕ инхибитори през първия триместър на бременността не са убедителни. Все пак, не може да се изключи слабо повишаване на риска. Тъй като няма контролирани епидемиологични данни за риска при употреба на ангиотензин II рецепторни антагонисти, може да се приеме че за този клас лекарства рискът е подобен.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продължаването на лечението с ангиотензин II рецепторни антагонисти бъде оценено като крайно необходимо. Ако е установена бременност, лечението с ангиотензин II рецепторни антагонисти трябва незабавно да бъде преустановено и ако е подходящо да бъде започнато алтернативно лечение.</w:t>
      </w:r>
    </w:p>
    <w:p w14:paraId="3C867771" w14:textId="77777777" w:rsidR="00713FA9" w:rsidRPr="00713FA9" w:rsidRDefault="00713FA9" w:rsidP="00713FA9">
      <w:pPr>
        <w:spacing w:line="240" w:lineRule="auto"/>
        <w:rPr>
          <w:rFonts w:eastAsia="Times New Roman" w:cs="Arial"/>
          <w:color w:val="000000"/>
          <w:lang w:eastAsia="bg-BG"/>
        </w:rPr>
      </w:pPr>
    </w:p>
    <w:p w14:paraId="47072C8E" w14:textId="599B7939" w:rsidR="00713FA9" w:rsidRPr="00713FA9" w:rsidRDefault="00713FA9" w:rsidP="00713FA9">
      <w:pPr>
        <w:spacing w:line="240" w:lineRule="auto"/>
        <w:rPr>
          <w:rFonts w:eastAsia="Times New Roman" w:cs="Arial"/>
          <w:sz w:val="28"/>
          <w:szCs w:val="28"/>
          <w:lang w:eastAsia="bg-BG"/>
        </w:rPr>
      </w:pPr>
      <w:r w:rsidRPr="00713FA9">
        <w:rPr>
          <w:rFonts w:eastAsia="Times New Roman" w:cs="Arial"/>
          <w:color w:val="000000"/>
          <w:lang w:eastAsia="bg-BG"/>
        </w:rPr>
        <w:t>Установено е, че експозицията на ангиотензин II рецепторни антагонисти през втория и третия триместър на бременността предизвиква фетотоксичност при хора (понижена бъбречна функция, олигохидрамнион, забавена черепна осификация) и неонатална токсичност</w:t>
      </w:r>
      <w:r w:rsidRPr="00713FA9">
        <w:rPr>
          <w:rFonts w:eastAsia="Times New Roman" w:cs="Arial"/>
          <w:color w:val="000000"/>
          <w:lang w:val="en-US"/>
        </w:rPr>
        <w:t xml:space="preserve"> (</w:t>
      </w:r>
      <w:r w:rsidRPr="00713FA9">
        <w:rPr>
          <w:rFonts w:eastAsia="Times New Roman" w:cs="Arial"/>
          <w:color w:val="000000"/>
          <w:lang w:eastAsia="bg-BG"/>
        </w:rPr>
        <w:t xml:space="preserve">бъбречна недостатъчност, хипотония, хиперкалиемия) (вж. точка 5.3). Препоръчва се ултразвуков преглед на бъбречната функция и черепа, в случай на </w:t>
      </w:r>
      <w:r w:rsidRPr="00713FA9">
        <w:rPr>
          <w:rFonts w:eastAsia="Times New Roman" w:cs="Arial"/>
          <w:color w:val="000000"/>
          <w:lang w:eastAsia="bg-BG"/>
        </w:rPr>
        <w:lastRenderedPageBreak/>
        <w:t xml:space="preserve">експозиция на ангиотензин </w:t>
      </w:r>
      <w:r w:rsidRPr="00713FA9">
        <w:rPr>
          <w:rFonts w:eastAsia="Times New Roman" w:cs="Arial"/>
          <w:color w:val="000000"/>
          <w:lang w:val="en-US"/>
        </w:rPr>
        <w:t xml:space="preserve">II </w:t>
      </w:r>
      <w:r w:rsidRPr="00713FA9">
        <w:rPr>
          <w:rFonts w:eastAsia="Times New Roman" w:cs="Arial"/>
          <w:color w:val="000000"/>
          <w:lang w:eastAsia="bg-BG"/>
        </w:rPr>
        <w:t>рецепторни антагонисти през втория триместър на бременността и след това.</w:t>
      </w:r>
    </w:p>
    <w:p w14:paraId="6DEEBB34" w14:textId="0DA10DEF" w:rsidR="00713FA9" w:rsidRPr="00713FA9" w:rsidRDefault="00713FA9" w:rsidP="00713FA9">
      <w:pPr>
        <w:rPr>
          <w:rFonts w:cs="Arial"/>
          <w:sz w:val="24"/>
          <w:szCs w:val="24"/>
        </w:rPr>
      </w:pPr>
    </w:p>
    <w:p w14:paraId="6A5B6786" w14:textId="77777777" w:rsidR="00713FA9" w:rsidRPr="00713FA9" w:rsidRDefault="00713FA9" w:rsidP="00713FA9">
      <w:pPr>
        <w:spacing w:line="240" w:lineRule="auto"/>
        <w:rPr>
          <w:rFonts w:eastAsia="Times New Roman" w:cs="Arial"/>
          <w:sz w:val="28"/>
          <w:szCs w:val="28"/>
          <w:lang w:eastAsia="bg-BG"/>
        </w:rPr>
      </w:pPr>
      <w:r w:rsidRPr="00713FA9">
        <w:rPr>
          <w:rFonts w:eastAsia="Times New Roman" w:cs="Arial"/>
          <w:color w:val="000000"/>
          <w:lang w:eastAsia="bg-BG"/>
        </w:rPr>
        <w:t>Новородените, чиито майки са приемали ангиотензин II рецепторни антагонисти, трябва да бъдат внимателно наблюдавани за наличие на хипотония (вж. точки 4.3 и 4.4).</w:t>
      </w:r>
    </w:p>
    <w:p w14:paraId="7FDD951A" w14:textId="77777777" w:rsidR="00713FA9" w:rsidRPr="00713FA9" w:rsidRDefault="00713FA9" w:rsidP="00713FA9">
      <w:pPr>
        <w:spacing w:line="240" w:lineRule="auto"/>
        <w:rPr>
          <w:rFonts w:eastAsia="Times New Roman" w:cs="Arial"/>
          <w:color w:val="000000"/>
          <w:u w:val="single"/>
          <w:lang w:eastAsia="bg-BG"/>
        </w:rPr>
      </w:pPr>
    </w:p>
    <w:p w14:paraId="4F9F7FC5" w14:textId="76283747" w:rsidR="00713FA9" w:rsidRPr="00713FA9" w:rsidRDefault="00713FA9" w:rsidP="00713FA9">
      <w:pPr>
        <w:pStyle w:val="Heading3"/>
        <w:rPr>
          <w:rFonts w:eastAsia="Times New Roman"/>
          <w:sz w:val="28"/>
          <w:szCs w:val="28"/>
          <w:u w:val="single"/>
          <w:lang w:eastAsia="bg-BG"/>
        </w:rPr>
      </w:pPr>
      <w:r w:rsidRPr="00713FA9">
        <w:rPr>
          <w:rFonts w:eastAsia="Times New Roman"/>
          <w:u w:val="single"/>
          <w:lang w:eastAsia="bg-BG"/>
        </w:rPr>
        <w:t>Кърмене</w:t>
      </w:r>
    </w:p>
    <w:p w14:paraId="34F582EE" w14:textId="77777777" w:rsidR="00713FA9" w:rsidRPr="00713FA9" w:rsidRDefault="00713FA9" w:rsidP="00713FA9">
      <w:pPr>
        <w:spacing w:line="240" w:lineRule="auto"/>
        <w:rPr>
          <w:rFonts w:eastAsia="Times New Roman" w:cs="Arial"/>
          <w:sz w:val="28"/>
          <w:szCs w:val="28"/>
          <w:lang w:eastAsia="bg-BG"/>
        </w:rPr>
      </w:pPr>
      <w:r w:rsidRPr="00713FA9">
        <w:rPr>
          <w:rFonts w:eastAsia="Times New Roman" w:cs="Arial"/>
          <w:color w:val="000000"/>
          <w:lang w:eastAsia="bg-BG"/>
        </w:rPr>
        <w:t>Тъй като няма данни относно употребата на телмисартан в периода на кърмене, приложението му не се препоръчва, а се предпочитат алтернативни терапии с по-добре установен профил на безопасност в периода на кърмене, особено при новородени или недоносени деца.</w:t>
      </w:r>
    </w:p>
    <w:p w14:paraId="182DEC78" w14:textId="77777777" w:rsidR="00713FA9" w:rsidRPr="00713FA9" w:rsidRDefault="00713FA9" w:rsidP="00713FA9">
      <w:pPr>
        <w:spacing w:line="240" w:lineRule="auto"/>
        <w:rPr>
          <w:rFonts w:eastAsia="Times New Roman" w:cs="Arial"/>
          <w:color w:val="000000"/>
          <w:u w:val="single"/>
          <w:lang w:eastAsia="bg-BG"/>
        </w:rPr>
      </w:pPr>
    </w:p>
    <w:p w14:paraId="49ACC08C" w14:textId="72ADFF74" w:rsidR="00713FA9" w:rsidRPr="00713FA9" w:rsidRDefault="00713FA9" w:rsidP="00713FA9">
      <w:pPr>
        <w:pStyle w:val="Heading3"/>
        <w:rPr>
          <w:rFonts w:eastAsia="Times New Roman"/>
          <w:sz w:val="28"/>
          <w:szCs w:val="28"/>
          <w:u w:val="single"/>
          <w:lang w:eastAsia="bg-BG"/>
        </w:rPr>
      </w:pPr>
      <w:r w:rsidRPr="00713FA9">
        <w:rPr>
          <w:rFonts w:eastAsia="Times New Roman"/>
          <w:u w:val="single"/>
          <w:lang w:eastAsia="bg-BG"/>
        </w:rPr>
        <w:t>Фертилитет</w:t>
      </w:r>
    </w:p>
    <w:p w14:paraId="03639DC5" w14:textId="77777777" w:rsidR="00713FA9" w:rsidRPr="00713FA9" w:rsidRDefault="00713FA9" w:rsidP="00713FA9">
      <w:pPr>
        <w:spacing w:line="240" w:lineRule="auto"/>
        <w:rPr>
          <w:rFonts w:ascii="Times New Roman" w:eastAsia="Times New Roman" w:hAnsi="Times New Roman" w:cs="Times New Roman"/>
          <w:sz w:val="24"/>
          <w:szCs w:val="24"/>
          <w:lang w:eastAsia="bg-BG"/>
        </w:rPr>
      </w:pPr>
      <w:r w:rsidRPr="00713FA9">
        <w:rPr>
          <w:rFonts w:eastAsia="Times New Roman" w:cs="Arial"/>
          <w:color w:val="000000"/>
          <w:lang w:eastAsia="bg-BG"/>
        </w:rPr>
        <w:t>В предклинични проучвания не е установено влияние на телмисартан върху женския и мъжкия фертилитет.</w:t>
      </w:r>
    </w:p>
    <w:p w14:paraId="76A0422B" w14:textId="77777777" w:rsidR="00713FA9" w:rsidRPr="00713FA9" w:rsidRDefault="00713FA9" w:rsidP="00713FA9"/>
    <w:p w14:paraId="6201597D" w14:textId="716A33F8" w:rsidR="00EE6C97" w:rsidRDefault="002C50EE" w:rsidP="00A93499">
      <w:pPr>
        <w:pStyle w:val="Heading2"/>
      </w:pPr>
      <w:r>
        <w:t>4.7. Ефекти върху способността за шофиране и работа с машини</w:t>
      </w:r>
    </w:p>
    <w:p w14:paraId="1258A3BD" w14:textId="6D8E39D6" w:rsidR="0033183C" w:rsidRDefault="0033183C" w:rsidP="0033183C"/>
    <w:p w14:paraId="044DBF15" w14:textId="0B010D1E" w:rsidR="0033183C" w:rsidRDefault="0033183C" w:rsidP="0033183C">
      <w:r>
        <w:t>При шофиране или работи с машини трябва да се има предвид, че при антихипертензивна терапия, каквато е приемът на ТЕЛМОТЕНС, понякога са възможни замайване или сънливост.</w:t>
      </w:r>
    </w:p>
    <w:p w14:paraId="6CA12F77" w14:textId="77777777" w:rsidR="0033183C" w:rsidRPr="0033183C" w:rsidRDefault="0033183C" w:rsidP="0033183C"/>
    <w:p w14:paraId="389A90F4" w14:textId="7EA6C86F" w:rsidR="00BA5B74" w:rsidRDefault="002C50EE" w:rsidP="00A93499">
      <w:pPr>
        <w:pStyle w:val="Heading2"/>
      </w:pPr>
      <w:r>
        <w:t>4.8. Нежелани лекарствени реакции</w:t>
      </w:r>
    </w:p>
    <w:p w14:paraId="5F645337" w14:textId="26D95FCA" w:rsidR="0033183C" w:rsidRDefault="0033183C" w:rsidP="0033183C"/>
    <w:p w14:paraId="6A1A59CC" w14:textId="77777777" w:rsidR="0033183C" w:rsidRPr="0033183C" w:rsidRDefault="0033183C" w:rsidP="0033183C">
      <w:pPr>
        <w:spacing w:line="240" w:lineRule="auto"/>
        <w:rPr>
          <w:rFonts w:ascii="Times New Roman" w:eastAsia="Times New Roman" w:hAnsi="Times New Roman" w:cs="Times New Roman"/>
          <w:sz w:val="24"/>
          <w:szCs w:val="24"/>
          <w:lang w:eastAsia="bg-BG"/>
        </w:rPr>
      </w:pPr>
      <w:r w:rsidRPr="0033183C">
        <w:rPr>
          <w:rFonts w:ascii="Times New Roman" w:eastAsia="Times New Roman" w:hAnsi="Times New Roman" w:cs="Times New Roman"/>
          <w:color w:val="000000"/>
          <w:sz w:val="20"/>
          <w:szCs w:val="20"/>
          <w:u w:val="single"/>
          <w:lang w:eastAsia="bg-BG"/>
        </w:rPr>
        <w:t>Обобщен профил на безопасност</w:t>
      </w:r>
    </w:p>
    <w:p w14:paraId="0FF3E91D" w14:textId="3E258D37" w:rsidR="0033183C" w:rsidRPr="0033183C" w:rsidRDefault="0033183C" w:rsidP="0033183C">
      <w:pPr>
        <w:spacing w:line="240" w:lineRule="auto"/>
        <w:rPr>
          <w:rFonts w:ascii="Times New Roman" w:eastAsia="Times New Roman" w:hAnsi="Times New Roman" w:cs="Times New Roman"/>
          <w:sz w:val="24"/>
          <w:szCs w:val="24"/>
          <w:lang w:eastAsia="bg-BG"/>
        </w:rPr>
      </w:pPr>
      <w:r w:rsidRPr="0033183C">
        <w:rPr>
          <w:rFonts w:ascii="Times New Roman" w:eastAsia="Times New Roman" w:hAnsi="Times New Roman" w:cs="Times New Roman"/>
          <w:color w:val="000000"/>
          <w:sz w:val="20"/>
          <w:szCs w:val="20"/>
          <w:lang w:eastAsia="bg-BG"/>
        </w:rPr>
        <w:t>Сериозните нежелани лекарствени реакции включват анафилактична реакция и ангиоедем, които могат да се проявят рядко (≥ 1/10000 до &lt; 1/1 000)и остра бъбречна недостатъчност.</w:t>
      </w:r>
    </w:p>
    <w:p w14:paraId="7EA6CA92" w14:textId="77777777" w:rsidR="0033183C" w:rsidRDefault="0033183C" w:rsidP="0033183C">
      <w:pPr>
        <w:spacing w:line="240" w:lineRule="auto"/>
        <w:rPr>
          <w:rFonts w:ascii="Times New Roman" w:eastAsia="Times New Roman" w:hAnsi="Times New Roman" w:cs="Times New Roman"/>
          <w:color w:val="000000"/>
          <w:sz w:val="20"/>
          <w:szCs w:val="20"/>
          <w:lang w:eastAsia="bg-BG"/>
        </w:rPr>
      </w:pPr>
    </w:p>
    <w:p w14:paraId="1B42B6A2" w14:textId="4BC5CF19" w:rsidR="0033183C" w:rsidRPr="0033183C" w:rsidRDefault="0033183C" w:rsidP="0033183C">
      <w:pPr>
        <w:spacing w:line="240" w:lineRule="auto"/>
        <w:rPr>
          <w:rFonts w:ascii="Times New Roman" w:eastAsia="Times New Roman" w:hAnsi="Times New Roman" w:cs="Times New Roman"/>
          <w:sz w:val="24"/>
          <w:szCs w:val="24"/>
          <w:lang w:eastAsia="bg-BG"/>
        </w:rPr>
      </w:pPr>
      <w:r w:rsidRPr="0033183C">
        <w:rPr>
          <w:rFonts w:ascii="Times New Roman" w:eastAsia="Times New Roman" w:hAnsi="Times New Roman" w:cs="Times New Roman"/>
          <w:color w:val="000000"/>
          <w:sz w:val="20"/>
          <w:szCs w:val="20"/>
          <w:lang w:eastAsia="bg-BG"/>
        </w:rPr>
        <w:t>Общата честота на нежелани лекарствени реакции, съобщавани при употребата на телмисартан обикновено е сравнима с плацебо (41,4% спрямо 43,9%) в плацебо-контролирани проучвания при пациенти, лекувани за хипертония. Честотата на нежеланите реакции не е била свързана с дозата и не е показала корелация с пола, възрастта и расата на пациентите.</w:t>
      </w:r>
    </w:p>
    <w:p w14:paraId="6B787323" w14:textId="77777777" w:rsidR="0033183C" w:rsidRDefault="0033183C" w:rsidP="0033183C">
      <w:pPr>
        <w:spacing w:line="240" w:lineRule="auto"/>
        <w:rPr>
          <w:rFonts w:ascii="Times New Roman" w:eastAsia="Times New Roman" w:hAnsi="Times New Roman" w:cs="Times New Roman"/>
          <w:color w:val="000000"/>
          <w:sz w:val="20"/>
          <w:szCs w:val="20"/>
          <w:lang w:eastAsia="bg-BG"/>
        </w:rPr>
      </w:pPr>
    </w:p>
    <w:p w14:paraId="6965280F" w14:textId="5FB630BC" w:rsidR="0033183C" w:rsidRPr="0033183C" w:rsidRDefault="0033183C" w:rsidP="0033183C">
      <w:pPr>
        <w:spacing w:line="240" w:lineRule="auto"/>
        <w:rPr>
          <w:rFonts w:ascii="Times New Roman" w:eastAsia="Times New Roman" w:hAnsi="Times New Roman" w:cs="Times New Roman"/>
          <w:sz w:val="24"/>
          <w:szCs w:val="24"/>
          <w:lang w:eastAsia="bg-BG"/>
        </w:rPr>
      </w:pPr>
      <w:r w:rsidRPr="0033183C">
        <w:rPr>
          <w:rFonts w:ascii="Times New Roman" w:eastAsia="Times New Roman" w:hAnsi="Times New Roman" w:cs="Times New Roman"/>
          <w:color w:val="000000"/>
          <w:sz w:val="20"/>
          <w:szCs w:val="20"/>
          <w:lang w:eastAsia="bg-BG"/>
        </w:rPr>
        <w:t>Профилът на безопасност на телмисартан при пациенти, лекувани за намаляване на сърдечно</w:t>
      </w:r>
      <w:r w:rsidRPr="0033183C">
        <w:rPr>
          <w:rFonts w:ascii="Times New Roman" w:eastAsia="Times New Roman" w:hAnsi="Times New Roman" w:cs="Times New Roman"/>
          <w:color w:val="000000"/>
          <w:sz w:val="20"/>
          <w:szCs w:val="20"/>
          <w:lang w:eastAsia="bg-BG"/>
        </w:rPr>
        <w:softHyphen/>
        <w:t>съдовата заболеваемост е сходен с този, наблюдаван при пациентите с хипертония.</w:t>
      </w:r>
    </w:p>
    <w:p w14:paraId="3EBD99E1" w14:textId="77777777" w:rsidR="0033183C" w:rsidRDefault="0033183C" w:rsidP="0033183C">
      <w:pPr>
        <w:spacing w:line="240" w:lineRule="auto"/>
        <w:rPr>
          <w:rFonts w:ascii="Times New Roman" w:eastAsia="Times New Roman" w:hAnsi="Times New Roman" w:cs="Times New Roman"/>
          <w:color w:val="000000"/>
          <w:sz w:val="20"/>
          <w:szCs w:val="20"/>
          <w:lang w:eastAsia="bg-BG"/>
        </w:rPr>
      </w:pPr>
    </w:p>
    <w:p w14:paraId="68BEC507" w14:textId="06E5F390" w:rsidR="0033183C" w:rsidRPr="0033183C" w:rsidRDefault="0033183C" w:rsidP="0033183C">
      <w:pPr>
        <w:spacing w:line="240" w:lineRule="auto"/>
        <w:rPr>
          <w:rFonts w:ascii="Times New Roman" w:eastAsia="Times New Roman" w:hAnsi="Times New Roman" w:cs="Times New Roman"/>
          <w:sz w:val="24"/>
          <w:szCs w:val="24"/>
          <w:lang w:eastAsia="bg-BG"/>
        </w:rPr>
      </w:pPr>
      <w:r w:rsidRPr="0033183C">
        <w:rPr>
          <w:rFonts w:ascii="Times New Roman" w:eastAsia="Times New Roman" w:hAnsi="Times New Roman" w:cs="Times New Roman"/>
          <w:color w:val="000000"/>
          <w:sz w:val="20"/>
          <w:szCs w:val="20"/>
          <w:lang w:eastAsia="bg-BG"/>
        </w:rPr>
        <w:t>Представените по-долу нежелани лекарствени реакции, отразяват резултатите от всички клинични проучвания при пациенти, лекувани с телмисартан за хипертония и от пост- маркетинговото наблюдение. Списъкът също така включва и сериозните нежелани реакции, както и нежеланите реакции, довели до прекратяване на лечението, съобщени в три дългосрочни клинични проучвания, включващи 21 642 пациенти, лекувани с телмисартан за намаляване на сърдечно-съдовата заболеваемост за период до шест години.</w:t>
      </w:r>
    </w:p>
    <w:p w14:paraId="4680034B" w14:textId="77777777" w:rsidR="0033183C" w:rsidRDefault="0033183C" w:rsidP="0033183C">
      <w:pPr>
        <w:spacing w:line="240" w:lineRule="auto"/>
        <w:rPr>
          <w:rFonts w:ascii="Times New Roman" w:eastAsia="Times New Roman" w:hAnsi="Times New Roman" w:cs="Times New Roman"/>
          <w:color w:val="000000"/>
          <w:sz w:val="20"/>
          <w:szCs w:val="20"/>
          <w:u w:val="single"/>
          <w:lang w:eastAsia="bg-BG"/>
        </w:rPr>
      </w:pPr>
    </w:p>
    <w:p w14:paraId="799987DD" w14:textId="0AC519EB" w:rsidR="0033183C" w:rsidRPr="0033183C" w:rsidRDefault="0033183C" w:rsidP="0033183C">
      <w:pPr>
        <w:spacing w:line="240" w:lineRule="auto"/>
        <w:rPr>
          <w:rFonts w:ascii="Times New Roman" w:eastAsia="Times New Roman" w:hAnsi="Times New Roman" w:cs="Times New Roman"/>
          <w:sz w:val="24"/>
          <w:szCs w:val="24"/>
          <w:lang w:eastAsia="bg-BG"/>
        </w:rPr>
      </w:pPr>
      <w:r w:rsidRPr="0033183C">
        <w:rPr>
          <w:rFonts w:ascii="Times New Roman" w:eastAsia="Times New Roman" w:hAnsi="Times New Roman" w:cs="Times New Roman"/>
          <w:color w:val="000000"/>
          <w:sz w:val="20"/>
          <w:szCs w:val="20"/>
          <w:u w:val="single"/>
          <w:lang w:eastAsia="bg-BG"/>
        </w:rPr>
        <w:t>Обобщение на нежеланите лекарствени реакции в табличен формат</w:t>
      </w:r>
    </w:p>
    <w:p w14:paraId="11FE1FD3" w14:textId="20C5AA3A" w:rsidR="0033183C" w:rsidRDefault="0033183C" w:rsidP="0033183C">
      <w:pPr>
        <w:spacing w:line="240" w:lineRule="auto"/>
        <w:rPr>
          <w:rFonts w:ascii="Nirmala UI" w:eastAsia="Times New Roman" w:hAnsi="Nirmala UI" w:cs="Nirmala UI"/>
          <w:color w:val="000000"/>
          <w:sz w:val="20"/>
          <w:szCs w:val="20"/>
          <w:lang w:val="en-US"/>
        </w:rPr>
      </w:pPr>
      <w:r w:rsidRPr="0033183C">
        <w:rPr>
          <w:rFonts w:ascii="Times New Roman" w:eastAsia="Times New Roman" w:hAnsi="Times New Roman" w:cs="Times New Roman"/>
          <w:color w:val="000000"/>
          <w:sz w:val="20"/>
          <w:szCs w:val="20"/>
          <w:lang w:eastAsia="bg-BG"/>
        </w:rPr>
        <w:t>Нежеланите лекарствени реакции са подредени по честота, като е използвана следната класификация:</w:t>
      </w:r>
      <w:r w:rsidRPr="0033183C">
        <w:rPr>
          <w:rFonts w:ascii="Times New Roman" w:eastAsia="Times New Roman" w:hAnsi="Times New Roman" w:cs="Times New Roman"/>
          <w:color w:val="000000"/>
          <w:sz w:val="20"/>
          <w:szCs w:val="20"/>
          <w:lang w:eastAsia="bg-BG"/>
        </w:rPr>
        <w:tab/>
      </w:r>
    </w:p>
    <w:p w14:paraId="5A202C2A" w14:textId="77777777" w:rsidR="0033183C" w:rsidRPr="0033183C" w:rsidRDefault="0033183C" w:rsidP="0033183C">
      <w:pPr>
        <w:spacing w:line="240" w:lineRule="auto"/>
        <w:rPr>
          <w:rFonts w:ascii="Times New Roman" w:eastAsia="Times New Roman" w:hAnsi="Times New Roman" w:cs="Times New Roman"/>
          <w:sz w:val="24"/>
          <w:szCs w:val="24"/>
          <w:lang w:eastAsia="bg-BG"/>
        </w:rPr>
      </w:pPr>
    </w:p>
    <w:p w14:paraId="229D3299" w14:textId="77777777" w:rsidR="0033183C" w:rsidRDefault="0033183C" w:rsidP="0033183C">
      <w:pPr>
        <w:spacing w:line="240" w:lineRule="auto"/>
        <w:rPr>
          <w:rFonts w:ascii="Times New Roman" w:eastAsia="Times New Roman" w:hAnsi="Times New Roman" w:cs="Times New Roman"/>
          <w:color w:val="000000"/>
          <w:sz w:val="20"/>
          <w:szCs w:val="20"/>
          <w:lang w:eastAsia="bg-BG"/>
        </w:rPr>
      </w:pPr>
      <w:r w:rsidRPr="0033183C">
        <w:rPr>
          <w:rFonts w:ascii="Times New Roman" w:eastAsia="Times New Roman" w:hAnsi="Times New Roman" w:cs="Times New Roman"/>
          <w:color w:val="000000"/>
          <w:sz w:val="20"/>
          <w:szCs w:val="20"/>
          <w:lang w:eastAsia="bg-BG"/>
        </w:rPr>
        <w:t xml:space="preserve">Много чести (&gt;1/10), </w:t>
      </w:r>
    </w:p>
    <w:p w14:paraId="4CB533AB" w14:textId="77777777" w:rsidR="0033183C" w:rsidRDefault="0033183C" w:rsidP="0033183C">
      <w:pPr>
        <w:spacing w:line="240" w:lineRule="auto"/>
        <w:rPr>
          <w:rFonts w:ascii="Times New Roman" w:eastAsia="Times New Roman" w:hAnsi="Times New Roman" w:cs="Times New Roman"/>
          <w:color w:val="000000"/>
          <w:sz w:val="20"/>
          <w:szCs w:val="20"/>
          <w:lang w:eastAsia="bg-BG"/>
        </w:rPr>
      </w:pPr>
      <w:r w:rsidRPr="0033183C">
        <w:rPr>
          <w:rFonts w:ascii="Times New Roman" w:eastAsia="Times New Roman" w:hAnsi="Times New Roman" w:cs="Times New Roman"/>
          <w:color w:val="000000"/>
          <w:sz w:val="20"/>
          <w:szCs w:val="20"/>
          <w:lang w:eastAsia="bg-BG"/>
        </w:rPr>
        <w:t xml:space="preserve">Чести (&gt; 1/100 до &lt; 1/10), </w:t>
      </w:r>
    </w:p>
    <w:p w14:paraId="3E18D781" w14:textId="77777777" w:rsidR="0033183C" w:rsidRDefault="0033183C" w:rsidP="0033183C">
      <w:pPr>
        <w:spacing w:line="240" w:lineRule="auto"/>
        <w:rPr>
          <w:rFonts w:ascii="Times New Roman" w:eastAsia="Times New Roman" w:hAnsi="Times New Roman" w:cs="Times New Roman"/>
          <w:color w:val="000000"/>
          <w:sz w:val="20"/>
          <w:szCs w:val="20"/>
          <w:lang w:eastAsia="bg-BG"/>
        </w:rPr>
      </w:pPr>
      <w:r w:rsidRPr="0033183C">
        <w:rPr>
          <w:rFonts w:ascii="Times New Roman" w:eastAsia="Times New Roman" w:hAnsi="Times New Roman" w:cs="Times New Roman"/>
          <w:color w:val="000000"/>
          <w:sz w:val="20"/>
          <w:szCs w:val="20"/>
          <w:lang w:eastAsia="bg-BG"/>
        </w:rPr>
        <w:t xml:space="preserve">Нечести (&gt; 1/1000 до &lt; 1/100), </w:t>
      </w:r>
    </w:p>
    <w:p w14:paraId="3AAC754F" w14:textId="77777777" w:rsidR="0033183C" w:rsidRDefault="0033183C" w:rsidP="0033183C">
      <w:pPr>
        <w:spacing w:line="240" w:lineRule="auto"/>
        <w:rPr>
          <w:rFonts w:ascii="Times New Roman" w:eastAsia="Times New Roman" w:hAnsi="Times New Roman" w:cs="Times New Roman"/>
          <w:color w:val="000000"/>
          <w:sz w:val="20"/>
          <w:szCs w:val="20"/>
          <w:lang w:eastAsia="bg-BG"/>
        </w:rPr>
      </w:pPr>
      <w:r w:rsidRPr="0033183C">
        <w:rPr>
          <w:rFonts w:ascii="Times New Roman" w:eastAsia="Times New Roman" w:hAnsi="Times New Roman" w:cs="Times New Roman"/>
          <w:color w:val="000000"/>
          <w:sz w:val="20"/>
          <w:szCs w:val="20"/>
          <w:lang w:eastAsia="bg-BG"/>
        </w:rPr>
        <w:t xml:space="preserve">Редки (&gt; 1/10 000 до &lt; 1/1 000), </w:t>
      </w:r>
    </w:p>
    <w:p w14:paraId="5D17A2EA" w14:textId="5A10341F" w:rsidR="0033183C" w:rsidRPr="0033183C" w:rsidRDefault="0033183C" w:rsidP="0033183C">
      <w:pPr>
        <w:spacing w:line="240" w:lineRule="auto"/>
        <w:rPr>
          <w:rFonts w:ascii="Times New Roman" w:eastAsia="Times New Roman" w:hAnsi="Times New Roman" w:cs="Times New Roman"/>
          <w:sz w:val="24"/>
          <w:szCs w:val="24"/>
          <w:lang w:eastAsia="bg-BG"/>
        </w:rPr>
      </w:pPr>
      <w:r w:rsidRPr="0033183C">
        <w:rPr>
          <w:rFonts w:ascii="Times New Roman" w:eastAsia="Times New Roman" w:hAnsi="Times New Roman" w:cs="Times New Roman"/>
          <w:color w:val="000000"/>
          <w:sz w:val="20"/>
          <w:szCs w:val="20"/>
          <w:lang w:eastAsia="bg-BG"/>
        </w:rPr>
        <w:t>Много редки (&lt; 1/10 000).</w:t>
      </w:r>
    </w:p>
    <w:p w14:paraId="7C3C970E" w14:textId="051D2EB2" w:rsidR="0033183C" w:rsidRDefault="0033183C" w:rsidP="0033183C">
      <w:pPr>
        <w:rPr>
          <w:rFonts w:ascii="Times New Roman" w:eastAsia="Times New Roman" w:hAnsi="Times New Roman" w:cs="Times New Roman"/>
          <w:color w:val="000000"/>
          <w:sz w:val="20"/>
          <w:szCs w:val="20"/>
          <w:lang w:eastAsia="bg-BG"/>
        </w:rPr>
      </w:pPr>
      <w:r w:rsidRPr="0033183C">
        <w:rPr>
          <w:rFonts w:ascii="Times New Roman" w:eastAsia="Times New Roman" w:hAnsi="Times New Roman" w:cs="Times New Roman"/>
          <w:color w:val="000000"/>
          <w:sz w:val="20"/>
          <w:szCs w:val="20"/>
          <w:lang w:eastAsia="bg-BG"/>
        </w:rPr>
        <w:lastRenderedPageBreak/>
        <w:t>При всяко групиране в зависимост от честотата, нежеланите лекарствени реакции се изброяват в низходящ ред по отношение на сериозността.</w:t>
      </w:r>
    </w:p>
    <w:tbl>
      <w:tblPr>
        <w:tblStyle w:val="TableGrid"/>
        <w:tblW w:w="0" w:type="auto"/>
        <w:tblLook w:val="04A0" w:firstRow="1" w:lastRow="0" w:firstColumn="1" w:lastColumn="0" w:noHBand="0" w:noVBand="1"/>
      </w:tblPr>
      <w:tblGrid>
        <w:gridCol w:w="3120"/>
        <w:gridCol w:w="3088"/>
        <w:gridCol w:w="3142"/>
      </w:tblGrid>
      <w:tr w:rsidR="0033183C" w14:paraId="18634E49" w14:textId="77777777" w:rsidTr="007F3292">
        <w:tc>
          <w:tcPr>
            <w:tcW w:w="3166" w:type="dxa"/>
            <w:vAlign w:val="bottom"/>
          </w:tcPr>
          <w:p w14:paraId="00623B52" w14:textId="424A4897" w:rsidR="0033183C" w:rsidRPr="0033183C" w:rsidRDefault="0033183C" w:rsidP="0033183C">
            <w:pPr>
              <w:rPr>
                <w:rFonts w:cs="Arial"/>
                <w:b/>
                <w:bCs/>
              </w:rPr>
            </w:pPr>
            <w:r w:rsidRPr="0033183C">
              <w:rPr>
                <w:rFonts w:cs="Arial"/>
                <w:b/>
                <w:bCs/>
                <w:lang w:val="en-US"/>
              </w:rPr>
              <w:t xml:space="preserve">MedDRA </w:t>
            </w:r>
            <w:r w:rsidRPr="0033183C">
              <w:rPr>
                <w:rFonts w:cs="Arial"/>
                <w:b/>
                <w:bCs/>
              </w:rPr>
              <w:t>Системо-органна класификация</w:t>
            </w:r>
          </w:p>
        </w:tc>
        <w:tc>
          <w:tcPr>
            <w:tcW w:w="3167" w:type="dxa"/>
          </w:tcPr>
          <w:p w14:paraId="538A78DA" w14:textId="36CFA9D0" w:rsidR="0033183C" w:rsidRPr="0033183C" w:rsidRDefault="0033183C" w:rsidP="0033183C">
            <w:pPr>
              <w:rPr>
                <w:rFonts w:cs="Arial"/>
                <w:b/>
                <w:bCs/>
              </w:rPr>
            </w:pPr>
            <w:r w:rsidRPr="0033183C">
              <w:rPr>
                <w:rFonts w:cs="Arial"/>
                <w:b/>
                <w:bCs/>
              </w:rPr>
              <w:t>Честота</w:t>
            </w:r>
          </w:p>
        </w:tc>
        <w:tc>
          <w:tcPr>
            <w:tcW w:w="3167" w:type="dxa"/>
          </w:tcPr>
          <w:p w14:paraId="024B28A7" w14:textId="57B26C0C" w:rsidR="0033183C" w:rsidRPr="0033183C" w:rsidRDefault="0033183C" w:rsidP="0033183C">
            <w:pPr>
              <w:rPr>
                <w:rFonts w:cs="Arial"/>
                <w:b/>
                <w:bCs/>
              </w:rPr>
            </w:pPr>
            <w:r w:rsidRPr="0033183C">
              <w:rPr>
                <w:rFonts w:cs="Arial"/>
                <w:b/>
                <w:bCs/>
              </w:rPr>
              <w:t>Нежелана реакция</w:t>
            </w:r>
          </w:p>
        </w:tc>
      </w:tr>
      <w:tr w:rsidR="0033183C" w14:paraId="3853781E" w14:textId="77777777" w:rsidTr="007F3292">
        <w:tc>
          <w:tcPr>
            <w:tcW w:w="3166" w:type="dxa"/>
            <w:vMerge w:val="restart"/>
          </w:tcPr>
          <w:p w14:paraId="34BF022A" w14:textId="72E8003E" w:rsidR="0033183C" w:rsidRPr="0033183C" w:rsidRDefault="0033183C" w:rsidP="0033183C">
            <w:pPr>
              <w:rPr>
                <w:rFonts w:cs="Arial"/>
              </w:rPr>
            </w:pPr>
            <w:r w:rsidRPr="0033183C">
              <w:rPr>
                <w:rFonts w:cs="Arial"/>
              </w:rPr>
              <w:t>Инфекции и инфестации</w:t>
            </w:r>
          </w:p>
        </w:tc>
        <w:tc>
          <w:tcPr>
            <w:tcW w:w="3167" w:type="dxa"/>
          </w:tcPr>
          <w:p w14:paraId="1EC2E638" w14:textId="495E3C57" w:rsidR="0033183C" w:rsidRPr="0033183C" w:rsidRDefault="0033183C" w:rsidP="0033183C">
            <w:pPr>
              <w:rPr>
                <w:rFonts w:cs="Arial"/>
              </w:rPr>
            </w:pPr>
            <w:r w:rsidRPr="0033183C">
              <w:rPr>
                <w:rFonts w:cs="Arial"/>
              </w:rPr>
              <w:t>Нечести</w:t>
            </w:r>
          </w:p>
        </w:tc>
        <w:tc>
          <w:tcPr>
            <w:tcW w:w="3167" w:type="dxa"/>
            <w:vAlign w:val="bottom"/>
          </w:tcPr>
          <w:p w14:paraId="3F3DAC26" w14:textId="77777777" w:rsidR="0033183C" w:rsidRPr="0033183C" w:rsidRDefault="0033183C" w:rsidP="0033183C">
            <w:pPr>
              <w:rPr>
                <w:rFonts w:cs="Arial"/>
              </w:rPr>
            </w:pPr>
            <w:r w:rsidRPr="0033183C">
              <w:rPr>
                <w:rFonts w:cs="Arial"/>
              </w:rPr>
              <w:t>Инфекция на пикочните</w:t>
            </w:r>
          </w:p>
          <w:p w14:paraId="3606A778" w14:textId="0E57A5FF" w:rsidR="0033183C" w:rsidRPr="0033183C" w:rsidRDefault="0033183C" w:rsidP="0033183C">
            <w:pPr>
              <w:rPr>
                <w:rFonts w:eastAsia="Times New Roman" w:cs="Arial"/>
                <w:lang w:eastAsia="bg-BG"/>
              </w:rPr>
            </w:pPr>
            <w:r w:rsidRPr="0033183C">
              <w:rPr>
                <w:rFonts w:cs="Arial"/>
              </w:rPr>
              <w:t xml:space="preserve">пътища, включително цистит инфекция на горните </w:t>
            </w:r>
            <w:r w:rsidRPr="0033183C">
              <w:rPr>
                <w:rFonts w:eastAsia="Times New Roman" w:cs="Arial"/>
                <w:color w:val="000000"/>
                <w:lang w:eastAsia="bg-BG"/>
              </w:rPr>
              <w:t>дихателни пътища, включително фарингит и синуит</w:t>
            </w:r>
          </w:p>
        </w:tc>
      </w:tr>
      <w:tr w:rsidR="0033183C" w14:paraId="02D5301B" w14:textId="77777777" w:rsidTr="007751B5">
        <w:tc>
          <w:tcPr>
            <w:tcW w:w="3166" w:type="dxa"/>
            <w:vMerge/>
          </w:tcPr>
          <w:p w14:paraId="7533E259" w14:textId="77777777" w:rsidR="0033183C" w:rsidRPr="0033183C" w:rsidRDefault="0033183C" w:rsidP="0033183C">
            <w:pPr>
              <w:rPr>
                <w:rFonts w:cs="Arial"/>
              </w:rPr>
            </w:pPr>
          </w:p>
        </w:tc>
        <w:tc>
          <w:tcPr>
            <w:tcW w:w="3167" w:type="dxa"/>
          </w:tcPr>
          <w:p w14:paraId="627F6D29" w14:textId="5086C749" w:rsidR="0033183C" w:rsidRPr="0033183C" w:rsidRDefault="0033183C" w:rsidP="0033183C">
            <w:pPr>
              <w:rPr>
                <w:rFonts w:cs="Arial"/>
              </w:rPr>
            </w:pPr>
            <w:r w:rsidRPr="0033183C">
              <w:rPr>
                <w:rFonts w:cs="Arial"/>
              </w:rPr>
              <w:t>Редки</w:t>
            </w:r>
          </w:p>
        </w:tc>
        <w:tc>
          <w:tcPr>
            <w:tcW w:w="3167" w:type="dxa"/>
            <w:vAlign w:val="bottom"/>
          </w:tcPr>
          <w:p w14:paraId="4D8BAF69" w14:textId="5D981E80" w:rsidR="0033183C" w:rsidRPr="0033183C" w:rsidRDefault="0033183C" w:rsidP="0033183C">
            <w:pPr>
              <w:rPr>
                <w:rFonts w:cs="Arial"/>
              </w:rPr>
            </w:pPr>
            <w:r w:rsidRPr="0033183C">
              <w:rPr>
                <w:rFonts w:cs="Arial"/>
              </w:rPr>
              <w:t>Сепсис, включително с фатален изход</w:t>
            </w:r>
            <w:r w:rsidRPr="0033183C">
              <w:rPr>
                <w:rFonts w:cs="Arial"/>
                <w:vertAlign w:val="superscript"/>
              </w:rPr>
              <w:t>1</w:t>
            </w:r>
          </w:p>
        </w:tc>
      </w:tr>
      <w:tr w:rsidR="0033183C" w14:paraId="6A7A8CC8" w14:textId="77777777" w:rsidTr="0033183C">
        <w:tc>
          <w:tcPr>
            <w:tcW w:w="3166" w:type="dxa"/>
            <w:vMerge w:val="restart"/>
          </w:tcPr>
          <w:p w14:paraId="47A330EF" w14:textId="3D086770" w:rsidR="0033183C" w:rsidRPr="0033183C" w:rsidRDefault="0033183C" w:rsidP="0033183C">
            <w:r w:rsidRPr="0033183C">
              <w:t>Нарушения на кръвта и лимфната система</w:t>
            </w:r>
          </w:p>
        </w:tc>
        <w:tc>
          <w:tcPr>
            <w:tcW w:w="3167" w:type="dxa"/>
          </w:tcPr>
          <w:p w14:paraId="5A991259" w14:textId="067511CD" w:rsidR="0033183C" w:rsidRPr="0033183C" w:rsidRDefault="0033183C" w:rsidP="0033183C">
            <w:r w:rsidRPr="0033183C">
              <w:t>Нечести</w:t>
            </w:r>
          </w:p>
        </w:tc>
        <w:tc>
          <w:tcPr>
            <w:tcW w:w="3167" w:type="dxa"/>
          </w:tcPr>
          <w:p w14:paraId="3D61C2CA" w14:textId="54389E58" w:rsidR="0033183C" w:rsidRPr="0033183C" w:rsidRDefault="0033183C" w:rsidP="0033183C">
            <w:r w:rsidRPr="0033183C">
              <w:t>Анемия</w:t>
            </w:r>
          </w:p>
        </w:tc>
      </w:tr>
      <w:tr w:rsidR="0033183C" w14:paraId="31688DDA" w14:textId="77777777" w:rsidTr="000F0AA6">
        <w:tc>
          <w:tcPr>
            <w:tcW w:w="3166" w:type="dxa"/>
            <w:vMerge/>
          </w:tcPr>
          <w:p w14:paraId="7A77C6D8" w14:textId="77777777" w:rsidR="0033183C" w:rsidRPr="0033183C" w:rsidRDefault="0033183C" w:rsidP="0033183C"/>
        </w:tc>
        <w:tc>
          <w:tcPr>
            <w:tcW w:w="3167" w:type="dxa"/>
          </w:tcPr>
          <w:p w14:paraId="601445C7" w14:textId="1B1F6AA4" w:rsidR="0033183C" w:rsidRPr="0033183C" w:rsidRDefault="0033183C" w:rsidP="0033183C">
            <w:r w:rsidRPr="0033183C">
              <w:t>Редки</w:t>
            </w:r>
          </w:p>
        </w:tc>
        <w:tc>
          <w:tcPr>
            <w:tcW w:w="3167" w:type="dxa"/>
            <w:vAlign w:val="bottom"/>
          </w:tcPr>
          <w:p w14:paraId="04C5C022" w14:textId="1F4AD2CC" w:rsidR="0033183C" w:rsidRPr="0033183C" w:rsidRDefault="0033183C" w:rsidP="0033183C">
            <w:r w:rsidRPr="0033183C">
              <w:t>Еозинофилия, тромбоцитопения</w:t>
            </w:r>
          </w:p>
        </w:tc>
      </w:tr>
      <w:tr w:rsidR="0033183C" w14:paraId="7E6779BC" w14:textId="77777777" w:rsidTr="000F0AA6">
        <w:tc>
          <w:tcPr>
            <w:tcW w:w="3166" w:type="dxa"/>
            <w:vAlign w:val="bottom"/>
          </w:tcPr>
          <w:p w14:paraId="1316B233" w14:textId="14859EF3" w:rsidR="0033183C" w:rsidRPr="0033183C" w:rsidRDefault="0033183C" w:rsidP="0033183C">
            <w:r w:rsidRPr="0033183C">
              <w:t>Нарушения на имунната система</w:t>
            </w:r>
          </w:p>
        </w:tc>
        <w:tc>
          <w:tcPr>
            <w:tcW w:w="3167" w:type="dxa"/>
          </w:tcPr>
          <w:p w14:paraId="68BF055F" w14:textId="652F84A6" w:rsidR="0033183C" w:rsidRPr="0033183C" w:rsidRDefault="0033183C" w:rsidP="0033183C">
            <w:r w:rsidRPr="0033183C">
              <w:t>Редки</w:t>
            </w:r>
          </w:p>
        </w:tc>
        <w:tc>
          <w:tcPr>
            <w:tcW w:w="3167" w:type="dxa"/>
            <w:vAlign w:val="bottom"/>
          </w:tcPr>
          <w:p w14:paraId="033E0C38" w14:textId="6B00D33B" w:rsidR="0033183C" w:rsidRPr="0033183C" w:rsidRDefault="0033183C" w:rsidP="0033183C">
            <w:r w:rsidRPr="0033183C">
              <w:t>Анафилактична реакция, свръхчувствителност</w:t>
            </w:r>
          </w:p>
        </w:tc>
      </w:tr>
      <w:tr w:rsidR="0033183C" w14:paraId="4FB6CDBA" w14:textId="77777777" w:rsidTr="000F0AA6">
        <w:tc>
          <w:tcPr>
            <w:tcW w:w="3166" w:type="dxa"/>
            <w:vMerge w:val="restart"/>
          </w:tcPr>
          <w:p w14:paraId="62B626BF" w14:textId="19B4731A" w:rsidR="0033183C" w:rsidRPr="0033183C" w:rsidRDefault="0033183C" w:rsidP="0033183C">
            <w:r w:rsidRPr="0033183C">
              <w:t>Нарушения на метаболизма и храненето</w:t>
            </w:r>
          </w:p>
        </w:tc>
        <w:tc>
          <w:tcPr>
            <w:tcW w:w="3167" w:type="dxa"/>
            <w:vAlign w:val="bottom"/>
          </w:tcPr>
          <w:p w14:paraId="00F94B20" w14:textId="3AB058E1" w:rsidR="0033183C" w:rsidRPr="0033183C" w:rsidRDefault="0033183C" w:rsidP="0033183C">
            <w:r w:rsidRPr="0033183C">
              <w:t>Нечести</w:t>
            </w:r>
          </w:p>
        </w:tc>
        <w:tc>
          <w:tcPr>
            <w:tcW w:w="3167" w:type="dxa"/>
            <w:vAlign w:val="bottom"/>
          </w:tcPr>
          <w:p w14:paraId="76C3C704" w14:textId="1A4E7E91" w:rsidR="0033183C" w:rsidRPr="0033183C" w:rsidRDefault="0033183C" w:rsidP="0033183C">
            <w:r w:rsidRPr="0033183C">
              <w:t>Хиперкалиемия</w:t>
            </w:r>
          </w:p>
        </w:tc>
      </w:tr>
      <w:tr w:rsidR="0033183C" w14:paraId="0697B460" w14:textId="77777777" w:rsidTr="000F0AA6">
        <w:tc>
          <w:tcPr>
            <w:tcW w:w="3166" w:type="dxa"/>
            <w:vMerge/>
          </w:tcPr>
          <w:p w14:paraId="32FF45E4" w14:textId="77777777" w:rsidR="0033183C" w:rsidRPr="0033183C" w:rsidRDefault="0033183C" w:rsidP="0033183C"/>
        </w:tc>
        <w:tc>
          <w:tcPr>
            <w:tcW w:w="3167" w:type="dxa"/>
          </w:tcPr>
          <w:p w14:paraId="06291632" w14:textId="505A3773" w:rsidR="0033183C" w:rsidRPr="0033183C" w:rsidRDefault="0033183C" w:rsidP="0033183C">
            <w:r w:rsidRPr="0033183C">
              <w:t>Редки</w:t>
            </w:r>
          </w:p>
        </w:tc>
        <w:tc>
          <w:tcPr>
            <w:tcW w:w="3167" w:type="dxa"/>
            <w:vAlign w:val="bottom"/>
          </w:tcPr>
          <w:p w14:paraId="714531E3" w14:textId="300E0827" w:rsidR="0033183C" w:rsidRPr="0033183C" w:rsidRDefault="0033183C" w:rsidP="0033183C">
            <w:r w:rsidRPr="0033183C">
              <w:t>Хипогликемия (при пациенти с диабет)</w:t>
            </w:r>
          </w:p>
        </w:tc>
      </w:tr>
      <w:tr w:rsidR="0033183C" w14:paraId="0AD9571B" w14:textId="77777777" w:rsidTr="000F0AA6">
        <w:tc>
          <w:tcPr>
            <w:tcW w:w="3166" w:type="dxa"/>
            <w:vMerge w:val="restart"/>
          </w:tcPr>
          <w:p w14:paraId="04EF715D" w14:textId="255B7DB0" w:rsidR="0033183C" w:rsidRPr="0033183C" w:rsidRDefault="0033183C" w:rsidP="0033183C">
            <w:r w:rsidRPr="0033183C">
              <w:t>Психични нарушения</w:t>
            </w:r>
          </w:p>
        </w:tc>
        <w:tc>
          <w:tcPr>
            <w:tcW w:w="3167" w:type="dxa"/>
            <w:vAlign w:val="bottom"/>
          </w:tcPr>
          <w:p w14:paraId="70DCAFE2" w14:textId="41F18149" w:rsidR="0033183C" w:rsidRPr="0033183C" w:rsidRDefault="0033183C" w:rsidP="0033183C">
            <w:r w:rsidRPr="0033183C">
              <w:t>Нечести</w:t>
            </w:r>
          </w:p>
        </w:tc>
        <w:tc>
          <w:tcPr>
            <w:tcW w:w="3167" w:type="dxa"/>
            <w:vAlign w:val="bottom"/>
          </w:tcPr>
          <w:p w14:paraId="5D546CA8" w14:textId="68F997C5" w:rsidR="0033183C" w:rsidRPr="0033183C" w:rsidRDefault="0033183C" w:rsidP="0033183C">
            <w:r w:rsidRPr="0033183C">
              <w:t>Безсъние, депресия</w:t>
            </w:r>
          </w:p>
        </w:tc>
      </w:tr>
      <w:tr w:rsidR="0033183C" w14:paraId="169EC563" w14:textId="77777777" w:rsidTr="000F0AA6">
        <w:tc>
          <w:tcPr>
            <w:tcW w:w="3166" w:type="dxa"/>
            <w:vMerge/>
          </w:tcPr>
          <w:p w14:paraId="4EEF53C4" w14:textId="77777777" w:rsidR="0033183C" w:rsidRPr="0033183C" w:rsidRDefault="0033183C" w:rsidP="0033183C"/>
        </w:tc>
        <w:tc>
          <w:tcPr>
            <w:tcW w:w="3167" w:type="dxa"/>
            <w:vAlign w:val="bottom"/>
          </w:tcPr>
          <w:p w14:paraId="4E6D5F71" w14:textId="4A4060FE" w:rsidR="0033183C" w:rsidRPr="0033183C" w:rsidRDefault="0033183C" w:rsidP="0033183C">
            <w:r w:rsidRPr="0033183C">
              <w:t>Редки</w:t>
            </w:r>
          </w:p>
        </w:tc>
        <w:tc>
          <w:tcPr>
            <w:tcW w:w="3167" w:type="dxa"/>
            <w:vAlign w:val="bottom"/>
          </w:tcPr>
          <w:p w14:paraId="54F358B4" w14:textId="22D5D6DA" w:rsidR="0033183C" w:rsidRPr="0033183C" w:rsidRDefault="0033183C" w:rsidP="0033183C">
            <w:r w:rsidRPr="0033183C">
              <w:t>Тревожност</w:t>
            </w:r>
          </w:p>
        </w:tc>
      </w:tr>
      <w:tr w:rsidR="0033183C" w14:paraId="039B5817" w14:textId="77777777" w:rsidTr="0033183C">
        <w:tc>
          <w:tcPr>
            <w:tcW w:w="3166" w:type="dxa"/>
            <w:vMerge w:val="restart"/>
          </w:tcPr>
          <w:p w14:paraId="64073231" w14:textId="614C3BFD" w:rsidR="0033183C" w:rsidRPr="0033183C" w:rsidRDefault="0033183C" w:rsidP="0033183C">
            <w:r w:rsidRPr="0033183C">
              <w:t>Нарушения на нервната система</w:t>
            </w:r>
          </w:p>
        </w:tc>
        <w:tc>
          <w:tcPr>
            <w:tcW w:w="3167" w:type="dxa"/>
          </w:tcPr>
          <w:p w14:paraId="031D69BB" w14:textId="44A64508" w:rsidR="0033183C" w:rsidRPr="0033183C" w:rsidRDefault="0033183C" w:rsidP="0033183C">
            <w:r w:rsidRPr="0033183C">
              <w:t>Нечести</w:t>
            </w:r>
          </w:p>
        </w:tc>
        <w:tc>
          <w:tcPr>
            <w:tcW w:w="3167" w:type="dxa"/>
          </w:tcPr>
          <w:p w14:paraId="1A6DDBF0" w14:textId="39B321DE" w:rsidR="0033183C" w:rsidRPr="0033183C" w:rsidRDefault="0033183C" w:rsidP="0033183C">
            <w:r w:rsidRPr="0033183C">
              <w:t>Синкоп</w:t>
            </w:r>
          </w:p>
        </w:tc>
      </w:tr>
      <w:tr w:rsidR="0033183C" w14:paraId="7821464A" w14:textId="77777777" w:rsidTr="0033183C">
        <w:tc>
          <w:tcPr>
            <w:tcW w:w="3166" w:type="dxa"/>
            <w:vMerge/>
          </w:tcPr>
          <w:p w14:paraId="798F22EC" w14:textId="77777777" w:rsidR="0033183C" w:rsidRPr="0033183C" w:rsidRDefault="0033183C" w:rsidP="0033183C"/>
        </w:tc>
        <w:tc>
          <w:tcPr>
            <w:tcW w:w="3167" w:type="dxa"/>
          </w:tcPr>
          <w:p w14:paraId="033BBD43" w14:textId="282712F3" w:rsidR="0033183C" w:rsidRPr="0033183C" w:rsidRDefault="0033183C" w:rsidP="0033183C">
            <w:r w:rsidRPr="0033183C">
              <w:t>Редки</w:t>
            </w:r>
          </w:p>
        </w:tc>
        <w:tc>
          <w:tcPr>
            <w:tcW w:w="3167" w:type="dxa"/>
          </w:tcPr>
          <w:p w14:paraId="25D85AD4" w14:textId="7E0EAAD2" w:rsidR="0033183C" w:rsidRPr="0033183C" w:rsidRDefault="0033183C" w:rsidP="0033183C">
            <w:r w:rsidRPr="0033183C">
              <w:t>Сънливост</w:t>
            </w:r>
          </w:p>
        </w:tc>
      </w:tr>
      <w:tr w:rsidR="0033183C" w14:paraId="79DCFDB5" w14:textId="77777777" w:rsidTr="001B049E">
        <w:tc>
          <w:tcPr>
            <w:tcW w:w="3166" w:type="dxa"/>
            <w:vAlign w:val="bottom"/>
          </w:tcPr>
          <w:p w14:paraId="2F927C78" w14:textId="13BC437C" w:rsidR="0033183C" w:rsidRPr="0033183C" w:rsidRDefault="0033183C" w:rsidP="0033183C">
            <w:r w:rsidRPr="0033183C">
              <w:t>Нарушения на очите</w:t>
            </w:r>
          </w:p>
        </w:tc>
        <w:tc>
          <w:tcPr>
            <w:tcW w:w="3167" w:type="dxa"/>
            <w:vAlign w:val="bottom"/>
          </w:tcPr>
          <w:p w14:paraId="21BDDD8A" w14:textId="3875B600" w:rsidR="0033183C" w:rsidRPr="0033183C" w:rsidRDefault="0033183C" w:rsidP="0033183C">
            <w:r w:rsidRPr="0033183C">
              <w:t>Редки</w:t>
            </w:r>
          </w:p>
        </w:tc>
        <w:tc>
          <w:tcPr>
            <w:tcW w:w="3167" w:type="dxa"/>
            <w:vAlign w:val="bottom"/>
          </w:tcPr>
          <w:p w14:paraId="0BE8B7B9" w14:textId="16D4028E" w:rsidR="0033183C" w:rsidRPr="0033183C" w:rsidRDefault="0033183C" w:rsidP="0033183C">
            <w:r w:rsidRPr="0033183C">
              <w:t>Нарушено зрение</w:t>
            </w:r>
          </w:p>
        </w:tc>
      </w:tr>
      <w:tr w:rsidR="0033183C" w14:paraId="50FC340E" w14:textId="77777777" w:rsidTr="001B049E">
        <w:tc>
          <w:tcPr>
            <w:tcW w:w="3166" w:type="dxa"/>
            <w:vAlign w:val="bottom"/>
          </w:tcPr>
          <w:p w14:paraId="2DFE103A" w14:textId="5E72D248" w:rsidR="0033183C" w:rsidRPr="0033183C" w:rsidRDefault="0033183C" w:rsidP="0033183C">
            <w:r w:rsidRPr="0033183C">
              <w:t>Нарушения на ухото и лабиринта</w:t>
            </w:r>
          </w:p>
        </w:tc>
        <w:tc>
          <w:tcPr>
            <w:tcW w:w="3167" w:type="dxa"/>
          </w:tcPr>
          <w:p w14:paraId="06C14423" w14:textId="75FA060B" w:rsidR="0033183C" w:rsidRPr="0033183C" w:rsidRDefault="0033183C" w:rsidP="0033183C">
            <w:r w:rsidRPr="0033183C">
              <w:t>Нечести</w:t>
            </w:r>
          </w:p>
        </w:tc>
        <w:tc>
          <w:tcPr>
            <w:tcW w:w="3167" w:type="dxa"/>
          </w:tcPr>
          <w:p w14:paraId="3F5F95A2" w14:textId="13C6D7CC" w:rsidR="0033183C" w:rsidRPr="0033183C" w:rsidRDefault="0033183C" w:rsidP="0033183C">
            <w:r w:rsidRPr="0033183C">
              <w:t>Световъртеж</w:t>
            </w:r>
          </w:p>
        </w:tc>
      </w:tr>
      <w:tr w:rsidR="0033183C" w14:paraId="2CFDE9EB" w14:textId="77777777" w:rsidTr="001B049E">
        <w:tc>
          <w:tcPr>
            <w:tcW w:w="3166" w:type="dxa"/>
            <w:vMerge w:val="restart"/>
          </w:tcPr>
          <w:p w14:paraId="7665CC82" w14:textId="4E517411" w:rsidR="0033183C" w:rsidRPr="0033183C" w:rsidRDefault="0033183C" w:rsidP="0033183C">
            <w:r w:rsidRPr="0033183C">
              <w:t>Сърдечни нарушения</w:t>
            </w:r>
          </w:p>
        </w:tc>
        <w:tc>
          <w:tcPr>
            <w:tcW w:w="3167" w:type="dxa"/>
            <w:vAlign w:val="bottom"/>
          </w:tcPr>
          <w:p w14:paraId="3A6385BF" w14:textId="25DE8A8B" w:rsidR="0033183C" w:rsidRPr="0033183C" w:rsidRDefault="0033183C" w:rsidP="0033183C">
            <w:r w:rsidRPr="0033183C">
              <w:t>Нечести</w:t>
            </w:r>
          </w:p>
        </w:tc>
        <w:tc>
          <w:tcPr>
            <w:tcW w:w="3167" w:type="dxa"/>
            <w:vAlign w:val="bottom"/>
          </w:tcPr>
          <w:p w14:paraId="170EC73B" w14:textId="6575AC38" w:rsidR="0033183C" w:rsidRPr="0033183C" w:rsidRDefault="0033183C" w:rsidP="0033183C">
            <w:r w:rsidRPr="0033183C">
              <w:t>Брадикардия</w:t>
            </w:r>
          </w:p>
        </w:tc>
      </w:tr>
      <w:tr w:rsidR="0033183C" w14:paraId="70015071" w14:textId="77777777" w:rsidTr="001B049E">
        <w:tc>
          <w:tcPr>
            <w:tcW w:w="3166" w:type="dxa"/>
            <w:vMerge/>
          </w:tcPr>
          <w:p w14:paraId="24039ACA" w14:textId="77777777" w:rsidR="0033183C" w:rsidRPr="0033183C" w:rsidRDefault="0033183C" w:rsidP="0033183C"/>
        </w:tc>
        <w:tc>
          <w:tcPr>
            <w:tcW w:w="3167" w:type="dxa"/>
            <w:vAlign w:val="bottom"/>
          </w:tcPr>
          <w:p w14:paraId="3955F69F" w14:textId="6E5CC33F" w:rsidR="0033183C" w:rsidRPr="0033183C" w:rsidRDefault="0033183C" w:rsidP="0033183C">
            <w:r w:rsidRPr="0033183C">
              <w:t>Редки</w:t>
            </w:r>
          </w:p>
        </w:tc>
        <w:tc>
          <w:tcPr>
            <w:tcW w:w="3167" w:type="dxa"/>
            <w:vAlign w:val="bottom"/>
          </w:tcPr>
          <w:p w14:paraId="31E3174A" w14:textId="77BB3F18" w:rsidR="0033183C" w:rsidRPr="0033183C" w:rsidRDefault="0033183C" w:rsidP="0033183C">
            <w:r w:rsidRPr="0033183C">
              <w:t>Тахикардия</w:t>
            </w:r>
          </w:p>
        </w:tc>
      </w:tr>
      <w:tr w:rsidR="0033183C" w14:paraId="5258D9D1" w14:textId="77777777" w:rsidTr="0033183C">
        <w:tc>
          <w:tcPr>
            <w:tcW w:w="3166" w:type="dxa"/>
          </w:tcPr>
          <w:p w14:paraId="7D77E1BA" w14:textId="65707B9F" w:rsidR="0033183C" w:rsidRPr="0033183C" w:rsidRDefault="0033183C" w:rsidP="0033183C">
            <w:r w:rsidRPr="0033183C">
              <w:t>Съдови нарушения</w:t>
            </w:r>
          </w:p>
        </w:tc>
        <w:tc>
          <w:tcPr>
            <w:tcW w:w="3167" w:type="dxa"/>
          </w:tcPr>
          <w:p w14:paraId="7B1BA550" w14:textId="27435F00" w:rsidR="0033183C" w:rsidRPr="0033183C" w:rsidRDefault="0033183C" w:rsidP="0033183C">
            <w:r w:rsidRPr="0033183C">
              <w:t>Нечести</w:t>
            </w:r>
          </w:p>
        </w:tc>
        <w:tc>
          <w:tcPr>
            <w:tcW w:w="3167" w:type="dxa"/>
          </w:tcPr>
          <w:p w14:paraId="6EA1DAEE" w14:textId="5EA04D7A" w:rsidR="0033183C" w:rsidRPr="0033183C" w:rsidRDefault="0033183C" w:rsidP="0033183C">
            <w:r w:rsidRPr="0033183C">
              <w:t>Хипотония</w:t>
            </w:r>
            <w:r w:rsidRPr="0033183C">
              <w:rPr>
                <w:vertAlign w:val="superscript"/>
              </w:rPr>
              <w:t>2</w:t>
            </w:r>
            <w:r w:rsidRPr="0033183C">
              <w:t>, ортостатична хйпотония</w:t>
            </w:r>
          </w:p>
        </w:tc>
      </w:tr>
      <w:tr w:rsidR="0033183C" w14:paraId="7D5533AA" w14:textId="77777777" w:rsidTr="008A4AB4">
        <w:tc>
          <w:tcPr>
            <w:tcW w:w="3166" w:type="dxa"/>
            <w:vMerge w:val="restart"/>
          </w:tcPr>
          <w:p w14:paraId="35A8FC6B" w14:textId="26B068F7" w:rsidR="0033183C" w:rsidRPr="0033183C" w:rsidRDefault="0033183C" w:rsidP="0033183C">
            <w:r w:rsidRPr="0033183C">
              <w:t>Респираторни, гръдни и медиастинални нарушения</w:t>
            </w:r>
          </w:p>
        </w:tc>
        <w:tc>
          <w:tcPr>
            <w:tcW w:w="3167" w:type="dxa"/>
            <w:vAlign w:val="bottom"/>
          </w:tcPr>
          <w:p w14:paraId="2EE87861" w14:textId="58B7831A" w:rsidR="0033183C" w:rsidRPr="0033183C" w:rsidRDefault="0033183C" w:rsidP="0033183C">
            <w:r w:rsidRPr="0033183C">
              <w:t>Нечести</w:t>
            </w:r>
          </w:p>
        </w:tc>
        <w:tc>
          <w:tcPr>
            <w:tcW w:w="3167" w:type="dxa"/>
            <w:vAlign w:val="bottom"/>
          </w:tcPr>
          <w:p w14:paraId="275EDD1C" w14:textId="132D5F34" w:rsidR="0033183C" w:rsidRPr="0033183C" w:rsidRDefault="0033183C" w:rsidP="0033183C">
            <w:r w:rsidRPr="0033183C">
              <w:t>Диспнея, кашлица</w:t>
            </w:r>
          </w:p>
        </w:tc>
      </w:tr>
      <w:tr w:rsidR="0033183C" w14:paraId="1AC2F5D6" w14:textId="77777777" w:rsidTr="008A4AB4">
        <w:tc>
          <w:tcPr>
            <w:tcW w:w="3166" w:type="dxa"/>
            <w:vMerge/>
          </w:tcPr>
          <w:p w14:paraId="48ABFF50" w14:textId="77777777" w:rsidR="0033183C" w:rsidRPr="0033183C" w:rsidRDefault="0033183C" w:rsidP="0033183C"/>
        </w:tc>
        <w:tc>
          <w:tcPr>
            <w:tcW w:w="3167" w:type="dxa"/>
          </w:tcPr>
          <w:p w14:paraId="096E71F6" w14:textId="4EAA10CD" w:rsidR="0033183C" w:rsidRPr="0033183C" w:rsidRDefault="0033183C" w:rsidP="0033183C">
            <w:r w:rsidRPr="0033183C">
              <w:t>Много редки</w:t>
            </w:r>
          </w:p>
        </w:tc>
        <w:tc>
          <w:tcPr>
            <w:tcW w:w="3167" w:type="dxa"/>
            <w:vAlign w:val="bottom"/>
          </w:tcPr>
          <w:p w14:paraId="6D16B24C" w14:textId="6D536A2D" w:rsidR="0033183C" w:rsidRPr="0033183C" w:rsidRDefault="0033183C" w:rsidP="0033183C">
            <w:r w:rsidRPr="0033183C">
              <w:t>Интерстициална белодробна болест</w:t>
            </w:r>
            <w:r w:rsidRPr="0033183C">
              <w:rPr>
                <w:vertAlign w:val="superscript"/>
              </w:rPr>
              <w:t>4</w:t>
            </w:r>
          </w:p>
        </w:tc>
      </w:tr>
      <w:tr w:rsidR="0033183C" w14:paraId="50605FA2" w14:textId="77777777" w:rsidTr="008A4AB4">
        <w:tc>
          <w:tcPr>
            <w:tcW w:w="3166" w:type="dxa"/>
            <w:vMerge w:val="restart"/>
          </w:tcPr>
          <w:p w14:paraId="445DDFB2" w14:textId="341D3B28" w:rsidR="0033183C" w:rsidRPr="0033183C" w:rsidRDefault="0033183C" w:rsidP="0033183C">
            <w:r w:rsidRPr="0033183C">
              <w:t>Стомашно-чревни нарушения</w:t>
            </w:r>
          </w:p>
        </w:tc>
        <w:tc>
          <w:tcPr>
            <w:tcW w:w="3167" w:type="dxa"/>
          </w:tcPr>
          <w:p w14:paraId="605B780B" w14:textId="60733C47" w:rsidR="0033183C" w:rsidRPr="0033183C" w:rsidRDefault="0033183C" w:rsidP="0033183C">
            <w:r w:rsidRPr="0033183C">
              <w:t>Нечести</w:t>
            </w:r>
          </w:p>
        </w:tc>
        <w:tc>
          <w:tcPr>
            <w:tcW w:w="3167" w:type="dxa"/>
            <w:vAlign w:val="bottom"/>
          </w:tcPr>
          <w:p w14:paraId="301929AB" w14:textId="3FDC6C53" w:rsidR="0033183C" w:rsidRPr="0033183C" w:rsidRDefault="0033183C" w:rsidP="0033183C">
            <w:r w:rsidRPr="0033183C">
              <w:t>Коремна болка, диария, диспепсия, флатуленция, повръщане</w:t>
            </w:r>
          </w:p>
        </w:tc>
      </w:tr>
      <w:tr w:rsidR="0033183C" w14:paraId="2A9E61DB" w14:textId="77777777" w:rsidTr="008A4AB4">
        <w:tc>
          <w:tcPr>
            <w:tcW w:w="3166" w:type="dxa"/>
            <w:vMerge/>
          </w:tcPr>
          <w:p w14:paraId="1C41B3E1" w14:textId="77777777" w:rsidR="0033183C" w:rsidRPr="0033183C" w:rsidRDefault="0033183C" w:rsidP="0033183C"/>
        </w:tc>
        <w:tc>
          <w:tcPr>
            <w:tcW w:w="3167" w:type="dxa"/>
          </w:tcPr>
          <w:p w14:paraId="1F9E730A" w14:textId="063481A6" w:rsidR="0033183C" w:rsidRPr="0033183C" w:rsidRDefault="0033183C" w:rsidP="0033183C">
            <w:r w:rsidRPr="0033183C">
              <w:t>Редки</w:t>
            </w:r>
          </w:p>
        </w:tc>
        <w:tc>
          <w:tcPr>
            <w:tcW w:w="3167" w:type="dxa"/>
            <w:vAlign w:val="bottom"/>
          </w:tcPr>
          <w:p w14:paraId="1CB0183B" w14:textId="275E7A73" w:rsidR="0033183C" w:rsidRPr="0033183C" w:rsidRDefault="0033183C" w:rsidP="0033183C">
            <w:r w:rsidRPr="0033183C">
              <w:t>Сухота в устата, стомашен дискомфорт, дисгеузия</w:t>
            </w:r>
          </w:p>
        </w:tc>
      </w:tr>
      <w:tr w:rsidR="0033183C" w14:paraId="73902150" w14:textId="77777777" w:rsidTr="008A4AB4">
        <w:tc>
          <w:tcPr>
            <w:tcW w:w="3166" w:type="dxa"/>
          </w:tcPr>
          <w:p w14:paraId="191CE0E8" w14:textId="6E8C49A4" w:rsidR="0033183C" w:rsidRPr="0033183C" w:rsidRDefault="0033183C" w:rsidP="0033183C">
            <w:r w:rsidRPr="0033183C">
              <w:t>Хепатобилиарни нарушения</w:t>
            </w:r>
          </w:p>
        </w:tc>
        <w:tc>
          <w:tcPr>
            <w:tcW w:w="3167" w:type="dxa"/>
          </w:tcPr>
          <w:p w14:paraId="03ECEFAA" w14:textId="16F21DCE" w:rsidR="0033183C" w:rsidRPr="0033183C" w:rsidRDefault="0033183C" w:rsidP="0033183C">
            <w:r w:rsidRPr="0033183C">
              <w:t>Редки</w:t>
            </w:r>
          </w:p>
        </w:tc>
        <w:tc>
          <w:tcPr>
            <w:tcW w:w="3167" w:type="dxa"/>
            <w:vAlign w:val="bottom"/>
          </w:tcPr>
          <w:p w14:paraId="33B2F5E5" w14:textId="616E19D0" w:rsidR="0033183C" w:rsidRPr="0033183C" w:rsidRDefault="0033183C" w:rsidP="0033183C">
            <w:r w:rsidRPr="0033183C">
              <w:t>Нарушение на чернодробната функция/чернодробно нарушение</w:t>
            </w:r>
            <w:r w:rsidRPr="0033183C">
              <w:rPr>
                <w:vertAlign w:val="superscript"/>
              </w:rPr>
              <w:t>3</w:t>
            </w:r>
          </w:p>
        </w:tc>
      </w:tr>
      <w:tr w:rsidR="0033183C" w14:paraId="7A30754C" w14:textId="77777777" w:rsidTr="008A4AB4">
        <w:tc>
          <w:tcPr>
            <w:tcW w:w="3166" w:type="dxa"/>
            <w:vMerge w:val="restart"/>
          </w:tcPr>
          <w:p w14:paraId="7B5AF312" w14:textId="57E12052" w:rsidR="0033183C" w:rsidRPr="0033183C" w:rsidRDefault="0033183C" w:rsidP="0033183C">
            <w:r w:rsidRPr="0033183C">
              <w:t>Нарушения на кожата и подкожната тъкан</w:t>
            </w:r>
          </w:p>
        </w:tc>
        <w:tc>
          <w:tcPr>
            <w:tcW w:w="3167" w:type="dxa"/>
          </w:tcPr>
          <w:p w14:paraId="6B2BE0DD" w14:textId="72A1C8DF" w:rsidR="0033183C" w:rsidRPr="0033183C" w:rsidRDefault="0033183C" w:rsidP="0033183C">
            <w:r w:rsidRPr="0033183C">
              <w:t>Нечести</w:t>
            </w:r>
          </w:p>
        </w:tc>
        <w:tc>
          <w:tcPr>
            <w:tcW w:w="3167" w:type="dxa"/>
            <w:vAlign w:val="bottom"/>
          </w:tcPr>
          <w:p w14:paraId="0D5E6AB6" w14:textId="43A4001B" w:rsidR="0033183C" w:rsidRPr="0033183C" w:rsidRDefault="0033183C" w:rsidP="0033183C">
            <w:r w:rsidRPr="0033183C">
              <w:t>Пруритус, хиперхидроза, обрив</w:t>
            </w:r>
          </w:p>
        </w:tc>
      </w:tr>
      <w:tr w:rsidR="0033183C" w14:paraId="12698695" w14:textId="77777777" w:rsidTr="008A4AB4">
        <w:tc>
          <w:tcPr>
            <w:tcW w:w="3166" w:type="dxa"/>
            <w:vMerge/>
          </w:tcPr>
          <w:p w14:paraId="3010D2C1" w14:textId="77777777" w:rsidR="0033183C" w:rsidRPr="0033183C" w:rsidRDefault="0033183C" w:rsidP="0033183C"/>
        </w:tc>
        <w:tc>
          <w:tcPr>
            <w:tcW w:w="3167" w:type="dxa"/>
          </w:tcPr>
          <w:p w14:paraId="1072108E" w14:textId="05A4F7A2" w:rsidR="0033183C" w:rsidRPr="0033183C" w:rsidRDefault="0033183C" w:rsidP="0033183C">
            <w:r w:rsidRPr="0033183C">
              <w:t>Редки</w:t>
            </w:r>
          </w:p>
        </w:tc>
        <w:tc>
          <w:tcPr>
            <w:tcW w:w="3167" w:type="dxa"/>
            <w:vAlign w:val="bottom"/>
          </w:tcPr>
          <w:p w14:paraId="02F1D448" w14:textId="24BCC3F1" w:rsidR="0033183C" w:rsidRPr="0033183C" w:rsidRDefault="0033183C" w:rsidP="0033183C">
            <w:r w:rsidRPr="0033183C">
              <w:t xml:space="preserve">Ангиоедем (също и с фатален изход), екзема, </w:t>
            </w:r>
            <w:r w:rsidRPr="0033183C">
              <w:lastRenderedPageBreak/>
              <w:t>еритема, уртикария, лекарствен обрив, токсичен кожен обрив</w:t>
            </w:r>
          </w:p>
        </w:tc>
      </w:tr>
      <w:tr w:rsidR="0033183C" w14:paraId="44CD948F" w14:textId="77777777" w:rsidTr="000457DF">
        <w:tc>
          <w:tcPr>
            <w:tcW w:w="3166" w:type="dxa"/>
            <w:vMerge w:val="restart"/>
          </w:tcPr>
          <w:p w14:paraId="755CACFD" w14:textId="3D208835" w:rsidR="0033183C" w:rsidRPr="0033183C" w:rsidRDefault="0033183C" w:rsidP="0033183C">
            <w:r w:rsidRPr="0033183C">
              <w:lastRenderedPageBreak/>
              <w:t>Нарушения на мускулно- скелетната система и съединителната тъкан</w:t>
            </w:r>
          </w:p>
        </w:tc>
        <w:tc>
          <w:tcPr>
            <w:tcW w:w="3167" w:type="dxa"/>
          </w:tcPr>
          <w:p w14:paraId="7F6552DA" w14:textId="241624EF" w:rsidR="0033183C" w:rsidRPr="0033183C" w:rsidRDefault="0033183C" w:rsidP="0033183C">
            <w:r w:rsidRPr="0033183C">
              <w:t>Нечести</w:t>
            </w:r>
          </w:p>
        </w:tc>
        <w:tc>
          <w:tcPr>
            <w:tcW w:w="3167" w:type="dxa"/>
            <w:vAlign w:val="bottom"/>
          </w:tcPr>
          <w:p w14:paraId="6D287997" w14:textId="0093A9D6" w:rsidR="0033183C" w:rsidRPr="0033183C" w:rsidRDefault="0033183C" w:rsidP="0033183C">
            <w:r w:rsidRPr="0033183C">
              <w:t>Болки в гърба (напр. по хода на седалищния нерв), мускулни спазми, миалгия</w:t>
            </w:r>
          </w:p>
        </w:tc>
      </w:tr>
      <w:tr w:rsidR="0033183C" w14:paraId="33A756C5" w14:textId="77777777" w:rsidTr="000457DF">
        <w:tc>
          <w:tcPr>
            <w:tcW w:w="3166" w:type="dxa"/>
            <w:vMerge/>
          </w:tcPr>
          <w:p w14:paraId="1DC911C9" w14:textId="77777777" w:rsidR="0033183C" w:rsidRPr="0033183C" w:rsidRDefault="0033183C" w:rsidP="0033183C"/>
        </w:tc>
        <w:tc>
          <w:tcPr>
            <w:tcW w:w="3167" w:type="dxa"/>
          </w:tcPr>
          <w:p w14:paraId="45BC0BB5" w14:textId="3BE73562" w:rsidR="0033183C" w:rsidRPr="0033183C" w:rsidRDefault="0033183C" w:rsidP="0033183C">
            <w:r w:rsidRPr="0033183C">
              <w:t>Редки</w:t>
            </w:r>
          </w:p>
        </w:tc>
        <w:tc>
          <w:tcPr>
            <w:tcW w:w="3167" w:type="dxa"/>
            <w:vAlign w:val="bottom"/>
          </w:tcPr>
          <w:p w14:paraId="5A1A07BA" w14:textId="2FF7C4C0" w:rsidR="0033183C" w:rsidRPr="0033183C" w:rsidRDefault="0033183C" w:rsidP="0033183C">
            <w:r w:rsidRPr="0033183C">
              <w:t>Артралгия, болки в крайниците, болки в сухожилията (симптоми подобни на тендинит)</w:t>
            </w:r>
          </w:p>
        </w:tc>
      </w:tr>
      <w:tr w:rsidR="0033183C" w14:paraId="09F784D5" w14:textId="77777777" w:rsidTr="000457DF">
        <w:tc>
          <w:tcPr>
            <w:tcW w:w="3166" w:type="dxa"/>
            <w:vMerge w:val="restart"/>
          </w:tcPr>
          <w:p w14:paraId="00031622" w14:textId="77777777" w:rsidR="0033183C" w:rsidRPr="0033183C" w:rsidRDefault="0033183C" w:rsidP="0033183C">
            <w:r w:rsidRPr="0033183C">
              <w:t>Нарушения на бъбреците и пикочните пътища</w:t>
            </w:r>
          </w:p>
          <w:p w14:paraId="35B88222" w14:textId="1174D7FE" w:rsidR="0033183C" w:rsidRPr="0033183C" w:rsidRDefault="0033183C" w:rsidP="0033183C">
            <w:r w:rsidRPr="0033183C">
              <w:t>Общи нарушения и ефекти на мястото на приложение</w:t>
            </w:r>
          </w:p>
        </w:tc>
        <w:tc>
          <w:tcPr>
            <w:tcW w:w="3167" w:type="dxa"/>
          </w:tcPr>
          <w:p w14:paraId="02651F88" w14:textId="73F7491E" w:rsidR="0033183C" w:rsidRPr="0033183C" w:rsidRDefault="0033183C" w:rsidP="0033183C">
            <w:r w:rsidRPr="0033183C">
              <w:t>Нечести</w:t>
            </w:r>
          </w:p>
        </w:tc>
        <w:tc>
          <w:tcPr>
            <w:tcW w:w="3167" w:type="dxa"/>
            <w:vAlign w:val="bottom"/>
          </w:tcPr>
          <w:p w14:paraId="7C775B53" w14:textId="70BCF1AA" w:rsidR="0033183C" w:rsidRPr="0033183C" w:rsidRDefault="0033183C" w:rsidP="0033183C">
            <w:r w:rsidRPr="0033183C">
              <w:t>Бъбречно увреждане, включително остра бъбречна недостатъчност</w:t>
            </w:r>
          </w:p>
        </w:tc>
      </w:tr>
      <w:tr w:rsidR="0033183C" w14:paraId="54348D1F" w14:textId="77777777" w:rsidTr="0033183C">
        <w:tc>
          <w:tcPr>
            <w:tcW w:w="3166" w:type="dxa"/>
            <w:vMerge/>
          </w:tcPr>
          <w:p w14:paraId="77AF855D" w14:textId="77777777" w:rsidR="0033183C" w:rsidRPr="0033183C" w:rsidRDefault="0033183C" w:rsidP="0033183C"/>
        </w:tc>
        <w:tc>
          <w:tcPr>
            <w:tcW w:w="3167" w:type="dxa"/>
          </w:tcPr>
          <w:p w14:paraId="239C4483" w14:textId="4A8EE33F" w:rsidR="0033183C" w:rsidRPr="0033183C" w:rsidRDefault="0033183C" w:rsidP="0033183C">
            <w:r w:rsidRPr="0033183C">
              <w:t>Нечести</w:t>
            </w:r>
          </w:p>
        </w:tc>
        <w:tc>
          <w:tcPr>
            <w:tcW w:w="3167" w:type="dxa"/>
          </w:tcPr>
          <w:p w14:paraId="3CFD15A7" w14:textId="66B0C37C" w:rsidR="0033183C" w:rsidRPr="0033183C" w:rsidRDefault="0033183C" w:rsidP="0033183C">
            <w:r w:rsidRPr="0033183C">
              <w:t>Болка в гърдите, астения (слабост)</w:t>
            </w:r>
          </w:p>
        </w:tc>
      </w:tr>
      <w:tr w:rsidR="0033183C" w14:paraId="23EFBE07" w14:textId="77777777" w:rsidTr="000457DF">
        <w:tc>
          <w:tcPr>
            <w:tcW w:w="3166" w:type="dxa"/>
            <w:vMerge w:val="restart"/>
          </w:tcPr>
          <w:p w14:paraId="7F16B5D9" w14:textId="26485B3E" w:rsidR="0033183C" w:rsidRPr="0033183C" w:rsidRDefault="0033183C" w:rsidP="0033183C">
            <w:r w:rsidRPr="0033183C">
              <w:t>Нарушения на мускулно- скелетната система и съединителната тъкан</w:t>
            </w:r>
          </w:p>
        </w:tc>
        <w:tc>
          <w:tcPr>
            <w:tcW w:w="3167" w:type="dxa"/>
          </w:tcPr>
          <w:p w14:paraId="254B5300" w14:textId="40E12247" w:rsidR="0033183C" w:rsidRPr="0033183C" w:rsidRDefault="0033183C" w:rsidP="0033183C">
            <w:r w:rsidRPr="0033183C">
              <w:t>Нечести</w:t>
            </w:r>
          </w:p>
        </w:tc>
        <w:tc>
          <w:tcPr>
            <w:tcW w:w="3167" w:type="dxa"/>
            <w:vAlign w:val="bottom"/>
          </w:tcPr>
          <w:p w14:paraId="55BBE291" w14:textId="17ECE5F2" w:rsidR="0033183C" w:rsidRPr="0033183C" w:rsidRDefault="0033183C" w:rsidP="0033183C">
            <w:r w:rsidRPr="0033183C">
              <w:t>Болки в гърба (напр. по хода на седалищния нерв), мускулни спазми, миалгия</w:t>
            </w:r>
          </w:p>
        </w:tc>
      </w:tr>
      <w:tr w:rsidR="0033183C" w14:paraId="34C709EC" w14:textId="77777777" w:rsidTr="0033183C">
        <w:tc>
          <w:tcPr>
            <w:tcW w:w="3166" w:type="dxa"/>
            <w:vMerge/>
          </w:tcPr>
          <w:p w14:paraId="3F59D4DB" w14:textId="77777777" w:rsidR="0033183C" w:rsidRDefault="0033183C" w:rsidP="0033183C"/>
        </w:tc>
        <w:tc>
          <w:tcPr>
            <w:tcW w:w="3167" w:type="dxa"/>
          </w:tcPr>
          <w:p w14:paraId="7447A5E1" w14:textId="2A158564" w:rsidR="0033183C" w:rsidRDefault="0033183C" w:rsidP="0033183C">
            <w:r>
              <w:t>Редки</w:t>
            </w:r>
          </w:p>
        </w:tc>
        <w:tc>
          <w:tcPr>
            <w:tcW w:w="3167" w:type="dxa"/>
          </w:tcPr>
          <w:p w14:paraId="7BB39E26" w14:textId="16AB2705" w:rsidR="0033183C" w:rsidRDefault="0033183C" w:rsidP="0033183C">
            <w:r>
              <w:t>Грипоподобно заболяване</w:t>
            </w:r>
          </w:p>
        </w:tc>
      </w:tr>
      <w:tr w:rsidR="0033183C" w14:paraId="27F5DD2A" w14:textId="77777777" w:rsidTr="0033183C">
        <w:tc>
          <w:tcPr>
            <w:tcW w:w="3166" w:type="dxa"/>
            <w:vMerge w:val="restart"/>
          </w:tcPr>
          <w:p w14:paraId="52D46EC9" w14:textId="391AD714" w:rsidR="0033183C" w:rsidRPr="0033183C" w:rsidRDefault="0033183C" w:rsidP="0033183C">
            <w:r w:rsidRPr="0033183C">
              <w:t>Изследвания</w:t>
            </w:r>
          </w:p>
        </w:tc>
        <w:tc>
          <w:tcPr>
            <w:tcW w:w="3167" w:type="dxa"/>
          </w:tcPr>
          <w:p w14:paraId="3AAAFCDF" w14:textId="55B9DF33" w:rsidR="0033183C" w:rsidRPr="0033183C" w:rsidRDefault="0033183C" w:rsidP="0033183C">
            <w:r w:rsidRPr="0033183C">
              <w:t>Нечести</w:t>
            </w:r>
          </w:p>
        </w:tc>
        <w:tc>
          <w:tcPr>
            <w:tcW w:w="3167" w:type="dxa"/>
          </w:tcPr>
          <w:p w14:paraId="4CB3C769" w14:textId="56B48590" w:rsidR="0033183C" w:rsidRPr="0033183C" w:rsidRDefault="0033183C" w:rsidP="0033183C">
            <w:r w:rsidRPr="0033183C">
              <w:t>Повишен серумен креатинин</w:t>
            </w:r>
          </w:p>
        </w:tc>
      </w:tr>
      <w:tr w:rsidR="0033183C" w14:paraId="1CBE54A7" w14:textId="77777777" w:rsidTr="0033183C">
        <w:tc>
          <w:tcPr>
            <w:tcW w:w="3166" w:type="dxa"/>
            <w:vMerge/>
          </w:tcPr>
          <w:p w14:paraId="4C619665" w14:textId="77777777" w:rsidR="0033183C" w:rsidRPr="0033183C" w:rsidRDefault="0033183C" w:rsidP="0033183C"/>
        </w:tc>
        <w:tc>
          <w:tcPr>
            <w:tcW w:w="3167" w:type="dxa"/>
          </w:tcPr>
          <w:p w14:paraId="56D38D09" w14:textId="6674BD93" w:rsidR="0033183C" w:rsidRPr="0033183C" w:rsidRDefault="0033183C" w:rsidP="0033183C">
            <w:r w:rsidRPr="0033183C">
              <w:t>Редки</w:t>
            </w:r>
          </w:p>
        </w:tc>
        <w:tc>
          <w:tcPr>
            <w:tcW w:w="3167" w:type="dxa"/>
          </w:tcPr>
          <w:p w14:paraId="0CD68523" w14:textId="2799AF8F" w:rsidR="0033183C" w:rsidRPr="0033183C" w:rsidRDefault="0033183C" w:rsidP="0033183C">
            <w:r w:rsidRPr="0033183C">
              <w:t>Понижен хемоглобин, повишена пикочна киселина в кръвта, повишени чернодробни ензими, повишена креатинфосфокиназа в кръвта</w:t>
            </w:r>
          </w:p>
        </w:tc>
      </w:tr>
    </w:tbl>
    <w:p w14:paraId="028E7C01" w14:textId="77777777" w:rsidR="0033183C" w:rsidRDefault="0033183C" w:rsidP="0033183C">
      <w:pPr>
        <w:spacing w:line="240" w:lineRule="auto"/>
        <w:rPr>
          <w:rFonts w:ascii="Times New Roman" w:eastAsia="Times New Roman" w:hAnsi="Times New Roman" w:cs="Times New Roman"/>
          <w:color w:val="000000"/>
          <w:sz w:val="20"/>
          <w:szCs w:val="20"/>
          <w:vertAlign w:val="superscript"/>
          <w:lang w:eastAsia="bg-BG"/>
        </w:rPr>
      </w:pPr>
    </w:p>
    <w:p w14:paraId="6E7A8CB8" w14:textId="0DB20C4C" w:rsidR="0033183C" w:rsidRPr="0033183C" w:rsidRDefault="0033183C" w:rsidP="0033183C">
      <w:pPr>
        <w:spacing w:line="240" w:lineRule="auto"/>
        <w:rPr>
          <w:rFonts w:eastAsia="Times New Roman" w:cs="Arial"/>
          <w:lang w:eastAsia="bg-BG"/>
        </w:rPr>
      </w:pPr>
      <w:r w:rsidRPr="0033183C">
        <w:rPr>
          <w:rFonts w:eastAsia="Times New Roman" w:cs="Arial"/>
          <w:color w:val="000000"/>
          <w:vertAlign w:val="superscript"/>
          <w:lang w:eastAsia="bg-BG"/>
        </w:rPr>
        <w:t>1,2,3,4</w:t>
      </w:r>
      <w:r w:rsidRPr="0033183C">
        <w:rPr>
          <w:rFonts w:eastAsia="Times New Roman" w:cs="Arial"/>
          <w:color w:val="000000"/>
          <w:lang w:eastAsia="bg-BG"/>
        </w:rPr>
        <w:t>: допълнително описание, моля вижте подточка “Описание на избрани нежелани реакции”</w:t>
      </w:r>
    </w:p>
    <w:p w14:paraId="10C96024" w14:textId="77777777" w:rsidR="0033183C" w:rsidRPr="0033183C" w:rsidRDefault="0033183C" w:rsidP="0033183C">
      <w:pPr>
        <w:spacing w:line="240" w:lineRule="auto"/>
        <w:rPr>
          <w:rFonts w:eastAsia="Times New Roman" w:cs="Arial"/>
          <w:color w:val="000000"/>
          <w:u w:val="single"/>
          <w:lang w:eastAsia="bg-BG"/>
        </w:rPr>
      </w:pPr>
    </w:p>
    <w:p w14:paraId="6E757257" w14:textId="2F37F547" w:rsidR="0033183C" w:rsidRPr="0033183C" w:rsidRDefault="0033183C" w:rsidP="0033183C">
      <w:pPr>
        <w:spacing w:line="240" w:lineRule="auto"/>
        <w:rPr>
          <w:rFonts w:eastAsia="Times New Roman" w:cs="Arial"/>
          <w:lang w:eastAsia="bg-BG"/>
        </w:rPr>
      </w:pPr>
      <w:r w:rsidRPr="0033183C">
        <w:rPr>
          <w:rFonts w:eastAsia="Times New Roman" w:cs="Arial"/>
          <w:color w:val="000000"/>
          <w:u w:val="single"/>
          <w:lang w:eastAsia="bg-BG"/>
        </w:rPr>
        <w:t>Описание на избрани нежелани реакции</w:t>
      </w:r>
    </w:p>
    <w:p w14:paraId="1CE4B2DE" w14:textId="77777777" w:rsidR="0033183C" w:rsidRPr="0033183C" w:rsidRDefault="0033183C" w:rsidP="0033183C">
      <w:pPr>
        <w:spacing w:line="240" w:lineRule="auto"/>
        <w:rPr>
          <w:rFonts w:eastAsia="Times New Roman" w:cs="Arial"/>
          <w:i/>
          <w:iCs/>
          <w:color w:val="000000"/>
          <w:lang w:eastAsia="bg-BG"/>
        </w:rPr>
      </w:pPr>
    </w:p>
    <w:p w14:paraId="2AB06B6B" w14:textId="187A0A2A" w:rsidR="0033183C" w:rsidRPr="0033183C" w:rsidRDefault="0033183C" w:rsidP="0033183C">
      <w:pPr>
        <w:spacing w:line="240" w:lineRule="auto"/>
        <w:rPr>
          <w:rFonts w:eastAsia="Times New Roman" w:cs="Arial"/>
          <w:lang w:eastAsia="bg-BG"/>
        </w:rPr>
      </w:pPr>
      <w:r w:rsidRPr="0033183C">
        <w:rPr>
          <w:rFonts w:eastAsia="Times New Roman" w:cs="Arial"/>
          <w:i/>
          <w:iCs/>
          <w:color w:val="000000"/>
          <w:lang w:eastAsia="bg-BG"/>
        </w:rPr>
        <w:t>Сепсис</w:t>
      </w:r>
    </w:p>
    <w:p w14:paraId="4D15AC6E"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В проучването </w:t>
      </w:r>
      <w:proofErr w:type="spellStart"/>
      <w:r w:rsidRPr="0033183C">
        <w:rPr>
          <w:rFonts w:eastAsia="Times New Roman" w:cs="Arial"/>
          <w:color w:val="000000"/>
          <w:lang w:val="en-US"/>
        </w:rPr>
        <w:t>PRoFESS</w:t>
      </w:r>
      <w:proofErr w:type="spellEnd"/>
      <w:r w:rsidRPr="0033183C">
        <w:rPr>
          <w:rFonts w:eastAsia="Times New Roman" w:cs="Arial"/>
          <w:color w:val="000000"/>
          <w:lang w:val="en-US"/>
        </w:rPr>
        <w:t xml:space="preserve"> </w:t>
      </w:r>
      <w:r w:rsidRPr="0033183C">
        <w:rPr>
          <w:rFonts w:eastAsia="Times New Roman" w:cs="Arial"/>
          <w:color w:val="000000"/>
          <w:lang w:eastAsia="bg-BG"/>
        </w:rPr>
        <w:t>е наблюдавана повишена честота на възникване на сепсис при прием на телмисартан в сравнение с плацебо. Събитието може да е случайно открито или да е свързано с неизвестен досега механизъм (вж. точка 5.1).</w:t>
      </w:r>
    </w:p>
    <w:p w14:paraId="26D5A607" w14:textId="77777777" w:rsidR="0033183C" w:rsidRPr="0033183C" w:rsidRDefault="0033183C" w:rsidP="0033183C">
      <w:pPr>
        <w:spacing w:line="240" w:lineRule="auto"/>
        <w:rPr>
          <w:rFonts w:eastAsia="Times New Roman" w:cs="Arial"/>
          <w:i/>
          <w:iCs/>
          <w:color w:val="000000"/>
          <w:lang w:eastAsia="bg-BG"/>
        </w:rPr>
      </w:pPr>
    </w:p>
    <w:p w14:paraId="5384D984" w14:textId="0CAEBEAD" w:rsidR="0033183C" w:rsidRPr="0033183C" w:rsidRDefault="0033183C" w:rsidP="0033183C">
      <w:pPr>
        <w:spacing w:line="240" w:lineRule="auto"/>
        <w:rPr>
          <w:rFonts w:eastAsia="Times New Roman" w:cs="Arial"/>
          <w:lang w:eastAsia="bg-BG"/>
        </w:rPr>
      </w:pPr>
      <w:r w:rsidRPr="0033183C">
        <w:rPr>
          <w:rFonts w:eastAsia="Times New Roman" w:cs="Arial"/>
          <w:i/>
          <w:iCs/>
          <w:color w:val="000000"/>
          <w:lang w:eastAsia="bg-BG"/>
        </w:rPr>
        <w:t>Хипотония</w:t>
      </w:r>
    </w:p>
    <w:p w14:paraId="2A9989D3"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Тази нежелана реакция е съобщена като честа при пациенти с контролирано кръвно налягане, които са лекувани с телмисартан за намаляване на сърдечно-съдовата заболеваемост в допълнение към стандартните грижи.</w:t>
      </w:r>
    </w:p>
    <w:p w14:paraId="0D32C37C" w14:textId="77777777" w:rsidR="0033183C" w:rsidRPr="0033183C" w:rsidRDefault="0033183C" w:rsidP="0033183C">
      <w:pPr>
        <w:spacing w:line="240" w:lineRule="auto"/>
        <w:rPr>
          <w:rFonts w:eastAsia="Times New Roman" w:cs="Arial"/>
          <w:i/>
          <w:iCs/>
          <w:color w:val="000000"/>
          <w:lang w:eastAsia="bg-BG"/>
        </w:rPr>
      </w:pPr>
    </w:p>
    <w:p w14:paraId="5F493A91" w14:textId="6D4F1057" w:rsidR="0033183C" w:rsidRPr="0033183C" w:rsidRDefault="0033183C" w:rsidP="0033183C">
      <w:pPr>
        <w:spacing w:line="240" w:lineRule="auto"/>
        <w:rPr>
          <w:rFonts w:eastAsia="Times New Roman" w:cs="Arial"/>
          <w:lang w:eastAsia="bg-BG"/>
        </w:rPr>
      </w:pPr>
      <w:r w:rsidRPr="0033183C">
        <w:rPr>
          <w:rFonts w:eastAsia="Times New Roman" w:cs="Arial"/>
          <w:i/>
          <w:iCs/>
          <w:color w:val="000000"/>
          <w:lang w:eastAsia="bg-BG"/>
        </w:rPr>
        <w:t>Нарушение на чернодробната функция/чернодробно увреждане</w:t>
      </w:r>
    </w:p>
    <w:p w14:paraId="1758C17E"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Повечето случаи на нарушение на чернодробната функция/чернодробно увреждане от пост- маркетингови наблюдения са установени при пациенти от японски произход. Тези нежелани реакции по-често се срещат при пациенти от японски произход.</w:t>
      </w:r>
    </w:p>
    <w:p w14:paraId="6C0BFFDA" w14:textId="77777777" w:rsidR="0033183C" w:rsidRPr="0033183C" w:rsidRDefault="0033183C" w:rsidP="0033183C">
      <w:pPr>
        <w:spacing w:line="240" w:lineRule="auto"/>
        <w:rPr>
          <w:rFonts w:eastAsia="Times New Roman" w:cs="Arial"/>
          <w:i/>
          <w:iCs/>
          <w:color w:val="000000"/>
          <w:lang w:eastAsia="bg-BG"/>
        </w:rPr>
      </w:pPr>
    </w:p>
    <w:p w14:paraId="4303B911" w14:textId="6F82127C" w:rsidR="0033183C" w:rsidRPr="0033183C" w:rsidRDefault="0033183C" w:rsidP="0033183C">
      <w:pPr>
        <w:spacing w:line="240" w:lineRule="auto"/>
        <w:rPr>
          <w:rFonts w:eastAsia="Times New Roman" w:cs="Arial"/>
          <w:lang w:eastAsia="bg-BG"/>
        </w:rPr>
      </w:pPr>
      <w:r w:rsidRPr="0033183C">
        <w:rPr>
          <w:rFonts w:eastAsia="Times New Roman" w:cs="Arial"/>
          <w:i/>
          <w:iCs/>
          <w:color w:val="000000"/>
          <w:lang w:eastAsia="bg-BG"/>
        </w:rPr>
        <w:lastRenderedPageBreak/>
        <w:t>Интерстициадна белодробна болест</w:t>
      </w:r>
    </w:p>
    <w:p w14:paraId="00DFA728"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Случаи на интерстициадна белодробна болест са съобщени от пост-маркетинговия опит във времева връзка с приема на телмисартан. Въпреки това, не е установена причинно-следствена връзка.</w:t>
      </w:r>
    </w:p>
    <w:p w14:paraId="31EC0603" w14:textId="77777777" w:rsidR="0033183C" w:rsidRPr="0033183C" w:rsidRDefault="0033183C" w:rsidP="0033183C">
      <w:pPr>
        <w:spacing w:line="240" w:lineRule="auto"/>
        <w:rPr>
          <w:rFonts w:eastAsia="Times New Roman" w:cs="Arial"/>
          <w:color w:val="000000"/>
          <w:u w:val="single"/>
          <w:lang w:eastAsia="bg-BG"/>
        </w:rPr>
      </w:pPr>
    </w:p>
    <w:p w14:paraId="1F1C652D" w14:textId="2363421D" w:rsidR="0033183C" w:rsidRPr="0033183C" w:rsidRDefault="0033183C" w:rsidP="0033183C">
      <w:pPr>
        <w:spacing w:line="240" w:lineRule="auto"/>
        <w:rPr>
          <w:rFonts w:eastAsia="Times New Roman" w:cs="Arial"/>
          <w:lang w:eastAsia="bg-BG"/>
        </w:rPr>
      </w:pPr>
      <w:r w:rsidRPr="0033183C">
        <w:rPr>
          <w:rFonts w:eastAsia="Times New Roman" w:cs="Arial"/>
          <w:color w:val="000000"/>
          <w:u w:val="single"/>
          <w:lang w:eastAsia="bg-BG"/>
        </w:rPr>
        <w:t>Съобщаване на подозирани нежелани реакции</w:t>
      </w:r>
    </w:p>
    <w:p w14:paraId="53D27C3A" w14:textId="77777777" w:rsidR="0033183C" w:rsidRPr="0033183C" w:rsidRDefault="0033183C" w:rsidP="0033183C">
      <w:pPr>
        <w:spacing w:line="240" w:lineRule="auto"/>
        <w:rPr>
          <w:rFonts w:eastAsia="Times New Roman" w:cs="Arial"/>
          <w:color w:val="000000"/>
          <w:lang w:eastAsia="bg-BG"/>
        </w:rPr>
      </w:pPr>
      <w:r w:rsidRPr="0033183C">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w:t>
      </w:r>
    </w:p>
    <w:p w14:paraId="62506C25" w14:textId="77777777" w:rsidR="0033183C" w:rsidRPr="0033183C" w:rsidRDefault="0033183C" w:rsidP="0033183C">
      <w:pPr>
        <w:spacing w:line="240" w:lineRule="auto"/>
        <w:rPr>
          <w:rFonts w:eastAsia="Times New Roman" w:cs="Arial"/>
          <w:color w:val="000000"/>
          <w:lang w:eastAsia="bg-BG"/>
        </w:rPr>
      </w:pPr>
      <w:r w:rsidRPr="0033183C">
        <w:rPr>
          <w:rFonts w:eastAsia="Times New Roman" w:cs="Arial"/>
          <w:color w:val="000000"/>
          <w:lang w:eastAsia="bg-BG"/>
        </w:rPr>
        <w:t xml:space="preserve">ул. „Дамян Груев” № 8 </w:t>
      </w:r>
    </w:p>
    <w:p w14:paraId="1F62394E" w14:textId="4CF4B1A9"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1303 София</w:t>
      </w:r>
    </w:p>
    <w:p w14:paraId="163D2F08"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Тел.:+359 2 8903417</w:t>
      </w:r>
    </w:p>
    <w:p w14:paraId="4441FEE4"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уебсайт: </w:t>
      </w:r>
      <w:hyperlink r:id="rId5" w:history="1">
        <w:r w:rsidRPr="0033183C">
          <w:rPr>
            <w:rFonts w:eastAsia="Times New Roman" w:cs="Arial"/>
            <w:color w:val="000000"/>
            <w:lang w:val="en-US"/>
          </w:rPr>
          <w:t>www.bda.bg</w:t>
        </w:r>
      </w:hyperlink>
    </w:p>
    <w:p w14:paraId="4B9511B8" w14:textId="77777777" w:rsidR="0033183C" w:rsidRPr="0033183C" w:rsidRDefault="0033183C" w:rsidP="0033183C"/>
    <w:p w14:paraId="4A5904B1" w14:textId="34832611" w:rsidR="00EE6C97" w:rsidRDefault="002C50EE" w:rsidP="00A93499">
      <w:pPr>
        <w:pStyle w:val="Heading2"/>
      </w:pPr>
      <w:r>
        <w:t>4.9. Предозиране</w:t>
      </w:r>
    </w:p>
    <w:p w14:paraId="265838D0" w14:textId="218846DA" w:rsidR="0033183C" w:rsidRDefault="0033183C" w:rsidP="0033183C"/>
    <w:p w14:paraId="76B2BF3E"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Съществува ограничена информация по отношение на предозирането при хора.</w:t>
      </w:r>
    </w:p>
    <w:p w14:paraId="6161E6D0" w14:textId="77777777" w:rsidR="0033183C" w:rsidRPr="0033183C" w:rsidRDefault="0033183C" w:rsidP="0033183C">
      <w:pPr>
        <w:spacing w:line="240" w:lineRule="auto"/>
        <w:rPr>
          <w:rFonts w:eastAsia="Times New Roman" w:cs="Arial"/>
          <w:color w:val="000000"/>
          <w:u w:val="single"/>
          <w:lang w:eastAsia="bg-BG"/>
        </w:rPr>
      </w:pPr>
    </w:p>
    <w:p w14:paraId="425FA017" w14:textId="140A1204" w:rsidR="0033183C" w:rsidRPr="0033183C" w:rsidRDefault="0033183C" w:rsidP="0033183C">
      <w:pPr>
        <w:pStyle w:val="Heading3"/>
        <w:rPr>
          <w:rFonts w:eastAsia="Times New Roman"/>
          <w:sz w:val="28"/>
          <w:szCs w:val="28"/>
          <w:u w:val="single"/>
          <w:lang w:eastAsia="bg-BG"/>
        </w:rPr>
      </w:pPr>
      <w:r w:rsidRPr="0033183C">
        <w:rPr>
          <w:rFonts w:eastAsia="Times New Roman"/>
          <w:u w:val="single"/>
          <w:lang w:eastAsia="bg-BG"/>
        </w:rPr>
        <w:t>Симптоми</w:t>
      </w:r>
    </w:p>
    <w:p w14:paraId="698D61DA"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Най-изразените прояви на предозиране с телмисартан са хипотония и тахикардия. Съобщават се също така и брадикардия, замаяност, повишаване на серумния креатинин и остра бъбречна</w:t>
      </w:r>
      <w:r w:rsidRPr="0033183C">
        <w:rPr>
          <w:rFonts w:eastAsia="Times New Roman" w:cs="Arial"/>
          <w:color w:val="000000"/>
          <w:u w:val="single"/>
          <w:lang w:eastAsia="bg-BG"/>
        </w:rPr>
        <w:t xml:space="preserve"> </w:t>
      </w:r>
      <w:r w:rsidRPr="0033183C">
        <w:rPr>
          <w:rFonts w:eastAsia="Times New Roman" w:cs="Arial"/>
          <w:color w:val="000000"/>
          <w:lang w:eastAsia="bg-BG"/>
        </w:rPr>
        <w:t>недостатъчност.</w:t>
      </w:r>
    </w:p>
    <w:p w14:paraId="7AEDE8D4" w14:textId="77777777" w:rsidR="0033183C" w:rsidRPr="0033183C" w:rsidRDefault="0033183C" w:rsidP="0033183C">
      <w:pPr>
        <w:spacing w:line="240" w:lineRule="auto"/>
        <w:rPr>
          <w:rFonts w:eastAsia="Times New Roman" w:cs="Arial"/>
          <w:color w:val="000000"/>
          <w:u w:val="single"/>
          <w:lang w:eastAsia="bg-BG"/>
        </w:rPr>
      </w:pPr>
    </w:p>
    <w:p w14:paraId="6FEFDDAE" w14:textId="56EA7095" w:rsidR="0033183C" w:rsidRPr="0033183C" w:rsidRDefault="0033183C" w:rsidP="0033183C">
      <w:pPr>
        <w:pStyle w:val="Heading3"/>
        <w:rPr>
          <w:rFonts w:eastAsia="Times New Roman"/>
          <w:sz w:val="28"/>
          <w:szCs w:val="28"/>
          <w:u w:val="single"/>
          <w:lang w:eastAsia="bg-BG"/>
        </w:rPr>
      </w:pPr>
      <w:r w:rsidRPr="0033183C">
        <w:rPr>
          <w:rFonts w:eastAsia="Times New Roman"/>
          <w:u w:val="single"/>
          <w:lang w:eastAsia="bg-BG"/>
        </w:rPr>
        <w:t>Лечение</w:t>
      </w:r>
    </w:p>
    <w:p w14:paraId="0412D105" w14:textId="3A7A4863" w:rsidR="0033183C" w:rsidRDefault="0033183C" w:rsidP="0033183C">
      <w:pPr>
        <w:spacing w:line="240" w:lineRule="auto"/>
        <w:rPr>
          <w:rFonts w:eastAsia="Times New Roman" w:cs="Arial"/>
          <w:color w:val="000000"/>
          <w:lang w:eastAsia="bg-BG"/>
        </w:rPr>
      </w:pPr>
      <w:r w:rsidRPr="0033183C">
        <w:rPr>
          <w:rFonts w:eastAsia="Times New Roman" w:cs="Arial"/>
          <w:color w:val="000000"/>
          <w:lang w:eastAsia="bg-BG"/>
        </w:rPr>
        <w:t>Телмисартан не се отстранява чрез хемодиализа. Пациентът трябва да бъде внимателно наблюдаван и лечението трябва да бъде симптоматично и поддържащо. Овладяването зависи от времето, изминало от приемането на продукта и тежестта на симптомите. Възможните мерки включват предизвикване на повръщане и/или стомашна промивка. Прилагането на медицински въглен може да бъде полезно при лечение на предозирането. Необходимо е често проследяване на серумните електролити и креатинина. При поява на хипотония, пациентът трябва да бъде поставен в легнало положение по гръб и бързо да се приложат солеви и обемни заместители.</w:t>
      </w:r>
    </w:p>
    <w:p w14:paraId="0037D3B0" w14:textId="77777777" w:rsidR="0033183C" w:rsidRPr="0033183C" w:rsidRDefault="0033183C" w:rsidP="0033183C">
      <w:pPr>
        <w:spacing w:line="240" w:lineRule="auto"/>
        <w:rPr>
          <w:rFonts w:eastAsia="Times New Roman" w:cs="Arial"/>
          <w:sz w:val="28"/>
          <w:szCs w:val="28"/>
          <w:lang w:eastAsia="bg-BG"/>
        </w:rPr>
      </w:pPr>
    </w:p>
    <w:p w14:paraId="02081B24" w14:textId="36FE76F4" w:rsidR="00395555" w:rsidRPr="00395555" w:rsidRDefault="002C50EE" w:rsidP="008A6AF2">
      <w:pPr>
        <w:pStyle w:val="Heading1"/>
      </w:pPr>
      <w:r>
        <w:t>5. ФАРМАКОЛОГИЧНИ СВОЙСТВА</w:t>
      </w:r>
    </w:p>
    <w:p w14:paraId="3B9FA2B5" w14:textId="0DAD9317" w:rsidR="00EE6C97" w:rsidRDefault="002C50EE" w:rsidP="00A93499">
      <w:pPr>
        <w:pStyle w:val="Heading2"/>
      </w:pPr>
      <w:r>
        <w:t>5.1. Фармакодинамични свойства</w:t>
      </w:r>
    </w:p>
    <w:p w14:paraId="56F08453" w14:textId="641157BA" w:rsidR="0033183C" w:rsidRDefault="0033183C" w:rsidP="0033183C"/>
    <w:p w14:paraId="192B0BF3"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Фармакотерапевтична група: Ангиотензин II антагонисти, самостоятелно, АТС код: С09СА07</w:t>
      </w:r>
    </w:p>
    <w:p w14:paraId="139153A2" w14:textId="77777777" w:rsidR="0033183C" w:rsidRPr="0033183C" w:rsidRDefault="0033183C" w:rsidP="0033183C">
      <w:pPr>
        <w:spacing w:line="240" w:lineRule="auto"/>
        <w:rPr>
          <w:rFonts w:eastAsia="Times New Roman" w:cs="Arial"/>
          <w:color w:val="000000"/>
          <w:u w:val="single"/>
          <w:lang w:eastAsia="bg-BG"/>
        </w:rPr>
      </w:pPr>
    </w:p>
    <w:p w14:paraId="23763AA7" w14:textId="78C0B29E" w:rsidR="0033183C" w:rsidRPr="0033183C" w:rsidRDefault="0033183C" w:rsidP="0033183C">
      <w:pPr>
        <w:spacing w:line="240" w:lineRule="auto"/>
        <w:rPr>
          <w:rFonts w:eastAsia="Times New Roman" w:cs="Arial"/>
          <w:lang w:eastAsia="bg-BG"/>
        </w:rPr>
      </w:pPr>
      <w:r w:rsidRPr="0033183C">
        <w:rPr>
          <w:rFonts w:eastAsia="Times New Roman" w:cs="Arial"/>
          <w:color w:val="000000"/>
          <w:u w:val="single"/>
          <w:lang w:eastAsia="bg-BG"/>
        </w:rPr>
        <w:t>Механизъм на действие</w:t>
      </w:r>
    </w:p>
    <w:p w14:paraId="09B4D630"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Телмисартан е перорален активен и специфичен ангиотензин II рецепторен антагонист (тип </w:t>
      </w:r>
      <w:r w:rsidRPr="0033183C">
        <w:rPr>
          <w:rFonts w:eastAsia="Times New Roman" w:cs="Arial"/>
          <w:color w:val="000000"/>
          <w:lang w:val="en-US"/>
        </w:rPr>
        <w:t>AT</w:t>
      </w:r>
      <w:r w:rsidRPr="0033183C">
        <w:rPr>
          <w:rFonts w:eastAsia="Times New Roman" w:cs="Arial"/>
          <w:color w:val="000000"/>
          <w:vertAlign w:val="subscript"/>
          <w:lang w:val="en-US"/>
        </w:rPr>
        <w:t>1</w:t>
      </w:r>
      <w:r w:rsidRPr="0033183C">
        <w:rPr>
          <w:rFonts w:eastAsia="Times New Roman" w:cs="Arial"/>
          <w:color w:val="000000"/>
          <w:lang w:val="en-US"/>
        </w:rPr>
        <w:t xml:space="preserve">). </w:t>
      </w:r>
      <w:r w:rsidRPr="0033183C">
        <w:rPr>
          <w:rFonts w:eastAsia="Times New Roman" w:cs="Arial"/>
          <w:color w:val="000000"/>
          <w:lang w:eastAsia="bg-BG"/>
        </w:rPr>
        <w:t xml:space="preserve">Той с много висок афинитет измества ангиотензин II от неговото място на свързване с </w:t>
      </w:r>
      <w:r w:rsidRPr="0033183C">
        <w:rPr>
          <w:rFonts w:eastAsia="Times New Roman" w:cs="Arial"/>
          <w:color w:val="000000"/>
          <w:lang w:val="en-US"/>
        </w:rPr>
        <w:t>AT</w:t>
      </w:r>
      <w:r w:rsidRPr="0033183C">
        <w:rPr>
          <w:rFonts w:eastAsia="Times New Roman" w:cs="Arial"/>
          <w:color w:val="000000"/>
          <w:vertAlign w:val="subscript"/>
          <w:lang w:val="en-US"/>
        </w:rPr>
        <w:t>1</w:t>
      </w:r>
      <w:r w:rsidRPr="0033183C">
        <w:rPr>
          <w:rFonts w:eastAsia="Times New Roman" w:cs="Arial"/>
          <w:color w:val="000000"/>
          <w:lang w:val="en-US"/>
        </w:rPr>
        <w:t xml:space="preserve"> </w:t>
      </w:r>
      <w:r w:rsidRPr="0033183C">
        <w:rPr>
          <w:rFonts w:eastAsia="Times New Roman" w:cs="Arial"/>
          <w:color w:val="000000"/>
          <w:lang w:eastAsia="bg-BG"/>
        </w:rPr>
        <w:t xml:space="preserve">рецепторния подтип, който е отговорен за известните действия на ангиотензин II. Телмисартан не показва никаква парциална агонистична активност спрямо </w:t>
      </w:r>
      <w:r w:rsidRPr="0033183C">
        <w:rPr>
          <w:rFonts w:eastAsia="Times New Roman" w:cs="Arial"/>
          <w:color w:val="000000"/>
          <w:lang w:val="en-US"/>
        </w:rPr>
        <w:t>AT</w:t>
      </w:r>
      <w:r w:rsidRPr="0033183C">
        <w:rPr>
          <w:rFonts w:eastAsia="Times New Roman" w:cs="Arial"/>
          <w:color w:val="000000"/>
          <w:vertAlign w:val="subscript"/>
          <w:lang w:val="en-US"/>
        </w:rPr>
        <w:t>1</w:t>
      </w:r>
      <w:r w:rsidRPr="0033183C">
        <w:rPr>
          <w:rFonts w:eastAsia="Times New Roman" w:cs="Arial"/>
          <w:color w:val="000000"/>
          <w:lang w:val="en-US"/>
        </w:rPr>
        <w:t xml:space="preserve"> </w:t>
      </w:r>
      <w:r w:rsidRPr="0033183C">
        <w:rPr>
          <w:rFonts w:eastAsia="Times New Roman" w:cs="Arial"/>
          <w:color w:val="000000"/>
          <w:lang w:eastAsia="bg-BG"/>
        </w:rPr>
        <w:t xml:space="preserve">рецептора. Телмисартан се свързва селективно с </w:t>
      </w:r>
      <w:r w:rsidRPr="0033183C">
        <w:rPr>
          <w:rFonts w:eastAsia="Times New Roman" w:cs="Arial"/>
          <w:color w:val="000000"/>
          <w:lang w:val="en-US"/>
        </w:rPr>
        <w:t>AT</w:t>
      </w:r>
      <w:r w:rsidRPr="0033183C">
        <w:rPr>
          <w:rFonts w:eastAsia="Times New Roman" w:cs="Arial"/>
          <w:color w:val="000000"/>
          <w:vertAlign w:val="subscript"/>
          <w:lang w:val="en-US"/>
        </w:rPr>
        <w:t>1</w:t>
      </w:r>
      <w:r w:rsidRPr="0033183C">
        <w:rPr>
          <w:rFonts w:eastAsia="Times New Roman" w:cs="Arial"/>
          <w:color w:val="000000"/>
          <w:lang w:val="en-US"/>
        </w:rPr>
        <w:t xml:space="preserve"> </w:t>
      </w:r>
      <w:r w:rsidRPr="0033183C">
        <w:rPr>
          <w:rFonts w:eastAsia="Times New Roman" w:cs="Arial"/>
          <w:color w:val="000000"/>
          <w:lang w:eastAsia="bg-BG"/>
        </w:rPr>
        <w:t xml:space="preserve">рецептора. Свързването е </w:t>
      </w:r>
      <w:r w:rsidRPr="0033183C">
        <w:rPr>
          <w:rFonts w:eastAsia="Times New Roman" w:cs="Arial"/>
          <w:color w:val="000000"/>
          <w:lang w:eastAsia="bg-BG"/>
        </w:rPr>
        <w:lastRenderedPageBreak/>
        <w:t>трайно, Телмисартан не проявява афинитет към други рецептори, включително АТ</w:t>
      </w:r>
      <w:r w:rsidRPr="0033183C">
        <w:rPr>
          <w:rFonts w:eastAsia="Times New Roman" w:cs="Arial"/>
          <w:color w:val="000000"/>
          <w:vertAlign w:val="subscript"/>
          <w:lang w:eastAsia="bg-BG"/>
        </w:rPr>
        <w:t>2</w:t>
      </w:r>
      <w:r w:rsidRPr="0033183C">
        <w:rPr>
          <w:rFonts w:eastAsia="Times New Roman" w:cs="Arial"/>
          <w:color w:val="000000"/>
          <w:lang w:eastAsia="bg-BG"/>
        </w:rPr>
        <w:t xml:space="preserve"> и други по-слабо характеризирани АТ-рецептори, Функционалната роля на тези рецептори не е известна, не е известен и ефектът от тяхното възможно свръхстимулиране от ангиотензин II, чиито нива са повишени от телмисартан.</w:t>
      </w:r>
    </w:p>
    <w:p w14:paraId="0C1901C1" w14:textId="77777777" w:rsidR="0033183C" w:rsidRPr="0033183C" w:rsidRDefault="0033183C" w:rsidP="0033183C">
      <w:pPr>
        <w:spacing w:line="240" w:lineRule="auto"/>
        <w:rPr>
          <w:rFonts w:eastAsia="Times New Roman" w:cs="Arial"/>
          <w:color w:val="000000"/>
          <w:lang w:eastAsia="bg-BG"/>
        </w:rPr>
      </w:pPr>
    </w:p>
    <w:p w14:paraId="7989A7C8" w14:textId="494235DB"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Телмисартан понижава плазмените нива на алдостерон. Телмисартан не инхибира човешкия плазмен ренин и не блокира йонните канали. Телмисартан не инхибира ангиотензин конвертиращия ензим (кининаза II), ензимът, който също разгражда брадикинина. Поради това не се очаква да потенцира брадикинин-медиираните нежелани лекарствени реакции.</w:t>
      </w:r>
    </w:p>
    <w:p w14:paraId="5E6B59CC" w14:textId="77777777" w:rsidR="0033183C" w:rsidRPr="0033183C" w:rsidRDefault="0033183C" w:rsidP="0033183C">
      <w:pPr>
        <w:spacing w:line="240" w:lineRule="auto"/>
        <w:rPr>
          <w:rFonts w:eastAsia="Times New Roman" w:cs="Arial"/>
          <w:color w:val="000000"/>
          <w:lang w:eastAsia="bg-BG"/>
        </w:rPr>
      </w:pPr>
    </w:p>
    <w:p w14:paraId="30F69446" w14:textId="366511DF"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При хора дозата от 80 </w:t>
      </w:r>
      <w:r w:rsidRPr="0033183C">
        <w:rPr>
          <w:rFonts w:eastAsia="Times New Roman" w:cs="Arial"/>
          <w:color w:val="000000"/>
          <w:lang w:val="en-US"/>
        </w:rPr>
        <w:t xml:space="preserve">mg </w:t>
      </w:r>
      <w:r w:rsidRPr="0033183C">
        <w:rPr>
          <w:rFonts w:eastAsia="Times New Roman" w:cs="Arial"/>
          <w:color w:val="000000"/>
          <w:lang w:eastAsia="bg-BG"/>
        </w:rPr>
        <w:t>телмисартан почти изцяло инхибира предизвиканото от ангиотензин II повишаване на кръвното налягане. Инхибиторният ефект се поддържа в продължение на над 24 часа, като все още може да бъде установен до 48 часа.</w:t>
      </w:r>
    </w:p>
    <w:p w14:paraId="389A1C23" w14:textId="77777777" w:rsidR="0033183C" w:rsidRPr="0033183C" w:rsidRDefault="0033183C" w:rsidP="0033183C">
      <w:pPr>
        <w:spacing w:line="240" w:lineRule="auto"/>
        <w:rPr>
          <w:rFonts w:eastAsia="Times New Roman" w:cs="Arial"/>
          <w:color w:val="000000"/>
          <w:u w:val="single"/>
          <w:lang w:eastAsia="bg-BG"/>
        </w:rPr>
      </w:pPr>
    </w:p>
    <w:p w14:paraId="7EA31B91" w14:textId="5760D361" w:rsidR="0033183C" w:rsidRPr="0033183C" w:rsidRDefault="0033183C" w:rsidP="0033183C">
      <w:pPr>
        <w:spacing w:line="240" w:lineRule="auto"/>
        <w:rPr>
          <w:rFonts w:eastAsia="Times New Roman" w:cs="Arial"/>
          <w:lang w:eastAsia="bg-BG"/>
        </w:rPr>
      </w:pPr>
      <w:r w:rsidRPr="0033183C">
        <w:rPr>
          <w:rFonts w:eastAsia="Times New Roman" w:cs="Arial"/>
          <w:color w:val="000000"/>
          <w:u w:val="single"/>
          <w:lang w:eastAsia="bg-BG"/>
        </w:rPr>
        <w:t>Клинична ефикасност и безопасност</w:t>
      </w:r>
    </w:p>
    <w:p w14:paraId="396CEA3A" w14:textId="77777777" w:rsidR="0033183C" w:rsidRPr="0033183C" w:rsidRDefault="0033183C" w:rsidP="0033183C">
      <w:pPr>
        <w:spacing w:line="240" w:lineRule="auto"/>
        <w:rPr>
          <w:rFonts w:eastAsia="Times New Roman" w:cs="Arial"/>
          <w:i/>
          <w:iCs/>
          <w:color w:val="000000"/>
          <w:lang w:eastAsia="bg-BG"/>
        </w:rPr>
      </w:pPr>
    </w:p>
    <w:p w14:paraId="52657738" w14:textId="0B3633C6" w:rsidR="0033183C" w:rsidRPr="0033183C" w:rsidRDefault="0033183C" w:rsidP="0033183C">
      <w:pPr>
        <w:spacing w:line="240" w:lineRule="auto"/>
        <w:rPr>
          <w:rFonts w:eastAsia="Times New Roman" w:cs="Arial"/>
          <w:lang w:eastAsia="bg-BG"/>
        </w:rPr>
      </w:pPr>
      <w:r w:rsidRPr="0033183C">
        <w:rPr>
          <w:rFonts w:eastAsia="Times New Roman" w:cs="Arial"/>
          <w:i/>
          <w:iCs/>
          <w:color w:val="000000"/>
          <w:lang w:eastAsia="bg-BG"/>
        </w:rPr>
        <w:t>Лечение на есенциална хипертония</w:t>
      </w:r>
    </w:p>
    <w:p w14:paraId="199B8EC4"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След прилагане на първата доза телмисартан антихипертензивната активност се проявява постепенно в рамките на 3 часа. Максимално понижаване на кръвното налягане обикновено се постига в рамките на 4 до 8 седмици след началото на лечението и се поддържа чрез продължителна терапия.</w:t>
      </w:r>
    </w:p>
    <w:p w14:paraId="3A0F54F4" w14:textId="77777777" w:rsidR="0033183C" w:rsidRPr="0033183C" w:rsidRDefault="0033183C" w:rsidP="0033183C">
      <w:pPr>
        <w:rPr>
          <w:rFonts w:eastAsia="Times New Roman" w:cs="Arial"/>
          <w:color w:val="000000"/>
          <w:lang w:eastAsia="bg-BG"/>
        </w:rPr>
      </w:pPr>
    </w:p>
    <w:p w14:paraId="65FB296C" w14:textId="77777777" w:rsidR="0033183C" w:rsidRPr="0033183C" w:rsidRDefault="0033183C" w:rsidP="0033183C">
      <w:pPr>
        <w:rPr>
          <w:rFonts w:eastAsia="Times New Roman" w:cs="Arial"/>
          <w:color w:val="000000"/>
          <w:lang w:eastAsia="bg-BG"/>
        </w:rPr>
      </w:pPr>
      <w:r w:rsidRPr="0033183C">
        <w:rPr>
          <w:rFonts w:eastAsia="Times New Roman" w:cs="Arial"/>
          <w:color w:val="000000"/>
          <w:lang w:eastAsia="bg-BG"/>
        </w:rPr>
        <w:t xml:space="preserve">Както показват амбулаторните измервания на кръвното налягане антихипертензивният ефект персистира повече от 24 часа след приемане на дозата, като включва и последните 4 часа преди следващото приложение. Това е потвърдено и от съотношението минимални към максимални концентрации, което е постоянно над 80% след прием на дози от 40 и 80 </w:t>
      </w:r>
      <w:r w:rsidRPr="0033183C">
        <w:rPr>
          <w:rFonts w:eastAsia="Times New Roman" w:cs="Arial"/>
          <w:color w:val="000000"/>
          <w:lang w:val="en-US"/>
        </w:rPr>
        <w:t xml:space="preserve">mg </w:t>
      </w:r>
      <w:r w:rsidRPr="0033183C">
        <w:rPr>
          <w:rFonts w:eastAsia="Times New Roman" w:cs="Arial"/>
          <w:color w:val="000000"/>
          <w:lang w:eastAsia="bg-BG"/>
        </w:rPr>
        <w:t xml:space="preserve">телмисартан в плацебо-контролирани клинични проучвания. Налице е очевидна тенденция за връзка между дозата и времето на възстановяване на изходните стойности на систолното кръвно налягане </w:t>
      </w:r>
      <w:r w:rsidRPr="0033183C">
        <w:rPr>
          <w:rFonts w:eastAsia="Times New Roman" w:cs="Arial"/>
          <w:color w:val="000000"/>
          <w:lang w:val="en-US"/>
        </w:rPr>
        <w:t xml:space="preserve">(SBP). </w:t>
      </w:r>
      <w:r w:rsidRPr="0033183C">
        <w:rPr>
          <w:rFonts w:eastAsia="Times New Roman" w:cs="Arial"/>
          <w:color w:val="000000"/>
          <w:lang w:eastAsia="bg-BG"/>
        </w:rPr>
        <w:t xml:space="preserve">В това отношение данните за диастолното кръвно налягане </w:t>
      </w:r>
      <w:r w:rsidRPr="0033183C">
        <w:rPr>
          <w:rFonts w:eastAsia="Times New Roman" w:cs="Arial"/>
          <w:i/>
          <w:iCs/>
          <w:color w:val="000000"/>
          <w:lang w:val="en-US"/>
        </w:rPr>
        <w:t>(DBP)</w:t>
      </w:r>
      <w:r w:rsidRPr="0033183C">
        <w:rPr>
          <w:rFonts w:eastAsia="Times New Roman" w:cs="Arial"/>
          <w:color w:val="000000"/>
          <w:lang w:val="en-US"/>
        </w:rPr>
        <w:t xml:space="preserve"> </w:t>
      </w:r>
      <w:r w:rsidRPr="0033183C">
        <w:rPr>
          <w:rFonts w:eastAsia="Times New Roman" w:cs="Arial"/>
          <w:color w:val="000000"/>
          <w:lang w:eastAsia="bg-BG"/>
        </w:rPr>
        <w:t xml:space="preserve">са непостоянни. </w:t>
      </w:r>
    </w:p>
    <w:p w14:paraId="5BDA1005" w14:textId="77777777" w:rsidR="0033183C" w:rsidRPr="0033183C" w:rsidRDefault="0033183C" w:rsidP="0033183C">
      <w:pPr>
        <w:rPr>
          <w:rFonts w:eastAsia="Times New Roman" w:cs="Arial"/>
          <w:color w:val="000000"/>
          <w:lang w:eastAsia="bg-BG"/>
        </w:rPr>
      </w:pPr>
    </w:p>
    <w:p w14:paraId="76B68230" w14:textId="77777777" w:rsidR="0033183C" w:rsidRPr="0033183C" w:rsidRDefault="0033183C" w:rsidP="0033183C">
      <w:pPr>
        <w:rPr>
          <w:rFonts w:eastAsia="Times New Roman" w:cs="Arial"/>
          <w:lang w:eastAsia="bg-BG"/>
        </w:rPr>
      </w:pPr>
      <w:r w:rsidRPr="0033183C">
        <w:rPr>
          <w:rFonts w:eastAsia="Times New Roman" w:cs="Arial"/>
          <w:color w:val="000000"/>
          <w:lang w:eastAsia="bg-BG"/>
        </w:rPr>
        <w:t>При пациенти с хипертония телмисартан понижава както систолното, така и диастолното</w:t>
      </w:r>
      <w:r w:rsidRPr="0033183C">
        <w:rPr>
          <w:rFonts w:eastAsia="Times New Roman" w:cs="Arial"/>
          <w:color w:val="000000"/>
          <w:u w:val="single"/>
          <w:lang w:eastAsia="bg-BG"/>
        </w:rPr>
        <w:t xml:space="preserve"> </w:t>
      </w:r>
      <w:r w:rsidRPr="0033183C">
        <w:rPr>
          <w:rFonts w:eastAsia="Times New Roman" w:cs="Arial"/>
          <w:color w:val="000000"/>
          <w:lang w:eastAsia="bg-BG"/>
        </w:rPr>
        <w:t>кръвно налягане без да повлиява пулсовата честота. Приносът на диуретичния и натриуретичния ефект на лекарствения продукт към неговата хипотензивна активност трябва да бъде установен, Антихипертензивната ефикасност на телмисартан е сравнима с тази на</w:t>
      </w:r>
      <w:r w:rsidRPr="0033183C">
        <w:rPr>
          <w:rFonts w:eastAsia="Times New Roman" w:cs="Arial"/>
          <w:color w:val="000000"/>
          <w:lang w:eastAsia="bg-BG"/>
        </w:rPr>
        <w:t xml:space="preserve"> </w:t>
      </w:r>
      <w:r w:rsidRPr="0033183C">
        <w:rPr>
          <w:rFonts w:eastAsia="Times New Roman" w:cs="Arial"/>
          <w:color w:val="000000"/>
          <w:lang w:eastAsia="bg-BG"/>
        </w:rPr>
        <w:t>представители на други групи антихипертензивни лекарствени средства (установена в клинични проучвания, сравняващи телмисартан с амлодипин, атенолол, еналаприл, хидрохлоротиазид и лизиноприл).</w:t>
      </w:r>
    </w:p>
    <w:p w14:paraId="419CA9FB" w14:textId="77777777" w:rsidR="0033183C" w:rsidRPr="0033183C" w:rsidRDefault="0033183C" w:rsidP="0033183C">
      <w:pPr>
        <w:spacing w:line="240" w:lineRule="auto"/>
        <w:rPr>
          <w:rFonts w:eastAsia="Times New Roman" w:cs="Arial"/>
          <w:color w:val="000000"/>
          <w:lang w:eastAsia="bg-BG"/>
        </w:rPr>
      </w:pPr>
    </w:p>
    <w:p w14:paraId="3F70913B" w14:textId="77777777" w:rsidR="0033183C" w:rsidRPr="0033183C" w:rsidRDefault="0033183C" w:rsidP="0033183C">
      <w:pPr>
        <w:spacing w:line="240" w:lineRule="auto"/>
        <w:rPr>
          <w:rFonts w:eastAsia="Times New Roman" w:cs="Arial"/>
          <w:color w:val="000000"/>
          <w:lang w:eastAsia="bg-BG"/>
        </w:rPr>
      </w:pPr>
      <w:r w:rsidRPr="0033183C">
        <w:rPr>
          <w:rFonts w:eastAsia="Times New Roman" w:cs="Arial"/>
          <w:color w:val="000000"/>
          <w:lang w:eastAsia="bg-BG"/>
        </w:rPr>
        <w:t xml:space="preserve">При внезапно прекъсване на лечението с телмисартан кръвното налягане постепенно се връща до </w:t>
      </w:r>
    </w:p>
    <w:p w14:paraId="52AD5F80" w14:textId="3231E6D0"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стойностите преди лечението за период от няколко дни без данни за </w:t>
      </w:r>
      <w:r w:rsidRPr="0033183C">
        <w:rPr>
          <w:rFonts w:eastAsia="Times New Roman" w:cs="Arial"/>
          <w:color w:val="000000"/>
          <w:lang w:val="en-US"/>
        </w:rPr>
        <w:t xml:space="preserve">„rebound“ </w:t>
      </w:r>
      <w:r w:rsidRPr="0033183C">
        <w:rPr>
          <w:rFonts w:eastAsia="Times New Roman" w:cs="Arial"/>
          <w:color w:val="000000"/>
          <w:lang w:eastAsia="bg-BG"/>
        </w:rPr>
        <w:t>хипертоничен ефект.</w:t>
      </w:r>
    </w:p>
    <w:p w14:paraId="40EA54EA" w14:textId="77777777" w:rsidR="0033183C" w:rsidRPr="0033183C" w:rsidRDefault="0033183C" w:rsidP="0033183C">
      <w:pPr>
        <w:spacing w:line="240" w:lineRule="auto"/>
        <w:rPr>
          <w:rFonts w:eastAsia="Times New Roman" w:cs="Arial"/>
          <w:color w:val="000000"/>
          <w:lang w:eastAsia="bg-BG"/>
        </w:rPr>
      </w:pPr>
    </w:p>
    <w:p w14:paraId="60359946" w14:textId="5C804BD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Случаите на суха кашлица са значително по-малко при пациенти, третирани с телмисартан, в сравнение е тези, получавали инхибитори на ангиотензин конвертиращия ензим в клинични проучвания, директно сравняващи двете антихипертензивни лечения.</w:t>
      </w:r>
    </w:p>
    <w:p w14:paraId="5A6EDEDB" w14:textId="77777777" w:rsidR="0033183C" w:rsidRPr="0033183C" w:rsidRDefault="0033183C" w:rsidP="0033183C">
      <w:pPr>
        <w:spacing w:line="240" w:lineRule="auto"/>
        <w:rPr>
          <w:rFonts w:eastAsia="Times New Roman" w:cs="Arial"/>
          <w:i/>
          <w:iCs/>
          <w:color w:val="000000"/>
          <w:lang w:eastAsia="bg-BG"/>
        </w:rPr>
      </w:pPr>
    </w:p>
    <w:p w14:paraId="0346023A" w14:textId="0C314D4B" w:rsidR="0033183C" w:rsidRPr="0033183C" w:rsidRDefault="0033183C" w:rsidP="0033183C">
      <w:pPr>
        <w:spacing w:line="240" w:lineRule="auto"/>
        <w:rPr>
          <w:rFonts w:eastAsia="Times New Roman" w:cs="Arial"/>
          <w:lang w:eastAsia="bg-BG"/>
        </w:rPr>
      </w:pPr>
      <w:r w:rsidRPr="0033183C">
        <w:rPr>
          <w:rFonts w:eastAsia="Times New Roman" w:cs="Arial"/>
          <w:i/>
          <w:iCs/>
          <w:color w:val="000000"/>
          <w:lang w:eastAsia="bg-BG"/>
        </w:rPr>
        <w:t>Превенция на сърдечно-съдови заболявания</w:t>
      </w:r>
    </w:p>
    <w:p w14:paraId="2FD01ED9"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lastRenderedPageBreak/>
        <w:t xml:space="preserve">В проучването </w:t>
      </w:r>
      <w:r w:rsidRPr="0033183C">
        <w:rPr>
          <w:rFonts w:eastAsia="Times New Roman" w:cs="Arial"/>
          <w:color w:val="000000"/>
          <w:lang w:val="en-US"/>
        </w:rPr>
        <w:t>ONTARGET (</w:t>
      </w:r>
      <w:proofErr w:type="spellStart"/>
      <w:r w:rsidRPr="0033183C">
        <w:rPr>
          <w:rFonts w:eastAsia="Times New Roman" w:cs="Arial"/>
          <w:color w:val="000000"/>
          <w:lang w:val="en-US"/>
        </w:rPr>
        <w:t>ONgoing</w:t>
      </w:r>
      <w:proofErr w:type="spellEnd"/>
      <w:r w:rsidRPr="0033183C">
        <w:rPr>
          <w:rFonts w:eastAsia="Times New Roman" w:cs="Arial"/>
          <w:color w:val="000000"/>
          <w:lang w:val="en-US"/>
        </w:rPr>
        <w:t xml:space="preserve"> Telmisartan Alone and in Combination with Ramipril Global Endpoint Trial) </w:t>
      </w:r>
      <w:r w:rsidRPr="0033183C">
        <w:rPr>
          <w:rFonts w:eastAsia="Times New Roman" w:cs="Arial"/>
          <w:color w:val="000000"/>
          <w:lang w:eastAsia="bg-BG"/>
        </w:rPr>
        <w:t xml:space="preserve">(Продължаващо глобално изследване на телмисартан самостоятелно и в комбинация с рамиприл) се сравняват ефектите от лечение с телмисартан, рамиприл и комбинация от телмисартан и рамиприл върху сърдечно-съдовите показатели на 25 620 пациенти на възраст 55 години и повече, с анамнеза за коронарна артериална болест, инсулт, транзиторна исхемична атака </w:t>
      </w:r>
      <w:r w:rsidRPr="0033183C">
        <w:rPr>
          <w:rFonts w:eastAsia="Times New Roman" w:cs="Arial"/>
          <w:color w:val="000000"/>
          <w:lang w:val="en-US"/>
        </w:rPr>
        <w:t xml:space="preserve">(TIA), </w:t>
      </w:r>
      <w:r w:rsidRPr="0033183C">
        <w:rPr>
          <w:rFonts w:eastAsia="Times New Roman" w:cs="Arial"/>
          <w:color w:val="000000"/>
          <w:lang w:eastAsia="bg-BG"/>
        </w:rPr>
        <w:t>периферна артериална болест или захарен диабет тип И, придружени с доказателства за органно увреждане (напр, ретинопатия, левокамерна хипертрофия , макро-или микроалбуминурия)- популация с риск от.възникване на сърдечно</w:t>
      </w:r>
      <w:r w:rsidRPr="0033183C">
        <w:rPr>
          <w:rFonts w:eastAsia="Times New Roman" w:cs="Arial"/>
          <w:color w:val="000000"/>
          <w:lang w:eastAsia="bg-BG"/>
        </w:rPr>
        <w:softHyphen/>
        <w:t>съдови инциденти.</w:t>
      </w:r>
    </w:p>
    <w:p w14:paraId="3EB2B116" w14:textId="77777777" w:rsidR="0033183C" w:rsidRPr="0033183C" w:rsidRDefault="0033183C" w:rsidP="0033183C">
      <w:pPr>
        <w:spacing w:line="240" w:lineRule="auto"/>
        <w:rPr>
          <w:rFonts w:eastAsia="Times New Roman" w:cs="Arial"/>
          <w:color w:val="000000"/>
          <w:lang w:eastAsia="bg-BG"/>
        </w:rPr>
      </w:pPr>
    </w:p>
    <w:p w14:paraId="5E3C3204" w14:textId="78C87EBA"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Пациентите са рандомизирани в следните три групи на лечение: телмисартан 80 </w:t>
      </w:r>
      <w:r w:rsidRPr="0033183C">
        <w:rPr>
          <w:rFonts w:eastAsia="Times New Roman" w:cs="Arial"/>
          <w:color w:val="000000"/>
          <w:lang w:val="en-US"/>
        </w:rPr>
        <w:t xml:space="preserve">mg </w:t>
      </w:r>
      <w:r w:rsidRPr="0033183C">
        <w:rPr>
          <w:rFonts w:eastAsia="Times New Roman" w:cs="Arial"/>
          <w:color w:val="000000"/>
          <w:lang w:eastAsia="bg-BG"/>
        </w:rPr>
        <w:t>(</w:t>
      </w:r>
      <w:r w:rsidRPr="0033183C">
        <w:rPr>
          <w:rFonts w:eastAsia="Times New Roman" w:cs="Arial"/>
          <w:color w:val="000000"/>
          <w:lang w:val="en-US"/>
        </w:rPr>
        <w:t>n</w:t>
      </w:r>
      <w:r w:rsidRPr="0033183C">
        <w:rPr>
          <w:rFonts w:eastAsia="Times New Roman" w:cs="Arial"/>
          <w:color w:val="000000"/>
          <w:lang w:eastAsia="bg-BG"/>
        </w:rPr>
        <w:t xml:space="preserve">= 8542), рамиприл 10 </w:t>
      </w:r>
      <w:r w:rsidRPr="0033183C">
        <w:rPr>
          <w:rFonts w:eastAsia="Times New Roman" w:cs="Arial"/>
          <w:color w:val="000000"/>
          <w:lang w:val="en-US"/>
        </w:rPr>
        <w:t xml:space="preserve">mg </w:t>
      </w:r>
      <w:r w:rsidRPr="0033183C">
        <w:rPr>
          <w:rFonts w:eastAsia="Times New Roman" w:cs="Arial"/>
          <w:color w:val="000000"/>
          <w:lang w:eastAsia="bg-BG"/>
        </w:rPr>
        <w:t>(</w:t>
      </w:r>
      <w:r w:rsidRPr="0033183C">
        <w:rPr>
          <w:rFonts w:eastAsia="Times New Roman" w:cs="Arial"/>
          <w:color w:val="000000"/>
          <w:lang w:val="en-US"/>
        </w:rPr>
        <w:t>n</w:t>
      </w:r>
      <w:r w:rsidRPr="0033183C">
        <w:rPr>
          <w:rFonts w:eastAsia="Times New Roman" w:cs="Arial"/>
          <w:color w:val="000000"/>
          <w:lang w:eastAsia="bg-BG"/>
        </w:rPr>
        <w:t xml:space="preserve">= 8576) или комбинация от телмисартан 80 </w:t>
      </w:r>
      <w:r w:rsidRPr="0033183C">
        <w:rPr>
          <w:rFonts w:eastAsia="Times New Roman" w:cs="Arial"/>
          <w:color w:val="000000"/>
          <w:lang w:val="en-US"/>
        </w:rPr>
        <w:t xml:space="preserve">mg </w:t>
      </w:r>
      <w:r w:rsidRPr="0033183C">
        <w:rPr>
          <w:rFonts w:eastAsia="Times New Roman" w:cs="Arial"/>
          <w:color w:val="000000"/>
          <w:lang w:eastAsia="bg-BG"/>
        </w:rPr>
        <w:t xml:space="preserve">плюс рамиприл 10 </w:t>
      </w:r>
      <w:r w:rsidRPr="0033183C">
        <w:rPr>
          <w:rFonts w:eastAsia="Times New Roman" w:cs="Arial"/>
          <w:color w:val="000000"/>
          <w:lang w:val="en-US"/>
        </w:rPr>
        <w:t xml:space="preserve">mg </w:t>
      </w:r>
      <w:r w:rsidRPr="0033183C">
        <w:rPr>
          <w:rFonts w:eastAsia="Times New Roman" w:cs="Arial"/>
          <w:color w:val="000000"/>
          <w:lang w:eastAsia="bg-BG"/>
        </w:rPr>
        <w:t>(</w:t>
      </w:r>
      <w:r w:rsidRPr="0033183C">
        <w:rPr>
          <w:rFonts w:eastAsia="Times New Roman" w:cs="Arial"/>
          <w:color w:val="000000"/>
          <w:lang w:val="en-US"/>
        </w:rPr>
        <w:t>n</w:t>
      </w:r>
      <w:r w:rsidRPr="0033183C">
        <w:rPr>
          <w:rFonts w:eastAsia="Times New Roman" w:cs="Arial"/>
          <w:color w:val="000000"/>
          <w:lang w:eastAsia="bg-BG"/>
        </w:rPr>
        <w:t>= 8502), като средното време на проследяване е 4,5 години.</w:t>
      </w:r>
    </w:p>
    <w:p w14:paraId="0CC41892" w14:textId="77777777" w:rsidR="0033183C" w:rsidRPr="0033183C" w:rsidRDefault="0033183C" w:rsidP="0033183C">
      <w:pPr>
        <w:spacing w:line="240" w:lineRule="auto"/>
        <w:rPr>
          <w:rFonts w:eastAsia="Times New Roman" w:cs="Arial"/>
          <w:color w:val="000000"/>
          <w:lang w:eastAsia="bg-BG"/>
        </w:rPr>
      </w:pPr>
    </w:p>
    <w:p w14:paraId="03DDF5B9" w14:textId="77777777" w:rsidR="0033183C" w:rsidRPr="0033183C" w:rsidRDefault="0033183C" w:rsidP="0033183C">
      <w:pPr>
        <w:spacing w:line="240" w:lineRule="auto"/>
        <w:rPr>
          <w:rFonts w:eastAsia="Times New Roman" w:cs="Arial"/>
          <w:color w:val="000000"/>
          <w:lang w:eastAsia="bg-BG"/>
        </w:rPr>
      </w:pPr>
      <w:r w:rsidRPr="0033183C">
        <w:rPr>
          <w:rFonts w:eastAsia="Times New Roman" w:cs="Arial"/>
          <w:color w:val="000000"/>
          <w:lang w:eastAsia="bg-BG"/>
        </w:rPr>
        <w:t xml:space="preserve">Телмисартан показва подобен на рамиприл ефект при намаляване на първичната съставна крайна точка от сърдечно-съдова смърт, нефатален инфаркт на миокарда, нефатален мозъчен инсулт или хоспитализация поради застойна сърдечна недостатъчност. Честотата на първичната крайна точка е сходна в групите на телмисартан (16,7%) и рамиприл (16,5%). Коефициентът на риск за телмисартан спрямо рамиприл е 1,01 (97,5% ДИ 0,93-1,10, р (не по- голяма ефикасност) = 0,0019 при граница 1,13). Процентът на случаите </w:t>
      </w:r>
      <w:r w:rsidRPr="0033183C">
        <w:rPr>
          <w:rFonts w:eastAsia="Times New Roman" w:cs="Arial"/>
          <w:i/>
          <w:iCs/>
          <w:color w:val="000000"/>
          <w:lang w:eastAsia="bg-BG"/>
        </w:rPr>
        <w:t>на</w:t>
      </w:r>
      <w:r w:rsidRPr="0033183C">
        <w:rPr>
          <w:rFonts w:eastAsia="Times New Roman" w:cs="Arial"/>
          <w:color w:val="000000"/>
          <w:lang w:eastAsia="bg-BG"/>
        </w:rPr>
        <w:t xml:space="preserve"> смъртност по различни причини е съответно 11,6% и 11,8% сред пациентите, лекувани съответно с </w:t>
      </w:r>
    </w:p>
    <w:p w14:paraId="4657A35C" w14:textId="4EA3FAEB"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телмисартан и рамиприл.</w:t>
      </w:r>
    </w:p>
    <w:p w14:paraId="2904FB45" w14:textId="77777777" w:rsidR="0033183C" w:rsidRPr="0033183C" w:rsidRDefault="0033183C" w:rsidP="0033183C">
      <w:pPr>
        <w:spacing w:line="240" w:lineRule="auto"/>
        <w:rPr>
          <w:rFonts w:eastAsia="Times New Roman" w:cs="Arial"/>
          <w:color w:val="000000"/>
          <w:lang w:eastAsia="bg-BG"/>
        </w:rPr>
      </w:pPr>
    </w:p>
    <w:p w14:paraId="2B22ED72" w14:textId="75286058"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Доказано е, че ефикасността на телмисартан е сходна с тази на рамиприл при предварително определената вторична крайна точка от сърдечно-съдова смърт, нефатален инфаркт на миокарда и нефатален инсулт [0,99 (97,5 % ДИ 0,90-1,08), р (не по-голяма ефикасност) = 0,0004], първичната крайна точка в референтното проучване </w:t>
      </w:r>
      <w:r w:rsidRPr="0033183C">
        <w:rPr>
          <w:rFonts w:eastAsia="Times New Roman" w:cs="Arial"/>
          <w:color w:val="000000"/>
          <w:lang w:val="en-US"/>
        </w:rPr>
        <w:t xml:space="preserve">HOPE (The Heart Outcomes Prevention Evaluation Study), </w:t>
      </w:r>
      <w:r w:rsidRPr="0033183C">
        <w:rPr>
          <w:rFonts w:eastAsia="Times New Roman" w:cs="Arial"/>
          <w:color w:val="000000"/>
          <w:lang w:eastAsia="bg-BG"/>
        </w:rPr>
        <w:t>което проучва ефекта на рамиприл спрямо плацебо.</w:t>
      </w:r>
    </w:p>
    <w:p w14:paraId="4C17F878" w14:textId="77777777" w:rsidR="0033183C" w:rsidRPr="0033183C" w:rsidRDefault="0033183C" w:rsidP="0033183C">
      <w:pPr>
        <w:spacing w:line="240" w:lineRule="auto"/>
        <w:rPr>
          <w:rFonts w:eastAsia="Times New Roman" w:cs="Arial"/>
          <w:color w:val="000000"/>
          <w:lang w:eastAsia="bg-BG"/>
        </w:rPr>
      </w:pPr>
    </w:p>
    <w:p w14:paraId="75FBECE7" w14:textId="59EF4ADD"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Проучването </w:t>
      </w:r>
      <w:r w:rsidRPr="0033183C">
        <w:rPr>
          <w:rFonts w:eastAsia="Times New Roman" w:cs="Arial"/>
          <w:color w:val="000000"/>
          <w:lang w:val="en-US"/>
        </w:rPr>
        <w:t xml:space="preserve">TRANSCEND </w:t>
      </w:r>
      <w:r w:rsidRPr="0033183C">
        <w:rPr>
          <w:rFonts w:eastAsia="Times New Roman" w:cs="Arial"/>
          <w:color w:val="000000"/>
          <w:lang w:eastAsia="bg-BG"/>
        </w:rPr>
        <w:t xml:space="preserve">рандомизира пациенти с непоносимост към АСЕ инхибитори, но със сходни критерии за включване като проучването </w:t>
      </w:r>
      <w:r w:rsidRPr="0033183C">
        <w:rPr>
          <w:rFonts w:eastAsia="Times New Roman" w:cs="Arial"/>
          <w:color w:val="000000"/>
          <w:lang w:val="en-US"/>
        </w:rPr>
        <w:t xml:space="preserve">ONTARGET </w:t>
      </w:r>
      <w:r w:rsidRPr="0033183C">
        <w:rPr>
          <w:rFonts w:eastAsia="Times New Roman" w:cs="Arial"/>
          <w:color w:val="000000"/>
          <w:lang w:eastAsia="bg-BG"/>
        </w:rPr>
        <w:t xml:space="preserve">да получават телмисартан 80 </w:t>
      </w:r>
      <w:r w:rsidRPr="0033183C">
        <w:rPr>
          <w:rFonts w:eastAsia="Times New Roman" w:cs="Arial"/>
          <w:color w:val="000000"/>
          <w:lang w:val="en-US"/>
        </w:rPr>
        <w:t xml:space="preserve">mg </w:t>
      </w:r>
      <w:r w:rsidRPr="0033183C">
        <w:rPr>
          <w:rFonts w:eastAsia="Times New Roman" w:cs="Arial"/>
          <w:color w:val="000000"/>
          <w:lang w:eastAsia="bg-BG"/>
        </w:rPr>
        <w:t>(</w:t>
      </w:r>
      <w:r w:rsidRPr="0033183C">
        <w:rPr>
          <w:rFonts w:eastAsia="Times New Roman" w:cs="Arial"/>
          <w:color w:val="000000"/>
          <w:lang w:val="en-US"/>
        </w:rPr>
        <w:t>n</w:t>
      </w:r>
      <w:r w:rsidRPr="0033183C">
        <w:rPr>
          <w:rFonts w:eastAsia="Times New Roman" w:cs="Arial"/>
          <w:color w:val="000000"/>
          <w:lang w:eastAsia="bg-BG"/>
        </w:rPr>
        <w:t>= 2954) или плацебо (</w:t>
      </w:r>
      <w:r w:rsidRPr="0033183C">
        <w:rPr>
          <w:rFonts w:eastAsia="Times New Roman" w:cs="Arial"/>
          <w:color w:val="000000"/>
          <w:lang w:val="en-US"/>
        </w:rPr>
        <w:t>n</w:t>
      </w:r>
      <w:r w:rsidRPr="0033183C">
        <w:rPr>
          <w:rFonts w:eastAsia="Times New Roman" w:cs="Arial"/>
          <w:color w:val="000000"/>
          <w:lang w:eastAsia="bg-BG"/>
        </w:rPr>
        <w:t>= 2972) в допълнение към стандартното лечение. Пациентите са проследявани за период средно 4 години и 8 месеца. Не е установена статистически значима разлика в честотата на първичната съставна крайна точка (сърдечно-съдова смърт, нефатален инфаркт на миокарда, нефатален мозъчен инсулт или хоспитализация по повод застойна сърдечна недостатъчност) [15,7% в групата на телмисартан и 17,0% в групата на плацебо с _ коефициент на риск 0,92 (95% ДИ 0,81-1,05, р - 0,22)]. Има данни за ползата от телмисартан в сравнение с плацебо при предварително определената вторична съставна крайна точка от</w:t>
      </w:r>
    </w:p>
    <w:p w14:paraId="5CBC467D"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сърдечно-съдова смърт, нефатален инфаркт на миокарда и нефатален мозъчен инсулд</w:t>
      </w:r>
    </w:p>
    <w:p w14:paraId="085F6E90" w14:textId="3F283DBD" w:rsidR="0033183C" w:rsidRPr="0033183C" w:rsidRDefault="0033183C" w:rsidP="0033183C">
      <w:pPr>
        <w:rPr>
          <w:rFonts w:eastAsia="Times New Roman" w:cs="Arial"/>
          <w:color w:val="000000"/>
          <w:lang w:eastAsia="bg-BG"/>
        </w:rPr>
      </w:pPr>
      <w:r w:rsidRPr="0033183C">
        <w:rPr>
          <w:rFonts w:eastAsia="Times New Roman" w:cs="Arial"/>
          <w:color w:val="000000"/>
          <w:lang w:eastAsia="bg-BG"/>
        </w:rPr>
        <w:t>[0,87 (95% ДИ 0,76-1,00, р = 0,048)]. Няма данни за полза по отношение на сърдечно-съдовата смъртност (коефициент на риск 1,03, 95% ДИ 0,85-1,24).</w:t>
      </w:r>
    </w:p>
    <w:p w14:paraId="05D553EE" w14:textId="640183E3" w:rsidR="0033183C" w:rsidRPr="0033183C" w:rsidRDefault="0033183C" w:rsidP="0033183C">
      <w:pPr>
        <w:rPr>
          <w:rFonts w:eastAsia="Times New Roman" w:cs="Arial"/>
          <w:color w:val="000000"/>
          <w:lang w:eastAsia="bg-BG"/>
        </w:rPr>
      </w:pPr>
    </w:p>
    <w:p w14:paraId="2FE9549B"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Кашлица и ангиоедем при пациенти, лекувани с телмисартан се съобщават по-рядко, отколкото при пациенти, лекувани с рамиприл, но при пациенти, лекувани с телмисартан се съобщава по- често за хипотония.</w:t>
      </w:r>
    </w:p>
    <w:p w14:paraId="255F833F"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Комбинирането на телмисартан с рамиприл не увеличава ползата спрямо самостоятелното прилагане на рамиприл или телмисартан. Сърдечно-съдовата смъртност и общата смъртност, като числено изражение, са по-високи при използване на </w:t>
      </w:r>
      <w:r w:rsidRPr="0033183C">
        <w:rPr>
          <w:rFonts w:eastAsia="Times New Roman" w:cs="Arial"/>
          <w:color w:val="000000"/>
          <w:lang w:eastAsia="bg-BG"/>
        </w:rPr>
        <w:lastRenderedPageBreak/>
        <w:t>комбинацията. Освен това, в групата на комбинирано лечение има значително по-висока честота на хиперкалиемия, бъбречна недостатъчност, хипотония и синкоп. Поради тази причина, едновременната употреба на телмисартан и рамиприл не се препоръчва при тази популация.</w:t>
      </w:r>
    </w:p>
    <w:p w14:paraId="361A263E" w14:textId="77777777" w:rsidR="0033183C" w:rsidRPr="0033183C" w:rsidRDefault="0033183C" w:rsidP="0033183C">
      <w:pPr>
        <w:spacing w:line="240" w:lineRule="auto"/>
        <w:rPr>
          <w:rFonts w:eastAsia="Times New Roman" w:cs="Arial"/>
          <w:color w:val="000000"/>
          <w:lang w:eastAsia="bg-BG"/>
        </w:rPr>
      </w:pPr>
    </w:p>
    <w:p w14:paraId="5C3ABF8F" w14:textId="57DC3640"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В проучването ’’Профилактичен режим за ефективно предпазване от повторен мозъчен инсулт” </w:t>
      </w:r>
      <w:r w:rsidRPr="0033183C">
        <w:rPr>
          <w:rFonts w:eastAsia="Times New Roman" w:cs="Arial"/>
          <w:color w:val="000000"/>
          <w:lang w:val="en-US"/>
        </w:rPr>
        <w:t>("Prevention Regimen For Effectively avoiding Second Strokes" (</w:t>
      </w:r>
      <w:proofErr w:type="spellStart"/>
      <w:r w:rsidRPr="0033183C">
        <w:rPr>
          <w:rFonts w:eastAsia="Times New Roman" w:cs="Arial"/>
          <w:color w:val="000000"/>
          <w:lang w:val="en-US"/>
        </w:rPr>
        <w:t>PRoFESS</w:t>
      </w:r>
      <w:proofErr w:type="spellEnd"/>
      <w:r w:rsidRPr="0033183C">
        <w:rPr>
          <w:rFonts w:eastAsia="Times New Roman" w:cs="Arial"/>
          <w:color w:val="000000"/>
          <w:lang w:val="en-US"/>
        </w:rPr>
        <w:t xml:space="preserve">)) </w:t>
      </w:r>
      <w:r w:rsidRPr="0033183C">
        <w:rPr>
          <w:rFonts w:eastAsia="Times New Roman" w:cs="Arial"/>
          <w:color w:val="000000"/>
          <w:lang w:eastAsia="bg-BG"/>
        </w:rPr>
        <w:t xml:space="preserve">при пациенти на </w:t>
      </w:r>
      <w:r w:rsidRPr="0033183C">
        <w:rPr>
          <w:rFonts w:eastAsia="Times New Roman" w:cs="Arial"/>
          <w:color w:val="000000"/>
          <w:lang w:val="en-US"/>
        </w:rPr>
        <w:t xml:space="preserve">50 </w:t>
      </w:r>
      <w:r w:rsidRPr="0033183C">
        <w:rPr>
          <w:rFonts w:eastAsia="Times New Roman" w:cs="Arial"/>
          <w:color w:val="000000"/>
          <w:lang w:eastAsia="bg-BG"/>
        </w:rPr>
        <w:t xml:space="preserve">години или по-възрастни, които наскоро са получили мозъчен инсулт, се забелязва повишена честота на възникване на сепсис при прием на телмисартан в сравнение с плацебо, 0,70% спрямо 0,49% </w:t>
      </w:r>
      <w:r w:rsidRPr="0033183C">
        <w:rPr>
          <w:rFonts w:eastAsia="Times New Roman" w:cs="Arial"/>
          <w:color w:val="000000"/>
          <w:lang w:val="en-US"/>
        </w:rPr>
        <w:t xml:space="preserve">[RR </w:t>
      </w:r>
      <w:r w:rsidRPr="0033183C">
        <w:rPr>
          <w:rFonts w:eastAsia="Times New Roman" w:cs="Arial"/>
          <w:color w:val="000000"/>
          <w:lang w:eastAsia="bg-BG"/>
        </w:rPr>
        <w:t xml:space="preserve">1,43 (95% доверителен интервал 1,00-2,06)]; честотата на възникване на сепсис с фатален изход е повишена при пациентите, приемащи телмисартан (0,33%) спрямо пациентите, получаващи плацебо (0,16 %) </w:t>
      </w:r>
      <w:r w:rsidRPr="0033183C">
        <w:rPr>
          <w:rFonts w:eastAsia="Times New Roman" w:cs="Arial"/>
          <w:color w:val="000000"/>
          <w:lang w:val="en-US"/>
        </w:rPr>
        <w:t xml:space="preserve">[RR </w:t>
      </w:r>
      <w:r w:rsidRPr="0033183C">
        <w:rPr>
          <w:rFonts w:eastAsia="Times New Roman" w:cs="Arial"/>
          <w:color w:val="000000"/>
          <w:lang w:eastAsia="bg-BG"/>
        </w:rPr>
        <w:t>2,07 (95% доверителен интервал 1,14-3,76)]. Наблюдаваната повишена честота на възникване на сепсис, свързана с употребата на телмисартан, може да е или случайна находка, или да е свързана с неизвестен до момента механизъм.</w:t>
      </w:r>
    </w:p>
    <w:p w14:paraId="5D953125" w14:textId="77777777" w:rsidR="0033183C" w:rsidRPr="0033183C" w:rsidRDefault="0033183C" w:rsidP="0033183C">
      <w:pPr>
        <w:spacing w:line="240" w:lineRule="auto"/>
        <w:rPr>
          <w:rFonts w:eastAsia="Times New Roman" w:cs="Arial"/>
          <w:color w:val="000000"/>
          <w:lang w:eastAsia="bg-BG"/>
        </w:rPr>
      </w:pPr>
    </w:p>
    <w:p w14:paraId="54D3A937" w14:textId="2439EF11"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Две големи рандомизирани контролирани проучвания - </w:t>
      </w:r>
      <w:r w:rsidRPr="0033183C">
        <w:rPr>
          <w:rFonts w:eastAsia="Times New Roman" w:cs="Arial"/>
          <w:color w:val="000000"/>
          <w:lang w:val="en-US"/>
        </w:rPr>
        <w:t>ONTARGET (</w:t>
      </w:r>
      <w:proofErr w:type="spellStart"/>
      <w:r w:rsidRPr="0033183C">
        <w:rPr>
          <w:rFonts w:eastAsia="Times New Roman" w:cs="Arial"/>
          <w:color w:val="000000"/>
          <w:lang w:val="en-US"/>
        </w:rPr>
        <w:t>ONgoing</w:t>
      </w:r>
      <w:proofErr w:type="spellEnd"/>
      <w:r w:rsidRPr="0033183C">
        <w:rPr>
          <w:rFonts w:eastAsia="Times New Roman" w:cs="Arial"/>
          <w:color w:val="000000"/>
          <w:lang w:val="en-US"/>
        </w:rPr>
        <w:t xml:space="preserve"> Telmisartan Alone and in combination with Ramipril Global Endpoint Trial - </w:t>
      </w:r>
      <w:r w:rsidRPr="0033183C">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33183C">
        <w:rPr>
          <w:rFonts w:eastAsia="Times New Roman" w:cs="Arial"/>
          <w:color w:val="000000"/>
          <w:lang w:val="en-US"/>
        </w:rPr>
        <w:t xml:space="preserve">VA NEPHRON-D </w:t>
      </w:r>
      <w:r w:rsidRPr="0033183C">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33183C">
        <w:rPr>
          <w:rFonts w:eastAsia="Times New Roman" w:cs="Arial"/>
          <w:color w:val="000000"/>
          <w:lang w:val="en-US"/>
        </w:rPr>
        <w:t>II</w:t>
      </w:r>
      <w:r w:rsidRPr="0033183C">
        <w:rPr>
          <w:rFonts w:eastAsia="Times New Roman" w:cs="Arial"/>
          <w:color w:val="000000"/>
          <w:lang w:eastAsia="bg-BG"/>
        </w:rPr>
        <w:t>-рецепторен блокер.</w:t>
      </w:r>
    </w:p>
    <w:p w14:paraId="570F7BC5"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val="en-US"/>
        </w:rPr>
        <w:t xml:space="preserve">ONTARGET </w:t>
      </w:r>
      <w:r w:rsidRPr="0033183C">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Вижте също информацията озаглавена “Сърдечно-съдова профилактика“. </w:t>
      </w:r>
      <w:r w:rsidRPr="0033183C">
        <w:rPr>
          <w:rFonts w:eastAsia="Times New Roman" w:cs="Arial"/>
          <w:color w:val="000000"/>
          <w:lang w:val="en-US"/>
        </w:rPr>
        <w:t xml:space="preserve">VA NEPHRON-D </w:t>
      </w:r>
      <w:r w:rsidRPr="0033183C">
        <w:rPr>
          <w:rFonts w:eastAsia="Times New Roman" w:cs="Arial"/>
          <w:color w:val="000000"/>
          <w:lang w:eastAsia="bg-BG"/>
        </w:rPr>
        <w:t>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w:t>
      </w:r>
      <w:r w:rsidRPr="0033183C">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w:t>
      </w:r>
    </w:p>
    <w:p w14:paraId="5E30D67E" w14:textId="77777777" w:rsidR="0033183C" w:rsidRPr="0033183C" w:rsidRDefault="0033183C" w:rsidP="0033183C">
      <w:pPr>
        <w:spacing w:line="240" w:lineRule="auto"/>
        <w:rPr>
          <w:rFonts w:eastAsia="Times New Roman" w:cs="Arial"/>
          <w:color w:val="000000"/>
          <w:lang w:eastAsia="bg-BG"/>
        </w:rPr>
      </w:pPr>
    </w:p>
    <w:p w14:paraId="080C17C6" w14:textId="3F8B4DB4"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Като се имат предвид сходните им фармакодинамични свойства, тези резултати са приложими и за други АСЕ инхибитори и ангиотензин </w:t>
      </w:r>
      <w:r w:rsidRPr="0033183C">
        <w:rPr>
          <w:rFonts w:eastAsia="Times New Roman" w:cs="Arial"/>
          <w:color w:val="000000"/>
          <w:lang w:val="en-US"/>
        </w:rPr>
        <w:t>II</w:t>
      </w:r>
      <w:r w:rsidRPr="0033183C">
        <w:rPr>
          <w:rFonts w:eastAsia="Times New Roman" w:cs="Arial"/>
          <w:color w:val="000000"/>
          <w:lang w:eastAsia="bg-BG"/>
        </w:rPr>
        <w:t>-рецепторни блокери.</w:t>
      </w:r>
    </w:p>
    <w:p w14:paraId="52F8CD49"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 xml:space="preserve">АСЕ инхибитори и ангиотензин </w:t>
      </w:r>
      <w:r w:rsidRPr="0033183C">
        <w:rPr>
          <w:rFonts w:eastAsia="Times New Roman" w:cs="Arial"/>
          <w:color w:val="000000"/>
          <w:lang w:val="en-US"/>
        </w:rPr>
        <w:t>II</w:t>
      </w:r>
      <w:r w:rsidRPr="0033183C">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2DE858DD"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val="en-US"/>
        </w:rPr>
        <w:t xml:space="preserve">ALTITUDE </w:t>
      </w:r>
      <w:r w:rsidRPr="0033183C">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33183C">
        <w:rPr>
          <w:rFonts w:eastAsia="Times New Roman" w:cs="Arial"/>
          <w:color w:val="000000"/>
          <w:lang w:val="en-US"/>
        </w:rPr>
        <w:t>II</w:t>
      </w:r>
      <w:r w:rsidRPr="0033183C">
        <w:rPr>
          <w:rFonts w:eastAsia="Times New Roman" w:cs="Arial"/>
          <w:color w:val="000000"/>
          <w:lang w:eastAsia="bg-BG"/>
        </w:rPr>
        <w:t xml:space="preserve">-рецепторен блокер при пациенти със захарен диабет тип 2 и хронично бъбречно заболяване, сърдечно-съдово </w:t>
      </w:r>
      <w:r w:rsidRPr="0033183C">
        <w:rPr>
          <w:rFonts w:eastAsia="Times New Roman" w:cs="Arial"/>
          <w:i/>
          <w:iCs/>
          <w:color w:val="000000"/>
          <w:lang w:eastAsia="bg-BG"/>
        </w:rPr>
        <w:t>заболяване или и</w:t>
      </w:r>
      <w:r w:rsidRPr="0033183C">
        <w:rPr>
          <w:rFonts w:eastAsia="Times New Roman" w:cs="Arial"/>
          <w:color w:val="000000"/>
          <w:lang w:eastAsia="bg-BG"/>
        </w:rPr>
        <w:t xml:space="preserve">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5BA02138" w14:textId="77777777" w:rsidR="0033183C" w:rsidRPr="0033183C" w:rsidRDefault="0033183C" w:rsidP="0033183C">
      <w:pPr>
        <w:spacing w:line="240" w:lineRule="auto"/>
        <w:rPr>
          <w:rFonts w:eastAsia="Times New Roman" w:cs="Arial"/>
          <w:color w:val="000000"/>
          <w:lang w:eastAsia="bg-BG"/>
        </w:rPr>
      </w:pPr>
    </w:p>
    <w:p w14:paraId="45A5ECFA" w14:textId="12A19364"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Педиатрична популация</w:t>
      </w:r>
    </w:p>
    <w:p w14:paraId="098112BB" w14:textId="77777777" w:rsidR="0033183C" w:rsidRPr="0033183C" w:rsidRDefault="0033183C" w:rsidP="0033183C">
      <w:pPr>
        <w:spacing w:line="240" w:lineRule="auto"/>
        <w:rPr>
          <w:rFonts w:eastAsia="Times New Roman" w:cs="Arial"/>
          <w:lang w:eastAsia="bg-BG"/>
        </w:rPr>
      </w:pPr>
      <w:r w:rsidRPr="0033183C">
        <w:rPr>
          <w:rFonts w:eastAsia="Times New Roman" w:cs="Arial"/>
          <w:color w:val="000000"/>
          <w:lang w:eastAsia="bg-BG"/>
        </w:rPr>
        <w:t>Безопасността и ефикасността на телмисартан при деца и юноши на възраст под</w:t>
      </w:r>
      <w:r w:rsidRPr="0033183C">
        <w:rPr>
          <w:rFonts w:eastAsia="Times New Roman" w:cs="Arial"/>
          <w:color w:val="000000"/>
          <w:lang w:val="en-US"/>
        </w:rPr>
        <w:t xml:space="preserve"> 18 </w:t>
      </w:r>
      <w:r w:rsidRPr="0033183C">
        <w:rPr>
          <w:rFonts w:eastAsia="Times New Roman" w:cs="Arial"/>
          <w:color w:val="000000"/>
          <w:lang w:eastAsia="bg-BG"/>
        </w:rPr>
        <w:t>години не са установени.</w:t>
      </w:r>
    </w:p>
    <w:p w14:paraId="69BE38CC" w14:textId="7C56CD35" w:rsidR="0033183C" w:rsidRPr="0033183C" w:rsidRDefault="0033183C" w:rsidP="0033183C">
      <w:pPr>
        <w:rPr>
          <w:rFonts w:eastAsia="Times New Roman" w:cs="Arial"/>
          <w:lang w:eastAsia="bg-BG"/>
        </w:rPr>
      </w:pPr>
      <w:r w:rsidRPr="0033183C">
        <w:rPr>
          <w:rFonts w:eastAsia="Times New Roman" w:cs="Arial"/>
          <w:color w:val="000000"/>
          <w:lang w:eastAsia="bg-BG"/>
        </w:rPr>
        <w:lastRenderedPageBreak/>
        <w:t xml:space="preserve">Ефектите на понижаване на кръвното налягане от две дози телмисартан са оценявани при 76 пациенти с хипертония, предимно с наднормено тегло, на възраст от 6 до &lt; 18 години (телесно тегло ≥ 20 </w:t>
      </w:r>
      <w:r w:rsidRPr="0033183C">
        <w:rPr>
          <w:rFonts w:eastAsia="Times New Roman" w:cs="Arial"/>
          <w:color w:val="000000"/>
          <w:lang w:val="en-US"/>
        </w:rPr>
        <w:t xml:space="preserve">kg </w:t>
      </w:r>
      <w:r w:rsidRPr="0033183C">
        <w:rPr>
          <w:rFonts w:eastAsia="Times New Roman" w:cs="Arial"/>
          <w:color w:val="000000"/>
          <w:lang w:eastAsia="bg-BG"/>
        </w:rPr>
        <w:t xml:space="preserve">и ≤120 </w:t>
      </w:r>
      <w:r w:rsidRPr="0033183C">
        <w:rPr>
          <w:rFonts w:eastAsia="Times New Roman" w:cs="Arial"/>
          <w:color w:val="000000"/>
          <w:lang w:val="en-US"/>
        </w:rPr>
        <w:t xml:space="preserve">kg, </w:t>
      </w:r>
      <w:r w:rsidRPr="0033183C">
        <w:rPr>
          <w:rFonts w:eastAsia="Times New Roman" w:cs="Arial"/>
          <w:color w:val="000000"/>
          <w:lang w:eastAsia="bg-BG"/>
        </w:rPr>
        <w:t xml:space="preserve">средно 74,6 </w:t>
      </w:r>
      <w:r w:rsidRPr="0033183C">
        <w:rPr>
          <w:rFonts w:eastAsia="Times New Roman" w:cs="Arial"/>
          <w:color w:val="000000"/>
          <w:lang w:val="en-US"/>
        </w:rPr>
        <w:t xml:space="preserve">kg) </w:t>
      </w:r>
      <w:r w:rsidRPr="0033183C">
        <w:rPr>
          <w:rFonts w:eastAsia="Times New Roman" w:cs="Arial"/>
          <w:color w:val="000000"/>
          <w:lang w:eastAsia="bg-BG"/>
        </w:rPr>
        <w:t xml:space="preserve">след прием на телмисартан 1 </w:t>
      </w:r>
      <w:r w:rsidRPr="0033183C">
        <w:rPr>
          <w:rFonts w:eastAsia="Times New Roman" w:cs="Arial"/>
          <w:color w:val="000000"/>
          <w:lang w:val="en-US"/>
        </w:rPr>
        <w:t>mg/kg (n=29</w:t>
      </w:r>
      <w:r w:rsidRPr="0033183C">
        <w:rPr>
          <w:rFonts w:eastAsia="Times New Roman" w:cs="Arial"/>
          <w:color w:val="000000"/>
        </w:rPr>
        <w:t xml:space="preserve"> </w:t>
      </w:r>
      <w:r w:rsidRPr="0033183C">
        <w:rPr>
          <w:rFonts w:eastAsia="Times New Roman" w:cs="Arial"/>
          <w:color w:val="000000"/>
          <w:lang w:eastAsia="bg-BG"/>
        </w:rPr>
        <w:t xml:space="preserve">лекувани) или 2 </w:t>
      </w:r>
      <w:r w:rsidRPr="0033183C">
        <w:rPr>
          <w:rFonts w:eastAsia="Times New Roman" w:cs="Arial"/>
          <w:color w:val="000000"/>
          <w:lang w:val="en-US"/>
        </w:rPr>
        <w:t>mg/kg (n =</w:t>
      </w:r>
      <w:r w:rsidRPr="0033183C">
        <w:rPr>
          <w:rFonts w:eastAsia="Times New Roman" w:cs="Arial"/>
          <w:color w:val="000000"/>
          <w:lang w:eastAsia="bg-BG"/>
        </w:rPr>
        <w:t xml:space="preserve"> </w:t>
      </w:r>
      <w:r w:rsidRPr="0033183C">
        <w:rPr>
          <w:rFonts w:eastAsia="Times New Roman" w:cs="Arial"/>
          <w:i/>
          <w:iCs/>
          <w:color w:val="000000"/>
          <w:lang w:eastAsia="bg-BG"/>
        </w:rPr>
        <w:t>31 лекувани) за</w:t>
      </w:r>
      <w:r w:rsidRPr="0033183C">
        <w:rPr>
          <w:rFonts w:eastAsia="Times New Roman" w:cs="Arial"/>
          <w:color w:val="000000"/>
          <w:lang w:eastAsia="bg-BG"/>
        </w:rPr>
        <w:t xml:space="preserve"> период на лечение от четири седмици. При включване в изследването наличието на вторична хипертония не е проучвано. При някои от изследваните пациенти, използваните дози са били по-високи от тези, препоръчвани за лечение на хипертония при възрастната популация, като са достигали дневна доза, съизмерима със 160 </w:t>
      </w:r>
      <w:r w:rsidRPr="0033183C">
        <w:rPr>
          <w:rFonts w:eastAsia="Times New Roman" w:cs="Arial"/>
          <w:color w:val="000000"/>
          <w:lang w:val="en-US"/>
        </w:rPr>
        <w:t xml:space="preserve">mg, </w:t>
      </w:r>
      <w:r w:rsidRPr="0033183C">
        <w:rPr>
          <w:rFonts w:eastAsia="Times New Roman" w:cs="Arial"/>
          <w:color w:val="000000"/>
          <w:lang w:eastAsia="bg-BG"/>
        </w:rPr>
        <w:t xml:space="preserve">която е проучвана при възрастни. След коригиране за ефекти на възрастовата група, средно промените на САН спрямо изходните стойности (първична цел) са -14,5 (1,7) </w:t>
      </w:r>
      <w:r w:rsidRPr="0033183C">
        <w:rPr>
          <w:rFonts w:eastAsia="Times New Roman" w:cs="Arial"/>
          <w:color w:val="000000"/>
          <w:lang w:val="en-US"/>
        </w:rPr>
        <w:t xml:space="preserve">mm Hg </w:t>
      </w:r>
      <w:r w:rsidRPr="0033183C">
        <w:rPr>
          <w:rFonts w:eastAsia="Times New Roman" w:cs="Arial"/>
          <w:color w:val="000000"/>
          <w:lang w:eastAsia="bg-BG"/>
        </w:rPr>
        <w:t xml:space="preserve">в групата на телмисартан 2 </w:t>
      </w:r>
      <w:r w:rsidRPr="0033183C">
        <w:rPr>
          <w:rFonts w:eastAsia="Times New Roman" w:cs="Arial"/>
          <w:color w:val="000000"/>
          <w:lang w:val="en-US"/>
        </w:rPr>
        <w:t xml:space="preserve">mg/kg, </w:t>
      </w:r>
      <w:r w:rsidRPr="0033183C">
        <w:rPr>
          <w:rFonts w:eastAsia="Times New Roman" w:cs="Arial"/>
          <w:color w:val="000000"/>
          <w:lang w:eastAsia="bg-BG"/>
        </w:rPr>
        <w:t xml:space="preserve">-9,7(1,7) </w:t>
      </w:r>
      <w:r w:rsidRPr="0033183C">
        <w:rPr>
          <w:rFonts w:eastAsia="Times New Roman" w:cs="Arial"/>
          <w:color w:val="000000"/>
          <w:lang w:val="en-US"/>
        </w:rPr>
        <w:t xml:space="preserve">mm Hg </w:t>
      </w:r>
      <w:r w:rsidRPr="0033183C">
        <w:rPr>
          <w:rFonts w:eastAsia="Times New Roman" w:cs="Arial"/>
          <w:color w:val="000000"/>
          <w:lang w:eastAsia="bg-BG"/>
        </w:rPr>
        <w:t xml:space="preserve">в групата на телмисартан 1 </w:t>
      </w:r>
      <w:r w:rsidRPr="0033183C">
        <w:rPr>
          <w:rFonts w:eastAsia="Times New Roman" w:cs="Arial"/>
          <w:color w:val="000000"/>
          <w:lang w:val="en-US"/>
        </w:rPr>
        <w:t xml:space="preserve">mg/kg </w:t>
      </w:r>
      <w:r w:rsidRPr="0033183C">
        <w:rPr>
          <w:rFonts w:eastAsia="Times New Roman" w:cs="Arial"/>
          <w:color w:val="000000"/>
          <w:lang w:eastAsia="bg-BG"/>
        </w:rPr>
        <w:t xml:space="preserve">и -6,0 (2,4) в плацебо групата. Коригираните промени в ДАН от изходните нива са съответно -8,4 (1,5) </w:t>
      </w:r>
      <w:r w:rsidRPr="0033183C">
        <w:rPr>
          <w:rFonts w:eastAsia="Times New Roman" w:cs="Arial"/>
          <w:color w:val="000000"/>
          <w:lang w:val="en-US"/>
        </w:rPr>
        <w:t xml:space="preserve">mm Hg, </w:t>
      </w:r>
      <w:r w:rsidRPr="0033183C">
        <w:rPr>
          <w:rFonts w:eastAsia="Times New Roman" w:cs="Arial"/>
          <w:color w:val="000000"/>
          <w:lang w:eastAsia="bg-BG"/>
        </w:rPr>
        <w:t xml:space="preserve">-4,5 (1,6) </w:t>
      </w:r>
      <w:r w:rsidRPr="0033183C">
        <w:rPr>
          <w:rFonts w:eastAsia="Times New Roman" w:cs="Arial"/>
          <w:color w:val="000000"/>
          <w:lang w:val="en-US"/>
        </w:rPr>
        <w:t xml:space="preserve">mm Hg </w:t>
      </w:r>
      <w:r w:rsidRPr="0033183C">
        <w:rPr>
          <w:rFonts w:eastAsia="Times New Roman" w:cs="Arial"/>
          <w:color w:val="000000"/>
          <w:lang w:eastAsia="bg-BG"/>
        </w:rPr>
        <w:t xml:space="preserve">и -3,5 </w:t>
      </w:r>
      <w:r w:rsidRPr="0033183C">
        <w:rPr>
          <w:rFonts w:eastAsia="Times New Roman" w:cs="Arial"/>
          <w:color w:val="000000"/>
          <w:lang w:val="en-US"/>
        </w:rPr>
        <w:t xml:space="preserve">(2,1) mm Hg. </w:t>
      </w:r>
      <w:r w:rsidRPr="0033183C">
        <w:rPr>
          <w:rFonts w:eastAsia="Times New Roman" w:cs="Arial"/>
          <w:color w:val="000000"/>
          <w:lang w:eastAsia="bg-BG"/>
        </w:rPr>
        <w:t xml:space="preserve">Промените са дозозависими. Данните за безопасност, от това проучване при пациенти на възраст от 6 до &lt; 18 години като цяло са подобни на тези при възрастни. Безопасността при дългосрочно лечение с телмисартан при_ деца и юноши не е оценявана. Повишение на броя на еозинофилите, съобщавано </w:t>
      </w:r>
      <w:r w:rsidRPr="0033183C">
        <w:rPr>
          <w:rFonts w:eastAsia="Times New Roman" w:cs="Arial"/>
          <w:i/>
          <w:iCs/>
          <w:color w:val="000000"/>
          <w:lang w:eastAsia="bg-BG"/>
        </w:rPr>
        <w:t xml:space="preserve">при тази </w:t>
      </w:r>
      <w:r w:rsidRPr="0033183C">
        <w:rPr>
          <w:rFonts w:eastAsia="Times New Roman" w:cs="Arial"/>
          <w:color w:val="000000"/>
          <w:lang w:eastAsia="bg-BG"/>
        </w:rPr>
        <w:t>популация пациенти, не е установено при възрастни. Клиничното му значение не е известно. Клиничните данни не позволяват да се направи заключение по отношение на ефикасността и безопасността на телмисартан, при педиатрична популация с</w:t>
      </w:r>
      <w:r>
        <w:rPr>
          <w:rFonts w:eastAsia="Times New Roman" w:cs="Arial"/>
          <w:color w:val="000000"/>
          <w:lang w:eastAsia="bg-BG"/>
        </w:rPr>
        <w:t xml:space="preserve"> </w:t>
      </w:r>
      <w:r w:rsidRPr="0033183C">
        <w:rPr>
          <w:rFonts w:eastAsia="Times New Roman" w:cs="Arial"/>
          <w:color w:val="000000"/>
          <w:lang w:eastAsia="bg-BG"/>
        </w:rPr>
        <w:t>хипертония.</w:t>
      </w:r>
    </w:p>
    <w:p w14:paraId="292D7EAC" w14:textId="77777777" w:rsidR="0033183C" w:rsidRPr="0033183C" w:rsidRDefault="0033183C" w:rsidP="0033183C"/>
    <w:p w14:paraId="173D7F1D" w14:textId="290B716D" w:rsidR="00EE6C97" w:rsidRDefault="002C50EE" w:rsidP="00A93499">
      <w:pPr>
        <w:pStyle w:val="Heading2"/>
      </w:pPr>
      <w:r>
        <w:t>5.2. Фармакокинетични свойства</w:t>
      </w:r>
    </w:p>
    <w:p w14:paraId="370B3026" w14:textId="4342FB92" w:rsidR="0033183C" w:rsidRDefault="0033183C" w:rsidP="0033183C"/>
    <w:p w14:paraId="6379D6FB" w14:textId="77777777" w:rsidR="0033183C" w:rsidRPr="0033183C" w:rsidRDefault="0033183C" w:rsidP="0033183C">
      <w:pPr>
        <w:pStyle w:val="Heading3"/>
        <w:rPr>
          <w:rFonts w:eastAsia="Times New Roman"/>
          <w:sz w:val="28"/>
          <w:szCs w:val="28"/>
          <w:u w:val="single"/>
          <w:lang w:eastAsia="bg-BG"/>
        </w:rPr>
      </w:pPr>
      <w:r w:rsidRPr="0033183C">
        <w:rPr>
          <w:rFonts w:eastAsia="Times New Roman"/>
          <w:u w:val="single"/>
          <w:lang w:eastAsia="bg-BG"/>
        </w:rPr>
        <w:t>Абсорбция</w:t>
      </w:r>
    </w:p>
    <w:p w14:paraId="54393DCA"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 xml:space="preserve">Абсорбцията на телмисартан е бърза, въпреки че абсорбираното количество варира. Средната абсолютна бионаличност на телмисартан е около 50%. Когато телмисартан се приема с храна, намаляването на площта под кривата плазмена концентрация-време </w:t>
      </w:r>
      <w:r w:rsidRPr="0033183C">
        <w:rPr>
          <w:rFonts w:eastAsia="Times New Roman" w:cs="Arial"/>
          <w:color w:val="000000"/>
          <w:lang w:val="en-US"/>
        </w:rPr>
        <w:t>(AUC</w:t>
      </w:r>
      <w:r w:rsidRPr="0033183C">
        <w:rPr>
          <w:rFonts w:eastAsia="Times New Roman" w:cs="Arial"/>
          <w:color w:val="000000"/>
          <w:vertAlign w:val="subscript"/>
          <w:lang w:val="en-US"/>
        </w:rPr>
        <w:t>0-∞</w:t>
      </w:r>
      <w:r w:rsidRPr="0033183C">
        <w:rPr>
          <w:rFonts w:eastAsia="Times New Roman" w:cs="Arial"/>
          <w:color w:val="000000"/>
          <w:lang w:eastAsia="bg-BG"/>
        </w:rPr>
        <w:t xml:space="preserve">) на телмисартан варира от около 6% (доза от 40 </w:t>
      </w:r>
      <w:r w:rsidRPr="0033183C">
        <w:rPr>
          <w:rFonts w:eastAsia="Times New Roman" w:cs="Arial"/>
          <w:color w:val="000000"/>
          <w:lang w:val="en-US"/>
        </w:rPr>
        <w:t xml:space="preserve">mg) </w:t>
      </w:r>
      <w:r w:rsidRPr="0033183C">
        <w:rPr>
          <w:rFonts w:eastAsia="Times New Roman" w:cs="Arial"/>
          <w:color w:val="000000"/>
          <w:lang w:eastAsia="bg-BG"/>
        </w:rPr>
        <w:t>до около 19% (доза от</w:t>
      </w:r>
    </w:p>
    <w:p w14:paraId="330449B9"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 xml:space="preserve">160 </w:t>
      </w:r>
      <w:r w:rsidRPr="0033183C">
        <w:rPr>
          <w:rFonts w:eastAsia="Times New Roman" w:cs="Arial"/>
          <w:color w:val="000000"/>
          <w:lang w:val="en-US"/>
        </w:rPr>
        <w:t xml:space="preserve">mg). </w:t>
      </w:r>
      <w:r w:rsidRPr="0033183C">
        <w:rPr>
          <w:rFonts w:eastAsia="Times New Roman" w:cs="Arial"/>
          <w:color w:val="000000"/>
          <w:lang w:eastAsia="bg-BG"/>
        </w:rPr>
        <w:t>Три часа след приема плазмените концентрации са сходни независимо дали телмисартан е приет на гладно или с храна.</w:t>
      </w:r>
    </w:p>
    <w:p w14:paraId="285A5082" w14:textId="77777777" w:rsidR="0033183C" w:rsidRPr="0033183C" w:rsidRDefault="0033183C" w:rsidP="0033183C">
      <w:pPr>
        <w:spacing w:line="240" w:lineRule="auto"/>
        <w:rPr>
          <w:rFonts w:eastAsia="Times New Roman" w:cs="Arial"/>
          <w:color w:val="000000"/>
          <w:u w:val="single"/>
          <w:lang w:eastAsia="bg-BG"/>
        </w:rPr>
      </w:pPr>
    </w:p>
    <w:p w14:paraId="468D01CB" w14:textId="15F9B9D1" w:rsidR="0033183C" w:rsidRPr="0033183C" w:rsidRDefault="0033183C" w:rsidP="0033183C">
      <w:pPr>
        <w:pStyle w:val="Heading3"/>
        <w:rPr>
          <w:rFonts w:eastAsia="Times New Roman"/>
          <w:sz w:val="28"/>
          <w:szCs w:val="28"/>
          <w:u w:val="single"/>
          <w:lang w:eastAsia="bg-BG"/>
        </w:rPr>
      </w:pPr>
      <w:r w:rsidRPr="0033183C">
        <w:rPr>
          <w:rFonts w:eastAsia="Times New Roman"/>
          <w:u w:val="single"/>
          <w:lang w:eastAsia="bg-BG"/>
        </w:rPr>
        <w:t>Разпределение</w:t>
      </w:r>
    </w:p>
    <w:p w14:paraId="2A8A9C71"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 xml:space="preserve">Телмисартан се свързва в голяма степен с плазмените протеини (&gt; 9.9,5 %), предимно с албумин и алфа-1 кисел глюкопротеин. Средният привиден обем на разпределение при достигане на равновесно състояние </w:t>
      </w:r>
      <w:r w:rsidRPr="0033183C">
        <w:rPr>
          <w:rFonts w:eastAsia="Times New Roman" w:cs="Arial"/>
          <w:color w:val="000000"/>
          <w:lang w:val="en-US"/>
        </w:rPr>
        <w:t>(</w:t>
      </w:r>
      <w:proofErr w:type="spellStart"/>
      <w:r w:rsidRPr="0033183C">
        <w:rPr>
          <w:rFonts w:eastAsia="Times New Roman" w:cs="Arial"/>
          <w:color w:val="000000"/>
          <w:lang w:val="en-US"/>
        </w:rPr>
        <w:t>V</w:t>
      </w:r>
      <w:r w:rsidRPr="0033183C">
        <w:rPr>
          <w:rFonts w:eastAsia="Times New Roman" w:cs="Arial"/>
          <w:color w:val="000000"/>
          <w:vertAlign w:val="subscript"/>
          <w:lang w:val="en-US"/>
        </w:rPr>
        <w:t>dss</w:t>
      </w:r>
      <w:proofErr w:type="spellEnd"/>
      <w:r w:rsidRPr="0033183C">
        <w:rPr>
          <w:rFonts w:eastAsia="Times New Roman" w:cs="Arial"/>
          <w:color w:val="000000"/>
          <w:lang w:val="en-US"/>
        </w:rPr>
        <w:t xml:space="preserve">) </w:t>
      </w:r>
      <w:r w:rsidRPr="0033183C">
        <w:rPr>
          <w:rFonts w:eastAsia="Times New Roman" w:cs="Arial"/>
          <w:color w:val="000000"/>
          <w:lang w:eastAsia="bg-BG"/>
        </w:rPr>
        <w:t>е около 500 1.</w:t>
      </w:r>
    </w:p>
    <w:p w14:paraId="4AC7787D" w14:textId="77777777" w:rsidR="0033183C" w:rsidRPr="0033183C" w:rsidRDefault="0033183C" w:rsidP="0033183C">
      <w:pPr>
        <w:spacing w:line="240" w:lineRule="auto"/>
        <w:rPr>
          <w:rFonts w:eastAsia="Times New Roman" w:cs="Arial"/>
          <w:color w:val="000000"/>
          <w:u w:val="single"/>
          <w:lang w:eastAsia="bg-BG"/>
        </w:rPr>
      </w:pPr>
    </w:p>
    <w:p w14:paraId="22A070C5" w14:textId="2BCF4CF1" w:rsidR="0033183C" w:rsidRPr="0033183C" w:rsidRDefault="0033183C" w:rsidP="0033183C">
      <w:pPr>
        <w:pStyle w:val="Heading3"/>
        <w:rPr>
          <w:rFonts w:eastAsia="Times New Roman"/>
          <w:sz w:val="28"/>
          <w:szCs w:val="28"/>
          <w:u w:val="single"/>
          <w:lang w:eastAsia="bg-BG"/>
        </w:rPr>
      </w:pPr>
      <w:r w:rsidRPr="0033183C">
        <w:rPr>
          <w:rFonts w:eastAsia="Times New Roman"/>
          <w:u w:val="single"/>
          <w:lang w:eastAsia="bg-BG"/>
        </w:rPr>
        <w:t>Биотрансформация</w:t>
      </w:r>
    </w:p>
    <w:p w14:paraId="0013079E"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Телмисартан се метаболизира чрез конюгация на изходното вещество до глюкуронид. Не е установена фармакологична активност на конюгата.</w:t>
      </w:r>
    </w:p>
    <w:p w14:paraId="2B359BA5" w14:textId="77777777" w:rsidR="0033183C" w:rsidRPr="0033183C" w:rsidRDefault="0033183C" w:rsidP="0033183C">
      <w:pPr>
        <w:spacing w:line="240" w:lineRule="auto"/>
        <w:rPr>
          <w:rFonts w:eastAsia="Times New Roman" w:cs="Arial"/>
          <w:color w:val="000000"/>
          <w:u w:val="single"/>
          <w:lang w:eastAsia="bg-BG"/>
        </w:rPr>
      </w:pPr>
    </w:p>
    <w:p w14:paraId="7517E7E6" w14:textId="6166436D" w:rsidR="0033183C" w:rsidRPr="0033183C" w:rsidRDefault="0033183C" w:rsidP="0033183C">
      <w:pPr>
        <w:pStyle w:val="Heading3"/>
        <w:rPr>
          <w:rFonts w:eastAsia="Times New Roman"/>
          <w:sz w:val="28"/>
          <w:szCs w:val="28"/>
          <w:u w:val="single"/>
          <w:lang w:eastAsia="bg-BG"/>
        </w:rPr>
      </w:pPr>
      <w:r w:rsidRPr="0033183C">
        <w:rPr>
          <w:rFonts w:eastAsia="Times New Roman"/>
          <w:u w:val="single"/>
          <w:lang w:eastAsia="bg-BG"/>
        </w:rPr>
        <w:t>Елиминиране</w:t>
      </w:r>
    </w:p>
    <w:p w14:paraId="312868E7"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Телмисартан се характеризира с биекспоненциална отслабваща фармакокинетика с терминален елиминационен полуживот &gt;20 часа. Максималната плазмена концентрация (С</w:t>
      </w:r>
      <w:r w:rsidRPr="0033183C">
        <w:rPr>
          <w:rFonts w:eastAsia="Times New Roman" w:cs="Arial"/>
          <w:color w:val="000000"/>
          <w:vertAlign w:val="subscript"/>
          <w:lang w:val="en-US"/>
        </w:rPr>
        <w:t>max</w:t>
      </w:r>
      <w:r w:rsidRPr="0033183C">
        <w:rPr>
          <w:rFonts w:eastAsia="Times New Roman" w:cs="Arial"/>
          <w:color w:val="000000"/>
          <w:lang w:eastAsia="bg-BG"/>
        </w:rPr>
        <w:t xml:space="preserve">) и в по- малка степен площта под кривата плазмена концентрация-време </w:t>
      </w:r>
      <w:r w:rsidRPr="0033183C">
        <w:rPr>
          <w:rFonts w:eastAsia="Times New Roman" w:cs="Arial"/>
          <w:color w:val="000000"/>
          <w:lang w:val="en-US"/>
        </w:rPr>
        <w:t xml:space="preserve">(AUC) </w:t>
      </w:r>
      <w:r w:rsidRPr="0033183C">
        <w:rPr>
          <w:rFonts w:eastAsia="Times New Roman" w:cs="Arial"/>
          <w:color w:val="000000"/>
          <w:lang w:eastAsia="bg-BG"/>
        </w:rPr>
        <w:t>се повишава непропорционално на дозата. Няма данни за клинично значима кумулация на телмисартан при приемане в препоръчителните дози. Плазмените концентрации са по-високи при жени, отколкото при мъже, без значима връзка с ефикасността.</w:t>
      </w:r>
    </w:p>
    <w:p w14:paraId="2C82D9DF" w14:textId="77777777" w:rsidR="0033183C" w:rsidRPr="0033183C" w:rsidRDefault="0033183C" w:rsidP="0033183C">
      <w:pPr>
        <w:spacing w:line="240" w:lineRule="auto"/>
        <w:rPr>
          <w:rFonts w:eastAsia="Times New Roman" w:cs="Arial"/>
          <w:color w:val="000000"/>
          <w:lang w:eastAsia="bg-BG"/>
        </w:rPr>
      </w:pPr>
    </w:p>
    <w:p w14:paraId="764D4141" w14:textId="42A0C3C3"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 xml:space="preserve">След перорално (и интравенозно) приложение телмисартан се екскретира почти изцяло с фекалиите, главно като непроменено съединение. Общата екскреция с урината е &lt; 1% от дозата. Тоталният плазмен клирънс </w:t>
      </w:r>
      <w:r w:rsidRPr="0033183C">
        <w:rPr>
          <w:rFonts w:eastAsia="Times New Roman" w:cs="Arial"/>
          <w:color w:val="000000"/>
          <w:lang w:val="en-US"/>
        </w:rPr>
        <w:t>(</w:t>
      </w:r>
      <w:proofErr w:type="spellStart"/>
      <w:r w:rsidRPr="0033183C">
        <w:rPr>
          <w:rFonts w:eastAsia="Times New Roman" w:cs="Arial"/>
          <w:color w:val="000000"/>
          <w:lang w:val="en-US"/>
        </w:rPr>
        <w:t>Cl</w:t>
      </w:r>
      <w:r w:rsidRPr="0033183C">
        <w:rPr>
          <w:rFonts w:eastAsia="Times New Roman" w:cs="Arial"/>
          <w:color w:val="000000"/>
          <w:vertAlign w:val="subscript"/>
          <w:lang w:val="en-US"/>
        </w:rPr>
        <w:t>tat</w:t>
      </w:r>
      <w:proofErr w:type="spellEnd"/>
      <w:r w:rsidRPr="0033183C">
        <w:rPr>
          <w:rFonts w:eastAsia="Times New Roman" w:cs="Arial"/>
          <w:color w:val="000000"/>
          <w:lang w:val="en-US"/>
        </w:rPr>
        <w:t xml:space="preserve">) </w:t>
      </w:r>
      <w:r w:rsidRPr="0033183C">
        <w:rPr>
          <w:rFonts w:eastAsia="Times New Roman" w:cs="Arial"/>
          <w:color w:val="000000"/>
          <w:lang w:eastAsia="bg-BG"/>
        </w:rPr>
        <w:t xml:space="preserve">е висок (около 1000 </w:t>
      </w:r>
      <w:r w:rsidRPr="0033183C">
        <w:rPr>
          <w:rFonts w:eastAsia="Times New Roman" w:cs="Arial"/>
          <w:color w:val="000000"/>
          <w:lang w:val="en-US"/>
        </w:rPr>
        <w:t xml:space="preserve">ml/min), </w:t>
      </w:r>
      <w:r w:rsidRPr="0033183C">
        <w:rPr>
          <w:rFonts w:eastAsia="Times New Roman" w:cs="Arial"/>
          <w:color w:val="000000"/>
          <w:lang w:eastAsia="bg-BG"/>
        </w:rPr>
        <w:t xml:space="preserve">сравнен с чернодробния кръвен поток (около 1500 </w:t>
      </w:r>
      <w:r w:rsidRPr="0033183C">
        <w:rPr>
          <w:rFonts w:eastAsia="Times New Roman" w:cs="Arial"/>
          <w:color w:val="000000"/>
          <w:lang w:val="en-US"/>
        </w:rPr>
        <w:t>ml/min).</w:t>
      </w:r>
    </w:p>
    <w:p w14:paraId="49EC3590" w14:textId="77777777" w:rsidR="0033183C" w:rsidRPr="0033183C" w:rsidRDefault="0033183C" w:rsidP="0033183C">
      <w:pPr>
        <w:spacing w:line="240" w:lineRule="auto"/>
        <w:rPr>
          <w:rFonts w:eastAsia="Times New Roman" w:cs="Arial"/>
          <w:color w:val="000000"/>
          <w:u w:val="single"/>
          <w:lang w:eastAsia="bg-BG"/>
        </w:rPr>
      </w:pPr>
    </w:p>
    <w:p w14:paraId="0CCD4491" w14:textId="32ED052C" w:rsidR="0033183C" w:rsidRPr="0033183C" w:rsidRDefault="0033183C" w:rsidP="0033183C">
      <w:pPr>
        <w:pStyle w:val="Heading3"/>
        <w:rPr>
          <w:rFonts w:eastAsia="Times New Roman"/>
          <w:sz w:val="28"/>
          <w:szCs w:val="28"/>
          <w:u w:val="single"/>
          <w:lang w:eastAsia="bg-BG"/>
        </w:rPr>
      </w:pPr>
      <w:r w:rsidRPr="0033183C">
        <w:rPr>
          <w:rFonts w:eastAsia="Times New Roman"/>
          <w:u w:val="single"/>
          <w:lang w:eastAsia="bg-BG"/>
        </w:rPr>
        <w:t>Специални популации</w:t>
      </w:r>
    </w:p>
    <w:p w14:paraId="096894E6" w14:textId="77777777" w:rsidR="0033183C" w:rsidRPr="0033183C" w:rsidRDefault="0033183C" w:rsidP="0033183C">
      <w:pPr>
        <w:spacing w:line="240" w:lineRule="auto"/>
        <w:rPr>
          <w:rFonts w:eastAsia="Times New Roman" w:cs="Arial"/>
          <w:i/>
          <w:iCs/>
          <w:color w:val="000000"/>
          <w:lang w:eastAsia="bg-BG"/>
        </w:rPr>
      </w:pPr>
    </w:p>
    <w:p w14:paraId="39CC1C28" w14:textId="05CFA138" w:rsidR="0033183C" w:rsidRPr="0033183C" w:rsidRDefault="0033183C" w:rsidP="0033183C">
      <w:pPr>
        <w:spacing w:line="240" w:lineRule="auto"/>
        <w:rPr>
          <w:rFonts w:eastAsia="Times New Roman" w:cs="Arial"/>
          <w:sz w:val="28"/>
          <w:szCs w:val="28"/>
          <w:lang w:eastAsia="bg-BG"/>
        </w:rPr>
      </w:pPr>
      <w:r w:rsidRPr="0033183C">
        <w:rPr>
          <w:rFonts w:eastAsia="Times New Roman" w:cs="Arial"/>
          <w:i/>
          <w:iCs/>
          <w:color w:val="000000"/>
          <w:lang w:eastAsia="bg-BG"/>
        </w:rPr>
        <w:t>Педиатрична популация</w:t>
      </w:r>
    </w:p>
    <w:p w14:paraId="73FEA5E4" w14:textId="77777777" w:rsidR="0033183C" w:rsidRPr="0033183C" w:rsidRDefault="0033183C" w:rsidP="0033183C">
      <w:pPr>
        <w:rPr>
          <w:rFonts w:eastAsia="Times New Roman" w:cs="Arial"/>
          <w:sz w:val="28"/>
          <w:szCs w:val="28"/>
          <w:lang w:eastAsia="bg-BG"/>
        </w:rPr>
      </w:pPr>
      <w:r w:rsidRPr="0033183C">
        <w:rPr>
          <w:rFonts w:eastAsia="Times New Roman" w:cs="Arial"/>
          <w:color w:val="000000"/>
          <w:lang w:eastAsia="bg-BG"/>
        </w:rPr>
        <w:t>Фармакокинетиката на две дози телмисартан е оценявана като вторична цел при</w:t>
      </w:r>
      <w:r w:rsidRPr="0033183C">
        <w:rPr>
          <w:rFonts w:eastAsia="Times New Roman" w:cs="Arial"/>
          <w:color w:val="000000"/>
          <w:lang w:val="en-US"/>
        </w:rPr>
        <w:t xml:space="preserve"> </w:t>
      </w:r>
      <w:r w:rsidRPr="0033183C">
        <w:rPr>
          <w:rFonts w:eastAsia="Times New Roman" w:cs="Arial"/>
          <w:color w:val="000000"/>
          <w:lang w:eastAsia="bg-BG"/>
        </w:rPr>
        <w:t xml:space="preserve">пациенти с хипертония (п ~ 57), на възраст от 6 до &lt; 18 години след прием на телмисартан 1 </w:t>
      </w:r>
      <w:r w:rsidRPr="0033183C">
        <w:rPr>
          <w:rFonts w:eastAsia="Times New Roman" w:cs="Arial"/>
          <w:color w:val="000000"/>
          <w:lang w:val="en-US"/>
        </w:rPr>
        <w:t xml:space="preserve">mg/kg </w:t>
      </w:r>
      <w:r w:rsidRPr="0033183C">
        <w:rPr>
          <w:rFonts w:eastAsia="Times New Roman" w:cs="Arial"/>
          <w:color w:val="000000"/>
          <w:lang w:eastAsia="bg-BG"/>
        </w:rPr>
        <w:t xml:space="preserve">или 2 </w:t>
      </w:r>
      <w:r w:rsidRPr="0033183C">
        <w:rPr>
          <w:rFonts w:eastAsia="Times New Roman" w:cs="Arial"/>
          <w:color w:val="000000"/>
          <w:lang w:val="en-US"/>
        </w:rPr>
        <w:t xml:space="preserve">mg/kg </w:t>
      </w:r>
      <w:r w:rsidRPr="0033183C">
        <w:rPr>
          <w:rFonts w:eastAsia="Times New Roman" w:cs="Arial"/>
          <w:color w:val="000000"/>
          <w:lang w:eastAsia="bg-BG"/>
        </w:rPr>
        <w:t>за период на лечение от четири седмици. Фармако кинетичните цели включват определяне на стационарното състояние на телмисартан при деца и юноши, и проучване на</w:t>
      </w:r>
      <w:r w:rsidRPr="0033183C">
        <w:rPr>
          <w:rFonts w:eastAsia="Times New Roman" w:cs="Arial"/>
          <w:color w:val="000000"/>
          <w:lang w:eastAsia="bg-BG"/>
        </w:rPr>
        <w:t xml:space="preserve"> </w:t>
      </w:r>
      <w:r w:rsidRPr="0033183C">
        <w:rPr>
          <w:rFonts w:eastAsia="Times New Roman" w:cs="Arial"/>
          <w:color w:val="000000"/>
          <w:lang w:eastAsia="bg-BG"/>
        </w:rPr>
        <w:t>различията, свързани с възрастта. Въпреки, че проучването е било много малко за значима оценка на фармакокинетиката при деца под 12 години, резултатите в повечето случаи са в съответствие с находките при възрастни и потвърждават нелинейността на телмисартан, особено по отношение на С</w:t>
      </w:r>
      <w:r w:rsidRPr="0033183C">
        <w:rPr>
          <w:rFonts w:eastAsia="Times New Roman" w:cs="Arial"/>
          <w:color w:val="000000"/>
          <w:vertAlign w:val="subscript"/>
          <w:lang w:val="en-US"/>
        </w:rPr>
        <w:t>max</w:t>
      </w:r>
      <w:r w:rsidRPr="0033183C">
        <w:rPr>
          <w:rFonts w:eastAsia="Times New Roman" w:cs="Arial"/>
          <w:color w:val="000000"/>
          <w:lang w:val="en-US"/>
        </w:rPr>
        <w:t>.</w:t>
      </w:r>
    </w:p>
    <w:p w14:paraId="094B85D3" w14:textId="77777777" w:rsidR="0033183C" w:rsidRPr="0033183C" w:rsidRDefault="0033183C" w:rsidP="0033183C">
      <w:pPr>
        <w:spacing w:line="240" w:lineRule="auto"/>
        <w:rPr>
          <w:rFonts w:eastAsia="Times New Roman" w:cs="Arial"/>
          <w:i/>
          <w:iCs/>
          <w:color w:val="000000"/>
          <w:lang w:eastAsia="bg-BG"/>
        </w:rPr>
      </w:pPr>
    </w:p>
    <w:p w14:paraId="0B2F2314" w14:textId="533DEA1F" w:rsidR="0033183C" w:rsidRPr="0033183C" w:rsidRDefault="0033183C" w:rsidP="0033183C">
      <w:pPr>
        <w:spacing w:line="240" w:lineRule="auto"/>
        <w:rPr>
          <w:rFonts w:eastAsia="Times New Roman" w:cs="Arial"/>
          <w:sz w:val="28"/>
          <w:szCs w:val="28"/>
          <w:lang w:eastAsia="bg-BG"/>
        </w:rPr>
      </w:pPr>
      <w:r w:rsidRPr="0033183C">
        <w:rPr>
          <w:rFonts w:eastAsia="Times New Roman" w:cs="Arial"/>
          <w:i/>
          <w:iCs/>
          <w:color w:val="000000"/>
          <w:lang w:eastAsia="bg-BG"/>
        </w:rPr>
        <w:t>Пол</w:t>
      </w:r>
    </w:p>
    <w:p w14:paraId="2A61647F"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Наблюдавани са различия в плазмените концентрации, като С</w:t>
      </w:r>
      <w:r w:rsidRPr="0033183C">
        <w:rPr>
          <w:rFonts w:eastAsia="Times New Roman" w:cs="Arial"/>
          <w:color w:val="000000"/>
          <w:vertAlign w:val="subscript"/>
          <w:lang w:val="en-US"/>
        </w:rPr>
        <w:t>max</w:t>
      </w:r>
      <w:r w:rsidRPr="0033183C">
        <w:rPr>
          <w:rFonts w:eastAsia="Times New Roman" w:cs="Arial"/>
          <w:color w:val="000000"/>
          <w:vertAlign w:val="subscript"/>
          <w:lang w:eastAsia="bg-BG"/>
        </w:rPr>
        <w:t xml:space="preserve"> </w:t>
      </w:r>
      <w:r w:rsidRPr="0033183C">
        <w:rPr>
          <w:rFonts w:eastAsia="Times New Roman" w:cs="Arial"/>
          <w:color w:val="000000"/>
          <w:lang w:eastAsia="bg-BG"/>
        </w:rPr>
        <w:t xml:space="preserve">и </w:t>
      </w:r>
      <w:r w:rsidRPr="0033183C">
        <w:rPr>
          <w:rFonts w:eastAsia="Times New Roman" w:cs="Arial"/>
          <w:color w:val="000000"/>
          <w:lang w:val="en-US"/>
        </w:rPr>
        <w:t xml:space="preserve">AUC </w:t>
      </w:r>
      <w:r w:rsidRPr="0033183C">
        <w:rPr>
          <w:rFonts w:eastAsia="Times New Roman" w:cs="Arial"/>
          <w:color w:val="000000"/>
          <w:lang w:eastAsia="bg-BG"/>
        </w:rPr>
        <w:t>са съответно около 3 и 2 пъти по-високи при жените в сравнение с мъжете.</w:t>
      </w:r>
    </w:p>
    <w:p w14:paraId="58272B66" w14:textId="77777777" w:rsidR="0033183C" w:rsidRPr="0033183C" w:rsidRDefault="0033183C" w:rsidP="0033183C">
      <w:pPr>
        <w:spacing w:line="240" w:lineRule="auto"/>
        <w:rPr>
          <w:rFonts w:eastAsia="Times New Roman" w:cs="Arial"/>
          <w:i/>
          <w:iCs/>
          <w:color w:val="000000"/>
          <w:lang w:eastAsia="bg-BG"/>
        </w:rPr>
      </w:pPr>
    </w:p>
    <w:p w14:paraId="755938BF" w14:textId="3159ABF9" w:rsidR="0033183C" w:rsidRPr="0033183C" w:rsidRDefault="0033183C" w:rsidP="0033183C">
      <w:pPr>
        <w:spacing w:line="240" w:lineRule="auto"/>
        <w:rPr>
          <w:rFonts w:eastAsia="Times New Roman" w:cs="Arial"/>
          <w:sz w:val="28"/>
          <w:szCs w:val="28"/>
          <w:lang w:eastAsia="bg-BG"/>
        </w:rPr>
      </w:pPr>
      <w:r w:rsidRPr="0033183C">
        <w:rPr>
          <w:rFonts w:eastAsia="Times New Roman" w:cs="Arial"/>
          <w:i/>
          <w:iCs/>
          <w:color w:val="000000"/>
          <w:lang w:eastAsia="bg-BG"/>
        </w:rPr>
        <w:t>Пациенти в старческа възраст</w:t>
      </w:r>
    </w:p>
    <w:p w14:paraId="7AE2E4B4"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Фармакокинетиката на телмисартан не се различава при пациентите в старческа възраст и тези под 65-годишна възраст.</w:t>
      </w:r>
    </w:p>
    <w:p w14:paraId="59BF2B2B" w14:textId="77777777" w:rsidR="0033183C" w:rsidRPr="0033183C" w:rsidRDefault="0033183C" w:rsidP="0033183C">
      <w:pPr>
        <w:spacing w:line="240" w:lineRule="auto"/>
        <w:rPr>
          <w:rFonts w:eastAsia="Times New Roman" w:cs="Arial"/>
          <w:i/>
          <w:iCs/>
          <w:color w:val="000000"/>
          <w:lang w:eastAsia="bg-BG"/>
        </w:rPr>
      </w:pPr>
    </w:p>
    <w:p w14:paraId="6D6CCE31" w14:textId="71B8CDE1" w:rsidR="0033183C" w:rsidRPr="0033183C" w:rsidRDefault="0033183C" w:rsidP="0033183C">
      <w:pPr>
        <w:spacing w:line="240" w:lineRule="auto"/>
        <w:rPr>
          <w:rFonts w:eastAsia="Times New Roman" w:cs="Arial"/>
          <w:sz w:val="28"/>
          <w:szCs w:val="28"/>
          <w:lang w:eastAsia="bg-BG"/>
        </w:rPr>
      </w:pPr>
      <w:r w:rsidRPr="0033183C">
        <w:rPr>
          <w:rFonts w:eastAsia="Times New Roman" w:cs="Arial"/>
          <w:i/>
          <w:iCs/>
          <w:color w:val="000000"/>
          <w:lang w:eastAsia="bg-BG"/>
        </w:rPr>
        <w:t>Бъбречно увреждане</w:t>
      </w:r>
    </w:p>
    <w:p w14:paraId="022F10EF"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При пациенти с леко до умерено и тежко увреждане на бъбречната функция е наблюдавано удвояване на плазмените концентрации. Въпреки това, по-ниски плазмени концентрации са установени при пациенти с бъбречна недостатъчност, подложени на диализа. Телмисартан се свързва в голяма степен с плазмените протеини при болни с бъбречна недостатъчност и не може да бъде отстранен чрез диализа. При пациенти с бъбречно увреждане времето на полуелиминиране не се променя.</w:t>
      </w:r>
    </w:p>
    <w:p w14:paraId="01BACD43" w14:textId="77777777" w:rsidR="0033183C" w:rsidRPr="0033183C" w:rsidRDefault="0033183C" w:rsidP="0033183C">
      <w:pPr>
        <w:spacing w:line="240" w:lineRule="auto"/>
        <w:rPr>
          <w:rFonts w:eastAsia="Times New Roman" w:cs="Arial"/>
          <w:i/>
          <w:iCs/>
          <w:color w:val="000000"/>
          <w:lang w:eastAsia="bg-BG"/>
        </w:rPr>
      </w:pPr>
    </w:p>
    <w:p w14:paraId="62A96049" w14:textId="15E80955" w:rsidR="0033183C" w:rsidRPr="0033183C" w:rsidRDefault="0033183C" w:rsidP="0033183C">
      <w:pPr>
        <w:spacing w:line="240" w:lineRule="auto"/>
        <w:rPr>
          <w:rFonts w:eastAsia="Times New Roman" w:cs="Arial"/>
          <w:sz w:val="28"/>
          <w:szCs w:val="28"/>
          <w:lang w:eastAsia="bg-BG"/>
        </w:rPr>
      </w:pPr>
      <w:r w:rsidRPr="0033183C">
        <w:rPr>
          <w:rFonts w:eastAsia="Times New Roman" w:cs="Arial"/>
          <w:i/>
          <w:iCs/>
          <w:color w:val="000000"/>
          <w:lang w:eastAsia="bg-BG"/>
        </w:rPr>
        <w:t>Чернодробно увреждане</w:t>
      </w:r>
    </w:p>
    <w:p w14:paraId="16DFCAF5"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Фармакокинетичните проучвания при пациенти с чернодробно увреждане показват повишаване на абсолютната бионаличност почти до 100%. При пациенти с чернодробно увреждане времето на полуелиминиране не се променя.</w:t>
      </w:r>
    </w:p>
    <w:p w14:paraId="7BB9DABD" w14:textId="77777777" w:rsidR="0033183C" w:rsidRPr="0033183C" w:rsidRDefault="0033183C" w:rsidP="0033183C"/>
    <w:p w14:paraId="0CC65FE3" w14:textId="3948B918" w:rsidR="00EE6C97" w:rsidRDefault="002C50EE" w:rsidP="00A93499">
      <w:pPr>
        <w:pStyle w:val="Heading2"/>
      </w:pPr>
      <w:r>
        <w:t>5.3. Предклинични данни за безопасност</w:t>
      </w:r>
    </w:p>
    <w:p w14:paraId="35F1A576" w14:textId="12656E3F" w:rsidR="0033183C" w:rsidRDefault="0033183C" w:rsidP="0033183C"/>
    <w:p w14:paraId="36E1E3BF" w14:textId="77777777"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 xml:space="preserve">В предклинични проучвания за безопасност, дози, водещи до експозиция сравнима с клиничния терапевтичен диапазон, са предизвикали намаляване на параметрите на червените кръвни клетки (брой еритроцити, хемоглобин, хематокрит), промени в бъбречната хемодинамика (повишено ниво на азот в кръвта и креатинин), както и повишен серумен калий при нормотензивни животни. При кучета са наблюдавани дилатация и атрофия на бъбречните тубули. Освен това, при плъхове и кучета е установено увреждане на стомашната лигавица (ерозия, язви или възпаление). Тези фармакологично медиирани нежелани лекарствени реакции, известни от предклиничните </w:t>
      </w:r>
      <w:r w:rsidRPr="0033183C">
        <w:rPr>
          <w:rFonts w:eastAsia="Times New Roman" w:cs="Arial"/>
          <w:color w:val="000000"/>
          <w:lang w:eastAsia="bg-BG"/>
        </w:rPr>
        <w:lastRenderedPageBreak/>
        <w:t>проучвания с инхибитори на ангиотензин конвертиращия ензим и антагонисти на ангиотензин II рецептора, са предотвратени чрез перорално добавяне на физиологичен разтвор.</w:t>
      </w:r>
    </w:p>
    <w:p w14:paraId="3D9233AF" w14:textId="77777777" w:rsidR="0033183C" w:rsidRPr="0033183C" w:rsidRDefault="0033183C" w:rsidP="0033183C">
      <w:pPr>
        <w:spacing w:line="240" w:lineRule="auto"/>
        <w:rPr>
          <w:rFonts w:eastAsia="Times New Roman" w:cs="Arial"/>
          <w:color w:val="000000"/>
          <w:lang w:eastAsia="bg-BG"/>
        </w:rPr>
      </w:pPr>
    </w:p>
    <w:p w14:paraId="12EAEF7B" w14:textId="366436AC"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При двата вида животни са наблюдавани повишена активност на плазмения ренин и хипертрофия/хиперплазия на бъбречните юкстагломеруларни клетки. Тези промени, които са също и ефект на инхибиторите на ангиотензин конвертиращия ензим и на други ангиотензин II рецепторни антагонисти, нямат клинична значимост.</w:t>
      </w:r>
    </w:p>
    <w:p w14:paraId="19890692" w14:textId="77777777" w:rsidR="0033183C" w:rsidRPr="0033183C" w:rsidRDefault="0033183C" w:rsidP="0033183C">
      <w:pPr>
        <w:spacing w:line="240" w:lineRule="auto"/>
        <w:rPr>
          <w:rFonts w:eastAsia="Times New Roman" w:cs="Arial"/>
          <w:color w:val="000000"/>
          <w:lang w:eastAsia="bg-BG"/>
        </w:rPr>
      </w:pPr>
    </w:p>
    <w:p w14:paraId="59F1F409" w14:textId="2CD59A31" w:rsidR="0033183C" w:rsidRPr="0033183C" w:rsidRDefault="0033183C" w:rsidP="0033183C">
      <w:pPr>
        <w:spacing w:line="240" w:lineRule="auto"/>
        <w:rPr>
          <w:rFonts w:eastAsia="Times New Roman" w:cs="Arial"/>
          <w:sz w:val="28"/>
          <w:szCs w:val="28"/>
          <w:lang w:eastAsia="bg-BG"/>
        </w:rPr>
      </w:pPr>
      <w:r w:rsidRPr="0033183C">
        <w:rPr>
          <w:rFonts w:eastAsia="Times New Roman" w:cs="Arial"/>
          <w:color w:val="000000"/>
          <w:lang w:eastAsia="bg-BG"/>
        </w:rPr>
        <w:t>Няма явни доказателства за тератогенен ефект, но при токсични нива на дозите телмисартан е наблюдаван ефект върху постнаталното развитие на поколението като по-ниско телесно тегло, по-късно отваряне на очите и по-висока смъртност.</w:t>
      </w:r>
    </w:p>
    <w:p w14:paraId="4A751F10" w14:textId="77777777" w:rsidR="0033183C" w:rsidRPr="0033183C" w:rsidRDefault="0033183C" w:rsidP="0033183C">
      <w:pPr>
        <w:rPr>
          <w:rFonts w:eastAsia="Times New Roman" w:cs="Arial"/>
          <w:color w:val="000000"/>
          <w:lang w:eastAsia="bg-BG"/>
        </w:rPr>
      </w:pPr>
    </w:p>
    <w:p w14:paraId="58431A36" w14:textId="38CDCE6E" w:rsidR="0033183C" w:rsidRPr="0033183C" w:rsidRDefault="0033183C" w:rsidP="0033183C">
      <w:pPr>
        <w:rPr>
          <w:rFonts w:cs="Arial"/>
          <w:sz w:val="24"/>
          <w:szCs w:val="24"/>
        </w:rPr>
      </w:pPr>
      <w:r w:rsidRPr="0033183C">
        <w:rPr>
          <w:rFonts w:eastAsia="Times New Roman" w:cs="Arial"/>
          <w:color w:val="000000"/>
          <w:lang w:eastAsia="bg-BG"/>
        </w:rPr>
        <w:t xml:space="preserve">Няма данни за мутагенна и съответна кластогенна активност при проучвания </w:t>
      </w:r>
      <w:r w:rsidRPr="0033183C">
        <w:rPr>
          <w:rFonts w:eastAsia="Times New Roman" w:cs="Arial"/>
          <w:i/>
          <w:iCs/>
          <w:color w:val="000000"/>
          <w:lang w:val="en-US"/>
        </w:rPr>
        <w:t>in vitro,</w:t>
      </w:r>
      <w:r w:rsidRPr="0033183C">
        <w:rPr>
          <w:rFonts w:eastAsia="Times New Roman" w:cs="Arial"/>
          <w:color w:val="000000"/>
          <w:lang w:val="en-US"/>
        </w:rPr>
        <w:t xml:space="preserve"> </w:t>
      </w:r>
      <w:r w:rsidRPr="0033183C">
        <w:rPr>
          <w:rFonts w:eastAsia="Times New Roman" w:cs="Arial"/>
          <w:color w:val="000000"/>
          <w:lang w:eastAsia="bg-BG"/>
        </w:rPr>
        <w:t>както</w:t>
      </w:r>
      <w:r w:rsidRPr="0033183C">
        <w:rPr>
          <w:rFonts w:eastAsia="Times New Roman" w:cs="Arial"/>
          <w:color w:val="000000"/>
          <w:lang w:val="en-US"/>
        </w:rPr>
        <w:t xml:space="preserve"> </w:t>
      </w:r>
      <w:r w:rsidRPr="0033183C">
        <w:rPr>
          <w:rFonts w:eastAsia="Times New Roman" w:cs="Arial"/>
          <w:color w:val="000000"/>
          <w:lang w:eastAsia="bg-BG"/>
        </w:rPr>
        <w:t>и доказателства за карциногенност при плъхове и мишки.</w:t>
      </w:r>
    </w:p>
    <w:p w14:paraId="357049A8" w14:textId="27080B91" w:rsidR="00BB22B4" w:rsidRDefault="002C50EE" w:rsidP="00471F10">
      <w:pPr>
        <w:pStyle w:val="Heading1"/>
      </w:pPr>
      <w:r>
        <w:t>7. ПРИТЕЖАТЕЛ НА РАЗРЕШЕНИЕТО ЗА УПОТРЕБА</w:t>
      </w:r>
    </w:p>
    <w:p w14:paraId="7AB08B45" w14:textId="61DBCED9" w:rsidR="0033183C" w:rsidRDefault="0033183C" w:rsidP="0033183C"/>
    <w:p w14:paraId="4B2C280C" w14:textId="77777777" w:rsidR="0033183C" w:rsidRPr="0033183C" w:rsidRDefault="0033183C" w:rsidP="0033183C">
      <w:pPr>
        <w:rPr>
          <w:sz w:val="24"/>
          <w:szCs w:val="24"/>
          <w:lang w:eastAsia="bg-BG"/>
        </w:rPr>
      </w:pPr>
      <w:r w:rsidRPr="0033183C">
        <w:rPr>
          <w:lang w:eastAsia="bg-BG"/>
        </w:rPr>
        <w:t>Алвоген Фарма Трейдинг Юръп ЕООД</w:t>
      </w:r>
    </w:p>
    <w:p w14:paraId="7809225B" w14:textId="77777777" w:rsidR="0033183C" w:rsidRPr="0033183C" w:rsidRDefault="0033183C" w:rsidP="0033183C">
      <w:pPr>
        <w:rPr>
          <w:sz w:val="24"/>
          <w:szCs w:val="24"/>
          <w:lang w:eastAsia="bg-BG"/>
        </w:rPr>
      </w:pPr>
      <w:r w:rsidRPr="0033183C">
        <w:rPr>
          <w:lang w:eastAsia="bg-BG"/>
        </w:rPr>
        <w:t>Бул. България № 86, ет. 1,</w:t>
      </w:r>
    </w:p>
    <w:p w14:paraId="117800A3" w14:textId="77777777" w:rsidR="0033183C" w:rsidRPr="0033183C" w:rsidRDefault="0033183C" w:rsidP="0033183C">
      <w:pPr>
        <w:rPr>
          <w:sz w:val="24"/>
          <w:szCs w:val="24"/>
          <w:lang w:eastAsia="bg-BG"/>
        </w:rPr>
      </w:pPr>
      <w:r w:rsidRPr="0033183C">
        <w:rPr>
          <w:lang w:eastAsia="bg-BG"/>
        </w:rPr>
        <w:t>София 1680</w:t>
      </w:r>
    </w:p>
    <w:p w14:paraId="489B538B" w14:textId="43BD1F31" w:rsidR="0033183C" w:rsidRPr="0033183C" w:rsidRDefault="0033183C" w:rsidP="0033183C">
      <w:r w:rsidRPr="0033183C">
        <w:rPr>
          <w:lang w:eastAsia="bg-BG"/>
        </w:rPr>
        <w:t>България</w:t>
      </w:r>
    </w:p>
    <w:p w14:paraId="0A53321D" w14:textId="0C5FB5FF" w:rsidR="00EE6C97" w:rsidRDefault="00936AD0" w:rsidP="00A93499">
      <w:pPr>
        <w:pStyle w:val="Heading1"/>
      </w:pPr>
      <w:r>
        <w:t>8.</w:t>
      </w:r>
      <w:r w:rsidR="002C50EE">
        <w:t>НОМЕР НА РАЗРЕШЕНИЕТО ЗА УПОТРЕБА</w:t>
      </w:r>
    </w:p>
    <w:p w14:paraId="4ED59CCD" w14:textId="73ED41E8" w:rsidR="0033183C" w:rsidRDefault="0033183C" w:rsidP="0033183C"/>
    <w:p w14:paraId="70064E86" w14:textId="14C65442" w:rsidR="0033183C" w:rsidRPr="0033183C" w:rsidRDefault="0033183C" w:rsidP="0033183C">
      <w:pPr>
        <w:rPr>
          <w:sz w:val="24"/>
          <w:szCs w:val="24"/>
          <w:lang w:eastAsia="bg-BG"/>
        </w:rPr>
      </w:pPr>
      <w:r w:rsidRPr="0033183C">
        <w:rPr>
          <w:lang w:eastAsia="bg-BG"/>
        </w:rPr>
        <w:t>Рег.№: 20130093</w:t>
      </w:r>
    </w:p>
    <w:p w14:paraId="3715C10B" w14:textId="7D3621FE" w:rsidR="00BB22B4" w:rsidRDefault="002C50EE" w:rsidP="00471F10">
      <w:pPr>
        <w:pStyle w:val="Heading1"/>
      </w:pPr>
      <w:r>
        <w:t>9. ДАТА НА ПЪРВО РАЗРЕШАВАНЕ/ПОДНОВЯВАНЕ НА РАЗРЕШЕНИЕТО ЗА УПОТРЕБА</w:t>
      </w:r>
    </w:p>
    <w:p w14:paraId="20C30A08" w14:textId="75649903" w:rsidR="0033183C" w:rsidRDefault="0033183C" w:rsidP="0033183C"/>
    <w:p w14:paraId="763A9B6D" w14:textId="77777777" w:rsidR="0033183C" w:rsidRPr="0033183C" w:rsidRDefault="0033183C" w:rsidP="0033183C">
      <w:pPr>
        <w:rPr>
          <w:sz w:val="24"/>
          <w:szCs w:val="24"/>
          <w:lang w:eastAsia="bg-BG"/>
        </w:rPr>
      </w:pPr>
      <w:r w:rsidRPr="0033183C">
        <w:rPr>
          <w:lang w:eastAsia="bg-BG"/>
        </w:rPr>
        <w:t>Дата на първо разрешаване: 05.03.2013</w:t>
      </w:r>
    </w:p>
    <w:p w14:paraId="4169A300" w14:textId="77777777" w:rsidR="0033183C" w:rsidRPr="0033183C" w:rsidRDefault="0033183C" w:rsidP="0033183C">
      <w:pPr>
        <w:rPr>
          <w:sz w:val="24"/>
          <w:szCs w:val="24"/>
          <w:lang w:eastAsia="bg-BG"/>
        </w:rPr>
      </w:pPr>
      <w:r w:rsidRPr="0033183C">
        <w:rPr>
          <w:lang w:eastAsia="bg-BG"/>
        </w:rPr>
        <w:t>Дата на подновяване: 07.10.2017</w:t>
      </w:r>
    </w:p>
    <w:p w14:paraId="2F4F0C90" w14:textId="77777777" w:rsidR="0033183C" w:rsidRPr="0033183C" w:rsidRDefault="0033183C" w:rsidP="0033183C"/>
    <w:p w14:paraId="43FB38A2" w14:textId="0C18A683" w:rsidR="007C605B" w:rsidRDefault="002C50EE" w:rsidP="005726E3">
      <w:pPr>
        <w:pStyle w:val="Heading1"/>
      </w:pPr>
      <w:r>
        <w:t>10. ДАТА НА АКТУАЛИЗИРАНЕ НА ТЕКСТА</w:t>
      </w:r>
      <w:bookmarkEnd w:id="0"/>
    </w:p>
    <w:p w14:paraId="472617BD" w14:textId="30CB22A4" w:rsidR="00BB22B4" w:rsidRPr="00BB22B4" w:rsidRDefault="0033183C" w:rsidP="0033183C">
      <w:r>
        <w:t>11.2019</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E4A16"/>
    <w:multiLevelType w:val="hybridMultilevel"/>
    <w:tmpl w:val="33943DAA"/>
    <w:lvl w:ilvl="0" w:tplc="CEF41482">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2"/>
  </w:num>
  <w:num w:numId="17" w16cid:durableId="1787119182">
    <w:abstractNumId w:val="28"/>
  </w:num>
  <w:num w:numId="18" w16cid:durableId="722945139">
    <w:abstractNumId w:val="9"/>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10"/>
  </w:num>
  <w:num w:numId="25" w16cid:durableId="50930855">
    <w:abstractNumId w:val="26"/>
  </w:num>
  <w:num w:numId="26" w16cid:durableId="176701536">
    <w:abstractNumId w:val="25"/>
  </w:num>
  <w:num w:numId="27" w16cid:durableId="2050564750">
    <w:abstractNumId w:val="35"/>
  </w:num>
  <w:num w:numId="28" w16cid:durableId="1820733422">
    <w:abstractNumId w:val="6"/>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1"/>
  </w:num>
  <w:num w:numId="37" w16cid:durableId="758528303">
    <w:abstractNumId w:val="18"/>
  </w:num>
  <w:num w:numId="38" w16cid:durableId="178396561">
    <w:abstractNumId w:val="38"/>
  </w:num>
  <w:num w:numId="39" w16cid:durableId="934825996">
    <w:abstractNumId w:val="14"/>
  </w:num>
  <w:num w:numId="40" w16cid:durableId="1900557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3183C"/>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13FA9"/>
    <w:rsid w:val="0075649D"/>
    <w:rsid w:val="007C605B"/>
    <w:rsid w:val="008134C8"/>
    <w:rsid w:val="00814073"/>
    <w:rsid w:val="00826F0D"/>
    <w:rsid w:val="00875EEC"/>
    <w:rsid w:val="00893B92"/>
    <w:rsid w:val="008A6AF2"/>
    <w:rsid w:val="008C70A2"/>
    <w:rsid w:val="00936AD0"/>
    <w:rsid w:val="00954129"/>
    <w:rsid w:val="009773E4"/>
    <w:rsid w:val="009B0AA9"/>
    <w:rsid w:val="009B171C"/>
    <w:rsid w:val="009F1313"/>
    <w:rsid w:val="00A20351"/>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6205</Words>
  <Characters>35373</Characters>
  <Application>Microsoft Office Word</Application>
  <DocSecurity>0</DocSecurity>
  <Lines>294</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2023-01-02T23:17:00Z</dcterms:created>
  <dcterms:modified xsi:type="dcterms:W3CDTF">2023-01-02T23:17:00Z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