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500A0ACC" w:rsidR="00DB32D3" w:rsidRDefault="00DD466D" w:rsidP="005726E3">
      <w:pPr>
        <w:pStyle w:val="Heading1"/>
      </w:pPr>
      <w:r>
        <w:t>1.ИМЕ НА ЛЕКАРСТВЕНИЯ ПРОДУКТ</w:t>
      </w:r>
    </w:p>
    <w:p w14:paraId="2C4D0F26" w14:textId="234AF2E2" w:rsidR="001A6EBD" w:rsidRDefault="001A6EBD" w:rsidP="001A6EBD"/>
    <w:p w14:paraId="5821113E" w14:textId="77777777" w:rsidR="001A6EBD" w:rsidRPr="001A6EBD" w:rsidRDefault="001A6EBD" w:rsidP="001A6EBD">
      <w:pPr>
        <w:rPr>
          <w:sz w:val="24"/>
          <w:szCs w:val="24"/>
          <w:lang w:val="ru-RU"/>
        </w:rPr>
      </w:pPr>
      <w:r w:rsidRPr="001A6EBD">
        <w:rPr>
          <w:lang w:eastAsia="bg-BG"/>
        </w:rPr>
        <w:t xml:space="preserve">Тенокс 5 </w:t>
      </w:r>
      <w:r w:rsidRPr="001A6EBD">
        <w:rPr>
          <w:lang w:val="en-US"/>
        </w:rPr>
        <w:t>mg</w:t>
      </w:r>
      <w:r w:rsidRPr="001A6EBD">
        <w:rPr>
          <w:lang w:val="ru-RU"/>
        </w:rPr>
        <w:t xml:space="preserve"> </w:t>
      </w:r>
      <w:r w:rsidRPr="001A6EBD">
        <w:rPr>
          <w:lang w:eastAsia="bg-BG"/>
        </w:rPr>
        <w:t>таблетки</w:t>
      </w:r>
    </w:p>
    <w:p w14:paraId="079F6EF7" w14:textId="77777777" w:rsidR="001A6EBD" w:rsidRPr="001A6EBD" w:rsidRDefault="001A6EBD" w:rsidP="001A6EBD">
      <w:pPr>
        <w:rPr>
          <w:sz w:val="24"/>
          <w:szCs w:val="24"/>
          <w:lang w:val="ru-RU"/>
        </w:rPr>
      </w:pPr>
      <w:r w:rsidRPr="001A6EBD">
        <w:rPr>
          <w:lang w:eastAsia="bg-BG"/>
        </w:rPr>
        <w:t xml:space="preserve">Тенокс 10 </w:t>
      </w:r>
      <w:r w:rsidRPr="001A6EBD">
        <w:rPr>
          <w:lang w:val="en-US"/>
        </w:rPr>
        <w:t>mg</w:t>
      </w:r>
      <w:r w:rsidRPr="001A6EBD">
        <w:rPr>
          <w:lang w:val="ru-RU"/>
        </w:rPr>
        <w:t xml:space="preserve"> </w:t>
      </w:r>
      <w:r w:rsidRPr="001A6EBD">
        <w:rPr>
          <w:lang w:eastAsia="bg-BG"/>
        </w:rPr>
        <w:t>таблетки</w:t>
      </w:r>
    </w:p>
    <w:p w14:paraId="3F6E7561" w14:textId="77777777" w:rsidR="001A6EBD" w:rsidRPr="001A6EBD" w:rsidRDefault="001A6EBD" w:rsidP="001A6EBD">
      <w:pPr>
        <w:rPr>
          <w:lang w:val="ru-RU"/>
        </w:rPr>
      </w:pPr>
    </w:p>
    <w:p w14:paraId="0A709B60" w14:textId="76413A82" w:rsidR="001A6EBD" w:rsidRPr="001A6EBD" w:rsidRDefault="001A6EBD" w:rsidP="001A6EBD">
      <w:pPr>
        <w:rPr>
          <w:sz w:val="24"/>
          <w:szCs w:val="24"/>
          <w:lang w:val="en-US"/>
        </w:rPr>
      </w:pPr>
      <w:proofErr w:type="spellStart"/>
      <w:r w:rsidRPr="001A6EBD">
        <w:rPr>
          <w:lang w:val="en-US"/>
        </w:rPr>
        <w:t>Tenox</w:t>
      </w:r>
      <w:proofErr w:type="spellEnd"/>
      <w:r w:rsidRPr="001A6EBD">
        <w:rPr>
          <w:lang w:val="en-US"/>
        </w:rPr>
        <w:t xml:space="preserve"> </w:t>
      </w:r>
      <w:r w:rsidRPr="001A6EBD">
        <w:rPr>
          <w:lang w:eastAsia="bg-BG"/>
        </w:rPr>
        <w:t xml:space="preserve">5 </w:t>
      </w:r>
      <w:r w:rsidRPr="001A6EBD">
        <w:rPr>
          <w:lang w:val="en-US"/>
        </w:rPr>
        <w:t>mg tablets</w:t>
      </w:r>
    </w:p>
    <w:p w14:paraId="0D5485EC" w14:textId="1D057AB5" w:rsidR="001A6EBD" w:rsidRPr="001A6EBD" w:rsidRDefault="001A6EBD" w:rsidP="001A6EBD">
      <w:proofErr w:type="spellStart"/>
      <w:r w:rsidRPr="001A6EBD">
        <w:rPr>
          <w:lang w:val="en-US"/>
        </w:rPr>
        <w:t>Tenox</w:t>
      </w:r>
      <w:proofErr w:type="spellEnd"/>
      <w:r w:rsidRPr="001A6EBD">
        <w:rPr>
          <w:lang w:val="en-US"/>
        </w:rPr>
        <w:t xml:space="preserve"> 10 mg tablets</w:t>
      </w:r>
    </w:p>
    <w:p w14:paraId="48E6CABE" w14:textId="0B99D04D" w:rsidR="00DB32D3" w:rsidRDefault="00DD466D" w:rsidP="005726E3">
      <w:pPr>
        <w:pStyle w:val="Heading1"/>
      </w:pPr>
      <w:r>
        <w:t>2. КАЧЕСТВЕН И КОЛИЧЕСТВЕН СЪСТАВ</w:t>
      </w:r>
    </w:p>
    <w:p w14:paraId="26D8C715" w14:textId="655A3171" w:rsidR="001A6EBD" w:rsidRDefault="001A6EBD" w:rsidP="001A6EBD"/>
    <w:p w14:paraId="50279A76" w14:textId="476C040A" w:rsidR="001A6EBD" w:rsidRPr="001A6EBD" w:rsidRDefault="001A6EBD" w:rsidP="001A6EBD">
      <w:pPr>
        <w:rPr>
          <w:sz w:val="24"/>
          <w:szCs w:val="24"/>
        </w:rPr>
      </w:pPr>
      <w:r w:rsidRPr="001A6EBD">
        <w:rPr>
          <w:lang w:eastAsia="bg-BG"/>
        </w:rPr>
        <w:t xml:space="preserve">Всяка таблетка съдържа 5 </w:t>
      </w:r>
      <w:r w:rsidRPr="001A6EBD">
        <w:rPr>
          <w:lang w:val="en-US"/>
        </w:rPr>
        <w:t>mg</w:t>
      </w:r>
      <w:r w:rsidRPr="001A6EBD">
        <w:t xml:space="preserve"> </w:t>
      </w:r>
      <w:r w:rsidRPr="001A6EBD">
        <w:rPr>
          <w:lang w:eastAsia="bg-BG"/>
        </w:rPr>
        <w:t xml:space="preserve">или 10 </w:t>
      </w:r>
      <w:r w:rsidRPr="001A6EBD">
        <w:rPr>
          <w:lang w:val="en-US"/>
        </w:rPr>
        <w:t>mg</w:t>
      </w:r>
      <w:r w:rsidRPr="001A6EBD">
        <w:t xml:space="preserve"> </w:t>
      </w:r>
      <w:r w:rsidRPr="001A6EBD">
        <w:rPr>
          <w:lang w:eastAsia="bg-BG"/>
        </w:rPr>
        <w:t xml:space="preserve">амлодипин </w:t>
      </w:r>
      <w:r w:rsidRPr="001A6EBD">
        <w:rPr>
          <w:i/>
          <w:iCs/>
        </w:rPr>
        <w:t>(</w:t>
      </w:r>
      <w:r w:rsidRPr="001A6EBD">
        <w:rPr>
          <w:i/>
          <w:iCs/>
          <w:lang w:val="en-US"/>
        </w:rPr>
        <w:t>amlodipine</w:t>
      </w:r>
      <w:r w:rsidRPr="001A6EBD">
        <w:rPr>
          <w:i/>
          <w:iCs/>
        </w:rPr>
        <w:t>)</w:t>
      </w:r>
      <w:r w:rsidRPr="001A6EBD">
        <w:t xml:space="preserve"> </w:t>
      </w:r>
      <w:r w:rsidRPr="001A6EBD">
        <w:rPr>
          <w:lang w:eastAsia="bg-BG"/>
        </w:rPr>
        <w:t xml:space="preserve">като 6,42 </w:t>
      </w:r>
      <w:r w:rsidRPr="001A6EBD">
        <w:rPr>
          <w:lang w:val="en-US"/>
        </w:rPr>
        <w:t>mg</w:t>
      </w:r>
      <w:r w:rsidRPr="001A6EBD">
        <w:t xml:space="preserve"> </w:t>
      </w:r>
      <w:r w:rsidRPr="001A6EBD">
        <w:rPr>
          <w:lang w:eastAsia="bg-BG"/>
        </w:rPr>
        <w:t xml:space="preserve">или 12,84 </w:t>
      </w:r>
      <w:r w:rsidRPr="001A6EBD">
        <w:rPr>
          <w:lang w:val="en-US"/>
        </w:rPr>
        <w:t>mg</w:t>
      </w:r>
      <w:r w:rsidRPr="001A6EBD">
        <w:t xml:space="preserve"> </w:t>
      </w:r>
      <w:r w:rsidRPr="001A6EBD">
        <w:rPr>
          <w:lang w:eastAsia="bg-BG"/>
        </w:rPr>
        <w:t xml:space="preserve">амлодипинов малеат </w:t>
      </w:r>
      <w:r w:rsidRPr="001A6EBD">
        <w:rPr>
          <w:i/>
          <w:iCs/>
        </w:rPr>
        <w:t>(</w:t>
      </w:r>
      <w:r w:rsidRPr="001A6EBD">
        <w:rPr>
          <w:i/>
          <w:iCs/>
          <w:lang w:val="en-US"/>
        </w:rPr>
        <w:t>amlodipine</w:t>
      </w:r>
      <w:r w:rsidRPr="001A6EBD">
        <w:rPr>
          <w:i/>
          <w:iCs/>
        </w:rPr>
        <w:t xml:space="preserve"> </w:t>
      </w:r>
      <w:r w:rsidRPr="001A6EBD">
        <w:rPr>
          <w:i/>
          <w:iCs/>
          <w:lang w:val="en-US"/>
        </w:rPr>
        <w:t>maleate</w:t>
      </w:r>
      <w:r w:rsidRPr="001A6EBD">
        <w:rPr>
          <w:i/>
          <w:iCs/>
        </w:rPr>
        <w:t>).</w:t>
      </w:r>
    </w:p>
    <w:p w14:paraId="614984C4" w14:textId="15E3D75E" w:rsidR="008A6AF2" w:rsidRDefault="00DD466D" w:rsidP="002C50EE">
      <w:pPr>
        <w:pStyle w:val="Heading1"/>
      </w:pPr>
      <w:r>
        <w:t>3. ЛЕКАРСТВЕНА ФОРМА</w:t>
      </w:r>
    </w:p>
    <w:p w14:paraId="60C9DB8E" w14:textId="3AF8CF72" w:rsidR="001A6EBD" w:rsidRDefault="001A6EBD" w:rsidP="001A6EBD"/>
    <w:p w14:paraId="4A58045A" w14:textId="77777777" w:rsidR="001A6EBD" w:rsidRPr="001A6EBD" w:rsidRDefault="001A6EBD" w:rsidP="001A6EBD">
      <w:pPr>
        <w:rPr>
          <w:sz w:val="24"/>
          <w:szCs w:val="24"/>
        </w:rPr>
      </w:pPr>
      <w:r w:rsidRPr="001A6EBD">
        <w:rPr>
          <w:lang w:eastAsia="bg-BG"/>
        </w:rPr>
        <w:t>Таблетка.</w:t>
      </w:r>
    </w:p>
    <w:p w14:paraId="3B5BDFED" w14:textId="77777777" w:rsidR="001A6EBD" w:rsidRDefault="001A6EBD" w:rsidP="001A6EBD">
      <w:pPr>
        <w:rPr>
          <w:lang w:eastAsia="bg-BG"/>
        </w:rPr>
      </w:pPr>
    </w:p>
    <w:p w14:paraId="2DABBBA0" w14:textId="16B86733" w:rsidR="001A6EBD" w:rsidRPr="001A6EBD" w:rsidRDefault="001A6EBD" w:rsidP="001A6EBD">
      <w:pPr>
        <w:rPr>
          <w:sz w:val="24"/>
          <w:szCs w:val="24"/>
        </w:rPr>
      </w:pPr>
      <w:r w:rsidRPr="001A6EBD">
        <w:rPr>
          <w:lang w:eastAsia="bg-BG"/>
        </w:rPr>
        <w:t>Таблетките от двете дозови единици са бели, кръгли, леко двойноизпъкнали таблетки с делител на черта от едната страна.</w:t>
      </w:r>
    </w:p>
    <w:p w14:paraId="3049B52E" w14:textId="77777777" w:rsidR="001A6EBD" w:rsidRPr="001A6EBD" w:rsidRDefault="001A6EBD" w:rsidP="001A6EBD">
      <w:pPr>
        <w:rPr>
          <w:sz w:val="24"/>
          <w:szCs w:val="24"/>
        </w:rPr>
      </w:pPr>
      <w:r w:rsidRPr="001A6EBD">
        <w:rPr>
          <w:lang w:eastAsia="bg-BG"/>
        </w:rPr>
        <w:t>Таблетката може да се дели на равни дози.</w:t>
      </w:r>
    </w:p>
    <w:p w14:paraId="763B21BA" w14:textId="77777777" w:rsidR="001A6EBD" w:rsidRPr="001A6EBD" w:rsidRDefault="001A6EBD" w:rsidP="001A6EBD"/>
    <w:p w14:paraId="490FC2C4" w14:textId="6899DE43" w:rsidR="002C50EE" w:rsidRDefault="002C50EE" w:rsidP="002C50EE">
      <w:pPr>
        <w:pStyle w:val="Heading1"/>
      </w:pPr>
      <w:r>
        <w:t>4. КЛИНИЧНИ ДАННИ</w:t>
      </w:r>
    </w:p>
    <w:p w14:paraId="0771830A" w14:textId="4EAA5D1D" w:rsidR="00DB32D3" w:rsidRDefault="002C50EE" w:rsidP="005726E3">
      <w:pPr>
        <w:pStyle w:val="Heading2"/>
      </w:pPr>
      <w:r>
        <w:t>4.1. Терапевтични показания</w:t>
      </w:r>
    </w:p>
    <w:p w14:paraId="78C30F74" w14:textId="6E34C0E3" w:rsidR="001A6EBD" w:rsidRDefault="001A6EBD" w:rsidP="001A6EBD"/>
    <w:p w14:paraId="56C05CC8" w14:textId="77777777" w:rsidR="001A6EBD" w:rsidRPr="001A6EBD" w:rsidRDefault="001A6EBD" w:rsidP="001A6EBD">
      <w:pPr>
        <w:rPr>
          <w:sz w:val="24"/>
          <w:szCs w:val="24"/>
        </w:rPr>
      </w:pPr>
      <w:r w:rsidRPr="001A6EBD">
        <w:rPr>
          <w:lang w:eastAsia="bg-BG"/>
        </w:rPr>
        <w:t>Хипертония.</w:t>
      </w:r>
    </w:p>
    <w:p w14:paraId="2CB44730" w14:textId="77777777" w:rsidR="001A6EBD" w:rsidRPr="001A6EBD" w:rsidRDefault="001A6EBD" w:rsidP="001A6EBD">
      <w:pPr>
        <w:rPr>
          <w:sz w:val="24"/>
          <w:szCs w:val="24"/>
        </w:rPr>
      </w:pPr>
      <w:r w:rsidRPr="001A6EBD">
        <w:rPr>
          <w:lang w:eastAsia="bg-BG"/>
        </w:rPr>
        <w:t>Хронична стабилна ангина пекторис.</w:t>
      </w:r>
    </w:p>
    <w:p w14:paraId="78D8A618" w14:textId="1CE20430" w:rsidR="001A6EBD" w:rsidRDefault="001A6EBD" w:rsidP="001A6EBD">
      <w:pPr>
        <w:rPr>
          <w:lang w:eastAsia="bg-BG"/>
        </w:rPr>
      </w:pPr>
      <w:r w:rsidRPr="001A6EBD">
        <w:rPr>
          <w:lang w:eastAsia="bg-BG"/>
        </w:rPr>
        <w:t xml:space="preserve">Вазоспастична </w:t>
      </w:r>
      <w:r w:rsidRPr="001A6EBD">
        <w:rPr>
          <w:lang w:val="ru-RU"/>
        </w:rPr>
        <w:t>(</w:t>
      </w:r>
      <w:proofErr w:type="spellStart"/>
      <w:r w:rsidRPr="001A6EBD">
        <w:rPr>
          <w:lang w:val="en-US"/>
        </w:rPr>
        <w:t>Prinzmetal</w:t>
      </w:r>
      <w:proofErr w:type="spellEnd"/>
      <w:r w:rsidRPr="001A6EBD">
        <w:rPr>
          <w:lang w:val="ru-RU"/>
        </w:rPr>
        <w:t xml:space="preserve">) </w:t>
      </w:r>
      <w:r w:rsidRPr="001A6EBD">
        <w:rPr>
          <w:lang w:eastAsia="bg-BG"/>
        </w:rPr>
        <w:t>ангина пекторис.</w:t>
      </w:r>
    </w:p>
    <w:p w14:paraId="25C765CE" w14:textId="77777777" w:rsidR="001A6EBD" w:rsidRPr="001A6EBD" w:rsidRDefault="001A6EBD" w:rsidP="001A6EBD"/>
    <w:p w14:paraId="7647A102" w14:textId="15265CE9" w:rsidR="00DB32D3" w:rsidRDefault="002C50EE" w:rsidP="005726E3">
      <w:pPr>
        <w:pStyle w:val="Heading2"/>
      </w:pPr>
      <w:r>
        <w:t>4.2. Дозировка и начин на приложение</w:t>
      </w:r>
    </w:p>
    <w:p w14:paraId="7BC70399" w14:textId="6D99446F" w:rsidR="001A6EBD" w:rsidRDefault="001A6EBD" w:rsidP="001A6EBD"/>
    <w:p w14:paraId="1B0BBE69" w14:textId="77777777" w:rsidR="001A6EBD" w:rsidRPr="001A6EBD" w:rsidRDefault="001A6EBD" w:rsidP="001A6EBD">
      <w:pPr>
        <w:pStyle w:val="Heading3"/>
        <w:rPr>
          <w:rFonts w:eastAsia="Times New Roman"/>
          <w:sz w:val="28"/>
          <w:u w:val="single"/>
        </w:rPr>
      </w:pPr>
      <w:r w:rsidRPr="001A6EBD">
        <w:rPr>
          <w:rFonts w:eastAsia="Times New Roman"/>
          <w:u w:val="single"/>
          <w:lang w:eastAsia="bg-BG"/>
        </w:rPr>
        <w:t>Дозировка</w:t>
      </w:r>
    </w:p>
    <w:p w14:paraId="552189ED" w14:textId="77777777" w:rsidR="001A6EBD" w:rsidRPr="001A6EBD" w:rsidRDefault="001A6EBD" w:rsidP="001A6EBD">
      <w:pPr>
        <w:spacing w:line="240" w:lineRule="auto"/>
        <w:rPr>
          <w:rFonts w:eastAsia="Times New Roman" w:cs="Arial"/>
          <w:color w:val="000000"/>
          <w:szCs w:val="20"/>
          <w:u w:val="single"/>
          <w:lang w:eastAsia="bg-BG"/>
        </w:rPr>
      </w:pPr>
    </w:p>
    <w:p w14:paraId="2C947699" w14:textId="2018091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При възрастни</w:t>
      </w:r>
    </w:p>
    <w:p w14:paraId="569684C0"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При хипертония и стенокардия обичайната начална доза е 5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Тенокс веднъж дневно, която може да бъде увеличена до максимална доза от 10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в зависимост от индивидуалния отговор на пациента.</w:t>
      </w:r>
    </w:p>
    <w:p w14:paraId="7B0157BC" w14:textId="77777777" w:rsidR="001A6EBD" w:rsidRPr="001A6EBD" w:rsidRDefault="001A6EBD" w:rsidP="001A6EBD">
      <w:pPr>
        <w:spacing w:line="240" w:lineRule="auto"/>
        <w:rPr>
          <w:rFonts w:eastAsia="Times New Roman" w:cs="Arial"/>
          <w:color w:val="000000"/>
          <w:szCs w:val="20"/>
          <w:lang w:eastAsia="bg-BG"/>
        </w:rPr>
      </w:pPr>
    </w:p>
    <w:p w14:paraId="676FAA4A" w14:textId="02B52962"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При пациенти с хипертония, Тенокс е бил използван в комбинация с тиазидни диуретици, алфа- блокери, бета-блокери или инхибитори на ангиотензин-конвертиращия ензим. Тенокс може да се използва като монотерапия или в комбинация с други антиангинозни </w:t>
      </w:r>
      <w:r w:rsidRPr="001A6EBD">
        <w:rPr>
          <w:rFonts w:eastAsia="Times New Roman" w:cs="Arial"/>
          <w:color w:val="000000"/>
          <w:szCs w:val="20"/>
          <w:lang w:eastAsia="bg-BG"/>
        </w:rPr>
        <w:lastRenderedPageBreak/>
        <w:t>лекарствени продукти при пациенти с ангина, рефрактерна на нитрати и / или адекватни дози бета-блокери.</w:t>
      </w:r>
    </w:p>
    <w:p w14:paraId="0E7572BB" w14:textId="77777777" w:rsidR="001A6EBD" w:rsidRPr="001A6EBD" w:rsidRDefault="001A6EBD" w:rsidP="001A6EBD">
      <w:pPr>
        <w:spacing w:line="240" w:lineRule="auto"/>
        <w:rPr>
          <w:rFonts w:eastAsia="Times New Roman" w:cs="Arial"/>
          <w:color w:val="000000"/>
          <w:szCs w:val="20"/>
          <w:lang w:eastAsia="bg-BG"/>
        </w:rPr>
      </w:pPr>
    </w:p>
    <w:p w14:paraId="41E4D257" w14:textId="7D8FBDE8"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Не се налага промяна на дозата на Тенокс при едновременното приложение на тиазидни диуретици, бета-блокери и инхибитори на ангиотензин-конвертиращия ензим.</w:t>
      </w:r>
    </w:p>
    <w:p w14:paraId="24A3E374" w14:textId="77777777" w:rsidR="001A6EBD" w:rsidRPr="001A6EBD" w:rsidRDefault="001A6EBD" w:rsidP="001A6EBD">
      <w:pPr>
        <w:spacing w:line="240" w:lineRule="auto"/>
        <w:rPr>
          <w:rFonts w:eastAsia="Times New Roman" w:cs="Arial"/>
          <w:color w:val="000000"/>
          <w:szCs w:val="20"/>
          <w:u w:val="single"/>
          <w:lang w:eastAsia="bg-BG"/>
        </w:rPr>
      </w:pPr>
    </w:p>
    <w:p w14:paraId="02663E4F" w14:textId="4ABF36BE"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Специални популации</w:t>
      </w:r>
    </w:p>
    <w:p w14:paraId="277102FD" w14:textId="77777777"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Старческа възраст</w:t>
      </w:r>
    </w:p>
    <w:p w14:paraId="358C76C9"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Тенокс, използван в сходни дози при пациенти в старческа възраст или по-млади пациенти се</w:t>
      </w:r>
    </w:p>
    <w:p w14:paraId="378C8E3C" w14:textId="6E7A2E81" w:rsidR="001A6EBD" w:rsidRPr="001A6EBD" w:rsidRDefault="001A6EBD" w:rsidP="001A6EBD">
      <w:pPr>
        <w:rPr>
          <w:rFonts w:eastAsia="Times New Roman" w:cs="Arial"/>
          <w:sz w:val="28"/>
          <w:szCs w:val="24"/>
        </w:rPr>
      </w:pPr>
      <w:r w:rsidRPr="001A6EBD">
        <w:rPr>
          <w:rFonts w:eastAsia="Times New Roman" w:cs="Arial"/>
          <w:color w:val="000000"/>
          <w:szCs w:val="20"/>
          <w:lang w:eastAsia="bg-BG"/>
        </w:rPr>
        <w:t>понася еднакво добре. При пациенти в старческа възраст се препоръчват стандартните режими на дозиране, но повишаването на дозата трябва да се извършва с повишено внимание (вж.</w:t>
      </w:r>
      <w:r w:rsidRPr="001A6EBD">
        <w:rPr>
          <w:rFonts w:cs="Arial"/>
          <w:szCs w:val="20"/>
        </w:rPr>
        <w:t xml:space="preserve"> </w:t>
      </w:r>
      <w:r w:rsidRPr="001A6EBD">
        <w:rPr>
          <w:rFonts w:eastAsia="Times New Roman" w:cs="Arial"/>
          <w:color w:val="000000"/>
          <w:szCs w:val="20"/>
          <w:lang w:eastAsia="bg-BG"/>
        </w:rPr>
        <w:t>точки 4.4 и 5.2).</w:t>
      </w:r>
    </w:p>
    <w:p w14:paraId="03D239A3" w14:textId="77777777" w:rsidR="001A6EBD" w:rsidRPr="001A6EBD" w:rsidRDefault="001A6EBD" w:rsidP="001A6EBD">
      <w:pPr>
        <w:spacing w:line="240" w:lineRule="auto"/>
        <w:rPr>
          <w:rFonts w:eastAsia="Times New Roman" w:cs="Arial"/>
          <w:i/>
          <w:iCs/>
          <w:color w:val="000000"/>
          <w:szCs w:val="20"/>
          <w:lang w:eastAsia="bg-BG"/>
        </w:rPr>
      </w:pPr>
    </w:p>
    <w:p w14:paraId="2639713C" w14:textId="6056FA6E"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Чернодробно увреждане</w:t>
      </w:r>
    </w:p>
    <w:p w14:paraId="04B9D1AF"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Няма специални препоръки за дозиране при пациенти с леко до умерено чернодробно увреждане; следователно изборът на дозата трябва да става внимателно, като той трябва да започне от най-ниския диапазона на дозиране (вж. точки 4.4 и 5.2). Фармакокинетиката на амлодипин не е проучена при тежко чернодробно увреждане, Амлодипин трябва да се назначава от най-ниската доза и да се титрира бавно при пациенти с тежко чернодробно увреждане.</w:t>
      </w:r>
    </w:p>
    <w:p w14:paraId="35A197CF" w14:textId="77777777" w:rsidR="001A6EBD" w:rsidRPr="001A6EBD" w:rsidRDefault="001A6EBD" w:rsidP="001A6EBD">
      <w:pPr>
        <w:spacing w:line="240" w:lineRule="auto"/>
        <w:rPr>
          <w:rFonts w:eastAsia="Times New Roman" w:cs="Arial"/>
          <w:i/>
          <w:iCs/>
          <w:color w:val="000000"/>
          <w:szCs w:val="20"/>
          <w:lang w:eastAsia="bg-BG"/>
        </w:rPr>
      </w:pPr>
    </w:p>
    <w:p w14:paraId="67ADD39B" w14:textId="32F9D65E"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Бъбречно увреждане</w:t>
      </w:r>
    </w:p>
    <w:p w14:paraId="129BC185"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Промените в плазмените концентрации на амлодипин не са обвързани със степента на бъбречно увреждане, затова се препоръчва стандартна доза. Амлодипин не се диализира.</w:t>
      </w:r>
    </w:p>
    <w:p w14:paraId="088877ED" w14:textId="77777777" w:rsidR="001A6EBD" w:rsidRPr="001A6EBD" w:rsidRDefault="001A6EBD" w:rsidP="001A6EBD">
      <w:pPr>
        <w:spacing w:line="240" w:lineRule="auto"/>
        <w:rPr>
          <w:rFonts w:eastAsia="Times New Roman" w:cs="Arial"/>
          <w:i/>
          <w:iCs/>
          <w:color w:val="000000"/>
          <w:szCs w:val="20"/>
          <w:lang w:eastAsia="bg-BG"/>
        </w:rPr>
      </w:pPr>
    </w:p>
    <w:p w14:paraId="7C5BC77B" w14:textId="427B2007"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Педиатрична популация</w:t>
      </w:r>
    </w:p>
    <w:p w14:paraId="6800B46A" w14:textId="258D8D86"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u w:val="single"/>
          <w:lang w:eastAsia="bg-BG"/>
        </w:rPr>
        <w:t>Деца и юноши с хипертония на възраст от 6 години до 17 години</w:t>
      </w:r>
    </w:p>
    <w:p w14:paraId="7E1634B9"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Препоръчителната антихипертензивна перорална доза при деца на възраст от 6-17 години е 2,5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веднъж дневно като началната доза се повишава до дозата от 5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веднъж дневно, ако прицелното кръвно налягане не се постигне след 4 седмици. Дози по-големи от 5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дневно не са проучвани при педиатрични пациенти (вж. точки 5.1 и 5.2).</w:t>
      </w:r>
    </w:p>
    <w:p w14:paraId="5E4494EB" w14:textId="77777777" w:rsidR="001A6EBD" w:rsidRPr="001A6EBD" w:rsidRDefault="001A6EBD" w:rsidP="001A6EBD">
      <w:pPr>
        <w:spacing w:line="240" w:lineRule="auto"/>
        <w:rPr>
          <w:rFonts w:eastAsia="Times New Roman" w:cs="Arial"/>
          <w:i/>
          <w:iCs/>
          <w:color w:val="000000"/>
          <w:szCs w:val="20"/>
          <w:u w:val="single"/>
          <w:lang w:eastAsia="bg-BG"/>
        </w:rPr>
      </w:pPr>
    </w:p>
    <w:p w14:paraId="0C9CEA02" w14:textId="77777777" w:rsidR="001A6EBD" w:rsidRPr="001A6EBD" w:rsidRDefault="001A6EBD" w:rsidP="001A6EBD">
      <w:pPr>
        <w:spacing w:line="240" w:lineRule="auto"/>
        <w:rPr>
          <w:rFonts w:eastAsia="Times New Roman" w:cs="Arial"/>
          <w:i/>
          <w:iCs/>
          <w:color w:val="000000"/>
          <w:szCs w:val="20"/>
          <w:u w:val="single"/>
          <w:lang w:eastAsia="bg-BG"/>
        </w:rPr>
      </w:pPr>
      <w:r w:rsidRPr="001A6EBD">
        <w:rPr>
          <w:rFonts w:eastAsia="Times New Roman" w:cs="Arial"/>
          <w:i/>
          <w:iCs/>
          <w:color w:val="000000"/>
          <w:szCs w:val="20"/>
          <w:u w:val="single"/>
          <w:lang w:eastAsia="bg-BG"/>
        </w:rPr>
        <w:t xml:space="preserve">Деца под 6-годишна възраст </w:t>
      </w:r>
    </w:p>
    <w:p w14:paraId="34F1A4D4" w14:textId="29F3E4CA"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Няма налични данни.</w:t>
      </w:r>
    </w:p>
    <w:p w14:paraId="33D9147E" w14:textId="77777777" w:rsidR="001A6EBD" w:rsidRPr="001A6EBD" w:rsidRDefault="001A6EBD" w:rsidP="001A6EBD">
      <w:pPr>
        <w:spacing w:line="240" w:lineRule="auto"/>
        <w:rPr>
          <w:rFonts w:eastAsia="Times New Roman" w:cs="Arial"/>
          <w:color w:val="000000"/>
          <w:szCs w:val="20"/>
          <w:u w:val="single"/>
          <w:lang w:eastAsia="bg-BG"/>
        </w:rPr>
      </w:pPr>
    </w:p>
    <w:p w14:paraId="354D2A2A" w14:textId="0811F462" w:rsidR="001A6EBD" w:rsidRPr="001A6EBD" w:rsidRDefault="001A6EBD" w:rsidP="001A6EBD">
      <w:pPr>
        <w:pStyle w:val="Heading3"/>
        <w:rPr>
          <w:rFonts w:eastAsia="Times New Roman"/>
          <w:sz w:val="28"/>
          <w:u w:val="single"/>
        </w:rPr>
      </w:pPr>
      <w:r w:rsidRPr="001A6EBD">
        <w:rPr>
          <w:rFonts w:eastAsia="Times New Roman"/>
          <w:u w:val="single"/>
          <w:lang w:eastAsia="bg-BG"/>
        </w:rPr>
        <w:t>Начин на приложение</w:t>
      </w:r>
    </w:p>
    <w:p w14:paraId="2BE343CC" w14:textId="2A6FAB11" w:rsidR="001A6EBD" w:rsidRDefault="001A6EBD" w:rsidP="001A6EBD">
      <w:pPr>
        <w:rPr>
          <w:rFonts w:eastAsia="Times New Roman" w:cs="Arial"/>
          <w:color w:val="000000"/>
          <w:szCs w:val="20"/>
          <w:lang w:eastAsia="bg-BG"/>
        </w:rPr>
      </w:pPr>
      <w:r w:rsidRPr="001A6EBD">
        <w:rPr>
          <w:rFonts w:eastAsia="Times New Roman" w:cs="Arial"/>
          <w:color w:val="000000"/>
          <w:szCs w:val="20"/>
          <w:lang w:eastAsia="bg-BG"/>
        </w:rPr>
        <w:t>Таблетка за перорално приложение.</w:t>
      </w:r>
    </w:p>
    <w:p w14:paraId="19026639" w14:textId="77777777" w:rsidR="001A6EBD" w:rsidRPr="001A6EBD" w:rsidRDefault="001A6EBD" w:rsidP="001A6EBD">
      <w:pPr>
        <w:rPr>
          <w:rFonts w:cs="Arial"/>
          <w:sz w:val="24"/>
        </w:rPr>
      </w:pPr>
    </w:p>
    <w:p w14:paraId="74903285" w14:textId="4192FAEC" w:rsidR="00DB32D3" w:rsidRDefault="002C50EE" w:rsidP="005726E3">
      <w:pPr>
        <w:pStyle w:val="Heading2"/>
      </w:pPr>
      <w:r>
        <w:t>4.3. Противопоказания</w:t>
      </w:r>
    </w:p>
    <w:p w14:paraId="3EB11497" w14:textId="0C185148" w:rsidR="001A6EBD" w:rsidRDefault="001A6EBD" w:rsidP="001A6EBD"/>
    <w:p w14:paraId="6E5CE7E5"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Амлодипин е противопоказан при пациенти с:</w:t>
      </w:r>
    </w:p>
    <w:p w14:paraId="401A8EB2" w14:textId="77777777"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t>Тежка хипотония,</w:t>
      </w:r>
    </w:p>
    <w:p w14:paraId="2967D9A1" w14:textId="77777777"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t>Шок (включително кардиогенен шок),</w:t>
      </w:r>
    </w:p>
    <w:p w14:paraId="05E4A369" w14:textId="77777777"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t xml:space="preserve">Свръхчувствителност към активното вещество, към производни на дихидропиридините, или към някое от помощните вещества, изброени в точка 6.1, </w:t>
      </w:r>
    </w:p>
    <w:p w14:paraId="3915792E" w14:textId="77777777"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t xml:space="preserve">Хемодинамично нестабилна сърдечна недостатъчност след остър инфаркт на миокарда, </w:t>
      </w:r>
    </w:p>
    <w:p w14:paraId="2391F7E1" w14:textId="2F5DB5D5"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lastRenderedPageBreak/>
        <w:t>Обструкция на оттичането на кръвта от лявата камера (напр. висока степен на аортна стеноза).</w:t>
      </w:r>
    </w:p>
    <w:p w14:paraId="1BF2EFF4" w14:textId="77777777" w:rsidR="001A6EBD" w:rsidRPr="001A6EBD" w:rsidRDefault="001A6EBD" w:rsidP="001A6EBD"/>
    <w:p w14:paraId="76DC8E58" w14:textId="46BE176A" w:rsidR="00DB32D3" w:rsidRDefault="002C50EE" w:rsidP="005726E3">
      <w:pPr>
        <w:pStyle w:val="Heading2"/>
      </w:pPr>
      <w:r>
        <w:t>4.4. Специални предупреждения и предпазни мерки при употреба</w:t>
      </w:r>
    </w:p>
    <w:p w14:paraId="05950837" w14:textId="4168DD21" w:rsidR="001A6EBD" w:rsidRDefault="001A6EBD" w:rsidP="001A6EBD"/>
    <w:p w14:paraId="11717225"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Безопасността и ефикасността на амлодипин при хипертонична криза не е установена.</w:t>
      </w:r>
    </w:p>
    <w:p w14:paraId="3745B635" w14:textId="77777777" w:rsidR="001A6EBD" w:rsidRPr="001A6EBD" w:rsidRDefault="001A6EBD" w:rsidP="001A6EBD">
      <w:pPr>
        <w:spacing w:line="240" w:lineRule="auto"/>
        <w:rPr>
          <w:rFonts w:eastAsia="Times New Roman" w:cs="Arial"/>
          <w:color w:val="000000"/>
          <w:u w:val="single"/>
          <w:lang w:eastAsia="bg-BG"/>
        </w:rPr>
      </w:pPr>
    </w:p>
    <w:p w14:paraId="4834AADD" w14:textId="0A7EA327"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t>Пациенти със сърдечна недостатъчност</w:t>
      </w:r>
    </w:p>
    <w:p w14:paraId="278BCDAF"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 xml:space="preserve">Пациентите със сърдечна недостатъчност трябва да се лекуват внимателно. По време на едно продължително, плацебо контролирано клинично изпитване при пациенти с тежка сърдечна недостатъчност </w:t>
      </w:r>
      <w:r w:rsidRPr="001A6EBD">
        <w:rPr>
          <w:rFonts w:eastAsia="Times New Roman" w:cs="Arial"/>
          <w:color w:val="000000"/>
          <w:lang w:val="ru-RU"/>
        </w:rPr>
        <w:t>(</w:t>
      </w:r>
      <w:r w:rsidRPr="001A6EBD">
        <w:rPr>
          <w:rFonts w:eastAsia="Times New Roman" w:cs="Arial"/>
          <w:color w:val="000000"/>
          <w:lang w:val="en-US"/>
        </w:rPr>
        <w:t>NYHA</w:t>
      </w:r>
      <w:r w:rsidRPr="001A6EBD">
        <w:rPr>
          <w:rFonts w:eastAsia="Times New Roman" w:cs="Arial"/>
          <w:color w:val="000000"/>
          <w:lang w:val="ru-RU"/>
        </w:rPr>
        <w:t xml:space="preserve"> </w:t>
      </w:r>
      <w:r w:rsidRPr="001A6EBD">
        <w:rPr>
          <w:rFonts w:eastAsia="Times New Roman" w:cs="Arial"/>
          <w:color w:val="000000"/>
          <w:lang w:eastAsia="bg-BG"/>
        </w:rPr>
        <w:t>степен III и IV), се съобщава за по-висока честота на белодробен оток в групата, лекувана с амлодипин, в сравнение с групата с плацебо (вж. точка 5.1). Блокерите на калциевите канали, включително амлодипин, трябва да се използват с повишено внимание при пациенти със застойна сърдечна недостатъчност, тъй като те могат да увеличат риска от бъдещи сърдечно-съдови инциденти и смърт.</w:t>
      </w:r>
    </w:p>
    <w:p w14:paraId="2CC08793" w14:textId="77777777" w:rsidR="001A6EBD" w:rsidRPr="001A6EBD" w:rsidRDefault="001A6EBD" w:rsidP="001A6EBD">
      <w:pPr>
        <w:spacing w:line="240" w:lineRule="auto"/>
        <w:rPr>
          <w:rFonts w:eastAsia="Times New Roman" w:cs="Arial"/>
          <w:color w:val="000000"/>
          <w:u w:val="single"/>
          <w:lang w:eastAsia="bg-BG"/>
        </w:rPr>
      </w:pPr>
    </w:p>
    <w:p w14:paraId="395E6D8B" w14:textId="086BDB16"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t>Чернодробно увреждане</w:t>
      </w:r>
    </w:p>
    <w:p w14:paraId="6EF808D6" w14:textId="711DEF29" w:rsidR="001A6EBD" w:rsidRPr="001A6EBD" w:rsidRDefault="001A6EBD" w:rsidP="001A6EBD">
      <w:pPr>
        <w:rPr>
          <w:rFonts w:eastAsia="Times New Roman" w:cs="Arial"/>
          <w:color w:val="000000"/>
          <w:lang w:eastAsia="bg-BG"/>
        </w:rPr>
      </w:pPr>
      <w:r w:rsidRPr="001A6EBD">
        <w:rPr>
          <w:rFonts w:eastAsia="Times New Roman" w:cs="Arial"/>
          <w:color w:val="000000"/>
          <w:lang w:eastAsia="bg-BG"/>
        </w:rPr>
        <w:t xml:space="preserve">Полуживотът на амлодипин е удължен и </w:t>
      </w:r>
      <w:r w:rsidRPr="001A6EBD">
        <w:rPr>
          <w:rFonts w:eastAsia="Times New Roman" w:cs="Arial"/>
          <w:color w:val="000000"/>
          <w:lang w:val="en-US"/>
        </w:rPr>
        <w:t>AUC</w:t>
      </w:r>
      <w:r w:rsidRPr="001A6EBD">
        <w:rPr>
          <w:rFonts w:eastAsia="Times New Roman" w:cs="Arial"/>
          <w:color w:val="000000"/>
          <w:lang w:val="ru-RU"/>
        </w:rPr>
        <w:t xml:space="preserve"> </w:t>
      </w:r>
      <w:r w:rsidRPr="001A6EBD">
        <w:rPr>
          <w:rFonts w:eastAsia="Times New Roman" w:cs="Arial"/>
          <w:color w:val="000000"/>
          <w:lang w:eastAsia="bg-BG"/>
        </w:rPr>
        <w:t>стойностите са по-високи при пациенти с нарушена чернодробна функция; не са установени препоръки за дозиране в този случай Приемът на амлодипин трябва да започне от долния край на дозовия обхват и се изисква повишено внимание, както при първоначалното лечение така и при повишаване на дозата</w:t>
      </w:r>
    </w:p>
    <w:p w14:paraId="246CF327" w14:textId="02B8F15E" w:rsidR="001A6EBD" w:rsidRPr="001A6EBD" w:rsidRDefault="001A6EBD" w:rsidP="001A6EBD">
      <w:pPr>
        <w:rPr>
          <w:rFonts w:eastAsia="Times New Roman" w:cs="Arial"/>
          <w:color w:val="000000"/>
          <w:lang w:eastAsia="bg-BG"/>
        </w:rPr>
      </w:pPr>
    </w:p>
    <w:p w14:paraId="7A0B3B13"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Бавно титриране на дозата и внимателно наблюдение може да се наложи при пациенти с тежко чернодробно увреждане.</w:t>
      </w:r>
    </w:p>
    <w:p w14:paraId="35B32A4F" w14:textId="77777777" w:rsidR="001A6EBD" w:rsidRPr="001A6EBD" w:rsidRDefault="001A6EBD" w:rsidP="001A6EBD">
      <w:pPr>
        <w:spacing w:line="240" w:lineRule="auto"/>
        <w:rPr>
          <w:rFonts w:eastAsia="Times New Roman" w:cs="Arial"/>
          <w:color w:val="000000"/>
          <w:u w:val="single"/>
          <w:lang w:eastAsia="bg-BG"/>
        </w:rPr>
      </w:pPr>
    </w:p>
    <w:p w14:paraId="1BE63706" w14:textId="23D82293"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t>Старческа възраст</w:t>
      </w:r>
    </w:p>
    <w:p w14:paraId="69D9A30A"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При пациентите в старческа възраст повишаването на дозата трябва да се извършва внимателно (вж. точка 5.2).</w:t>
      </w:r>
    </w:p>
    <w:p w14:paraId="61635B43" w14:textId="77777777" w:rsidR="001A6EBD" w:rsidRPr="001A6EBD" w:rsidRDefault="001A6EBD" w:rsidP="001A6EBD">
      <w:pPr>
        <w:spacing w:line="240" w:lineRule="auto"/>
        <w:rPr>
          <w:rFonts w:eastAsia="Times New Roman" w:cs="Arial"/>
          <w:color w:val="000000"/>
          <w:u w:val="single"/>
          <w:lang w:eastAsia="bg-BG"/>
        </w:rPr>
      </w:pPr>
    </w:p>
    <w:p w14:paraId="5D50A9DF" w14:textId="356AE86D"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t>Бъбречно увреждане</w:t>
      </w:r>
    </w:p>
    <w:p w14:paraId="7A91B7C9"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Амлодипин може да се използва при такива пациенти в стандартни дози. Промените в плазмените концентрации на амлодипин не са свързани със степента на бъбречно увреждане. Амлодипин не се диализира.</w:t>
      </w:r>
    </w:p>
    <w:p w14:paraId="113F7CED" w14:textId="77777777" w:rsidR="001A6EBD" w:rsidRPr="001A6EBD" w:rsidRDefault="001A6EBD" w:rsidP="001A6EBD">
      <w:pPr>
        <w:spacing w:line="240" w:lineRule="auto"/>
        <w:rPr>
          <w:rFonts w:eastAsia="Times New Roman" w:cs="Arial"/>
          <w:color w:val="000000"/>
          <w:lang w:eastAsia="bg-BG"/>
        </w:rPr>
      </w:pPr>
    </w:p>
    <w:p w14:paraId="434489D0" w14:textId="3BB105FD" w:rsidR="001A6EBD" w:rsidRPr="001A6EBD" w:rsidRDefault="001A6EBD" w:rsidP="001A6EBD">
      <w:pPr>
        <w:spacing w:line="240" w:lineRule="auto"/>
        <w:rPr>
          <w:rFonts w:eastAsia="Times New Roman" w:cs="Arial"/>
        </w:rPr>
      </w:pPr>
      <w:r w:rsidRPr="001A6EBD">
        <w:rPr>
          <w:rFonts w:eastAsia="Times New Roman" w:cs="Arial"/>
          <w:color w:val="000000"/>
          <w:lang w:eastAsia="bg-BG"/>
        </w:rPr>
        <w:t>Натрий:</w:t>
      </w:r>
    </w:p>
    <w:p w14:paraId="3767CAB4"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 xml:space="preserve">Този лекарствен продукт съдържа по-малко от 1 </w:t>
      </w:r>
      <w:proofErr w:type="spellStart"/>
      <w:r w:rsidRPr="001A6EBD">
        <w:rPr>
          <w:rFonts w:eastAsia="Times New Roman" w:cs="Arial"/>
          <w:color w:val="000000"/>
          <w:lang w:val="en-US"/>
        </w:rPr>
        <w:t>mmol</w:t>
      </w:r>
      <w:proofErr w:type="spellEnd"/>
      <w:r w:rsidRPr="001A6EBD">
        <w:rPr>
          <w:rFonts w:eastAsia="Times New Roman" w:cs="Arial"/>
          <w:color w:val="000000"/>
          <w:lang w:val="ru-RU"/>
        </w:rPr>
        <w:t xml:space="preserve"> </w:t>
      </w:r>
      <w:r w:rsidRPr="001A6EBD">
        <w:rPr>
          <w:rFonts w:eastAsia="Times New Roman" w:cs="Arial"/>
          <w:color w:val="000000"/>
          <w:lang w:eastAsia="bg-BG"/>
        </w:rPr>
        <w:t xml:space="preserve">натрий (23 </w:t>
      </w:r>
      <w:r w:rsidRPr="001A6EBD">
        <w:rPr>
          <w:rFonts w:eastAsia="Times New Roman" w:cs="Arial"/>
          <w:color w:val="000000"/>
          <w:lang w:val="en-US"/>
        </w:rPr>
        <w:t>mg</w:t>
      </w:r>
      <w:r w:rsidRPr="001A6EBD">
        <w:rPr>
          <w:rFonts w:eastAsia="Times New Roman" w:cs="Arial"/>
          <w:color w:val="000000"/>
          <w:lang w:val="ru-RU"/>
        </w:rPr>
        <w:t xml:space="preserve">) </w:t>
      </w:r>
      <w:r w:rsidRPr="001A6EBD">
        <w:rPr>
          <w:rFonts w:eastAsia="Times New Roman" w:cs="Arial"/>
          <w:color w:val="000000"/>
          <w:lang w:eastAsia="bg-BG"/>
        </w:rPr>
        <w:t>в една таблетка, т.е. практически не съдържа натрий.</w:t>
      </w:r>
    </w:p>
    <w:p w14:paraId="0C106098" w14:textId="77777777" w:rsidR="001A6EBD" w:rsidRPr="001A6EBD" w:rsidRDefault="001A6EBD" w:rsidP="001A6EBD"/>
    <w:p w14:paraId="064A781C" w14:textId="77777777" w:rsidR="001A6EBD"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67DDDDE0" w14:textId="77777777" w:rsidR="001A6EBD" w:rsidRDefault="001A6EBD" w:rsidP="005726E3">
      <w:pPr>
        <w:pStyle w:val="Heading2"/>
      </w:pPr>
    </w:p>
    <w:p w14:paraId="4E862507" w14:textId="77777777" w:rsidR="001A6EBD" w:rsidRPr="001A6EBD" w:rsidRDefault="002C50EE" w:rsidP="001A6EBD">
      <w:pPr>
        <w:rPr>
          <w:rFonts w:eastAsia="Times New Roman" w:cs="Arial"/>
          <w:sz w:val="28"/>
          <w:szCs w:val="24"/>
        </w:rPr>
      </w:pPr>
      <w:r w:rsidRPr="001A6EBD">
        <w:rPr>
          <w:rFonts w:cs="Arial"/>
          <w:sz w:val="24"/>
        </w:rPr>
        <w:t xml:space="preserve"> </w:t>
      </w:r>
      <w:r w:rsidR="001A6EBD" w:rsidRPr="001A6EBD">
        <w:rPr>
          <w:rFonts w:eastAsia="Times New Roman" w:cs="Arial"/>
          <w:color w:val="000000"/>
          <w:szCs w:val="20"/>
          <w:u w:val="single"/>
          <w:lang w:eastAsia="bg-BG"/>
        </w:rPr>
        <w:t>Ефекти на другите лекарствени продукти върху амлодипин</w:t>
      </w:r>
    </w:p>
    <w:p w14:paraId="2BADB8A9" w14:textId="77777777" w:rsidR="001A6EBD" w:rsidRPr="001A6EBD" w:rsidRDefault="001A6EBD" w:rsidP="001A6EBD">
      <w:pPr>
        <w:spacing w:line="240" w:lineRule="auto"/>
        <w:rPr>
          <w:rFonts w:eastAsia="Times New Roman" w:cs="Arial"/>
          <w:i/>
          <w:iCs/>
          <w:color w:val="000000"/>
          <w:szCs w:val="20"/>
          <w:lang w:eastAsia="bg-BG"/>
        </w:rPr>
      </w:pPr>
    </w:p>
    <w:p w14:paraId="0B474F5E" w14:textId="47E15CB0"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 xml:space="preserve">Инхибитори на </w:t>
      </w:r>
      <w:r w:rsidRPr="001A6EBD">
        <w:rPr>
          <w:rFonts w:eastAsia="Times New Roman" w:cs="Arial"/>
          <w:i/>
          <w:iCs/>
          <w:color w:val="000000"/>
          <w:szCs w:val="20"/>
          <w:lang w:val="en-US"/>
        </w:rPr>
        <w:t>CYP</w:t>
      </w:r>
      <w:r w:rsidRPr="001A6EBD">
        <w:rPr>
          <w:rFonts w:eastAsia="Times New Roman" w:cs="Arial"/>
          <w:i/>
          <w:iCs/>
          <w:color w:val="000000"/>
          <w:szCs w:val="20"/>
          <w:lang w:val="ru-RU"/>
        </w:rPr>
        <w:t>3</w:t>
      </w:r>
      <w:r w:rsidRPr="001A6EBD">
        <w:rPr>
          <w:rFonts w:eastAsia="Times New Roman" w:cs="Arial"/>
          <w:i/>
          <w:iCs/>
          <w:color w:val="000000"/>
          <w:szCs w:val="20"/>
          <w:lang w:val="en-US"/>
        </w:rPr>
        <w:t>A</w:t>
      </w:r>
      <w:r w:rsidRPr="001A6EBD">
        <w:rPr>
          <w:rFonts w:eastAsia="Times New Roman" w:cs="Arial"/>
          <w:i/>
          <w:iCs/>
          <w:color w:val="000000"/>
          <w:szCs w:val="20"/>
          <w:lang w:val="ru-RU"/>
        </w:rPr>
        <w:t>4:</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Едновременната употреба на амлодипин с мощни или умерени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4 </w:t>
      </w:r>
      <w:r w:rsidRPr="001A6EBD">
        <w:rPr>
          <w:rFonts w:eastAsia="Times New Roman" w:cs="Arial"/>
          <w:color w:val="000000"/>
          <w:szCs w:val="20"/>
          <w:lang w:eastAsia="bg-BG"/>
        </w:rPr>
        <w:t xml:space="preserve">инхибитори (протеазни инхибитори, азолови антимикотици, макролиди като еритромицин или кларитромицин, верапамил или дилтиазем), може да доведе до значително увеличение на експозицията на амлодипин, имащо за резултат повишен риск от хипертония. Клиничните прояви на тези фармакокинетични промени могат да бъдат </w:t>
      </w:r>
      <w:r w:rsidRPr="001A6EBD">
        <w:rPr>
          <w:rFonts w:eastAsia="Times New Roman" w:cs="Arial"/>
          <w:color w:val="000000"/>
          <w:szCs w:val="20"/>
          <w:lang w:eastAsia="bg-BG"/>
        </w:rPr>
        <w:lastRenderedPageBreak/>
        <w:t>по-изразени при пациенти в старческа възраст. Може да се наложи клинично наблюдение и коригиране на дозата.</w:t>
      </w:r>
    </w:p>
    <w:p w14:paraId="7458DD90" w14:textId="77777777" w:rsidR="001A6EBD" w:rsidRPr="001A6EBD" w:rsidRDefault="001A6EBD" w:rsidP="001A6EBD">
      <w:pPr>
        <w:spacing w:line="240" w:lineRule="auto"/>
        <w:rPr>
          <w:rFonts w:eastAsia="Times New Roman" w:cs="Arial"/>
          <w:i/>
          <w:iCs/>
          <w:color w:val="000000"/>
          <w:szCs w:val="20"/>
          <w:lang w:eastAsia="bg-BG"/>
        </w:rPr>
      </w:pPr>
    </w:p>
    <w:p w14:paraId="49BC8A1C" w14:textId="4291F460"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 xml:space="preserve">Индуктори на </w:t>
      </w:r>
      <w:r w:rsidRPr="001A6EBD">
        <w:rPr>
          <w:rFonts w:eastAsia="Times New Roman" w:cs="Arial"/>
          <w:i/>
          <w:iCs/>
          <w:color w:val="000000"/>
          <w:szCs w:val="20"/>
          <w:lang w:val="en-US"/>
        </w:rPr>
        <w:t>CYP</w:t>
      </w:r>
      <w:r w:rsidRPr="001A6EBD">
        <w:rPr>
          <w:rFonts w:eastAsia="Times New Roman" w:cs="Arial"/>
          <w:i/>
          <w:iCs/>
          <w:color w:val="000000"/>
          <w:szCs w:val="20"/>
          <w:lang w:val="ru-RU"/>
        </w:rPr>
        <w:t>3</w:t>
      </w:r>
      <w:r w:rsidRPr="001A6EBD">
        <w:rPr>
          <w:rFonts w:eastAsia="Times New Roman" w:cs="Arial"/>
          <w:i/>
          <w:iCs/>
          <w:color w:val="000000"/>
          <w:szCs w:val="20"/>
          <w:lang w:val="en-US"/>
        </w:rPr>
        <w:t>A</w:t>
      </w:r>
      <w:r w:rsidRPr="001A6EBD">
        <w:rPr>
          <w:rFonts w:eastAsia="Times New Roman" w:cs="Arial"/>
          <w:i/>
          <w:iCs/>
          <w:color w:val="000000"/>
          <w:szCs w:val="20"/>
          <w:lang w:val="ru-RU"/>
        </w:rPr>
        <w:t>4:</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При едновременно приложение на известни индуктори на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4 </w:t>
      </w:r>
      <w:r w:rsidRPr="001A6EBD">
        <w:rPr>
          <w:rFonts w:eastAsia="Times New Roman" w:cs="Arial"/>
          <w:color w:val="000000"/>
          <w:szCs w:val="20"/>
          <w:lang w:eastAsia="bg-BG"/>
        </w:rPr>
        <w:t xml:space="preserve">плазмената концентрация на амлодипин може да варира. Поради това кръвното налягане трябва да се проследява и да се обмисли адаптиране на дозата както по време, така и след едновременен прием, особено със силни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4 </w:t>
      </w:r>
      <w:r w:rsidRPr="001A6EBD">
        <w:rPr>
          <w:rFonts w:eastAsia="Times New Roman" w:cs="Arial"/>
          <w:color w:val="000000"/>
          <w:szCs w:val="20"/>
          <w:lang w:eastAsia="bg-BG"/>
        </w:rPr>
        <w:t>индуктори (напр. рифампицин, жълт кантарион).</w:t>
      </w:r>
    </w:p>
    <w:p w14:paraId="37CA1119" w14:textId="77777777" w:rsidR="001A6EBD" w:rsidRPr="001A6EBD" w:rsidRDefault="001A6EBD" w:rsidP="001A6EBD">
      <w:pPr>
        <w:spacing w:line="240" w:lineRule="auto"/>
        <w:rPr>
          <w:rFonts w:eastAsia="Times New Roman" w:cs="Arial"/>
          <w:color w:val="000000"/>
          <w:szCs w:val="20"/>
          <w:lang w:eastAsia="bg-BG"/>
        </w:rPr>
      </w:pPr>
    </w:p>
    <w:p w14:paraId="610B4084" w14:textId="61CAAFE0"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Приложението на амлодипин с грейпфрут или сок от грейпфрут не се препоръчва, тъй като при някои пациенти бионаличността може да се увеличи, което да доведе до засилване на ефекта за понижаване на кръвното налягане.</w:t>
      </w:r>
    </w:p>
    <w:p w14:paraId="717FB826" w14:textId="77777777" w:rsidR="001A6EBD" w:rsidRPr="001A6EBD" w:rsidRDefault="001A6EBD" w:rsidP="001A6EBD">
      <w:pPr>
        <w:spacing w:line="240" w:lineRule="auto"/>
        <w:rPr>
          <w:rFonts w:eastAsia="Times New Roman" w:cs="Arial"/>
          <w:i/>
          <w:iCs/>
          <w:color w:val="000000"/>
          <w:szCs w:val="20"/>
          <w:lang w:eastAsia="bg-BG"/>
        </w:rPr>
      </w:pPr>
    </w:p>
    <w:p w14:paraId="07B6FAD2" w14:textId="1038E396"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Дантролен (инфузия):</w:t>
      </w:r>
      <w:r w:rsidRPr="001A6EBD">
        <w:rPr>
          <w:rFonts w:eastAsia="Times New Roman" w:cs="Arial"/>
          <w:color w:val="000000"/>
          <w:szCs w:val="20"/>
          <w:lang w:eastAsia="bg-BG"/>
        </w:rPr>
        <w:t xml:space="preserve"> При животни са наблюдавани смъртоносно камерно мъждене и сърдечно-съдов колапс във връзка с хиперкалиемия при приложение на верапамил и интравенозен дантролен. Поради риск от развитие на хиперкалиемия, се препоръчва да се избягва едновременното приложение на калциеви антагонисти, като амлодипин при пациенти, предразположени към злокачествена хипертермия и при придприемане на мерки срещу злокачествената хипертермия.</w:t>
      </w:r>
    </w:p>
    <w:p w14:paraId="634A0FC0" w14:textId="77777777" w:rsidR="001A6EBD" w:rsidRPr="001A6EBD" w:rsidRDefault="001A6EBD" w:rsidP="001A6EBD">
      <w:pPr>
        <w:spacing w:line="240" w:lineRule="auto"/>
        <w:rPr>
          <w:rFonts w:eastAsia="Times New Roman" w:cs="Arial"/>
          <w:color w:val="000000"/>
          <w:szCs w:val="20"/>
          <w:u w:val="single"/>
          <w:lang w:eastAsia="bg-BG"/>
        </w:rPr>
      </w:pPr>
    </w:p>
    <w:p w14:paraId="11C10F3A" w14:textId="4BC86EA8"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Ефекти на амлодипин върху другите лекарствени продукти</w:t>
      </w:r>
    </w:p>
    <w:p w14:paraId="6E2D7ABE" w14:textId="77777777" w:rsidR="001A6EBD" w:rsidRPr="001A6EBD" w:rsidRDefault="001A6EBD" w:rsidP="001A6EBD">
      <w:pPr>
        <w:spacing w:line="240" w:lineRule="auto"/>
        <w:rPr>
          <w:rFonts w:eastAsia="Times New Roman" w:cs="Arial"/>
          <w:color w:val="000000"/>
          <w:szCs w:val="20"/>
          <w:lang w:eastAsia="bg-BG"/>
        </w:rPr>
      </w:pPr>
    </w:p>
    <w:p w14:paraId="3671DBBE" w14:textId="3319570E"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Ефектите на амлодипин върху понижаване на кръвното налягане засилват ефекта на другите лекарствени продукти с антихипертензивно действие.</w:t>
      </w:r>
    </w:p>
    <w:p w14:paraId="7D4DF768" w14:textId="77777777" w:rsidR="001A6EBD" w:rsidRPr="001A6EBD" w:rsidRDefault="001A6EBD" w:rsidP="001A6EBD">
      <w:pPr>
        <w:spacing w:line="240" w:lineRule="auto"/>
        <w:rPr>
          <w:rFonts w:eastAsia="Times New Roman" w:cs="Arial"/>
          <w:i/>
          <w:iCs/>
          <w:color w:val="000000"/>
          <w:szCs w:val="20"/>
          <w:lang w:eastAsia="bg-BG"/>
        </w:rPr>
      </w:pPr>
    </w:p>
    <w:p w14:paraId="62F27C9B" w14:textId="2C2CA5E9" w:rsidR="00DB32D3"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Такролимус:</w:t>
      </w:r>
      <w:r w:rsidRPr="001A6EBD">
        <w:rPr>
          <w:rFonts w:eastAsia="Times New Roman" w:cs="Arial"/>
          <w:color w:val="000000"/>
          <w:szCs w:val="20"/>
          <w:lang w:eastAsia="bg-BG"/>
        </w:rPr>
        <w:t xml:space="preserve"> Съществува риск от повишаване на кръвните нива на такролимус, когато се прилага едновременно с амлодипин, но фармакокинетичния механизъм на това взаимодействие</w:t>
      </w:r>
      <w:r>
        <w:rPr>
          <w:rFonts w:eastAsia="Times New Roman" w:cs="Arial"/>
          <w:sz w:val="28"/>
          <w:szCs w:val="24"/>
        </w:rPr>
        <w:t xml:space="preserve"> </w:t>
      </w:r>
      <w:r w:rsidRPr="001A6EBD">
        <w:rPr>
          <w:rFonts w:eastAsia="Times New Roman" w:cs="Arial"/>
          <w:color w:val="000000"/>
          <w:szCs w:val="20"/>
          <w:lang w:eastAsia="bg-BG"/>
        </w:rPr>
        <w:t>не е напълно изяснен. За да се избегне токсичност на такролимус, приложението на амлодипин</w:t>
      </w:r>
      <w:r w:rsidRPr="001A6EBD">
        <w:rPr>
          <w:rFonts w:eastAsia="Times New Roman" w:cs="Arial"/>
          <w:color w:val="000000"/>
          <w:szCs w:val="20"/>
          <w:vertAlign w:val="superscript"/>
          <w:lang w:eastAsia="bg-BG"/>
        </w:rPr>
        <w:t xml:space="preserve"> </w:t>
      </w:r>
      <w:r w:rsidRPr="001A6EBD">
        <w:rPr>
          <w:rFonts w:eastAsia="Times New Roman" w:cs="Arial"/>
          <w:color w:val="000000"/>
          <w:szCs w:val="20"/>
          <w:lang w:eastAsia="bg-BG"/>
        </w:rPr>
        <w:t>при пациент, лекуван с такролимус, изисква контрол на кръвните нива на такролиумус  и  корекция на дозата на такролимус, когато е необходимо.</w:t>
      </w:r>
    </w:p>
    <w:p w14:paraId="0F74FD82" w14:textId="162E1DC6" w:rsidR="001A6EBD" w:rsidRPr="001A6EBD" w:rsidRDefault="001A6EBD" w:rsidP="001A6EBD">
      <w:pPr>
        <w:rPr>
          <w:rFonts w:eastAsia="Times New Roman" w:cs="Arial"/>
          <w:color w:val="000000"/>
          <w:szCs w:val="20"/>
          <w:lang w:eastAsia="bg-BG"/>
        </w:rPr>
      </w:pPr>
    </w:p>
    <w:p w14:paraId="4B414C18" w14:textId="77777777"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Кларитромицин:</w:t>
      </w:r>
      <w:r w:rsidRPr="001A6EBD">
        <w:rPr>
          <w:rFonts w:eastAsia="Times New Roman" w:cs="Arial"/>
          <w:color w:val="000000"/>
          <w:szCs w:val="20"/>
          <w:lang w:eastAsia="bg-BG"/>
        </w:rPr>
        <w:t xml:space="preserve"> Кларитромицин е инхибитор на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4. </w:t>
      </w:r>
      <w:r w:rsidRPr="001A6EBD">
        <w:rPr>
          <w:rFonts w:eastAsia="Times New Roman" w:cs="Arial"/>
          <w:color w:val="000000"/>
          <w:szCs w:val="20"/>
          <w:lang w:eastAsia="bg-BG"/>
        </w:rPr>
        <w:t>Съществува повишен риск от хипотония при пациенти, приемащи кларитромицин с амлодипин. Препоръчва се внимателно наблюдение на пациентите, когато амлодипин се прилага едновременното с кларитромицин.</w:t>
      </w:r>
    </w:p>
    <w:p w14:paraId="7FE110AF" w14:textId="77777777" w:rsidR="001A6EBD" w:rsidRPr="001A6EBD" w:rsidRDefault="001A6EBD" w:rsidP="001A6EBD">
      <w:pPr>
        <w:spacing w:line="240" w:lineRule="auto"/>
        <w:rPr>
          <w:rFonts w:eastAsia="Times New Roman" w:cs="Arial"/>
          <w:i/>
          <w:iCs/>
          <w:color w:val="000000"/>
          <w:szCs w:val="20"/>
          <w:lang w:eastAsia="bg-BG"/>
        </w:rPr>
      </w:pPr>
    </w:p>
    <w:p w14:paraId="231108B7" w14:textId="1A7B1BAA"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 xml:space="preserve">Прицелни за рапамицин </w:t>
      </w:r>
      <w:r w:rsidRPr="001A6EBD">
        <w:rPr>
          <w:rFonts w:eastAsia="Times New Roman" w:cs="Arial"/>
          <w:i/>
          <w:iCs/>
          <w:color w:val="000000"/>
          <w:szCs w:val="20"/>
          <w:lang w:val="ru-RU"/>
        </w:rPr>
        <w:t>(</w:t>
      </w:r>
      <w:proofErr w:type="spellStart"/>
      <w:r w:rsidRPr="001A6EBD">
        <w:rPr>
          <w:rFonts w:eastAsia="Times New Roman" w:cs="Arial"/>
          <w:i/>
          <w:iCs/>
          <w:color w:val="000000"/>
          <w:szCs w:val="20"/>
          <w:lang w:val="en-US"/>
        </w:rPr>
        <w:t>mTOR</w:t>
      </w:r>
      <w:proofErr w:type="spellEnd"/>
      <w:r w:rsidRPr="001A6EBD">
        <w:rPr>
          <w:rFonts w:eastAsia="Times New Roman" w:cs="Arial"/>
          <w:i/>
          <w:iCs/>
          <w:color w:val="000000"/>
          <w:szCs w:val="20"/>
          <w:lang w:val="ru-RU"/>
        </w:rPr>
        <w:t xml:space="preserve">) </w:t>
      </w:r>
      <w:r w:rsidRPr="001A6EBD">
        <w:rPr>
          <w:rFonts w:eastAsia="Times New Roman" w:cs="Arial"/>
          <w:i/>
          <w:iCs/>
          <w:color w:val="000000"/>
          <w:szCs w:val="20"/>
          <w:lang w:eastAsia="bg-BG"/>
        </w:rPr>
        <w:t>инхибитори:</w:t>
      </w:r>
      <w:r w:rsidRPr="001A6EBD">
        <w:rPr>
          <w:rFonts w:eastAsia="Times New Roman" w:cs="Arial"/>
          <w:color w:val="000000"/>
          <w:szCs w:val="20"/>
          <w:lang w:eastAsia="bg-BG"/>
        </w:rPr>
        <w:t xml:space="preserve"> </w:t>
      </w:r>
      <w:proofErr w:type="spellStart"/>
      <w:r w:rsidRPr="001A6EBD">
        <w:rPr>
          <w:rFonts w:eastAsia="Times New Roman" w:cs="Arial"/>
          <w:color w:val="000000"/>
          <w:szCs w:val="20"/>
          <w:lang w:val="en-US"/>
        </w:rPr>
        <w:t>mTOR</w:t>
      </w:r>
      <w:proofErr w:type="spellEnd"/>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инхибитори като сиролимус, темсиролимус и еверолимус са субстрати на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Амлодипин е слаб инхибитор на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При едновременната употреба на </w:t>
      </w:r>
      <w:proofErr w:type="spellStart"/>
      <w:r w:rsidRPr="001A6EBD">
        <w:rPr>
          <w:rFonts w:eastAsia="Times New Roman" w:cs="Arial"/>
          <w:color w:val="000000"/>
          <w:szCs w:val="20"/>
          <w:lang w:val="en-US"/>
        </w:rPr>
        <w:t>mTOR</w:t>
      </w:r>
      <w:proofErr w:type="spellEnd"/>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инхибитори, амлодипин може да увеличи експозицията на </w:t>
      </w:r>
      <w:proofErr w:type="spellStart"/>
      <w:r w:rsidRPr="001A6EBD">
        <w:rPr>
          <w:rFonts w:eastAsia="Times New Roman" w:cs="Arial"/>
          <w:color w:val="000000"/>
          <w:szCs w:val="20"/>
          <w:lang w:val="en-US"/>
        </w:rPr>
        <w:t>mTOR</w:t>
      </w:r>
      <w:proofErr w:type="spellEnd"/>
      <w:r w:rsidRPr="001A6EBD">
        <w:rPr>
          <w:rFonts w:eastAsia="Times New Roman" w:cs="Arial"/>
          <w:color w:val="000000"/>
          <w:szCs w:val="20"/>
          <w:lang w:val="ru-RU"/>
        </w:rPr>
        <w:t xml:space="preserve"> </w:t>
      </w:r>
      <w:r w:rsidRPr="001A6EBD">
        <w:rPr>
          <w:rFonts w:eastAsia="Times New Roman" w:cs="Arial"/>
          <w:color w:val="000000"/>
          <w:szCs w:val="20"/>
          <w:lang w:eastAsia="bg-BG"/>
        </w:rPr>
        <w:t>инхибиторите.</w:t>
      </w:r>
    </w:p>
    <w:p w14:paraId="4D8DD035" w14:textId="77777777" w:rsidR="001A6EBD" w:rsidRPr="001A6EBD" w:rsidRDefault="001A6EBD" w:rsidP="001A6EBD">
      <w:pPr>
        <w:spacing w:line="240" w:lineRule="auto"/>
        <w:rPr>
          <w:rFonts w:eastAsia="Times New Roman" w:cs="Arial"/>
          <w:i/>
          <w:iCs/>
          <w:color w:val="000000"/>
          <w:szCs w:val="20"/>
          <w:lang w:eastAsia="bg-BG"/>
        </w:rPr>
      </w:pPr>
    </w:p>
    <w:p w14:paraId="5F881FB5" w14:textId="784A1829"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Циклоспорин:</w:t>
      </w:r>
      <w:r w:rsidRPr="001A6EBD">
        <w:rPr>
          <w:rFonts w:eastAsia="Times New Roman" w:cs="Arial"/>
          <w:color w:val="000000"/>
          <w:szCs w:val="20"/>
          <w:lang w:eastAsia="bg-BG"/>
        </w:rPr>
        <w:t xml:space="preserve"> Няма проучвания за лекарствени взаимодействия, проведени с циклоспорин и амлодипин при здрави доброволци или други популации, с изключение на пациенти с бъбречна трансплантация, където се наблюдават променливи повишения (средно с 0% до 40%) на най- ниските концентрации на циклоспорин. Трябва да се обмисли за мониторинг на нивата на циклоспорин при пациенти с бъбречна трансплантация на лечение с амлодипин, а дозата на циклоспорин трябва да се намали според необходимостта.</w:t>
      </w:r>
    </w:p>
    <w:p w14:paraId="51CD552E" w14:textId="77777777" w:rsidR="001A6EBD" w:rsidRPr="001A6EBD" w:rsidRDefault="001A6EBD" w:rsidP="001A6EBD">
      <w:pPr>
        <w:spacing w:line="240" w:lineRule="auto"/>
        <w:rPr>
          <w:rFonts w:eastAsia="Times New Roman" w:cs="Arial"/>
          <w:i/>
          <w:iCs/>
          <w:color w:val="000000"/>
          <w:szCs w:val="20"/>
          <w:lang w:eastAsia="bg-BG"/>
        </w:rPr>
      </w:pPr>
    </w:p>
    <w:p w14:paraId="04354AAF" w14:textId="54797012"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lastRenderedPageBreak/>
        <w:t>Симвастатин:</w:t>
      </w:r>
      <w:r w:rsidRPr="001A6EBD">
        <w:rPr>
          <w:rFonts w:eastAsia="Times New Roman" w:cs="Arial"/>
          <w:color w:val="000000"/>
          <w:szCs w:val="20"/>
          <w:lang w:eastAsia="bg-BG"/>
        </w:rPr>
        <w:t xml:space="preserve"> Едновременното приложение на многократни дози 10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на амлодипин с 80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симвастатин води до 77% увеличение на експозицията към симвастатин в сравнение със самостоятелното приложение на симвастатин. Дозата на симвастатин при пациенти с амлодипин трябва да се ограничи до 20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дневно.</w:t>
      </w:r>
    </w:p>
    <w:p w14:paraId="1BF67BD9" w14:textId="77777777" w:rsidR="001A6EBD" w:rsidRPr="001A6EBD" w:rsidRDefault="001A6EBD" w:rsidP="001A6EBD">
      <w:pPr>
        <w:rPr>
          <w:rFonts w:eastAsia="Times New Roman" w:cs="Arial"/>
          <w:color w:val="000000"/>
          <w:szCs w:val="20"/>
          <w:lang w:eastAsia="bg-BG"/>
        </w:rPr>
      </w:pPr>
    </w:p>
    <w:p w14:paraId="0238FB97" w14:textId="47E5B482" w:rsidR="001A6EBD" w:rsidRDefault="001A6EBD" w:rsidP="001A6EBD">
      <w:pPr>
        <w:rPr>
          <w:rFonts w:eastAsia="Times New Roman" w:cs="Arial"/>
          <w:color w:val="000000"/>
          <w:szCs w:val="20"/>
          <w:lang w:eastAsia="bg-BG"/>
        </w:rPr>
      </w:pPr>
      <w:r w:rsidRPr="001A6EBD">
        <w:rPr>
          <w:rFonts w:eastAsia="Times New Roman" w:cs="Arial"/>
          <w:color w:val="000000"/>
          <w:szCs w:val="20"/>
          <w:lang w:eastAsia="bg-BG"/>
        </w:rPr>
        <w:t>По време на клиничните изпитвания за оценка на взаимодействията амлодипин не е повлиял фармакокинетиката на аторвастатин, дигоксин, варфарин или циклоспорин.</w:t>
      </w:r>
    </w:p>
    <w:p w14:paraId="524AC966" w14:textId="77777777" w:rsidR="001A6EBD" w:rsidRPr="001A6EBD" w:rsidRDefault="001A6EBD" w:rsidP="001A6EBD">
      <w:pPr>
        <w:rPr>
          <w:rFonts w:cs="Arial"/>
          <w:sz w:val="24"/>
        </w:rPr>
      </w:pPr>
    </w:p>
    <w:p w14:paraId="006BE4EC" w14:textId="1A1D36A8" w:rsidR="00DB32D3" w:rsidRDefault="002C50EE" w:rsidP="005726E3">
      <w:pPr>
        <w:pStyle w:val="Heading2"/>
      </w:pPr>
      <w:r>
        <w:t>4.6. Фертилитет, бременност и кърмене</w:t>
      </w:r>
    </w:p>
    <w:p w14:paraId="6DC69462" w14:textId="76376D22" w:rsidR="001A6EBD" w:rsidRDefault="001A6EBD" w:rsidP="001A6EBD"/>
    <w:p w14:paraId="61C3E5E6" w14:textId="77777777" w:rsidR="001A6EBD" w:rsidRPr="001A6EBD" w:rsidRDefault="001A6EBD" w:rsidP="001A6EBD">
      <w:pPr>
        <w:pStyle w:val="Heading3"/>
        <w:rPr>
          <w:rFonts w:eastAsia="Times New Roman"/>
          <w:sz w:val="28"/>
          <w:u w:val="single"/>
        </w:rPr>
      </w:pPr>
      <w:r w:rsidRPr="001A6EBD">
        <w:rPr>
          <w:rFonts w:eastAsia="Times New Roman"/>
          <w:u w:val="single"/>
          <w:lang w:eastAsia="bg-BG"/>
        </w:rPr>
        <w:t>Бременност</w:t>
      </w:r>
    </w:p>
    <w:p w14:paraId="3357A66F"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Безопасността на амлодипин по време на бременността при човека не е установена.</w:t>
      </w:r>
    </w:p>
    <w:p w14:paraId="1DC51906" w14:textId="77777777" w:rsidR="001A6EBD" w:rsidRPr="001A6EBD" w:rsidRDefault="001A6EBD" w:rsidP="001A6EBD">
      <w:pPr>
        <w:spacing w:line="240" w:lineRule="auto"/>
        <w:rPr>
          <w:rFonts w:eastAsia="Times New Roman" w:cs="Arial"/>
          <w:color w:val="000000"/>
          <w:szCs w:val="20"/>
          <w:lang w:eastAsia="bg-BG"/>
        </w:rPr>
      </w:pPr>
    </w:p>
    <w:p w14:paraId="4498D028" w14:textId="3FFE6713"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При изследванията върху животни е наблюдавана репродуктивна токсичност при високи дози (вж. точка 5.3).</w:t>
      </w:r>
    </w:p>
    <w:p w14:paraId="495E415D" w14:textId="77777777" w:rsidR="001A6EBD" w:rsidRPr="001A6EBD" w:rsidRDefault="001A6EBD" w:rsidP="001A6EBD">
      <w:pPr>
        <w:spacing w:line="240" w:lineRule="auto"/>
        <w:rPr>
          <w:rFonts w:eastAsia="Times New Roman" w:cs="Arial"/>
          <w:color w:val="000000"/>
          <w:szCs w:val="20"/>
          <w:lang w:eastAsia="bg-BG"/>
        </w:rPr>
      </w:pPr>
    </w:p>
    <w:p w14:paraId="35767496" w14:textId="54E3FC98"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Използване по време на бременност се препоръчва само когато няма по-безопасна алтернатива и когато самото заболяване носи по-голям риск за майката и плода.</w:t>
      </w:r>
    </w:p>
    <w:p w14:paraId="64C78270" w14:textId="77777777" w:rsidR="001A6EBD" w:rsidRPr="001A6EBD" w:rsidRDefault="001A6EBD" w:rsidP="001A6EBD">
      <w:pPr>
        <w:spacing w:line="240" w:lineRule="auto"/>
        <w:rPr>
          <w:rFonts w:eastAsia="Times New Roman" w:cs="Arial"/>
          <w:color w:val="000000"/>
          <w:szCs w:val="20"/>
          <w:u w:val="single"/>
          <w:lang w:eastAsia="bg-BG"/>
        </w:rPr>
      </w:pPr>
    </w:p>
    <w:p w14:paraId="1C63611B" w14:textId="794EF2DA" w:rsidR="001A6EBD" w:rsidRPr="001A6EBD" w:rsidRDefault="001A6EBD" w:rsidP="001A6EBD">
      <w:pPr>
        <w:pStyle w:val="Heading3"/>
        <w:rPr>
          <w:rFonts w:eastAsia="Times New Roman"/>
          <w:sz w:val="28"/>
          <w:u w:val="single"/>
        </w:rPr>
      </w:pPr>
      <w:r w:rsidRPr="001A6EBD">
        <w:rPr>
          <w:rFonts w:eastAsia="Times New Roman"/>
          <w:u w:val="single"/>
          <w:lang w:eastAsia="bg-BG"/>
        </w:rPr>
        <w:t>Кърмене</w:t>
      </w:r>
    </w:p>
    <w:p w14:paraId="2B910EA5"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Амлодипин се екскретира в кърмата при хора. Частта от дозата за майката, получена от кърмачето, е изчислена с интерквартилен диапазон 3-7%, максимум 15%. Ефектът на амлодипин върху кърмачетата е неизвестен. Решението дали да се продължи / преустанови кърменето или да се продължи / спре лечението с амлодипин трябва да се вземе след като внимателно се прецени ползата от кърменето за детето и полза от лечението с амлодипин за майката.</w:t>
      </w:r>
    </w:p>
    <w:p w14:paraId="7FFC1DF0" w14:textId="77777777" w:rsidR="001A6EBD" w:rsidRPr="001A6EBD" w:rsidRDefault="001A6EBD" w:rsidP="001A6EBD">
      <w:pPr>
        <w:spacing w:line="240" w:lineRule="auto"/>
        <w:rPr>
          <w:rFonts w:eastAsia="Times New Roman" w:cs="Arial"/>
          <w:color w:val="000000"/>
          <w:szCs w:val="20"/>
          <w:u w:val="single"/>
          <w:lang w:eastAsia="bg-BG"/>
        </w:rPr>
      </w:pPr>
    </w:p>
    <w:p w14:paraId="76EB8E81" w14:textId="2D5DBBD8" w:rsidR="001A6EBD" w:rsidRPr="001A6EBD" w:rsidRDefault="001A6EBD" w:rsidP="001A6EBD">
      <w:pPr>
        <w:pStyle w:val="Heading3"/>
        <w:rPr>
          <w:rFonts w:eastAsia="Times New Roman"/>
          <w:sz w:val="28"/>
          <w:u w:val="single"/>
        </w:rPr>
      </w:pPr>
      <w:r w:rsidRPr="001A6EBD">
        <w:rPr>
          <w:rFonts w:eastAsia="Times New Roman"/>
          <w:u w:val="single"/>
          <w:lang w:eastAsia="bg-BG"/>
        </w:rPr>
        <w:t>Фертилитет</w:t>
      </w:r>
    </w:p>
    <w:p w14:paraId="45C6DE67"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Обратими биохимични промени в областта на главичката на сперматозоидите са били докладвани при някои пациенти, лекувани с блокери на калциевите канали. Клиничните данни са недостатъчни по отношение на потенциалния ефект на амлодипин върху фертилитета. При едно изследване върху плъхове са наблюдавани нежелани ефекти върху мъжкия фертилитет (вж. точка 5.3).</w:t>
      </w:r>
    </w:p>
    <w:p w14:paraId="4762A32B" w14:textId="77777777" w:rsidR="001A6EBD" w:rsidRPr="001A6EBD" w:rsidRDefault="001A6EBD" w:rsidP="001A6EBD"/>
    <w:p w14:paraId="128BA3A8" w14:textId="52AC6EAB" w:rsidR="00DB32D3" w:rsidRDefault="002C50EE" w:rsidP="005726E3">
      <w:pPr>
        <w:pStyle w:val="Heading2"/>
      </w:pPr>
      <w:r>
        <w:t>4.7. Ефекти върху способността за шофиране и работа с машини</w:t>
      </w:r>
    </w:p>
    <w:p w14:paraId="3C1E6FF7" w14:textId="76BA190A" w:rsidR="001A6EBD" w:rsidRDefault="001A6EBD" w:rsidP="001A6EBD"/>
    <w:p w14:paraId="5C5F8B51" w14:textId="431505C5" w:rsidR="001A6EBD" w:rsidRDefault="001A6EBD" w:rsidP="001A6EBD">
      <w:r>
        <w:t>Амлодипин може да има незначително или умерено влияние върху способността за шофиране и работа с машини. Ако пациенти, приемащи амлодипин, страдат от световъртеж, главоболие умора или гадене, способността им да реагират може да бъде нарушена. Препоръчва се повишено внимание, особено в началото на лечението.</w:t>
      </w:r>
    </w:p>
    <w:p w14:paraId="188B33B4" w14:textId="77777777" w:rsidR="001A6EBD" w:rsidRPr="001A6EBD" w:rsidRDefault="001A6EBD" w:rsidP="001A6EBD"/>
    <w:p w14:paraId="44CE30A3" w14:textId="4E962ACC" w:rsidR="007122AD" w:rsidRDefault="002C50EE" w:rsidP="00936AD0">
      <w:pPr>
        <w:pStyle w:val="Heading2"/>
      </w:pPr>
      <w:r>
        <w:t>4.8. Нежелани лекарствени реакции</w:t>
      </w:r>
    </w:p>
    <w:p w14:paraId="71F4ACAC" w14:textId="52913726" w:rsidR="001A6EBD" w:rsidRDefault="001A6EBD" w:rsidP="001A6EBD"/>
    <w:p w14:paraId="520615F9"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Обобщение на профила на безопасност</w:t>
      </w:r>
    </w:p>
    <w:p w14:paraId="4E85D449"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Най-често докладваните нежелани реакции по време на лечението са сънливост, виене на свят, главоболие, сърцебиене, зачервяване, болки в корема, гадене, подуване на глезените, отоци и умора.</w:t>
      </w:r>
    </w:p>
    <w:p w14:paraId="2862C108" w14:textId="77777777" w:rsidR="001A6EBD" w:rsidRPr="001A6EBD" w:rsidRDefault="001A6EBD" w:rsidP="001A6EBD">
      <w:pPr>
        <w:spacing w:line="240" w:lineRule="auto"/>
        <w:rPr>
          <w:rFonts w:eastAsia="Times New Roman" w:cs="Arial"/>
          <w:color w:val="000000"/>
          <w:szCs w:val="20"/>
          <w:u w:val="single"/>
          <w:lang w:eastAsia="bg-BG"/>
        </w:rPr>
      </w:pPr>
    </w:p>
    <w:p w14:paraId="7F2DE4C2" w14:textId="5B42AFE5"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Табличен списък на нежеланите реакции</w:t>
      </w:r>
    </w:p>
    <w:p w14:paraId="1EADEA6D"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Следните нежелани реакции са били наблюдавани и докладвани по време на лечение с амлодипин със следните честоти: много чести (≥ 1/10), чести (≥1/100 до &lt;1/10), нечести (≥1/1 000 до &lt; 1 /100), редки (≥ 1/10 000 до &lt; 1/1 000), много редки (&lt; 1/10 000).</w:t>
      </w:r>
    </w:p>
    <w:p w14:paraId="1CA034C9" w14:textId="77777777" w:rsidR="001A6EBD" w:rsidRPr="001A6EBD" w:rsidRDefault="001A6EBD" w:rsidP="001A6EBD">
      <w:pPr>
        <w:spacing w:line="240" w:lineRule="auto"/>
        <w:rPr>
          <w:rFonts w:eastAsia="Times New Roman" w:cs="Arial"/>
          <w:color w:val="000000"/>
          <w:szCs w:val="20"/>
          <w:lang w:eastAsia="bg-BG"/>
        </w:rPr>
      </w:pPr>
    </w:p>
    <w:p w14:paraId="11072C7F" w14:textId="6F940567" w:rsidR="001A6EBD" w:rsidRPr="001A6EBD" w:rsidRDefault="001A6EBD" w:rsidP="001A6EBD">
      <w:pPr>
        <w:spacing w:line="240" w:lineRule="auto"/>
        <w:rPr>
          <w:rFonts w:ascii="Times New Roman" w:eastAsia="Times New Roman" w:hAnsi="Times New Roman" w:cs="Times New Roman"/>
          <w:sz w:val="24"/>
          <w:szCs w:val="24"/>
        </w:rPr>
      </w:pPr>
      <w:r w:rsidRPr="001A6EBD">
        <w:rPr>
          <w:rFonts w:eastAsia="Times New Roman" w:cs="Arial"/>
          <w:color w:val="000000"/>
          <w:szCs w:val="20"/>
          <w:lang w:eastAsia="bg-BG"/>
        </w:rPr>
        <w:t>При всяко групиране в зависимост от честотата, нежеланите реакции са представени в низходящ ред по отношение на тяхната сериозност.</w:t>
      </w:r>
    </w:p>
    <w:tbl>
      <w:tblPr>
        <w:tblStyle w:val="TableGrid"/>
        <w:tblW w:w="0" w:type="auto"/>
        <w:tblLook w:val="04A0" w:firstRow="1" w:lastRow="0" w:firstColumn="1" w:lastColumn="0" w:noHBand="0" w:noVBand="1"/>
      </w:tblPr>
      <w:tblGrid>
        <w:gridCol w:w="3155"/>
        <w:gridCol w:w="3063"/>
        <w:gridCol w:w="3132"/>
      </w:tblGrid>
      <w:tr w:rsidR="001A6EBD" w14:paraId="2267B036" w14:textId="77777777" w:rsidTr="001A6EBD">
        <w:tc>
          <w:tcPr>
            <w:tcW w:w="3192" w:type="dxa"/>
          </w:tcPr>
          <w:p w14:paraId="1F5A694A" w14:textId="2F3CDF72" w:rsidR="001A6EBD" w:rsidRPr="001A6EBD" w:rsidRDefault="001A6EBD" w:rsidP="001A6EBD">
            <w:r w:rsidRPr="001A6EBD">
              <w:rPr>
                <w:b/>
                <w:bCs/>
                <w:szCs w:val="20"/>
              </w:rPr>
              <w:t>Системо-органна класификация</w:t>
            </w:r>
          </w:p>
        </w:tc>
        <w:tc>
          <w:tcPr>
            <w:tcW w:w="3192" w:type="dxa"/>
          </w:tcPr>
          <w:p w14:paraId="6A85FCFE" w14:textId="4D54F1F4" w:rsidR="001A6EBD" w:rsidRPr="001A6EBD" w:rsidRDefault="001A6EBD" w:rsidP="001A6EBD">
            <w:r w:rsidRPr="001A6EBD">
              <w:rPr>
                <w:b/>
                <w:bCs/>
                <w:szCs w:val="20"/>
              </w:rPr>
              <w:t>Честота</w:t>
            </w:r>
          </w:p>
        </w:tc>
        <w:tc>
          <w:tcPr>
            <w:tcW w:w="3192" w:type="dxa"/>
          </w:tcPr>
          <w:p w14:paraId="3147968F" w14:textId="4ED2F9CD" w:rsidR="001A6EBD" w:rsidRPr="001A6EBD" w:rsidRDefault="001A6EBD" w:rsidP="001A6EBD">
            <w:r w:rsidRPr="001A6EBD">
              <w:rPr>
                <w:b/>
                <w:bCs/>
                <w:szCs w:val="20"/>
              </w:rPr>
              <w:t>Нежелани реакции</w:t>
            </w:r>
          </w:p>
        </w:tc>
      </w:tr>
      <w:tr w:rsidR="001A6EBD" w14:paraId="10F1A44A" w14:textId="77777777" w:rsidTr="001A6EBD">
        <w:tc>
          <w:tcPr>
            <w:tcW w:w="3192" w:type="dxa"/>
          </w:tcPr>
          <w:p w14:paraId="7EDFCD4C" w14:textId="0EC6175A" w:rsidR="001A6EBD" w:rsidRPr="001A6EBD" w:rsidRDefault="001A6EBD" w:rsidP="001A6EBD">
            <w:r w:rsidRPr="001A6EBD">
              <w:rPr>
                <w:b/>
                <w:bCs/>
                <w:szCs w:val="20"/>
              </w:rPr>
              <w:t>Нарушения на кръвта и лимфната система</w:t>
            </w:r>
          </w:p>
        </w:tc>
        <w:tc>
          <w:tcPr>
            <w:tcW w:w="3192" w:type="dxa"/>
          </w:tcPr>
          <w:p w14:paraId="6AD3D9F6" w14:textId="607A7E0F" w:rsidR="001A6EBD" w:rsidRPr="001A6EBD" w:rsidRDefault="001A6EBD" w:rsidP="001A6EBD">
            <w:r w:rsidRPr="001A6EBD">
              <w:rPr>
                <w:szCs w:val="20"/>
              </w:rPr>
              <w:t>Много редки</w:t>
            </w:r>
          </w:p>
        </w:tc>
        <w:tc>
          <w:tcPr>
            <w:tcW w:w="3192" w:type="dxa"/>
          </w:tcPr>
          <w:p w14:paraId="5C5DAE39" w14:textId="5642DF4A" w:rsidR="001A6EBD" w:rsidRPr="001A6EBD" w:rsidRDefault="001A6EBD" w:rsidP="001A6EBD">
            <w:r w:rsidRPr="001A6EBD">
              <w:rPr>
                <w:szCs w:val="20"/>
              </w:rPr>
              <w:t>Левкоцитопения, тромбоцитопения</w:t>
            </w:r>
          </w:p>
        </w:tc>
      </w:tr>
      <w:tr w:rsidR="001A6EBD" w14:paraId="3FEF2CF7" w14:textId="77777777" w:rsidTr="001A6EBD">
        <w:tc>
          <w:tcPr>
            <w:tcW w:w="3192" w:type="dxa"/>
          </w:tcPr>
          <w:p w14:paraId="21386DB9" w14:textId="5E7CEB8E" w:rsidR="001A6EBD" w:rsidRPr="001A6EBD" w:rsidRDefault="001A6EBD" w:rsidP="001A6EBD">
            <w:r w:rsidRPr="001A6EBD">
              <w:rPr>
                <w:b/>
                <w:bCs/>
                <w:szCs w:val="20"/>
              </w:rPr>
              <w:t>Нарушения на имунната система</w:t>
            </w:r>
          </w:p>
        </w:tc>
        <w:tc>
          <w:tcPr>
            <w:tcW w:w="3192" w:type="dxa"/>
          </w:tcPr>
          <w:p w14:paraId="0CD60696" w14:textId="79657FF9" w:rsidR="001A6EBD" w:rsidRPr="001A6EBD" w:rsidRDefault="001A6EBD" w:rsidP="001A6EBD">
            <w:r w:rsidRPr="001A6EBD">
              <w:rPr>
                <w:szCs w:val="20"/>
              </w:rPr>
              <w:t>Много редки</w:t>
            </w:r>
          </w:p>
        </w:tc>
        <w:tc>
          <w:tcPr>
            <w:tcW w:w="3192" w:type="dxa"/>
          </w:tcPr>
          <w:p w14:paraId="09C75AB3" w14:textId="45EB680C" w:rsidR="001A6EBD" w:rsidRPr="001A6EBD" w:rsidRDefault="001A6EBD" w:rsidP="001A6EBD">
            <w:r w:rsidRPr="001A6EBD">
              <w:rPr>
                <w:szCs w:val="20"/>
              </w:rPr>
              <w:t>Алергични реакции</w:t>
            </w:r>
          </w:p>
        </w:tc>
      </w:tr>
      <w:tr w:rsidR="001A6EBD" w14:paraId="7E3BC856" w14:textId="77777777" w:rsidTr="001A6EBD">
        <w:tc>
          <w:tcPr>
            <w:tcW w:w="3192" w:type="dxa"/>
          </w:tcPr>
          <w:p w14:paraId="559CD273" w14:textId="7303601C" w:rsidR="001A6EBD" w:rsidRPr="001A6EBD" w:rsidRDefault="001A6EBD" w:rsidP="001A6EBD">
            <w:r w:rsidRPr="001A6EBD">
              <w:rPr>
                <w:b/>
                <w:bCs/>
                <w:szCs w:val="20"/>
              </w:rPr>
              <w:t>Нарушения на метаболизма и храненето</w:t>
            </w:r>
          </w:p>
        </w:tc>
        <w:tc>
          <w:tcPr>
            <w:tcW w:w="3192" w:type="dxa"/>
          </w:tcPr>
          <w:p w14:paraId="7C4273FE" w14:textId="638B0483" w:rsidR="001A6EBD" w:rsidRPr="001A6EBD" w:rsidRDefault="001A6EBD" w:rsidP="001A6EBD">
            <w:r w:rsidRPr="001A6EBD">
              <w:rPr>
                <w:szCs w:val="20"/>
              </w:rPr>
              <w:t>Много редки</w:t>
            </w:r>
          </w:p>
        </w:tc>
        <w:tc>
          <w:tcPr>
            <w:tcW w:w="3192" w:type="dxa"/>
          </w:tcPr>
          <w:p w14:paraId="1C68DEE5" w14:textId="6738F69F" w:rsidR="001A6EBD" w:rsidRPr="001A6EBD" w:rsidRDefault="001A6EBD" w:rsidP="001A6EBD">
            <w:r w:rsidRPr="001A6EBD">
              <w:rPr>
                <w:szCs w:val="20"/>
              </w:rPr>
              <w:t>Хипергликемия</w:t>
            </w:r>
          </w:p>
        </w:tc>
      </w:tr>
      <w:tr w:rsidR="001A6EBD" w14:paraId="00EF6B36" w14:textId="77777777" w:rsidTr="001A6EBD">
        <w:tc>
          <w:tcPr>
            <w:tcW w:w="3192" w:type="dxa"/>
            <w:vMerge w:val="restart"/>
          </w:tcPr>
          <w:p w14:paraId="56818094" w14:textId="0F5A1439" w:rsidR="001A6EBD" w:rsidRPr="001A6EBD" w:rsidRDefault="001A6EBD" w:rsidP="001A6EBD">
            <w:r w:rsidRPr="001A6EBD">
              <w:rPr>
                <w:b/>
                <w:bCs/>
                <w:szCs w:val="20"/>
              </w:rPr>
              <w:t>Психични нарушения</w:t>
            </w:r>
          </w:p>
        </w:tc>
        <w:tc>
          <w:tcPr>
            <w:tcW w:w="3192" w:type="dxa"/>
          </w:tcPr>
          <w:p w14:paraId="412E98FD" w14:textId="0DC675C0" w:rsidR="001A6EBD" w:rsidRPr="001A6EBD" w:rsidRDefault="001A6EBD" w:rsidP="001A6EBD">
            <w:r w:rsidRPr="001A6EBD">
              <w:rPr>
                <w:szCs w:val="20"/>
              </w:rPr>
              <w:t>Нечести</w:t>
            </w:r>
          </w:p>
        </w:tc>
        <w:tc>
          <w:tcPr>
            <w:tcW w:w="3192" w:type="dxa"/>
          </w:tcPr>
          <w:p w14:paraId="33AFF8FA" w14:textId="119FEC38" w:rsidR="001A6EBD" w:rsidRPr="001A6EBD" w:rsidRDefault="001A6EBD" w:rsidP="001A6EBD">
            <w:r w:rsidRPr="001A6EBD">
              <w:rPr>
                <w:szCs w:val="20"/>
              </w:rPr>
              <w:t>Безсъние, промени в настроението, включително тревожност), депресия</w:t>
            </w:r>
          </w:p>
        </w:tc>
      </w:tr>
      <w:tr w:rsidR="001A6EBD" w14:paraId="5B9EE62B" w14:textId="77777777" w:rsidTr="001A6EBD">
        <w:tc>
          <w:tcPr>
            <w:tcW w:w="3192" w:type="dxa"/>
            <w:vMerge/>
          </w:tcPr>
          <w:p w14:paraId="7BF0A8AA" w14:textId="77777777" w:rsidR="001A6EBD" w:rsidRPr="001A6EBD" w:rsidRDefault="001A6EBD" w:rsidP="001A6EBD"/>
        </w:tc>
        <w:tc>
          <w:tcPr>
            <w:tcW w:w="3192" w:type="dxa"/>
          </w:tcPr>
          <w:p w14:paraId="5A838ED9" w14:textId="3F35CCED" w:rsidR="001A6EBD" w:rsidRPr="001A6EBD" w:rsidRDefault="001A6EBD" w:rsidP="001A6EBD">
            <w:r w:rsidRPr="001A6EBD">
              <w:rPr>
                <w:szCs w:val="20"/>
              </w:rPr>
              <w:t>Редки</w:t>
            </w:r>
          </w:p>
        </w:tc>
        <w:tc>
          <w:tcPr>
            <w:tcW w:w="3192" w:type="dxa"/>
          </w:tcPr>
          <w:p w14:paraId="040C016A" w14:textId="0E037CDD" w:rsidR="001A6EBD" w:rsidRPr="001A6EBD" w:rsidRDefault="001A6EBD" w:rsidP="001A6EBD">
            <w:r w:rsidRPr="001A6EBD">
              <w:rPr>
                <w:szCs w:val="20"/>
              </w:rPr>
              <w:t>Объркване</w:t>
            </w:r>
          </w:p>
        </w:tc>
      </w:tr>
      <w:tr w:rsidR="001A6EBD" w14:paraId="70F1F613" w14:textId="77777777" w:rsidTr="001A6EBD">
        <w:tc>
          <w:tcPr>
            <w:tcW w:w="3192" w:type="dxa"/>
            <w:vMerge w:val="restart"/>
          </w:tcPr>
          <w:p w14:paraId="79F0F555" w14:textId="36D9D8D1" w:rsidR="001A6EBD" w:rsidRPr="001A6EBD" w:rsidRDefault="001A6EBD" w:rsidP="001A6EBD">
            <w:pPr>
              <w:rPr>
                <w:rFonts w:cs="Arial"/>
              </w:rPr>
            </w:pPr>
            <w:r w:rsidRPr="001A6EBD">
              <w:rPr>
                <w:rFonts w:cs="Arial"/>
                <w:b/>
                <w:bCs/>
              </w:rPr>
              <w:t>Нарушения на нервната система</w:t>
            </w:r>
          </w:p>
        </w:tc>
        <w:tc>
          <w:tcPr>
            <w:tcW w:w="3192" w:type="dxa"/>
          </w:tcPr>
          <w:p w14:paraId="2C00A56E" w14:textId="5E5F9C0C" w:rsidR="001A6EBD" w:rsidRPr="001A6EBD" w:rsidRDefault="001A6EBD" w:rsidP="001A6EBD">
            <w:pPr>
              <w:rPr>
                <w:rFonts w:cs="Arial"/>
              </w:rPr>
            </w:pPr>
            <w:r w:rsidRPr="001A6EBD">
              <w:rPr>
                <w:rFonts w:cs="Arial"/>
              </w:rPr>
              <w:t>Чести</w:t>
            </w:r>
          </w:p>
        </w:tc>
        <w:tc>
          <w:tcPr>
            <w:tcW w:w="3192" w:type="dxa"/>
          </w:tcPr>
          <w:p w14:paraId="2FD74800" w14:textId="14F25533" w:rsidR="001A6EBD" w:rsidRPr="001A6EBD" w:rsidRDefault="001A6EBD" w:rsidP="001A6EBD">
            <w:pPr>
              <w:rPr>
                <w:rFonts w:cs="Arial"/>
              </w:rPr>
            </w:pPr>
            <w:r w:rsidRPr="001A6EBD">
              <w:rPr>
                <w:rFonts w:cs="Arial"/>
              </w:rPr>
              <w:t>Сънливост, виене на свят, главоболие (особено в началото на лечението)</w:t>
            </w:r>
          </w:p>
        </w:tc>
      </w:tr>
      <w:tr w:rsidR="001A6EBD" w14:paraId="60A7A52F" w14:textId="77777777" w:rsidTr="001A6EBD">
        <w:tc>
          <w:tcPr>
            <w:tcW w:w="3192" w:type="dxa"/>
            <w:vMerge/>
          </w:tcPr>
          <w:p w14:paraId="0D7A1B16" w14:textId="77777777" w:rsidR="001A6EBD" w:rsidRPr="001A6EBD" w:rsidRDefault="001A6EBD" w:rsidP="001A6EBD">
            <w:pPr>
              <w:rPr>
                <w:rFonts w:cs="Arial"/>
              </w:rPr>
            </w:pPr>
          </w:p>
        </w:tc>
        <w:tc>
          <w:tcPr>
            <w:tcW w:w="3192" w:type="dxa"/>
          </w:tcPr>
          <w:p w14:paraId="206DC8ED" w14:textId="2FBB3B07" w:rsidR="001A6EBD" w:rsidRPr="001A6EBD" w:rsidRDefault="001A6EBD" w:rsidP="001A6EBD">
            <w:pPr>
              <w:rPr>
                <w:rFonts w:cs="Arial"/>
              </w:rPr>
            </w:pPr>
            <w:r w:rsidRPr="001A6EBD">
              <w:rPr>
                <w:rFonts w:cs="Arial"/>
              </w:rPr>
              <w:t>Нечести</w:t>
            </w:r>
          </w:p>
        </w:tc>
        <w:tc>
          <w:tcPr>
            <w:tcW w:w="3192" w:type="dxa"/>
          </w:tcPr>
          <w:p w14:paraId="2EC1ECD6" w14:textId="3CD4498B" w:rsidR="001A6EBD" w:rsidRPr="001A6EBD" w:rsidRDefault="001A6EBD" w:rsidP="001A6EBD">
            <w:pPr>
              <w:rPr>
                <w:rFonts w:cs="Arial"/>
              </w:rPr>
            </w:pPr>
            <w:r w:rsidRPr="001A6EBD">
              <w:rPr>
                <w:rFonts w:cs="Arial"/>
              </w:rPr>
              <w:t>Тремор, промяна във вкуса, синкоп, хипоестезия, парестезия</w:t>
            </w:r>
          </w:p>
        </w:tc>
      </w:tr>
      <w:tr w:rsidR="001A6EBD" w14:paraId="5EA62688" w14:textId="77777777" w:rsidTr="001A6EBD">
        <w:tc>
          <w:tcPr>
            <w:tcW w:w="3192" w:type="dxa"/>
            <w:vMerge/>
          </w:tcPr>
          <w:p w14:paraId="1A78D4F1" w14:textId="77777777" w:rsidR="001A6EBD" w:rsidRPr="001A6EBD" w:rsidRDefault="001A6EBD" w:rsidP="001A6EBD">
            <w:pPr>
              <w:rPr>
                <w:rFonts w:cs="Arial"/>
              </w:rPr>
            </w:pPr>
          </w:p>
        </w:tc>
        <w:tc>
          <w:tcPr>
            <w:tcW w:w="3192" w:type="dxa"/>
          </w:tcPr>
          <w:p w14:paraId="288DE55D" w14:textId="371636B5" w:rsidR="001A6EBD" w:rsidRPr="001A6EBD" w:rsidRDefault="001A6EBD" w:rsidP="001A6EBD">
            <w:pPr>
              <w:rPr>
                <w:rFonts w:cs="Arial"/>
              </w:rPr>
            </w:pPr>
            <w:r w:rsidRPr="001A6EBD">
              <w:rPr>
                <w:rFonts w:cs="Arial"/>
              </w:rPr>
              <w:t>Много редки</w:t>
            </w:r>
          </w:p>
        </w:tc>
        <w:tc>
          <w:tcPr>
            <w:tcW w:w="3192" w:type="dxa"/>
          </w:tcPr>
          <w:p w14:paraId="66A4E305" w14:textId="6A3D9618" w:rsidR="001A6EBD" w:rsidRPr="001A6EBD" w:rsidRDefault="001A6EBD" w:rsidP="001A6EBD">
            <w:pPr>
              <w:rPr>
                <w:rFonts w:cs="Arial"/>
              </w:rPr>
            </w:pPr>
            <w:r w:rsidRPr="001A6EBD">
              <w:rPr>
                <w:rFonts w:cs="Arial"/>
              </w:rPr>
              <w:t>Хипертония, периферна невропатия</w:t>
            </w:r>
          </w:p>
        </w:tc>
      </w:tr>
      <w:tr w:rsidR="001A6EBD" w14:paraId="6F112799" w14:textId="77777777" w:rsidTr="001A6EBD">
        <w:tc>
          <w:tcPr>
            <w:tcW w:w="3192" w:type="dxa"/>
            <w:vMerge/>
          </w:tcPr>
          <w:p w14:paraId="272128F1" w14:textId="77777777" w:rsidR="001A6EBD" w:rsidRPr="001A6EBD" w:rsidRDefault="001A6EBD" w:rsidP="001A6EBD">
            <w:pPr>
              <w:rPr>
                <w:rFonts w:cs="Arial"/>
              </w:rPr>
            </w:pPr>
          </w:p>
        </w:tc>
        <w:tc>
          <w:tcPr>
            <w:tcW w:w="3192" w:type="dxa"/>
          </w:tcPr>
          <w:p w14:paraId="3E2C70DB" w14:textId="465B767A" w:rsidR="001A6EBD" w:rsidRPr="001A6EBD" w:rsidRDefault="001A6EBD" w:rsidP="001A6EBD">
            <w:pPr>
              <w:rPr>
                <w:rFonts w:cs="Arial"/>
              </w:rPr>
            </w:pPr>
            <w:r w:rsidRPr="001A6EBD">
              <w:rPr>
                <w:rFonts w:cs="Arial"/>
              </w:rPr>
              <w:t>С неизвестна честота</w:t>
            </w:r>
          </w:p>
        </w:tc>
        <w:tc>
          <w:tcPr>
            <w:tcW w:w="3192" w:type="dxa"/>
          </w:tcPr>
          <w:p w14:paraId="49F24A17" w14:textId="3DDCF25F" w:rsidR="001A6EBD" w:rsidRPr="001A6EBD" w:rsidRDefault="001A6EBD" w:rsidP="001A6EBD">
            <w:pPr>
              <w:rPr>
                <w:rFonts w:cs="Arial"/>
              </w:rPr>
            </w:pPr>
            <w:r w:rsidRPr="001A6EBD">
              <w:rPr>
                <w:rFonts w:cs="Arial"/>
              </w:rPr>
              <w:t>Екстрапирамидни нарушения</w:t>
            </w:r>
          </w:p>
        </w:tc>
      </w:tr>
      <w:tr w:rsidR="001A6EBD" w14:paraId="5B73FD36" w14:textId="77777777" w:rsidTr="001A6EBD">
        <w:tc>
          <w:tcPr>
            <w:tcW w:w="3192" w:type="dxa"/>
          </w:tcPr>
          <w:p w14:paraId="00291139" w14:textId="604B0E5C" w:rsidR="001A6EBD" w:rsidRPr="001A6EBD" w:rsidRDefault="001A6EBD" w:rsidP="001A6EBD">
            <w:pPr>
              <w:rPr>
                <w:rFonts w:cs="Arial"/>
              </w:rPr>
            </w:pPr>
            <w:r w:rsidRPr="001A6EBD">
              <w:rPr>
                <w:rFonts w:cs="Arial"/>
                <w:b/>
                <w:bCs/>
              </w:rPr>
              <w:t>Нарушения на очите</w:t>
            </w:r>
          </w:p>
        </w:tc>
        <w:tc>
          <w:tcPr>
            <w:tcW w:w="3192" w:type="dxa"/>
          </w:tcPr>
          <w:p w14:paraId="428655E7" w14:textId="3A72D62F" w:rsidR="001A6EBD" w:rsidRPr="001A6EBD" w:rsidRDefault="001A6EBD" w:rsidP="001A6EBD">
            <w:pPr>
              <w:rPr>
                <w:rFonts w:cs="Arial"/>
              </w:rPr>
            </w:pPr>
            <w:r w:rsidRPr="001A6EBD">
              <w:rPr>
                <w:rFonts w:cs="Arial"/>
              </w:rPr>
              <w:t>Чести</w:t>
            </w:r>
          </w:p>
        </w:tc>
        <w:tc>
          <w:tcPr>
            <w:tcW w:w="3192" w:type="dxa"/>
          </w:tcPr>
          <w:p w14:paraId="369A607A" w14:textId="628F9F17" w:rsidR="001A6EBD" w:rsidRPr="001A6EBD" w:rsidRDefault="001A6EBD" w:rsidP="001A6EBD">
            <w:pPr>
              <w:rPr>
                <w:rFonts w:cs="Arial"/>
              </w:rPr>
            </w:pPr>
            <w:r w:rsidRPr="001A6EBD">
              <w:rPr>
                <w:rFonts w:cs="Arial"/>
              </w:rPr>
              <w:t>Нарушение на зрението (включително диплопия)</w:t>
            </w:r>
          </w:p>
        </w:tc>
      </w:tr>
      <w:tr w:rsidR="001A6EBD" w14:paraId="73110AD0" w14:textId="77777777" w:rsidTr="001A6EBD">
        <w:tc>
          <w:tcPr>
            <w:tcW w:w="3192" w:type="dxa"/>
          </w:tcPr>
          <w:p w14:paraId="0BC5F91B" w14:textId="3AD72347" w:rsidR="001A6EBD" w:rsidRPr="001A6EBD" w:rsidRDefault="001A6EBD" w:rsidP="001A6EBD">
            <w:pPr>
              <w:rPr>
                <w:rFonts w:cs="Arial"/>
              </w:rPr>
            </w:pPr>
            <w:r w:rsidRPr="001A6EBD">
              <w:rPr>
                <w:rFonts w:cs="Arial"/>
                <w:b/>
                <w:bCs/>
              </w:rPr>
              <w:t>Нарушения на ухото и лабиринта</w:t>
            </w:r>
          </w:p>
        </w:tc>
        <w:tc>
          <w:tcPr>
            <w:tcW w:w="3192" w:type="dxa"/>
          </w:tcPr>
          <w:p w14:paraId="44F23748" w14:textId="6A71202D" w:rsidR="001A6EBD" w:rsidRPr="001A6EBD" w:rsidRDefault="001A6EBD" w:rsidP="001A6EBD">
            <w:pPr>
              <w:rPr>
                <w:rFonts w:cs="Arial"/>
              </w:rPr>
            </w:pPr>
            <w:r w:rsidRPr="001A6EBD">
              <w:rPr>
                <w:rFonts w:cs="Arial"/>
              </w:rPr>
              <w:t>Нечести</w:t>
            </w:r>
          </w:p>
        </w:tc>
        <w:tc>
          <w:tcPr>
            <w:tcW w:w="3192" w:type="dxa"/>
          </w:tcPr>
          <w:p w14:paraId="1B3FA105" w14:textId="10EC3FD5" w:rsidR="001A6EBD" w:rsidRPr="001A6EBD" w:rsidRDefault="001A6EBD" w:rsidP="001A6EBD">
            <w:pPr>
              <w:rPr>
                <w:rFonts w:cs="Arial"/>
              </w:rPr>
            </w:pPr>
            <w:r w:rsidRPr="001A6EBD">
              <w:rPr>
                <w:rFonts w:cs="Arial"/>
              </w:rPr>
              <w:t>Шум в ушите</w:t>
            </w:r>
          </w:p>
        </w:tc>
      </w:tr>
      <w:tr w:rsidR="001A6EBD" w14:paraId="43235980" w14:textId="77777777" w:rsidTr="001A6EBD">
        <w:tc>
          <w:tcPr>
            <w:tcW w:w="3192" w:type="dxa"/>
            <w:vMerge w:val="restart"/>
          </w:tcPr>
          <w:p w14:paraId="6FD8D122" w14:textId="52598DEB" w:rsidR="001A6EBD" w:rsidRPr="001A6EBD" w:rsidRDefault="001A6EBD" w:rsidP="001A6EBD">
            <w:pPr>
              <w:rPr>
                <w:rFonts w:cs="Arial"/>
              </w:rPr>
            </w:pPr>
            <w:r w:rsidRPr="001A6EBD">
              <w:rPr>
                <w:rFonts w:cs="Arial"/>
                <w:b/>
                <w:bCs/>
              </w:rPr>
              <w:t>Сърдечни нарушения</w:t>
            </w:r>
          </w:p>
        </w:tc>
        <w:tc>
          <w:tcPr>
            <w:tcW w:w="3192" w:type="dxa"/>
          </w:tcPr>
          <w:p w14:paraId="6BDC040E" w14:textId="50A64B69" w:rsidR="001A6EBD" w:rsidRPr="001A6EBD" w:rsidRDefault="001A6EBD" w:rsidP="001A6EBD">
            <w:pPr>
              <w:rPr>
                <w:rFonts w:cs="Arial"/>
              </w:rPr>
            </w:pPr>
            <w:r w:rsidRPr="001A6EBD">
              <w:rPr>
                <w:rFonts w:cs="Arial"/>
              </w:rPr>
              <w:t>Чести</w:t>
            </w:r>
          </w:p>
        </w:tc>
        <w:tc>
          <w:tcPr>
            <w:tcW w:w="3192" w:type="dxa"/>
          </w:tcPr>
          <w:p w14:paraId="72946CEB" w14:textId="16A7C939" w:rsidR="001A6EBD" w:rsidRPr="001A6EBD" w:rsidRDefault="001A6EBD" w:rsidP="001A6EBD">
            <w:pPr>
              <w:rPr>
                <w:rFonts w:cs="Arial"/>
              </w:rPr>
            </w:pPr>
            <w:r w:rsidRPr="001A6EBD">
              <w:rPr>
                <w:rFonts w:cs="Arial"/>
              </w:rPr>
              <w:t>Сърцебиене</w:t>
            </w:r>
          </w:p>
        </w:tc>
      </w:tr>
      <w:tr w:rsidR="001A6EBD" w14:paraId="384D5A94" w14:textId="77777777" w:rsidTr="001A6EBD">
        <w:tc>
          <w:tcPr>
            <w:tcW w:w="3192" w:type="dxa"/>
            <w:vMerge/>
          </w:tcPr>
          <w:p w14:paraId="3E2D4D28" w14:textId="77777777" w:rsidR="001A6EBD" w:rsidRPr="001A6EBD" w:rsidRDefault="001A6EBD" w:rsidP="001A6EBD">
            <w:pPr>
              <w:rPr>
                <w:rFonts w:cs="Arial"/>
              </w:rPr>
            </w:pPr>
          </w:p>
        </w:tc>
        <w:tc>
          <w:tcPr>
            <w:tcW w:w="3192" w:type="dxa"/>
          </w:tcPr>
          <w:p w14:paraId="6AF5C036" w14:textId="3DDF4D86" w:rsidR="001A6EBD" w:rsidRPr="001A6EBD" w:rsidRDefault="001A6EBD" w:rsidP="001A6EBD">
            <w:pPr>
              <w:rPr>
                <w:rFonts w:cs="Arial"/>
              </w:rPr>
            </w:pPr>
            <w:r w:rsidRPr="001A6EBD">
              <w:rPr>
                <w:rFonts w:cs="Arial"/>
              </w:rPr>
              <w:t>Нечести</w:t>
            </w:r>
          </w:p>
        </w:tc>
        <w:tc>
          <w:tcPr>
            <w:tcW w:w="3192" w:type="dxa"/>
          </w:tcPr>
          <w:p w14:paraId="70DBB8CC" w14:textId="3AADE1E6" w:rsidR="001A6EBD" w:rsidRPr="001A6EBD" w:rsidRDefault="001A6EBD" w:rsidP="001A6EBD">
            <w:pPr>
              <w:rPr>
                <w:rFonts w:cs="Arial"/>
              </w:rPr>
            </w:pPr>
            <w:r w:rsidRPr="001A6EBD">
              <w:rPr>
                <w:rFonts w:cs="Arial"/>
              </w:rPr>
              <w:t>Аритмия (включително брадикардия, камерна тахикардия и предсърдно мъждене)</w:t>
            </w:r>
          </w:p>
        </w:tc>
      </w:tr>
      <w:tr w:rsidR="001A6EBD" w14:paraId="42A9EEB9" w14:textId="77777777" w:rsidTr="001A6EBD">
        <w:tc>
          <w:tcPr>
            <w:tcW w:w="3192" w:type="dxa"/>
            <w:vMerge/>
          </w:tcPr>
          <w:p w14:paraId="0A98ABF9" w14:textId="77777777" w:rsidR="001A6EBD" w:rsidRPr="001A6EBD" w:rsidRDefault="001A6EBD" w:rsidP="001A6EBD">
            <w:pPr>
              <w:rPr>
                <w:rFonts w:cs="Arial"/>
              </w:rPr>
            </w:pPr>
          </w:p>
        </w:tc>
        <w:tc>
          <w:tcPr>
            <w:tcW w:w="3192" w:type="dxa"/>
          </w:tcPr>
          <w:p w14:paraId="1E0A1885" w14:textId="3BC014B0" w:rsidR="001A6EBD" w:rsidRPr="001A6EBD" w:rsidRDefault="001A6EBD" w:rsidP="001A6EBD">
            <w:pPr>
              <w:rPr>
                <w:rFonts w:cs="Arial"/>
              </w:rPr>
            </w:pPr>
            <w:r w:rsidRPr="001A6EBD">
              <w:rPr>
                <w:rFonts w:cs="Arial"/>
              </w:rPr>
              <w:t>Много редки</w:t>
            </w:r>
          </w:p>
        </w:tc>
        <w:tc>
          <w:tcPr>
            <w:tcW w:w="3192" w:type="dxa"/>
          </w:tcPr>
          <w:p w14:paraId="045B6E7A" w14:textId="52E67F80" w:rsidR="001A6EBD" w:rsidRPr="001A6EBD" w:rsidRDefault="001A6EBD" w:rsidP="001A6EBD">
            <w:pPr>
              <w:rPr>
                <w:rFonts w:cs="Arial"/>
              </w:rPr>
            </w:pPr>
            <w:r w:rsidRPr="001A6EBD">
              <w:rPr>
                <w:rFonts w:cs="Arial"/>
              </w:rPr>
              <w:t>Инфаркт на миокарда,</w:t>
            </w:r>
          </w:p>
        </w:tc>
      </w:tr>
      <w:tr w:rsidR="001A6EBD" w14:paraId="1D194C1E" w14:textId="77777777" w:rsidTr="001A6EBD">
        <w:tc>
          <w:tcPr>
            <w:tcW w:w="3192" w:type="dxa"/>
            <w:vMerge w:val="restart"/>
          </w:tcPr>
          <w:p w14:paraId="0C381616" w14:textId="6FB629FD" w:rsidR="001A6EBD" w:rsidRPr="001A6EBD" w:rsidRDefault="001A6EBD" w:rsidP="001A6EBD">
            <w:pPr>
              <w:rPr>
                <w:rFonts w:cs="Arial"/>
              </w:rPr>
            </w:pPr>
            <w:r w:rsidRPr="001A6EBD">
              <w:rPr>
                <w:rFonts w:cs="Arial"/>
                <w:b/>
                <w:bCs/>
              </w:rPr>
              <w:t>Съдови нарушения</w:t>
            </w:r>
          </w:p>
        </w:tc>
        <w:tc>
          <w:tcPr>
            <w:tcW w:w="3192" w:type="dxa"/>
          </w:tcPr>
          <w:p w14:paraId="5EB40C87" w14:textId="3A75BC9B" w:rsidR="001A6EBD" w:rsidRPr="001A6EBD" w:rsidRDefault="001A6EBD" w:rsidP="001A6EBD">
            <w:pPr>
              <w:rPr>
                <w:rFonts w:cs="Arial"/>
              </w:rPr>
            </w:pPr>
            <w:r w:rsidRPr="001A6EBD">
              <w:rPr>
                <w:rFonts w:cs="Arial"/>
              </w:rPr>
              <w:t>Чести</w:t>
            </w:r>
          </w:p>
        </w:tc>
        <w:tc>
          <w:tcPr>
            <w:tcW w:w="3192" w:type="dxa"/>
          </w:tcPr>
          <w:p w14:paraId="3C517C46" w14:textId="51D15D26" w:rsidR="001A6EBD" w:rsidRPr="001A6EBD" w:rsidRDefault="001A6EBD" w:rsidP="001A6EBD">
            <w:pPr>
              <w:rPr>
                <w:rFonts w:cs="Arial"/>
              </w:rPr>
            </w:pPr>
            <w:r w:rsidRPr="001A6EBD">
              <w:rPr>
                <w:rFonts w:cs="Arial"/>
              </w:rPr>
              <w:t>Зачервяване</w:t>
            </w:r>
          </w:p>
        </w:tc>
      </w:tr>
      <w:tr w:rsidR="001A6EBD" w14:paraId="1BFB2803" w14:textId="77777777" w:rsidTr="001A6EBD">
        <w:tc>
          <w:tcPr>
            <w:tcW w:w="3192" w:type="dxa"/>
            <w:vMerge/>
          </w:tcPr>
          <w:p w14:paraId="6E89E7B3" w14:textId="77777777" w:rsidR="001A6EBD" w:rsidRPr="001A6EBD" w:rsidRDefault="001A6EBD" w:rsidP="001A6EBD">
            <w:pPr>
              <w:rPr>
                <w:rFonts w:cs="Arial"/>
              </w:rPr>
            </w:pPr>
          </w:p>
        </w:tc>
        <w:tc>
          <w:tcPr>
            <w:tcW w:w="3192" w:type="dxa"/>
          </w:tcPr>
          <w:p w14:paraId="3B8A9ED6" w14:textId="67EF68A6" w:rsidR="001A6EBD" w:rsidRPr="001A6EBD" w:rsidRDefault="001A6EBD" w:rsidP="001A6EBD">
            <w:pPr>
              <w:rPr>
                <w:rFonts w:cs="Arial"/>
              </w:rPr>
            </w:pPr>
            <w:r w:rsidRPr="001A6EBD">
              <w:rPr>
                <w:rFonts w:cs="Arial"/>
              </w:rPr>
              <w:t>Нечести</w:t>
            </w:r>
          </w:p>
        </w:tc>
        <w:tc>
          <w:tcPr>
            <w:tcW w:w="3192" w:type="dxa"/>
          </w:tcPr>
          <w:p w14:paraId="4FFC454B" w14:textId="668E8D15" w:rsidR="001A6EBD" w:rsidRPr="001A6EBD" w:rsidRDefault="001A6EBD" w:rsidP="001A6EBD">
            <w:pPr>
              <w:rPr>
                <w:rFonts w:cs="Arial"/>
              </w:rPr>
            </w:pPr>
            <w:r w:rsidRPr="001A6EBD">
              <w:rPr>
                <w:rFonts w:cs="Arial"/>
              </w:rPr>
              <w:t>Хипотония</w:t>
            </w:r>
          </w:p>
        </w:tc>
      </w:tr>
      <w:tr w:rsidR="001A6EBD" w14:paraId="1CA00B4B" w14:textId="77777777" w:rsidTr="001A6EBD">
        <w:tc>
          <w:tcPr>
            <w:tcW w:w="3192" w:type="dxa"/>
            <w:vMerge/>
          </w:tcPr>
          <w:p w14:paraId="0D3AC5CC" w14:textId="77777777" w:rsidR="001A6EBD" w:rsidRPr="001A6EBD" w:rsidRDefault="001A6EBD" w:rsidP="001A6EBD">
            <w:pPr>
              <w:rPr>
                <w:rFonts w:cs="Arial"/>
              </w:rPr>
            </w:pPr>
          </w:p>
        </w:tc>
        <w:tc>
          <w:tcPr>
            <w:tcW w:w="3192" w:type="dxa"/>
          </w:tcPr>
          <w:p w14:paraId="22C2DA42" w14:textId="05C7443C" w:rsidR="001A6EBD" w:rsidRPr="001A6EBD" w:rsidRDefault="001A6EBD" w:rsidP="001A6EBD">
            <w:pPr>
              <w:rPr>
                <w:rFonts w:cs="Arial"/>
              </w:rPr>
            </w:pPr>
            <w:r w:rsidRPr="001A6EBD">
              <w:rPr>
                <w:rFonts w:cs="Arial"/>
              </w:rPr>
              <w:t>Много редки</w:t>
            </w:r>
          </w:p>
        </w:tc>
        <w:tc>
          <w:tcPr>
            <w:tcW w:w="3192" w:type="dxa"/>
          </w:tcPr>
          <w:p w14:paraId="283BE3D4" w14:textId="489170F6" w:rsidR="001A6EBD" w:rsidRPr="001A6EBD" w:rsidRDefault="001A6EBD" w:rsidP="001A6EBD">
            <w:pPr>
              <w:rPr>
                <w:rFonts w:cs="Arial"/>
              </w:rPr>
            </w:pPr>
            <w:r w:rsidRPr="001A6EBD">
              <w:rPr>
                <w:rFonts w:cs="Arial"/>
              </w:rPr>
              <w:t>Васкулит</w:t>
            </w:r>
          </w:p>
        </w:tc>
      </w:tr>
      <w:tr w:rsidR="001A6EBD" w14:paraId="721AA476" w14:textId="77777777" w:rsidTr="001A6EBD">
        <w:tc>
          <w:tcPr>
            <w:tcW w:w="3192" w:type="dxa"/>
            <w:vMerge w:val="restart"/>
          </w:tcPr>
          <w:p w14:paraId="42DDF677" w14:textId="0EA76BEE" w:rsidR="001A6EBD" w:rsidRPr="001A6EBD" w:rsidRDefault="001A6EBD" w:rsidP="001A6EBD">
            <w:pPr>
              <w:rPr>
                <w:rFonts w:cs="Arial"/>
              </w:rPr>
            </w:pPr>
            <w:r w:rsidRPr="001A6EBD">
              <w:rPr>
                <w:rFonts w:cs="Arial"/>
                <w:b/>
                <w:bCs/>
              </w:rPr>
              <w:t>Респираторни, гръдни и медиастинални нарушения</w:t>
            </w:r>
          </w:p>
        </w:tc>
        <w:tc>
          <w:tcPr>
            <w:tcW w:w="3192" w:type="dxa"/>
          </w:tcPr>
          <w:p w14:paraId="5845123D" w14:textId="47E445C7" w:rsidR="001A6EBD" w:rsidRPr="001A6EBD" w:rsidRDefault="001A6EBD" w:rsidP="001A6EBD">
            <w:pPr>
              <w:rPr>
                <w:rFonts w:cs="Arial"/>
              </w:rPr>
            </w:pPr>
            <w:r w:rsidRPr="001A6EBD">
              <w:rPr>
                <w:rFonts w:cs="Arial"/>
              </w:rPr>
              <w:t>Чести</w:t>
            </w:r>
          </w:p>
        </w:tc>
        <w:tc>
          <w:tcPr>
            <w:tcW w:w="3192" w:type="dxa"/>
          </w:tcPr>
          <w:p w14:paraId="6CD99449" w14:textId="1B55C59A" w:rsidR="001A6EBD" w:rsidRPr="001A6EBD" w:rsidRDefault="001A6EBD" w:rsidP="001A6EBD">
            <w:pPr>
              <w:rPr>
                <w:rFonts w:cs="Arial"/>
              </w:rPr>
            </w:pPr>
            <w:r w:rsidRPr="001A6EBD">
              <w:rPr>
                <w:rFonts w:cs="Arial"/>
              </w:rPr>
              <w:t>Диспнея</w:t>
            </w:r>
          </w:p>
        </w:tc>
      </w:tr>
      <w:tr w:rsidR="001A6EBD" w14:paraId="2900DAF6" w14:textId="77777777" w:rsidTr="001A6EBD">
        <w:tc>
          <w:tcPr>
            <w:tcW w:w="3192" w:type="dxa"/>
            <w:vMerge/>
          </w:tcPr>
          <w:p w14:paraId="03242B19" w14:textId="77777777" w:rsidR="001A6EBD" w:rsidRPr="001A6EBD" w:rsidRDefault="001A6EBD" w:rsidP="001A6EBD">
            <w:pPr>
              <w:rPr>
                <w:rFonts w:cs="Arial"/>
              </w:rPr>
            </w:pPr>
          </w:p>
        </w:tc>
        <w:tc>
          <w:tcPr>
            <w:tcW w:w="3192" w:type="dxa"/>
          </w:tcPr>
          <w:p w14:paraId="1D9604AC" w14:textId="448A6469" w:rsidR="001A6EBD" w:rsidRPr="001A6EBD" w:rsidRDefault="001A6EBD" w:rsidP="001A6EBD">
            <w:pPr>
              <w:rPr>
                <w:rFonts w:cs="Arial"/>
              </w:rPr>
            </w:pPr>
            <w:r w:rsidRPr="001A6EBD">
              <w:rPr>
                <w:rFonts w:cs="Arial"/>
              </w:rPr>
              <w:t>Нечести</w:t>
            </w:r>
          </w:p>
        </w:tc>
        <w:tc>
          <w:tcPr>
            <w:tcW w:w="3192" w:type="dxa"/>
          </w:tcPr>
          <w:p w14:paraId="1F3E02DF" w14:textId="0C3AE438" w:rsidR="001A6EBD" w:rsidRPr="001A6EBD" w:rsidRDefault="001A6EBD" w:rsidP="001A6EBD">
            <w:pPr>
              <w:rPr>
                <w:rFonts w:cs="Arial"/>
              </w:rPr>
            </w:pPr>
            <w:r w:rsidRPr="001A6EBD">
              <w:rPr>
                <w:rFonts w:cs="Arial"/>
                <w:bCs/>
              </w:rPr>
              <w:t>Кашлица ринит</w:t>
            </w:r>
          </w:p>
        </w:tc>
      </w:tr>
      <w:tr w:rsidR="001A6EBD" w14:paraId="51FB1AED" w14:textId="77777777" w:rsidTr="001A6EBD">
        <w:tc>
          <w:tcPr>
            <w:tcW w:w="3192" w:type="dxa"/>
            <w:vMerge w:val="restart"/>
          </w:tcPr>
          <w:p w14:paraId="20DCE0D1" w14:textId="791B5AE3" w:rsidR="001A6EBD" w:rsidRPr="001A6EBD" w:rsidRDefault="001A6EBD" w:rsidP="001A6EBD">
            <w:r w:rsidRPr="001A6EBD">
              <w:rPr>
                <w:b/>
                <w:bCs/>
                <w:szCs w:val="20"/>
              </w:rPr>
              <w:lastRenderedPageBreak/>
              <w:t>Стомашно-чревни нарушения</w:t>
            </w:r>
          </w:p>
        </w:tc>
        <w:tc>
          <w:tcPr>
            <w:tcW w:w="3192" w:type="dxa"/>
          </w:tcPr>
          <w:p w14:paraId="54A97669" w14:textId="297AB82B" w:rsidR="001A6EBD" w:rsidRPr="001A6EBD" w:rsidRDefault="001A6EBD" w:rsidP="001A6EBD">
            <w:r w:rsidRPr="001A6EBD">
              <w:rPr>
                <w:szCs w:val="20"/>
              </w:rPr>
              <w:t>Чести</w:t>
            </w:r>
          </w:p>
        </w:tc>
        <w:tc>
          <w:tcPr>
            <w:tcW w:w="3192" w:type="dxa"/>
          </w:tcPr>
          <w:p w14:paraId="043074BD" w14:textId="63F80D48" w:rsidR="001A6EBD" w:rsidRPr="001A6EBD" w:rsidRDefault="001A6EBD" w:rsidP="001A6EBD">
            <w:r w:rsidRPr="001A6EBD">
              <w:rPr>
                <w:szCs w:val="20"/>
              </w:rPr>
              <w:t>Коремна болка, гадене, диспепсия, променени в мотилитета на червата (включително диария и запек)</w:t>
            </w:r>
          </w:p>
        </w:tc>
      </w:tr>
      <w:tr w:rsidR="001A6EBD" w14:paraId="78AB025D" w14:textId="77777777" w:rsidTr="001A6EBD">
        <w:tc>
          <w:tcPr>
            <w:tcW w:w="3192" w:type="dxa"/>
            <w:vMerge/>
          </w:tcPr>
          <w:p w14:paraId="2944CCA4" w14:textId="77777777" w:rsidR="001A6EBD" w:rsidRPr="001A6EBD" w:rsidRDefault="001A6EBD" w:rsidP="001A6EBD"/>
        </w:tc>
        <w:tc>
          <w:tcPr>
            <w:tcW w:w="3192" w:type="dxa"/>
          </w:tcPr>
          <w:p w14:paraId="4F6B818D" w14:textId="3E225DD2" w:rsidR="001A6EBD" w:rsidRPr="001A6EBD" w:rsidRDefault="001A6EBD" w:rsidP="001A6EBD">
            <w:r w:rsidRPr="001A6EBD">
              <w:rPr>
                <w:szCs w:val="20"/>
              </w:rPr>
              <w:t>Нечести</w:t>
            </w:r>
          </w:p>
        </w:tc>
        <w:tc>
          <w:tcPr>
            <w:tcW w:w="3192" w:type="dxa"/>
          </w:tcPr>
          <w:p w14:paraId="6A55CD1F" w14:textId="477612E3" w:rsidR="001A6EBD" w:rsidRPr="001A6EBD" w:rsidRDefault="001A6EBD" w:rsidP="001A6EBD">
            <w:r w:rsidRPr="001A6EBD">
              <w:rPr>
                <w:szCs w:val="20"/>
              </w:rPr>
              <w:t>Повръщане, сухота в устата</w:t>
            </w:r>
          </w:p>
        </w:tc>
      </w:tr>
      <w:tr w:rsidR="001A6EBD" w14:paraId="6854FD84" w14:textId="77777777" w:rsidTr="001A6EBD">
        <w:tc>
          <w:tcPr>
            <w:tcW w:w="3192" w:type="dxa"/>
            <w:vMerge/>
          </w:tcPr>
          <w:p w14:paraId="53869D66" w14:textId="77777777" w:rsidR="001A6EBD" w:rsidRPr="001A6EBD" w:rsidRDefault="001A6EBD" w:rsidP="001A6EBD"/>
        </w:tc>
        <w:tc>
          <w:tcPr>
            <w:tcW w:w="3192" w:type="dxa"/>
          </w:tcPr>
          <w:p w14:paraId="6E513662" w14:textId="17BF60E4" w:rsidR="001A6EBD" w:rsidRPr="001A6EBD" w:rsidRDefault="001A6EBD" w:rsidP="001A6EBD">
            <w:r w:rsidRPr="001A6EBD">
              <w:rPr>
                <w:szCs w:val="20"/>
              </w:rPr>
              <w:t>Много редки</w:t>
            </w:r>
          </w:p>
        </w:tc>
        <w:tc>
          <w:tcPr>
            <w:tcW w:w="3192" w:type="dxa"/>
          </w:tcPr>
          <w:p w14:paraId="3CA02FC2" w14:textId="23F4B6D0" w:rsidR="001A6EBD" w:rsidRPr="001A6EBD" w:rsidRDefault="001A6EBD" w:rsidP="001A6EBD">
            <w:r w:rsidRPr="001A6EBD">
              <w:rPr>
                <w:szCs w:val="20"/>
              </w:rPr>
              <w:t>Панкреатит, гастрит, хиперплазия на венците</w:t>
            </w:r>
          </w:p>
        </w:tc>
      </w:tr>
      <w:tr w:rsidR="001A6EBD" w14:paraId="0BFE25F9" w14:textId="77777777" w:rsidTr="001A6EBD">
        <w:tc>
          <w:tcPr>
            <w:tcW w:w="3192" w:type="dxa"/>
          </w:tcPr>
          <w:p w14:paraId="1F8E9B34" w14:textId="7E1614F0" w:rsidR="001A6EBD" w:rsidRPr="001A6EBD" w:rsidRDefault="001A6EBD" w:rsidP="001A6EBD">
            <w:r w:rsidRPr="001A6EBD">
              <w:rPr>
                <w:b/>
                <w:bCs/>
                <w:szCs w:val="20"/>
              </w:rPr>
              <w:t>Хепатобилиарни нарушения</w:t>
            </w:r>
          </w:p>
        </w:tc>
        <w:tc>
          <w:tcPr>
            <w:tcW w:w="3192" w:type="dxa"/>
          </w:tcPr>
          <w:p w14:paraId="3CE4E319" w14:textId="302E310D" w:rsidR="001A6EBD" w:rsidRPr="001A6EBD" w:rsidRDefault="001A6EBD" w:rsidP="001A6EBD">
            <w:r w:rsidRPr="001A6EBD">
              <w:rPr>
                <w:szCs w:val="20"/>
              </w:rPr>
              <w:t>Много редки</w:t>
            </w:r>
          </w:p>
        </w:tc>
        <w:tc>
          <w:tcPr>
            <w:tcW w:w="3192" w:type="dxa"/>
          </w:tcPr>
          <w:p w14:paraId="33E8FB51" w14:textId="771C8EEB" w:rsidR="001A6EBD" w:rsidRPr="001A6EBD" w:rsidRDefault="001A6EBD" w:rsidP="001A6EBD">
            <w:r w:rsidRPr="001A6EBD">
              <w:rPr>
                <w:szCs w:val="20"/>
              </w:rPr>
              <w:t>Хепатит, жълтеница, повишаване на чернодробните ензими</w:t>
            </w:r>
          </w:p>
        </w:tc>
      </w:tr>
      <w:tr w:rsidR="001A6EBD" w14:paraId="0C5F2339" w14:textId="77777777" w:rsidTr="001A6EBD">
        <w:tc>
          <w:tcPr>
            <w:tcW w:w="3192" w:type="dxa"/>
            <w:vMerge w:val="restart"/>
          </w:tcPr>
          <w:p w14:paraId="3003893D" w14:textId="1DA3CD5A" w:rsidR="001A6EBD" w:rsidRPr="001A6EBD" w:rsidRDefault="001A6EBD" w:rsidP="001A6EBD">
            <w:r w:rsidRPr="001A6EBD">
              <w:rPr>
                <w:b/>
                <w:bCs/>
                <w:szCs w:val="20"/>
              </w:rPr>
              <w:t>Нарушения на кожата и подкожната тъкан</w:t>
            </w:r>
          </w:p>
        </w:tc>
        <w:tc>
          <w:tcPr>
            <w:tcW w:w="3192" w:type="dxa"/>
          </w:tcPr>
          <w:p w14:paraId="12B4C374" w14:textId="3009B277" w:rsidR="001A6EBD" w:rsidRPr="001A6EBD" w:rsidRDefault="001A6EBD" w:rsidP="001A6EBD">
            <w:r w:rsidRPr="001A6EBD">
              <w:rPr>
                <w:szCs w:val="20"/>
              </w:rPr>
              <w:t>Нечести</w:t>
            </w:r>
          </w:p>
        </w:tc>
        <w:tc>
          <w:tcPr>
            <w:tcW w:w="3192" w:type="dxa"/>
          </w:tcPr>
          <w:p w14:paraId="3BBAE7E5" w14:textId="7F103E9E" w:rsidR="001A6EBD" w:rsidRPr="001A6EBD" w:rsidRDefault="001A6EBD" w:rsidP="001A6EBD">
            <w:r w:rsidRPr="001A6EBD">
              <w:rPr>
                <w:szCs w:val="20"/>
              </w:rPr>
              <w:t>Алопеция, пурпура, обезцветяване на кожата, хиперхидроза, сърбеж, обрив, екзантема, уртикария</w:t>
            </w:r>
          </w:p>
        </w:tc>
      </w:tr>
      <w:tr w:rsidR="001A6EBD" w14:paraId="0F66942D" w14:textId="77777777" w:rsidTr="001A6EBD">
        <w:tc>
          <w:tcPr>
            <w:tcW w:w="3192" w:type="dxa"/>
            <w:vMerge/>
          </w:tcPr>
          <w:p w14:paraId="38D6EBD1" w14:textId="77777777" w:rsidR="001A6EBD" w:rsidRPr="001A6EBD" w:rsidRDefault="001A6EBD" w:rsidP="001A6EBD"/>
        </w:tc>
        <w:tc>
          <w:tcPr>
            <w:tcW w:w="3192" w:type="dxa"/>
          </w:tcPr>
          <w:p w14:paraId="28218DEA" w14:textId="2D3F26DD" w:rsidR="001A6EBD" w:rsidRPr="001A6EBD" w:rsidRDefault="001A6EBD" w:rsidP="001A6EBD">
            <w:r w:rsidRPr="001A6EBD">
              <w:rPr>
                <w:szCs w:val="20"/>
              </w:rPr>
              <w:t>Много редки</w:t>
            </w:r>
          </w:p>
        </w:tc>
        <w:tc>
          <w:tcPr>
            <w:tcW w:w="3192" w:type="dxa"/>
          </w:tcPr>
          <w:p w14:paraId="2A4E0D72" w14:textId="6AC2C2AD" w:rsidR="001A6EBD" w:rsidRPr="001A6EBD" w:rsidRDefault="001A6EBD" w:rsidP="001A6EBD">
            <w:r w:rsidRPr="001A6EBD">
              <w:rPr>
                <w:szCs w:val="20"/>
              </w:rPr>
              <w:t xml:space="preserve">Ангиоедем, еритема мултиформе, ексфолиативен дерматит, синдром на </w:t>
            </w:r>
            <w:r w:rsidRPr="001A6EBD">
              <w:rPr>
                <w:szCs w:val="20"/>
                <w:lang w:val="en-US"/>
              </w:rPr>
              <w:t>Stevens</w:t>
            </w:r>
            <w:r w:rsidRPr="001A6EBD">
              <w:rPr>
                <w:szCs w:val="20"/>
                <w:lang w:val="ru-RU"/>
              </w:rPr>
              <w:t>-</w:t>
            </w:r>
            <w:r w:rsidRPr="001A6EBD">
              <w:rPr>
                <w:szCs w:val="20"/>
                <w:lang w:val="en-US"/>
              </w:rPr>
              <w:t>Johnson</w:t>
            </w:r>
            <w:r w:rsidRPr="001A6EBD">
              <w:rPr>
                <w:szCs w:val="20"/>
                <w:lang w:val="ru-RU"/>
              </w:rPr>
              <w:t xml:space="preserve">, </w:t>
            </w:r>
            <w:r w:rsidRPr="001A6EBD">
              <w:rPr>
                <w:szCs w:val="20"/>
              </w:rPr>
              <w:t>оток на Квинке, фоточувствителност</w:t>
            </w:r>
          </w:p>
        </w:tc>
      </w:tr>
      <w:tr w:rsidR="001A6EBD" w14:paraId="51173BBE" w14:textId="77777777" w:rsidTr="001A6EBD">
        <w:tc>
          <w:tcPr>
            <w:tcW w:w="3192" w:type="dxa"/>
            <w:vMerge/>
          </w:tcPr>
          <w:p w14:paraId="6D4F39F1" w14:textId="77777777" w:rsidR="001A6EBD" w:rsidRPr="001A6EBD" w:rsidRDefault="001A6EBD" w:rsidP="001A6EBD"/>
        </w:tc>
        <w:tc>
          <w:tcPr>
            <w:tcW w:w="3192" w:type="dxa"/>
          </w:tcPr>
          <w:p w14:paraId="136ECA37" w14:textId="4CB3513F" w:rsidR="001A6EBD" w:rsidRPr="001A6EBD" w:rsidRDefault="001A6EBD" w:rsidP="001A6EBD">
            <w:r w:rsidRPr="001A6EBD">
              <w:rPr>
                <w:szCs w:val="20"/>
              </w:rPr>
              <w:t>С неизвестна честота</w:t>
            </w:r>
          </w:p>
        </w:tc>
        <w:tc>
          <w:tcPr>
            <w:tcW w:w="3192" w:type="dxa"/>
          </w:tcPr>
          <w:p w14:paraId="1C50569B" w14:textId="1640B508" w:rsidR="001A6EBD" w:rsidRPr="001A6EBD" w:rsidRDefault="001A6EBD" w:rsidP="001A6EBD">
            <w:r w:rsidRPr="001A6EBD">
              <w:rPr>
                <w:szCs w:val="20"/>
              </w:rPr>
              <w:t>Токсична епидермална некролиза</w:t>
            </w:r>
          </w:p>
        </w:tc>
      </w:tr>
      <w:tr w:rsidR="001A6EBD" w14:paraId="60501E77" w14:textId="77777777" w:rsidTr="001A6EBD">
        <w:tc>
          <w:tcPr>
            <w:tcW w:w="3192" w:type="dxa"/>
            <w:vMerge w:val="restart"/>
          </w:tcPr>
          <w:p w14:paraId="035BD426" w14:textId="61DE00D8" w:rsidR="001A6EBD" w:rsidRPr="001A6EBD" w:rsidRDefault="001A6EBD" w:rsidP="001A6EBD">
            <w:r w:rsidRPr="001A6EBD">
              <w:rPr>
                <w:b/>
                <w:bCs/>
                <w:szCs w:val="20"/>
              </w:rPr>
              <w:t>Нарушения на мускулно-скелетната система и съединителната тъкан</w:t>
            </w:r>
          </w:p>
        </w:tc>
        <w:tc>
          <w:tcPr>
            <w:tcW w:w="3192" w:type="dxa"/>
          </w:tcPr>
          <w:p w14:paraId="74E66D66" w14:textId="1CD345F2" w:rsidR="001A6EBD" w:rsidRPr="001A6EBD" w:rsidRDefault="001A6EBD" w:rsidP="001A6EBD">
            <w:r w:rsidRPr="001A6EBD">
              <w:rPr>
                <w:szCs w:val="20"/>
              </w:rPr>
              <w:t>Чести</w:t>
            </w:r>
          </w:p>
        </w:tc>
        <w:tc>
          <w:tcPr>
            <w:tcW w:w="3192" w:type="dxa"/>
          </w:tcPr>
          <w:p w14:paraId="46FFD9B7" w14:textId="702F28D5" w:rsidR="001A6EBD" w:rsidRPr="001A6EBD" w:rsidRDefault="001A6EBD" w:rsidP="001A6EBD">
            <w:r w:rsidRPr="001A6EBD">
              <w:rPr>
                <w:szCs w:val="20"/>
              </w:rPr>
              <w:t>Подуване на глезените, мускулни крампи,</w:t>
            </w:r>
          </w:p>
        </w:tc>
      </w:tr>
      <w:tr w:rsidR="001A6EBD" w14:paraId="565ED003" w14:textId="77777777" w:rsidTr="001A6EBD">
        <w:tc>
          <w:tcPr>
            <w:tcW w:w="3192" w:type="dxa"/>
            <w:vMerge/>
          </w:tcPr>
          <w:p w14:paraId="7CADA507" w14:textId="77777777" w:rsidR="001A6EBD" w:rsidRPr="001A6EBD" w:rsidRDefault="001A6EBD" w:rsidP="001A6EBD"/>
        </w:tc>
        <w:tc>
          <w:tcPr>
            <w:tcW w:w="3192" w:type="dxa"/>
          </w:tcPr>
          <w:p w14:paraId="2CA0E9AA" w14:textId="5C3E5E00" w:rsidR="001A6EBD" w:rsidRPr="001A6EBD" w:rsidRDefault="001A6EBD" w:rsidP="001A6EBD">
            <w:r w:rsidRPr="001A6EBD">
              <w:rPr>
                <w:szCs w:val="20"/>
              </w:rPr>
              <w:t>Нечести</w:t>
            </w:r>
          </w:p>
        </w:tc>
        <w:tc>
          <w:tcPr>
            <w:tcW w:w="3192" w:type="dxa"/>
          </w:tcPr>
          <w:p w14:paraId="3430FCCB" w14:textId="5FA9121F" w:rsidR="001A6EBD" w:rsidRPr="001A6EBD" w:rsidRDefault="001A6EBD" w:rsidP="001A6EBD">
            <w:r w:rsidRPr="001A6EBD">
              <w:rPr>
                <w:szCs w:val="20"/>
              </w:rPr>
              <w:t>Артралгия, миалгия, болка в гърба</w:t>
            </w:r>
          </w:p>
        </w:tc>
      </w:tr>
      <w:tr w:rsidR="001A6EBD" w14:paraId="4C9F1969" w14:textId="77777777" w:rsidTr="001A6EBD">
        <w:tc>
          <w:tcPr>
            <w:tcW w:w="3192" w:type="dxa"/>
          </w:tcPr>
          <w:p w14:paraId="0E5EDBE2" w14:textId="74290D38" w:rsidR="001A6EBD" w:rsidRPr="001A6EBD" w:rsidRDefault="001A6EBD" w:rsidP="001A6EBD">
            <w:r w:rsidRPr="001A6EBD">
              <w:rPr>
                <w:b/>
                <w:bCs/>
                <w:szCs w:val="20"/>
              </w:rPr>
              <w:t>Нарушения на бъбреците и пикочните пътища</w:t>
            </w:r>
          </w:p>
        </w:tc>
        <w:tc>
          <w:tcPr>
            <w:tcW w:w="3192" w:type="dxa"/>
          </w:tcPr>
          <w:p w14:paraId="682629F1" w14:textId="65ED1501" w:rsidR="001A6EBD" w:rsidRPr="001A6EBD" w:rsidRDefault="001A6EBD" w:rsidP="001A6EBD">
            <w:r w:rsidRPr="001A6EBD">
              <w:rPr>
                <w:szCs w:val="20"/>
              </w:rPr>
              <w:t>Нечести</w:t>
            </w:r>
          </w:p>
        </w:tc>
        <w:tc>
          <w:tcPr>
            <w:tcW w:w="3192" w:type="dxa"/>
          </w:tcPr>
          <w:p w14:paraId="1B23EF46" w14:textId="534BA459" w:rsidR="001A6EBD" w:rsidRPr="001A6EBD" w:rsidRDefault="001A6EBD" w:rsidP="001A6EBD">
            <w:r w:rsidRPr="001A6EBD">
              <w:rPr>
                <w:szCs w:val="20"/>
              </w:rPr>
              <w:t>Нарушения в уринирането, никтурия, повишена честота на уриниране</w:t>
            </w:r>
          </w:p>
        </w:tc>
      </w:tr>
      <w:tr w:rsidR="001A6EBD" w14:paraId="480A4A15" w14:textId="77777777" w:rsidTr="001A6EBD">
        <w:tc>
          <w:tcPr>
            <w:tcW w:w="3192" w:type="dxa"/>
            <w:vMerge w:val="restart"/>
          </w:tcPr>
          <w:p w14:paraId="2AE71BF5" w14:textId="77777777" w:rsidR="001A6EBD" w:rsidRPr="001A6EBD" w:rsidRDefault="001A6EBD" w:rsidP="001A6EBD">
            <w:r w:rsidRPr="001A6EBD">
              <w:rPr>
                <w:b/>
                <w:bCs/>
                <w:szCs w:val="20"/>
              </w:rPr>
              <w:t>Нарушения на възпроизводителната система и гърдата</w:t>
            </w:r>
          </w:p>
          <w:p w14:paraId="0E9EA7D7" w14:textId="7F286097" w:rsidR="001A6EBD" w:rsidRPr="001A6EBD" w:rsidRDefault="001A6EBD" w:rsidP="001A6EBD">
            <w:r w:rsidRPr="001A6EBD">
              <w:rPr>
                <w:b/>
                <w:bCs/>
                <w:szCs w:val="20"/>
              </w:rPr>
              <w:t>Нарушения на мускулно-скелетната система и съединителната тъкан</w:t>
            </w:r>
          </w:p>
        </w:tc>
        <w:tc>
          <w:tcPr>
            <w:tcW w:w="3192" w:type="dxa"/>
          </w:tcPr>
          <w:p w14:paraId="77999CA6" w14:textId="7392E21B" w:rsidR="001A6EBD" w:rsidRPr="001A6EBD" w:rsidRDefault="001A6EBD" w:rsidP="001A6EBD">
            <w:r w:rsidRPr="001A6EBD">
              <w:rPr>
                <w:szCs w:val="20"/>
              </w:rPr>
              <w:t>Нечести</w:t>
            </w:r>
          </w:p>
        </w:tc>
        <w:tc>
          <w:tcPr>
            <w:tcW w:w="3192" w:type="dxa"/>
          </w:tcPr>
          <w:p w14:paraId="5B1B7953" w14:textId="64F92A21" w:rsidR="001A6EBD" w:rsidRPr="001A6EBD" w:rsidRDefault="001A6EBD" w:rsidP="001A6EBD">
            <w:r w:rsidRPr="001A6EBD">
              <w:rPr>
                <w:szCs w:val="20"/>
              </w:rPr>
              <w:t>Импотентност, гинекомастия</w:t>
            </w:r>
          </w:p>
        </w:tc>
      </w:tr>
      <w:tr w:rsidR="001A6EBD" w14:paraId="13C670AE" w14:textId="77777777" w:rsidTr="001A6EBD">
        <w:tc>
          <w:tcPr>
            <w:tcW w:w="3192" w:type="dxa"/>
            <w:vMerge/>
          </w:tcPr>
          <w:p w14:paraId="4DC8D4CE" w14:textId="77777777" w:rsidR="001A6EBD" w:rsidRPr="001A6EBD" w:rsidRDefault="001A6EBD" w:rsidP="001A6EBD"/>
        </w:tc>
        <w:tc>
          <w:tcPr>
            <w:tcW w:w="3192" w:type="dxa"/>
          </w:tcPr>
          <w:p w14:paraId="2C98C020" w14:textId="4B0E71D9" w:rsidR="001A6EBD" w:rsidRPr="001A6EBD" w:rsidRDefault="001A6EBD" w:rsidP="001A6EBD">
            <w:r w:rsidRPr="001A6EBD">
              <w:rPr>
                <w:szCs w:val="20"/>
              </w:rPr>
              <w:t>Чести</w:t>
            </w:r>
          </w:p>
        </w:tc>
        <w:tc>
          <w:tcPr>
            <w:tcW w:w="3192" w:type="dxa"/>
          </w:tcPr>
          <w:p w14:paraId="7B0F4491" w14:textId="04326861" w:rsidR="001A6EBD" w:rsidRPr="001A6EBD" w:rsidRDefault="001A6EBD" w:rsidP="001A6EBD">
            <w:r w:rsidRPr="001A6EBD">
              <w:rPr>
                <w:szCs w:val="20"/>
              </w:rPr>
              <w:t>Подуване на глезените, мускулни крампи,</w:t>
            </w:r>
          </w:p>
        </w:tc>
      </w:tr>
      <w:tr w:rsidR="001A6EBD" w14:paraId="22F1DC73" w14:textId="77777777" w:rsidTr="001A6EBD">
        <w:tc>
          <w:tcPr>
            <w:tcW w:w="3192" w:type="dxa"/>
            <w:vMerge w:val="restart"/>
          </w:tcPr>
          <w:p w14:paraId="3EDD7C62" w14:textId="7838ED5D" w:rsidR="001A6EBD" w:rsidRPr="001A6EBD" w:rsidRDefault="001A6EBD" w:rsidP="001A6EBD">
            <w:r w:rsidRPr="001A6EBD">
              <w:rPr>
                <w:b/>
                <w:bCs/>
                <w:szCs w:val="20"/>
              </w:rPr>
              <w:t>Общи нарушения и ефекти на мястото на приложението</w:t>
            </w:r>
          </w:p>
        </w:tc>
        <w:tc>
          <w:tcPr>
            <w:tcW w:w="3192" w:type="dxa"/>
          </w:tcPr>
          <w:p w14:paraId="51F985C8" w14:textId="3AF7011F" w:rsidR="001A6EBD" w:rsidRPr="001A6EBD" w:rsidRDefault="001A6EBD" w:rsidP="001A6EBD">
            <w:r w:rsidRPr="001A6EBD">
              <w:rPr>
                <w:szCs w:val="20"/>
              </w:rPr>
              <w:t>Много чести</w:t>
            </w:r>
          </w:p>
        </w:tc>
        <w:tc>
          <w:tcPr>
            <w:tcW w:w="3192" w:type="dxa"/>
          </w:tcPr>
          <w:p w14:paraId="6C8E1CC0" w14:textId="30F2D150" w:rsidR="001A6EBD" w:rsidRPr="001A6EBD" w:rsidRDefault="001A6EBD" w:rsidP="001A6EBD">
            <w:r w:rsidRPr="001A6EBD">
              <w:rPr>
                <w:szCs w:val="20"/>
              </w:rPr>
              <w:t>Оток</w:t>
            </w:r>
          </w:p>
        </w:tc>
      </w:tr>
      <w:tr w:rsidR="001A6EBD" w14:paraId="2A629000" w14:textId="77777777" w:rsidTr="001A6EBD">
        <w:tc>
          <w:tcPr>
            <w:tcW w:w="3192" w:type="dxa"/>
            <w:vMerge/>
          </w:tcPr>
          <w:p w14:paraId="33A2F46E" w14:textId="77777777" w:rsidR="001A6EBD" w:rsidRPr="001A6EBD" w:rsidRDefault="001A6EBD" w:rsidP="001A6EBD"/>
        </w:tc>
        <w:tc>
          <w:tcPr>
            <w:tcW w:w="3192" w:type="dxa"/>
          </w:tcPr>
          <w:p w14:paraId="0D87F2D6" w14:textId="6E54B5BD" w:rsidR="001A6EBD" w:rsidRPr="001A6EBD" w:rsidRDefault="001A6EBD" w:rsidP="001A6EBD">
            <w:r w:rsidRPr="001A6EBD">
              <w:rPr>
                <w:szCs w:val="20"/>
              </w:rPr>
              <w:t>Чести</w:t>
            </w:r>
          </w:p>
        </w:tc>
        <w:tc>
          <w:tcPr>
            <w:tcW w:w="3192" w:type="dxa"/>
          </w:tcPr>
          <w:p w14:paraId="337BAB2C" w14:textId="42CCFF08" w:rsidR="001A6EBD" w:rsidRPr="001A6EBD" w:rsidRDefault="001A6EBD" w:rsidP="001A6EBD">
            <w:r w:rsidRPr="001A6EBD">
              <w:rPr>
                <w:szCs w:val="20"/>
              </w:rPr>
              <w:t>Умора, астения,</w:t>
            </w:r>
          </w:p>
        </w:tc>
      </w:tr>
      <w:tr w:rsidR="001A6EBD" w14:paraId="66082EE6" w14:textId="77777777" w:rsidTr="001A6EBD">
        <w:tc>
          <w:tcPr>
            <w:tcW w:w="3192" w:type="dxa"/>
            <w:vMerge/>
          </w:tcPr>
          <w:p w14:paraId="223B21C0" w14:textId="77777777" w:rsidR="001A6EBD" w:rsidRPr="001A6EBD" w:rsidRDefault="001A6EBD" w:rsidP="001A6EBD"/>
        </w:tc>
        <w:tc>
          <w:tcPr>
            <w:tcW w:w="3192" w:type="dxa"/>
          </w:tcPr>
          <w:p w14:paraId="518A7CBE" w14:textId="4D60BAFC" w:rsidR="001A6EBD" w:rsidRPr="001A6EBD" w:rsidRDefault="001A6EBD" w:rsidP="001A6EBD">
            <w:r w:rsidRPr="001A6EBD">
              <w:rPr>
                <w:szCs w:val="20"/>
              </w:rPr>
              <w:t>Нечести</w:t>
            </w:r>
          </w:p>
        </w:tc>
        <w:tc>
          <w:tcPr>
            <w:tcW w:w="3192" w:type="dxa"/>
          </w:tcPr>
          <w:p w14:paraId="48E0757E" w14:textId="12F230AA" w:rsidR="001A6EBD" w:rsidRPr="001A6EBD" w:rsidRDefault="001A6EBD" w:rsidP="001A6EBD">
            <w:r w:rsidRPr="001A6EBD">
              <w:rPr>
                <w:szCs w:val="20"/>
              </w:rPr>
              <w:t>Болка в гърдите, болка, неразположение</w:t>
            </w:r>
          </w:p>
        </w:tc>
      </w:tr>
      <w:tr w:rsidR="001A6EBD" w14:paraId="218A6D41" w14:textId="77777777" w:rsidTr="001A6EBD">
        <w:tc>
          <w:tcPr>
            <w:tcW w:w="3192" w:type="dxa"/>
          </w:tcPr>
          <w:p w14:paraId="2F6E1C7E" w14:textId="7041986F" w:rsidR="001A6EBD" w:rsidRPr="001A6EBD" w:rsidRDefault="001A6EBD" w:rsidP="001A6EBD">
            <w:r w:rsidRPr="001A6EBD">
              <w:rPr>
                <w:b/>
                <w:bCs/>
                <w:szCs w:val="20"/>
              </w:rPr>
              <w:t>Изследвания</w:t>
            </w:r>
          </w:p>
        </w:tc>
        <w:tc>
          <w:tcPr>
            <w:tcW w:w="3192" w:type="dxa"/>
          </w:tcPr>
          <w:p w14:paraId="2E47E2BE" w14:textId="1F81E0BF" w:rsidR="001A6EBD" w:rsidRPr="001A6EBD" w:rsidRDefault="001A6EBD" w:rsidP="001A6EBD">
            <w:r w:rsidRPr="001A6EBD">
              <w:rPr>
                <w:szCs w:val="20"/>
              </w:rPr>
              <w:t>Нечести</w:t>
            </w:r>
          </w:p>
        </w:tc>
        <w:tc>
          <w:tcPr>
            <w:tcW w:w="3192" w:type="dxa"/>
          </w:tcPr>
          <w:p w14:paraId="16D26C1E" w14:textId="5497D421" w:rsidR="001A6EBD" w:rsidRPr="001A6EBD" w:rsidRDefault="001A6EBD" w:rsidP="001A6EBD">
            <w:r w:rsidRPr="001A6EBD">
              <w:rPr>
                <w:szCs w:val="20"/>
              </w:rPr>
              <w:t>Увеличаване на теглото, намаляване на теглото</w:t>
            </w:r>
          </w:p>
        </w:tc>
      </w:tr>
    </w:tbl>
    <w:p w14:paraId="6014E5AD"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 най-вече в съответствие с холестаза</w:t>
      </w:r>
    </w:p>
    <w:p w14:paraId="42E40FBE" w14:textId="77777777" w:rsidR="001A6EBD" w:rsidRPr="001A6EBD" w:rsidRDefault="001A6EBD" w:rsidP="001A6EBD">
      <w:pPr>
        <w:spacing w:line="240" w:lineRule="auto"/>
        <w:rPr>
          <w:rFonts w:eastAsia="Times New Roman" w:cs="Arial"/>
          <w:color w:val="000000"/>
          <w:lang w:eastAsia="bg-BG"/>
        </w:rPr>
      </w:pPr>
    </w:p>
    <w:p w14:paraId="1CBBFB23" w14:textId="7B8BF287" w:rsidR="001A6EBD" w:rsidRPr="001A6EBD" w:rsidRDefault="001A6EBD" w:rsidP="001A6EBD">
      <w:pPr>
        <w:spacing w:line="240" w:lineRule="auto"/>
        <w:rPr>
          <w:rFonts w:eastAsia="Times New Roman" w:cs="Arial"/>
        </w:rPr>
      </w:pPr>
      <w:r w:rsidRPr="001A6EBD">
        <w:rPr>
          <w:rFonts w:eastAsia="Times New Roman" w:cs="Arial"/>
          <w:color w:val="000000"/>
          <w:lang w:eastAsia="bg-BG"/>
        </w:rPr>
        <w:t>Има докладвани случаи, като изключение, на екстрадирам идни синдром.</w:t>
      </w:r>
    </w:p>
    <w:p w14:paraId="355AE83B" w14:textId="77777777" w:rsidR="001A6EBD" w:rsidRPr="001A6EBD" w:rsidRDefault="001A6EBD" w:rsidP="001A6EBD">
      <w:pPr>
        <w:spacing w:line="240" w:lineRule="auto"/>
        <w:rPr>
          <w:rFonts w:eastAsia="Times New Roman" w:cs="Arial"/>
          <w:color w:val="000000"/>
          <w:u w:val="single"/>
          <w:lang w:eastAsia="bg-BG"/>
        </w:rPr>
      </w:pPr>
    </w:p>
    <w:p w14:paraId="729E26A8" w14:textId="3D20FB71"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lastRenderedPageBreak/>
        <w:t>Съобщаване на подозирани нежелани реакции</w:t>
      </w:r>
    </w:p>
    <w:p w14:paraId="1F6BC261" w14:textId="77777777" w:rsidR="001A6EBD" w:rsidRDefault="001A6EBD" w:rsidP="001A6EBD">
      <w:pPr>
        <w:rPr>
          <w:rFonts w:eastAsia="Times New Roman" w:cs="Arial"/>
          <w:color w:val="000000"/>
          <w:lang w:eastAsia="bg-BG"/>
        </w:rPr>
      </w:pPr>
      <w:r w:rsidRPr="001A6EBD">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 </w:t>
      </w:r>
    </w:p>
    <w:p w14:paraId="6192422A" w14:textId="5940A0F5" w:rsidR="001A6EBD" w:rsidRPr="001A6EBD" w:rsidRDefault="001A6EBD" w:rsidP="001A6EBD">
      <w:pPr>
        <w:rPr>
          <w:rFonts w:eastAsia="Times New Roman" w:cs="Arial"/>
          <w:color w:val="000000"/>
          <w:lang w:eastAsia="bg-BG"/>
        </w:rPr>
      </w:pPr>
      <w:r w:rsidRPr="001A6EBD">
        <w:rPr>
          <w:rFonts w:eastAsia="Times New Roman" w:cs="Arial"/>
          <w:color w:val="000000"/>
          <w:lang w:eastAsia="bg-BG"/>
        </w:rPr>
        <w:t>1303 София</w:t>
      </w:r>
    </w:p>
    <w:p w14:paraId="430132F4"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Тел.: +359 2 8903417</w:t>
      </w:r>
    </w:p>
    <w:p w14:paraId="383DFD08" w14:textId="200C917C" w:rsidR="001A6EBD" w:rsidRPr="001A6EBD" w:rsidRDefault="001A6EBD" w:rsidP="001A6EBD">
      <w:pPr>
        <w:spacing w:line="240" w:lineRule="auto"/>
        <w:rPr>
          <w:rFonts w:ascii="Times New Roman" w:eastAsia="Times New Roman" w:hAnsi="Times New Roman" w:cs="Times New Roman"/>
          <w:sz w:val="24"/>
          <w:szCs w:val="24"/>
        </w:rPr>
      </w:pPr>
      <w:r w:rsidRPr="001A6EBD">
        <w:rPr>
          <w:rFonts w:eastAsia="Times New Roman" w:cs="Arial"/>
          <w:color w:val="000000"/>
          <w:lang w:eastAsia="bg-BG"/>
        </w:rPr>
        <w:t xml:space="preserve">уебсайт: </w:t>
      </w:r>
      <w:hyperlink r:id="rId5" w:history="1">
        <w:r w:rsidRPr="001A6EBD">
          <w:rPr>
            <w:rFonts w:eastAsia="Times New Roman" w:cs="Arial"/>
            <w:color w:val="000000"/>
            <w:u w:val="single"/>
            <w:lang w:val="en-US"/>
          </w:rPr>
          <w:t>www.bda.bg</w:t>
        </w:r>
      </w:hyperlink>
      <w:r w:rsidRPr="001A6EBD">
        <w:rPr>
          <w:rFonts w:eastAsia="Times New Roman" w:cs="Arial"/>
          <w:color w:val="000000"/>
          <w:lang w:val="en-US"/>
        </w:rPr>
        <w:t>.</w:t>
      </w:r>
    </w:p>
    <w:p w14:paraId="27FD7F9A" w14:textId="77777777" w:rsidR="001A6EBD" w:rsidRPr="001A6EBD" w:rsidRDefault="001A6EBD" w:rsidP="001A6EBD"/>
    <w:p w14:paraId="5A87DBA3" w14:textId="040CC1E2" w:rsidR="007122AD" w:rsidRDefault="002C50EE" w:rsidP="00936AD0">
      <w:pPr>
        <w:pStyle w:val="Heading2"/>
      </w:pPr>
      <w:r>
        <w:t>4.9. Предозиране</w:t>
      </w:r>
    </w:p>
    <w:p w14:paraId="7876A8E1" w14:textId="7B39BF43" w:rsidR="001A6EBD" w:rsidRDefault="001A6EBD" w:rsidP="001A6EBD"/>
    <w:p w14:paraId="360D8841"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Опитът с умишлено предозиране при хора е ограничен.</w:t>
      </w:r>
    </w:p>
    <w:p w14:paraId="7C913014" w14:textId="77777777" w:rsidR="001A6EBD" w:rsidRPr="001A6EBD" w:rsidRDefault="001A6EBD" w:rsidP="001A6EBD">
      <w:pPr>
        <w:spacing w:line="240" w:lineRule="auto"/>
        <w:rPr>
          <w:rFonts w:eastAsia="Times New Roman" w:cs="Arial"/>
          <w:color w:val="000000"/>
          <w:szCs w:val="20"/>
          <w:u w:val="single"/>
          <w:lang w:eastAsia="bg-BG"/>
        </w:rPr>
      </w:pPr>
    </w:p>
    <w:p w14:paraId="4030EBD2" w14:textId="59ADD354" w:rsidR="001A6EBD" w:rsidRPr="001A6EBD" w:rsidRDefault="001A6EBD" w:rsidP="001A6EBD">
      <w:pPr>
        <w:pStyle w:val="Heading3"/>
        <w:rPr>
          <w:rFonts w:eastAsia="Times New Roman"/>
          <w:sz w:val="28"/>
          <w:u w:val="single"/>
        </w:rPr>
      </w:pPr>
      <w:r w:rsidRPr="001A6EBD">
        <w:rPr>
          <w:rFonts w:eastAsia="Times New Roman"/>
          <w:u w:val="single"/>
          <w:lang w:eastAsia="bg-BG"/>
        </w:rPr>
        <w:t>Симптоми</w:t>
      </w:r>
    </w:p>
    <w:p w14:paraId="2FD3B8B2"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Наличните данни показват, че значителното предозиране може да доведе до прекомерна периферна вазодилатация и възможна рефлексна тахикардия. Има съобщения за изразена и вероятно продължителна системна хипотония достигаща до шок с фатален изход,</w:t>
      </w:r>
    </w:p>
    <w:p w14:paraId="201A0A9E" w14:textId="77777777" w:rsidR="001A6EBD" w:rsidRPr="001A6EBD" w:rsidRDefault="001A6EBD" w:rsidP="001A6EBD">
      <w:pPr>
        <w:spacing w:line="240" w:lineRule="auto"/>
        <w:rPr>
          <w:rFonts w:eastAsia="Times New Roman" w:cs="Arial"/>
          <w:color w:val="000000"/>
          <w:szCs w:val="20"/>
          <w:lang w:eastAsia="bg-BG"/>
        </w:rPr>
      </w:pPr>
    </w:p>
    <w:p w14:paraId="68616399" w14:textId="68EE7C0E"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Некардиогенен белодробен оток се съобщава рядко като последица от предозиране с амлодипин, който може да се прояви със забавено начало на ефекта (24-48 часа след поглъщане) и да изисква изкуствена вентилация. Ранните реанимационни мерки (включително натоварване с течности) за поддържане на перфузията и сърдечния дебит могат да бъдат ускоряващи фактори.</w:t>
      </w:r>
    </w:p>
    <w:p w14:paraId="422E34E6" w14:textId="77777777" w:rsidR="001A6EBD" w:rsidRPr="001A6EBD" w:rsidRDefault="001A6EBD" w:rsidP="001A6EBD">
      <w:pPr>
        <w:spacing w:line="240" w:lineRule="auto"/>
        <w:rPr>
          <w:rFonts w:eastAsia="Times New Roman" w:cs="Arial"/>
          <w:color w:val="000000"/>
          <w:szCs w:val="20"/>
          <w:u w:val="single"/>
          <w:lang w:eastAsia="bg-BG"/>
        </w:rPr>
      </w:pPr>
    </w:p>
    <w:p w14:paraId="7B36C3BD" w14:textId="22160799" w:rsidR="001A6EBD" w:rsidRPr="001A6EBD" w:rsidRDefault="001A6EBD" w:rsidP="001A6EBD">
      <w:pPr>
        <w:pStyle w:val="Heading3"/>
        <w:rPr>
          <w:rFonts w:eastAsia="Times New Roman"/>
          <w:sz w:val="28"/>
          <w:u w:val="single"/>
        </w:rPr>
      </w:pPr>
      <w:r w:rsidRPr="001A6EBD">
        <w:rPr>
          <w:rFonts w:eastAsia="Times New Roman"/>
          <w:u w:val="single"/>
          <w:lang w:eastAsia="bg-BG"/>
        </w:rPr>
        <w:t>Поведение</w:t>
      </w:r>
    </w:p>
    <w:p w14:paraId="7F001DB8"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Клинично значимата хипотензия, дължаща се на предозиране на амлодипин, налага активно поддържане на сърдечно-съдовата дейност, включващо често мониториране на сърдечната и дихателната функция, повдигане на крайниците и обръщане на внимание на циркулаторния обем и отделянето на урината.</w:t>
      </w:r>
    </w:p>
    <w:p w14:paraId="614206BF" w14:textId="77777777" w:rsidR="001A6EBD" w:rsidRPr="001A6EBD" w:rsidRDefault="001A6EBD" w:rsidP="001A6EBD">
      <w:pPr>
        <w:spacing w:line="240" w:lineRule="auto"/>
        <w:rPr>
          <w:rFonts w:eastAsia="Times New Roman" w:cs="Arial"/>
          <w:color w:val="000000"/>
          <w:szCs w:val="20"/>
          <w:lang w:eastAsia="bg-BG"/>
        </w:rPr>
      </w:pPr>
    </w:p>
    <w:p w14:paraId="428129FC" w14:textId="01B03DDD"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Прилагането на вазоконстриктор може да помогне за възстановяване на съдовия тонус и артериалното налягане, ако няма противопоказание за употребата му.</w:t>
      </w:r>
    </w:p>
    <w:p w14:paraId="7034720D"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Интравенозното приложение на калциев глюконат може да бъде полезно за обръщане на ефектите на блокиране на калциевите канали.</w:t>
      </w:r>
    </w:p>
    <w:p w14:paraId="3B43AC7D" w14:textId="77777777" w:rsidR="001A6EBD" w:rsidRPr="001A6EBD" w:rsidRDefault="001A6EBD" w:rsidP="001A6EBD">
      <w:pPr>
        <w:spacing w:line="240" w:lineRule="auto"/>
        <w:rPr>
          <w:rFonts w:eastAsia="Times New Roman" w:cs="Arial"/>
          <w:color w:val="000000"/>
          <w:szCs w:val="20"/>
          <w:lang w:eastAsia="bg-BG"/>
        </w:rPr>
      </w:pPr>
    </w:p>
    <w:p w14:paraId="27083DD5" w14:textId="3D09C7D3"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Стомашната промивка може да помогне в някои случаи. При здрави доброволци е доказано, че употребата на активен въглен до 2 часа след приложението на амлодипин 10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е довела до намаляване на степента на абсорбция на амлодипин.</w:t>
      </w:r>
    </w:p>
    <w:p w14:paraId="77EE145E" w14:textId="77777777" w:rsidR="001A6EBD" w:rsidRPr="001A6EBD" w:rsidRDefault="001A6EBD" w:rsidP="001A6EBD">
      <w:pPr>
        <w:spacing w:line="240" w:lineRule="auto"/>
        <w:rPr>
          <w:rFonts w:eastAsia="Times New Roman" w:cs="Arial"/>
          <w:color w:val="000000"/>
          <w:szCs w:val="20"/>
          <w:lang w:eastAsia="bg-BG"/>
        </w:rPr>
      </w:pPr>
    </w:p>
    <w:p w14:paraId="0238D772" w14:textId="2E3D1226"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Тъй като амлодипин се свързва във висока степен с протеините, малко е вероятно диализата да бъде от полза.</w:t>
      </w:r>
    </w:p>
    <w:p w14:paraId="716B7389" w14:textId="77777777" w:rsidR="001A6EBD" w:rsidRPr="001A6EBD" w:rsidRDefault="001A6EBD" w:rsidP="001A6EBD"/>
    <w:p w14:paraId="02081B24" w14:textId="36FE76F4" w:rsidR="00395555" w:rsidRPr="00395555" w:rsidRDefault="002C50EE" w:rsidP="008A6AF2">
      <w:pPr>
        <w:pStyle w:val="Heading1"/>
      </w:pPr>
      <w:r>
        <w:t>5. ФАРМАКОЛОГИЧНИ СВОЙСТВА</w:t>
      </w:r>
    </w:p>
    <w:p w14:paraId="6339E404" w14:textId="09AD1C40" w:rsidR="00875EEC" w:rsidRDefault="002C50EE" w:rsidP="005726E3">
      <w:pPr>
        <w:pStyle w:val="Heading2"/>
      </w:pPr>
      <w:r>
        <w:t>5.1. Фармакодинамични свойства</w:t>
      </w:r>
    </w:p>
    <w:p w14:paraId="51217A06" w14:textId="0C53098E" w:rsidR="001A6EBD" w:rsidRDefault="001A6EBD" w:rsidP="001A6EBD"/>
    <w:p w14:paraId="19B20A24"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lastRenderedPageBreak/>
        <w:t>Фармакотерапевтична група: блокери на калциевите канали; селективни блокери на калциевите канали с предимно съдови ефекти, АТС код: С08СА01</w:t>
      </w:r>
    </w:p>
    <w:p w14:paraId="294677D0" w14:textId="77777777" w:rsidR="001A6EBD" w:rsidRPr="001A6EBD" w:rsidRDefault="001A6EBD" w:rsidP="001A6EBD">
      <w:pPr>
        <w:spacing w:line="240" w:lineRule="auto"/>
        <w:rPr>
          <w:rFonts w:eastAsia="Times New Roman" w:cs="Arial"/>
          <w:color w:val="000000"/>
          <w:szCs w:val="20"/>
          <w:u w:val="single"/>
          <w:lang w:eastAsia="bg-BG"/>
        </w:rPr>
      </w:pPr>
    </w:p>
    <w:p w14:paraId="5E3BC7E4" w14:textId="1BBC7E50"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Механизъм на действие</w:t>
      </w:r>
    </w:p>
    <w:p w14:paraId="394E895E" w14:textId="77777777" w:rsidR="001A6EBD" w:rsidRPr="001A6EBD" w:rsidRDefault="001A6EBD" w:rsidP="001A6EBD">
      <w:pPr>
        <w:spacing w:line="240" w:lineRule="auto"/>
        <w:rPr>
          <w:rFonts w:eastAsia="Times New Roman" w:cs="Arial"/>
          <w:color w:val="000000"/>
          <w:szCs w:val="20"/>
          <w:lang w:eastAsia="bg-BG"/>
        </w:rPr>
      </w:pPr>
    </w:p>
    <w:p w14:paraId="3670543D" w14:textId="0F6F3B9C"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Амлодипин е йонен калциев инхибитор от групата на дихидропиридините (блокер на бавните канали или антагонист на калциевия йон) който потиска трансмембранното навлизане на калциеви йони в клетките на сърдечната и съдовата гладка мускулатура.</w:t>
      </w:r>
    </w:p>
    <w:p w14:paraId="237AE8A3" w14:textId="77777777" w:rsidR="001A6EBD" w:rsidRPr="001A6EBD" w:rsidRDefault="001A6EBD" w:rsidP="001A6EBD">
      <w:pPr>
        <w:spacing w:line="240" w:lineRule="auto"/>
        <w:rPr>
          <w:rFonts w:eastAsia="Times New Roman" w:cs="Arial"/>
          <w:color w:val="000000"/>
          <w:szCs w:val="20"/>
          <w:u w:val="single"/>
          <w:lang w:eastAsia="bg-BG"/>
        </w:rPr>
      </w:pPr>
    </w:p>
    <w:p w14:paraId="0E5C7CE8" w14:textId="14F8AFBF"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Фармакодинамични ефекти</w:t>
      </w:r>
    </w:p>
    <w:p w14:paraId="2E177E59" w14:textId="77777777" w:rsidR="001A6EBD" w:rsidRPr="001A6EBD" w:rsidRDefault="001A6EBD" w:rsidP="001A6EBD">
      <w:pPr>
        <w:rPr>
          <w:rFonts w:eastAsia="Times New Roman" w:cs="Arial"/>
          <w:color w:val="000000"/>
          <w:szCs w:val="20"/>
          <w:lang w:eastAsia="bg-BG"/>
        </w:rPr>
      </w:pPr>
    </w:p>
    <w:p w14:paraId="6475D8B0" w14:textId="77777777" w:rsidR="001A6EBD" w:rsidRPr="001A6EBD" w:rsidRDefault="001A6EBD" w:rsidP="001A6EBD">
      <w:pPr>
        <w:rPr>
          <w:rFonts w:eastAsia="Times New Roman" w:cs="Arial"/>
          <w:sz w:val="28"/>
          <w:szCs w:val="24"/>
        </w:rPr>
      </w:pPr>
      <w:r w:rsidRPr="001A6EBD">
        <w:rPr>
          <w:rFonts w:eastAsia="Times New Roman" w:cs="Arial"/>
          <w:color w:val="000000"/>
          <w:szCs w:val="20"/>
          <w:lang w:eastAsia="bg-BG"/>
        </w:rPr>
        <w:t>Механизмът на антихипертензивно действие се дължи на директния релаксиращ ефект върху съдовата гладка мускулатура. Точният механизъм, чрез който амлодипин облекчава стенокардията, не е напълно изяснен, но амлодипин намалява общото исхемично натоварване по следните два механизма:</w:t>
      </w:r>
    </w:p>
    <w:p w14:paraId="6BDE31BC" w14:textId="77777777" w:rsidR="001A6EBD" w:rsidRPr="001A6EBD" w:rsidRDefault="001A6EBD" w:rsidP="001A6EBD">
      <w:pPr>
        <w:spacing w:line="240" w:lineRule="auto"/>
        <w:rPr>
          <w:rFonts w:eastAsia="Times New Roman" w:cs="Arial"/>
          <w:color w:val="000000"/>
          <w:szCs w:val="20"/>
          <w:lang w:eastAsia="bg-BG"/>
        </w:rPr>
      </w:pPr>
    </w:p>
    <w:p w14:paraId="1806C94F" w14:textId="34D5099A"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1.Амлодипин предизвиква дилатация на периферните артериоли и по този начин намалява общото периферно съпротивление (след натоварването), срещу която сърцето работи. Тъй като сърдечната честота остава стабилна, това обременяване на сърцето намалява енергийната консумация и нуждите от кислород на миокарда.</w:t>
      </w:r>
    </w:p>
    <w:p w14:paraId="4FFEDCA1" w14:textId="77777777" w:rsidR="001A6EBD" w:rsidRPr="001A6EBD" w:rsidRDefault="001A6EBD" w:rsidP="001A6EBD">
      <w:pPr>
        <w:spacing w:line="240" w:lineRule="auto"/>
        <w:rPr>
          <w:rFonts w:eastAsia="Times New Roman" w:cs="Arial"/>
          <w:color w:val="000000"/>
          <w:szCs w:val="20"/>
          <w:lang w:eastAsia="bg-BG"/>
        </w:rPr>
      </w:pPr>
    </w:p>
    <w:p w14:paraId="5765885B" w14:textId="22AFDEB0"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2.Механизмът на действие на амлодипин вероятно включва дилатация на основните коронарни артерии и коронарните артериоли, както в нормалните така и в исхемичните области. Тази дилатация увеличава притока на кислород към миокарда при пациенти с коронарен артериален спазъм (ангина на </w:t>
      </w:r>
      <w:proofErr w:type="spellStart"/>
      <w:r w:rsidRPr="001A6EBD">
        <w:rPr>
          <w:rFonts w:eastAsia="Times New Roman" w:cs="Arial"/>
          <w:color w:val="000000"/>
          <w:szCs w:val="20"/>
          <w:lang w:val="en-US"/>
        </w:rPr>
        <w:t>Prinzmetal</w:t>
      </w:r>
      <w:proofErr w:type="spellEnd"/>
      <w:r w:rsidRPr="001A6EBD">
        <w:rPr>
          <w:rFonts w:eastAsia="Times New Roman" w:cs="Arial"/>
          <w:color w:val="000000"/>
          <w:szCs w:val="20"/>
          <w:lang w:val="ru-RU"/>
        </w:rPr>
        <w:t xml:space="preserve"> </w:t>
      </w:r>
      <w:r w:rsidRPr="001A6EBD">
        <w:rPr>
          <w:rFonts w:eastAsia="Times New Roman" w:cs="Arial"/>
          <w:color w:val="000000"/>
          <w:szCs w:val="20"/>
          <w:lang w:eastAsia="bg-BG"/>
        </w:rPr>
        <w:t>или вариантна стенокрадия).</w:t>
      </w:r>
    </w:p>
    <w:p w14:paraId="1113CBB7" w14:textId="77777777" w:rsidR="001A6EBD" w:rsidRPr="001A6EBD" w:rsidRDefault="001A6EBD" w:rsidP="001A6EBD">
      <w:pPr>
        <w:spacing w:line="240" w:lineRule="auto"/>
        <w:rPr>
          <w:rFonts w:eastAsia="Times New Roman" w:cs="Arial"/>
          <w:color w:val="000000"/>
          <w:szCs w:val="20"/>
          <w:lang w:eastAsia="bg-BG"/>
        </w:rPr>
      </w:pPr>
    </w:p>
    <w:p w14:paraId="6D2CEEC9" w14:textId="7F62EC65"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При пациенти с хипертензия дозирането веднъж дневно осигурява клинично значимо намаление на артериалното налягане (в легнало и изправено положение) в продължение на 24 часа. Поради бавното начало на действие острата хипотония не се среща при неговото приложение.</w:t>
      </w:r>
    </w:p>
    <w:p w14:paraId="69719B89" w14:textId="77777777" w:rsidR="001A6EBD" w:rsidRPr="001A6EBD" w:rsidRDefault="001A6EBD" w:rsidP="001A6EBD">
      <w:pPr>
        <w:spacing w:line="240" w:lineRule="auto"/>
        <w:rPr>
          <w:rFonts w:eastAsia="Times New Roman" w:cs="Arial"/>
          <w:color w:val="000000"/>
          <w:szCs w:val="20"/>
          <w:lang w:eastAsia="bg-BG"/>
        </w:rPr>
      </w:pPr>
    </w:p>
    <w:p w14:paraId="6FD18C27" w14:textId="3F7AEA0C"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При пациенти със стенокардия приложението на амлодипин веднъж дневно увеличава времето на физическо натоварване, времето до провокиране на ангиозния пристъп и времето за депресия на </w:t>
      </w:r>
      <w:r w:rsidRPr="001A6EBD">
        <w:rPr>
          <w:rFonts w:eastAsia="Times New Roman" w:cs="Arial"/>
          <w:color w:val="000000"/>
          <w:szCs w:val="20"/>
          <w:lang w:val="en-US"/>
        </w:rPr>
        <w:t>ST</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сегмента с 1 </w:t>
      </w:r>
      <w:r w:rsidRPr="001A6EBD">
        <w:rPr>
          <w:rFonts w:eastAsia="Times New Roman" w:cs="Arial"/>
          <w:color w:val="000000"/>
          <w:szCs w:val="20"/>
          <w:lang w:val="en-US"/>
        </w:rPr>
        <w:t>mm</w:t>
      </w:r>
      <w:r w:rsidRPr="001A6EBD">
        <w:rPr>
          <w:rFonts w:eastAsia="Times New Roman" w:cs="Arial"/>
          <w:color w:val="000000"/>
          <w:szCs w:val="20"/>
          <w:lang w:val="ru-RU"/>
        </w:rPr>
        <w:t xml:space="preserve"> </w:t>
      </w:r>
      <w:r w:rsidRPr="001A6EBD">
        <w:rPr>
          <w:rFonts w:eastAsia="Times New Roman" w:cs="Arial"/>
          <w:color w:val="000000"/>
          <w:szCs w:val="20"/>
          <w:lang w:eastAsia="bg-BG"/>
        </w:rPr>
        <w:t>и намалява както честотата на пристъпите на стенокардия така и приема на таблетки глицерил тринитрат.</w:t>
      </w:r>
    </w:p>
    <w:p w14:paraId="39D05C65" w14:textId="77777777" w:rsidR="001A6EBD" w:rsidRPr="001A6EBD" w:rsidRDefault="001A6EBD" w:rsidP="001A6EBD">
      <w:pPr>
        <w:spacing w:line="240" w:lineRule="auto"/>
        <w:rPr>
          <w:rFonts w:eastAsia="Times New Roman" w:cs="Arial"/>
          <w:color w:val="000000"/>
          <w:szCs w:val="20"/>
          <w:lang w:eastAsia="bg-BG"/>
        </w:rPr>
      </w:pPr>
    </w:p>
    <w:p w14:paraId="54FAAD2D" w14:textId="4668B40E"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Амлодипин не води до никакви метаболитни нежелани реакции или промени в плазмените липиди и е подходящ за употреба при пациенти с астма, диабет и подагра.</w:t>
      </w:r>
    </w:p>
    <w:p w14:paraId="787CF7F9" w14:textId="77777777" w:rsidR="001A6EBD" w:rsidRPr="001A6EBD" w:rsidRDefault="001A6EBD" w:rsidP="001A6EBD">
      <w:pPr>
        <w:spacing w:line="240" w:lineRule="auto"/>
        <w:rPr>
          <w:rFonts w:eastAsia="Times New Roman" w:cs="Arial"/>
          <w:color w:val="000000"/>
          <w:szCs w:val="20"/>
          <w:u w:val="single"/>
          <w:lang w:eastAsia="bg-BG"/>
        </w:rPr>
      </w:pPr>
    </w:p>
    <w:p w14:paraId="2FD27EAD" w14:textId="09756A55"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Клинична ефикасност и безопаксност</w:t>
      </w:r>
    </w:p>
    <w:p w14:paraId="16620B33" w14:textId="77777777" w:rsidR="001A6EBD" w:rsidRPr="001A6EBD" w:rsidRDefault="001A6EBD" w:rsidP="001A6EBD">
      <w:pPr>
        <w:spacing w:line="240" w:lineRule="auto"/>
        <w:rPr>
          <w:rFonts w:eastAsia="Times New Roman" w:cs="Arial"/>
          <w:i/>
          <w:iCs/>
          <w:color w:val="000000"/>
          <w:szCs w:val="20"/>
          <w:u w:val="single"/>
          <w:lang w:eastAsia="bg-BG"/>
        </w:rPr>
      </w:pPr>
    </w:p>
    <w:p w14:paraId="395278D5" w14:textId="6D41F507"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u w:val="single"/>
          <w:lang w:eastAsia="bg-BG"/>
        </w:rPr>
        <w:t>Употреба при пациенти с исхемична болест на сърцето (ИБС)</w:t>
      </w:r>
    </w:p>
    <w:p w14:paraId="24212A6E" w14:textId="77777777" w:rsidR="001A6EBD" w:rsidRPr="001A6EBD" w:rsidRDefault="001A6EBD" w:rsidP="001A6EBD">
      <w:pPr>
        <w:spacing w:line="240" w:lineRule="auto"/>
        <w:rPr>
          <w:rFonts w:eastAsia="Times New Roman" w:cs="Arial"/>
          <w:color w:val="000000"/>
          <w:szCs w:val="20"/>
          <w:lang w:eastAsia="bg-BG"/>
        </w:rPr>
      </w:pPr>
    </w:p>
    <w:p w14:paraId="2BF24FE2" w14:textId="4A546E88"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Ефективността на амлодипин при предотвратяване на клинични прояви при пациенти с коронарна болест на сърцето (ИБС) е оценена в независимо, мулти-центрово, рандомизирано, двойно-сляпо, плацебо-контролирано проучване при 1997 пациенти. </w:t>
      </w:r>
      <w:r w:rsidRPr="001A6EBD">
        <w:rPr>
          <w:rFonts w:eastAsia="Times New Roman" w:cs="Arial"/>
          <w:color w:val="000000"/>
          <w:szCs w:val="20"/>
          <w:lang w:val="en-US"/>
        </w:rPr>
        <w:t xml:space="preserve">Comparison of Amlodipine vs. </w:t>
      </w:r>
      <w:proofErr w:type="spellStart"/>
      <w:r w:rsidRPr="001A6EBD">
        <w:rPr>
          <w:rFonts w:eastAsia="Times New Roman" w:cs="Arial"/>
          <w:color w:val="000000"/>
          <w:szCs w:val="20"/>
          <w:lang w:val="en-US"/>
        </w:rPr>
        <w:t>Enalapril</w:t>
      </w:r>
      <w:proofErr w:type="spellEnd"/>
      <w:r w:rsidRPr="001A6EBD">
        <w:rPr>
          <w:rFonts w:eastAsia="Times New Roman" w:cs="Arial"/>
          <w:color w:val="000000"/>
          <w:szCs w:val="20"/>
          <w:lang w:val="en-US"/>
        </w:rPr>
        <w:t xml:space="preserve"> to Limit Occurrences of Thrombosis (CAMELOT). </w:t>
      </w:r>
      <w:r w:rsidRPr="001A6EBD">
        <w:rPr>
          <w:rFonts w:eastAsia="Times New Roman" w:cs="Arial"/>
          <w:color w:val="000000"/>
          <w:szCs w:val="20"/>
          <w:lang w:eastAsia="bg-BG"/>
        </w:rPr>
        <w:t xml:space="preserve">От тези пациенти, </w:t>
      </w:r>
      <w:r w:rsidRPr="001A6EBD">
        <w:rPr>
          <w:rFonts w:eastAsia="Times New Roman" w:cs="Arial"/>
          <w:color w:val="000000"/>
          <w:szCs w:val="20"/>
          <w:lang w:val="ru-RU"/>
        </w:rPr>
        <w:t xml:space="preserve">663 </w:t>
      </w:r>
      <w:r w:rsidRPr="001A6EBD">
        <w:rPr>
          <w:rFonts w:eastAsia="Times New Roman" w:cs="Arial"/>
          <w:color w:val="000000"/>
          <w:szCs w:val="20"/>
          <w:lang w:eastAsia="bg-BG"/>
        </w:rPr>
        <w:t xml:space="preserve">са били лекувани с амлодипин 5-10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673 пациенти са били лекувани с еналаприл 10-20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и 655 пациенти са лекувани с плацебо, в допълнение към стандартната терапия на статини, бета- блокери, диуретици и аспирин, в продължение на </w:t>
      </w:r>
      <w:r w:rsidRPr="001A6EBD">
        <w:rPr>
          <w:rFonts w:eastAsia="Times New Roman" w:cs="Arial"/>
          <w:color w:val="000000"/>
          <w:szCs w:val="20"/>
          <w:lang w:eastAsia="bg-BG"/>
        </w:rPr>
        <w:lastRenderedPageBreak/>
        <w:t>2 години. Ключовите резултати за ефикасност са представени в таблица 1. Резултатите показват, че лечението с амлодипин е свързано с по-малко хоспитализации поради стенокардия и процедури за реваскуларизация при пациенти с ИБС.</w:t>
      </w:r>
    </w:p>
    <w:tbl>
      <w:tblPr>
        <w:tblStyle w:val="TableGrid"/>
        <w:tblW w:w="0" w:type="auto"/>
        <w:tblLook w:val="04A0" w:firstRow="1" w:lastRow="0" w:firstColumn="1" w:lastColumn="0" w:noHBand="0" w:noVBand="1"/>
      </w:tblPr>
      <w:tblGrid>
        <w:gridCol w:w="2212"/>
        <w:gridCol w:w="1397"/>
        <w:gridCol w:w="1396"/>
        <w:gridCol w:w="1482"/>
        <w:gridCol w:w="1645"/>
        <w:gridCol w:w="1218"/>
      </w:tblGrid>
      <w:tr w:rsidR="00BB22B4" w14:paraId="35DC561A" w14:textId="77777777" w:rsidTr="001E0F4A">
        <w:tc>
          <w:tcPr>
            <w:tcW w:w="9576" w:type="dxa"/>
            <w:gridSpan w:val="6"/>
          </w:tcPr>
          <w:p w14:paraId="055F58BF" w14:textId="4DBC22C6" w:rsidR="00BB22B4" w:rsidRPr="00BB22B4" w:rsidRDefault="00BB22B4" w:rsidP="001A6EBD">
            <w:r w:rsidRPr="00BB22B4">
              <w:rPr>
                <w:b/>
                <w:bCs/>
                <w:szCs w:val="20"/>
              </w:rPr>
              <w:t xml:space="preserve">Таблица 1. Честота на значимите клинични събития при </w:t>
            </w:r>
            <w:r w:rsidRPr="00BB22B4">
              <w:rPr>
                <w:b/>
                <w:bCs/>
                <w:szCs w:val="20"/>
                <w:lang w:val="en-US"/>
              </w:rPr>
              <w:t>CAMELOT</w:t>
            </w:r>
          </w:p>
        </w:tc>
      </w:tr>
      <w:tr w:rsidR="00BB22B4" w14:paraId="7D1240E3" w14:textId="77777777" w:rsidTr="00BB22B4">
        <w:tc>
          <w:tcPr>
            <w:tcW w:w="2235" w:type="dxa"/>
          </w:tcPr>
          <w:p w14:paraId="60DFFE8E" w14:textId="77777777" w:rsidR="00BB22B4" w:rsidRDefault="00BB22B4" w:rsidP="00BB22B4"/>
        </w:tc>
        <w:tc>
          <w:tcPr>
            <w:tcW w:w="4369" w:type="dxa"/>
            <w:gridSpan w:val="3"/>
          </w:tcPr>
          <w:p w14:paraId="1FAA897A" w14:textId="56FFDFA8" w:rsidR="00BB22B4" w:rsidRDefault="00BB22B4" w:rsidP="00BB22B4">
            <w:r>
              <w:t xml:space="preserve">Сърдечно-съдови събития, </w:t>
            </w:r>
            <w:r>
              <w:rPr>
                <w:lang w:val="en-US"/>
              </w:rPr>
              <w:t xml:space="preserve">No. </w:t>
            </w:r>
            <w:r>
              <w:t>(%)</w:t>
            </w:r>
          </w:p>
        </w:tc>
        <w:tc>
          <w:tcPr>
            <w:tcW w:w="2972" w:type="dxa"/>
            <w:gridSpan w:val="2"/>
            <w:vAlign w:val="bottom"/>
          </w:tcPr>
          <w:p w14:paraId="0A265EDF" w14:textId="31341170" w:rsidR="00BB22B4" w:rsidRDefault="00BB22B4" w:rsidP="00BB22B4">
            <w:r>
              <w:rPr>
                <w:u w:val="single"/>
              </w:rPr>
              <w:t>Амлодипин с/у Плацебо</w:t>
            </w:r>
          </w:p>
        </w:tc>
      </w:tr>
      <w:tr w:rsidR="00BB22B4" w14:paraId="00EE782B" w14:textId="77777777" w:rsidTr="00BB22B4">
        <w:tc>
          <w:tcPr>
            <w:tcW w:w="2235" w:type="dxa"/>
            <w:vAlign w:val="center"/>
          </w:tcPr>
          <w:p w14:paraId="4050474A" w14:textId="5B14B63E" w:rsidR="00BB22B4" w:rsidRPr="00BB22B4" w:rsidRDefault="00BB22B4" w:rsidP="00BB22B4">
            <w:pPr>
              <w:rPr>
                <w:rFonts w:cs="Arial"/>
              </w:rPr>
            </w:pPr>
            <w:r w:rsidRPr="00BB22B4">
              <w:rPr>
                <w:rFonts w:cs="Arial"/>
              </w:rPr>
              <w:t>Резултати</w:t>
            </w:r>
          </w:p>
        </w:tc>
        <w:tc>
          <w:tcPr>
            <w:tcW w:w="1400" w:type="dxa"/>
            <w:vAlign w:val="center"/>
          </w:tcPr>
          <w:p w14:paraId="62CBC16A" w14:textId="44A05864" w:rsidR="00BB22B4" w:rsidRPr="00BB22B4" w:rsidRDefault="00BB22B4" w:rsidP="00BB22B4">
            <w:pPr>
              <w:rPr>
                <w:rFonts w:cs="Arial"/>
              </w:rPr>
            </w:pPr>
            <w:r w:rsidRPr="00BB22B4">
              <w:rPr>
                <w:rFonts w:cs="Arial"/>
              </w:rPr>
              <w:t>Амлодипин</w:t>
            </w:r>
          </w:p>
        </w:tc>
        <w:tc>
          <w:tcPr>
            <w:tcW w:w="1454" w:type="dxa"/>
            <w:vAlign w:val="center"/>
          </w:tcPr>
          <w:p w14:paraId="3DC7F00D" w14:textId="566BD56F" w:rsidR="00BB22B4" w:rsidRPr="00BB22B4" w:rsidRDefault="00BB22B4" w:rsidP="00BB22B4">
            <w:pPr>
              <w:rPr>
                <w:rFonts w:cs="Arial"/>
              </w:rPr>
            </w:pPr>
            <w:r w:rsidRPr="00BB22B4">
              <w:rPr>
                <w:rFonts w:cs="Arial"/>
              </w:rPr>
              <w:t>Плацебо</w:t>
            </w:r>
          </w:p>
        </w:tc>
        <w:tc>
          <w:tcPr>
            <w:tcW w:w="1515" w:type="dxa"/>
            <w:vAlign w:val="center"/>
          </w:tcPr>
          <w:p w14:paraId="3A50F5D2" w14:textId="01E7ECC1" w:rsidR="00BB22B4" w:rsidRPr="00BB22B4" w:rsidRDefault="00BB22B4" w:rsidP="00BB22B4">
            <w:pPr>
              <w:rPr>
                <w:rFonts w:cs="Arial"/>
              </w:rPr>
            </w:pPr>
            <w:r w:rsidRPr="00BB22B4">
              <w:rPr>
                <w:rFonts w:cs="Arial"/>
              </w:rPr>
              <w:t>Екалаприл</w:t>
            </w:r>
          </w:p>
        </w:tc>
        <w:tc>
          <w:tcPr>
            <w:tcW w:w="1645" w:type="dxa"/>
            <w:vAlign w:val="bottom"/>
          </w:tcPr>
          <w:p w14:paraId="4EF33DA0" w14:textId="39724B08" w:rsidR="00BB22B4" w:rsidRPr="00BB22B4" w:rsidRDefault="00BB22B4" w:rsidP="00BB22B4">
            <w:pPr>
              <w:rPr>
                <w:rFonts w:cs="Arial"/>
              </w:rPr>
            </w:pPr>
            <w:r w:rsidRPr="00BB22B4">
              <w:rPr>
                <w:rFonts w:cs="Arial"/>
              </w:rPr>
              <w:t xml:space="preserve">Съотношение на риска (95% </w:t>
            </w:r>
            <w:r w:rsidRPr="00BB22B4">
              <w:rPr>
                <w:rFonts w:cs="Arial"/>
                <w:lang w:val="en-US"/>
              </w:rPr>
              <w:t>CI)</w:t>
            </w:r>
          </w:p>
        </w:tc>
        <w:tc>
          <w:tcPr>
            <w:tcW w:w="1327" w:type="dxa"/>
            <w:vAlign w:val="center"/>
          </w:tcPr>
          <w:p w14:paraId="648FEFC6" w14:textId="70B53E1C" w:rsidR="00BB22B4" w:rsidRPr="00BB22B4" w:rsidRDefault="00BB22B4" w:rsidP="00BB22B4">
            <w:pPr>
              <w:rPr>
                <w:rFonts w:cs="Arial"/>
              </w:rPr>
            </w:pPr>
            <w:r w:rsidRPr="00BB22B4">
              <w:rPr>
                <w:rFonts w:cs="Arial"/>
                <w:i/>
                <w:iCs/>
                <w:lang w:val="en-US"/>
              </w:rPr>
              <w:t xml:space="preserve">P </w:t>
            </w:r>
            <w:r w:rsidRPr="00BB22B4">
              <w:rPr>
                <w:rFonts w:cs="Arial"/>
                <w:i/>
                <w:iCs/>
              </w:rPr>
              <w:t>нива</w:t>
            </w:r>
          </w:p>
        </w:tc>
      </w:tr>
      <w:tr w:rsidR="00BB22B4" w14:paraId="3B2AFECE" w14:textId="77777777" w:rsidTr="00BB22B4">
        <w:tc>
          <w:tcPr>
            <w:tcW w:w="2235" w:type="dxa"/>
          </w:tcPr>
          <w:p w14:paraId="5784B90D" w14:textId="741C9E99" w:rsidR="00BB22B4" w:rsidRPr="00BB22B4" w:rsidRDefault="00BB22B4" w:rsidP="00BB22B4">
            <w:pPr>
              <w:rPr>
                <w:rFonts w:cs="Arial"/>
              </w:rPr>
            </w:pPr>
            <w:r w:rsidRPr="00BB22B4">
              <w:rPr>
                <w:rFonts w:cs="Arial"/>
                <w:u w:val="single"/>
              </w:rPr>
              <w:t>Пълвична крайна точка</w:t>
            </w:r>
          </w:p>
        </w:tc>
        <w:tc>
          <w:tcPr>
            <w:tcW w:w="1400" w:type="dxa"/>
          </w:tcPr>
          <w:p w14:paraId="19BC00BE" w14:textId="77777777" w:rsidR="00BB22B4" w:rsidRPr="00BB22B4" w:rsidRDefault="00BB22B4" w:rsidP="00BB22B4">
            <w:pPr>
              <w:rPr>
                <w:rFonts w:cs="Arial"/>
              </w:rPr>
            </w:pPr>
          </w:p>
        </w:tc>
        <w:tc>
          <w:tcPr>
            <w:tcW w:w="1454" w:type="dxa"/>
          </w:tcPr>
          <w:p w14:paraId="5C752FDF" w14:textId="77777777" w:rsidR="00BB22B4" w:rsidRPr="00BB22B4" w:rsidRDefault="00BB22B4" w:rsidP="00BB22B4">
            <w:pPr>
              <w:rPr>
                <w:rFonts w:cs="Arial"/>
              </w:rPr>
            </w:pPr>
          </w:p>
        </w:tc>
        <w:tc>
          <w:tcPr>
            <w:tcW w:w="1515" w:type="dxa"/>
          </w:tcPr>
          <w:p w14:paraId="16BA565B" w14:textId="77777777" w:rsidR="00BB22B4" w:rsidRPr="00BB22B4" w:rsidRDefault="00BB22B4" w:rsidP="00BB22B4">
            <w:pPr>
              <w:rPr>
                <w:rFonts w:cs="Arial"/>
              </w:rPr>
            </w:pPr>
          </w:p>
        </w:tc>
        <w:tc>
          <w:tcPr>
            <w:tcW w:w="1645" w:type="dxa"/>
          </w:tcPr>
          <w:p w14:paraId="058F9A75" w14:textId="77777777" w:rsidR="00BB22B4" w:rsidRPr="00BB22B4" w:rsidRDefault="00BB22B4" w:rsidP="00BB22B4">
            <w:pPr>
              <w:rPr>
                <w:rFonts w:cs="Arial"/>
              </w:rPr>
            </w:pPr>
          </w:p>
        </w:tc>
        <w:tc>
          <w:tcPr>
            <w:tcW w:w="1327" w:type="dxa"/>
          </w:tcPr>
          <w:p w14:paraId="71253339" w14:textId="77777777" w:rsidR="00BB22B4" w:rsidRPr="00BB22B4" w:rsidRDefault="00BB22B4" w:rsidP="00BB22B4">
            <w:pPr>
              <w:rPr>
                <w:rFonts w:cs="Arial"/>
              </w:rPr>
            </w:pPr>
          </w:p>
        </w:tc>
      </w:tr>
      <w:tr w:rsidR="00BB22B4" w14:paraId="0D23FBDF" w14:textId="77777777" w:rsidTr="00BB22B4">
        <w:tc>
          <w:tcPr>
            <w:tcW w:w="2235" w:type="dxa"/>
          </w:tcPr>
          <w:p w14:paraId="7B7DEA4B" w14:textId="08FD391D" w:rsidR="00BB22B4" w:rsidRPr="00BB22B4" w:rsidRDefault="00BB22B4" w:rsidP="00BB22B4">
            <w:pPr>
              <w:rPr>
                <w:rFonts w:cs="Arial"/>
              </w:rPr>
            </w:pPr>
            <w:r w:rsidRPr="00BB22B4">
              <w:rPr>
                <w:rFonts w:cs="Arial"/>
              </w:rPr>
              <w:t>Нежелани сърдечно-съдови събития</w:t>
            </w:r>
          </w:p>
        </w:tc>
        <w:tc>
          <w:tcPr>
            <w:tcW w:w="1400" w:type="dxa"/>
            <w:vAlign w:val="center"/>
          </w:tcPr>
          <w:p w14:paraId="289227B3" w14:textId="7584C5CE" w:rsidR="00BB22B4" w:rsidRPr="00BB22B4" w:rsidRDefault="00BB22B4" w:rsidP="00BB22B4">
            <w:pPr>
              <w:rPr>
                <w:rFonts w:cs="Arial"/>
              </w:rPr>
            </w:pPr>
            <w:r w:rsidRPr="00BB22B4">
              <w:rPr>
                <w:rFonts w:cs="Arial"/>
              </w:rPr>
              <w:t>110(16,6)</w:t>
            </w:r>
          </w:p>
        </w:tc>
        <w:tc>
          <w:tcPr>
            <w:tcW w:w="1454" w:type="dxa"/>
          </w:tcPr>
          <w:p w14:paraId="01A5597D" w14:textId="77777777" w:rsidR="00BB22B4" w:rsidRPr="00BB22B4" w:rsidRDefault="00BB22B4" w:rsidP="00BB22B4">
            <w:pPr>
              <w:rPr>
                <w:rFonts w:cs="Arial"/>
              </w:rPr>
            </w:pPr>
            <w:r w:rsidRPr="00BB22B4">
              <w:rPr>
                <w:rFonts w:cs="Arial"/>
              </w:rPr>
              <w:t>151</w:t>
            </w:r>
          </w:p>
          <w:p w14:paraId="0A09B999" w14:textId="3F66C862" w:rsidR="00BB22B4" w:rsidRPr="00BB22B4" w:rsidRDefault="00BB22B4" w:rsidP="00BB22B4">
            <w:pPr>
              <w:rPr>
                <w:rFonts w:cs="Arial"/>
              </w:rPr>
            </w:pPr>
            <w:r w:rsidRPr="00BB22B4">
              <w:rPr>
                <w:rFonts w:cs="Arial"/>
              </w:rPr>
              <w:t>(23,1)</w:t>
            </w:r>
          </w:p>
        </w:tc>
        <w:tc>
          <w:tcPr>
            <w:tcW w:w="1515" w:type="dxa"/>
            <w:vAlign w:val="center"/>
          </w:tcPr>
          <w:p w14:paraId="3221E592" w14:textId="65222560" w:rsidR="00BB22B4" w:rsidRPr="00BB22B4" w:rsidRDefault="00BB22B4" w:rsidP="00BB22B4">
            <w:pPr>
              <w:rPr>
                <w:rFonts w:cs="Arial"/>
              </w:rPr>
            </w:pPr>
            <w:r w:rsidRPr="00BB22B4">
              <w:rPr>
                <w:rFonts w:cs="Arial"/>
              </w:rPr>
              <w:t>136(20,2)</w:t>
            </w:r>
          </w:p>
        </w:tc>
        <w:tc>
          <w:tcPr>
            <w:tcW w:w="1645" w:type="dxa"/>
            <w:vAlign w:val="center"/>
          </w:tcPr>
          <w:p w14:paraId="5970D459" w14:textId="6A00CE02" w:rsidR="00BB22B4" w:rsidRPr="00BB22B4" w:rsidRDefault="00BB22B4" w:rsidP="00BB22B4">
            <w:pPr>
              <w:rPr>
                <w:rFonts w:cs="Arial"/>
              </w:rPr>
            </w:pPr>
            <w:r w:rsidRPr="00BB22B4">
              <w:rPr>
                <w:rFonts w:cs="Arial"/>
              </w:rPr>
              <w:t>0,69 (0,54-0,88)</w:t>
            </w:r>
          </w:p>
        </w:tc>
        <w:tc>
          <w:tcPr>
            <w:tcW w:w="1327" w:type="dxa"/>
            <w:vAlign w:val="center"/>
          </w:tcPr>
          <w:p w14:paraId="588F5104" w14:textId="3BEBFF6A" w:rsidR="00BB22B4" w:rsidRPr="00BB22B4" w:rsidRDefault="00BB22B4" w:rsidP="00BB22B4">
            <w:pPr>
              <w:rPr>
                <w:rFonts w:cs="Arial"/>
              </w:rPr>
            </w:pPr>
            <w:r w:rsidRPr="00BB22B4">
              <w:rPr>
                <w:rFonts w:cs="Arial"/>
                <w:lang w:val="en-US"/>
              </w:rPr>
              <w:t>.003</w:t>
            </w:r>
          </w:p>
        </w:tc>
      </w:tr>
      <w:tr w:rsidR="00BB22B4" w14:paraId="0F214C57" w14:textId="77777777" w:rsidTr="00BB22B4">
        <w:tc>
          <w:tcPr>
            <w:tcW w:w="2235" w:type="dxa"/>
            <w:vAlign w:val="bottom"/>
          </w:tcPr>
          <w:p w14:paraId="38823F54" w14:textId="67B2536E" w:rsidR="00BB22B4" w:rsidRPr="00BB22B4" w:rsidRDefault="00BB22B4" w:rsidP="00BB22B4">
            <w:pPr>
              <w:rPr>
                <w:rFonts w:cs="Arial"/>
              </w:rPr>
            </w:pPr>
            <w:r w:rsidRPr="00BB22B4">
              <w:rPr>
                <w:rFonts w:cs="Arial"/>
              </w:rPr>
              <w:t>Отделните компоненти</w:t>
            </w:r>
          </w:p>
        </w:tc>
        <w:tc>
          <w:tcPr>
            <w:tcW w:w="1400" w:type="dxa"/>
          </w:tcPr>
          <w:p w14:paraId="77C43E86" w14:textId="77777777" w:rsidR="00BB22B4" w:rsidRPr="00BB22B4" w:rsidRDefault="00BB22B4" w:rsidP="00BB22B4">
            <w:pPr>
              <w:rPr>
                <w:rFonts w:cs="Arial"/>
              </w:rPr>
            </w:pPr>
          </w:p>
        </w:tc>
        <w:tc>
          <w:tcPr>
            <w:tcW w:w="1454" w:type="dxa"/>
          </w:tcPr>
          <w:p w14:paraId="3E9F7FAF" w14:textId="77777777" w:rsidR="00BB22B4" w:rsidRPr="00BB22B4" w:rsidRDefault="00BB22B4" w:rsidP="00BB22B4">
            <w:pPr>
              <w:rPr>
                <w:rFonts w:cs="Arial"/>
              </w:rPr>
            </w:pPr>
          </w:p>
        </w:tc>
        <w:tc>
          <w:tcPr>
            <w:tcW w:w="1515" w:type="dxa"/>
          </w:tcPr>
          <w:p w14:paraId="07F230B9" w14:textId="77777777" w:rsidR="00BB22B4" w:rsidRPr="00BB22B4" w:rsidRDefault="00BB22B4" w:rsidP="00BB22B4">
            <w:pPr>
              <w:rPr>
                <w:rFonts w:cs="Arial"/>
              </w:rPr>
            </w:pPr>
          </w:p>
        </w:tc>
        <w:tc>
          <w:tcPr>
            <w:tcW w:w="1645" w:type="dxa"/>
          </w:tcPr>
          <w:p w14:paraId="7143DC01" w14:textId="77777777" w:rsidR="00BB22B4" w:rsidRPr="00BB22B4" w:rsidRDefault="00BB22B4" w:rsidP="00BB22B4">
            <w:pPr>
              <w:rPr>
                <w:rFonts w:cs="Arial"/>
              </w:rPr>
            </w:pPr>
          </w:p>
        </w:tc>
        <w:tc>
          <w:tcPr>
            <w:tcW w:w="1327" w:type="dxa"/>
          </w:tcPr>
          <w:p w14:paraId="535C1869" w14:textId="77777777" w:rsidR="00BB22B4" w:rsidRPr="00BB22B4" w:rsidRDefault="00BB22B4" w:rsidP="00BB22B4">
            <w:pPr>
              <w:rPr>
                <w:rFonts w:cs="Arial"/>
              </w:rPr>
            </w:pPr>
          </w:p>
        </w:tc>
      </w:tr>
      <w:tr w:rsidR="00BB22B4" w14:paraId="3A428511" w14:textId="77777777" w:rsidTr="00BB22B4">
        <w:tc>
          <w:tcPr>
            <w:tcW w:w="2235" w:type="dxa"/>
          </w:tcPr>
          <w:p w14:paraId="0B7A5111" w14:textId="3F379F91" w:rsidR="00BB22B4" w:rsidRPr="00BB22B4" w:rsidRDefault="00BB22B4" w:rsidP="00BB22B4">
            <w:pPr>
              <w:rPr>
                <w:rFonts w:cs="Arial"/>
              </w:rPr>
            </w:pPr>
            <w:r w:rsidRPr="00BB22B4">
              <w:rPr>
                <w:rFonts w:cs="Arial"/>
              </w:rPr>
              <w:t>Коронална реваскуларизация</w:t>
            </w:r>
          </w:p>
        </w:tc>
        <w:tc>
          <w:tcPr>
            <w:tcW w:w="1400" w:type="dxa"/>
            <w:vAlign w:val="bottom"/>
          </w:tcPr>
          <w:p w14:paraId="6E84BA23" w14:textId="53F15A23" w:rsidR="00BB22B4" w:rsidRPr="00BB22B4" w:rsidRDefault="00BB22B4" w:rsidP="00BB22B4">
            <w:pPr>
              <w:rPr>
                <w:rFonts w:cs="Arial"/>
              </w:rPr>
            </w:pPr>
            <w:r w:rsidRPr="00BB22B4">
              <w:rPr>
                <w:rFonts w:cs="Arial"/>
              </w:rPr>
              <w:t>78(11,8)</w:t>
            </w:r>
          </w:p>
        </w:tc>
        <w:tc>
          <w:tcPr>
            <w:tcW w:w="1454" w:type="dxa"/>
            <w:vAlign w:val="bottom"/>
          </w:tcPr>
          <w:p w14:paraId="74E5BD0F" w14:textId="6D1BD019" w:rsidR="00BB22B4" w:rsidRPr="00BB22B4" w:rsidRDefault="00BB22B4" w:rsidP="00BB22B4">
            <w:pPr>
              <w:rPr>
                <w:rFonts w:cs="Arial"/>
              </w:rPr>
            </w:pPr>
            <w:r w:rsidRPr="00BB22B4">
              <w:rPr>
                <w:rFonts w:cs="Arial"/>
              </w:rPr>
              <w:t>103 (15,7)</w:t>
            </w:r>
          </w:p>
        </w:tc>
        <w:tc>
          <w:tcPr>
            <w:tcW w:w="1515" w:type="dxa"/>
            <w:vAlign w:val="bottom"/>
          </w:tcPr>
          <w:p w14:paraId="2C92DB77" w14:textId="5F0B31B0" w:rsidR="00BB22B4" w:rsidRPr="00BB22B4" w:rsidRDefault="00BB22B4" w:rsidP="00BB22B4">
            <w:pPr>
              <w:rPr>
                <w:rFonts w:cs="Arial"/>
              </w:rPr>
            </w:pPr>
            <w:r w:rsidRPr="00BB22B4">
              <w:rPr>
                <w:rFonts w:cs="Arial"/>
              </w:rPr>
              <w:t>95(14,1)</w:t>
            </w:r>
          </w:p>
        </w:tc>
        <w:tc>
          <w:tcPr>
            <w:tcW w:w="1645" w:type="dxa"/>
            <w:vAlign w:val="bottom"/>
          </w:tcPr>
          <w:p w14:paraId="18FA372E" w14:textId="4B7E0846" w:rsidR="00BB22B4" w:rsidRPr="00BB22B4" w:rsidRDefault="00BB22B4" w:rsidP="00BB22B4">
            <w:pPr>
              <w:rPr>
                <w:rFonts w:cs="Arial"/>
              </w:rPr>
            </w:pPr>
            <w:r w:rsidRPr="00BB22B4">
              <w:rPr>
                <w:rFonts w:cs="Arial"/>
              </w:rPr>
              <w:t xml:space="preserve">0,73 </w:t>
            </w:r>
            <w:r w:rsidRPr="00BB22B4">
              <w:rPr>
                <w:rFonts w:cs="Arial"/>
                <w:lang w:val="en-US"/>
              </w:rPr>
              <w:t>(0,54-0,98)</w:t>
            </w:r>
          </w:p>
        </w:tc>
        <w:tc>
          <w:tcPr>
            <w:tcW w:w="1327" w:type="dxa"/>
            <w:vAlign w:val="bottom"/>
          </w:tcPr>
          <w:p w14:paraId="5223961C" w14:textId="3D104F61" w:rsidR="00BB22B4" w:rsidRPr="00BB22B4" w:rsidRDefault="00BB22B4" w:rsidP="00BB22B4">
            <w:pPr>
              <w:rPr>
                <w:rFonts w:cs="Arial"/>
              </w:rPr>
            </w:pPr>
            <w:r w:rsidRPr="00BB22B4">
              <w:rPr>
                <w:rFonts w:cs="Arial"/>
                <w:i/>
                <w:iCs/>
                <w:lang w:val="en-US"/>
              </w:rPr>
              <w:t>.03</w:t>
            </w:r>
          </w:p>
        </w:tc>
      </w:tr>
      <w:tr w:rsidR="00BB22B4" w14:paraId="4E7D0030" w14:textId="77777777" w:rsidTr="00BB22B4">
        <w:tc>
          <w:tcPr>
            <w:tcW w:w="2235" w:type="dxa"/>
            <w:vAlign w:val="bottom"/>
          </w:tcPr>
          <w:p w14:paraId="24F7AF4D" w14:textId="35C20FEF" w:rsidR="00BB22B4" w:rsidRPr="00BB22B4" w:rsidRDefault="00BB22B4" w:rsidP="00BB22B4">
            <w:pPr>
              <w:rPr>
                <w:rFonts w:cs="Arial"/>
              </w:rPr>
            </w:pPr>
            <w:r w:rsidRPr="00BB22B4">
              <w:rPr>
                <w:rFonts w:cs="Arial"/>
              </w:rPr>
              <w:t>Хоспитализация поради стенокардия</w:t>
            </w:r>
          </w:p>
        </w:tc>
        <w:tc>
          <w:tcPr>
            <w:tcW w:w="1400" w:type="dxa"/>
            <w:vAlign w:val="center"/>
          </w:tcPr>
          <w:p w14:paraId="4D0CD372" w14:textId="70EA198A" w:rsidR="00BB22B4" w:rsidRPr="00BB22B4" w:rsidRDefault="00BB22B4" w:rsidP="00BB22B4">
            <w:pPr>
              <w:rPr>
                <w:rFonts w:cs="Arial"/>
              </w:rPr>
            </w:pPr>
            <w:r w:rsidRPr="00BB22B4">
              <w:rPr>
                <w:rFonts w:cs="Arial"/>
              </w:rPr>
              <w:t>51 (7,7)</w:t>
            </w:r>
          </w:p>
        </w:tc>
        <w:tc>
          <w:tcPr>
            <w:tcW w:w="1454" w:type="dxa"/>
            <w:vAlign w:val="center"/>
          </w:tcPr>
          <w:p w14:paraId="00189848" w14:textId="5FE2BB8A" w:rsidR="00BB22B4" w:rsidRPr="00BB22B4" w:rsidRDefault="00BB22B4" w:rsidP="00BB22B4">
            <w:pPr>
              <w:rPr>
                <w:rFonts w:cs="Arial"/>
              </w:rPr>
            </w:pPr>
            <w:r w:rsidRPr="00BB22B4">
              <w:rPr>
                <w:rFonts w:cs="Arial"/>
              </w:rPr>
              <w:t>84(12,8)</w:t>
            </w:r>
          </w:p>
        </w:tc>
        <w:tc>
          <w:tcPr>
            <w:tcW w:w="1515" w:type="dxa"/>
            <w:vAlign w:val="center"/>
          </w:tcPr>
          <w:p w14:paraId="4A96A9CB" w14:textId="18419971" w:rsidR="00BB22B4" w:rsidRPr="00BB22B4" w:rsidRDefault="00BB22B4" w:rsidP="00BB22B4">
            <w:pPr>
              <w:rPr>
                <w:rFonts w:cs="Arial"/>
              </w:rPr>
            </w:pPr>
            <w:r w:rsidRPr="00BB22B4">
              <w:rPr>
                <w:rFonts w:cs="Arial"/>
              </w:rPr>
              <w:t>86(12,8)</w:t>
            </w:r>
          </w:p>
        </w:tc>
        <w:tc>
          <w:tcPr>
            <w:tcW w:w="1645" w:type="dxa"/>
            <w:vAlign w:val="center"/>
          </w:tcPr>
          <w:p w14:paraId="10FCADF6" w14:textId="27A844A4" w:rsidR="00BB22B4" w:rsidRPr="00BB22B4" w:rsidRDefault="00BB22B4" w:rsidP="00BB22B4">
            <w:pPr>
              <w:rPr>
                <w:rFonts w:cs="Arial"/>
              </w:rPr>
            </w:pPr>
            <w:r w:rsidRPr="00BB22B4">
              <w:rPr>
                <w:rFonts w:cs="Arial"/>
              </w:rPr>
              <w:t>0,58 (0,41</w:t>
            </w:r>
          </w:p>
        </w:tc>
        <w:tc>
          <w:tcPr>
            <w:tcW w:w="1327" w:type="dxa"/>
          </w:tcPr>
          <w:p w14:paraId="48AA75FB" w14:textId="7D5E1114" w:rsidR="00BB22B4" w:rsidRPr="00BB22B4" w:rsidRDefault="00BB22B4" w:rsidP="00BB22B4">
            <w:pPr>
              <w:rPr>
                <w:rFonts w:cs="Arial"/>
              </w:rPr>
            </w:pPr>
            <w:r w:rsidRPr="00BB22B4">
              <w:rPr>
                <w:rFonts w:cs="Arial"/>
              </w:rPr>
              <w:t>.002</w:t>
            </w:r>
          </w:p>
        </w:tc>
      </w:tr>
      <w:tr w:rsidR="00BB22B4" w14:paraId="49670084" w14:textId="77777777" w:rsidTr="00BB22B4">
        <w:tc>
          <w:tcPr>
            <w:tcW w:w="2235" w:type="dxa"/>
            <w:vAlign w:val="bottom"/>
          </w:tcPr>
          <w:p w14:paraId="2C7D21C2" w14:textId="1CC233BD" w:rsidR="00BB22B4" w:rsidRPr="00BB22B4" w:rsidRDefault="00BB22B4" w:rsidP="00BB22B4">
            <w:pPr>
              <w:rPr>
                <w:rFonts w:cs="Arial"/>
              </w:rPr>
            </w:pPr>
            <w:r w:rsidRPr="00BB22B4">
              <w:rPr>
                <w:rFonts w:cs="Arial"/>
              </w:rPr>
              <w:t>Нефатален МИ</w:t>
            </w:r>
          </w:p>
        </w:tc>
        <w:tc>
          <w:tcPr>
            <w:tcW w:w="1400" w:type="dxa"/>
            <w:vAlign w:val="bottom"/>
          </w:tcPr>
          <w:p w14:paraId="5784CDAA" w14:textId="61479CB8" w:rsidR="00BB22B4" w:rsidRPr="00BB22B4" w:rsidRDefault="00BB22B4" w:rsidP="00BB22B4">
            <w:pPr>
              <w:rPr>
                <w:rFonts w:cs="Arial"/>
              </w:rPr>
            </w:pPr>
            <w:r w:rsidRPr="00BB22B4">
              <w:rPr>
                <w:rFonts w:cs="Arial"/>
              </w:rPr>
              <w:t>14(2,1)</w:t>
            </w:r>
          </w:p>
        </w:tc>
        <w:tc>
          <w:tcPr>
            <w:tcW w:w="1454" w:type="dxa"/>
            <w:vAlign w:val="bottom"/>
          </w:tcPr>
          <w:p w14:paraId="1CD2E9D2" w14:textId="13542E7D" w:rsidR="00BB22B4" w:rsidRPr="00BB22B4" w:rsidRDefault="00BB22B4" w:rsidP="00BB22B4">
            <w:pPr>
              <w:rPr>
                <w:rFonts w:cs="Arial"/>
              </w:rPr>
            </w:pPr>
            <w:r w:rsidRPr="00BB22B4">
              <w:rPr>
                <w:rFonts w:cs="Arial"/>
              </w:rPr>
              <w:t>19 (2,9)</w:t>
            </w:r>
          </w:p>
        </w:tc>
        <w:tc>
          <w:tcPr>
            <w:tcW w:w="1515" w:type="dxa"/>
            <w:vAlign w:val="bottom"/>
          </w:tcPr>
          <w:p w14:paraId="6260E8D1" w14:textId="1F883D9D" w:rsidR="00BB22B4" w:rsidRPr="00BB22B4" w:rsidRDefault="00BB22B4" w:rsidP="00BB22B4">
            <w:pPr>
              <w:rPr>
                <w:rFonts w:cs="Arial"/>
              </w:rPr>
            </w:pPr>
            <w:r w:rsidRPr="00BB22B4">
              <w:rPr>
                <w:rFonts w:cs="Arial"/>
              </w:rPr>
              <w:t>11,6)</w:t>
            </w:r>
          </w:p>
        </w:tc>
        <w:tc>
          <w:tcPr>
            <w:tcW w:w="1645" w:type="dxa"/>
          </w:tcPr>
          <w:p w14:paraId="3AD0775D" w14:textId="48B07F75" w:rsidR="00BB22B4" w:rsidRPr="00BB22B4" w:rsidRDefault="00BB22B4" w:rsidP="00BB22B4">
            <w:pPr>
              <w:rPr>
                <w:rFonts w:cs="Arial"/>
              </w:rPr>
            </w:pPr>
            <w:r w:rsidRPr="00BB22B4">
              <w:rPr>
                <w:rFonts w:cs="Arial"/>
                <w:lang w:val="en-US"/>
              </w:rPr>
              <w:t>0,73(0,37-1,46)</w:t>
            </w:r>
          </w:p>
        </w:tc>
        <w:tc>
          <w:tcPr>
            <w:tcW w:w="1327" w:type="dxa"/>
          </w:tcPr>
          <w:p w14:paraId="6A7FF1AA" w14:textId="36169A06" w:rsidR="00BB22B4" w:rsidRPr="00BB22B4" w:rsidRDefault="00BB22B4" w:rsidP="00BB22B4">
            <w:pPr>
              <w:rPr>
                <w:rFonts w:cs="Arial"/>
              </w:rPr>
            </w:pPr>
            <w:r w:rsidRPr="00BB22B4">
              <w:rPr>
                <w:rFonts w:cs="Arial"/>
                <w:lang w:val="en-US"/>
              </w:rPr>
              <w:t>.37</w:t>
            </w:r>
          </w:p>
        </w:tc>
      </w:tr>
      <w:tr w:rsidR="00BB22B4" w14:paraId="49249C7F" w14:textId="77777777" w:rsidTr="00BB22B4">
        <w:tc>
          <w:tcPr>
            <w:tcW w:w="2235" w:type="dxa"/>
          </w:tcPr>
          <w:p w14:paraId="0F8BA82A" w14:textId="1C1FAEF3" w:rsidR="00BB22B4" w:rsidRPr="00BB22B4" w:rsidRDefault="00BB22B4" w:rsidP="00BB22B4">
            <w:pPr>
              <w:rPr>
                <w:rFonts w:cs="Arial"/>
              </w:rPr>
            </w:pPr>
            <w:r w:rsidRPr="00BB22B4">
              <w:rPr>
                <w:rFonts w:cs="Arial"/>
              </w:rPr>
              <w:t>Инсулт или ПИА</w:t>
            </w:r>
          </w:p>
        </w:tc>
        <w:tc>
          <w:tcPr>
            <w:tcW w:w="1400" w:type="dxa"/>
          </w:tcPr>
          <w:p w14:paraId="7BBF0F6C" w14:textId="068760CB" w:rsidR="00BB22B4" w:rsidRPr="00BB22B4" w:rsidRDefault="00BB22B4" w:rsidP="00BB22B4">
            <w:pPr>
              <w:rPr>
                <w:rFonts w:cs="Arial"/>
              </w:rPr>
            </w:pPr>
            <w:r w:rsidRPr="00BB22B4">
              <w:rPr>
                <w:rFonts w:cs="Arial"/>
              </w:rPr>
              <w:t>6 (0,9)</w:t>
            </w:r>
          </w:p>
        </w:tc>
        <w:tc>
          <w:tcPr>
            <w:tcW w:w="1454" w:type="dxa"/>
          </w:tcPr>
          <w:p w14:paraId="6BBF9CF7" w14:textId="12990E49" w:rsidR="00BB22B4" w:rsidRPr="00BB22B4" w:rsidRDefault="00BB22B4" w:rsidP="00BB22B4">
            <w:pPr>
              <w:rPr>
                <w:rFonts w:cs="Arial"/>
              </w:rPr>
            </w:pPr>
            <w:r w:rsidRPr="00BB22B4">
              <w:rPr>
                <w:rFonts w:cs="Arial"/>
              </w:rPr>
              <w:t>12(1,8)</w:t>
            </w:r>
          </w:p>
        </w:tc>
        <w:tc>
          <w:tcPr>
            <w:tcW w:w="1515" w:type="dxa"/>
          </w:tcPr>
          <w:p w14:paraId="30F59DF4" w14:textId="14C5C563" w:rsidR="00BB22B4" w:rsidRPr="00BB22B4" w:rsidRDefault="00BB22B4" w:rsidP="00BB22B4">
            <w:pPr>
              <w:rPr>
                <w:rFonts w:cs="Arial"/>
              </w:rPr>
            </w:pPr>
            <w:r w:rsidRPr="00BB22B4">
              <w:rPr>
                <w:rFonts w:cs="Arial"/>
              </w:rPr>
              <w:t>8(1,2)</w:t>
            </w:r>
          </w:p>
        </w:tc>
        <w:tc>
          <w:tcPr>
            <w:tcW w:w="1645" w:type="dxa"/>
          </w:tcPr>
          <w:p w14:paraId="59B9549C" w14:textId="023229A8" w:rsidR="00BB22B4" w:rsidRPr="00BB22B4" w:rsidRDefault="00BB22B4" w:rsidP="00BB22B4">
            <w:pPr>
              <w:rPr>
                <w:rFonts w:cs="Arial"/>
              </w:rPr>
            </w:pPr>
            <w:r w:rsidRPr="00BB22B4">
              <w:rPr>
                <w:rFonts w:cs="Arial"/>
              </w:rPr>
              <w:t>0,50(0,48-12,7)</w:t>
            </w:r>
          </w:p>
        </w:tc>
        <w:tc>
          <w:tcPr>
            <w:tcW w:w="1327" w:type="dxa"/>
          </w:tcPr>
          <w:p w14:paraId="35EFBCA3" w14:textId="5974B878" w:rsidR="00BB22B4" w:rsidRPr="00BB22B4" w:rsidRDefault="00BB22B4" w:rsidP="00BB22B4">
            <w:pPr>
              <w:rPr>
                <w:rFonts w:cs="Arial"/>
              </w:rPr>
            </w:pPr>
            <w:r w:rsidRPr="00BB22B4">
              <w:rPr>
                <w:rFonts w:cs="Arial"/>
                <w:lang w:val="en-US"/>
              </w:rPr>
              <w:t>.15</w:t>
            </w:r>
          </w:p>
        </w:tc>
      </w:tr>
      <w:tr w:rsidR="00BB22B4" w14:paraId="5A08ABDD" w14:textId="77777777" w:rsidTr="00BB22B4">
        <w:tc>
          <w:tcPr>
            <w:tcW w:w="2235" w:type="dxa"/>
          </w:tcPr>
          <w:p w14:paraId="1C948177" w14:textId="6DD5B467" w:rsidR="00BB22B4" w:rsidRPr="00BB22B4" w:rsidRDefault="00BB22B4" w:rsidP="00BB22B4">
            <w:pPr>
              <w:rPr>
                <w:rFonts w:cs="Arial"/>
              </w:rPr>
            </w:pPr>
            <w:r w:rsidRPr="00BB22B4">
              <w:rPr>
                <w:rFonts w:cs="Arial"/>
              </w:rPr>
              <w:t>Сърдечносъдова смърт</w:t>
            </w:r>
          </w:p>
        </w:tc>
        <w:tc>
          <w:tcPr>
            <w:tcW w:w="1400" w:type="dxa"/>
          </w:tcPr>
          <w:p w14:paraId="08377718" w14:textId="3A76B7F9" w:rsidR="00BB22B4" w:rsidRPr="00BB22B4" w:rsidRDefault="00BB22B4" w:rsidP="00BB22B4">
            <w:pPr>
              <w:rPr>
                <w:rFonts w:cs="Arial"/>
              </w:rPr>
            </w:pPr>
            <w:r w:rsidRPr="00BB22B4">
              <w:rPr>
                <w:rFonts w:cs="Arial"/>
              </w:rPr>
              <w:t>5 (0,8)</w:t>
            </w:r>
          </w:p>
        </w:tc>
        <w:tc>
          <w:tcPr>
            <w:tcW w:w="1454" w:type="dxa"/>
          </w:tcPr>
          <w:p w14:paraId="52E0846C" w14:textId="777C9C4D" w:rsidR="00BB22B4" w:rsidRPr="00BB22B4" w:rsidRDefault="00BB22B4" w:rsidP="00BB22B4">
            <w:pPr>
              <w:rPr>
                <w:rFonts w:cs="Arial"/>
              </w:rPr>
            </w:pPr>
            <w:r w:rsidRPr="00BB22B4">
              <w:rPr>
                <w:rFonts w:cs="Arial"/>
              </w:rPr>
              <w:t>2(0,3)</w:t>
            </w:r>
          </w:p>
        </w:tc>
        <w:tc>
          <w:tcPr>
            <w:tcW w:w="1515" w:type="dxa"/>
          </w:tcPr>
          <w:p w14:paraId="0A44FFA0" w14:textId="028535CE" w:rsidR="00BB22B4" w:rsidRPr="00BB22B4" w:rsidRDefault="00BB22B4" w:rsidP="00BB22B4">
            <w:pPr>
              <w:rPr>
                <w:rFonts w:cs="Arial"/>
              </w:rPr>
            </w:pPr>
            <w:r w:rsidRPr="00BB22B4">
              <w:rPr>
                <w:rFonts w:cs="Arial"/>
              </w:rPr>
              <w:t>5 (0,7)</w:t>
            </w:r>
          </w:p>
        </w:tc>
        <w:tc>
          <w:tcPr>
            <w:tcW w:w="1645" w:type="dxa"/>
          </w:tcPr>
          <w:p w14:paraId="140F4F2E" w14:textId="4B6DCED1" w:rsidR="00BB22B4" w:rsidRPr="00BB22B4" w:rsidRDefault="00BB22B4" w:rsidP="00BB22B4">
            <w:pPr>
              <w:rPr>
                <w:rFonts w:cs="Arial"/>
              </w:rPr>
            </w:pPr>
            <w:r w:rsidRPr="00BB22B4">
              <w:rPr>
                <w:rFonts w:cs="Arial"/>
                <w:lang w:val="en-US"/>
              </w:rPr>
              <w:t>2,46 (0,48-2,47)</w:t>
            </w:r>
          </w:p>
        </w:tc>
        <w:tc>
          <w:tcPr>
            <w:tcW w:w="1327" w:type="dxa"/>
          </w:tcPr>
          <w:p w14:paraId="2A5D5813" w14:textId="4EA3FD7F" w:rsidR="00BB22B4" w:rsidRPr="00BB22B4" w:rsidRDefault="00BB22B4" w:rsidP="00BB22B4">
            <w:pPr>
              <w:rPr>
                <w:rFonts w:cs="Arial"/>
              </w:rPr>
            </w:pPr>
            <w:r w:rsidRPr="00BB22B4">
              <w:rPr>
                <w:rFonts w:cs="Arial"/>
              </w:rPr>
              <w:t>.27</w:t>
            </w:r>
          </w:p>
        </w:tc>
      </w:tr>
      <w:tr w:rsidR="00BB22B4" w14:paraId="1F8E430B" w14:textId="77777777" w:rsidTr="00BB22B4">
        <w:tc>
          <w:tcPr>
            <w:tcW w:w="2235" w:type="dxa"/>
          </w:tcPr>
          <w:p w14:paraId="19B62AC2" w14:textId="3C01EB4E" w:rsidR="00BB22B4" w:rsidRPr="00BB22B4" w:rsidRDefault="00BB22B4" w:rsidP="00BB22B4">
            <w:r w:rsidRPr="00BB22B4">
              <w:rPr>
                <w:szCs w:val="19"/>
              </w:rPr>
              <w:t>Хоспитализация поради ЗСН</w:t>
            </w:r>
          </w:p>
        </w:tc>
        <w:tc>
          <w:tcPr>
            <w:tcW w:w="1400" w:type="dxa"/>
          </w:tcPr>
          <w:p w14:paraId="7C931669" w14:textId="30ACDAF1" w:rsidR="00BB22B4" w:rsidRPr="00BB22B4" w:rsidRDefault="00BB22B4" w:rsidP="00BB22B4">
            <w:r w:rsidRPr="00BB22B4">
              <w:rPr>
                <w:szCs w:val="19"/>
              </w:rPr>
              <w:t>3 (0,5)</w:t>
            </w:r>
          </w:p>
        </w:tc>
        <w:tc>
          <w:tcPr>
            <w:tcW w:w="1454" w:type="dxa"/>
          </w:tcPr>
          <w:p w14:paraId="31CFB45B" w14:textId="72580D97" w:rsidR="00BB22B4" w:rsidRPr="00BB22B4" w:rsidRDefault="00BB22B4" w:rsidP="00BB22B4">
            <w:r w:rsidRPr="00BB22B4">
              <w:rPr>
                <w:szCs w:val="19"/>
              </w:rPr>
              <w:t>5 (0,8)</w:t>
            </w:r>
          </w:p>
        </w:tc>
        <w:tc>
          <w:tcPr>
            <w:tcW w:w="1515" w:type="dxa"/>
          </w:tcPr>
          <w:p w14:paraId="0846C46E" w14:textId="370E42FB" w:rsidR="00BB22B4" w:rsidRPr="00BB22B4" w:rsidRDefault="00BB22B4" w:rsidP="00BB22B4">
            <w:r w:rsidRPr="00BB22B4">
              <w:rPr>
                <w:szCs w:val="19"/>
              </w:rPr>
              <w:t>4(0,6)</w:t>
            </w:r>
          </w:p>
        </w:tc>
        <w:tc>
          <w:tcPr>
            <w:tcW w:w="1645" w:type="dxa"/>
          </w:tcPr>
          <w:p w14:paraId="1DEA5A5F" w14:textId="392C6B07" w:rsidR="00BB22B4" w:rsidRPr="00BB22B4" w:rsidRDefault="00BB22B4" w:rsidP="00BB22B4">
            <w:r w:rsidRPr="00BB22B4">
              <w:rPr>
                <w:szCs w:val="19"/>
              </w:rPr>
              <w:t>0,59(0,14-2,47)</w:t>
            </w:r>
          </w:p>
        </w:tc>
        <w:tc>
          <w:tcPr>
            <w:tcW w:w="1327" w:type="dxa"/>
          </w:tcPr>
          <w:p w14:paraId="4299C102" w14:textId="7812CF32" w:rsidR="00BB22B4" w:rsidRPr="00BB22B4" w:rsidRDefault="00BB22B4" w:rsidP="00BB22B4">
            <w:r w:rsidRPr="00BB22B4">
              <w:rPr>
                <w:szCs w:val="19"/>
              </w:rPr>
              <w:t>.46</w:t>
            </w:r>
          </w:p>
        </w:tc>
      </w:tr>
      <w:tr w:rsidR="00BB22B4" w14:paraId="4B87BCD7" w14:textId="77777777" w:rsidTr="00BB22B4">
        <w:tc>
          <w:tcPr>
            <w:tcW w:w="2235" w:type="dxa"/>
          </w:tcPr>
          <w:p w14:paraId="2FAEC441" w14:textId="04A3A156" w:rsidR="00BB22B4" w:rsidRPr="00BB22B4" w:rsidRDefault="00BB22B4" w:rsidP="00BB22B4">
            <w:r w:rsidRPr="00BB22B4">
              <w:rPr>
                <w:szCs w:val="19"/>
              </w:rPr>
              <w:t>Повторен сърдечен арест</w:t>
            </w:r>
          </w:p>
        </w:tc>
        <w:tc>
          <w:tcPr>
            <w:tcW w:w="1400" w:type="dxa"/>
          </w:tcPr>
          <w:p w14:paraId="5EABC17C" w14:textId="14711093" w:rsidR="00BB22B4" w:rsidRPr="00BB22B4" w:rsidRDefault="00BB22B4" w:rsidP="00BB22B4">
            <w:r w:rsidRPr="00BB22B4">
              <w:rPr>
                <w:szCs w:val="19"/>
              </w:rPr>
              <w:t>0</w:t>
            </w:r>
          </w:p>
        </w:tc>
        <w:tc>
          <w:tcPr>
            <w:tcW w:w="1454" w:type="dxa"/>
          </w:tcPr>
          <w:p w14:paraId="7E2AA402" w14:textId="509590F2" w:rsidR="00BB22B4" w:rsidRPr="00BB22B4" w:rsidRDefault="00BB22B4" w:rsidP="00BB22B4">
            <w:r w:rsidRPr="00BB22B4">
              <w:rPr>
                <w:szCs w:val="19"/>
              </w:rPr>
              <w:t>4(0,6)</w:t>
            </w:r>
          </w:p>
        </w:tc>
        <w:tc>
          <w:tcPr>
            <w:tcW w:w="1515" w:type="dxa"/>
          </w:tcPr>
          <w:p w14:paraId="44E2EB7E" w14:textId="14E680F0" w:rsidR="00BB22B4" w:rsidRPr="00BB22B4" w:rsidRDefault="00BB22B4" w:rsidP="00BB22B4">
            <w:r w:rsidRPr="00BB22B4">
              <w:rPr>
                <w:szCs w:val="19"/>
              </w:rPr>
              <w:t>1 (0,1)</w:t>
            </w:r>
          </w:p>
        </w:tc>
        <w:tc>
          <w:tcPr>
            <w:tcW w:w="1645" w:type="dxa"/>
          </w:tcPr>
          <w:p w14:paraId="507129E6" w14:textId="69ED35AD" w:rsidR="00BB22B4" w:rsidRPr="00BB22B4" w:rsidRDefault="00BB22B4" w:rsidP="00BB22B4">
            <w:r w:rsidRPr="00BB22B4">
              <w:rPr>
                <w:szCs w:val="19"/>
                <w:lang w:val="en-US"/>
              </w:rPr>
              <w:t>NA</w:t>
            </w:r>
          </w:p>
        </w:tc>
        <w:tc>
          <w:tcPr>
            <w:tcW w:w="1327" w:type="dxa"/>
          </w:tcPr>
          <w:p w14:paraId="20613054" w14:textId="4C311A6B" w:rsidR="00BB22B4" w:rsidRPr="00BB22B4" w:rsidRDefault="00BB22B4" w:rsidP="00BB22B4">
            <w:r w:rsidRPr="00BB22B4">
              <w:rPr>
                <w:szCs w:val="19"/>
              </w:rPr>
              <w:t>.04</w:t>
            </w:r>
          </w:p>
        </w:tc>
      </w:tr>
      <w:tr w:rsidR="00BB22B4" w14:paraId="4669DC77" w14:textId="77777777" w:rsidTr="00BB22B4">
        <w:tc>
          <w:tcPr>
            <w:tcW w:w="2235" w:type="dxa"/>
          </w:tcPr>
          <w:p w14:paraId="31645208" w14:textId="12CF5C48" w:rsidR="00BB22B4" w:rsidRPr="00BB22B4" w:rsidRDefault="00BB22B4" w:rsidP="00BB22B4">
            <w:r w:rsidRPr="00BB22B4">
              <w:rPr>
                <w:szCs w:val="19"/>
              </w:rPr>
              <w:t>Новопоявило се периферно съдово заболяване</w:t>
            </w:r>
          </w:p>
        </w:tc>
        <w:tc>
          <w:tcPr>
            <w:tcW w:w="1400" w:type="dxa"/>
          </w:tcPr>
          <w:p w14:paraId="70ABD325" w14:textId="3813EEBA" w:rsidR="00BB22B4" w:rsidRPr="00BB22B4" w:rsidRDefault="00BB22B4" w:rsidP="00BB22B4">
            <w:r w:rsidRPr="00BB22B4">
              <w:rPr>
                <w:szCs w:val="19"/>
              </w:rPr>
              <w:t>5 (0,8)</w:t>
            </w:r>
          </w:p>
        </w:tc>
        <w:tc>
          <w:tcPr>
            <w:tcW w:w="1454" w:type="dxa"/>
          </w:tcPr>
          <w:p w14:paraId="0AD03545" w14:textId="6FBA34BA" w:rsidR="00BB22B4" w:rsidRPr="00BB22B4" w:rsidRDefault="00BB22B4" w:rsidP="00BB22B4">
            <w:r w:rsidRPr="00BB22B4">
              <w:rPr>
                <w:szCs w:val="19"/>
              </w:rPr>
              <w:t>2 (0,3)</w:t>
            </w:r>
          </w:p>
        </w:tc>
        <w:tc>
          <w:tcPr>
            <w:tcW w:w="1515" w:type="dxa"/>
          </w:tcPr>
          <w:p w14:paraId="7098513C" w14:textId="5585B7A2" w:rsidR="00BB22B4" w:rsidRPr="00BB22B4" w:rsidRDefault="00BB22B4" w:rsidP="00BB22B4">
            <w:r w:rsidRPr="00BB22B4">
              <w:rPr>
                <w:szCs w:val="19"/>
              </w:rPr>
              <w:t>8(1,2)</w:t>
            </w:r>
          </w:p>
        </w:tc>
        <w:tc>
          <w:tcPr>
            <w:tcW w:w="1645" w:type="dxa"/>
          </w:tcPr>
          <w:p w14:paraId="1E715B57" w14:textId="05E2A9A2" w:rsidR="00BB22B4" w:rsidRPr="00BB22B4" w:rsidRDefault="00BB22B4" w:rsidP="00BB22B4">
            <w:r w:rsidRPr="00BB22B4">
              <w:rPr>
                <w:szCs w:val="19"/>
              </w:rPr>
              <w:t>2,6 (0,50-13,4)</w:t>
            </w:r>
          </w:p>
        </w:tc>
        <w:tc>
          <w:tcPr>
            <w:tcW w:w="1327" w:type="dxa"/>
          </w:tcPr>
          <w:p w14:paraId="7DC9EBD9" w14:textId="63924EEB" w:rsidR="00BB22B4" w:rsidRPr="00BB22B4" w:rsidRDefault="00BB22B4" w:rsidP="00BB22B4">
            <w:r w:rsidRPr="00BB22B4">
              <w:rPr>
                <w:szCs w:val="19"/>
              </w:rPr>
              <w:t>.24</w:t>
            </w:r>
          </w:p>
        </w:tc>
      </w:tr>
    </w:tbl>
    <w:p w14:paraId="7B823EC0"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Съкращения: ЗСН застойна сърдечна недостатъчност; </w:t>
      </w:r>
      <w:r w:rsidRPr="00BB22B4">
        <w:rPr>
          <w:rFonts w:eastAsia="Times New Roman" w:cs="Arial"/>
          <w:color w:val="000000"/>
          <w:szCs w:val="20"/>
          <w:lang w:val="en-US"/>
        </w:rPr>
        <w:t>CI</w:t>
      </w:r>
      <w:r w:rsidRPr="00BB22B4">
        <w:rPr>
          <w:rFonts w:eastAsia="Times New Roman" w:cs="Arial"/>
          <w:color w:val="000000"/>
          <w:szCs w:val="20"/>
          <w:lang w:val="ru-RU"/>
        </w:rPr>
        <w:t xml:space="preserve">- </w:t>
      </w:r>
      <w:r w:rsidRPr="00BB22B4">
        <w:rPr>
          <w:rFonts w:eastAsia="Times New Roman" w:cs="Arial"/>
          <w:color w:val="000000"/>
          <w:szCs w:val="20"/>
          <w:lang w:eastAsia="bg-BG"/>
        </w:rPr>
        <w:t>доверителен интервал; МИ- инфаркт на миокарда; ПИА преходна исхемична атака.</w:t>
      </w:r>
    </w:p>
    <w:p w14:paraId="241D0A45" w14:textId="77777777" w:rsidR="00BB22B4" w:rsidRPr="00BB22B4" w:rsidRDefault="00BB22B4" w:rsidP="00BB22B4">
      <w:pPr>
        <w:spacing w:line="240" w:lineRule="auto"/>
        <w:rPr>
          <w:rFonts w:eastAsia="Times New Roman" w:cs="Arial"/>
          <w:i/>
          <w:iCs/>
          <w:color w:val="000000"/>
          <w:szCs w:val="20"/>
          <w:u w:val="single"/>
          <w:lang w:eastAsia="bg-BG"/>
        </w:rPr>
      </w:pPr>
    </w:p>
    <w:p w14:paraId="4EAE34B9" w14:textId="44C7127C" w:rsidR="00BB22B4" w:rsidRPr="00BB22B4" w:rsidRDefault="00BB22B4" w:rsidP="00BB22B4">
      <w:pPr>
        <w:spacing w:line="240" w:lineRule="auto"/>
        <w:rPr>
          <w:rFonts w:eastAsia="Times New Roman" w:cs="Arial"/>
          <w:sz w:val="28"/>
          <w:szCs w:val="24"/>
        </w:rPr>
      </w:pPr>
      <w:r w:rsidRPr="00BB22B4">
        <w:rPr>
          <w:rFonts w:eastAsia="Times New Roman" w:cs="Arial"/>
          <w:i/>
          <w:iCs/>
          <w:color w:val="000000"/>
          <w:szCs w:val="20"/>
          <w:u w:val="single"/>
          <w:lang w:eastAsia="bg-BG"/>
        </w:rPr>
        <w:t>Употреба при пациенти със сърдечна недостатъчност</w:t>
      </w:r>
    </w:p>
    <w:p w14:paraId="0C29897B"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Хемодинамичните проучвания и контролираните клинични изпитвания с натоварване при пациенти със сърдечна недостатъчност клас </w:t>
      </w:r>
      <w:r w:rsidRPr="00BB22B4">
        <w:rPr>
          <w:rFonts w:eastAsia="Times New Roman" w:cs="Arial"/>
          <w:color w:val="000000"/>
          <w:szCs w:val="20"/>
          <w:lang w:val="en-US"/>
        </w:rPr>
        <w:t>II</w:t>
      </w:r>
      <w:r w:rsidRPr="00BB22B4">
        <w:rPr>
          <w:rFonts w:eastAsia="Times New Roman" w:cs="Arial"/>
          <w:color w:val="000000"/>
          <w:szCs w:val="20"/>
          <w:lang w:val="ru-RU"/>
        </w:rPr>
        <w:t>-</w:t>
      </w:r>
      <w:r w:rsidRPr="00BB22B4">
        <w:rPr>
          <w:rFonts w:eastAsia="Times New Roman" w:cs="Arial"/>
          <w:color w:val="000000"/>
          <w:szCs w:val="20"/>
          <w:lang w:val="en-US"/>
        </w:rPr>
        <w:t>IV</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по </w:t>
      </w:r>
      <w:r w:rsidRPr="00BB22B4">
        <w:rPr>
          <w:rFonts w:eastAsia="Times New Roman" w:cs="Arial"/>
          <w:color w:val="000000"/>
          <w:szCs w:val="20"/>
          <w:lang w:val="en-US"/>
        </w:rPr>
        <w:t>NYHA</w:t>
      </w:r>
      <w:r w:rsidRPr="00BB22B4">
        <w:rPr>
          <w:rFonts w:eastAsia="Times New Roman" w:cs="Arial"/>
          <w:color w:val="000000"/>
          <w:szCs w:val="20"/>
          <w:lang w:val="ru-RU"/>
        </w:rPr>
        <w:t xml:space="preserve"> </w:t>
      </w:r>
      <w:r w:rsidRPr="00BB22B4">
        <w:rPr>
          <w:rFonts w:eastAsia="Times New Roman" w:cs="Arial"/>
          <w:color w:val="000000"/>
          <w:szCs w:val="20"/>
          <w:lang w:eastAsia="bg-BG"/>
        </w:rPr>
        <w:t>са показали, че амлодипин не води до клинично влошаване, измерено чрез поносимостта на натоварване, левокамерната фракция на изтласкване и клиничната симптоматика.</w:t>
      </w:r>
    </w:p>
    <w:p w14:paraId="248084BD" w14:textId="77777777" w:rsidR="00BB22B4" w:rsidRPr="00BB22B4" w:rsidRDefault="00BB22B4" w:rsidP="00BB22B4">
      <w:pPr>
        <w:spacing w:line="240" w:lineRule="auto"/>
        <w:rPr>
          <w:rFonts w:eastAsia="Times New Roman" w:cs="Arial"/>
          <w:color w:val="000000"/>
          <w:szCs w:val="20"/>
          <w:lang w:eastAsia="bg-BG"/>
        </w:rPr>
      </w:pPr>
    </w:p>
    <w:p w14:paraId="308BF938" w14:textId="091FD023"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Едно плацебо-контролирано клинично изпитване </w:t>
      </w:r>
      <w:r w:rsidRPr="00BB22B4">
        <w:rPr>
          <w:rFonts w:eastAsia="Times New Roman" w:cs="Arial"/>
          <w:color w:val="000000"/>
          <w:szCs w:val="20"/>
          <w:lang w:val="ru-RU"/>
        </w:rPr>
        <w:t>(</w:t>
      </w:r>
      <w:r w:rsidRPr="00BB22B4">
        <w:rPr>
          <w:rFonts w:eastAsia="Times New Roman" w:cs="Arial"/>
          <w:color w:val="000000"/>
          <w:szCs w:val="20"/>
          <w:lang w:val="en-US"/>
        </w:rPr>
        <w:t>PRAISE</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предназначено да оценява пациенти със сърдечна недостатъчност клас </w:t>
      </w:r>
      <w:r w:rsidRPr="00BB22B4">
        <w:rPr>
          <w:rFonts w:eastAsia="Times New Roman" w:cs="Arial"/>
          <w:color w:val="000000"/>
          <w:szCs w:val="20"/>
          <w:lang w:val="en-US"/>
        </w:rPr>
        <w:t>III</w:t>
      </w:r>
      <w:r w:rsidRPr="00BB22B4">
        <w:rPr>
          <w:rFonts w:eastAsia="Times New Roman" w:cs="Arial"/>
          <w:color w:val="000000"/>
          <w:szCs w:val="20"/>
          <w:lang w:val="ru-RU"/>
        </w:rPr>
        <w:t>-</w:t>
      </w:r>
      <w:r w:rsidRPr="00BB22B4">
        <w:rPr>
          <w:rFonts w:eastAsia="Times New Roman" w:cs="Arial"/>
          <w:color w:val="000000"/>
          <w:szCs w:val="20"/>
          <w:lang w:val="en-US"/>
        </w:rPr>
        <w:t>IV</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по </w:t>
      </w:r>
      <w:r w:rsidRPr="00BB22B4">
        <w:rPr>
          <w:rFonts w:eastAsia="Times New Roman" w:cs="Arial"/>
          <w:color w:val="000000"/>
          <w:szCs w:val="20"/>
          <w:lang w:val="en-US"/>
        </w:rPr>
        <w:t>NYHA</w:t>
      </w:r>
      <w:r w:rsidRPr="00BB22B4">
        <w:rPr>
          <w:rFonts w:eastAsia="Times New Roman" w:cs="Arial"/>
          <w:color w:val="000000"/>
          <w:szCs w:val="20"/>
          <w:lang w:val="ru-RU"/>
        </w:rPr>
        <w:t xml:space="preserve">, </w:t>
      </w:r>
      <w:r w:rsidRPr="00BB22B4">
        <w:rPr>
          <w:rFonts w:eastAsia="Times New Roman" w:cs="Arial"/>
          <w:color w:val="000000"/>
          <w:szCs w:val="20"/>
          <w:lang w:eastAsia="bg-BG"/>
        </w:rPr>
        <w:t>получаващи дигоксин, диуретици и АСЕ инхибитори, е показало, че приложението на амлодипин не води до повишен риск от смъртност или комбинирани смъртност и заболеваемост при пациенти със сърдечна недостатъчност.</w:t>
      </w:r>
    </w:p>
    <w:p w14:paraId="1BC202A2" w14:textId="77777777" w:rsidR="00BB22B4" w:rsidRPr="00BB22B4" w:rsidRDefault="00BB22B4" w:rsidP="00BB22B4">
      <w:pPr>
        <w:spacing w:line="240" w:lineRule="auto"/>
        <w:rPr>
          <w:rFonts w:eastAsia="Times New Roman" w:cs="Arial"/>
          <w:color w:val="000000"/>
          <w:szCs w:val="20"/>
          <w:lang w:eastAsia="bg-BG"/>
        </w:rPr>
      </w:pPr>
    </w:p>
    <w:p w14:paraId="04E4A267" w14:textId="71711F13"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lastRenderedPageBreak/>
        <w:t xml:space="preserve">При проследяването на пациентите при продължително, плацебо контролирано проучване </w:t>
      </w:r>
      <w:r w:rsidRPr="00BB22B4">
        <w:rPr>
          <w:rFonts w:eastAsia="Times New Roman" w:cs="Arial"/>
          <w:color w:val="000000"/>
          <w:szCs w:val="20"/>
          <w:lang w:val="ru-RU"/>
        </w:rPr>
        <w:t>(</w:t>
      </w:r>
      <w:r w:rsidRPr="00BB22B4">
        <w:rPr>
          <w:rFonts w:eastAsia="Times New Roman" w:cs="Arial"/>
          <w:color w:val="000000"/>
          <w:szCs w:val="20"/>
          <w:lang w:val="en-US"/>
        </w:rPr>
        <w:t>PRAISE</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2) на амлодипин при пациенти с </w:t>
      </w:r>
      <w:r w:rsidRPr="00BB22B4">
        <w:rPr>
          <w:rFonts w:eastAsia="Times New Roman" w:cs="Arial"/>
          <w:color w:val="000000"/>
          <w:szCs w:val="20"/>
          <w:lang w:val="en-US"/>
        </w:rPr>
        <w:t>NYHA</w:t>
      </w:r>
      <w:r w:rsidRPr="00BB22B4">
        <w:rPr>
          <w:rFonts w:eastAsia="Times New Roman" w:cs="Arial"/>
          <w:color w:val="000000"/>
          <w:szCs w:val="20"/>
          <w:lang w:val="ru-RU"/>
        </w:rPr>
        <w:t xml:space="preserve"> </w:t>
      </w:r>
      <w:r w:rsidRPr="00BB22B4">
        <w:rPr>
          <w:rFonts w:eastAsia="Times New Roman" w:cs="Arial"/>
          <w:color w:val="000000"/>
          <w:szCs w:val="20"/>
          <w:lang w:val="en-US"/>
        </w:rPr>
        <w:t>III</w:t>
      </w:r>
      <w:r w:rsidRPr="00BB22B4">
        <w:rPr>
          <w:rFonts w:eastAsia="Times New Roman" w:cs="Arial"/>
          <w:color w:val="000000"/>
          <w:szCs w:val="20"/>
          <w:lang w:val="ru-RU"/>
        </w:rPr>
        <w:t xml:space="preserve"> </w:t>
      </w:r>
      <w:r w:rsidRPr="00BB22B4">
        <w:rPr>
          <w:rFonts w:eastAsia="Times New Roman" w:cs="Arial"/>
          <w:color w:val="000000"/>
          <w:szCs w:val="20"/>
          <w:lang w:eastAsia="bg-BG"/>
        </w:rPr>
        <w:t>и IV сърдечна недостатъчност без клинични симптоми или обективни находки, предполагаща се, че е на основата на исхемична болест и приемащи стабилни дози АСЕ-инхибитори, дигиталис и диуретици амлодипин няма ефект върху. При същата популация амлодипин е бил свързан с повишаване на съобщенията за белодробен оток.</w:t>
      </w:r>
    </w:p>
    <w:p w14:paraId="799FCA1D" w14:textId="77777777" w:rsidR="00BB22B4" w:rsidRPr="00BB22B4" w:rsidRDefault="00BB22B4" w:rsidP="00BB22B4">
      <w:pPr>
        <w:spacing w:line="240" w:lineRule="auto"/>
        <w:rPr>
          <w:rFonts w:eastAsia="Times New Roman" w:cs="Arial"/>
          <w:i/>
          <w:iCs/>
          <w:color w:val="000000"/>
          <w:szCs w:val="20"/>
          <w:u w:val="single"/>
          <w:lang w:eastAsia="bg-BG"/>
        </w:rPr>
      </w:pPr>
    </w:p>
    <w:p w14:paraId="523700B7" w14:textId="7CEBB586" w:rsidR="00BB22B4" w:rsidRPr="00BB22B4" w:rsidRDefault="00BB22B4" w:rsidP="00BB22B4">
      <w:pPr>
        <w:spacing w:line="240" w:lineRule="auto"/>
        <w:rPr>
          <w:rFonts w:eastAsia="Times New Roman" w:cs="Arial"/>
          <w:sz w:val="28"/>
          <w:szCs w:val="24"/>
        </w:rPr>
      </w:pPr>
      <w:r w:rsidRPr="00BB22B4">
        <w:rPr>
          <w:rFonts w:eastAsia="Times New Roman" w:cs="Arial"/>
          <w:i/>
          <w:iCs/>
          <w:color w:val="000000"/>
          <w:szCs w:val="20"/>
          <w:u w:val="single"/>
          <w:lang w:eastAsia="bg-BG"/>
        </w:rPr>
        <w:t xml:space="preserve">Проучване за лечение за предотвратяване на остър сърдечен пристъп </w:t>
      </w:r>
      <w:r w:rsidRPr="00BB22B4">
        <w:rPr>
          <w:rFonts w:eastAsia="Times New Roman" w:cs="Arial"/>
          <w:i/>
          <w:iCs/>
          <w:color w:val="000000"/>
          <w:szCs w:val="20"/>
          <w:u w:val="single"/>
        </w:rPr>
        <w:t>(</w:t>
      </w:r>
      <w:r w:rsidRPr="00BB22B4">
        <w:rPr>
          <w:rFonts w:eastAsia="Times New Roman" w:cs="Arial"/>
          <w:i/>
          <w:iCs/>
          <w:color w:val="000000"/>
          <w:szCs w:val="20"/>
          <w:u w:val="single"/>
          <w:lang w:val="en-US"/>
        </w:rPr>
        <w:t>ALLHA</w:t>
      </w:r>
      <w:r w:rsidRPr="00BB22B4">
        <w:rPr>
          <w:rFonts w:eastAsia="Times New Roman" w:cs="Arial"/>
          <w:i/>
          <w:iCs/>
          <w:color w:val="000000"/>
          <w:szCs w:val="20"/>
          <w:u w:val="single"/>
        </w:rPr>
        <w:t xml:space="preserve"> </w:t>
      </w:r>
      <w:r w:rsidRPr="00BB22B4">
        <w:rPr>
          <w:rFonts w:eastAsia="Times New Roman" w:cs="Arial"/>
          <w:i/>
          <w:iCs/>
          <w:color w:val="000000"/>
          <w:szCs w:val="20"/>
          <w:u w:val="single"/>
          <w:lang w:eastAsia="bg-BG"/>
        </w:rPr>
        <w:t xml:space="preserve">Т) </w:t>
      </w:r>
      <w:r w:rsidRPr="00BB22B4">
        <w:rPr>
          <w:rFonts w:eastAsia="Times New Roman" w:cs="Arial"/>
          <w:color w:val="000000"/>
          <w:szCs w:val="20"/>
          <w:lang w:eastAsia="bg-BG"/>
        </w:rPr>
        <w:t xml:space="preserve">Рандомизирано, двойно-сляпо проучване за заболеваемост и смъртност, наречено </w:t>
      </w:r>
      <w:r w:rsidRPr="00BB22B4">
        <w:rPr>
          <w:rFonts w:eastAsia="Times New Roman" w:cs="Arial"/>
          <w:color w:val="000000"/>
          <w:szCs w:val="20"/>
          <w:lang w:val="en-US"/>
        </w:rPr>
        <w:t>Antihypertensive</w:t>
      </w:r>
      <w:r w:rsidRPr="00BB22B4">
        <w:rPr>
          <w:rFonts w:eastAsia="Times New Roman" w:cs="Arial"/>
          <w:color w:val="000000"/>
          <w:szCs w:val="20"/>
        </w:rPr>
        <w:t xml:space="preserve"> </w:t>
      </w:r>
      <w:r w:rsidRPr="00BB22B4">
        <w:rPr>
          <w:rFonts w:eastAsia="Times New Roman" w:cs="Arial"/>
          <w:color w:val="000000"/>
          <w:szCs w:val="20"/>
          <w:lang w:val="en-US"/>
        </w:rPr>
        <w:t>and</w:t>
      </w:r>
      <w:r w:rsidRPr="00BB22B4">
        <w:rPr>
          <w:rFonts w:eastAsia="Times New Roman" w:cs="Arial"/>
          <w:color w:val="000000"/>
          <w:szCs w:val="20"/>
        </w:rPr>
        <w:t xml:space="preserve"> </w:t>
      </w:r>
      <w:r w:rsidRPr="00BB22B4">
        <w:rPr>
          <w:rFonts w:eastAsia="Times New Roman" w:cs="Arial"/>
          <w:color w:val="000000"/>
          <w:szCs w:val="20"/>
          <w:lang w:val="en-US"/>
        </w:rPr>
        <w:t>Lipid</w:t>
      </w:r>
      <w:r w:rsidRPr="00BB22B4">
        <w:rPr>
          <w:rFonts w:eastAsia="Times New Roman" w:cs="Arial"/>
          <w:color w:val="000000"/>
          <w:szCs w:val="20"/>
        </w:rPr>
        <w:t>-</w:t>
      </w:r>
      <w:r w:rsidRPr="00BB22B4">
        <w:rPr>
          <w:rFonts w:eastAsia="Times New Roman" w:cs="Arial"/>
          <w:color w:val="000000"/>
          <w:szCs w:val="20"/>
          <w:lang w:val="en-US"/>
        </w:rPr>
        <w:t>Lowering</w:t>
      </w:r>
      <w:r w:rsidRPr="00BB22B4">
        <w:rPr>
          <w:rFonts w:eastAsia="Times New Roman" w:cs="Arial"/>
          <w:color w:val="000000"/>
          <w:szCs w:val="20"/>
        </w:rPr>
        <w:t xml:space="preserve"> </w:t>
      </w:r>
      <w:r w:rsidRPr="00BB22B4">
        <w:rPr>
          <w:rFonts w:eastAsia="Times New Roman" w:cs="Arial"/>
          <w:color w:val="000000"/>
          <w:szCs w:val="20"/>
          <w:lang w:val="en-US"/>
        </w:rPr>
        <w:t>Treatment</w:t>
      </w:r>
      <w:r w:rsidRPr="00BB22B4">
        <w:rPr>
          <w:rFonts w:eastAsia="Times New Roman" w:cs="Arial"/>
          <w:color w:val="000000"/>
          <w:szCs w:val="20"/>
        </w:rPr>
        <w:t xml:space="preserve"> </w:t>
      </w:r>
      <w:r w:rsidRPr="00BB22B4">
        <w:rPr>
          <w:rFonts w:eastAsia="Times New Roman" w:cs="Arial"/>
          <w:color w:val="000000"/>
          <w:szCs w:val="20"/>
          <w:lang w:val="en-US"/>
        </w:rPr>
        <w:t>to</w:t>
      </w:r>
      <w:r w:rsidRPr="00BB22B4">
        <w:rPr>
          <w:rFonts w:eastAsia="Times New Roman" w:cs="Arial"/>
          <w:color w:val="000000"/>
          <w:szCs w:val="20"/>
        </w:rPr>
        <w:t xml:space="preserve"> </w:t>
      </w:r>
      <w:r w:rsidRPr="00BB22B4">
        <w:rPr>
          <w:rFonts w:eastAsia="Times New Roman" w:cs="Arial"/>
          <w:color w:val="000000"/>
          <w:szCs w:val="20"/>
          <w:lang w:val="en-US"/>
        </w:rPr>
        <w:t>Prevent</w:t>
      </w:r>
      <w:r w:rsidRPr="00BB22B4">
        <w:rPr>
          <w:rFonts w:eastAsia="Times New Roman" w:cs="Arial"/>
          <w:color w:val="000000"/>
          <w:szCs w:val="20"/>
        </w:rPr>
        <w:t xml:space="preserve"> </w:t>
      </w:r>
      <w:r w:rsidRPr="00BB22B4">
        <w:rPr>
          <w:rFonts w:eastAsia="Times New Roman" w:cs="Arial"/>
          <w:color w:val="000000"/>
          <w:szCs w:val="20"/>
          <w:lang w:val="en-US"/>
        </w:rPr>
        <w:t>Heart</w:t>
      </w:r>
      <w:r w:rsidRPr="00BB22B4">
        <w:rPr>
          <w:rFonts w:eastAsia="Times New Roman" w:cs="Arial"/>
          <w:color w:val="000000"/>
          <w:szCs w:val="20"/>
        </w:rPr>
        <w:t xml:space="preserve"> </w:t>
      </w:r>
      <w:r w:rsidRPr="00BB22B4">
        <w:rPr>
          <w:rFonts w:eastAsia="Times New Roman" w:cs="Arial"/>
          <w:color w:val="000000"/>
          <w:szCs w:val="20"/>
          <w:lang w:val="en-US"/>
        </w:rPr>
        <w:t>Attack</w:t>
      </w:r>
      <w:r w:rsidRPr="00BB22B4">
        <w:rPr>
          <w:rFonts w:eastAsia="Times New Roman" w:cs="Arial"/>
          <w:color w:val="000000"/>
          <w:szCs w:val="20"/>
        </w:rPr>
        <w:t xml:space="preserve"> </w:t>
      </w:r>
      <w:r w:rsidRPr="00BB22B4">
        <w:rPr>
          <w:rFonts w:eastAsia="Times New Roman" w:cs="Arial"/>
          <w:color w:val="000000"/>
          <w:szCs w:val="20"/>
          <w:lang w:val="en-US"/>
        </w:rPr>
        <w:t>Trial</w:t>
      </w:r>
      <w:r w:rsidRPr="00BB22B4">
        <w:rPr>
          <w:rFonts w:eastAsia="Times New Roman" w:cs="Arial"/>
          <w:color w:val="000000"/>
          <w:szCs w:val="20"/>
        </w:rPr>
        <w:t xml:space="preserve"> (</w:t>
      </w:r>
      <w:r w:rsidRPr="00BB22B4">
        <w:rPr>
          <w:rFonts w:eastAsia="Times New Roman" w:cs="Arial"/>
          <w:color w:val="000000"/>
          <w:szCs w:val="20"/>
          <w:lang w:val="en-US"/>
        </w:rPr>
        <w:t>ALLHAT</w:t>
      </w:r>
      <w:r w:rsidRPr="00BB22B4">
        <w:rPr>
          <w:rFonts w:eastAsia="Times New Roman" w:cs="Arial"/>
          <w:color w:val="000000"/>
          <w:szCs w:val="20"/>
        </w:rPr>
        <w:t xml:space="preserve">) </w:t>
      </w:r>
      <w:r w:rsidRPr="00BB22B4">
        <w:rPr>
          <w:rFonts w:eastAsia="Times New Roman" w:cs="Arial"/>
          <w:color w:val="000000"/>
          <w:szCs w:val="20"/>
          <w:lang w:val="en-US"/>
        </w:rPr>
        <w:t>e</w:t>
      </w:r>
      <w:r w:rsidRPr="00BB22B4">
        <w:rPr>
          <w:rFonts w:eastAsia="Times New Roman" w:cs="Arial"/>
          <w:color w:val="000000"/>
          <w:szCs w:val="20"/>
        </w:rPr>
        <w:t xml:space="preserve"> </w:t>
      </w:r>
      <w:r w:rsidRPr="00BB22B4">
        <w:rPr>
          <w:rFonts w:eastAsia="Times New Roman" w:cs="Arial"/>
          <w:color w:val="000000"/>
          <w:szCs w:val="20"/>
          <w:lang w:eastAsia="bg-BG"/>
        </w:rPr>
        <w:t xml:space="preserve">проведено за да се сравняват новите лекарствени терапии: амлодипин 2,5-10 </w:t>
      </w:r>
      <w:r w:rsidRPr="00BB22B4">
        <w:rPr>
          <w:rFonts w:eastAsia="Times New Roman" w:cs="Arial"/>
          <w:color w:val="000000"/>
          <w:szCs w:val="20"/>
          <w:lang w:val="en-US"/>
        </w:rPr>
        <w:t>mg</w:t>
      </w:r>
      <w:r w:rsidRPr="00BB22B4">
        <w:rPr>
          <w:rFonts w:eastAsia="Times New Roman" w:cs="Arial"/>
          <w:color w:val="000000"/>
          <w:szCs w:val="20"/>
          <w:lang w:eastAsia="bg-BG"/>
        </w:rPr>
        <w:t xml:space="preserve">/ден (блокер на калциевите канали) или лизиноприл 10-40 </w:t>
      </w:r>
      <w:r w:rsidRPr="00BB22B4">
        <w:rPr>
          <w:rFonts w:eastAsia="Times New Roman" w:cs="Arial"/>
          <w:color w:val="000000"/>
          <w:szCs w:val="20"/>
          <w:lang w:val="en-US"/>
        </w:rPr>
        <w:t>mg</w:t>
      </w:r>
      <w:r w:rsidRPr="00BB22B4">
        <w:rPr>
          <w:rFonts w:eastAsia="Times New Roman" w:cs="Arial"/>
          <w:color w:val="000000"/>
          <w:szCs w:val="20"/>
          <w:lang w:eastAsia="bg-BG"/>
        </w:rPr>
        <w:t xml:space="preserve">/ден (АСЕ-инхибитор) като първо средство за терапия към тиазиден диуретик, хлорталидон 12,5-25 </w:t>
      </w:r>
      <w:r w:rsidRPr="00BB22B4">
        <w:rPr>
          <w:rFonts w:eastAsia="Times New Roman" w:cs="Arial"/>
          <w:color w:val="000000"/>
          <w:szCs w:val="20"/>
          <w:lang w:val="en-US"/>
        </w:rPr>
        <w:t>mg</w:t>
      </w:r>
      <w:r w:rsidRPr="00BB22B4">
        <w:rPr>
          <w:rFonts w:eastAsia="Times New Roman" w:cs="Arial"/>
          <w:color w:val="000000"/>
          <w:szCs w:val="20"/>
          <w:lang w:eastAsia="bg-BG"/>
        </w:rPr>
        <w:t>/ден при лека до умерена хипертония. "</w:t>
      </w:r>
    </w:p>
    <w:p w14:paraId="31B0244D" w14:textId="77777777" w:rsidR="00BB22B4" w:rsidRPr="00BB22B4" w:rsidRDefault="00BB22B4" w:rsidP="00BB22B4">
      <w:pPr>
        <w:spacing w:line="240" w:lineRule="auto"/>
        <w:rPr>
          <w:rFonts w:eastAsia="Times New Roman" w:cs="Arial"/>
          <w:color w:val="000000"/>
          <w:szCs w:val="20"/>
          <w:lang w:eastAsia="bg-BG"/>
        </w:rPr>
      </w:pPr>
    </w:p>
    <w:p w14:paraId="23234845" w14:textId="0219C53B"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Общо 33 357 хипертензивни пациенти на възраст 55 или повече години са били рандомизирани и проследявани средно 4,9 години. Пациентите са имали най-малко един допълнителен рисков фактор за ИБС, включително: прекаран инфаркт на миокарда или инсулт (&gt; 6 месеца преди началото) или документирано друго атеросклеротично ССЗ (като цяло 51,5%), диабет тип 2 (36,1%), </w:t>
      </w:r>
      <w:r w:rsidRPr="00BB22B4">
        <w:rPr>
          <w:rFonts w:eastAsia="Times New Roman" w:cs="Arial"/>
          <w:color w:val="000000"/>
          <w:szCs w:val="20"/>
          <w:lang w:val="en-US"/>
        </w:rPr>
        <w:t>HDL</w:t>
      </w:r>
      <w:r w:rsidRPr="00BB22B4">
        <w:rPr>
          <w:rFonts w:eastAsia="Times New Roman" w:cs="Arial"/>
          <w:color w:val="000000"/>
          <w:szCs w:val="20"/>
          <w:lang w:val="ru-RU"/>
        </w:rPr>
        <w:t>-</w:t>
      </w:r>
      <w:r w:rsidRPr="00BB22B4">
        <w:rPr>
          <w:rFonts w:eastAsia="Times New Roman" w:cs="Arial"/>
          <w:color w:val="000000"/>
          <w:szCs w:val="20"/>
          <w:lang w:val="en-US"/>
        </w:rPr>
        <w:t>C</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&lt;35 </w:t>
      </w:r>
      <w:r w:rsidRPr="00BB22B4">
        <w:rPr>
          <w:rFonts w:eastAsia="Times New Roman" w:cs="Arial"/>
          <w:color w:val="000000"/>
          <w:szCs w:val="20"/>
          <w:lang w:val="en-US"/>
        </w:rPr>
        <w:t>mg</w:t>
      </w:r>
      <w:r w:rsidRPr="00BB22B4">
        <w:rPr>
          <w:rFonts w:eastAsia="Times New Roman" w:cs="Arial"/>
          <w:color w:val="000000"/>
          <w:szCs w:val="20"/>
          <w:lang w:val="ru-RU"/>
        </w:rPr>
        <w:t>/</w:t>
      </w:r>
      <w:proofErr w:type="spellStart"/>
      <w:r w:rsidRPr="00BB22B4">
        <w:rPr>
          <w:rFonts w:eastAsia="Times New Roman" w:cs="Arial"/>
          <w:color w:val="000000"/>
          <w:szCs w:val="20"/>
          <w:lang w:val="en-US"/>
        </w:rPr>
        <w:t>dL</w:t>
      </w:r>
      <w:proofErr w:type="spellEnd"/>
      <w:r w:rsidRPr="00BB22B4">
        <w:rPr>
          <w:rFonts w:eastAsia="Times New Roman" w:cs="Arial"/>
          <w:color w:val="000000"/>
          <w:szCs w:val="20"/>
          <w:lang w:val="ru-RU"/>
        </w:rPr>
        <w:t xml:space="preserve"> </w:t>
      </w:r>
      <w:r w:rsidRPr="00BB22B4">
        <w:rPr>
          <w:rFonts w:eastAsia="Times New Roman" w:cs="Arial"/>
          <w:color w:val="000000"/>
          <w:szCs w:val="20"/>
          <w:lang w:eastAsia="bg-BG"/>
        </w:rPr>
        <w:t>(11,6%), левокамерна хипертрофия, диагностицирана от електрокардиограма или ехокардиография (20,9%), тютюнопушене (21,9%).</w:t>
      </w:r>
    </w:p>
    <w:p w14:paraId="7C5AE692" w14:textId="77777777" w:rsidR="00BB22B4" w:rsidRPr="00BB22B4" w:rsidRDefault="00BB22B4" w:rsidP="00BB22B4">
      <w:pPr>
        <w:spacing w:line="240" w:lineRule="auto"/>
        <w:rPr>
          <w:rFonts w:eastAsia="Times New Roman" w:cs="Arial"/>
          <w:color w:val="000000"/>
          <w:szCs w:val="20"/>
          <w:lang w:eastAsia="bg-BG"/>
        </w:rPr>
      </w:pPr>
    </w:p>
    <w:p w14:paraId="1B98461A" w14:textId="4D6D7CD5"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Първичната крайна точка е била комбинация от фатална ИБС или нефатален инфаркт на миокарда. Не е установена значима разлика в първичната крайна точка между амлодипин- терапията и хлорталидон терапията на базата на: </w:t>
      </w:r>
      <w:r w:rsidRPr="00BB22B4">
        <w:rPr>
          <w:rFonts w:eastAsia="Times New Roman" w:cs="Arial"/>
          <w:color w:val="000000"/>
          <w:szCs w:val="20"/>
          <w:lang w:val="en-US"/>
        </w:rPr>
        <w:t>RR</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0,98 95% </w:t>
      </w:r>
      <w:r w:rsidRPr="00BB22B4">
        <w:rPr>
          <w:rFonts w:eastAsia="Times New Roman" w:cs="Arial"/>
          <w:color w:val="000000"/>
          <w:szCs w:val="20"/>
          <w:lang w:val="en-US"/>
        </w:rPr>
        <w:t>CI</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(0,90-1,07) р = 0,65. Сред вторичните крайни точки, честотата на сърдечната недостатъчност (компонент на съставно комбинирани сърдечно-съдови крайни точки) е значително по-висока в амлодипин групата в сравнение с групата на хлорталидон (10,2% срещу 7,7%, </w:t>
      </w:r>
      <w:r w:rsidRPr="00BB22B4">
        <w:rPr>
          <w:rFonts w:eastAsia="Times New Roman" w:cs="Arial"/>
          <w:color w:val="000000"/>
          <w:szCs w:val="20"/>
          <w:lang w:val="en-US"/>
        </w:rPr>
        <w:t>RR</w:t>
      </w:r>
      <w:r w:rsidRPr="00BB22B4">
        <w:rPr>
          <w:rFonts w:eastAsia="Times New Roman" w:cs="Arial"/>
          <w:color w:val="000000"/>
          <w:szCs w:val="20"/>
          <w:lang w:val="ru-RU"/>
        </w:rPr>
        <w:t xml:space="preserve"> </w:t>
      </w:r>
      <w:r w:rsidRPr="00BB22B4">
        <w:rPr>
          <w:rFonts w:eastAsia="Times New Roman" w:cs="Arial"/>
          <w:color w:val="000000"/>
          <w:szCs w:val="20"/>
          <w:lang w:eastAsia="bg-BG"/>
        </w:rPr>
        <w:t>1,38, 95% С</w:t>
      </w:r>
      <w:r w:rsidRPr="00BB22B4">
        <w:rPr>
          <w:rFonts w:eastAsia="Times New Roman" w:cs="Arial"/>
          <w:color w:val="000000"/>
          <w:szCs w:val="20"/>
          <w:lang w:val="en-US"/>
        </w:rPr>
        <w:t>I</w:t>
      </w:r>
      <w:r w:rsidRPr="00BB22B4">
        <w:rPr>
          <w:rFonts w:eastAsia="Times New Roman" w:cs="Arial"/>
          <w:color w:val="000000"/>
          <w:szCs w:val="20"/>
          <w:lang w:eastAsia="bg-BG"/>
        </w:rPr>
        <w:t xml:space="preserve"> [1,25-1,52] р &lt;0,001). Въпреки това, няма значима разлика в общата смъртност между лечението с амлодипин и хлорталидон терапията. </w:t>
      </w:r>
      <w:r w:rsidRPr="00BB22B4">
        <w:rPr>
          <w:rFonts w:eastAsia="Times New Roman" w:cs="Arial"/>
          <w:color w:val="000000"/>
          <w:szCs w:val="20"/>
          <w:lang w:val="en-US"/>
        </w:rPr>
        <w:t>RR</w:t>
      </w:r>
      <w:r w:rsidRPr="00BB22B4">
        <w:rPr>
          <w:rFonts w:eastAsia="Times New Roman" w:cs="Arial"/>
          <w:color w:val="000000"/>
          <w:szCs w:val="20"/>
          <w:lang w:val="ru-RU"/>
        </w:rPr>
        <w:t xml:space="preserve"> </w:t>
      </w:r>
      <w:r w:rsidRPr="00BB22B4">
        <w:rPr>
          <w:rFonts w:eastAsia="Times New Roman" w:cs="Arial"/>
          <w:color w:val="000000"/>
          <w:szCs w:val="20"/>
          <w:lang w:eastAsia="bg-BG"/>
        </w:rPr>
        <w:t>0</w:t>
      </w:r>
      <w:proofErr w:type="gramStart"/>
      <w:r w:rsidRPr="00BB22B4">
        <w:rPr>
          <w:rFonts w:eastAsia="Times New Roman" w:cs="Arial"/>
          <w:color w:val="000000"/>
          <w:szCs w:val="20"/>
          <w:lang w:eastAsia="bg-BG"/>
        </w:rPr>
        <w:t>,96</w:t>
      </w:r>
      <w:proofErr w:type="gramEnd"/>
      <w:r w:rsidRPr="00BB22B4">
        <w:rPr>
          <w:rFonts w:eastAsia="Times New Roman" w:cs="Arial"/>
          <w:color w:val="000000"/>
          <w:szCs w:val="20"/>
          <w:lang w:eastAsia="bg-BG"/>
        </w:rPr>
        <w:t xml:space="preserve"> 95% </w:t>
      </w:r>
      <w:r w:rsidRPr="00BB22B4">
        <w:rPr>
          <w:rFonts w:eastAsia="Times New Roman" w:cs="Arial"/>
          <w:color w:val="000000"/>
          <w:szCs w:val="20"/>
          <w:lang w:val="en-US"/>
        </w:rPr>
        <w:t>CI</w:t>
      </w:r>
      <w:r w:rsidRPr="00BB22B4">
        <w:rPr>
          <w:rFonts w:eastAsia="Times New Roman" w:cs="Arial"/>
          <w:color w:val="000000"/>
          <w:szCs w:val="20"/>
          <w:lang w:val="ru-RU"/>
        </w:rPr>
        <w:t xml:space="preserve"> </w:t>
      </w:r>
      <w:r w:rsidRPr="00BB22B4">
        <w:rPr>
          <w:rFonts w:eastAsia="Times New Roman" w:cs="Arial"/>
          <w:color w:val="000000"/>
          <w:szCs w:val="20"/>
          <w:lang w:eastAsia="bg-BG"/>
        </w:rPr>
        <w:t>[0,89-1,02] р = 0,20.</w:t>
      </w:r>
    </w:p>
    <w:p w14:paraId="7AC50CC1" w14:textId="77777777" w:rsidR="00BB22B4" w:rsidRPr="00BB22B4" w:rsidRDefault="00BB22B4" w:rsidP="00BB22B4">
      <w:pPr>
        <w:spacing w:line="240" w:lineRule="auto"/>
        <w:rPr>
          <w:rFonts w:eastAsia="Times New Roman" w:cs="Arial"/>
          <w:color w:val="000000"/>
          <w:szCs w:val="20"/>
          <w:u w:val="single"/>
          <w:lang w:eastAsia="bg-BG"/>
        </w:rPr>
      </w:pPr>
    </w:p>
    <w:p w14:paraId="3BC60E6A" w14:textId="464C5E28"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Педиатрична популация (6 годишна възраст и по-големи)</w:t>
      </w:r>
    </w:p>
    <w:p w14:paraId="3823D079"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Проучване, включващо 268 деца на възраст от 6 -17 години с преобладаваща вторична хипертония, при което е сравнявана дозата 2,5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и 5,0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амлодипин с плацебо показва, че двете дози понижават систолното кръвно налягане значително повече в сравнение плацебо. Разликата между двете дози не е статистически значима.</w:t>
      </w:r>
      <w:bookmarkStart w:id="1" w:name="bookmark0"/>
      <w:bookmarkEnd w:id="1"/>
    </w:p>
    <w:p w14:paraId="02FCD3A0" w14:textId="77777777" w:rsidR="00BB22B4" w:rsidRPr="00BB22B4" w:rsidRDefault="00BB22B4" w:rsidP="00BB22B4">
      <w:pPr>
        <w:rPr>
          <w:rFonts w:eastAsia="Times New Roman" w:cs="Arial"/>
          <w:color w:val="000000"/>
          <w:szCs w:val="20"/>
          <w:lang w:eastAsia="bg-BG"/>
        </w:rPr>
      </w:pPr>
    </w:p>
    <w:p w14:paraId="017186EE" w14:textId="77777777" w:rsidR="00BB22B4" w:rsidRPr="00BB22B4" w:rsidRDefault="00BB22B4" w:rsidP="00BB22B4">
      <w:pPr>
        <w:rPr>
          <w:rFonts w:eastAsia="Times New Roman" w:cs="Arial"/>
          <w:sz w:val="28"/>
          <w:szCs w:val="24"/>
        </w:rPr>
      </w:pPr>
      <w:r w:rsidRPr="00BB22B4">
        <w:rPr>
          <w:rFonts w:eastAsia="Times New Roman" w:cs="Arial"/>
          <w:color w:val="000000"/>
          <w:szCs w:val="20"/>
          <w:lang w:eastAsia="bg-BG"/>
        </w:rPr>
        <w:t>Дългосрочните ефекти на амлодипин върху растежа, пубертета и общото развитие не са проучени. Дългосрочната ефикасност на амлодипин при лечение в детска възраст за намаляване на сърдечно-съдовата заболеваемост и смъртност в зряла възраст също не са установени.</w:t>
      </w:r>
    </w:p>
    <w:p w14:paraId="68A24A1A" w14:textId="384F5234" w:rsidR="001A6EBD" w:rsidRPr="001A6EBD" w:rsidRDefault="001A6EBD" w:rsidP="00BB22B4"/>
    <w:p w14:paraId="346B622B" w14:textId="0F3FD0A9" w:rsidR="00875EEC" w:rsidRDefault="002C50EE" w:rsidP="005726E3">
      <w:pPr>
        <w:pStyle w:val="Heading2"/>
      </w:pPr>
      <w:r>
        <w:t>5.2. Фармакокинетични свойства</w:t>
      </w:r>
    </w:p>
    <w:p w14:paraId="1E34AE2D" w14:textId="660AB276" w:rsidR="00BB22B4" w:rsidRDefault="00BB22B4" w:rsidP="00BB22B4"/>
    <w:p w14:paraId="27AEBB31" w14:textId="77777777" w:rsidR="00BB22B4" w:rsidRPr="00BB22B4" w:rsidRDefault="00BB22B4" w:rsidP="00BB22B4">
      <w:pPr>
        <w:spacing w:line="240" w:lineRule="auto"/>
        <w:rPr>
          <w:rFonts w:eastAsia="Times New Roman" w:cs="Arial"/>
          <w:sz w:val="28"/>
          <w:szCs w:val="24"/>
        </w:rPr>
      </w:pPr>
      <w:r w:rsidRPr="00BB22B4">
        <w:rPr>
          <w:rStyle w:val="Heading3Char"/>
          <w:u w:val="single"/>
          <w:lang w:eastAsia="bg-BG"/>
        </w:rPr>
        <w:t>Абсорбция, разпределение, свързване с плазмените протеини:</w:t>
      </w:r>
      <w:r w:rsidRPr="00BB22B4">
        <w:rPr>
          <w:rFonts w:eastAsia="Times New Roman" w:cs="Arial"/>
          <w:color w:val="000000"/>
          <w:szCs w:val="20"/>
          <w:lang w:eastAsia="bg-BG"/>
        </w:rPr>
        <w:t xml:space="preserve"> След перорално приложение на терапевтични дози, амлодипин се абсорбира добре с пикови плазмени нива между 6-12 часа след приема на дозата. Абсолютната бионаличност се очаква да бъде между 64 и 80%. Обемът на разпределение е около 21 </w:t>
      </w:r>
      <w:r w:rsidRPr="00BB22B4">
        <w:rPr>
          <w:rFonts w:eastAsia="Times New Roman" w:cs="Arial"/>
          <w:color w:val="000000"/>
          <w:szCs w:val="20"/>
          <w:lang w:val="ru-RU"/>
        </w:rPr>
        <w:t>1/</w:t>
      </w:r>
      <w:r w:rsidRPr="00BB22B4">
        <w:rPr>
          <w:rFonts w:eastAsia="Times New Roman" w:cs="Arial"/>
          <w:color w:val="000000"/>
          <w:szCs w:val="20"/>
          <w:lang w:val="en-US"/>
        </w:rPr>
        <w:t>kg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Ин витро изследвания </w:t>
      </w:r>
      <w:r w:rsidRPr="00BB22B4">
        <w:rPr>
          <w:rFonts w:eastAsia="Times New Roman" w:cs="Arial"/>
          <w:color w:val="000000"/>
          <w:szCs w:val="20"/>
          <w:lang w:eastAsia="bg-BG"/>
        </w:rPr>
        <w:lastRenderedPageBreak/>
        <w:t>са показали, че приблизително 97,5% от циркулиращия амлодипин е свързан с плазмените протеини.</w:t>
      </w:r>
    </w:p>
    <w:p w14:paraId="066B3697" w14:textId="77777777" w:rsidR="00BB22B4" w:rsidRPr="00BB22B4" w:rsidRDefault="00BB22B4" w:rsidP="00BB22B4">
      <w:pPr>
        <w:spacing w:line="240" w:lineRule="auto"/>
        <w:rPr>
          <w:rFonts w:eastAsia="Times New Roman" w:cs="Arial"/>
          <w:color w:val="000000"/>
          <w:szCs w:val="20"/>
          <w:lang w:eastAsia="bg-BG"/>
        </w:rPr>
      </w:pPr>
    </w:p>
    <w:p w14:paraId="75501B8B" w14:textId="3658C430"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Бионаличностга на амлодипин не се влияе от приема на храна.</w:t>
      </w:r>
    </w:p>
    <w:p w14:paraId="2ED1AB4E" w14:textId="77777777" w:rsidR="00BB22B4" w:rsidRPr="00BB22B4" w:rsidRDefault="00BB22B4" w:rsidP="00BB22B4">
      <w:pPr>
        <w:spacing w:line="240" w:lineRule="auto"/>
        <w:rPr>
          <w:rFonts w:eastAsia="Times New Roman" w:cs="Arial"/>
          <w:color w:val="000000"/>
          <w:szCs w:val="20"/>
          <w:u w:val="single"/>
          <w:lang w:eastAsia="bg-BG"/>
        </w:rPr>
      </w:pPr>
    </w:p>
    <w:p w14:paraId="1D3D8E0C" w14:textId="5A19E777" w:rsidR="00BB22B4" w:rsidRPr="00BB22B4" w:rsidRDefault="00BB22B4" w:rsidP="00BB22B4">
      <w:pPr>
        <w:pStyle w:val="Heading3"/>
        <w:rPr>
          <w:rFonts w:eastAsia="Times New Roman"/>
          <w:sz w:val="28"/>
          <w:u w:val="single"/>
        </w:rPr>
      </w:pPr>
      <w:r w:rsidRPr="00BB22B4">
        <w:rPr>
          <w:rFonts w:eastAsia="Times New Roman"/>
          <w:u w:val="single"/>
          <w:lang w:eastAsia="bg-BG"/>
        </w:rPr>
        <w:t>Биотрансформация/Елиминиране</w:t>
      </w:r>
    </w:p>
    <w:p w14:paraId="5D7F2139"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Крайният плазмен елиминационен полуживот е около 35-50 часа и се достига при еднократно дневно приложение. Амлодипин се метаболизира екстензивно в черния дроб до неактивни метаболити, като в урината се екскретират 10% от лекарството в непроменен вид и 60% от метаболитите.</w:t>
      </w:r>
    </w:p>
    <w:p w14:paraId="37D6F1DC" w14:textId="77777777" w:rsidR="00BB22B4" w:rsidRPr="00BB22B4" w:rsidRDefault="00BB22B4" w:rsidP="00BB22B4">
      <w:pPr>
        <w:spacing w:line="240" w:lineRule="auto"/>
        <w:rPr>
          <w:rFonts w:eastAsia="Times New Roman" w:cs="Arial"/>
          <w:color w:val="000000"/>
          <w:szCs w:val="20"/>
          <w:u w:val="single"/>
          <w:lang w:eastAsia="bg-BG"/>
        </w:rPr>
      </w:pPr>
    </w:p>
    <w:p w14:paraId="712A70C1" w14:textId="3CA59877" w:rsidR="00BB22B4" w:rsidRPr="00BB22B4" w:rsidRDefault="00BB22B4" w:rsidP="00BB22B4">
      <w:pPr>
        <w:pStyle w:val="Heading3"/>
        <w:rPr>
          <w:rFonts w:eastAsia="Times New Roman"/>
          <w:sz w:val="28"/>
          <w:u w:val="single"/>
        </w:rPr>
      </w:pPr>
      <w:r w:rsidRPr="00BB22B4">
        <w:rPr>
          <w:rFonts w:eastAsia="Times New Roman"/>
          <w:u w:val="single"/>
          <w:lang w:eastAsia="bg-BG"/>
        </w:rPr>
        <w:t>Чернодробно увреждане</w:t>
      </w:r>
    </w:p>
    <w:p w14:paraId="04348F48"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На разположение са много ограничени клинични данни за приложение на амлодипин при пациенти с чернодробно увреждане. Пациентите с чернодробна недостатъчност имат намален клирънс на амлодипин, в резултат на по-дълъг полуживот и увеличаване на </w:t>
      </w:r>
      <w:r w:rsidRPr="00BB22B4">
        <w:rPr>
          <w:rFonts w:eastAsia="Times New Roman" w:cs="Arial"/>
          <w:color w:val="000000"/>
          <w:szCs w:val="20"/>
          <w:lang w:val="en-US"/>
        </w:rPr>
        <w:t>AUC</w:t>
      </w:r>
      <w:r w:rsidRPr="00BB22B4">
        <w:rPr>
          <w:rFonts w:eastAsia="Times New Roman" w:cs="Arial"/>
          <w:color w:val="000000"/>
          <w:szCs w:val="20"/>
          <w:lang w:val="ru-RU"/>
        </w:rPr>
        <w:t xml:space="preserve"> </w:t>
      </w:r>
      <w:r w:rsidRPr="00BB22B4">
        <w:rPr>
          <w:rFonts w:eastAsia="Times New Roman" w:cs="Arial"/>
          <w:color w:val="000000"/>
          <w:szCs w:val="20"/>
          <w:lang w:eastAsia="bg-BG"/>
        </w:rPr>
        <w:t>с приблизително 40-60%.</w:t>
      </w:r>
    </w:p>
    <w:p w14:paraId="1E31D444" w14:textId="77777777" w:rsidR="00BB22B4" w:rsidRPr="00BB22B4" w:rsidRDefault="00BB22B4" w:rsidP="00BB22B4">
      <w:pPr>
        <w:spacing w:line="240" w:lineRule="auto"/>
        <w:rPr>
          <w:rFonts w:eastAsia="Times New Roman" w:cs="Arial"/>
          <w:color w:val="000000"/>
          <w:szCs w:val="20"/>
          <w:u w:val="single"/>
          <w:lang w:eastAsia="bg-BG"/>
        </w:rPr>
      </w:pPr>
    </w:p>
    <w:p w14:paraId="6F6977AC" w14:textId="4C095C96"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Старческа възраст</w:t>
      </w:r>
    </w:p>
    <w:p w14:paraId="3C20FC5E"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Времето за достигане на максимални плазмени концентрации на амлодипин е подобно при пациенти в старческа възраст и по-млади субекти. Има тенденция клирънсът на амлодипин да намалява, което води до увеличение на “площта под кривата” </w:t>
      </w:r>
      <w:r w:rsidRPr="00BB22B4">
        <w:rPr>
          <w:rFonts w:eastAsia="Times New Roman" w:cs="Arial"/>
          <w:color w:val="000000"/>
          <w:szCs w:val="20"/>
          <w:lang w:val="ru-RU"/>
        </w:rPr>
        <w:t>(</w:t>
      </w:r>
      <w:r w:rsidRPr="00BB22B4">
        <w:rPr>
          <w:rFonts w:eastAsia="Times New Roman" w:cs="Arial"/>
          <w:color w:val="000000"/>
          <w:szCs w:val="20"/>
          <w:lang w:val="en-US"/>
        </w:rPr>
        <w:t>AUC</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и елиминационен полуживот при пациенти в старческа възраст. Увеличението на </w:t>
      </w:r>
      <w:r w:rsidRPr="00BB22B4">
        <w:rPr>
          <w:rFonts w:eastAsia="Times New Roman" w:cs="Arial"/>
          <w:color w:val="000000"/>
          <w:szCs w:val="20"/>
          <w:lang w:val="en-US"/>
        </w:rPr>
        <w:t>AUC</w:t>
      </w:r>
      <w:r w:rsidRPr="00BB22B4">
        <w:rPr>
          <w:rFonts w:eastAsia="Times New Roman" w:cs="Arial"/>
          <w:color w:val="000000"/>
          <w:szCs w:val="20"/>
          <w:lang w:val="ru-RU"/>
        </w:rPr>
        <w:t xml:space="preserve"> </w:t>
      </w:r>
      <w:r w:rsidRPr="00BB22B4">
        <w:rPr>
          <w:rFonts w:eastAsia="Times New Roman" w:cs="Arial"/>
          <w:color w:val="000000"/>
          <w:szCs w:val="20"/>
          <w:lang w:eastAsia="bg-BG"/>
        </w:rPr>
        <w:t>и елиминационния полуживот при пациенти със застойна сърдечна недостатъчност, са били според очакванията за възрастовата група.</w:t>
      </w:r>
    </w:p>
    <w:p w14:paraId="03785788" w14:textId="77777777" w:rsidR="00BB22B4" w:rsidRPr="00BB22B4" w:rsidRDefault="00BB22B4" w:rsidP="00BB22B4">
      <w:pPr>
        <w:spacing w:line="240" w:lineRule="auto"/>
        <w:rPr>
          <w:rFonts w:eastAsia="Times New Roman" w:cs="Arial"/>
          <w:color w:val="000000"/>
          <w:szCs w:val="20"/>
          <w:u w:val="single"/>
          <w:lang w:eastAsia="bg-BG"/>
        </w:rPr>
      </w:pPr>
    </w:p>
    <w:p w14:paraId="587E77CA" w14:textId="78A8EC26"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Педиатрична популация</w:t>
      </w:r>
    </w:p>
    <w:p w14:paraId="06C671D4"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Популационно фармакокинетично проучване е проведено при 74 деца с хипертония на възраст от 12 месеца до 17 години (с 34 пациенти на възраст от 6 до 12 години и 28 пациенти на възраст от 13 до 17 години), получаващи амлодипин между 1,25 и 20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веднъж или два пъти дневно. При деца от 6 до 12 години и при юноши 13 -17-годишна възраст типичният перорален клирънс </w:t>
      </w:r>
      <w:r w:rsidRPr="00BB22B4">
        <w:rPr>
          <w:rFonts w:eastAsia="Times New Roman" w:cs="Arial"/>
          <w:color w:val="000000"/>
          <w:szCs w:val="20"/>
          <w:lang w:val="ru-RU"/>
        </w:rPr>
        <w:t>(</w:t>
      </w:r>
      <w:r w:rsidRPr="00BB22B4">
        <w:rPr>
          <w:rFonts w:eastAsia="Times New Roman" w:cs="Arial"/>
          <w:color w:val="000000"/>
          <w:szCs w:val="20"/>
          <w:lang w:val="en-US"/>
        </w:rPr>
        <w:t>CL</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 </w:t>
      </w:r>
      <w:r w:rsidRPr="00BB22B4">
        <w:rPr>
          <w:rFonts w:eastAsia="Times New Roman" w:cs="Arial"/>
          <w:color w:val="000000"/>
          <w:szCs w:val="20"/>
          <w:lang w:val="en-US"/>
        </w:rPr>
        <w:t>F</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е съответно 22,5 и 27,4 </w:t>
      </w:r>
      <w:r w:rsidRPr="00BB22B4">
        <w:rPr>
          <w:rFonts w:eastAsia="Times New Roman" w:cs="Arial"/>
          <w:color w:val="000000"/>
          <w:szCs w:val="20"/>
          <w:lang w:val="en-US"/>
        </w:rPr>
        <w:t>L</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 </w:t>
      </w:r>
      <w:r w:rsidRPr="00BB22B4">
        <w:rPr>
          <w:rFonts w:eastAsia="Times New Roman" w:cs="Arial"/>
          <w:color w:val="000000"/>
          <w:szCs w:val="20"/>
          <w:lang w:val="en-US"/>
        </w:rPr>
        <w:t>h</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съответно при мъже и 16,4 и съответно 21,3 </w:t>
      </w:r>
      <w:r w:rsidRPr="00BB22B4">
        <w:rPr>
          <w:rFonts w:eastAsia="Times New Roman" w:cs="Arial"/>
          <w:color w:val="000000"/>
          <w:szCs w:val="20"/>
          <w:lang w:val="en-US"/>
        </w:rPr>
        <w:t>L</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 </w:t>
      </w:r>
      <w:r w:rsidRPr="00BB22B4">
        <w:rPr>
          <w:rFonts w:eastAsia="Times New Roman" w:cs="Arial"/>
          <w:color w:val="000000"/>
          <w:szCs w:val="20"/>
          <w:lang w:val="en-US"/>
        </w:rPr>
        <w:t>h</w:t>
      </w:r>
      <w:r w:rsidRPr="00BB22B4">
        <w:rPr>
          <w:rFonts w:eastAsia="Times New Roman" w:cs="Arial"/>
          <w:color w:val="000000"/>
          <w:szCs w:val="20"/>
          <w:lang w:val="ru-RU"/>
        </w:rPr>
        <w:t xml:space="preserve"> </w:t>
      </w:r>
      <w:r w:rsidRPr="00BB22B4">
        <w:rPr>
          <w:rFonts w:eastAsia="Times New Roman" w:cs="Arial"/>
          <w:color w:val="000000"/>
          <w:szCs w:val="20"/>
          <w:lang w:eastAsia="bg-BG"/>
        </w:rPr>
        <w:t>при жените. Наблюдавана е голяма вариабилност в експозицията между отделните индивиди.</w:t>
      </w:r>
    </w:p>
    <w:p w14:paraId="060985A5"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Данните, докладвани при деца под 6 години са ограничен.</w:t>
      </w:r>
    </w:p>
    <w:p w14:paraId="436D48F6" w14:textId="77777777" w:rsidR="00BB22B4" w:rsidRPr="00BB22B4" w:rsidRDefault="00BB22B4" w:rsidP="00BB22B4"/>
    <w:p w14:paraId="4F31844C" w14:textId="2479ECF2" w:rsidR="00875EEC" w:rsidRDefault="002C50EE" w:rsidP="005726E3">
      <w:pPr>
        <w:pStyle w:val="Heading2"/>
      </w:pPr>
      <w:r>
        <w:t>5.3. Предклинични данни за безопасност</w:t>
      </w:r>
    </w:p>
    <w:p w14:paraId="7483C4FF" w14:textId="7E29569B" w:rsidR="00BB22B4" w:rsidRDefault="00BB22B4" w:rsidP="00BB22B4"/>
    <w:p w14:paraId="5463D2C5"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Репродуктивна токсичност</w:t>
      </w:r>
    </w:p>
    <w:p w14:paraId="1499BC5E"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Проучвания за репродуктивна токсичност при плъхове и мишки са показали забавяне на термина, удължена продължителност на бременността и намаляване жизнеността на новородените при дози приблизително 50 пъти превишаващи максималната препоръчителна доза за хората на базата на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kg</w:t>
      </w:r>
      <w:r w:rsidRPr="00BB22B4">
        <w:rPr>
          <w:rFonts w:eastAsia="Times New Roman" w:cs="Arial"/>
          <w:color w:val="000000"/>
          <w:szCs w:val="20"/>
          <w:lang w:val="ru-RU"/>
        </w:rPr>
        <w:t>.</w:t>
      </w:r>
    </w:p>
    <w:p w14:paraId="72E54CF5" w14:textId="77777777" w:rsidR="00BB22B4" w:rsidRPr="00BB22B4" w:rsidRDefault="00BB22B4" w:rsidP="00BB22B4">
      <w:pPr>
        <w:spacing w:line="240" w:lineRule="auto"/>
        <w:rPr>
          <w:rFonts w:eastAsia="Times New Roman" w:cs="Arial"/>
          <w:color w:val="000000"/>
          <w:szCs w:val="20"/>
          <w:u w:val="single"/>
          <w:lang w:eastAsia="bg-BG"/>
        </w:rPr>
      </w:pPr>
    </w:p>
    <w:p w14:paraId="68DC0BBB" w14:textId="0CAA0DEF"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Увреждане на фертилитета</w:t>
      </w:r>
    </w:p>
    <w:p w14:paraId="15B8DBCB" w14:textId="77777777" w:rsidR="00BB22B4" w:rsidRPr="00BB22B4" w:rsidRDefault="00BB22B4" w:rsidP="00BB22B4">
      <w:pPr>
        <w:rPr>
          <w:rFonts w:eastAsia="Times New Roman" w:cs="Arial"/>
          <w:sz w:val="28"/>
          <w:szCs w:val="24"/>
        </w:rPr>
      </w:pPr>
      <w:r w:rsidRPr="00BB22B4">
        <w:rPr>
          <w:rFonts w:eastAsia="Times New Roman" w:cs="Arial"/>
          <w:color w:val="000000"/>
          <w:szCs w:val="20"/>
          <w:lang w:eastAsia="bg-BG"/>
        </w:rPr>
        <w:t xml:space="preserve">Няма ефект върху фертилитета на плъхове, третирани с амлодипин (мъжки 64 дни и женски 14 дни преди чифтосването) при дози до 10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kg</w:t>
      </w:r>
      <w:r w:rsidRPr="00BB22B4">
        <w:rPr>
          <w:rFonts w:eastAsia="Times New Roman" w:cs="Arial"/>
          <w:color w:val="000000"/>
          <w:szCs w:val="20"/>
          <w:lang w:eastAsia="bg-BG"/>
        </w:rPr>
        <w:t xml:space="preserve">/ден (8 пъти * максималната препоръчвана доза от 10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доза на базата на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m</w:t>
      </w:r>
      <w:r w:rsidRPr="00BB22B4">
        <w:rPr>
          <w:rFonts w:eastAsia="Times New Roman" w:cs="Arial"/>
          <w:color w:val="000000"/>
          <w:szCs w:val="20"/>
          <w:lang w:val="ru-RU"/>
        </w:rPr>
        <w:t xml:space="preserve">2). </w:t>
      </w:r>
      <w:r w:rsidRPr="00BB22B4">
        <w:rPr>
          <w:rFonts w:eastAsia="Times New Roman" w:cs="Arial"/>
          <w:color w:val="000000"/>
          <w:szCs w:val="20"/>
          <w:lang w:eastAsia="bg-BG"/>
        </w:rPr>
        <w:t xml:space="preserve">При друго проучване с плъхове, мъжките плъхове са били лекувани с амлодипин безилат в продължение на 30 дни при доза, която е сравнима с доза за хора, на базата на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kg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са отчетени понижение на </w:t>
      </w:r>
      <w:r w:rsidRPr="00BB22B4">
        <w:rPr>
          <w:rFonts w:eastAsia="Times New Roman" w:cs="Arial"/>
          <w:color w:val="000000"/>
          <w:szCs w:val="20"/>
          <w:lang w:eastAsia="bg-BG"/>
        </w:rPr>
        <w:lastRenderedPageBreak/>
        <w:t>плазменият фоликулостимулиращ хормон и тестостерон, както и намаляване на плътността на спермата и броят на зрелите сперматозоиди и Сертолиеви клетки.</w:t>
      </w:r>
    </w:p>
    <w:p w14:paraId="77094052" w14:textId="77777777" w:rsidR="00BB22B4" w:rsidRPr="00BB22B4" w:rsidRDefault="00BB22B4" w:rsidP="00BB22B4">
      <w:pPr>
        <w:spacing w:line="240" w:lineRule="auto"/>
        <w:rPr>
          <w:rFonts w:eastAsia="Times New Roman" w:cs="Arial"/>
          <w:color w:val="000000"/>
          <w:szCs w:val="20"/>
          <w:u w:val="single"/>
          <w:lang w:eastAsia="bg-BG"/>
        </w:rPr>
      </w:pPr>
    </w:p>
    <w:p w14:paraId="6FD4AEBE" w14:textId="575BC7B5"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Карциногенеза, мутагенеза</w:t>
      </w:r>
    </w:p>
    <w:p w14:paraId="4D40B179"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Няма данни за карциногенност при плъхове и мишки, третирани с амлодипин в диетата за две години в концентрации, изчислени да осигурят дневни дозови нива от 0,5, 1,25 и 2,5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kg</w:t>
      </w:r>
      <w:r w:rsidRPr="00BB22B4">
        <w:rPr>
          <w:rFonts w:eastAsia="Times New Roman" w:cs="Arial"/>
          <w:color w:val="000000"/>
          <w:szCs w:val="20"/>
          <w:lang w:eastAsia="bg-BG"/>
        </w:rPr>
        <w:t xml:space="preserve">/ден. Най-високата доза (при мишки, близка до, а при плъхове- два пъти* по-висока от максималната препоръчителна клинична доза от 10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изчислена на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m</w:t>
      </w:r>
      <w:r w:rsidRPr="00BB22B4">
        <w:rPr>
          <w:rFonts w:eastAsia="Times New Roman" w:cs="Arial"/>
          <w:color w:val="000000"/>
          <w:szCs w:val="20"/>
          <w:lang w:val="ru-RU"/>
        </w:rPr>
        <w:t xml:space="preserve">2) </w:t>
      </w:r>
      <w:r w:rsidRPr="00BB22B4">
        <w:rPr>
          <w:rFonts w:eastAsia="Times New Roman" w:cs="Arial"/>
          <w:color w:val="000000"/>
          <w:szCs w:val="20"/>
          <w:lang w:eastAsia="bg-BG"/>
        </w:rPr>
        <w:t>е била близка до максималната толерирана доза при мишки, но не за плъхове.</w:t>
      </w:r>
    </w:p>
    <w:p w14:paraId="3B7A0C86" w14:textId="77777777" w:rsidR="00BB22B4" w:rsidRPr="00BB22B4" w:rsidRDefault="00BB22B4" w:rsidP="00BB22B4">
      <w:pPr>
        <w:spacing w:line="240" w:lineRule="auto"/>
        <w:rPr>
          <w:rFonts w:eastAsia="Times New Roman" w:cs="Arial"/>
          <w:color w:val="000000"/>
          <w:szCs w:val="20"/>
          <w:lang w:eastAsia="bg-BG"/>
        </w:rPr>
      </w:pPr>
    </w:p>
    <w:p w14:paraId="45E551F0" w14:textId="38F57443"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Проучвания за мутагенност не показват лекарствено-обусловени ефекти нито на генно, нито на хромозомно ниво,</w:t>
      </w:r>
    </w:p>
    <w:p w14:paraId="09853C02"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 изчислена за пациенти с тегло 50 </w:t>
      </w:r>
      <w:r w:rsidRPr="00BB22B4">
        <w:rPr>
          <w:rFonts w:eastAsia="Times New Roman" w:cs="Arial"/>
          <w:color w:val="000000"/>
          <w:szCs w:val="20"/>
          <w:lang w:val="en-US"/>
        </w:rPr>
        <w:t>kg</w:t>
      </w:r>
      <w:r w:rsidRPr="00BB22B4">
        <w:rPr>
          <w:rFonts w:eastAsia="Times New Roman" w:cs="Arial"/>
          <w:color w:val="000000"/>
          <w:szCs w:val="20"/>
          <w:lang w:val="ru-RU"/>
        </w:rPr>
        <w:t>.</w:t>
      </w:r>
    </w:p>
    <w:p w14:paraId="12EC6EC6" w14:textId="61C6499D" w:rsidR="00BB22B4" w:rsidRPr="00BB22B4" w:rsidRDefault="00BB22B4" w:rsidP="00BB22B4"/>
    <w:p w14:paraId="1BA6531D" w14:textId="7B278041" w:rsidR="00B6672E" w:rsidRDefault="002C50EE" w:rsidP="00936AD0">
      <w:pPr>
        <w:pStyle w:val="Heading1"/>
      </w:pPr>
      <w:r>
        <w:t>7. ПРИТЕЖАТЕЛ НА РАЗРЕШЕНИЕТО ЗА УПОТРЕБА</w:t>
      </w:r>
    </w:p>
    <w:p w14:paraId="357049A8" w14:textId="2FC6783E" w:rsidR="00BB22B4" w:rsidRDefault="00BB22B4" w:rsidP="00BB22B4"/>
    <w:p w14:paraId="6BFF9D91" w14:textId="244D9083" w:rsidR="00BB22B4" w:rsidRPr="00BB22B4" w:rsidRDefault="00BB22B4" w:rsidP="00BB22B4">
      <w:r>
        <w:t xml:space="preserve">KRKA, d.d., Novo mesto, Smarjeska cesta 6, 8501 Novo mesto, </w:t>
      </w:r>
      <w:r>
        <w:rPr>
          <w:lang w:eastAsia="bg-BG"/>
        </w:rPr>
        <w:t>Словения</w:t>
      </w:r>
    </w:p>
    <w:p w14:paraId="508F3A54" w14:textId="4EADB7A6" w:rsidR="00B6672E" w:rsidRDefault="00936AD0" w:rsidP="00936AD0">
      <w:pPr>
        <w:pStyle w:val="Heading1"/>
      </w:pPr>
      <w:r>
        <w:t>8.</w:t>
      </w:r>
      <w:r w:rsidR="002C50EE">
        <w:t>НОМЕР НА РАЗРЕШЕНИЕТО ЗА УПОТРЕБА</w:t>
      </w:r>
    </w:p>
    <w:p w14:paraId="796B2EC6" w14:textId="1FEE491C" w:rsidR="00BB22B4" w:rsidRDefault="00BB22B4" w:rsidP="00BB22B4"/>
    <w:p w14:paraId="20203E9B" w14:textId="77777777" w:rsidR="00BB22B4" w:rsidRPr="00BB22B4" w:rsidRDefault="00BB22B4" w:rsidP="00BB22B4">
      <w:pPr>
        <w:rPr>
          <w:sz w:val="24"/>
          <w:szCs w:val="24"/>
          <w:lang w:val="ru-RU"/>
        </w:rPr>
      </w:pPr>
      <w:r w:rsidRPr="00BB22B4">
        <w:rPr>
          <w:lang w:eastAsia="bg-BG"/>
        </w:rPr>
        <w:t xml:space="preserve">Тенокс 5 </w:t>
      </w:r>
      <w:r w:rsidRPr="00BB22B4">
        <w:rPr>
          <w:lang w:val="en-US"/>
        </w:rPr>
        <w:t>mg</w:t>
      </w:r>
      <w:r w:rsidRPr="00BB22B4">
        <w:rPr>
          <w:lang w:val="ru-RU"/>
        </w:rPr>
        <w:t xml:space="preserve"> </w:t>
      </w:r>
      <w:r w:rsidRPr="00BB22B4">
        <w:rPr>
          <w:lang w:eastAsia="bg-BG"/>
        </w:rPr>
        <w:t xml:space="preserve">- </w:t>
      </w:r>
      <w:r w:rsidRPr="00BB22B4">
        <w:rPr>
          <w:lang w:val="en-US"/>
        </w:rPr>
        <w:t>Per</w:t>
      </w:r>
      <w:r w:rsidRPr="00BB22B4">
        <w:rPr>
          <w:lang w:val="ru-RU"/>
        </w:rPr>
        <w:t>. № 20060494</w:t>
      </w:r>
    </w:p>
    <w:p w14:paraId="13776F4C" w14:textId="100E82A0" w:rsidR="00BB22B4" w:rsidRPr="00BB22B4" w:rsidRDefault="00BB22B4" w:rsidP="00BB22B4">
      <w:pPr>
        <w:rPr>
          <w:lang w:val="ru-RU"/>
        </w:rPr>
      </w:pPr>
      <w:r w:rsidRPr="00BB22B4">
        <w:rPr>
          <w:lang w:eastAsia="bg-BG"/>
        </w:rPr>
        <w:t xml:space="preserve">Тенокс </w:t>
      </w:r>
      <w:r w:rsidRPr="00BB22B4">
        <w:rPr>
          <w:lang w:val="ru-RU"/>
        </w:rPr>
        <w:t xml:space="preserve">10 </w:t>
      </w:r>
      <w:r w:rsidRPr="00BB22B4">
        <w:rPr>
          <w:lang w:val="en-US"/>
        </w:rPr>
        <w:t>mg</w:t>
      </w:r>
      <w:r w:rsidRPr="00BB22B4">
        <w:rPr>
          <w:lang w:val="ru-RU"/>
        </w:rPr>
        <w:t xml:space="preserve"> - </w:t>
      </w:r>
      <w:r w:rsidRPr="00BB22B4">
        <w:rPr>
          <w:lang w:val="en-US"/>
        </w:rPr>
        <w:t>Per</w:t>
      </w:r>
      <w:r w:rsidRPr="00BB22B4">
        <w:rPr>
          <w:lang w:val="ru-RU"/>
        </w:rPr>
        <w:t>. №20060495</w:t>
      </w:r>
    </w:p>
    <w:p w14:paraId="3BC5EC53" w14:textId="17B5DE16" w:rsidR="00875EEC" w:rsidRDefault="002C50EE" w:rsidP="005726E3">
      <w:pPr>
        <w:pStyle w:val="Heading1"/>
      </w:pPr>
      <w:r>
        <w:t>9. ДАТА НА ПЪРВО РАЗРЕШАВАНЕ/ПОДНОВЯВАНЕ НА РАЗРЕШЕНИЕТО ЗА УПОТРЕБА</w:t>
      </w:r>
    </w:p>
    <w:p w14:paraId="3715C10B" w14:textId="589B8EAC" w:rsidR="00BB22B4" w:rsidRDefault="00BB22B4" w:rsidP="00BB22B4"/>
    <w:p w14:paraId="227DC419" w14:textId="77777777" w:rsidR="00BB22B4" w:rsidRPr="00BB22B4" w:rsidRDefault="00BB22B4" w:rsidP="00BB22B4">
      <w:pPr>
        <w:rPr>
          <w:sz w:val="24"/>
          <w:szCs w:val="24"/>
        </w:rPr>
      </w:pPr>
      <w:r w:rsidRPr="00BB22B4">
        <w:rPr>
          <w:lang w:eastAsia="bg-BG"/>
        </w:rPr>
        <w:t>Дата на първо разрешаване: 27.09.2006</w:t>
      </w:r>
    </w:p>
    <w:p w14:paraId="62BD47DB" w14:textId="4DD8AAAE" w:rsidR="00BB22B4" w:rsidRPr="00BB22B4" w:rsidRDefault="00BB22B4" w:rsidP="00BB22B4">
      <w:r w:rsidRPr="00BB22B4">
        <w:rPr>
          <w:lang w:eastAsia="bg-BG"/>
        </w:rPr>
        <w:t>Дата на последно подновяване: 02.02.2012</w:t>
      </w:r>
    </w:p>
    <w:p w14:paraId="43FB38A2" w14:textId="0C18A683" w:rsidR="007C605B" w:rsidRDefault="002C50EE" w:rsidP="005726E3">
      <w:pPr>
        <w:pStyle w:val="Heading1"/>
      </w:pPr>
      <w:r>
        <w:t>10. ДАТА НА АКТУАЛИЗИРАНЕ НА ТЕКСТА</w:t>
      </w:r>
      <w:bookmarkEnd w:id="0"/>
    </w:p>
    <w:p w14:paraId="472617BD" w14:textId="1B698B40" w:rsidR="00BB22B4" w:rsidRPr="00BB22B4" w:rsidRDefault="00BB22B4" w:rsidP="00BB22B4">
      <w:bookmarkStart w:id="2" w:name="_GoBack"/>
      <w:bookmarkEnd w:id="2"/>
    </w:p>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2"/>
  </w:num>
  <w:num w:numId="12">
    <w:abstractNumId w:val="15"/>
  </w:num>
  <w:num w:numId="13">
    <w:abstractNumId w:val="21"/>
  </w:num>
  <w:num w:numId="14">
    <w:abstractNumId w:val="13"/>
  </w:num>
  <w:num w:numId="15">
    <w:abstractNumId w:val="31"/>
  </w:num>
  <w:num w:numId="16">
    <w:abstractNumId w:val="11"/>
  </w:num>
  <w:num w:numId="17">
    <w:abstractNumId w:val="26"/>
  </w:num>
  <w:num w:numId="18">
    <w:abstractNumId w:val="8"/>
  </w:num>
  <w:num w:numId="19">
    <w:abstractNumId w:val="28"/>
  </w:num>
  <w:num w:numId="20">
    <w:abstractNumId w:val="25"/>
  </w:num>
  <w:num w:numId="21">
    <w:abstractNumId w:val="19"/>
  </w:num>
  <w:num w:numId="22">
    <w:abstractNumId w:val="27"/>
  </w:num>
  <w:num w:numId="23">
    <w:abstractNumId w:val="20"/>
  </w:num>
  <w:num w:numId="24">
    <w:abstractNumId w:val="9"/>
  </w:num>
  <w:num w:numId="25">
    <w:abstractNumId w:val="24"/>
  </w:num>
  <w:num w:numId="26">
    <w:abstractNumId w:val="23"/>
  </w:num>
  <w:num w:numId="27">
    <w:abstractNumId w:val="33"/>
  </w:num>
  <w:num w:numId="28">
    <w:abstractNumId w:val="6"/>
  </w:num>
  <w:num w:numId="29">
    <w:abstractNumId w:val="22"/>
  </w:num>
  <w:num w:numId="30">
    <w:abstractNumId w:val="36"/>
  </w:num>
  <w:num w:numId="31">
    <w:abstractNumId w:val="5"/>
  </w:num>
  <w:num w:numId="32">
    <w:abstractNumId w:val="35"/>
  </w:num>
  <w:num w:numId="33">
    <w:abstractNumId w:val="30"/>
  </w:num>
  <w:num w:numId="34">
    <w:abstractNumId w:val="34"/>
  </w:num>
  <w:num w:numId="35">
    <w:abstractNumId w:val="7"/>
  </w:num>
  <w:num w:numId="36">
    <w:abstractNumId w:val="10"/>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81364"/>
    <w:rsid w:val="007C605B"/>
    <w:rsid w:val="00807269"/>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4058</Words>
  <Characters>23133</Characters>
  <Application>Microsoft Office Word</Application>
  <DocSecurity>0</DocSecurity>
  <Lines>192</Lines>
  <Paragraphs>54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2022-12-05T20:55:00Z</dcterms:created>
  <dcterms:modified xsi:type="dcterms:W3CDTF">2022-12-05T20:55:00Z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