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A328C" w14:textId="16329281" w:rsidR="002C50EE" w:rsidRPr="004A1A60" w:rsidRDefault="002C50EE" w:rsidP="002C50EE">
      <w:pPr>
        <w:pStyle w:val="Heading1"/>
        <w:jc w:val="center"/>
      </w:pPr>
      <w:bookmarkStart w:id="0" w:name="_Hlk63124480"/>
      <w:r w:rsidRPr="004A1A60">
        <w:t>КРАТКА ХАРАКТЕРИСТИКА НА ПРОДУКТА</w:t>
      </w:r>
    </w:p>
    <w:p w14:paraId="79516554" w14:textId="5B88DEB7" w:rsidR="00DB32D3" w:rsidRPr="004A1A60" w:rsidRDefault="00DD466D" w:rsidP="005726E3">
      <w:pPr>
        <w:pStyle w:val="Heading1"/>
      </w:pPr>
      <w:r w:rsidRPr="004A1A60">
        <w:t>1.ИМЕ НА ЛЕКАРСТВЕНИЯ ПРОДУКТ</w:t>
      </w:r>
    </w:p>
    <w:p w14:paraId="2CD4EDF8" w14:textId="7FBA149D" w:rsidR="00BC73CC" w:rsidRPr="004A1A60" w:rsidRDefault="00BC73CC" w:rsidP="00BC73CC"/>
    <w:p w14:paraId="06672B42" w14:textId="77777777" w:rsidR="00BC73CC" w:rsidRPr="004A1A60" w:rsidRDefault="00BC73CC" w:rsidP="00BC73CC">
      <w:pPr>
        <w:rPr>
          <w:sz w:val="24"/>
          <w:szCs w:val="24"/>
        </w:rPr>
      </w:pPr>
      <w:proofErr w:type="spellStart"/>
      <w:r w:rsidRPr="004A1A60">
        <w:rPr>
          <w:lang w:eastAsia="bg-BG"/>
        </w:rPr>
        <w:t>Тенсар</w:t>
      </w:r>
      <w:proofErr w:type="spellEnd"/>
      <w:r w:rsidRPr="004A1A60">
        <w:rPr>
          <w:lang w:eastAsia="bg-BG"/>
        </w:rPr>
        <w:t xml:space="preserve"> 10 </w:t>
      </w:r>
      <w:proofErr w:type="spellStart"/>
      <w:r w:rsidRPr="004A1A60">
        <w:t>mg</w:t>
      </w:r>
      <w:proofErr w:type="spellEnd"/>
      <w:r w:rsidRPr="004A1A60">
        <w:t xml:space="preserve"> </w:t>
      </w:r>
      <w:r w:rsidRPr="004A1A60">
        <w:rPr>
          <w:lang w:eastAsia="bg-BG"/>
        </w:rPr>
        <w:t>филмирани таблетки</w:t>
      </w:r>
    </w:p>
    <w:p w14:paraId="3EF332EE" w14:textId="77777777" w:rsidR="00BC73CC" w:rsidRPr="004A1A60" w:rsidRDefault="00BC73CC" w:rsidP="00BC73CC">
      <w:pPr>
        <w:rPr>
          <w:sz w:val="24"/>
          <w:szCs w:val="24"/>
        </w:rPr>
      </w:pPr>
      <w:proofErr w:type="spellStart"/>
      <w:r w:rsidRPr="004A1A60">
        <w:t>Tensar</w:t>
      </w:r>
      <w:proofErr w:type="spellEnd"/>
      <w:r w:rsidRPr="004A1A60">
        <w:t xml:space="preserve"> </w:t>
      </w:r>
      <w:r w:rsidRPr="004A1A60">
        <w:rPr>
          <w:lang w:eastAsia="bg-BG"/>
        </w:rPr>
        <w:t xml:space="preserve">10 </w:t>
      </w:r>
      <w:proofErr w:type="spellStart"/>
      <w:r w:rsidRPr="004A1A60">
        <w:t>mg</w:t>
      </w:r>
      <w:proofErr w:type="spellEnd"/>
      <w:r w:rsidRPr="004A1A60">
        <w:t xml:space="preserve"> </w:t>
      </w:r>
      <w:proofErr w:type="spellStart"/>
      <w:r w:rsidRPr="004A1A60">
        <w:t>film-coated</w:t>
      </w:r>
      <w:proofErr w:type="spellEnd"/>
      <w:r w:rsidRPr="004A1A60">
        <w:t xml:space="preserve"> </w:t>
      </w:r>
      <w:proofErr w:type="spellStart"/>
      <w:r w:rsidRPr="004A1A60">
        <w:t>tablets</w:t>
      </w:r>
      <w:proofErr w:type="spellEnd"/>
    </w:p>
    <w:p w14:paraId="12F5B7E5" w14:textId="77777777" w:rsidR="00BC73CC" w:rsidRPr="004A1A60" w:rsidRDefault="00BC73CC" w:rsidP="00BC73CC">
      <w:pPr>
        <w:rPr>
          <w:sz w:val="24"/>
          <w:szCs w:val="24"/>
        </w:rPr>
      </w:pPr>
      <w:proofErr w:type="spellStart"/>
      <w:r w:rsidRPr="004A1A60">
        <w:rPr>
          <w:lang w:eastAsia="bg-BG"/>
        </w:rPr>
        <w:t>Тенсар</w:t>
      </w:r>
      <w:proofErr w:type="spellEnd"/>
      <w:r w:rsidRPr="004A1A60">
        <w:rPr>
          <w:lang w:eastAsia="bg-BG"/>
        </w:rPr>
        <w:t xml:space="preserve"> </w:t>
      </w:r>
      <w:r w:rsidRPr="004A1A60">
        <w:t xml:space="preserve">20 </w:t>
      </w:r>
      <w:proofErr w:type="spellStart"/>
      <w:r w:rsidRPr="004A1A60">
        <w:t>mg</w:t>
      </w:r>
      <w:proofErr w:type="spellEnd"/>
      <w:r w:rsidRPr="004A1A60">
        <w:t xml:space="preserve"> </w:t>
      </w:r>
      <w:r w:rsidRPr="004A1A60">
        <w:rPr>
          <w:lang w:eastAsia="bg-BG"/>
        </w:rPr>
        <w:t>филмирани таблетки</w:t>
      </w:r>
    </w:p>
    <w:p w14:paraId="7D8CBC34" w14:textId="77777777" w:rsidR="00BC73CC" w:rsidRPr="004A1A60" w:rsidRDefault="00BC73CC" w:rsidP="00BC73CC"/>
    <w:p w14:paraId="779C8116" w14:textId="6C9725A9" w:rsidR="00BC73CC" w:rsidRPr="004A1A60" w:rsidRDefault="00BC73CC" w:rsidP="00BC73CC">
      <w:pPr>
        <w:rPr>
          <w:sz w:val="24"/>
          <w:szCs w:val="24"/>
        </w:rPr>
      </w:pPr>
      <w:proofErr w:type="spellStart"/>
      <w:r w:rsidRPr="004A1A60">
        <w:t>Tensar</w:t>
      </w:r>
      <w:proofErr w:type="spellEnd"/>
      <w:r w:rsidRPr="004A1A60">
        <w:t xml:space="preserve"> </w:t>
      </w:r>
      <w:r w:rsidRPr="004A1A60">
        <w:rPr>
          <w:lang w:eastAsia="bg-BG"/>
        </w:rPr>
        <w:t xml:space="preserve">20 </w:t>
      </w:r>
      <w:proofErr w:type="spellStart"/>
      <w:r w:rsidRPr="004A1A60">
        <w:t>mg</w:t>
      </w:r>
      <w:proofErr w:type="spellEnd"/>
      <w:r w:rsidRPr="004A1A60">
        <w:t xml:space="preserve"> </w:t>
      </w:r>
      <w:proofErr w:type="spellStart"/>
      <w:r w:rsidRPr="004A1A60">
        <w:t>film-coated</w:t>
      </w:r>
      <w:proofErr w:type="spellEnd"/>
      <w:r w:rsidRPr="004A1A60">
        <w:t xml:space="preserve"> </w:t>
      </w:r>
      <w:proofErr w:type="spellStart"/>
      <w:r w:rsidRPr="004A1A60">
        <w:t>tablets</w:t>
      </w:r>
      <w:proofErr w:type="spellEnd"/>
    </w:p>
    <w:p w14:paraId="4A113256" w14:textId="77777777" w:rsidR="00BC73CC" w:rsidRPr="004A1A60" w:rsidRDefault="00BC73CC" w:rsidP="00BC73CC">
      <w:pPr>
        <w:rPr>
          <w:sz w:val="24"/>
          <w:szCs w:val="24"/>
        </w:rPr>
      </w:pPr>
      <w:proofErr w:type="spellStart"/>
      <w:r w:rsidRPr="004A1A60">
        <w:rPr>
          <w:lang w:eastAsia="bg-BG"/>
        </w:rPr>
        <w:t>Тенсар</w:t>
      </w:r>
      <w:proofErr w:type="spellEnd"/>
      <w:r w:rsidRPr="004A1A60">
        <w:rPr>
          <w:lang w:eastAsia="bg-BG"/>
        </w:rPr>
        <w:t xml:space="preserve"> </w:t>
      </w:r>
      <w:r w:rsidRPr="004A1A60">
        <w:t xml:space="preserve">40 </w:t>
      </w:r>
      <w:proofErr w:type="spellStart"/>
      <w:r w:rsidRPr="004A1A60">
        <w:t>mg</w:t>
      </w:r>
      <w:proofErr w:type="spellEnd"/>
      <w:r w:rsidRPr="004A1A60">
        <w:t xml:space="preserve"> </w:t>
      </w:r>
      <w:r w:rsidRPr="004A1A60">
        <w:rPr>
          <w:lang w:eastAsia="bg-BG"/>
        </w:rPr>
        <w:t>филмирани таблетки</w:t>
      </w:r>
    </w:p>
    <w:p w14:paraId="10C4E523" w14:textId="77777777" w:rsidR="00BC73CC" w:rsidRPr="004A1A60" w:rsidRDefault="00BC73CC" w:rsidP="00BC73CC">
      <w:pPr>
        <w:rPr>
          <w:sz w:val="24"/>
          <w:szCs w:val="24"/>
        </w:rPr>
      </w:pPr>
      <w:proofErr w:type="spellStart"/>
      <w:r w:rsidRPr="004A1A60">
        <w:t>Tensar</w:t>
      </w:r>
      <w:proofErr w:type="spellEnd"/>
      <w:r w:rsidRPr="004A1A60">
        <w:t xml:space="preserve"> 40 </w:t>
      </w:r>
      <w:proofErr w:type="spellStart"/>
      <w:r w:rsidRPr="004A1A60">
        <w:t>mg</w:t>
      </w:r>
      <w:proofErr w:type="spellEnd"/>
      <w:r w:rsidRPr="004A1A60">
        <w:t xml:space="preserve"> </w:t>
      </w:r>
      <w:proofErr w:type="spellStart"/>
      <w:r w:rsidRPr="004A1A60">
        <w:t>film-coated</w:t>
      </w:r>
      <w:proofErr w:type="spellEnd"/>
      <w:r w:rsidRPr="004A1A60">
        <w:t xml:space="preserve"> </w:t>
      </w:r>
      <w:proofErr w:type="spellStart"/>
      <w:r w:rsidRPr="004A1A60">
        <w:t>tablets</w:t>
      </w:r>
      <w:proofErr w:type="spellEnd"/>
    </w:p>
    <w:p w14:paraId="20B5BCDA" w14:textId="77777777" w:rsidR="00BC73CC" w:rsidRPr="004A1A60" w:rsidRDefault="00BC73CC" w:rsidP="00BC73CC"/>
    <w:p w14:paraId="48E6CABE" w14:textId="1B1D01D1" w:rsidR="00DB32D3" w:rsidRPr="004A1A60" w:rsidRDefault="00DD466D" w:rsidP="005726E3">
      <w:pPr>
        <w:pStyle w:val="Heading1"/>
      </w:pPr>
      <w:r w:rsidRPr="004A1A60">
        <w:t>2. КАЧЕСТВЕН И КОЛИЧЕСТВЕН СЪСТАВ</w:t>
      </w:r>
    </w:p>
    <w:p w14:paraId="42DB6A32" w14:textId="7685CDA3" w:rsidR="00BC73CC" w:rsidRPr="004A1A60" w:rsidRDefault="00BC73CC" w:rsidP="00BC73CC"/>
    <w:p w14:paraId="482C14E5" w14:textId="77777777" w:rsidR="00BC73CC" w:rsidRPr="004A1A60" w:rsidRDefault="00BC73CC" w:rsidP="00BC73CC">
      <w:pPr>
        <w:spacing w:line="240" w:lineRule="auto"/>
        <w:rPr>
          <w:rFonts w:eastAsia="Times New Roman" w:cs="Arial"/>
          <w:sz w:val="28"/>
          <w:szCs w:val="24"/>
        </w:rPr>
      </w:pP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медоксомил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</w:t>
      </w:r>
      <w:r w:rsidRPr="004A1A60">
        <w:rPr>
          <w:rFonts w:eastAsia="Times New Roman" w:cs="Arial"/>
          <w:i/>
          <w:iCs/>
          <w:color w:val="000000"/>
          <w:szCs w:val="20"/>
        </w:rPr>
        <w:t>(</w:t>
      </w:r>
      <w:proofErr w:type="spellStart"/>
      <w:r w:rsidRPr="004A1A60">
        <w:rPr>
          <w:rFonts w:eastAsia="Times New Roman" w:cs="Arial"/>
          <w:i/>
          <w:iCs/>
          <w:color w:val="000000"/>
          <w:szCs w:val="20"/>
        </w:rPr>
        <w:t>plmesartan</w:t>
      </w:r>
      <w:proofErr w:type="spellEnd"/>
      <w:r w:rsidRPr="004A1A60">
        <w:rPr>
          <w:rFonts w:eastAsia="Times New Roman" w:cs="Arial"/>
          <w:i/>
          <w:iCs/>
          <w:color w:val="000000"/>
          <w:szCs w:val="20"/>
        </w:rPr>
        <w:t xml:space="preserve"> </w:t>
      </w:r>
      <w:proofErr w:type="spellStart"/>
      <w:r w:rsidRPr="004A1A60">
        <w:rPr>
          <w:rFonts w:eastAsia="Times New Roman" w:cs="Arial"/>
          <w:i/>
          <w:iCs/>
          <w:color w:val="000000"/>
          <w:szCs w:val="20"/>
        </w:rPr>
        <w:t>medoxomil</w:t>
      </w:r>
      <w:proofErr w:type="spellEnd"/>
      <w:r w:rsidRPr="004A1A60">
        <w:rPr>
          <w:rFonts w:eastAsia="Times New Roman" w:cs="Arial"/>
          <w:i/>
          <w:iCs/>
          <w:color w:val="000000"/>
          <w:szCs w:val="20"/>
        </w:rPr>
        <w:t>)</w:t>
      </w:r>
    </w:p>
    <w:p w14:paraId="5F116814" w14:textId="77777777" w:rsidR="00BC73CC" w:rsidRPr="004A1A60" w:rsidRDefault="00BC73CC" w:rsidP="00BC73CC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5E2A6058" w14:textId="7FAE5C21" w:rsidR="00BC73CC" w:rsidRPr="004A1A60" w:rsidRDefault="00BC73CC" w:rsidP="00BC73CC">
      <w:pPr>
        <w:spacing w:line="240" w:lineRule="auto"/>
        <w:rPr>
          <w:rFonts w:eastAsia="Times New Roman" w:cs="Arial"/>
          <w:sz w:val="28"/>
          <w:szCs w:val="24"/>
        </w:rPr>
      </w:pPr>
      <w:r w:rsidRPr="004A1A60">
        <w:rPr>
          <w:rFonts w:eastAsia="Times New Roman" w:cs="Arial"/>
          <w:color w:val="000000"/>
          <w:szCs w:val="20"/>
          <w:lang w:eastAsia="bg-BG"/>
        </w:rPr>
        <w:t xml:space="preserve">Всяка филмирана таблетка съдържа 10 </w:t>
      </w:r>
      <w:proofErr w:type="spellStart"/>
      <w:r w:rsidRPr="004A1A60">
        <w:rPr>
          <w:rFonts w:eastAsia="Times New Roman" w:cs="Arial"/>
          <w:color w:val="000000"/>
          <w:szCs w:val="20"/>
        </w:rPr>
        <w:t>mg</w:t>
      </w:r>
      <w:proofErr w:type="spellEnd"/>
      <w:r w:rsidRPr="004A1A60">
        <w:rPr>
          <w:rFonts w:eastAsia="Times New Roman" w:cs="Arial"/>
          <w:color w:val="000000"/>
          <w:szCs w:val="20"/>
        </w:rPr>
        <w:t xml:space="preserve">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медоксомил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>.</w:t>
      </w:r>
    </w:p>
    <w:p w14:paraId="1ABEF0EE" w14:textId="77777777" w:rsidR="00BC73CC" w:rsidRPr="004A1A60" w:rsidRDefault="00BC73CC" w:rsidP="00BC73CC">
      <w:pPr>
        <w:spacing w:line="240" w:lineRule="auto"/>
        <w:rPr>
          <w:rFonts w:eastAsia="Times New Roman" w:cs="Arial"/>
          <w:sz w:val="28"/>
          <w:szCs w:val="24"/>
        </w:rPr>
      </w:pPr>
      <w:r w:rsidRPr="004A1A60">
        <w:rPr>
          <w:rFonts w:eastAsia="Times New Roman" w:cs="Arial"/>
          <w:color w:val="000000"/>
          <w:szCs w:val="20"/>
          <w:lang w:eastAsia="bg-BG"/>
        </w:rPr>
        <w:t xml:space="preserve">Всяка филмирана таблетка съдържа 20 </w:t>
      </w:r>
      <w:proofErr w:type="spellStart"/>
      <w:r w:rsidRPr="004A1A60">
        <w:rPr>
          <w:rFonts w:eastAsia="Times New Roman" w:cs="Arial"/>
          <w:color w:val="000000"/>
          <w:szCs w:val="20"/>
        </w:rPr>
        <w:t>mg</w:t>
      </w:r>
      <w:proofErr w:type="spellEnd"/>
      <w:r w:rsidRPr="004A1A60">
        <w:rPr>
          <w:rFonts w:eastAsia="Times New Roman" w:cs="Arial"/>
          <w:color w:val="000000"/>
          <w:szCs w:val="20"/>
        </w:rPr>
        <w:t xml:space="preserve">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медоксомил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>.</w:t>
      </w:r>
    </w:p>
    <w:p w14:paraId="2A2D8F96" w14:textId="77777777" w:rsidR="00BC73CC" w:rsidRPr="004A1A60" w:rsidRDefault="00BC73CC" w:rsidP="00BC73CC">
      <w:pPr>
        <w:spacing w:line="240" w:lineRule="auto"/>
        <w:rPr>
          <w:rFonts w:eastAsia="Times New Roman" w:cs="Arial"/>
          <w:sz w:val="28"/>
          <w:szCs w:val="24"/>
        </w:rPr>
      </w:pPr>
      <w:r w:rsidRPr="004A1A60">
        <w:rPr>
          <w:rFonts w:eastAsia="Times New Roman" w:cs="Arial"/>
          <w:color w:val="000000"/>
          <w:szCs w:val="20"/>
          <w:lang w:eastAsia="bg-BG"/>
        </w:rPr>
        <w:t xml:space="preserve">Всяка филмирана таблетка съдържа 40 </w:t>
      </w:r>
      <w:proofErr w:type="spellStart"/>
      <w:r w:rsidRPr="004A1A60">
        <w:rPr>
          <w:rFonts w:eastAsia="Times New Roman" w:cs="Arial"/>
          <w:color w:val="000000"/>
          <w:szCs w:val="20"/>
        </w:rPr>
        <w:t>mg</w:t>
      </w:r>
      <w:proofErr w:type="spellEnd"/>
      <w:r w:rsidRPr="004A1A60">
        <w:rPr>
          <w:rFonts w:eastAsia="Times New Roman" w:cs="Arial"/>
          <w:color w:val="000000"/>
          <w:szCs w:val="20"/>
        </w:rPr>
        <w:t xml:space="preserve">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медоксомил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>.</w:t>
      </w:r>
    </w:p>
    <w:p w14:paraId="64E227C8" w14:textId="77777777" w:rsidR="00BC73CC" w:rsidRPr="004A1A60" w:rsidRDefault="00BC73CC" w:rsidP="00BC73CC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30EA3F04" w14:textId="39D2BE7A" w:rsidR="00BC73CC" w:rsidRPr="004A1A60" w:rsidRDefault="00BC73CC" w:rsidP="00BC73CC">
      <w:pPr>
        <w:spacing w:line="240" w:lineRule="auto"/>
        <w:rPr>
          <w:rFonts w:eastAsia="Times New Roman" w:cs="Arial"/>
          <w:sz w:val="28"/>
          <w:szCs w:val="24"/>
        </w:rPr>
      </w:pPr>
      <w:r w:rsidRPr="004A1A60">
        <w:rPr>
          <w:rFonts w:eastAsia="Times New Roman" w:cs="Arial"/>
          <w:color w:val="000000"/>
          <w:szCs w:val="20"/>
          <w:u w:val="single"/>
          <w:lang w:eastAsia="bg-BG"/>
        </w:rPr>
        <w:t>Помощни вещества с известно действие:</w:t>
      </w:r>
    </w:p>
    <w:p w14:paraId="258047E8" w14:textId="77777777" w:rsidR="00BC73CC" w:rsidRPr="004A1A60" w:rsidRDefault="00BC73CC" w:rsidP="00BC73CC">
      <w:pPr>
        <w:spacing w:line="240" w:lineRule="auto"/>
        <w:rPr>
          <w:rFonts w:eastAsia="Times New Roman" w:cs="Arial"/>
          <w:sz w:val="28"/>
          <w:szCs w:val="24"/>
        </w:rPr>
      </w:pP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Тенсар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10 </w:t>
      </w:r>
      <w:proofErr w:type="spellStart"/>
      <w:r w:rsidRPr="004A1A60">
        <w:rPr>
          <w:rFonts w:eastAsia="Times New Roman" w:cs="Arial"/>
          <w:color w:val="000000"/>
          <w:szCs w:val="20"/>
        </w:rPr>
        <w:t>mg</w:t>
      </w:r>
      <w:proofErr w:type="spellEnd"/>
      <w:r w:rsidRPr="004A1A60">
        <w:rPr>
          <w:rFonts w:eastAsia="Times New Roman" w:cs="Arial"/>
          <w:color w:val="000000"/>
          <w:szCs w:val="20"/>
        </w:rPr>
        <w:t xml:space="preserve"> </w:t>
      </w:r>
      <w:r w:rsidRPr="004A1A60">
        <w:rPr>
          <w:rFonts w:eastAsia="Times New Roman" w:cs="Arial"/>
          <w:color w:val="000000"/>
          <w:szCs w:val="20"/>
          <w:lang w:eastAsia="bg-BG"/>
        </w:rPr>
        <w:t xml:space="preserve">филмирани таблетки: всяка филмирана таблетка съдържа 61,6 </w:t>
      </w:r>
      <w:proofErr w:type="spellStart"/>
      <w:r w:rsidRPr="004A1A60">
        <w:rPr>
          <w:rFonts w:eastAsia="Times New Roman" w:cs="Arial"/>
          <w:color w:val="000000"/>
          <w:szCs w:val="20"/>
        </w:rPr>
        <w:t>mg</w:t>
      </w:r>
      <w:proofErr w:type="spellEnd"/>
      <w:r w:rsidRPr="004A1A60">
        <w:rPr>
          <w:rFonts w:eastAsia="Times New Roman" w:cs="Arial"/>
          <w:color w:val="000000"/>
          <w:szCs w:val="20"/>
        </w:rPr>
        <w:t xml:space="preserve"> </w:t>
      </w:r>
      <w:r w:rsidRPr="004A1A60">
        <w:rPr>
          <w:rFonts w:eastAsia="Times New Roman" w:cs="Arial"/>
          <w:color w:val="000000"/>
          <w:szCs w:val="20"/>
          <w:lang w:eastAsia="bg-BG"/>
        </w:rPr>
        <w:t xml:space="preserve">лактоза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монохидрат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>.</w:t>
      </w:r>
    </w:p>
    <w:p w14:paraId="455365C0" w14:textId="77777777" w:rsidR="00BC73CC" w:rsidRPr="004A1A60" w:rsidRDefault="00BC73CC" w:rsidP="00BC73CC">
      <w:pPr>
        <w:spacing w:line="240" w:lineRule="auto"/>
        <w:rPr>
          <w:rFonts w:eastAsia="Times New Roman" w:cs="Arial"/>
          <w:sz w:val="28"/>
          <w:szCs w:val="24"/>
        </w:rPr>
      </w:pP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Тенсар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20 </w:t>
      </w:r>
      <w:proofErr w:type="spellStart"/>
      <w:r w:rsidRPr="004A1A60">
        <w:rPr>
          <w:rFonts w:eastAsia="Times New Roman" w:cs="Arial"/>
          <w:color w:val="000000"/>
          <w:szCs w:val="20"/>
        </w:rPr>
        <w:t>mg</w:t>
      </w:r>
      <w:proofErr w:type="spellEnd"/>
      <w:r w:rsidRPr="004A1A60">
        <w:rPr>
          <w:rFonts w:eastAsia="Times New Roman" w:cs="Arial"/>
          <w:color w:val="000000"/>
          <w:szCs w:val="20"/>
        </w:rPr>
        <w:t xml:space="preserve"> </w:t>
      </w:r>
      <w:r w:rsidRPr="004A1A60">
        <w:rPr>
          <w:rFonts w:eastAsia="Times New Roman" w:cs="Arial"/>
          <w:color w:val="000000"/>
          <w:szCs w:val="20"/>
          <w:lang w:eastAsia="bg-BG"/>
        </w:rPr>
        <w:t xml:space="preserve">филмирани таблетки: всяка филмирана таблетка съдържа 123,2 </w:t>
      </w:r>
      <w:proofErr w:type="spellStart"/>
      <w:r w:rsidRPr="004A1A60">
        <w:rPr>
          <w:rFonts w:eastAsia="Times New Roman" w:cs="Arial"/>
          <w:color w:val="000000"/>
          <w:szCs w:val="20"/>
        </w:rPr>
        <w:t>mg</w:t>
      </w:r>
      <w:proofErr w:type="spellEnd"/>
      <w:r w:rsidRPr="004A1A60">
        <w:rPr>
          <w:rFonts w:eastAsia="Times New Roman" w:cs="Arial"/>
          <w:color w:val="000000"/>
          <w:szCs w:val="20"/>
        </w:rPr>
        <w:t xml:space="preserve"> </w:t>
      </w:r>
      <w:r w:rsidRPr="004A1A60">
        <w:rPr>
          <w:rFonts w:eastAsia="Times New Roman" w:cs="Arial"/>
          <w:color w:val="000000"/>
          <w:szCs w:val="20"/>
          <w:lang w:eastAsia="bg-BG"/>
        </w:rPr>
        <w:t xml:space="preserve">лактоза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монохидрат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>.</w:t>
      </w:r>
    </w:p>
    <w:p w14:paraId="2B7341C1" w14:textId="77777777" w:rsidR="00BC73CC" w:rsidRPr="004A1A60" w:rsidRDefault="00BC73CC" w:rsidP="00BC73CC">
      <w:pPr>
        <w:spacing w:line="240" w:lineRule="auto"/>
        <w:rPr>
          <w:rFonts w:eastAsia="Times New Roman" w:cs="Arial"/>
          <w:sz w:val="28"/>
          <w:szCs w:val="24"/>
        </w:rPr>
      </w:pP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Тенсар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40 </w:t>
      </w:r>
      <w:proofErr w:type="spellStart"/>
      <w:r w:rsidRPr="004A1A60">
        <w:rPr>
          <w:rFonts w:eastAsia="Times New Roman" w:cs="Arial"/>
          <w:color w:val="000000"/>
          <w:szCs w:val="20"/>
        </w:rPr>
        <w:t>mg</w:t>
      </w:r>
      <w:proofErr w:type="spellEnd"/>
      <w:r w:rsidRPr="004A1A60">
        <w:rPr>
          <w:rFonts w:eastAsia="Times New Roman" w:cs="Arial"/>
          <w:color w:val="000000"/>
          <w:szCs w:val="20"/>
        </w:rPr>
        <w:t xml:space="preserve"> </w:t>
      </w:r>
      <w:r w:rsidRPr="004A1A60">
        <w:rPr>
          <w:rFonts w:eastAsia="Times New Roman" w:cs="Arial"/>
          <w:color w:val="000000"/>
          <w:szCs w:val="20"/>
          <w:lang w:eastAsia="bg-BG"/>
        </w:rPr>
        <w:t xml:space="preserve">филмирани таблетки: всяка филмирана таблетка съдържа 246,4 </w:t>
      </w:r>
      <w:proofErr w:type="spellStart"/>
      <w:r w:rsidRPr="004A1A60">
        <w:rPr>
          <w:rFonts w:eastAsia="Times New Roman" w:cs="Arial"/>
          <w:color w:val="000000"/>
          <w:szCs w:val="20"/>
        </w:rPr>
        <w:t>mg</w:t>
      </w:r>
      <w:proofErr w:type="spellEnd"/>
      <w:r w:rsidRPr="004A1A60">
        <w:rPr>
          <w:rFonts w:eastAsia="Times New Roman" w:cs="Arial"/>
          <w:color w:val="000000"/>
          <w:szCs w:val="20"/>
        </w:rPr>
        <w:t xml:space="preserve"> </w:t>
      </w:r>
      <w:r w:rsidRPr="004A1A60">
        <w:rPr>
          <w:rFonts w:eastAsia="Times New Roman" w:cs="Arial"/>
          <w:color w:val="000000"/>
          <w:szCs w:val="20"/>
          <w:lang w:eastAsia="bg-BG"/>
        </w:rPr>
        <w:t xml:space="preserve">лактоза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монохидрат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>.</w:t>
      </w:r>
    </w:p>
    <w:p w14:paraId="062EDF61" w14:textId="77777777" w:rsidR="00BC73CC" w:rsidRPr="004A1A60" w:rsidRDefault="00BC73CC" w:rsidP="00BC73CC"/>
    <w:p w14:paraId="763B21BA" w14:textId="73457B62" w:rsidR="001A6EBD" w:rsidRPr="004A1A60" w:rsidRDefault="00DD466D" w:rsidP="00471F10">
      <w:pPr>
        <w:pStyle w:val="Heading1"/>
      </w:pPr>
      <w:r w:rsidRPr="004A1A60">
        <w:t>3. ЛЕКАРСТВЕНА ФОРМА</w:t>
      </w:r>
    </w:p>
    <w:p w14:paraId="4B9B6253" w14:textId="2317F095" w:rsidR="00BC73CC" w:rsidRPr="004A1A60" w:rsidRDefault="00BC73CC" w:rsidP="00BC73CC"/>
    <w:p w14:paraId="7F1041D0" w14:textId="77777777" w:rsidR="00BC73CC" w:rsidRPr="004A1A60" w:rsidRDefault="00BC73CC" w:rsidP="00BC73CC">
      <w:pPr>
        <w:spacing w:line="240" w:lineRule="auto"/>
        <w:rPr>
          <w:rFonts w:eastAsia="Times New Roman" w:cs="Arial"/>
          <w:sz w:val="28"/>
          <w:szCs w:val="24"/>
        </w:rPr>
      </w:pPr>
      <w:r w:rsidRPr="004A1A60">
        <w:rPr>
          <w:rFonts w:eastAsia="Times New Roman" w:cs="Arial"/>
          <w:color w:val="000000"/>
          <w:szCs w:val="20"/>
          <w:lang w:eastAsia="bg-BG"/>
        </w:rPr>
        <w:t>Филмирана таблетка</w:t>
      </w:r>
    </w:p>
    <w:p w14:paraId="6CF488CD" w14:textId="77777777" w:rsidR="00BC73CC" w:rsidRPr="004A1A60" w:rsidRDefault="00BC73CC" w:rsidP="00BC73CC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2DB9C59F" w14:textId="6C9D633A" w:rsidR="00BC73CC" w:rsidRPr="004A1A60" w:rsidRDefault="00BC73CC" w:rsidP="00BC73CC">
      <w:pPr>
        <w:spacing w:line="240" w:lineRule="auto"/>
        <w:rPr>
          <w:rFonts w:eastAsia="Times New Roman" w:cs="Arial"/>
          <w:sz w:val="28"/>
          <w:szCs w:val="24"/>
        </w:rPr>
      </w:pP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Тенсар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10 </w:t>
      </w:r>
      <w:proofErr w:type="spellStart"/>
      <w:r w:rsidRPr="004A1A60">
        <w:rPr>
          <w:rFonts w:eastAsia="Times New Roman" w:cs="Arial"/>
          <w:color w:val="000000"/>
          <w:szCs w:val="20"/>
        </w:rPr>
        <w:t>mg</w:t>
      </w:r>
      <w:proofErr w:type="spellEnd"/>
      <w:r w:rsidRPr="004A1A60">
        <w:rPr>
          <w:rFonts w:eastAsia="Times New Roman" w:cs="Arial"/>
          <w:color w:val="000000"/>
          <w:szCs w:val="20"/>
        </w:rPr>
        <w:t xml:space="preserve"> </w:t>
      </w:r>
      <w:r w:rsidRPr="004A1A60">
        <w:rPr>
          <w:rFonts w:eastAsia="Times New Roman" w:cs="Arial"/>
          <w:color w:val="000000"/>
          <w:szCs w:val="20"/>
          <w:lang w:eastAsia="bg-BG"/>
        </w:rPr>
        <w:t xml:space="preserve">и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Тенсар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20 </w:t>
      </w:r>
      <w:proofErr w:type="spellStart"/>
      <w:r w:rsidRPr="004A1A60">
        <w:rPr>
          <w:rFonts w:eastAsia="Times New Roman" w:cs="Arial"/>
          <w:color w:val="000000"/>
          <w:szCs w:val="20"/>
        </w:rPr>
        <w:t>mg</w:t>
      </w:r>
      <w:proofErr w:type="spellEnd"/>
      <w:r w:rsidRPr="004A1A60">
        <w:rPr>
          <w:rFonts w:eastAsia="Times New Roman" w:cs="Arial"/>
          <w:color w:val="000000"/>
          <w:szCs w:val="20"/>
        </w:rPr>
        <w:t xml:space="preserve"> </w:t>
      </w:r>
      <w:r w:rsidRPr="004A1A60">
        <w:rPr>
          <w:rFonts w:eastAsia="Times New Roman" w:cs="Arial"/>
          <w:color w:val="000000"/>
          <w:szCs w:val="20"/>
          <w:lang w:eastAsia="bg-BG"/>
        </w:rPr>
        <w:t>таблетки: бели, кръгли филмирани таблетки с вдлъбнат надпис, съответно С13 и С14 от едната страна.</w:t>
      </w:r>
    </w:p>
    <w:p w14:paraId="4ADF1E62" w14:textId="77777777" w:rsidR="00BC73CC" w:rsidRPr="004A1A60" w:rsidRDefault="00BC73CC" w:rsidP="00BC73CC">
      <w:pPr>
        <w:spacing w:line="240" w:lineRule="auto"/>
        <w:rPr>
          <w:rFonts w:eastAsia="Times New Roman" w:cs="Arial"/>
          <w:sz w:val="28"/>
          <w:szCs w:val="24"/>
        </w:rPr>
      </w:pP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Тенсар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40 </w:t>
      </w:r>
      <w:proofErr w:type="spellStart"/>
      <w:r w:rsidRPr="004A1A60">
        <w:rPr>
          <w:rFonts w:eastAsia="Times New Roman" w:cs="Arial"/>
          <w:color w:val="000000"/>
          <w:szCs w:val="20"/>
        </w:rPr>
        <w:t>mg</w:t>
      </w:r>
      <w:proofErr w:type="spellEnd"/>
      <w:r w:rsidRPr="004A1A60">
        <w:rPr>
          <w:rFonts w:eastAsia="Times New Roman" w:cs="Arial"/>
          <w:color w:val="000000"/>
          <w:szCs w:val="20"/>
        </w:rPr>
        <w:t xml:space="preserve"> </w:t>
      </w:r>
      <w:r w:rsidRPr="004A1A60">
        <w:rPr>
          <w:rFonts w:eastAsia="Times New Roman" w:cs="Arial"/>
          <w:color w:val="000000"/>
          <w:szCs w:val="20"/>
          <w:lang w:eastAsia="bg-BG"/>
        </w:rPr>
        <w:t>таблетки: бели, овални филмирани таблетки с вдлъбнат надпис, С15 от едната страна.</w:t>
      </w:r>
    </w:p>
    <w:p w14:paraId="68754337" w14:textId="77777777" w:rsidR="00BC73CC" w:rsidRPr="004A1A60" w:rsidRDefault="00BC73CC" w:rsidP="00BC73CC"/>
    <w:p w14:paraId="490FC2C4" w14:textId="6899DE43" w:rsidR="002C50EE" w:rsidRPr="004A1A60" w:rsidRDefault="002C50EE" w:rsidP="002C50EE">
      <w:pPr>
        <w:pStyle w:val="Heading1"/>
      </w:pPr>
      <w:r w:rsidRPr="004A1A60">
        <w:t>4. КЛИНИЧНИ ДАННИ</w:t>
      </w:r>
    </w:p>
    <w:p w14:paraId="25C765CE" w14:textId="1932E9A5" w:rsidR="001A6EBD" w:rsidRPr="004A1A60" w:rsidRDefault="002C50EE" w:rsidP="00471F10">
      <w:pPr>
        <w:pStyle w:val="Heading2"/>
      </w:pPr>
      <w:r w:rsidRPr="004A1A60">
        <w:t>4.1. Терапевтични показания</w:t>
      </w:r>
    </w:p>
    <w:p w14:paraId="513A1CD5" w14:textId="3D70FE12" w:rsidR="00BC73CC" w:rsidRPr="004A1A60" w:rsidRDefault="00BC73CC" w:rsidP="00BC73CC"/>
    <w:p w14:paraId="354AD882" w14:textId="55EF5192" w:rsidR="00BC73CC" w:rsidRPr="004A1A60" w:rsidRDefault="00BC73CC" w:rsidP="00BC73CC">
      <w:pPr>
        <w:rPr>
          <w:sz w:val="24"/>
          <w:szCs w:val="24"/>
        </w:rPr>
      </w:pPr>
      <w:r w:rsidRPr="004A1A60">
        <w:rPr>
          <w:lang w:eastAsia="bg-BG"/>
        </w:rPr>
        <w:t>Лечение на</w:t>
      </w:r>
      <w:r w:rsidR="004A1A60">
        <w:rPr>
          <w:lang w:eastAsia="bg-BG"/>
        </w:rPr>
        <w:t xml:space="preserve"> </w:t>
      </w:r>
      <w:r w:rsidRPr="004A1A60">
        <w:rPr>
          <w:lang w:eastAsia="bg-BG"/>
        </w:rPr>
        <w:t>есенциална хипертония при възрастни.</w:t>
      </w:r>
    </w:p>
    <w:p w14:paraId="32CFBCE0" w14:textId="1360C474" w:rsidR="00BC73CC" w:rsidRPr="004A1A60" w:rsidRDefault="00BC73CC" w:rsidP="00BC73CC">
      <w:r w:rsidRPr="004A1A60">
        <w:rPr>
          <w:lang w:eastAsia="bg-BG"/>
        </w:rPr>
        <w:t>Лечение на хипертония при деца и юноши от 6 до 18 годишна възраст.</w:t>
      </w:r>
    </w:p>
    <w:p w14:paraId="19026639" w14:textId="025D45B9" w:rsidR="001A6EBD" w:rsidRPr="004A1A60" w:rsidRDefault="002C50EE" w:rsidP="00471F10">
      <w:pPr>
        <w:pStyle w:val="Heading2"/>
      </w:pPr>
      <w:r w:rsidRPr="004A1A60">
        <w:lastRenderedPageBreak/>
        <w:t>4.2. Дозировка и начин на приложение</w:t>
      </w:r>
    </w:p>
    <w:p w14:paraId="4F488ACB" w14:textId="2D017D9E" w:rsidR="00BC73CC" w:rsidRPr="004A1A60" w:rsidRDefault="00BC73CC" w:rsidP="00BC73CC"/>
    <w:p w14:paraId="643A6F10" w14:textId="77777777" w:rsidR="00BC73CC" w:rsidRPr="004A1A60" w:rsidRDefault="00BC73CC" w:rsidP="00BC73CC">
      <w:pPr>
        <w:pStyle w:val="Heading3"/>
        <w:rPr>
          <w:rFonts w:eastAsia="Times New Roman"/>
          <w:sz w:val="28"/>
          <w:u w:val="single"/>
        </w:rPr>
      </w:pPr>
      <w:r w:rsidRPr="004A1A60">
        <w:rPr>
          <w:rFonts w:eastAsia="Times New Roman"/>
          <w:u w:val="single"/>
          <w:lang w:eastAsia="bg-BG"/>
        </w:rPr>
        <w:t>Дозировка</w:t>
      </w:r>
    </w:p>
    <w:p w14:paraId="59C95907" w14:textId="77777777" w:rsidR="00BC73CC" w:rsidRPr="004A1A60" w:rsidRDefault="00BC73CC" w:rsidP="00BC73CC">
      <w:pPr>
        <w:spacing w:line="240" w:lineRule="auto"/>
        <w:rPr>
          <w:rFonts w:eastAsia="Times New Roman" w:cs="Arial"/>
          <w:i/>
          <w:iCs/>
          <w:color w:val="000000"/>
          <w:szCs w:val="20"/>
          <w:lang w:eastAsia="bg-BG"/>
        </w:rPr>
      </w:pPr>
    </w:p>
    <w:p w14:paraId="30C3A768" w14:textId="027190B6" w:rsidR="00BC73CC" w:rsidRPr="004A1A60" w:rsidRDefault="00BC73CC" w:rsidP="00BC73CC">
      <w:pPr>
        <w:spacing w:line="240" w:lineRule="auto"/>
        <w:rPr>
          <w:rFonts w:eastAsia="Times New Roman" w:cs="Arial"/>
          <w:sz w:val="28"/>
          <w:szCs w:val="24"/>
        </w:rPr>
      </w:pPr>
      <w:r w:rsidRPr="004A1A60">
        <w:rPr>
          <w:rFonts w:eastAsia="Times New Roman" w:cs="Arial"/>
          <w:i/>
          <w:iCs/>
          <w:color w:val="000000"/>
          <w:szCs w:val="20"/>
          <w:lang w:eastAsia="bg-BG"/>
        </w:rPr>
        <w:t>Възрастни</w:t>
      </w:r>
    </w:p>
    <w:p w14:paraId="2E0B4CEC" w14:textId="77777777" w:rsidR="00BC73CC" w:rsidRPr="004A1A60" w:rsidRDefault="00BC73CC" w:rsidP="00BC73CC">
      <w:pPr>
        <w:rPr>
          <w:rFonts w:eastAsia="Times New Roman" w:cs="Arial"/>
          <w:sz w:val="28"/>
          <w:szCs w:val="24"/>
        </w:rPr>
      </w:pPr>
      <w:r w:rsidRPr="004A1A60">
        <w:rPr>
          <w:rFonts w:eastAsia="Times New Roman" w:cs="Arial"/>
          <w:color w:val="000000"/>
          <w:szCs w:val="20"/>
          <w:lang w:eastAsia="bg-BG"/>
        </w:rPr>
        <w:t xml:space="preserve">Препоръчителната начална доза на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медоксомил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е 10 </w:t>
      </w:r>
      <w:proofErr w:type="spellStart"/>
      <w:r w:rsidRPr="004A1A60">
        <w:rPr>
          <w:rFonts w:eastAsia="Times New Roman" w:cs="Arial"/>
          <w:color w:val="000000"/>
          <w:szCs w:val="20"/>
        </w:rPr>
        <w:t>mg</w:t>
      </w:r>
      <w:proofErr w:type="spellEnd"/>
      <w:r w:rsidRPr="004A1A60">
        <w:rPr>
          <w:rFonts w:eastAsia="Times New Roman" w:cs="Arial"/>
          <w:color w:val="000000"/>
          <w:szCs w:val="20"/>
        </w:rPr>
        <w:t xml:space="preserve">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szCs w:val="20"/>
        </w:rPr>
        <w:t xml:space="preserve">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медоксомил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един път дневно. При пациенти, при които тази доза не е достатъчна за постигане на контрол на артериалното налягане, дозата на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медоксомил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може да се увеличи до 20 </w:t>
      </w:r>
      <w:proofErr w:type="spellStart"/>
      <w:r w:rsidRPr="004A1A60">
        <w:rPr>
          <w:rFonts w:eastAsia="Times New Roman" w:cs="Arial"/>
          <w:color w:val="000000"/>
          <w:szCs w:val="20"/>
        </w:rPr>
        <w:t>mg</w:t>
      </w:r>
      <w:proofErr w:type="spellEnd"/>
      <w:r w:rsidRPr="004A1A60">
        <w:rPr>
          <w:rFonts w:eastAsia="Times New Roman" w:cs="Arial"/>
          <w:color w:val="000000"/>
          <w:szCs w:val="20"/>
        </w:rPr>
        <w:t xml:space="preserve"> </w:t>
      </w:r>
      <w:r w:rsidRPr="004A1A60">
        <w:rPr>
          <w:rFonts w:eastAsia="Times New Roman" w:cs="Arial"/>
          <w:color w:val="000000"/>
          <w:szCs w:val="20"/>
          <w:lang w:eastAsia="bg-BG"/>
        </w:rPr>
        <w:t xml:space="preserve">един път дневно като оптимална доза. Ако е необходимо допълнително понижение на артериалното налягане, дозата може да се увеличи максимално до 40 </w:t>
      </w:r>
      <w:proofErr w:type="spellStart"/>
      <w:r w:rsidRPr="004A1A60">
        <w:rPr>
          <w:rFonts w:eastAsia="Times New Roman" w:cs="Arial"/>
          <w:color w:val="000000"/>
          <w:szCs w:val="20"/>
        </w:rPr>
        <w:t>mg</w:t>
      </w:r>
      <w:proofErr w:type="spellEnd"/>
      <w:r w:rsidRPr="004A1A60">
        <w:rPr>
          <w:rFonts w:eastAsia="Times New Roman" w:cs="Arial"/>
          <w:color w:val="000000"/>
          <w:szCs w:val="20"/>
        </w:rPr>
        <w:t xml:space="preserve">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медоксомил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дневно или може да се прибави лечение с хидрохлоротиазид.</w:t>
      </w:r>
    </w:p>
    <w:p w14:paraId="0292D4A0" w14:textId="77777777" w:rsidR="00BC73CC" w:rsidRPr="004A1A60" w:rsidRDefault="00BC73CC" w:rsidP="00BC73CC">
      <w:pPr>
        <w:spacing w:line="240" w:lineRule="auto"/>
        <w:rPr>
          <w:rFonts w:eastAsia="Times New Roman" w:cs="Arial"/>
          <w:sz w:val="28"/>
          <w:szCs w:val="24"/>
        </w:rPr>
      </w:pPr>
      <w:r w:rsidRPr="004A1A60">
        <w:rPr>
          <w:rFonts w:eastAsia="Times New Roman" w:cs="Arial"/>
          <w:color w:val="000000"/>
          <w:szCs w:val="20"/>
          <w:lang w:eastAsia="bg-BG"/>
        </w:rPr>
        <w:t xml:space="preserve">Антихипертензивният ефект на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медоксомил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се проявява след около 2 седмици от началото на лечението, а максималният ефект се постига след около 8 седмици от началото на лечението. Това трябва да се има предвид при решение за промяна в дозировката за определен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пацент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>.</w:t>
      </w:r>
    </w:p>
    <w:p w14:paraId="40357C13" w14:textId="77777777" w:rsidR="00BC73CC" w:rsidRPr="004A1A60" w:rsidRDefault="00BC73CC" w:rsidP="00BC73CC">
      <w:pPr>
        <w:spacing w:line="240" w:lineRule="auto"/>
        <w:rPr>
          <w:rFonts w:eastAsia="Times New Roman" w:cs="Arial"/>
          <w:i/>
          <w:iCs/>
          <w:color w:val="000000"/>
          <w:szCs w:val="20"/>
          <w:lang w:eastAsia="bg-BG"/>
        </w:rPr>
      </w:pPr>
    </w:p>
    <w:p w14:paraId="55F3BE43" w14:textId="2A3EA465" w:rsidR="00BC73CC" w:rsidRPr="004A1A60" w:rsidRDefault="00BC73CC" w:rsidP="00BC73CC">
      <w:pPr>
        <w:spacing w:line="240" w:lineRule="auto"/>
        <w:rPr>
          <w:rFonts w:eastAsia="Times New Roman" w:cs="Arial"/>
          <w:sz w:val="28"/>
          <w:szCs w:val="24"/>
        </w:rPr>
      </w:pPr>
      <w:r w:rsidRPr="004A1A60">
        <w:rPr>
          <w:rFonts w:eastAsia="Times New Roman" w:cs="Arial"/>
          <w:i/>
          <w:iCs/>
          <w:color w:val="000000"/>
          <w:szCs w:val="20"/>
          <w:lang w:eastAsia="bg-BG"/>
        </w:rPr>
        <w:t>Старческа възраст (65 години или повече)</w:t>
      </w:r>
    </w:p>
    <w:p w14:paraId="02D6FCC4" w14:textId="77777777" w:rsidR="00BC73CC" w:rsidRPr="004A1A60" w:rsidRDefault="00BC73CC" w:rsidP="00BC73CC">
      <w:pPr>
        <w:spacing w:line="240" w:lineRule="auto"/>
        <w:rPr>
          <w:rFonts w:eastAsia="Times New Roman" w:cs="Arial"/>
          <w:sz w:val="28"/>
          <w:szCs w:val="24"/>
        </w:rPr>
      </w:pPr>
      <w:r w:rsidRPr="004A1A60">
        <w:rPr>
          <w:rFonts w:eastAsia="Times New Roman" w:cs="Arial"/>
          <w:color w:val="000000"/>
          <w:szCs w:val="20"/>
          <w:lang w:eastAsia="bg-BG"/>
        </w:rPr>
        <w:t xml:space="preserve">По принцип не се налага прецизиране на дозата в старческа възраст (вижте по-долу за препоръки при пациенти с бъбречно увреждане). Ако е необходимо повишение на дозата до максималната доза от 40 </w:t>
      </w:r>
      <w:proofErr w:type="spellStart"/>
      <w:r w:rsidRPr="004A1A60">
        <w:rPr>
          <w:rFonts w:eastAsia="Times New Roman" w:cs="Arial"/>
          <w:color w:val="000000"/>
          <w:szCs w:val="20"/>
        </w:rPr>
        <w:t>mg</w:t>
      </w:r>
      <w:proofErr w:type="spellEnd"/>
      <w:r w:rsidRPr="004A1A60">
        <w:rPr>
          <w:rFonts w:eastAsia="Times New Roman" w:cs="Arial"/>
          <w:color w:val="000000"/>
          <w:szCs w:val="20"/>
        </w:rPr>
        <w:t xml:space="preserve">, </w:t>
      </w:r>
      <w:r w:rsidRPr="004A1A60">
        <w:rPr>
          <w:rFonts w:eastAsia="Times New Roman" w:cs="Arial"/>
          <w:color w:val="000000"/>
          <w:szCs w:val="20"/>
          <w:lang w:eastAsia="bg-BG"/>
        </w:rPr>
        <w:t>кръвното налягане трябва внимателно да се проследява.</w:t>
      </w:r>
    </w:p>
    <w:p w14:paraId="2FF88381" w14:textId="77777777" w:rsidR="00BC73CC" w:rsidRPr="004A1A60" w:rsidRDefault="00BC73CC" w:rsidP="00BC73CC">
      <w:pPr>
        <w:spacing w:line="240" w:lineRule="auto"/>
        <w:rPr>
          <w:rFonts w:eastAsia="Times New Roman" w:cs="Arial"/>
          <w:i/>
          <w:iCs/>
          <w:color w:val="000000"/>
          <w:szCs w:val="20"/>
          <w:lang w:eastAsia="bg-BG"/>
        </w:rPr>
      </w:pPr>
    </w:p>
    <w:p w14:paraId="0CABAF51" w14:textId="5EE5C662" w:rsidR="00BC73CC" w:rsidRPr="004A1A60" w:rsidRDefault="00BC73CC" w:rsidP="00BC73CC">
      <w:pPr>
        <w:spacing w:line="240" w:lineRule="auto"/>
        <w:rPr>
          <w:rFonts w:eastAsia="Times New Roman" w:cs="Arial"/>
          <w:sz w:val="28"/>
          <w:szCs w:val="24"/>
        </w:rPr>
      </w:pPr>
      <w:r w:rsidRPr="004A1A60">
        <w:rPr>
          <w:rFonts w:eastAsia="Times New Roman" w:cs="Arial"/>
          <w:i/>
          <w:iCs/>
          <w:color w:val="000000"/>
          <w:szCs w:val="20"/>
          <w:lang w:eastAsia="bg-BG"/>
        </w:rPr>
        <w:t>Бъбречно увреждане</w:t>
      </w:r>
    </w:p>
    <w:p w14:paraId="31716E2D" w14:textId="77777777" w:rsidR="00BC73CC" w:rsidRPr="004A1A60" w:rsidRDefault="00BC73CC" w:rsidP="00BC73CC">
      <w:pPr>
        <w:spacing w:line="240" w:lineRule="auto"/>
        <w:rPr>
          <w:rFonts w:eastAsia="Times New Roman" w:cs="Arial"/>
          <w:sz w:val="28"/>
          <w:szCs w:val="24"/>
        </w:rPr>
      </w:pPr>
      <w:r w:rsidRPr="004A1A60">
        <w:rPr>
          <w:rFonts w:eastAsia="Times New Roman" w:cs="Arial"/>
          <w:color w:val="000000"/>
          <w:szCs w:val="20"/>
          <w:lang w:eastAsia="bg-BG"/>
        </w:rPr>
        <w:t>При пациенти с леко до умерено бъбречно увреждане (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креатининов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клирънс 20-60 </w:t>
      </w:r>
      <w:r w:rsidRPr="004A1A60">
        <w:rPr>
          <w:rFonts w:eastAsia="Times New Roman" w:cs="Arial"/>
          <w:color w:val="000000"/>
          <w:szCs w:val="20"/>
        </w:rPr>
        <w:t>ml/</w:t>
      </w:r>
      <w:proofErr w:type="spellStart"/>
      <w:r w:rsidRPr="004A1A60">
        <w:rPr>
          <w:rFonts w:eastAsia="Times New Roman" w:cs="Arial"/>
          <w:color w:val="000000"/>
          <w:szCs w:val="20"/>
        </w:rPr>
        <w:t>min</w:t>
      </w:r>
      <w:proofErr w:type="spellEnd"/>
      <w:r w:rsidRPr="004A1A60">
        <w:rPr>
          <w:rFonts w:eastAsia="Times New Roman" w:cs="Arial"/>
          <w:color w:val="000000"/>
          <w:szCs w:val="20"/>
        </w:rPr>
        <w:t xml:space="preserve">) </w:t>
      </w:r>
      <w:r w:rsidRPr="004A1A60">
        <w:rPr>
          <w:rFonts w:eastAsia="Times New Roman" w:cs="Arial"/>
          <w:color w:val="000000"/>
          <w:szCs w:val="20"/>
          <w:lang w:eastAsia="bg-BG"/>
        </w:rPr>
        <w:t xml:space="preserve">максималната доза е 20 </w:t>
      </w:r>
      <w:proofErr w:type="spellStart"/>
      <w:r w:rsidRPr="004A1A60">
        <w:rPr>
          <w:rFonts w:eastAsia="Times New Roman" w:cs="Arial"/>
          <w:color w:val="000000"/>
          <w:szCs w:val="20"/>
        </w:rPr>
        <w:t>mg</w:t>
      </w:r>
      <w:proofErr w:type="spellEnd"/>
      <w:r w:rsidRPr="004A1A60">
        <w:rPr>
          <w:rFonts w:eastAsia="Times New Roman" w:cs="Arial"/>
          <w:color w:val="000000"/>
          <w:szCs w:val="20"/>
        </w:rPr>
        <w:t xml:space="preserve">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медоксомил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един път дневно, поради ограничен опит с по-високи дози при тези пациенти. Не се препоръчва приложението на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медоксомил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при пациенти с тежко бъбречно увреждане (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креатининов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клирънс &lt; 20 </w:t>
      </w:r>
      <w:r w:rsidRPr="004A1A60">
        <w:rPr>
          <w:rFonts w:eastAsia="Times New Roman" w:cs="Arial"/>
          <w:color w:val="000000"/>
          <w:szCs w:val="20"/>
        </w:rPr>
        <w:t>ml/</w:t>
      </w:r>
      <w:proofErr w:type="spellStart"/>
      <w:r w:rsidRPr="004A1A60">
        <w:rPr>
          <w:rFonts w:eastAsia="Times New Roman" w:cs="Arial"/>
          <w:color w:val="000000"/>
          <w:szCs w:val="20"/>
        </w:rPr>
        <w:t>min</w:t>
      </w:r>
      <w:proofErr w:type="spellEnd"/>
      <w:r w:rsidRPr="004A1A60">
        <w:rPr>
          <w:rFonts w:eastAsia="Times New Roman" w:cs="Arial"/>
          <w:color w:val="000000"/>
          <w:szCs w:val="20"/>
        </w:rPr>
        <w:t xml:space="preserve">), </w:t>
      </w:r>
      <w:r w:rsidRPr="004A1A60">
        <w:rPr>
          <w:rFonts w:eastAsia="Times New Roman" w:cs="Arial"/>
          <w:color w:val="000000"/>
          <w:szCs w:val="20"/>
          <w:lang w:eastAsia="bg-BG"/>
        </w:rPr>
        <w:t>тъй като има само ограничен опит при тези пациенти (вижте точки 4.4, 5.2).</w:t>
      </w:r>
    </w:p>
    <w:p w14:paraId="1CB059FF" w14:textId="77777777" w:rsidR="00BC73CC" w:rsidRPr="004A1A60" w:rsidRDefault="00BC73CC" w:rsidP="00BC73CC">
      <w:pPr>
        <w:spacing w:line="240" w:lineRule="auto"/>
        <w:rPr>
          <w:rFonts w:eastAsia="Times New Roman" w:cs="Arial"/>
          <w:i/>
          <w:iCs/>
          <w:color w:val="000000"/>
          <w:szCs w:val="20"/>
          <w:lang w:eastAsia="bg-BG"/>
        </w:rPr>
      </w:pPr>
    </w:p>
    <w:p w14:paraId="679C8436" w14:textId="6BD9C6E6" w:rsidR="00BC73CC" w:rsidRPr="004A1A60" w:rsidRDefault="00BC73CC" w:rsidP="00BC73CC">
      <w:pPr>
        <w:spacing w:line="240" w:lineRule="auto"/>
        <w:rPr>
          <w:rFonts w:eastAsia="Times New Roman" w:cs="Arial"/>
          <w:sz w:val="28"/>
          <w:szCs w:val="24"/>
        </w:rPr>
      </w:pPr>
      <w:r w:rsidRPr="004A1A60">
        <w:rPr>
          <w:rFonts w:eastAsia="Times New Roman" w:cs="Arial"/>
          <w:i/>
          <w:iCs/>
          <w:color w:val="000000"/>
          <w:szCs w:val="20"/>
          <w:lang w:eastAsia="bg-BG"/>
        </w:rPr>
        <w:t>Чернодробно увреждане</w:t>
      </w:r>
    </w:p>
    <w:p w14:paraId="7A88EE55" w14:textId="77777777" w:rsidR="00BC73CC" w:rsidRPr="004A1A60" w:rsidRDefault="00BC73CC" w:rsidP="00BC73CC">
      <w:pPr>
        <w:spacing w:line="240" w:lineRule="auto"/>
        <w:rPr>
          <w:rFonts w:eastAsia="Times New Roman" w:cs="Arial"/>
          <w:sz w:val="28"/>
          <w:szCs w:val="24"/>
        </w:rPr>
      </w:pPr>
      <w:r w:rsidRPr="004A1A60">
        <w:rPr>
          <w:rFonts w:eastAsia="Times New Roman" w:cs="Arial"/>
          <w:color w:val="000000"/>
          <w:szCs w:val="20"/>
          <w:lang w:eastAsia="bg-BG"/>
        </w:rPr>
        <w:t xml:space="preserve">Не се изисква корекция на дозата при пациенти с леко чернодробно увреждане. При пациенти с умерено чернодробно увреждане се препоръчва начална доза от 10 </w:t>
      </w:r>
      <w:proofErr w:type="spellStart"/>
      <w:r w:rsidRPr="004A1A60">
        <w:rPr>
          <w:rFonts w:eastAsia="Times New Roman" w:cs="Arial"/>
          <w:color w:val="000000"/>
          <w:szCs w:val="20"/>
        </w:rPr>
        <w:t>mg</w:t>
      </w:r>
      <w:proofErr w:type="spellEnd"/>
      <w:r w:rsidRPr="004A1A60">
        <w:rPr>
          <w:rFonts w:eastAsia="Times New Roman" w:cs="Arial"/>
          <w:color w:val="000000"/>
          <w:szCs w:val="20"/>
        </w:rPr>
        <w:t xml:space="preserve">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медоксомил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еднократно дневно и максималната доза не трябва да надвишава 20 </w:t>
      </w:r>
      <w:proofErr w:type="spellStart"/>
      <w:r w:rsidRPr="004A1A60">
        <w:rPr>
          <w:rFonts w:eastAsia="Times New Roman" w:cs="Arial"/>
          <w:color w:val="000000"/>
          <w:szCs w:val="20"/>
        </w:rPr>
        <w:t>mg</w:t>
      </w:r>
      <w:proofErr w:type="spellEnd"/>
      <w:r w:rsidRPr="004A1A60">
        <w:rPr>
          <w:rFonts w:eastAsia="Times New Roman" w:cs="Arial"/>
          <w:color w:val="000000"/>
          <w:szCs w:val="20"/>
        </w:rPr>
        <w:t xml:space="preserve"> </w:t>
      </w:r>
      <w:r w:rsidRPr="004A1A60">
        <w:rPr>
          <w:rFonts w:eastAsia="Times New Roman" w:cs="Arial"/>
          <w:color w:val="000000"/>
          <w:szCs w:val="20"/>
          <w:lang w:eastAsia="bg-BG"/>
        </w:rPr>
        <w:t xml:space="preserve">еднократно дневно. При пациенти с чернодробно увреждане, които вече получават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диуретици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и/или други антихипертензивни лекарства се препоръчва строг мониторинг на кръвното налягане и бъбречната функция. Няма опит с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медоксомил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при пациенти с тежко чернодробно увреждане и поради това приложението не се препоръчва при тези пациенти (вижте точка 4.4 и 5.2).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медоксомил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не трябва да се използва при пациенти с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билиарна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обструкция (вижте точка 4.3).</w:t>
      </w:r>
    </w:p>
    <w:p w14:paraId="2C097B1A" w14:textId="77777777" w:rsidR="00BC73CC" w:rsidRPr="004A1A60" w:rsidRDefault="00BC73CC" w:rsidP="00BC73CC">
      <w:pPr>
        <w:spacing w:line="240" w:lineRule="auto"/>
        <w:rPr>
          <w:rFonts w:eastAsia="Times New Roman" w:cs="Arial"/>
          <w:i/>
          <w:iCs/>
          <w:color w:val="000000"/>
          <w:szCs w:val="20"/>
          <w:lang w:eastAsia="bg-BG"/>
        </w:rPr>
      </w:pPr>
    </w:p>
    <w:p w14:paraId="722C2BCF" w14:textId="3479499A" w:rsidR="00BC73CC" w:rsidRPr="004A1A60" w:rsidRDefault="00BC73CC" w:rsidP="00BC73CC">
      <w:pPr>
        <w:spacing w:line="240" w:lineRule="auto"/>
        <w:rPr>
          <w:rFonts w:eastAsia="Times New Roman" w:cs="Arial"/>
          <w:sz w:val="28"/>
          <w:szCs w:val="24"/>
        </w:rPr>
      </w:pPr>
      <w:r w:rsidRPr="004A1A60">
        <w:rPr>
          <w:rFonts w:eastAsia="Times New Roman" w:cs="Arial"/>
          <w:i/>
          <w:iCs/>
          <w:color w:val="000000"/>
          <w:szCs w:val="20"/>
          <w:lang w:eastAsia="bg-BG"/>
        </w:rPr>
        <w:t>Педиатрична популация</w:t>
      </w:r>
    </w:p>
    <w:p w14:paraId="447CFB8E" w14:textId="77777777" w:rsidR="00BC73CC" w:rsidRPr="004A1A60" w:rsidRDefault="00BC73CC" w:rsidP="00BC73CC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2399AAFF" w14:textId="02C46C57" w:rsidR="00BC73CC" w:rsidRPr="004A1A60" w:rsidRDefault="00BC73CC" w:rsidP="00BC73CC">
      <w:pPr>
        <w:spacing w:line="240" w:lineRule="auto"/>
        <w:rPr>
          <w:rFonts w:eastAsia="Times New Roman" w:cs="Arial"/>
          <w:sz w:val="28"/>
          <w:szCs w:val="24"/>
        </w:rPr>
      </w:pPr>
      <w:r w:rsidRPr="004A1A60">
        <w:rPr>
          <w:rFonts w:eastAsia="Times New Roman" w:cs="Arial"/>
          <w:color w:val="000000"/>
          <w:szCs w:val="20"/>
          <w:lang w:eastAsia="bg-BG"/>
        </w:rPr>
        <w:t>Деца и юноши от 6 до 18 годишна възраст:</w:t>
      </w:r>
    </w:p>
    <w:p w14:paraId="5941C9C8" w14:textId="77777777" w:rsidR="00BC73CC" w:rsidRPr="004A1A60" w:rsidRDefault="00BC73CC" w:rsidP="00BC73CC">
      <w:pPr>
        <w:spacing w:line="240" w:lineRule="auto"/>
        <w:rPr>
          <w:rFonts w:eastAsia="Times New Roman" w:cs="Arial"/>
          <w:sz w:val="28"/>
          <w:szCs w:val="24"/>
        </w:rPr>
      </w:pPr>
      <w:r w:rsidRPr="004A1A60">
        <w:rPr>
          <w:rFonts w:eastAsia="Times New Roman" w:cs="Arial"/>
          <w:color w:val="000000"/>
          <w:szCs w:val="20"/>
          <w:lang w:eastAsia="bg-BG"/>
        </w:rPr>
        <w:t xml:space="preserve">Препоръчителната начална доза на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медоксомил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при деца и юноши от 6 до 18 годишна възраст е 10 </w:t>
      </w:r>
      <w:proofErr w:type="spellStart"/>
      <w:r w:rsidRPr="004A1A60">
        <w:rPr>
          <w:rFonts w:eastAsia="Times New Roman" w:cs="Arial"/>
          <w:color w:val="000000"/>
          <w:szCs w:val="20"/>
        </w:rPr>
        <w:t>mg</w:t>
      </w:r>
      <w:proofErr w:type="spellEnd"/>
      <w:r w:rsidRPr="004A1A60">
        <w:rPr>
          <w:rFonts w:eastAsia="Times New Roman" w:cs="Arial"/>
          <w:color w:val="000000"/>
          <w:szCs w:val="20"/>
        </w:rPr>
        <w:t xml:space="preserve">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медоксомил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веднъж дневно. При деца, при които кръвното налягане не се контролира адекватно с тази доза, дозата на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медоксомил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може да се увеличи до 20 </w:t>
      </w:r>
      <w:proofErr w:type="spellStart"/>
      <w:r w:rsidRPr="004A1A60">
        <w:rPr>
          <w:rFonts w:eastAsia="Times New Roman" w:cs="Arial"/>
          <w:color w:val="000000"/>
          <w:szCs w:val="20"/>
        </w:rPr>
        <w:t>mg</w:t>
      </w:r>
      <w:proofErr w:type="spellEnd"/>
      <w:r w:rsidRPr="004A1A60">
        <w:rPr>
          <w:rFonts w:eastAsia="Times New Roman" w:cs="Arial"/>
          <w:color w:val="000000"/>
          <w:szCs w:val="20"/>
        </w:rPr>
        <w:t xml:space="preserve"> </w:t>
      </w:r>
      <w:r w:rsidRPr="004A1A60">
        <w:rPr>
          <w:rFonts w:eastAsia="Times New Roman" w:cs="Arial"/>
          <w:color w:val="000000"/>
          <w:szCs w:val="20"/>
          <w:lang w:eastAsia="bg-BG"/>
        </w:rPr>
        <w:t xml:space="preserve">веднъж дневно. Ако е необходимо допълнително понижаване на кръвното налягане, при деца с тегло ≥ 35 </w:t>
      </w:r>
      <w:proofErr w:type="spellStart"/>
      <w:r w:rsidRPr="004A1A60">
        <w:rPr>
          <w:rFonts w:eastAsia="Times New Roman" w:cs="Arial"/>
          <w:color w:val="000000"/>
          <w:szCs w:val="20"/>
        </w:rPr>
        <w:t>kg</w:t>
      </w:r>
      <w:proofErr w:type="spellEnd"/>
      <w:r w:rsidRPr="004A1A60">
        <w:rPr>
          <w:rFonts w:eastAsia="Times New Roman" w:cs="Arial"/>
          <w:color w:val="000000"/>
          <w:szCs w:val="20"/>
        </w:rPr>
        <w:t xml:space="preserve">, </w:t>
      </w:r>
      <w:r w:rsidRPr="004A1A60">
        <w:rPr>
          <w:rFonts w:eastAsia="Times New Roman" w:cs="Arial"/>
          <w:color w:val="000000"/>
          <w:szCs w:val="20"/>
          <w:lang w:eastAsia="bg-BG"/>
        </w:rPr>
        <w:t xml:space="preserve">дозата на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медоксомил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може да се увеличи максимум до 40 </w:t>
      </w:r>
      <w:proofErr w:type="spellStart"/>
      <w:r w:rsidRPr="004A1A60">
        <w:rPr>
          <w:rFonts w:eastAsia="Times New Roman" w:cs="Arial"/>
          <w:color w:val="000000"/>
          <w:szCs w:val="20"/>
        </w:rPr>
        <w:t>mg</w:t>
      </w:r>
      <w:proofErr w:type="spellEnd"/>
      <w:r w:rsidRPr="004A1A60">
        <w:rPr>
          <w:rFonts w:eastAsia="Times New Roman" w:cs="Arial"/>
          <w:color w:val="000000"/>
          <w:szCs w:val="20"/>
        </w:rPr>
        <w:t xml:space="preserve">. </w:t>
      </w:r>
      <w:r w:rsidRPr="004A1A60">
        <w:rPr>
          <w:rFonts w:eastAsia="Times New Roman" w:cs="Arial"/>
          <w:color w:val="000000"/>
          <w:szCs w:val="20"/>
          <w:lang w:eastAsia="bg-BG"/>
        </w:rPr>
        <w:t xml:space="preserve">При деца, които тежат &lt; 35 </w:t>
      </w:r>
      <w:proofErr w:type="spellStart"/>
      <w:r w:rsidRPr="004A1A60">
        <w:rPr>
          <w:rFonts w:eastAsia="Times New Roman" w:cs="Arial"/>
          <w:color w:val="000000"/>
          <w:szCs w:val="20"/>
        </w:rPr>
        <w:t>kg</w:t>
      </w:r>
      <w:proofErr w:type="spellEnd"/>
      <w:r w:rsidRPr="004A1A60">
        <w:rPr>
          <w:rFonts w:eastAsia="Times New Roman" w:cs="Arial"/>
          <w:color w:val="000000"/>
          <w:szCs w:val="20"/>
        </w:rPr>
        <w:t xml:space="preserve">, </w:t>
      </w:r>
      <w:r w:rsidRPr="004A1A60">
        <w:rPr>
          <w:rFonts w:eastAsia="Times New Roman" w:cs="Arial"/>
          <w:color w:val="000000"/>
          <w:szCs w:val="20"/>
          <w:lang w:eastAsia="bg-BG"/>
        </w:rPr>
        <w:t xml:space="preserve">дневната доза не трябва да надвишава 20 </w:t>
      </w:r>
      <w:proofErr w:type="spellStart"/>
      <w:r w:rsidRPr="004A1A60">
        <w:rPr>
          <w:rFonts w:eastAsia="Times New Roman" w:cs="Arial"/>
          <w:color w:val="000000"/>
          <w:szCs w:val="20"/>
        </w:rPr>
        <w:t>mg</w:t>
      </w:r>
      <w:proofErr w:type="spellEnd"/>
      <w:r w:rsidRPr="004A1A60">
        <w:rPr>
          <w:rFonts w:eastAsia="Times New Roman" w:cs="Arial"/>
          <w:color w:val="000000"/>
          <w:szCs w:val="20"/>
        </w:rPr>
        <w:t>.</w:t>
      </w:r>
    </w:p>
    <w:p w14:paraId="56975CC2" w14:textId="77777777" w:rsidR="00BC73CC" w:rsidRPr="004A1A60" w:rsidRDefault="00BC73CC" w:rsidP="00BC73CC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4BE6F2FE" w14:textId="09CB480A" w:rsidR="00BC73CC" w:rsidRPr="004A1A60" w:rsidRDefault="00BC73CC" w:rsidP="00BC73CC">
      <w:pPr>
        <w:spacing w:line="240" w:lineRule="auto"/>
        <w:rPr>
          <w:rFonts w:eastAsia="Times New Roman" w:cs="Arial"/>
          <w:sz w:val="28"/>
          <w:szCs w:val="24"/>
        </w:rPr>
      </w:pPr>
      <w:r w:rsidRPr="004A1A60">
        <w:rPr>
          <w:rFonts w:eastAsia="Times New Roman" w:cs="Arial"/>
          <w:color w:val="000000"/>
          <w:szCs w:val="20"/>
          <w:lang w:eastAsia="bg-BG"/>
        </w:rPr>
        <w:t>Друга педиатрична популация;</w:t>
      </w:r>
    </w:p>
    <w:p w14:paraId="7604E558" w14:textId="77777777" w:rsidR="00BC73CC" w:rsidRPr="004A1A60" w:rsidRDefault="00BC73CC" w:rsidP="00BC73CC">
      <w:pPr>
        <w:spacing w:line="240" w:lineRule="auto"/>
        <w:rPr>
          <w:rFonts w:eastAsia="Times New Roman" w:cs="Arial"/>
          <w:sz w:val="28"/>
          <w:szCs w:val="24"/>
        </w:rPr>
      </w:pPr>
      <w:r w:rsidRPr="004A1A60">
        <w:rPr>
          <w:rFonts w:eastAsia="Times New Roman" w:cs="Arial"/>
          <w:color w:val="000000"/>
          <w:szCs w:val="20"/>
          <w:lang w:eastAsia="bg-BG"/>
        </w:rPr>
        <w:t xml:space="preserve">Безопасността и ефективността на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медоксомил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при деца на възраст от 1 до 5 години все още не е установена. Наличната към момента информация е описана в точка 4.8 и 5.1, но препоръки за дозировката не могат да бъдат направени.</w:t>
      </w:r>
    </w:p>
    <w:p w14:paraId="10DFDB75" w14:textId="77777777" w:rsidR="00BC73CC" w:rsidRPr="004A1A60" w:rsidRDefault="00BC73CC" w:rsidP="00BC73CC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34DF5077" w14:textId="07CE5001" w:rsidR="00BC73CC" w:rsidRPr="004A1A60" w:rsidRDefault="00BC73CC" w:rsidP="00BC73CC">
      <w:pPr>
        <w:spacing w:line="240" w:lineRule="auto"/>
        <w:rPr>
          <w:rFonts w:eastAsia="Times New Roman" w:cs="Arial"/>
          <w:sz w:val="28"/>
          <w:szCs w:val="24"/>
        </w:rPr>
      </w:pP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медоксомил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не трябва да се използва при деца под 1-годишна възраст, от съображения за безопасност и поради липсата на данни за тази възрастова група.</w:t>
      </w:r>
    </w:p>
    <w:p w14:paraId="5AE076AC" w14:textId="77777777" w:rsidR="00BC73CC" w:rsidRPr="004A1A60" w:rsidRDefault="00BC73CC" w:rsidP="00BC73CC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761EA37E" w14:textId="76F2C79B" w:rsidR="00BC73CC" w:rsidRPr="004A1A60" w:rsidRDefault="00BC73CC" w:rsidP="00BC73CC">
      <w:pPr>
        <w:pStyle w:val="Heading3"/>
        <w:rPr>
          <w:rFonts w:eastAsia="Times New Roman"/>
          <w:sz w:val="28"/>
          <w:u w:val="single"/>
        </w:rPr>
      </w:pPr>
      <w:r w:rsidRPr="004A1A60">
        <w:rPr>
          <w:rFonts w:eastAsia="Times New Roman"/>
          <w:u w:val="single"/>
          <w:lang w:eastAsia="bg-BG"/>
        </w:rPr>
        <w:t>Начин на приложение</w:t>
      </w:r>
    </w:p>
    <w:p w14:paraId="53F9113F" w14:textId="77777777" w:rsidR="00BC73CC" w:rsidRPr="004A1A60" w:rsidRDefault="00BC73CC" w:rsidP="00BC73CC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5CFA1E84" w14:textId="70359DF1" w:rsidR="00BC73CC" w:rsidRPr="004A1A60" w:rsidRDefault="00BC73CC" w:rsidP="00BC73CC">
      <w:pPr>
        <w:spacing w:line="240" w:lineRule="auto"/>
        <w:rPr>
          <w:rFonts w:eastAsia="Times New Roman" w:cs="Arial"/>
          <w:sz w:val="28"/>
          <w:szCs w:val="24"/>
        </w:rPr>
      </w:pPr>
      <w:r w:rsidRPr="004A1A60">
        <w:rPr>
          <w:rFonts w:eastAsia="Times New Roman" w:cs="Arial"/>
          <w:color w:val="000000"/>
          <w:szCs w:val="20"/>
          <w:lang w:eastAsia="bg-BG"/>
        </w:rPr>
        <w:t xml:space="preserve">За да се подпомогне сътрудничеството при лечението, се препоръчва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Тенсар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таблетки да се приемат по едно и също време всеки ден, със или без храна, например на закуска. Таблетката трябва да се приема с достатъчно количество течност (например чаша вода).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Таблектата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не трябва да се дъвче.</w:t>
      </w:r>
    </w:p>
    <w:p w14:paraId="2D3CE826" w14:textId="77777777" w:rsidR="00BC73CC" w:rsidRPr="004A1A60" w:rsidRDefault="00BC73CC" w:rsidP="00BC73CC"/>
    <w:p w14:paraId="1BF2EFF4" w14:textId="41038F88" w:rsidR="001A6EBD" w:rsidRPr="004A1A60" w:rsidRDefault="002C50EE" w:rsidP="00471F10">
      <w:pPr>
        <w:pStyle w:val="Heading2"/>
      </w:pPr>
      <w:r w:rsidRPr="004A1A60">
        <w:t>4.3. Противопоказания</w:t>
      </w:r>
    </w:p>
    <w:p w14:paraId="40A634C4" w14:textId="43430D4F" w:rsidR="00BC73CC" w:rsidRPr="004A1A60" w:rsidRDefault="00BC73CC" w:rsidP="00BC73CC"/>
    <w:p w14:paraId="58539078" w14:textId="77777777" w:rsidR="00BC73CC" w:rsidRPr="004A1A60" w:rsidRDefault="00BC73CC" w:rsidP="00BC73CC">
      <w:pPr>
        <w:rPr>
          <w:sz w:val="24"/>
          <w:szCs w:val="24"/>
        </w:rPr>
      </w:pPr>
      <w:r w:rsidRPr="004A1A60">
        <w:rPr>
          <w:lang w:eastAsia="bg-BG"/>
        </w:rPr>
        <w:t>Свръхчувствителност към активното вещество или към някое от помощните вещества, изброени в точка 6.1.</w:t>
      </w:r>
    </w:p>
    <w:p w14:paraId="35A50412" w14:textId="77777777" w:rsidR="00BC73CC" w:rsidRPr="004A1A60" w:rsidRDefault="00BC73CC" w:rsidP="00BC73CC">
      <w:pPr>
        <w:rPr>
          <w:lang w:eastAsia="bg-BG"/>
        </w:rPr>
      </w:pPr>
    </w:p>
    <w:p w14:paraId="18DA33D2" w14:textId="7FA9F18F" w:rsidR="00BC73CC" w:rsidRPr="004A1A60" w:rsidRDefault="00BC73CC" w:rsidP="00BC73CC">
      <w:pPr>
        <w:rPr>
          <w:sz w:val="24"/>
          <w:szCs w:val="24"/>
        </w:rPr>
      </w:pPr>
      <w:r w:rsidRPr="004A1A60">
        <w:rPr>
          <w:lang w:eastAsia="bg-BG"/>
        </w:rPr>
        <w:t>Втори и трети триместър на бременността (вижте точка 4.4 и 4.6).</w:t>
      </w:r>
    </w:p>
    <w:p w14:paraId="0DC5FDE5" w14:textId="77777777" w:rsidR="00BC73CC" w:rsidRPr="004A1A60" w:rsidRDefault="00BC73CC" w:rsidP="00BC73CC">
      <w:pPr>
        <w:rPr>
          <w:lang w:eastAsia="bg-BG"/>
        </w:rPr>
      </w:pPr>
    </w:p>
    <w:p w14:paraId="0602CC2B" w14:textId="7FF24ECD" w:rsidR="00BC73CC" w:rsidRPr="004A1A60" w:rsidRDefault="00BC73CC" w:rsidP="00BC73CC">
      <w:pPr>
        <w:rPr>
          <w:sz w:val="24"/>
          <w:szCs w:val="24"/>
        </w:rPr>
      </w:pPr>
      <w:proofErr w:type="spellStart"/>
      <w:r w:rsidRPr="004A1A60">
        <w:rPr>
          <w:lang w:eastAsia="bg-BG"/>
        </w:rPr>
        <w:t>Билиарна</w:t>
      </w:r>
      <w:proofErr w:type="spellEnd"/>
      <w:r w:rsidRPr="004A1A60">
        <w:rPr>
          <w:lang w:eastAsia="bg-BG"/>
        </w:rPr>
        <w:t xml:space="preserve"> обструкция (вижте точка 5.2).</w:t>
      </w:r>
    </w:p>
    <w:p w14:paraId="757E0E2A" w14:textId="77777777" w:rsidR="00BC73CC" w:rsidRPr="004A1A60" w:rsidRDefault="00BC73CC" w:rsidP="00BC73CC">
      <w:pPr>
        <w:rPr>
          <w:lang w:eastAsia="bg-BG"/>
        </w:rPr>
      </w:pPr>
    </w:p>
    <w:p w14:paraId="345F4F09" w14:textId="4767D5B3" w:rsidR="00BC73CC" w:rsidRPr="004A1A60" w:rsidRDefault="00BC73CC" w:rsidP="00BC73CC">
      <w:pPr>
        <w:rPr>
          <w:sz w:val="24"/>
          <w:szCs w:val="24"/>
        </w:rPr>
      </w:pPr>
      <w:r w:rsidRPr="004A1A60">
        <w:rPr>
          <w:lang w:eastAsia="bg-BG"/>
        </w:rPr>
        <w:t xml:space="preserve">Едновременната употреба на </w:t>
      </w:r>
      <w:proofErr w:type="spellStart"/>
      <w:r w:rsidRPr="004A1A60">
        <w:rPr>
          <w:lang w:eastAsia="bg-BG"/>
        </w:rPr>
        <w:t>Тенсар</w:t>
      </w:r>
      <w:proofErr w:type="spellEnd"/>
      <w:r w:rsidRPr="004A1A60">
        <w:rPr>
          <w:lang w:eastAsia="bg-BG"/>
        </w:rPr>
        <w:t xml:space="preserve"> с </w:t>
      </w:r>
      <w:proofErr w:type="spellStart"/>
      <w:r w:rsidRPr="004A1A60">
        <w:rPr>
          <w:lang w:eastAsia="bg-BG"/>
        </w:rPr>
        <w:t>алискирен</w:t>
      </w:r>
      <w:proofErr w:type="spellEnd"/>
      <w:r w:rsidRPr="004A1A60">
        <w:rPr>
          <w:lang w:eastAsia="bg-BG"/>
        </w:rPr>
        <w:t xml:space="preserve">-съдържащи продукти е противопоказана при пациенти със захарен диабет или бъбречно увреждане </w:t>
      </w:r>
      <w:r w:rsidRPr="004A1A60">
        <w:t xml:space="preserve">(GFR </w:t>
      </w:r>
      <w:r w:rsidRPr="004A1A60">
        <w:rPr>
          <w:lang w:eastAsia="bg-BG"/>
        </w:rPr>
        <w:t xml:space="preserve">&lt; 60 </w:t>
      </w:r>
      <w:r w:rsidRPr="004A1A60">
        <w:t>ml/</w:t>
      </w:r>
      <w:proofErr w:type="spellStart"/>
      <w:r w:rsidRPr="004A1A60">
        <w:t>min</w:t>
      </w:r>
      <w:proofErr w:type="spellEnd"/>
      <w:r w:rsidRPr="004A1A60">
        <w:t>/</w:t>
      </w:r>
      <w:r w:rsidRPr="004A1A60">
        <w:rPr>
          <w:lang w:eastAsia="bg-BG"/>
        </w:rPr>
        <w:t xml:space="preserve">1,73 </w:t>
      </w:r>
      <w:r w:rsidRPr="004A1A60">
        <w:t>m</w:t>
      </w:r>
      <w:r w:rsidRPr="004A1A60">
        <w:rPr>
          <w:vertAlign w:val="superscript"/>
        </w:rPr>
        <w:t>2</w:t>
      </w:r>
      <w:r w:rsidRPr="004A1A60">
        <w:t xml:space="preserve">) </w:t>
      </w:r>
      <w:r w:rsidRPr="004A1A60">
        <w:rPr>
          <w:lang w:eastAsia="bg-BG"/>
        </w:rPr>
        <w:t>(вж. точки 4.5 и 5.1).</w:t>
      </w:r>
    </w:p>
    <w:p w14:paraId="7E625BD3" w14:textId="77777777" w:rsidR="00BC73CC" w:rsidRPr="004A1A60" w:rsidRDefault="00BC73CC" w:rsidP="00BC73CC"/>
    <w:p w14:paraId="0C106098" w14:textId="1699E99A" w:rsidR="001A6EBD" w:rsidRPr="004A1A60" w:rsidRDefault="002C50EE" w:rsidP="00471F10">
      <w:pPr>
        <w:pStyle w:val="Heading2"/>
      </w:pPr>
      <w:r w:rsidRPr="004A1A60">
        <w:t>4.4. Специални предупреждения и предпазни мерки при употреба</w:t>
      </w:r>
    </w:p>
    <w:p w14:paraId="29A3823A" w14:textId="00C7B747" w:rsidR="00BC73CC" w:rsidRPr="004A1A60" w:rsidRDefault="00BC73CC" w:rsidP="00BC73CC"/>
    <w:p w14:paraId="09C04657" w14:textId="77777777" w:rsidR="00BC73CC" w:rsidRPr="004A1A60" w:rsidRDefault="00BC73CC" w:rsidP="00BC73CC">
      <w:pPr>
        <w:spacing w:line="240" w:lineRule="auto"/>
        <w:rPr>
          <w:rFonts w:eastAsia="Times New Roman" w:cs="Arial"/>
        </w:rPr>
      </w:pPr>
      <w:bookmarkStart w:id="1" w:name="bookmark0"/>
      <w:proofErr w:type="spellStart"/>
      <w:r w:rsidRPr="004A1A60">
        <w:rPr>
          <w:rFonts w:eastAsia="Times New Roman" w:cs="Arial"/>
          <w:b/>
          <w:bCs/>
          <w:color w:val="000000"/>
          <w:lang w:eastAsia="bg-BG"/>
        </w:rPr>
        <w:t>Вътресъдов</w:t>
      </w:r>
      <w:proofErr w:type="spellEnd"/>
      <w:r w:rsidRPr="004A1A60">
        <w:rPr>
          <w:rFonts w:eastAsia="Times New Roman" w:cs="Arial"/>
          <w:b/>
          <w:bCs/>
          <w:color w:val="000000"/>
          <w:lang w:eastAsia="bg-BG"/>
        </w:rPr>
        <w:t xml:space="preserve"> обемен дефицит</w:t>
      </w:r>
      <w:bookmarkEnd w:id="1"/>
    </w:p>
    <w:p w14:paraId="3057265D" w14:textId="77777777" w:rsidR="00BC73CC" w:rsidRPr="004A1A60" w:rsidRDefault="00BC73CC" w:rsidP="00BC73CC">
      <w:pPr>
        <w:spacing w:line="240" w:lineRule="auto"/>
        <w:rPr>
          <w:rFonts w:eastAsia="Times New Roman" w:cs="Arial"/>
        </w:rPr>
      </w:pPr>
      <w:r w:rsidRPr="004A1A60">
        <w:rPr>
          <w:rFonts w:eastAsia="Times New Roman" w:cs="Arial"/>
          <w:color w:val="000000"/>
          <w:lang w:eastAsia="bg-BG"/>
        </w:rPr>
        <w:t xml:space="preserve">Симптоматична хипотония, особено след първата приета доза, може да се появи при пациенти с обемен и/или </w:t>
      </w:r>
      <w:proofErr w:type="spellStart"/>
      <w:r w:rsidRPr="004A1A60">
        <w:rPr>
          <w:rFonts w:eastAsia="Times New Roman" w:cs="Arial"/>
          <w:color w:val="000000"/>
          <w:lang w:eastAsia="bg-BG"/>
        </w:rPr>
        <w:t>солеви</w:t>
      </w:r>
      <w:proofErr w:type="spellEnd"/>
      <w:r w:rsidRPr="004A1A60">
        <w:rPr>
          <w:rFonts w:eastAsia="Times New Roman" w:cs="Arial"/>
          <w:color w:val="000000"/>
          <w:lang w:eastAsia="bg-BG"/>
        </w:rPr>
        <w:t xml:space="preserve"> дефицит поради агресивна диуретична терапия, бедна на сол диета, диария или повръщане. Тези състояния трябва да бъдат коригирани преди приложението на </w:t>
      </w:r>
      <w:proofErr w:type="spellStart"/>
      <w:r w:rsidRPr="004A1A60">
        <w:rPr>
          <w:rFonts w:eastAsia="Times New Roman" w:cs="Arial"/>
          <w:color w:val="00000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4A1A60">
        <w:rPr>
          <w:rFonts w:eastAsia="Times New Roman" w:cs="Arial"/>
          <w:color w:val="000000"/>
          <w:lang w:eastAsia="bg-BG"/>
        </w:rPr>
        <w:t>медоксомил</w:t>
      </w:r>
      <w:proofErr w:type="spellEnd"/>
      <w:r w:rsidRPr="004A1A60">
        <w:rPr>
          <w:rFonts w:eastAsia="Times New Roman" w:cs="Arial"/>
          <w:color w:val="000000"/>
          <w:lang w:eastAsia="bg-BG"/>
        </w:rPr>
        <w:t>.</w:t>
      </w:r>
    </w:p>
    <w:p w14:paraId="4AE1C97D" w14:textId="77777777" w:rsidR="00BC73CC" w:rsidRPr="004A1A60" w:rsidRDefault="00BC73CC" w:rsidP="00BC73CC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bookmarkStart w:id="2" w:name="bookmark2"/>
    </w:p>
    <w:p w14:paraId="1A677E73" w14:textId="6DA76BDC" w:rsidR="00BC73CC" w:rsidRPr="004A1A60" w:rsidRDefault="00BC73CC" w:rsidP="00BC73CC">
      <w:pPr>
        <w:spacing w:line="240" w:lineRule="auto"/>
        <w:rPr>
          <w:rFonts w:eastAsia="Times New Roman" w:cs="Arial"/>
        </w:rPr>
      </w:pPr>
      <w:r w:rsidRPr="004A1A60">
        <w:rPr>
          <w:rFonts w:eastAsia="Times New Roman" w:cs="Arial"/>
          <w:b/>
          <w:bCs/>
          <w:color w:val="000000"/>
          <w:lang w:eastAsia="bg-BG"/>
        </w:rPr>
        <w:t>Други състояния, активиращи ренин-</w:t>
      </w:r>
      <w:proofErr w:type="spellStart"/>
      <w:r w:rsidRPr="004A1A60">
        <w:rPr>
          <w:rFonts w:eastAsia="Times New Roman" w:cs="Arial"/>
          <w:b/>
          <w:bCs/>
          <w:color w:val="000000"/>
          <w:lang w:eastAsia="bg-BG"/>
        </w:rPr>
        <w:t>ангиотензин</w:t>
      </w:r>
      <w:proofErr w:type="spellEnd"/>
      <w:r w:rsidRPr="004A1A60">
        <w:rPr>
          <w:rFonts w:eastAsia="Times New Roman" w:cs="Arial"/>
          <w:b/>
          <w:bCs/>
          <w:color w:val="000000"/>
          <w:lang w:eastAsia="bg-BG"/>
        </w:rPr>
        <w:t>-</w:t>
      </w:r>
      <w:proofErr w:type="spellStart"/>
      <w:r w:rsidRPr="004A1A60">
        <w:rPr>
          <w:rFonts w:eastAsia="Times New Roman" w:cs="Arial"/>
          <w:b/>
          <w:bCs/>
          <w:color w:val="000000"/>
          <w:lang w:eastAsia="bg-BG"/>
        </w:rPr>
        <w:t>алдостероновата</w:t>
      </w:r>
      <w:proofErr w:type="spellEnd"/>
      <w:r w:rsidRPr="004A1A60">
        <w:rPr>
          <w:rFonts w:eastAsia="Times New Roman" w:cs="Arial"/>
          <w:b/>
          <w:bCs/>
          <w:color w:val="000000"/>
          <w:lang w:eastAsia="bg-BG"/>
        </w:rPr>
        <w:t xml:space="preserve"> система</w:t>
      </w:r>
      <w:bookmarkEnd w:id="2"/>
    </w:p>
    <w:p w14:paraId="0F6AD241" w14:textId="77777777" w:rsidR="00BC73CC" w:rsidRPr="004A1A60" w:rsidRDefault="00BC73CC" w:rsidP="00BC73CC">
      <w:pPr>
        <w:spacing w:line="240" w:lineRule="auto"/>
        <w:rPr>
          <w:rFonts w:eastAsia="Times New Roman" w:cs="Arial"/>
        </w:rPr>
      </w:pPr>
      <w:r w:rsidRPr="004A1A60">
        <w:rPr>
          <w:rFonts w:eastAsia="Times New Roman" w:cs="Arial"/>
          <w:color w:val="000000"/>
          <w:lang w:eastAsia="bg-BG"/>
        </w:rPr>
        <w:t>При пациенти, при които съдовият тонус и бъбречната функция зависят главно от активността на ренин-</w:t>
      </w:r>
      <w:proofErr w:type="spellStart"/>
      <w:r w:rsidRPr="004A1A60">
        <w:rPr>
          <w:rFonts w:eastAsia="Times New Roman" w:cs="Arial"/>
          <w:color w:val="000000"/>
          <w:lang w:eastAsia="bg-BG"/>
        </w:rPr>
        <w:t>ангиотензин</w:t>
      </w:r>
      <w:proofErr w:type="spellEnd"/>
      <w:r w:rsidRPr="004A1A60">
        <w:rPr>
          <w:rFonts w:eastAsia="Times New Roman" w:cs="Arial"/>
          <w:color w:val="000000"/>
          <w:lang w:eastAsia="bg-BG"/>
        </w:rPr>
        <w:t>-</w:t>
      </w:r>
      <w:proofErr w:type="spellStart"/>
      <w:r w:rsidRPr="004A1A60">
        <w:rPr>
          <w:rFonts w:eastAsia="Times New Roman" w:cs="Arial"/>
          <w:color w:val="000000"/>
          <w:lang w:eastAsia="bg-BG"/>
        </w:rPr>
        <w:t>алдостероновата</w:t>
      </w:r>
      <w:proofErr w:type="spellEnd"/>
      <w:r w:rsidRPr="004A1A60">
        <w:rPr>
          <w:rFonts w:eastAsia="Times New Roman" w:cs="Arial"/>
          <w:color w:val="000000"/>
          <w:lang w:eastAsia="bg-BG"/>
        </w:rPr>
        <w:t xml:space="preserve"> система (напр. при пациенти с тежка застойна сърдечна недостатъчност или придружаващо бъбречно заболяване, включително </w:t>
      </w:r>
      <w:proofErr w:type="spellStart"/>
      <w:r w:rsidRPr="004A1A60">
        <w:rPr>
          <w:rFonts w:eastAsia="Times New Roman" w:cs="Arial"/>
          <w:color w:val="000000"/>
          <w:lang w:eastAsia="bg-BG"/>
        </w:rPr>
        <w:t>стеноза</w:t>
      </w:r>
      <w:proofErr w:type="spellEnd"/>
      <w:r w:rsidRPr="004A1A60">
        <w:rPr>
          <w:rFonts w:eastAsia="Times New Roman" w:cs="Arial"/>
          <w:color w:val="000000"/>
          <w:lang w:eastAsia="bg-BG"/>
        </w:rPr>
        <w:t xml:space="preserve"> на бъбречна артерия), лечението с други лекарства, повлияващи тази система, води до остра хипотония, </w:t>
      </w:r>
      <w:proofErr w:type="spellStart"/>
      <w:r w:rsidRPr="004A1A60">
        <w:rPr>
          <w:rFonts w:eastAsia="Times New Roman" w:cs="Arial"/>
          <w:color w:val="000000"/>
          <w:lang w:eastAsia="bg-BG"/>
        </w:rPr>
        <w:t>азотемия</w:t>
      </w:r>
      <w:proofErr w:type="spellEnd"/>
      <w:r w:rsidRPr="004A1A60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4A1A60">
        <w:rPr>
          <w:rFonts w:eastAsia="Times New Roman" w:cs="Arial"/>
          <w:color w:val="000000"/>
          <w:lang w:eastAsia="bg-BG"/>
        </w:rPr>
        <w:t>олигоурия</w:t>
      </w:r>
      <w:proofErr w:type="spellEnd"/>
      <w:r w:rsidRPr="004A1A60">
        <w:rPr>
          <w:rFonts w:eastAsia="Times New Roman" w:cs="Arial"/>
          <w:color w:val="000000"/>
          <w:lang w:eastAsia="bg-BG"/>
        </w:rPr>
        <w:t xml:space="preserve"> или, рядко, остра бъбречна недостатъчност. Не може да се изключи вероятността от подобни състояния при приложение на </w:t>
      </w:r>
      <w:proofErr w:type="spellStart"/>
      <w:r w:rsidRPr="004A1A60">
        <w:rPr>
          <w:rFonts w:eastAsia="Times New Roman" w:cs="Arial"/>
          <w:color w:val="000000"/>
          <w:lang w:eastAsia="bg-BG"/>
        </w:rPr>
        <w:t>ангиотензин</w:t>
      </w:r>
      <w:proofErr w:type="spellEnd"/>
      <w:r w:rsidRPr="004A1A60">
        <w:rPr>
          <w:rFonts w:eastAsia="Times New Roman" w:cs="Arial"/>
          <w:color w:val="000000"/>
          <w:lang w:eastAsia="bg-BG"/>
        </w:rPr>
        <w:t>-</w:t>
      </w:r>
      <w:r w:rsidRPr="004A1A60">
        <w:rPr>
          <w:rFonts w:eastAsia="Times New Roman" w:cs="Arial"/>
          <w:color w:val="000000"/>
        </w:rPr>
        <w:t>II</w:t>
      </w:r>
      <w:r w:rsidRPr="004A1A60">
        <w:rPr>
          <w:rFonts w:eastAsia="Times New Roman" w:cs="Arial"/>
          <w:color w:val="000000"/>
          <w:lang w:eastAsia="bg-BG"/>
        </w:rPr>
        <w:t>-рецепторни антагонисти.</w:t>
      </w:r>
    </w:p>
    <w:p w14:paraId="17CCACC6" w14:textId="77777777" w:rsidR="00BC73CC" w:rsidRPr="004A1A60" w:rsidRDefault="00BC73CC" w:rsidP="00BC73CC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bookmarkStart w:id="3" w:name="bookmark4"/>
    </w:p>
    <w:p w14:paraId="1010BE3D" w14:textId="52FB8FE9" w:rsidR="00BC73CC" w:rsidRPr="004A1A60" w:rsidRDefault="00BC73CC" w:rsidP="00BC73CC">
      <w:pPr>
        <w:spacing w:line="240" w:lineRule="auto"/>
        <w:rPr>
          <w:rFonts w:eastAsia="Times New Roman" w:cs="Arial"/>
        </w:rPr>
      </w:pPr>
      <w:proofErr w:type="spellStart"/>
      <w:r w:rsidRPr="004A1A60">
        <w:rPr>
          <w:rFonts w:eastAsia="Times New Roman" w:cs="Arial"/>
          <w:b/>
          <w:bCs/>
          <w:color w:val="000000"/>
          <w:lang w:eastAsia="bg-BG"/>
        </w:rPr>
        <w:t>Реноваскуларна</w:t>
      </w:r>
      <w:proofErr w:type="spellEnd"/>
      <w:r w:rsidRPr="004A1A60">
        <w:rPr>
          <w:rFonts w:eastAsia="Times New Roman" w:cs="Arial"/>
          <w:b/>
          <w:bCs/>
          <w:color w:val="000000"/>
          <w:lang w:eastAsia="bg-BG"/>
        </w:rPr>
        <w:t xml:space="preserve"> хипертония</w:t>
      </w:r>
      <w:bookmarkEnd w:id="3"/>
    </w:p>
    <w:p w14:paraId="6D5EED98" w14:textId="77777777" w:rsidR="00BC73CC" w:rsidRPr="004A1A60" w:rsidRDefault="00BC73CC" w:rsidP="00BC73CC">
      <w:pPr>
        <w:spacing w:line="240" w:lineRule="auto"/>
        <w:rPr>
          <w:rFonts w:eastAsia="Times New Roman" w:cs="Arial"/>
        </w:rPr>
      </w:pPr>
      <w:r w:rsidRPr="004A1A60">
        <w:rPr>
          <w:rFonts w:eastAsia="Times New Roman" w:cs="Arial"/>
          <w:color w:val="000000"/>
          <w:lang w:eastAsia="bg-BG"/>
        </w:rPr>
        <w:t xml:space="preserve">При пациенти с </w:t>
      </w:r>
      <w:proofErr w:type="spellStart"/>
      <w:r w:rsidRPr="004A1A60">
        <w:rPr>
          <w:rFonts w:eastAsia="Times New Roman" w:cs="Arial"/>
          <w:color w:val="000000"/>
          <w:lang w:eastAsia="bg-BG"/>
        </w:rPr>
        <w:t>билатерална</w:t>
      </w:r>
      <w:proofErr w:type="spellEnd"/>
      <w:r w:rsidRPr="004A1A60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4A1A60">
        <w:rPr>
          <w:rFonts w:eastAsia="Times New Roman" w:cs="Arial"/>
          <w:color w:val="000000"/>
          <w:lang w:eastAsia="bg-BG"/>
        </w:rPr>
        <w:t>стеноза</w:t>
      </w:r>
      <w:proofErr w:type="spellEnd"/>
      <w:r w:rsidRPr="004A1A60">
        <w:rPr>
          <w:rFonts w:eastAsia="Times New Roman" w:cs="Arial"/>
          <w:color w:val="000000"/>
          <w:lang w:eastAsia="bg-BG"/>
        </w:rPr>
        <w:t xml:space="preserve"> на бъбречните артерии или със </w:t>
      </w:r>
      <w:proofErr w:type="spellStart"/>
      <w:r w:rsidRPr="004A1A60">
        <w:rPr>
          <w:rFonts w:eastAsia="Times New Roman" w:cs="Arial"/>
          <w:color w:val="000000"/>
          <w:lang w:eastAsia="bg-BG"/>
        </w:rPr>
        <w:t>стеноза</w:t>
      </w:r>
      <w:proofErr w:type="spellEnd"/>
      <w:r w:rsidRPr="004A1A60">
        <w:rPr>
          <w:rFonts w:eastAsia="Times New Roman" w:cs="Arial"/>
          <w:color w:val="000000"/>
          <w:lang w:eastAsia="bg-BG"/>
        </w:rPr>
        <w:t xml:space="preserve"> на бъбречната артерия при единствен функциониращ бъбрек, приложението на лекарства, </w:t>
      </w:r>
      <w:r w:rsidRPr="004A1A60">
        <w:rPr>
          <w:rFonts w:eastAsia="Times New Roman" w:cs="Arial"/>
          <w:color w:val="000000"/>
          <w:lang w:eastAsia="bg-BG"/>
        </w:rPr>
        <w:lastRenderedPageBreak/>
        <w:t xml:space="preserve">повлияващи ренин- </w:t>
      </w:r>
      <w:proofErr w:type="spellStart"/>
      <w:r w:rsidRPr="004A1A60">
        <w:rPr>
          <w:rFonts w:eastAsia="Times New Roman" w:cs="Arial"/>
          <w:color w:val="000000"/>
          <w:lang w:eastAsia="bg-BG"/>
        </w:rPr>
        <w:t>ангиотензин-алдостероновата</w:t>
      </w:r>
      <w:proofErr w:type="spellEnd"/>
      <w:r w:rsidRPr="004A1A60">
        <w:rPr>
          <w:rFonts w:eastAsia="Times New Roman" w:cs="Arial"/>
          <w:color w:val="000000"/>
          <w:lang w:eastAsia="bg-BG"/>
        </w:rPr>
        <w:t xml:space="preserve"> система, може да доведе до повишен риск от тежка хипотония и бъбречна недостатъчност.</w:t>
      </w:r>
    </w:p>
    <w:p w14:paraId="613602DE" w14:textId="77777777" w:rsidR="00BC73CC" w:rsidRPr="004A1A60" w:rsidRDefault="00BC73CC" w:rsidP="00BC73CC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bookmarkStart w:id="4" w:name="bookmark6"/>
    </w:p>
    <w:p w14:paraId="6DCDCC56" w14:textId="220CD437" w:rsidR="00BC73CC" w:rsidRPr="004A1A60" w:rsidRDefault="00BC73CC" w:rsidP="00BC73CC">
      <w:pPr>
        <w:spacing w:line="240" w:lineRule="auto"/>
        <w:rPr>
          <w:rFonts w:eastAsia="Times New Roman" w:cs="Arial"/>
        </w:rPr>
      </w:pPr>
      <w:r w:rsidRPr="004A1A60">
        <w:rPr>
          <w:rFonts w:eastAsia="Times New Roman" w:cs="Arial"/>
          <w:b/>
          <w:bCs/>
          <w:color w:val="000000"/>
          <w:lang w:eastAsia="bg-BG"/>
        </w:rPr>
        <w:t>Бъбречно увреждане или бъбречна трансплантация</w:t>
      </w:r>
      <w:bookmarkEnd w:id="4"/>
    </w:p>
    <w:p w14:paraId="0B2503A5" w14:textId="77777777" w:rsidR="00BC73CC" w:rsidRPr="004A1A60" w:rsidRDefault="00BC73CC" w:rsidP="00BC73CC">
      <w:pPr>
        <w:spacing w:line="240" w:lineRule="auto"/>
        <w:rPr>
          <w:rFonts w:eastAsia="Times New Roman" w:cs="Arial"/>
        </w:rPr>
      </w:pPr>
      <w:r w:rsidRPr="004A1A60">
        <w:rPr>
          <w:rFonts w:eastAsia="Times New Roman" w:cs="Arial"/>
          <w:color w:val="000000"/>
          <w:lang w:eastAsia="bg-BG"/>
        </w:rPr>
        <w:t xml:space="preserve">При </w:t>
      </w:r>
      <w:proofErr w:type="spellStart"/>
      <w:r w:rsidRPr="004A1A60">
        <w:rPr>
          <w:rFonts w:eastAsia="Times New Roman" w:cs="Arial"/>
          <w:color w:val="000000"/>
          <w:lang w:eastAsia="bg-BG"/>
        </w:rPr>
        <w:t>приложенето</w:t>
      </w:r>
      <w:proofErr w:type="spellEnd"/>
      <w:r w:rsidRPr="004A1A60">
        <w:rPr>
          <w:rFonts w:eastAsia="Times New Roman" w:cs="Arial"/>
          <w:color w:val="000000"/>
          <w:lang w:eastAsia="bg-BG"/>
        </w:rPr>
        <w:t xml:space="preserve"> на </w:t>
      </w:r>
      <w:proofErr w:type="spellStart"/>
      <w:r w:rsidRPr="004A1A60">
        <w:rPr>
          <w:rFonts w:eastAsia="Times New Roman" w:cs="Arial"/>
          <w:color w:val="00000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4A1A60">
        <w:rPr>
          <w:rFonts w:eastAsia="Times New Roman" w:cs="Arial"/>
          <w:color w:val="000000"/>
          <w:lang w:eastAsia="bg-BG"/>
        </w:rPr>
        <w:t>медоксомил</w:t>
      </w:r>
      <w:proofErr w:type="spellEnd"/>
      <w:r w:rsidRPr="004A1A60">
        <w:rPr>
          <w:rFonts w:eastAsia="Times New Roman" w:cs="Arial"/>
          <w:color w:val="000000"/>
          <w:lang w:eastAsia="bg-BG"/>
        </w:rPr>
        <w:t xml:space="preserve"> при пациенти с нарушена бъбречна функция се препоръчва периодично проследяване на серумния калий и нивата на </w:t>
      </w:r>
      <w:proofErr w:type="spellStart"/>
      <w:r w:rsidRPr="004A1A60">
        <w:rPr>
          <w:rFonts w:eastAsia="Times New Roman" w:cs="Arial"/>
          <w:color w:val="000000"/>
          <w:lang w:eastAsia="bg-BG"/>
        </w:rPr>
        <w:t>креатинин</w:t>
      </w:r>
      <w:proofErr w:type="spellEnd"/>
      <w:r w:rsidRPr="004A1A60">
        <w:rPr>
          <w:rFonts w:eastAsia="Times New Roman" w:cs="Arial"/>
          <w:color w:val="000000"/>
          <w:lang w:eastAsia="bg-BG"/>
        </w:rPr>
        <w:t xml:space="preserve">. Не се препоръчва приложението на </w:t>
      </w:r>
      <w:proofErr w:type="spellStart"/>
      <w:r w:rsidRPr="004A1A60">
        <w:rPr>
          <w:rFonts w:eastAsia="Times New Roman" w:cs="Arial"/>
          <w:color w:val="00000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4A1A60">
        <w:rPr>
          <w:rFonts w:eastAsia="Times New Roman" w:cs="Arial"/>
          <w:color w:val="000000"/>
          <w:lang w:eastAsia="bg-BG"/>
        </w:rPr>
        <w:t>медоксомил</w:t>
      </w:r>
      <w:proofErr w:type="spellEnd"/>
      <w:r w:rsidRPr="004A1A60">
        <w:rPr>
          <w:rFonts w:eastAsia="Times New Roman" w:cs="Arial"/>
          <w:color w:val="000000"/>
          <w:lang w:eastAsia="bg-BG"/>
        </w:rPr>
        <w:t xml:space="preserve"> при пациенти с тежко бъбречно увреждане (</w:t>
      </w:r>
      <w:proofErr w:type="spellStart"/>
      <w:r w:rsidRPr="004A1A60">
        <w:rPr>
          <w:rFonts w:eastAsia="Times New Roman" w:cs="Arial"/>
          <w:color w:val="000000"/>
          <w:lang w:eastAsia="bg-BG"/>
        </w:rPr>
        <w:t>креатининов</w:t>
      </w:r>
      <w:proofErr w:type="spellEnd"/>
      <w:r w:rsidRPr="004A1A60">
        <w:rPr>
          <w:rFonts w:eastAsia="Times New Roman" w:cs="Arial"/>
          <w:color w:val="000000"/>
          <w:lang w:eastAsia="bg-BG"/>
        </w:rPr>
        <w:t xml:space="preserve"> клирънс &lt; 20 </w:t>
      </w:r>
      <w:r w:rsidRPr="004A1A60">
        <w:rPr>
          <w:rFonts w:eastAsia="Times New Roman" w:cs="Arial"/>
          <w:color w:val="000000"/>
        </w:rPr>
        <w:t>ml/</w:t>
      </w:r>
      <w:proofErr w:type="spellStart"/>
      <w:r w:rsidRPr="004A1A60">
        <w:rPr>
          <w:rFonts w:eastAsia="Times New Roman" w:cs="Arial"/>
          <w:color w:val="000000"/>
        </w:rPr>
        <w:t>min</w:t>
      </w:r>
      <w:proofErr w:type="spellEnd"/>
      <w:r w:rsidRPr="004A1A60">
        <w:rPr>
          <w:rFonts w:eastAsia="Times New Roman" w:cs="Arial"/>
          <w:color w:val="000000"/>
        </w:rPr>
        <w:t xml:space="preserve">) </w:t>
      </w:r>
      <w:r w:rsidRPr="004A1A60">
        <w:rPr>
          <w:rFonts w:eastAsia="Times New Roman" w:cs="Arial"/>
          <w:color w:val="000000"/>
          <w:lang w:eastAsia="bg-BG"/>
        </w:rPr>
        <w:t xml:space="preserve">(вижте точка 4.2 и 5.2). Няма опит при приложението на </w:t>
      </w:r>
      <w:proofErr w:type="spellStart"/>
      <w:r w:rsidRPr="004A1A60">
        <w:rPr>
          <w:rFonts w:eastAsia="Times New Roman" w:cs="Arial"/>
          <w:color w:val="00000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4A1A60">
        <w:rPr>
          <w:rFonts w:eastAsia="Times New Roman" w:cs="Arial"/>
          <w:color w:val="000000"/>
          <w:lang w:eastAsia="bg-BG"/>
        </w:rPr>
        <w:t>медоксомил</w:t>
      </w:r>
      <w:proofErr w:type="spellEnd"/>
      <w:r w:rsidRPr="004A1A60">
        <w:rPr>
          <w:rFonts w:eastAsia="Times New Roman" w:cs="Arial"/>
          <w:color w:val="000000"/>
          <w:lang w:eastAsia="bg-BG"/>
        </w:rPr>
        <w:t xml:space="preserve"> при пациенти с наскоро осъществена бъбречна трансплантация или при пациенти в краен стадий бъбречно увреждане (</w:t>
      </w:r>
      <w:proofErr w:type="spellStart"/>
      <w:r w:rsidRPr="004A1A60">
        <w:rPr>
          <w:rFonts w:eastAsia="Times New Roman" w:cs="Arial"/>
          <w:color w:val="000000"/>
          <w:lang w:eastAsia="bg-BG"/>
        </w:rPr>
        <w:t>креатининов</w:t>
      </w:r>
      <w:proofErr w:type="spellEnd"/>
      <w:r w:rsidRPr="004A1A60">
        <w:rPr>
          <w:rFonts w:eastAsia="Times New Roman" w:cs="Arial"/>
          <w:color w:val="000000"/>
          <w:lang w:eastAsia="bg-BG"/>
        </w:rPr>
        <w:t xml:space="preserve"> клирънс &lt; 12 </w:t>
      </w:r>
      <w:r w:rsidRPr="004A1A60">
        <w:rPr>
          <w:rFonts w:eastAsia="Times New Roman" w:cs="Arial"/>
          <w:color w:val="000000"/>
        </w:rPr>
        <w:t>ml/</w:t>
      </w:r>
      <w:proofErr w:type="spellStart"/>
      <w:r w:rsidRPr="004A1A60">
        <w:rPr>
          <w:rFonts w:eastAsia="Times New Roman" w:cs="Arial"/>
          <w:color w:val="000000"/>
        </w:rPr>
        <w:t>min</w:t>
      </w:r>
      <w:proofErr w:type="spellEnd"/>
      <w:r w:rsidRPr="004A1A60">
        <w:rPr>
          <w:rFonts w:eastAsia="Times New Roman" w:cs="Arial"/>
          <w:color w:val="000000"/>
        </w:rPr>
        <w:t>).</w:t>
      </w:r>
    </w:p>
    <w:p w14:paraId="36BA5D45" w14:textId="77777777" w:rsidR="00BC73CC" w:rsidRPr="004A1A60" w:rsidRDefault="00BC73CC" w:rsidP="00BC73CC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60982EC" w14:textId="7DC9832D" w:rsidR="00BC73CC" w:rsidRPr="004A1A60" w:rsidRDefault="00BC73CC" w:rsidP="00BC73CC">
      <w:pPr>
        <w:spacing w:line="240" w:lineRule="auto"/>
        <w:rPr>
          <w:rFonts w:eastAsia="Times New Roman" w:cs="Arial"/>
          <w:b/>
        </w:rPr>
      </w:pPr>
      <w:r w:rsidRPr="004A1A60">
        <w:rPr>
          <w:rFonts w:eastAsia="Times New Roman" w:cs="Arial"/>
          <w:b/>
          <w:color w:val="000000"/>
          <w:lang w:eastAsia="bg-BG"/>
        </w:rPr>
        <w:t>Чернодробно увреждане</w:t>
      </w:r>
    </w:p>
    <w:p w14:paraId="55F05121" w14:textId="77777777" w:rsidR="00BC73CC" w:rsidRPr="004A1A60" w:rsidRDefault="00BC73CC" w:rsidP="00BC73CC">
      <w:pPr>
        <w:spacing w:line="240" w:lineRule="auto"/>
        <w:rPr>
          <w:rFonts w:eastAsia="Times New Roman" w:cs="Arial"/>
        </w:rPr>
      </w:pPr>
      <w:r w:rsidRPr="004A1A60">
        <w:rPr>
          <w:rFonts w:eastAsia="Times New Roman" w:cs="Arial"/>
          <w:color w:val="000000"/>
          <w:lang w:eastAsia="bg-BG"/>
        </w:rPr>
        <w:t xml:space="preserve">Няма опит при пациенти с тежко чернодробно увреждане и поради това не се препоръчва приложението на </w:t>
      </w:r>
      <w:proofErr w:type="spellStart"/>
      <w:r w:rsidRPr="004A1A60">
        <w:rPr>
          <w:rFonts w:eastAsia="Times New Roman" w:cs="Arial"/>
          <w:color w:val="00000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4A1A60">
        <w:rPr>
          <w:rFonts w:eastAsia="Times New Roman" w:cs="Arial"/>
          <w:color w:val="000000"/>
          <w:lang w:eastAsia="bg-BG"/>
        </w:rPr>
        <w:t>медоксомил</w:t>
      </w:r>
      <w:proofErr w:type="spellEnd"/>
      <w:r w:rsidRPr="004A1A60">
        <w:rPr>
          <w:rFonts w:eastAsia="Times New Roman" w:cs="Arial"/>
          <w:color w:val="000000"/>
          <w:lang w:eastAsia="bg-BG"/>
        </w:rPr>
        <w:t xml:space="preserve"> при тези пациенти (вижте точка 4.2 за препоръки за дозиране при пациенти с леко или умерено чернодробно увреждане).</w:t>
      </w:r>
    </w:p>
    <w:p w14:paraId="05F0B12B" w14:textId="77777777" w:rsidR="00BC73CC" w:rsidRPr="004A1A60" w:rsidRDefault="00BC73CC" w:rsidP="00BC73CC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bookmarkStart w:id="5" w:name="bookmark8"/>
    </w:p>
    <w:p w14:paraId="7F653E12" w14:textId="7018E406" w:rsidR="00BC73CC" w:rsidRPr="004A1A60" w:rsidRDefault="00BC73CC" w:rsidP="00BC73CC">
      <w:pPr>
        <w:spacing w:line="240" w:lineRule="auto"/>
        <w:rPr>
          <w:rFonts w:eastAsia="Times New Roman" w:cs="Arial"/>
        </w:rPr>
      </w:pPr>
      <w:proofErr w:type="spellStart"/>
      <w:r w:rsidRPr="004A1A60">
        <w:rPr>
          <w:rFonts w:eastAsia="Times New Roman" w:cs="Arial"/>
          <w:b/>
          <w:bCs/>
          <w:color w:val="000000"/>
          <w:lang w:eastAsia="bg-BG"/>
        </w:rPr>
        <w:t>Х</w:t>
      </w:r>
      <w:bookmarkEnd w:id="5"/>
      <w:r w:rsidRPr="004A1A60">
        <w:rPr>
          <w:rFonts w:eastAsia="Times New Roman" w:cs="Arial"/>
          <w:b/>
          <w:bCs/>
          <w:color w:val="000000"/>
          <w:lang w:eastAsia="bg-BG"/>
        </w:rPr>
        <w:t>иперкалиемия</w:t>
      </w:r>
      <w:proofErr w:type="spellEnd"/>
    </w:p>
    <w:p w14:paraId="6A0B25A2" w14:textId="77777777" w:rsidR="00BC73CC" w:rsidRPr="004A1A60" w:rsidRDefault="00BC73CC" w:rsidP="00BC73CC">
      <w:pPr>
        <w:spacing w:line="240" w:lineRule="auto"/>
        <w:rPr>
          <w:rFonts w:eastAsia="Times New Roman" w:cs="Arial"/>
        </w:rPr>
      </w:pPr>
      <w:r w:rsidRPr="004A1A60">
        <w:rPr>
          <w:rFonts w:eastAsia="Times New Roman" w:cs="Arial"/>
          <w:color w:val="000000"/>
          <w:lang w:eastAsia="bg-BG"/>
        </w:rPr>
        <w:t>Приложението на лекарствени продукти, които повлияват ренин-</w:t>
      </w:r>
      <w:proofErr w:type="spellStart"/>
      <w:r w:rsidRPr="004A1A60">
        <w:rPr>
          <w:rFonts w:eastAsia="Times New Roman" w:cs="Arial"/>
          <w:color w:val="000000"/>
          <w:lang w:eastAsia="bg-BG"/>
        </w:rPr>
        <w:t>ангиотензин</w:t>
      </w:r>
      <w:proofErr w:type="spellEnd"/>
      <w:r w:rsidRPr="004A1A60">
        <w:rPr>
          <w:rFonts w:eastAsia="Times New Roman" w:cs="Arial"/>
          <w:color w:val="000000"/>
          <w:lang w:eastAsia="bg-BG"/>
        </w:rPr>
        <w:t>-</w:t>
      </w:r>
      <w:proofErr w:type="spellStart"/>
      <w:r w:rsidRPr="004A1A60">
        <w:rPr>
          <w:rFonts w:eastAsia="Times New Roman" w:cs="Arial"/>
          <w:color w:val="000000"/>
          <w:lang w:eastAsia="bg-BG"/>
        </w:rPr>
        <w:t>алдостероновата</w:t>
      </w:r>
      <w:proofErr w:type="spellEnd"/>
      <w:r w:rsidRPr="004A1A60">
        <w:rPr>
          <w:rFonts w:eastAsia="Times New Roman" w:cs="Arial"/>
          <w:color w:val="000000"/>
          <w:lang w:eastAsia="bg-BG"/>
        </w:rPr>
        <w:t xml:space="preserve"> система, може да предизвика </w:t>
      </w:r>
      <w:proofErr w:type="spellStart"/>
      <w:r w:rsidRPr="004A1A60">
        <w:rPr>
          <w:rFonts w:eastAsia="Times New Roman" w:cs="Arial"/>
          <w:color w:val="000000"/>
          <w:lang w:eastAsia="bg-BG"/>
        </w:rPr>
        <w:t>хиперкалиемия</w:t>
      </w:r>
      <w:proofErr w:type="spellEnd"/>
      <w:r w:rsidRPr="004A1A60">
        <w:rPr>
          <w:rFonts w:eastAsia="Times New Roman" w:cs="Arial"/>
          <w:color w:val="000000"/>
          <w:lang w:eastAsia="bg-BG"/>
        </w:rPr>
        <w:t>.</w:t>
      </w:r>
    </w:p>
    <w:p w14:paraId="08CEC7DB" w14:textId="2698E6BA" w:rsidR="00BC73CC" w:rsidRPr="004A1A60" w:rsidRDefault="00BC73CC" w:rsidP="00BC73CC">
      <w:pPr>
        <w:rPr>
          <w:rFonts w:eastAsia="Times New Roman" w:cs="Arial"/>
          <w:color w:val="000000"/>
          <w:lang w:eastAsia="bg-BG"/>
        </w:rPr>
      </w:pPr>
      <w:r w:rsidRPr="004A1A60">
        <w:rPr>
          <w:rFonts w:eastAsia="Times New Roman" w:cs="Arial"/>
          <w:color w:val="000000"/>
          <w:lang w:eastAsia="bg-BG"/>
        </w:rPr>
        <w:t>Рискът, който може да е фатален, се увеличава в старческа възраст, при пациенти с бъбречна недостатъчност й при пациенти с диабет, при пациенти, които се лекуват с други лекарствени продукти, повишаващи нивата на калия и/или при пациенти със съпътстващи инциденти.</w:t>
      </w:r>
    </w:p>
    <w:p w14:paraId="52D82C0F" w14:textId="4A1F2805" w:rsidR="00BC73CC" w:rsidRPr="004A1A60" w:rsidRDefault="00BC73CC" w:rsidP="00BC73CC">
      <w:pPr>
        <w:rPr>
          <w:rFonts w:eastAsia="Times New Roman" w:cs="Arial"/>
          <w:color w:val="000000"/>
          <w:lang w:eastAsia="bg-BG"/>
        </w:rPr>
      </w:pPr>
    </w:p>
    <w:p w14:paraId="098B3391" w14:textId="77777777" w:rsidR="00BC73CC" w:rsidRPr="004A1A60" w:rsidRDefault="00BC73CC" w:rsidP="00BC73CC">
      <w:pPr>
        <w:spacing w:line="240" w:lineRule="auto"/>
        <w:rPr>
          <w:rFonts w:eastAsia="Times New Roman" w:cs="Arial"/>
        </w:rPr>
      </w:pPr>
      <w:r w:rsidRPr="004A1A60">
        <w:rPr>
          <w:rFonts w:eastAsia="Times New Roman" w:cs="Arial"/>
          <w:color w:val="000000"/>
          <w:lang w:eastAsia="bg-BG"/>
        </w:rPr>
        <w:t>Преди да се назначи едновременно приложение на лекарствени продукти, които повлияват ренин-</w:t>
      </w:r>
      <w:proofErr w:type="spellStart"/>
      <w:r w:rsidRPr="004A1A60">
        <w:rPr>
          <w:rFonts w:eastAsia="Times New Roman" w:cs="Arial"/>
          <w:color w:val="000000"/>
          <w:lang w:eastAsia="bg-BG"/>
        </w:rPr>
        <w:t>ангиотензин</w:t>
      </w:r>
      <w:proofErr w:type="spellEnd"/>
      <w:r w:rsidRPr="004A1A60">
        <w:rPr>
          <w:rFonts w:eastAsia="Times New Roman" w:cs="Arial"/>
          <w:color w:val="000000"/>
          <w:lang w:eastAsia="bg-BG"/>
        </w:rPr>
        <w:t>-</w:t>
      </w:r>
      <w:proofErr w:type="spellStart"/>
      <w:r w:rsidRPr="004A1A60">
        <w:rPr>
          <w:rFonts w:eastAsia="Times New Roman" w:cs="Arial"/>
          <w:color w:val="000000"/>
          <w:lang w:eastAsia="bg-BG"/>
        </w:rPr>
        <w:t>алдостероновата</w:t>
      </w:r>
      <w:proofErr w:type="spellEnd"/>
      <w:r w:rsidRPr="004A1A60">
        <w:rPr>
          <w:rFonts w:eastAsia="Times New Roman" w:cs="Arial"/>
          <w:color w:val="000000"/>
          <w:lang w:eastAsia="bg-BG"/>
        </w:rPr>
        <w:t xml:space="preserve"> система, трябва да се оцени съотношението полза/риск и да се вземат предвид други възможности (вж. също по-долу точка “Двойно блокиране на ренин-</w:t>
      </w:r>
      <w:proofErr w:type="spellStart"/>
      <w:r w:rsidRPr="004A1A60">
        <w:rPr>
          <w:rFonts w:eastAsia="Times New Roman" w:cs="Arial"/>
          <w:color w:val="000000"/>
          <w:lang w:eastAsia="bg-BG"/>
        </w:rPr>
        <w:t>ангиотензин</w:t>
      </w:r>
      <w:proofErr w:type="spellEnd"/>
      <w:r w:rsidRPr="004A1A60">
        <w:rPr>
          <w:rFonts w:eastAsia="Times New Roman" w:cs="Arial"/>
          <w:color w:val="000000"/>
          <w:lang w:eastAsia="bg-BG"/>
        </w:rPr>
        <w:t>-</w:t>
      </w:r>
      <w:proofErr w:type="spellStart"/>
      <w:r w:rsidRPr="004A1A60">
        <w:rPr>
          <w:rFonts w:eastAsia="Times New Roman" w:cs="Arial"/>
          <w:color w:val="000000"/>
          <w:lang w:eastAsia="bg-BG"/>
        </w:rPr>
        <w:t>алдостероновата</w:t>
      </w:r>
      <w:proofErr w:type="spellEnd"/>
      <w:r w:rsidRPr="004A1A60">
        <w:rPr>
          <w:rFonts w:eastAsia="Times New Roman" w:cs="Arial"/>
          <w:color w:val="000000"/>
          <w:lang w:eastAsia="bg-BG"/>
        </w:rPr>
        <w:t xml:space="preserve"> система (РААС)".</w:t>
      </w:r>
    </w:p>
    <w:p w14:paraId="3C45FA52" w14:textId="77777777" w:rsidR="00BC73CC" w:rsidRPr="004A1A60" w:rsidRDefault="00BC73CC" w:rsidP="00BC73CC">
      <w:pPr>
        <w:spacing w:line="240" w:lineRule="auto"/>
        <w:rPr>
          <w:rFonts w:eastAsia="Times New Roman" w:cs="Arial"/>
        </w:rPr>
      </w:pPr>
      <w:r w:rsidRPr="004A1A60">
        <w:rPr>
          <w:rFonts w:eastAsia="Times New Roman" w:cs="Arial"/>
          <w:color w:val="000000"/>
          <w:lang w:eastAsia="bg-BG"/>
        </w:rPr>
        <w:t xml:space="preserve">Главните рискови фактори за </w:t>
      </w:r>
      <w:proofErr w:type="spellStart"/>
      <w:r w:rsidRPr="004A1A60">
        <w:rPr>
          <w:rFonts w:eastAsia="Times New Roman" w:cs="Arial"/>
          <w:color w:val="000000"/>
          <w:lang w:eastAsia="bg-BG"/>
        </w:rPr>
        <w:t>хиперкалиемия</w:t>
      </w:r>
      <w:proofErr w:type="spellEnd"/>
      <w:r w:rsidRPr="004A1A60">
        <w:rPr>
          <w:rFonts w:eastAsia="Times New Roman" w:cs="Arial"/>
          <w:color w:val="000000"/>
          <w:lang w:eastAsia="bg-BG"/>
        </w:rPr>
        <w:t>, които трябва да се има предвид, са:</w:t>
      </w:r>
    </w:p>
    <w:p w14:paraId="1FBC7923" w14:textId="77777777" w:rsidR="00BC73CC" w:rsidRPr="004A1A60" w:rsidRDefault="00BC73CC" w:rsidP="00BC73CC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</w:rPr>
      </w:pPr>
      <w:r w:rsidRPr="004A1A60">
        <w:rPr>
          <w:rFonts w:eastAsia="Times New Roman" w:cs="Arial"/>
          <w:color w:val="000000"/>
          <w:lang w:eastAsia="bg-BG"/>
        </w:rPr>
        <w:t>диабет, бъбречно увреждане, възраст (&gt; 70 години);</w:t>
      </w:r>
    </w:p>
    <w:p w14:paraId="32D35DF4" w14:textId="7DF0F38E" w:rsidR="00BC73CC" w:rsidRPr="004A1A60" w:rsidRDefault="00BC73CC" w:rsidP="00BC73CC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</w:rPr>
      </w:pPr>
      <w:r w:rsidRPr="004A1A60">
        <w:rPr>
          <w:rFonts w:eastAsia="Times New Roman" w:cs="Arial"/>
          <w:color w:val="000000"/>
          <w:lang w:eastAsia="bg-BG"/>
        </w:rPr>
        <w:t>комбинация с един или повече лекарствени продукта, повлияващи ренин-</w:t>
      </w:r>
      <w:proofErr w:type="spellStart"/>
      <w:r w:rsidRPr="004A1A60">
        <w:rPr>
          <w:rFonts w:eastAsia="Times New Roman" w:cs="Arial"/>
          <w:color w:val="000000"/>
          <w:lang w:eastAsia="bg-BG"/>
        </w:rPr>
        <w:t>ангиотензин</w:t>
      </w:r>
      <w:proofErr w:type="spellEnd"/>
      <w:r w:rsidRPr="004A1A60">
        <w:rPr>
          <w:rFonts w:eastAsia="Times New Roman" w:cs="Arial"/>
          <w:color w:val="000000"/>
          <w:lang w:eastAsia="bg-BG"/>
        </w:rPr>
        <w:t xml:space="preserve">- </w:t>
      </w:r>
      <w:proofErr w:type="spellStart"/>
      <w:r w:rsidRPr="004A1A60">
        <w:rPr>
          <w:rFonts w:eastAsia="Times New Roman" w:cs="Arial"/>
          <w:color w:val="000000"/>
          <w:lang w:eastAsia="bg-BG"/>
        </w:rPr>
        <w:t>алдостероновата</w:t>
      </w:r>
      <w:proofErr w:type="spellEnd"/>
      <w:r w:rsidRPr="004A1A60">
        <w:rPr>
          <w:rFonts w:eastAsia="Times New Roman" w:cs="Arial"/>
          <w:color w:val="000000"/>
          <w:lang w:eastAsia="bg-BG"/>
        </w:rPr>
        <w:t xml:space="preserve"> система и/или калиеви добавки. Някои лекарствени продукти или терапевтични класове лекарствени продукти могат да предизвикат </w:t>
      </w:r>
      <w:proofErr w:type="spellStart"/>
      <w:r w:rsidRPr="004A1A60">
        <w:rPr>
          <w:rFonts w:eastAsia="Times New Roman" w:cs="Arial"/>
          <w:color w:val="000000"/>
          <w:lang w:eastAsia="bg-BG"/>
        </w:rPr>
        <w:t>хиперкалиемия</w:t>
      </w:r>
      <w:proofErr w:type="spellEnd"/>
      <w:r w:rsidRPr="004A1A60">
        <w:rPr>
          <w:rFonts w:eastAsia="Times New Roman" w:cs="Arial"/>
          <w:color w:val="000000"/>
          <w:lang w:eastAsia="bg-BG"/>
        </w:rPr>
        <w:t xml:space="preserve">: </w:t>
      </w:r>
      <w:proofErr w:type="spellStart"/>
      <w:r w:rsidRPr="004A1A60">
        <w:rPr>
          <w:rFonts w:eastAsia="Times New Roman" w:cs="Arial"/>
          <w:color w:val="000000"/>
          <w:lang w:eastAsia="bg-BG"/>
        </w:rPr>
        <w:t>солеви</w:t>
      </w:r>
      <w:proofErr w:type="spellEnd"/>
      <w:r w:rsidRPr="004A1A60">
        <w:rPr>
          <w:rFonts w:eastAsia="Times New Roman" w:cs="Arial"/>
          <w:color w:val="000000"/>
          <w:lang w:eastAsia="bg-BG"/>
        </w:rPr>
        <w:t xml:space="preserve"> заместители, съдържащи калий, калий-съхраняващи </w:t>
      </w:r>
      <w:proofErr w:type="spellStart"/>
      <w:r w:rsidRPr="004A1A60">
        <w:rPr>
          <w:rFonts w:eastAsia="Times New Roman" w:cs="Arial"/>
          <w:color w:val="000000"/>
          <w:lang w:eastAsia="bg-BG"/>
        </w:rPr>
        <w:t>диуретици</w:t>
      </w:r>
      <w:proofErr w:type="spellEnd"/>
      <w:r w:rsidRPr="004A1A60">
        <w:rPr>
          <w:rFonts w:eastAsia="Times New Roman" w:cs="Arial"/>
          <w:color w:val="000000"/>
          <w:lang w:eastAsia="bg-BG"/>
        </w:rPr>
        <w:t xml:space="preserve">, АСЕ-инхибитори, </w:t>
      </w:r>
      <w:proofErr w:type="spellStart"/>
      <w:r w:rsidRPr="004A1A60">
        <w:rPr>
          <w:rFonts w:eastAsia="Times New Roman" w:cs="Arial"/>
          <w:color w:val="000000"/>
          <w:lang w:eastAsia="bg-BG"/>
        </w:rPr>
        <w:t>ангиотензин</w:t>
      </w:r>
      <w:proofErr w:type="spellEnd"/>
      <w:r w:rsidRPr="004A1A60">
        <w:rPr>
          <w:rFonts w:eastAsia="Times New Roman" w:cs="Arial"/>
          <w:color w:val="000000"/>
          <w:lang w:eastAsia="bg-BG"/>
        </w:rPr>
        <w:t xml:space="preserve"> II рецепторни антагонисти, нестероидни противовъзпалителни средства (включително селективни СОХ-2 инхибитори), </w:t>
      </w:r>
      <w:proofErr w:type="spellStart"/>
      <w:r w:rsidRPr="004A1A60">
        <w:rPr>
          <w:rFonts w:eastAsia="Times New Roman" w:cs="Arial"/>
          <w:color w:val="000000"/>
          <w:lang w:eastAsia="bg-BG"/>
        </w:rPr>
        <w:t>хепарин</w:t>
      </w:r>
      <w:proofErr w:type="spellEnd"/>
      <w:r w:rsidRPr="004A1A60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4A1A60">
        <w:rPr>
          <w:rFonts w:eastAsia="Times New Roman" w:cs="Arial"/>
          <w:color w:val="000000"/>
          <w:lang w:eastAsia="bg-BG"/>
        </w:rPr>
        <w:t>имуносупресори</w:t>
      </w:r>
      <w:proofErr w:type="spellEnd"/>
      <w:r w:rsidRPr="004A1A60">
        <w:rPr>
          <w:rFonts w:eastAsia="Times New Roman" w:cs="Arial"/>
          <w:color w:val="000000"/>
          <w:lang w:eastAsia="bg-BG"/>
        </w:rPr>
        <w:t xml:space="preserve"> като циклоспорин или </w:t>
      </w:r>
      <w:proofErr w:type="spellStart"/>
      <w:r w:rsidRPr="004A1A60">
        <w:rPr>
          <w:rFonts w:eastAsia="Times New Roman" w:cs="Arial"/>
          <w:color w:val="000000"/>
          <w:lang w:eastAsia="bg-BG"/>
        </w:rPr>
        <w:t>такролимус</w:t>
      </w:r>
      <w:proofErr w:type="spellEnd"/>
      <w:r w:rsidRPr="004A1A60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4A1A60">
        <w:rPr>
          <w:rFonts w:eastAsia="Times New Roman" w:cs="Arial"/>
          <w:color w:val="000000"/>
          <w:lang w:eastAsia="bg-BG"/>
        </w:rPr>
        <w:t>триметоприм</w:t>
      </w:r>
      <w:proofErr w:type="spellEnd"/>
      <w:r w:rsidRPr="004A1A60">
        <w:rPr>
          <w:rFonts w:eastAsia="Times New Roman" w:cs="Arial"/>
          <w:color w:val="000000"/>
          <w:lang w:eastAsia="bg-BG"/>
        </w:rPr>
        <w:t>;</w:t>
      </w:r>
    </w:p>
    <w:p w14:paraId="71C81B5A" w14:textId="104E1EBB" w:rsidR="00BC73CC" w:rsidRPr="004A1A60" w:rsidRDefault="00BC73CC" w:rsidP="00BC73CC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</w:rPr>
      </w:pPr>
      <w:r w:rsidRPr="004A1A60">
        <w:rPr>
          <w:rFonts w:eastAsia="Times New Roman" w:cs="Arial"/>
          <w:color w:val="000000"/>
          <w:lang w:eastAsia="bg-BG"/>
        </w:rPr>
        <w:t xml:space="preserve">съпътстващи инциденти, особено дехидратация, остра сърдечна декомпенсация, метаболитна </w:t>
      </w:r>
      <w:proofErr w:type="spellStart"/>
      <w:r w:rsidRPr="004A1A60">
        <w:rPr>
          <w:rFonts w:eastAsia="Times New Roman" w:cs="Arial"/>
          <w:color w:val="000000"/>
          <w:lang w:eastAsia="bg-BG"/>
        </w:rPr>
        <w:t>ацидоза</w:t>
      </w:r>
      <w:proofErr w:type="spellEnd"/>
      <w:r w:rsidRPr="004A1A60">
        <w:rPr>
          <w:rFonts w:eastAsia="Times New Roman" w:cs="Arial"/>
          <w:color w:val="000000"/>
          <w:lang w:eastAsia="bg-BG"/>
        </w:rPr>
        <w:t xml:space="preserve">, влошаване на бъбречната функция, внезапно утежняване на бъбречното състояние (напр. инфекциозно заболяване), клетъчен </w:t>
      </w:r>
      <w:proofErr w:type="spellStart"/>
      <w:r w:rsidRPr="004A1A60">
        <w:rPr>
          <w:rFonts w:eastAsia="Times New Roman" w:cs="Arial"/>
          <w:color w:val="000000"/>
          <w:lang w:eastAsia="bg-BG"/>
        </w:rPr>
        <w:t>лизис</w:t>
      </w:r>
      <w:proofErr w:type="spellEnd"/>
      <w:r w:rsidRPr="004A1A60">
        <w:rPr>
          <w:rFonts w:eastAsia="Times New Roman" w:cs="Arial"/>
          <w:color w:val="000000"/>
          <w:lang w:eastAsia="bg-BG"/>
        </w:rPr>
        <w:t xml:space="preserve"> (напр. остра исхемия на долните крайници, </w:t>
      </w:r>
      <w:proofErr w:type="spellStart"/>
      <w:r w:rsidRPr="004A1A60">
        <w:rPr>
          <w:rFonts w:eastAsia="Times New Roman" w:cs="Arial"/>
          <w:color w:val="000000"/>
          <w:lang w:eastAsia="bg-BG"/>
        </w:rPr>
        <w:t>рабдомиолиза</w:t>
      </w:r>
      <w:proofErr w:type="spellEnd"/>
      <w:r w:rsidRPr="004A1A60">
        <w:rPr>
          <w:rFonts w:eastAsia="Times New Roman" w:cs="Arial"/>
          <w:color w:val="000000"/>
          <w:lang w:eastAsia="bg-BG"/>
        </w:rPr>
        <w:t>, обширна травма);</w:t>
      </w:r>
    </w:p>
    <w:p w14:paraId="24CE3100" w14:textId="77777777" w:rsidR="00BC73CC" w:rsidRPr="004A1A60" w:rsidRDefault="00BC73CC" w:rsidP="00BC73CC">
      <w:pPr>
        <w:spacing w:line="240" w:lineRule="auto"/>
        <w:rPr>
          <w:rFonts w:eastAsia="Times New Roman" w:cs="Arial"/>
        </w:rPr>
      </w:pPr>
      <w:r w:rsidRPr="004A1A60">
        <w:rPr>
          <w:rFonts w:eastAsia="Times New Roman" w:cs="Arial"/>
          <w:color w:val="000000"/>
          <w:lang w:eastAsia="bg-BG"/>
        </w:rPr>
        <w:t>При рисковите пациенти се препоръчва строг мониторинг на серумния калий (вижте точка 4.5).</w:t>
      </w:r>
    </w:p>
    <w:p w14:paraId="0C487806" w14:textId="77777777" w:rsidR="00BC73CC" w:rsidRPr="004A1A60" w:rsidRDefault="00BC73CC" w:rsidP="00BC73CC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153A96A8" w14:textId="5424366B" w:rsidR="00BC73CC" w:rsidRPr="004A1A60" w:rsidRDefault="00BC73CC" w:rsidP="00BC73CC">
      <w:pPr>
        <w:spacing w:line="240" w:lineRule="auto"/>
        <w:rPr>
          <w:rFonts w:eastAsia="Times New Roman" w:cs="Arial"/>
        </w:rPr>
      </w:pPr>
      <w:r w:rsidRPr="004A1A60">
        <w:rPr>
          <w:rFonts w:eastAsia="Times New Roman" w:cs="Arial"/>
          <w:b/>
          <w:bCs/>
          <w:color w:val="000000"/>
          <w:lang w:eastAsia="bg-BG"/>
        </w:rPr>
        <w:t>Двойно блокиране на ренин-</w:t>
      </w:r>
      <w:proofErr w:type="spellStart"/>
      <w:r w:rsidRPr="004A1A60">
        <w:rPr>
          <w:rFonts w:eastAsia="Times New Roman" w:cs="Arial"/>
          <w:b/>
          <w:bCs/>
          <w:color w:val="000000"/>
          <w:lang w:eastAsia="bg-BG"/>
        </w:rPr>
        <w:t>ангиотензин</w:t>
      </w:r>
      <w:proofErr w:type="spellEnd"/>
      <w:r w:rsidRPr="004A1A60">
        <w:rPr>
          <w:rFonts w:eastAsia="Times New Roman" w:cs="Arial"/>
          <w:b/>
          <w:bCs/>
          <w:color w:val="000000"/>
          <w:lang w:eastAsia="bg-BG"/>
        </w:rPr>
        <w:t>-</w:t>
      </w:r>
      <w:proofErr w:type="spellStart"/>
      <w:r w:rsidRPr="004A1A60">
        <w:rPr>
          <w:rFonts w:eastAsia="Times New Roman" w:cs="Arial"/>
          <w:b/>
          <w:bCs/>
          <w:color w:val="000000"/>
          <w:lang w:eastAsia="bg-BG"/>
        </w:rPr>
        <w:t>алдостероновата</w:t>
      </w:r>
      <w:proofErr w:type="spellEnd"/>
      <w:r w:rsidRPr="004A1A60">
        <w:rPr>
          <w:rFonts w:eastAsia="Times New Roman" w:cs="Arial"/>
          <w:b/>
          <w:bCs/>
          <w:color w:val="000000"/>
          <w:lang w:eastAsia="bg-BG"/>
        </w:rPr>
        <w:t xml:space="preserve"> система (РААС)</w:t>
      </w:r>
    </w:p>
    <w:p w14:paraId="03B273B7" w14:textId="77777777" w:rsidR="00BC73CC" w:rsidRPr="004A1A60" w:rsidRDefault="00BC73CC" w:rsidP="00BC73CC">
      <w:pPr>
        <w:spacing w:line="240" w:lineRule="auto"/>
        <w:rPr>
          <w:rFonts w:eastAsia="Times New Roman" w:cs="Arial"/>
        </w:rPr>
      </w:pPr>
      <w:r w:rsidRPr="004A1A60">
        <w:rPr>
          <w:rFonts w:eastAsia="Times New Roman" w:cs="Arial"/>
          <w:color w:val="000000"/>
          <w:lang w:eastAsia="bg-BG"/>
        </w:rPr>
        <w:t xml:space="preserve">Има данни, че едновременната употреба на АСЕ инхибитори, </w:t>
      </w:r>
      <w:proofErr w:type="spellStart"/>
      <w:r w:rsidRPr="004A1A60">
        <w:rPr>
          <w:rFonts w:eastAsia="Times New Roman" w:cs="Arial"/>
          <w:color w:val="000000"/>
          <w:lang w:eastAsia="bg-BG"/>
        </w:rPr>
        <w:t>ангиотензин</w:t>
      </w:r>
      <w:proofErr w:type="spellEnd"/>
      <w:r w:rsidRPr="004A1A60">
        <w:rPr>
          <w:rFonts w:eastAsia="Times New Roman" w:cs="Arial"/>
          <w:color w:val="000000"/>
          <w:lang w:eastAsia="bg-BG"/>
        </w:rPr>
        <w:t xml:space="preserve"> </w:t>
      </w:r>
      <w:r w:rsidRPr="004A1A60">
        <w:rPr>
          <w:rFonts w:eastAsia="Times New Roman" w:cs="Arial"/>
          <w:color w:val="000000"/>
        </w:rPr>
        <w:t>II</w:t>
      </w:r>
      <w:r w:rsidRPr="004A1A60">
        <w:rPr>
          <w:rFonts w:eastAsia="Times New Roman" w:cs="Arial"/>
          <w:color w:val="000000"/>
          <w:lang w:eastAsia="bg-BG"/>
        </w:rPr>
        <w:t xml:space="preserve">-рецепторни </w:t>
      </w:r>
      <w:proofErr w:type="spellStart"/>
      <w:r w:rsidRPr="004A1A60">
        <w:rPr>
          <w:rFonts w:eastAsia="Times New Roman" w:cs="Arial"/>
          <w:color w:val="000000"/>
          <w:lang w:eastAsia="bg-BG"/>
        </w:rPr>
        <w:t>блокери</w:t>
      </w:r>
      <w:proofErr w:type="spellEnd"/>
      <w:r w:rsidRPr="004A1A60">
        <w:rPr>
          <w:rFonts w:eastAsia="Times New Roman" w:cs="Arial"/>
          <w:color w:val="000000"/>
          <w:lang w:eastAsia="bg-BG"/>
        </w:rPr>
        <w:t xml:space="preserve"> или </w:t>
      </w:r>
      <w:proofErr w:type="spellStart"/>
      <w:r w:rsidRPr="004A1A60">
        <w:rPr>
          <w:rFonts w:eastAsia="Times New Roman" w:cs="Arial"/>
          <w:color w:val="000000"/>
          <w:lang w:eastAsia="bg-BG"/>
        </w:rPr>
        <w:t>алискирен</w:t>
      </w:r>
      <w:proofErr w:type="spellEnd"/>
      <w:r w:rsidRPr="004A1A60">
        <w:rPr>
          <w:rFonts w:eastAsia="Times New Roman" w:cs="Arial"/>
          <w:color w:val="000000"/>
          <w:lang w:eastAsia="bg-BG"/>
        </w:rPr>
        <w:t xml:space="preserve"> повишава риска от хипотония, </w:t>
      </w:r>
      <w:proofErr w:type="spellStart"/>
      <w:r w:rsidRPr="004A1A60">
        <w:rPr>
          <w:rFonts w:eastAsia="Times New Roman" w:cs="Arial"/>
          <w:color w:val="000000"/>
          <w:lang w:eastAsia="bg-BG"/>
        </w:rPr>
        <w:t>хиперкалиемия</w:t>
      </w:r>
      <w:proofErr w:type="spellEnd"/>
      <w:r w:rsidRPr="004A1A60">
        <w:rPr>
          <w:rFonts w:eastAsia="Times New Roman" w:cs="Arial"/>
          <w:color w:val="000000"/>
          <w:lang w:eastAsia="bg-BG"/>
        </w:rPr>
        <w:t xml:space="preserve"> и намаляване на бъбречната функция (включително остра бъбречна недостатъчност). Поради това не се </w:t>
      </w:r>
      <w:r w:rsidRPr="004A1A60">
        <w:rPr>
          <w:rFonts w:eastAsia="Times New Roman" w:cs="Arial"/>
          <w:color w:val="000000"/>
          <w:lang w:eastAsia="bg-BG"/>
        </w:rPr>
        <w:lastRenderedPageBreak/>
        <w:t xml:space="preserve">препоръчва двойно блокиране на РААС чрез комбинираната употреба на АСЕ инхибитори, </w:t>
      </w:r>
      <w:proofErr w:type="spellStart"/>
      <w:r w:rsidRPr="004A1A60">
        <w:rPr>
          <w:rFonts w:eastAsia="Times New Roman" w:cs="Arial"/>
          <w:color w:val="000000"/>
          <w:lang w:eastAsia="bg-BG"/>
        </w:rPr>
        <w:t>ангиотензин</w:t>
      </w:r>
      <w:proofErr w:type="spellEnd"/>
      <w:r w:rsidRPr="004A1A60">
        <w:rPr>
          <w:rFonts w:eastAsia="Times New Roman" w:cs="Arial"/>
          <w:color w:val="000000"/>
          <w:lang w:eastAsia="bg-BG"/>
        </w:rPr>
        <w:t xml:space="preserve"> </w:t>
      </w:r>
      <w:r w:rsidRPr="004A1A60">
        <w:rPr>
          <w:rFonts w:eastAsia="Times New Roman" w:cs="Arial"/>
          <w:color w:val="000000"/>
        </w:rPr>
        <w:t>II</w:t>
      </w:r>
      <w:r w:rsidRPr="004A1A60">
        <w:rPr>
          <w:rFonts w:eastAsia="Times New Roman" w:cs="Arial"/>
          <w:color w:val="000000"/>
          <w:lang w:eastAsia="bg-BG"/>
        </w:rPr>
        <w:t xml:space="preserve">-рецепторни </w:t>
      </w:r>
      <w:proofErr w:type="spellStart"/>
      <w:r w:rsidRPr="004A1A60">
        <w:rPr>
          <w:rFonts w:eastAsia="Times New Roman" w:cs="Arial"/>
          <w:color w:val="000000"/>
          <w:lang w:eastAsia="bg-BG"/>
        </w:rPr>
        <w:t>блокери</w:t>
      </w:r>
      <w:proofErr w:type="spellEnd"/>
      <w:r w:rsidRPr="004A1A60">
        <w:rPr>
          <w:rFonts w:eastAsia="Times New Roman" w:cs="Arial"/>
          <w:color w:val="000000"/>
          <w:lang w:eastAsia="bg-BG"/>
        </w:rPr>
        <w:t xml:space="preserve"> или </w:t>
      </w:r>
      <w:proofErr w:type="spellStart"/>
      <w:r w:rsidRPr="004A1A60">
        <w:rPr>
          <w:rFonts w:eastAsia="Times New Roman" w:cs="Arial"/>
          <w:color w:val="000000"/>
          <w:lang w:eastAsia="bg-BG"/>
        </w:rPr>
        <w:t>алискирен</w:t>
      </w:r>
      <w:proofErr w:type="spellEnd"/>
      <w:r w:rsidRPr="004A1A60">
        <w:rPr>
          <w:rFonts w:eastAsia="Times New Roman" w:cs="Arial"/>
          <w:color w:val="000000"/>
          <w:lang w:eastAsia="bg-BG"/>
        </w:rPr>
        <w:t xml:space="preserve"> (вж. точки 4.5 и 5.1).</w:t>
      </w:r>
    </w:p>
    <w:p w14:paraId="700DEE4C" w14:textId="77777777" w:rsidR="00BC73CC" w:rsidRPr="004A1A60" w:rsidRDefault="00BC73CC" w:rsidP="00BC73CC">
      <w:pPr>
        <w:spacing w:line="240" w:lineRule="auto"/>
        <w:rPr>
          <w:rFonts w:eastAsia="Times New Roman" w:cs="Arial"/>
        </w:rPr>
      </w:pPr>
      <w:r w:rsidRPr="004A1A60">
        <w:rPr>
          <w:rFonts w:eastAsia="Times New Roman" w:cs="Arial"/>
          <w:color w:val="000000"/>
          <w:lang w:eastAsia="bg-BG"/>
        </w:rPr>
        <w:t>Ако се прецени, че терапията с двойно блокиране е абсолютно необходима, това трябва да става само под наблюдението на специалист и при често внимателно мониториране на бъбречната функция, електролитите и кръвното налягане.</w:t>
      </w:r>
    </w:p>
    <w:p w14:paraId="617BCA00" w14:textId="77777777" w:rsidR="00BC73CC" w:rsidRPr="004A1A60" w:rsidRDefault="00BC73CC" w:rsidP="00BC73CC">
      <w:pPr>
        <w:spacing w:line="240" w:lineRule="auto"/>
        <w:rPr>
          <w:rFonts w:eastAsia="Times New Roman" w:cs="Arial"/>
        </w:rPr>
      </w:pPr>
      <w:r w:rsidRPr="004A1A60">
        <w:rPr>
          <w:rFonts w:eastAsia="Times New Roman" w:cs="Arial"/>
          <w:color w:val="000000"/>
          <w:lang w:eastAsia="bg-BG"/>
        </w:rPr>
        <w:t xml:space="preserve">АСЕ инхибитори и </w:t>
      </w:r>
      <w:proofErr w:type="spellStart"/>
      <w:r w:rsidRPr="004A1A60">
        <w:rPr>
          <w:rFonts w:eastAsia="Times New Roman" w:cs="Arial"/>
          <w:color w:val="000000"/>
          <w:lang w:eastAsia="bg-BG"/>
        </w:rPr>
        <w:t>ангиотензин</w:t>
      </w:r>
      <w:proofErr w:type="spellEnd"/>
      <w:r w:rsidRPr="004A1A60">
        <w:rPr>
          <w:rFonts w:eastAsia="Times New Roman" w:cs="Arial"/>
          <w:color w:val="000000"/>
          <w:lang w:eastAsia="bg-BG"/>
        </w:rPr>
        <w:t xml:space="preserve"> </w:t>
      </w:r>
      <w:r w:rsidRPr="004A1A60">
        <w:rPr>
          <w:rFonts w:eastAsia="Times New Roman" w:cs="Arial"/>
          <w:color w:val="000000"/>
        </w:rPr>
        <w:t>II</w:t>
      </w:r>
      <w:r w:rsidRPr="004A1A60">
        <w:rPr>
          <w:rFonts w:eastAsia="Times New Roman" w:cs="Arial"/>
          <w:color w:val="000000"/>
          <w:lang w:eastAsia="bg-BG"/>
        </w:rPr>
        <w:t xml:space="preserve">-рецепторни </w:t>
      </w:r>
      <w:proofErr w:type="spellStart"/>
      <w:r w:rsidRPr="004A1A60">
        <w:rPr>
          <w:rFonts w:eastAsia="Times New Roman" w:cs="Arial"/>
          <w:color w:val="000000"/>
          <w:lang w:eastAsia="bg-BG"/>
        </w:rPr>
        <w:t>блокери</w:t>
      </w:r>
      <w:proofErr w:type="spellEnd"/>
      <w:r w:rsidRPr="004A1A60">
        <w:rPr>
          <w:rFonts w:eastAsia="Times New Roman" w:cs="Arial"/>
          <w:color w:val="000000"/>
          <w:lang w:eastAsia="bg-BG"/>
        </w:rPr>
        <w:t xml:space="preserve"> не трябва да се използват едновременно при пациенти с диабетна нефропатия.</w:t>
      </w:r>
    </w:p>
    <w:p w14:paraId="1FA9FE75" w14:textId="77777777" w:rsidR="00BC73CC" w:rsidRPr="004A1A60" w:rsidRDefault="00BC73CC" w:rsidP="00BC73CC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65014D85" w14:textId="533126CA" w:rsidR="00BC73CC" w:rsidRPr="004A1A60" w:rsidRDefault="00BC73CC" w:rsidP="00BC73CC">
      <w:pPr>
        <w:spacing w:line="240" w:lineRule="auto"/>
        <w:rPr>
          <w:rFonts w:eastAsia="Times New Roman" w:cs="Arial"/>
        </w:rPr>
      </w:pPr>
      <w:r w:rsidRPr="004A1A60">
        <w:rPr>
          <w:rFonts w:eastAsia="Times New Roman" w:cs="Arial"/>
          <w:b/>
          <w:bCs/>
          <w:color w:val="000000"/>
          <w:lang w:eastAsia="bg-BG"/>
        </w:rPr>
        <w:t>Литий</w:t>
      </w:r>
    </w:p>
    <w:p w14:paraId="7E07DA41" w14:textId="77777777" w:rsidR="00BC73CC" w:rsidRPr="004A1A60" w:rsidRDefault="00BC73CC" w:rsidP="00BC73CC">
      <w:pPr>
        <w:spacing w:line="240" w:lineRule="auto"/>
        <w:rPr>
          <w:rFonts w:eastAsia="Times New Roman" w:cs="Arial"/>
        </w:rPr>
      </w:pPr>
      <w:r w:rsidRPr="004A1A60">
        <w:rPr>
          <w:rFonts w:eastAsia="Times New Roman" w:cs="Arial"/>
          <w:color w:val="000000"/>
          <w:lang w:eastAsia="bg-BG"/>
        </w:rPr>
        <w:t xml:space="preserve">Подобно на други </w:t>
      </w:r>
      <w:proofErr w:type="spellStart"/>
      <w:r w:rsidRPr="004A1A60">
        <w:rPr>
          <w:rFonts w:eastAsia="Times New Roman" w:cs="Arial"/>
          <w:color w:val="000000"/>
          <w:lang w:eastAsia="bg-BG"/>
        </w:rPr>
        <w:t>ангиотензин</w:t>
      </w:r>
      <w:proofErr w:type="spellEnd"/>
      <w:r w:rsidRPr="004A1A60">
        <w:rPr>
          <w:rFonts w:eastAsia="Times New Roman" w:cs="Arial"/>
          <w:color w:val="000000"/>
          <w:lang w:eastAsia="bg-BG"/>
        </w:rPr>
        <w:t xml:space="preserve">-П-рецепторни антагонисти, не се препоръчва едновременното приложение на литий с </w:t>
      </w:r>
      <w:proofErr w:type="spellStart"/>
      <w:r w:rsidRPr="004A1A60">
        <w:rPr>
          <w:rFonts w:eastAsia="Times New Roman" w:cs="Arial"/>
          <w:color w:val="00000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4A1A60">
        <w:rPr>
          <w:rFonts w:eastAsia="Times New Roman" w:cs="Arial"/>
          <w:color w:val="000000"/>
          <w:lang w:eastAsia="bg-BG"/>
        </w:rPr>
        <w:t>медоксомил</w:t>
      </w:r>
      <w:proofErr w:type="spellEnd"/>
      <w:r w:rsidRPr="004A1A60">
        <w:rPr>
          <w:rFonts w:eastAsia="Times New Roman" w:cs="Arial"/>
          <w:color w:val="000000"/>
          <w:lang w:eastAsia="bg-BG"/>
        </w:rPr>
        <w:t xml:space="preserve"> (вижте точка 4.5).</w:t>
      </w:r>
    </w:p>
    <w:p w14:paraId="542D067B" w14:textId="77777777" w:rsidR="00BC73CC" w:rsidRPr="004A1A60" w:rsidRDefault="00BC73CC" w:rsidP="00BC73CC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0E4CE1E2" w14:textId="36802460" w:rsidR="00BC73CC" w:rsidRPr="004A1A60" w:rsidRDefault="00BC73CC" w:rsidP="00BC73CC">
      <w:pPr>
        <w:spacing w:line="240" w:lineRule="auto"/>
        <w:rPr>
          <w:rFonts w:eastAsia="Times New Roman" w:cs="Arial"/>
        </w:rPr>
      </w:pPr>
      <w:proofErr w:type="spellStart"/>
      <w:r w:rsidRPr="004A1A60">
        <w:rPr>
          <w:rFonts w:eastAsia="Times New Roman" w:cs="Arial"/>
          <w:b/>
          <w:bCs/>
          <w:color w:val="000000"/>
          <w:lang w:eastAsia="bg-BG"/>
        </w:rPr>
        <w:t>Стеноза</w:t>
      </w:r>
      <w:proofErr w:type="spellEnd"/>
      <w:r w:rsidRPr="004A1A60">
        <w:rPr>
          <w:rFonts w:eastAsia="Times New Roman" w:cs="Arial"/>
          <w:b/>
          <w:bCs/>
          <w:color w:val="000000"/>
          <w:lang w:eastAsia="bg-BG"/>
        </w:rPr>
        <w:t xml:space="preserve"> на аортната или </w:t>
      </w:r>
      <w:proofErr w:type="spellStart"/>
      <w:r w:rsidRPr="004A1A60">
        <w:rPr>
          <w:rFonts w:eastAsia="Times New Roman" w:cs="Arial"/>
          <w:b/>
          <w:bCs/>
          <w:color w:val="000000"/>
          <w:lang w:eastAsia="bg-BG"/>
        </w:rPr>
        <w:t>митралната</w:t>
      </w:r>
      <w:proofErr w:type="spellEnd"/>
      <w:r w:rsidRPr="004A1A60">
        <w:rPr>
          <w:rFonts w:eastAsia="Times New Roman" w:cs="Arial"/>
          <w:b/>
          <w:bCs/>
          <w:color w:val="000000"/>
          <w:lang w:eastAsia="bg-BG"/>
        </w:rPr>
        <w:t xml:space="preserve"> клапа, </w:t>
      </w:r>
      <w:proofErr w:type="spellStart"/>
      <w:r w:rsidRPr="004A1A60">
        <w:rPr>
          <w:rFonts w:eastAsia="Times New Roman" w:cs="Arial"/>
          <w:b/>
          <w:bCs/>
          <w:color w:val="000000"/>
          <w:lang w:eastAsia="bg-BG"/>
        </w:rPr>
        <w:t>обструктив</w:t>
      </w:r>
      <w:r w:rsidR="004A1A60">
        <w:rPr>
          <w:rFonts w:eastAsia="Times New Roman" w:cs="Arial"/>
          <w:b/>
          <w:bCs/>
          <w:color w:val="000000"/>
          <w:lang w:eastAsia="bg-BG"/>
        </w:rPr>
        <w:t>н</w:t>
      </w:r>
      <w:r w:rsidRPr="004A1A60">
        <w:rPr>
          <w:rFonts w:eastAsia="Times New Roman" w:cs="Arial"/>
          <w:b/>
          <w:bCs/>
          <w:color w:val="000000"/>
          <w:lang w:eastAsia="bg-BG"/>
        </w:rPr>
        <w:t>а</w:t>
      </w:r>
      <w:proofErr w:type="spellEnd"/>
      <w:r w:rsidRPr="004A1A60">
        <w:rPr>
          <w:rFonts w:eastAsia="Times New Roman" w:cs="Arial"/>
          <w:b/>
          <w:bCs/>
          <w:color w:val="000000"/>
          <w:lang w:eastAsia="bg-BG"/>
        </w:rPr>
        <w:t xml:space="preserve"> хипертрофична кардиомиопатия</w:t>
      </w:r>
    </w:p>
    <w:p w14:paraId="36824EBA" w14:textId="77777777" w:rsidR="00BC73CC" w:rsidRPr="004A1A60" w:rsidRDefault="00BC73CC" w:rsidP="00BC73CC">
      <w:pPr>
        <w:spacing w:line="240" w:lineRule="auto"/>
        <w:rPr>
          <w:rFonts w:eastAsia="Times New Roman" w:cs="Arial"/>
        </w:rPr>
      </w:pPr>
      <w:r w:rsidRPr="004A1A60">
        <w:rPr>
          <w:rFonts w:eastAsia="Times New Roman" w:cs="Arial"/>
          <w:color w:val="000000"/>
          <w:lang w:eastAsia="bg-BG"/>
        </w:rPr>
        <w:t xml:space="preserve">Подобно на други </w:t>
      </w:r>
      <w:proofErr w:type="spellStart"/>
      <w:r w:rsidRPr="004A1A60">
        <w:rPr>
          <w:rFonts w:eastAsia="Times New Roman" w:cs="Arial"/>
          <w:color w:val="000000"/>
          <w:lang w:eastAsia="bg-BG"/>
        </w:rPr>
        <w:t>вазодилататори</w:t>
      </w:r>
      <w:proofErr w:type="spellEnd"/>
      <w:r w:rsidRPr="004A1A60">
        <w:rPr>
          <w:rFonts w:eastAsia="Times New Roman" w:cs="Arial"/>
          <w:color w:val="000000"/>
          <w:lang w:eastAsia="bg-BG"/>
        </w:rPr>
        <w:t xml:space="preserve"> е необходимо внимание при пациенти със </w:t>
      </w:r>
      <w:proofErr w:type="spellStart"/>
      <w:r w:rsidRPr="004A1A60">
        <w:rPr>
          <w:rFonts w:eastAsia="Times New Roman" w:cs="Arial"/>
          <w:color w:val="000000"/>
          <w:lang w:eastAsia="bg-BG"/>
        </w:rPr>
        <w:t>стеноза</w:t>
      </w:r>
      <w:proofErr w:type="spellEnd"/>
      <w:r w:rsidRPr="004A1A60">
        <w:rPr>
          <w:rFonts w:eastAsia="Times New Roman" w:cs="Arial"/>
          <w:color w:val="000000"/>
          <w:lang w:eastAsia="bg-BG"/>
        </w:rPr>
        <w:t xml:space="preserve"> на аортната или </w:t>
      </w:r>
      <w:proofErr w:type="spellStart"/>
      <w:r w:rsidRPr="004A1A60">
        <w:rPr>
          <w:rFonts w:eastAsia="Times New Roman" w:cs="Arial"/>
          <w:color w:val="000000"/>
          <w:lang w:eastAsia="bg-BG"/>
        </w:rPr>
        <w:t>митралната</w:t>
      </w:r>
      <w:proofErr w:type="spellEnd"/>
      <w:r w:rsidRPr="004A1A60">
        <w:rPr>
          <w:rFonts w:eastAsia="Times New Roman" w:cs="Arial"/>
          <w:color w:val="000000"/>
          <w:lang w:eastAsia="bg-BG"/>
        </w:rPr>
        <w:t xml:space="preserve"> клапа, както и с </w:t>
      </w:r>
      <w:proofErr w:type="spellStart"/>
      <w:r w:rsidRPr="004A1A60">
        <w:rPr>
          <w:rFonts w:eastAsia="Times New Roman" w:cs="Arial"/>
          <w:color w:val="000000"/>
          <w:lang w:eastAsia="bg-BG"/>
        </w:rPr>
        <w:t>обструктивиа</w:t>
      </w:r>
      <w:proofErr w:type="spellEnd"/>
      <w:r w:rsidRPr="004A1A60">
        <w:rPr>
          <w:rFonts w:eastAsia="Times New Roman" w:cs="Arial"/>
          <w:color w:val="000000"/>
          <w:lang w:eastAsia="bg-BG"/>
        </w:rPr>
        <w:t xml:space="preserve"> хипертрофична кардиомиопатия.</w:t>
      </w:r>
    </w:p>
    <w:p w14:paraId="68A2681A" w14:textId="77777777" w:rsidR="00BC73CC" w:rsidRPr="004A1A60" w:rsidRDefault="00BC73CC" w:rsidP="00BC73CC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4013152E" w14:textId="5E5E7459" w:rsidR="00BC73CC" w:rsidRPr="004A1A60" w:rsidRDefault="00BC73CC" w:rsidP="00BC73CC">
      <w:pPr>
        <w:spacing w:line="240" w:lineRule="auto"/>
        <w:rPr>
          <w:rFonts w:eastAsia="Times New Roman" w:cs="Arial"/>
        </w:rPr>
      </w:pPr>
      <w:r w:rsidRPr="004A1A60">
        <w:rPr>
          <w:rFonts w:eastAsia="Times New Roman" w:cs="Arial"/>
          <w:b/>
          <w:bCs/>
          <w:color w:val="000000"/>
          <w:lang w:eastAsia="bg-BG"/>
        </w:rPr>
        <w:t xml:space="preserve">Първичен </w:t>
      </w:r>
      <w:proofErr w:type="spellStart"/>
      <w:r w:rsidRPr="004A1A60">
        <w:rPr>
          <w:rFonts w:eastAsia="Times New Roman" w:cs="Arial"/>
          <w:b/>
          <w:bCs/>
          <w:color w:val="000000"/>
          <w:lang w:eastAsia="bg-BG"/>
        </w:rPr>
        <w:t>алдостеронизъм</w:t>
      </w:r>
      <w:proofErr w:type="spellEnd"/>
    </w:p>
    <w:p w14:paraId="372056DC" w14:textId="77777777" w:rsidR="00BC73CC" w:rsidRPr="004A1A60" w:rsidRDefault="00BC73CC" w:rsidP="00BC73CC">
      <w:pPr>
        <w:spacing w:line="240" w:lineRule="auto"/>
        <w:rPr>
          <w:rFonts w:eastAsia="Times New Roman" w:cs="Arial"/>
        </w:rPr>
      </w:pPr>
      <w:r w:rsidRPr="004A1A60">
        <w:rPr>
          <w:rFonts w:eastAsia="Times New Roman" w:cs="Arial"/>
          <w:color w:val="000000"/>
          <w:lang w:eastAsia="bg-BG"/>
        </w:rPr>
        <w:t xml:space="preserve">Пациентите с първичен </w:t>
      </w:r>
      <w:proofErr w:type="spellStart"/>
      <w:r w:rsidRPr="004A1A60">
        <w:rPr>
          <w:rFonts w:eastAsia="Times New Roman" w:cs="Arial"/>
          <w:color w:val="000000"/>
          <w:lang w:eastAsia="bg-BG"/>
        </w:rPr>
        <w:t>алдостеронизъм</w:t>
      </w:r>
      <w:proofErr w:type="spellEnd"/>
      <w:r w:rsidRPr="004A1A60">
        <w:rPr>
          <w:rFonts w:eastAsia="Times New Roman" w:cs="Arial"/>
          <w:color w:val="000000"/>
          <w:lang w:eastAsia="bg-BG"/>
        </w:rPr>
        <w:t xml:space="preserve"> по принцип не отговарят на лечение с антихипертензивни лекарства, действащи чрез инхибиране на ренин-</w:t>
      </w:r>
      <w:proofErr w:type="spellStart"/>
      <w:r w:rsidRPr="004A1A60">
        <w:rPr>
          <w:rFonts w:eastAsia="Times New Roman" w:cs="Arial"/>
          <w:color w:val="000000"/>
          <w:lang w:eastAsia="bg-BG"/>
        </w:rPr>
        <w:t>ангиотензин</w:t>
      </w:r>
      <w:proofErr w:type="spellEnd"/>
      <w:r w:rsidRPr="004A1A60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4A1A60">
        <w:rPr>
          <w:rFonts w:eastAsia="Times New Roman" w:cs="Arial"/>
          <w:color w:val="000000"/>
          <w:lang w:eastAsia="bg-BG"/>
        </w:rPr>
        <w:t>алдостероновата</w:t>
      </w:r>
      <w:proofErr w:type="spellEnd"/>
      <w:r w:rsidRPr="004A1A60">
        <w:rPr>
          <w:rFonts w:eastAsia="Times New Roman" w:cs="Arial"/>
          <w:color w:val="000000"/>
          <w:lang w:eastAsia="bg-BG"/>
        </w:rPr>
        <w:t xml:space="preserve"> система. Ето защо при тези пациенти не се препоръчва приложението на </w:t>
      </w:r>
      <w:proofErr w:type="spellStart"/>
      <w:r w:rsidRPr="004A1A60">
        <w:rPr>
          <w:rFonts w:eastAsia="Times New Roman" w:cs="Arial"/>
          <w:color w:val="00000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4A1A60">
        <w:rPr>
          <w:rFonts w:eastAsia="Times New Roman" w:cs="Arial"/>
          <w:color w:val="000000"/>
          <w:lang w:eastAsia="bg-BG"/>
        </w:rPr>
        <w:t>медоксомил</w:t>
      </w:r>
      <w:proofErr w:type="spellEnd"/>
      <w:r w:rsidRPr="004A1A60">
        <w:rPr>
          <w:rFonts w:eastAsia="Times New Roman" w:cs="Arial"/>
          <w:color w:val="000000"/>
          <w:lang w:eastAsia="bg-BG"/>
        </w:rPr>
        <w:t>.</w:t>
      </w:r>
    </w:p>
    <w:p w14:paraId="136B2657" w14:textId="77777777" w:rsidR="00BC73CC" w:rsidRPr="004A1A60" w:rsidRDefault="00BC73CC" w:rsidP="00BC73CC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6EB104E5" w14:textId="39808B42" w:rsidR="00BC73CC" w:rsidRPr="004A1A60" w:rsidRDefault="00BC73CC" w:rsidP="00BC73CC">
      <w:pPr>
        <w:spacing w:line="240" w:lineRule="auto"/>
        <w:rPr>
          <w:rFonts w:eastAsia="Times New Roman" w:cs="Arial"/>
        </w:rPr>
      </w:pPr>
      <w:proofErr w:type="spellStart"/>
      <w:r w:rsidRPr="004A1A60">
        <w:rPr>
          <w:rFonts w:eastAsia="Times New Roman" w:cs="Arial"/>
          <w:b/>
          <w:bCs/>
          <w:color w:val="000000"/>
          <w:lang w:eastAsia="bg-BG"/>
        </w:rPr>
        <w:t>Шпру</w:t>
      </w:r>
      <w:proofErr w:type="spellEnd"/>
      <w:r w:rsidRPr="004A1A60">
        <w:rPr>
          <w:rFonts w:eastAsia="Times New Roman" w:cs="Arial"/>
          <w:b/>
          <w:bCs/>
          <w:color w:val="000000"/>
          <w:lang w:eastAsia="bg-BG"/>
        </w:rPr>
        <w:t xml:space="preserve">-подобна </w:t>
      </w:r>
      <w:proofErr w:type="spellStart"/>
      <w:r w:rsidRPr="004A1A60">
        <w:rPr>
          <w:rFonts w:eastAsia="Times New Roman" w:cs="Arial"/>
          <w:b/>
          <w:bCs/>
          <w:color w:val="000000"/>
          <w:lang w:eastAsia="bg-BG"/>
        </w:rPr>
        <w:t>ентеропатия</w:t>
      </w:r>
      <w:proofErr w:type="spellEnd"/>
    </w:p>
    <w:p w14:paraId="284F293A" w14:textId="10AA9666" w:rsidR="00BC73CC" w:rsidRPr="004A1A60" w:rsidRDefault="00BC73CC" w:rsidP="00BC73CC">
      <w:pPr>
        <w:rPr>
          <w:rFonts w:eastAsia="Times New Roman" w:cs="Arial"/>
          <w:color w:val="000000"/>
          <w:lang w:eastAsia="bg-BG"/>
        </w:rPr>
      </w:pPr>
      <w:r w:rsidRPr="004A1A60">
        <w:rPr>
          <w:rFonts w:eastAsia="Times New Roman" w:cs="Arial"/>
          <w:color w:val="000000"/>
          <w:lang w:eastAsia="bg-BG"/>
        </w:rPr>
        <w:t xml:space="preserve">В много редки случаи се съобщава тежка, хронична диария със значителна загуба на тегло при пациенти, приемащи </w:t>
      </w:r>
      <w:proofErr w:type="spellStart"/>
      <w:r w:rsidRPr="004A1A60">
        <w:rPr>
          <w:rFonts w:eastAsia="Times New Roman" w:cs="Arial"/>
          <w:color w:val="00000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lang w:eastAsia="bg-BG"/>
        </w:rPr>
        <w:t xml:space="preserve"> няколко месеца до години след започване на лечението, вероятно причинена от локализирана реакция на свръхчувствителност от забавен тип. Чревните биопсии на пациентите често показват </w:t>
      </w:r>
      <w:proofErr w:type="spellStart"/>
      <w:r w:rsidRPr="004A1A60">
        <w:rPr>
          <w:rFonts w:eastAsia="Times New Roman" w:cs="Arial"/>
          <w:color w:val="000000"/>
          <w:lang w:eastAsia="bg-BG"/>
        </w:rPr>
        <w:t>вилозна</w:t>
      </w:r>
      <w:proofErr w:type="spellEnd"/>
      <w:r w:rsidRPr="004A1A60">
        <w:rPr>
          <w:rFonts w:eastAsia="Times New Roman" w:cs="Arial"/>
          <w:color w:val="000000"/>
          <w:lang w:eastAsia="bg-BG"/>
        </w:rPr>
        <w:t xml:space="preserve"> атрофия. Ако при пациент се появят тези симптоми по време на лечението с </w:t>
      </w:r>
      <w:proofErr w:type="spellStart"/>
      <w:r w:rsidRPr="004A1A60">
        <w:rPr>
          <w:rFonts w:eastAsia="Times New Roman" w:cs="Arial"/>
          <w:color w:val="00000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lang w:eastAsia="bg-BG"/>
        </w:rPr>
        <w:t xml:space="preserve">, и при липса на друга очевидна етиология, лечението с </w:t>
      </w:r>
      <w:proofErr w:type="spellStart"/>
      <w:r w:rsidRPr="004A1A60">
        <w:rPr>
          <w:rFonts w:eastAsia="Times New Roman" w:cs="Arial"/>
          <w:color w:val="00000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lang w:eastAsia="bg-BG"/>
        </w:rPr>
        <w:t xml:space="preserve"> трябва да се преустанови незабавно и да не се започва </w:t>
      </w:r>
      <w:proofErr w:type="spellStart"/>
      <w:r w:rsidRPr="004A1A60">
        <w:rPr>
          <w:rFonts w:eastAsia="Times New Roman" w:cs="Arial"/>
          <w:color w:val="000000"/>
          <w:lang w:eastAsia="bg-BG"/>
        </w:rPr>
        <w:t>отновп</w:t>
      </w:r>
      <w:proofErr w:type="spellEnd"/>
      <w:r w:rsidRPr="004A1A60">
        <w:rPr>
          <w:rFonts w:eastAsia="Times New Roman" w:cs="Arial"/>
          <w:color w:val="000000"/>
          <w:lang w:eastAsia="bg-BG"/>
        </w:rPr>
        <w:t>. Ако</w:t>
      </w:r>
      <w:r w:rsidRPr="004A1A60">
        <w:rPr>
          <w:rFonts w:eastAsia="Times New Roman" w:cs="Arial"/>
          <w:i/>
          <w:iCs/>
          <w:color w:val="000000"/>
          <w:lang w:eastAsia="bg-BG"/>
        </w:rPr>
        <w:t xml:space="preserve"> </w:t>
      </w:r>
      <w:r w:rsidRPr="004A1A60">
        <w:rPr>
          <w:rFonts w:eastAsia="Times New Roman" w:cs="Arial"/>
          <w:color w:val="000000"/>
          <w:lang w:eastAsia="bg-BG"/>
        </w:rPr>
        <w:t>диарията не се подобри в течение на една седмица след прекратяване на приема, трябва да последва консултация със специалист (напр. гастроентеролог).</w:t>
      </w:r>
    </w:p>
    <w:p w14:paraId="7B5882C5" w14:textId="0D9DB6DB" w:rsidR="00BC73CC" w:rsidRPr="004A1A60" w:rsidRDefault="00BC73CC" w:rsidP="00BC73CC">
      <w:pPr>
        <w:rPr>
          <w:rFonts w:eastAsia="Times New Roman" w:cs="Arial"/>
          <w:color w:val="000000"/>
          <w:lang w:eastAsia="bg-BG"/>
        </w:rPr>
      </w:pPr>
    </w:p>
    <w:p w14:paraId="2AF467E1" w14:textId="77777777" w:rsidR="00BC73CC" w:rsidRPr="004A1A60" w:rsidRDefault="00BC73CC" w:rsidP="00BC73CC">
      <w:pPr>
        <w:spacing w:line="240" w:lineRule="auto"/>
        <w:rPr>
          <w:rFonts w:eastAsia="Times New Roman" w:cs="Arial"/>
        </w:rPr>
      </w:pPr>
      <w:r w:rsidRPr="004A1A60">
        <w:rPr>
          <w:rFonts w:eastAsia="Times New Roman" w:cs="Arial"/>
          <w:b/>
          <w:bCs/>
          <w:color w:val="000000"/>
          <w:lang w:eastAsia="bg-BG"/>
        </w:rPr>
        <w:t>Расови особености</w:t>
      </w:r>
    </w:p>
    <w:p w14:paraId="7D41F53B" w14:textId="77777777" w:rsidR="00BC73CC" w:rsidRPr="004A1A60" w:rsidRDefault="00BC73CC" w:rsidP="00BC73CC">
      <w:pPr>
        <w:spacing w:line="240" w:lineRule="auto"/>
        <w:rPr>
          <w:rFonts w:eastAsia="Times New Roman" w:cs="Arial"/>
        </w:rPr>
      </w:pPr>
      <w:r w:rsidRPr="004A1A60">
        <w:rPr>
          <w:rFonts w:eastAsia="Times New Roman" w:cs="Arial"/>
          <w:color w:val="000000"/>
          <w:lang w:eastAsia="bg-BG"/>
        </w:rPr>
        <w:t xml:space="preserve">Както при всички други </w:t>
      </w:r>
      <w:proofErr w:type="spellStart"/>
      <w:r w:rsidRPr="004A1A60">
        <w:rPr>
          <w:rFonts w:eastAsia="Times New Roman" w:cs="Arial"/>
          <w:color w:val="000000"/>
          <w:lang w:eastAsia="bg-BG"/>
        </w:rPr>
        <w:t>ангиотензин</w:t>
      </w:r>
      <w:proofErr w:type="spellEnd"/>
      <w:r w:rsidRPr="004A1A60">
        <w:rPr>
          <w:rFonts w:eastAsia="Times New Roman" w:cs="Arial"/>
          <w:color w:val="000000"/>
          <w:lang w:eastAsia="bg-BG"/>
        </w:rPr>
        <w:t xml:space="preserve"> II антагонисти, понижаващият артериалното налягане ефект на </w:t>
      </w:r>
      <w:proofErr w:type="spellStart"/>
      <w:r w:rsidRPr="004A1A60">
        <w:rPr>
          <w:rFonts w:eastAsia="Times New Roman" w:cs="Arial"/>
          <w:color w:val="00000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4A1A60">
        <w:rPr>
          <w:rFonts w:eastAsia="Times New Roman" w:cs="Arial"/>
          <w:color w:val="000000"/>
          <w:lang w:eastAsia="bg-BG"/>
        </w:rPr>
        <w:t>медоксомил</w:t>
      </w:r>
      <w:proofErr w:type="spellEnd"/>
      <w:r w:rsidRPr="004A1A60">
        <w:rPr>
          <w:rFonts w:eastAsia="Times New Roman" w:cs="Arial"/>
          <w:color w:val="000000"/>
          <w:lang w:eastAsia="bg-BG"/>
        </w:rPr>
        <w:t xml:space="preserve"> може да бъде в известна степен по-слаб при чернокожи пациенти в сравнение с останалите пациенти, вероятно поради по-високата честота на </w:t>
      </w:r>
      <w:proofErr w:type="spellStart"/>
      <w:r w:rsidRPr="004A1A60">
        <w:rPr>
          <w:rFonts w:eastAsia="Times New Roman" w:cs="Arial"/>
          <w:color w:val="000000"/>
          <w:lang w:eastAsia="bg-BG"/>
        </w:rPr>
        <w:t>нискорениновия</w:t>
      </w:r>
      <w:proofErr w:type="spellEnd"/>
      <w:r w:rsidRPr="004A1A60">
        <w:rPr>
          <w:rFonts w:eastAsia="Times New Roman" w:cs="Arial"/>
          <w:color w:val="000000"/>
          <w:lang w:eastAsia="bg-BG"/>
        </w:rPr>
        <w:t xml:space="preserve"> статус в популацията при чернокожи хипертоници.</w:t>
      </w:r>
    </w:p>
    <w:p w14:paraId="3F4B5F15" w14:textId="77777777" w:rsidR="00BC73CC" w:rsidRPr="004A1A60" w:rsidRDefault="00BC73CC" w:rsidP="00BC73CC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6669D81C" w14:textId="0F6F6391" w:rsidR="00BC73CC" w:rsidRPr="004A1A60" w:rsidRDefault="00BC73CC" w:rsidP="00BC73CC">
      <w:pPr>
        <w:spacing w:line="240" w:lineRule="auto"/>
        <w:rPr>
          <w:rFonts w:eastAsia="Times New Roman" w:cs="Arial"/>
        </w:rPr>
      </w:pPr>
      <w:r w:rsidRPr="004A1A60">
        <w:rPr>
          <w:rFonts w:eastAsia="Times New Roman" w:cs="Arial"/>
          <w:b/>
          <w:bCs/>
          <w:color w:val="000000"/>
          <w:lang w:eastAsia="bg-BG"/>
        </w:rPr>
        <w:t>Бременност</w:t>
      </w:r>
    </w:p>
    <w:p w14:paraId="059497CC" w14:textId="77777777" w:rsidR="00BC73CC" w:rsidRPr="004A1A60" w:rsidRDefault="00BC73CC" w:rsidP="00BC73CC">
      <w:pPr>
        <w:spacing w:line="240" w:lineRule="auto"/>
        <w:rPr>
          <w:rFonts w:eastAsia="Times New Roman" w:cs="Arial"/>
        </w:rPr>
      </w:pPr>
      <w:r w:rsidRPr="004A1A60">
        <w:rPr>
          <w:rFonts w:eastAsia="Times New Roman" w:cs="Arial"/>
          <w:color w:val="000000"/>
          <w:lang w:eastAsia="bg-BG"/>
        </w:rPr>
        <w:t xml:space="preserve">При бременност не трябва да се започва лечение с </w:t>
      </w:r>
      <w:proofErr w:type="spellStart"/>
      <w:r w:rsidRPr="004A1A60">
        <w:rPr>
          <w:rFonts w:eastAsia="Times New Roman" w:cs="Arial"/>
          <w:color w:val="000000"/>
          <w:lang w:eastAsia="bg-BG"/>
        </w:rPr>
        <w:t>ангиотензин</w:t>
      </w:r>
      <w:proofErr w:type="spellEnd"/>
      <w:r w:rsidRPr="004A1A60">
        <w:rPr>
          <w:rFonts w:eastAsia="Times New Roman" w:cs="Arial"/>
          <w:color w:val="000000"/>
          <w:lang w:eastAsia="bg-BG"/>
        </w:rPr>
        <w:t xml:space="preserve"> II антагонисти. Освен ако продължението на лечението с </w:t>
      </w:r>
      <w:proofErr w:type="spellStart"/>
      <w:r w:rsidRPr="004A1A60">
        <w:rPr>
          <w:rFonts w:eastAsia="Times New Roman" w:cs="Arial"/>
          <w:color w:val="000000"/>
          <w:lang w:eastAsia="bg-BG"/>
        </w:rPr>
        <w:t>ангиотензин</w:t>
      </w:r>
      <w:proofErr w:type="spellEnd"/>
      <w:r w:rsidRPr="004A1A60">
        <w:rPr>
          <w:rFonts w:eastAsia="Times New Roman" w:cs="Arial"/>
          <w:color w:val="000000"/>
          <w:lang w:eastAsia="bg-BG"/>
        </w:rPr>
        <w:t xml:space="preserve"> II антагонист не е от съществено значение, пациентките, които планират бременност, трябва да преминат на друго антихипертензивно лечение, което е с доказан профил на безопасност при бременност. При диагностициране на бременност, лечението с </w:t>
      </w:r>
      <w:proofErr w:type="spellStart"/>
      <w:r w:rsidRPr="004A1A60">
        <w:rPr>
          <w:rFonts w:eastAsia="Times New Roman" w:cs="Arial"/>
          <w:color w:val="000000"/>
          <w:lang w:eastAsia="bg-BG"/>
        </w:rPr>
        <w:t>ангиотензин</w:t>
      </w:r>
      <w:proofErr w:type="spellEnd"/>
      <w:r w:rsidRPr="004A1A60">
        <w:rPr>
          <w:rFonts w:eastAsia="Times New Roman" w:cs="Arial"/>
          <w:color w:val="000000"/>
          <w:lang w:eastAsia="bg-BG"/>
        </w:rPr>
        <w:t xml:space="preserve"> II антагонисти трябва веднага да се преустанови и при необходимост да се започне друго лечение (вижте точка 4.3 и 4.6).</w:t>
      </w:r>
    </w:p>
    <w:p w14:paraId="0886425B" w14:textId="77777777" w:rsidR="00BC73CC" w:rsidRPr="004A1A60" w:rsidRDefault="00BC73CC" w:rsidP="00BC73CC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3090169F" w14:textId="498B8551" w:rsidR="00BC73CC" w:rsidRPr="004A1A60" w:rsidRDefault="00BC73CC" w:rsidP="00BC73CC">
      <w:pPr>
        <w:spacing w:line="240" w:lineRule="auto"/>
        <w:rPr>
          <w:rFonts w:eastAsia="Times New Roman" w:cs="Arial"/>
        </w:rPr>
      </w:pPr>
      <w:r w:rsidRPr="004A1A60">
        <w:rPr>
          <w:rFonts w:eastAsia="Times New Roman" w:cs="Arial"/>
          <w:b/>
          <w:bCs/>
          <w:color w:val="000000"/>
          <w:lang w:eastAsia="bg-BG"/>
        </w:rPr>
        <w:t>Други</w:t>
      </w:r>
    </w:p>
    <w:p w14:paraId="22C09D5E" w14:textId="77777777" w:rsidR="00BC73CC" w:rsidRPr="004A1A60" w:rsidRDefault="00BC73CC" w:rsidP="00BC73CC">
      <w:pPr>
        <w:spacing w:line="240" w:lineRule="auto"/>
        <w:rPr>
          <w:rFonts w:eastAsia="Times New Roman" w:cs="Arial"/>
        </w:rPr>
      </w:pPr>
      <w:r w:rsidRPr="004A1A60">
        <w:rPr>
          <w:rFonts w:eastAsia="Times New Roman" w:cs="Arial"/>
          <w:color w:val="000000"/>
          <w:lang w:eastAsia="bg-BG"/>
        </w:rPr>
        <w:lastRenderedPageBreak/>
        <w:t>Както и при други антихипертензивни лекарства, прекомерното понижение на кръвното налягане при пациенти с исхемична болест на сърцето или исхемична мозъчно-съдова болест може да доведе до инфаркт на миокарда или инсулт.</w:t>
      </w:r>
    </w:p>
    <w:p w14:paraId="6A106FA6" w14:textId="77777777" w:rsidR="00BC73CC" w:rsidRPr="004A1A60" w:rsidRDefault="00BC73CC" w:rsidP="00BC73CC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261DD30" w14:textId="21AC4CF1" w:rsidR="00BC73CC" w:rsidRPr="004A1A60" w:rsidRDefault="00BC73CC" w:rsidP="00BC73CC">
      <w:pPr>
        <w:spacing w:line="240" w:lineRule="auto"/>
        <w:rPr>
          <w:rFonts w:eastAsia="Times New Roman" w:cs="Arial"/>
        </w:rPr>
      </w:pPr>
      <w:r w:rsidRPr="004A1A60">
        <w:rPr>
          <w:rFonts w:eastAsia="Times New Roman" w:cs="Arial"/>
          <w:color w:val="000000"/>
          <w:lang w:eastAsia="bg-BG"/>
        </w:rPr>
        <w:t xml:space="preserve">Този лекарствен продукт съдържа лактоза. Пациентите с редки наследствени проблеми, като непоносимост към </w:t>
      </w:r>
      <w:proofErr w:type="spellStart"/>
      <w:r w:rsidRPr="004A1A60">
        <w:rPr>
          <w:rFonts w:eastAsia="Times New Roman" w:cs="Arial"/>
          <w:color w:val="000000"/>
          <w:lang w:eastAsia="bg-BG"/>
        </w:rPr>
        <w:t>галактоза</w:t>
      </w:r>
      <w:proofErr w:type="spellEnd"/>
      <w:r w:rsidRPr="004A1A60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4A1A60">
        <w:rPr>
          <w:rFonts w:eastAsia="Times New Roman" w:cs="Arial"/>
          <w:color w:val="000000"/>
        </w:rPr>
        <w:t>Lapp</w:t>
      </w:r>
      <w:r w:rsidRPr="004A1A60">
        <w:rPr>
          <w:rFonts w:eastAsia="Times New Roman" w:cs="Arial"/>
          <w:color w:val="000000"/>
          <w:lang w:eastAsia="bg-BG"/>
        </w:rPr>
        <w:t>-лактазен</w:t>
      </w:r>
      <w:proofErr w:type="spellEnd"/>
      <w:r w:rsidRPr="004A1A60">
        <w:rPr>
          <w:rFonts w:eastAsia="Times New Roman" w:cs="Arial"/>
          <w:color w:val="000000"/>
          <w:lang w:eastAsia="bg-BG"/>
        </w:rPr>
        <w:t xml:space="preserve"> дефицит или </w:t>
      </w:r>
      <w:proofErr w:type="spellStart"/>
      <w:r w:rsidRPr="004A1A60">
        <w:rPr>
          <w:rFonts w:eastAsia="Times New Roman" w:cs="Arial"/>
          <w:color w:val="000000"/>
          <w:lang w:eastAsia="bg-BG"/>
        </w:rPr>
        <w:t>глюкозо-галактозна</w:t>
      </w:r>
      <w:proofErr w:type="spellEnd"/>
      <w:r w:rsidRPr="004A1A60">
        <w:rPr>
          <w:rFonts w:eastAsia="Times New Roman" w:cs="Arial"/>
          <w:color w:val="000000"/>
          <w:lang w:eastAsia="bg-BG"/>
        </w:rPr>
        <w:t xml:space="preserve"> малабсорбция не трябва да приемат този лекарствен продукт.</w:t>
      </w:r>
    </w:p>
    <w:p w14:paraId="767CA9A0" w14:textId="77777777" w:rsidR="00BC73CC" w:rsidRPr="004A1A60" w:rsidRDefault="00BC73CC" w:rsidP="00BC73CC"/>
    <w:p w14:paraId="524AC966" w14:textId="665F2E35" w:rsidR="001A6EBD" w:rsidRPr="004A1A60" w:rsidRDefault="002C50EE" w:rsidP="00471F10">
      <w:pPr>
        <w:pStyle w:val="Heading2"/>
      </w:pPr>
      <w:r w:rsidRPr="004A1A60">
        <w:t>4.5. Взаимодействие с други лекарствени продукти и други форми на</w:t>
      </w:r>
      <w:r w:rsidR="004F1CE7" w:rsidRPr="004A1A60">
        <w:t xml:space="preserve"> взаимодействие</w:t>
      </w:r>
    </w:p>
    <w:p w14:paraId="6C7CA355" w14:textId="0492EC4B" w:rsidR="00BC73CC" w:rsidRPr="004A1A60" w:rsidRDefault="00BC73CC" w:rsidP="00BC73CC"/>
    <w:p w14:paraId="717D6560" w14:textId="77777777" w:rsidR="00BC73CC" w:rsidRPr="004A1A60" w:rsidRDefault="00BC73CC" w:rsidP="00BC73CC">
      <w:pPr>
        <w:spacing w:line="240" w:lineRule="auto"/>
        <w:rPr>
          <w:rFonts w:eastAsia="Times New Roman" w:cs="Arial"/>
          <w:sz w:val="28"/>
          <w:szCs w:val="24"/>
        </w:rPr>
      </w:pPr>
      <w:r w:rsidRPr="004A1A60">
        <w:rPr>
          <w:rFonts w:eastAsia="Times New Roman" w:cs="Arial"/>
          <w:b/>
          <w:bCs/>
          <w:color w:val="000000"/>
          <w:szCs w:val="20"/>
          <w:lang w:eastAsia="bg-BG"/>
        </w:rPr>
        <w:t xml:space="preserve">Ефект на други лекарства върху </w:t>
      </w:r>
      <w:proofErr w:type="spellStart"/>
      <w:r w:rsidRPr="004A1A60">
        <w:rPr>
          <w:rFonts w:eastAsia="Times New Roman" w:cs="Arial"/>
          <w:b/>
          <w:bCs/>
          <w:color w:val="000000"/>
          <w:szCs w:val="20"/>
          <w:lang w:eastAsia="bg-BG"/>
        </w:rPr>
        <w:t>олмесартан</w:t>
      </w:r>
      <w:proofErr w:type="spellEnd"/>
      <w:r w:rsidRPr="004A1A60">
        <w:rPr>
          <w:rFonts w:eastAsia="Times New Roman" w:cs="Arial"/>
          <w:b/>
          <w:bCs/>
          <w:color w:val="000000"/>
          <w:szCs w:val="20"/>
          <w:lang w:eastAsia="bg-BG"/>
        </w:rPr>
        <w:t xml:space="preserve"> </w:t>
      </w:r>
      <w:proofErr w:type="spellStart"/>
      <w:r w:rsidRPr="004A1A60">
        <w:rPr>
          <w:rFonts w:eastAsia="Times New Roman" w:cs="Arial"/>
          <w:b/>
          <w:bCs/>
          <w:color w:val="000000"/>
          <w:szCs w:val="20"/>
          <w:lang w:eastAsia="bg-BG"/>
        </w:rPr>
        <w:t>медоксомил</w:t>
      </w:r>
      <w:proofErr w:type="spellEnd"/>
    </w:p>
    <w:p w14:paraId="7541CBE3" w14:textId="77777777" w:rsidR="00BC73CC" w:rsidRPr="004A1A60" w:rsidRDefault="00BC73CC" w:rsidP="00BC73CC">
      <w:pPr>
        <w:spacing w:line="240" w:lineRule="auto"/>
        <w:rPr>
          <w:rFonts w:eastAsia="Times New Roman" w:cs="Arial"/>
          <w:i/>
          <w:iCs/>
          <w:color w:val="000000"/>
          <w:szCs w:val="20"/>
          <w:lang w:eastAsia="bg-BG"/>
        </w:rPr>
      </w:pPr>
    </w:p>
    <w:p w14:paraId="72A701B8" w14:textId="0F0CB328" w:rsidR="00BC73CC" w:rsidRPr="004A1A60" w:rsidRDefault="00BC73CC" w:rsidP="00BC73CC">
      <w:pPr>
        <w:spacing w:line="240" w:lineRule="auto"/>
        <w:rPr>
          <w:rFonts w:eastAsia="Times New Roman" w:cs="Arial"/>
          <w:sz w:val="28"/>
          <w:szCs w:val="24"/>
        </w:rPr>
      </w:pPr>
      <w:r w:rsidRPr="004A1A60">
        <w:rPr>
          <w:rFonts w:eastAsia="Times New Roman" w:cs="Arial"/>
          <w:i/>
          <w:iCs/>
          <w:color w:val="000000"/>
          <w:szCs w:val="20"/>
          <w:lang w:eastAsia="bg-BG"/>
        </w:rPr>
        <w:t>Други антихипертензивни лекарства</w:t>
      </w:r>
    </w:p>
    <w:p w14:paraId="0BF9D4C7" w14:textId="77777777" w:rsidR="00BC73CC" w:rsidRPr="004A1A60" w:rsidRDefault="00BC73CC" w:rsidP="00BC73CC">
      <w:pPr>
        <w:spacing w:line="240" w:lineRule="auto"/>
        <w:rPr>
          <w:rFonts w:eastAsia="Times New Roman" w:cs="Arial"/>
          <w:sz w:val="28"/>
          <w:szCs w:val="24"/>
        </w:rPr>
      </w:pPr>
      <w:r w:rsidRPr="004A1A60">
        <w:rPr>
          <w:rFonts w:eastAsia="Times New Roman" w:cs="Arial"/>
          <w:color w:val="000000"/>
          <w:szCs w:val="20"/>
          <w:lang w:eastAsia="bg-BG"/>
        </w:rPr>
        <w:t xml:space="preserve">Понижаващият кръвното налягане ефект на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медоксомил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може да бъде усилен чрез едновременното приложение на други антихипертензивни лекарства.</w:t>
      </w:r>
    </w:p>
    <w:p w14:paraId="0BD3860B" w14:textId="77777777" w:rsidR="00BC73CC" w:rsidRPr="004A1A60" w:rsidRDefault="00BC73CC" w:rsidP="00BC73CC">
      <w:pPr>
        <w:spacing w:line="240" w:lineRule="auto"/>
        <w:rPr>
          <w:rFonts w:eastAsia="Times New Roman" w:cs="Arial"/>
          <w:i/>
          <w:iCs/>
          <w:color w:val="000000"/>
          <w:szCs w:val="20"/>
          <w:lang w:eastAsia="bg-BG"/>
        </w:rPr>
      </w:pPr>
    </w:p>
    <w:p w14:paraId="0A647D2F" w14:textId="7837B2CE" w:rsidR="00BC73CC" w:rsidRPr="004A1A60" w:rsidRDefault="00BC73CC" w:rsidP="00BC73CC">
      <w:pPr>
        <w:spacing w:line="240" w:lineRule="auto"/>
        <w:rPr>
          <w:rFonts w:eastAsia="Times New Roman" w:cs="Arial"/>
          <w:sz w:val="28"/>
          <w:szCs w:val="24"/>
        </w:rPr>
      </w:pPr>
      <w:r w:rsidRPr="004A1A60">
        <w:rPr>
          <w:rFonts w:eastAsia="Times New Roman" w:cs="Arial"/>
          <w:i/>
          <w:iCs/>
          <w:color w:val="000000"/>
          <w:szCs w:val="20"/>
          <w:lang w:eastAsia="bg-BG"/>
        </w:rPr>
        <w:t xml:space="preserve">АСЕ инхибитори, </w:t>
      </w:r>
      <w:proofErr w:type="spellStart"/>
      <w:r w:rsidRPr="004A1A60">
        <w:rPr>
          <w:rFonts w:eastAsia="Times New Roman" w:cs="Arial"/>
          <w:i/>
          <w:iCs/>
          <w:color w:val="000000"/>
          <w:szCs w:val="20"/>
          <w:lang w:eastAsia="bg-BG"/>
        </w:rPr>
        <w:t>ангиотензин</w:t>
      </w:r>
      <w:proofErr w:type="spellEnd"/>
      <w:r w:rsidRPr="004A1A60">
        <w:rPr>
          <w:rFonts w:eastAsia="Times New Roman" w:cs="Arial"/>
          <w:i/>
          <w:iCs/>
          <w:color w:val="000000"/>
          <w:szCs w:val="20"/>
          <w:lang w:eastAsia="bg-BG"/>
        </w:rPr>
        <w:t>-</w:t>
      </w:r>
      <w:r w:rsidRPr="004A1A60">
        <w:rPr>
          <w:rFonts w:eastAsia="Times New Roman" w:cs="Arial"/>
          <w:i/>
          <w:iCs/>
          <w:color w:val="000000"/>
          <w:szCs w:val="20"/>
        </w:rPr>
        <w:t xml:space="preserve">II </w:t>
      </w:r>
      <w:r w:rsidRPr="004A1A60">
        <w:rPr>
          <w:rFonts w:eastAsia="Times New Roman" w:cs="Arial"/>
          <w:i/>
          <w:iCs/>
          <w:color w:val="000000"/>
          <w:szCs w:val="20"/>
          <w:lang w:eastAsia="bg-BG"/>
        </w:rPr>
        <w:t xml:space="preserve">рецепторни </w:t>
      </w:r>
      <w:proofErr w:type="spellStart"/>
      <w:r w:rsidRPr="004A1A60">
        <w:rPr>
          <w:rFonts w:eastAsia="Times New Roman" w:cs="Arial"/>
          <w:i/>
          <w:iCs/>
          <w:color w:val="000000"/>
          <w:szCs w:val="20"/>
          <w:lang w:eastAsia="bg-BG"/>
        </w:rPr>
        <w:t>блокери</w:t>
      </w:r>
      <w:proofErr w:type="spellEnd"/>
      <w:r w:rsidRPr="004A1A60">
        <w:rPr>
          <w:rFonts w:eastAsia="Times New Roman" w:cs="Arial"/>
          <w:i/>
          <w:iCs/>
          <w:color w:val="000000"/>
          <w:szCs w:val="20"/>
          <w:lang w:eastAsia="bg-BG"/>
        </w:rPr>
        <w:t xml:space="preserve"> или </w:t>
      </w:r>
      <w:proofErr w:type="spellStart"/>
      <w:r w:rsidRPr="004A1A60">
        <w:rPr>
          <w:rFonts w:eastAsia="Times New Roman" w:cs="Arial"/>
          <w:i/>
          <w:iCs/>
          <w:color w:val="000000"/>
          <w:szCs w:val="20"/>
          <w:lang w:eastAsia="bg-BG"/>
        </w:rPr>
        <w:t>алискирен</w:t>
      </w:r>
      <w:proofErr w:type="spellEnd"/>
    </w:p>
    <w:p w14:paraId="4C2331F7" w14:textId="77777777" w:rsidR="00BC73CC" w:rsidRPr="004A1A60" w:rsidRDefault="00BC73CC" w:rsidP="00BC73CC">
      <w:pPr>
        <w:spacing w:line="240" w:lineRule="auto"/>
        <w:rPr>
          <w:rFonts w:eastAsia="Times New Roman" w:cs="Arial"/>
          <w:sz w:val="28"/>
          <w:szCs w:val="24"/>
        </w:rPr>
      </w:pPr>
      <w:r w:rsidRPr="004A1A60">
        <w:rPr>
          <w:rFonts w:eastAsia="Times New Roman" w:cs="Arial"/>
          <w:color w:val="000000"/>
          <w:szCs w:val="20"/>
          <w:lang w:eastAsia="bg-BG"/>
        </w:rPr>
        <w:t>Данни от клинични проучвания показват, че двойното блокиране на ренин-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ангиотензин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>-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алдостероновата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система (РААС) чрез комбинираната употреба на АСЕ инхибитори,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ангиотензин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</w:t>
      </w:r>
      <w:r w:rsidRPr="004A1A60">
        <w:rPr>
          <w:rFonts w:eastAsia="Times New Roman" w:cs="Arial"/>
          <w:color w:val="000000"/>
          <w:szCs w:val="20"/>
        </w:rPr>
        <w:t>II</w:t>
      </w:r>
      <w:r w:rsidRPr="004A1A60">
        <w:rPr>
          <w:rFonts w:eastAsia="Times New Roman" w:cs="Arial"/>
          <w:color w:val="000000"/>
          <w:szCs w:val="20"/>
          <w:lang w:eastAsia="bg-BG"/>
        </w:rPr>
        <w:t xml:space="preserve">-рецепторни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блокери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или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алискирен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се свързва с по-висока честота на нежелани събития, като например хипотония,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хиперкалиемия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и намаляване на бъбречната функция (включително остра бъбречна недостатъчност), в сравнение с употребата само на едно средство, действащо върху РААС (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вж.точки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4.3,</w:t>
      </w:r>
      <w:r w:rsidRPr="004A1A60">
        <w:rPr>
          <w:rFonts w:eastAsia="Times New Roman" w:cs="Arial"/>
          <w:color w:val="000000"/>
          <w:szCs w:val="20"/>
        </w:rPr>
        <w:t xml:space="preserve"> </w:t>
      </w:r>
      <w:r w:rsidRPr="004A1A60">
        <w:rPr>
          <w:rFonts w:eastAsia="Times New Roman" w:cs="Arial"/>
          <w:color w:val="000000"/>
          <w:szCs w:val="20"/>
          <w:lang w:eastAsia="bg-BG"/>
        </w:rPr>
        <w:t>4.4 и 5.1).</w:t>
      </w:r>
    </w:p>
    <w:p w14:paraId="008FDBF9" w14:textId="77777777" w:rsidR="00BC73CC" w:rsidRPr="004A1A60" w:rsidRDefault="00BC73CC" w:rsidP="00BC73CC">
      <w:pPr>
        <w:spacing w:line="240" w:lineRule="auto"/>
        <w:rPr>
          <w:rFonts w:eastAsia="Times New Roman" w:cs="Arial"/>
          <w:i/>
          <w:iCs/>
          <w:color w:val="000000"/>
          <w:szCs w:val="20"/>
          <w:lang w:eastAsia="bg-BG"/>
        </w:rPr>
      </w:pPr>
    </w:p>
    <w:p w14:paraId="7D40ABEA" w14:textId="4CCA1B8D" w:rsidR="00BC73CC" w:rsidRPr="004A1A60" w:rsidRDefault="00BC73CC" w:rsidP="00BC73CC">
      <w:pPr>
        <w:spacing w:line="240" w:lineRule="auto"/>
        <w:rPr>
          <w:rFonts w:eastAsia="Times New Roman" w:cs="Arial"/>
          <w:sz w:val="28"/>
          <w:szCs w:val="24"/>
        </w:rPr>
      </w:pPr>
      <w:r w:rsidRPr="004A1A60">
        <w:rPr>
          <w:rFonts w:eastAsia="Times New Roman" w:cs="Arial"/>
          <w:i/>
          <w:iCs/>
          <w:color w:val="000000"/>
          <w:szCs w:val="20"/>
          <w:lang w:eastAsia="bg-BG"/>
        </w:rPr>
        <w:t xml:space="preserve">Калиеви добавки и калий-съхраняващи </w:t>
      </w:r>
      <w:proofErr w:type="spellStart"/>
      <w:r w:rsidRPr="004A1A60">
        <w:rPr>
          <w:rFonts w:eastAsia="Times New Roman" w:cs="Arial"/>
          <w:i/>
          <w:iCs/>
          <w:color w:val="000000"/>
          <w:szCs w:val="20"/>
          <w:lang w:eastAsia="bg-BG"/>
        </w:rPr>
        <w:t>диуретици</w:t>
      </w:r>
      <w:proofErr w:type="spellEnd"/>
    </w:p>
    <w:p w14:paraId="35103262" w14:textId="77777777" w:rsidR="00BC73CC" w:rsidRPr="004A1A60" w:rsidRDefault="00BC73CC" w:rsidP="00BC73CC">
      <w:pPr>
        <w:spacing w:line="240" w:lineRule="auto"/>
        <w:rPr>
          <w:rFonts w:eastAsia="Times New Roman" w:cs="Arial"/>
          <w:sz w:val="28"/>
          <w:szCs w:val="24"/>
        </w:rPr>
      </w:pPr>
      <w:r w:rsidRPr="004A1A60">
        <w:rPr>
          <w:rFonts w:eastAsia="Times New Roman" w:cs="Arial"/>
          <w:color w:val="000000"/>
          <w:szCs w:val="20"/>
          <w:lang w:eastAsia="bg-BG"/>
        </w:rPr>
        <w:t>Базирайки се на опита с други лекарства, повлияващи ренин-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ангиотензин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>-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алдостероновата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система, едновременното приложение на калий-съхраняващи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диуретици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, калиеви добавки,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солеви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добавки, съдържащи калий или други лекарства, които могат да увеличат нивата на серумния калий (напр.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хепарин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>), може да доведе до повишение на серумния калий (вижте точка 4.4). Ето защо не се препоръчва едновременното приложение.</w:t>
      </w:r>
    </w:p>
    <w:p w14:paraId="7494DF4E" w14:textId="77777777" w:rsidR="00BC73CC" w:rsidRPr="004A1A60" w:rsidRDefault="00BC73CC" w:rsidP="00BC73CC">
      <w:pPr>
        <w:spacing w:line="240" w:lineRule="auto"/>
        <w:rPr>
          <w:rFonts w:eastAsia="Times New Roman" w:cs="Arial"/>
          <w:i/>
          <w:iCs/>
          <w:color w:val="000000"/>
          <w:szCs w:val="20"/>
          <w:lang w:eastAsia="bg-BG"/>
        </w:rPr>
      </w:pPr>
    </w:p>
    <w:p w14:paraId="4969B58A" w14:textId="29F69A94" w:rsidR="00BC73CC" w:rsidRPr="004A1A60" w:rsidRDefault="00BC73CC" w:rsidP="00BC73CC">
      <w:pPr>
        <w:spacing w:line="240" w:lineRule="auto"/>
        <w:rPr>
          <w:rFonts w:eastAsia="Times New Roman" w:cs="Arial"/>
          <w:sz w:val="28"/>
          <w:szCs w:val="24"/>
        </w:rPr>
      </w:pPr>
      <w:r w:rsidRPr="004A1A60">
        <w:rPr>
          <w:rFonts w:eastAsia="Times New Roman" w:cs="Arial"/>
          <w:i/>
          <w:iCs/>
          <w:color w:val="000000"/>
          <w:szCs w:val="20"/>
          <w:lang w:eastAsia="bg-BG"/>
        </w:rPr>
        <w:t>Нестероидни противовъзпалителни средства (НСПВС)</w:t>
      </w:r>
    </w:p>
    <w:p w14:paraId="77664419" w14:textId="77777777" w:rsidR="00BC73CC" w:rsidRPr="004A1A60" w:rsidRDefault="00BC73CC" w:rsidP="00BC73CC">
      <w:pPr>
        <w:spacing w:line="240" w:lineRule="auto"/>
        <w:rPr>
          <w:rFonts w:eastAsia="Times New Roman" w:cs="Arial"/>
          <w:sz w:val="28"/>
          <w:szCs w:val="24"/>
        </w:rPr>
      </w:pPr>
      <w:r w:rsidRPr="004A1A60">
        <w:rPr>
          <w:rFonts w:eastAsia="Times New Roman" w:cs="Arial"/>
          <w:color w:val="000000"/>
          <w:szCs w:val="20"/>
          <w:lang w:eastAsia="bg-BG"/>
        </w:rPr>
        <w:t xml:space="preserve">НСПВС (включително ацетилсалицилова киселина в дози &gt; 3 </w:t>
      </w:r>
      <w:r w:rsidRPr="004A1A60">
        <w:rPr>
          <w:rFonts w:eastAsia="Times New Roman" w:cs="Arial"/>
          <w:color w:val="000000"/>
          <w:szCs w:val="20"/>
        </w:rPr>
        <w:t>g</w:t>
      </w:r>
      <w:r w:rsidRPr="004A1A60">
        <w:rPr>
          <w:rFonts w:eastAsia="Times New Roman" w:cs="Arial"/>
          <w:color w:val="000000"/>
          <w:szCs w:val="20"/>
          <w:lang w:eastAsia="bg-BG"/>
        </w:rPr>
        <w:t xml:space="preserve">/ден и СОХ-2 инхибиторите) и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ангиотензин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>-</w:t>
      </w:r>
      <w:r w:rsidRPr="004A1A60">
        <w:rPr>
          <w:rFonts w:eastAsia="Times New Roman" w:cs="Arial"/>
          <w:color w:val="000000"/>
          <w:szCs w:val="20"/>
        </w:rPr>
        <w:t>II</w:t>
      </w:r>
      <w:r w:rsidRPr="004A1A60">
        <w:rPr>
          <w:rFonts w:eastAsia="Times New Roman" w:cs="Arial"/>
          <w:color w:val="000000"/>
          <w:szCs w:val="20"/>
          <w:lang w:eastAsia="bg-BG"/>
        </w:rPr>
        <w:t xml:space="preserve"> рецепторните антагонисти могат да имат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синергичен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ефект върху намалението на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гломерулната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филтрация. Рискът от едновременното приложение на НСПВС и на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ангиотензин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>-</w:t>
      </w:r>
      <w:r w:rsidRPr="004A1A60">
        <w:rPr>
          <w:rFonts w:eastAsia="Times New Roman" w:cs="Arial"/>
          <w:color w:val="000000"/>
          <w:szCs w:val="20"/>
        </w:rPr>
        <w:t>II</w:t>
      </w:r>
      <w:r w:rsidRPr="004A1A60">
        <w:rPr>
          <w:rFonts w:eastAsia="Times New Roman" w:cs="Arial"/>
          <w:color w:val="000000"/>
          <w:szCs w:val="20"/>
          <w:lang w:eastAsia="bg-BG"/>
        </w:rPr>
        <w:t xml:space="preserve"> рецепторни антагонисти, е появата на остра бъбречна, недостатъчност.</w:t>
      </w:r>
    </w:p>
    <w:p w14:paraId="294F7289" w14:textId="77777777" w:rsidR="00BC73CC" w:rsidRPr="004A1A60" w:rsidRDefault="00BC73CC" w:rsidP="00BC73CC">
      <w:pPr>
        <w:spacing w:line="240" w:lineRule="auto"/>
        <w:rPr>
          <w:rFonts w:eastAsia="Times New Roman" w:cs="Arial"/>
          <w:sz w:val="28"/>
          <w:szCs w:val="24"/>
        </w:rPr>
      </w:pPr>
      <w:r w:rsidRPr="004A1A60">
        <w:rPr>
          <w:rFonts w:eastAsia="Times New Roman" w:cs="Arial"/>
          <w:color w:val="000000"/>
          <w:szCs w:val="20"/>
          <w:lang w:eastAsia="bg-BG"/>
        </w:rPr>
        <w:t>Препоръчва се проследяване на бъбречната функция на пациента в началото на лечението и</w:t>
      </w:r>
      <w:r w:rsidRPr="004A1A60">
        <w:rPr>
          <w:rFonts w:eastAsia="Times New Roman" w:cs="Arial"/>
          <w:color w:val="000000"/>
          <w:szCs w:val="20"/>
          <w:vertAlign w:val="superscript"/>
          <w:lang w:eastAsia="bg-BG"/>
        </w:rPr>
        <w:t xml:space="preserve"> </w:t>
      </w:r>
      <w:r w:rsidRPr="004A1A60">
        <w:rPr>
          <w:rFonts w:eastAsia="Times New Roman" w:cs="Arial"/>
          <w:color w:val="000000"/>
          <w:szCs w:val="20"/>
          <w:lang w:eastAsia="bg-BG"/>
        </w:rPr>
        <w:t>редовна хидратация на пациента.</w:t>
      </w:r>
    </w:p>
    <w:p w14:paraId="67E9CA8F" w14:textId="0E4799E1" w:rsidR="00BC73CC" w:rsidRPr="004A1A60" w:rsidRDefault="00BC73CC" w:rsidP="00BC73CC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  <w:r w:rsidRPr="004A1A60">
        <w:rPr>
          <w:rFonts w:eastAsia="Times New Roman" w:cs="Arial"/>
          <w:color w:val="000000"/>
          <w:szCs w:val="20"/>
          <w:lang w:eastAsia="bg-BG"/>
        </w:rPr>
        <w:t xml:space="preserve">Освен това едновременното приложение може да доведе до понижение на антихипертензивния ефект на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ангиотензин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>-</w:t>
      </w:r>
      <w:r w:rsidRPr="004A1A60">
        <w:rPr>
          <w:rFonts w:eastAsia="Times New Roman" w:cs="Arial"/>
          <w:color w:val="000000"/>
          <w:szCs w:val="20"/>
        </w:rPr>
        <w:t>II</w:t>
      </w:r>
      <w:r w:rsidRPr="004A1A60">
        <w:rPr>
          <w:rFonts w:eastAsia="Times New Roman" w:cs="Arial"/>
          <w:color w:val="000000"/>
          <w:szCs w:val="20"/>
          <w:lang w:eastAsia="bg-BG"/>
        </w:rPr>
        <w:t xml:space="preserve"> рецепторните антагонисти, което води до частична загуба на ефективността им.</w:t>
      </w:r>
    </w:p>
    <w:p w14:paraId="6BE70335" w14:textId="18730A7B" w:rsidR="00BC73CC" w:rsidRPr="004A1A60" w:rsidRDefault="00BC73CC" w:rsidP="00BC73CC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352264B5" w14:textId="77777777" w:rsidR="00BC73CC" w:rsidRPr="004A1A60" w:rsidRDefault="00BC73CC" w:rsidP="00BC73CC">
      <w:pPr>
        <w:spacing w:line="240" w:lineRule="auto"/>
        <w:rPr>
          <w:rFonts w:eastAsia="Times New Roman" w:cs="Arial"/>
          <w:sz w:val="28"/>
          <w:szCs w:val="24"/>
        </w:rPr>
      </w:pPr>
      <w:proofErr w:type="spellStart"/>
      <w:r w:rsidRPr="004A1A60">
        <w:rPr>
          <w:rFonts w:eastAsia="Times New Roman" w:cs="Arial"/>
          <w:i/>
          <w:iCs/>
          <w:color w:val="000000"/>
          <w:szCs w:val="20"/>
          <w:lang w:eastAsia="bg-BG"/>
        </w:rPr>
        <w:t>Колесевелам</w:t>
      </w:r>
      <w:proofErr w:type="spellEnd"/>
      <w:r w:rsidRPr="004A1A60">
        <w:rPr>
          <w:rFonts w:eastAsia="Times New Roman" w:cs="Arial"/>
          <w:i/>
          <w:iCs/>
          <w:color w:val="000000"/>
          <w:szCs w:val="20"/>
          <w:lang w:eastAsia="bg-BG"/>
        </w:rPr>
        <w:t>, лекарство, което свързва жлъчните киселини</w:t>
      </w:r>
    </w:p>
    <w:p w14:paraId="037E3FF6" w14:textId="77777777" w:rsidR="00BC73CC" w:rsidRPr="004A1A60" w:rsidRDefault="00BC73CC" w:rsidP="00BC73CC">
      <w:pPr>
        <w:spacing w:line="240" w:lineRule="auto"/>
        <w:rPr>
          <w:rFonts w:eastAsia="Times New Roman" w:cs="Arial"/>
          <w:sz w:val="28"/>
          <w:szCs w:val="24"/>
        </w:rPr>
      </w:pPr>
      <w:r w:rsidRPr="004A1A60">
        <w:rPr>
          <w:rFonts w:eastAsia="Times New Roman" w:cs="Arial"/>
          <w:color w:val="000000"/>
          <w:szCs w:val="20"/>
          <w:lang w:eastAsia="bg-BG"/>
        </w:rPr>
        <w:t xml:space="preserve">Едновременното приложение на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колесевелам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хидрохлорид, лекарство, което свързва жлъчните киселини, намалява системната експозиция и максималната плазмена концентрация на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и намалява елиминационния полуживот </w:t>
      </w:r>
      <w:r w:rsidRPr="004A1A60">
        <w:rPr>
          <w:rFonts w:eastAsia="Times New Roman" w:cs="Arial"/>
          <w:color w:val="000000"/>
          <w:szCs w:val="20"/>
        </w:rPr>
        <w:t>(t</w:t>
      </w:r>
      <w:r w:rsidRPr="004A1A60">
        <w:rPr>
          <w:rFonts w:eastAsia="Times New Roman" w:cs="Arial"/>
          <w:color w:val="000000"/>
          <w:szCs w:val="20"/>
          <w:lang w:eastAsia="bg-BG"/>
        </w:rPr>
        <w:t xml:space="preserve">1/2). Приложението на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медоксомил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поне 4 часа преди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колесевелам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хидрохлорид </w:t>
      </w:r>
      <w:r w:rsidRPr="004A1A60">
        <w:rPr>
          <w:rFonts w:eastAsia="Times New Roman" w:cs="Arial"/>
          <w:color w:val="000000"/>
          <w:szCs w:val="20"/>
          <w:lang w:eastAsia="bg-BG"/>
        </w:rPr>
        <w:lastRenderedPageBreak/>
        <w:t xml:space="preserve">намалява ефекта от лекарственото взаимодействие. Приложението на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медоксомил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поне 4 часа преди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колесевелам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хидрохлорид трябва да се има предвид (вижте точка 5.2).</w:t>
      </w:r>
    </w:p>
    <w:p w14:paraId="5450B2A2" w14:textId="77777777" w:rsidR="00BC73CC" w:rsidRPr="004A1A60" w:rsidRDefault="00BC73CC" w:rsidP="00BC73CC">
      <w:pPr>
        <w:spacing w:line="240" w:lineRule="auto"/>
        <w:rPr>
          <w:rFonts w:eastAsia="Times New Roman" w:cs="Arial"/>
          <w:i/>
          <w:iCs/>
          <w:color w:val="000000"/>
          <w:szCs w:val="20"/>
          <w:lang w:eastAsia="bg-BG"/>
        </w:rPr>
      </w:pPr>
    </w:p>
    <w:p w14:paraId="1D68696E" w14:textId="504A7AAA" w:rsidR="00BC73CC" w:rsidRPr="004A1A60" w:rsidRDefault="00BC73CC" w:rsidP="00BC73CC">
      <w:pPr>
        <w:spacing w:line="240" w:lineRule="auto"/>
        <w:rPr>
          <w:rFonts w:eastAsia="Times New Roman" w:cs="Arial"/>
          <w:sz w:val="28"/>
          <w:szCs w:val="24"/>
        </w:rPr>
      </w:pPr>
      <w:r w:rsidRPr="004A1A60">
        <w:rPr>
          <w:rFonts w:eastAsia="Times New Roman" w:cs="Arial"/>
          <w:i/>
          <w:iCs/>
          <w:color w:val="000000"/>
          <w:szCs w:val="20"/>
          <w:lang w:eastAsia="bg-BG"/>
        </w:rPr>
        <w:t>Други вещества</w:t>
      </w:r>
    </w:p>
    <w:p w14:paraId="49A1691E" w14:textId="36E1D9C1" w:rsidR="00BC73CC" w:rsidRPr="004A1A60" w:rsidRDefault="00BC73CC" w:rsidP="00BC73CC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  <w:r w:rsidRPr="004A1A60">
        <w:rPr>
          <w:rFonts w:eastAsia="Times New Roman" w:cs="Arial"/>
          <w:color w:val="000000"/>
          <w:szCs w:val="20"/>
          <w:lang w:eastAsia="bg-BG"/>
        </w:rPr>
        <w:t xml:space="preserve">След лечение с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антиацид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(алуминиев магнезиев хидроксид) се наблюдава умерено намаление на бионаличността на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. Едновременното приложение на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варфарин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и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дигоксин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не оказва ефект върху фармакокинетиката на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>.</w:t>
      </w:r>
    </w:p>
    <w:p w14:paraId="116B7FFB" w14:textId="641982DE" w:rsidR="00BC73CC" w:rsidRPr="004A1A60" w:rsidRDefault="00BC73CC" w:rsidP="00BC73CC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0632AD7C" w14:textId="77777777" w:rsidR="00BC73CC" w:rsidRPr="004A1A60" w:rsidRDefault="00BC73CC" w:rsidP="00BC73CC">
      <w:pPr>
        <w:spacing w:line="240" w:lineRule="auto"/>
        <w:rPr>
          <w:rFonts w:eastAsia="Times New Roman" w:cs="Arial"/>
          <w:sz w:val="28"/>
          <w:szCs w:val="24"/>
        </w:rPr>
      </w:pPr>
      <w:r w:rsidRPr="004A1A60">
        <w:rPr>
          <w:rFonts w:eastAsia="Times New Roman" w:cs="Arial"/>
          <w:b/>
          <w:bCs/>
          <w:color w:val="000000"/>
          <w:szCs w:val="20"/>
          <w:lang w:eastAsia="bg-BG"/>
        </w:rPr>
        <w:t xml:space="preserve">Ефект на </w:t>
      </w:r>
      <w:proofErr w:type="spellStart"/>
      <w:r w:rsidRPr="004A1A60">
        <w:rPr>
          <w:rFonts w:eastAsia="Times New Roman" w:cs="Arial"/>
          <w:b/>
          <w:bCs/>
          <w:color w:val="000000"/>
          <w:szCs w:val="20"/>
          <w:lang w:eastAsia="bg-BG"/>
        </w:rPr>
        <w:t>олмесартан</w:t>
      </w:r>
      <w:proofErr w:type="spellEnd"/>
      <w:r w:rsidRPr="004A1A60">
        <w:rPr>
          <w:rFonts w:eastAsia="Times New Roman" w:cs="Arial"/>
          <w:b/>
          <w:bCs/>
          <w:color w:val="000000"/>
          <w:szCs w:val="20"/>
          <w:lang w:eastAsia="bg-BG"/>
        </w:rPr>
        <w:t xml:space="preserve"> </w:t>
      </w:r>
      <w:proofErr w:type="spellStart"/>
      <w:r w:rsidRPr="004A1A60">
        <w:rPr>
          <w:rFonts w:eastAsia="Times New Roman" w:cs="Arial"/>
          <w:b/>
          <w:bCs/>
          <w:color w:val="000000"/>
          <w:szCs w:val="20"/>
          <w:lang w:eastAsia="bg-BG"/>
        </w:rPr>
        <w:t>медоксомил</w:t>
      </w:r>
      <w:proofErr w:type="spellEnd"/>
      <w:r w:rsidRPr="004A1A60">
        <w:rPr>
          <w:rFonts w:eastAsia="Times New Roman" w:cs="Arial"/>
          <w:b/>
          <w:bCs/>
          <w:color w:val="000000"/>
          <w:szCs w:val="20"/>
          <w:lang w:eastAsia="bg-BG"/>
        </w:rPr>
        <w:t xml:space="preserve"> върху други лекарства</w:t>
      </w:r>
    </w:p>
    <w:p w14:paraId="173CC6F6" w14:textId="77777777" w:rsidR="00BC73CC" w:rsidRPr="004A1A60" w:rsidRDefault="00BC73CC" w:rsidP="00BC73CC">
      <w:pPr>
        <w:spacing w:line="240" w:lineRule="auto"/>
        <w:rPr>
          <w:rFonts w:eastAsia="Times New Roman" w:cs="Arial"/>
          <w:i/>
          <w:iCs/>
          <w:color w:val="000000"/>
          <w:szCs w:val="20"/>
          <w:lang w:eastAsia="bg-BG"/>
        </w:rPr>
      </w:pPr>
    </w:p>
    <w:p w14:paraId="6136268B" w14:textId="7F450E26" w:rsidR="00BC73CC" w:rsidRPr="004A1A60" w:rsidRDefault="00BC73CC" w:rsidP="00BC73CC">
      <w:pPr>
        <w:spacing w:line="240" w:lineRule="auto"/>
        <w:rPr>
          <w:rFonts w:eastAsia="Times New Roman" w:cs="Arial"/>
          <w:sz w:val="28"/>
          <w:szCs w:val="24"/>
        </w:rPr>
      </w:pPr>
      <w:r w:rsidRPr="004A1A60">
        <w:rPr>
          <w:rFonts w:eastAsia="Times New Roman" w:cs="Arial"/>
          <w:i/>
          <w:iCs/>
          <w:color w:val="000000"/>
          <w:szCs w:val="20"/>
          <w:lang w:eastAsia="bg-BG"/>
        </w:rPr>
        <w:t>Литий</w:t>
      </w:r>
    </w:p>
    <w:p w14:paraId="75717AAF" w14:textId="77777777" w:rsidR="00BC73CC" w:rsidRPr="004A1A60" w:rsidRDefault="00BC73CC" w:rsidP="00BC73CC">
      <w:pPr>
        <w:spacing w:line="240" w:lineRule="auto"/>
        <w:rPr>
          <w:rFonts w:eastAsia="Times New Roman" w:cs="Arial"/>
          <w:sz w:val="28"/>
          <w:szCs w:val="24"/>
        </w:rPr>
      </w:pPr>
      <w:r w:rsidRPr="004A1A60">
        <w:rPr>
          <w:rFonts w:eastAsia="Times New Roman" w:cs="Arial"/>
          <w:color w:val="000000"/>
          <w:szCs w:val="20"/>
          <w:lang w:eastAsia="bg-BG"/>
        </w:rPr>
        <w:t xml:space="preserve">При едновременно приложение на литий с инхибитори на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ангиотензин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-конвертиращия ензим и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ангиотензин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-П рецепторни антагонисти е наблюдавано обратимо повишение на серумния литий и токсичността му. Ето защо не се препоръчва едновременното приложение на литий с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медоксомил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(вижте точка 4.4). Ако едновременното приложение е наложително, се препоръчва внимателно проследяване на серумния литий.</w:t>
      </w:r>
    </w:p>
    <w:p w14:paraId="07E7C5B0" w14:textId="77777777" w:rsidR="00BC73CC" w:rsidRPr="004A1A60" w:rsidRDefault="00BC73CC" w:rsidP="00BC73CC">
      <w:pPr>
        <w:spacing w:line="240" w:lineRule="auto"/>
        <w:rPr>
          <w:rFonts w:eastAsia="Times New Roman" w:cs="Arial"/>
          <w:i/>
          <w:iCs/>
          <w:color w:val="000000"/>
          <w:szCs w:val="20"/>
          <w:lang w:eastAsia="bg-BG"/>
        </w:rPr>
      </w:pPr>
    </w:p>
    <w:p w14:paraId="1D7C83C3" w14:textId="652CEF5E" w:rsidR="00BC73CC" w:rsidRPr="004A1A60" w:rsidRDefault="00BC73CC" w:rsidP="00BC73CC">
      <w:pPr>
        <w:spacing w:line="240" w:lineRule="auto"/>
        <w:rPr>
          <w:rFonts w:eastAsia="Times New Roman" w:cs="Arial"/>
          <w:sz w:val="28"/>
          <w:szCs w:val="24"/>
        </w:rPr>
      </w:pPr>
      <w:r w:rsidRPr="004A1A60">
        <w:rPr>
          <w:rFonts w:eastAsia="Times New Roman" w:cs="Arial"/>
          <w:i/>
          <w:iCs/>
          <w:color w:val="000000"/>
          <w:szCs w:val="20"/>
          <w:lang w:eastAsia="bg-BG"/>
        </w:rPr>
        <w:t>Други вещества</w:t>
      </w:r>
    </w:p>
    <w:p w14:paraId="4CD790CD" w14:textId="785EBAB0" w:rsidR="00BC73CC" w:rsidRPr="004A1A60" w:rsidRDefault="00BC73CC" w:rsidP="00BC73CC">
      <w:pPr>
        <w:spacing w:line="240" w:lineRule="auto"/>
        <w:rPr>
          <w:rFonts w:eastAsia="Times New Roman" w:cs="Arial"/>
          <w:sz w:val="28"/>
          <w:szCs w:val="24"/>
        </w:rPr>
      </w:pPr>
      <w:r w:rsidRPr="004A1A60">
        <w:rPr>
          <w:rFonts w:eastAsia="Times New Roman" w:cs="Arial"/>
          <w:color w:val="000000"/>
          <w:szCs w:val="20"/>
          <w:lang w:eastAsia="bg-BG"/>
        </w:rPr>
        <w:t xml:space="preserve">В специфични клинични изпитвания със здрави доброволци са проучени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варфарин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,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дигоксин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,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антиацид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(магнезиев алуминиев хидроксид), хидрохлоротиазид и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правастатин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. Не са наблюдавани клинично значими взаимодействия и в частност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медоксомил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не оказва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сигнификантен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ефект върху фармакокинетиката и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фармакодинамиката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на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варфарин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и върху фармакокинетиката на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дигоксин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>.</w:t>
      </w:r>
    </w:p>
    <w:p w14:paraId="136B5296" w14:textId="77777777" w:rsidR="00BC73CC" w:rsidRPr="004A1A60" w:rsidRDefault="00BC73CC" w:rsidP="00BC73CC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04DAF4D3" w14:textId="6197B0ED" w:rsidR="00BC73CC" w:rsidRPr="004A1A60" w:rsidRDefault="00BC73CC" w:rsidP="00BC73CC">
      <w:pPr>
        <w:spacing w:line="240" w:lineRule="auto"/>
        <w:rPr>
          <w:rFonts w:eastAsia="Times New Roman" w:cs="Arial"/>
          <w:sz w:val="28"/>
          <w:szCs w:val="24"/>
        </w:rPr>
      </w:pP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не оказва клинично значим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инхибиторен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ефект </w:t>
      </w:r>
      <w:proofErr w:type="spellStart"/>
      <w:r w:rsidRPr="004A1A60">
        <w:rPr>
          <w:rFonts w:eastAsia="Times New Roman" w:cs="Arial"/>
          <w:i/>
          <w:iCs/>
          <w:color w:val="000000"/>
          <w:szCs w:val="20"/>
        </w:rPr>
        <w:t>in</w:t>
      </w:r>
      <w:proofErr w:type="spellEnd"/>
      <w:r w:rsidRPr="004A1A60">
        <w:rPr>
          <w:rFonts w:eastAsia="Times New Roman" w:cs="Arial"/>
          <w:i/>
          <w:iCs/>
          <w:color w:val="000000"/>
          <w:szCs w:val="20"/>
        </w:rPr>
        <w:t xml:space="preserve"> </w:t>
      </w:r>
      <w:proofErr w:type="spellStart"/>
      <w:r w:rsidRPr="004A1A60">
        <w:rPr>
          <w:rFonts w:eastAsia="Times New Roman" w:cs="Arial"/>
          <w:i/>
          <w:iCs/>
          <w:color w:val="000000"/>
          <w:szCs w:val="20"/>
        </w:rPr>
        <w:t>vitro</w:t>
      </w:r>
      <w:proofErr w:type="spellEnd"/>
      <w:r w:rsidRPr="004A1A60">
        <w:rPr>
          <w:rFonts w:eastAsia="Times New Roman" w:cs="Arial"/>
          <w:color w:val="000000"/>
          <w:szCs w:val="20"/>
        </w:rPr>
        <w:t xml:space="preserve"> </w:t>
      </w:r>
      <w:r w:rsidRPr="004A1A60">
        <w:rPr>
          <w:rFonts w:eastAsia="Times New Roman" w:cs="Arial"/>
          <w:color w:val="000000"/>
          <w:szCs w:val="20"/>
          <w:lang w:eastAsia="bg-BG"/>
        </w:rPr>
        <w:t xml:space="preserve">върху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цитохром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Р450 ензимите 1А1/2,2А6,2С8/9, 2С19,</w:t>
      </w:r>
      <w:r w:rsidRPr="004A1A60">
        <w:rPr>
          <w:rFonts w:eastAsia="Times New Roman" w:cs="Arial"/>
          <w:color w:val="000000"/>
          <w:szCs w:val="20"/>
        </w:rPr>
        <w:t xml:space="preserve">2D6, </w:t>
      </w:r>
      <w:r w:rsidRPr="004A1A60">
        <w:rPr>
          <w:rFonts w:eastAsia="Times New Roman" w:cs="Arial"/>
          <w:color w:val="000000"/>
          <w:szCs w:val="20"/>
          <w:lang w:eastAsia="bg-BG"/>
        </w:rPr>
        <w:t xml:space="preserve">2Е1 и ЗА4 при хора. Не оказва или има минимален индуциращ ефект върху активността на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цитохром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Р450 при плъхове. Ето защо не са провеждани проучвания за взаимодействия </w:t>
      </w:r>
      <w:proofErr w:type="spellStart"/>
      <w:r w:rsidRPr="004A1A60">
        <w:rPr>
          <w:rFonts w:eastAsia="Times New Roman" w:cs="Arial"/>
          <w:i/>
          <w:iCs/>
          <w:color w:val="000000"/>
          <w:szCs w:val="20"/>
        </w:rPr>
        <w:t>in</w:t>
      </w:r>
      <w:proofErr w:type="spellEnd"/>
      <w:r w:rsidRPr="004A1A60">
        <w:rPr>
          <w:rFonts w:eastAsia="Times New Roman" w:cs="Arial"/>
          <w:i/>
          <w:iCs/>
          <w:color w:val="000000"/>
          <w:szCs w:val="20"/>
        </w:rPr>
        <w:t xml:space="preserve"> </w:t>
      </w:r>
      <w:proofErr w:type="spellStart"/>
      <w:r w:rsidRPr="004A1A60">
        <w:rPr>
          <w:rFonts w:eastAsia="Times New Roman" w:cs="Arial"/>
          <w:i/>
          <w:iCs/>
          <w:color w:val="000000"/>
          <w:szCs w:val="20"/>
        </w:rPr>
        <w:t>vivo</w:t>
      </w:r>
      <w:proofErr w:type="spellEnd"/>
      <w:r w:rsidRPr="004A1A60">
        <w:rPr>
          <w:rFonts w:eastAsia="Times New Roman" w:cs="Arial"/>
          <w:color w:val="000000"/>
          <w:szCs w:val="20"/>
        </w:rPr>
        <w:t xml:space="preserve"> </w:t>
      </w:r>
      <w:r w:rsidRPr="004A1A60">
        <w:rPr>
          <w:rFonts w:eastAsia="Times New Roman" w:cs="Arial"/>
          <w:color w:val="000000"/>
          <w:szCs w:val="20"/>
          <w:lang w:eastAsia="bg-BG"/>
        </w:rPr>
        <w:t xml:space="preserve">с известни инхибитори и индуктори на Р450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цитохром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ензима и не се очакват клинично значими взаимодействия между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и лекарства, които се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метаболизират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от гореизброените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цитохром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Р450 ензими.</w:t>
      </w:r>
    </w:p>
    <w:p w14:paraId="58BC9388" w14:textId="77777777" w:rsidR="00BC73CC" w:rsidRPr="004A1A60" w:rsidRDefault="00BC73CC" w:rsidP="00BC73CC">
      <w:pPr>
        <w:spacing w:line="240" w:lineRule="auto"/>
        <w:rPr>
          <w:rFonts w:eastAsia="Times New Roman" w:cs="Arial"/>
          <w:b/>
          <w:bCs/>
          <w:color w:val="000000"/>
          <w:szCs w:val="20"/>
          <w:lang w:eastAsia="bg-BG"/>
        </w:rPr>
      </w:pPr>
    </w:p>
    <w:p w14:paraId="5EEEE8CA" w14:textId="174BF9D8" w:rsidR="00BC73CC" w:rsidRPr="004A1A60" w:rsidRDefault="00BC73CC" w:rsidP="00BC73CC">
      <w:pPr>
        <w:spacing w:line="240" w:lineRule="auto"/>
        <w:rPr>
          <w:rFonts w:eastAsia="Times New Roman" w:cs="Arial"/>
          <w:sz w:val="28"/>
          <w:szCs w:val="24"/>
        </w:rPr>
      </w:pPr>
      <w:r w:rsidRPr="004A1A60">
        <w:rPr>
          <w:rFonts w:eastAsia="Times New Roman" w:cs="Arial"/>
          <w:b/>
          <w:bCs/>
          <w:color w:val="000000"/>
          <w:szCs w:val="20"/>
          <w:lang w:eastAsia="bg-BG"/>
        </w:rPr>
        <w:t>Педиатрична популация:</w:t>
      </w:r>
    </w:p>
    <w:p w14:paraId="0E6578AF" w14:textId="77777777" w:rsidR="00BC73CC" w:rsidRPr="004A1A60" w:rsidRDefault="00BC73CC" w:rsidP="00BC73CC">
      <w:pPr>
        <w:spacing w:line="240" w:lineRule="auto"/>
        <w:rPr>
          <w:rFonts w:eastAsia="Times New Roman" w:cs="Arial"/>
          <w:sz w:val="28"/>
          <w:szCs w:val="24"/>
        </w:rPr>
      </w:pPr>
      <w:r w:rsidRPr="004A1A60">
        <w:rPr>
          <w:rFonts w:eastAsia="Times New Roman" w:cs="Arial"/>
          <w:color w:val="000000"/>
          <w:szCs w:val="20"/>
          <w:lang w:eastAsia="bg-BG"/>
        </w:rPr>
        <w:t>Проучвания за взаимодействия са провеждани само при възрастни.</w:t>
      </w:r>
    </w:p>
    <w:p w14:paraId="1065DED6" w14:textId="783EA883" w:rsidR="00BC73CC" w:rsidRPr="004A1A60" w:rsidRDefault="00BC73CC" w:rsidP="00BC73CC">
      <w:pPr>
        <w:spacing w:line="240" w:lineRule="auto"/>
        <w:rPr>
          <w:rFonts w:eastAsia="Times New Roman" w:cs="Arial"/>
          <w:sz w:val="28"/>
          <w:szCs w:val="24"/>
        </w:rPr>
      </w:pPr>
      <w:r w:rsidRPr="004A1A60">
        <w:rPr>
          <w:rFonts w:eastAsia="Times New Roman" w:cs="Arial"/>
          <w:color w:val="000000"/>
          <w:szCs w:val="20"/>
          <w:lang w:eastAsia="bg-BG"/>
        </w:rPr>
        <w:t>Не е известно дали взаимодействията при деца са сходни с тези при възрастните.</w:t>
      </w:r>
    </w:p>
    <w:p w14:paraId="137FA8D4" w14:textId="77777777" w:rsidR="00BC73CC" w:rsidRPr="004A1A60" w:rsidRDefault="00BC73CC" w:rsidP="00BC73CC"/>
    <w:p w14:paraId="4762A32B" w14:textId="24968354" w:rsidR="001A6EBD" w:rsidRPr="004A1A60" w:rsidRDefault="002C50EE" w:rsidP="00471F10">
      <w:pPr>
        <w:pStyle w:val="Heading2"/>
      </w:pPr>
      <w:r w:rsidRPr="004A1A60">
        <w:t>4.6. Фертилитет, бременност и кърмене</w:t>
      </w:r>
    </w:p>
    <w:p w14:paraId="3D38EFD4" w14:textId="4C556857" w:rsidR="00BC73CC" w:rsidRPr="004A1A60" w:rsidRDefault="00BC73CC" w:rsidP="00BC73CC">
      <w:pPr>
        <w:rPr>
          <w:rFonts w:cs="Arial"/>
          <w:sz w:val="24"/>
        </w:rPr>
      </w:pPr>
    </w:p>
    <w:p w14:paraId="15CE6D4A" w14:textId="77777777" w:rsidR="00BC73CC" w:rsidRPr="004A1A60" w:rsidRDefault="00BC73CC" w:rsidP="00BC73CC">
      <w:pPr>
        <w:pStyle w:val="Heading3"/>
        <w:rPr>
          <w:rFonts w:eastAsia="Times New Roman"/>
          <w:sz w:val="28"/>
          <w:u w:val="single"/>
        </w:rPr>
      </w:pPr>
      <w:r w:rsidRPr="004A1A60">
        <w:rPr>
          <w:rFonts w:eastAsia="Times New Roman"/>
          <w:u w:val="single"/>
          <w:lang w:eastAsia="bg-BG"/>
        </w:rPr>
        <w:t>Бременност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C73CC" w:rsidRPr="004A1A60" w14:paraId="355313E5" w14:textId="77777777" w:rsidTr="00BC73CC">
        <w:tc>
          <w:tcPr>
            <w:tcW w:w="9576" w:type="dxa"/>
          </w:tcPr>
          <w:p w14:paraId="6ED9D1D0" w14:textId="0656DE3B" w:rsidR="00BC73CC" w:rsidRPr="004A1A60" w:rsidRDefault="00BC73CC" w:rsidP="00BC73CC">
            <w:pPr>
              <w:rPr>
                <w:rFonts w:cs="Arial"/>
                <w:sz w:val="24"/>
              </w:rPr>
            </w:pPr>
            <w:r w:rsidRPr="004A1A60">
              <w:rPr>
                <w:rFonts w:cs="Arial"/>
                <w:szCs w:val="20"/>
              </w:rPr>
              <w:t xml:space="preserve">Приложението на </w:t>
            </w:r>
            <w:proofErr w:type="spellStart"/>
            <w:r w:rsidRPr="004A1A60">
              <w:rPr>
                <w:rFonts w:cs="Arial"/>
                <w:szCs w:val="20"/>
              </w:rPr>
              <w:t>ангиотензин</w:t>
            </w:r>
            <w:proofErr w:type="spellEnd"/>
            <w:r w:rsidRPr="004A1A60">
              <w:rPr>
                <w:rFonts w:cs="Arial"/>
                <w:szCs w:val="20"/>
              </w:rPr>
              <w:t xml:space="preserve"> II антагонисти не се препоръчва по време на първия триместър на бременността (вижте точка 4.4), Приложението на </w:t>
            </w:r>
            <w:proofErr w:type="spellStart"/>
            <w:r w:rsidRPr="004A1A60">
              <w:rPr>
                <w:rFonts w:cs="Arial"/>
                <w:szCs w:val="20"/>
              </w:rPr>
              <w:t>ангиотензин</w:t>
            </w:r>
            <w:proofErr w:type="spellEnd"/>
            <w:r w:rsidRPr="004A1A60">
              <w:rPr>
                <w:rFonts w:cs="Arial"/>
                <w:szCs w:val="20"/>
              </w:rPr>
              <w:t xml:space="preserve"> II антагонисти е противопоказано по време на 2-ри и 3-ти </w:t>
            </w:r>
            <w:r w:rsidR="00597EAB" w:rsidRPr="004A1A60">
              <w:rPr>
                <w:rFonts w:cs="Arial"/>
                <w:szCs w:val="20"/>
              </w:rPr>
              <w:t>триместър</w:t>
            </w:r>
            <w:r w:rsidRPr="004A1A60">
              <w:rPr>
                <w:rFonts w:cs="Arial"/>
                <w:szCs w:val="20"/>
              </w:rPr>
              <w:t xml:space="preserve"> от бременността (вижте точка 4.3 и 4.4).</w:t>
            </w:r>
          </w:p>
        </w:tc>
      </w:tr>
    </w:tbl>
    <w:p w14:paraId="0390A0A9" w14:textId="1205F014" w:rsidR="00BC73CC" w:rsidRPr="004A1A60" w:rsidRDefault="00BC73CC" w:rsidP="00BC73CC"/>
    <w:p w14:paraId="20671564" w14:textId="27B8825E" w:rsidR="00BC73CC" w:rsidRPr="004A1A60" w:rsidRDefault="00BC73CC" w:rsidP="00BC73CC">
      <w:pPr>
        <w:rPr>
          <w:rFonts w:cs="Arial"/>
          <w:szCs w:val="20"/>
        </w:rPr>
      </w:pPr>
      <w:r w:rsidRPr="004A1A60">
        <w:rPr>
          <w:rFonts w:cs="Arial"/>
          <w:szCs w:val="20"/>
        </w:rPr>
        <w:t xml:space="preserve">Епидемиологичните данни относно риска от </w:t>
      </w:r>
      <w:proofErr w:type="spellStart"/>
      <w:r w:rsidRPr="004A1A60">
        <w:rPr>
          <w:rFonts w:cs="Arial"/>
          <w:szCs w:val="20"/>
        </w:rPr>
        <w:t>тератогенност</w:t>
      </w:r>
      <w:proofErr w:type="spellEnd"/>
      <w:r w:rsidRPr="004A1A60">
        <w:rPr>
          <w:rFonts w:cs="Arial"/>
          <w:szCs w:val="20"/>
        </w:rPr>
        <w:t xml:space="preserve"> след експозиция на АСЕ- инхибитори по време на първия триместър от бременността не са убедителни; независимо от това не може да се изключи леко увеличение на риска. </w:t>
      </w:r>
      <w:r w:rsidRPr="004A1A60">
        <w:rPr>
          <w:rFonts w:cs="Arial"/>
          <w:i/>
          <w:iCs/>
          <w:szCs w:val="20"/>
        </w:rPr>
        <w:t xml:space="preserve">Тъй като няма </w:t>
      </w:r>
      <w:r w:rsidRPr="004A1A60">
        <w:rPr>
          <w:rFonts w:cs="Arial"/>
          <w:i/>
          <w:iCs/>
          <w:szCs w:val="20"/>
        </w:rPr>
        <w:lastRenderedPageBreak/>
        <w:t xml:space="preserve">контролирани епидемиологични данни за риск при </w:t>
      </w:r>
      <w:proofErr w:type="spellStart"/>
      <w:r w:rsidRPr="004A1A60">
        <w:rPr>
          <w:rFonts w:cs="Arial"/>
          <w:i/>
          <w:iCs/>
          <w:szCs w:val="20"/>
        </w:rPr>
        <w:t>ангиотензин</w:t>
      </w:r>
      <w:proofErr w:type="spellEnd"/>
      <w:r w:rsidRPr="004A1A60">
        <w:rPr>
          <w:rFonts w:cs="Arial"/>
          <w:i/>
          <w:iCs/>
          <w:szCs w:val="20"/>
        </w:rPr>
        <w:t xml:space="preserve"> II антагонистите, подобни рискове може да са налични и при този клас лекарства.</w:t>
      </w:r>
      <w:r w:rsidRPr="004A1A60">
        <w:rPr>
          <w:rFonts w:cs="Arial"/>
          <w:szCs w:val="20"/>
        </w:rPr>
        <w:t xml:space="preserve"> Освен ако продължението на лечението с </w:t>
      </w:r>
      <w:proofErr w:type="spellStart"/>
      <w:r w:rsidRPr="004A1A60">
        <w:rPr>
          <w:rFonts w:cs="Arial"/>
          <w:szCs w:val="20"/>
        </w:rPr>
        <w:t>ангиотензин</w:t>
      </w:r>
      <w:proofErr w:type="spellEnd"/>
      <w:r w:rsidRPr="004A1A60">
        <w:rPr>
          <w:rFonts w:cs="Arial"/>
          <w:szCs w:val="20"/>
        </w:rPr>
        <w:t xml:space="preserve"> II антагонист не е от съществено значение, пациентките, които планират бременност, трябва да преминат на друго антихипертензивно лечение, което е с доказан профил на безопасност при бременност. При диагностициране на бременност лечението с </w:t>
      </w:r>
      <w:proofErr w:type="spellStart"/>
      <w:r w:rsidRPr="004A1A60">
        <w:rPr>
          <w:rFonts w:cs="Arial"/>
          <w:szCs w:val="20"/>
        </w:rPr>
        <w:t>ангиотензин</w:t>
      </w:r>
      <w:proofErr w:type="spellEnd"/>
      <w:r w:rsidRPr="004A1A60">
        <w:rPr>
          <w:rFonts w:cs="Arial"/>
          <w:szCs w:val="20"/>
        </w:rPr>
        <w:t xml:space="preserve"> II антагонисти трябва веднага да се преустанови и при необходимост да се приложи друго лечение.</w:t>
      </w:r>
    </w:p>
    <w:p w14:paraId="46E6DD88" w14:textId="77777777" w:rsidR="00BC73CC" w:rsidRPr="004A1A60" w:rsidRDefault="00BC73CC" w:rsidP="00BC73CC">
      <w:pPr>
        <w:rPr>
          <w:rFonts w:cs="Arial"/>
          <w:szCs w:val="20"/>
        </w:rPr>
      </w:pPr>
    </w:p>
    <w:p w14:paraId="70A55EA1" w14:textId="7F884FB0" w:rsidR="00BC73CC" w:rsidRPr="004A1A60" w:rsidRDefault="00BC73CC" w:rsidP="00BC73CC">
      <w:pPr>
        <w:rPr>
          <w:rFonts w:eastAsia="Times New Roman" w:cs="Arial"/>
          <w:sz w:val="28"/>
          <w:szCs w:val="24"/>
        </w:rPr>
      </w:pPr>
      <w:r w:rsidRPr="004A1A60">
        <w:rPr>
          <w:rFonts w:eastAsia="Times New Roman" w:cs="Arial"/>
          <w:color w:val="000000"/>
          <w:szCs w:val="20"/>
          <w:lang w:eastAsia="bg-BG"/>
        </w:rPr>
        <w:t xml:space="preserve">Известно е, че експозицията към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ангиотензин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II антагонисти по време на втори и трети </w:t>
      </w:r>
      <w:r w:rsidR="00597EAB" w:rsidRPr="004A1A60">
        <w:rPr>
          <w:rFonts w:eastAsia="Times New Roman" w:cs="Arial"/>
          <w:color w:val="000000"/>
          <w:szCs w:val="20"/>
          <w:lang w:eastAsia="bg-BG"/>
        </w:rPr>
        <w:t>триместър</w:t>
      </w:r>
      <w:r w:rsidRPr="004A1A60">
        <w:rPr>
          <w:rFonts w:eastAsia="Times New Roman" w:cs="Arial"/>
          <w:color w:val="000000"/>
          <w:szCs w:val="20"/>
          <w:lang w:eastAsia="bg-BG"/>
        </w:rPr>
        <w:t xml:space="preserve"> индуцира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фетотоксичност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у хора (намалена бъбречна функция,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олигохидрамнион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, забавяне на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осификацията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на черепа) и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неонатална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токсичност (бъбречна недостатъчност, хипотония,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хиперкалиемия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). (Вижте също точка 5.3 “Предклинични данни за безопасност”). При експозиция към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ангиотензин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II антагонисти през втори и трети </w:t>
      </w:r>
      <w:r w:rsidR="00597EAB" w:rsidRPr="004A1A60">
        <w:rPr>
          <w:rFonts w:eastAsia="Times New Roman" w:cs="Arial"/>
          <w:color w:val="000000"/>
          <w:szCs w:val="20"/>
          <w:lang w:eastAsia="bg-BG"/>
        </w:rPr>
        <w:t>триместър</w:t>
      </w:r>
      <w:r w:rsidRPr="004A1A60">
        <w:rPr>
          <w:rFonts w:eastAsia="Times New Roman" w:cs="Arial"/>
          <w:color w:val="000000"/>
          <w:szCs w:val="20"/>
          <w:lang w:eastAsia="bg-BG"/>
        </w:rPr>
        <w:t xml:space="preserve"> от бременността, се препоръчва ултразвуково изследване на бъбречната функция и на черепа. Кърмачета, чиито майки са приемали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ангиотензин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II антагонист по време на бременността, трябва внимателно да се проследяват за хипотония (вижте още точка 4.3 и 4.4).</w:t>
      </w:r>
    </w:p>
    <w:p w14:paraId="7CA1A620" w14:textId="77777777" w:rsidR="00BC73CC" w:rsidRPr="004A1A60" w:rsidRDefault="00BC73CC" w:rsidP="00BC73CC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132C2E0B" w14:textId="0E5F6490" w:rsidR="00BC73CC" w:rsidRPr="004A1A60" w:rsidRDefault="00BC73CC" w:rsidP="00BC73CC">
      <w:pPr>
        <w:pStyle w:val="Heading3"/>
        <w:rPr>
          <w:rFonts w:eastAsia="Times New Roman"/>
          <w:sz w:val="28"/>
          <w:u w:val="single"/>
        </w:rPr>
      </w:pPr>
      <w:r w:rsidRPr="004A1A60">
        <w:rPr>
          <w:rFonts w:eastAsia="Times New Roman"/>
          <w:u w:val="single"/>
          <w:lang w:eastAsia="bg-BG"/>
        </w:rPr>
        <w:t>Кърмене</w:t>
      </w:r>
    </w:p>
    <w:p w14:paraId="20EF10AC" w14:textId="77777777" w:rsidR="00BC73CC" w:rsidRPr="004A1A60" w:rsidRDefault="00BC73CC" w:rsidP="00BC73CC">
      <w:pPr>
        <w:spacing w:line="240" w:lineRule="auto"/>
        <w:rPr>
          <w:rFonts w:eastAsia="Times New Roman" w:cs="Arial"/>
          <w:sz w:val="28"/>
          <w:szCs w:val="24"/>
        </w:rPr>
      </w:pP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се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екскретира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в млякото на кърмещи плъхове, но не е известно дали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се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екскрстира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в кърмата при хора. Поради липса на информация за приложението на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Тенсар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по време на кърмене,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Тенсар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не се препоръчва и се предпочитат други лечения с по-добре проучен профил на безопасност по време на кърмене, особено при кърмене на новородено или при преждевременно родени.</w:t>
      </w:r>
    </w:p>
    <w:p w14:paraId="08D7DCAD" w14:textId="4598C654" w:rsidR="00BC73CC" w:rsidRPr="004A1A60" w:rsidRDefault="00BC73CC" w:rsidP="00BC73CC"/>
    <w:p w14:paraId="188B33B4" w14:textId="75557831" w:rsidR="001A6EBD" w:rsidRPr="004A1A60" w:rsidRDefault="002C50EE" w:rsidP="00471F10">
      <w:pPr>
        <w:pStyle w:val="Heading2"/>
      </w:pPr>
      <w:r w:rsidRPr="004A1A60">
        <w:t>4.7. Ефекти върху способността за шофиране и работа с машини</w:t>
      </w:r>
    </w:p>
    <w:p w14:paraId="6AF0F878" w14:textId="3978F96C" w:rsidR="00BC73CC" w:rsidRPr="004A1A60" w:rsidRDefault="00BC73CC" w:rsidP="00BC73CC"/>
    <w:p w14:paraId="71057860" w14:textId="5B2AE559" w:rsidR="00BC73CC" w:rsidRPr="004A1A60" w:rsidRDefault="00BC73CC" w:rsidP="00BC73CC">
      <w:proofErr w:type="spellStart"/>
      <w:r w:rsidRPr="004A1A60">
        <w:t>Тенсар</w:t>
      </w:r>
      <w:proofErr w:type="spellEnd"/>
      <w:r w:rsidRPr="004A1A60">
        <w:t xml:space="preserve"> минимално или умерено повлиява способността за шофиране или работа с машини. Понякога може да се появи замаяност или умора при пациенти, които приемат антихипертензивни лекарства, което може да наруши способността за реагиране.</w:t>
      </w:r>
    </w:p>
    <w:p w14:paraId="17AD7867" w14:textId="77777777" w:rsidR="00BC73CC" w:rsidRPr="004A1A60" w:rsidRDefault="00BC73CC" w:rsidP="00BC73CC"/>
    <w:p w14:paraId="44CE30A3" w14:textId="65E8587D" w:rsidR="007122AD" w:rsidRPr="004A1A60" w:rsidRDefault="002C50EE" w:rsidP="00936AD0">
      <w:pPr>
        <w:pStyle w:val="Heading2"/>
      </w:pPr>
      <w:r w:rsidRPr="004A1A60">
        <w:t>4.8. Нежелани лекарствени реакции</w:t>
      </w:r>
    </w:p>
    <w:p w14:paraId="1D97948F" w14:textId="74F0BE90" w:rsidR="00BC73CC" w:rsidRPr="004A1A60" w:rsidRDefault="00BC73CC" w:rsidP="00BC73CC"/>
    <w:p w14:paraId="61A6087C" w14:textId="77777777" w:rsidR="00BC73CC" w:rsidRPr="004A1A60" w:rsidRDefault="00BC73CC" w:rsidP="00BC73CC">
      <w:pPr>
        <w:spacing w:line="240" w:lineRule="auto"/>
        <w:rPr>
          <w:rFonts w:eastAsia="Times New Roman" w:cs="Arial"/>
          <w:sz w:val="28"/>
          <w:szCs w:val="24"/>
        </w:rPr>
      </w:pPr>
      <w:r w:rsidRPr="004A1A60">
        <w:rPr>
          <w:rFonts w:eastAsia="Times New Roman" w:cs="Arial"/>
          <w:color w:val="000000"/>
          <w:szCs w:val="20"/>
          <w:u w:val="single"/>
          <w:lang w:eastAsia="bg-BG"/>
        </w:rPr>
        <w:t>Обобщение на профила на безопасност</w:t>
      </w:r>
    </w:p>
    <w:p w14:paraId="39A06353" w14:textId="77777777" w:rsidR="00BC73CC" w:rsidRPr="004A1A60" w:rsidRDefault="00BC73CC" w:rsidP="00BC73CC">
      <w:pPr>
        <w:spacing w:line="240" w:lineRule="auto"/>
        <w:rPr>
          <w:rFonts w:eastAsia="Times New Roman" w:cs="Arial"/>
          <w:sz w:val="28"/>
          <w:szCs w:val="24"/>
        </w:rPr>
      </w:pPr>
      <w:r w:rsidRPr="004A1A60">
        <w:rPr>
          <w:rFonts w:eastAsia="Times New Roman" w:cs="Arial"/>
          <w:color w:val="000000"/>
          <w:szCs w:val="20"/>
          <w:lang w:eastAsia="bg-BG"/>
        </w:rPr>
        <w:t xml:space="preserve">Най-често съобщаваните нежелани реакции при лечение с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Тенсар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са главоболие (7,7%), грипоподобни симптоми (4,0%) и замаяност (3,7%).</w:t>
      </w:r>
    </w:p>
    <w:p w14:paraId="590F3EAB" w14:textId="77777777" w:rsidR="00BC73CC" w:rsidRPr="004A1A60" w:rsidRDefault="00BC73CC" w:rsidP="00BC73CC">
      <w:pPr>
        <w:spacing w:line="240" w:lineRule="auto"/>
        <w:rPr>
          <w:rFonts w:eastAsia="Times New Roman" w:cs="Arial"/>
          <w:sz w:val="28"/>
          <w:szCs w:val="24"/>
        </w:rPr>
      </w:pPr>
      <w:r w:rsidRPr="004A1A60">
        <w:rPr>
          <w:rFonts w:eastAsia="Times New Roman" w:cs="Arial"/>
          <w:color w:val="000000"/>
          <w:szCs w:val="20"/>
          <w:lang w:eastAsia="bg-BG"/>
        </w:rPr>
        <w:t xml:space="preserve">В плацебо-контролирани проучвания с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монотерапия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, единствената нежелана реакция, която недвусмислено е свързана с лечението, е замаяност (2,5% честота при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медоксомил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и 0,9% при плацебо). Честотата е също малко по-висока при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медоксомил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в сравнение с плацебо за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хипертриглицеридемия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(2,0% спрямо 1,1%) и за увеличени нива на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креатинин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фосфокиназа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(1,3% спрямо 0,7%).</w:t>
      </w:r>
    </w:p>
    <w:p w14:paraId="6A778E0D" w14:textId="77777777" w:rsidR="00BC73CC" w:rsidRPr="004A1A60" w:rsidRDefault="00BC73CC" w:rsidP="00BC73CC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38E405F5" w14:textId="1A347BA1" w:rsidR="00BC73CC" w:rsidRPr="004A1A60" w:rsidRDefault="00BC73CC" w:rsidP="00BC73CC">
      <w:pPr>
        <w:spacing w:line="240" w:lineRule="auto"/>
        <w:rPr>
          <w:rFonts w:eastAsia="Times New Roman" w:cs="Arial"/>
          <w:sz w:val="28"/>
          <w:szCs w:val="24"/>
        </w:rPr>
      </w:pPr>
      <w:r w:rsidRPr="004A1A60">
        <w:rPr>
          <w:rFonts w:eastAsia="Times New Roman" w:cs="Arial"/>
          <w:color w:val="000000"/>
          <w:szCs w:val="20"/>
          <w:u w:val="single"/>
          <w:lang w:eastAsia="bg-BG"/>
        </w:rPr>
        <w:t>Таблица с нежелани реакции:</w:t>
      </w:r>
    </w:p>
    <w:p w14:paraId="1EC547B2" w14:textId="77777777" w:rsidR="00BC73CC" w:rsidRPr="004A1A60" w:rsidRDefault="00BC73CC" w:rsidP="00BC73CC">
      <w:pPr>
        <w:spacing w:line="240" w:lineRule="auto"/>
        <w:rPr>
          <w:rFonts w:eastAsia="Times New Roman" w:cs="Arial"/>
          <w:sz w:val="28"/>
          <w:szCs w:val="24"/>
        </w:rPr>
      </w:pPr>
      <w:r w:rsidRPr="004A1A60">
        <w:rPr>
          <w:rFonts w:eastAsia="Times New Roman" w:cs="Arial"/>
          <w:color w:val="000000"/>
          <w:szCs w:val="20"/>
          <w:lang w:eastAsia="bg-BG"/>
        </w:rPr>
        <w:t xml:space="preserve">Нежеланите реакции от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Тенсар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в клинични проучвания, проучвания за безопасност след разрешаване за употреба и от спонтанните съобщения са обединени в таблицата по-долу.</w:t>
      </w:r>
    </w:p>
    <w:p w14:paraId="7358F39F" w14:textId="77777777" w:rsidR="00BC73CC" w:rsidRPr="004A1A60" w:rsidRDefault="00BC73CC" w:rsidP="00BC73CC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115C3A47" w14:textId="482E45D3" w:rsidR="00BC73CC" w:rsidRPr="004A1A60" w:rsidRDefault="00BC73CC" w:rsidP="00BC73CC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  <w:r w:rsidRPr="004A1A60">
        <w:rPr>
          <w:rFonts w:eastAsia="Times New Roman" w:cs="Arial"/>
          <w:color w:val="000000"/>
          <w:szCs w:val="20"/>
          <w:lang w:eastAsia="bg-BG"/>
        </w:rPr>
        <w:lastRenderedPageBreak/>
        <w:t>Следната терминология е използвана за класифициране на честотата на нежеланите реакции: много чести (≥1/10); чести (≥1/100 до &lt;1/10); нечести (≥1/1 000 до &lt;1/100); редки (≥1/10 000 до &lt;1/1 000); много редки (&lt;1/10 000).</w:t>
      </w:r>
    </w:p>
    <w:p w14:paraId="32399961" w14:textId="66BDDD07" w:rsidR="00BC73CC" w:rsidRPr="004A1A60" w:rsidRDefault="00BC73CC" w:rsidP="00BC73CC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158"/>
        <w:gridCol w:w="3078"/>
      </w:tblGrid>
      <w:tr w:rsidR="00BC73CC" w:rsidRPr="004A1A60" w14:paraId="24C89BFD" w14:textId="77777777" w:rsidTr="00BC73CC">
        <w:tc>
          <w:tcPr>
            <w:tcW w:w="3192" w:type="dxa"/>
          </w:tcPr>
          <w:p w14:paraId="6B158F0B" w14:textId="77777777" w:rsidR="00BC73CC" w:rsidRPr="004A1A60" w:rsidRDefault="00BC73CC" w:rsidP="00BC73CC">
            <w:proofErr w:type="spellStart"/>
            <w:r w:rsidRPr="004A1A60">
              <w:rPr>
                <w:szCs w:val="20"/>
              </w:rPr>
              <w:t>MedDRA</w:t>
            </w:r>
            <w:proofErr w:type="spellEnd"/>
          </w:p>
          <w:p w14:paraId="16CCF64C" w14:textId="351D84BE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4A1A60">
              <w:rPr>
                <w:szCs w:val="20"/>
              </w:rPr>
              <w:t>Система/орган клас</w:t>
            </w:r>
          </w:p>
        </w:tc>
        <w:tc>
          <w:tcPr>
            <w:tcW w:w="3192" w:type="dxa"/>
          </w:tcPr>
          <w:p w14:paraId="50118A70" w14:textId="487A4EA8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4A1A60">
              <w:rPr>
                <w:szCs w:val="20"/>
              </w:rPr>
              <w:t>Нежелани реакции</w:t>
            </w:r>
          </w:p>
        </w:tc>
        <w:tc>
          <w:tcPr>
            <w:tcW w:w="3192" w:type="dxa"/>
          </w:tcPr>
          <w:p w14:paraId="4BF8D9CE" w14:textId="17285083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4A1A60">
              <w:rPr>
                <w:szCs w:val="20"/>
              </w:rPr>
              <w:t>Честота</w:t>
            </w:r>
          </w:p>
        </w:tc>
      </w:tr>
      <w:tr w:rsidR="00BC73CC" w:rsidRPr="004A1A60" w14:paraId="0F31436B" w14:textId="77777777" w:rsidTr="004F087A">
        <w:tc>
          <w:tcPr>
            <w:tcW w:w="3192" w:type="dxa"/>
            <w:vAlign w:val="bottom"/>
          </w:tcPr>
          <w:p w14:paraId="3F14FED2" w14:textId="00A55E07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4A1A60">
              <w:rPr>
                <w:szCs w:val="20"/>
              </w:rPr>
              <w:t>Нарушения на кръвта и лимфната система</w:t>
            </w:r>
          </w:p>
        </w:tc>
        <w:tc>
          <w:tcPr>
            <w:tcW w:w="3192" w:type="dxa"/>
          </w:tcPr>
          <w:p w14:paraId="238083D3" w14:textId="6314DB01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proofErr w:type="spellStart"/>
            <w:r w:rsidRPr="004A1A60">
              <w:rPr>
                <w:szCs w:val="20"/>
              </w:rPr>
              <w:t>Тромбоцитонения</w:t>
            </w:r>
            <w:proofErr w:type="spellEnd"/>
          </w:p>
        </w:tc>
        <w:tc>
          <w:tcPr>
            <w:tcW w:w="3192" w:type="dxa"/>
          </w:tcPr>
          <w:p w14:paraId="144DFEB6" w14:textId="32229280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4A1A60">
              <w:rPr>
                <w:szCs w:val="20"/>
              </w:rPr>
              <w:t>Нечести</w:t>
            </w:r>
          </w:p>
        </w:tc>
      </w:tr>
      <w:tr w:rsidR="00BC73CC" w:rsidRPr="004A1A60" w14:paraId="292A499D" w14:textId="77777777" w:rsidTr="00BC73CC">
        <w:tc>
          <w:tcPr>
            <w:tcW w:w="3192" w:type="dxa"/>
          </w:tcPr>
          <w:p w14:paraId="6FF4154B" w14:textId="735B1555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4A1A60">
              <w:rPr>
                <w:szCs w:val="20"/>
              </w:rPr>
              <w:t>Нарушения на имунната система</w:t>
            </w:r>
          </w:p>
        </w:tc>
        <w:tc>
          <w:tcPr>
            <w:tcW w:w="3192" w:type="dxa"/>
          </w:tcPr>
          <w:p w14:paraId="01E1CBA5" w14:textId="084E601C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proofErr w:type="spellStart"/>
            <w:r w:rsidRPr="004A1A60">
              <w:rPr>
                <w:szCs w:val="20"/>
              </w:rPr>
              <w:t>Анафилактична</w:t>
            </w:r>
            <w:proofErr w:type="spellEnd"/>
            <w:r w:rsidRPr="004A1A60">
              <w:rPr>
                <w:szCs w:val="20"/>
              </w:rPr>
              <w:t xml:space="preserve"> реакция</w:t>
            </w:r>
          </w:p>
        </w:tc>
        <w:tc>
          <w:tcPr>
            <w:tcW w:w="3192" w:type="dxa"/>
          </w:tcPr>
          <w:p w14:paraId="4E4E33E9" w14:textId="41C9B9F6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4A1A60">
              <w:rPr>
                <w:szCs w:val="20"/>
              </w:rPr>
              <w:t>Нечести</w:t>
            </w:r>
          </w:p>
        </w:tc>
      </w:tr>
      <w:tr w:rsidR="00BC73CC" w:rsidRPr="004A1A60" w14:paraId="5C89F8F5" w14:textId="77777777" w:rsidTr="00BC73CC">
        <w:tc>
          <w:tcPr>
            <w:tcW w:w="3192" w:type="dxa"/>
            <w:vMerge w:val="restart"/>
          </w:tcPr>
          <w:p w14:paraId="5656DFF4" w14:textId="72EFD726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4A1A60">
              <w:rPr>
                <w:szCs w:val="20"/>
              </w:rPr>
              <w:t>Нарушения на метаболизма и храненето</w:t>
            </w:r>
          </w:p>
        </w:tc>
        <w:tc>
          <w:tcPr>
            <w:tcW w:w="3192" w:type="dxa"/>
          </w:tcPr>
          <w:p w14:paraId="5DDA7E43" w14:textId="761DC343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proofErr w:type="spellStart"/>
            <w:r w:rsidRPr="004A1A60">
              <w:rPr>
                <w:szCs w:val="20"/>
              </w:rPr>
              <w:t>Хипертриглицсридемия</w:t>
            </w:r>
            <w:proofErr w:type="spellEnd"/>
          </w:p>
        </w:tc>
        <w:tc>
          <w:tcPr>
            <w:tcW w:w="3192" w:type="dxa"/>
          </w:tcPr>
          <w:p w14:paraId="222ABC63" w14:textId="6ED8E848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4A1A60">
              <w:rPr>
                <w:szCs w:val="20"/>
              </w:rPr>
              <w:t>Чести</w:t>
            </w:r>
          </w:p>
        </w:tc>
      </w:tr>
      <w:tr w:rsidR="00BC73CC" w:rsidRPr="004A1A60" w14:paraId="662ACBDB" w14:textId="77777777" w:rsidTr="00BC73CC">
        <w:tc>
          <w:tcPr>
            <w:tcW w:w="3192" w:type="dxa"/>
            <w:vMerge/>
          </w:tcPr>
          <w:p w14:paraId="3420A46C" w14:textId="77777777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</w:p>
        </w:tc>
        <w:tc>
          <w:tcPr>
            <w:tcW w:w="3192" w:type="dxa"/>
          </w:tcPr>
          <w:p w14:paraId="63509FC5" w14:textId="1254179B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proofErr w:type="spellStart"/>
            <w:r w:rsidRPr="004A1A60">
              <w:rPr>
                <w:szCs w:val="20"/>
              </w:rPr>
              <w:t>Хиперурикемия</w:t>
            </w:r>
            <w:proofErr w:type="spellEnd"/>
          </w:p>
        </w:tc>
        <w:tc>
          <w:tcPr>
            <w:tcW w:w="3192" w:type="dxa"/>
          </w:tcPr>
          <w:p w14:paraId="270E2EEC" w14:textId="3F1A5C1E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4A1A60">
              <w:rPr>
                <w:szCs w:val="20"/>
              </w:rPr>
              <w:t>Чести</w:t>
            </w:r>
          </w:p>
        </w:tc>
      </w:tr>
      <w:tr w:rsidR="00BC73CC" w:rsidRPr="004A1A60" w14:paraId="6C1BD4A9" w14:textId="77777777" w:rsidTr="00BC73CC">
        <w:tc>
          <w:tcPr>
            <w:tcW w:w="3192" w:type="dxa"/>
            <w:vMerge/>
          </w:tcPr>
          <w:p w14:paraId="12DB6C46" w14:textId="77777777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</w:p>
        </w:tc>
        <w:tc>
          <w:tcPr>
            <w:tcW w:w="3192" w:type="dxa"/>
          </w:tcPr>
          <w:p w14:paraId="06D5797F" w14:textId="714CB753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proofErr w:type="spellStart"/>
            <w:r w:rsidRPr="004A1A60">
              <w:rPr>
                <w:szCs w:val="20"/>
              </w:rPr>
              <w:t>Хиперкалиемия</w:t>
            </w:r>
            <w:proofErr w:type="spellEnd"/>
          </w:p>
        </w:tc>
        <w:tc>
          <w:tcPr>
            <w:tcW w:w="3192" w:type="dxa"/>
          </w:tcPr>
          <w:p w14:paraId="46A2BC3A" w14:textId="2721CF7C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4A1A60">
              <w:rPr>
                <w:szCs w:val="20"/>
              </w:rPr>
              <w:t>Редки</w:t>
            </w:r>
          </w:p>
        </w:tc>
      </w:tr>
      <w:tr w:rsidR="00BC73CC" w:rsidRPr="004A1A60" w14:paraId="794D5BDA" w14:textId="77777777" w:rsidTr="00BC73CC">
        <w:tc>
          <w:tcPr>
            <w:tcW w:w="3192" w:type="dxa"/>
            <w:vMerge w:val="restart"/>
          </w:tcPr>
          <w:p w14:paraId="02BA3E33" w14:textId="572183EA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4A1A60">
              <w:rPr>
                <w:szCs w:val="20"/>
              </w:rPr>
              <w:t>Нарушения на нервната система</w:t>
            </w:r>
          </w:p>
        </w:tc>
        <w:tc>
          <w:tcPr>
            <w:tcW w:w="3192" w:type="dxa"/>
          </w:tcPr>
          <w:p w14:paraId="3DF0E619" w14:textId="3BCE86DE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4A1A60">
              <w:rPr>
                <w:szCs w:val="20"/>
              </w:rPr>
              <w:t>Замаяност</w:t>
            </w:r>
          </w:p>
        </w:tc>
        <w:tc>
          <w:tcPr>
            <w:tcW w:w="3192" w:type="dxa"/>
          </w:tcPr>
          <w:p w14:paraId="5DB81012" w14:textId="7D18CAD6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4A1A60">
              <w:rPr>
                <w:szCs w:val="20"/>
              </w:rPr>
              <w:t>Чести</w:t>
            </w:r>
            <w:r w:rsidRPr="004A1A60">
              <w:rPr>
                <w:szCs w:val="20"/>
              </w:rPr>
              <w:tab/>
            </w:r>
          </w:p>
        </w:tc>
      </w:tr>
      <w:tr w:rsidR="00BC73CC" w:rsidRPr="004A1A60" w14:paraId="5D284758" w14:textId="77777777" w:rsidTr="00BC73CC">
        <w:tc>
          <w:tcPr>
            <w:tcW w:w="3192" w:type="dxa"/>
            <w:vMerge/>
          </w:tcPr>
          <w:p w14:paraId="27C9A7D1" w14:textId="77777777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</w:p>
        </w:tc>
        <w:tc>
          <w:tcPr>
            <w:tcW w:w="3192" w:type="dxa"/>
          </w:tcPr>
          <w:p w14:paraId="7E37CCDF" w14:textId="3B2A6BEE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4A1A60">
              <w:rPr>
                <w:szCs w:val="20"/>
              </w:rPr>
              <w:t>Главоболие</w:t>
            </w:r>
          </w:p>
        </w:tc>
        <w:tc>
          <w:tcPr>
            <w:tcW w:w="3192" w:type="dxa"/>
          </w:tcPr>
          <w:p w14:paraId="3DBB7FF2" w14:textId="657B4A6C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4A1A60">
              <w:rPr>
                <w:szCs w:val="20"/>
              </w:rPr>
              <w:t>Чести</w:t>
            </w:r>
          </w:p>
        </w:tc>
      </w:tr>
      <w:tr w:rsidR="00BC73CC" w:rsidRPr="004A1A60" w14:paraId="382BBB9B" w14:textId="77777777" w:rsidTr="00BC73CC">
        <w:tc>
          <w:tcPr>
            <w:tcW w:w="3192" w:type="dxa"/>
          </w:tcPr>
          <w:p w14:paraId="6D45F267" w14:textId="45E2FD95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4A1A60">
              <w:rPr>
                <w:szCs w:val="20"/>
              </w:rPr>
              <w:t>Нарушения на ухото и лабиринта</w:t>
            </w:r>
          </w:p>
        </w:tc>
        <w:tc>
          <w:tcPr>
            <w:tcW w:w="3192" w:type="dxa"/>
          </w:tcPr>
          <w:p w14:paraId="2F7147CA" w14:textId="302709A2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4A1A60">
              <w:rPr>
                <w:szCs w:val="20"/>
              </w:rPr>
              <w:t>Световъртеж</w:t>
            </w:r>
          </w:p>
        </w:tc>
        <w:tc>
          <w:tcPr>
            <w:tcW w:w="3192" w:type="dxa"/>
          </w:tcPr>
          <w:p w14:paraId="27DBD94A" w14:textId="64A950C9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4A1A60">
              <w:rPr>
                <w:szCs w:val="20"/>
              </w:rPr>
              <w:t>Нечести</w:t>
            </w:r>
          </w:p>
        </w:tc>
      </w:tr>
      <w:tr w:rsidR="00BC73CC" w:rsidRPr="004A1A60" w14:paraId="056CA263" w14:textId="77777777" w:rsidTr="00BC73CC">
        <w:tc>
          <w:tcPr>
            <w:tcW w:w="3192" w:type="dxa"/>
          </w:tcPr>
          <w:p w14:paraId="00C90D58" w14:textId="4E8D0D0E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4A1A60">
              <w:rPr>
                <w:szCs w:val="20"/>
              </w:rPr>
              <w:t>Сърдечни нарушения</w:t>
            </w:r>
          </w:p>
        </w:tc>
        <w:tc>
          <w:tcPr>
            <w:tcW w:w="3192" w:type="dxa"/>
          </w:tcPr>
          <w:p w14:paraId="3C1188E4" w14:textId="143AAA5B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4A1A60">
              <w:rPr>
                <w:szCs w:val="20"/>
              </w:rPr>
              <w:t xml:space="preserve">Ангина </w:t>
            </w:r>
            <w:proofErr w:type="spellStart"/>
            <w:r w:rsidRPr="004A1A60">
              <w:rPr>
                <w:szCs w:val="20"/>
              </w:rPr>
              <w:t>пекторис</w:t>
            </w:r>
            <w:proofErr w:type="spellEnd"/>
          </w:p>
        </w:tc>
        <w:tc>
          <w:tcPr>
            <w:tcW w:w="3192" w:type="dxa"/>
          </w:tcPr>
          <w:p w14:paraId="07BD54D8" w14:textId="29A6177D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4A1A60">
              <w:rPr>
                <w:szCs w:val="20"/>
              </w:rPr>
              <w:t>Нечести</w:t>
            </w:r>
          </w:p>
        </w:tc>
      </w:tr>
      <w:tr w:rsidR="00BC73CC" w:rsidRPr="004A1A60" w14:paraId="71DABE85" w14:textId="77777777" w:rsidTr="00BC73CC">
        <w:tc>
          <w:tcPr>
            <w:tcW w:w="3192" w:type="dxa"/>
          </w:tcPr>
          <w:p w14:paraId="339E611E" w14:textId="63DFD340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4A1A60">
              <w:rPr>
                <w:szCs w:val="20"/>
              </w:rPr>
              <w:t>Съдови нарушения</w:t>
            </w:r>
          </w:p>
        </w:tc>
        <w:tc>
          <w:tcPr>
            <w:tcW w:w="3192" w:type="dxa"/>
          </w:tcPr>
          <w:p w14:paraId="5E009BBB" w14:textId="1CB82AF9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4A1A60">
              <w:rPr>
                <w:szCs w:val="20"/>
              </w:rPr>
              <w:t>Хипотония</w:t>
            </w:r>
          </w:p>
        </w:tc>
        <w:tc>
          <w:tcPr>
            <w:tcW w:w="3192" w:type="dxa"/>
          </w:tcPr>
          <w:p w14:paraId="58633AFC" w14:textId="60555B6F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4A1A60">
              <w:rPr>
                <w:szCs w:val="20"/>
              </w:rPr>
              <w:t>Редки</w:t>
            </w:r>
          </w:p>
        </w:tc>
      </w:tr>
      <w:tr w:rsidR="00BC73CC" w:rsidRPr="004A1A60" w14:paraId="313B2402" w14:textId="77777777" w:rsidTr="00BC73CC">
        <w:tc>
          <w:tcPr>
            <w:tcW w:w="3192" w:type="dxa"/>
            <w:vMerge w:val="restart"/>
          </w:tcPr>
          <w:p w14:paraId="6FCBE083" w14:textId="7A77B1AE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4A1A60">
              <w:rPr>
                <w:szCs w:val="20"/>
              </w:rPr>
              <w:t xml:space="preserve">Респираторни, гръдни и </w:t>
            </w:r>
            <w:proofErr w:type="spellStart"/>
            <w:r w:rsidRPr="004A1A60">
              <w:rPr>
                <w:szCs w:val="20"/>
              </w:rPr>
              <w:t>медиастинални</w:t>
            </w:r>
            <w:proofErr w:type="spellEnd"/>
            <w:r w:rsidRPr="004A1A60">
              <w:rPr>
                <w:szCs w:val="20"/>
              </w:rPr>
              <w:t xml:space="preserve"> нарушения</w:t>
            </w:r>
          </w:p>
        </w:tc>
        <w:tc>
          <w:tcPr>
            <w:tcW w:w="3192" w:type="dxa"/>
          </w:tcPr>
          <w:p w14:paraId="7B70E684" w14:textId="5CE84D9B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4A1A60">
              <w:rPr>
                <w:szCs w:val="20"/>
              </w:rPr>
              <w:t>Бронхит</w:t>
            </w:r>
          </w:p>
        </w:tc>
        <w:tc>
          <w:tcPr>
            <w:tcW w:w="3192" w:type="dxa"/>
          </w:tcPr>
          <w:p w14:paraId="35484992" w14:textId="56F614A4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4A1A60">
              <w:rPr>
                <w:szCs w:val="20"/>
              </w:rPr>
              <w:t>Чести</w:t>
            </w:r>
          </w:p>
        </w:tc>
      </w:tr>
      <w:tr w:rsidR="00BC73CC" w:rsidRPr="004A1A60" w14:paraId="0B4E0720" w14:textId="77777777" w:rsidTr="00BC73CC">
        <w:tc>
          <w:tcPr>
            <w:tcW w:w="3192" w:type="dxa"/>
            <w:vMerge/>
          </w:tcPr>
          <w:p w14:paraId="44E11C85" w14:textId="77777777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</w:p>
        </w:tc>
        <w:tc>
          <w:tcPr>
            <w:tcW w:w="3192" w:type="dxa"/>
          </w:tcPr>
          <w:p w14:paraId="0B0FF236" w14:textId="3982AF8B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4A1A60">
              <w:rPr>
                <w:szCs w:val="20"/>
              </w:rPr>
              <w:t>Фарингит</w:t>
            </w:r>
          </w:p>
        </w:tc>
        <w:tc>
          <w:tcPr>
            <w:tcW w:w="3192" w:type="dxa"/>
          </w:tcPr>
          <w:p w14:paraId="7DCBB790" w14:textId="65954AC6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4A1A60">
              <w:rPr>
                <w:szCs w:val="20"/>
              </w:rPr>
              <w:t>Чести</w:t>
            </w:r>
          </w:p>
        </w:tc>
      </w:tr>
      <w:tr w:rsidR="00BC73CC" w:rsidRPr="004A1A60" w14:paraId="72BB2C56" w14:textId="77777777" w:rsidTr="00BC73CC">
        <w:tc>
          <w:tcPr>
            <w:tcW w:w="3192" w:type="dxa"/>
            <w:vMerge/>
          </w:tcPr>
          <w:p w14:paraId="4B741B2F" w14:textId="77777777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</w:p>
        </w:tc>
        <w:tc>
          <w:tcPr>
            <w:tcW w:w="3192" w:type="dxa"/>
          </w:tcPr>
          <w:p w14:paraId="4043BBA2" w14:textId="2B62819F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4A1A60">
              <w:rPr>
                <w:szCs w:val="20"/>
              </w:rPr>
              <w:t>Кашлица</w:t>
            </w:r>
          </w:p>
        </w:tc>
        <w:tc>
          <w:tcPr>
            <w:tcW w:w="3192" w:type="dxa"/>
          </w:tcPr>
          <w:p w14:paraId="0181FC5D" w14:textId="7D13759E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4A1A60">
              <w:rPr>
                <w:szCs w:val="20"/>
              </w:rPr>
              <w:t>Чести</w:t>
            </w:r>
          </w:p>
        </w:tc>
      </w:tr>
      <w:tr w:rsidR="00BC73CC" w:rsidRPr="004A1A60" w14:paraId="2F2B270F" w14:textId="77777777" w:rsidTr="00BC73CC">
        <w:tc>
          <w:tcPr>
            <w:tcW w:w="3192" w:type="dxa"/>
            <w:vMerge/>
          </w:tcPr>
          <w:p w14:paraId="11A0D40F" w14:textId="77777777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</w:p>
        </w:tc>
        <w:tc>
          <w:tcPr>
            <w:tcW w:w="3192" w:type="dxa"/>
          </w:tcPr>
          <w:p w14:paraId="61F4095B" w14:textId="6E942BD3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4A1A60">
              <w:rPr>
                <w:szCs w:val="20"/>
              </w:rPr>
              <w:t>Ринит</w:t>
            </w:r>
          </w:p>
        </w:tc>
        <w:tc>
          <w:tcPr>
            <w:tcW w:w="3192" w:type="dxa"/>
          </w:tcPr>
          <w:p w14:paraId="6A17D3F4" w14:textId="4562408D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4A1A60">
              <w:rPr>
                <w:szCs w:val="20"/>
              </w:rPr>
              <w:t>Чести</w:t>
            </w:r>
          </w:p>
        </w:tc>
      </w:tr>
      <w:tr w:rsidR="00BC73CC" w:rsidRPr="004A1A60" w14:paraId="60585B63" w14:textId="77777777" w:rsidTr="00BC73CC">
        <w:tc>
          <w:tcPr>
            <w:tcW w:w="3192" w:type="dxa"/>
            <w:vMerge w:val="restart"/>
          </w:tcPr>
          <w:p w14:paraId="2586481D" w14:textId="655347A6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4A1A60">
              <w:rPr>
                <w:szCs w:val="20"/>
              </w:rPr>
              <w:t>Стомашно-чревни нарушения</w:t>
            </w:r>
          </w:p>
        </w:tc>
        <w:tc>
          <w:tcPr>
            <w:tcW w:w="3192" w:type="dxa"/>
          </w:tcPr>
          <w:p w14:paraId="2B8935F6" w14:textId="46F090C2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proofErr w:type="spellStart"/>
            <w:r w:rsidRPr="004A1A60">
              <w:rPr>
                <w:szCs w:val="20"/>
              </w:rPr>
              <w:t>Гастроентерит</w:t>
            </w:r>
            <w:proofErr w:type="spellEnd"/>
          </w:p>
        </w:tc>
        <w:tc>
          <w:tcPr>
            <w:tcW w:w="3192" w:type="dxa"/>
          </w:tcPr>
          <w:p w14:paraId="49E7E566" w14:textId="15EE3A12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4A1A60">
              <w:rPr>
                <w:szCs w:val="20"/>
              </w:rPr>
              <w:t>Чести</w:t>
            </w:r>
          </w:p>
        </w:tc>
      </w:tr>
      <w:tr w:rsidR="00BC73CC" w:rsidRPr="004A1A60" w14:paraId="5026108E" w14:textId="77777777" w:rsidTr="00BC73CC">
        <w:tc>
          <w:tcPr>
            <w:tcW w:w="3192" w:type="dxa"/>
            <w:vMerge/>
          </w:tcPr>
          <w:p w14:paraId="38B6BCEE" w14:textId="77777777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</w:p>
        </w:tc>
        <w:tc>
          <w:tcPr>
            <w:tcW w:w="3192" w:type="dxa"/>
          </w:tcPr>
          <w:p w14:paraId="557AD9BD" w14:textId="6F3684FA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4A1A60">
              <w:rPr>
                <w:szCs w:val="20"/>
              </w:rPr>
              <w:t>Диария</w:t>
            </w:r>
          </w:p>
        </w:tc>
        <w:tc>
          <w:tcPr>
            <w:tcW w:w="3192" w:type="dxa"/>
          </w:tcPr>
          <w:p w14:paraId="65001B59" w14:textId="19984CC1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4A1A60">
              <w:rPr>
                <w:szCs w:val="20"/>
              </w:rPr>
              <w:t>Чести</w:t>
            </w:r>
          </w:p>
        </w:tc>
      </w:tr>
      <w:tr w:rsidR="00BC73CC" w:rsidRPr="004A1A60" w14:paraId="76478339" w14:textId="77777777" w:rsidTr="00BC73CC">
        <w:tc>
          <w:tcPr>
            <w:tcW w:w="3192" w:type="dxa"/>
            <w:vMerge/>
          </w:tcPr>
          <w:p w14:paraId="5F55EEA7" w14:textId="77777777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</w:p>
        </w:tc>
        <w:tc>
          <w:tcPr>
            <w:tcW w:w="3192" w:type="dxa"/>
          </w:tcPr>
          <w:p w14:paraId="7EB1590D" w14:textId="02C54B2E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4A1A60">
              <w:rPr>
                <w:szCs w:val="20"/>
              </w:rPr>
              <w:t>Коремна болка</w:t>
            </w:r>
          </w:p>
        </w:tc>
        <w:tc>
          <w:tcPr>
            <w:tcW w:w="3192" w:type="dxa"/>
          </w:tcPr>
          <w:p w14:paraId="74B24680" w14:textId="65E1C6A0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4A1A60">
              <w:rPr>
                <w:szCs w:val="20"/>
              </w:rPr>
              <w:t>Чести</w:t>
            </w:r>
          </w:p>
        </w:tc>
      </w:tr>
      <w:tr w:rsidR="00BC73CC" w:rsidRPr="004A1A60" w14:paraId="754C5A48" w14:textId="77777777" w:rsidTr="00BC73CC">
        <w:tc>
          <w:tcPr>
            <w:tcW w:w="3192" w:type="dxa"/>
            <w:vMerge/>
          </w:tcPr>
          <w:p w14:paraId="3082231C" w14:textId="77777777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</w:p>
        </w:tc>
        <w:tc>
          <w:tcPr>
            <w:tcW w:w="3192" w:type="dxa"/>
          </w:tcPr>
          <w:p w14:paraId="0B89B753" w14:textId="218DDAB2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4A1A60">
              <w:rPr>
                <w:szCs w:val="20"/>
              </w:rPr>
              <w:t>Гадене</w:t>
            </w:r>
          </w:p>
        </w:tc>
        <w:tc>
          <w:tcPr>
            <w:tcW w:w="3192" w:type="dxa"/>
          </w:tcPr>
          <w:p w14:paraId="3D4AAFF0" w14:textId="5A0B9EBA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4A1A60">
              <w:rPr>
                <w:szCs w:val="20"/>
              </w:rPr>
              <w:t>Чести</w:t>
            </w:r>
          </w:p>
        </w:tc>
      </w:tr>
      <w:tr w:rsidR="00BC73CC" w:rsidRPr="004A1A60" w14:paraId="6EA36B71" w14:textId="77777777" w:rsidTr="00BC73CC">
        <w:tc>
          <w:tcPr>
            <w:tcW w:w="3192" w:type="dxa"/>
            <w:vMerge/>
          </w:tcPr>
          <w:p w14:paraId="0D308308" w14:textId="77777777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</w:p>
        </w:tc>
        <w:tc>
          <w:tcPr>
            <w:tcW w:w="3192" w:type="dxa"/>
          </w:tcPr>
          <w:p w14:paraId="191F7B96" w14:textId="0AD52B07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4A1A60">
              <w:rPr>
                <w:szCs w:val="20"/>
              </w:rPr>
              <w:t>Диспепсия</w:t>
            </w:r>
          </w:p>
        </w:tc>
        <w:tc>
          <w:tcPr>
            <w:tcW w:w="3192" w:type="dxa"/>
          </w:tcPr>
          <w:p w14:paraId="67D4ED60" w14:textId="2EE05CC6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4A1A60">
              <w:rPr>
                <w:szCs w:val="20"/>
              </w:rPr>
              <w:t>Чести</w:t>
            </w:r>
          </w:p>
        </w:tc>
      </w:tr>
      <w:tr w:rsidR="00BC73CC" w:rsidRPr="004A1A60" w14:paraId="67BDE31B" w14:textId="77777777" w:rsidTr="00BC73CC">
        <w:tc>
          <w:tcPr>
            <w:tcW w:w="3192" w:type="dxa"/>
            <w:vMerge/>
          </w:tcPr>
          <w:p w14:paraId="0E5DB9A7" w14:textId="77777777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</w:p>
        </w:tc>
        <w:tc>
          <w:tcPr>
            <w:tcW w:w="3192" w:type="dxa"/>
          </w:tcPr>
          <w:p w14:paraId="3CA7E8DA" w14:textId="7053D85E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4A1A60">
              <w:rPr>
                <w:szCs w:val="20"/>
              </w:rPr>
              <w:t>Повръщане</w:t>
            </w:r>
          </w:p>
        </w:tc>
        <w:tc>
          <w:tcPr>
            <w:tcW w:w="3192" w:type="dxa"/>
          </w:tcPr>
          <w:p w14:paraId="109CBAFB" w14:textId="5BA07014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4A1A60">
              <w:rPr>
                <w:szCs w:val="20"/>
              </w:rPr>
              <w:t>Нечести</w:t>
            </w:r>
          </w:p>
        </w:tc>
      </w:tr>
      <w:tr w:rsidR="00BC73CC" w:rsidRPr="004A1A60" w14:paraId="61F445D4" w14:textId="77777777" w:rsidTr="00BB4929">
        <w:tc>
          <w:tcPr>
            <w:tcW w:w="3192" w:type="dxa"/>
            <w:vMerge/>
          </w:tcPr>
          <w:p w14:paraId="7ABE7E4A" w14:textId="77777777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</w:p>
        </w:tc>
        <w:tc>
          <w:tcPr>
            <w:tcW w:w="3192" w:type="dxa"/>
            <w:vAlign w:val="bottom"/>
          </w:tcPr>
          <w:p w14:paraId="78FFC3E8" w14:textId="34F898B1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proofErr w:type="spellStart"/>
            <w:r w:rsidRPr="004A1A60">
              <w:rPr>
                <w:szCs w:val="20"/>
              </w:rPr>
              <w:t>Шпру</w:t>
            </w:r>
            <w:proofErr w:type="spellEnd"/>
            <w:r w:rsidRPr="004A1A60">
              <w:rPr>
                <w:szCs w:val="20"/>
              </w:rPr>
              <w:t xml:space="preserve">-подобна </w:t>
            </w:r>
            <w:proofErr w:type="spellStart"/>
            <w:r w:rsidRPr="004A1A60">
              <w:rPr>
                <w:szCs w:val="20"/>
              </w:rPr>
              <w:t>ентеропатия</w:t>
            </w:r>
            <w:proofErr w:type="spellEnd"/>
            <w:r w:rsidRPr="004A1A60">
              <w:rPr>
                <w:szCs w:val="20"/>
              </w:rPr>
              <w:t xml:space="preserve"> (вж. точка 4.4)</w:t>
            </w:r>
          </w:p>
        </w:tc>
        <w:tc>
          <w:tcPr>
            <w:tcW w:w="3192" w:type="dxa"/>
          </w:tcPr>
          <w:p w14:paraId="070B9232" w14:textId="40068795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4A1A60">
              <w:rPr>
                <w:szCs w:val="20"/>
              </w:rPr>
              <w:t>Много редки</w:t>
            </w:r>
          </w:p>
        </w:tc>
      </w:tr>
      <w:tr w:rsidR="00BC73CC" w:rsidRPr="004A1A60" w14:paraId="08AD45A5" w14:textId="77777777" w:rsidTr="00BC73CC">
        <w:tc>
          <w:tcPr>
            <w:tcW w:w="3192" w:type="dxa"/>
          </w:tcPr>
          <w:p w14:paraId="7327C2A9" w14:textId="558C2B54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proofErr w:type="spellStart"/>
            <w:r w:rsidRPr="004A1A60">
              <w:rPr>
                <w:szCs w:val="20"/>
              </w:rPr>
              <w:t>Хепатобилиарни</w:t>
            </w:r>
            <w:proofErr w:type="spellEnd"/>
            <w:r w:rsidRPr="004A1A60">
              <w:rPr>
                <w:szCs w:val="20"/>
              </w:rPr>
              <w:t xml:space="preserve"> нарушения</w:t>
            </w:r>
          </w:p>
        </w:tc>
        <w:tc>
          <w:tcPr>
            <w:tcW w:w="3192" w:type="dxa"/>
          </w:tcPr>
          <w:p w14:paraId="5763B5C5" w14:textId="7D672B4D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4A1A60">
              <w:rPr>
                <w:szCs w:val="20"/>
              </w:rPr>
              <w:t>Автоимунен хепатит*</w:t>
            </w:r>
          </w:p>
        </w:tc>
        <w:tc>
          <w:tcPr>
            <w:tcW w:w="3192" w:type="dxa"/>
          </w:tcPr>
          <w:p w14:paraId="27412175" w14:textId="79F5177D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4A1A60">
              <w:rPr>
                <w:szCs w:val="20"/>
              </w:rPr>
              <w:t>С неизвестна честота</w:t>
            </w:r>
          </w:p>
        </w:tc>
      </w:tr>
      <w:tr w:rsidR="00BC73CC" w:rsidRPr="004A1A60" w14:paraId="6CC0BDB7" w14:textId="77777777" w:rsidTr="00BC73CC">
        <w:tc>
          <w:tcPr>
            <w:tcW w:w="3192" w:type="dxa"/>
            <w:vMerge w:val="restart"/>
          </w:tcPr>
          <w:p w14:paraId="7A5590FF" w14:textId="52013AFA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4A1A60">
              <w:rPr>
                <w:szCs w:val="20"/>
              </w:rPr>
              <w:t>Нарушения на кожата и подкожната тъкан</w:t>
            </w:r>
          </w:p>
        </w:tc>
        <w:tc>
          <w:tcPr>
            <w:tcW w:w="3192" w:type="dxa"/>
          </w:tcPr>
          <w:p w14:paraId="3FA88078" w14:textId="14405FBD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proofErr w:type="spellStart"/>
            <w:r w:rsidRPr="004A1A60">
              <w:rPr>
                <w:szCs w:val="20"/>
              </w:rPr>
              <w:t>Екзантем</w:t>
            </w:r>
            <w:proofErr w:type="spellEnd"/>
          </w:p>
        </w:tc>
        <w:tc>
          <w:tcPr>
            <w:tcW w:w="3192" w:type="dxa"/>
          </w:tcPr>
          <w:p w14:paraId="3E5562EC" w14:textId="04A5A41D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4A1A60">
              <w:rPr>
                <w:szCs w:val="20"/>
              </w:rPr>
              <w:t>Нечести</w:t>
            </w:r>
          </w:p>
        </w:tc>
      </w:tr>
      <w:tr w:rsidR="00BC73CC" w:rsidRPr="004A1A60" w14:paraId="53B905D1" w14:textId="77777777" w:rsidTr="00BC73CC">
        <w:tc>
          <w:tcPr>
            <w:tcW w:w="3192" w:type="dxa"/>
            <w:vMerge/>
          </w:tcPr>
          <w:p w14:paraId="393B0859" w14:textId="77777777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</w:p>
        </w:tc>
        <w:tc>
          <w:tcPr>
            <w:tcW w:w="3192" w:type="dxa"/>
          </w:tcPr>
          <w:p w14:paraId="28BC0358" w14:textId="6195A6D4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4A1A60">
              <w:rPr>
                <w:szCs w:val="20"/>
              </w:rPr>
              <w:t>Алергичен дерматит</w:t>
            </w:r>
          </w:p>
        </w:tc>
        <w:tc>
          <w:tcPr>
            <w:tcW w:w="3192" w:type="dxa"/>
          </w:tcPr>
          <w:p w14:paraId="4FD9059C" w14:textId="452DF8FE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4A1A60">
              <w:rPr>
                <w:szCs w:val="20"/>
              </w:rPr>
              <w:t>Нечести</w:t>
            </w:r>
          </w:p>
        </w:tc>
      </w:tr>
      <w:tr w:rsidR="00BC73CC" w:rsidRPr="004A1A60" w14:paraId="702B5979" w14:textId="77777777" w:rsidTr="00BC73CC">
        <w:tc>
          <w:tcPr>
            <w:tcW w:w="3192" w:type="dxa"/>
            <w:vMerge/>
          </w:tcPr>
          <w:p w14:paraId="7C20FC16" w14:textId="77777777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</w:p>
        </w:tc>
        <w:tc>
          <w:tcPr>
            <w:tcW w:w="3192" w:type="dxa"/>
          </w:tcPr>
          <w:p w14:paraId="1873DE0B" w14:textId="0FB60A48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4A1A60">
              <w:rPr>
                <w:szCs w:val="20"/>
              </w:rPr>
              <w:t>Уртикария</w:t>
            </w:r>
          </w:p>
        </w:tc>
        <w:tc>
          <w:tcPr>
            <w:tcW w:w="3192" w:type="dxa"/>
          </w:tcPr>
          <w:p w14:paraId="3019FDD3" w14:textId="55B5361C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4A1A60">
              <w:rPr>
                <w:szCs w:val="20"/>
              </w:rPr>
              <w:t>Нечести</w:t>
            </w:r>
          </w:p>
        </w:tc>
      </w:tr>
      <w:tr w:rsidR="00BC73CC" w:rsidRPr="004A1A60" w14:paraId="0FC4FDFA" w14:textId="77777777" w:rsidTr="00BC73CC">
        <w:tc>
          <w:tcPr>
            <w:tcW w:w="3192" w:type="dxa"/>
            <w:vMerge/>
          </w:tcPr>
          <w:p w14:paraId="4A145E48" w14:textId="77777777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</w:p>
        </w:tc>
        <w:tc>
          <w:tcPr>
            <w:tcW w:w="3192" w:type="dxa"/>
          </w:tcPr>
          <w:p w14:paraId="0A71DC95" w14:textId="23E9B4BA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4A1A60">
              <w:rPr>
                <w:szCs w:val="20"/>
              </w:rPr>
              <w:t>Обрив</w:t>
            </w:r>
          </w:p>
        </w:tc>
        <w:tc>
          <w:tcPr>
            <w:tcW w:w="3192" w:type="dxa"/>
          </w:tcPr>
          <w:p w14:paraId="4D27ED3C" w14:textId="57C71444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4A1A60">
              <w:rPr>
                <w:szCs w:val="20"/>
              </w:rPr>
              <w:t>Нечести</w:t>
            </w:r>
          </w:p>
        </w:tc>
      </w:tr>
      <w:tr w:rsidR="00BC73CC" w:rsidRPr="004A1A60" w14:paraId="06A41876" w14:textId="77777777" w:rsidTr="00BC73CC">
        <w:tc>
          <w:tcPr>
            <w:tcW w:w="3192" w:type="dxa"/>
            <w:vMerge/>
          </w:tcPr>
          <w:p w14:paraId="135017DF" w14:textId="77777777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</w:p>
        </w:tc>
        <w:tc>
          <w:tcPr>
            <w:tcW w:w="3192" w:type="dxa"/>
          </w:tcPr>
          <w:p w14:paraId="02B07465" w14:textId="0B616699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4A1A60">
              <w:rPr>
                <w:szCs w:val="20"/>
              </w:rPr>
              <w:t>Сърбеж</w:t>
            </w:r>
          </w:p>
        </w:tc>
        <w:tc>
          <w:tcPr>
            <w:tcW w:w="3192" w:type="dxa"/>
          </w:tcPr>
          <w:p w14:paraId="466E0AE0" w14:textId="32A9B2A8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4A1A60">
              <w:rPr>
                <w:szCs w:val="20"/>
              </w:rPr>
              <w:t>Нечести</w:t>
            </w:r>
          </w:p>
        </w:tc>
      </w:tr>
      <w:tr w:rsidR="00BC73CC" w:rsidRPr="004A1A60" w14:paraId="4EB69933" w14:textId="77777777" w:rsidTr="00BC73CC">
        <w:tc>
          <w:tcPr>
            <w:tcW w:w="3192" w:type="dxa"/>
            <w:vMerge/>
          </w:tcPr>
          <w:p w14:paraId="604B0C41" w14:textId="77777777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</w:p>
        </w:tc>
        <w:tc>
          <w:tcPr>
            <w:tcW w:w="3192" w:type="dxa"/>
          </w:tcPr>
          <w:p w14:paraId="3A220BF4" w14:textId="33379DEA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4A1A60">
              <w:rPr>
                <w:szCs w:val="20"/>
              </w:rPr>
              <w:t>Ангиоедем</w:t>
            </w:r>
          </w:p>
        </w:tc>
        <w:tc>
          <w:tcPr>
            <w:tcW w:w="3192" w:type="dxa"/>
          </w:tcPr>
          <w:p w14:paraId="47317086" w14:textId="77B1ED66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4A1A60">
              <w:rPr>
                <w:szCs w:val="20"/>
              </w:rPr>
              <w:t>Редки</w:t>
            </w:r>
          </w:p>
        </w:tc>
      </w:tr>
      <w:tr w:rsidR="00BC73CC" w:rsidRPr="004A1A60" w14:paraId="11B78116" w14:textId="77777777" w:rsidTr="00BC73CC">
        <w:tc>
          <w:tcPr>
            <w:tcW w:w="3192" w:type="dxa"/>
            <w:vMerge w:val="restart"/>
          </w:tcPr>
          <w:p w14:paraId="4E200F2B" w14:textId="7FED689F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4A1A60">
              <w:rPr>
                <w:szCs w:val="20"/>
              </w:rPr>
              <w:t>Нарушения на мускулно-скелетната система и съединителната тъкан</w:t>
            </w:r>
          </w:p>
        </w:tc>
        <w:tc>
          <w:tcPr>
            <w:tcW w:w="3192" w:type="dxa"/>
          </w:tcPr>
          <w:p w14:paraId="3EF2D610" w14:textId="51D3A4A8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4A1A60">
              <w:rPr>
                <w:szCs w:val="20"/>
              </w:rPr>
              <w:t>Артрит</w:t>
            </w:r>
          </w:p>
        </w:tc>
        <w:tc>
          <w:tcPr>
            <w:tcW w:w="3192" w:type="dxa"/>
          </w:tcPr>
          <w:p w14:paraId="050AFDCE" w14:textId="3F60957A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4A1A60">
              <w:rPr>
                <w:szCs w:val="20"/>
              </w:rPr>
              <w:t>Чести</w:t>
            </w:r>
          </w:p>
        </w:tc>
      </w:tr>
      <w:tr w:rsidR="00BC73CC" w:rsidRPr="004A1A60" w14:paraId="7A1DF27F" w14:textId="77777777" w:rsidTr="00BC73CC">
        <w:tc>
          <w:tcPr>
            <w:tcW w:w="3192" w:type="dxa"/>
            <w:vMerge/>
          </w:tcPr>
          <w:p w14:paraId="47DFD3C7" w14:textId="77777777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</w:p>
        </w:tc>
        <w:tc>
          <w:tcPr>
            <w:tcW w:w="3192" w:type="dxa"/>
          </w:tcPr>
          <w:p w14:paraId="70CC4844" w14:textId="775337FE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4A1A60">
              <w:rPr>
                <w:szCs w:val="20"/>
              </w:rPr>
              <w:t>Болка в гърба</w:t>
            </w:r>
          </w:p>
        </w:tc>
        <w:tc>
          <w:tcPr>
            <w:tcW w:w="3192" w:type="dxa"/>
          </w:tcPr>
          <w:p w14:paraId="67FD43C6" w14:textId="4E9800D6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4A1A60">
              <w:rPr>
                <w:szCs w:val="20"/>
              </w:rPr>
              <w:t>Чести</w:t>
            </w:r>
          </w:p>
        </w:tc>
      </w:tr>
      <w:tr w:rsidR="00BC73CC" w:rsidRPr="004A1A60" w14:paraId="4BDCC78A" w14:textId="77777777" w:rsidTr="00BC73CC">
        <w:tc>
          <w:tcPr>
            <w:tcW w:w="3192" w:type="dxa"/>
            <w:vMerge/>
          </w:tcPr>
          <w:p w14:paraId="69ECDDBB" w14:textId="77777777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</w:p>
        </w:tc>
        <w:tc>
          <w:tcPr>
            <w:tcW w:w="3192" w:type="dxa"/>
          </w:tcPr>
          <w:p w14:paraId="3F0348D8" w14:textId="3864EB6F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4A1A60">
              <w:rPr>
                <w:szCs w:val="20"/>
              </w:rPr>
              <w:t>Болка в костите</w:t>
            </w:r>
          </w:p>
        </w:tc>
        <w:tc>
          <w:tcPr>
            <w:tcW w:w="3192" w:type="dxa"/>
          </w:tcPr>
          <w:p w14:paraId="7C0E4E3F" w14:textId="12A8C510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4A1A60">
              <w:rPr>
                <w:szCs w:val="20"/>
              </w:rPr>
              <w:t>Чести</w:t>
            </w:r>
          </w:p>
        </w:tc>
      </w:tr>
      <w:tr w:rsidR="00BC73CC" w:rsidRPr="004A1A60" w14:paraId="251E75F8" w14:textId="77777777" w:rsidTr="00BC73CC">
        <w:tc>
          <w:tcPr>
            <w:tcW w:w="3192" w:type="dxa"/>
            <w:vMerge/>
          </w:tcPr>
          <w:p w14:paraId="6FDFCE53" w14:textId="77777777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</w:p>
        </w:tc>
        <w:tc>
          <w:tcPr>
            <w:tcW w:w="3192" w:type="dxa"/>
          </w:tcPr>
          <w:p w14:paraId="77FB3425" w14:textId="046F4F9F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proofErr w:type="spellStart"/>
            <w:r w:rsidRPr="004A1A60">
              <w:rPr>
                <w:szCs w:val="20"/>
              </w:rPr>
              <w:t>Миа</w:t>
            </w:r>
            <w:r w:rsidR="00597EAB">
              <w:rPr>
                <w:szCs w:val="20"/>
              </w:rPr>
              <w:t>л</w:t>
            </w:r>
            <w:r w:rsidRPr="004A1A60">
              <w:rPr>
                <w:szCs w:val="20"/>
              </w:rPr>
              <w:t>гия</w:t>
            </w:r>
            <w:proofErr w:type="spellEnd"/>
          </w:p>
        </w:tc>
        <w:tc>
          <w:tcPr>
            <w:tcW w:w="3192" w:type="dxa"/>
          </w:tcPr>
          <w:p w14:paraId="7B0C6227" w14:textId="69689D1A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4A1A60">
              <w:rPr>
                <w:szCs w:val="20"/>
              </w:rPr>
              <w:t>Нечести</w:t>
            </w:r>
          </w:p>
        </w:tc>
      </w:tr>
      <w:tr w:rsidR="00BC73CC" w:rsidRPr="004A1A60" w14:paraId="5308992C" w14:textId="77777777" w:rsidTr="00BC73CC">
        <w:tc>
          <w:tcPr>
            <w:tcW w:w="3192" w:type="dxa"/>
            <w:vMerge/>
          </w:tcPr>
          <w:p w14:paraId="1CA0720E" w14:textId="77777777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</w:p>
        </w:tc>
        <w:tc>
          <w:tcPr>
            <w:tcW w:w="3192" w:type="dxa"/>
          </w:tcPr>
          <w:p w14:paraId="52443716" w14:textId="6D5FE7C0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4A1A60">
              <w:rPr>
                <w:szCs w:val="20"/>
              </w:rPr>
              <w:t>Мускулен спазъм</w:t>
            </w:r>
          </w:p>
        </w:tc>
        <w:tc>
          <w:tcPr>
            <w:tcW w:w="3192" w:type="dxa"/>
          </w:tcPr>
          <w:p w14:paraId="1E022315" w14:textId="134AB3E1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4A1A60">
              <w:rPr>
                <w:szCs w:val="20"/>
              </w:rPr>
              <w:t>Редки</w:t>
            </w:r>
          </w:p>
        </w:tc>
      </w:tr>
      <w:tr w:rsidR="00BC73CC" w:rsidRPr="004A1A60" w14:paraId="17329D64" w14:textId="77777777" w:rsidTr="00BC73CC">
        <w:tc>
          <w:tcPr>
            <w:tcW w:w="3192" w:type="dxa"/>
            <w:vMerge w:val="restart"/>
          </w:tcPr>
          <w:p w14:paraId="0BE8FDD6" w14:textId="33E36D6B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4A1A60">
              <w:rPr>
                <w:szCs w:val="20"/>
              </w:rPr>
              <w:t>Нарушения на бъбреците и пикочните пътища</w:t>
            </w:r>
          </w:p>
        </w:tc>
        <w:tc>
          <w:tcPr>
            <w:tcW w:w="3192" w:type="dxa"/>
          </w:tcPr>
          <w:p w14:paraId="045EADD9" w14:textId="36E981EE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proofErr w:type="spellStart"/>
            <w:r w:rsidRPr="004A1A60">
              <w:rPr>
                <w:szCs w:val="20"/>
              </w:rPr>
              <w:t>Хематурия</w:t>
            </w:r>
            <w:proofErr w:type="spellEnd"/>
          </w:p>
        </w:tc>
        <w:tc>
          <w:tcPr>
            <w:tcW w:w="3192" w:type="dxa"/>
          </w:tcPr>
          <w:p w14:paraId="3F400CAA" w14:textId="372A5C0E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4A1A60">
              <w:rPr>
                <w:szCs w:val="20"/>
              </w:rPr>
              <w:t>Чести</w:t>
            </w:r>
          </w:p>
        </w:tc>
      </w:tr>
      <w:tr w:rsidR="00BC73CC" w:rsidRPr="004A1A60" w14:paraId="424FCAF1" w14:textId="77777777" w:rsidTr="00BC73CC">
        <w:tc>
          <w:tcPr>
            <w:tcW w:w="3192" w:type="dxa"/>
            <w:vMerge/>
          </w:tcPr>
          <w:p w14:paraId="0BCCD1AF" w14:textId="77777777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</w:p>
        </w:tc>
        <w:tc>
          <w:tcPr>
            <w:tcW w:w="3192" w:type="dxa"/>
          </w:tcPr>
          <w:p w14:paraId="4B94DD92" w14:textId="6F1A61B2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4A1A60">
              <w:rPr>
                <w:szCs w:val="20"/>
              </w:rPr>
              <w:t xml:space="preserve">Инфекция на </w:t>
            </w:r>
            <w:proofErr w:type="spellStart"/>
            <w:r w:rsidRPr="004A1A60">
              <w:rPr>
                <w:szCs w:val="20"/>
              </w:rPr>
              <w:t>уринарния</w:t>
            </w:r>
            <w:proofErr w:type="spellEnd"/>
            <w:r w:rsidRPr="004A1A60">
              <w:rPr>
                <w:szCs w:val="20"/>
              </w:rPr>
              <w:t xml:space="preserve"> тракт</w:t>
            </w:r>
          </w:p>
        </w:tc>
        <w:tc>
          <w:tcPr>
            <w:tcW w:w="3192" w:type="dxa"/>
          </w:tcPr>
          <w:p w14:paraId="29051051" w14:textId="6222D6FC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4A1A60">
              <w:rPr>
                <w:szCs w:val="20"/>
              </w:rPr>
              <w:t>Чести</w:t>
            </w:r>
          </w:p>
        </w:tc>
      </w:tr>
      <w:tr w:rsidR="00BC73CC" w:rsidRPr="004A1A60" w14:paraId="3C172ADA" w14:textId="77777777" w:rsidTr="00BC73CC">
        <w:tc>
          <w:tcPr>
            <w:tcW w:w="3192" w:type="dxa"/>
            <w:vMerge/>
          </w:tcPr>
          <w:p w14:paraId="0A295F63" w14:textId="77777777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</w:p>
        </w:tc>
        <w:tc>
          <w:tcPr>
            <w:tcW w:w="3192" w:type="dxa"/>
          </w:tcPr>
          <w:p w14:paraId="703D18A7" w14:textId="6D9E5BFC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4A1A60">
              <w:rPr>
                <w:szCs w:val="20"/>
              </w:rPr>
              <w:t>Остра бъбречна недостатъчност</w:t>
            </w:r>
          </w:p>
        </w:tc>
        <w:tc>
          <w:tcPr>
            <w:tcW w:w="3192" w:type="dxa"/>
          </w:tcPr>
          <w:p w14:paraId="72E7A7A4" w14:textId="6F3BB599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4A1A60">
              <w:rPr>
                <w:szCs w:val="20"/>
              </w:rPr>
              <w:t>Редки</w:t>
            </w:r>
          </w:p>
        </w:tc>
      </w:tr>
      <w:tr w:rsidR="00BC73CC" w:rsidRPr="004A1A60" w14:paraId="26BD9008" w14:textId="77777777" w:rsidTr="00BC73CC">
        <w:tc>
          <w:tcPr>
            <w:tcW w:w="3192" w:type="dxa"/>
            <w:vMerge/>
          </w:tcPr>
          <w:p w14:paraId="5FD3B2CD" w14:textId="77777777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</w:p>
        </w:tc>
        <w:tc>
          <w:tcPr>
            <w:tcW w:w="3192" w:type="dxa"/>
          </w:tcPr>
          <w:p w14:paraId="577F58DC" w14:textId="60B2B3E1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4A1A60">
              <w:rPr>
                <w:szCs w:val="20"/>
              </w:rPr>
              <w:t>Бъбречна недостатъчност</w:t>
            </w:r>
          </w:p>
        </w:tc>
        <w:tc>
          <w:tcPr>
            <w:tcW w:w="3192" w:type="dxa"/>
          </w:tcPr>
          <w:p w14:paraId="4B80C976" w14:textId="42AB9DF9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4A1A60">
              <w:rPr>
                <w:szCs w:val="20"/>
              </w:rPr>
              <w:t>Редки</w:t>
            </w:r>
          </w:p>
        </w:tc>
      </w:tr>
      <w:tr w:rsidR="00BC73CC" w:rsidRPr="004A1A60" w14:paraId="5BB2E6E8" w14:textId="77777777" w:rsidTr="00BC73CC">
        <w:tc>
          <w:tcPr>
            <w:tcW w:w="3192" w:type="dxa"/>
            <w:vMerge w:val="restart"/>
          </w:tcPr>
          <w:p w14:paraId="514B466A" w14:textId="5D05DD51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4A1A60">
              <w:rPr>
                <w:szCs w:val="20"/>
              </w:rPr>
              <w:t>Общи нарушения и ефекти на мястото на приложение</w:t>
            </w:r>
          </w:p>
        </w:tc>
        <w:tc>
          <w:tcPr>
            <w:tcW w:w="3192" w:type="dxa"/>
          </w:tcPr>
          <w:p w14:paraId="4FD94399" w14:textId="450865A9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4A1A60">
              <w:rPr>
                <w:szCs w:val="20"/>
              </w:rPr>
              <w:t>Болка</w:t>
            </w:r>
          </w:p>
        </w:tc>
        <w:tc>
          <w:tcPr>
            <w:tcW w:w="3192" w:type="dxa"/>
          </w:tcPr>
          <w:p w14:paraId="5D031E6B" w14:textId="6E30DA2F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4A1A60">
              <w:rPr>
                <w:szCs w:val="20"/>
              </w:rPr>
              <w:t>Чести</w:t>
            </w:r>
          </w:p>
        </w:tc>
      </w:tr>
      <w:tr w:rsidR="00BC73CC" w:rsidRPr="004A1A60" w14:paraId="5CFE6EFD" w14:textId="77777777" w:rsidTr="00BC73CC">
        <w:tc>
          <w:tcPr>
            <w:tcW w:w="3192" w:type="dxa"/>
            <w:vMerge/>
          </w:tcPr>
          <w:p w14:paraId="79512BAB" w14:textId="77777777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</w:p>
        </w:tc>
        <w:tc>
          <w:tcPr>
            <w:tcW w:w="3192" w:type="dxa"/>
          </w:tcPr>
          <w:p w14:paraId="3A0533B6" w14:textId="632F3C73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4A1A60">
              <w:rPr>
                <w:szCs w:val="20"/>
              </w:rPr>
              <w:t>Болка в гърдите</w:t>
            </w:r>
          </w:p>
        </w:tc>
        <w:tc>
          <w:tcPr>
            <w:tcW w:w="3192" w:type="dxa"/>
          </w:tcPr>
          <w:p w14:paraId="749D98DE" w14:textId="262EFFE4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4A1A60">
              <w:rPr>
                <w:szCs w:val="20"/>
              </w:rPr>
              <w:t>Чести</w:t>
            </w:r>
          </w:p>
        </w:tc>
      </w:tr>
      <w:tr w:rsidR="00BC73CC" w:rsidRPr="004A1A60" w14:paraId="24F0EFE5" w14:textId="77777777" w:rsidTr="00BC73CC">
        <w:tc>
          <w:tcPr>
            <w:tcW w:w="3192" w:type="dxa"/>
            <w:vMerge/>
          </w:tcPr>
          <w:p w14:paraId="27F4C0F2" w14:textId="77777777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</w:p>
        </w:tc>
        <w:tc>
          <w:tcPr>
            <w:tcW w:w="3192" w:type="dxa"/>
          </w:tcPr>
          <w:p w14:paraId="739AC001" w14:textId="741B87D2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4A1A60">
              <w:rPr>
                <w:szCs w:val="20"/>
              </w:rPr>
              <w:t>Периферен оток</w:t>
            </w:r>
          </w:p>
        </w:tc>
        <w:tc>
          <w:tcPr>
            <w:tcW w:w="3192" w:type="dxa"/>
          </w:tcPr>
          <w:p w14:paraId="12C4DA21" w14:textId="5F3673C1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4A1A60">
              <w:rPr>
                <w:szCs w:val="20"/>
              </w:rPr>
              <w:t>Чести</w:t>
            </w:r>
          </w:p>
        </w:tc>
      </w:tr>
      <w:tr w:rsidR="00BC73CC" w:rsidRPr="004A1A60" w14:paraId="72D75A24" w14:textId="77777777" w:rsidTr="00BC73CC">
        <w:tc>
          <w:tcPr>
            <w:tcW w:w="3192" w:type="dxa"/>
            <w:vMerge/>
          </w:tcPr>
          <w:p w14:paraId="4A2FD7BE" w14:textId="77777777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</w:p>
        </w:tc>
        <w:tc>
          <w:tcPr>
            <w:tcW w:w="3192" w:type="dxa"/>
          </w:tcPr>
          <w:p w14:paraId="28746CAA" w14:textId="4703A5AE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4A1A60">
              <w:rPr>
                <w:szCs w:val="20"/>
              </w:rPr>
              <w:t>Грипоподобни симптоми</w:t>
            </w:r>
          </w:p>
        </w:tc>
        <w:tc>
          <w:tcPr>
            <w:tcW w:w="3192" w:type="dxa"/>
          </w:tcPr>
          <w:p w14:paraId="15798B07" w14:textId="71F7D3A2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4A1A60">
              <w:rPr>
                <w:szCs w:val="20"/>
              </w:rPr>
              <w:t>Чести</w:t>
            </w:r>
          </w:p>
        </w:tc>
      </w:tr>
      <w:tr w:rsidR="00BC73CC" w:rsidRPr="004A1A60" w14:paraId="36FA5082" w14:textId="77777777" w:rsidTr="00BC73CC">
        <w:tc>
          <w:tcPr>
            <w:tcW w:w="3192" w:type="dxa"/>
            <w:vMerge/>
          </w:tcPr>
          <w:p w14:paraId="4AAA05AC" w14:textId="77777777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</w:p>
        </w:tc>
        <w:tc>
          <w:tcPr>
            <w:tcW w:w="3192" w:type="dxa"/>
          </w:tcPr>
          <w:p w14:paraId="77A87537" w14:textId="4B7EDC5F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4A1A60">
              <w:rPr>
                <w:szCs w:val="20"/>
              </w:rPr>
              <w:t>Умора</w:t>
            </w:r>
          </w:p>
        </w:tc>
        <w:tc>
          <w:tcPr>
            <w:tcW w:w="3192" w:type="dxa"/>
          </w:tcPr>
          <w:p w14:paraId="14A5C81A" w14:textId="5CD8FF5A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4A1A60">
              <w:rPr>
                <w:szCs w:val="20"/>
              </w:rPr>
              <w:t>Чести</w:t>
            </w:r>
          </w:p>
        </w:tc>
      </w:tr>
      <w:tr w:rsidR="00BC73CC" w:rsidRPr="004A1A60" w14:paraId="48F1401F" w14:textId="77777777" w:rsidTr="00BC73CC">
        <w:tc>
          <w:tcPr>
            <w:tcW w:w="3192" w:type="dxa"/>
            <w:vMerge/>
          </w:tcPr>
          <w:p w14:paraId="3BEF5482" w14:textId="77777777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</w:p>
        </w:tc>
        <w:tc>
          <w:tcPr>
            <w:tcW w:w="3192" w:type="dxa"/>
          </w:tcPr>
          <w:p w14:paraId="6789CB6D" w14:textId="0BC90D8B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4A1A60">
              <w:rPr>
                <w:szCs w:val="20"/>
              </w:rPr>
              <w:t>Оток на лицето</w:t>
            </w:r>
          </w:p>
        </w:tc>
        <w:tc>
          <w:tcPr>
            <w:tcW w:w="3192" w:type="dxa"/>
          </w:tcPr>
          <w:p w14:paraId="2C4E0A63" w14:textId="3B194BE9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4A1A60">
              <w:rPr>
                <w:szCs w:val="20"/>
              </w:rPr>
              <w:t>Нечести</w:t>
            </w:r>
          </w:p>
        </w:tc>
      </w:tr>
      <w:tr w:rsidR="00BC73CC" w:rsidRPr="004A1A60" w14:paraId="19BB6ECC" w14:textId="77777777" w:rsidTr="00BC73CC">
        <w:tc>
          <w:tcPr>
            <w:tcW w:w="3192" w:type="dxa"/>
            <w:vMerge/>
          </w:tcPr>
          <w:p w14:paraId="6A35BC07" w14:textId="77777777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</w:p>
        </w:tc>
        <w:tc>
          <w:tcPr>
            <w:tcW w:w="3192" w:type="dxa"/>
          </w:tcPr>
          <w:p w14:paraId="2A7B3F6C" w14:textId="54820F3F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proofErr w:type="spellStart"/>
            <w:r w:rsidRPr="004A1A60">
              <w:rPr>
                <w:szCs w:val="20"/>
              </w:rPr>
              <w:t>Астения</w:t>
            </w:r>
            <w:proofErr w:type="spellEnd"/>
          </w:p>
        </w:tc>
        <w:tc>
          <w:tcPr>
            <w:tcW w:w="3192" w:type="dxa"/>
          </w:tcPr>
          <w:p w14:paraId="553CD4C5" w14:textId="1C8FC96B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4A1A60">
              <w:rPr>
                <w:szCs w:val="20"/>
              </w:rPr>
              <w:t>Нечести</w:t>
            </w:r>
          </w:p>
        </w:tc>
      </w:tr>
      <w:tr w:rsidR="00BC73CC" w:rsidRPr="004A1A60" w14:paraId="57CF2EB1" w14:textId="77777777" w:rsidTr="00BC73CC">
        <w:tc>
          <w:tcPr>
            <w:tcW w:w="3192" w:type="dxa"/>
            <w:vMerge/>
          </w:tcPr>
          <w:p w14:paraId="46964ACC" w14:textId="77777777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</w:p>
        </w:tc>
        <w:tc>
          <w:tcPr>
            <w:tcW w:w="3192" w:type="dxa"/>
          </w:tcPr>
          <w:p w14:paraId="0EC040EA" w14:textId="532EC611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4A1A60">
              <w:rPr>
                <w:szCs w:val="20"/>
              </w:rPr>
              <w:t>Обща слабост</w:t>
            </w:r>
          </w:p>
        </w:tc>
        <w:tc>
          <w:tcPr>
            <w:tcW w:w="3192" w:type="dxa"/>
          </w:tcPr>
          <w:p w14:paraId="00870B75" w14:textId="44715CDB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4A1A60">
              <w:rPr>
                <w:szCs w:val="20"/>
              </w:rPr>
              <w:t>Нечести</w:t>
            </w:r>
          </w:p>
        </w:tc>
      </w:tr>
      <w:tr w:rsidR="00BC73CC" w:rsidRPr="004A1A60" w14:paraId="3F29C35F" w14:textId="77777777" w:rsidTr="00BC73CC">
        <w:tc>
          <w:tcPr>
            <w:tcW w:w="3192" w:type="dxa"/>
            <w:vMerge/>
          </w:tcPr>
          <w:p w14:paraId="423F1611" w14:textId="77777777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</w:p>
        </w:tc>
        <w:tc>
          <w:tcPr>
            <w:tcW w:w="3192" w:type="dxa"/>
          </w:tcPr>
          <w:p w14:paraId="093E6059" w14:textId="4C041FDD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4A1A60">
              <w:rPr>
                <w:szCs w:val="20"/>
              </w:rPr>
              <w:t>Апатия</w:t>
            </w:r>
          </w:p>
        </w:tc>
        <w:tc>
          <w:tcPr>
            <w:tcW w:w="3192" w:type="dxa"/>
          </w:tcPr>
          <w:p w14:paraId="3902E576" w14:textId="5547471D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4A1A60">
              <w:rPr>
                <w:szCs w:val="20"/>
              </w:rPr>
              <w:t>Редки</w:t>
            </w:r>
          </w:p>
        </w:tc>
      </w:tr>
      <w:tr w:rsidR="00BC73CC" w:rsidRPr="004A1A60" w14:paraId="5B494511" w14:textId="77777777" w:rsidTr="00FD3E0B">
        <w:tc>
          <w:tcPr>
            <w:tcW w:w="3192" w:type="dxa"/>
            <w:vMerge w:val="restart"/>
          </w:tcPr>
          <w:p w14:paraId="4038F5BE" w14:textId="2A7FF79B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4A1A60">
              <w:rPr>
                <w:szCs w:val="20"/>
              </w:rPr>
              <w:t>Изследвания</w:t>
            </w:r>
          </w:p>
        </w:tc>
        <w:tc>
          <w:tcPr>
            <w:tcW w:w="3192" w:type="dxa"/>
            <w:vAlign w:val="bottom"/>
          </w:tcPr>
          <w:p w14:paraId="643858E1" w14:textId="0A4AC782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4A1A60">
              <w:rPr>
                <w:szCs w:val="20"/>
              </w:rPr>
              <w:t>Повишени нива на чернодробни ензими</w:t>
            </w:r>
          </w:p>
        </w:tc>
        <w:tc>
          <w:tcPr>
            <w:tcW w:w="3192" w:type="dxa"/>
          </w:tcPr>
          <w:p w14:paraId="60B6AE4A" w14:textId="71D483AA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4A1A60">
              <w:rPr>
                <w:szCs w:val="20"/>
              </w:rPr>
              <w:t>Чести</w:t>
            </w:r>
          </w:p>
        </w:tc>
      </w:tr>
      <w:tr w:rsidR="00BC73CC" w:rsidRPr="004A1A60" w14:paraId="1DB61341" w14:textId="77777777" w:rsidTr="00BC73CC">
        <w:tc>
          <w:tcPr>
            <w:tcW w:w="3192" w:type="dxa"/>
            <w:vMerge/>
          </w:tcPr>
          <w:p w14:paraId="24EB8481" w14:textId="77777777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</w:p>
        </w:tc>
        <w:tc>
          <w:tcPr>
            <w:tcW w:w="3192" w:type="dxa"/>
          </w:tcPr>
          <w:p w14:paraId="7A470ED8" w14:textId="00CC0EDE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4A1A60">
              <w:rPr>
                <w:szCs w:val="20"/>
              </w:rPr>
              <w:t>Повишени нива на урея в кръвта</w:t>
            </w:r>
          </w:p>
        </w:tc>
        <w:tc>
          <w:tcPr>
            <w:tcW w:w="3192" w:type="dxa"/>
          </w:tcPr>
          <w:p w14:paraId="13116756" w14:textId="2F6302BD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4A1A60">
              <w:rPr>
                <w:szCs w:val="20"/>
              </w:rPr>
              <w:t>Чести</w:t>
            </w:r>
          </w:p>
        </w:tc>
      </w:tr>
      <w:tr w:rsidR="00BC73CC" w:rsidRPr="004A1A60" w14:paraId="7EA47A21" w14:textId="77777777" w:rsidTr="00FD3E0B">
        <w:tc>
          <w:tcPr>
            <w:tcW w:w="3192" w:type="dxa"/>
            <w:vMerge/>
          </w:tcPr>
          <w:p w14:paraId="6D0D6340" w14:textId="77777777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</w:p>
        </w:tc>
        <w:tc>
          <w:tcPr>
            <w:tcW w:w="3192" w:type="dxa"/>
            <w:vAlign w:val="bottom"/>
          </w:tcPr>
          <w:p w14:paraId="046CC6F6" w14:textId="77777777" w:rsidR="00BC73CC" w:rsidRPr="004A1A60" w:rsidRDefault="00BC73CC" w:rsidP="00BC73CC">
            <w:r w:rsidRPr="004A1A60">
              <w:rPr>
                <w:szCs w:val="20"/>
              </w:rPr>
              <w:t xml:space="preserve">Повишени нива на </w:t>
            </w:r>
            <w:proofErr w:type="spellStart"/>
            <w:r w:rsidRPr="004A1A60">
              <w:rPr>
                <w:szCs w:val="20"/>
              </w:rPr>
              <w:t>креатин</w:t>
            </w:r>
            <w:proofErr w:type="spellEnd"/>
          </w:p>
          <w:p w14:paraId="35A588C2" w14:textId="5C19701E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proofErr w:type="spellStart"/>
            <w:r w:rsidRPr="004A1A60">
              <w:rPr>
                <w:szCs w:val="20"/>
              </w:rPr>
              <w:t>фосфокиназа</w:t>
            </w:r>
            <w:proofErr w:type="spellEnd"/>
            <w:r w:rsidRPr="004A1A60">
              <w:rPr>
                <w:szCs w:val="20"/>
              </w:rPr>
              <w:t xml:space="preserve"> в кръвта</w:t>
            </w:r>
          </w:p>
        </w:tc>
        <w:tc>
          <w:tcPr>
            <w:tcW w:w="3192" w:type="dxa"/>
          </w:tcPr>
          <w:p w14:paraId="2A7C53B8" w14:textId="56EF1F8D" w:rsidR="00BC73CC" w:rsidRPr="004A1A60" w:rsidRDefault="00BC73CC" w:rsidP="00BC73CC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4A1A60">
              <w:rPr>
                <w:szCs w:val="20"/>
              </w:rPr>
              <w:t>Чести</w:t>
            </w:r>
          </w:p>
        </w:tc>
      </w:tr>
      <w:tr w:rsidR="00BC73CC" w:rsidRPr="004A1A60" w14:paraId="0B83D2A3" w14:textId="77777777" w:rsidTr="00683BC7">
        <w:tc>
          <w:tcPr>
            <w:tcW w:w="3192" w:type="dxa"/>
            <w:vMerge/>
          </w:tcPr>
          <w:p w14:paraId="06EE3E5A" w14:textId="77777777" w:rsidR="00BC73CC" w:rsidRPr="004A1A60" w:rsidRDefault="00BC73CC" w:rsidP="00BC73CC">
            <w:pPr>
              <w:spacing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  <w:tc>
          <w:tcPr>
            <w:tcW w:w="3192" w:type="dxa"/>
            <w:vAlign w:val="bottom"/>
          </w:tcPr>
          <w:p w14:paraId="7CDAA7A2" w14:textId="05F59474" w:rsidR="00BC73CC" w:rsidRPr="004A1A60" w:rsidRDefault="00BC73CC" w:rsidP="00BC73CC">
            <w:pPr>
              <w:rPr>
                <w:rFonts w:eastAsia="Times New Roman" w:cs="Arial"/>
                <w:sz w:val="28"/>
                <w:szCs w:val="24"/>
              </w:rPr>
            </w:pPr>
            <w:r w:rsidRPr="004A1A60">
              <w:t xml:space="preserve">Повишени нива на </w:t>
            </w:r>
            <w:proofErr w:type="spellStart"/>
            <w:r w:rsidRPr="004A1A60">
              <w:t>креатинин</w:t>
            </w:r>
            <w:proofErr w:type="spellEnd"/>
            <w:r w:rsidRPr="004A1A60">
              <w:t xml:space="preserve"> в кръвта</w:t>
            </w:r>
          </w:p>
        </w:tc>
        <w:tc>
          <w:tcPr>
            <w:tcW w:w="3192" w:type="dxa"/>
          </w:tcPr>
          <w:p w14:paraId="6B5DE0BE" w14:textId="394CD57F" w:rsidR="00BC73CC" w:rsidRPr="004A1A60" w:rsidRDefault="00BC73CC" w:rsidP="00BC73CC">
            <w:pPr>
              <w:rPr>
                <w:rFonts w:eastAsia="Times New Roman" w:cs="Arial"/>
                <w:sz w:val="28"/>
                <w:szCs w:val="24"/>
              </w:rPr>
            </w:pPr>
            <w:r w:rsidRPr="004A1A60">
              <w:t>Редки</w:t>
            </w:r>
          </w:p>
        </w:tc>
      </w:tr>
    </w:tbl>
    <w:p w14:paraId="1443B437" w14:textId="77777777" w:rsidR="00BC73CC" w:rsidRPr="004A1A60" w:rsidRDefault="00BC73CC" w:rsidP="00BC73CC">
      <w:pPr>
        <w:spacing w:line="240" w:lineRule="auto"/>
        <w:rPr>
          <w:rFonts w:eastAsia="Times New Roman" w:cs="Arial"/>
        </w:rPr>
      </w:pPr>
      <w:r w:rsidRPr="004A1A60">
        <w:rPr>
          <w:rFonts w:eastAsia="Times New Roman" w:cs="Arial"/>
          <w:color w:val="000000"/>
          <w:lang w:eastAsia="bg-BG"/>
        </w:rPr>
        <w:t xml:space="preserve">*През </w:t>
      </w:r>
      <w:proofErr w:type="spellStart"/>
      <w:r w:rsidRPr="004A1A60">
        <w:rPr>
          <w:rFonts w:eastAsia="Times New Roman" w:cs="Arial"/>
          <w:color w:val="000000"/>
          <w:lang w:eastAsia="bg-BG"/>
        </w:rPr>
        <w:t>постмаркетинговия</w:t>
      </w:r>
      <w:proofErr w:type="spellEnd"/>
      <w:r w:rsidRPr="004A1A60">
        <w:rPr>
          <w:rFonts w:eastAsia="Times New Roman" w:cs="Arial"/>
          <w:color w:val="000000"/>
          <w:lang w:eastAsia="bg-BG"/>
        </w:rPr>
        <w:t xml:space="preserve"> период се съобщава за случаи на автоимунен хепатит с латентен период от няколко месеца до години, които са обратими след спиране на приема на </w:t>
      </w:r>
      <w:proofErr w:type="spellStart"/>
      <w:r w:rsidRPr="004A1A60">
        <w:rPr>
          <w:rFonts w:eastAsia="Times New Roman" w:cs="Arial"/>
          <w:color w:val="00000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lang w:eastAsia="bg-BG"/>
        </w:rPr>
        <w:t>.</w:t>
      </w:r>
    </w:p>
    <w:p w14:paraId="47369016" w14:textId="77777777" w:rsidR="00BC73CC" w:rsidRPr="004A1A60" w:rsidRDefault="00BC73CC" w:rsidP="00BC73CC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46570BC" w14:textId="76C38E49" w:rsidR="00BC73CC" w:rsidRPr="004A1A60" w:rsidRDefault="00BC73CC" w:rsidP="00BC73CC">
      <w:pPr>
        <w:spacing w:line="240" w:lineRule="auto"/>
        <w:rPr>
          <w:rFonts w:eastAsia="Times New Roman" w:cs="Arial"/>
        </w:rPr>
      </w:pPr>
      <w:r w:rsidRPr="004A1A60">
        <w:rPr>
          <w:rFonts w:eastAsia="Times New Roman" w:cs="Arial"/>
          <w:color w:val="000000"/>
          <w:lang w:eastAsia="bg-BG"/>
        </w:rPr>
        <w:t xml:space="preserve">Докладвани са единични случаи на </w:t>
      </w:r>
      <w:proofErr w:type="spellStart"/>
      <w:r w:rsidRPr="004A1A60">
        <w:rPr>
          <w:rFonts w:eastAsia="Times New Roman" w:cs="Arial"/>
          <w:color w:val="000000"/>
          <w:lang w:eastAsia="bg-BG"/>
        </w:rPr>
        <w:t>рабдомиолиза</w:t>
      </w:r>
      <w:proofErr w:type="spellEnd"/>
      <w:r w:rsidRPr="004A1A60">
        <w:rPr>
          <w:rFonts w:eastAsia="Times New Roman" w:cs="Arial"/>
          <w:color w:val="000000"/>
          <w:lang w:eastAsia="bg-BG"/>
        </w:rPr>
        <w:t xml:space="preserve"> във връзка с приема на </w:t>
      </w:r>
      <w:proofErr w:type="spellStart"/>
      <w:r w:rsidRPr="004A1A60">
        <w:rPr>
          <w:rFonts w:eastAsia="Times New Roman" w:cs="Arial"/>
          <w:color w:val="000000"/>
          <w:lang w:eastAsia="bg-BG"/>
        </w:rPr>
        <w:t>ангиотензин</w:t>
      </w:r>
      <w:proofErr w:type="spellEnd"/>
      <w:r w:rsidRPr="004A1A60">
        <w:rPr>
          <w:rFonts w:eastAsia="Times New Roman" w:cs="Arial"/>
          <w:color w:val="000000"/>
          <w:lang w:eastAsia="bg-BG"/>
        </w:rPr>
        <w:t xml:space="preserve"> II рецепторни </w:t>
      </w:r>
      <w:proofErr w:type="spellStart"/>
      <w:r w:rsidRPr="004A1A60">
        <w:rPr>
          <w:rFonts w:eastAsia="Times New Roman" w:cs="Arial"/>
          <w:color w:val="000000"/>
          <w:lang w:eastAsia="bg-BG"/>
        </w:rPr>
        <w:t>блокери</w:t>
      </w:r>
      <w:proofErr w:type="spellEnd"/>
      <w:r w:rsidRPr="004A1A60">
        <w:rPr>
          <w:rFonts w:eastAsia="Times New Roman" w:cs="Arial"/>
          <w:color w:val="000000"/>
          <w:lang w:eastAsia="bg-BG"/>
        </w:rPr>
        <w:t>.</w:t>
      </w:r>
    </w:p>
    <w:p w14:paraId="060B3381" w14:textId="77777777" w:rsidR="00BC73CC" w:rsidRPr="004A1A60" w:rsidRDefault="00BC73CC" w:rsidP="00BC73CC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2A28C1A" w14:textId="1DEC1C6D" w:rsidR="00BC73CC" w:rsidRPr="004A1A60" w:rsidRDefault="00BC73CC" w:rsidP="00BC73CC">
      <w:pPr>
        <w:spacing w:line="240" w:lineRule="auto"/>
        <w:rPr>
          <w:rFonts w:eastAsia="Times New Roman" w:cs="Arial"/>
        </w:rPr>
      </w:pPr>
      <w:r w:rsidRPr="004A1A60">
        <w:rPr>
          <w:rFonts w:eastAsia="Times New Roman" w:cs="Arial"/>
          <w:color w:val="000000"/>
          <w:u w:val="single"/>
          <w:lang w:eastAsia="bg-BG"/>
        </w:rPr>
        <w:t>Допълнителна информация за специални популации</w:t>
      </w:r>
    </w:p>
    <w:p w14:paraId="7A839D75" w14:textId="77777777" w:rsidR="00BC73CC" w:rsidRPr="004A1A60" w:rsidRDefault="00BC73CC" w:rsidP="00BC73CC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70E596F0" w14:textId="134288B7" w:rsidR="00BC73CC" w:rsidRPr="004A1A60" w:rsidRDefault="00BC73CC" w:rsidP="00BC73CC">
      <w:pPr>
        <w:spacing w:line="240" w:lineRule="auto"/>
        <w:rPr>
          <w:rFonts w:eastAsia="Times New Roman" w:cs="Arial"/>
        </w:rPr>
      </w:pPr>
      <w:r w:rsidRPr="004A1A60">
        <w:rPr>
          <w:rFonts w:eastAsia="Times New Roman" w:cs="Arial"/>
          <w:i/>
          <w:iCs/>
          <w:color w:val="000000"/>
          <w:lang w:eastAsia="bg-BG"/>
        </w:rPr>
        <w:t>Педиатрична популация</w:t>
      </w:r>
    </w:p>
    <w:p w14:paraId="32DC58B2" w14:textId="77777777" w:rsidR="00BC73CC" w:rsidRPr="004A1A60" w:rsidRDefault="00BC73CC" w:rsidP="00BC73CC">
      <w:pPr>
        <w:spacing w:line="240" w:lineRule="auto"/>
        <w:rPr>
          <w:rFonts w:eastAsia="Times New Roman" w:cs="Arial"/>
        </w:rPr>
      </w:pPr>
      <w:r w:rsidRPr="004A1A60">
        <w:rPr>
          <w:rFonts w:eastAsia="Times New Roman" w:cs="Arial"/>
          <w:color w:val="000000"/>
          <w:lang w:eastAsia="bg-BG"/>
        </w:rPr>
        <w:t xml:space="preserve">Безопасността на </w:t>
      </w:r>
      <w:proofErr w:type="spellStart"/>
      <w:r w:rsidRPr="004A1A60">
        <w:rPr>
          <w:rFonts w:eastAsia="Times New Roman" w:cs="Arial"/>
          <w:color w:val="00000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4A1A60">
        <w:rPr>
          <w:rFonts w:eastAsia="Times New Roman" w:cs="Arial"/>
          <w:color w:val="000000"/>
          <w:lang w:eastAsia="bg-BG"/>
        </w:rPr>
        <w:t>медоксомил</w:t>
      </w:r>
      <w:proofErr w:type="spellEnd"/>
      <w:r w:rsidRPr="004A1A60">
        <w:rPr>
          <w:rFonts w:eastAsia="Times New Roman" w:cs="Arial"/>
          <w:color w:val="000000"/>
          <w:lang w:eastAsia="bg-BG"/>
        </w:rPr>
        <w:t xml:space="preserve"> е проследявана по време на две клинични проучвания при 361 деца и юноши, на възраст от 1 до 17 години. Въпреки, че характерът и тежестта на нежеланите реакции е сходна с тази на възрастните, честотата на следните реакции е по-висока при деца:</w:t>
      </w:r>
    </w:p>
    <w:p w14:paraId="12ED7C11" w14:textId="77777777" w:rsidR="00BC73CC" w:rsidRPr="004A1A60" w:rsidRDefault="00BC73CC" w:rsidP="00BC73CC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</w:rPr>
      </w:pPr>
      <w:r w:rsidRPr="004A1A60">
        <w:rPr>
          <w:rFonts w:eastAsia="Times New Roman" w:cs="Arial"/>
          <w:color w:val="000000"/>
          <w:lang w:eastAsia="bg-BG"/>
        </w:rPr>
        <w:t>Кървенето от носа е честа нежелана реакция при деца (≥ 1/100 до &lt; 1/10), която не е била наблюдавана при възрастни.</w:t>
      </w:r>
    </w:p>
    <w:p w14:paraId="15DB2045" w14:textId="7296815B" w:rsidR="00BC73CC" w:rsidRPr="004A1A60" w:rsidRDefault="00BC73CC" w:rsidP="00BC73CC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</w:rPr>
      </w:pPr>
      <w:r w:rsidRPr="004A1A60">
        <w:rPr>
          <w:rFonts w:eastAsia="Times New Roman" w:cs="Arial"/>
          <w:color w:val="000000"/>
          <w:lang w:eastAsia="bg-BG"/>
        </w:rPr>
        <w:t xml:space="preserve">По време на 3-седмично двойносляпо проучване, честотата на възникналите по време на лечението замаяност и главоболие са почти двойно повече при деца на възраст 6-17 години в групата, приемала високи дози </w:t>
      </w:r>
      <w:proofErr w:type="spellStart"/>
      <w:r w:rsidRPr="004A1A60">
        <w:rPr>
          <w:rFonts w:eastAsia="Times New Roman" w:cs="Arial"/>
          <w:color w:val="00000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4A1A60">
        <w:rPr>
          <w:rFonts w:eastAsia="Times New Roman" w:cs="Arial"/>
          <w:color w:val="000000"/>
          <w:lang w:eastAsia="bg-BG"/>
        </w:rPr>
        <w:t>медоксомил</w:t>
      </w:r>
      <w:proofErr w:type="spellEnd"/>
      <w:r w:rsidRPr="004A1A60">
        <w:rPr>
          <w:rFonts w:eastAsia="Times New Roman" w:cs="Arial"/>
          <w:color w:val="000000"/>
          <w:lang w:eastAsia="bg-BG"/>
        </w:rPr>
        <w:t>.</w:t>
      </w:r>
    </w:p>
    <w:p w14:paraId="6B986E78" w14:textId="77777777" w:rsidR="00BC73CC" w:rsidRPr="004A1A60" w:rsidRDefault="00BC73CC" w:rsidP="00BC73CC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271A8E6" w14:textId="3BBD6354" w:rsidR="00BC73CC" w:rsidRPr="004A1A60" w:rsidRDefault="00BC73CC" w:rsidP="00BC73CC">
      <w:pPr>
        <w:spacing w:line="240" w:lineRule="auto"/>
        <w:rPr>
          <w:rFonts w:eastAsia="Times New Roman" w:cs="Arial"/>
        </w:rPr>
      </w:pPr>
      <w:r w:rsidRPr="004A1A60">
        <w:rPr>
          <w:rFonts w:eastAsia="Times New Roman" w:cs="Arial"/>
          <w:color w:val="000000"/>
          <w:lang w:eastAsia="bg-BG"/>
        </w:rPr>
        <w:t xml:space="preserve">Като цяло, профилът на безопасност на </w:t>
      </w:r>
      <w:proofErr w:type="spellStart"/>
      <w:r w:rsidRPr="004A1A60">
        <w:rPr>
          <w:rFonts w:eastAsia="Times New Roman" w:cs="Arial"/>
          <w:color w:val="00000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4A1A60">
        <w:rPr>
          <w:rFonts w:eastAsia="Times New Roman" w:cs="Arial"/>
          <w:color w:val="000000"/>
          <w:lang w:eastAsia="bg-BG"/>
        </w:rPr>
        <w:t>медоксомил</w:t>
      </w:r>
      <w:proofErr w:type="spellEnd"/>
      <w:r w:rsidRPr="004A1A60">
        <w:rPr>
          <w:rFonts w:eastAsia="Times New Roman" w:cs="Arial"/>
          <w:color w:val="000000"/>
          <w:lang w:eastAsia="bg-BG"/>
        </w:rPr>
        <w:t xml:space="preserve"> при педиатрични пациенти не се отличава значително от профила на безопасност при възрастни пациенти.</w:t>
      </w:r>
    </w:p>
    <w:p w14:paraId="24D22E03" w14:textId="77777777" w:rsidR="00BC73CC" w:rsidRPr="004A1A60" w:rsidRDefault="00BC73CC" w:rsidP="00BC73CC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2D692B04" w14:textId="51D2F372" w:rsidR="00BC73CC" w:rsidRPr="004A1A60" w:rsidRDefault="00BC73CC" w:rsidP="00BC73CC">
      <w:pPr>
        <w:spacing w:line="240" w:lineRule="auto"/>
        <w:rPr>
          <w:rFonts w:eastAsia="Times New Roman" w:cs="Arial"/>
        </w:rPr>
      </w:pPr>
      <w:r w:rsidRPr="004A1A60">
        <w:rPr>
          <w:rFonts w:eastAsia="Times New Roman" w:cs="Arial"/>
          <w:i/>
          <w:iCs/>
          <w:color w:val="000000"/>
          <w:lang w:eastAsia="bg-BG"/>
        </w:rPr>
        <w:t>Старческа възраст (65 години или повече)</w:t>
      </w:r>
    </w:p>
    <w:p w14:paraId="36A3F96B" w14:textId="77777777" w:rsidR="00BC73CC" w:rsidRPr="004A1A60" w:rsidRDefault="00BC73CC" w:rsidP="00BC73CC">
      <w:pPr>
        <w:spacing w:line="240" w:lineRule="auto"/>
        <w:rPr>
          <w:rFonts w:eastAsia="Times New Roman" w:cs="Arial"/>
        </w:rPr>
      </w:pPr>
      <w:r w:rsidRPr="004A1A60">
        <w:rPr>
          <w:rFonts w:eastAsia="Times New Roman" w:cs="Arial"/>
          <w:color w:val="000000"/>
          <w:lang w:eastAsia="bg-BG"/>
        </w:rPr>
        <w:t>В старческа възраст честотата на хипотонията е леко повишена от рядка на нечеста.</w:t>
      </w:r>
    </w:p>
    <w:p w14:paraId="4E2CA2EF" w14:textId="77777777" w:rsidR="00BC73CC" w:rsidRPr="004A1A60" w:rsidRDefault="00BC73CC" w:rsidP="00BC73CC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BA443DB" w14:textId="2E3BFB83" w:rsidR="00BC73CC" w:rsidRPr="004A1A60" w:rsidRDefault="00BC73CC" w:rsidP="00BC73CC">
      <w:pPr>
        <w:spacing w:line="240" w:lineRule="auto"/>
        <w:rPr>
          <w:rFonts w:eastAsia="Times New Roman" w:cs="Arial"/>
        </w:rPr>
      </w:pPr>
      <w:r w:rsidRPr="004A1A60">
        <w:rPr>
          <w:rFonts w:eastAsia="Times New Roman" w:cs="Arial"/>
          <w:color w:val="000000"/>
          <w:u w:val="single"/>
          <w:lang w:eastAsia="bg-BG"/>
        </w:rPr>
        <w:t>Съобщаване на подозирани нежелани реакции</w:t>
      </w:r>
    </w:p>
    <w:p w14:paraId="77CBF50F" w14:textId="77777777" w:rsidR="00BC73CC" w:rsidRPr="004A1A60" w:rsidRDefault="00BC73CC" w:rsidP="00BC73CC">
      <w:pPr>
        <w:spacing w:line="240" w:lineRule="auto"/>
        <w:rPr>
          <w:rFonts w:eastAsia="Times New Roman" w:cs="Arial"/>
        </w:rPr>
      </w:pPr>
      <w:r w:rsidRPr="004A1A60">
        <w:rPr>
          <w:rFonts w:eastAsia="Times New Roman" w:cs="Arial"/>
          <w:color w:val="000000"/>
          <w:lang w:eastAsia="bg-BG"/>
        </w:rPr>
        <w:t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 подозирана нежелана реакция чрез национална система за съобщаване:</w:t>
      </w:r>
    </w:p>
    <w:p w14:paraId="55FCD757" w14:textId="77777777" w:rsidR="00BC73CC" w:rsidRPr="004A1A60" w:rsidRDefault="00BC73CC" w:rsidP="00BC73CC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4A1A60">
        <w:rPr>
          <w:rFonts w:eastAsia="Times New Roman" w:cs="Arial"/>
          <w:color w:val="000000"/>
          <w:lang w:eastAsia="bg-BG"/>
        </w:rPr>
        <w:lastRenderedPageBreak/>
        <w:t xml:space="preserve">Изпълнителна агенция по лекарствата </w:t>
      </w:r>
    </w:p>
    <w:p w14:paraId="62071D98" w14:textId="77777777" w:rsidR="00BC73CC" w:rsidRPr="004A1A60" w:rsidRDefault="00BC73CC" w:rsidP="00BC73CC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4A1A60">
        <w:rPr>
          <w:rFonts w:eastAsia="Times New Roman" w:cs="Arial"/>
          <w:color w:val="000000"/>
          <w:lang w:eastAsia="bg-BG"/>
        </w:rPr>
        <w:t xml:space="preserve">ул. „Дамян Груев” № 8 </w:t>
      </w:r>
    </w:p>
    <w:p w14:paraId="1BB75531" w14:textId="77777777" w:rsidR="00BC73CC" w:rsidRPr="004A1A60" w:rsidRDefault="00BC73CC" w:rsidP="00BC73CC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4A1A60">
        <w:rPr>
          <w:rFonts w:eastAsia="Times New Roman" w:cs="Arial"/>
          <w:color w:val="000000"/>
          <w:lang w:eastAsia="bg-BG"/>
        </w:rPr>
        <w:t xml:space="preserve">1303 София </w:t>
      </w:r>
    </w:p>
    <w:p w14:paraId="76C4C2A5" w14:textId="77777777" w:rsidR="00BC73CC" w:rsidRPr="004A1A60" w:rsidRDefault="00BC73CC" w:rsidP="00BC73CC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4A1A60">
        <w:rPr>
          <w:rFonts w:eastAsia="Times New Roman" w:cs="Arial"/>
          <w:color w:val="000000"/>
          <w:lang w:eastAsia="bg-BG"/>
        </w:rPr>
        <w:t xml:space="preserve">тел.:+35 928903417 </w:t>
      </w:r>
    </w:p>
    <w:p w14:paraId="66852BBF" w14:textId="634C0766" w:rsidR="00BC73CC" w:rsidRPr="004A1A60" w:rsidRDefault="00BC73CC" w:rsidP="00BC73CC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4A1A60">
        <w:rPr>
          <w:rFonts w:eastAsia="Times New Roman" w:cs="Arial"/>
          <w:color w:val="000000"/>
          <w:lang w:eastAsia="bg-BG"/>
        </w:rPr>
        <w:t xml:space="preserve">уебсайт: </w:t>
      </w:r>
      <w:hyperlink r:id="rId5" w:history="1">
        <w:r w:rsidRPr="004A1A60">
          <w:rPr>
            <w:rFonts w:eastAsia="Times New Roman" w:cs="Arial"/>
            <w:color w:val="000000"/>
          </w:rPr>
          <w:t>www.bda.bg</w:t>
        </w:r>
      </w:hyperlink>
    </w:p>
    <w:p w14:paraId="52CB8E87" w14:textId="60043D56" w:rsidR="00BC73CC" w:rsidRPr="004A1A60" w:rsidRDefault="00BC73CC" w:rsidP="00BC73CC"/>
    <w:p w14:paraId="5A87DBA3" w14:textId="1DB1E5C9" w:rsidR="007122AD" w:rsidRPr="004A1A60" w:rsidRDefault="002C50EE" w:rsidP="00936AD0">
      <w:pPr>
        <w:pStyle w:val="Heading2"/>
      </w:pPr>
      <w:r w:rsidRPr="004A1A60">
        <w:t>4.9. Предозиране</w:t>
      </w:r>
    </w:p>
    <w:p w14:paraId="4CC905D1" w14:textId="56F10CCC" w:rsidR="00BC73CC" w:rsidRPr="004A1A60" w:rsidRDefault="00BC73CC" w:rsidP="00BC73CC"/>
    <w:p w14:paraId="4BCF8449" w14:textId="77777777" w:rsidR="00BC73CC" w:rsidRPr="004A1A60" w:rsidRDefault="00BC73CC" w:rsidP="00BC73CC">
      <w:pPr>
        <w:rPr>
          <w:sz w:val="24"/>
          <w:szCs w:val="24"/>
        </w:rPr>
      </w:pPr>
      <w:r w:rsidRPr="004A1A60">
        <w:rPr>
          <w:lang w:eastAsia="bg-BG"/>
        </w:rPr>
        <w:t>Налице са само оскъдни данни за предозиране при хора. Най-вероятният ефект при предозиране е хипотония. В случай на предозиране състоянието на пациента се проследява внимателно и се прилага симптоматично и поддържащо лечение.</w:t>
      </w:r>
    </w:p>
    <w:p w14:paraId="7312D38F" w14:textId="77777777" w:rsidR="00BC73CC" w:rsidRPr="004A1A60" w:rsidRDefault="00BC73CC" w:rsidP="00BC73CC">
      <w:pPr>
        <w:rPr>
          <w:sz w:val="24"/>
          <w:szCs w:val="24"/>
        </w:rPr>
      </w:pPr>
      <w:r w:rsidRPr="004A1A60">
        <w:rPr>
          <w:lang w:eastAsia="bg-BG"/>
        </w:rPr>
        <w:t xml:space="preserve">Няма информация дали </w:t>
      </w:r>
      <w:proofErr w:type="spellStart"/>
      <w:r w:rsidRPr="004A1A60">
        <w:rPr>
          <w:lang w:eastAsia="bg-BG"/>
        </w:rPr>
        <w:t>олмесартан</w:t>
      </w:r>
      <w:proofErr w:type="spellEnd"/>
      <w:r w:rsidRPr="004A1A60">
        <w:rPr>
          <w:lang w:eastAsia="bg-BG"/>
        </w:rPr>
        <w:t xml:space="preserve"> се очиства с диализа.</w:t>
      </w:r>
    </w:p>
    <w:p w14:paraId="7884E132" w14:textId="77777777" w:rsidR="00BC73CC" w:rsidRPr="004A1A60" w:rsidRDefault="00BC73CC" w:rsidP="00BC73CC"/>
    <w:p w14:paraId="02081B24" w14:textId="36FE76F4" w:rsidR="00395555" w:rsidRPr="004A1A60" w:rsidRDefault="002C50EE" w:rsidP="008A6AF2">
      <w:pPr>
        <w:pStyle w:val="Heading1"/>
      </w:pPr>
      <w:r w:rsidRPr="004A1A60">
        <w:t>5. ФАРМАКОЛОГИЧНИ СВОЙСТВА</w:t>
      </w:r>
    </w:p>
    <w:p w14:paraId="68A24A1A" w14:textId="344B1C7F" w:rsidR="001A6EBD" w:rsidRPr="004A1A60" w:rsidRDefault="002C50EE" w:rsidP="00471F10">
      <w:pPr>
        <w:pStyle w:val="Heading2"/>
      </w:pPr>
      <w:r w:rsidRPr="004A1A60">
        <w:t xml:space="preserve">5.1. </w:t>
      </w:r>
      <w:proofErr w:type="spellStart"/>
      <w:r w:rsidRPr="004A1A60">
        <w:t>Фармакодинамични</w:t>
      </w:r>
      <w:proofErr w:type="spellEnd"/>
      <w:r w:rsidRPr="004A1A60">
        <w:t xml:space="preserve"> свойства</w:t>
      </w:r>
    </w:p>
    <w:p w14:paraId="4090FE3E" w14:textId="15765CA7" w:rsidR="00BC73CC" w:rsidRPr="004A1A60" w:rsidRDefault="00BC73CC" w:rsidP="00BC73CC"/>
    <w:p w14:paraId="2E99A7DE" w14:textId="77777777" w:rsidR="00BC73CC" w:rsidRPr="004A1A60" w:rsidRDefault="00BC73CC" w:rsidP="00BC73CC">
      <w:pPr>
        <w:spacing w:line="240" w:lineRule="auto"/>
        <w:rPr>
          <w:rFonts w:eastAsia="Times New Roman" w:cs="Arial"/>
          <w:sz w:val="28"/>
          <w:szCs w:val="24"/>
        </w:rPr>
      </w:pP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Фармакотерапевтичена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група: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ангиотензин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II антагонисти, АТС код: С09С А 08</w:t>
      </w:r>
    </w:p>
    <w:p w14:paraId="048C3F22" w14:textId="77777777" w:rsidR="00BC73CC" w:rsidRPr="004A1A60" w:rsidRDefault="00BC73CC" w:rsidP="00BC73CC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57C9CD15" w14:textId="606E5A54" w:rsidR="00BC73CC" w:rsidRPr="004A1A60" w:rsidRDefault="00BC73CC" w:rsidP="00BC73CC">
      <w:pPr>
        <w:spacing w:line="240" w:lineRule="auto"/>
        <w:rPr>
          <w:rFonts w:eastAsia="Times New Roman" w:cs="Arial"/>
          <w:sz w:val="28"/>
          <w:szCs w:val="24"/>
        </w:rPr>
      </w:pPr>
      <w:r w:rsidRPr="004A1A60">
        <w:rPr>
          <w:rFonts w:eastAsia="Times New Roman" w:cs="Arial"/>
          <w:color w:val="000000"/>
          <w:szCs w:val="20"/>
          <w:u w:val="single"/>
          <w:lang w:eastAsia="bg-BG"/>
        </w:rPr>
        <w:t>Механизъм на действие/</w:t>
      </w:r>
      <w:proofErr w:type="spellStart"/>
      <w:r w:rsidRPr="004A1A60">
        <w:rPr>
          <w:rFonts w:eastAsia="Times New Roman" w:cs="Arial"/>
          <w:color w:val="000000"/>
          <w:szCs w:val="20"/>
          <w:u w:val="single"/>
          <w:lang w:eastAsia="bg-BG"/>
        </w:rPr>
        <w:t>Фармакодинамични</w:t>
      </w:r>
      <w:proofErr w:type="spellEnd"/>
      <w:r w:rsidRPr="004A1A60">
        <w:rPr>
          <w:rFonts w:eastAsia="Times New Roman" w:cs="Arial"/>
          <w:color w:val="000000"/>
          <w:szCs w:val="20"/>
          <w:u w:val="single"/>
          <w:lang w:eastAsia="bg-BG"/>
        </w:rPr>
        <w:t xml:space="preserve"> ефекти</w:t>
      </w:r>
    </w:p>
    <w:p w14:paraId="2FBC8B57" w14:textId="77777777" w:rsidR="00BC73CC" w:rsidRPr="004A1A60" w:rsidRDefault="00BC73CC" w:rsidP="00BC73CC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73CD8BDF" w14:textId="135E9D13" w:rsidR="00BC73CC" w:rsidRPr="004A1A60" w:rsidRDefault="00BC73CC" w:rsidP="00BC73CC">
      <w:pPr>
        <w:spacing w:line="240" w:lineRule="auto"/>
        <w:rPr>
          <w:rFonts w:eastAsia="Times New Roman" w:cs="Arial"/>
          <w:sz w:val="28"/>
          <w:szCs w:val="24"/>
        </w:rPr>
      </w:pP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медоксомил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е мощен, перорално активен, селективен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ангиотензин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</w:t>
      </w:r>
      <w:r w:rsidRPr="004A1A60">
        <w:rPr>
          <w:rFonts w:eastAsia="Times New Roman" w:cs="Arial"/>
          <w:color w:val="000000"/>
          <w:szCs w:val="20"/>
        </w:rPr>
        <w:t xml:space="preserve">II </w:t>
      </w:r>
      <w:r w:rsidRPr="004A1A60">
        <w:rPr>
          <w:rFonts w:eastAsia="Times New Roman" w:cs="Arial"/>
          <w:color w:val="000000"/>
          <w:szCs w:val="20"/>
          <w:lang w:eastAsia="bg-BG"/>
        </w:rPr>
        <w:t>рецепторен</w:t>
      </w:r>
    </w:p>
    <w:p w14:paraId="2F7BE3C6" w14:textId="77777777" w:rsidR="00BC73CC" w:rsidRPr="004A1A60" w:rsidRDefault="00BC73CC" w:rsidP="00BC73CC">
      <w:pPr>
        <w:spacing w:line="240" w:lineRule="auto"/>
        <w:rPr>
          <w:rFonts w:eastAsia="Times New Roman" w:cs="Arial"/>
          <w:sz w:val="28"/>
          <w:szCs w:val="24"/>
        </w:rPr>
      </w:pPr>
      <w:r w:rsidRPr="004A1A60">
        <w:rPr>
          <w:rFonts w:eastAsia="Times New Roman" w:cs="Arial"/>
          <w:color w:val="000000"/>
          <w:szCs w:val="20"/>
          <w:lang w:eastAsia="bg-BG"/>
        </w:rPr>
        <w:t xml:space="preserve">(тип </w:t>
      </w:r>
      <w:r w:rsidRPr="004A1A60">
        <w:rPr>
          <w:rFonts w:eastAsia="Times New Roman" w:cs="Arial"/>
          <w:color w:val="000000"/>
          <w:szCs w:val="20"/>
        </w:rPr>
        <w:t>AT</w:t>
      </w:r>
      <w:r w:rsidRPr="004A1A60">
        <w:rPr>
          <w:rFonts w:eastAsia="Times New Roman" w:cs="Arial"/>
          <w:color w:val="000000"/>
          <w:szCs w:val="20"/>
          <w:vertAlign w:val="subscript"/>
        </w:rPr>
        <w:t>1</w:t>
      </w:r>
      <w:r w:rsidRPr="004A1A60">
        <w:rPr>
          <w:rFonts w:eastAsia="Times New Roman" w:cs="Arial"/>
          <w:color w:val="000000"/>
          <w:szCs w:val="20"/>
        </w:rPr>
        <w:t xml:space="preserve">) </w:t>
      </w:r>
      <w:r w:rsidRPr="004A1A60">
        <w:rPr>
          <w:rFonts w:eastAsia="Times New Roman" w:cs="Arial"/>
          <w:color w:val="000000"/>
          <w:szCs w:val="20"/>
          <w:lang w:eastAsia="bg-BG"/>
        </w:rPr>
        <w:t xml:space="preserve">антагонист. Предполага се, че блокира всички действия на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ангиотензин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</w:t>
      </w:r>
      <w:r w:rsidRPr="004A1A60">
        <w:rPr>
          <w:rFonts w:eastAsia="Times New Roman" w:cs="Arial"/>
          <w:color w:val="000000"/>
          <w:szCs w:val="20"/>
        </w:rPr>
        <w:t xml:space="preserve">II,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медиирани</w:t>
      </w:r>
      <w:proofErr w:type="spellEnd"/>
    </w:p>
    <w:p w14:paraId="78CD3B1F" w14:textId="6F3A4D3D" w:rsidR="00BC73CC" w:rsidRPr="004A1A60" w:rsidRDefault="00BC73CC" w:rsidP="00BC73CC">
      <w:pPr>
        <w:rPr>
          <w:rFonts w:eastAsia="Times New Roman" w:cs="Arial"/>
          <w:color w:val="000000"/>
          <w:szCs w:val="20"/>
        </w:rPr>
      </w:pPr>
      <w:r w:rsidRPr="004A1A60">
        <w:rPr>
          <w:rFonts w:eastAsia="Times New Roman" w:cs="Arial"/>
          <w:color w:val="000000"/>
          <w:szCs w:val="20"/>
          <w:lang w:eastAsia="bg-BG"/>
        </w:rPr>
        <w:t xml:space="preserve">чрез </w:t>
      </w:r>
      <w:r w:rsidRPr="004A1A60">
        <w:rPr>
          <w:rFonts w:eastAsia="Times New Roman" w:cs="Arial"/>
          <w:color w:val="000000"/>
          <w:szCs w:val="20"/>
        </w:rPr>
        <w:t>AT</w:t>
      </w:r>
      <w:r w:rsidRPr="004A1A60">
        <w:rPr>
          <w:rFonts w:eastAsia="Times New Roman" w:cs="Arial"/>
          <w:color w:val="000000"/>
          <w:szCs w:val="20"/>
          <w:vertAlign w:val="subscript"/>
        </w:rPr>
        <w:t>1</w:t>
      </w:r>
      <w:r w:rsidRPr="004A1A60">
        <w:rPr>
          <w:rFonts w:eastAsia="Times New Roman" w:cs="Arial"/>
          <w:color w:val="000000"/>
          <w:szCs w:val="20"/>
        </w:rPr>
        <w:t xml:space="preserve"> </w:t>
      </w:r>
      <w:r w:rsidRPr="004A1A60">
        <w:rPr>
          <w:rFonts w:eastAsia="Times New Roman" w:cs="Arial"/>
          <w:color w:val="000000"/>
          <w:szCs w:val="20"/>
          <w:lang w:eastAsia="bg-BG"/>
        </w:rPr>
        <w:t xml:space="preserve">рецепторите, независимо от източника и начина на синтезиране на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ангиотензин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</w:t>
      </w:r>
      <w:r w:rsidRPr="004A1A60">
        <w:rPr>
          <w:rFonts w:eastAsia="Times New Roman" w:cs="Arial"/>
          <w:color w:val="000000"/>
          <w:szCs w:val="20"/>
        </w:rPr>
        <w:t>II.</w:t>
      </w:r>
    </w:p>
    <w:p w14:paraId="2AB205B0" w14:textId="0A90F367" w:rsidR="00BC73CC" w:rsidRPr="004A1A60" w:rsidRDefault="00BC73CC" w:rsidP="00BC73CC">
      <w:pPr>
        <w:rPr>
          <w:rFonts w:eastAsia="Times New Roman" w:cs="Arial"/>
          <w:color w:val="000000"/>
          <w:szCs w:val="20"/>
        </w:rPr>
      </w:pPr>
    </w:p>
    <w:p w14:paraId="4E9B0869" w14:textId="77777777" w:rsidR="00BC73CC" w:rsidRPr="004A1A60" w:rsidRDefault="00BC73CC" w:rsidP="00BC73CC">
      <w:pPr>
        <w:spacing w:line="240" w:lineRule="auto"/>
        <w:rPr>
          <w:rFonts w:eastAsia="Times New Roman" w:cs="Arial"/>
          <w:sz w:val="28"/>
          <w:szCs w:val="24"/>
        </w:rPr>
      </w:pPr>
      <w:r w:rsidRPr="004A1A60">
        <w:rPr>
          <w:rFonts w:eastAsia="Times New Roman" w:cs="Arial"/>
          <w:color w:val="000000"/>
          <w:szCs w:val="20"/>
          <w:lang w:eastAsia="bg-BG"/>
        </w:rPr>
        <w:t xml:space="preserve">Селективният антагонизъм на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ангиотензин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II (АТ</w:t>
      </w:r>
      <w:r w:rsidRPr="004A1A60">
        <w:rPr>
          <w:rFonts w:eastAsia="Times New Roman" w:cs="Arial"/>
          <w:color w:val="000000"/>
          <w:szCs w:val="20"/>
          <w:vertAlign w:val="subscript"/>
          <w:lang w:eastAsia="bg-BG"/>
        </w:rPr>
        <w:t>1</w:t>
      </w:r>
      <w:r w:rsidRPr="004A1A60">
        <w:rPr>
          <w:rFonts w:eastAsia="Times New Roman" w:cs="Arial"/>
          <w:color w:val="000000"/>
          <w:szCs w:val="20"/>
          <w:lang w:eastAsia="bg-BG"/>
        </w:rPr>
        <w:t xml:space="preserve">)-рецепторите води до увеличение на плазмените нива на ренина и на концентрациите на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ангиотензин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I и II, както и в известна степен намаление на плазмените нива на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алдостерона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>.</w:t>
      </w:r>
    </w:p>
    <w:p w14:paraId="436A02F5" w14:textId="77777777" w:rsidR="00BC73CC" w:rsidRPr="004A1A60" w:rsidRDefault="00BC73CC" w:rsidP="00BC73CC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2C9E919E" w14:textId="59D7B5E5" w:rsidR="00BC73CC" w:rsidRPr="004A1A60" w:rsidRDefault="00BC73CC" w:rsidP="00BC73CC">
      <w:pPr>
        <w:spacing w:line="240" w:lineRule="auto"/>
        <w:rPr>
          <w:rFonts w:eastAsia="Times New Roman" w:cs="Arial"/>
          <w:sz w:val="28"/>
          <w:szCs w:val="24"/>
        </w:rPr>
      </w:pP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Ангиотензин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</w:t>
      </w:r>
      <w:r w:rsidRPr="004A1A60">
        <w:rPr>
          <w:rFonts w:eastAsia="Times New Roman" w:cs="Arial"/>
          <w:color w:val="000000"/>
          <w:szCs w:val="20"/>
        </w:rPr>
        <w:t>II</w:t>
      </w:r>
      <w:r w:rsidRPr="004A1A60">
        <w:rPr>
          <w:rFonts w:eastAsia="Times New Roman" w:cs="Arial"/>
          <w:color w:val="000000"/>
          <w:szCs w:val="20"/>
          <w:lang w:eastAsia="bg-BG"/>
        </w:rPr>
        <w:t xml:space="preserve"> е главният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вазоактивен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хормон на ренин-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ангиотензин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>-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алдостероновата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система и играе важна роля в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патогенезата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на хипертонията чрез тип 1 </w:t>
      </w:r>
      <w:r w:rsidRPr="004A1A60">
        <w:rPr>
          <w:rFonts w:eastAsia="Times New Roman" w:cs="Arial"/>
          <w:color w:val="000000"/>
          <w:szCs w:val="20"/>
        </w:rPr>
        <w:t>(AT</w:t>
      </w:r>
      <w:r w:rsidRPr="004A1A60">
        <w:rPr>
          <w:rFonts w:eastAsia="Times New Roman" w:cs="Arial"/>
          <w:color w:val="000000"/>
          <w:szCs w:val="20"/>
          <w:vertAlign w:val="subscript"/>
        </w:rPr>
        <w:t>1</w:t>
      </w:r>
      <w:r w:rsidRPr="004A1A60">
        <w:rPr>
          <w:rFonts w:eastAsia="Times New Roman" w:cs="Arial"/>
          <w:color w:val="000000"/>
          <w:szCs w:val="20"/>
        </w:rPr>
        <w:t xml:space="preserve">) </w:t>
      </w:r>
      <w:r w:rsidRPr="004A1A60">
        <w:rPr>
          <w:rFonts w:eastAsia="Times New Roman" w:cs="Arial"/>
          <w:color w:val="000000"/>
          <w:szCs w:val="20"/>
          <w:lang w:eastAsia="bg-BG"/>
        </w:rPr>
        <w:t>рецепторите.</w:t>
      </w:r>
    </w:p>
    <w:p w14:paraId="096359B4" w14:textId="77777777" w:rsidR="00BC73CC" w:rsidRPr="004A1A60" w:rsidRDefault="00BC73CC" w:rsidP="00BC73CC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5A451C56" w14:textId="55005901" w:rsidR="00BC73CC" w:rsidRPr="004A1A60" w:rsidRDefault="00BC73CC" w:rsidP="00BC73CC">
      <w:pPr>
        <w:spacing w:line="240" w:lineRule="auto"/>
        <w:rPr>
          <w:rFonts w:eastAsia="Times New Roman" w:cs="Arial"/>
          <w:sz w:val="28"/>
          <w:szCs w:val="24"/>
        </w:rPr>
      </w:pPr>
      <w:r w:rsidRPr="004A1A60">
        <w:rPr>
          <w:rFonts w:eastAsia="Times New Roman" w:cs="Arial"/>
          <w:color w:val="000000"/>
          <w:szCs w:val="20"/>
          <w:u w:val="single"/>
          <w:lang w:eastAsia="bg-BG"/>
        </w:rPr>
        <w:t>Клинична ефикасност и безопасност</w:t>
      </w:r>
    </w:p>
    <w:p w14:paraId="7906A823" w14:textId="77777777" w:rsidR="00BC73CC" w:rsidRPr="004A1A60" w:rsidRDefault="00BC73CC" w:rsidP="00BC73CC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285CE317" w14:textId="4374F5CE" w:rsidR="00BC73CC" w:rsidRPr="004A1A60" w:rsidRDefault="00BC73CC" w:rsidP="00BC73CC">
      <w:pPr>
        <w:spacing w:line="240" w:lineRule="auto"/>
        <w:rPr>
          <w:rFonts w:eastAsia="Times New Roman" w:cs="Arial"/>
          <w:sz w:val="28"/>
          <w:szCs w:val="24"/>
        </w:rPr>
      </w:pPr>
      <w:r w:rsidRPr="004A1A60">
        <w:rPr>
          <w:rFonts w:eastAsia="Times New Roman" w:cs="Arial"/>
          <w:color w:val="000000"/>
          <w:szCs w:val="20"/>
          <w:lang w:eastAsia="bg-BG"/>
        </w:rPr>
        <w:t xml:space="preserve">При хипертония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медоксомил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води до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дозозависимо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, продължително намаление на артериалното кръвно налягане. Няма данни за хипотония на първата доза, за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тахифилаксия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при продължително лечение или за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ребаунд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>-хипертония след преустановяване на терапията.</w:t>
      </w:r>
    </w:p>
    <w:p w14:paraId="6FE7444A" w14:textId="77777777" w:rsidR="00BC73CC" w:rsidRPr="004A1A60" w:rsidRDefault="00BC73CC" w:rsidP="00BC73CC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0E80A6A6" w14:textId="0F6D51C9" w:rsidR="00BC73CC" w:rsidRPr="004A1A60" w:rsidRDefault="00BC73CC" w:rsidP="00BC73CC">
      <w:pPr>
        <w:spacing w:line="240" w:lineRule="auto"/>
        <w:rPr>
          <w:rFonts w:eastAsia="Times New Roman" w:cs="Arial"/>
          <w:sz w:val="28"/>
          <w:szCs w:val="24"/>
        </w:rPr>
      </w:pPr>
      <w:r w:rsidRPr="004A1A60">
        <w:rPr>
          <w:rFonts w:eastAsia="Times New Roman" w:cs="Arial"/>
          <w:color w:val="000000"/>
          <w:szCs w:val="20"/>
          <w:lang w:eastAsia="bg-BG"/>
        </w:rPr>
        <w:t xml:space="preserve">Еднократното приложение на ден на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медоксомил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осигурява ефективно и плавно понижение на артериалното налягане в продължение на целия 24-часов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дозов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интервал. Еднократното приложение на ден води до намаление на артериалното налягане, еднакво с това на приложение на същата обща дневна доза два пъти дневно.</w:t>
      </w:r>
    </w:p>
    <w:p w14:paraId="58A1A3BD" w14:textId="77777777" w:rsidR="00BC73CC" w:rsidRPr="004A1A60" w:rsidRDefault="00BC73CC" w:rsidP="00BC73CC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7885F81B" w14:textId="1633B489" w:rsidR="00BC73CC" w:rsidRPr="004A1A60" w:rsidRDefault="00BC73CC" w:rsidP="00BC73CC">
      <w:pPr>
        <w:spacing w:line="240" w:lineRule="auto"/>
        <w:rPr>
          <w:rFonts w:eastAsia="Times New Roman" w:cs="Arial"/>
          <w:sz w:val="28"/>
          <w:szCs w:val="24"/>
        </w:rPr>
      </w:pPr>
      <w:r w:rsidRPr="004A1A60">
        <w:rPr>
          <w:rFonts w:eastAsia="Times New Roman" w:cs="Arial"/>
          <w:color w:val="000000"/>
          <w:szCs w:val="20"/>
          <w:lang w:eastAsia="bg-BG"/>
        </w:rPr>
        <w:lastRenderedPageBreak/>
        <w:t>При продължително приложение, максимално понижаване на артериалното налягане се постига 8 седмици след започване на терапията, въпреки че значителна част от понижаващия артериалното налягане ефект се наблюдава още след първите 2 седмици от лечението.</w:t>
      </w:r>
    </w:p>
    <w:p w14:paraId="468C20CA" w14:textId="77777777" w:rsidR="00BC73CC" w:rsidRPr="004A1A60" w:rsidRDefault="00BC73CC" w:rsidP="00BC73CC">
      <w:pPr>
        <w:spacing w:line="240" w:lineRule="auto"/>
        <w:rPr>
          <w:rFonts w:eastAsia="Times New Roman" w:cs="Arial"/>
          <w:sz w:val="28"/>
          <w:szCs w:val="24"/>
        </w:rPr>
      </w:pPr>
      <w:r w:rsidRPr="004A1A60">
        <w:rPr>
          <w:rFonts w:eastAsia="Times New Roman" w:cs="Arial"/>
          <w:color w:val="000000"/>
          <w:szCs w:val="20"/>
          <w:lang w:eastAsia="bg-BG"/>
        </w:rPr>
        <w:t>Едновременното приложение с хидрохлоротиазид се понася добре и води до допълнително понижение на артериалното налягане.</w:t>
      </w:r>
    </w:p>
    <w:p w14:paraId="22CDE9C8" w14:textId="77777777" w:rsidR="00BC73CC" w:rsidRPr="004A1A60" w:rsidRDefault="00BC73CC" w:rsidP="00BC73CC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08D2BE54" w14:textId="4C137DCC" w:rsidR="00BC73CC" w:rsidRPr="004A1A60" w:rsidRDefault="00BC73CC" w:rsidP="00BC73CC">
      <w:pPr>
        <w:spacing w:line="240" w:lineRule="auto"/>
        <w:rPr>
          <w:rFonts w:eastAsia="Times New Roman" w:cs="Arial"/>
          <w:sz w:val="28"/>
          <w:szCs w:val="24"/>
        </w:rPr>
      </w:pPr>
      <w:r w:rsidRPr="004A1A60">
        <w:rPr>
          <w:rFonts w:eastAsia="Times New Roman" w:cs="Arial"/>
          <w:color w:val="000000"/>
          <w:szCs w:val="20"/>
          <w:lang w:eastAsia="bg-BG"/>
        </w:rPr>
        <w:t xml:space="preserve">Все още не е известен ефектът на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върху смъртността и заболеваемостта.</w:t>
      </w:r>
    </w:p>
    <w:p w14:paraId="006C2446" w14:textId="77777777" w:rsidR="00BC73CC" w:rsidRPr="004A1A60" w:rsidRDefault="00BC73CC" w:rsidP="00BC73CC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17DC40EF" w14:textId="508E5BFF" w:rsidR="00BC73CC" w:rsidRPr="004A1A60" w:rsidRDefault="00BC73CC" w:rsidP="00BC73CC">
      <w:pPr>
        <w:spacing w:line="240" w:lineRule="auto"/>
        <w:rPr>
          <w:rFonts w:eastAsia="Times New Roman" w:cs="Arial"/>
          <w:sz w:val="28"/>
          <w:szCs w:val="24"/>
        </w:rPr>
      </w:pPr>
      <w:r w:rsidRPr="004A1A60">
        <w:rPr>
          <w:rFonts w:eastAsia="Times New Roman" w:cs="Arial"/>
          <w:color w:val="000000"/>
          <w:szCs w:val="20"/>
          <w:lang w:eastAsia="bg-BG"/>
        </w:rPr>
        <w:t xml:space="preserve">Проучването </w:t>
      </w:r>
      <w:proofErr w:type="spellStart"/>
      <w:r w:rsidRPr="004A1A60">
        <w:rPr>
          <w:rFonts w:eastAsia="Times New Roman" w:cs="Arial"/>
          <w:color w:val="000000"/>
          <w:szCs w:val="20"/>
        </w:rPr>
        <w:t>Randomised</w:t>
      </w:r>
      <w:proofErr w:type="spellEnd"/>
      <w:r w:rsidRPr="004A1A60">
        <w:rPr>
          <w:rFonts w:eastAsia="Times New Roman" w:cs="Arial"/>
          <w:color w:val="000000"/>
          <w:szCs w:val="20"/>
        </w:rPr>
        <w:t xml:space="preserve"> </w:t>
      </w:r>
      <w:proofErr w:type="spellStart"/>
      <w:r w:rsidRPr="004A1A60">
        <w:rPr>
          <w:rFonts w:eastAsia="Times New Roman" w:cs="Arial"/>
          <w:color w:val="000000"/>
          <w:szCs w:val="20"/>
        </w:rPr>
        <w:t>Olmesartan</w:t>
      </w:r>
      <w:proofErr w:type="spellEnd"/>
      <w:r w:rsidRPr="004A1A60">
        <w:rPr>
          <w:rFonts w:eastAsia="Times New Roman" w:cs="Arial"/>
          <w:color w:val="000000"/>
          <w:szCs w:val="20"/>
        </w:rPr>
        <w:t xml:space="preserve"> </w:t>
      </w:r>
      <w:proofErr w:type="spellStart"/>
      <w:r w:rsidRPr="004A1A60">
        <w:rPr>
          <w:rFonts w:eastAsia="Times New Roman" w:cs="Arial"/>
          <w:color w:val="000000"/>
          <w:szCs w:val="20"/>
        </w:rPr>
        <w:t>and</w:t>
      </w:r>
      <w:proofErr w:type="spellEnd"/>
      <w:r w:rsidRPr="004A1A60">
        <w:rPr>
          <w:rFonts w:eastAsia="Times New Roman" w:cs="Arial"/>
          <w:color w:val="000000"/>
          <w:szCs w:val="20"/>
        </w:rPr>
        <w:t xml:space="preserve"> </w:t>
      </w:r>
      <w:proofErr w:type="spellStart"/>
      <w:r w:rsidRPr="004A1A60">
        <w:rPr>
          <w:rFonts w:eastAsia="Times New Roman" w:cs="Arial"/>
          <w:color w:val="000000"/>
          <w:szCs w:val="20"/>
        </w:rPr>
        <w:t>Diabetes</w:t>
      </w:r>
      <w:proofErr w:type="spellEnd"/>
      <w:r w:rsidRPr="004A1A60">
        <w:rPr>
          <w:rFonts w:eastAsia="Times New Roman" w:cs="Arial"/>
          <w:color w:val="000000"/>
          <w:szCs w:val="20"/>
        </w:rPr>
        <w:t xml:space="preserve"> </w:t>
      </w:r>
      <w:proofErr w:type="spellStart"/>
      <w:r w:rsidRPr="004A1A60">
        <w:rPr>
          <w:rFonts w:eastAsia="Times New Roman" w:cs="Arial"/>
          <w:color w:val="000000"/>
          <w:szCs w:val="20"/>
        </w:rPr>
        <w:t>Microalbuminuria</w:t>
      </w:r>
      <w:proofErr w:type="spellEnd"/>
      <w:r w:rsidRPr="004A1A60">
        <w:rPr>
          <w:rFonts w:eastAsia="Times New Roman" w:cs="Arial"/>
          <w:color w:val="000000"/>
          <w:szCs w:val="20"/>
        </w:rPr>
        <w:t xml:space="preserve"> </w:t>
      </w:r>
      <w:proofErr w:type="spellStart"/>
      <w:r w:rsidRPr="004A1A60">
        <w:rPr>
          <w:rFonts w:eastAsia="Times New Roman" w:cs="Arial"/>
          <w:color w:val="000000"/>
          <w:szCs w:val="20"/>
        </w:rPr>
        <w:t>Prevention</w:t>
      </w:r>
      <w:proofErr w:type="spellEnd"/>
      <w:r w:rsidRPr="004A1A60">
        <w:rPr>
          <w:rFonts w:eastAsia="Times New Roman" w:cs="Arial"/>
          <w:color w:val="000000"/>
          <w:szCs w:val="20"/>
        </w:rPr>
        <w:t xml:space="preserve"> (ROADMAP,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Рандомизиране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на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и превенция на диабетна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микроалбуминурия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) при 4447 пациенти с диабет тип 2,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нормо-албуминурия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и поне един допълнителен сърдечносъдов рисков фактор, изследва дали лечението с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може да забави началото на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микроалбуминурия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. По време на средния проследяващ период от 3,2 години, пациентите получават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или плацебо в допълнение към други антихипертензивни лекарства, с изключение на АСЕ инхибитори или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ангиотензин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рецепторни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блокери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</w:t>
      </w:r>
      <w:r w:rsidRPr="004A1A60">
        <w:rPr>
          <w:rFonts w:eastAsia="Times New Roman" w:cs="Arial"/>
          <w:color w:val="000000"/>
          <w:szCs w:val="20"/>
        </w:rPr>
        <w:t>(ARB).</w:t>
      </w:r>
    </w:p>
    <w:p w14:paraId="6D96CEAA" w14:textId="77777777" w:rsidR="00BC73CC" w:rsidRPr="004A1A60" w:rsidRDefault="00BC73CC" w:rsidP="00BC73CC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77B3CEF0" w14:textId="4FB854B7" w:rsidR="00BC73CC" w:rsidRPr="004A1A60" w:rsidRDefault="00BC73CC" w:rsidP="00BC73CC">
      <w:pPr>
        <w:spacing w:line="240" w:lineRule="auto"/>
        <w:rPr>
          <w:rFonts w:eastAsia="Times New Roman" w:cs="Arial"/>
          <w:sz w:val="28"/>
          <w:szCs w:val="24"/>
        </w:rPr>
      </w:pPr>
      <w:r w:rsidRPr="004A1A60">
        <w:rPr>
          <w:rFonts w:eastAsia="Times New Roman" w:cs="Arial"/>
          <w:color w:val="000000"/>
          <w:szCs w:val="20"/>
          <w:lang w:eastAsia="bg-BG"/>
        </w:rPr>
        <w:t xml:space="preserve">За първичната крайна цел проучването показва значително намаляване на времето за начало на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микроалбуминурия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в полза на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. След корекция на разликите в артериалното налягане това намаляване на риска вече не е статистически значимо, 8,2% (178 от 2160) от пациентите от групата на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и 9,8% (210 от 2139) в плацебо групата са развили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микроалбуминурия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>.</w:t>
      </w:r>
    </w:p>
    <w:p w14:paraId="3F71BB34" w14:textId="77777777" w:rsidR="00BC73CC" w:rsidRPr="004A1A60" w:rsidRDefault="00BC73CC" w:rsidP="00BC73CC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4816BD48" w14:textId="4D83416C" w:rsidR="00BC73CC" w:rsidRPr="004A1A60" w:rsidRDefault="00BC73CC" w:rsidP="00BC73CC">
      <w:pPr>
        <w:spacing w:line="240" w:lineRule="auto"/>
        <w:rPr>
          <w:rFonts w:eastAsia="Times New Roman" w:cs="Arial"/>
          <w:sz w:val="28"/>
          <w:szCs w:val="24"/>
        </w:rPr>
      </w:pPr>
      <w:r w:rsidRPr="004A1A60">
        <w:rPr>
          <w:rFonts w:eastAsia="Times New Roman" w:cs="Arial"/>
          <w:color w:val="000000"/>
          <w:szCs w:val="20"/>
          <w:lang w:eastAsia="bg-BG"/>
        </w:rPr>
        <w:t xml:space="preserve">За вторичните крайни цели, сърдечносъдови инциденти възникват при 96 пациента (4,3% при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и при 94 пациента (4,2%) при плацебо. Честотата на сърдечносъдова смъртност е по-висока при лечението с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в сравнение с плацебо (15 пациента (0,7%) спрямо 3 пациента (0,1%)), въпреки сходните нива на нефатален инсулт (14 пациента (0,6%) спрямо 8 пациента (0,4%)), нефатален миокарден инфаркт (17 пациента (0,8%) спрямо 26 пациента (1,2%)) и смъртност, различна от сърдечносъдова, (11 пациента (0,5%) спрямо 12 пациента (0,5%)). Общата смъртност при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е числено увеличена (26 пациента (1,2%) спрямо 15 пациента (0,7%)), което е следствие основно от по-високия брой фатални сърдечносъдови инциденти.</w:t>
      </w:r>
    </w:p>
    <w:p w14:paraId="4E699DF5" w14:textId="77777777" w:rsidR="00BC73CC" w:rsidRPr="004A1A60" w:rsidRDefault="00BC73CC" w:rsidP="00BC73CC">
      <w:pPr>
        <w:rPr>
          <w:rFonts w:eastAsia="Times New Roman" w:cs="Arial"/>
          <w:color w:val="000000"/>
          <w:szCs w:val="20"/>
          <w:lang w:eastAsia="bg-BG"/>
        </w:rPr>
      </w:pPr>
    </w:p>
    <w:p w14:paraId="75D66E50" w14:textId="402C836B" w:rsidR="00BC73CC" w:rsidRPr="004A1A60" w:rsidRDefault="00BC73CC" w:rsidP="00BC73CC">
      <w:pPr>
        <w:rPr>
          <w:rFonts w:eastAsia="Times New Roman" w:cs="Arial"/>
          <w:color w:val="000000"/>
          <w:szCs w:val="20"/>
          <w:lang w:eastAsia="bg-BG"/>
        </w:rPr>
      </w:pPr>
      <w:r w:rsidRPr="004A1A60">
        <w:rPr>
          <w:rFonts w:eastAsia="Times New Roman" w:cs="Arial"/>
          <w:color w:val="000000"/>
          <w:szCs w:val="20"/>
          <w:lang w:eastAsia="bg-BG"/>
        </w:rPr>
        <w:t xml:space="preserve">Проучването </w:t>
      </w:r>
      <w:proofErr w:type="spellStart"/>
      <w:r w:rsidRPr="004A1A60">
        <w:rPr>
          <w:rFonts w:eastAsia="Times New Roman" w:cs="Arial"/>
          <w:color w:val="000000"/>
          <w:szCs w:val="20"/>
        </w:rPr>
        <w:t>Olmesartan</w:t>
      </w:r>
      <w:proofErr w:type="spellEnd"/>
      <w:r w:rsidRPr="004A1A60">
        <w:rPr>
          <w:rFonts w:eastAsia="Times New Roman" w:cs="Arial"/>
          <w:color w:val="000000"/>
          <w:szCs w:val="20"/>
        </w:rPr>
        <w:t xml:space="preserve"> </w:t>
      </w:r>
      <w:proofErr w:type="spellStart"/>
      <w:r w:rsidRPr="004A1A60">
        <w:rPr>
          <w:rFonts w:eastAsia="Times New Roman" w:cs="Arial"/>
          <w:color w:val="000000"/>
          <w:szCs w:val="20"/>
        </w:rPr>
        <w:t>Reducing</w:t>
      </w:r>
      <w:proofErr w:type="spellEnd"/>
      <w:r w:rsidRPr="004A1A60">
        <w:rPr>
          <w:rFonts w:eastAsia="Times New Roman" w:cs="Arial"/>
          <w:color w:val="000000"/>
          <w:szCs w:val="20"/>
        </w:rPr>
        <w:t xml:space="preserve"> </w:t>
      </w:r>
      <w:proofErr w:type="spellStart"/>
      <w:r w:rsidRPr="004A1A60">
        <w:rPr>
          <w:rFonts w:eastAsia="Times New Roman" w:cs="Arial"/>
          <w:color w:val="000000"/>
          <w:szCs w:val="20"/>
        </w:rPr>
        <w:t>Incidence</w:t>
      </w:r>
      <w:proofErr w:type="spellEnd"/>
      <w:r w:rsidRPr="004A1A60">
        <w:rPr>
          <w:rFonts w:eastAsia="Times New Roman" w:cs="Arial"/>
          <w:color w:val="000000"/>
          <w:szCs w:val="20"/>
        </w:rPr>
        <w:t xml:space="preserve"> </w:t>
      </w:r>
      <w:proofErr w:type="spellStart"/>
      <w:r w:rsidRPr="004A1A60">
        <w:rPr>
          <w:rFonts w:eastAsia="Times New Roman" w:cs="Arial"/>
          <w:color w:val="000000"/>
          <w:szCs w:val="20"/>
        </w:rPr>
        <w:t>of</w:t>
      </w:r>
      <w:proofErr w:type="spellEnd"/>
      <w:r w:rsidRPr="004A1A60">
        <w:rPr>
          <w:rFonts w:eastAsia="Times New Roman" w:cs="Arial"/>
          <w:color w:val="000000"/>
          <w:szCs w:val="20"/>
        </w:rPr>
        <w:t xml:space="preserve"> </w:t>
      </w:r>
      <w:proofErr w:type="spellStart"/>
      <w:r w:rsidRPr="004A1A60">
        <w:rPr>
          <w:rFonts w:eastAsia="Times New Roman" w:cs="Arial"/>
          <w:color w:val="000000"/>
          <w:szCs w:val="20"/>
        </w:rPr>
        <w:t>End-stage</w:t>
      </w:r>
      <w:proofErr w:type="spellEnd"/>
      <w:r w:rsidRPr="004A1A60">
        <w:rPr>
          <w:rFonts w:eastAsia="Times New Roman" w:cs="Arial"/>
          <w:color w:val="000000"/>
          <w:szCs w:val="20"/>
        </w:rPr>
        <w:t xml:space="preserve"> </w:t>
      </w:r>
      <w:proofErr w:type="spellStart"/>
      <w:r w:rsidRPr="004A1A60">
        <w:rPr>
          <w:rFonts w:eastAsia="Times New Roman" w:cs="Arial"/>
          <w:color w:val="000000"/>
          <w:szCs w:val="20"/>
        </w:rPr>
        <w:t>Renal</w:t>
      </w:r>
      <w:proofErr w:type="spellEnd"/>
      <w:r w:rsidRPr="004A1A60">
        <w:rPr>
          <w:rFonts w:eastAsia="Times New Roman" w:cs="Arial"/>
          <w:color w:val="000000"/>
          <w:szCs w:val="20"/>
        </w:rPr>
        <w:t xml:space="preserve"> </w:t>
      </w:r>
      <w:proofErr w:type="spellStart"/>
      <w:r w:rsidRPr="004A1A60">
        <w:rPr>
          <w:rFonts w:eastAsia="Times New Roman" w:cs="Arial"/>
          <w:color w:val="000000"/>
          <w:szCs w:val="20"/>
        </w:rPr>
        <w:t>Disease</w:t>
      </w:r>
      <w:proofErr w:type="spellEnd"/>
      <w:r w:rsidRPr="004A1A60">
        <w:rPr>
          <w:rFonts w:eastAsia="Times New Roman" w:cs="Arial"/>
          <w:color w:val="000000"/>
          <w:szCs w:val="20"/>
        </w:rPr>
        <w:t xml:space="preserve"> </w:t>
      </w:r>
      <w:proofErr w:type="spellStart"/>
      <w:r w:rsidRPr="004A1A60">
        <w:rPr>
          <w:rFonts w:eastAsia="Times New Roman" w:cs="Arial"/>
          <w:color w:val="000000"/>
          <w:szCs w:val="20"/>
        </w:rPr>
        <w:t>in</w:t>
      </w:r>
      <w:proofErr w:type="spellEnd"/>
      <w:r w:rsidRPr="004A1A60">
        <w:rPr>
          <w:rFonts w:eastAsia="Times New Roman" w:cs="Arial"/>
          <w:color w:val="000000"/>
          <w:szCs w:val="20"/>
        </w:rPr>
        <w:t xml:space="preserve"> </w:t>
      </w:r>
      <w:proofErr w:type="spellStart"/>
      <w:r w:rsidRPr="004A1A60">
        <w:rPr>
          <w:rFonts w:eastAsia="Times New Roman" w:cs="Arial"/>
          <w:color w:val="000000"/>
          <w:szCs w:val="20"/>
        </w:rPr>
        <w:t>Diabetic</w:t>
      </w:r>
      <w:proofErr w:type="spellEnd"/>
      <w:r w:rsidRPr="004A1A60">
        <w:rPr>
          <w:rFonts w:eastAsia="Times New Roman" w:cs="Arial"/>
          <w:color w:val="000000"/>
          <w:szCs w:val="20"/>
        </w:rPr>
        <w:t xml:space="preserve"> </w:t>
      </w:r>
      <w:proofErr w:type="spellStart"/>
      <w:r w:rsidRPr="004A1A60">
        <w:rPr>
          <w:rFonts w:eastAsia="Times New Roman" w:cs="Arial"/>
          <w:color w:val="000000"/>
          <w:szCs w:val="20"/>
        </w:rPr>
        <w:t>Nephrop</w:t>
      </w:r>
      <w:r w:rsidRPr="004A1A60">
        <w:rPr>
          <w:rFonts w:eastAsia="Times New Roman" w:cs="Arial"/>
          <w:color w:val="000000"/>
          <w:szCs w:val="20"/>
          <w:u w:val="single"/>
        </w:rPr>
        <w:t>athy</w:t>
      </w:r>
      <w:proofErr w:type="spellEnd"/>
      <w:r w:rsidRPr="004A1A60">
        <w:rPr>
          <w:rFonts w:eastAsia="Times New Roman" w:cs="Arial"/>
          <w:color w:val="000000"/>
          <w:szCs w:val="20"/>
          <w:u w:val="single"/>
        </w:rPr>
        <w:t xml:space="preserve"> </w:t>
      </w:r>
      <w:proofErr w:type="spellStart"/>
      <w:r w:rsidRPr="004A1A60">
        <w:rPr>
          <w:rFonts w:eastAsia="Times New Roman" w:cs="Arial"/>
          <w:color w:val="000000"/>
          <w:szCs w:val="20"/>
        </w:rPr>
        <w:t>Trial</w:t>
      </w:r>
      <w:proofErr w:type="spellEnd"/>
      <w:r w:rsidRPr="004A1A60">
        <w:rPr>
          <w:rFonts w:eastAsia="Times New Roman" w:cs="Arial"/>
          <w:color w:val="000000"/>
          <w:szCs w:val="20"/>
        </w:rPr>
        <w:t xml:space="preserve"> (ORIENT,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намалява честотата на терминалната степен на бъбречна</w:t>
      </w:r>
      <w:r w:rsidRPr="004A1A60">
        <w:rPr>
          <w:rFonts w:eastAsia="Times New Roman" w:cs="Arial"/>
          <w:color w:val="000000"/>
          <w:szCs w:val="20"/>
        </w:rPr>
        <w:t xml:space="preserve"> </w:t>
      </w:r>
      <w:r w:rsidRPr="004A1A60">
        <w:rPr>
          <w:rFonts w:eastAsia="Times New Roman" w:cs="Arial"/>
          <w:color w:val="000000"/>
          <w:szCs w:val="20"/>
          <w:lang w:eastAsia="bg-BG"/>
        </w:rPr>
        <w:t xml:space="preserve">болест при диабетна нефропатия) изследва ефектите на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върху бъбречните и сърдечносъдови крайни резултати при</w:t>
      </w:r>
      <w:r w:rsidR="004901BF">
        <w:rPr>
          <w:rFonts w:eastAsia="Times New Roman" w:cs="Arial"/>
          <w:color w:val="000000"/>
          <w:szCs w:val="20"/>
          <w:lang w:eastAsia="bg-BG"/>
        </w:rPr>
        <w:t xml:space="preserve"> </w:t>
      </w:r>
      <w:r w:rsidRPr="004A1A60">
        <w:rPr>
          <w:rFonts w:eastAsia="Times New Roman" w:cs="Arial"/>
          <w:color w:val="000000"/>
          <w:szCs w:val="20"/>
          <w:lang w:eastAsia="bg-BG"/>
        </w:rPr>
        <w:t>577 рандомизирани пациенти от Япония и Китай с диабет тип 2 с изяв</w:t>
      </w:r>
      <w:r w:rsidR="00D7244D">
        <w:rPr>
          <w:rFonts w:eastAsia="Times New Roman" w:cs="Arial"/>
          <w:color w:val="000000"/>
          <w:szCs w:val="20"/>
          <w:lang w:eastAsia="bg-BG"/>
        </w:rPr>
        <w:t>е</w:t>
      </w:r>
      <w:r w:rsidRPr="004A1A60">
        <w:rPr>
          <w:rFonts w:eastAsia="Times New Roman" w:cs="Arial"/>
          <w:color w:val="000000"/>
          <w:szCs w:val="20"/>
          <w:lang w:eastAsia="bg-BG"/>
        </w:rPr>
        <w:t>н</w:t>
      </w:r>
      <w:r w:rsidR="00D7244D">
        <w:rPr>
          <w:rFonts w:eastAsia="Times New Roman" w:cs="Arial"/>
          <w:color w:val="000000"/>
          <w:szCs w:val="20"/>
          <w:lang w:eastAsia="bg-BG"/>
        </w:rPr>
        <w:t>а</w:t>
      </w:r>
      <w:r w:rsidRPr="004A1A60">
        <w:rPr>
          <w:rFonts w:eastAsia="Times New Roman" w:cs="Arial"/>
          <w:color w:val="000000"/>
          <w:szCs w:val="20"/>
          <w:lang w:eastAsia="bg-BG"/>
        </w:rPr>
        <w:t xml:space="preserve"> нефропатия. По време на средния период на проследяване от 3,1 години, пациентите получават или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>, или плацебо в допълнение към други антихипертензивни лекарства, включително и АСЕ инхибитори.</w:t>
      </w:r>
    </w:p>
    <w:p w14:paraId="06FBC745" w14:textId="04185C37" w:rsidR="00BC73CC" w:rsidRPr="004A1A60" w:rsidRDefault="00BC73CC" w:rsidP="00BC73CC">
      <w:pPr>
        <w:rPr>
          <w:rFonts w:eastAsia="Times New Roman" w:cs="Arial"/>
          <w:color w:val="000000"/>
          <w:szCs w:val="20"/>
          <w:lang w:eastAsia="bg-BG"/>
        </w:rPr>
      </w:pPr>
    </w:p>
    <w:p w14:paraId="571670EB" w14:textId="77777777" w:rsidR="00BC73CC" w:rsidRPr="004A1A60" w:rsidRDefault="00BC73CC" w:rsidP="00BC73CC">
      <w:pPr>
        <w:spacing w:line="240" w:lineRule="auto"/>
        <w:rPr>
          <w:rFonts w:eastAsia="Times New Roman" w:cs="Arial"/>
          <w:sz w:val="28"/>
          <w:szCs w:val="24"/>
        </w:rPr>
      </w:pPr>
      <w:r w:rsidRPr="004A1A60">
        <w:rPr>
          <w:rFonts w:eastAsia="Times New Roman" w:cs="Arial"/>
          <w:color w:val="000000"/>
          <w:szCs w:val="20"/>
          <w:lang w:eastAsia="bg-BG"/>
        </w:rPr>
        <w:t xml:space="preserve">Първичната комбинирана крайна цел (време до първия случай на удвояване на серумния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креатинин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, терминална степен на бъбречна болест, обща смъртност) се наблюдава при 116 пациенти в групата на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(41,4%) и при 129 пациенти в групата на плацебо (45,4%) </w:t>
      </w:r>
      <w:r w:rsidRPr="004A1A60">
        <w:rPr>
          <w:rFonts w:eastAsia="Times New Roman" w:cs="Arial"/>
          <w:color w:val="000000"/>
          <w:szCs w:val="20"/>
        </w:rPr>
        <w:t xml:space="preserve">(HR </w:t>
      </w:r>
      <w:r w:rsidRPr="004A1A60">
        <w:rPr>
          <w:rFonts w:eastAsia="Times New Roman" w:cs="Arial"/>
          <w:color w:val="000000"/>
          <w:szCs w:val="20"/>
          <w:lang w:eastAsia="bg-BG"/>
        </w:rPr>
        <w:t xml:space="preserve">0,97 (95% </w:t>
      </w:r>
      <w:r w:rsidRPr="004A1A60">
        <w:rPr>
          <w:rFonts w:eastAsia="Times New Roman" w:cs="Arial"/>
          <w:color w:val="000000"/>
          <w:szCs w:val="20"/>
        </w:rPr>
        <w:t xml:space="preserve">CI </w:t>
      </w:r>
      <w:r w:rsidRPr="004A1A60">
        <w:rPr>
          <w:rFonts w:eastAsia="Times New Roman" w:cs="Arial"/>
          <w:color w:val="000000"/>
          <w:szCs w:val="20"/>
          <w:lang w:eastAsia="bg-BG"/>
        </w:rPr>
        <w:t xml:space="preserve">0,75 до 1.24); р=0,791). Комбинираната вторична сърдечносъдова крайна цел се наблюдава при 40 пациента, лекувани с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, (14,2%) и при 53 пациента, лекувани с плацебо, (18.7%). Тази комбинирана сърдечносъдова крайна цел включва сърдечносъдова смърт при 10 (3,5%) пациента, приемали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, спрямо 3 (1,1%), приемали плацебо, обща смъртност 19 (6,7%) </w:t>
      </w:r>
      <w:r w:rsidRPr="004A1A60">
        <w:rPr>
          <w:rFonts w:eastAsia="Times New Roman" w:cs="Arial"/>
          <w:color w:val="000000"/>
          <w:szCs w:val="20"/>
          <w:lang w:eastAsia="bg-BG"/>
        </w:rPr>
        <w:lastRenderedPageBreak/>
        <w:t>спрямо 20 (7,0%), нефатален инсулт 8 (2,8%) спрямо 11 (3,9%) и нефатален миокарден инфаркт 3 (1,1%) спрямо 7 (2,5%), съответно.</w:t>
      </w:r>
    </w:p>
    <w:p w14:paraId="28631E27" w14:textId="77777777" w:rsidR="00BC73CC" w:rsidRPr="004A1A60" w:rsidRDefault="00BC73CC" w:rsidP="00BC73CC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12F6C975" w14:textId="493243E2" w:rsidR="00BC73CC" w:rsidRPr="004A1A60" w:rsidRDefault="00BC73CC" w:rsidP="00BC73CC">
      <w:pPr>
        <w:spacing w:line="240" w:lineRule="auto"/>
        <w:rPr>
          <w:rFonts w:eastAsia="Times New Roman" w:cs="Arial"/>
          <w:sz w:val="28"/>
          <w:szCs w:val="24"/>
        </w:rPr>
      </w:pPr>
      <w:r w:rsidRPr="004A1A60">
        <w:rPr>
          <w:rFonts w:eastAsia="Times New Roman" w:cs="Arial"/>
          <w:color w:val="000000"/>
          <w:szCs w:val="20"/>
          <w:u w:val="single"/>
          <w:lang w:eastAsia="bg-BG"/>
        </w:rPr>
        <w:t>Педиатрична популация</w:t>
      </w:r>
    </w:p>
    <w:p w14:paraId="7A482CE6" w14:textId="77777777" w:rsidR="00BC73CC" w:rsidRPr="004A1A60" w:rsidRDefault="00BC73CC" w:rsidP="00BC73CC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209B3811" w14:textId="7D888AF7" w:rsidR="00BC73CC" w:rsidRPr="004A1A60" w:rsidRDefault="00BC73CC" w:rsidP="00BC73CC">
      <w:pPr>
        <w:spacing w:line="240" w:lineRule="auto"/>
        <w:rPr>
          <w:rFonts w:eastAsia="Times New Roman" w:cs="Arial"/>
          <w:sz w:val="28"/>
          <w:szCs w:val="24"/>
        </w:rPr>
      </w:pPr>
      <w:r w:rsidRPr="004A1A60">
        <w:rPr>
          <w:rFonts w:eastAsia="Times New Roman" w:cs="Arial"/>
          <w:color w:val="000000"/>
          <w:szCs w:val="20"/>
          <w:lang w:eastAsia="bg-BG"/>
        </w:rPr>
        <w:t xml:space="preserve">Антихипертензивният ефект на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медоксомил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в педиатрична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популаця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е изследван в рандомизирано, двойносляпо, плацебо-контролирано прочуване при 302 пациенти с хипертония на възраст 6-17 години. Изследваната популация се състои от кохорта от 112 чернокожи пациенти и друга кохорта, състояща се от 190 пациенти от различни раси, 38 от които чернокожи. Етиологията на хипертонията е предимно есенциална хипертония (при 87% от кохортата с чернокожи пациенти и 67% от кохортата с различни раси). Пациентите с тегло 20 до &lt;35 </w:t>
      </w:r>
      <w:proofErr w:type="spellStart"/>
      <w:r w:rsidRPr="004A1A60">
        <w:rPr>
          <w:rFonts w:eastAsia="Times New Roman" w:cs="Arial"/>
          <w:color w:val="000000"/>
          <w:szCs w:val="20"/>
        </w:rPr>
        <w:t>kg</w:t>
      </w:r>
      <w:proofErr w:type="spellEnd"/>
      <w:r w:rsidRPr="004A1A60">
        <w:rPr>
          <w:rFonts w:eastAsia="Times New Roman" w:cs="Arial"/>
          <w:color w:val="000000"/>
          <w:szCs w:val="20"/>
        </w:rPr>
        <w:t xml:space="preserve"> </w:t>
      </w:r>
      <w:r w:rsidRPr="004A1A60">
        <w:rPr>
          <w:rFonts w:eastAsia="Times New Roman" w:cs="Arial"/>
          <w:color w:val="000000"/>
          <w:szCs w:val="20"/>
          <w:lang w:eastAsia="bg-BG"/>
        </w:rPr>
        <w:t xml:space="preserve">са рандомизирани на 2,5 </w:t>
      </w:r>
      <w:proofErr w:type="spellStart"/>
      <w:r w:rsidRPr="004A1A60">
        <w:rPr>
          <w:rFonts w:eastAsia="Times New Roman" w:cs="Arial"/>
          <w:color w:val="000000"/>
          <w:szCs w:val="20"/>
        </w:rPr>
        <w:t>mg</w:t>
      </w:r>
      <w:proofErr w:type="spellEnd"/>
      <w:r w:rsidRPr="004A1A60">
        <w:rPr>
          <w:rFonts w:eastAsia="Times New Roman" w:cs="Arial"/>
          <w:color w:val="000000"/>
          <w:szCs w:val="20"/>
        </w:rPr>
        <w:t xml:space="preserve"> </w:t>
      </w:r>
      <w:r w:rsidRPr="004A1A60">
        <w:rPr>
          <w:rFonts w:eastAsia="Times New Roman" w:cs="Arial"/>
          <w:color w:val="000000"/>
          <w:szCs w:val="20"/>
          <w:lang w:eastAsia="bg-BG"/>
        </w:rPr>
        <w:t xml:space="preserve">(ниска доза) или 20 </w:t>
      </w:r>
      <w:proofErr w:type="spellStart"/>
      <w:r w:rsidRPr="004A1A60">
        <w:rPr>
          <w:rFonts w:eastAsia="Times New Roman" w:cs="Arial"/>
          <w:color w:val="000000"/>
          <w:szCs w:val="20"/>
        </w:rPr>
        <w:t>mg</w:t>
      </w:r>
      <w:proofErr w:type="spellEnd"/>
      <w:r w:rsidRPr="004A1A60">
        <w:rPr>
          <w:rFonts w:eastAsia="Times New Roman" w:cs="Arial"/>
          <w:color w:val="000000"/>
          <w:szCs w:val="20"/>
        </w:rPr>
        <w:t xml:space="preserve"> </w:t>
      </w:r>
      <w:r w:rsidRPr="004A1A60">
        <w:rPr>
          <w:rFonts w:eastAsia="Times New Roman" w:cs="Arial"/>
          <w:color w:val="000000"/>
          <w:szCs w:val="20"/>
          <w:lang w:eastAsia="bg-BG"/>
        </w:rPr>
        <w:t xml:space="preserve">(висока доза)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медоксомил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веднъж дневно, а пациентите с тегло ≥35 </w:t>
      </w:r>
      <w:proofErr w:type="spellStart"/>
      <w:r w:rsidRPr="004A1A60">
        <w:rPr>
          <w:rFonts w:eastAsia="Times New Roman" w:cs="Arial"/>
          <w:color w:val="000000"/>
          <w:szCs w:val="20"/>
        </w:rPr>
        <w:t>kg</w:t>
      </w:r>
      <w:proofErr w:type="spellEnd"/>
      <w:r w:rsidRPr="004A1A60">
        <w:rPr>
          <w:rFonts w:eastAsia="Times New Roman" w:cs="Arial"/>
          <w:color w:val="000000"/>
          <w:szCs w:val="20"/>
        </w:rPr>
        <w:t xml:space="preserve"> </w:t>
      </w:r>
      <w:r w:rsidRPr="004A1A60">
        <w:rPr>
          <w:rFonts w:eastAsia="Times New Roman" w:cs="Arial"/>
          <w:color w:val="000000"/>
          <w:szCs w:val="20"/>
          <w:lang w:eastAsia="bg-BG"/>
        </w:rPr>
        <w:t xml:space="preserve">са рандомизирани на 5 </w:t>
      </w:r>
      <w:proofErr w:type="spellStart"/>
      <w:r w:rsidRPr="004A1A60">
        <w:rPr>
          <w:rFonts w:eastAsia="Times New Roman" w:cs="Arial"/>
          <w:color w:val="000000"/>
          <w:szCs w:val="20"/>
        </w:rPr>
        <w:t>mg</w:t>
      </w:r>
      <w:proofErr w:type="spellEnd"/>
      <w:r w:rsidRPr="004A1A60">
        <w:rPr>
          <w:rFonts w:eastAsia="Times New Roman" w:cs="Arial"/>
          <w:color w:val="000000"/>
          <w:szCs w:val="20"/>
        </w:rPr>
        <w:t xml:space="preserve"> </w:t>
      </w:r>
      <w:r w:rsidRPr="004A1A60">
        <w:rPr>
          <w:rFonts w:eastAsia="Times New Roman" w:cs="Arial"/>
          <w:color w:val="000000"/>
          <w:szCs w:val="20"/>
          <w:lang w:eastAsia="bg-BG"/>
        </w:rPr>
        <w:t xml:space="preserve">(ниска доза) и 40 </w:t>
      </w:r>
      <w:proofErr w:type="spellStart"/>
      <w:r w:rsidRPr="004A1A60">
        <w:rPr>
          <w:rFonts w:eastAsia="Times New Roman" w:cs="Arial"/>
          <w:color w:val="000000"/>
          <w:szCs w:val="20"/>
        </w:rPr>
        <w:t>mg</w:t>
      </w:r>
      <w:proofErr w:type="spellEnd"/>
      <w:r w:rsidRPr="004A1A60">
        <w:rPr>
          <w:rFonts w:eastAsia="Times New Roman" w:cs="Arial"/>
          <w:color w:val="000000"/>
          <w:szCs w:val="20"/>
        </w:rPr>
        <w:t xml:space="preserve"> </w:t>
      </w:r>
      <w:r w:rsidRPr="004A1A60">
        <w:rPr>
          <w:rFonts w:eastAsia="Times New Roman" w:cs="Arial"/>
          <w:color w:val="000000"/>
          <w:szCs w:val="20"/>
          <w:lang w:eastAsia="bg-BG"/>
        </w:rPr>
        <w:t xml:space="preserve">(висока доза)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медоксомил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веднъж дневно.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медоксомил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значително намалява както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систолното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, така и диастолното налягане по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дозозависим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начин след адаптиране спрямо теглото. И ниските, и високите дози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медоксомил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значително намаляват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систолното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артериално налягане съответно с 6,6 и 11,9 </w:t>
      </w:r>
      <w:proofErr w:type="spellStart"/>
      <w:r w:rsidRPr="004A1A60">
        <w:rPr>
          <w:rFonts w:eastAsia="Times New Roman" w:cs="Arial"/>
          <w:color w:val="000000"/>
          <w:szCs w:val="20"/>
        </w:rPr>
        <w:t>mmHg</w:t>
      </w:r>
      <w:proofErr w:type="spellEnd"/>
      <w:r w:rsidRPr="004A1A60">
        <w:rPr>
          <w:rFonts w:eastAsia="Times New Roman" w:cs="Arial"/>
          <w:color w:val="000000"/>
          <w:szCs w:val="20"/>
        </w:rPr>
        <w:t xml:space="preserve"> </w:t>
      </w:r>
      <w:r w:rsidRPr="004A1A60">
        <w:rPr>
          <w:rFonts w:eastAsia="Times New Roman" w:cs="Arial"/>
          <w:color w:val="000000"/>
          <w:szCs w:val="20"/>
          <w:lang w:eastAsia="bg-BG"/>
        </w:rPr>
        <w:t xml:space="preserve">спрямо изходното ниво. Този ефект е наблюдаван и по време на 2-седмичната рандомизирана фаза на прекъсване на лечението, при което и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систолното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, и диастолното артериално налягане показват статистически значим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ребаунд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ефект в плацебо групата, в сравнение с групата, приемала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>. Лечението е ефективно при педиатрични пациенти както с първична, така и с вторична хипертония. Както е наблюдавано и при популацията от възрастни пациенти, понижаването на артериалното налягане е по-слабо при чернокожи пациенти.</w:t>
      </w:r>
    </w:p>
    <w:p w14:paraId="7DC29E3E" w14:textId="77777777" w:rsidR="00BC73CC" w:rsidRPr="004A1A60" w:rsidRDefault="00BC73CC" w:rsidP="00BC73CC">
      <w:pPr>
        <w:spacing w:line="240" w:lineRule="auto"/>
        <w:rPr>
          <w:rFonts w:eastAsia="Times New Roman" w:cs="Arial"/>
          <w:sz w:val="28"/>
          <w:szCs w:val="24"/>
        </w:rPr>
      </w:pPr>
      <w:r w:rsidRPr="004A1A60">
        <w:rPr>
          <w:rFonts w:eastAsia="Times New Roman" w:cs="Arial"/>
          <w:color w:val="000000"/>
          <w:szCs w:val="20"/>
          <w:lang w:eastAsia="bg-BG"/>
        </w:rPr>
        <w:t xml:space="preserve">В същото проучване, 59 пациенти на възраст от 1 до 5 години и тегло &gt;5 </w:t>
      </w:r>
      <w:proofErr w:type="spellStart"/>
      <w:r w:rsidRPr="004A1A60">
        <w:rPr>
          <w:rFonts w:eastAsia="Times New Roman" w:cs="Arial"/>
          <w:color w:val="000000"/>
          <w:szCs w:val="20"/>
        </w:rPr>
        <w:t>kg</w:t>
      </w:r>
      <w:proofErr w:type="spellEnd"/>
      <w:r w:rsidRPr="004A1A60">
        <w:rPr>
          <w:rFonts w:eastAsia="Times New Roman" w:cs="Arial"/>
          <w:color w:val="000000"/>
          <w:szCs w:val="20"/>
        </w:rPr>
        <w:t xml:space="preserve">, </w:t>
      </w:r>
      <w:r w:rsidRPr="004A1A60">
        <w:rPr>
          <w:rFonts w:eastAsia="Times New Roman" w:cs="Arial"/>
          <w:color w:val="000000"/>
          <w:szCs w:val="20"/>
          <w:lang w:eastAsia="bg-BG"/>
        </w:rPr>
        <w:t xml:space="preserve">получават 0,3 </w:t>
      </w:r>
      <w:proofErr w:type="spellStart"/>
      <w:r w:rsidRPr="004A1A60">
        <w:rPr>
          <w:rFonts w:eastAsia="Times New Roman" w:cs="Arial"/>
          <w:color w:val="000000"/>
          <w:szCs w:val="20"/>
        </w:rPr>
        <w:t>mg</w:t>
      </w:r>
      <w:proofErr w:type="spellEnd"/>
      <w:r w:rsidRPr="004A1A60">
        <w:rPr>
          <w:rFonts w:eastAsia="Times New Roman" w:cs="Arial"/>
          <w:color w:val="000000"/>
          <w:szCs w:val="20"/>
        </w:rPr>
        <w:t>/</w:t>
      </w:r>
      <w:proofErr w:type="spellStart"/>
      <w:r w:rsidRPr="004A1A60">
        <w:rPr>
          <w:rFonts w:eastAsia="Times New Roman" w:cs="Arial"/>
          <w:color w:val="000000"/>
          <w:szCs w:val="20"/>
        </w:rPr>
        <w:t>kg</w:t>
      </w:r>
      <w:proofErr w:type="spellEnd"/>
      <w:r w:rsidRPr="004A1A60">
        <w:rPr>
          <w:rFonts w:eastAsia="Times New Roman" w:cs="Arial"/>
          <w:color w:val="000000"/>
          <w:szCs w:val="20"/>
        </w:rPr>
        <w:t xml:space="preserve">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медоксомил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веднъж дневно в продължение на три седмици по време на отворена фаза, след което са рандомизирани да получават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медоксомил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или плацебо в двойносляпа фаза. В края на втората седмица след прекъсване на лечението, средното най- ниско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систолно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/диастолно артериално налягане е 3/3 </w:t>
      </w:r>
      <w:proofErr w:type="spellStart"/>
      <w:r w:rsidRPr="004A1A60">
        <w:rPr>
          <w:rFonts w:eastAsia="Times New Roman" w:cs="Arial"/>
          <w:color w:val="000000"/>
          <w:szCs w:val="20"/>
        </w:rPr>
        <w:t>mmHg</w:t>
      </w:r>
      <w:proofErr w:type="spellEnd"/>
      <w:r w:rsidRPr="004A1A60">
        <w:rPr>
          <w:rFonts w:eastAsia="Times New Roman" w:cs="Arial"/>
          <w:color w:val="000000"/>
          <w:szCs w:val="20"/>
        </w:rPr>
        <w:t xml:space="preserve"> </w:t>
      </w:r>
      <w:r w:rsidRPr="004A1A60">
        <w:rPr>
          <w:rFonts w:eastAsia="Times New Roman" w:cs="Arial"/>
          <w:color w:val="000000"/>
          <w:szCs w:val="20"/>
          <w:lang w:eastAsia="bg-BG"/>
        </w:rPr>
        <w:t xml:space="preserve">по-ниско в групата, рандомизирана на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медоксомил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. Тази разлика в артериалното налягане не е статистически значима (95% </w:t>
      </w:r>
      <w:r w:rsidRPr="004A1A60">
        <w:rPr>
          <w:rFonts w:eastAsia="Times New Roman" w:cs="Arial"/>
          <w:color w:val="000000"/>
          <w:szCs w:val="20"/>
        </w:rPr>
        <w:t xml:space="preserve">C.I. </w:t>
      </w:r>
      <w:r w:rsidRPr="004A1A60">
        <w:rPr>
          <w:rFonts w:eastAsia="Times New Roman" w:cs="Arial"/>
          <w:color w:val="000000"/>
          <w:szCs w:val="20"/>
          <w:lang w:eastAsia="bg-BG"/>
        </w:rPr>
        <w:t xml:space="preserve">-2 </w:t>
      </w:r>
      <w:proofErr w:type="spellStart"/>
      <w:r w:rsidRPr="004A1A60">
        <w:rPr>
          <w:rFonts w:eastAsia="Times New Roman" w:cs="Arial"/>
          <w:color w:val="000000"/>
          <w:szCs w:val="20"/>
        </w:rPr>
        <w:t>to</w:t>
      </w:r>
      <w:proofErr w:type="spellEnd"/>
      <w:r w:rsidRPr="004A1A60">
        <w:rPr>
          <w:rFonts w:eastAsia="Times New Roman" w:cs="Arial"/>
          <w:color w:val="000000"/>
          <w:szCs w:val="20"/>
        </w:rPr>
        <w:t xml:space="preserve"> </w:t>
      </w:r>
      <w:r w:rsidRPr="004A1A60">
        <w:rPr>
          <w:rFonts w:eastAsia="Times New Roman" w:cs="Arial"/>
          <w:color w:val="000000"/>
          <w:szCs w:val="20"/>
          <w:lang w:eastAsia="bg-BG"/>
        </w:rPr>
        <w:t xml:space="preserve">7/-1 </w:t>
      </w:r>
      <w:proofErr w:type="spellStart"/>
      <w:r w:rsidRPr="004A1A60">
        <w:rPr>
          <w:rFonts w:eastAsia="Times New Roman" w:cs="Arial"/>
          <w:color w:val="000000"/>
          <w:szCs w:val="20"/>
        </w:rPr>
        <w:t>to</w:t>
      </w:r>
      <w:proofErr w:type="spellEnd"/>
      <w:r w:rsidRPr="004A1A60">
        <w:rPr>
          <w:rFonts w:eastAsia="Times New Roman" w:cs="Arial"/>
          <w:color w:val="000000"/>
          <w:szCs w:val="20"/>
        </w:rPr>
        <w:t xml:space="preserve"> </w:t>
      </w:r>
      <w:r w:rsidRPr="004A1A60">
        <w:rPr>
          <w:rFonts w:eastAsia="Times New Roman" w:cs="Arial"/>
          <w:color w:val="000000"/>
          <w:szCs w:val="20"/>
          <w:lang w:eastAsia="bg-BG"/>
        </w:rPr>
        <w:t>7).</w:t>
      </w:r>
    </w:p>
    <w:p w14:paraId="22069252" w14:textId="77777777" w:rsidR="00BC73CC" w:rsidRPr="004A1A60" w:rsidRDefault="00BC73CC" w:rsidP="00BC73CC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2E3DA7F6" w14:textId="55E735C4" w:rsidR="00BC73CC" w:rsidRPr="004A1A60" w:rsidRDefault="00BC73CC" w:rsidP="00BC73CC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  <w:r w:rsidRPr="004A1A60">
        <w:rPr>
          <w:rFonts w:eastAsia="Times New Roman" w:cs="Arial"/>
          <w:color w:val="000000"/>
          <w:szCs w:val="20"/>
          <w:u w:val="single"/>
          <w:lang w:eastAsia="bg-BG"/>
        </w:rPr>
        <w:t>Друга информация</w:t>
      </w:r>
    </w:p>
    <w:p w14:paraId="2B578316" w14:textId="77777777" w:rsidR="00BC73CC" w:rsidRPr="004A1A60" w:rsidRDefault="00BC73CC" w:rsidP="00BC73CC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0E615087" w14:textId="71281FC4" w:rsidR="00BC73CC" w:rsidRPr="004A1A60" w:rsidRDefault="00BC73CC" w:rsidP="00BC73CC">
      <w:pPr>
        <w:spacing w:line="240" w:lineRule="auto"/>
        <w:rPr>
          <w:rFonts w:eastAsia="Times New Roman" w:cs="Arial"/>
          <w:sz w:val="28"/>
          <w:szCs w:val="24"/>
        </w:rPr>
      </w:pPr>
      <w:r w:rsidRPr="004A1A60">
        <w:rPr>
          <w:rFonts w:eastAsia="Times New Roman" w:cs="Arial"/>
          <w:color w:val="000000"/>
          <w:szCs w:val="20"/>
          <w:lang w:eastAsia="bg-BG"/>
        </w:rPr>
        <w:t xml:space="preserve">Две големи рандомизирани контролирани проучвания - </w:t>
      </w:r>
      <w:r w:rsidRPr="004A1A60">
        <w:rPr>
          <w:rFonts w:eastAsia="Times New Roman" w:cs="Arial"/>
          <w:color w:val="000000"/>
          <w:szCs w:val="20"/>
        </w:rPr>
        <w:t>ONTARGET (</w:t>
      </w:r>
      <w:proofErr w:type="spellStart"/>
      <w:r w:rsidRPr="004A1A60">
        <w:rPr>
          <w:rFonts w:eastAsia="Times New Roman" w:cs="Arial"/>
          <w:color w:val="000000"/>
          <w:szCs w:val="20"/>
        </w:rPr>
        <w:t>ONgoing</w:t>
      </w:r>
      <w:proofErr w:type="spellEnd"/>
      <w:r w:rsidRPr="004A1A60">
        <w:rPr>
          <w:rFonts w:eastAsia="Times New Roman" w:cs="Arial"/>
          <w:color w:val="000000"/>
          <w:szCs w:val="20"/>
        </w:rPr>
        <w:t xml:space="preserve"> </w:t>
      </w:r>
      <w:proofErr w:type="spellStart"/>
      <w:r w:rsidRPr="004A1A60">
        <w:rPr>
          <w:rFonts w:eastAsia="Times New Roman" w:cs="Arial"/>
          <w:color w:val="000000"/>
          <w:szCs w:val="20"/>
        </w:rPr>
        <w:t>Telmisartan</w:t>
      </w:r>
      <w:proofErr w:type="spellEnd"/>
      <w:r w:rsidRPr="004A1A60">
        <w:rPr>
          <w:rFonts w:eastAsia="Times New Roman" w:cs="Arial"/>
          <w:color w:val="000000"/>
          <w:szCs w:val="20"/>
        </w:rPr>
        <w:t xml:space="preserve"> </w:t>
      </w:r>
      <w:proofErr w:type="spellStart"/>
      <w:r w:rsidRPr="004A1A60">
        <w:rPr>
          <w:rFonts w:eastAsia="Times New Roman" w:cs="Arial"/>
          <w:color w:val="000000"/>
          <w:szCs w:val="20"/>
        </w:rPr>
        <w:t>Alone</w:t>
      </w:r>
      <w:proofErr w:type="spellEnd"/>
      <w:r w:rsidRPr="004A1A60">
        <w:rPr>
          <w:rFonts w:eastAsia="Times New Roman" w:cs="Arial"/>
          <w:color w:val="000000"/>
          <w:szCs w:val="20"/>
        </w:rPr>
        <w:t xml:space="preserve"> </w:t>
      </w:r>
      <w:proofErr w:type="spellStart"/>
      <w:r w:rsidRPr="004A1A60">
        <w:rPr>
          <w:rFonts w:eastAsia="Times New Roman" w:cs="Arial"/>
          <w:color w:val="000000"/>
          <w:szCs w:val="20"/>
        </w:rPr>
        <w:t>and</w:t>
      </w:r>
      <w:proofErr w:type="spellEnd"/>
      <w:r w:rsidRPr="004A1A60">
        <w:rPr>
          <w:rFonts w:eastAsia="Times New Roman" w:cs="Arial"/>
          <w:color w:val="000000"/>
          <w:szCs w:val="20"/>
        </w:rPr>
        <w:t xml:space="preserve"> </w:t>
      </w:r>
      <w:proofErr w:type="spellStart"/>
      <w:r w:rsidRPr="004A1A60">
        <w:rPr>
          <w:rFonts w:eastAsia="Times New Roman" w:cs="Arial"/>
          <w:color w:val="000000"/>
          <w:szCs w:val="20"/>
        </w:rPr>
        <w:t>in</w:t>
      </w:r>
      <w:proofErr w:type="spellEnd"/>
      <w:r w:rsidRPr="004A1A60">
        <w:rPr>
          <w:rFonts w:eastAsia="Times New Roman" w:cs="Arial"/>
          <w:color w:val="000000"/>
          <w:szCs w:val="20"/>
        </w:rPr>
        <w:t xml:space="preserve"> </w:t>
      </w:r>
      <w:proofErr w:type="spellStart"/>
      <w:r w:rsidRPr="004A1A60">
        <w:rPr>
          <w:rFonts w:eastAsia="Times New Roman" w:cs="Arial"/>
          <w:color w:val="000000"/>
          <w:szCs w:val="20"/>
        </w:rPr>
        <w:t>combination</w:t>
      </w:r>
      <w:proofErr w:type="spellEnd"/>
      <w:r w:rsidRPr="004A1A60">
        <w:rPr>
          <w:rFonts w:eastAsia="Times New Roman" w:cs="Arial"/>
          <w:color w:val="000000"/>
          <w:szCs w:val="20"/>
        </w:rPr>
        <w:t xml:space="preserve"> </w:t>
      </w:r>
      <w:proofErr w:type="spellStart"/>
      <w:r w:rsidRPr="004A1A60">
        <w:rPr>
          <w:rFonts w:eastAsia="Times New Roman" w:cs="Arial"/>
          <w:color w:val="000000"/>
          <w:szCs w:val="20"/>
        </w:rPr>
        <w:t>with</w:t>
      </w:r>
      <w:proofErr w:type="spellEnd"/>
      <w:r w:rsidRPr="004A1A60">
        <w:rPr>
          <w:rFonts w:eastAsia="Times New Roman" w:cs="Arial"/>
          <w:color w:val="000000"/>
          <w:szCs w:val="20"/>
        </w:rPr>
        <w:t xml:space="preserve"> </w:t>
      </w:r>
      <w:proofErr w:type="spellStart"/>
      <w:r w:rsidRPr="004A1A60">
        <w:rPr>
          <w:rFonts w:eastAsia="Times New Roman" w:cs="Arial"/>
          <w:color w:val="000000"/>
          <w:szCs w:val="20"/>
        </w:rPr>
        <w:t>Ramipril</w:t>
      </w:r>
      <w:proofErr w:type="spellEnd"/>
      <w:r w:rsidRPr="004A1A60">
        <w:rPr>
          <w:rFonts w:eastAsia="Times New Roman" w:cs="Arial"/>
          <w:color w:val="000000"/>
          <w:szCs w:val="20"/>
        </w:rPr>
        <w:t xml:space="preserve"> </w:t>
      </w:r>
      <w:proofErr w:type="spellStart"/>
      <w:r w:rsidRPr="004A1A60">
        <w:rPr>
          <w:rFonts w:eastAsia="Times New Roman" w:cs="Arial"/>
          <w:color w:val="000000"/>
          <w:szCs w:val="20"/>
        </w:rPr>
        <w:t>Global</w:t>
      </w:r>
      <w:proofErr w:type="spellEnd"/>
      <w:r w:rsidRPr="004A1A60">
        <w:rPr>
          <w:rFonts w:eastAsia="Times New Roman" w:cs="Arial"/>
          <w:color w:val="000000"/>
          <w:szCs w:val="20"/>
        </w:rPr>
        <w:t xml:space="preserve"> </w:t>
      </w:r>
      <w:proofErr w:type="spellStart"/>
      <w:r w:rsidRPr="004A1A60">
        <w:rPr>
          <w:rFonts w:eastAsia="Times New Roman" w:cs="Arial"/>
          <w:color w:val="000000"/>
          <w:szCs w:val="20"/>
        </w:rPr>
        <w:t>Endpoint</w:t>
      </w:r>
      <w:proofErr w:type="spellEnd"/>
      <w:r w:rsidRPr="004A1A60">
        <w:rPr>
          <w:rFonts w:eastAsia="Times New Roman" w:cs="Arial"/>
          <w:color w:val="000000"/>
          <w:szCs w:val="20"/>
        </w:rPr>
        <w:t xml:space="preserve"> </w:t>
      </w:r>
      <w:proofErr w:type="spellStart"/>
      <w:r w:rsidRPr="004A1A60">
        <w:rPr>
          <w:rFonts w:eastAsia="Times New Roman" w:cs="Arial"/>
          <w:color w:val="000000"/>
          <w:szCs w:val="20"/>
        </w:rPr>
        <w:t>Trial</w:t>
      </w:r>
      <w:proofErr w:type="spellEnd"/>
      <w:r w:rsidRPr="004A1A60">
        <w:rPr>
          <w:rFonts w:eastAsia="Times New Roman" w:cs="Arial"/>
          <w:color w:val="000000"/>
          <w:szCs w:val="20"/>
        </w:rPr>
        <w:t xml:space="preserve"> - </w:t>
      </w:r>
      <w:r w:rsidRPr="004A1A60">
        <w:rPr>
          <w:rFonts w:eastAsia="Times New Roman" w:cs="Arial"/>
          <w:color w:val="000000"/>
          <w:szCs w:val="20"/>
          <w:lang w:eastAsia="bg-BG"/>
        </w:rPr>
        <w:t xml:space="preserve">текущо глобално изпитване за крайни точки на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телмисартан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, самостоятелно и в комбинация с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рамиприл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) и </w:t>
      </w:r>
      <w:r w:rsidRPr="004A1A60">
        <w:rPr>
          <w:rFonts w:eastAsia="Times New Roman" w:cs="Arial"/>
          <w:color w:val="000000"/>
          <w:szCs w:val="20"/>
        </w:rPr>
        <w:t xml:space="preserve">VA NEPHRON-D </w:t>
      </w:r>
      <w:r w:rsidRPr="004A1A60">
        <w:rPr>
          <w:rFonts w:eastAsia="Times New Roman" w:cs="Arial"/>
          <w:color w:val="000000"/>
          <w:szCs w:val="20"/>
          <w:lang w:eastAsia="bg-BG"/>
        </w:rPr>
        <w:t xml:space="preserve">(Клинично проучване, свързано с развитие на нефропатия при диабет, проведено от Министерство по въпросите на ветераните) - проучват употребата на комбинацията от АСЕ инхибитор и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ангиотензин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</w:t>
      </w:r>
      <w:r w:rsidRPr="004A1A60">
        <w:rPr>
          <w:rFonts w:eastAsia="Times New Roman" w:cs="Arial"/>
          <w:color w:val="000000"/>
          <w:szCs w:val="20"/>
        </w:rPr>
        <w:t>II</w:t>
      </w:r>
      <w:r w:rsidRPr="004A1A60">
        <w:rPr>
          <w:rFonts w:eastAsia="Times New Roman" w:cs="Arial"/>
          <w:color w:val="000000"/>
          <w:szCs w:val="20"/>
          <w:lang w:eastAsia="bg-BG"/>
        </w:rPr>
        <w:t xml:space="preserve">-рецепторен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блокер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>.</w:t>
      </w:r>
    </w:p>
    <w:p w14:paraId="465AFB72" w14:textId="77777777" w:rsidR="00BC73CC" w:rsidRPr="004A1A60" w:rsidRDefault="00BC73CC" w:rsidP="00BC73CC">
      <w:pPr>
        <w:spacing w:line="240" w:lineRule="auto"/>
        <w:rPr>
          <w:rFonts w:eastAsia="Times New Roman" w:cs="Arial"/>
          <w:sz w:val="28"/>
          <w:szCs w:val="24"/>
        </w:rPr>
      </w:pPr>
      <w:r w:rsidRPr="004A1A60">
        <w:rPr>
          <w:rFonts w:eastAsia="Times New Roman" w:cs="Arial"/>
          <w:color w:val="000000"/>
          <w:szCs w:val="20"/>
        </w:rPr>
        <w:t xml:space="preserve">ONTARGET </w:t>
      </w:r>
      <w:r w:rsidRPr="004A1A60">
        <w:rPr>
          <w:rFonts w:eastAsia="Times New Roman" w:cs="Arial"/>
          <w:color w:val="000000"/>
          <w:szCs w:val="20"/>
          <w:lang w:eastAsia="bg-BG"/>
        </w:rPr>
        <w:t xml:space="preserve">е проучване, проведено при пациенти е анамнеза за сърдечносъдова или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мозъчносъдова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болест, или захарен диабет тип 2, придружени с данни за увреждане на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ефекторни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органи. </w:t>
      </w:r>
      <w:r w:rsidRPr="004A1A60">
        <w:rPr>
          <w:rFonts w:eastAsia="Times New Roman" w:cs="Arial"/>
          <w:color w:val="000000"/>
          <w:szCs w:val="20"/>
        </w:rPr>
        <w:t xml:space="preserve">VA NEPHRON-D </w:t>
      </w:r>
      <w:r w:rsidRPr="004A1A60">
        <w:rPr>
          <w:rFonts w:eastAsia="Times New Roman" w:cs="Arial"/>
          <w:color w:val="000000"/>
          <w:szCs w:val="20"/>
          <w:lang w:eastAsia="bg-BG"/>
        </w:rPr>
        <w:t>е проучване при пациенти със захарен диабет тип 2 и диабетна нефропатия.</w:t>
      </w:r>
    </w:p>
    <w:p w14:paraId="2B6D2B4B" w14:textId="77777777" w:rsidR="00BC73CC" w:rsidRPr="004A1A60" w:rsidRDefault="00BC73CC" w:rsidP="00BC73CC">
      <w:pPr>
        <w:spacing w:line="240" w:lineRule="auto"/>
        <w:rPr>
          <w:rFonts w:eastAsia="Times New Roman" w:cs="Arial"/>
          <w:sz w:val="28"/>
          <w:szCs w:val="24"/>
        </w:rPr>
      </w:pPr>
      <w:r w:rsidRPr="004A1A60">
        <w:rPr>
          <w:rFonts w:eastAsia="Times New Roman" w:cs="Arial"/>
          <w:color w:val="000000"/>
          <w:szCs w:val="20"/>
          <w:lang w:eastAsia="bg-BG"/>
        </w:rPr>
        <w:t xml:space="preserve">Тези проучвания не показват, значим благоприятен ефект върху бъбречните и/или сърдечно съдовите последици и смъртност, като същевременно са наблюдавани повишен </w:t>
      </w:r>
      <w:r w:rsidRPr="004A1A60">
        <w:rPr>
          <w:rFonts w:eastAsia="Times New Roman" w:cs="Arial"/>
          <w:i/>
          <w:iCs/>
          <w:color w:val="000000"/>
          <w:szCs w:val="20"/>
          <w:lang w:eastAsia="bg-BG"/>
        </w:rPr>
        <w:t xml:space="preserve">риск от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Хиперкалиемия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, остро увреждане на бъбреците и/или хипотония в сравнение с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монотерапията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>.</w:t>
      </w:r>
    </w:p>
    <w:p w14:paraId="35965BA9" w14:textId="3940FF49" w:rsidR="00BC73CC" w:rsidRPr="004A1A60" w:rsidRDefault="00BC73CC" w:rsidP="00BC73CC">
      <w:pPr>
        <w:rPr>
          <w:rFonts w:eastAsia="Times New Roman" w:cs="Arial"/>
          <w:color w:val="000000"/>
          <w:szCs w:val="20"/>
          <w:lang w:eastAsia="bg-BG"/>
        </w:rPr>
      </w:pPr>
      <w:r w:rsidRPr="004A1A60">
        <w:rPr>
          <w:rFonts w:eastAsia="Times New Roman" w:cs="Arial"/>
          <w:color w:val="000000"/>
          <w:szCs w:val="20"/>
          <w:lang w:eastAsia="bg-BG"/>
        </w:rPr>
        <w:t xml:space="preserve">Като се имат предвид сходните им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фармакодинамични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свойства, тези резултати са приложими и за</w:t>
      </w:r>
      <w:r w:rsidRPr="004A1A60">
        <w:rPr>
          <w:rFonts w:eastAsia="Times New Roman" w:cs="Arial"/>
          <w:color w:val="000000"/>
          <w:szCs w:val="20"/>
        </w:rPr>
        <w:t xml:space="preserve"> </w:t>
      </w:r>
      <w:r w:rsidRPr="004A1A60">
        <w:rPr>
          <w:rFonts w:eastAsia="Times New Roman" w:cs="Arial"/>
          <w:color w:val="000000"/>
          <w:szCs w:val="20"/>
          <w:lang w:eastAsia="bg-BG"/>
        </w:rPr>
        <w:t>други АСЕ инх</w:t>
      </w:r>
      <w:r w:rsidR="00D7244D">
        <w:rPr>
          <w:rFonts w:eastAsia="Times New Roman" w:cs="Arial"/>
          <w:color w:val="000000"/>
          <w:szCs w:val="20"/>
          <w:lang w:eastAsia="bg-BG"/>
        </w:rPr>
        <w:t>и</w:t>
      </w:r>
      <w:r w:rsidRPr="004A1A60">
        <w:rPr>
          <w:rFonts w:eastAsia="Times New Roman" w:cs="Arial"/>
          <w:color w:val="000000"/>
          <w:szCs w:val="20"/>
          <w:lang w:eastAsia="bg-BG"/>
        </w:rPr>
        <w:t xml:space="preserve">битори и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ангиотензин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</w:t>
      </w:r>
      <w:r w:rsidRPr="004A1A60">
        <w:rPr>
          <w:rFonts w:eastAsia="Times New Roman" w:cs="Arial"/>
          <w:color w:val="000000"/>
          <w:szCs w:val="20"/>
        </w:rPr>
        <w:t>II</w:t>
      </w:r>
      <w:r w:rsidRPr="004A1A60">
        <w:rPr>
          <w:rFonts w:eastAsia="Times New Roman" w:cs="Arial"/>
          <w:color w:val="000000"/>
          <w:szCs w:val="20"/>
          <w:lang w:eastAsia="bg-BG"/>
        </w:rPr>
        <w:t xml:space="preserve">-рецепторни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блокери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>.</w:t>
      </w:r>
    </w:p>
    <w:p w14:paraId="352BD21B" w14:textId="6D281CC3" w:rsidR="00BC73CC" w:rsidRPr="004A1A60" w:rsidRDefault="00BC73CC" w:rsidP="00BC73CC">
      <w:pPr>
        <w:rPr>
          <w:rFonts w:eastAsia="Times New Roman" w:cs="Arial"/>
          <w:color w:val="000000"/>
          <w:szCs w:val="20"/>
          <w:lang w:eastAsia="bg-BG"/>
        </w:rPr>
      </w:pPr>
    </w:p>
    <w:p w14:paraId="7C789D22" w14:textId="77777777" w:rsidR="00BC73CC" w:rsidRPr="004A1A60" w:rsidRDefault="00BC73CC" w:rsidP="00BC73CC">
      <w:pPr>
        <w:spacing w:line="240" w:lineRule="auto"/>
        <w:rPr>
          <w:rFonts w:eastAsia="Times New Roman" w:cs="Arial"/>
          <w:sz w:val="28"/>
          <w:szCs w:val="24"/>
        </w:rPr>
      </w:pPr>
      <w:r w:rsidRPr="004A1A60">
        <w:rPr>
          <w:rFonts w:eastAsia="Times New Roman" w:cs="Arial"/>
          <w:color w:val="000000"/>
          <w:szCs w:val="20"/>
          <w:lang w:eastAsia="bg-BG"/>
        </w:rPr>
        <w:t xml:space="preserve">АСЕ инхибитори и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ангиотензин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</w:t>
      </w:r>
      <w:r w:rsidRPr="004A1A60">
        <w:rPr>
          <w:rFonts w:eastAsia="Times New Roman" w:cs="Arial"/>
          <w:color w:val="000000"/>
          <w:szCs w:val="20"/>
        </w:rPr>
        <w:t>II</w:t>
      </w:r>
      <w:r w:rsidRPr="004A1A60">
        <w:rPr>
          <w:rFonts w:eastAsia="Times New Roman" w:cs="Arial"/>
          <w:color w:val="000000"/>
          <w:szCs w:val="20"/>
          <w:lang w:eastAsia="bg-BG"/>
        </w:rPr>
        <w:t xml:space="preserve">-рецепторни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блокери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следователно не трябва да се използват едновременно при пациенти с диабетна нефропатия.</w:t>
      </w:r>
    </w:p>
    <w:p w14:paraId="36E46591" w14:textId="06603EB0" w:rsidR="00BC73CC" w:rsidRPr="004A1A60" w:rsidRDefault="00BC73CC" w:rsidP="00BC73CC">
      <w:pPr>
        <w:rPr>
          <w:rFonts w:eastAsia="Times New Roman" w:cs="Arial"/>
          <w:color w:val="000000"/>
          <w:szCs w:val="20"/>
          <w:lang w:eastAsia="bg-BG"/>
        </w:rPr>
      </w:pPr>
      <w:r w:rsidRPr="004A1A60">
        <w:rPr>
          <w:rFonts w:eastAsia="Times New Roman" w:cs="Arial"/>
          <w:color w:val="000000"/>
          <w:szCs w:val="20"/>
        </w:rPr>
        <w:t xml:space="preserve">ALTITUDE </w:t>
      </w:r>
      <w:r w:rsidRPr="004A1A60">
        <w:rPr>
          <w:rFonts w:eastAsia="Times New Roman" w:cs="Arial"/>
          <w:color w:val="000000"/>
          <w:szCs w:val="20"/>
          <w:lang w:eastAsia="bg-BG"/>
        </w:rPr>
        <w:t xml:space="preserve">(Клинично проучване проведено с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алискирен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при пациенти със захарен диабет тип 2 с използване на сърдечно-съдови и бъбречни заболявания като крайни точки ) е проучване, предназначено да изследва ползата от добавянето на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алискирен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към стандартна терапия с АСЕ инхибитор или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ангиотензин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</w:t>
      </w:r>
      <w:r w:rsidRPr="004A1A60">
        <w:rPr>
          <w:rFonts w:eastAsia="Times New Roman" w:cs="Arial"/>
          <w:color w:val="000000"/>
          <w:szCs w:val="20"/>
        </w:rPr>
        <w:t>II</w:t>
      </w:r>
      <w:r w:rsidRPr="004A1A60">
        <w:rPr>
          <w:rFonts w:eastAsia="Times New Roman" w:cs="Arial"/>
          <w:color w:val="000000"/>
          <w:szCs w:val="20"/>
          <w:lang w:eastAsia="bg-BG"/>
        </w:rPr>
        <w:t xml:space="preserve">-рецепторен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блокер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при пациенти със захарен диабет тип 2 и хронично бъбречно заболяване, сърдечно-съдово заболяване или и двете. Проучването е прекратено преждевременно поради повишен риск от неблагоприятни последици. Както сърдечно-съдовата смърт, така и инсултът са по-чести в групата на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алискирен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>, отколкото в групата на плацебо, а представляващите интерес нежелани събития и сериозни нежелани събития (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хиперкалиемия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, хипотония и бъбречна дисфункция) се съобщават по-често в групата на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алискирен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>, отколкото в групата на плацебо.</w:t>
      </w:r>
    </w:p>
    <w:p w14:paraId="35518D5A" w14:textId="77777777" w:rsidR="00BC73CC" w:rsidRPr="004A1A60" w:rsidRDefault="00BC73CC" w:rsidP="00BC73CC"/>
    <w:p w14:paraId="436D48F6" w14:textId="77FF9A06" w:rsidR="00BB22B4" w:rsidRPr="004A1A60" w:rsidRDefault="002C50EE" w:rsidP="00471F10">
      <w:pPr>
        <w:pStyle w:val="Heading2"/>
      </w:pPr>
      <w:r w:rsidRPr="004A1A60">
        <w:t>5.2. Фармакокинетични свойства</w:t>
      </w:r>
    </w:p>
    <w:p w14:paraId="23C4C1D5" w14:textId="4E4CC05A" w:rsidR="00BC73CC" w:rsidRPr="004A1A60" w:rsidRDefault="00BC73CC" w:rsidP="00BC73CC"/>
    <w:p w14:paraId="1461AD48" w14:textId="77777777" w:rsidR="00BC73CC" w:rsidRPr="004A1A60" w:rsidRDefault="00BC73CC" w:rsidP="00BC73CC">
      <w:pPr>
        <w:pStyle w:val="Heading3"/>
        <w:rPr>
          <w:rFonts w:eastAsia="Times New Roman"/>
          <w:sz w:val="28"/>
          <w:u w:val="single"/>
        </w:rPr>
      </w:pPr>
      <w:r w:rsidRPr="004A1A60">
        <w:rPr>
          <w:rFonts w:eastAsia="Times New Roman"/>
          <w:u w:val="single"/>
          <w:lang w:eastAsia="bg-BG"/>
        </w:rPr>
        <w:t>Абсорбция и разпределение</w:t>
      </w:r>
    </w:p>
    <w:p w14:paraId="07C122AB" w14:textId="77777777" w:rsidR="00BC73CC" w:rsidRPr="004A1A60" w:rsidRDefault="00BC73CC" w:rsidP="00BC73CC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0241682B" w14:textId="580660EC" w:rsidR="00BC73CC" w:rsidRPr="004A1A60" w:rsidRDefault="00BC73CC" w:rsidP="00BC73CC">
      <w:pPr>
        <w:spacing w:line="240" w:lineRule="auto"/>
        <w:rPr>
          <w:rFonts w:eastAsia="Times New Roman" w:cs="Arial"/>
          <w:sz w:val="28"/>
          <w:szCs w:val="24"/>
        </w:rPr>
      </w:pP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медоксомил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е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предлекарство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. При абсорбиране от гастроинтестиналния тракт бързо се превръща във фармакологично активния метаболит,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, от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естеразите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в чревната лигавица и в порталната кръвна мрежа.</w:t>
      </w:r>
    </w:p>
    <w:p w14:paraId="2245F843" w14:textId="77777777" w:rsidR="00BC73CC" w:rsidRPr="004A1A60" w:rsidRDefault="00BC73CC" w:rsidP="00BC73CC">
      <w:pPr>
        <w:spacing w:line="240" w:lineRule="auto"/>
        <w:rPr>
          <w:rFonts w:eastAsia="Times New Roman" w:cs="Arial"/>
          <w:sz w:val="28"/>
          <w:szCs w:val="24"/>
        </w:rPr>
      </w:pPr>
      <w:r w:rsidRPr="004A1A60">
        <w:rPr>
          <w:rFonts w:eastAsia="Times New Roman" w:cs="Arial"/>
          <w:color w:val="000000"/>
          <w:szCs w:val="20"/>
          <w:lang w:eastAsia="bg-BG"/>
        </w:rPr>
        <w:t xml:space="preserve">В плазмата или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екскретите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не се откриват активности на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интактен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медоксомил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или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интактни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странични вериги на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медоксомил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. Средната абсолютна бионаличност на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>, приложен под формата на таблетки, е 25,6%.</w:t>
      </w:r>
    </w:p>
    <w:p w14:paraId="3139CE1C" w14:textId="77777777" w:rsidR="00BC73CC" w:rsidRPr="004A1A60" w:rsidRDefault="00BC73CC" w:rsidP="00BC73CC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7151F67C" w14:textId="175BA0F0" w:rsidR="00BC73CC" w:rsidRPr="004A1A60" w:rsidRDefault="00BC73CC" w:rsidP="00BC73CC">
      <w:pPr>
        <w:spacing w:line="240" w:lineRule="auto"/>
        <w:rPr>
          <w:rFonts w:eastAsia="Times New Roman" w:cs="Arial"/>
          <w:sz w:val="28"/>
          <w:szCs w:val="24"/>
        </w:rPr>
      </w:pPr>
      <w:r w:rsidRPr="004A1A60">
        <w:rPr>
          <w:rFonts w:eastAsia="Times New Roman" w:cs="Arial"/>
          <w:color w:val="000000"/>
          <w:szCs w:val="20"/>
          <w:lang w:eastAsia="bg-BG"/>
        </w:rPr>
        <w:t>Средната максимална плазмена концентрация (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С</w:t>
      </w:r>
      <w:r w:rsidRPr="004A1A60">
        <w:rPr>
          <w:rFonts w:eastAsia="Times New Roman" w:cs="Arial"/>
          <w:color w:val="000000"/>
          <w:szCs w:val="20"/>
          <w:vertAlign w:val="subscript"/>
        </w:rPr>
        <w:t>max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) на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се достига в рамките на 2 часа след перорално приложение на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медоксомил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, а плазмените концентрации на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нарастват почти линейно с нарастващи еднократни перорални дози до около 80 </w:t>
      </w:r>
      <w:proofErr w:type="spellStart"/>
      <w:r w:rsidRPr="004A1A60">
        <w:rPr>
          <w:rFonts w:eastAsia="Times New Roman" w:cs="Arial"/>
          <w:color w:val="000000"/>
          <w:szCs w:val="20"/>
        </w:rPr>
        <w:t>mg</w:t>
      </w:r>
      <w:proofErr w:type="spellEnd"/>
      <w:r w:rsidRPr="004A1A60">
        <w:rPr>
          <w:rFonts w:eastAsia="Times New Roman" w:cs="Arial"/>
          <w:color w:val="000000"/>
          <w:szCs w:val="20"/>
        </w:rPr>
        <w:t>.</w:t>
      </w:r>
    </w:p>
    <w:p w14:paraId="7E513551" w14:textId="77777777" w:rsidR="00BC73CC" w:rsidRPr="004A1A60" w:rsidRDefault="00BC73CC" w:rsidP="00BC73CC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7069E336" w14:textId="11A4E77C" w:rsidR="00BC73CC" w:rsidRPr="004A1A60" w:rsidRDefault="00BC73CC" w:rsidP="00BC73CC">
      <w:pPr>
        <w:spacing w:line="240" w:lineRule="auto"/>
        <w:rPr>
          <w:rFonts w:eastAsia="Times New Roman" w:cs="Arial"/>
          <w:sz w:val="28"/>
          <w:szCs w:val="24"/>
        </w:rPr>
      </w:pPr>
      <w:r w:rsidRPr="004A1A60">
        <w:rPr>
          <w:rFonts w:eastAsia="Times New Roman" w:cs="Arial"/>
          <w:color w:val="000000"/>
          <w:szCs w:val="20"/>
          <w:lang w:eastAsia="bg-BG"/>
        </w:rPr>
        <w:t xml:space="preserve">Храната оказва минимален ефект върху бионаличността на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и затова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медоксомил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може да се прилага с или без храна.</w:t>
      </w:r>
    </w:p>
    <w:p w14:paraId="5C33DC9C" w14:textId="77777777" w:rsidR="00BC73CC" w:rsidRPr="004A1A60" w:rsidRDefault="00BC73CC" w:rsidP="00BC73CC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293E8BAD" w14:textId="0C776A40" w:rsidR="00BC73CC" w:rsidRPr="004A1A60" w:rsidRDefault="00BC73CC" w:rsidP="00BC73CC">
      <w:pPr>
        <w:spacing w:line="240" w:lineRule="auto"/>
        <w:rPr>
          <w:rFonts w:eastAsia="Times New Roman" w:cs="Arial"/>
          <w:sz w:val="28"/>
          <w:szCs w:val="24"/>
        </w:rPr>
      </w:pPr>
      <w:r w:rsidRPr="004A1A60">
        <w:rPr>
          <w:rFonts w:eastAsia="Times New Roman" w:cs="Arial"/>
          <w:color w:val="000000"/>
          <w:szCs w:val="20"/>
          <w:lang w:eastAsia="bg-BG"/>
        </w:rPr>
        <w:t xml:space="preserve">Не се наблюдават клинично значими полово-зависими разлики във фармакокинетиката на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>.</w:t>
      </w:r>
    </w:p>
    <w:p w14:paraId="2BBB4DBC" w14:textId="77777777" w:rsidR="00BC73CC" w:rsidRPr="004A1A60" w:rsidRDefault="00BC73CC" w:rsidP="00BC73CC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5F812577" w14:textId="4CA331D3" w:rsidR="00BC73CC" w:rsidRPr="004A1A60" w:rsidRDefault="00BC73CC" w:rsidP="00BC73CC">
      <w:pPr>
        <w:spacing w:line="240" w:lineRule="auto"/>
        <w:rPr>
          <w:rFonts w:eastAsia="Times New Roman" w:cs="Arial"/>
          <w:sz w:val="28"/>
          <w:szCs w:val="24"/>
        </w:rPr>
      </w:pP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се свързва във висока степен с плазмените протеини (99,7%). Въпреки това, възможността за клинично значими лекарствени взаимодействия на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с други едновременно приложени лекарства, свързващи се във висока степен с плазмените белтъци, чрез изместване от местата за свързване, е ниска, което се потвърждава от липсата на клинично-значими взаимодействия между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медоксомил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и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варфарин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. Свързването на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с кръвните клетки е незначително. Средният обем на разпределение след интравенозно приложение е малък (16-29 1).</w:t>
      </w:r>
    </w:p>
    <w:p w14:paraId="1F6FA2C7" w14:textId="77777777" w:rsidR="00BC73CC" w:rsidRPr="004A1A60" w:rsidRDefault="00BC73CC" w:rsidP="00BC73CC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78873A37" w14:textId="4BA1F638" w:rsidR="00BC73CC" w:rsidRPr="004A1A60" w:rsidRDefault="00BC73CC" w:rsidP="00BC73CC">
      <w:pPr>
        <w:pStyle w:val="Heading3"/>
        <w:rPr>
          <w:rFonts w:eastAsia="Times New Roman"/>
          <w:sz w:val="28"/>
          <w:u w:val="single"/>
        </w:rPr>
      </w:pPr>
      <w:r w:rsidRPr="004A1A60">
        <w:rPr>
          <w:rFonts w:eastAsia="Times New Roman"/>
          <w:u w:val="single"/>
          <w:lang w:eastAsia="bg-BG"/>
        </w:rPr>
        <w:t>Биотрансформация и елиминиране</w:t>
      </w:r>
    </w:p>
    <w:p w14:paraId="450A4728" w14:textId="77777777" w:rsidR="00BC73CC" w:rsidRPr="004A1A60" w:rsidRDefault="00BC73CC" w:rsidP="00BC73CC">
      <w:pPr>
        <w:rPr>
          <w:rFonts w:eastAsia="Times New Roman" w:cs="Arial"/>
          <w:color w:val="000000"/>
          <w:szCs w:val="20"/>
          <w:lang w:eastAsia="bg-BG"/>
        </w:rPr>
      </w:pPr>
    </w:p>
    <w:p w14:paraId="717C0A78" w14:textId="3658925D" w:rsidR="00BC73CC" w:rsidRPr="004A1A60" w:rsidRDefault="00BC73CC" w:rsidP="00BC73CC">
      <w:pPr>
        <w:rPr>
          <w:rFonts w:eastAsia="Times New Roman" w:cs="Arial"/>
          <w:color w:val="000000"/>
          <w:szCs w:val="20"/>
          <w:lang w:eastAsia="bg-BG"/>
        </w:rPr>
      </w:pPr>
      <w:r w:rsidRPr="004A1A60">
        <w:rPr>
          <w:rFonts w:eastAsia="Times New Roman" w:cs="Arial"/>
          <w:color w:val="000000"/>
          <w:szCs w:val="20"/>
          <w:lang w:eastAsia="bg-BG"/>
        </w:rPr>
        <w:t xml:space="preserve">Обикновено общият плазмен клирънс е 1,3 </w:t>
      </w:r>
      <w:r w:rsidRPr="004A1A60">
        <w:rPr>
          <w:rFonts w:eastAsia="Times New Roman" w:cs="Arial"/>
          <w:color w:val="000000"/>
          <w:szCs w:val="20"/>
        </w:rPr>
        <w:t xml:space="preserve">l/h (CV, </w:t>
      </w:r>
      <w:r w:rsidRPr="004A1A60">
        <w:rPr>
          <w:rFonts w:eastAsia="Times New Roman" w:cs="Arial"/>
          <w:color w:val="000000"/>
          <w:szCs w:val="20"/>
          <w:lang w:eastAsia="bg-BG"/>
        </w:rPr>
        <w:t>19%) и е сравнително малък в сравнение</w:t>
      </w:r>
      <w:r w:rsidRPr="004A1A60">
        <w:rPr>
          <w:rFonts w:eastAsia="Times New Roman" w:cs="Arial"/>
          <w:color w:val="000000"/>
          <w:szCs w:val="20"/>
        </w:rPr>
        <w:t xml:space="preserve"> </w:t>
      </w:r>
      <w:r w:rsidRPr="004A1A60">
        <w:rPr>
          <w:rFonts w:eastAsia="Times New Roman" w:cs="Arial"/>
          <w:color w:val="000000"/>
          <w:szCs w:val="20"/>
          <w:lang w:eastAsia="bg-BG"/>
        </w:rPr>
        <w:t xml:space="preserve">с чернодробния кръвоток (около 90 </w:t>
      </w:r>
      <w:r w:rsidRPr="004A1A60">
        <w:rPr>
          <w:rFonts w:eastAsia="Times New Roman" w:cs="Arial"/>
          <w:color w:val="000000"/>
          <w:szCs w:val="20"/>
        </w:rPr>
        <w:t xml:space="preserve">l/h). </w:t>
      </w:r>
      <w:r w:rsidRPr="004A1A60">
        <w:rPr>
          <w:rFonts w:eastAsia="Times New Roman" w:cs="Arial"/>
          <w:color w:val="000000"/>
          <w:szCs w:val="20"/>
          <w:lang w:eastAsia="bg-BG"/>
        </w:rPr>
        <w:t xml:space="preserve">След еднократно перорално </w:t>
      </w:r>
      <w:r w:rsidRPr="004A1A60">
        <w:rPr>
          <w:rFonts w:eastAsia="Times New Roman" w:cs="Arial"/>
          <w:color w:val="000000"/>
          <w:szCs w:val="20"/>
          <w:lang w:eastAsia="bg-BG"/>
        </w:rPr>
        <w:lastRenderedPageBreak/>
        <w:t xml:space="preserve">приложение на маркиран </w:t>
      </w:r>
      <w:r w:rsidRPr="004A1A60">
        <w:rPr>
          <w:rFonts w:eastAsia="Times New Roman" w:cs="Arial"/>
          <w:color w:val="000000"/>
          <w:szCs w:val="20"/>
          <w:vertAlign w:val="superscript"/>
          <w:lang w:eastAsia="bg-BG"/>
        </w:rPr>
        <w:t>14</w:t>
      </w:r>
      <w:r w:rsidRPr="004A1A60">
        <w:rPr>
          <w:rFonts w:eastAsia="Times New Roman" w:cs="Arial"/>
          <w:color w:val="000000"/>
          <w:szCs w:val="20"/>
          <w:lang w:eastAsia="bg-BG"/>
        </w:rPr>
        <w:t xml:space="preserve">С-олмесартан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медоксомил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, 10-16% от радиоактивността се открива в урината (по-гол ям ата част в рамките на 24 часа от приложението на дозата), а остатъкът от откритата радиоактивност се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екскретира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във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фецеса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. Имайки предвид системната наличност от 25,6%, може да се заключи, че абсорбираният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се елиминира и чрез бъбречна екскреция (около 40%), и чрез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хепато-билиарна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екскреция (около 60%). Цялото количество радиоактивност е идентифицирано като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. Не се открива друг значим метаболит.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Ентерохепаталният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метаболизъм на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е минимален. Тъй като голямо количество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се</w:t>
      </w:r>
      <w:r w:rsidRPr="004A1A60">
        <w:rPr>
          <w:rFonts w:eastAsia="Times New Roman" w:cs="Arial"/>
          <w:color w:val="000000"/>
          <w:szCs w:val="20"/>
          <w:u w:val="single"/>
          <w:lang w:eastAsia="bg-BG"/>
        </w:rPr>
        <w:t xml:space="preserve">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екскретира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чрез жлъчката, приложението му при пациенти с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билиарна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обструкция е противопоказано (вижте 4.3).</w:t>
      </w:r>
    </w:p>
    <w:p w14:paraId="7EF3C289" w14:textId="687B1048" w:rsidR="00BC73CC" w:rsidRPr="004A1A60" w:rsidRDefault="00BC73CC" w:rsidP="00BC73CC">
      <w:pPr>
        <w:rPr>
          <w:rFonts w:eastAsia="Times New Roman" w:cs="Arial"/>
          <w:color w:val="000000"/>
          <w:szCs w:val="20"/>
          <w:lang w:eastAsia="bg-BG"/>
        </w:rPr>
      </w:pPr>
    </w:p>
    <w:p w14:paraId="541D9A18" w14:textId="77777777" w:rsidR="00BC73CC" w:rsidRPr="004A1A60" w:rsidRDefault="00BC73CC" w:rsidP="00BC73CC">
      <w:pPr>
        <w:spacing w:line="240" w:lineRule="auto"/>
        <w:rPr>
          <w:rFonts w:eastAsia="Times New Roman" w:cs="Arial"/>
          <w:sz w:val="28"/>
          <w:szCs w:val="24"/>
        </w:rPr>
      </w:pPr>
      <w:r w:rsidRPr="004A1A60">
        <w:rPr>
          <w:rFonts w:eastAsia="Times New Roman" w:cs="Arial"/>
          <w:color w:val="000000"/>
          <w:szCs w:val="20"/>
          <w:lang w:eastAsia="bg-BG"/>
        </w:rPr>
        <w:t xml:space="preserve">Крайният елиминационен полуживот на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варира между 10 и 15 часа след многократно перорално дозиране. Равновесно състояние се достига след първите няколко дози и след 14 дни многократно дозиране не се наблюдава допълнителна акумулация. Бъбречният клирънс е около 0,5-0,7 </w:t>
      </w:r>
      <w:r w:rsidRPr="004A1A60">
        <w:rPr>
          <w:rFonts w:eastAsia="Times New Roman" w:cs="Arial"/>
          <w:color w:val="000000"/>
          <w:szCs w:val="20"/>
        </w:rPr>
        <w:t xml:space="preserve">1/h </w:t>
      </w:r>
      <w:r w:rsidRPr="004A1A60">
        <w:rPr>
          <w:rFonts w:eastAsia="Times New Roman" w:cs="Arial"/>
          <w:color w:val="000000"/>
          <w:szCs w:val="20"/>
          <w:lang w:eastAsia="bg-BG"/>
        </w:rPr>
        <w:t>и е независим от дозата.</w:t>
      </w:r>
    </w:p>
    <w:p w14:paraId="4C176EC9" w14:textId="77777777" w:rsidR="00BC73CC" w:rsidRPr="004A1A60" w:rsidRDefault="00BC73CC" w:rsidP="00BC73CC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0EAD7977" w14:textId="3A9DA032" w:rsidR="00BC73CC" w:rsidRPr="004A1A60" w:rsidRDefault="00BC73CC" w:rsidP="00BC73CC">
      <w:pPr>
        <w:pStyle w:val="Heading3"/>
        <w:rPr>
          <w:rFonts w:eastAsia="Times New Roman"/>
          <w:sz w:val="28"/>
          <w:u w:val="single"/>
        </w:rPr>
      </w:pPr>
      <w:r w:rsidRPr="004A1A60">
        <w:rPr>
          <w:rFonts w:eastAsia="Times New Roman"/>
          <w:u w:val="single"/>
          <w:lang w:eastAsia="bg-BG"/>
        </w:rPr>
        <w:t>Фармакокинетика при специфични групи</w:t>
      </w:r>
    </w:p>
    <w:p w14:paraId="79C4A21B" w14:textId="77777777" w:rsidR="00BC73CC" w:rsidRPr="004A1A60" w:rsidRDefault="00BC73CC" w:rsidP="00BC73CC">
      <w:pPr>
        <w:spacing w:line="240" w:lineRule="auto"/>
        <w:rPr>
          <w:rFonts w:eastAsia="Times New Roman" w:cs="Arial"/>
          <w:i/>
          <w:iCs/>
          <w:color w:val="000000"/>
          <w:szCs w:val="20"/>
          <w:lang w:eastAsia="bg-BG"/>
        </w:rPr>
      </w:pPr>
    </w:p>
    <w:p w14:paraId="30198F8A" w14:textId="3A01FFF1" w:rsidR="00BC73CC" w:rsidRPr="004A1A60" w:rsidRDefault="00BC73CC" w:rsidP="00BC73CC">
      <w:pPr>
        <w:spacing w:line="240" w:lineRule="auto"/>
        <w:rPr>
          <w:rFonts w:eastAsia="Times New Roman" w:cs="Arial"/>
          <w:sz w:val="28"/>
          <w:szCs w:val="24"/>
        </w:rPr>
      </w:pPr>
      <w:r w:rsidRPr="004A1A60">
        <w:rPr>
          <w:rFonts w:eastAsia="Times New Roman" w:cs="Arial"/>
          <w:i/>
          <w:iCs/>
          <w:color w:val="000000"/>
          <w:szCs w:val="20"/>
          <w:lang w:eastAsia="bg-BG"/>
        </w:rPr>
        <w:t>Педиатрична популация</w:t>
      </w:r>
    </w:p>
    <w:p w14:paraId="5FA47BA5" w14:textId="77777777" w:rsidR="00BC73CC" w:rsidRPr="004A1A60" w:rsidRDefault="00BC73CC" w:rsidP="00BC73CC">
      <w:pPr>
        <w:spacing w:line="240" w:lineRule="auto"/>
        <w:rPr>
          <w:rFonts w:eastAsia="Times New Roman" w:cs="Arial"/>
          <w:sz w:val="28"/>
          <w:szCs w:val="24"/>
        </w:rPr>
      </w:pPr>
      <w:r w:rsidRPr="004A1A60">
        <w:rPr>
          <w:rFonts w:eastAsia="Times New Roman" w:cs="Arial"/>
          <w:color w:val="000000"/>
          <w:szCs w:val="20"/>
          <w:lang w:eastAsia="bg-BG"/>
        </w:rPr>
        <w:t xml:space="preserve">Фармакокинетиката на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е изследвана при педиатрични пациенти с хипертония на възраст 1 до 16 години.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Клиърънсът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на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При педиатрични пациенти е сходен с този на възрастните пациенти след адаптиране спрямо теглото.</w:t>
      </w:r>
    </w:p>
    <w:p w14:paraId="1A1E3435" w14:textId="77777777" w:rsidR="00BC73CC" w:rsidRPr="004A1A60" w:rsidRDefault="00BC73CC" w:rsidP="00BC73CC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442852F7" w14:textId="078BD2AF" w:rsidR="00BC73CC" w:rsidRPr="004A1A60" w:rsidRDefault="00BC73CC" w:rsidP="00BC73CC">
      <w:pPr>
        <w:spacing w:line="240" w:lineRule="auto"/>
        <w:rPr>
          <w:rFonts w:eastAsia="Times New Roman" w:cs="Arial"/>
          <w:sz w:val="28"/>
          <w:szCs w:val="24"/>
        </w:rPr>
      </w:pPr>
      <w:r w:rsidRPr="004A1A60">
        <w:rPr>
          <w:rFonts w:eastAsia="Times New Roman" w:cs="Arial"/>
          <w:color w:val="000000"/>
          <w:szCs w:val="20"/>
          <w:lang w:eastAsia="bg-BG"/>
        </w:rPr>
        <w:t xml:space="preserve">Няма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фармакокинетична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информация за педиатрични пациенти с бъбречно увреждане.</w:t>
      </w:r>
    </w:p>
    <w:p w14:paraId="1B71A73D" w14:textId="77777777" w:rsidR="00BC73CC" w:rsidRPr="004A1A60" w:rsidRDefault="00BC73CC" w:rsidP="00BC73CC">
      <w:pPr>
        <w:spacing w:line="240" w:lineRule="auto"/>
        <w:rPr>
          <w:rFonts w:eastAsia="Times New Roman" w:cs="Arial"/>
          <w:i/>
          <w:iCs/>
          <w:color w:val="000000"/>
          <w:szCs w:val="20"/>
          <w:lang w:eastAsia="bg-BG"/>
        </w:rPr>
      </w:pPr>
    </w:p>
    <w:p w14:paraId="5A03A864" w14:textId="13C58450" w:rsidR="00BC73CC" w:rsidRPr="004A1A60" w:rsidRDefault="00BC73CC" w:rsidP="00BC73CC">
      <w:pPr>
        <w:spacing w:line="240" w:lineRule="auto"/>
        <w:rPr>
          <w:rFonts w:eastAsia="Times New Roman" w:cs="Arial"/>
          <w:sz w:val="28"/>
          <w:szCs w:val="24"/>
        </w:rPr>
      </w:pPr>
      <w:r w:rsidRPr="004A1A60">
        <w:rPr>
          <w:rFonts w:eastAsia="Times New Roman" w:cs="Arial"/>
          <w:i/>
          <w:iCs/>
          <w:color w:val="000000"/>
          <w:szCs w:val="20"/>
          <w:lang w:eastAsia="bg-BG"/>
        </w:rPr>
        <w:t>Старческа възраст (65 години или повече)</w:t>
      </w:r>
    </w:p>
    <w:p w14:paraId="595FFC49" w14:textId="77777777" w:rsidR="00BC73CC" w:rsidRPr="004A1A60" w:rsidRDefault="00BC73CC" w:rsidP="00BC73CC">
      <w:pPr>
        <w:spacing w:line="240" w:lineRule="auto"/>
        <w:rPr>
          <w:rFonts w:eastAsia="Times New Roman" w:cs="Arial"/>
          <w:sz w:val="28"/>
          <w:szCs w:val="24"/>
        </w:rPr>
      </w:pPr>
      <w:r w:rsidRPr="004A1A60">
        <w:rPr>
          <w:rFonts w:eastAsia="Times New Roman" w:cs="Arial"/>
          <w:color w:val="000000"/>
          <w:szCs w:val="20"/>
          <w:lang w:eastAsia="bg-BG"/>
        </w:rPr>
        <w:t xml:space="preserve">При хипертоници, </w:t>
      </w:r>
      <w:r w:rsidRPr="004A1A60">
        <w:rPr>
          <w:rFonts w:eastAsia="Times New Roman" w:cs="Arial"/>
          <w:color w:val="000000"/>
          <w:szCs w:val="20"/>
        </w:rPr>
        <w:t xml:space="preserve">AUC </w:t>
      </w:r>
      <w:r w:rsidRPr="004A1A60">
        <w:rPr>
          <w:rFonts w:eastAsia="Times New Roman" w:cs="Arial"/>
          <w:color w:val="000000"/>
          <w:szCs w:val="20"/>
          <w:lang w:eastAsia="bg-BG"/>
        </w:rPr>
        <w:t>в стационарно състояние се увеличава с около 35% при хора в старческа възраст (65-75 години) и с около 44% при много възрастни хора (≥75 години), в сравнение с по-млади пациенти. Това може да е поне отчасти свързано със средното намаление на бъбречната функция при тези пациенти.</w:t>
      </w:r>
    </w:p>
    <w:p w14:paraId="76305283" w14:textId="77777777" w:rsidR="00BC73CC" w:rsidRPr="004A1A60" w:rsidRDefault="00BC73CC" w:rsidP="00BC73CC">
      <w:pPr>
        <w:spacing w:line="240" w:lineRule="auto"/>
        <w:rPr>
          <w:rFonts w:eastAsia="Times New Roman" w:cs="Arial"/>
          <w:i/>
          <w:iCs/>
          <w:color w:val="000000"/>
          <w:szCs w:val="20"/>
          <w:lang w:eastAsia="bg-BG"/>
        </w:rPr>
      </w:pPr>
    </w:p>
    <w:p w14:paraId="525E754E" w14:textId="346A89AC" w:rsidR="00BC73CC" w:rsidRPr="004A1A60" w:rsidRDefault="00BC73CC" w:rsidP="00BC73CC">
      <w:pPr>
        <w:spacing w:line="240" w:lineRule="auto"/>
        <w:rPr>
          <w:rFonts w:eastAsia="Times New Roman" w:cs="Arial"/>
          <w:sz w:val="28"/>
          <w:szCs w:val="24"/>
        </w:rPr>
      </w:pPr>
      <w:r w:rsidRPr="004A1A60">
        <w:rPr>
          <w:rFonts w:eastAsia="Times New Roman" w:cs="Arial"/>
          <w:i/>
          <w:iCs/>
          <w:color w:val="000000"/>
          <w:szCs w:val="20"/>
          <w:lang w:eastAsia="bg-BG"/>
        </w:rPr>
        <w:t>Бъбречно увреждане</w:t>
      </w:r>
    </w:p>
    <w:p w14:paraId="0CC703B0" w14:textId="77777777" w:rsidR="00BC73CC" w:rsidRPr="004A1A60" w:rsidRDefault="00BC73CC" w:rsidP="00BC73CC">
      <w:pPr>
        <w:spacing w:line="240" w:lineRule="auto"/>
        <w:rPr>
          <w:rFonts w:eastAsia="Times New Roman" w:cs="Arial"/>
          <w:sz w:val="28"/>
          <w:szCs w:val="24"/>
        </w:rPr>
      </w:pPr>
      <w:r w:rsidRPr="004A1A60">
        <w:rPr>
          <w:rFonts w:eastAsia="Times New Roman" w:cs="Arial"/>
          <w:color w:val="000000"/>
          <w:szCs w:val="20"/>
          <w:lang w:eastAsia="bg-BG"/>
        </w:rPr>
        <w:t xml:space="preserve">При пациенти с бъбречно увреждане, </w:t>
      </w:r>
      <w:r w:rsidRPr="004A1A60">
        <w:rPr>
          <w:rFonts w:eastAsia="Times New Roman" w:cs="Arial"/>
          <w:color w:val="000000"/>
          <w:szCs w:val="20"/>
        </w:rPr>
        <w:t xml:space="preserve">AUC </w:t>
      </w:r>
      <w:r w:rsidRPr="004A1A60">
        <w:rPr>
          <w:rFonts w:eastAsia="Times New Roman" w:cs="Arial"/>
          <w:color w:val="000000"/>
          <w:szCs w:val="20"/>
          <w:lang w:eastAsia="bg-BG"/>
        </w:rPr>
        <w:t>в равновесно състояние се увеличава с 62%, 82% и 179% съответно при пациенти с леко, умерено и тежко нарушена бъбрена функция, съответно сравнени със здрави контроли (вижте точка 4.2, 4.4).</w:t>
      </w:r>
    </w:p>
    <w:p w14:paraId="3F65834A" w14:textId="77777777" w:rsidR="00BC73CC" w:rsidRPr="004A1A60" w:rsidRDefault="00BC73CC" w:rsidP="00BC73CC">
      <w:pPr>
        <w:spacing w:line="240" w:lineRule="auto"/>
        <w:rPr>
          <w:rFonts w:eastAsia="Times New Roman" w:cs="Arial"/>
          <w:i/>
          <w:iCs/>
          <w:color w:val="000000"/>
          <w:szCs w:val="20"/>
          <w:lang w:eastAsia="bg-BG"/>
        </w:rPr>
      </w:pPr>
    </w:p>
    <w:p w14:paraId="49E51BF4" w14:textId="72298F25" w:rsidR="00BC73CC" w:rsidRPr="004A1A60" w:rsidRDefault="00BC73CC" w:rsidP="00BC73CC">
      <w:pPr>
        <w:spacing w:line="240" w:lineRule="auto"/>
        <w:rPr>
          <w:rFonts w:eastAsia="Times New Roman" w:cs="Arial"/>
          <w:sz w:val="28"/>
          <w:szCs w:val="24"/>
        </w:rPr>
      </w:pPr>
      <w:r w:rsidRPr="004A1A60">
        <w:rPr>
          <w:rFonts w:eastAsia="Times New Roman" w:cs="Arial"/>
          <w:i/>
          <w:iCs/>
          <w:color w:val="000000"/>
          <w:szCs w:val="20"/>
          <w:lang w:eastAsia="bg-BG"/>
        </w:rPr>
        <w:t>Чернодробно увреждане</w:t>
      </w:r>
    </w:p>
    <w:p w14:paraId="756E2F23" w14:textId="3ADAAF5E" w:rsidR="00BC73CC" w:rsidRPr="004A1A60" w:rsidRDefault="00BC73CC" w:rsidP="00BC73CC">
      <w:pPr>
        <w:spacing w:line="240" w:lineRule="auto"/>
        <w:rPr>
          <w:rFonts w:eastAsia="Times New Roman" w:cs="Arial"/>
          <w:sz w:val="28"/>
          <w:szCs w:val="24"/>
        </w:rPr>
      </w:pPr>
      <w:r w:rsidRPr="004A1A60">
        <w:rPr>
          <w:rFonts w:eastAsia="Times New Roman" w:cs="Arial"/>
          <w:color w:val="000000"/>
          <w:szCs w:val="20"/>
          <w:lang w:eastAsia="bg-BG"/>
        </w:rPr>
        <w:t xml:space="preserve">След еднократно перорално приложение на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при пациенти с леко до умерено нарушена чернодробна функци</w:t>
      </w:r>
      <w:r w:rsidR="00EF6D45">
        <w:rPr>
          <w:rFonts w:eastAsia="Times New Roman" w:cs="Arial"/>
          <w:color w:val="000000"/>
          <w:szCs w:val="20"/>
          <w:lang w:eastAsia="bg-BG"/>
        </w:rPr>
        <w:t>и</w:t>
      </w:r>
      <w:r w:rsidRPr="004A1A60">
        <w:rPr>
          <w:rFonts w:eastAsia="Times New Roman" w:cs="Arial"/>
          <w:color w:val="000000"/>
          <w:szCs w:val="20"/>
          <w:lang w:eastAsia="bg-BG"/>
        </w:rPr>
        <w:t xml:space="preserve">, </w:t>
      </w:r>
      <w:r w:rsidRPr="004A1A60">
        <w:rPr>
          <w:rFonts w:eastAsia="Times New Roman" w:cs="Arial"/>
          <w:color w:val="000000"/>
          <w:szCs w:val="20"/>
        </w:rPr>
        <w:t xml:space="preserve">AUC </w:t>
      </w:r>
      <w:r w:rsidRPr="004A1A60">
        <w:rPr>
          <w:rFonts w:eastAsia="Times New Roman" w:cs="Arial"/>
          <w:color w:val="000000"/>
          <w:szCs w:val="20"/>
          <w:lang w:eastAsia="bg-BG"/>
        </w:rPr>
        <w:t xml:space="preserve">в равновесно състояние се увеличава с 6%, съответно 65%, в .сравнение със съответните здрави контроли. Два часа след приложение, несвързаният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при здрави индивиди, при пациенти с леко нарушена и при пациенти с умерено нарушена чернодробна функция е съответно 0,26%, 0,34% и 0,41%. При пациенти с умерено чернодробно увреждане, средната </w:t>
      </w:r>
      <w:r w:rsidRPr="004A1A60">
        <w:rPr>
          <w:rFonts w:eastAsia="Times New Roman" w:cs="Arial"/>
          <w:color w:val="000000"/>
          <w:szCs w:val="20"/>
        </w:rPr>
        <w:t xml:space="preserve">AUC </w:t>
      </w:r>
      <w:r w:rsidRPr="004A1A60">
        <w:rPr>
          <w:rFonts w:eastAsia="Times New Roman" w:cs="Arial"/>
          <w:color w:val="000000"/>
          <w:szCs w:val="20"/>
          <w:lang w:eastAsia="bg-BG"/>
        </w:rPr>
        <w:t xml:space="preserve">на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след приложение на многократни дози е също 65% по-висока, в сравнение със съответните здрави контроли. Средните стойности на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С</w:t>
      </w:r>
      <w:r w:rsidRPr="004A1A60">
        <w:rPr>
          <w:rFonts w:eastAsia="Times New Roman" w:cs="Arial"/>
          <w:color w:val="000000"/>
          <w:szCs w:val="20"/>
          <w:vertAlign w:val="subscript"/>
        </w:rPr>
        <w:t>max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на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медоксомил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са сходни при пациенти с чернодробно увреждане или при здрави индивиди.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медоксомил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не е проучван при пациенти с тежко нарушена чернодробна функция (вижте точка 4.2, 4.4).</w:t>
      </w:r>
    </w:p>
    <w:p w14:paraId="75858F8F" w14:textId="77777777" w:rsidR="00BC73CC" w:rsidRPr="004A1A60" w:rsidRDefault="00BC73CC" w:rsidP="00BC73CC">
      <w:pPr>
        <w:spacing w:line="240" w:lineRule="auto"/>
        <w:rPr>
          <w:rFonts w:eastAsia="Times New Roman" w:cs="Arial"/>
          <w:b/>
          <w:bCs/>
          <w:color w:val="000000"/>
          <w:szCs w:val="20"/>
          <w:lang w:eastAsia="bg-BG"/>
        </w:rPr>
      </w:pPr>
    </w:p>
    <w:p w14:paraId="1F134734" w14:textId="36DA7349" w:rsidR="00BC73CC" w:rsidRPr="004A1A60" w:rsidRDefault="00BC73CC" w:rsidP="00BC73CC">
      <w:pPr>
        <w:spacing w:line="240" w:lineRule="auto"/>
        <w:rPr>
          <w:rFonts w:eastAsia="Times New Roman" w:cs="Arial"/>
          <w:sz w:val="28"/>
          <w:szCs w:val="24"/>
        </w:rPr>
      </w:pPr>
      <w:r w:rsidRPr="004A1A60">
        <w:rPr>
          <w:rFonts w:eastAsia="Times New Roman" w:cs="Arial"/>
          <w:b/>
          <w:bCs/>
          <w:color w:val="000000"/>
          <w:szCs w:val="20"/>
          <w:lang w:eastAsia="bg-BG"/>
        </w:rPr>
        <w:t>Лекарствени взаимодействия</w:t>
      </w:r>
    </w:p>
    <w:p w14:paraId="210EACE2" w14:textId="77777777" w:rsidR="00BC73CC" w:rsidRPr="004A1A60" w:rsidRDefault="00BC73CC" w:rsidP="00BC73CC">
      <w:pPr>
        <w:spacing w:line="240" w:lineRule="auto"/>
        <w:rPr>
          <w:rFonts w:eastAsia="Times New Roman" w:cs="Arial"/>
          <w:i/>
          <w:iCs/>
          <w:color w:val="000000"/>
          <w:szCs w:val="20"/>
          <w:lang w:eastAsia="bg-BG"/>
        </w:rPr>
      </w:pPr>
    </w:p>
    <w:p w14:paraId="419F6889" w14:textId="1FE14B33" w:rsidR="00BC73CC" w:rsidRPr="004A1A60" w:rsidRDefault="00BC73CC" w:rsidP="00BC73CC">
      <w:pPr>
        <w:spacing w:line="240" w:lineRule="auto"/>
        <w:rPr>
          <w:rFonts w:eastAsia="Times New Roman" w:cs="Arial"/>
          <w:sz w:val="28"/>
          <w:szCs w:val="24"/>
        </w:rPr>
      </w:pPr>
      <w:proofErr w:type="spellStart"/>
      <w:r w:rsidRPr="004A1A60">
        <w:rPr>
          <w:rFonts w:eastAsia="Times New Roman" w:cs="Arial"/>
          <w:i/>
          <w:iCs/>
          <w:color w:val="000000"/>
          <w:szCs w:val="20"/>
          <w:lang w:eastAsia="bg-BG"/>
        </w:rPr>
        <w:lastRenderedPageBreak/>
        <w:t>Колесевелам</w:t>
      </w:r>
      <w:proofErr w:type="spellEnd"/>
      <w:r w:rsidRPr="004A1A60">
        <w:rPr>
          <w:rFonts w:eastAsia="Times New Roman" w:cs="Arial"/>
          <w:i/>
          <w:iCs/>
          <w:color w:val="000000"/>
          <w:szCs w:val="20"/>
          <w:lang w:eastAsia="bg-BG"/>
        </w:rPr>
        <w:t>, лекарство, което свързва жлъчните киселини</w:t>
      </w:r>
    </w:p>
    <w:p w14:paraId="542C8694" w14:textId="728684A2" w:rsidR="00BC73CC" w:rsidRPr="004A1A60" w:rsidRDefault="00BC73CC" w:rsidP="00BC73CC">
      <w:pPr>
        <w:rPr>
          <w:rFonts w:eastAsia="Times New Roman" w:cs="Arial"/>
          <w:color w:val="000000"/>
          <w:szCs w:val="20"/>
          <w:lang w:eastAsia="bg-BG"/>
        </w:rPr>
      </w:pP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Едновременото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приложение на 40 </w:t>
      </w:r>
      <w:proofErr w:type="spellStart"/>
      <w:r w:rsidRPr="004A1A60">
        <w:rPr>
          <w:rFonts w:eastAsia="Times New Roman" w:cs="Arial"/>
          <w:color w:val="000000"/>
          <w:szCs w:val="20"/>
        </w:rPr>
        <w:t>mg</w:t>
      </w:r>
      <w:proofErr w:type="spellEnd"/>
      <w:r w:rsidRPr="004A1A60">
        <w:rPr>
          <w:rFonts w:eastAsia="Times New Roman" w:cs="Arial"/>
          <w:color w:val="000000"/>
          <w:szCs w:val="20"/>
        </w:rPr>
        <w:t xml:space="preserve">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медоксомил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и 3750 </w:t>
      </w:r>
      <w:proofErr w:type="spellStart"/>
      <w:r w:rsidRPr="004A1A60">
        <w:rPr>
          <w:rFonts w:eastAsia="Times New Roman" w:cs="Arial"/>
          <w:color w:val="000000"/>
          <w:szCs w:val="20"/>
        </w:rPr>
        <w:t>mg</w:t>
      </w:r>
      <w:proofErr w:type="spellEnd"/>
      <w:r w:rsidRPr="004A1A60">
        <w:rPr>
          <w:rFonts w:eastAsia="Times New Roman" w:cs="Arial"/>
          <w:color w:val="000000"/>
          <w:szCs w:val="20"/>
        </w:rPr>
        <w:t xml:space="preserve">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колесевелам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хидрохлорид при здрави лица води до 28% намаляване на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С</w:t>
      </w:r>
      <w:r w:rsidRPr="004A1A60">
        <w:rPr>
          <w:rFonts w:eastAsia="Times New Roman" w:cs="Arial"/>
          <w:color w:val="000000"/>
          <w:szCs w:val="20"/>
          <w:vertAlign w:val="subscript"/>
        </w:rPr>
        <w:t>max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и 39% намаляване на </w:t>
      </w:r>
      <w:r w:rsidRPr="004A1A60">
        <w:rPr>
          <w:rFonts w:eastAsia="Times New Roman" w:cs="Arial"/>
          <w:color w:val="000000"/>
          <w:szCs w:val="20"/>
        </w:rPr>
        <w:t xml:space="preserve">AUC </w:t>
      </w:r>
      <w:r w:rsidRPr="004A1A60">
        <w:rPr>
          <w:rFonts w:eastAsia="Times New Roman" w:cs="Arial"/>
          <w:color w:val="000000"/>
          <w:szCs w:val="20"/>
          <w:lang w:eastAsia="bg-BG"/>
        </w:rPr>
        <w:t xml:space="preserve">на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. По-слаб ефект се наблюдава, съответно 4% и 15% намаляване на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С</w:t>
      </w:r>
      <w:r w:rsidRPr="004A1A60">
        <w:rPr>
          <w:rFonts w:eastAsia="Times New Roman" w:cs="Arial"/>
          <w:color w:val="000000"/>
          <w:szCs w:val="20"/>
          <w:vertAlign w:val="subscript"/>
        </w:rPr>
        <w:t>max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и </w:t>
      </w:r>
      <w:r w:rsidRPr="004A1A60">
        <w:rPr>
          <w:rFonts w:eastAsia="Times New Roman" w:cs="Arial"/>
          <w:color w:val="000000"/>
          <w:szCs w:val="20"/>
        </w:rPr>
        <w:t xml:space="preserve">AUC, </w:t>
      </w:r>
      <w:r w:rsidRPr="004A1A60">
        <w:rPr>
          <w:rFonts w:eastAsia="Times New Roman" w:cs="Arial"/>
          <w:color w:val="000000"/>
          <w:szCs w:val="20"/>
          <w:lang w:eastAsia="bg-BG"/>
        </w:rPr>
        <w:t xml:space="preserve">ако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медоксомил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се приложи 4 часа преди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колесевелам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хидрохлорид. Елиминационният полуживот на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намалява с около 50-52% независимо дали е приложен едновремен</w:t>
      </w:r>
      <w:r w:rsidR="00EF6D45">
        <w:rPr>
          <w:rFonts w:eastAsia="Times New Roman" w:cs="Arial"/>
          <w:color w:val="000000"/>
          <w:szCs w:val="20"/>
          <w:lang w:eastAsia="bg-BG"/>
        </w:rPr>
        <w:t>н</w:t>
      </w:r>
      <w:r w:rsidRPr="004A1A60">
        <w:rPr>
          <w:rFonts w:eastAsia="Times New Roman" w:cs="Arial"/>
          <w:color w:val="000000"/>
          <w:szCs w:val="20"/>
          <w:lang w:eastAsia="bg-BG"/>
        </w:rPr>
        <w:t xml:space="preserve">о или 4 часа преди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колесевелам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хидрохлорид (вижте точка 4.5).</w:t>
      </w:r>
    </w:p>
    <w:p w14:paraId="6420C471" w14:textId="77777777" w:rsidR="00BC73CC" w:rsidRPr="004A1A60" w:rsidRDefault="00BC73CC" w:rsidP="00BC73CC">
      <w:pPr>
        <w:rPr>
          <w:rFonts w:cs="Arial"/>
          <w:sz w:val="24"/>
        </w:rPr>
      </w:pPr>
    </w:p>
    <w:p w14:paraId="4F31844C" w14:textId="581D1D08" w:rsidR="00875EEC" w:rsidRPr="004A1A60" w:rsidRDefault="002C50EE" w:rsidP="005726E3">
      <w:pPr>
        <w:pStyle w:val="Heading2"/>
      </w:pPr>
      <w:r w:rsidRPr="004A1A60">
        <w:t>5.3. Предклинични данни за безопасност</w:t>
      </w:r>
    </w:p>
    <w:p w14:paraId="6FEFB104" w14:textId="5966E2FC" w:rsidR="00BC73CC" w:rsidRPr="004A1A60" w:rsidRDefault="00BC73CC" w:rsidP="00BC73CC"/>
    <w:p w14:paraId="52BBE254" w14:textId="783F277A" w:rsidR="00BC73CC" w:rsidRPr="004A1A60" w:rsidRDefault="00BC73CC" w:rsidP="00BC73CC">
      <w:pPr>
        <w:rPr>
          <w:rFonts w:eastAsia="Times New Roman" w:cs="Arial"/>
          <w:color w:val="000000"/>
          <w:szCs w:val="20"/>
          <w:lang w:eastAsia="bg-BG"/>
        </w:rPr>
      </w:pPr>
      <w:r w:rsidRPr="004A1A60">
        <w:rPr>
          <w:rFonts w:cs="Arial"/>
          <w:szCs w:val="20"/>
        </w:rPr>
        <w:t xml:space="preserve">При изпитвания за хронична токсичност при плъхове и кучета, </w:t>
      </w:r>
      <w:proofErr w:type="spellStart"/>
      <w:r w:rsidRPr="004A1A60">
        <w:rPr>
          <w:rFonts w:cs="Arial"/>
          <w:szCs w:val="20"/>
        </w:rPr>
        <w:t>олмесартан</w:t>
      </w:r>
      <w:proofErr w:type="spellEnd"/>
      <w:r w:rsidRPr="004A1A60">
        <w:rPr>
          <w:rFonts w:cs="Arial"/>
          <w:szCs w:val="20"/>
        </w:rPr>
        <w:t xml:space="preserve"> </w:t>
      </w:r>
      <w:proofErr w:type="spellStart"/>
      <w:r w:rsidRPr="004A1A60">
        <w:rPr>
          <w:rFonts w:cs="Arial"/>
          <w:szCs w:val="20"/>
        </w:rPr>
        <w:t>медоксомил</w:t>
      </w:r>
      <w:proofErr w:type="spellEnd"/>
      <w:r w:rsidRPr="004A1A60">
        <w:rPr>
          <w:rFonts w:cs="Arial"/>
          <w:szCs w:val="20"/>
        </w:rPr>
        <w:t xml:space="preserve"> демонстрира подобен ефект като другите AT</w:t>
      </w:r>
      <w:r w:rsidRPr="004A1A60">
        <w:rPr>
          <w:rFonts w:cs="Arial"/>
          <w:szCs w:val="20"/>
          <w:vertAlign w:val="subscript"/>
        </w:rPr>
        <w:t>1</w:t>
      </w:r>
      <w:r w:rsidRPr="004A1A60">
        <w:rPr>
          <w:rFonts w:cs="Arial"/>
          <w:szCs w:val="20"/>
        </w:rPr>
        <w:t xml:space="preserve"> рецепторни антагонисти и АСЕ-инхибитори:</w:t>
      </w:r>
      <w:r w:rsidRPr="004A1A60">
        <w:rPr>
          <w:rFonts w:cs="Arial"/>
          <w:szCs w:val="20"/>
          <w:u w:val="single"/>
        </w:rPr>
        <w:t xml:space="preserve"> </w:t>
      </w:r>
      <w:r w:rsidRPr="004A1A60">
        <w:rPr>
          <w:rFonts w:cs="Arial"/>
          <w:szCs w:val="20"/>
        </w:rPr>
        <w:t xml:space="preserve">повишени урея и </w:t>
      </w:r>
      <w:proofErr w:type="spellStart"/>
      <w:r w:rsidRPr="004A1A60">
        <w:rPr>
          <w:rFonts w:cs="Arial"/>
          <w:szCs w:val="20"/>
        </w:rPr>
        <w:t>креатинин</w:t>
      </w:r>
      <w:proofErr w:type="spellEnd"/>
      <w:r w:rsidRPr="004A1A60">
        <w:rPr>
          <w:rFonts w:cs="Arial"/>
          <w:szCs w:val="20"/>
        </w:rPr>
        <w:t xml:space="preserve"> в кръвта (поради функционални промени в бъбреците поради блокирането на AT</w:t>
      </w:r>
      <w:r w:rsidRPr="004A1A60">
        <w:rPr>
          <w:rFonts w:cs="Arial"/>
          <w:szCs w:val="20"/>
          <w:vertAlign w:val="subscript"/>
        </w:rPr>
        <w:t>1</w:t>
      </w:r>
      <w:r w:rsidRPr="004A1A60">
        <w:rPr>
          <w:rFonts w:cs="Arial"/>
          <w:szCs w:val="20"/>
        </w:rPr>
        <w:t xml:space="preserve">-рецепторите); намаление на сърдечната маса; понижение на параметрите на червените кръвни клетки (понижение на </w:t>
      </w:r>
      <w:proofErr w:type="spellStart"/>
      <w:r w:rsidRPr="004A1A60">
        <w:rPr>
          <w:rFonts w:cs="Arial"/>
          <w:szCs w:val="20"/>
        </w:rPr>
        <w:t>еритроцитния</w:t>
      </w:r>
      <w:proofErr w:type="spellEnd"/>
      <w:r w:rsidR="0077607C">
        <w:rPr>
          <w:rFonts w:cs="Arial"/>
          <w:szCs w:val="20"/>
        </w:rPr>
        <w:t xml:space="preserve"> </w:t>
      </w:r>
      <w:r w:rsidRPr="004A1A60">
        <w:rPr>
          <w:rFonts w:cs="Arial"/>
          <w:szCs w:val="20"/>
        </w:rPr>
        <w:t xml:space="preserve">брой, хемоглобина и хематокрита); хистологични данни за бъбречно увреждане (регенеративни лезии на бъбречния епител, удебеляване на </w:t>
      </w:r>
      <w:proofErr w:type="spellStart"/>
      <w:r w:rsidRPr="004A1A60">
        <w:rPr>
          <w:rFonts w:cs="Arial"/>
          <w:szCs w:val="20"/>
        </w:rPr>
        <w:t>базалните</w:t>
      </w:r>
      <w:proofErr w:type="spellEnd"/>
      <w:r w:rsidRPr="004A1A60">
        <w:rPr>
          <w:rFonts w:cs="Arial"/>
          <w:szCs w:val="20"/>
        </w:rPr>
        <w:t xml:space="preserve"> мембрани, </w:t>
      </w:r>
      <w:proofErr w:type="spellStart"/>
      <w:r w:rsidRPr="004A1A60">
        <w:rPr>
          <w:rFonts w:cs="Arial"/>
          <w:szCs w:val="20"/>
        </w:rPr>
        <w:t>дилатация</w:t>
      </w:r>
      <w:proofErr w:type="spellEnd"/>
      <w:r w:rsidRPr="004A1A60">
        <w:rPr>
          <w:rFonts w:cs="Arial"/>
          <w:szCs w:val="20"/>
        </w:rPr>
        <w:t xml:space="preserve"> на </w:t>
      </w:r>
      <w:proofErr w:type="spellStart"/>
      <w:r w:rsidRPr="004A1A60">
        <w:rPr>
          <w:rFonts w:cs="Arial"/>
          <w:szCs w:val="20"/>
        </w:rPr>
        <w:t>тубулите</w:t>
      </w:r>
      <w:proofErr w:type="spellEnd"/>
      <w:r w:rsidRPr="004A1A60">
        <w:rPr>
          <w:rFonts w:cs="Arial"/>
          <w:szCs w:val="20"/>
        </w:rPr>
        <w:t xml:space="preserve">). Тези нежелани ефекти, предизвикани от фармакологичното действие на </w:t>
      </w:r>
      <w:proofErr w:type="spellStart"/>
      <w:r w:rsidRPr="004A1A60">
        <w:rPr>
          <w:rFonts w:cs="Arial"/>
          <w:szCs w:val="20"/>
        </w:rPr>
        <w:t>олмесартан</w:t>
      </w:r>
      <w:proofErr w:type="spellEnd"/>
      <w:r w:rsidRPr="004A1A60">
        <w:rPr>
          <w:rFonts w:cs="Arial"/>
          <w:szCs w:val="20"/>
        </w:rPr>
        <w:t xml:space="preserve"> </w:t>
      </w:r>
      <w:proofErr w:type="spellStart"/>
      <w:r w:rsidRPr="004A1A60">
        <w:rPr>
          <w:rFonts w:cs="Arial"/>
          <w:szCs w:val="20"/>
        </w:rPr>
        <w:t>медоксомил</w:t>
      </w:r>
      <w:proofErr w:type="spellEnd"/>
      <w:r w:rsidRPr="004A1A60">
        <w:rPr>
          <w:rFonts w:cs="Arial"/>
          <w:szCs w:val="20"/>
        </w:rPr>
        <w:t xml:space="preserve">, са наблюдавани и в </w:t>
      </w:r>
      <w:r w:rsidRPr="004A1A60">
        <w:rPr>
          <w:rFonts w:eastAsia="Times New Roman" w:cs="Arial"/>
          <w:color w:val="000000"/>
          <w:szCs w:val="20"/>
          <w:lang w:eastAsia="bg-BG"/>
        </w:rPr>
        <w:t xml:space="preserve">предклинични проучвания за други </w:t>
      </w:r>
      <w:r w:rsidRPr="004A1A60">
        <w:rPr>
          <w:rFonts w:eastAsia="Times New Roman" w:cs="Arial"/>
          <w:color w:val="000000"/>
          <w:szCs w:val="20"/>
        </w:rPr>
        <w:t>AT</w:t>
      </w:r>
      <w:r w:rsidRPr="004A1A60">
        <w:rPr>
          <w:rFonts w:eastAsia="Times New Roman" w:cs="Arial"/>
          <w:color w:val="000000"/>
          <w:szCs w:val="20"/>
          <w:vertAlign w:val="subscript"/>
        </w:rPr>
        <w:t>1</w:t>
      </w:r>
      <w:r w:rsidRPr="004A1A60">
        <w:rPr>
          <w:rFonts w:eastAsia="Times New Roman" w:cs="Arial"/>
          <w:color w:val="000000"/>
          <w:szCs w:val="20"/>
          <w:lang w:eastAsia="bg-BG"/>
        </w:rPr>
        <w:t xml:space="preserve">-рецепторни антагонисти и АСЕ-инхибитори и може да се редуцират </w:t>
      </w:r>
    </w:p>
    <w:p w14:paraId="5532721B" w14:textId="101362A4" w:rsidR="00BC73CC" w:rsidRPr="004A1A60" w:rsidRDefault="00BC73CC" w:rsidP="00BC73CC">
      <w:pPr>
        <w:rPr>
          <w:rFonts w:eastAsia="Times New Roman" w:cs="Arial"/>
          <w:sz w:val="28"/>
          <w:szCs w:val="24"/>
        </w:rPr>
      </w:pPr>
      <w:r w:rsidRPr="004A1A60">
        <w:rPr>
          <w:rFonts w:eastAsia="Times New Roman" w:cs="Arial"/>
          <w:color w:val="000000"/>
          <w:szCs w:val="20"/>
          <w:lang w:eastAsia="bg-BG"/>
        </w:rPr>
        <w:t>с едновременно приложение на натриев хлорид.</w:t>
      </w:r>
    </w:p>
    <w:p w14:paraId="029E9F03" w14:textId="77777777" w:rsidR="00BC73CC" w:rsidRPr="004A1A60" w:rsidRDefault="00BC73CC" w:rsidP="00BC73CC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0B504948" w14:textId="0CE68590" w:rsidR="00BC73CC" w:rsidRPr="004A1A60" w:rsidRDefault="00BC73CC" w:rsidP="00BC73CC">
      <w:pPr>
        <w:spacing w:line="240" w:lineRule="auto"/>
        <w:rPr>
          <w:rFonts w:eastAsia="Times New Roman" w:cs="Arial"/>
          <w:sz w:val="28"/>
          <w:szCs w:val="24"/>
        </w:rPr>
      </w:pPr>
      <w:r w:rsidRPr="004A1A60">
        <w:rPr>
          <w:rFonts w:eastAsia="Times New Roman" w:cs="Arial"/>
          <w:color w:val="000000"/>
          <w:szCs w:val="20"/>
          <w:lang w:eastAsia="bg-BG"/>
        </w:rPr>
        <w:t xml:space="preserve">И при двата вида се наблюдава увеличение на плазмената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ренинова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активност и хипертрофия/хиперплазия на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юкстагломеруларния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апарат на бъбрека. Тези ефекти, които са типични за АСЕ-инхибиторите и </w:t>
      </w:r>
      <w:r w:rsidRPr="004A1A60">
        <w:rPr>
          <w:rFonts w:eastAsia="Times New Roman" w:cs="Arial"/>
          <w:color w:val="000000"/>
          <w:szCs w:val="20"/>
        </w:rPr>
        <w:t>AT</w:t>
      </w:r>
      <w:r w:rsidRPr="004A1A60">
        <w:rPr>
          <w:rFonts w:eastAsia="Times New Roman" w:cs="Arial"/>
          <w:color w:val="000000"/>
          <w:szCs w:val="20"/>
          <w:vertAlign w:val="subscript"/>
        </w:rPr>
        <w:t>1</w:t>
      </w:r>
      <w:r w:rsidRPr="004A1A60">
        <w:rPr>
          <w:rFonts w:eastAsia="Times New Roman" w:cs="Arial"/>
          <w:color w:val="000000"/>
          <w:szCs w:val="20"/>
          <w:lang w:eastAsia="bg-BG"/>
        </w:rPr>
        <w:t>-рецепторните антагонисти, не показват клинична значимост.</w:t>
      </w:r>
    </w:p>
    <w:p w14:paraId="2CB1FA67" w14:textId="77777777" w:rsidR="00BC73CC" w:rsidRPr="004A1A60" w:rsidRDefault="00BC73CC" w:rsidP="00BC73CC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22180FF9" w14:textId="1A46E453" w:rsidR="00BC73CC" w:rsidRPr="004A1A60" w:rsidRDefault="00BC73CC" w:rsidP="00BC73CC">
      <w:pPr>
        <w:spacing w:line="240" w:lineRule="auto"/>
        <w:rPr>
          <w:rFonts w:eastAsia="Times New Roman" w:cs="Arial"/>
          <w:sz w:val="28"/>
          <w:szCs w:val="24"/>
        </w:rPr>
      </w:pPr>
      <w:r w:rsidRPr="004A1A60">
        <w:rPr>
          <w:rFonts w:eastAsia="Times New Roman" w:cs="Arial"/>
          <w:color w:val="000000"/>
          <w:szCs w:val="20"/>
          <w:lang w:eastAsia="bg-BG"/>
        </w:rPr>
        <w:t>Подобно на други АТ</w:t>
      </w:r>
      <w:r w:rsidRPr="004A1A60">
        <w:rPr>
          <w:rFonts w:eastAsia="Times New Roman" w:cs="Arial"/>
          <w:color w:val="000000"/>
          <w:szCs w:val="20"/>
          <w:vertAlign w:val="subscript"/>
          <w:lang w:eastAsia="bg-BG"/>
        </w:rPr>
        <w:t>1</w:t>
      </w:r>
      <w:r w:rsidRPr="004A1A60">
        <w:rPr>
          <w:rFonts w:eastAsia="Times New Roman" w:cs="Arial"/>
          <w:color w:val="000000"/>
          <w:szCs w:val="20"/>
          <w:lang w:eastAsia="bg-BG"/>
        </w:rPr>
        <w:t xml:space="preserve">-рецепторни антагонисти,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медоксомил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повишава честотата на хромозомната чупливост в клетъчни култури </w:t>
      </w:r>
      <w:proofErr w:type="spellStart"/>
      <w:r w:rsidRPr="004A1A60">
        <w:rPr>
          <w:rFonts w:eastAsia="Times New Roman" w:cs="Arial"/>
          <w:color w:val="000000"/>
          <w:szCs w:val="20"/>
        </w:rPr>
        <w:t>in</w:t>
      </w:r>
      <w:proofErr w:type="spellEnd"/>
      <w:r w:rsidRPr="004A1A60">
        <w:rPr>
          <w:rFonts w:eastAsia="Times New Roman" w:cs="Arial"/>
          <w:color w:val="000000"/>
          <w:szCs w:val="20"/>
        </w:rPr>
        <w:t xml:space="preserve"> </w:t>
      </w:r>
      <w:proofErr w:type="spellStart"/>
      <w:r w:rsidRPr="004A1A60">
        <w:rPr>
          <w:rFonts w:eastAsia="Times New Roman" w:cs="Arial"/>
          <w:color w:val="000000"/>
          <w:szCs w:val="20"/>
        </w:rPr>
        <w:t>vitro</w:t>
      </w:r>
      <w:proofErr w:type="spellEnd"/>
      <w:r w:rsidRPr="004A1A60">
        <w:rPr>
          <w:rFonts w:eastAsia="Times New Roman" w:cs="Arial"/>
          <w:color w:val="000000"/>
          <w:szCs w:val="20"/>
        </w:rPr>
        <w:t xml:space="preserve">. </w:t>
      </w:r>
      <w:r w:rsidRPr="004A1A60">
        <w:rPr>
          <w:rFonts w:eastAsia="Times New Roman" w:cs="Arial"/>
          <w:color w:val="000000"/>
          <w:szCs w:val="20"/>
          <w:lang w:eastAsia="bg-BG"/>
        </w:rPr>
        <w:t xml:space="preserve">Не се наблюдават значими ефекти в няколко </w:t>
      </w:r>
      <w:proofErr w:type="spellStart"/>
      <w:r w:rsidRPr="004A1A60">
        <w:rPr>
          <w:rFonts w:eastAsia="Times New Roman" w:cs="Arial"/>
          <w:i/>
          <w:iCs/>
          <w:color w:val="000000"/>
          <w:szCs w:val="20"/>
        </w:rPr>
        <w:t>in</w:t>
      </w:r>
      <w:proofErr w:type="spellEnd"/>
      <w:r w:rsidRPr="004A1A60">
        <w:rPr>
          <w:rFonts w:eastAsia="Times New Roman" w:cs="Arial"/>
          <w:i/>
          <w:iCs/>
          <w:color w:val="000000"/>
          <w:szCs w:val="20"/>
        </w:rPr>
        <w:t xml:space="preserve"> </w:t>
      </w:r>
      <w:proofErr w:type="spellStart"/>
      <w:r w:rsidRPr="004A1A60">
        <w:rPr>
          <w:rFonts w:eastAsia="Times New Roman" w:cs="Arial"/>
          <w:i/>
          <w:iCs/>
          <w:color w:val="000000"/>
          <w:szCs w:val="20"/>
        </w:rPr>
        <w:t>vivo</w:t>
      </w:r>
      <w:proofErr w:type="spellEnd"/>
      <w:r w:rsidRPr="004A1A60">
        <w:rPr>
          <w:rFonts w:eastAsia="Times New Roman" w:cs="Arial"/>
          <w:color w:val="000000"/>
          <w:szCs w:val="20"/>
        </w:rPr>
        <w:t xml:space="preserve"> </w:t>
      </w:r>
      <w:r w:rsidRPr="004A1A60">
        <w:rPr>
          <w:rFonts w:eastAsia="Times New Roman" w:cs="Arial"/>
          <w:color w:val="000000"/>
          <w:szCs w:val="20"/>
          <w:lang w:eastAsia="bg-BG"/>
        </w:rPr>
        <w:t xml:space="preserve">проучвания с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медоксомил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в много високи дози до 2000 </w:t>
      </w:r>
      <w:proofErr w:type="spellStart"/>
      <w:r w:rsidRPr="004A1A60">
        <w:rPr>
          <w:rFonts w:eastAsia="Times New Roman" w:cs="Arial"/>
          <w:color w:val="000000"/>
          <w:szCs w:val="20"/>
        </w:rPr>
        <w:t>mg</w:t>
      </w:r>
      <w:proofErr w:type="spellEnd"/>
      <w:r w:rsidRPr="004A1A60">
        <w:rPr>
          <w:rFonts w:eastAsia="Times New Roman" w:cs="Arial"/>
          <w:color w:val="000000"/>
          <w:szCs w:val="20"/>
        </w:rPr>
        <w:t>/</w:t>
      </w:r>
      <w:proofErr w:type="spellStart"/>
      <w:r w:rsidRPr="004A1A60">
        <w:rPr>
          <w:rFonts w:eastAsia="Times New Roman" w:cs="Arial"/>
          <w:color w:val="000000"/>
          <w:szCs w:val="20"/>
        </w:rPr>
        <w:t>kg</w:t>
      </w:r>
      <w:proofErr w:type="spellEnd"/>
      <w:r w:rsidRPr="004A1A60">
        <w:rPr>
          <w:rFonts w:eastAsia="Times New Roman" w:cs="Arial"/>
          <w:color w:val="000000"/>
          <w:szCs w:val="20"/>
        </w:rPr>
        <w:t>.</w:t>
      </w:r>
    </w:p>
    <w:p w14:paraId="10297B82" w14:textId="77777777" w:rsidR="00BC73CC" w:rsidRPr="004A1A60" w:rsidRDefault="00BC73CC" w:rsidP="00BC73CC">
      <w:pPr>
        <w:spacing w:line="240" w:lineRule="auto"/>
        <w:rPr>
          <w:rFonts w:eastAsia="Times New Roman" w:cs="Arial"/>
          <w:sz w:val="28"/>
          <w:szCs w:val="24"/>
        </w:rPr>
      </w:pPr>
      <w:r w:rsidRPr="004A1A60">
        <w:rPr>
          <w:rFonts w:eastAsia="Times New Roman" w:cs="Arial"/>
          <w:color w:val="000000"/>
          <w:szCs w:val="20"/>
          <w:lang w:eastAsia="bg-BG"/>
        </w:rPr>
        <w:t xml:space="preserve">Според общите данни от проучванията за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генотоксичност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е много малко вероятно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медоксомил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да оказва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генотоксичен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ефект при клинично приложение.</w:t>
      </w:r>
    </w:p>
    <w:p w14:paraId="2273D89C" w14:textId="77777777" w:rsidR="00BC73CC" w:rsidRPr="004A1A60" w:rsidRDefault="00BC73CC" w:rsidP="00BC73CC">
      <w:pPr>
        <w:spacing w:line="240" w:lineRule="auto"/>
        <w:rPr>
          <w:rFonts w:eastAsia="Times New Roman" w:cs="Arial"/>
          <w:sz w:val="28"/>
          <w:szCs w:val="24"/>
        </w:rPr>
      </w:pP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медоксомил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не показва канцерогенност нито при 2-годишно проучване при плъхове, нито при две 6-месечни проучвания за канцерогенност при мишки, при използване на трансгенни модели.</w:t>
      </w:r>
    </w:p>
    <w:p w14:paraId="2B209D89" w14:textId="77777777" w:rsidR="00BC73CC" w:rsidRPr="004A1A60" w:rsidRDefault="00BC73CC" w:rsidP="00BC73CC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51499CDB" w14:textId="42E01F61" w:rsidR="00BC73CC" w:rsidRPr="004A1A60" w:rsidRDefault="00BC73CC" w:rsidP="00BC73CC">
      <w:pPr>
        <w:spacing w:line="240" w:lineRule="auto"/>
        <w:rPr>
          <w:rFonts w:eastAsia="Times New Roman" w:cs="Arial"/>
          <w:sz w:val="28"/>
          <w:szCs w:val="24"/>
        </w:rPr>
      </w:pPr>
      <w:r w:rsidRPr="004A1A60">
        <w:rPr>
          <w:rFonts w:eastAsia="Times New Roman" w:cs="Arial"/>
          <w:color w:val="000000"/>
          <w:szCs w:val="20"/>
          <w:lang w:eastAsia="bg-BG"/>
        </w:rPr>
        <w:t xml:space="preserve">В репродуктивни проучвания с плъхове,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медоксомил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не повлиява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фертилитета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и няма доказателства за тератогенен ефект. Подобно на други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ангиотензин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II антагонисти, след експозиция на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медоксомил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, преживяемостта на поколението намалява, а след експозиция на бременни животни в късните стадии на бременността и по време на лактация се наблюдавана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пелвична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дилатация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на бъбрека. Подобно на други антихипертензивни лекарства,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олмесартан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медоксомил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демонстрира по-висока токсичност при бременни зайци, в сравнение с бременни плъхове, но няма данни за </w:t>
      </w:r>
      <w:proofErr w:type="spellStart"/>
      <w:r w:rsidRPr="004A1A60">
        <w:rPr>
          <w:rFonts w:eastAsia="Times New Roman" w:cs="Arial"/>
          <w:color w:val="000000"/>
          <w:szCs w:val="20"/>
          <w:lang w:eastAsia="bg-BG"/>
        </w:rPr>
        <w:t>фетотоксичен</w:t>
      </w:r>
      <w:proofErr w:type="spellEnd"/>
      <w:r w:rsidRPr="004A1A60">
        <w:rPr>
          <w:rFonts w:eastAsia="Times New Roman" w:cs="Arial"/>
          <w:color w:val="000000"/>
          <w:szCs w:val="20"/>
          <w:lang w:eastAsia="bg-BG"/>
        </w:rPr>
        <w:t xml:space="preserve"> ефект.</w:t>
      </w:r>
    </w:p>
    <w:p w14:paraId="5B1EB330" w14:textId="6797156D" w:rsidR="00BC73CC" w:rsidRPr="004A1A60" w:rsidRDefault="00BC73CC" w:rsidP="00BC73CC"/>
    <w:p w14:paraId="357049A8" w14:textId="0A1062E1" w:rsidR="00BB22B4" w:rsidRPr="004A1A60" w:rsidRDefault="002C50EE" w:rsidP="00471F10">
      <w:pPr>
        <w:pStyle w:val="Heading1"/>
      </w:pPr>
      <w:r w:rsidRPr="004A1A60">
        <w:lastRenderedPageBreak/>
        <w:t>7. ПРИТЕЖАТЕЛ НА РАЗРЕШЕНИЕТО ЗА УПОТРЕБА</w:t>
      </w:r>
    </w:p>
    <w:p w14:paraId="31AE091D" w14:textId="7CA059ED" w:rsidR="00BC73CC" w:rsidRPr="004A1A60" w:rsidRDefault="00BC73CC" w:rsidP="00BC73CC"/>
    <w:p w14:paraId="06AD7680" w14:textId="77777777" w:rsidR="00BC73CC" w:rsidRPr="004A1A60" w:rsidRDefault="00BC73CC" w:rsidP="00BC73CC">
      <w:pPr>
        <w:rPr>
          <w:sz w:val="24"/>
          <w:szCs w:val="24"/>
        </w:rPr>
      </w:pPr>
      <w:proofErr w:type="spellStart"/>
      <w:r w:rsidRPr="004A1A60">
        <w:t>Menarini</w:t>
      </w:r>
      <w:proofErr w:type="spellEnd"/>
      <w:r w:rsidRPr="004A1A60">
        <w:t xml:space="preserve"> International </w:t>
      </w:r>
      <w:proofErr w:type="spellStart"/>
      <w:r w:rsidRPr="004A1A60">
        <w:t>Operations</w:t>
      </w:r>
      <w:proofErr w:type="spellEnd"/>
      <w:r w:rsidRPr="004A1A60">
        <w:t xml:space="preserve"> </w:t>
      </w:r>
      <w:proofErr w:type="spellStart"/>
      <w:r w:rsidRPr="004A1A60">
        <w:t>Luxembourg</w:t>
      </w:r>
      <w:proofErr w:type="spellEnd"/>
      <w:r w:rsidRPr="004A1A60">
        <w:t xml:space="preserve"> S.A.,</w:t>
      </w:r>
    </w:p>
    <w:p w14:paraId="773E7AC1" w14:textId="77777777" w:rsidR="00BC73CC" w:rsidRPr="004A1A60" w:rsidRDefault="00BC73CC" w:rsidP="00BC73CC">
      <w:r w:rsidRPr="004A1A60">
        <w:t xml:space="preserve">1, </w:t>
      </w:r>
      <w:proofErr w:type="spellStart"/>
      <w:r w:rsidRPr="004A1A60">
        <w:t>Avenue</w:t>
      </w:r>
      <w:proofErr w:type="spellEnd"/>
      <w:r w:rsidRPr="004A1A60">
        <w:t xml:space="preserve"> </w:t>
      </w:r>
      <w:proofErr w:type="spellStart"/>
      <w:r w:rsidRPr="004A1A60">
        <w:t>de</w:t>
      </w:r>
      <w:proofErr w:type="spellEnd"/>
      <w:r w:rsidRPr="004A1A60">
        <w:t xml:space="preserve"> </w:t>
      </w:r>
      <w:proofErr w:type="spellStart"/>
      <w:r w:rsidRPr="004A1A60">
        <w:t>la</w:t>
      </w:r>
      <w:proofErr w:type="spellEnd"/>
      <w:r w:rsidRPr="004A1A60">
        <w:t xml:space="preserve"> </w:t>
      </w:r>
      <w:proofErr w:type="spellStart"/>
      <w:r w:rsidRPr="004A1A60">
        <w:t>Gare</w:t>
      </w:r>
      <w:proofErr w:type="spellEnd"/>
      <w:r w:rsidRPr="004A1A60">
        <w:t xml:space="preserve">, </w:t>
      </w:r>
    </w:p>
    <w:p w14:paraId="47A7BCD4" w14:textId="0903F0ED" w:rsidR="00BC73CC" w:rsidRPr="004A1A60" w:rsidRDefault="00BC73CC" w:rsidP="00BC73CC">
      <w:pPr>
        <w:rPr>
          <w:sz w:val="24"/>
          <w:szCs w:val="24"/>
        </w:rPr>
      </w:pPr>
      <w:r w:rsidRPr="004A1A60">
        <w:t xml:space="preserve">L-1611, </w:t>
      </w:r>
      <w:r w:rsidRPr="004A1A60">
        <w:rPr>
          <w:lang w:eastAsia="bg-BG"/>
        </w:rPr>
        <w:t>Люксембург</w:t>
      </w:r>
    </w:p>
    <w:p w14:paraId="2EA6C260" w14:textId="77777777" w:rsidR="00BC73CC" w:rsidRPr="004A1A60" w:rsidRDefault="00BC73CC" w:rsidP="00BC73CC"/>
    <w:p w14:paraId="796B2EC6" w14:textId="32F822F8" w:rsidR="00BB22B4" w:rsidRPr="004A1A60" w:rsidRDefault="00936AD0" w:rsidP="00471F10">
      <w:pPr>
        <w:pStyle w:val="Heading1"/>
      </w:pPr>
      <w:r w:rsidRPr="004A1A60">
        <w:t>8.</w:t>
      </w:r>
      <w:r w:rsidR="002C50EE" w:rsidRPr="004A1A60">
        <w:t>НОМЕР НА РАЗРЕШЕНИЕТО ЗА УПОТРЕБА</w:t>
      </w:r>
    </w:p>
    <w:p w14:paraId="74624A73" w14:textId="79CF0D1E" w:rsidR="00BC73CC" w:rsidRPr="004A1A60" w:rsidRDefault="00BC73CC" w:rsidP="00BC73CC"/>
    <w:p w14:paraId="2A8A1FB4" w14:textId="77777777" w:rsidR="00BC73CC" w:rsidRPr="004A1A60" w:rsidRDefault="00BC73CC" w:rsidP="00BC73CC">
      <w:pPr>
        <w:rPr>
          <w:sz w:val="24"/>
          <w:szCs w:val="24"/>
        </w:rPr>
      </w:pPr>
      <w:proofErr w:type="spellStart"/>
      <w:r w:rsidRPr="004A1A60">
        <w:rPr>
          <w:lang w:eastAsia="bg-BG"/>
        </w:rPr>
        <w:t>Тенсар</w:t>
      </w:r>
      <w:proofErr w:type="spellEnd"/>
      <w:r w:rsidRPr="004A1A60">
        <w:rPr>
          <w:lang w:eastAsia="bg-BG"/>
        </w:rPr>
        <w:t xml:space="preserve"> 10 </w:t>
      </w:r>
      <w:proofErr w:type="spellStart"/>
      <w:r w:rsidRPr="004A1A60">
        <w:t>mg</w:t>
      </w:r>
      <w:proofErr w:type="spellEnd"/>
      <w:r w:rsidRPr="004A1A60">
        <w:t xml:space="preserve"> </w:t>
      </w:r>
      <w:r w:rsidRPr="004A1A60">
        <w:rPr>
          <w:lang w:eastAsia="bg-BG"/>
        </w:rPr>
        <w:t>- 20050545</w:t>
      </w:r>
    </w:p>
    <w:p w14:paraId="0FEF13C3" w14:textId="77777777" w:rsidR="00BC73CC" w:rsidRPr="004A1A60" w:rsidRDefault="00BC73CC" w:rsidP="00BC73CC">
      <w:pPr>
        <w:rPr>
          <w:sz w:val="24"/>
          <w:szCs w:val="24"/>
        </w:rPr>
      </w:pPr>
      <w:proofErr w:type="spellStart"/>
      <w:r w:rsidRPr="004A1A60">
        <w:rPr>
          <w:lang w:eastAsia="bg-BG"/>
        </w:rPr>
        <w:t>Тенсар</w:t>
      </w:r>
      <w:proofErr w:type="spellEnd"/>
      <w:r w:rsidRPr="004A1A60">
        <w:rPr>
          <w:lang w:eastAsia="bg-BG"/>
        </w:rPr>
        <w:t xml:space="preserve"> 20 </w:t>
      </w:r>
      <w:proofErr w:type="spellStart"/>
      <w:r w:rsidRPr="004A1A60">
        <w:t>mg</w:t>
      </w:r>
      <w:proofErr w:type="spellEnd"/>
      <w:r w:rsidRPr="004A1A60">
        <w:t xml:space="preserve"> </w:t>
      </w:r>
      <w:r w:rsidRPr="004A1A60">
        <w:rPr>
          <w:lang w:eastAsia="bg-BG"/>
        </w:rPr>
        <w:t>- 20050546</w:t>
      </w:r>
    </w:p>
    <w:p w14:paraId="61D5CB5F" w14:textId="77777777" w:rsidR="00BC73CC" w:rsidRPr="004A1A60" w:rsidRDefault="00BC73CC" w:rsidP="00BC73CC">
      <w:pPr>
        <w:rPr>
          <w:sz w:val="24"/>
          <w:szCs w:val="24"/>
        </w:rPr>
      </w:pPr>
      <w:proofErr w:type="spellStart"/>
      <w:r w:rsidRPr="004A1A60">
        <w:rPr>
          <w:lang w:eastAsia="bg-BG"/>
        </w:rPr>
        <w:t>Тенсар</w:t>
      </w:r>
      <w:proofErr w:type="spellEnd"/>
      <w:r w:rsidRPr="004A1A60">
        <w:rPr>
          <w:lang w:eastAsia="bg-BG"/>
        </w:rPr>
        <w:t xml:space="preserve"> 40 </w:t>
      </w:r>
      <w:proofErr w:type="spellStart"/>
      <w:r w:rsidRPr="004A1A60">
        <w:t>mg</w:t>
      </w:r>
      <w:proofErr w:type="spellEnd"/>
      <w:r w:rsidRPr="004A1A60">
        <w:t xml:space="preserve"> </w:t>
      </w:r>
      <w:r w:rsidRPr="004A1A60">
        <w:rPr>
          <w:lang w:eastAsia="bg-BG"/>
        </w:rPr>
        <w:t>- 20050547</w:t>
      </w:r>
    </w:p>
    <w:p w14:paraId="1737351B" w14:textId="77777777" w:rsidR="00BC73CC" w:rsidRPr="004A1A60" w:rsidRDefault="00BC73CC" w:rsidP="00BC73CC"/>
    <w:p w14:paraId="3715C10B" w14:textId="61E7E9CE" w:rsidR="00BB22B4" w:rsidRPr="004A1A60" w:rsidRDefault="002C50EE" w:rsidP="00471F10">
      <w:pPr>
        <w:pStyle w:val="Heading1"/>
      </w:pPr>
      <w:r w:rsidRPr="004A1A60">
        <w:t>9. ДАТА НА ПЪРВО РАЗРЕШАВАНЕ/ПОДНОВЯВАНЕ НА РАЗРЕШЕНИЕТО ЗА УПОТРЕБА</w:t>
      </w:r>
    </w:p>
    <w:p w14:paraId="19016C10" w14:textId="669B6EB0" w:rsidR="00BC73CC" w:rsidRPr="004A1A60" w:rsidRDefault="00BC73CC" w:rsidP="00BC73CC"/>
    <w:p w14:paraId="70E8E5F9" w14:textId="77777777" w:rsidR="00BC73CC" w:rsidRPr="004A1A60" w:rsidRDefault="00BC73CC" w:rsidP="00BC73CC">
      <w:pPr>
        <w:rPr>
          <w:sz w:val="24"/>
          <w:szCs w:val="24"/>
        </w:rPr>
      </w:pPr>
      <w:r w:rsidRPr="004A1A60">
        <w:rPr>
          <w:lang w:eastAsia="bg-BG"/>
        </w:rPr>
        <w:t>Дата на първо разрешаване: 28.11.2005 г.</w:t>
      </w:r>
    </w:p>
    <w:p w14:paraId="73F23DB6" w14:textId="31CB6A0F" w:rsidR="00BC73CC" w:rsidRPr="004A1A60" w:rsidRDefault="00BC73CC" w:rsidP="00BC73CC">
      <w:r w:rsidRPr="004A1A60">
        <w:rPr>
          <w:lang w:eastAsia="bg-BG"/>
        </w:rPr>
        <w:t>Дата на последно подновяване: 24.03.2011 г.</w:t>
      </w:r>
    </w:p>
    <w:p w14:paraId="43FB38A2" w14:textId="0C18A683" w:rsidR="007C605B" w:rsidRPr="004A1A60" w:rsidRDefault="002C50EE" w:rsidP="005726E3">
      <w:pPr>
        <w:pStyle w:val="Heading1"/>
      </w:pPr>
      <w:r w:rsidRPr="004A1A60">
        <w:t>10. ДАТА НА АКТУАЛИЗИРАНЕ НА ТЕКСТА</w:t>
      </w:r>
      <w:bookmarkEnd w:id="0"/>
    </w:p>
    <w:p w14:paraId="472617BD" w14:textId="40419AED" w:rsidR="00BB22B4" w:rsidRPr="004A1A60" w:rsidRDefault="00BC73CC" w:rsidP="00BC73CC">
      <w:pPr>
        <w:rPr>
          <w:sz w:val="24"/>
          <w:szCs w:val="24"/>
        </w:rPr>
      </w:pPr>
      <w:r w:rsidRPr="004A1A60">
        <w:rPr>
          <w:lang w:eastAsia="bg-BG"/>
        </w:rPr>
        <w:t>02/2022</w:t>
      </w:r>
    </w:p>
    <w:sectPr w:rsidR="00BB22B4" w:rsidRPr="004A1A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293C633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99A0F47"/>
    <w:multiLevelType w:val="hybridMultilevel"/>
    <w:tmpl w:val="5F3E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A2C2D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174D0D9E"/>
    <w:multiLevelType w:val="hybridMultilevel"/>
    <w:tmpl w:val="4E6C1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43C1A"/>
    <w:multiLevelType w:val="hybridMultilevel"/>
    <w:tmpl w:val="64F2312E"/>
    <w:lvl w:ilvl="0" w:tplc="8440F49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343B0"/>
    <w:multiLevelType w:val="hybridMultilevel"/>
    <w:tmpl w:val="DD4E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C16F5"/>
    <w:multiLevelType w:val="hybridMultilevel"/>
    <w:tmpl w:val="E5EAD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3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D37A7"/>
    <w:multiLevelType w:val="hybridMultilevel"/>
    <w:tmpl w:val="46CC86F0"/>
    <w:lvl w:ilvl="0" w:tplc="D1263D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17B77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4B960DEC"/>
    <w:multiLevelType w:val="hybridMultilevel"/>
    <w:tmpl w:val="DE7AABEA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31061F"/>
    <w:multiLevelType w:val="hybridMultilevel"/>
    <w:tmpl w:val="7BE0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22928"/>
    <w:multiLevelType w:val="hybridMultilevel"/>
    <w:tmpl w:val="A8F06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AD1413"/>
    <w:multiLevelType w:val="hybridMultilevel"/>
    <w:tmpl w:val="9B941132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646080"/>
    <w:multiLevelType w:val="hybridMultilevel"/>
    <w:tmpl w:val="AF3E9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9E39A0"/>
    <w:multiLevelType w:val="hybridMultilevel"/>
    <w:tmpl w:val="E28A72A8"/>
    <w:lvl w:ilvl="0" w:tplc="61A8CA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FB2D7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 w16cid:durableId="769663938">
    <w:abstractNumId w:val="30"/>
  </w:num>
  <w:num w:numId="2" w16cid:durableId="1886942936">
    <w:abstractNumId w:val="0"/>
  </w:num>
  <w:num w:numId="3" w16cid:durableId="311642344">
    <w:abstractNumId w:val="15"/>
  </w:num>
  <w:num w:numId="4" w16cid:durableId="1463689843">
    <w:abstractNumId w:val="3"/>
  </w:num>
  <w:num w:numId="5" w16cid:durableId="70087295">
    <w:abstractNumId w:val="1"/>
  </w:num>
  <w:num w:numId="6" w16cid:durableId="1229999987">
    <w:abstractNumId w:val="19"/>
  </w:num>
  <w:num w:numId="7" w16cid:durableId="468090625">
    <w:abstractNumId w:val="13"/>
  </w:num>
  <w:num w:numId="8" w16cid:durableId="2064133631">
    <w:abstractNumId w:val="18"/>
  </w:num>
  <w:num w:numId="9" w16cid:durableId="1525290955">
    <w:abstractNumId w:val="2"/>
  </w:num>
  <w:num w:numId="10" w16cid:durableId="2080784306">
    <w:abstractNumId w:val="4"/>
  </w:num>
  <w:num w:numId="11" w16cid:durableId="1828595793">
    <w:abstractNumId w:val="33"/>
  </w:num>
  <w:num w:numId="12" w16cid:durableId="1360428539">
    <w:abstractNumId w:val="16"/>
  </w:num>
  <w:num w:numId="13" w16cid:durableId="606349435">
    <w:abstractNumId w:val="22"/>
  </w:num>
  <w:num w:numId="14" w16cid:durableId="1125998736">
    <w:abstractNumId w:val="14"/>
  </w:num>
  <w:num w:numId="15" w16cid:durableId="1917517970">
    <w:abstractNumId w:val="32"/>
  </w:num>
  <w:num w:numId="16" w16cid:durableId="384183061">
    <w:abstractNumId w:val="12"/>
  </w:num>
  <w:num w:numId="17" w16cid:durableId="74475758">
    <w:abstractNumId w:val="27"/>
  </w:num>
  <w:num w:numId="18" w16cid:durableId="934824793">
    <w:abstractNumId w:val="8"/>
  </w:num>
  <w:num w:numId="19" w16cid:durableId="993677647">
    <w:abstractNumId w:val="29"/>
  </w:num>
  <w:num w:numId="20" w16cid:durableId="761536703">
    <w:abstractNumId w:val="26"/>
  </w:num>
  <w:num w:numId="21" w16cid:durableId="1233080480">
    <w:abstractNumId w:val="20"/>
  </w:num>
  <w:num w:numId="22" w16cid:durableId="648510904">
    <w:abstractNumId w:val="28"/>
  </w:num>
  <w:num w:numId="23" w16cid:durableId="2132674465">
    <w:abstractNumId w:val="21"/>
  </w:num>
  <w:num w:numId="24" w16cid:durableId="336154497">
    <w:abstractNumId w:val="10"/>
  </w:num>
  <w:num w:numId="25" w16cid:durableId="102650723">
    <w:abstractNumId w:val="25"/>
  </w:num>
  <w:num w:numId="26" w16cid:durableId="1364287985">
    <w:abstractNumId w:val="24"/>
  </w:num>
  <w:num w:numId="27" w16cid:durableId="1568801308">
    <w:abstractNumId w:val="34"/>
  </w:num>
  <w:num w:numId="28" w16cid:durableId="1040206102">
    <w:abstractNumId w:val="6"/>
  </w:num>
  <w:num w:numId="29" w16cid:durableId="83767393">
    <w:abstractNumId w:val="23"/>
  </w:num>
  <w:num w:numId="30" w16cid:durableId="1642074919">
    <w:abstractNumId w:val="37"/>
  </w:num>
  <w:num w:numId="31" w16cid:durableId="533269095">
    <w:abstractNumId w:val="5"/>
  </w:num>
  <w:num w:numId="32" w16cid:durableId="1131630599">
    <w:abstractNumId w:val="36"/>
  </w:num>
  <w:num w:numId="33" w16cid:durableId="1059014958">
    <w:abstractNumId w:val="31"/>
  </w:num>
  <w:num w:numId="34" w16cid:durableId="1115902590">
    <w:abstractNumId w:val="35"/>
  </w:num>
  <w:num w:numId="35" w16cid:durableId="1711033646">
    <w:abstractNumId w:val="7"/>
  </w:num>
  <w:num w:numId="36" w16cid:durableId="1069154705">
    <w:abstractNumId w:val="11"/>
  </w:num>
  <w:num w:numId="37" w16cid:durableId="867835813">
    <w:abstractNumId w:val="17"/>
  </w:num>
  <w:num w:numId="38" w16cid:durableId="17725051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A00"/>
    <w:rsid w:val="00185A46"/>
    <w:rsid w:val="001915B6"/>
    <w:rsid w:val="001A6EBD"/>
    <w:rsid w:val="001D1B23"/>
    <w:rsid w:val="002B3C38"/>
    <w:rsid w:val="002B4DBB"/>
    <w:rsid w:val="002C50EE"/>
    <w:rsid w:val="00340A0A"/>
    <w:rsid w:val="003765DC"/>
    <w:rsid w:val="00395555"/>
    <w:rsid w:val="003E3126"/>
    <w:rsid w:val="00426E5F"/>
    <w:rsid w:val="00471F10"/>
    <w:rsid w:val="004901BF"/>
    <w:rsid w:val="004A1A60"/>
    <w:rsid w:val="004A448E"/>
    <w:rsid w:val="004D4D6B"/>
    <w:rsid w:val="004F1CE7"/>
    <w:rsid w:val="004F498A"/>
    <w:rsid w:val="00517A5B"/>
    <w:rsid w:val="005726E3"/>
    <w:rsid w:val="00593A00"/>
    <w:rsid w:val="00597EAB"/>
    <w:rsid w:val="005A66D9"/>
    <w:rsid w:val="00605BCA"/>
    <w:rsid w:val="006158A1"/>
    <w:rsid w:val="00617B1F"/>
    <w:rsid w:val="00672487"/>
    <w:rsid w:val="00672600"/>
    <w:rsid w:val="00681D4A"/>
    <w:rsid w:val="00685882"/>
    <w:rsid w:val="007122AD"/>
    <w:rsid w:val="0075649D"/>
    <w:rsid w:val="0077607C"/>
    <w:rsid w:val="007C605B"/>
    <w:rsid w:val="008134C8"/>
    <w:rsid w:val="00814073"/>
    <w:rsid w:val="00826F0D"/>
    <w:rsid w:val="00875EEC"/>
    <w:rsid w:val="00893B92"/>
    <w:rsid w:val="008A6AF2"/>
    <w:rsid w:val="008C70A2"/>
    <w:rsid w:val="00936AD0"/>
    <w:rsid w:val="009773E4"/>
    <w:rsid w:val="009B171C"/>
    <w:rsid w:val="009F1313"/>
    <w:rsid w:val="00A20351"/>
    <w:rsid w:val="00A65A81"/>
    <w:rsid w:val="00AA23EC"/>
    <w:rsid w:val="00AC63CE"/>
    <w:rsid w:val="00AE2107"/>
    <w:rsid w:val="00B275A8"/>
    <w:rsid w:val="00B6672E"/>
    <w:rsid w:val="00BB22B4"/>
    <w:rsid w:val="00BC73CC"/>
    <w:rsid w:val="00BF2600"/>
    <w:rsid w:val="00C0049F"/>
    <w:rsid w:val="00C07B84"/>
    <w:rsid w:val="00C33464"/>
    <w:rsid w:val="00C40420"/>
    <w:rsid w:val="00C809A7"/>
    <w:rsid w:val="00C83063"/>
    <w:rsid w:val="00C87E90"/>
    <w:rsid w:val="00CA1B57"/>
    <w:rsid w:val="00CF77F7"/>
    <w:rsid w:val="00D7244D"/>
    <w:rsid w:val="00D86297"/>
    <w:rsid w:val="00DB32D3"/>
    <w:rsid w:val="00DD466D"/>
    <w:rsid w:val="00EB6364"/>
    <w:rsid w:val="00EF6D45"/>
    <w:rsid w:val="00F37B64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d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6169</Words>
  <Characters>35166</Characters>
  <Application>Microsoft Office Word</Application>
  <DocSecurity>0</DocSecurity>
  <Lines>293</Lines>
  <Paragraphs>82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Maria Vasileva</cp:lastModifiedBy>
  <cp:revision>8</cp:revision>
  <dcterms:created xsi:type="dcterms:W3CDTF">2022-12-05T21:47:00Z</dcterms:created>
  <dcterms:modified xsi:type="dcterms:W3CDTF">2022-12-07T07:59:00Z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