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00B1BB4B" w:rsidR="00AA23EC" w:rsidRDefault="00DD466D" w:rsidP="00DD466D">
      <w:pPr>
        <w:pStyle w:val="Heading1"/>
      </w:pPr>
      <w:r>
        <w:t>1.ИМЕ НА ЛЕКАРСТВЕНИЯ ПРОДУКТ</w:t>
      </w:r>
    </w:p>
    <w:p w14:paraId="3D6AD289" w14:textId="461BA4A4" w:rsidR="008610B6" w:rsidRDefault="008610B6" w:rsidP="008610B6"/>
    <w:p w14:paraId="278E2E00" w14:textId="77777777" w:rsidR="008610B6" w:rsidRPr="008610B6" w:rsidRDefault="008610B6" w:rsidP="008610B6">
      <w:pPr>
        <w:rPr>
          <w:sz w:val="24"/>
          <w:szCs w:val="24"/>
          <w:lang w:val="ru-RU"/>
        </w:rPr>
      </w:pPr>
      <w:r w:rsidRPr="008610B6">
        <w:rPr>
          <w:lang w:eastAsia="bg-BG"/>
        </w:rPr>
        <w:t xml:space="preserve">Терцеф 1 </w:t>
      </w:r>
      <w:r w:rsidRPr="008610B6">
        <w:rPr>
          <w:lang w:val="en-US"/>
        </w:rPr>
        <w:t>g</w:t>
      </w:r>
      <w:r w:rsidRPr="008610B6">
        <w:rPr>
          <w:lang w:val="ru-RU"/>
        </w:rPr>
        <w:t xml:space="preserve"> </w:t>
      </w:r>
      <w:r w:rsidRPr="008610B6">
        <w:rPr>
          <w:lang w:eastAsia="bg-BG"/>
        </w:rPr>
        <w:t>прах за инжекционен разтвор</w:t>
      </w:r>
    </w:p>
    <w:p w14:paraId="14877C70" w14:textId="77777777" w:rsidR="008610B6" w:rsidRPr="008610B6" w:rsidRDefault="008610B6" w:rsidP="008610B6">
      <w:pPr>
        <w:rPr>
          <w:sz w:val="24"/>
          <w:szCs w:val="24"/>
          <w:lang w:val="en-US"/>
        </w:rPr>
      </w:pPr>
      <w:proofErr w:type="spellStart"/>
      <w:r w:rsidRPr="008610B6">
        <w:rPr>
          <w:lang w:val="en-US"/>
        </w:rPr>
        <w:t>Tercef</w:t>
      </w:r>
      <w:proofErr w:type="spellEnd"/>
      <w:r w:rsidRPr="008610B6">
        <w:rPr>
          <w:lang w:val="en-US"/>
        </w:rPr>
        <w:t xml:space="preserve"> </w:t>
      </w:r>
      <w:r w:rsidRPr="008610B6">
        <w:rPr>
          <w:lang w:eastAsia="bg-BG"/>
        </w:rPr>
        <w:t xml:space="preserve">1 </w:t>
      </w:r>
      <w:r w:rsidRPr="008610B6">
        <w:rPr>
          <w:lang w:val="en-US"/>
        </w:rPr>
        <w:t>g powder for solution for injection</w:t>
      </w:r>
    </w:p>
    <w:p w14:paraId="478659BB" w14:textId="77777777" w:rsidR="008610B6" w:rsidRDefault="008610B6" w:rsidP="008610B6">
      <w:pPr>
        <w:rPr>
          <w:lang w:eastAsia="bg-BG"/>
        </w:rPr>
      </w:pPr>
    </w:p>
    <w:p w14:paraId="2CBD7E46" w14:textId="7132DE48" w:rsidR="008610B6" w:rsidRPr="008610B6" w:rsidRDefault="008610B6" w:rsidP="008610B6">
      <w:pPr>
        <w:rPr>
          <w:sz w:val="24"/>
          <w:szCs w:val="24"/>
          <w:lang w:val="ru-RU"/>
        </w:rPr>
      </w:pPr>
      <w:r w:rsidRPr="008610B6">
        <w:rPr>
          <w:lang w:eastAsia="bg-BG"/>
        </w:rPr>
        <w:t xml:space="preserve">Терцеф </w:t>
      </w:r>
      <w:r w:rsidRPr="008610B6">
        <w:rPr>
          <w:lang w:val="ru-RU"/>
        </w:rPr>
        <w:t xml:space="preserve">2 </w:t>
      </w:r>
      <w:r w:rsidRPr="008610B6">
        <w:rPr>
          <w:lang w:val="en-US"/>
        </w:rPr>
        <w:t>g</w:t>
      </w:r>
      <w:r w:rsidRPr="008610B6">
        <w:rPr>
          <w:lang w:val="ru-RU"/>
        </w:rPr>
        <w:t xml:space="preserve"> </w:t>
      </w:r>
      <w:r w:rsidRPr="008610B6">
        <w:rPr>
          <w:lang w:eastAsia="bg-BG"/>
        </w:rPr>
        <w:t>прах за инжекционен разтвор</w:t>
      </w:r>
    </w:p>
    <w:p w14:paraId="2D8808D6" w14:textId="7CA215FF" w:rsidR="008610B6" w:rsidRPr="008610B6" w:rsidRDefault="008610B6" w:rsidP="008610B6">
      <w:proofErr w:type="spellStart"/>
      <w:r w:rsidRPr="008610B6">
        <w:rPr>
          <w:lang w:val="en-US"/>
        </w:rPr>
        <w:t>Tercef</w:t>
      </w:r>
      <w:proofErr w:type="spellEnd"/>
      <w:r w:rsidRPr="008610B6">
        <w:rPr>
          <w:lang w:val="en-US"/>
        </w:rPr>
        <w:t xml:space="preserve"> </w:t>
      </w:r>
      <w:r w:rsidRPr="008610B6">
        <w:rPr>
          <w:lang w:eastAsia="bg-BG"/>
        </w:rPr>
        <w:t xml:space="preserve">2 </w:t>
      </w:r>
      <w:r w:rsidRPr="008610B6">
        <w:rPr>
          <w:lang w:val="en-US"/>
        </w:rPr>
        <w:t>g powder for solution for injection</w:t>
      </w:r>
    </w:p>
    <w:p w14:paraId="0A368469" w14:textId="082D323B" w:rsidR="00C0049F" w:rsidRDefault="00DD466D" w:rsidP="009F1313">
      <w:pPr>
        <w:pStyle w:val="Heading1"/>
      </w:pPr>
      <w:r>
        <w:t>2. КАЧЕСТВЕН И КОЛИЧЕСТВЕН СЪСТАВ</w:t>
      </w:r>
    </w:p>
    <w:p w14:paraId="3497F1D9" w14:textId="77777777" w:rsidR="008610B6" w:rsidRDefault="008610B6" w:rsidP="008610B6">
      <w:pPr>
        <w:spacing w:line="240" w:lineRule="auto"/>
        <w:rPr>
          <w:rFonts w:ascii="Times New Roman" w:eastAsia="Times New Roman" w:hAnsi="Times New Roman" w:cs="Times New Roman"/>
          <w:color w:val="000000"/>
          <w:sz w:val="20"/>
          <w:szCs w:val="20"/>
          <w:u w:val="single"/>
          <w:lang w:eastAsia="bg-BG"/>
        </w:rPr>
      </w:pPr>
    </w:p>
    <w:p w14:paraId="79DCAFAF" w14:textId="49AAB2BE" w:rsidR="008610B6" w:rsidRPr="008610B6" w:rsidRDefault="008610B6" w:rsidP="008610B6">
      <w:pPr>
        <w:spacing w:line="240" w:lineRule="auto"/>
        <w:rPr>
          <w:rFonts w:eastAsia="Times New Roman" w:cs="Arial"/>
          <w:sz w:val="28"/>
          <w:szCs w:val="24"/>
        </w:rPr>
      </w:pPr>
      <w:r w:rsidRPr="008610B6">
        <w:rPr>
          <w:rFonts w:eastAsia="Times New Roman" w:cs="Arial"/>
          <w:color w:val="000000"/>
          <w:szCs w:val="20"/>
          <w:u w:val="single"/>
          <w:lang w:eastAsia="bg-BG"/>
        </w:rPr>
        <w:t xml:space="preserve">Терцеф 1 </w:t>
      </w:r>
      <w:r w:rsidRPr="008610B6">
        <w:rPr>
          <w:rFonts w:eastAsia="Times New Roman" w:cs="Arial"/>
          <w:color w:val="000000"/>
          <w:szCs w:val="20"/>
          <w:u w:val="single"/>
          <w:lang w:val="en-US"/>
        </w:rPr>
        <w:t>g</w:t>
      </w:r>
      <w:r w:rsidRPr="008610B6">
        <w:rPr>
          <w:rFonts w:eastAsia="Times New Roman" w:cs="Arial"/>
          <w:color w:val="000000"/>
          <w:szCs w:val="20"/>
          <w:u w:val="single"/>
          <w:lang w:val="ru-RU"/>
        </w:rPr>
        <w:t xml:space="preserve"> </w:t>
      </w:r>
      <w:r w:rsidRPr="008610B6">
        <w:rPr>
          <w:rFonts w:eastAsia="Times New Roman" w:cs="Arial"/>
          <w:color w:val="000000"/>
          <w:szCs w:val="20"/>
          <w:u w:val="single"/>
          <w:lang w:eastAsia="bg-BG"/>
        </w:rPr>
        <w:t>прах за инжекционен разтвор</w:t>
      </w:r>
    </w:p>
    <w:p w14:paraId="224CB4A7" w14:textId="623A9FF6" w:rsidR="008610B6" w:rsidRPr="008610B6" w:rsidRDefault="008610B6" w:rsidP="008610B6">
      <w:pPr>
        <w:spacing w:line="240" w:lineRule="auto"/>
        <w:rPr>
          <w:rFonts w:eastAsia="Times New Roman" w:cs="Arial"/>
          <w:sz w:val="28"/>
          <w:szCs w:val="24"/>
        </w:rPr>
      </w:pPr>
      <w:r w:rsidRPr="008610B6">
        <w:rPr>
          <w:rFonts w:eastAsia="Times New Roman" w:cs="Arial"/>
          <w:color w:val="000000"/>
          <w:szCs w:val="20"/>
          <w:lang w:eastAsia="bg-BG"/>
        </w:rPr>
        <w:t>Всеки фл</w:t>
      </w:r>
      <w:r>
        <w:rPr>
          <w:rFonts w:eastAsia="Times New Roman" w:cs="Arial"/>
          <w:color w:val="000000"/>
          <w:szCs w:val="20"/>
          <w:lang w:eastAsia="bg-BG"/>
        </w:rPr>
        <w:t xml:space="preserve">акон съдържа цефтриаксон натрий </w:t>
      </w:r>
      <w:r>
        <w:rPr>
          <w:rFonts w:eastAsia="Times New Roman" w:cs="Arial"/>
          <w:i/>
          <w:iCs/>
          <w:color w:val="000000"/>
          <w:szCs w:val="20"/>
        </w:rPr>
        <w:t>(</w:t>
      </w:r>
      <w:r w:rsidRPr="008610B6">
        <w:rPr>
          <w:rFonts w:eastAsia="Times New Roman" w:cs="Arial"/>
          <w:i/>
          <w:iCs/>
          <w:color w:val="000000"/>
          <w:szCs w:val="20"/>
          <w:lang w:val="en-US"/>
        </w:rPr>
        <w:t>ceftriaxone</w:t>
      </w:r>
      <w:r w:rsidRPr="008610B6">
        <w:rPr>
          <w:rFonts w:eastAsia="Times New Roman" w:cs="Arial"/>
          <w:i/>
          <w:iCs/>
          <w:color w:val="000000"/>
          <w:szCs w:val="20"/>
        </w:rPr>
        <w:t xml:space="preserve"> </w:t>
      </w:r>
      <w:r w:rsidRPr="008610B6">
        <w:rPr>
          <w:rFonts w:eastAsia="Times New Roman" w:cs="Arial"/>
          <w:i/>
          <w:iCs/>
          <w:color w:val="000000"/>
          <w:szCs w:val="20"/>
          <w:lang w:val="en-US"/>
        </w:rPr>
        <w:t>sodium</w:t>
      </w:r>
      <w:r w:rsidRPr="008610B6">
        <w:rPr>
          <w:rFonts w:eastAsia="Times New Roman" w:cs="Arial"/>
          <w:i/>
          <w:iCs/>
          <w:color w:val="000000"/>
          <w:szCs w:val="20"/>
        </w:rPr>
        <w:t>),</w:t>
      </w:r>
      <w:r w:rsidRPr="008610B6">
        <w:rPr>
          <w:rFonts w:eastAsia="Times New Roman" w:cs="Arial"/>
          <w:color w:val="000000"/>
          <w:szCs w:val="20"/>
        </w:rPr>
        <w:t xml:space="preserve"> </w:t>
      </w:r>
      <w:r w:rsidRPr="008610B6">
        <w:rPr>
          <w:rFonts w:eastAsia="Times New Roman" w:cs="Arial"/>
          <w:color w:val="000000"/>
          <w:szCs w:val="20"/>
          <w:lang w:eastAsia="bg-BG"/>
        </w:rPr>
        <w:t xml:space="preserve">еквивалентен на 1 </w:t>
      </w:r>
      <w:r w:rsidRPr="008610B6">
        <w:rPr>
          <w:rFonts w:eastAsia="Times New Roman" w:cs="Arial"/>
          <w:color w:val="000000"/>
          <w:szCs w:val="20"/>
          <w:lang w:val="en-US"/>
        </w:rPr>
        <w:t>g</w:t>
      </w:r>
      <w:r w:rsidRPr="008610B6">
        <w:rPr>
          <w:rFonts w:eastAsia="Times New Roman" w:cs="Arial"/>
          <w:color w:val="000000"/>
          <w:szCs w:val="20"/>
        </w:rPr>
        <w:t xml:space="preserve"> </w:t>
      </w:r>
      <w:r w:rsidRPr="008610B6">
        <w:rPr>
          <w:rFonts w:eastAsia="Times New Roman" w:cs="Arial"/>
          <w:color w:val="000000"/>
          <w:szCs w:val="20"/>
          <w:lang w:eastAsia="bg-BG"/>
        </w:rPr>
        <w:t xml:space="preserve">цефтриаксон </w:t>
      </w:r>
      <w:r w:rsidRPr="008610B6">
        <w:rPr>
          <w:rFonts w:eastAsia="Times New Roman" w:cs="Arial"/>
          <w:i/>
          <w:iCs/>
          <w:color w:val="000000"/>
          <w:szCs w:val="20"/>
        </w:rPr>
        <w:t>(</w:t>
      </w:r>
      <w:r w:rsidRPr="008610B6">
        <w:rPr>
          <w:rFonts w:eastAsia="Times New Roman" w:cs="Arial"/>
          <w:i/>
          <w:iCs/>
          <w:color w:val="000000"/>
          <w:szCs w:val="20"/>
          <w:lang w:val="en-US"/>
        </w:rPr>
        <w:t>ceftriaxone</w:t>
      </w:r>
      <w:r w:rsidRPr="008610B6">
        <w:rPr>
          <w:rFonts w:eastAsia="Times New Roman" w:cs="Arial"/>
          <w:i/>
          <w:iCs/>
          <w:color w:val="000000"/>
          <w:szCs w:val="20"/>
        </w:rPr>
        <w:t>).</w:t>
      </w:r>
    </w:p>
    <w:p w14:paraId="7E4D7176" w14:textId="77777777" w:rsidR="008610B6" w:rsidRPr="008610B6" w:rsidRDefault="008610B6" w:rsidP="008610B6">
      <w:pPr>
        <w:spacing w:line="240" w:lineRule="auto"/>
        <w:rPr>
          <w:rFonts w:eastAsia="Times New Roman" w:cs="Arial"/>
          <w:color w:val="000000"/>
          <w:szCs w:val="20"/>
          <w:u w:val="single"/>
          <w:lang w:eastAsia="bg-BG"/>
        </w:rPr>
      </w:pPr>
    </w:p>
    <w:p w14:paraId="73BB29AE" w14:textId="4425EEF8" w:rsidR="008610B6" w:rsidRPr="008610B6" w:rsidRDefault="008610B6" w:rsidP="008610B6">
      <w:pPr>
        <w:spacing w:line="240" w:lineRule="auto"/>
        <w:rPr>
          <w:rFonts w:eastAsia="Times New Roman" w:cs="Arial"/>
          <w:sz w:val="28"/>
          <w:szCs w:val="24"/>
        </w:rPr>
      </w:pPr>
      <w:r w:rsidRPr="008610B6">
        <w:rPr>
          <w:rFonts w:eastAsia="Times New Roman" w:cs="Arial"/>
          <w:color w:val="000000"/>
          <w:szCs w:val="20"/>
          <w:u w:val="single"/>
          <w:lang w:eastAsia="bg-BG"/>
        </w:rPr>
        <w:t xml:space="preserve">Терцеф 2 </w:t>
      </w:r>
      <w:r w:rsidRPr="008610B6">
        <w:rPr>
          <w:rFonts w:eastAsia="Times New Roman" w:cs="Arial"/>
          <w:color w:val="000000"/>
          <w:szCs w:val="20"/>
          <w:u w:val="single"/>
          <w:lang w:val="en-US"/>
        </w:rPr>
        <w:t>g</w:t>
      </w:r>
      <w:r w:rsidRPr="008610B6">
        <w:rPr>
          <w:rFonts w:eastAsia="Times New Roman" w:cs="Arial"/>
          <w:color w:val="000000"/>
          <w:szCs w:val="20"/>
          <w:u w:val="single"/>
          <w:lang w:val="ru-RU"/>
        </w:rPr>
        <w:t xml:space="preserve"> </w:t>
      </w:r>
      <w:r w:rsidRPr="008610B6">
        <w:rPr>
          <w:rFonts w:eastAsia="Times New Roman" w:cs="Arial"/>
          <w:color w:val="000000"/>
          <w:szCs w:val="20"/>
          <w:u w:val="single"/>
          <w:lang w:eastAsia="bg-BG"/>
        </w:rPr>
        <w:t>прах за инжекционен разтвор</w:t>
      </w:r>
    </w:p>
    <w:p w14:paraId="6E3AEF32" w14:textId="5ED64577" w:rsidR="008610B6" w:rsidRPr="008610B6" w:rsidRDefault="008610B6" w:rsidP="008610B6">
      <w:pPr>
        <w:spacing w:line="240" w:lineRule="auto"/>
        <w:rPr>
          <w:rFonts w:eastAsia="Times New Roman" w:cs="Arial"/>
          <w:sz w:val="28"/>
          <w:szCs w:val="24"/>
        </w:rPr>
      </w:pPr>
      <w:r w:rsidRPr="008610B6">
        <w:rPr>
          <w:rFonts w:eastAsia="Times New Roman" w:cs="Arial"/>
          <w:color w:val="000000"/>
          <w:szCs w:val="20"/>
          <w:lang w:eastAsia="bg-BG"/>
        </w:rPr>
        <w:t xml:space="preserve">Всеки флакон съдържа цефтриаксон натрий </w:t>
      </w:r>
      <w:r>
        <w:rPr>
          <w:rFonts w:eastAsia="Times New Roman" w:cs="Arial"/>
          <w:i/>
          <w:iCs/>
          <w:color w:val="000000"/>
          <w:szCs w:val="20"/>
        </w:rPr>
        <w:t>(</w:t>
      </w:r>
      <w:r w:rsidRPr="008610B6">
        <w:rPr>
          <w:rFonts w:eastAsia="Times New Roman" w:cs="Arial"/>
          <w:i/>
          <w:iCs/>
          <w:color w:val="000000"/>
          <w:szCs w:val="20"/>
          <w:lang w:val="en-US"/>
        </w:rPr>
        <w:t>ceftriaxone</w:t>
      </w:r>
      <w:r w:rsidRPr="008610B6">
        <w:rPr>
          <w:rFonts w:eastAsia="Times New Roman" w:cs="Arial"/>
          <w:i/>
          <w:iCs/>
          <w:color w:val="000000"/>
          <w:szCs w:val="20"/>
        </w:rPr>
        <w:t xml:space="preserve"> </w:t>
      </w:r>
      <w:r w:rsidRPr="008610B6">
        <w:rPr>
          <w:rFonts w:eastAsia="Times New Roman" w:cs="Arial"/>
          <w:i/>
          <w:iCs/>
          <w:color w:val="000000"/>
          <w:szCs w:val="20"/>
          <w:lang w:val="en-US"/>
        </w:rPr>
        <w:t>sodium</w:t>
      </w:r>
      <w:r w:rsidRPr="008610B6">
        <w:rPr>
          <w:rFonts w:eastAsia="Times New Roman" w:cs="Arial"/>
          <w:i/>
          <w:iCs/>
          <w:color w:val="000000"/>
          <w:szCs w:val="20"/>
        </w:rPr>
        <w:t>),</w:t>
      </w:r>
      <w:r w:rsidRPr="008610B6">
        <w:rPr>
          <w:rFonts w:eastAsia="Times New Roman" w:cs="Arial"/>
          <w:color w:val="000000"/>
          <w:szCs w:val="20"/>
        </w:rPr>
        <w:t xml:space="preserve"> </w:t>
      </w:r>
      <w:r w:rsidRPr="008610B6">
        <w:rPr>
          <w:rFonts w:eastAsia="Times New Roman" w:cs="Arial"/>
          <w:color w:val="000000"/>
          <w:szCs w:val="20"/>
          <w:lang w:eastAsia="bg-BG"/>
        </w:rPr>
        <w:t xml:space="preserve">еквивалентен на 2 </w:t>
      </w:r>
      <w:r w:rsidRPr="008610B6">
        <w:rPr>
          <w:rFonts w:eastAsia="Times New Roman" w:cs="Arial"/>
          <w:color w:val="000000"/>
          <w:szCs w:val="20"/>
          <w:lang w:val="en-US"/>
        </w:rPr>
        <w:t>g</w:t>
      </w:r>
      <w:r w:rsidRPr="008610B6">
        <w:rPr>
          <w:rFonts w:eastAsia="Times New Roman" w:cs="Arial"/>
          <w:color w:val="000000"/>
          <w:szCs w:val="20"/>
        </w:rPr>
        <w:t xml:space="preserve"> </w:t>
      </w:r>
      <w:r w:rsidRPr="008610B6">
        <w:rPr>
          <w:rFonts w:eastAsia="Times New Roman" w:cs="Arial"/>
          <w:color w:val="000000"/>
          <w:szCs w:val="20"/>
          <w:lang w:eastAsia="bg-BG"/>
        </w:rPr>
        <w:t>цефтриаксон (</w:t>
      </w:r>
      <w:r w:rsidRPr="008610B6">
        <w:rPr>
          <w:rFonts w:eastAsia="Times New Roman" w:cs="Arial"/>
          <w:i/>
          <w:iCs/>
          <w:color w:val="000000"/>
          <w:szCs w:val="20"/>
          <w:lang w:val="en-US"/>
        </w:rPr>
        <w:t>ceftriaxone</w:t>
      </w:r>
      <w:r w:rsidRPr="008610B6">
        <w:rPr>
          <w:rFonts w:eastAsia="Times New Roman" w:cs="Arial"/>
          <w:i/>
          <w:iCs/>
          <w:color w:val="000000"/>
          <w:szCs w:val="20"/>
        </w:rPr>
        <w:t>).</w:t>
      </w:r>
    </w:p>
    <w:p w14:paraId="3C828CEF" w14:textId="77777777" w:rsidR="008610B6" w:rsidRPr="008610B6" w:rsidRDefault="008610B6" w:rsidP="008610B6">
      <w:pPr>
        <w:spacing w:line="240" w:lineRule="auto"/>
        <w:rPr>
          <w:rFonts w:eastAsia="Times New Roman" w:cs="Arial"/>
          <w:color w:val="000000"/>
          <w:szCs w:val="20"/>
          <w:u w:val="single"/>
          <w:lang w:eastAsia="bg-BG"/>
        </w:rPr>
      </w:pPr>
    </w:p>
    <w:p w14:paraId="65F73C16" w14:textId="084E3CE3" w:rsidR="008610B6" w:rsidRPr="008610B6" w:rsidRDefault="008610B6" w:rsidP="008610B6">
      <w:pPr>
        <w:spacing w:line="240" w:lineRule="auto"/>
        <w:rPr>
          <w:rFonts w:eastAsia="Times New Roman" w:cs="Arial"/>
          <w:sz w:val="28"/>
          <w:szCs w:val="24"/>
        </w:rPr>
      </w:pPr>
      <w:r w:rsidRPr="008610B6">
        <w:rPr>
          <w:rFonts w:eastAsia="Times New Roman" w:cs="Arial"/>
          <w:color w:val="000000"/>
          <w:szCs w:val="20"/>
          <w:u w:val="single"/>
          <w:lang w:eastAsia="bg-BG"/>
        </w:rPr>
        <w:t>Помощно вещество с известно действие</w:t>
      </w:r>
    </w:p>
    <w:p w14:paraId="58C8F99F" w14:textId="77777777" w:rsidR="008610B6" w:rsidRPr="008610B6" w:rsidRDefault="008610B6" w:rsidP="008610B6">
      <w:pPr>
        <w:spacing w:line="240" w:lineRule="auto"/>
        <w:rPr>
          <w:rFonts w:eastAsia="Times New Roman" w:cs="Arial"/>
          <w:sz w:val="28"/>
          <w:szCs w:val="24"/>
        </w:rPr>
      </w:pPr>
      <w:r w:rsidRPr="008610B6">
        <w:rPr>
          <w:rFonts w:eastAsia="Times New Roman" w:cs="Arial"/>
          <w:color w:val="000000"/>
          <w:szCs w:val="20"/>
          <w:lang w:eastAsia="bg-BG"/>
        </w:rPr>
        <w:t xml:space="preserve">1 </w:t>
      </w:r>
      <w:r w:rsidRPr="008610B6">
        <w:rPr>
          <w:rFonts w:eastAsia="Times New Roman" w:cs="Arial"/>
          <w:color w:val="000000"/>
          <w:szCs w:val="20"/>
          <w:lang w:val="en-US"/>
        </w:rPr>
        <w:t>g</w:t>
      </w:r>
      <w:r w:rsidRPr="008610B6">
        <w:rPr>
          <w:rFonts w:eastAsia="Times New Roman" w:cs="Arial"/>
          <w:color w:val="000000"/>
          <w:szCs w:val="20"/>
          <w:lang w:val="ru-RU"/>
        </w:rPr>
        <w:t xml:space="preserve"> </w:t>
      </w:r>
      <w:r w:rsidRPr="008610B6">
        <w:rPr>
          <w:rFonts w:eastAsia="Times New Roman" w:cs="Arial"/>
          <w:color w:val="000000"/>
          <w:szCs w:val="20"/>
          <w:lang w:eastAsia="bg-BG"/>
        </w:rPr>
        <w:t xml:space="preserve">прах за инжекционен разтвор съдържа 93 </w:t>
      </w:r>
      <w:r w:rsidRPr="008610B6">
        <w:rPr>
          <w:rFonts w:eastAsia="Times New Roman" w:cs="Arial"/>
          <w:color w:val="000000"/>
          <w:szCs w:val="20"/>
          <w:lang w:val="en-US"/>
        </w:rPr>
        <w:t>mg</w:t>
      </w:r>
      <w:r w:rsidRPr="008610B6">
        <w:rPr>
          <w:rFonts w:eastAsia="Times New Roman" w:cs="Arial"/>
          <w:color w:val="000000"/>
          <w:szCs w:val="20"/>
          <w:lang w:val="ru-RU"/>
        </w:rPr>
        <w:t xml:space="preserve"> </w:t>
      </w:r>
      <w:r w:rsidRPr="008610B6">
        <w:rPr>
          <w:rFonts w:eastAsia="Times New Roman" w:cs="Arial"/>
          <w:color w:val="000000"/>
          <w:szCs w:val="20"/>
          <w:lang w:eastAsia="bg-BG"/>
        </w:rPr>
        <w:t>натрий.</w:t>
      </w:r>
    </w:p>
    <w:p w14:paraId="48ECA600" w14:textId="311D3C9A" w:rsidR="008610B6" w:rsidRPr="008610B6" w:rsidRDefault="008610B6" w:rsidP="008610B6">
      <w:pPr>
        <w:rPr>
          <w:rFonts w:cs="Arial"/>
          <w:sz w:val="24"/>
        </w:rPr>
      </w:pPr>
      <w:r w:rsidRPr="008610B6">
        <w:rPr>
          <w:rFonts w:eastAsia="Times New Roman" w:cs="Arial"/>
          <w:color w:val="000000"/>
          <w:szCs w:val="20"/>
          <w:lang w:eastAsia="bg-BG"/>
        </w:rPr>
        <w:t xml:space="preserve">2 </w:t>
      </w:r>
      <w:r w:rsidRPr="008610B6">
        <w:rPr>
          <w:rFonts w:eastAsia="Times New Roman" w:cs="Arial"/>
          <w:color w:val="000000"/>
          <w:szCs w:val="20"/>
          <w:lang w:val="en-US"/>
        </w:rPr>
        <w:t>g</w:t>
      </w:r>
      <w:r w:rsidRPr="008610B6">
        <w:rPr>
          <w:rFonts w:eastAsia="Times New Roman" w:cs="Arial"/>
          <w:color w:val="000000"/>
          <w:szCs w:val="20"/>
          <w:lang w:val="ru-RU"/>
        </w:rPr>
        <w:t xml:space="preserve"> </w:t>
      </w:r>
      <w:r w:rsidRPr="008610B6">
        <w:rPr>
          <w:rFonts w:eastAsia="Times New Roman" w:cs="Arial"/>
          <w:color w:val="000000"/>
          <w:szCs w:val="20"/>
          <w:lang w:eastAsia="bg-BG"/>
        </w:rPr>
        <w:t xml:space="preserve">прах за инжекционен разтвор съдържат 166 </w:t>
      </w:r>
      <w:r w:rsidRPr="008610B6">
        <w:rPr>
          <w:rFonts w:eastAsia="Times New Roman" w:cs="Arial"/>
          <w:color w:val="000000"/>
          <w:szCs w:val="20"/>
          <w:lang w:val="en-US"/>
        </w:rPr>
        <w:t>mg</w:t>
      </w:r>
      <w:r w:rsidRPr="008610B6">
        <w:rPr>
          <w:rFonts w:eastAsia="Times New Roman" w:cs="Arial"/>
          <w:color w:val="000000"/>
          <w:szCs w:val="20"/>
          <w:lang w:val="ru-RU"/>
        </w:rPr>
        <w:t xml:space="preserve"> </w:t>
      </w:r>
      <w:r w:rsidRPr="008610B6">
        <w:rPr>
          <w:rFonts w:eastAsia="Times New Roman" w:cs="Arial"/>
          <w:color w:val="000000"/>
          <w:szCs w:val="20"/>
          <w:lang w:eastAsia="bg-BG"/>
        </w:rPr>
        <w:t>натрий.</w:t>
      </w:r>
    </w:p>
    <w:p w14:paraId="614984C4" w14:textId="7E178DD5" w:rsidR="008A6AF2" w:rsidRDefault="00DD466D" w:rsidP="002C50EE">
      <w:pPr>
        <w:pStyle w:val="Heading1"/>
      </w:pPr>
      <w:r>
        <w:t>3. ЛЕКАРСТВЕНА ФОРМА</w:t>
      </w:r>
    </w:p>
    <w:p w14:paraId="2FC9855C" w14:textId="77777777" w:rsidR="008610B6" w:rsidRDefault="008610B6" w:rsidP="008610B6">
      <w:pPr>
        <w:spacing w:line="240" w:lineRule="auto"/>
        <w:rPr>
          <w:rFonts w:ascii="Times New Roman" w:eastAsia="Times New Roman" w:hAnsi="Times New Roman" w:cs="Times New Roman"/>
          <w:color w:val="000000"/>
          <w:sz w:val="20"/>
          <w:szCs w:val="20"/>
          <w:lang w:eastAsia="bg-BG"/>
        </w:rPr>
      </w:pPr>
    </w:p>
    <w:p w14:paraId="5A7BB011" w14:textId="64E7E859" w:rsidR="008610B6" w:rsidRPr="008610B6" w:rsidRDefault="008610B6" w:rsidP="008610B6">
      <w:pPr>
        <w:rPr>
          <w:sz w:val="24"/>
          <w:szCs w:val="24"/>
        </w:rPr>
      </w:pPr>
      <w:r w:rsidRPr="008610B6">
        <w:rPr>
          <w:lang w:eastAsia="bg-BG"/>
        </w:rPr>
        <w:t>Прах за инжекционен разтвор</w:t>
      </w:r>
    </w:p>
    <w:p w14:paraId="68A9330A" w14:textId="561E5677" w:rsidR="008610B6" w:rsidRPr="008610B6" w:rsidRDefault="008610B6" w:rsidP="008610B6">
      <w:r w:rsidRPr="008610B6">
        <w:rPr>
          <w:lang w:eastAsia="bg-BG"/>
        </w:rPr>
        <w:t>Описание - почти бял или жълтеникав прах.</w:t>
      </w:r>
    </w:p>
    <w:p w14:paraId="490FC2C4" w14:textId="32682B15" w:rsidR="002C50EE" w:rsidRDefault="002C50EE" w:rsidP="002C50EE">
      <w:pPr>
        <w:pStyle w:val="Heading1"/>
      </w:pPr>
      <w:r>
        <w:t>4. КЛИНИЧНИ ДАННИ</w:t>
      </w:r>
    </w:p>
    <w:p w14:paraId="08CF5669" w14:textId="610DEAE5" w:rsidR="00426E5F" w:rsidRDefault="002C50EE" w:rsidP="00A65A81">
      <w:pPr>
        <w:pStyle w:val="Heading2"/>
      </w:pPr>
      <w:r>
        <w:t>4.1. Терапевтични показания</w:t>
      </w:r>
    </w:p>
    <w:p w14:paraId="6DF9302D" w14:textId="0BBA1826" w:rsidR="008610B6" w:rsidRDefault="008610B6" w:rsidP="008610B6"/>
    <w:p w14:paraId="0A053B2D" w14:textId="77777777" w:rsidR="008610B6" w:rsidRPr="008610B6" w:rsidRDefault="008610B6" w:rsidP="008610B6">
      <w:pPr>
        <w:rPr>
          <w:sz w:val="24"/>
          <w:szCs w:val="24"/>
        </w:rPr>
      </w:pPr>
      <w:r w:rsidRPr="008610B6">
        <w:rPr>
          <w:lang w:eastAsia="bg-BG"/>
        </w:rPr>
        <w:t>При възрастни и деца, включително новородени в термин (от раждането) Терцеф е показан за лечение на следните инфекции:</w:t>
      </w:r>
    </w:p>
    <w:p w14:paraId="05BBE134" w14:textId="77777777" w:rsidR="008610B6" w:rsidRPr="008610B6" w:rsidRDefault="008610B6" w:rsidP="008610B6">
      <w:pPr>
        <w:pStyle w:val="ListParagraph"/>
        <w:numPr>
          <w:ilvl w:val="0"/>
          <w:numId w:val="33"/>
        </w:numPr>
        <w:rPr>
          <w:sz w:val="24"/>
          <w:szCs w:val="24"/>
        </w:rPr>
      </w:pPr>
      <w:r w:rsidRPr="008610B6">
        <w:rPr>
          <w:lang w:eastAsia="bg-BG"/>
        </w:rPr>
        <w:t>Бактериален менингит</w:t>
      </w:r>
    </w:p>
    <w:p w14:paraId="13BB2FAE" w14:textId="77777777" w:rsidR="008610B6" w:rsidRPr="008610B6" w:rsidRDefault="008610B6" w:rsidP="008610B6">
      <w:pPr>
        <w:pStyle w:val="ListParagraph"/>
        <w:numPr>
          <w:ilvl w:val="0"/>
          <w:numId w:val="33"/>
        </w:numPr>
        <w:rPr>
          <w:sz w:val="24"/>
          <w:szCs w:val="24"/>
        </w:rPr>
      </w:pPr>
      <w:r w:rsidRPr="008610B6">
        <w:rPr>
          <w:lang w:eastAsia="bg-BG"/>
        </w:rPr>
        <w:t>Пневмония, придобита в обществото</w:t>
      </w:r>
    </w:p>
    <w:p w14:paraId="0F20EB00" w14:textId="77777777" w:rsidR="008610B6" w:rsidRPr="008610B6" w:rsidRDefault="008610B6" w:rsidP="008610B6">
      <w:pPr>
        <w:pStyle w:val="ListParagraph"/>
        <w:numPr>
          <w:ilvl w:val="0"/>
          <w:numId w:val="33"/>
        </w:numPr>
        <w:rPr>
          <w:sz w:val="24"/>
          <w:szCs w:val="24"/>
        </w:rPr>
      </w:pPr>
      <w:r w:rsidRPr="008610B6">
        <w:rPr>
          <w:lang w:eastAsia="bg-BG"/>
        </w:rPr>
        <w:t>Нозокомиална пневмония</w:t>
      </w:r>
    </w:p>
    <w:p w14:paraId="7CE408BB" w14:textId="77777777" w:rsidR="008610B6" w:rsidRPr="008610B6" w:rsidRDefault="008610B6" w:rsidP="008610B6">
      <w:pPr>
        <w:pStyle w:val="ListParagraph"/>
        <w:numPr>
          <w:ilvl w:val="0"/>
          <w:numId w:val="33"/>
        </w:numPr>
        <w:rPr>
          <w:sz w:val="24"/>
          <w:szCs w:val="24"/>
        </w:rPr>
      </w:pPr>
      <w:r w:rsidRPr="008610B6">
        <w:rPr>
          <w:lang w:eastAsia="bg-BG"/>
        </w:rPr>
        <w:t>Остър отит на средното ухо</w:t>
      </w:r>
    </w:p>
    <w:p w14:paraId="532FF4CE" w14:textId="77777777" w:rsidR="008610B6" w:rsidRPr="008610B6" w:rsidRDefault="008610B6" w:rsidP="008610B6">
      <w:pPr>
        <w:pStyle w:val="ListParagraph"/>
        <w:numPr>
          <w:ilvl w:val="0"/>
          <w:numId w:val="33"/>
        </w:numPr>
        <w:rPr>
          <w:sz w:val="24"/>
          <w:szCs w:val="24"/>
        </w:rPr>
      </w:pPr>
      <w:r w:rsidRPr="008610B6">
        <w:rPr>
          <w:lang w:eastAsia="bg-BG"/>
        </w:rPr>
        <w:t>Интраабдоминални ифекции</w:t>
      </w:r>
    </w:p>
    <w:p w14:paraId="71CF5AE0" w14:textId="77777777" w:rsidR="008610B6" w:rsidRPr="008610B6" w:rsidRDefault="008610B6" w:rsidP="008610B6">
      <w:pPr>
        <w:pStyle w:val="ListParagraph"/>
        <w:numPr>
          <w:ilvl w:val="0"/>
          <w:numId w:val="33"/>
        </w:numPr>
        <w:rPr>
          <w:sz w:val="24"/>
          <w:szCs w:val="24"/>
        </w:rPr>
      </w:pPr>
      <w:r w:rsidRPr="008610B6">
        <w:rPr>
          <w:lang w:eastAsia="bg-BG"/>
        </w:rPr>
        <w:t>Усложнени инфекции на пикочните пътища (включително пиелонефрит)</w:t>
      </w:r>
    </w:p>
    <w:p w14:paraId="3ADE2DA0" w14:textId="77777777" w:rsidR="008610B6" w:rsidRPr="008610B6" w:rsidRDefault="008610B6" w:rsidP="008610B6">
      <w:pPr>
        <w:pStyle w:val="ListParagraph"/>
        <w:numPr>
          <w:ilvl w:val="0"/>
          <w:numId w:val="33"/>
        </w:numPr>
        <w:rPr>
          <w:sz w:val="24"/>
          <w:szCs w:val="24"/>
        </w:rPr>
      </w:pPr>
      <w:r w:rsidRPr="008610B6">
        <w:rPr>
          <w:lang w:eastAsia="bg-BG"/>
        </w:rPr>
        <w:t>Инфекции на костите и ставите</w:t>
      </w:r>
    </w:p>
    <w:p w14:paraId="78891C7A" w14:textId="77777777" w:rsidR="008610B6" w:rsidRPr="008610B6" w:rsidRDefault="008610B6" w:rsidP="008610B6">
      <w:pPr>
        <w:pStyle w:val="ListParagraph"/>
        <w:numPr>
          <w:ilvl w:val="0"/>
          <w:numId w:val="33"/>
        </w:numPr>
        <w:rPr>
          <w:sz w:val="24"/>
          <w:szCs w:val="24"/>
        </w:rPr>
      </w:pPr>
      <w:r w:rsidRPr="008610B6">
        <w:rPr>
          <w:lang w:eastAsia="bg-BG"/>
        </w:rPr>
        <w:t>Усложнени инфекции на кожата и меките тъкани</w:t>
      </w:r>
    </w:p>
    <w:p w14:paraId="3F166DDB" w14:textId="77777777" w:rsidR="008610B6" w:rsidRPr="008610B6" w:rsidRDefault="008610B6" w:rsidP="008610B6">
      <w:pPr>
        <w:pStyle w:val="ListParagraph"/>
        <w:numPr>
          <w:ilvl w:val="0"/>
          <w:numId w:val="33"/>
        </w:numPr>
        <w:rPr>
          <w:sz w:val="24"/>
          <w:szCs w:val="24"/>
        </w:rPr>
      </w:pPr>
      <w:r w:rsidRPr="008610B6">
        <w:rPr>
          <w:lang w:eastAsia="bg-BG"/>
        </w:rPr>
        <w:t>Гонорея</w:t>
      </w:r>
    </w:p>
    <w:p w14:paraId="5A813603" w14:textId="77777777" w:rsidR="008610B6" w:rsidRPr="008610B6" w:rsidRDefault="008610B6" w:rsidP="008610B6">
      <w:pPr>
        <w:pStyle w:val="ListParagraph"/>
        <w:numPr>
          <w:ilvl w:val="0"/>
          <w:numId w:val="33"/>
        </w:numPr>
        <w:rPr>
          <w:sz w:val="24"/>
          <w:szCs w:val="24"/>
        </w:rPr>
      </w:pPr>
      <w:r w:rsidRPr="008610B6">
        <w:rPr>
          <w:lang w:eastAsia="bg-BG"/>
        </w:rPr>
        <w:t>Сифилис</w:t>
      </w:r>
    </w:p>
    <w:p w14:paraId="7D3D2F8F" w14:textId="3DE9B935" w:rsidR="008610B6" w:rsidRDefault="008610B6" w:rsidP="008610B6">
      <w:pPr>
        <w:pStyle w:val="ListParagraph"/>
        <w:numPr>
          <w:ilvl w:val="0"/>
          <w:numId w:val="33"/>
        </w:numPr>
      </w:pPr>
      <w:r w:rsidRPr="008610B6">
        <w:rPr>
          <w:lang w:eastAsia="bg-BG"/>
        </w:rPr>
        <w:t>Бактериален ендокардит</w:t>
      </w:r>
    </w:p>
    <w:p w14:paraId="4A72F348" w14:textId="56BD302D" w:rsidR="008610B6" w:rsidRDefault="008610B6" w:rsidP="008610B6"/>
    <w:p w14:paraId="5A6F3B35" w14:textId="77777777" w:rsidR="008610B6" w:rsidRPr="008610B6" w:rsidRDefault="008610B6" w:rsidP="008610B6">
      <w:pPr>
        <w:rPr>
          <w:sz w:val="24"/>
          <w:szCs w:val="24"/>
        </w:rPr>
      </w:pPr>
      <w:r w:rsidRPr="008610B6">
        <w:rPr>
          <w:lang w:eastAsia="bg-BG"/>
        </w:rPr>
        <w:t>Терцеф може да се употребява:</w:t>
      </w:r>
    </w:p>
    <w:p w14:paraId="69B3A482" w14:textId="77777777" w:rsidR="008610B6" w:rsidRDefault="008610B6" w:rsidP="008610B6">
      <w:pPr>
        <w:rPr>
          <w:lang w:eastAsia="bg-BG"/>
        </w:rPr>
      </w:pPr>
    </w:p>
    <w:p w14:paraId="783F3B37" w14:textId="4C5EBE34" w:rsidR="008610B6" w:rsidRPr="008610B6" w:rsidRDefault="008610B6" w:rsidP="008610B6">
      <w:pPr>
        <w:pStyle w:val="ListParagraph"/>
        <w:numPr>
          <w:ilvl w:val="0"/>
          <w:numId w:val="34"/>
        </w:numPr>
        <w:rPr>
          <w:sz w:val="24"/>
          <w:szCs w:val="24"/>
        </w:rPr>
      </w:pPr>
      <w:r w:rsidRPr="008610B6">
        <w:rPr>
          <w:lang w:eastAsia="bg-BG"/>
        </w:rPr>
        <w:t>При възрастни за лечение на остра екзацербация на хронично обструктивно белодробно заболяване</w:t>
      </w:r>
    </w:p>
    <w:p w14:paraId="2CCF9A74" w14:textId="77777777" w:rsidR="008610B6" w:rsidRPr="008610B6" w:rsidRDefault="008610B6" w:rsidP="008610B6">
      <w:pPr>
        <w:pStyle w:val="ListParagraph"/>
        <w:numPr>
          <w:ilvl w:val="0"/>
          <w:numId w:val="34"/>
        </w:numPr>
        <w:rPr>
          <w:sz w:val="24"/>
          <w:szCs w:val="24"/>
        </w:rPr>
      </w:pPr>
      <w:r w:rsidRPr="008610B6">
        <w:rPr>
          <w:lang w:eastAsia="bg-BG"/>
        </w:rPr>
        <w:t>При възрастни и деца, включително новородени от 15-дневна възраст за лечение на дисеминирана Лаймска борелиоза (ранна (</w:t>
      </w:r>
      <w:r w:rsidRPr="008610B6">
        <w:rPr>
          <w:lang w:val="en-US"/>
        </w:rPr>
        <w:t>II</w:t>
      </w:r>
      <w:r w:rsidRPr="008610B6">
        <w:rPr>
          <w:lang w:eastAsia="bg-BG"/>
        </w:rPr>
        <w:t xml:space="preserve"> стадии) и късна (III стадий)).</w:t>
      </w:r>
    </w:p>
    <w:p w14:paraId="33651627" w14:textId="77777777" w:rsidR="008610B6" w:rsidRPr="008610B6" w:rsidRDefault="008610B6" w:rsidP="008610B6">
      <w:pPr>
        <w:pStyle w:val="ListParagraph"/>
        <w:numPr>
          <w:ilvl w:val="0"/>
          <w:numId w:val="34"/>
        </w:numPr>
        <w:rPr>
          <w:sz w:val="24"/>
          <w:szCs w:val="24"/>
        </w:rPr>
      </w:pPr>
      <w:r w:rsidRPr="008610B6">
        <w:rPr>
          <w:lang w:eastAsia="bg-BG"/>
        </w:rPr>
        <w:t>За предоперативна профилактика на хирургични раневи инфекции</w:t>
      </w:r>
    </w:p>
    <w:p w14:paraId="480FB0FB" w14:textId="77777777" w:rsidR="008610B6" w:rsidRPr="008610B6" w:rsidRDefault="008610B6" w:rsidP="008610B6">
      <w:pPr>
        <w:pStyle w:val="ListParagraph"/>
        <w:numPr>
          <w:ilvl w:val="0"/>
          <w:numId w:val="34"/>
        </w:numPr>
        <w:rPr>
          <w:sz w:val="24"/>
          <w:szCs w:val="24"/>
        </w:rPr>
      </w:pPr>
      <w:r w:rsidRPr="008610B6">
        <w:rPr>
          <w:lang w:eastAsia="bg-BG"/>
        </w:rPr>
        <w:t>За овладяването на треска при пациенти с неутропения, за която се подозира, че се дължи на бактериална инфекция</w:t>
      </w:r>
    </w:p>
    <w:p w14:paraId="1D056CB8" w14:textId="77777777" w:rsidR="008610B6" w:rsidRPr="008610B6" w:rsidRDefault="008610B6" w:rsidP="008610B6">
      <w:pPr>
        <w:pStyle w:val="ListParagraph"/>
        <w:numPr>
          <w:ilvl w:val="0"/>
          <w:numId w:val="34"/>
        </w:numPr>
        <w:rPr>
          <w:sz w:val="24"/>
          <w:szCs w:val="24"/>
        </w:rPr>
      </w:pPr>
      <w:r w:rsidRPr="008610B6">
        <w:rPr>
          <w:lang w:eastAsia="bg-BG"/>
        </w:rPr>
        <w:t xml:space="preserve">За лечението на пациенти с бактериемия, която е вследствие на </w:t>
      </w:r>
      <w:r w:rsidRPr="008610B6">
        <w:rPr>
          <w:i/>
          <w:iCs/>
          <w:lang w:eastAsia="bg-BG"/>
        </w:rPr>
        <w:t>или се подозира, че</w:t>
      </w:r>
      <w:r w:rsidRPr="008610B6">
        <w:rPr>
          <w:lang w:eastAsia="bg-BG"/>
        </w:rPr>
        <w:t xml:space="preserve"> е свързана с някоя от изброените по-горе инфекции</w:t>
      </w:r>
    </w:p>
    <w:p w14:paraId="40A253C6" w14:textId="77777777" w:rsidR="008610B6" w:rsidRDefault="008610B6" w:rsidP="008610B6">
      <w:pPr>
        <w:rPr>
          <w:lang w:eastAsia="bg-BG"/>
        </w:rPr>
      </w:pPr>
    </w:p>
    <w:p w14:paraId="74289905" w14:textId="2BBB0457" w:rsidR="008610B6" w:rsidRPr="008610B6" w:rsidRDefault="008610B6" w:rsidP="008610B6">
      <w:pPr>
        <w:rPr>
          <w:sz w:val="24"/>
          <w:szCs w:val="24"/>
        </w:rPr>
      </w:pPr>
      <w:r w:rsidRPr="008610B6">
        <w:rPr>
          <w:lang w:eastAsia="bg-BG"/>
        </w:rPr>
        <w:t>Терцеф трябва да се прилага едновременно с други антибакгериални средства, когато е възможно бактериалните причинители да не попадат в неговия спектър (виж точка 4.4).</w:t>
      </w:r>
    </w:p>
    <w:p w14:paraId="4C6E1ABD" w14:textId="77777777" w:rsidR="008610B6" w:rsidRDefault="008610B6" w:rsidP="008610B6">
      <w:pPr>
        <w:rPr>
          <w:lang w:eastAsia="bg-BG"/>
        </w:rPr>
      </w:pPr>
    </w:p>
    <w:p w14:paraId="32EE1586" w14:textId="3704A6E4" w:rsidR="008610B6" w:rsidRDefault="008610B6" w:rsidP="008610B6">
      <w:pPr>
        <w:rPr>
          <w:lang w:eastAsia="bg-BG"/>
        </w:rPr>
      </w:pPr>
      <w:r w:rsidRPr="008610B6">
        <w:rPr>
          <w:lang w:eastAsia="bg-BG"/>
        </w:rPr>
        <w:t>Трябва да се спазват официалните указания за правилна употреба на антибакгериални средства.</w:t>
      </w:r>
    </w:p>
    <w:p w14:paraId="488357B0" w14:textId="77777777" w:rsidR="008610B6" w:rsidRPr="008610B6" w:rsidRDefault="008610B6" w:rsidP="008610B6"/>
    <w:p w14:paraId="28E43CAE" w14:textId="767CB072" w:rsidR="00426E5F" w:rsidRDefault="002C50EE" w:rsidP="00A65A81">
      <w:pPr>
        <w:pStyle w:val="Heading2"/>
      </w:pPr>
      <w:r>
        <w:t>4.2. Дозировка и начин на приложение</w:t>
      </w:r>
    </w:p>
    <w:p w14:paraId="288A028C" w14:textId="51907586" w:rsidR="008610B6" w:rsidRDefault="008610B6" w:rsidP="008610B6"/>
    <w:p w14:paraId="0A47953B" w14:textId="77777777" w:rsidR="008610B6" w:rsidRPr="002B4918" w:rsidRDefault="008610B6" w:rsidP="002B4918">
      <w:pPr>
        <w:pStyle w:val="Heading3"/>
        <w:rPr>
          <w:rFonts w:eastAsia="Times New Roman"/>
          <w:sz w:val="28"/>
          <w:u w:val="single"/>
        </w:rPr>
      </w:pPr>
      <w:r w:rsidRPr="002B4918">
        <w:rPr>
          <w:rFonts w:eastAsia="Times New Roman"/>
          <w:u w:val="single"/>
          <w:lang w:eastAsia="bg-BG"/>
        </w:rPr>
        <w:t>Дозировка</w:t>
      </w:r>
    </w:p>
    <w:p w14:paraId="1C17D510" w14:textId="77777777" w:rsidR="008610B6" w:rsidRPr="002B4918" w:rsidRDefault="008610B6" w:rsidP="008610B6">
      <w:pPr>
        <w:spacing w:line="240" w:lineRule="auto"/>
        <w:rPr>
          <w:rFonts w:eastAsia="Times New Roman" w:cs="Arial"/>
          <w:color w:val="000000"/>
          <w:szCs w:val="20"/>
          <w:lang w:eastAsia="bg-BG"/>
        </w:rPr>
      </w:pPr>
    </w:p>
    <w:p w14:paraId="7734BD97" w14:textId="2D9A861D" w:rsidR="008610B6" w:rsidRPr="008610B6" w:rsidRDefault="008610B6" w:rsidP="008610B6">
      <w:pPr>
        <w:spacing w:line="240" w:lineRule="auto"/>
        <w:rPr>
          <w:rFonts w:eastAsia="Times New Roman" w:cs="Arial"/>
          <w:sz w:val="28"/>
          <w:szCs w:val="24"/>
        </w:rPr>
      </w:pPr>
      <w:r w:rsidRPr="008610B6">
        <w:rPr>
          <w:rFonts w:eastAsia="Times New Roman" w:cs="Arial"/>
          <w:color w:val="000000"/>
          <w:szCs w:val="20"/>
          <w:lang w:eastAsia="bg-BG"/>
        </w:rPr>
        <w:t>Дозата зависи от тежестта, чувствителността, местоположението и вида на инфекцията, от възрастта, чернодробната и бъбречната функция на пациента.</w:t>
      </w:r>
    </w:p>
    <w:p w14:paraId="415222C2" w14:textId="77777777" w:rsidR="008610B6" w:rsidRPr="002B4918" w:rsidRDefault="008610B6" w:rsidP="008610B6">
      <w:pPr>
        <w:spacing w:line="240" w:lineRule="auto"/>
        <w:rPr>
          <w:rFonts w:eastAsia="Times New Roman" w:cs="Arial"/>
          <w:color w:val="000000"/>
          <w:szCs w:val="20"/>
          <w:lang w:eastAsia="bg-BG"/>
        </w:rPr>
      </w:pPr>
    </w:p>
    <w:p w14:paraId="3D5A3CCC" w14:textId="59558813" w:rsidR="008610B6" w:rsidRPr="008610B6" w:rsidRDefault="008610B6" w:rsidP="008610B6">
      <w:pPr>
        <w:spacing w:line="240" w:lineRule="auto"/>
        <w:rPr>
          <w:rFonts w:eastAsia="Times New Roman" w:cs="Arial"/>
          <w:sz w:val="28"/>
          <w:szCs w:val="24"/>
        </w:rPr>
      </w:pPr>
      <w:r w:rsidRPr="008610B6">
        <w:rPr>
          <w:rFonts w:eastAsia="Times New Roman" w:cs="Arial"/>
          <w:color w:val="000000"/>
          <w:szCs w:val="20"/>
          <w:lang w:eastAsia="bg-BG"/>
        </w:rPr>
        <w:t>Дозите, препоръчвани в таблиците по-долу са обичайно препоръчваните дози при тези показания. При особено тежки случаи трябва да се прилага най-високата препоръчителна доза (горната граница)</w:t>
      </w:r>
    </w:p>
    <w:p w14:paraId="65F2C5C8" w14:textId="77777777" w:rsidR="008610B6" w:rsidRPr="002B4918" w:rsidRDefault="008610B6" w:rsidP="008610B6">
      <w:pPr>
        <w:spacing w:line="240" w:lineRule="auto"/>
        <w:rPr>
          <w:rFonts w:eastAsia="Times New Roman" w:cs="Arial"/>
          <w:i/>
          <w:iCs/>
          <w:color w:val="000000"/>
          <w:szCs w:val="20"/>
          <w:u w:val="single"/>
          <w:lang w:eastAsia="bg-BG"/>
        </w:rPr>
      </w:pPr>
    </w:p>
    <w:p w14:paraId="49DB2A29" w14:textId="77ED4EBE" w:rsidR="008610B6" w:rsidRPr="008610B6" w:rsidRDefault="008610B6" w:rsidP="008610B6">
      <w:pPr>
        <w:spacing w:line="240" w:lineRule="auto"/>
        <w:rPr>
          <w:rFonts w:eastAsia="Times New Roman" w:cs="Arial"/>
          <w:sz w:val="28"/>
          <w:szCs w:val="24"/>
        </w:rPr>
      </w:pPr>
      <w:r w:rsidRPr="008610B6">
        <w:rPr>
          <w:rFonts w:eastAsia="Times New Roman" w:cs="Arial"/>
          <w:i/>
          <w:iCs/>
          <w:color w:val="000000"/>
          <w:szCs w:val="20"/>
          <w:u w:val="single"/>
          <w:lang w:eastAsia="bg-BG"/>
        </w:rPr>
        <w:t>Възрастни и деца над 12 годишна възраст (≥ 50 кг)</w:t>
      </w:r>
    </w:p>
    <w:tbl>
      <w:tblPr>
        <w:tblStyle w:val="TableGrid"/>
        <w:tblW w:w="0" w:type="auto"/>
        <w:tblLook w:val="04A0" w:firstRow="1" w:lastRow="0" w:firstColumn="1" w:lastColumn="0" w:noHBand="0" w:noVBand="1"/>
      </w:tblPr>
      <w:tblGrid>
        <w:gridCol w:w="3107"/>
        <w:gridCol w:w="3105"/>
        <w:gridCol w:w="3138"/>
      </w:tblGrid>
      <w:tr w:rsidR="002B4918" w14:paraId="77D2D760" w14:textId="77777777" w:rsidTr="002B4918">
        <w:tc>
          <w:tcPr>
            <w:tcW w:w="3192" w:type="dxa"/>
          </w:tcPr>
          <w:p w14:paraId="16F97A29" w14:textId="0B6BF895" w:rsidR="002B4918" w:rsidRPr="002B4918" w:rsidRDefault="002B4918" w:rsidP="002B4918">
            <w:r w:rsidRPr="002B4918">
              <w:rPr>
                <w:b/>
                <w:bCs/>
                <w:i/>
                <w:iCs/>
                <w:szCs w:val="20"/>
              </w:rPr>
              <w:t>Дози на цефтриаксон *</w:t>
            </w:r>
          </w:p>
        </w:tc>
        <w:tc>
          <w:tcPr>
            <w:tcW w:w="3192" w:type="dxa"/>
          </w:tcPr>
          <w:p w14:paraId="7BD03FB9" w14:textId="482C1590" w:rsidR="002B4918" w:rsidRPr="002B4918" w:rsidRDefault="002B4918" w:rsidP="002B4918">
            <w:r w:rsidRPr="002B4918">
              <w:rPr>
                <w:b/>
                <w:bCs/>
                <w:i/>
                <w:iCs/>
                <w:szCs w:val="20"/>
              </w:rPr>
              <w:t>Честота на приложение**</w:t>
            </w:r>
          </w:p>
        </w:tc>
        <w:tc>
          <w:tcPr>
            <w:tcW w:w="3192" w:type="dxa"/>
          </w:tcPr>
          <w:p w14:paraId="7F298B52" w14:textId="5E44204F" w:rsidR="002B4918" w:rsidRPr="002B4918" w:rsidRDefault="002B4918" w:rsidP="002B4918">
            <w:r w:rsidRPr="002B4918">
              <w:rPr>
                <w:b/>
                <w:bCs/>
                <w:i/>
                <w:iCs/>
                <w:szCs w:val="20"/>
              </w:rPr>
              <w:t>Показания</w:t>
            </w:r>
          </w:p>
        </w:tc>
      </w:tr>
      <w:tr w:rsidR="002B4918" w14:paraId="1B3FB8E1" w14:textId="77777777" w:rsidTr="002B4918">
        <w:tc>
          <w:tcPr>
            <w:tcW w:w="3192" w:type="dxa"/>
            <w:vMerge w:val="restart"/>
          </w:tcPr>
          <w:p w14:paraId="6E9D7130" w14:textId="76985F39" w:rsidR="002B4918" w:rsidRPr="002B4918" w:rsidRDefault="002B4918" w:rsidP="002B4918">
            <w:r w:rsidRPr="002B4918">
              <w:rPr>
                <w:i/>
                <w:iCs/>
                <w:szCs w:val="20"/>
              </w:rPr>
              <w:t xml:space="preserve">1-2 </w:t>
            </w:r>
            <w:r w:rsidRPr="002B4918">
              <w:rPr>
                <w:i/>
                <w:iCs/>
                <w:szCs w:val="20"/>
                <w:lang w:val="en-US"/>
              </w:rPr>
              <w:t>g</w:t>
            </w:r>
          </w:p>
        </w:tc>
        <w:tc>
          <w:tcPr>
            <w:tcW w:w="3192" w:type="dxa"/>
            <w:vMerge w:val="restart"/>
          </w:tcPr>
          <w:p w14:paraId="290C2D42" w14:textId="4E89F675" w:rsidR="002B4918" w:rsidRPr="002B4918" w:rsidRDefault="002B4918" w:rsidP="002B4918">
            <w:r w:rsidRPr="002B4918">
              <w:rPr>
                <w:i/>
                <w:iCs/>
                <w:szCs w:val="20"/>
              </w:rPr>
              <w:t>Еднократно дневно</w:t>
            </w:r>
          </w:p>
        </w:tc>
        <w:tc>
          <w:tcPr>
            <w:tcW w:w="3192" w:type="dxa"/>
          </w:tcPr>
          <w:p w14:paraId="53310954" w14:textId="1DC0BDF3" w:rsidR="002B4918" w:rsidRPr="002B4918" w:rsidRDefault="002B4918" w:rsidP="002B4918">
            <w:r w:rsidRPr="002B4918">
              <w:rPr>
                <w:i/>
                <w:iCs/>
                <w:szCs w:val="20"/>
              </w:rPr>
              <w:t>Пневмония, придобита в обществото</w:t>
            </w:r>
          </w:p>
        </w:tc>
      </w:tr>
      <w:tr w:rsidR="002B4918" w14:paraId="19B68556" w14:textId="77777777" w:rsidTr="002B4918">
        <w:tc>
          <w:tcPr>
            <w:tcW w:w="3192" w:type="dxa"/>
            <w:vMerge/>
          </w:tcPr>
          <w:p w14:paraId="76A44FA6" w14:textId="77777777" w:rsidR="002B4918" w:rsidRPr="002B4918" w:rsidRDefault="002B4918" w:rsidP="002B4918"/>
        </w:tc>
        <w:tc>
          <w:tcPr>
            <w:tcW w:w="3192" w:type="dxa"/>
            <w:vMerge/>
          </w:tcPr>
          <w:p w14:paraId="18909130" w14:textId="77777777" w:rsidR="002B4918" w:rsidRPr="002B4918" w:rsidRDefault="002B4918" w:rsidP="002B4918"/>
        </w:tc>
        <w:tc>
          <w:tcPr>
            <w:tcW w:w="3192" w:type="dxa"/>
          </w:tcPr>
          <w:p w14:paraId="7D1E97E7" w14:textId="0643C5C8" w:rsidR="002B4918" w:rsidRPr="002B4918" w:rsidRDefault="002B4918" w:rsidP="002B4918">
            <w:r w:rsidRPr="002B4918">
              <w:rPr>
                <w:i/>
                <w:iCs/>
                <w:szCs w:val="20"/>
              </w:rPr>
              <w:t>Остра екзацербация на хронично обструктивно белодробно заболяване</w:t>
            </w:r>
          </w:p>
        </w:tc>
      </w:tr>
      <w:tr w:rsidR="002B4918" w14:paraId="636A6BA2" w14:textId="77777777" w:rsidTr="002B4918">
        <w:tc>
          <w:tcPr>
            <w:tcW w:w="3192" w:type="dxa"/>
            <w:vMerge/>
          </w:tcPr>
          <w:p w14:paraId="0A25F702" w14:textId="77777777" w:rsidR="002B4918" w:rsidRPr="002B4918" w:rsidRDefault="002B4918" w:rsidP="002B4918"/>
        </w:tc>
        <w:tc>
          <w:tcPr>
            <w:tcW w:w="3192" w:type="dxa"/>
            <w:vMerge/>
          </w:tcPr>
          <w:p w14:paraId="6D81B521" w14:textId="77777777" w:rsidR="002B4918" w:rsidRPr="002B4918" w:rsidRDefault="002B4918" w:rsidP="002B4918"/>
        </w:tc>
        <w:tc>
          <w:tcPr>
            <w:tcW w:w="3192" w:type="dxa"/>
          </w:tcPr>
          <w:p w14:paraId="240EB60A" w14:textId="71074D77" w:rsidR="002B4918" w:rsidRPr="002B4918" w:rsidRDefault="002B4918" w:rsidP="002B4918">
            <w:r w:rsidRPr="002B4918">
              <w:rPr>
                <w:i/>
                <w:iCs/>
                <w:szCs w:val="20"/>
              </w:rPr>
              <w:t>Интраабдоминални ифекции</w:t>
            </w:r>
          </w:p>
        </w:tc>
      </w:tr>
      <w:tr w:rsidR="002B4918" w14:paraId="0CAC9B56" w14:textId="77777777" w:rsidTr="002B4918">
        <w:tc>
          <w:tcPr>
            <w:tcW w:w="3192" w:type="dxa"/>
            <w:vMerge/>
          </w:tcPr>
          <w:p w14:paraId="04B00311" w14:textId="77777777" w:rsidR="002B4918" w:rsidRPr="002B4918" w:rsidRDefault="002B4918" w:rsidP="002B4918"/>
        </w:tc>
        <w:tc>
          <w:tcPr>
            <w:tcW w:w="3192" w:type="dxa"/>
            <w:vMerge/>
          </w:tcPr>
          <w:p w14:paraId="6F725526" w14:textId="77777777" w:rsidR="002B4918" w:rsidRPr="002B4918" w:rsidRDefault="002B4918" w:rsidP="002B4918"/>
        </w:tc>
        <w:tc>
          <w:tcPr>
            <w:tcW w:w="3192" w:type="dxa"/>
          </w:tcPr>
          <w:p w14:paraId="103998EE" w14:textId="4033B6D5" w:rsidR="002B4918" w:rsidRPr="002B4918" w:rsidRDefault="002B4918" w:rsidP="002B4918">
            <w:r w:rsidRPr="002B4918">
              <w:rPr>
                <w:i/>
                <w:iCs/>
                <w:szCs w:val="20"/>
              </w:rPr>
              <w:t>Усложнени инфекции на пикочните пътища (включително пиелонефрит)</w:t>
            </w:r>
          </w:p>
        </w:tc>
      </w:tr>
      <w:tr w:rsidR="002B4918" w14:paraId="7CCADA33" w14:textId="77777777" w:rsidTr="002B4918">
        <w:tc>
          <w:tcPr>
            <w:tcW w:w="3192" w:type="dxa"/>
            <w:vMerge w:val="restart"/>
          </w:tcPr>
          <w:p w14:paraId="54CFE08C" w14:textId="1AF9D2BC" w:rsidR="002B4918" w:rsidRPr="002B4918" w:rsidRDefault="002B4918" w:rsidP="002B4918">
            <w:r w:rsidRPr="002B4918">
              <w:rPr>
                <w:szCs w:val="20"/>
                <w:lang w:val="en-US"/>
              </w:rPr>
              <w:t>2g</w:t>
            </w:r>
          </w:p>
        </w:tc>
        <w:tc>
          <w:tcPr>
            <w:tcW w:w="3192" w:type="dxa"/>
            <w:vMerge w:val="restart"/>
          </w:tcPr>
          <w:p w14:paraId="45E63E70" w14:textId="7D164977" w:rsidR="002B4918" w:rsidRPr="002B4918" w:rsidRDefault="002B4918" w:rsidP="002B4918">
            <w:r w:rsidRPr="002B4918">
              <w:rPr>
                <w:i/>
                <w:iCs/>
                <w:szCs w:val="20"/>
              </w:rPr>
              <w:t>Еднократно дневно</w:t>
            </w:r>
          </w:p>
        </w:tc>
        <w:tc>
          <w:tcPr>
            <w:tcW w:w="3192" w:type="dxa"/>
          </w:tcPr>
          <w:p w14:paraId="2CF637E3" w14:textId="5B0D4BE5" w:rsidR="002B4918" w:rsidRPr="002B4918" w:rsidRDefault="002B4918" w:rsidP="002B4918">
            <w:r w:rsidRPr="002B4918">
              <w:rPr>
                <w:i/>
                <w:iCs/>
                <w:szCs w:val="20"/>
              </w:rPr>
              <w:t>Нозокомиална пневмония</w:t>
            </w:r>
          </w:p>
        </w:tc>
      </w:tr>
      <w:tr w:rsidR="002B4918" w14:paraId="6C350596" w14:textId="77777777" w:rsidTr="002B4918">
        <w:tc>
          <w:tcPr>
            <w:tcW w:w="3192" w:type="dxa"/>
            <w:vMerge/>
          </w:tcPr>
          <w:p w14:paraId="0D21D576" w14:textId="77777777" w:rsidR="002B4918" w:rsidRPr="002B4918" w:rsidRDefault="002B4918" w:rsidP="002B4918"/>
        </w:tc>
        <w:tc>
          <w:tcPr>
            <w:tcW w:w="3192" w:type="dxa"/>
            <w:vMerge/>
          </w:tcPr>
          <w:p w14:paraId="6606B7F4" w14:textId="77777777" w:rsidR="002B4918" w:rsidRPr="002B4918" w:rsidRDefault="002B4918" w:rsidP="002B4918"/>
        </w:tc>
        <w:tc>
          <w:tcPr>
            <w:tcW w:w="3192" w:type="dxa"/>
          </w:tcPr>
          <w:p w14:paraId="2ACBEC4D" w14:textId="28257F29" w:rsidR="002B4918" w:rsidRPr="002B4918" w:rsidRDefault="002B4918" w:rsidP="002B4918">
            <w:r w:rsidRPr="002B4918">
              <w:rPr>
                <w:i/>
                <w:iCs/>
                <w:szCs w:val="20"/>
              </w:rPr>
              <w:t>Усложнени инфекции на кожата и меките тъкани</w:t>
            </w:r>
          </w:p>
        </w:tc>
      </w:tr>
      <w:tr w:rsidR="002B4918" w14:paraId="2999845D" w14:textId="77777777" w:rsidTr="002B4918">
        <w:tc>
          <w:tcPr>
            <w:tcW w:w="3192" w:type="dxa"/>
            <w:vMerge/>
          </w:tcPr>
          <w:p w14:paraId="49242D80" w14:textId="77777777" w:rsidR="002B4918" w:rsidRPr="002B4918" w:rsidRDefault="002B4918" w:rsidP="002B4918"/>
        </w:tc>
        <w:tc>
          <w:tcPr>
            <w:tcW w:w="3192" w:type="dxa"/>
            <w:vMerge/>
          </w:tcPr>
          <w:p w14:paraId="0BF25175" w14:textId="77777777" w:rsidR="002B4918" w:rsidRPr="002B4918" w:rsidRDefault="002B4918" w:rsidP="002B4918"/>
        </w:tc>
        <w:tc>
          <w:tcPr>
            <w:tcW w:w="3192" w:type="dxa"/>
          </w:tcPr>
          <w:p w14:paraId="6A2BB3B1" w14:textId="418C221C" w:rsidR="002B4918" w:rsidRPr="002B4918" w:rsidRDefault="002B4918" w:rsidP="002B4918">
            <w:r w:rsidRPr="002B4918">
              <w:rPr>
                <w:i/>
                <w:iCs/>
                <w:szCs w:val="20"/>
              </w:rPr>
              <w:t>Инфекции на костите и ставите</w:t>
            </w:r>
          </w:p>
        </w:tc>
      </w:tr>
      <w:tr w:rsidR="002B4918" w14:paraId="3E992476" w14:textId="77777777" w:rsidTr="002B4918">
        <w:tc>
          <w:tcPr>
            <w:tcW w:w="3192" w:type="dxa"/>
            <w:vMerge w:val="restart"/>
          </w:tcPr>
          <w:p w14:paraId="0177AF51" w14:textId="38055A53" w:rsidR="002B4918" w:rsidRPr="002B4918" w:rsidRDefault="002B4918" w:rsidP="002B4918">
            <w:r w:rsidRPr="002B4918">
              <w:rPr>
                <w:i/>
                <w:iCs/>
                <w:szCs w:val="20"/>
              </w:rPr>
              <w:t xml:space="preserve">2-4 </w:t>
            </w:r>
            <w:r w:rsidRPr="002B4918">
              <w:rPr>
                <w:i/>
                <w:iCs/>
                <w:szCs w:val="20"/>
                <w:lang w:val="en-US"/>
              </w:rPr>
              <w:t>g</w:t>
            </w:r>
          </w:p>
        </w:tc>
        <w:tc>
          <w:tcPr>
            <w:tcW w:w="3192" w:type="dxa"/>
            <w:vMerge w:val="restart"/>
          </w:tcPr>
          <w:p w14:paraId="678D6D7F" w14:textId="4066E6F0" w:rsidR="002B4918" w:rsidRPr="002B4918" w:rsidRDefault="002B4918" w:rsidP="002B4918">
            <w:r w:rsidRPr="002B4918">
              <w:rPr>
                <w:i/>
                <w:iCs/>
                <w:szCs w:val="20"/>
              </w:rPr>
              <w:t>Еднократно дневно</w:t>
            </w:r>
          </w:p>
        </w:tc>
        <w:tc>
          <w:tcPr>
            <w:tcW w:w="3192" w:type="dxa"/>
          </w:tcPr>
          <w:p w14:paraId="37AE8E62" w14:textId="46B65549" w:rsidR="002B4918" w:rsidRPr="002B4918" w:rsidRDefault="002B4918" w:rsidP="002B4918">
            <w:r w:rsidRPr="002B4918">
              <w:rPr>
                <w:i/>
                <w:iCs/>
                <w:szCs w:val="20"/>
              </w:rPr>
              <w:t>Овладяване на треска при пациенти с неутропения, за която се подозира, че се дължи на бактериална инфекция</w:t>
            </w:r>
          </w:p>
        </w:tc>
      </w:tr>
      <w:tr w:rsidR="002B4918" w14:paraId="51B5CEAC" w14:textId="77777777" w:rsidTr="002B4918">
        <w:tc>
          <w:tcPr>
            <w:tcW w:w="3192" w:type="dxa"/>
            <w:vMerge/>
          </w:tcPr>
          <w:p w14:paraId="14189B10" w14:textId="77777777" w:rsidR="002B4918" w:rsidRPr="002B4918" w:rsidRDefault="002B4918" w:rsidP="002B4918"/>
        </w:tc>
        <w:tc>
          <w:tcPr>
            <w:tcW w:w="3192" w:type="dxa"/>
            <w:vMerge/>
          </w:tcPr>
          <w:p w14:paraId="0F016046" w14:textId="77777777" w:rsidR="002B4918" w:rsidRPr="002B4918" w:rsidRDefault="002B4918" w:rsidP="002B4918"/>
        </w:tc>
        <w:tc>
          <w:tcPr>
            <w:tcW w:w="3192" w:type="dxa"/>
          </w:tcPr>
          <w:p w14:paraId="42D71E65" w14:textId="5BF2B207" w:rsidR="002B4918" w:rsidRPr="002B4918" w:rsidRDefault="002B4918" w:rsidP="002B4918">
            <w:r w:rsidRPr="002B4918">
              <w:rPr>
                <w:i/>
                <w:iCs/>
                <w:szCs w:val="20"/>
              </w:rPr>
              <w:t>Бактериален ендокардит</w:t>
            </w:r>
          </w:p>
        </w:tc>
      </w:tr>
      <w:tr w:rsidR="002B4918" w14:paraId="7C7806F1" w14:textId="77777777" w:rsidTr="002B4918">
        <w:tc>
          <w:tcPr>
            <w:tcW w:w="3192" w:type="dxa"/>
            <w:vMerge/>
          </w:tcPr>
          <w:p w14:paraId="46C68F59" w14:textId="77777777" w:rsidR="002B4918" w:rsidRPr="002B4918" w:rsidRDefault="002B4918" w:rsidP="002B4918"/>
        </w:tc>
        <w:tc>
          <w:tcPr>
            <w:tcW w:w="3192" w:type="dxa"/>
            <w:vMerge/>
          </w:tcPr>
          <w:p w14:paraId="4A7634A1" w14:textId="77777777" w:rsidR="002B4918" w:rsidRPr="002B4918" w:rsidRDefault="002B4918" w:rsidP="002B4918"/>
        </w:tc>
        <w:tc>
          <w:tcPr>
            <w:tcW w:w="3192" w:type="dxa"/>
          </w:tcPr>
          <w:p w14:paraId="33CDE286" w14:textId="08A48E96" w:rsidR="002B4918" w:rsidRPr="002B4918" w:rsidRDefault="002B4918" w:rsidP="002B4918">
            <w:r w:rsidRPr="002B4918">
              <w:rPr>
                <w:i/>
                <w:iCs/>
                <w:szCs w:val="20"/>
              </w:rPr>
              <w:t>Бактериален менингит</w:t>
            </w:r>
          </w:p>
        </w:tc>
      </w:tr>
    </w:tbl>
    <w:p w14:paraId="572D52C7" w14:textId="77777777" w:rsidR="002B4918" w:rsidRPr="002B4918" w:rsidRDefault="002B4918" w:rsidP="002B4918">
      <w:pPr>
        <w:spacing w:line="240" w:lineRule="auto"/>
        <w:rPr>
          <w:rFonts w:eastAsia="Times New Roman" w:cs="Arial"/>
        </w:rPr>
      </w:pPr>
      <w:r w:rsidRPr="002B4918">
        <w:rPr>
          <w:rFonts w:eastAsia="Times New Roman" w:cs="Arial"/>
          <w:color w:val="000000"/>
          <w:lang w:eastAsia="bg-BG"/>
        </w:rPr>
        <w:t>*При доказана бактериемия трябва да се прилага най-високата доза - горната граница на препоръчваната доза</w:t>
      </w:r>
    </w:p>
    <w:p w14:paraId="00CD8A71" w14:textId="77777777" w:rsidR="002B4918" w:rsidRPr="002B4918" w:rsidRDefault="002B4918" w:rsidP="002B4918">
      <w:pPr>
        <w:spacing w:line="240" w:lineRule="auto"/>
        <w:rPr>
          <w:rFonts w:eastAsia="Times New Roman" w:cs="Arial"/>
        </w:rPr>
      </w:pPr>
      <w:r w:rsidRPr="002B4918">
        <w:rPr>
          <w:rFonts w:eastAsia="Times New Roman" w:cs="Arial"/>
          <w:color w:val="000000"/>
          <w:lang w:eastAsia="bg-BG"/>
        </w:rPr>
        <w:t xml:space="preserve">**Дневни дози по-високи от 2 </w:t>
      </w:r>
      <w:r w:rsidRPr="002B4918">
        <w:rPr>
          <w:rFonts w:eastAsia="Times New Roman" w:cs="Arial"/>
          <w:color w:val="000000"/>
          <w:lang w:val="en-US"/>
        </w:rPr>
        <w:t>g</w:t>
      </w:r>
      <w:r w:rsidRPr="002B4918">
        <w:rPr>
          <w:rFonts w:eastAsia="Times New Roman" w:cs="Arial"/>
          <w:color w:val="000000"/>
          <w:lang w:val="ru-RU"/>
        </w:rPr>
        <w:t xml:space="preserve"> </w:t>
      </w:r>
      <w:r w:rsidRPr="002B4918">
        <w:rPr>
          <w:rFonts w:eastAsia="Times New Roman" w:cs="Arial"/>
          <w:color w:val="000000"/>
          <w:lang w:eastAsia="bg-BG"/>
        </w:rPr>
        <w:t>могат да се прилагат два пъти дневно (на 12 часа).</w:t>
      </w:r>
    </w:p>
    <w:p w14:paraId="498169EA" w14:textId="77777777" w:rsidR="002B4918" w:rsidRPr="002B4918" w:rsidRDefault="002B4918" w:rsidP="002B4918">
      <w:pPr>
        <w:spacing w:line="240" w:lineRule="auto"/>
        <w:rPr>
          <w:rFonts w:eastAsia="Times New Roman" w:cs="Arial"/>
          <w:color w:val="000000"/>
          <w:lang w:eastAsia="bg-BG"/>
        </w:rPr>
      </w:pPr>
    </w:p>
    <w:p w14:paraId="524A0CAD" w14:textId="66C5B36E" w:rsidR="002B4918" w:rsidRPr="002B4918" w:rsidRDefault="002B4918" w:rsidP="002B4918">
      <w:pPr>
        <w:spacing w:line="240" w:lineRule="auto"/>
        <w:rPr>
          <w:rFonts w:eastAsia="Times New Roman" w:cs="Arial"/>
          <w:color w:val="000000"/>
          <w:lang w:eastAsia="bg-BG"/>
        </w:rPr>
      </w:pPr>
      <w:r w:rsidRPr="002B4918">
        <w:rPr>
          <w:rFonts w:eastAsia="Times New Roman" w:cs="Arial"/>
          <w:color w:val="000000"/>
          <w:lang w:eastAsia="bg-BG"/>
        </w:rPr>
        <w:t xml:space="preserve">Показания за възрастни и деца над 12-годишна възраст (≥ 50 </w:t>
      </w:r>
      <w:r w:rsidRPr="002B4918">
        <w:rPr>
          <w:rFonts w:eastAsia="Times New Roman" w:cs="Arial"/>
          <w:color w:val="000000"/>
          <w:lang w:val="en-US"/>
        </w:rPr>
        <w:t>Kg</w:t>
      </w:r>
      <w:r w:rsidRPr="002B4918">
        <w:rPr>
          <w:rFonts w:eastAsia="Times New Roman" w:cs="Arial"/>
          <w:color w:val="000000"/>
          <w:lang w:val="ru-RU"/>
        </w:rPr>
        <w:t xml:space="preserve">), </w:t>
      </w:r>
      <w:r w:rsidRPr="002B4918">
        <w:rPr>
          <w:rFonts w:eastAsia="Times New Roman" w:cs="Arial"/>
          <w:color w:val="000000"/>
          <w:lang w:eastAsia="bg-BG"/>
        </w:rPr>
        <w:t>при които се изискват конкретни дозови схеми:</w:t>
      </w:r>
    </w:p>
    <w:p w14:paraId="40FDE1A1" w14:textId="2DFF25B3" w:rsidR="002B4918" w:rsidRPr="002B4918" w:rsidRDefault="002B4918" w:rsidP="008610B6">
      <w:pPr>
        <w:rPr>
          <w:rFonts w:cs="Arial"/>
        </w:rPr>
      </w:pPr>
    </w:p>
    <w:p w14:paraId="1B3B64D5" w14:textId="77777777" w:rsidR="002B4918" w:rsidRPr="002B4918" w:rsidRDefault="002B4918" w:rsidP="002B4918">
      <w:pPr>
        <w:spacing w:line="240" w:lineRule="auto"/>
        <w:rPr>
          <w:rFonts w:eastAsia="Times New Roman" w:cs="Arial"/>
        </w:rPr>
      </w:pPr>
      <w:r w:rsidRPr="002B4918">
        <w:rPr>
          <w:rFonts w:eastAsia="Times New Roman" w:cs="Arial"/>
          <w:i/>
          <w:iCs/>
          <w:color w:val="000000"/>
          <w:lang w:eastAsia="bg-BG"/>
        </w:rPr>
        <w:t>Остър отит на средното ухо</w:t>
      </w:r>
    </w:p>
    <w:p w14:paraId="5098043D" w14:textId="77777777" w:rsidR="002B4918" w:rsidRPr="002B4918" w:rsidRDefault="002B4918" w:rsidP="002B4918">
      <w:pPr>
        <w:spacing w:line="240" w:lineRule="auto"/>
        <w:rPr>
          <w:rFonts w:eastAsia="Times New Roman" w:cs="Arial"/>
        </w:rPr>
      </w:pPr>
      <w:r w:rsidRPr="002B4918">
        <w:rPr>
          <w:rFonts w:eastAsia="Times New Roman" w:cs="Arial"/>
          <w:color w:val="000000"/>
          <w:lang w:eastAsia="bg-BG"/>
        </w:rPr>
        <w:t xml:space="preserve">Може да се приложи еднократно доза от 1-2 </w:t>
      </w:r>
      <w:r w:rsidRPr="002B4918">
        <w:rPr>
          <w:rFonts w:eastAsia="Times New Roman" w:cs="Arial"/>
          <w:color w:val="000000"/>
          <w:lang w:val="en-US"/>
        </w:rPr>
        <w:t>g</w:t>
      </w:r>
      <w:r w:rsidRPr="002B4918">
        <w:rPr>
          <w:rFonts w:eastAsia="Times New Roman" w:cs="Arial"/>
          <w:color w:val="000000"/>
          <w:lang w:val="ru-RU"/>
        </w:rPr>
        <w:t xml:space="preserve"> </w:t>
      </w:r>
      <w:r w:rsidRPr="002B4918">
        <w:rPr>
          <w:rFonts w:eastAsia="Times New Roman" w:cs="Arial"/>
          <w:color w:val="000000"/>
          <w:lang w:eastAsia="bg-BG"/>
        </w:rPr>
        <w:t xml:space="preserve">Терцеф интрамускулно. Съществуват ограничени данни, въз основа на които се предполага, че при тежко болни пациенти или при неуспешно предходно лечение Терцеф може да бъде ефективен, когато се прилага интрамускулно в доза от 1-2 </w:t>
      </w:r>
      <w:r w:rsidRPr="002B4918">
        <w:rPr>
          <w:rFonts w:eastAsia="Times New Roman" w:cs="Arial"/>
          <w:color w:val="000000"/>
          <w:lang w:val="en-US"/>
        </w:rPr>
        <w:t>g</w:t>
      </w:r>
      <w:r w:rsidRPr="002B4918">
        <w:rPr>
          <w:rFonts w:eastAsia="Times New Roman" w:cs="Arial"/>
          <w:color w:val="000000"/>
          <w:lang w:val="ru-RU"/>
        </w:rPr>
        <w:t xml:space="preserve"> </w:t>
      </w:r>
      <w:r w:rsidRPr="002B4918">
        <w:rPr>
          <w:rFonts w:eastAsia="Times New Roman" w:cs="Arial"/>
          <w:color w:val="000000"/>
          <w:lang w:eastAsia="bg-BG"/>
        </w:rPr>
        <w:t xml:space="preserve">дневно в продължение на </w:t>
      </w:r>
      <w:r w:rsidRPr="002B4918">
        <w:rPr>
          <w:rFonts w:eastAsia="Times New Roman" w:cs="Arial"/>
          <w:i/>
          <w:iCs/>
          <w:color w:val="000000"/>
          <w:lang w:eastAsia="bg-BG"/>
        </w:rPr>
        <w:t>3</w:t>
      </w:r>
      <w:r w:rsidRPr="002B4918">
        <w:rPr>
          <w:rFonts w:eastAsia="Times New Roman" w:cs="Arial"/>
          <w:color w:val="000000"/>
          <w:lang w:eastAsia="bg-BG"/>
        </w:rPr>
        <w:t xml:space="preserve"> дни.</w:t>
      </w:r>
    </w:p>
    <w:p w14:paraId="7D4146D1" w14:textId="77777777" w:rsidR="002B4918" w:rsidRPr="002B4918" w:rsidRDefault="002B4918" w:rsidP="002B4918">
      <w:pPr>
        <w:spacing w:line="240" w:lineRule="auto"/>
        <w:rPr>
          <w:rFonts w:eastAsia="Times New Roman" w:cs="Arial"/>
          <w:i/>
          <w:iCs/>
          <w:color w:val="000000"/>
          <w:lang w:eastAsia="bg-BG"/>
        </w:rPr>
      </w:pPr>
    </w:p>
    <w:p w14:paraId="72E76F39" w14:textId="4D1A1916" w:rsidR="002B4918" w:rsidRPr="002B4918" w:rsidRDefault="002B4918" w:rsidP="002B4918">
      <w:pPr>
        <w:spacing w:line="240" w:lineRule="auto"/>
        <w:rPr>
          <w:rFonts w:eastAsia="Times New Roman" w:cs="Arial"/>
        </w:rPr>
      </w:pPr>
      <w:r w:rsidRPr="002B4918">
        <w:rPr>
          <w:rFonts w:eastAsia="Times New Roman" w:cs="Arial"/>
          <w:i/>
          <w:iCs/>
          <w:color w:val="000000"/>
          <w:lang w:eastAsia="bg-BG"/>
        </w:rPr>
        <w:t>Предоперативна профилактика на хирургични ранени инфекции</w:t>
      </w:r>
    </w:p>
    <w:p w14:paraId="33A2E075" w14:textId="77777777" w:rsidR="002B4918" w:rsidRPr="002B4918" w:rsidRDefault="002B4918" w:rsidP="002B4918">
      <w:pPr>
        <w:spacing w:line="240" w:lineRule="auto"/>
        <w:rPr>
          <w:rFonts w:eastAsia="Times New Roman" w:cs="Arial"/>
        </w:rPr>
      </w:pPr>
      <w:r w:rsidRPr="002B4918">
        <w:rPr>
          <w:rFonts w:eastAsia="Times New Roman" w:cs="Arial"/>
          <w:color w:val="000000"/>
          <w:lang w:eastAsia="bg-BG"/>
        </w:rPr>
        <w:t xml:space="preserve">2 </w:t>
      </w:r>
      <w:r w:rsidRPr="002B4918">
        <w:rPr>
          <w:rFonts w:eastAsia="Times New Roman" w:cs="Arial"/>
          <w:color w:val="000000"/>
          <w:lang w:val="en-US"/>
        </w:rPr>
        <w:t>g</w:t>
      </w:r>
      <w:r w:rsidRPr="002B4918">
        <w:rPr>
          <w:rFonts w:eastAsia="Times New Roman" w:cs="Arial"/>
          <w:color w:val="000000"/>
          <w:lang w:val="ru-RU"/>
        </w:rPr>
        <w:t xml:space="preserve"> </w:t>
      </w:r>
      <w:r w:rsidRPr="002B4918">
        <w:rPr>
          <w:rFonts w:eastAsia="Times New Roman" w:cs="Arial"/>
          <w:color w:val="000000"/>
          <w:lang w:eastAsia="bg-BG"/>
        </w:rPr>
        <w:t>еднократно предоперативно.</w:t>
      </w:r>
    </w:p>
    <w:p w14:paraId="50682DC4" w14:textId="77777777" w:rsidR="002B4918" w:rsidRPr="002B4918" w:rsidRDefault="002B4918" w:rsidP="002B4918">
      <w:pPr>
        <w:spacing w:line="240" w:lineRule="auto"/>
        <w:rPr>
          <w:rFonts w:eastAsia="Times New Roman" w:cs="Arial"/>
          <w:i/>
          <w:iCs/>
          <w:color w:val="000000"/>
          <w:lang w:eastAsia="bg-BG"/>
        </w:rPr>
      </w:pPr>
    </w:p>
    <w:p w14:paraId="0A89C0FF" w14:textId="4C46BA5C" w:rsidR="002B4918" w:rsidRPr="002B4918" w:rsidRDefault="002B4918" w:rsidP="002B4918">
      <w:pPr>
        <w:spacing w:line="240" w:lineRule="auto"/>
        <w:rPr>
          <w:rFonts w:eastAsia="Times New Roman" w:cs="Arial"/>
        </w:rPr>
      </w:pPr>
      <w:r w:rsidRPr="002B4918">
        <w:rPr>
          <w:rFonts w:eastAsia="Times New Roman" w:cs="Arial"/>
          <w:i/>
          <w:iCs/>
          <w:color w:val="000000"/>
          <w:lang w:eastAsia="bg-BG"/>
        </w:rPr>
        <w:t>Гонорея</w:t>
      </w:r>
    </w:p>
    <w:p w14:paraId="61BDBDF7" w14:textId="77777777" w:rsidR="002B4918" w:rsidRPr="002B4918" w:rsidRDefault="002B4918" w:rsidP="002B4918">
      <w:pPr>
        <w:spacing w:line="240" w:lineRule="auto"/>
        <w:rPr>
          <w:rFonts w:eastAsia="Times New Roman" w:cs="Arial"/>
        </w:rPr>
      </w:pPr>
      <w:r w:rsidRPr="002B4918">
        <w:rPr>
          <w:rFonts w:eastAsia="Times New Roman" w:cs="Arial"/>
          <w:color w:val="000000"/>
          <w:lang w:eastAsia="bg-BG"/>
        </w:rPr>
        <w:t xml:space="preserve">500 </w:t>
      </w:r>
      <w:r w:rsidRPr="002B4918">
        <w:rPr>
          <w:rFonts w:eastAsia="Times New Roman" w:cs="Arial"/>
          <w:color w:val="000000"/>
          <w:lang w:val="en-US"/>
        </w:rPr>
        <w:t>mg</w:t>
      </w:r>
      <w:r w:rsidRPr="002B4918">
        <w:rPr>
          <w:rFonts w:eastAsia="Times New Roman" w:cs="Arial"/>
          <w:color w:val="000000"/>
          <w:lang w:val="ru-RU"/>
        </w:rPr>
        <w:t xml:space="preserve"> </w:t>
      </w:r>
      <w:r w:rsidRPr="002B4918">
        <w:rPr>
          <w:rFonts w:eastAsia="Times New Roman" w:cs="Arial"/>
          <w:color w:val="000000"/>
          <w:lang w:eastAsia="bg-BG"/>
        </w:rPr>
        <w:t>еднократно интрамускулно.</w:t>
      </w:r>
    </w:p>
    <w:p w14:paraId="5F747869" w14:textId="77777777" w:rsidR="002B4918" w:rsidRPr="002B4918" w:rsidRDefault="002B4918" w:rsidP="002B4918">
      <w:pPr>
        <w:spacing w:line="240" w:lineRule="auto"/>
        <w:rPr>
          <w:rFonts w:eastAsia="Times New Roman" w:cs="Arial"/>
          <w:i/>
          <w:iCs/>
          <w:color w:val="000000"/>
          <w:lang w:eastAsia="bg-BG"/>
        </w:rPr>
      </w:pPr>
    </w:p>
    <w:p w14:paraId="472DA9EF" w14:textId="47B0A9F2" w:rsidR="002B4918" w:rsidRPr="002B4918" w:rsidRDefault="002B4918" w:rsidP="002B4918">
      <w:pPr>
        <w:spacing w:line="240" w:lineRule="auto"/>
        <w:rPr>
          <w:rFonts w:eastAsia="Times New Roman" w:cs="Arial"/>
        </w:rPr>
      </w:pPr>
      <w:r w:rsidRPr="002B4918">
        <w:rPr>
          <w:rFonts w:eastAsia="Times New Roman" w:cs="Arial"/>
          <w:i/>
          <w:iCs/>
          <w:color w:val="000000"/>
          <w:lang w:eastAsia="bg-BG"/>
        </w:rPr>
        <w:t>Сифилис</w:t>
      </w:r>
    </w:p>
    <w:p w14:paraId="3DDD23AB" w14:textId="77777777" w:rsidR="002B4918" w:rsidRPr="002B4918" w:rsidRDefault="002B4918" w:rsidP="002B4918">
      <w:pPr>
        <w:spacing w:line="240" w:lineRule="auto"/>
        <w:rPr>
          <w:rFonts w:eastAsia="Times New Roman" w:cs="Arial"/>
        </w:rPr>
      </w:pPr>
      <w:r w:rsidRPr="002B4918">
        <w:rPr>
          <w:rFonts w:eastAsia="Times New Roman" w:cs="Arial"/>
          <w:color w:val="000000"/>
          <w:lang w:eastAsia="bg-BG"/>
        </w:rPr>
        <w:t xml:space="preserve">Обикновено препоръчителните дози са 500 </w:t>
      </w:r>
      <w:r w:rsidRPr="002B4918">
        <w:rPr>
          <w:rFonts w:eastAsia="Times New Roman" w:cs="Arial"/>
          <w:color w:val="000000"/>
          <w:lang w:val="en-US"/>
        </w:rPr>
        <w:t>mg</w:t>
      </w:r>
      <w:r w:rsidRPr="002B4918">
        <w:rPr>
          <w:rFonts w:eastAsia="Times New Roman" w:cs="Arial"/>
          <w:color w:val="000000"/>
          <w:lang w:val="ru-RU"/>
        </w:rPr>
        <w:t xml:space="preserve"> -1</w:t>
      </w:r>
      <w:r w:rsidRPr="002B4918">
        <w:rPr>
          <w:rFonts w:eastAsia="Times New Roman" w:cs="Arial"/>
          <w:color w:val="000000"/>
          <w:lang w:val="en-US"/>
        </w:rPr>
        <w:t>g</w:t>
      </w:r>
      <w:r w:rsidRPr="002B4918">
        <w:rPr>
          <w:rFonts w:eastAsia="Times New Roman" w:cs="Arial"/>
          <w:color w:val="000000"/>
          <w:lang w:val="ru-RU"/>
        </w:rPr>
        <w:t xml:space="preserve"> </w:t>
      </w:r>
      <w:r w:rsidRPr="002B4918">
        <w:rPr>
          <w:rFonts w:eastAsia="Times New Roman" w:cs="Arial"/>
          <w:color w:val="000000"/>
          <w:lang w:eastAsia="bg-BG"/>
        </w:rPr>
        <w:t xml:space="preserve">веднъж дневно, които при невросифилис се повишават до 2 </w:t>
      </w:r>
      <w:r w:rsidRPr="002B4918">
        <w:rPr>
          <w:rFonts w:eastAsia="Times New Roman" w:cs="Arial"/>
          <w:color w:val="000000"/>
          <w:lang w:val="en-US"/>
        </w:rPr>
        <w:t>g</w:t>
      </w:r>
      <w:r w:rsidRPr="002B4918">
        <w:rPr>
          <w:rFonts w:eastAsia="Times New Roman" w:cs="Arial"/>
          <w:color w:val="000000"/>
          <w:lang w:val="ru-RU"/>
        </w:rPr>
        <w:t xml:space="preserve"> </w:t>
      </w:r>
      <w:r w:rsidRPr="002B4918">
        <w:rPr>
          <w:rFonts w:eastAsia="Times New Roman" w:cs="Arial"/>
          <w:color w:val="000000"/>
          <w:lang w:eastAsia="bg-BG"/>
        </w:rPr>
        <w:t>веднъж дневно в продължение на 10-14 дни. Препоръките за дозиране при сифилис, включително невросифилис, се основават на ограничени данни. Трябва да се вземат под внимание националните или местните ръководства.</w:t>
      </w:r>
    </w:p>
    <w:p w14:paraId="2DE19E80" w14:textId="77777777" w:rsidR="002B4918" w:rsidRPr="002B4918" w:rsidRDefault="002B4918" w:rsidP="002B4918">
      <w:pPr>
        <w:spacing w:line="240" w:lineRule="auto"/>
        <w:rPr>
          <w:rFonts w:eastAsia="Times New Roman" w:cs="Arial"/>
          <w:i/>
          <w:iCs/>
          <w:color w:val="000000"/>
          <w:lang w:eastAsia="bg-BG"/>
        </w:rPr>
      </w:pPr>
    </w:p>
    <w:p w14:paraId="67AE3BE6" w14:textId="123C49A3" w:rsidR="002B4918" w:rsidRPr="002B4918" w:rsidRDefault="002B4918" w:rsidP="002B4918">
      <w:pPr>
        <w:spacing w:line="240" w:lineRule="auto"/>
        <w:rPr>
          <w:rFonts w:eastAsia="Times New Roman" w:cs="Arial"/>
        </w:rPr>
      </w:pPr>
      <w:r w:rsidRPr="002B4918">
        <w:rPr>
          <w:rFonts w:eastAsia="Times New Roman" w:cs="Arial"/>
          <w:i/>
          <w:iCs/>
          <w:color w:val="000000"/>
          <w:lang w:eastAsia="bg-BG"/>
        </w:rPr>
        <w:t>Дисеминирана Лаймска борелиоза (ранна (II стадий) и късна (III стадий))</w:t>
      </w:r>
    </w:p>
    <w:p w14:paraId="223CCC29" w14:textId="77777777" w:rsidR="002B4918" w:rsidRPr="002B4918" w:rsidRDefault="002B4918" w:rsidP="002B4918">
      <w:pPr>
        <w:spacing w:line="240" w:lineRule="auto"/>
        <w:rPr>
          <w:rFonts w:eastAsia="Times New Roman" w:cs="Arial"/>
        </w:rPr>
      </w:pPr>
      <w:r w:rsidRPr="002B4918">
        <w:rPr>
          <w:rFonts w:eastAsia="Times New Roman" w:cs="Arial"/>
          <w:color w:val="000000"/>
          <w:lang w:eastAsia="bg-BG"/>
        </w:rPr>
        <w:t xml:space="preserve">2 </w:t>
      </w:r>
      <w:r w:rsidRPr="002B4918">
        <w:rPr>
          <w:rFonts w:eastAsia="Times New Roman" w:cs="Arial"/>
          <w:color w:val="000000"/>
          <w:lang w:val="en-US"/>
        </w:rPr>
        <w:t>g</w:t>
      </w:r>
      <w:r w:rsidRPr="002B4918">
        <w:rPr>
          <w:rFonts w:eastAsia="Times New Roman" w:cs="Arial"/>
          <w:color w:val="000000"/>
          <w:lang w:val="ru-RU"/>
        </w:rPr>
        <w:t xml:space="preserve"> </w:t>
      </w:r>
      <w:r w:rsidRPr="002B4918">
        <w:rPr>
          <w:rFonts w:eastAsia="Times New Roman" w:cs="Arial"/>
          <w:color w:val="000000"/>
          <w:lang w:eastAsia="bg-BG"/>
        </w:rPr>
        <w:t>еднократно дневно в продължение на 14-21 дни. Препоръчителната продължителност на лечение се различава и трябва да се съблюдават националните или местни ръководства.</w:t>
      </w:r>
    </w:p>
    <w:p w14:paraId="2CFA9C58" w14:textId="77777777" w:rsidR="002B4918" w:rsidRPr="002B4918" w:rsidRDefault="002B4918" w:rsidP="002B4918">
      <w:pPr>
        <w:spacing w:line="240" w:lineRule="auto"/>
        <w:rPr>
          <w:rFonts w:eastAsia="Times New Roman" w:cs="Arial"/>
          <w:i/>
          <w:iCs/>
          <w:color w:val="000000"/>
          <w:u w:val="single"/>
          <w:lang w:eastAsia="bg-BG"/>
        </w:rPr>
      </w:pPr>
    </w:p>
    <w:p w14:paraId="11710010" w14:textId="438A5563" w:rsidR="002B4918" w:rsidRPr="002B4918" w:rsidRDefault="002B4918" w:rsidP="002B4918">
      <w:pPr>
        <w:spacing w:line="240" w:lineRule="auto"/>
        <w:rPr>
          <w:rFonts w:eastAsia="Times New Roman" w:cs="Arial"/>
        </w:rPr>
      </w:pPr>
      <w:r w:rsidRPr="002B4918">
        <w:rPr>
          <w:rFonts w:eastAsia="Times New Roman" w:cs="Arial"/>
          <w:i/>
          <w:iCs/>
          <w:color w:val="000000"/>
          <w:u w:val="single"/>
          <w:lang w:eastAsia="bg-BG"/>
        </w:rPr>
        <w:t>Педиатрична популаиия</w:t>
      </w:r>
    </w:p>
    <w:p w14:paraId="098607C8" w14:textId="77777777" w:rsidR="002B4918" w:rsidRPr="002B4918" w:rsidRDefault="002B4918" w:rsidP="002B4918">
      <w:pPr>
        <w:spacing w:line="240" w:lineRule="auto"/>
        <w:rPr>
          <w:rFonts w:eastAsia="Times New Roman" w:cs="Arial"/>
          <w:i/>
          <w:iCs/>
          <w:color w:val="000000"/>
          <w:u w:val="single"/>
          <w:lang w:eastAsia="bg-BG"/>
        </w:rPr>
      </w:pPr>
    </w:p>
    <w:p w14:paraId="371C1E02" w14:textId="254CAC98" w:rsidR="002B4918" w:rsidRPr="002B4918" w:rsidRDefault="002B4918" w:rsidP="002B4918">
      <w:pPr>
        <w:spacing w:line="240" w:lineRule="auto"/>
        <w:rPr>
          <w:rFonts w:eastAsia="Times New Roman" w:cs="Arial"/>
        </w:rPr>
      </w:pPr>
      <w:r w:rsidRPr="002B4918">
        <w:rPr>
          <w:rFonts w:eastAsia="Times New Roman" w:cs="Arial"/>
          <w:i/>
          <w:iCs/>
          <w:color w:val="000000"/>
          <w:u w:val="single"/>
          <w:lang w:eastAsia="bg-BG"/>
        </w:rPr>
        <w:t xml:space="preserve">Новородени, кърмачета и деиа от 15 дни до 12-годишна възраст (&lt;50 </w:t>
      </w:r>
      <w:proofErr w:type="spellStart"/>
      <w:r w:rsidRPr="002B4918">
        <w:rPr>
          <w:rFonts w:eastAsia="Times New Roman" w:cs="Arial"/>
          <w:i/>
          <w:iCs/>
          <w:color w:val="000000"/>
          <w:u w:val="single"/>
          <w:lang w:val="en-US"/>
        </w:rPr>
        <w:t>faz</w:t>
      </w:r>
      <w:proofErr w:type="spellEnd"/>
      <w:r w:rsidRPr="002B4918">
        <w:rPr>
          <w:rFonts w:eastAsia="Times New Roman" w:cs="Arial"/>
          <w:i/>
          <w:iCs/>
          <w:color w:val="000000"/>
          <w:u w:val="single"/>
          <w:lang w:val="ru-RU"/>
        </w:rPr>
        <w:t>)</w:t>
      </w:r>
    </w:p>
    <w:p w14:paraId="30560717" w14:textId="57E4F039" w:rsidR="002B4918" w:rsidRDefault="002B4918" w:rsidP="002B4918">
      <w:pPr>
        <w:rPr>
          <w:rFonts w:eastAsia="Times New Roman" w:cs="Arial"/>
          <w:color w:val="000000"/>
          <w:lang w:eastAsia="bg-BG"/>
        </w:rPr>
      </w:pPr>
      <w:r w:rsidRPr="002B4918">
        <w:rPr>
          <w:rFonts w:eastAsia="Times New Roman" w:cs="Arial"/>
          <w:color w:val="000000"/>
          <w:lang w:eastAsia="bg-BG"/>
        </w:rPr>
        <w:t xml:space="preserve">За деца с телесно тегло 50 </w:t>
      </w:r>
      <w:r w:rsidRPr="002B4918">
        <w:rPr>
          <w:rFonts w:eastAsia="Times New Roman" w:cs="Arial"/>
          <w:color w:val="000000"/>
          <w:lang w:val="en-US"/>
        </w:rPr>
        <w:t>kg</w:t>
      </w:r>
      <w:r w:rsidRPr="002B4918">
        <w:rPr>
          <w:rFonts w:eastAsia="Times New Roman" w:cs="Arial"/>
          <w:color w:val="000000"/>
          <w:lang w:val="ru-RU"/>
        </w:rPr>
        <w:t xml:space="preserve"> </w:t>
      </w:r>
      <w:r w:rsidRPr="002B4918">
        <w:rPr>
          <w:rFonts w:eastAsia="Times New Roman" w:cs="Arial"/>
          <w:color w:val="000000"/>
          <w:lang w:eastAsia="bg-BG"/>
        </w:rPr>
        <w:t>и повече трябва да се прилага обичайната доза за възрастни.</w:t>
      </w:r>
    </w:p>
    <w:tbl>
      <w:tblPr>
        <w:tblStyle w:val="TableGrid"/>
        <w:tblW w:w="0" w:type="auto"/>
        <w:tblLook w:val="04A0" w:firstRow="1" w:lastRow="0" w:firstColumn="1" w:lastColumn="0" w:noHBand="0" w:noVBand="1"/>
      </w:tblPr>
      <w:tblGrid>
        <w:gridCol w:w="3108"/>
        <w:gridCol w:w="3104"/>
        <w:gridCol w:w="3138"/>
      </w:tblGrid>
      <w:tr w:rsidR="002B4918" w14:paraId="39200558" w14:textId="77777777" w:rsidTr="002B4918">
        <w:tc>
          <w:tcPr>
            <w:tcW w:w="3192" w:type="dxa"/>
          </w:tcPr>
          <w:p w14:paraId="7D6DDC2B" w14:textId="6FCEA5D7" w:rsidR="002B4918" w:rsidRPr="002B4918" w:rsidRDefault="002B4918" w:rsidP="002B4918">
            <w:pPr>
              <w:rPr>
                <w:rFonts w:cs="Arial"/>
              </w:rPr>
            </w:pPr>
            <w:r w:rsidRPr="002B4918">
              <w:rPr>
                <w:b/>
                <w:bCs/>
                <w:i/>
                <w:iCs/>
                <w:szCs w:val="20"/>
              </w:rPr>
              <w:t>Дози на цефзприаксон *</w:t>
            </w:r>
          </w:p>
        </w:tc>
        <w:tc>
          <w:tcPr>
            <w:tcW w:w="3192" w:type="dxa"/>
          </w:tcPr>
          <w:p w14:paraId="7AA45D25" w14:textId="65BD2842" w:rsidR="002B4918" w:rsidRPr="002B4918" w:rsidRDefault="002B4918" w:rsidP="002B4918">
            <w:pPr>
              <w:rPr>
                <w:rFonts w:cs="Arial"/>
              </w:rPr>
            </w:pPr>
            <w:r w:rsidRPr="002B4918">
              <w:rPr>
                <w:b/>
                <w:bCs/>
                <w:i/>
                <w:iCs/>
                <w:szCs w:val="20"/>
              </w:rPr>
              <w:t>Честота на приложение**</w:t>
            </w:r>
          </w:p>
        </w:tc>
        <w:tc>
          <w:tcPr>
            <w:tcW w:w="3192" w:type="dxa"/>
          </w:tcPr>
          <w:p w14:paraId="0E965AA4" w14:textId="24BE4F42" w:rsidR="002B4918" w:rsidRPr="002B4918" w:rsidRDefault="002B4918" w:rsidP="002B4918">
            <w:pPr>
              <w:rPr>
                <w:rFonts w:cs="Arial"/>
              </w:rPr>
            </w:pPr>
            <w:r w:rsidRPr="002B4918">
              <w:rPr>
                <w:b/>
                <w:bCs/>
                <w:i/>
                <w:iCs/>
                <w:szCs w:val="20"/>
              </w:rPr>
              <w:t>Показания</w:t>
            </w:r>
          </w:p>
        </w:tc>
      </w:tr>
      <w:tr w:rsidR="002B4918" w14:paraId="586D3DA4" w14:textId="77777777" w:rsidTr="002B4918">
        <w:tc>
          <w:tcPr>
            <w:tcW w:w="3192" w:type="dxa"/>
            <w:vMerge w:val="restart"/>
          </w:tcPr>
          <w:p w14:paraId="1C79CA8D" w14:textId="33F3644E" w:rsidR="002B4918" w:rsidRPr="002B4918" w:rsidRDefault="002B4918" w:rsidP="002B4918">
            <w:pPr>
              <w:rPr>
                <w:rFonts w:cs="Arial"/>
              </w:rPr>
            </w:pPr>
            <w:r w:rsidRPr="002B4918">
              <w:rPr>
                <w:szCs w:val="20"/>
              </w:rPr>
              <w:t xml:space="preserve">50-80 </w:t>
            </w:r>
            <w:r w:rsidRPr="002B4918">
              <w:rPr>
                <w:szCs w:val="20"/>
                <w:lang w:val="en-US"/>
              </w:rPr>
              <w:t>mg/kg</w:t>
            </w:r>
          </w:p>
        </w:tc>
        <w:tc>
          <w:tcPr>
            <w:tcW w:w="3192" w:type="dxa"/>
            <w:vMerge w:val="restart"/>
          </w:tcPr>
          <w:p w14:paraId="075C44F0" w14:textId="1B5BC933" w:rsidR="002B4918" w:rsidRPr="002B4918" w:rsidRDefault="002B4918" w:rsidP="002B4918">
            <w:pPr>
              <w:rPr>
                <w:rFonts w:cs="Arial"/>
              </w:rPr>
            </w:pPr>
            <w:r w:rsidRPr="002B4918">
              <w:rPr>
                <w:i/>
                <w:iCs/>
                <w:szCs w:val="20"/>
              </w:rPr>
              <w:t>Еднократно дневно</w:t>
            </w:r>
          </w:p>
        </w:tc>
        <w:tc>
          <w:tcPr>
            <w:tcW w:w="3192" w:type="dxa"/>
          </w:tcPr>
          <w:p w14:paraId="79CD6A20" w14:textId="2B425A3B" w:rsidR="002B4918" w:rsidRPr="002B4918" w:rsidRDefault="002B4918" w:rsidP="002B4918">
            <w:pPr>
              <w:rPr>
                <w:rFonts w:cs="Arial"/>
              </w:rPr>
            </w:pPr>
            <w:r w:rsidRPr="002B4918">
              <w:rPr>
                <w:i/>
                <w:iCs/>
                <w:szCs w:val="20"/>
              </w:rPr>
              <w:t>Интраабдоминални ифекции</w:t>
            </w:r>
          </w:p>
        </w:tc>
      </w:tr>
      <w:tr w:rsidR="002B4918" w14:paraId="3BFD7D04" w14:textId="77777777" w:rsidTr="002B4918">
        <w:tc>
          <w:tcPr>
            <w:tcW w:w="3192" w:type="dxa"/>
            <w:vMerge/>
          </w:tcPr>
          <w:p w14:paraId="71E2ABB2" w14:textId="77777777" w:rsidR="002B4918" w:rsidRPr="002B4918" w:rsidRDefault="002B4918" w:rsidP="002B4918">
            <w:pPr>
              <w:rPr>
                <w:rFonts w:cs="Arial"/>
              </w:rPr>
            </w:pPr>
          </w:p>
        </w:tc>
        <w:tc>
          <w:tcPr>
            <w:tcW w:w="3192" w:type="dxa"/>
            <w:vMerge/>
          </w:tcPr>
          <w:p w14:paraId="1FE1B3D1" w14:textId="77777777" w:rsidR="002B4918" w:rsidRPr="002B4918" w:rsidRDefault="002B4918" w:rsidP="002B4918">
            <w:pPr>
              <w:rPr>
                <w:rFonts w:cs="Arial"/>
              </w:rPr>
            </w:pPr>
          </w:p>
        </w:tc>
        <w:tc>
          <w:tcPr>
            <w:tcW w:w="3192" w:type="dxa"/>
          </w:tcPr>
          <w:p w14:paraId="30BC1EFC" w14:textId="2B8C65D2" w:rsidR="002B4918" w:rsidRPr="002B4918" w:rsidRDefault="002B4918" w:rsidP="002B4918">
            <w:pPr>
              <w:rPr>
                <w:rFonts w:cs="Arial"/>
              </w:rPr>
            </w:pPr>
            <w:r w:rsidRPr="002B4918">
              <w:rPr>
                <w:i/>
                <w:iCs/>
                <w:szCs w:val="20"/>
              </w:rPr>
              <w:t>Усложнени инфекции на пикочните пътища (включително пиелонефрит)</w:t>
            </w:r>
          </w:p>
        </w:tc>
      </w:tr>
      <w:tr w:rsidR="002B4918" w14:paraId="4CA1E53B" w14:textId="77777777" w:rsidTr="002B4918">
        <w:tc>
          <w:tcPr>
            <w:tcW w:w="3192" w:type="dxa"/>
            <w:vMerge/>
          </w:tcPr>
          <w:p w14:paraId="06B1E9A2" w14:textId="77777777" w:rsidR="002B4918" w:rsidRPr="002B4918" w:rsidRDefault="002B4918" w:rsidP="002B4918">
            <w:pPr>
              <w:rPr>
                <w:rFonts w:cs="Arial"/>
              </w:rPr>
            </w:pPr>
          </w:p>
        </w:tc>
        <w:tc>
          <w:tcPr>
            <w:tcW w:w="3192" w:type="dxa"/>
            <w:vMerge/>
          </w:tcPr>
          <w:p w14:paraId="725CA3E5" w14:textId="77777777" w:rsidR="002B4918" w:rsidRPr="002B4918" w:rsidRDefault="002B4918" w:rsidP="002B4918">
            <w:pPr>
              <w:rPr>
                <w:rFonts w:cs="Arial"/>
              </w:rPr>
            </w:pPr>
          </w:p>
        </w:tc>
        <w:tc>
          <w:tcPr>
            <w:tcW w:w="3192" w:type="dxa"/>
          </w:tcPr>
          <w:p w14:paraId="6708834C" w14:textId="442B01B4" w:rsidR="002B4918" w:rsidRPr="002B4918" w:rsidRDefault="002B4918" w:rsidP="002B4918">
            <w:pPr>
              <w:rPr>
                <w:rFonts w:cs="Arial"/>
              </w:rPr>
            </w:pPr>
            <w:r w:rsidRPr="002B4918">
              <w:rPr>
                <w:i/>
                <w:iCs/>
                <w:szCs w:val="20"/>
              </w:rPr>
              <w:t>Пневмония, придобита в обществото</w:t>
            </w:r>
          </w:p>
        </w:tc>
      </w:tr>
      <w:tr w:rsidR="002B4918" w14:paraId="298C581D" w14:textId="77777777" w:rsidTr="002B4918">
        <w:tc>
          <w:tcPr>
            <w:tcW w:w="3192" w:type="dxa"/>
            <w:vMerge/>
          </w:tcPr>
          <w:p w14:paraId="79E3F47A" w14:textId="77777777" w:rsidR="002B4918" w:rsidRPr="002B4918" w:rsidRDefault="002B4918" w:rsidP="002B4918">
            <w:pPr>
              <w:rPr>
                <w:rFonts w:cs="Arial"/>
              </w:rPr>
            </w:pPr>
          </w:p>
        </w:tc>
        <w:tc>
          <w:tcPr>
            <w:tcW w:w="3192" w:type="dxa"/>
            <w:vMerge/>
          </w:tcPr>
          <w:p w14:paraId="3926E9AD" w14:textId="77777777" w:rsidR="002B4918" w:rsidRPr="002B4918" w:rsidRDefault="002B4918" w:rsidP="002B4918">
            <w:pPr>
              <w:rPr>
                <w:rFonts w:cs="Arial"/>
              </w:rPr>
            </w:pPr>
          </w:p>
        </w:tc>
        <w:tc>
          <w:tcPr>
            <w:tcW w:w="3192" w:type="dxa"/>
          </w:tcPr>
          <w:p w14:paraId="24DF6758" w14:textId="40ED3D1E" w:rsidR="002B4918" w:rsidRPr="002B4918" w:rsidRDefault="002B4918" w:rsidP="002B4918">
            <w:pPr>
              <w:rPr>
                <w:rFonts w:cs="Arial"/>
              </w:rPr>
            </w:pPr>
            <w:r w:rsidRPr="002B4918">
              <w:rPr>
                <w:i/>
                <w:iCs/>
                <w:szCs w:val="20"/>
              </w:rPr>
              <w:t>Пневмония, придобита в болницата</w:t>
            </w:r>
          </w:p>
        </w:tc>
      </w:tr>
      <w:tr w:rsidR="002B4918" w14:paraId="0DBCBE5F" w14:textId="77777777" w:rsidTr="002B4918">
        <w:tc>
          <w:tcPr>
            <w:tcW w:w="3192" w:type="dxa"/>
            <w:vMerge w:val="restart"/>
          </w:tcPr>
          <w:p w14:paraId="684E82DC" w14:textId="77777777" w:rsidR="002B4918" w:rsidRPr="002B4918" w:rsidRDefault="002B4918" w:rsidP="002B4918">
            <w:r w:rsidRPr="002B4918">
              <w:rPr>
                <w:szCs w:val="20"/>
              </w:rPr>
              <w:t xml:space="preserve">50-100 </w:t>
            </w:r>
            <w:r w:rsidRPr="002B4918">
              <w:rPr>
                <w:szCs w:val="20"/>
                <w:lang w:val="en-US"/>
              </w:rPr>
              <w:t>mg/kg</w:t>
            </w:r>
          </w:p>
          <w:p w14:paraId="081D0C68" w14:textId="26FF1F65" w:rsidR="002B4918" w:rsidRPr="002B4918" w:rsidRDefault="002B4918" w:rsidP="002B4918">
            <w:pPr>
              <w:rPr>
                <w:rFonts w:cs="Arial"/>
              </w:rPr>
            </w:pPr>
            <w:r w:rsidRPr="002B4918">
              <w:rPr>
                <w:szCs w:val="20"/>
              </w:rPr>
              <w:t xml:space="preserve">(максимум 4 </w:t>
            </w:r>
            <w:r w:rsidRPr="002B4918">
              <w:rPr>
                <w:szCs w:val="20"/>
                <w:lang w:val="en-US"/>
              </w:rPr>
              <w:t>g)</w:t>
            </w:r>
          </w:p>
        </w:tc>
        <w:tc>
          <w:tcPr>
            <w:tcW w:w="3192" w:type="dxa"/>
            <w:vMerge w:val="restart"/>
          </w:tcPr>
          <w:p w14:paraId="5D71AA47" w14:textId="246427A1" w:rsidR="002B4918" w:rsidRPr="002B4918" w:rsidRDefault="002B4918" w:rsidP="002B4918">
            <w:pPr>
              <w:rPr>
                <w:rFonts w:cs="Arial"/>
              </w:rPr>
            </w:pPr>
            <w:r w:rsidRPr="002B4918">
              <w:rPr>
                <w:i/>
                <w:iCs/>
                <w:szCs w:val="20"/>
              </w:rPr>
              <w:t>Еднократно дневно</w:t>
            </w:r>
          </w:p>
        </w:tc>
        <w:tc>
          <w:tcPr>
            <w:tcW w:w="3192" w:type="dxa"/>
          </w:tcPr>
          <w:p w14:paraId="6C9E3DFB" w14:textId="31511F56" w:rsidR="002B4918" w:rsidRPr="002B4918" w:rsidRDefault="002B4918" w:rsidP="002B4918">
            <w:pPr>
              <w:rPr>
                <w:rFonts w:cs="Arial"/>
              </w:rPr>
            </w:pPr>
            <w:r w:rsidRPr="002B4918">
              <w:rPr>
                <w:i/>
                <w:iCs/>
                <w:szCs w:val="20"/>
              </w:rPr>
              <w:t>Усложнени инфекции на кожата и меките тъкани</w:t>
            </w:r>
          </w:p>
        </w:tc>
      </w:tr>
      <w:tr w:rsidR="002B4918" w14:paraId="4BEA160A" w14:textId="77777777" w:rsidTr="002B4918">
        <w:tc>
          <w:tcPr>
            <w:tcW w:w="3192" w:type="dxa"/>
            <w:vMerge/>
          </w:tcPr>
          <w:p w14:paraId="1CE0037A" w14:textId="77777777" w:rsidR="002B4918" w:rsidRPr="002B4918" w:rsidRDefault="002B4918" w:rsidP="002B4918">
            <w:pPr>
              <w:rPr>
                <w:rFonts w:cs="Arial"/>
              </w:rPr>
            </w:pPr>
          </w:p>
        </w:tc>
        <w:tc>
          <w:tcPr>
            <w:tcW w:w="3192" w:type="dxa"/>
            <w:vMerge/>
          </w:tcPr>
          <w:p w14:paraId="58F2254D" w14:textId="77777777" w:rsidR="002B4918" w:rsidRPr="002B4918" w:rsidRDefault="002B4918" w:rsidP="002B4918">
            <w:pPr>
              <w:rPr>
                <w:rFonts w:cs="Arial"/>
              </w:rPr>
            </w:pPr>
          </w:p>
        </w:tc>
        <w:tc>
          <w:tcPr>
            <w:tcW w:w="3192" w:type="dxa"/>
          </w:tcPr>
          <w:p w14:paraId="5C8DEDD6" w14:textId="102BE389" w:rsidR="002B4918" w:rsidRPr="002B4918" w:rsidRDefault="002B4918" w:rsidP="002B4918">
            <w:pPr>
              <w:rPr>
                <w:rFonts w:cs="Arial"/>
              </w:rPr>
            </w:pPr>
            <w:r w:rsidRPr="002B4918">
              <w:rPr>
                <w:i/>
                <w:iCs/>
                <w:szCs w:val="20"/>
              </w:rPr>
              <w:t>Инфекции на костите и ставите</w:t>
            </w:r>
          </w:p>
        </w:tc>
      </w:tr>
      <w:tr w:rsidR="002B4918" w14:paraId="1FC3C410" w14:textId="77777777" w:rsidTr="002B4918">
        <w:tc>
          <w:tcPr>
            <w:tcW w:w="3192" w:type="dxa"/>
            <w:vMerge/>
          </w:tcPr>
          <w:p w14:paraId="6E5C5BAA" w14:textId="77777777" w:rsidR="002B4918" w:rsidRPr="002B4918" w:rsidRDefault="002B4918" w:rsidP="002B4918">
            <w:pPr>
              <w:rPr>
                <w:rFonts w:cs="Arial"/>
              </w:rPr>
            </w:pPr>
          </w:p>
        </w:tc>
        <w:tc>
          <w:tcPr>
            <w:tcW w:w="3192" w:type="dxa"/>
            <w:vMerge/>
          </w:tcPr>
          <w:p w14:paraId="68358762" w14:textId="77777777" w:rsidR="002B4918" w:rsidRPr="002B4918" w:rsidRDefault="002B4918" w:rsidP="002B4918">
            <w:pPr>
              <w:rPr>
                <w:rFonts w:cs="Arial"/>
              </w:rPr>
            </w:pPr>
          </w:p>
        </w:tc>
        <w:tc>
          <w:tcPr>
            <w:tcW w:w="3192" w:type="dxa"/>
          </w:tcPr>
          <w:p w14:paraId="6897B9E7" w14:textId="7EC4C892" w:rsidR="002B4918" w:rsidRPr="002B4918" w:rsidRDefault="002B4918" w:rsidP="002B4918">
            <w:pPr>
              <w:rPr>
                <w:rFonts w:cs="Arial"/>
              </w:rPr>
            </w:pPr>
            <w:r w:rsidRPr="002B4918">
              <w:rPr>
                <w:i/>
                <w:iCs/>
                <w:szCs w:val="20"/>
              </w:rPr>
              <w:t>Овладяване на треска при пациенти с неутропения</w:t>
            </w:r>
          </w:p>
        </w:tc>
      </w:tr>
      <w:tr w:rsidR="002B4918" w14:paraId="003C0AD8" w14:textId="77777777" w:rsidTr="002B4918">
        <w:tc>
          <w:tcPr>
            <w:tcW w:w="3192" w:type="dxa"/>
          </w:tcPr>
          <w:p w14:paraId="5E4F8605" w14:textId="77777777" w:rsidR="002B4918" w:rsidRPr="002B4918" w:rsidRDefault="002B4918" w:rsidP="002B4918">
            <w:r w:rsidRPr="002B4918">
              <w:rPr>
                <w:szCs w:val="20"/>
              </w:rPr>
              <w:t xml:space="preserve">80-100 </w:t>
            </w:r>
            <w:r w:rsidRPr="002B4918">
              <w:rPr>
                <w:szCs w:val="20"/>
                <w:lang w:val="en-US"/>
              </w:rPr>
              <w:t>mg/kg</w:t>
            </w:r>
          </w:p>
          <w:p w14:paraId="344557EE" w14:textId="2BD546C2" w:rsidR="002B4918" w:rsidRPr="002B4918" w:rsidRDefault="002B4918" w:rsidP="002B4918">
            <w:pPr>
              <w:rPr>
                <w:rFonts w:cs="Arial"/>
              </w:rPr>
            </w:pPr>
            <w:r w:rsidRPr="002B4918">
              <w:rPr>
                <w:szCs w:val="20"/>
              </w:rPr>
              <w:t xml:space="preserve">(максимум 4 </w:t>
            </w:r>
            <w:r w:rsidRPr="002B4918">
              <w:rPr>
                <w:szCs w:val="20"/>
                <w:lang w:val="en-US"/>
              </w:rPr>
              <w:t>g)</w:t>
            </w:r>
          </w:p>
        </w:tc>
        <w:tc>
          <w:tcPr>
            <w:tcW w:w="3192" w:type="dxa"/>
          </w:tcPr>
          <w:p w14:paraId="634B0F30" w14:textId="30084B42" w:rsidR="002B4918" w:rsidRPr="002B4918" w:rsidRDefault="002B4918" w:rsidP="002B4918">
            <w:pPr>
              <w:rPr>
                <w:rFonts w:cs="Arial"/>
              </w:rPr>
            </w:pPr>
            <w:r w:rsidRPr="002B4918">
              <w:rPr>
                <w:i/>
                <w:iCs/>
                <w:szCs w:val="20"/>
              </w:rPr>
              <w:t>Еднократно дневно</w:t>
            </w:r>
          </w:p>
        </w:tc>
        <w:tc>
          <w:tcPr>
            <w:tcW w:w="3192" w:type="dxa"/>
          </w:tcPr>
          <w:p w14:paraId="51929A73" w14:textId="493BE118" w:rsidR="002B4918" w:rsidRPr="002B4918" w:rsidRDefault="002B4918" w:rsidP="002B4918">
            <w:pPr>
              <w:rPr>
                <w:rFonts w:cs="Arial"/>
              </w:rPr>
            </w:pPr>
            <w:r w:rsidRPr="002B4918">
              <w:rPr>
                <w:i/>
                <w:iCs/>
                <w:szCs w:val="20"/>
              </w:rPr>
              <w:t>Бактериален ендокардит</w:t>
            </w:r>
          </w:p>
        </w:tc>
      </w:tr>
      <w:tr w:rsidR="002B4918" w14:paraId="2A5274C7" w14:textId="77777777" w:rsidTr="002B4918">
        <w:tc>
          <w:tcPr>
            <w:tcW w:w="3192" w:type="dxa"/>
          </w:tcPr>
          <w:p w14:paraId="1A78A483" w14:textId="19371F73" w:rsidR="002B4918" w:rsidRPr="002B4918" w:rsidRDefault="002B4918" w:rsidP="002B4918">
            <w:pPr>
              <w:rPr>
                <w:rFonts w:cs="Arial"/>
              </w:rPr>
            </w:pPr>
            <w:r w:rsidRPr="002B4918">
              <w:rPr>
                <w:szCs w:val="20"/>
              </w:rPr>
              <w:t xml:space="preserve">100 </w:t>
            </w:r>
            <w:r w:rsidRPr="002B4918">
              <w:rPr>
                <w:szCs w:val="20"/>
                <w:lang w:val="en-US"/>
              </w:rPr>
              <w:t xml:space="preserve">mg/kg </w:t>
            </w:r>
            <w:r w:rsidRPr="002B4918">
              <w:rPr>
                <w:szCs w:val="20"/>
              </w:rPr>
              <w:t xml:space="preserve">(максимум </w:t>
            </w:r>
            <w:r w:rsidRPr="002B4918">
              <w:rPr>
                <w:szCs w:val="20"/>
                <w:lang w:val="en-US"/>
              </w:rPr>
              <w:t>4 g)</w:t>
            </w:r>
          </w:p>
        </w:tc>
        <w:tc>
          <w:tcPr>
            <w:tcW w:w="3192" w:type="dxa"/>
          </w:tcPr>
          <w:p w14:paraId="214BF73B" w14:textId="72BE4E6C" w:rsidR="002B4918" w:rsidRPr="002B4918" w:rsidRDefault="002B4918" w:rsidP="002B4918">
            <w:pPr>
              <w:rPr>
                <w:rFonts w:cs="Arial"/>
              </w:rPr>
            </w:pPr>
            <w:r w:rsidRPr="002B4918">
              <w:rPr>
                <w:i/>
                <w:iCs/>
                <w:szCs w:val="20"/>
              </w:rPr>
              <w:t>Еднократно дневно</w:t>
            </w:r>
          </w:p>
        </w:tc>
        <w:tc>
          <w:tcPr>
            <w:tcW w:w="3192" w:type="dxa"/>
          </w:tcPr>
          <w:p w14:paraId="7A5858C5" w14:textId="09D388AA" w:rsidR="002B4918" w:rsidRPr="002B4918" w:rsidRDefault="002B4918" w:rsidP="002B4918">
            <w:pPr>
              <w:rPr>
                <w:rFonts w:cs="Arial"/>
              </w:rPr>
            </w:pPr>
            <w:r w:rsidRPr="002B4918">
              <w:rPr>
                <w:i/>
                <w:iCs/>
                <w:szCs w:val="20"/>
              </w:rPr>
              <w:t>Бактериален менингит</w:t>
            </w:r>
          </w:p>
        </w:tc>
      </w:tr>
    </w:tbl>
    <w:p w14:paraId="5D6F2E05" w14:textId="77777777" w:rsidR="002B4918" w:rsidRPr="002B4918" w:rsidRDefault="002B4918" w:rsidP="002B4918">
      <w:pPr>
        <w:spacing w:line="240" w:lineRule="auto"/>
        <w:rPr>
          <w:rFonts w:eastAsia="Times New Roman" w:cs="Arial"/>
          <w:sz w:val="28"/>
          <w:szCs w:val="24"/>
        </w:rPr>
      </w:pPr>
      <w:r w:rsidRPr="002B4918">
        <w:rPr>
          <w:rFonts w:eastAsia="Times New Roman" w:cs="Arial"/>
          <w:color w:val="000000"/>
          <w:szCs w:val="20"/>
          <w:lang w:eastAsia="bg-BG"/>
        </w:rPr>
        <w:t>*При доказана бактериемия трябва да се прилага най-високата доза - горната граница на препоръчваната доза</w:t>
      </w:r>
    </w:p>
    <w:p w14:paraId="0D456AA2" w14:textId="77777777" w:rsidR="002B4918" w:rsidRPr="002B4918" w:rsidRDefault="002B4918" w:rsidP="002B4918">
      <w:pPr>
        <w:spacing w:line="240" w:lineRule="auto"/>
        <w:rPr>
          <w:rFonts w:eastAsia="Times New Roman" w:cs="Arial"/>
          <w:sz w:val="28"/>
          <w:szCs w:val="24"/>
        </w:rPr>
      </w:pPr>
      <w:r w:rsidRPr="002B4918">
        <w:rPr>
          <w:rFonts w:eastAsia="Times New Roman" w:cs="Arial"/>
          <w:color w:val="000000"/>
          <w:szCs w:val="20"/>
          <w:lang w:eastAsia="bg-BG"/>
        </w:rPr>
        <w:t xml:space="preserve">**Дневни дози по-високи от 2 </w:t>
      </w:r>
      <w:r w:rsidRPr="002B4918">
        <w:rPr>
          <w:rFonts w:eastAsia="Times New Roman" w:cs="Arial"/>
          <w:color w:val="000000"/>
          <w:szCs w:val="20"/>
          <w:lang w:val="en-US"/>
        </w:rPr>
        <w:t>g</w:t>
      </w:r>
      <w:r w:rsidRPr="002B4918">
        <w:rPr>
          <w:rFonts w:eastAsia="Times New Roman" w:cs="Arial"/>
          <w:color w:val="000000"/>
          <w:szCs w:val="20"/>
          <w:lang w:val="ru-RU"/>
        </w:rPr>
        <w:t xml:space="preserve"> </w:t>
      </w:r>
      <w:r w:rsidRPr="002B4918">
        <w:rPr>
          <w:rFonts w:eastAsia="Times New Roman" w:cs="Arial"/>
          <w:color w:val="000000"/>
          <w:szCs w:val="20"/>
          <w:lang w:eastAsia="bg-BG"/>
        </w:rPr>
        <w:t>могат да се прилагат два пъти дневно (на 12 часа).</w:t>
      </w:r>
    </w:p>
    <w:p w14:paraId="290429DB" w14:textId="77777777" w:rsidR="002B4918" w:rsidRPr="002B4918" w:rsidRDefault="002B4918" w:rsidP="002B4918">
      <w:pPr>
        <w:spacing w:line="240" w:lineRule="auto"/>
        <w:rPr>
          <w:rFonts w:eastAsia="Times New Roman" w:cs="Arial"/>
          <w:color w:val="000000"/>
          <w:szCs w:val="20"/>
          <w:lang w:eastAsia="bg-BG"/>
        </w:rPr>
      </w:pPr>
    </w:p>
    <w:p w14:paraId="3B188325" w14:textId="3425CBB2" w:rsidR="002B4918" w:rsidRPr="002B4918" w:rsidRDefault="002B4918" w:rsidP="002B4918">
      <w:pPr>
        <w:spacing w:line="240" w:lineRule="auto"/>
        <w:rPr>
          <w:rFonts w:eastAsia="Times New Roman" w:cs="Arial"/>
          <w:sz w:val="28"/>
          <w:szCs w:val="24"/>
        </w:rPr>
      </w:pPr>
      <w:r w:rsidRPr="002B4918">
        <w:rPr>
          <w:rFonts w:eastAsia="Times New Roman" w:cs="Arial"/>
          <w:color w:val="000000"/>
          <w:szCs w:val="20"/>
          <w:lang w:eastAsia="bg-BG"/>
        </w:rPr>
        <w:t xml:space="preserve">Показания за новородени, кърмачета и деца от 15 дни до 12-годишна възраст (&lt;50 </w:t>
      </w:r>
      <w:r w:rsidRPr="002B4918">
        <w:rPr>
          <w:rFonts w:eastAsia="Times New Roman" w:cs="Arial"/>
          <w:color w:val="000000"/>
          <w:szCs w:val="20"/>
          <w:lang w:val="en-US"/>
        </w:rPr>
        <w:t>kg</w:t>
      </w:r>
      <w:r w:rsidRPr="002B4918">
        <w:rPr>
          <w:rFonts w:eastAsia="Times New Roman" w:cs="Arial"/>
          <w:color w:val="000000"/>
          <w:szCs w:val="20"/>
          <w:lang w:val="ru-RU"/>
        </w:rPr>
        <w:t xml:space="preserve">), </w:t>
      </w:r>
      <w:r w:rsidRPr="002B4918">
        <w:rPr>
          <w:rFonts w:eastAsia="Times New Roman" w:cs="Arial"/>
          <w:color w:val="000000"/>
          <w:szCs w:val="20"/>
          <w:lang w:eastAsia="bg-BG"/>
        </w:rPr>
        <w:t>при които се изискват конкретни дозови схеми:</w:t>
      </w:r>
    </w:p>
    <w:p w14:paraId="1E3FBA82" w14:textId="77777777" w:rsidR="002B4918" w:rsidRPr="002B4918" w:rsidRDefault="002B4918" w:rsidP="002B4918">
      <w:pPr>
        <w:spacing w:line="240" w:lineRule="auto"/>
        <w:rPr>
          <w:rFonts w:eastAsia="Times New Roman" w:cs="Arial"/>
          <w:i/>
          <w:iCs/>
          <w:color w:val="000000"/>
          <w:szCs w:val="20"/>
          <w:lang w:eastAsia="bg-BG"/>
        </w:rPr>
      </w:pPr>
    </w:p>
    <w:p w14:paraId="366C086B" w14:textId="1FC68742" w:rsidR="002B4918" w:rsidRPr="002B4918" w:rsidRDefault="002B4918" w:rsidP="002B4918">
      <w:pPr>
        <w:spacing w:line="240" w:lineRule="auto"/>
        <w:rPr>
          <w:rFonts w:eastAsia="Times New Roman" w:cs="Arial"/>
          <w:sz w:val="28"/>
          <w:szCs w:val="24"/>
        </w:rPr>
      </w:pPr>
      <w:r w:rsidRPr="002B4918">
        <w:rPr>
          <w:rFonts w:eastAsia="Times New Roman" w:cs="Arial"/>
          <w:i/>
          <w:iCs/>
          <w:color w:val="000000"/>
          <w:szCs w:val="20"/>
          <w:lang w:eastAsia="bg-BG"/>
        </w:rPr>
        <w:t>Остър отит на средното ухо</w:t>
      </w:r>
    </w:p>
    <w:p w14:paraId="6136D3A3" w14:textId="77777777" w:rsidR="002B4918" w:rsidRPr="002B4918" w:rsidRDefault="002B4918" w:rsidP="002B4918">
      <w:pPr>
        <w:rPr>
          <w:rFonts w:eastAsia="Times New Roman" w:cs="Arial"/>
          <w:sz w:val="28"/>
          <w:szCs w:val="24"/>
        </w:rPr>
      </w:pPr>
      <w:r w:rsidRPr="002B4918">
        <w:rPr>
          <w:rFonts w:eastAsia="Times New Roman" w:cs="Arial"/>
          <w:color w:val="000000"/>
          <w:szCs w:val="20"/>
          <w:lang w:eastAsia="bg-BG"/>
        </w:rPr>
        <w:t xml:space="preserve">За първоначално лечение на остър отит на средното ухо може да се приложи еднократно интрамускулно доза от 50 </w:t>
      </w:r>
      <w:r w:rsidRPr="002B4918">
        <w:rPr>
          <w:rFonts w:eastAsia="Times New Roman" w:cs="Arial"/>
          <w:color w:val="000000"/>
          <w:szCs w:val="20"/>
          <w:lang w:val="en-US"/>
        </w:rPr>
        <w:t>mg</w:t>
      </w:r>
      <w:r w:rsidRPr="002B4918">
        <w:rPr>
          <w:rFonts w:eastAsia="Times New Roman" w:cs="Arial"/>
          <w:color w:val="000000"/>
          <w:szCs w:val="20"/>
          <w:lang w:val="ru-RU"/>
        </w:rPr>
        <w:t>/</w:t>
      </w:r>
      <w:r w:rsidRPr="002B4918">
        <w:rPr>
          <w:rFonts w:eastAsia="Times New Roman" w:cs="Arial"/>
          <w:color w:val="000000"/>
          <w:szCs w:val="20"/>
          <w:lang w:val="en-US"/>
        </w:rPr>
        <w:t>kg</w:t>
      </w:r>
      <w:r w:rsidRPr="002B4918">
        <w:rPr>
          <w:rFonts w:eastAsia="Times New Roman" w:cs="Arial"/>
          <w:color w:val="000000"/>
          <w:szCs w:val="20"/>
          <w:lang w:val="ru-RU"/>
        </w:rPr>
        <w:t xml:space="preserve"> </w:t>
      </w:r>
      <w:r w:rsidRPr="002B4918">
        <w:rPr>
          <w:rFonts w:eastAsia="Times New Roman" w:cs="Arial"/>
          <w:color w:val="000000"/>
          <w:szCs w:val="20"/>
          <w:lang w:eastAsia="bg-BG"/>
        </w:rPr>
        <w:t xml:space="preserve">Терцеф. Въз основа на ограничени данни се предполага че в случаите, когато детето е тежко болно или началното лечение е неуспешно Терцеф може да </w:t>
      </w:r>
      <w:r w:rsidRPr="002B4918">
        <w:rPr>
          <w:rFonts w:eastAsia="Times New Roman" w:cs="Arial"/>
          <w:i/>
          <w:iCs/>
          <w:color w:val="000000"/>
          <w:szCs w:val="20"/>
          <w:lang w:eastAsia="bg-BG"/>
        </w:rPr>
        <w:t>бъде</w:t>
      </w:r>
      <w:r w:rsidRPr="002B4918">
        <w:rPr>
          <w:rFonts w:eastAsia="Times New Roman" w:cs="Arial"/>
          <w:color w:val="000000"/>
          <w:szCs w:val="20"/>
          <w:lang w:eastAsia="bg-BG"/>
        </w:rPr>
        <w:t xml:space="preserve"> ефективен, когато се прилага интрамускулно в доза от 50 </w:t>
      </w:r>
      <w:r w:rsidRPr="002B4918">
        <w:rPr>
          <w:rFonts w:eastAsia="Times New Roman" w:cs="Arial"/>
          <w:color w:val="000000"/>
          <w:szCs w:val="20"/>
          <w:lang w:val="en-US"/>
        </w:rPr>
        <w:t>mg</w:t>
      </w:r>
      <w:r w:rsidRPr="002B4918">
        <w:rPr>
          <w:rFonts w:eastAsia="Times New Roman" w:cs="Arial"/>
          <w:color w:val="000000"/>
          <w:szCs w:val="20"/>
          <w:lang w:val="ru-RU"/>
        </w:rPr>
        <w:t>/</w:t>
      </w:r>
      <w:r w:rsidRPr="002B4918">
        <w:rPr>
          <w:rFonts w:eastAsia="Times New Roman" w:cs="Arial"/>
          <w:color w:val="000000"/>
          <w:szCs w:val="20"/>
          <w:lang w:val="en-US"/>
        </w:rPr>
        <w:t>kg</w:t>
      </w:r>
      <w:r w:rsidRPr="002B4918">
        <w:rPr>
          <w:rFonts w:eastAsia="Times New Roman" w:cs="Arial"/>
          <w:color w:val="000000"/>
          <w:szCs w:val="20"/>
          <w:lang w:val="ru-RU"/>
        </w:rPr>
        <w:t xml:space="preserve"> </w:t>
      </w:r>
      <w:r w:rsidRPr="002B4918">
        <w:rPr>
          <w:rFonts w:eastAsia="Times New Roman" w:cs="Arial"/>
          <w:color w:val="000000"/>
          <w:szCs w:val="20"/>
          <w:lang w:eastAsia="bg-BG"/>
        </w:rPr>
        <w:t>дневно в продължение на 3 дни.</w:t>
      </w:r>
    </w:p>
    <w:p w14:paraId="3D3BE2AF" w14:textId="77777777" w:rsidR="002B4918" w:rsidRPr="002B4918" w:rsidRDefault="002B4918" w:rsidP="002B4918">
      <w:pPr>
        <w:spacing w:line="240" w:lineRule="auto"/>
        <w:rPr>
          <w:rFonts w:eastAsia="Times New Roman" w:cs="Arial"/>
          <w:i/>
          <w:iCs/>
          <w:color w:val="000000"/>
          <w:szCs w:val="20"/>
          <w:lang w:eastAsia="bg-BG"/>
        </w:rPr>
      </w:pPr>
    </w:p>
    <w:p w14:paraId="2ADE9346" w14:textId="77777777" w:rsidR="002B4918" w:rsidRPr="002B4918" w:rsidRDefault="002B4918" w:rsidP="002B4918">
      <w:pPr>
        <w:spacing w:line="240" w:lineRule="auto"/>
        <w:rPr>
          <w:rFonts w:eastAsia="Times New Roman" w:cs="Arial"/>
          <w:color w:val="000000"/>
          <w:szCs w:val="20"/>
          <w:lang w:eastAsia="bg-BG"/>
        </w:rPr>
      </w:pPr>
      <w:r w:rsidRPr="002B4918">
        <w:rPr>
          <w:rFonts w:eastAsia="Times New Roman" w:cs="Arial"/>
          <w:i/>
          <w:iCs/>
          <w:color w:val="000000"/>
          <w:szCs w:val="20"/>
          <w:lang w:eastAsia="bg-BG"/>
        </w:rPr>
        <w:t xml:space="preserve">Предоперативна профилактика на хирургични раневи инфекции </w:t>
      </w:r>
      <w:r w:rsidRPr="002B4918">
        <w:rPr>
          <w:rFonts w:eastAsia="Times New Roman" w:cs="Arial"/>
          <w:color w:val="000000"/>
          <w:szCs w:val="20"/>
          <w:lang w:eastAsia="bg-BG"/>
        </w:rPr>
        <w:t>5</w:t>
      </w:r>
    </w:p>
    <w:p w14:paraId="0F61F15B" w14:textId="702086C1" w:rsidR="002B4918" w:rsidRPr="002B4918" w:rsidRDefault="002B4918" w:rsidP="002B4918">
      <w:pPr>
        <w:spacing w:line="240" w:lineRule="auto"/>
        <w:rPr>
          <w:rFonts w:eastAsia="Times New Roman" w:cs="Arial"/>
          <w:sz w:val="28"/>
          <w:szCs w:val="24"/>
        </w:rPr>
      </w:pPr>
      <w:r w:rsidRPr="002B4918">
        <w:rPr>
          <w:rFonts w:eastAsia="Times New Roman" w:cs="Arial"/>
          <w:color w:val="000000"/>
          <w:szCs w:val="20"/>
          <w:lang w:eastAsia="bg-BG"/>
        </w:rPr>
        <w:t xml:space="preserve">0-80 </w:t>
      </w:r>
      <w:r w:rsidRPr="002B4918">
        <w:rPr>
          <w:rFonts w:eastAsia="Times New Roman" w:cs="Arial"/>
          <w:color w:val="000000"/>
          <w:szCs w:val="20"/>
          <w:lang w:val="en-US"/>
        </w:rPr>
        <w:t>mg</w:t>
      </w:r>
      <w:r w:rsidRPr="002B4918">
        <w:rPr>
          <w:rFonts w:eastAsia="Times New Roman" w:cs="Arial"/>
          <w:color w:val="000000"/>
          <w:szCs w:val="20"/>
          <w:lang w:val="ru-RU"/>
        </w:rPr>
        <w:t>/</w:t>
      </w:r>
      <w:r w:rsidRPr="002B4918">
        <w:rPr>
          <w:rFonts w:eastAsia="Times New Roman" w:cs="Arial"/>
          <w:color w:val="000000"/>
          <w:szCs w:val="20"/>
          <w:lang w:val="en-US"/>
        </w:rPr>
        <w:t>kg</w:t>
      </w:r>
      <w:r w:rsidRPr="002B4918">
        <w:rPr>
          <w:rFonts w:eastAsia="Times New Roman" w:cs="Arial"/>
          <w:color w:val="000000"/>
          <w:szCs w:val="20"/>
          <w:lang w:val="ru-RU"/>
        </w:rPr>
        <w:t xml:space="preserve"> </w:t>
      </w:r>
      <w:r w:rsidRPr="002B4918">
        <w:rPr>
          <w:rFonts w:eastAsia="Times New Roman" w:cs="Arial"/>
          <w:color w:val="000000"/>
          <w:szCs w:val="20"/>
          <w:lang w:eastAsia="bg-BG"/>
        </w:rPr>
        <w:t>еднократно предоперативно.</w:t>
      </w:r>
    </w:p>
    <w:p w14:paraId="231B79E8" w14:textId="77777777" w:rsidR="002B4918" w:rsidRPr="002B4918" w:rsidRDefault="002B4918" w:rsidP="002B4918">
      <w:pPr>
        <w:spacing w:line="240" w:lineRule="auto"/>
        <w:rPr>
          <w:rFonts w:eastAsia="Times New Roman" w:cs="Arial"/>
          <w:i/>
          <w:iCs/>
          <w:color w:val="000000"/>
          <w:szCs w:val="20"/>
          <w:lang w:eastAsia="bg-BG"/>
        </w:rPr>
      </w:pPr>
    </w:p>
    <w:p w14:paraId="3B74DB11" w14:textId="56F228FE" w:rsidR="002B4918" w:rsidRPr="002B4918" w:rsidRDefault="002B4918" w:rsidP="002B4918">
      <w:pPr>
        <w:spacing w:line="240" w:lineRule="auto"/>
        <w:rPr>
          <w:rFonts w:eastAsia="Times New Roman" w:cs="Arial"/>
          <w:sz w:val="28"/>
          <w:szCs w:val="24"/>
        </w:rPr>
      </w:pPr>
      <w:r w:rsidRPr="002B4918">
        <w:rPr>
          <w:rFonts w:eastAsia="Times New Roman" w:cs="Arial"/>
          <w:i/>
          <w:iCs/>
          <w:color w:val="000000"/>
          <w:szCs w:val="20"/>
          <w:lang w:eastAsia="bg-BG"/>
        </w:rPr>
        <w:t>Сифилис</w:t>
      </w:r>
    </w:p>
    <w:p w14:paraId="0D04FF0F" w14:textId="77777777" w:rsidR="002B4918" w:rsidRPr="002B4918" w:rsidRDefault="002B4918" w:rsidP="002B4918">
      <w:pPr>
        <w:spacing w:line="240" w:lineRule="auto"/>
        <w:rPr>
          <w:rFonts w:eastAsia="Times New Roman" w:cs="Arial"/>
          <w:sz w:val="28"/>
          <w:szCs w:val="24"/>
        </w:rPr>
      </w:pPr>
      <w:r w:rsidRPr="002B4918">
        <w:rPr>
          <w:rFonts w:eastAsia="Times New Roman" w:cs="Arial"/>
          <w:color w:val="000000"/>
          <w:szCs w:val="20"/>
          <w:lang w:eastAsia="bg-BG"/>
        </w:rPr>
        <w:t xml:space="preserve">Обикновено препоръчваните дози са 75-100 </w:t>
      </w:r>
      <w:r w:rsidRPr="002B4918">
        <w:rPr>
          <w:rFonts w:eastAsia="Times New Roman" w:cs="Arial"/>
          <w:color w:val="000000"/>
          <w:szCs w:val="20"/>
          <w:lang w:val="en-US"/>
        </w:rPr>
        <w:t>mg</w:t>
      </w:r>
      <w:r w:rsidRPr="002B4918">
        <w:rPr>
          <w:rFonts w:eastAsia="Times New Roman" w:cs="Arial"/>
          <w:color w:val="000000"/>
          <w:szCs w:val="20"/>
          <w:lang w:val="ru-RU"/>
        </w:rPr>
        <w:t>/</w:t>
      </w:r>
      <w:r w:rsidRPr="002B4918">
        <w:rPr>
          <w:rFonts w:eastAsia="Times New Roman" w:cs="Arial"/>
          <w:color w:val="000000"/>
          <w:szCs w:val="20"/>
          <w:lang w:val="en-US"/>
        </w:rPr>
        <w:t>kg</w:t>
      </w:r>
      <w:r w:rsidRPr="002B4918">
        <w:rPr>
          <w:rFonts w:eastAsia="Times New Roman" w:cs="Arial"/>
          <w:color w:val="000000"/>
          <w:szCs w:val="20"/>
          <w:lang w:val="ru-RU"/>
        </w:rPr>
        <w:t xml:space="preserve"> </w:t>
      </w:r>
      <w:r w:rsidRPr="002B4918">
        <w:rPr>
          <w:rFonts w:eastAsia="Times New Roman" w:cs="Arial"/>
          <w:color w:val="000000"/>
          <w:szCs w:val="20"/>
          <w:lang w:eastAsia="bg-BG"/>
        </w:rPr>
        <w:t xml:space="preserve">(максимум 4 </w:t>
      </w:r>
      <w:r w:rsidRPr="002B4918">
        <w:rPr>
          <w:rFonts w:eastAsia="Times New Roman" w:cs="Arial"/>
          <w:color w:val="000000"/>
          <w:szCs w:val="20"/>
          <w:lang w:val="en-US"/>
        </w:rPr>
        <w:t>g</w:t>
      </w:r>
      <w:r w:rsidRPr="002B4918">
        <w:rPr>
          <w:rFonts w:eastAsia="Times New Roman" w:cs="Arial"/>
          <w:color w:val="000000"/>
          <w:szCs w:val="20"/>
          <w:lang w:val="ru-RU"/>
        </w:rPr>
        <w:t xml:space="preserve">) </w:t>
      </w:r>
      <w:r w:rsidRPr="002B4918">
        <w:rPr>
          <w:rFonts w:eastAsia="Times New Roman" w:cs="Arial"/>
          <w:color w:val="000000"/>
          <w:szCs w:val="20"/>
          <w:lang w:eastAsia="bg-BG"/>
        </w:rPr>
        <w:t>еднократно дневно в продължение на 10-14 дни. Препоръките за дозиране при сифилис, включително невросифилис, се основават на много ограничени данни. Трябва да се спазват националните или местните ръководства.</w:t>
      </w:r>
    </w:p>
    <w:p w14:paraId="2B947593" w14:textId="77777777" w:rsidR="002B4918" w:rsidRPr="002B4918" w:rsidRDefault="002B4918" w:rsidP="002B4918">
      <w:pPr>
        <w:spacing w:line="240" w:lineRule="auto"/>
        <w:rPr>
          <w:rFonts w:eastAsia="Times New Roman" w:cs="Arial"/>
          <w:i/>
          <w:iCs/>
          <w:color w:val="000000"/>
          <w:szCs w:val="20"/>
          <w:lang w:eastAsia="bg-BG"/>
        </w:rPr>
      </w:pPr>
    </w:p>
    <w:p w14:paraId="13B99ACC" w14:textId="6FF52B8B" w:rsidR="002B4918" w:rsidRPr="002B4918" w:rsidRDefault="002B4918" w:rsidP="002B4918">
      <w:pPr>
        <w:spacing w:line="240" w:lineRule="auto"/>
        <w:rPr>
          <w:rFonts w:eastAsia="Times New Roman" w:cs="Arial"/>
          <w:sz w:val="28"/>
          <w:szCs w:val="24"/>
        </w:rPr>
      </w:pPr>
      <w:r w:rsidRPr="002B4918">
        <w:rPr>
          <w:rFonts w:eastAsia="Times New Roman" w:cs="Arial"/>
          <w:i/>
          <w:iCs/>
          <w:color w:val="000000"/>
          <w:szCs w:val="20"/>
          <w:lang w:eastAsia="bg-BG"/>
        </w:rPr>
        <w:t xml:space="preserve">Дисеминирана Лаймска борелиоза (ранна (II стадий) и късна </w:t>
      </w:r>
      <w:r w:rsidRPr="002B4918">
        <w:rPr>
          <w:rFonts w:eastAsia="Times New Roman" w:cs="Arial"/>
          <w:i/>
          <w:iCs/>
          <w:color w:val="000000"/>
          <w:szCs w:val="20"/>
          <w:lang w:val="ru-RU"/>
        </w:rPr>
        <w:t>(</w:t>
      </w:r>
      <w:r w:rsidRPr="002B4918">
        <w:rPr>
          <w:rFonts w:eastAsia="Times New Roman" w:cs="Arial"/>
          <w:i/>
          <w:iCs/>
          <w:color w:val="000000"/>
          <w:szCs w:val="20"/>
          <w:lang w:val="en-US"/>
        </w:rPr>
        <w:t>III</w:t>
      </w:r>
      <w:r w:rsidRPr="002B4918">
        <w:rPr>
          <w:rFonts w:eastAsia="Times New Roman" w:cs="Arial"/>
          <w:i/>
          <w:iCs/>
          <w:color w:val="000000"/>
          <w:szCs w:val="20"/>
          <w:lang w:val="ru-RU"/>
        </w:rPr>
        <w:t xml:space="preserve"> </w:t>
      </w:r>
      <w:r w:rsidRPr="002B4918">
        <w:rPr>
          <w:rFonts w:eastAsia="Times New Roman" w:cs="Arial"/>
          <w:i/>
          <w:iCs/>
          <w:color w:val="000000"/>
          <w:szCs w:val="20"/>
          <w:lang w:eastAsia="bg-BG"/>
        </w:rPr>
        <w:t xml:space="preserve">стадий)) </w:t>
      </w:r>
      <w:r w:rsidRPr="002B4918">
        <w:rPr>
          <w:rFonts w:eastAsia="Times New Roman" w:cs="Arial"/>
          <w:color w:val="000000"/>
          <w:szCs w:val="20"/>
          <w:lang w:eastAsia="bg-BG"/>
        </w:rPr>
        <w:t xml:space="preserve">50-80 </w:t>
      </w:r>
      <w:r w:rsidRPr="002B4918">
        <w:rPr>
          <w:rFonts w:eastAsia="Times New Roman" w:cs="Arial"/>
          <w:color w:val="000000"/>
          <w:szCs w:val="20"/>
          <w:lang w:val="en-US"/>
        </w:rPr>
        <w:t>mg</w:t>
      </w:r>
      <w:r w:rsidRPr="002B4918">
        <w:rPr>
          <w:rFonts w:eastAsia="Times New Roman" w:cs="Arial"/>
          <w:color w:val="000000"/>
          <w:szCs w:val="20"/>
          <w:lang w:val="ru-RU"/>
        </w:rPr>
        <w:t>/</w:t>
      </w:r>
      <w:r w:rsidRPr="002B4918">
        <w:rPr>
          <w:rFonts w:eastAsia="Times New Roman" w:cs="Arial"/>
          <w:color w:val="000000"/>
          <w:szCs w:val="20"/>
          <w:lang w:val="en-US"/>
        </w:rPr>
        <w:t>kg</w:t>
      </w:r>
      <w:r w:rsidRPr="002B4918">
        <w:rPr>
          <w:rFonts w:eastAsia="Times New Roman" w:cs="Arial"/>
          <w:color w:val="000000"/>
          <w:szCs w:val="20"/>
          <w:lang w:val="ru-RU"/>
        </w:rPr>
        <w:t xml:space="preserve"> </w:t>
      </w:r>
      <w:r w:rsidRPr="002B4918">
        <w:rPr>
          <w:rFonts w:eastAsia="Times New Roman" w:cs="Arial"/>
          <w:color w:val="000000"/>
          <w:szCs w:val="20"/>
          <w:lang w:eastAsia="bg-BG"/>
        </w:rPr>
        <w:t>еднократно дневно в продължение на 14-21 дни. Препоръчителната продължителност на лечение се различава и трябва да се съблюдават националните или местни ръководства.</w:t>
      </w:r>
    </w:p>
    <w:p w14:paraId="37E89050" w14:textId="77777777" w:rsidR="002B4918" w:rsidRPr="002B4918" w:rsidRDefault="002B4918" w:rsidP="002B4918">
      <w:pPr>
        <w:spacing w:line="240" w:lineRule="auto"/>
        <w:rPr>
          <w:rFonts w:eastAsia="Times New Roman" w:cs="Arial"/>
          <w:i/>
          <w:iCs/>
          <w:color w:val="000000"/>
          <w:szCs w:val="20"/>
          <w:u w:val="single"/>
          <w:lang w:eastAsia="bg-BG"/>
        </w:rPr>
      </w:pPr>
    </w:p>
    <w:p w14:paraId="52744E5D" w14:textId="6329066E" w:rsidR="002B4918" w:rsidRPr="002B4918" w:rsidRDefault="002B4918" w:rsidP="002B4918">
      <w:pPr>
        <w:spacing w:line="240" w:lineRule="auto"/>
        <w:rPr>
          <w:rFonts w:eastAsia="Times New Roman" w:cs="Arial"/>
          <w:sz w:val="28"/>
          <w:szCs w:val="24"/>
        </w:rPr>
      </w:pPr>
      <w:r w:rsidRPr="002B4918">
        <w:rPr>
          <w:rFonts w:eastAsia="Times New Roman" w:cs="Arial"/>
          <w:i/>
          <w:iCs/>
          <w:color w:val="000000"/>
          <w:szCs w:val="20"/>
          <w:u w:val="single"/>
          <w:lang w:eastAsia="bg-BG"/>
        </w:rPr>
        <w:t>Новородени 0-14 дни</w:t>
      </w:r>
    </w:p>
    <w:p w14:paraId="04E09CF1" w14:textId="4A197E03" w:rsidR="002B4918" w:rsidRDefault="002B4918" w:rsidP="002B4918">
      <w:pPr>
        <w:rPr>
          <w:rFonts w:eastAsia="Times New Roman" w:cs="Arial"/>
          <w:color w:val="000000"/>
          <w:szCs w:val="20"/>
          <w:lang w:eastAsia="bg-BG"/>
        </w:rPr>
      </w:pPr>
      <w:r w:rsidRPr="002B4918">
        <w:rPr>
          <w:rFonts w:eastAsia="Times New Roman" w:cs="Arial"/>
          <w:color w:val="000000"/>
          <w:szCs w:val="20"/>
          <w:lang w:eastAsia="bg-BG"/>
        </w:rPr>
        <w:t>Терцеф е противопоказан при недоносени новородени до постменструална възраст от 41 седмици (гестационна възраст + хронологичната възраст).</w:t>
      </w:r>
    </w:p>
    <w:p w14:paraId="4F041D58" w14:textId="6BE69427" w:rsidR="002B4918" w:rsidRDefault="002B4918" w:rsidP="002B4918">
      <w:pPr>
        <w:rPr>
          <w:rFonts w:eastAsia="Times New Roman" w:cs="Arial"/>
          <w:color w:val="000000"/>
          <w:szCs w:val="20"/>
          <w:lang w:eastAsia="bg-BG"/>
        </w:rPr>
      </w:pPr>
    </w:p>
    <w:tbl>
      <w:tblPr>
        <w:tblStyle w:val="TableGrid"/>
        <w:tblW w:w="0" w:type="auto"/>
        <w:tblLook w:val="04A0" w:firstRow="1" w:lastRow="0" w:firstColumn="1" w:lastColumn="0" w:noHBand="0" w:noVBand="1"/>
      </w:tblPr>
      <w:tblGrid>
        <w:gridCol w:w="3108"/>
        <w:gridCol w:w="3102"/>
        <w:gridCol w:w="3140"/>
      </w:tblGrid>
      <w:tr w:rsidR="002B4918" w14:paraId="3F18941C" w14:textId="77777777" w:rsidTr="002B4918">
        <w:tc>
          <w:tcPr>
            <w:tcW w:w="3192" w:type="dxa"/>
          </w:tcPr>
          <w:p w14:paraId="67A15062" w14:textId="43B8D553" w:rsidR="002B4918" w:rsidRPr="002B4918" w:rsidRDefault="002B4918" w:rsidP="002B4918">
            <w:pPr>
              <w:rPr>
                <w:rFonts w:cs="Arial"/>
              </w:rPr>
            </w:pPr>
            <w:r w:rsidRPr="002B4918">
              <w:rPr>
                <w:i/>
                <w:iCs/>
                <w:szCs w:val="20"/>
              </w:rPr>
              <w:t>Дози на цефтриаксон*</w:t>
            </w:r>
          </w:p>
        </w:tc>
        <w:tc>
          <w:tcPr>
            <w:tcW w:w="3192" w:type="dxa"/>
          </w:tcPr>
          <w:p w14:paraId="3295AF05" w14:textId="24DCB3FC" w:rsidR="002B4918" w:rsidRPr="002B4918" w:rsidRDefault="002B4918" w:rsidP="002B4918">
            <w:pPr>
              <w:rPr>
                <w:rFonts w:cs="Arial"/>
              </w:rPr>
            </w:pPr>
            <w:r w:rsidRPr="002B4918">
              <w:rPr>
                <w:i/>
                <w:iCs/>
                <w:szCs w:val="20"/>
              </w:rPr>
              <w:t>Честота на приложение**</w:t>
            </w:r>
          </w:p>
        </w:tc>
        <w:tc>
          <w:tcPr>
            <w:tcW w:w="3192" w:type="dxa"/>
          </w:tcPr>
          <w:p w14:paraId="3368307A" w14:textId="41F1946D" w:rsidR="002B4918" w:rsidRPr="002B4918" w:rsidRDefault="002B4918" w:rsidP="002B4918">
            <w:pPr>
              <w:rPr>
                <w:rFonts w:cs="Arial"/>
              </w:rPr>
            </w:pPr>
            <w:r w:rsidRPr="002B4918">
              <w:rPr>
                <w:i/>
                <w:iCs/>
                <w:szCs w:val="20"/>
              </w:rPr>
              <w:t>Показания</w:t>
            </w:r>
          </w:p>
        </w:tc>
      </w:tr>
      <w:tr w:rsidR="002B4918" w14:paraId="642800C3" w14:textId="77777777" w:rsidTr="002B4918">
        <w:tc>
          <w:tcPr>
            <w:tcW w:w="3192" w:type="dxa"/>
            <w:vMerge w:val="restart"/>
          </w:tcPr>
          <w:p w14:paraId="2CF6BD35" w14:textId="6BD7F72E" w:rsidR="002B4918" w:rsidRPr="002B4918" w:rsidRDefault="002B4918" w:rsidP="002B4918">
            <w:pPr>
              <w:rPr>
                <w:rFonts w:cs="Arial"/>
              </w:rPr>
            </w:pPr>
            <w:r w:rsidRPr="002B4918">
              <w:rPr>
                <w:szCs w:val="20"/>
              </w:rPr>
              <w:lastRenderedPageBreak/>
              <w:t xml:space="preserve">20-50 </w:t>
            </w:r>
            <w:r w:rsidRPr="002B4918">
              <w:rPr>
                <w:szCs w:val="20"/>
                <w:lang w:val="en-US"/>
              </w:rPr>
              <w:t>mg/kg</w:t>
            </w:r>
          </w:p>
        </w:tc>
        <w:tc>
          <w:tcPr>
            <w:tcW w:w="3192" w:type="dxa"/>
            <w:vMerge w:val="restart"/>
          </w:tcPr>
          <w:p w14:paraId="10C5553A" w14:textId="57329AE4" w:rsidR="002B4918" w:rsidRPr="002B4918" w:rsidRDefault="002B4918" w:rsidP="002B4918">
            <w:pPr>
              <w:rPr>
                <w:rFonts w:cs="Arial"/>
              </w:rPr>
            </w:pPr>
            <w:r w:rsidRPr="002B4918">
              <w:rPr>
                <w:i/>
                <w:iCs/>
                <w:szCs w:val="20"/>
              </w:rPr>
              <w:t>Еднократно дневно</w:t>
            </w:r>
          </w:p>
        </w:tc>
        <w:tc>
          <w:tcPr>
            <w:tcW w:w="3192" w:type="dxa"/>
          </w:tcPr>
          <w:p w14:paraId="7D6343AB" w14:textId="4B6D0E58" w:rsidR="002B4918" w:rsidRPr="002B4918" w:rsidRDefault="002B4918" w:rsidP="002B4918">
            <w:pPr>
              <w:rPr>
                <w:rFonts w:cs="Arial"/>
              </w:rPr>
            </w:pPr>
            <w:r w:rsidRPr="002B4918">
              <w:rPr>
                <w:i/>
                <w:iCs/>
                <w:szCs w:val="20"/>
              </w:rPr>
              <w:t>Интраабдоминални ифекции</w:t>
            </w:r>
          </w:p>
        </w:tc>
      </w:tr>
      <w:tr w:rsidR="002B4918" w14:paraId="1BCDEF29" w14:textId="77777777" w:rsidTr="002B4918">
        <w:tc>
          <w:tcPr>
            <w:tcW w:w="3192" w:type="dxa"/>
            <w:vMerge/>
          </w:tcPr>
          <w:p w14:paraId="6DB22C9A" w14:textId="77777777" w:rsidR="002B4918" w:rsidRPr="002B4918" w:rsidRDefault="002B4918" w:rsidP="002B4918">
            <w:pPr>
              <w:rPr>
                <w:rFonts w:cs="Arial"/>
              </w:rPr>
            </w:pPr>
          </w:p>
        </w:tc>
        <w:tc>
          <w:tcPr>
            <w:tcW w:w="3192" w:type="dxa"/>
            <w:vMerge/>
          </w:tcPr>
          <w:p w14:paraId="67660222" w14:textId="77777777" w:rsidR="002B4918" w:rsidRPr="002B4918" w:rsidRDefault="002B4918" w:rsidP="002B4918">
            <w:pPr>
              <w:rPr>
                <w:rFonts w:cs="Arial"/>
              </w:rPr>
            </w:pPr>
          </w:p>
        </w:tc>
        <w:tc>
          <w:tcPr>
            <w:tcW w:w="3192" w:type="dxa"/>
          </w:tcPr>
          <w:p w14:paraId="4F6CCBA9" w14:textId="31CC26ED" w:rsidR="002B4918" w:rsidRPr="002B4918" w:rsidRDefault="002B4918" w:rsidP="002B4918">
            <w:pPr>
              <w:rPr>
                <w:rFonts w:cs="Arial"/>
              </w:rPr>
            </w:pPr>
            <w:r w:rsidRPr="002B4918">
              <w:rPr>
                <w:i/>
                <w:iCs/>
                <w:szCs w:val="20"/>
              </w:rPr>
              <w:t>Усложнени инфекции на кожата и меките тъкани</w:t>
            </w:r>
          </w:p>
        </w:tc>
      </w:tr>
      <w:tr w:rsidR="002B4918" w14:paraId="757F1F25" w14:textId="77777777" w:rsidTr="002B4918">
        <w:tc>
          <w:tcPr>
            <w:tcW w:w="3192" w:type="dxa"/>
            <w:vMerge/>
          </w:tcPr>
          <w:p w14:paraId="465CA66D" w14:textId="77777777" w:rsidR="002B4918" w:rsidRPr="002B4918" w:rsidRDefault="002B4918" w:rsidP="002B4918">
            <w:pPr>
              <w:rPr>
                <w:rFonts w:cs="Arial"/>
              </w:rPr>
            </w:pPr>
          </w:p>
        </w:tc>
        <w:tc>
          <w:tcPr>
            <w:tcW w:w="3192" w:type="dxa"/>
            <w:vMerge/>
          </w:tcPr>
          <w:p w14:paraId="6B6975B7" w14:textId="77777777" w:rsidR="002B4918" w:rsidRPr="002B4918" w:rsidRDefault="002B4918" w:rsidP="002B4918">
            <w:pPr>
              <w:rPr>
                <w:rFonts w:cs="Arial"/>
              </w:rPr>
            </w:pPr>
          </w:p>
        </w:tc>
        <w:tc>
          <w:tcPr>
            <w:tcW w:w="3192" w:type="dxa"/>
          </w:tcPr>
          <w:p w14:paraId="47D5F0AE" w14:textId="7FFE2D95" w:rsidR="002B4918" w:rsidRPr="002B4918" w:rsidRDefault="002B4918" w:rsidP="002B4918">
            <w:pPr>
              <w:rPr>
                <w:rFonts w:cs="Arial"/>
              </w:rPr>
            </w:pPr>
            <w:r w:rsidRPr="002B4918">
              <w:rPr>
                <w:i/>
                <w:iCs/>
                <w:szCs w:val="20"/>
              </w:rPr>
              <w:t>Усложнени инфекции на пикочните пътища (включително пиелонефрит)</w:t>
            </w:r>
          </w:p>
        </w:tc>
      </w:tr>
      <w:tr w:rsidR="002B4918" w14:paraId="280FA393" w14:textId="77777777" w:rsidTr="002B4918">
        <w:tc>
          <w:tcPr>
            <w:tcW w:w="3192" w:type="dxa"/>
            <w:vMerge/>
          </w:tcPr>
          <w:p w14:paraId="28DAC9C6" w14:textId="77777777" w:rsidR="002B4918" w:rsidRPr="002B4918" w:rsidRDefault="002B4918" w:rsidP="002B4918">
            <w:pPr>
              <w:rPr>
                <w:rFonts w:cs="Arial"/>
              </w:rPr>
            </w:pPr>
          </w:p>
        </w:tc>
        <w:tc>
          <w:tcPr>
            <w:tcW w:w="3192" w:type="dxa"/>
            <w:vMerge/>
          </w:tcPr>
          <w:p w14:paraId="6C7B8A2B" w14:textId="77777777" w:rsidR="002B4918" w:rsidRPr="002B4918" w:rsidRDefault="002B4918" w:rsidP="002B4918">
            <w:pPr>
              <w:rPr>
                <w:rFonts w:cs="Arial"/>
              </w:rPr>
            </w:pPr>
          </w:p>
        </w:tc>
        <w:tc>
          <w:tcPr>
            <w:tcW w:w="3192" w:type="dxa"/>
          </w:tcPr>
          <w:p w14:paraId="5A707A46" w14:textId="5527A503" w:rsidR="002B4918" w:rsidRPr="002B4918" w:rsidRDefault="002B4918" w:rsidP="002B4918">
            <w:pPr>
              <w:rPr>
                <w:rFonts w:cs="Arial"/>
              </w:rPr>
            </w:pPr>
            <w:r w:rsidRPr="002B4918">
              <w:rPr>
                <w:i/>
                <w:iCs/>
                <w:szCs w:val="20"/>
              </w:rPr>
              <w:t>Пневмония, придобита в обществото</w:t>
            </w:r>
          </w:p>
        </w:tc>
      </w:tr>
      <w:tr w:rsidR="002B4918" w14:paraId="6D9B32DB" w14:textId="77777777" w:rsidTr="002B4918">
        <w:tc>
          <w:tcPr>
            <w:tcW w:w="3192" w:type="dxa"/>
            <w:vMerge/>
          </w:tcPr>
          <w:p w14:paraId="7B031790" w14:textId="77777777" w:rsidR="002B4918" w:rsidRPr="002B4918" w:rsidRDefault="002B4918" w:rsidP="002B4918">
            <w:pPr>
              <w:rPr>
                <w:rFonts w:cs="Arial"/>
              </w:rPr>
            </w:pPr>
          </w:p>
        </w:tc>
        <w:tc>
          <w:tcPr>
            <w:tcW w:w="3192" w:type="dxa"/>
            <w:vMerge/>
          </w:tcPr>
          <w:p w14:paraId="40ABF55C" w14:textId="77777777" w:rsidR="002B4918" w:rsidRPr="002B4918" w:rsidRDefault="002B4918" w:rsidP="002B4918">
            <w:pPr>
              <w:rPr>
                <w:rFonts w:cs="Arial"/>
              </w:rPr>
            </w:pPr>
          </w:p>
        </w:tc>
        <w:tc>
          <w:tcPr>
            <w:tcW w:w="3192" w:type="dxa"/>
          </w:tcPr>
          <w:p w14:paraId="1FF0A29D" w14:textId="6CF255E7" w:rsidR="002B4918" w:rsidRPr="002B4918" w:rsidRDefault="002B4918" w:rsidP="002B4918">
            <w:pPr>
              <w:rPr>
                <w:rFonts w:cs="Arial"/>
              </w:rPr>
            </w:pPr>
            <w:r w:rsidRPr="002B4918">
              <w:rPr>
                <w:i/>
                <w:iCs/>
                <w:szCs w:val="20"/>
              </w:rPr>
              <w:t>Нозокомиална пневмония</w:t>
            </w:r>
          </w:p>
        </w:tc>
      </w:tr>
      <w:tr w:rsidR="002B4918" w14:paraId="05CEC4DB" w14:textId="77777777" w:rsidTr="002B4918">
        <w:tc>
          <w:tcPr>
            <w:tcW w:w="3192" w:type="dxa"/>
            <w:vMerge/>
          </w:tcPr>
          <w:p w14:paraId="75FAE2E2" w14:textId="77777777" w:rsidR="002B4918" w:rsidRPr="002B4918" w:rsidRDefault="002B4918" w:rsidP="002B4918">
            <w:pPr>
              <w:rPr>
                <w:rFonts w:cs="Arial"/>
              </w:rPr>
            </w:pPr>
          </w:p>
        </w:tc>
        <w:tc>
          <w:tcPr>
            <w:tcW w:w="3192" w:type="dxa"/>
            <w:vMerge/>
          </w:tcPr>
          <w:p w14:paraId="34DEE486" w14:textId="77777777" w:rsidR="002B4918" w:rsidRPr="002B4918" w:rsidRDefault="002B4918" w:rsidP="002B4918">
            <w:pPr>
              <w:rPr>
                <w:rFonts w:cs="Arial"/>
              </w:rPr>
            </w:pPr>
          </w:p>
        </w:tc>
        <w:tc>
          <w:tcPr>
            <w:tcW w:w="3192" w:type="dxa"/>
          </w:tcPr>
          <w:p w14:paraId="65F1BC39" w14:textId="27D67BC0" w:rsidR="002B4918" w:rsidRPr="002B4918" w:rsidRDefault="002B4918" w:rsidP="002B4918">
            <w:pPr>
              <w:rPr>
                <w:rFonts w:cs="Arial"/>
              </w:rPr>
            </w:pPr>
            <w:r w:rsidRPr="002B4918">
              <w:rPr>
                <w:i/>
                <w:iCs/>
                <w:szCs w:val="20"/>
              </w:rPr>
              <w:t>Инфекции на костите и ставите</w:t>
            </w:r>
          </w:p>
        </w:tc>
      </w:tr>
      <w:tr w:rsidR="002B4918" w14:paraId="02DEC1FF" w14:textId="77777777" w:rsidTr="002B4918">
        <w:tc>
          <w:tcPr>
            <w:tcW w:w="3192" w:type="dxa"/>
            <w:vMerge/>
          </w:tcPr>
          <w:p w14:paraId="6862B97B" w14:textId="77777777" w:rsidR="002B4918" w:rsidRPr="002B4918" w:rsidRDefault="002B4918" w:rsidP="002B4918">
            <w:pPr>
              <w:rPr>
                <w:rFonts w:cs="Arial"/>
              </w:rPr>
            </w:pPr>
          </w:p>
        </w:tc>
        <w:tc>
          <w:tcPr>
            <w:tcW w:w="3192" w:type="dxa"/>
            <w:vMerge/>
          </w:tcPr>
          <w:p w14:paraId="2E729F2B" w14:textId="77777777" w:rsidR="002B4918" w:rsidRPr="002B4918" w:rsidRDefault="002B4918" w:rsidP="002B4918">
            <w:pPr>
              <w:rPr>
                <w:rFonts w:cs="Arial"/>
              </w:rPr>
            </w:pPr>
          </w:p>
        </w:tc>
        <w:tc>
          <w:tcPr>
            <w:tcW w:w="3192" w:type="dxa"/>
          </w:tcPr>
          <w:p w14:paraId="7E50F548" w14:textId="6A563FE7" w:rsidR="002B4918" w:rsidRPr="002B4918" w:rsidRDefault="002B4918" w:rsidP="002B4918">
            <w:pPr>
              <w:rPr>
                <w:rFonts w:cs="Arial"/>
              </w:rPr>
            </w:pPr>
            <w:r w:rsidRPr="002B4918">
              <w:rPr>
                <w:i/>
                <w:iCs/>
                <w:szCs w:val="20"/>
              </w:rPr>
              <w:t>Овладяване на треска при пациенти с неутропения, за която се подозира че се дължи на бактериална инфекция</w:t>
            </w:r>
          </w:p>
        </w:tc>
      </w:tr>
      <w:tr w:rsidR="002B4918" w14:paraId="230C4863" w14:textId="77777777" w:rsidTr="002B4918">
        <w:tc>
          <w:tcPr>
            <w:tcW w:w="3192" w:type="dxa"/>
            <w:vMerge w:val="restart"/>
          </w:tcPr>
          <w:p w14:paraId="36C50A69" w14:textId="09DE61E1" w:rsidR="002B4918" w:rsidRPr="002B4918" w:rsidRDefault="002B4918" w:rsidP="002B4918">
            <w:pPr>
              <w:rPr>
                <w:rFonts w:cs="Arial"/>
              </w:rPr>
            </w:pPr>
            <w:r w:rsidRPr="002B4918">
              <w:rPr>
                <w:szCs w:val="20"/>
              </w:rPr>
              <w:t xml:space="preserve">50 </w:t>
            </w:r>
            <w:r w:rsidRPr="002B4918">
              <w:rPr>
                <w:szCs w:val="20"/>
                <w:lang w:val="en-US"/>
              </w:rPr>
              <w:t>mg/kg</w:t>
            </w:r>
          </w:p>
        </w:tc>
        <w:tc>
          <w:tcPr>
            <w:tcW w:w="3192" w:type="dxa"/>
            <w:vMerge w:val="restart"/>
          </w:tcPr>
          <w:p w14:paraId="402D2F85" w14:textId="335DA9DD" w:rsidR="002B4918" w:rsidRPr="002B4918" w:rsidRDefault="002B4918" w:rsidP="002B4918">
            <w:pPr>
              <w:rPr>
                <w:rFonts w:cs="Arial"/>
              </w:rPr>
            </w:pPr>
            <w:r w:rsidRPr="002B4918">
              <w:rPr>
                <w:i/>
                <w:iCs/>
                <w:szCs w:val="20"/>
              </w:rPr>
              <w:t>Еднократно дневно</w:t>
            </w:r>
          </w:p>
        </w:tc>
        <w:tc>
          <w:tcPr>
            <w:tcW w:w="3192" w:type="dxa"/>
          </w:tcPr>
          <w:p w14:paraId="2084D5D6" w14:textId="2B4A54CF" w:rsidR="002B4918" w:rsidRPr="002B4918" w:rsidRDefault="002B4918" w:rsidP="002B4918">
            <w:pPr>
              <w:rPr>
                <w:rFonts w:cs="Arial"/>
              </w:rPr>
            </w:pPr>
            <w:r w:rsidRPr="002B4918">
              <w:rPr>
                <w:i/>
                <w:iCs/>
                <w:szCs w:val="20"/>
              </w:rPr>
              <w:t>Бактериален менингит</w:t>
            </w:r>
          </w:p>
        </w:tc>
      </w:tr>
      <w:tr w:rsidR="002B4918" w14:paraId="121FAAAF" w14:textId="77777777" w:rsidTr="002B4918">
        <w:tc>
          <w:tcPr>
            <w:tcW w:w="3192" w:type="dxa"/>
            <w:vMerge/>
          </w:tcPr>
          <w:p w14:paraId="2941C90B" w14:textId="77777777" w:rsidR="002B4918" w:rsidRPr="002B4918" w:rsidRDefault="002B4918" w:rsidP="002B4918">
            <w:pPr>
              <w:rPr>
                <w:rFonts w:cs="Arial"/>
              </w:rPr>
            </w:pPr>
          </w:p>
        </w:tc>
        <w:tc>
          <w:tcPr>
            <w:tcW w:w="3192" w:type="dxa"/>
            <w:vMerge/>
          </w:tcPr>
          <w:p w14:paraId="5BCA84FC" w14:textId="77777777" w:rsidR="002B4918" w:rsidRPr="002B4918" w:rsidRDefault="002B4918" w:rsidP="002B4918">
            <w:pPr>
              <w:rPr>
                <w:rFonts w:cs="Arial"/>
              </w:rPr>
            </w:pPr>
          </w:p>
        </w:tc>
        <w:tc>
          <w:tcPr>
            <w:tcW w:w="3192" w:type="dxa"/>
          </w:tcPr>
          <w:p w14:paraId="035C9729" w14:textId="5DA454A7" w:rsidR="002B4918" w:rsidRPr="002B4918" w:rsidRDefault="002B4918" w:rsidP="002B4918">
            <w:pPr>
              <w:rPr>
                <w:rFonts w:cs="Arial"/>
              </w:rPr>
            </w:pPr>
            <w:r w:rsidRPr="002B4918">
              <w:rPr>
                <w:i/>
                <w:iCs/>
                <w:szCs w:val="20"/>
              </w:rPr>
              <w:t>Бактериален ендокардит</w:t>
            </w:r>
          </w:p>
        </w:tc>
      </w:tr>
    </w:tbl>
    <w:p w14:paraId="71907869" w14:textId="77777777" w:rsidR="002B4918" w:rsidRPr="002B4918" w:rsidRDefault="002B4918" w:rsidP="002B4918">
      <w:pPr>
        <w:spacing w:line="240" w:lineRule="auto"/>
        <w:rPr>
          <w:rFonts w:eastAsia="Times New Roman" w:cs="Arial"/>
        </w:rPr>
      </w:pPr>
      <w:r w:rsidRPr="002B4918">
        <w:rPr>
          <w:rFonts w:eastAsia="Times New Roman" w:cs="Arial"/>
          <w:color w:val="000000"/>
          <w:lang w:eastAsia="bg-BG"/>
        </w:rPr>
        <w:t>*При доказана бактериемия трябва да се прилага най-високата доза - горната граница на препоръчваната доза.</w:t>
      </w:r>
    </w:p>
    <w:p w14:paraId="4E685339" w14:textId="77777777" w:rsidR="002B4918" w:rsidRPr="002B4918" w:rsidRDefault="002B4918" w:rsidP="002B4918">
      <w:pPr>
        <w:spacing w:line="240" w:lineRule="auto"/>
        <w:rPr>
          <w:rFonts w:eastAsia="Times New Roman" w:cs="Arial"/>
        </w:rPr>
      </w:pPr>
      <w:r w:rsidRPr="002B4918">
        <w:rPr>
          <w:rFonts w:eastAsia="Times New Roman" w:cs="Arial"/>
          <w:color w:val="000000"/>
          <w:lang w:eastAsia="bg-BG"/>
        </w:rPr>
        <w:t xml:space="preserve">Максималната дневна доза от 50 </w:t>
      </w:r>
      <w:r w:rsidRPr="002B4918">
        <w:rPr>
          <w:rFonts w:eastAsia="Times New Roman" w:cs="Arial"/>
          <w:color w:val="000000"/>
          <w:lang w:val="en-US"/>
        </w:rPr>
        <w:t>mg</w:t>
      </w:r>
      <w:r w:rsidRPr="002B4918">
        <w:rPr>
          <w:rFonts w:eastAsia="Times New Roman" w:cs="Arial"/>
          <w:color w:val="000000"/>
          <w:lang w:val="ru-RU"/>
        </w:rPr>
        <w:t>/</w:t>
      </w:r>
      <w:r w:rsidRPr="002B4918">
        <w:rPr>
          <w:rFonts w:eastAsia="Times New Roman" w:cs="Arial"/>
          <w:color w:val="000000"/>
          <w:lang w:val="en-US"/>
        </w:rPr>
        <w:t>kg</w:t>
      </w:r>
      <w:r w:rsidRPr="002B4918">
        <w:rPr>
          <w:rFonts w:eastAsia="Times New Roman" w:cs="Arial"/>
          <w:color w:val="000000"/>
          <w:lang w:val="ru-RU"/>
        </w:rPr>
        <w:t xml:space="preserve"> </w:t>
      </w:r>
      <w:r w:rsidRPr="002B4918">
        <w:rPr>
          <w:rFonts w:eastAsia="Times New Roman" w:cs="Arial"/>
          <w:color w:val="000000"/>
          <w:lang w:eastAsia="bg-BG"/>
        </w:rPr>
        <w:t>не трябва да се надвишава.</w:t>
      </w:r>
    </w:p>
    <w:p w14:paraId="48C8E2DF" w14:textId="77777777" w:rsidR="002B4918" w:rsidRPr="002B4918" w:rsidRDefault="002B4918" w:rsidP="002B4918">
      <w:pPr>
        <w:spacing w:line="240" w:lineRule="auto"/>
        <w:rPr>
          <w:rFonts w:eastAsia="Times New Roman" w:cs="Arial"/>
          <w:i/>
          <w:iCs/>
          <w:color w:val="000000"/>
          <w:u w:val="single"/>
          <w:lang w:eastAsia="bg-BG"/>
        </w:rPr>
      </w:pPr>
    </w:p>
    <w:p w14:paraId="134D8DF2" w14:textId="1CA032C8" w:rsidR="002B4918" w:rsidRPr="002B4918" w:rsidRDefault="002B4918" w:rsidP="002B4918">
      <w:pPr>
        <w:spacing w:line="240" w:lineRule="auto"/>
        <w:rPr>
          <w:rFonts w:eastAsia="Times New Roman" w:cs="Arial"/>
        </w:rPr>
      </w:pPr>
      <w:r w:rsidRPr="002B4918">
        <w:rPr>
          <w:rFonts w:eastAsia="Times New Roman" w:cs="Arial"/>
          <w:i/>
          <w:iCs/>
          <w:color w:val="000000"/>
          <w:u w:val="single"/>
          <w:lang w:eastAsia="bg-BG"/>
        </w:rPr>
        <w:t>Показания за новородени 0-14 дни, при които се изискват спеиифични дозови схеми:</w:t>
      </w:r>
    </w:p>
    <w:p w14:paraId="0370E224" w14:textId="77777777" w:rsidR="002B4918" w:rsidRPr="002B4918" w:rsidRDefault="002B4918" w:rsidP="002B4918">
      <w:pPr>
        <w:spacing w:line="240" w:lineRule="auto"/>
        <w:rPr>
          <w:rFonts w:eastAsia="Times New Roman" w:cs="Arial"/>
          <w:i/>
          <w:iCs/>
          <w:color w:val="000000"/>
          <w:lang w:eastAsia="bg-BG"/>
        </w:rPr>
      </w:pPr>
    </w:p>
    <w:p w14:paraId="214B4765" w14:textId="140AF54A" w:rsidR="002B4918" w:rsidRPr="002B4918" w:rsidRDefault="002B4918" w:rsidP="002B4918">
      <w:pPr>
        <w:spacing w:line="240" w:lineRule="auto"/>
        <w:rPr>
          <w:rFonts w:eastAsia="Times New Roman" w:cs="Arial"/>
        </w:rPr>
      </w:pPr>
      <w:r w:rsidRPr="002B4918">
        <w:rPr>
          <w:rFonts w:eastAsia="Times New Roman" w:cs="Arial"/>
          <w:i/>
          <w:iCs/>
          <w:color w:val="000000"/>
          <w:lang w:eastAsia="bg-BG"/>
        </w:rPr>
        <w:t>Остър отит на средното ухо</w:t>
      </w:r>
    </w:p>
    <w:p w14:paraId="5FFEB64C" w14:textId="77777777" w:rsidR="002B4918" w:rsidRPr="002B4918" w:rsidRDefault="002B4918" w:rsidP="002B4918">
      <w:pPr>
        <w:spacing w:line="240" w:lineRule="auto"/>
        <w:rPr>
          <w:rFonts w:eastAsia="Times New Roman" w:cs="Arial"/>
        </w:rPr>
      </w:pPr>
      <w:r w:rsidRPr="002B4918">
        <w:rPr>
          <w:rFonts w:eastAsia="Times New Roman" w:cs="Arial"/>
          <w:color w:val="000000"/>
          <w:lang w:eastAsia="bg-BG"/>
        </w:rPr>
        <w:t xml:space="preserve">За първоначалното лечение на остър отит на средното ухо може да се приложи еднократно интрамускулно доза от 50 </w:t>
      </w:r>
      <w:r w:rsidRPr="002B4918">
        <w:rPr>
          <w:rFonts w:eastAsia="Times New Roman" w:cs="Arial"/>
          <w:color w:val="000000"/>
          <w:lang w:val="en-US"/>
        </w:rPr>
        <w:t>mg</w:t>
      </w:r>
      <w:r w:rsidRPr="002B4918">
        <w:rPr>
          <w:rFonts w:eastAsia="Times New Roman" w:cs="Arial"/>
          <w:color w:val="000000"/>
          <w:lang w:val="ru-RU"/>
        </w:rPr>
        <w:t>/</w:t>
      </w:r>
      <w:r w:rsidRPr="002B4918">
        <w:rPr>
          <w:rFonts w:eastAsia="Times New Roman" w:cs="Arial"/>
          <w:color w:val="000000"/>
          <w:lang w:val="en-US"/>
        </w:rPr>
        <w:t>kg</w:t>
      </w:r>
      <w:r w:rsidRPr="002B4918">
        <w:rPr>
          <w:rFonts w:eastAsia="Times New Roman" w:cs="Arial"/>
          <w:color w:val="000000"/>
          <w:lang w:val="ru-RU"/>
        </w:rPr>
        <w:t xml:space="preserve"> </w:t>
      </w:r>
      <w:r w:rsidRPr="002B4918">
        <w:rPr>
          <w:rFonts w:eastAsia="Times New Roman" w:cs="Arial"/>
          <w:color w:val="000000"/>
          <w:lang w:eastAsia="bg-BG"/>
        </w:rPr>
        <w:t>Терцеф</w:t>
      </w:r>
    </w:p>
    <w:p w14:paraId="5BCDE03F" w14:textId="77777777" w:rsidR="002B4918" w:rsidRPr="002B4918" w:rsidRDefault="002B4918" w:rsidP="002B4918">
      <w:pPr>
        <w:spacing w:line="240" w:lineRule="auto"/>
        <w:rPr>
          <w:rFonts w:eastAsia="Times New Roman" w:cs="Arial"/>
          <w:i/>
          <w:iCs/>
          <w:color w:val="000000"/>
          <w:lang w:eastAsia="bg-BG"/>
        </w:rPr>
      </w:pPr>
    </w:p>
    <w:p w14:paraId="78BD5FA3" w14:textId="77777777" w:rsidR="002B4918" w:rsidRPr="002B4918" w:rsidRDefault="002B4918" w:rsidP="002B4918">
      <w:pPr>
        <w:spacing w:line="240" w:lineRule="auto"/>
        <w:rPr>
          <w:rFonts w:eastAsia="Times New Roman" w:cs="Arial"/>
          <w:i/>
          <w:iCs/>
          <w:color w:val="000000"/>
          <w:lang w:eastAsia="bg-BG"/>
        </w:rPr>
      </w:pPr>
      <w:r w:rsidRPr="002B4918">
        <w:rPr>
          <w:rFonts w:eastAsia="Times New Roman" w:cs="Arial"/>
          <w:i/>
          <w:iCs/>
          <w:color w:val="000000"/>
          <w:lang w:eastAsia="bg-BG"/>
        </w:rPr>
        <w:t xml:space="preserve">Предоперативна профилактика на хирургични ранени инфекции </w:t>
      </w:r>
    </w:p>
    <w:p w14:paraId="49A45BD3" w14:textId="0420C8A0" w:rsidR="002B4918" w:rsidRPr="002B4918" w:rsidRDefault="002B4918" w:rsidP="002B4918">
      <w:pPr>
        <w:spacing w:line="240" w:lineRule="auto"/>
        <w:rPr>
          <w:rFonts w:eastAsia="Times New Roman" w:cs="Arial"/>
        </w:rPr>
      </w:pPr>
      <w:r w:rsidRPr="002B4918">
        <w:rPr>
          <w:rFonts w:eastAsia="Times New Roman" w:cs="Arial"/>
          <w:color w:val="000000"/>
          <w:lang w:eastAsia="bg-BG"/>
        </w:rPr>
        <w:t xml:space="preserve">20-50 </w:t>
      </w:r>
      <w:r w:rsidRPr="002B4918">
        <w:rPr>
          <w:rFonts w:eastAsia="Times New Roman" w:cs="Arial"/>
          <w:color w:val="000000"/>
          <w:lang w:val="en-US"/>
        </w:rPr>
        <w:t>mg</w:t>
      </w:r>
      <w:r w:rsidRPr="002B4918">
        <w:rPr>
          <w:rFonts w:eastAsia="Times New Roman" w:cs="Arial"/>
          <w:color w:val="000000"/>
          <w:lang w:val="ru-RU"/>
        </w:rPr>
        <w:t>/</w:t>
      </w:r>
      <w:r w:rsidRPr="002B4918">
        <w:rPr>
          <w:rFonts w:eastAsia="Times New Roman" w:cs="Arial"/>
          <w:color w:val="000000"/>
          <w:lang w:val="en-US"/>
        </w:rPr>
        <w:t>kg</w:t>
      </w:r>
      <w:r w:rsidRPr="002B4918">
        <w:rPr>
          <w:rFonts w:eastAsia="Times New Roman" w:cs="Arial"/>
          <w:color w:val="000000"/>
          <w:lang w:val="ru-RU"/>
        </w:rPr>
        <w:t xml:space="preserve"> </w:t>
      </w:r>
      <w:r w:rsidRPr="002B4918">
        <w:rPr>
          <w:rFonts w:eastAsia="Times New Roman" w:cs="Arial"/>
          <w:color w:val="000000"/>
          <w:lang w:eastAsia="bg-BG"/>
        </w:rPr>
        <w:t>еднократно предоперативно.</w:t>
      </w:r>
    </w:p>
    <w:p w14:paraId="75543E40" w14:textId="77777777" w:rsidR="002B4918" w:rsidRPr="002B4918" w:rsidRDefault="002B4918" w:rsidP="002B4918">
      <w:pPr>
        <w:spacing w:line="240" w:lineRule="auto"/>
        <w:rPr>
          <w:rFonts w:eastAsia="Times New Roman" w:cs="Arial"/>
          <w:i/>
          <w:iCs/>
          <w:color w:val="000000"/>
          <w:lang w:eastAsia="bg-BG"/>
        </w:rPr>
      </w:pPr>
    </w:p>
    <w:p w14:paraId="41637BCE" w14:textId="02D66102" w:rsidR="002B4918" w:rsidRPr="002B4918" w:rsidRDefault="002B4918" w:rsidP="002B4918">
      <w:pPr>
        <w:spacing w:line="240" w:lineRule="auto"/>
        <w:rPr>
          <w:rFonts w:eastAsia="Times New Roman" w:cs="Arial"/>
        </w:rPr>
      </w:pPr>
      <w:r w:rsidRPr="002B4918">
        <w:rPr>
          <w:rFonts w:eastAsia="Times New Roman" w:cs="Arial"/>
          <w:i/>
          <w:iCs/>
          <w:color w:val="000000"/>
          <w:lang w:eastAsia="bg-BG"/>
        </w:rPr>
        <w:t>Сифилис</w:t>
      </w:r>
    </w:p>
    <w:p w14:paraId="2091529F" w14:textId="77777777" w:rsidR="002B4918" w:rsidRPr="002B4918" w:rsidRDefault="002B4918" w:rsidP="002B4918">
      <w:pPr>
        <w:spacing w:line="240" w:lineRule="auto"/>
        <w:rPr>
          <w:rFonts w:eastAsia="Times New Roman" w:cs="Arial"/>
        </w:rPr>
      </w:pPr>
      <w:r w:rsidRPr="002B4918">
        <w:rPr>
          <w:rFonts w:eastAsia="Times New Roman" w:cs="Arial"/>
          <w:color w:val="000000"/>
          <w:lang w:eastAsia="bg-BG"/>
        </w:rPr>
        <w:t xml:space="preserve">Обикновено препоръчителната доза е 50 </w:t>
      </w:r>
      <w:r w:rsidRPr="002B4918">
        <w:rPr>
          <w:rFonts w:eastAsia="Times New Roman" w:cs="Arial"/>
          <w:color w:val="000000"/>
          <w:lang w:val="en-US"/>
        </w:rPr>
        <w:t>mg</w:t>
      </w:r>
      <w:r w:rsidRPr="002B4918">
        <w:rPr>
          <w:rFonts w:eastAsia="Times New Roman" w:cs="Arial"/>
          <w:color w:val="000000"/>
          <w:lang w:val="ru-RU"/>
        </w:rPr>
        <w:t>/</w:t>
      </w:r>
      <w:r w:rsidRPr="002B4918">
        <w:rPr>
          <w:rFonts w:eastAsia="Times New Roman" w:cs="Arial"/>
          <w:color w:val="000000"/>
          <w:lang w:val="en-US"/>
        </w:rPr>
        <w:t>kg</w:t>
      </w:r>
      <w:r w:rsidRPr="002B4918">
        <w:rPr>
          <w:rFonts w:eastAsia="Times New Roman" w:cs="Arial"/>
          <w:color w:val="000000"/>
          <w:lang w:val="ru-RU"/>
        </w:rPr>
        <w:t xml:space="preserve"> </w:t>
      </w:r>
      <w:r w:rsidRPr="002B4918">
        <w:rPr>
          <w:rFonts w:eastAsia="Times New Roman" w:cs="Arial"/>
          <w:color w:val="000000"/>
          <w:lang w:eastAsia="bg-BG"/>
        </w:rPr>
        <w:t>еднократно дневно в продължение на 10-14 дни.</w:t>
      </w:r>
    </w:p>
    <w:p w14:paraId="07CE9E8C" w14:textId="2CDFB378" w:rsidR="002B4918" w:rsidRPr="002B4918" w:rsidRDefault="002B4918" w:rsidP="002B4918">
      <w:pPr>
        <w:spacing w:line="240" w:lineRule="auto"/>
        <w:rPr>
          <w:rFonts w:eastAsia="Times New Roman" w:cs="Arial"/>
        </w:rPr>
      </w:pPr>
      <w:r w:rsidRPr="002B4918">
        <w:rPr>
          <w:rFonts w:eastAsia="Times New Roman" w:cs="Arial"/>
          <w:color w:val="000000"/>
          <w:lang w:eastAsia="bg-BG"/>
        </w:rPr>
        <w:t>Препоръките за дозиране при сифилис, включително невросифилис, се основават на много</w:t>
      </w:r>
      <w:r>
        <w:rPr>
          <w:rFonts w:eastAsia="Times New Roman" w:cs="Arial"/>
        </w:rPr>
        <w:t xml:space="preserve"> </w:t>
      </w:r>
      <w:r w:rsidRPr="002B4918">
        <w:rPr>
          <w:rFonts w:eastAsia="Times New Roman" w:cs="Arial"/>
          <w:color w:val="000000"/>
          <w:lang w:eastAsia="bg-BG"/>
        </w:rPr>
        <w:t>ограничени данни. Трябва да се спазват националните или местните рьководства.</w:t>
      </w:r>
    </w:p>
    <w:p w14:paraId="4681D32F" w14:textId="7D8F98A6" w:rsidR="002B4918" w:rsidRDefault="002B4918" w:rsidP="002B4918">
      <w:pPr>
        <w:rPr>
          <w:rFonts w:eastAsia="Times New Roman" w:cs="Arial"/>
          <w:color w:val="000000"/>
          <w:lang w:eastAsia="bg-BG"/>
        </w:rPr>
      </w:pPr>
    </w:p>
    <w:p w14:paraId="55F1B15F" w14:textId="77777777" w:rsidR="002B4918" w:rsidRPr="002B4918" w:rsidRDefault="002B4918" w:rsidP="002B4918">
      <w:pPr>
        <w:spacing w:line="240" w:lineRule="auto"/>
        <w:rPr>
          <w:rFonts w:eastAsia="Times New Roman" w:cs="Arial"/>
          <w:sz w:val="28"/>
          <w:szCs w:val="24"/>
        </w:rPr>
      </w:pPr>
      <w:r w:rsidRPr="002B4918">
        <w:rPr>
          <w:rFonts w:eastAsia="Times New Roman" w:cs="Arial"/>
          <w:i/>
          <w:iCs/>
          <w:color w:val="000000"/>
          <w:szCs w:val="20"/>
          <w:u w:val="single"/>
          <w:lang w:eastAsia="bg-BG"/>
        </w:rPr>
        <w:t>Продължителност на лечението</w:t>
      </w:r>
    </w:p>
    <w:p w14:paraId="342E73D6" w14:textId="77777777" w:rsidR="002B4918" w:rsidRPr="002B4918" w:rsidRDefault="002B4918" w:rsidP="002B4918">
      <w:pPr>
        <w:spacing w:line="240" w:lineRule="auto"/>
        <w:rPr>
          <w:rFonts w:eastAsia="Times New Roman" w:cs="Arial"/>
          <w:sz w:val="28"/>
          <w:szCs w:val="24"/>
        </w:rPr>
      </w:pPr>
      <w:r w:rsidRPr="002B4918">
        <w:rPr>
          <w:rFonts w:eastAsia="Times New Roman" w:cs="Arial"/>
          <w:color w:val="000000"/>
          <w:szCs w:val="20"/>
          <w:lang w:eastAsia="bg-BG"/>
        </w:rPr>
        <w:t>Продължителността на лечението е различна в зависимост от хода на заболяването. Като цяло, както при всяка антибиотична терапия приложението на цефтриаксон трябва да продължи 48-72 часа след като пациентът е афебрилен или има данни за бактериална ерадикация.</w:t>
      </w:r>
    </w:p>
    <w:p w14:paraId="3124ED3C" w14:textId="77777777" w:rsidR="002B4918" w:rsidRPr="002B4918" w:rsidRDefault="002B4918" w:rsidP="002B4918">
      <w:pPr>
        <w:spacing w:line="240" w:lineRule="auto"/>
        <w:rPr>
          <w:rFonts w:eastAsia="Times New Roman" w:cs="Arial"/>
          <w:i/>
          <w:iCs/>
          <w:color w:val="000000"/>
          <w:szCs w:val="20"/>
          <w:u w:val="single"/>
          <w:lang w:eastAsia="bg-BG"/>
        </w:rPr>
      </w:pPr>
    </w:p>
    <w:p w14:paraId="751EA8EA" w14:textId="0BCF776B" w:rsidR="002B4918" w:rsidRPr="002B4918" w:rsidRDefault="002B4918" w:rsidP="002B4918">
      <w:pPr>
        <w:spacing w:line="240" w:lineRule="auto"/>
        <w:rPr>
          <w:rFonts w:eastAsia="Times New Roman" w:cs="Arial"/>
          <w:sz w:val="28"/>
          <w:szCs w:val="24"/>
        </w:rPr>
      </w:pPr>
      <w:r w:rsidRPr="002B4918">
        <w:rPr>
          <w:rFonts w:eastAsia="Times New Roman" w:cs="Arial"/>
          <w:i/>
          <w:iCs/>
          <w:color w:val="000000"/>
          <w:szCs w:val="20"/>
          <w:u w:val="single"/>
          <w:lang w:eastAsia="bg-BG"/>
        </w:rPr>
        <w:t>Паииенти е старческа възраст</w:t>
      </w:r>
    </w:p>
    <w:p w14:paraId="3443007C" w14:textId="77777777" w:rsidR="002B4918" w:rsidRPr="002B4918" w:rsidRDefault="002B4918" w:rsidP="002B4918">
      <w:pPr>
        <w:spacing w:line="240" w:lineRule="auto"/>
        <w:rPr>
          <w:rFonts w:eastAsia="Times New Roman" w:cs="Arial"/>
          <w:sz w:val="28"/>
          <w:szCs w:val="24"/>
        </w:rPr>
      </w:pPr>
      <w:r w:rsidRPr="002B4918">
        <w:rPr>
          <w:rFonts w:eastAsia="Times New Roman" w:cs="Arial"/>
          <w:color w:val="000000"/>
          <w:szCs w:val="20"/>
          <w:lang w:eastAsia="bg-BG"/>
        </w:rPr>
        <w:t>Дозите, препоръчвани за възрастни не се нуждаят от промяна при пациенти в старческа възраст, при условие че бъбречната и чернодробна функция са задоволителни.</w:t>
      </w:r>
    </w:p>
    <w:p w14:paraId="5975DBA9" w14:textId="77777777" w:rsidR="002B4918" w:rsidRPr="002B4918" w:rsidRDefault="002B4918" w:rsidP="002B4918">
      <w:pPr>
        <w:spacing w:line="240" w:lineRule="auto"/>
        <w:rPr>
          <w:rFonts w:eastAsia="Times New Roman" w:cs="Arial"/>
          <w:i/>
          <w:iCs/>
          <w:color w:val="000000"/>
          <w:szCs w:val="20"/>
          <w:u w:val="single"/>
          <w:lang w:eastAsia="bg-BG"/>
        </w:rPr>
      </w:pPr>
    </w:p>
    <w:p w14:paraId="0976690C" w14:textId="70ADDFF6" w:rsidR="002B4918" w:rsidRPr="002B4918" w:rsidRDefault="002B4918" w:rsidP="002B4918">
      <w:pPr>
        <w:spacing w:line="240" w:lineRule="auto"/>
        <w:rPr>
          <w:rFonts w:eastAsia="Times New Roman" w:cs="Arial"/>
          <w:sz w:val="28"/>
          <w:szCs w:val="24"/>
        </w:rPr>
      </w:pPr>
      <w:r w:rsidRPr="002B4918">
        <w:rPr>
          <w:rFonts w:eastAsia="Times New Roman" w:cs="Arial"/>
          <w:i/>
          <w:iCs/>
          <w:color w:val="000000"/>
          <w:szCs w:val="20"/>
          <w:u w:val="single"/>
          <w:lang w:eastAsia="bg-BG"/>
        </w:rPr>
        <w:lastRenderedPageBreak/>
        <w:t>Паииенти с чернодробно увреждане</w:t>
      </w:r>
    </w:p>
    <w:p w14:paraId="1EA8963A" w14:textId="77777777" w:rsidR="002B4918" w:rsidRPr="002B4918" w:rsidRDefault="002B4918" w:rsidP="002B4918">
      <w:pPr>
        <w:spacing w:line="240" w:lineRule="auto"/>
        <w:rPr>
          <w:rFonts w:eastAsia="Times New Roman" w:cs="Arial"/>
          <w:sz w:val="28"/>
          <w:szCs w:val="24"/>
        </w:rPr>
      </w:pPr>
      <w:r w:rsidRPr="002B4918">
        <w:rPr>
          <w:rFonts w:eastAsia="Times New Roman" w:cs="Arial"/>
          <w:color w:val="000000"/>
          <w:szCs w:val="20"/>
          <w:lang w:eastAsia="bg-BG"/>
        </w:rPr>
        <w:t>Наличните данни не показват необходимост от корекция на дозата при леко до умерено увреждане на чернодробната функция при условие че бъбречната функция не е увредена.</w:t>
      </w:r>
    </w:p>
    <w:p w14:paraId="3ED4AB6A" w14:textId="77777777" w:rsidR="002B4918" w:rsidRPr="002B4918" w:rsidRDefault="002B4918" w:rsidP="002B4918">
      <w:pPr>
        <w:spacing w:line="240" w:lineRule="auto"/>
        <w:rPr>
          <w:rFonts w:eastAsia="Times New Roman" w:cs="Arial"/>
          <w:color w:val="000000"/>
          <w:szCs w:val="20"/>
          <w:lang w:eastAsia="bg-BG"/>
        </w:rPr>
      </w:pPr>
    </w:p>
    <w:p w14:paraId="4497F0A2" w14:textId="77BA3D75" w:rsidR="002B4918" w:rsidRPr="002B4918" w:rsidRDefault="002B4918" w:rsidP="002B4918">
      <w:pPr>
        <w:spacing w:line="240" w:lineRule="auto"/>
        <w:rPr>
          <w:rFonts w:eastAsia="Times New Roman" w:cs="Arial"/>
          <w:sz w:val="28"/>
          <w:szCs w:val="24"/>
        </w:rPr>
      </w:pPr>
      <w:r w:rsidRPr="002B4918">
        <w:rPr>
          <w:rFonts w:eastAsia="Times New Roman" w:cs="Arial"/>
          <w:color w:val="000000"/>
          <w:szCs w:val="20"/>
          <w:lang w:eastAsia="bg-BG"/>
        </w:rPr>
        <w:t>Все още няма данни от проучвания при пациенти с тежко чернодробно увреждане (виж точка 5.2).</w:t>
      </w:r>
    </w:p>
    <w:p w14:paraId="4A19019A" w14:textId="77777777" w:rsidR="002B4918" w:rsidRPr="002B4918" w:rsidRDefault="002B4918" w:rsidP="002B4918">
      <w:pPr>
        <w:spacing w:line="240" w:lineRule="auto"/>
        <w:rPr>
          <w:rFonts w:eastAsia="Times New Roman" w:cs="Arial"/>
          <w:i/>
          <w:iCs/>
          <w:color w:val="000000"/>
          <w:szCs w:val="20"/>
          <w:u w:val="single"/>
          <w:lang w:eastAsia="bg-BG"/>
        </w:rPr>
      </w:pPr>
    </w:p>
    <w:p w14:paraId="13F74E39" w14:textId="1978CB39" w:rsidR="002B4918" w:rsidRPr="002B4918" w:rsidRDefault="002B4918" w:rsidP="002B4918">
      <w:pPr>
        <w:spacing w:line="240" w:lineRule="auto"/>
        <w:rPr>
          <w:rFonts w:eastAsia="Times New Roman" w:cs="Arial"/>
          <w:sz w:val="28"/>
          <w:szCs w:val="24"/>
        </w:rPr>
      </w:pPr>
      <w:r w:rsidRPr="002B4918">
        <w:rPr>
          <w:rFonts w:eastAsia="Times New Roman" w:cs="Arial"/>
          <w:i/>
          <w:iCs/>
          <w:color w:val="000000"/>
          <w:szCs w:val="20"/>
          <w:u w:val="single"/>
          <w:lang w:eastAsia="bg-BG"/>
        </w:rPr>
        <w:t>Паииенти с бъбречно увреждане</w:t>
      </w:r>
    </w:p>
    <w:p w14:paraId="11808C3E" w14:textId="77777777" w:rsidR="002B4918" w:rsidRPr="002B4918" w:rsidRDefault="002B4918" w:rsidP="002B4918">
      <w:pPr>
        <w:spacing w:line="240" w:lineRule="auto"/>
        <w:rPr>
          <w:rFonts w:eastAsia="Times New Roman" w:cs="Arial"/>
          <w:sz w:val="28"/>
          <w:szCs w:val="24"/>
        </w:rPr>
      </w:pPr>
      <w:r w:rsidRPr="002B4918">
        <w:rPr>
          <w:rFonts w:eastAsia="Times New Roman" w:cs="Arial"/>
          <w:color w:val="000000"/>
          <w:szCs w:val="20"/>
          <w:lang w:eastAsia="bg-BG"/>
        </w:rPr>
        <w:t xml:space="preserve">Не е необходимо да се понижава дозата на цефтриаксон при пациенти с увредена бъбречна функция при условие, че чернодробната функция не е увредена. Само при претерминална бъбречна недостатъчност (креатининов клирънс &lt;10 </w:t>
      </w:r>
      <w:r w:rsidRPr="002B4918">
        <w:rPr>
          <w:rFonts w:eastAsia="Times New Roman" w:cs="Arial"/>
          <w:color w:val="000000"/>
          <w:szCs w:val="20"/>
          <w:lang w:val="en-US"/>
        </w:rPr>
        <w:t>ml</w:t>
      </w:r>
      <w:r w:rsidRPr="002B4918">
        <w:rPr>
          <w:rFonts w:eastAsia="Times New Roman" w:cs="Arial"/>
          <w:color w:val="000000"/>
          <w:szCs w:val="20"/>
          <w:lang w:val="ru-RU"/>
        </w:rPr>
        <w:t>/</w:t>
      </w:r>
      <w:r w:rsidRPr="002B4918">
        <w:rPr>
          <w:rFonts w:eastAsia="Times New Roman" w:cs="Arial"/>
          <w:color w:val="000000"/>
          <w:szCs w:val="20"/>
          <w:lang w:val="en-US"/>
        </w:rPr>
        <w:t>min</w:t>
      </w:r>
      <w:r w:rsidRPr="002B4918">
        <w:rPr>
          <w:rFonts w:eastAsia="Times New Roman" w:cs="Arial"/>
          <w:color w:val="000000"/>
          <w:szCs w:val="20"/>
          <w:lang w:val="ru-RU"/>
        </w:rPr>
        <w:t xml:space="preserve">) </w:t>
      </w:r>
      <w:r w:rsidRPr="002B4918">
        <w:rPr>
          <w:rFonts w:eastAsia="Times New Roman" w:cs="Arial"/>
          <w:color w:val="000000"/>
          <w:szCs w:val="20"/>
          <w:lang w:eastAsia="bg-BG"/>
        </w:rPr>
        <w:t xml:space="preserve">дневната доза цефтриаксон не трябва да надвишава 2 </w:t>
      </w:r>
      <w:r w:rsidRPr="002B4918">
        <w:rPr>
          <w:rFonts w:eastAsia="Times New Roman" w:cs="Arial"/>
          <w:color w:val="000000"/>
          <w:szCs w:val="20"/>
          <w:lang w:val="en-US"/>
        </w:rPr>
        <w:t>g</w:t>
      </w:r>
      <w:r w:rsidRPr="002B4918">
        <w:rPr>
          <w:rFonts w:eastAsia="Times New Roman" w:cs="Arial"/>
          <w:color w:val="000000"/>
          <w:szCs w:val="20"/>
          <w:lang w:val="ru-RU"/>
        </w:rPr>
        <w:t>.</w:t>
      </w:r>
    </w:p>
    <w:p w14:paraId="21F9D60B" w14:textId="77777777" w:rsidR="002B4918" w:rsidRPr="002B4918" w:rsidRDefault="002B4918" w:rsidP="002B4918">
      <w:pPr>
        <w:spacing w:line="240" w:lineRule="auto"/>
        <w:rPr>
          <w:rFonts w:eastAsia="Times New Roman" w:cs="Arial"/>
          <w:color w:val="000000"/>
          <w:szCs w:val="20"/>
          <w:lang w:eastAsia="bg-BG"/>
        </w:rPr>
      </w:pPr>
    </w:p>
    <w:p w14:paraId="0B90EE75" w14:textId="7FC0C95C" w:rsidR="002B4918" w:rsidRPr="002B4918" w:rsidRDefault="002B4918" w:rsidP="002B4918">
      <w:pPr>
        <w:spacing w:line="240" w:lineRule="auto"/>
        <w:rPr>
          <w:rFonts w:eastAsia="Times New Roman" w:cs="Arial"/>
          <w:sz w:val="28"/>
          <w:szCs w:val="24"/>
        </w:rPr>
      </w:pPr>
      <w:r w:rsidRPr="002B4918">
        <w:rPr>
          <w:rFonts w:eastAsia="Times New Roman" w:cs="Arial"/>
          <w:color w:val="000000"/>
          <w:szCs w:val="20"/>
          <w:lang w:eastAsia="bg-BG"/>
        </w:rPr>
        <w:t>При пациенти, подложени на диализа не се изисква допълнително дозиране след диализа. Цефтриаксон не се отстранява чрез перитонеална или хемодиализа. Препоръчва се внимателно клинично наблюдение за безопасност и ефикасност.</w:t>
      </w:r>
    </w:p>
    <w:p w14:paraId="31AA7154" w14:textId="77777777" w:rsidR="002B4918" w:rsidRPr="002B4918" w:rsidRDefault="002B4918" w:rsidP="002B4918">
      <w:pPr>
        <w:spacing w:line="240" w:lineRule="auto"/>
        <w:rPr>
          <w:rFonts w:eastAsia="Times New Roman" w:cs="Arial"/>
          <w:i/>
          <w:iCs/>
          <w:color w:val="000000"/>
          <w:szCs w:val="20"/>
          <w:u w:val="single"/>
          <w:lang w:eastAsia="bg-BG"/>
        </w:rPr>
      </w:pPr>
    </w:p>
    <w:p w14:paraId="5218C05D" w14:textId="3C5F5E1E" w:rsidR="002B4918" w:rsidRPr="002B4918" w:rsidRDefault="002B4918" w:rsidP="002B4918">
      <w:pPr>
        <w:spacing w:line="240" w:lineRule="auto"/>
        <w:rPr>
          <w:rFonts w:eastAsia="Times New Roman" w:cs="Arial"/>
          <w:sz w:val="28"/>
          <w:szCs w:val="24"/>
        </w:rPr>
      </w:pPr>
      <w:r w:rsidRPr="002B4918">
        <w:rPr>
          <w:rFonts w:eastAsia="Times New Roman" w:cs="Arial"/>
          <w:i/>
          <w:iCs/>
          <w:color w:val="000000"/>
          <w:szCs w:val="20"/>
          <w:u w:val="single"/>
          <w:lang w:eastAsia="bg-BG"/>
        </w:rPr>
        <w:t>Паииенти с тежко чернодробно и бъбречно увреждане</w:t>
      </w:r>
    </w:p>
    <w:p w14:paraId="1A98A307" w14:textId="77777777" w:rsidR="002B4918" w:rsidRPr="002B4918" w:rsidRDefault="002B4918" w:rsidP="002B4918">
      <w:pPr>
        <w:spacing w:line="240" w:lineRule="auto"/>
        <w:rPr>
          <w:rFonts w:eastAsia="Times New Roman" w:cs="Arial"/>
          <w:sz w:val="28"/>
          <w:szCs w:val="24"/>
        </w:rPr>
      </w:pPr>
      <w:r w:rsidRPr="002B4918">
        <w:rPr>
          <w:rFonts w:eastAsia="Times New Roman" w:cs="Arial"/>
          <w:color w:val="000000"/>
          <w:szCs w:val="20"/>
          <w:lang w:eastAsia="bg-BG"/>
        </w:rPr>
        <w:t>При пациенти с тежка бъбречна и чернодробна дисфункция се препоръчва внимателно клинично наблюдение за безопасност и ефикасност</w:t>
      </w:r>
    </w:p>
    <w:p w14:paraId="6BC82181" w14:textId="77777777" w:rsidR="002B4918" w:rsidRPr="002B4918" w:rsidRDefault="002B4918" w:rsidP="002B4918">
      <w:pPr>
        <w:spacing w:line="240" w:lineRule="auto"/>
        <w:rPr>
          <w:rFonts w:eastAsia="Times New Roman" w:cs="Arial"/>
          <w:color w:val="000000"/>
          <w:szCs w:val="20"/>
          <w:u w:val="single"/>
          <w:lang w:eastAsia="bg-BG"/>
        </w:rPr>
      </w:pPr>
    </w:p>
    <w:p w14:paraId="6CB304F4" w14:textId="1132FAB1" w:rsidR="002B4918" w:rsidRPr="002B4918" w:rsidRDefault="002B4918" w:rsidP="002B4918">
      <w:pPr>
        <w:pStyle w:val="Heading3"/>
        <w:rPr>
          <w:rFonts w:eastAsia="Times New Roman"/>
          <w:sz w:val="28"/>
          <w:u w:val="single"/>
        </w:rPr>
      </w:pPr>
      <w:r w:rsidRPr="002B4918">
        <w:rPr>
          <w:rFonts w:eastAsia="Times New Roman"/>
          <w:u w:val="single"/>
          <w:lang w:eastAsia="bg-BG"/>
        </w:rPr>
        <w:t>Начин на приложение</w:t>
      </w:r>
    </w:p>
    <w:p w14:paraId="2AD1F46F" w14:textId="04F04926" w:rsidR="002B4918" w:rsidRPr="002B4918" w:rsidRDefault="002B4918" w:rsidP="002B4918">
      <w:pPr>
        <w:spacing w:line="240" w:lineRule="auto"/>
        <w:rPr>
          <w:rFonts w:eastAsia="Times New Roman" w:cs="Arial"/>
          <w:sz w:val="28"/>
          <w:szCs w:val="24"/>
        </w:rPr>
      </w:pPr>
      <w:r w:rsidRPr="002B4918">
        <w:rPr>
          <w:rFonts w:eastAsia="Times New Roman" w:cs="Arial"/>
          <w:color w:val="000000"/>
          <w:szCs w:val="20"/>
          <w:lang w:eastAsia="bg-BG"/>
        </w:rPr>
        <w:t xml:space="preserve">Терцеф може да се прилага чрез интравенозна инфузия в продължение на поне 30 минути (предпочитан начин на приложение) или чрез бавна интравенозна инжекция в продължение на 5 минути или чрез дълбоко интрамускулно инжектиране. Интравенозното интермитентно инжектиране трябва да се прилага в продължение на 5 минути, за предпочитане в по-големи вени. Интравенозни дози от 50 </w:t>
      </w:r>
      <w:r w:rsidRPr="002B4918">
        <w:rPr>
          <w:rFonts w:eastAsia="Times New Roman" w:cs="Arial"/>
          <w:color w:val="000000"/>
          <w:szCs w:val="20"/>
          <w:lang w:val="en-US"/>
        </w:rPr>
        <w:t>mg</w:t>
      </w:r>
      <w:r w:rsidRPr="002B4918">
        <w:rPr>
          <w:rFonts w:eastAsia="Times New Roman" w:cs="Arial"/>
          <w:color w:val="000000"/>
          <w:szCs w:val="20"/>
          <w:lang w:val="ru-RU"/>
        </w:rPr>
        <w:t>/</w:t>
      </w:r>
      <w:r w:rsidRPr="002B4918">
        <w:rPr>
          <w:rFonts w:eastAsia="Times New Roman" w:cs="Arial"/>
          <w:color w:val="000000"/>
          <w:szCs w:val="20"/>
          <w:lang w:val="en-US"/>
        </w:rPr>
        <w:t>kg</w:t>
      </w:r>
      <w:r w:rsidRPr="002B4918">
        <w:rPr>
          <w:rFonts w:eastAsia="Times New Roman" w:cs="Arial"/>
          <w:color w:val="000000"/>
          <w:szCs w:val="20"/>
          <w:lang w:val="ru-RU"/>
        </w:rPr>
        <w:t xml:space="preserve"> </w:t>
      </w:r>
      <w:r w:rsidRPr="002B4918">
        <w:rPr>
          <w:rFonts w:eastAsia="Times New Roman" w:cs="Arial"/>
          <w:color w:val="000000"/>
          <w:szCs w:val="20"/>
          <w:lang w:eastAsia="bg-BG"/>
        </w:rPr>
        <w:t xml:space="preserve">или повече при бебета и деца до 12-годишна възраст трябва да се прилагат чрез инфузия. При новородени ингравенозните дози трябва да се прилагат за повече от 60 минути, за да се намали потенциалният риск от билирубинова енцефалопатия (вж. точки 4.3 и 4.4). Интрамускулно цефтриаксон трябва да се инжектира в сравнително по-големи мускули и на едно място не трябва да се инжектира повече от 1 </w:t>
      </w:r>
      <w:r w:rsidRPr="002B4918">
        <w:rPr>
          <w:rFonts w:eastAsia="Times New Roman" w:cs="Arial"/>
          <w:color w:val="000000"/>
          <w:szCs w:val="20"/>
          <w:lang w:val="en-US"/>
        </w:rPr>
        <w:t>g</w:t>
      </w:r>
      <w:r w:rsidRPr="002B4918">
        <w:rPr>
          <w:rFonts w:eastAsia="Times New Roman" w:cs="Arial"/>
          <w:color w:val="000000"/>
          <w:szCs w:val="20"/>
          <w:lang w:val="ru-RU"/>
        </w:rPr>
        <w:t xml:space="preserve">. </w:t>
      </w:r>
      <w:r w:rsidRPr="002B4918">
        <w:rPr>
          <w:rFonts w:eastAsia="Times New Roman" w:cs="Arial"/>
          <w:color w:val="000000"/>
          <w:szCs w:val="20"/>
          <w:lang w:eastAsia="bg-BG"/>
        </w:rPr>
        <w:t xml:space="preserve">Интрамускулно се прилага, когато не е възможно интравенозно приложение или то е по- неподходящо за пациента. Дози по-високи дози от 2 </w:t>
      </w:r>
      <w:r w:rsidRPr="002B4918">
        <w:rPr>
          <w:rFonts w:eastAsia="Times New Roman" w:cs="Arial"/>
          <w:color w:val="000000"/>
          <w:szCs w:val="20"/>
          <w:lang w:val="en-US"/>
        </w:rPr>
        <w:t>g</w:t>
      </w:r>
      <w:r w:rsidRPr="002B4918">
        <w:rPr>
          <w:rFonts w:eastAsia="Times New Roman" w:cs="Arial"/>
          <w:color w:val="000000"/>
          <w:szCs w:val="20"/>
          <w:lang w:val="ru-RU"/>
        </w:rPr>
        <w:t xml:space="preserve"> </w:t>
      </w:r>
      <w:r w:rsidRPr="002B4918">
        <w:rPr>
          <w:rFonts w:eastAsia="Times New Roman" w:cs="Arial"/>
          <w:color w:val="000000"/>
          <w:szCs w:val="20"/>
          <w:lang w:eastAsia="bg-BG"/>
        </w:rPr>
        <w:t>се прилагат интравенозно.</w:t>
      </w:r>
    </w:p>
    <w:p w14:paraId="5F249B6A" w14:textId="77777777" w:rsidR="002B4918" w:rsidRPr="002B4918" w:rsidRDefault="002B4918" w:rsidP="002B4918">
      <w:pPr>
        <w:spacing w:line="240" w:lineRule="auto"/>
        <w:rPr>
          <w:rFonts w:eastAsia="Times New Roman" w:cs="Arial"/>
          <w:color w:val="000000"/>
          <w:szCs w:val="20"/>
          <w:lang w:eastAsia="bg-BG"/>
        </w:rPr>
      </w:pPr>
    </w:p>
    <w:p w14:paraId="539B2076" w14:textId="08953526" w:rsidR="002B4918" w:rsidRPr="002B4918" w:rsidRDefault="002B4918" w:rsidP="002B4918">
      <w:pPr>
        <w:spacing w:line="240" w:lineRule="auto"/>
        <w:rPr>
          <w:rFonts w:eastAsia="Times New Roman" w:cs="Arial"/>
          <w:sz w:val="28"/>
          <w:szCs w:val="24"/>
        </w:rPr>
      </w:pPr>
      <w:r w:rsidRPr="002B4918">
        <w:rPr>
          <w:rFonts w:eastAsia="Times New Roman" w:cs="Arial"/>
          <w:color w:val="000000"/>
          <w:szCs w:val="20"/>
          <w:lang w:eastAsia="bg-BG"/>
        </w:rPr>
        <w:t>Ако за разтворител се използва лидокаин, полученият разтвор никога не трябва да се прилага интравенозно (вж. точка 4.3). Трябва да се съблюдава информацията за лидокаин, предоставен; в Кратката характеристика на продукта.</w:t>
      </w:r>
    </w:p>
    <w:p w14:paraId="1A344943" w14:textId="77777777" w:rsidR="002B4918" w:rsidRPr="002B4918" w:rsidRDefault="002B4918" w:rsidP="002B4918">
      <w:pPr>
        <w:rPr>
          <w:rFonts w:eastAsia="Times New Roman" w:cs="Arial"/>
          <w:color w:val="000000"/>
          <w:szCs w:val="20"/>
          <w:lang w:eastAsia="bg-BG"/>
        </w:rPr>
      </w:pPr>
    </w:p>
    <w:p w14:paraId="74DF6C5A" w14:textId="62EB4D9A" w:rsidR="002B4918" w:rsidRPr="002B4918" w:rsidRDefault="002B4918" w:rsidP="002B4918">
      <w:pPr>
        <w:rPr>
          <w:rFonts w:eastAsia="Times New Roman" w:cs="Arial"/>
          <w:color w:val="000000"/>
          <w:szCs w:val="20"/>
          <w:lang w:eastAsia="bg-BG"/>
        </w:rPr>
      </w:pPr>
      <w:r w:rsidRPr="002B4918">
        <w:rPr>
          <w:rFonts w:eastAsia="Times New Roman" w:cs="Arial"/>
          <w:color w:val="000000"/>
          <w:szCs w:val="20"/>
          <w:lang w:eastAsia="bg-BG"/>
        </w:rPr>
        <w:t>Поради риск от преципитиране между цефтриаксон и калций цефтриаксон е противопоказан за употреба при новородени (&lt; 28 дни), ако им се налага (или се предполага, че ще се налага) лечение с калций-съдържащи интравенозни разтвори, включително продължителни калций-</w:t>
      </w:r>
      <w:r w:rsidRPr="002B4918">
        <w:rPr>
          <w:rFonts w:eastAsia="Times New Roman" w:cs="Arial"/>
          <w:color w:val="000000"/>
          <w:szCs w:val="20"/>
          <w:u w:val="single"/>
          <w:lang w:eastAsia="bg-BG"/>
        </w:rPr>
        <w:t xml:space="preserve"> </w:t>
      </w:r>
      <w:r w:rsidRPr="002B4918">
        <w:rPr>
          <w:rFonts w:eastAsia="Times New Roman" w:cs="Arial"/>
          <w:color w:val="000000"/>
          <w:szCs w:val="20"/>
          <w:lang w:eastAsia="bg-BG"/>
        </w:rPr>
        <w:t>съдържащи инфузии, като парентерално хранене, поради риск от образуване на цефтриаксон- калциеви преципитати (вж. точка 4.3).</w:t>
      </w:r>
    </w:p>
    <w:p w14:paraId="780D0AF9" w14:textId="276AE03B" w:rsidR="002B4918" w:rsidRPr="002B4918" w:rsidRDefault="002B4918" w:rsidP="002B4918">
      <w:pPr>
        <w:rPr>
          <w:rFonts w:eastAsia="Times New Roman" w:cs="Arial"/>
          <w:color w:val="000000"/>
          <w:szCs w:val="20"/>
          <w:lang w:eastAsia="bg-BG"/>
        </w:rPr>
      </w:pPr>
    </w:p>
    <w:p w14:paraId="7CEFCADB" w14:textId="77777777" w:rsidR="002B4918" w:rsidRPr="002B4918" w:rsidRDefault="002B4918" w:rsidP="002B4918">
      <w:pPr>
        <w:spacing w:line="240" w:lineRule="auto"/>
        <w:rPr>
          <w:rFonts w:eastAsia="Times New Roman" w:cs="Arial"/>
          <w:sz w:val="28"/>
          <w:szCs w:val="24"/>
        </w:rPr>
      </w:pPr>
      <w:r w:rsidRPr="002B4918">
        <w:rPr>
          <w:rFonts w:eastAsia="Times New Roman" w:cs="Arial"/>
          <w:color w:val="000000"/>
          <w:szCs w:val="20"/>
          <w:lang w:eastAsia="bg-BG"/>
        </w:rPr>
        <w:t xml:space="preserve">Не трябва да се използват разтворители, съдържащи калций (например разтвор на Рингер или разтвор на Хартман) за разтваряне на флаконите цефтриаксон или за по-нататъшно разреждане на разтворения флакон, необходимо за интравенозно приложение, тъй като може да се образува преципитат. Преципитат цефтриаксон - калций </w:t>
      </w:r>
      <w:r w:rsidRPr="002B4918">
        <w:rPr>
          <w:rFonts w:eastAsia="Times New Roman" w:cs="Arial"/>
          <w:color w:val="000000"/>
          <w:szCs w:val="20"/>
          <w:lang w:eastAsia="bg-BG"/>
        </w:rPr>
        <w:lastRenderedPageBreak/>
        <w:t>може да се наблюдава, когато цефтриаксон се смесва с разтвори, съдържащи калций в една и съща интравенозна система. Следователно цефтриаксон и калций - съдържащи разтвори не трябва да се смесват или прилагат едновременно (вж. точки 4.3,4.4 и 6.2).</w:t>
      </w:r>
    </w:p>
    <w:p w14:paraId="0CDCF41E" w14:textId="77777777" w:rsidR="002B4918" w:rsidRPr="002B4918" w:rsidRDefault="002B4918" w:rsidP="002B4918">
      <w:pPr>
        <w:spacing w:line="240" w:lineRule="auto"/>
        <w:rPr>
          <w:rFonts w:eastAsia="Times New Roman" w:cs="Arial"/>
          <w:color w:val="000000"/>
          <w:szCs w:val="20"/>
          <w:lang w:eastAsia="bg-BG"/>
        </w:rPr>
      </w:pPr>
    </w:p>
    <w:p w14:paraId="16463EB4" w14:textId="7B5F2A0B" w:rsidR="002B4918" w:rsidRPr="002B4918" w:rsidRDefault="002B4918" w:rsidP="002B4918">
      <w:pPr>
        <w:spacing w:line="240" w:lineRule="auto"/>
        <w:rPr>
          <w:rFonts w:eastAsia="Times New Roman" w:cs="Arial"/>
          <w:sz w:val="28"/>
          <w:szCs w:val="24"/>
        </w:rPr>
      </w:pPr>
      <w:r w:rsidRPr="002B4918">
        <w:rPr>
          <w:rFonts w:eastAsia="Times New Roman" w:cs="Arial"/>
          <w:color w:val="000000"/>
          <w:szCs w:val="20"/>
          <w:lang w:eastAsia="bg-BG"/>
        </w:rPr>
        <w:t>За предоперативна профилактика на хирургични раневи инфекции цефтриаксон трябва да се прилага 30-90 минути преди оперативната намеса.</w:t>
      </w:r>
    </w:p>
    <w:p w14:paraId="3B81BDE7" w14:textId="77777777" w:rsidR="002B4918" w:rsidRPr="002B4918" w:rsidRDefault="002B4918" w:rsidP="002B4918">
      <w:pPr>
        <w:rPr>
          <w:rFonts w:eastAsia="Times New Roman" w:cs="Arial"/>
          <w:color w:val="000000"/>
          <w:szCs w:val="20"/>
          <w:lang w:eastAsia="bg-BG"/>
        </w:rPr>
      </w:pPr>
    </w:p>
    <w:p w14:paraId="4A28EEF5" w14:textId="5AE1409E" w:rsidR="002B4918" w:rsidRDefault="002B4918" w:rsidP="002B4918">
      <w:pPr>
        <w:rPr>
          <w:rFonts w:eastAsia="Times New Roman" w:cs="Arial"/>
          <w:color w:val="000000"/>
          <w:szCs w:val="20"/>
          <w:lang w:eastAsia="bg-BG"/>
        </w:rPr>
      </w:pPr>
      <w:r w:rsidRPr="002B4918">
        <w:rPr>
          <w:rFonts w:eastAsia="Times New Roman" w:cs="Arial"/>
          <w:color w:val="000000"/>
          <w:szCs w:val="20"/>
          <w:lang w:eastAsia="bg-BG"/>
        </w:rPr>
        <w:t>За указания относно разтварянето на лекарствения продукт преди приложение вижте точка 6.6.</w:t>
      </w:r>
    </w:p>
    <w:p w14:paraId="0E78C96A" w14:textId="77777777" w:rsidR="002B4918" w:rsidRPr="002B4918" w:rsidRDefault="002B4918" w:rsidP="002B4918">
      <w:pPr>
        <w:rPr>
          <w:rFonts w:cs="Arial"/>
          <w:sz w:val="24"/>
        </w:rPr>
      </w:pPr>
    </w:p>
    <w:p w14:paraId="45A3672A" w14:textId="4AD39D15" w:rsidR="00426E5F" w:rsidRDefault="002C50EE" w:rsidP="00A65A81">
      <w:pPr>
        <w:pStyle w:val="Heading2"/>
      </w:pPr>
      <w:r>
        <w:t>4.3. Противопоказания</w:t>
      </w:r>
    </w:p>
    <w:p w14:paraId="333E0399" w14:textId="6D1CDDAB" w:rsidR="002B4918" w:rsidRDefault="002B4918" w:rsidP="002B4918"/>
    <w:p w14:paraId="16C04A1F" w14:textId="77777777" w:rsidR="002B4918" w:rsidRPr="002B4918" w:rsidRDefault="002B4918" w:rsidP="002B4918">
      <w:pPr>
        <w:spacing w:line="240" w:lineRule="auto"/>
        <w:rPr>
          <w:rFonts w:eastAsia="Times New Roman" w:cs="Arial"/>
          <w:sz w:val="28"/>
          <w:szCs w:val="24"/>
        </w:rPr>
      </w:pPr>
      <w:r w:rsidRPr="002B4918">
        <w:rPr>
          <w:rFonts w:eastAsia="Times New Roman" w:cs="Arial"/>
          <w:color w:val="000000"/>
          <w:szCs w:val="20"/>
          <w:lang w:eastAsia="bg-BG"/>
        </w:rPr>
        <w:t>Свръхчувствителност към цефтриаксон, към други цефалоспорини или към някое от помощните вещества, изброени в точка 6.1.</w:t>
      </w:r>
    </w:p>
    <w:p w14:paraId="31AE4000" w14:textId="77777777" w:rsidR="002B4918" w:rsidRPr="002B4918" w:rsidRDefault="002B4918" w:rsidP="002B4918">
      <w:pPr>
        <w:spacing w:line="240" w:lineRule="auto"/>
        <w:rPr>
          <w:rFonts w:eastAsia="Times New Roman" w:cs="Arial"/>
          <w:color w:val="000000"/>
          <w:szCs w:val="20"/>
          <w:lang w:eastAsia="bg-BG"/>
        </w:rPr>
      </w:pPr>
    </w:p>
    <w:p w14:paraId="69E83C3C" w14:textId="440C949E" w:rsidR="002B4918" w:rsidRPr="002B4918" w:rsidRDefault="002B4918" w:rsidP="002B4918">
      <w:pPr>
        <w:spacing w:line="240" w:lineRule="auto"/>
        <w:rPr>
          <w:rFonts w:eastAsia="Times New Roman" w:cs="Arial"/>
          <w:sz w:val="28"/>
          <w:szCs w:val="24"/>
        </w:rPr>
      </w:pPr>
      <w:r w:rsidRPr="002B4918">
        <w:rPr>
          <w:rFonts w:eastAsia="Times New Roman" w:cs="Arial"/>
          <w:color w:val="000000"/>
          <w:szCs w:val="20"/>
          <w:lang w:eastAsia="bg-BG"/>
        </w:rPr>
        <w:t>Анамнеза за тежка свръхчувствителност (напр. анафилактична реакция) към други видове бета- лактами (пеницилини, монобактами и карбапенеми).</w:t>
      </w:r>
    </w:p>
    <w:p w14:paraId="3B7A9D2B" w14:textId="77777777" w:rsidR="002B4918" w:rsidRPr="002B4918" w:rsidRDefault="002B4918" w:rsidP="002B4918">
      <w:pPr>
        <w:spacing w:line="240" w:lineRule="auto"/>
        <w:rPr>
          <w:rFonts w:eastAsia="Times New Roman" w:cs="Arial"/>
          <w:color w:val="000000"/>
          <w:szCs w:val="20"/>
          <w:lang w:eastAsia="bg-BG"/>
        </w:rPr>
      </w:pPr>
    </w:p>
    <w:p w14:paraId="0D5BB3C0" w14:textId="69EC5D60" w:rsidR="002B4918" w:rsidRPr="002B4918" w:rsidRDefault="002B4918" w:rsidP="002B4918">
      <w:pPr>
        <w:spacing w:line="240" w:lineRule="auto"/>
        <w:rPr>
          <w:rFonts w:eastAsia="Times New Roman" w:cs="Arial"/>
          <w:color w:val="000000"/>
          <w:szCs w:val="20"/>
          <w:lang w:eastAsia="bg-BG"/>
        </w:rPr>
      </w:pPr>
      <w:r w:rsidRPr="002B4918">
        <w:rPr>
          <w:rFonts w:eastAsia="Times New Roman" w:cs="Arial"/>
          <w:color w:val="000000"/>
          <w:szCs w:val="20"/>
          <w:lang w:eastAsia="bg-BG"/>
        </w:rPr>
        <w:t>Цефтриаксон е противопоказан при:</w:t>
      </w:r>
    </w:p>
    <w:p w14:paraId="2BC71527" w14:textId="77777777" w:rsidR="002B4918" w:rsidRPr="002B4918" w:rsidRDefault="002B4918" w:rsidP="002B4918">
      <w:pPr>
        <w:spacing w:line="240" w:lineRule="auto"/>
        <w:rPr>
          <w:rFonts w:eastAsia="Times New Roman" w:cs="Arial"/>
          <w:sz w:val="28"/>
          <w:szCs w:val="24"/>
        </w:rPr>
      </w:pPr>
    </w:p>
    <w:p w14:paraId="120B7A16" w14:textId="77777777" w:rsidR="002B4918" w:rsidRPr="002B4918" w:rsidRDefault="002B4918" w:rsidP="002B4918">
      <w:pPr>
        <w:pStyle w:val="ListParagraph"/>
        <w:numPr>
          <w:ilvl w:val="0"/>
          <w:numId w:val="36"/>
        </w:numPr>
        <w:spacing w:line="240" w:lineRule="auto"/>
        <w:rPr>
          <w:rFonts w:eastAsia="Times New Roman" w:cs="Arial"/>
          <w:color w:val="000000"/>
          <w:szCs w:val="20"/>
          <w:lang w:eastAsia="bg-BG"/>
        </w:rPr>
      </w:pPr>
      <w:r w:rsidRPr="002B4918">
        <w:rPr>
          <w:rFonts w:eastAsia="Times New Roman" w:cs="Arial"/>
          <w:color w:val="000000"/>
          <w:szCs w:val="20"/>
          <w:lang w:eastAsia="bg-BG"/>
        </w:rPr>
        <w:t>Недоносени новородени до постменструална възраст от 41 седмици (гестационна възраст + хронологична възраст)*.</w:t>
      </w:r>
    </w:p>
    <w:p w14:paraId="0C2A643A" w14:textId="77777777" w:rsidR="002B4918" w:rsidRPr="002B4918" w:rsidRDefault="002B4918" w:rsidP="002B4918">
      <w:pPr>
        <w:spacing w:line="240" w:lineRule="auto"/>
        <w:rPr>
          <w:rFonts w:eastAsia="Times New Roman" w:cs="Arial"/>
          <w:color w:val="000000"/>
          <w:szCs w:val="20"/>
          <w:lang w:eastAsia="bg-BG"/>
        </w:rPr>
      </w:pPr>
    </w:p>
    <w:p w14:paraId="54F3600B" w14:textId="77777777" w:rsidR="002B4918" w:rsidRPr="002B4918" w:rsidRDefault="002B4918" w:rsidP="002B4918">
      <w:pPr>
        <w:pStyle w:val="ListParagraph"/>
        <w:numPr>
          <w:ilvl w:val="0"/>
          <w:numId w:val="36"/>
        </w:numPr>
        <w:spacing w:line="240" w:lineRule="auto"/>
        <w:rPr>
          <w:rFonts w:eastAsia="Times New Roman" w:cs="Arial"/>
          <w:color w:val="000000"/>
          <w:szCs w:val="20"/>
          <w:lang w:eastAsia="bg-BG"/>
        </w:rPr>
      </w:pPr>
      <w:r w:rsidRPr="002B4918">
        <w:rPr>
          <w:rFonts w:eastAsia="Times New Roman" w:cs="Arial"/>
          <w:color w:val="000000"/>
          <w:szCs w:val="20"/>
          <w:lang w:eastAsia="bg-BG"/>
        </w:rPr>
        <w:t xml:space="preserve">Доносени новородени (до 28 дневна възраст): </w:t>
      </w:r>
    </w:p>
    <w:p w14:paraId="46E03516" w14:textId="77777777" w:rsidR="002B4918" w:rsidRPr="002B4918" w:rsidRDefault="002B4918" w:rsidP="002B4918">
      <w:pPr>
        <w:pStyle w:val="ListParagraph"/>
        <w:numPr>
          <w:ilvl w:val="0"/>
          <w:numId w:val="37"/>
        </w:numPr>
        <w:spacing w:line="240" w:lineRule="auto"/>
        <w:rPr>
          <w:rFonts w:eastAsia="Times New Roman" w:cs="Arial"/>
          <w:color w:val="000000"/>
          <w:szCs w:val="20"/>
          <w:lang w:eastAsia="bg-BG"/>
        </w:rPr>
      </w:pPr>
      <w:r w:rsidRPr="002B4918">
        <w:rPr>
          <w:rFonts w:eastAsia="Times New Roman" w:cs="Arial"/>
          <w:color w:val="000000"/>
          <w:szCs w:val="20"/>
          <w:lang w:eastAsia="bg-BG"/>
        </w:rPr>
        <w:t>с хипербилирубинемия, жълтеница или които имат хипоалбуминемия или ацидоза, защото при тези състояния е възможно да се наруши свързването на билирубина</w:t>
      </w:r>
    </w:p>
    <w:p w14:paraId="5D574D58" w14:textId="4A0898F1" w:rsidR="002B4918" w:rsidRPr="002B4918" w:rsidRDefault="002B4918" w:rsidP="002B4918">
      <w:pPr>
        <w:pStyle w:val="ListParagraph"/>
        <w:numPr>
          <w:ilvl w:val="0"/>
          <w:numId w:val="37"/>
        </w:numPr>
        <w:spacing w:line="240" w:lineRule="auto"/>
        <w:rPr>
          <w:rFonts w:eastAsia="Times New Roman" w:cs="Arial"/>
          <w:color w:val="000000"/>
          <w:szCs w:val="20"/>
          <w:lang w:eastAsia="bg-BG"/>
        </w:rPr>
      </w:pPr>
      <w:r w:rsidRPr="002B4918">
        <w:rPr>
          <w:rFonts w:eastAsia="Times New Roman" w:cs="Arial"/>
          <w:color w:val="000000"/>
          <w:szCs w:val="20"/>
          <w:lang w:eastAsia="bg-BG"/>
        </w:rPr>
        <w:t>на които им се налага (или се предполага, че ще се налага) интравенозно лечение с калций или калций-съдържащи инфузии, поради риск от отлагане на цефтриаксон- калциеви соли (вж. точки 4.4,4.8 и 6.2).</w:t>
      </w:r>
    </w:p>
    <w:p w14:paraId="0B5A0615" w14:textId="77777777" w:rsidR="002B4918" w:rsidRPr="002B4918" w:rsidRDefault="002B4918" w:rsidP="002B4918">
      <w:pPr>
        <w:spacing w:line="240" w:lineRule="auto"/>
        <w:rPr>
          <w:rFonts w:eastAsia="Times New Roman" w:cs="Arial"/>
          <w:i/>
          <w:iCs/>
          <w:color w:val="000000"/>
          <w:szCs w:val="20"/>
          <w:lang w:val="ru-RU"/>
        </w:rPr>
      </w:pPr>
    </w:p>
    <w:p w14:paraId="793F2160" w14:textId="2261572C" w:rsidR="002B4918" w:rsidRPr="002B4918" w:rsidRDefault="002B4918" w:rsidP="002B4918">
      <w:pPr>
        <w:spacing w:line="240" w:lineRule="auto"/>
        <w:rPr>
          <w:rFonts w:eastAsia="Times New Roman" w:cs="Arial"/>
          <w:sz w:val="28"/>
          <w:szCs w:val="24"/>
        </w:rPr>
      </w:pPr>
      <w:r w:rsidRPr="002B4918">
        <w:rPr>
          <w:rFonts w:eastAsia="Times New Roman" w:cs="Arial"/>
          <w:i/>
          <w:iCs/>
          <w:color w:val="000000"/>
          <w:szCs w:val="20"/>
          <w:lang w:val="ru-RU"/>
        </w:rPr>
        <w:t>*</w:t>
      </w:r>
      <w:r w:rsidRPr="002B4918">
        <w:rPr>
          <w:rFonts w:eastAsia="Times New Roman" w:cs="Arial"/>
          <w:i/>
          <w:iCs/>
          <w:color w:val="000000"/>
          <w:szCs w:val="20"/>
          <w:lang w:val="en-US"/>
        </w:rPr>
        <w:t>In</w:t>
      </w:r>
      <w:r w:rsidRPr="002B4918">
        <w:rPr>
          <w:rFonts w:eastAsia="Times New Roman" w:cs="Arial"/>
          <w:i/>
          <w:iCs/>
          <w:color w:val="000000"/>
          <w:szCs w:val="20"/>
          <w:lang w:val="ru-RU"/>
        </w:rPr>
        <w:t xml:space="preserve"> </w:t>
      </w:r>
      <w:r w:rsidRPr="002B4918">
        <w:rPr>
          <w:rFonts w:eastAsia="Times New Roman" w:cs="Arial"/>
          <w:i/>
          <w:iCs/>
          <w:color w:val="000000"/>
          <w:szCs w:val="20"/>
          <w:lang w:val="en-US"/>
        </w:rPr>
        <w:t>vitro</w:t>
      </w:r>
      <w:r w:rsidRPr="002B4918">
        <w:rPr>
          <w:rFonts w:eastAsia="Times New Roman" w:cs="Arial"/>
          <w:color w:val="000000"/>
          <w:szCs w:val="20"/>
          <w:lang w:val="ru-RU"/>
        </w:rPr>
        <w:t xml:space="preserve"> </w:t>
      </w:r>
      <w:r w:rsidRPr="002B4918">
        <w:rPr>
          <w:rFonts w:eastAsia="Times New Roman" w:cs="Arial"/>
          <w:color w:val="000000"/>
          <w:szCs w:val="20"/>
          <w:lang w:eastAsia="bg-BG"/>
        </w:rPr>
        <w:t>проучвания показват, че цефтриаксон може да измести билирубина от местата му за свързване с плазмените протеини, при което при тези пациенти е възможно да възникне риск от билирубинова енцефалопатия.</w:t>
      </w:r>
    </w:p>
    <w:p w14:paraId="26AC2B62" w14:textId="77777777" w:rsidR="002B4918" w:rsidRPr="002B4918" w:rsidRDefault="002B4918" w:rsidP="002B4918">
      <w:pPr>
        <w:spacing w:line="240" w:lineRule="auto"/>
        <w:rPr>
          <w:rFonts w:eastAsia="Times New Roman" w:cs="Arial"/>
          <w:color w:val="000000"/>
          <w:szCs w:val="20"/>
          <w:lang w:eastAsia="bg-BG"/>
        </w:rPr>
      </w:pPr>
    </w:p>
    <w:p w14:paraId="05F05C1C" w14:textId="17A817F7" w:rsidR="002B4918" w:rsidRPr="002B4918" w:rsidRDefault="002B4918" w:rsidP="002B4918">
      <w:pPr>
        <w:spacing w:line="240" w:lineRule="auto"/>
        <w:rPr>
          <w:rFonts w:eastAsia="Times New Roman" w:cs="Arial"/>
          <w:sz w:val="28"/>
          <w:szCs w:val="24"/>
        </w:rPr>
      </w:pPr>
      <w:r w:rsidRPr="002B4918">
        <w:rPr>
          <w:rFonts w:eastAsia="Times New Roman" w:cs="Arial"/>
          <w:color w:val="000000"/>
          <w:szCs w:val="20"/>
          <w:lang w:eastAsia="bg-BG"/>
        </w:rPr>
        <w:t>Преди интрамускулно прилагане на цефтриаксон, когато за разтворител се използва лидокаин трябва да се изключат възможните противопоказания за лидокаин (вж. точка 4.4). Виж информацията в Кратката характеристика на лидокаин, особено противопоказанията.</w:t>
      </w:r>
    </w:p>
    <w:p w14:paraId="0770E834" w14:textId="34DC941D" w:rsidR="002B4918" w:rsidRPr="002B4918" w:rsidRDefault="002B4918" w:rsidP="002B4918">
      <w:pPr>
        <w:rPr>
          <w:rFonts w:eastAsia="Times New Roman" w:cs="Arial"/>
          <w:color w:val="000000"/>
          <w:szCs w:val="20"/>
          <w:lang w:eastAsia="bg-BG"/>
        </w:rPr>
      </w:pPr>
      <w:r w:rsidRPr="002B4918">
        <w:rPr>
          <w:rFonts w:eastAsia="Times New Roman" w:cs="Arial"/>
          <w:color w:val="000000"/>
          <w:szCs w:val="20"/>
          <w:lang w:eastAsia="bg-BG"/>
        </w:rPr>
        <w:t>Разтвори на цефтриаксон, съдържащи лидокаин никога не трябва да се прилагат интравенозно.</w:t>
      </w:r>
    </w:p>
    <w:p w14:paraId="0D2AF52E" w14:textId="77777777" w:rsidR="002B4918" w:rsidRPr="002B4918" w:rsidRDefault="002B4918" w:rsidP="002B4918"/>
    <w:p w14:paraId="13D1C252" w14:textId="579B42C4" w:rsidR="00426E5F" w:rsidRDefault="002C50EE" w:rsidP="00A65A81">
      <w:pPr>
        <w:pStyle w:val="Heading2"/>
      </w:pPr>
      <w:r>
        <w:t>4.4. Специални предупреждения и предпазни мерки при употреба</w:t>
      </w:r>
    </w:p>
    <w:p w14:paraId="7A5D2AF2" w14:textId="63458CA2" w:rsidR="002B4918" w:rsidRDefault="002B4918" w:rsidP="002B4918"/>
    <w:p w14:paraId="70875D7A" w14:textId="77777777" w:rsidR="002B4918" w:rsidRPr="002B4918" w:rsidRDefault="002B4918" w:rsidP="002B4918">
      <w:pPr>
        <w:spacing w:line="240" w:lineRule="auto"/>
        <w:rPr>
          <w:rFonts w:eastAsia="Times New Roman" w:cs="Arial"/>
        </w:rPr>
      </w:pPr>
      <w:r w:rsidRPr="002B4918">
        <w:rPr>
          <w:rFonts w:eastAsia="Times New Roman" w:cs="Arial"/>
          <w:color w:val="000000"/>
          <w:u w:val="single"/>
          <w:lang w:eastAsia="bg-BG"/>
        </w:rPr>
        <w:t>Реакции на свръхчувствителност</w:t>
      </w:r>
    </w:p>
    <w:p w14:paraId="7E311377" w14:textId="42E6440E" w:rsidR="002B4918" w:rsidRPr="00C459DE" w:rsidRDefault="002B4918" w:rsidP="002B4918">
      <w:pPr>
        <w:rPr>
          <w:rFonts w:eastAsia="Times New Roman" w:cs="Arial"/>
          <w:color w:val="000000"/>
          <w:lang w:eastAsia="bg-BG"/>
        </w:rPr>
      </w:pPr>
      <w:r w:rsidRPr="00C459DE">
        <w:rPr>
          <w:rFonts w:eastAsia="Times New Roman" w:cs="Arial"/>
          <w:color w:val="000000"/>
          <w:lang w:eastAsia="bg-BG"/>
        </w:rPr>
        <w:t xml:space="preserve">Както при всички бета-лактамни антибактериални средства, така и при цефтриаксон са докладвани сериозни и понякога фатални реакции на свръхчувствителност (вж. точка 4.8). При тежки реакции на свръхчувствителност, лечението с цефтриаксон трябва да се преустанови незабавно и трябва да се предприемат адекватни спешни мерки. Преди започване на лечението трябва да се установи дали в анамнезата на пациента има данни </w:t>
      </w:r>
      <w:r w:rsidRPr="00C459DE">
        <w:rPr>
          <w:rFonts w:eastAsia="Times New Roman" w:cs="Arial"/>
          <w:color w:val="000000"/>
          <w:lang w:eastAsia="bg-BG"/>
        </w:rPr>
        <w:lastRenderedPageBreak/>
        <w:t>за тежки реакции на свръхчувствителност към цефтриаксон, към други цефалоспорини или към друг вид бета-лактамни средства. Изисква се повишено внимание, ако цефтриаксон се прилагага на пациенти с реакции на свръхчувствителност към други бета-лактамни средства, които не са тежко изразени.</w:t>
      </w:r>
    </w:p>
    <w:p w14:paraId="16CD9612" w14:textId="6802E0DE" w:rsidR="002B4918" w:rsidRPr="00C459DE" w:rsidRDefault="002B4918" w:rsidP="002B4918">
      <w:pPr>
        <w:rPr>
          <w:rFonts w:eastAsia="Times New Roman" w:cs="Arial"/>
          <w:color w:val="000000"/>
          <w:lang w:eastAsia="bg-BG"/>
        </w:rPr>
      </w:pPr>
    </w:p>
    <w:p w14:paraId="170B8BA7" w14:textId="77777777" w:rsidR="002B4918" w:rsidRPr="002B4918" w:rsidRDefault="002B4918" w:rsidP="002B4918">
      <w:pPr>
        <w:spacing w:line="240" w:lineRule="auto"/>
        <w:rPr>
          <w:rFonts w:eastAsia="Times New Roman" w:cs="Arial"/>
        </w:rPr>
      </w:pPr>
      <w:r w:rsidRPr="002B4918">
        <w:rPr>
          <w:rFonts w:eastAsia="Times New Roman" w:cs="Arial"/>
          <w:color w:val="000000"/>
          <w:lang w:eastAsia="bg-BG"/>
        </w:rPr>
        <w:t xml:space="preserve">Съобщава се за тежки кожни нежелани реакции (синдром на Стивънс-Джонсън или синдром на Лайьл/токсична епидермална некролиза) и лекарствена реакция с еозинофилия и системни симптоми </w:t>
      </w:r>
      <w:r w:rsidRPr="002B4918">
        <w:rPr>
          <w:rFonts w:eastAsia="Times New Roman" w:cs="Arial"/>
          <w:color w:val="000000"/>
          <w:lang w:val="ru-RU"/>
        </w:rPr>
        <w:t>(</w:t>
      </w:r>
      <w:r w:rsidRPr="002B4918">
        <w:rPr>
          <w:rFonts w:eastAsia="Times New Roman" w:cs="Arial"/>
          <w:color w:val="000000"/>
          <w:lang w:val="en-US"/>
        </w:rPr>
        <w:t>DRESS</w:t>
      </w:r>
      <w:r w:rsidRPr="002B4918">
        <w:rPr>
          <w:rFonts w:eastAsia="Times New Roman" w:cs="Arial"/>
          <w:color w:val="000000"/>
          <w:lang w:val="ru-RU"/>
        </w:rPr>
        <w:t xml:space="preserve">)), </w:t>
      </w:r>
      <w:r w:rsidRPr="002B4918">
        <w:rPr>
          <w:rFonts w:eastAsia="Times New Roman" w:cs="Arial"/>
          <w:color w:val="000000"/>
          <w:lang w:eastAsia="bg-BG"/>
        </w:rPr>
        <w:t>които може да бъдат животозастрашаващи или с летален изход, във връзка с лечение с цефтриаксон; обаче, честотата на тези събития е неизвестна (вж. точка 4.8).</w:t>
      </w:r>
    </w:p>
    <w:p w14:paraId="2A3E8053" w14:textId="77777777" w:rsidR="002B4918" w:rsidRPr="00C459DE" w:rsidRDefault="002B4918" w:rsidP="002B4918">
      <w:pPr>
        <w:spacing w:line="240" w:lineRule="auto"/>
        <w:rPr>
          <w:rFonts w:eastAsia="Times New Roman" w:cs="Arial"/>
          <w:color w:val="000000"/>
          <w:u w:val="single"/>
          <w:lang w:eastAsia="bg-BG"/>
        </w:rPr>
      </w:pPr>
    </w:p>
    <w:p w14:paraId="30F948E1" w14:textId="1CC770C9" w:rsidR="002B4918" w:rsidRPr="002B4918" w:rsidRDefault="002B4918" w:rsidP="002B4918">
      <w:pPr>
        <w:spacing w:line="240" w:lineRule="auto"/>
        <w:rPr>
          <w:rFonts w:eastAsia="Times New Roman" w:cs="Arial"/>
        </w:rPr>
      </w:pPr>
      <w:r w:rsidRPr="002B4918">
        <w:rPr>
          <w:rFonts w:eastAsia="Times New Roman" w:cs="Arial"/>
          <w:color w:val="000000"/>
          <w:u w:val="single"/>
          <w:lang w:eastAsia="bg-BG"/>
        </w:rPr>
        <w:t>Енцефалопатия</w:t>
      </w:r>
    </w:p>
    <w:p w14:paraId="666DB6F4" w14:textId="77777777" w:rsidR="002B4918" w:rsidRPr="002B4918" w:rsidRDefault="002B4918" w:rsidP="002B4918">
      <w:pPr>
        <w:spacing w:line="240" w:lineRule="auto"/>
        <w:rPr>
          <w:rFonts w:eastAsia="Times New Roman" w:cs="Arial"/>
        </w:rPr>
      </w:pPr>
      <w:r w:rsidRPr="002B4918">
        <w:rPr>
          <w:rFonts w:eastAsia="Times New Roman" w:cs="Arial"/>
          <w:color w:val="000000"/>
          <w:lang w:eastAsia="bg-BG"/>
        </w:rPr>
        <w:t>При употребата на цефтриаксон се съобщава за енцефалопатия (вж. точка 4.8), особено при пациенти в старческа възраст с тежка степен на бъбречно увреждане (вж. точка 4.2) или с нарушения на централната нервна система. При съмнение за енцефалопатия, свързана с цефтриаксон (напр. понижено ниво на съзнание, променен психичен статус, миоклонус, конвулсии), трябва да се обмисли прекратяване на приема на цефтриаксон.</w:t>
      </w:r>
    </w:p>
    <w:p w14:paraId="0107C6C3" w14:textId="77777777" w:rsidR="002B4918" w:rsidRPr="00C459DE" w:rsidRDefault="002B4918" w:rsidP="002B4918">
      <w:pPr>
        <w:spacing w:line="240" w:lineRule="auto"/>
        <w:rPr>
          <w:rFonts w:eastAsia="Times New Roman" w:cs="Arial"/>
          <w:color w:val="000000"/>
          <w:u w:val="single"/>
          <w:lang w:eastAsia="bg-BG"/>
        </w:rPr>
      </w:pPr>
    </w:p>
    <w:p w14:paraId="1A1098F7" w14:textId="3ACDB78F" w:rsidR="002B4918" w:rsidRPr="002B4918" w:rsidRDefault="002B4918" w:rsidP="002B4918">
      <w:pPr>
        <w:spacing w:line="240" w:lineRule="auto"/>
        <w:rPr>
          <w:rFonts w:eastAsia="Times New Roman" w:cs="Arial"/>
        </w:rPr>
      </w:pPr>
      <w:r w:rsidRPr="002B4918">
        <w:rPr>
          <w:rFonts w:eastAsia="Times New Roman" w:cs="Arial"/>
          <w:color w:val="000000"/>
          <w:u w:val="single"/>
          <w:lang w:eastAsia="bg-BG"/>
        </w:rPr>
        <w:t xml:space="preserve">Реакция на </w:t>
      </w:r>
      <w:proofErr w:type="spellStart"/>
      <w:r w:rsidRPr="002B4918">
        <w:rPr>
          <w:rFonts w:eastAsia="Times New Roman" w:cs="Arial"/>
          <w:color w:val="000000"/>
          <w:u w:val="single"/>
          <w:lang w:val="en-US"/>
        </w:rPr>
        <w:t>Jarisch</w:t>
      </w:r>
      <w:proofErr w:type="spellEnd"/>
      <w:r w:rsidRPr="002B4918">
        <w:rPr>
          <w:rFonts w:eastAsia="Times New Roman" w:cs="Arial"/>
          <w:color w:val="000000"/>
          <w:u w:val="single"/>
        </w:rPr>
        <w:t>-</w:t>
      </w:r>
      <w:proofErr w:type="spellStart"/>
      <w:r w:rsidRPr="002B4918">
        <w:rPr>
          <w:rFonts w:eastAsia="Times New Roman" w:cs="Arial"/>
          <w:color w:val="000000"/>
          <w:u w:val="single"/>
          <w:lang w:val="en-US"/>
        </w:rPr>
        <w:t>Herxheimer</w:t>
      </w:r>
      <w:proofErr w:type="spellEnd"/>
      <w:r w:rsidRPr="002B4918">
        <w:rPr>
          <w:rFonts w:eastAsia="Times New Roman" w:cs="Arial"/>
          <w:color w:val="000000"/>
          <w:u w:val="single"/>
        </w:rPr>
        <w:t xml:space="preserve"> (</w:t>
      </w:r>
      <w:r w:rsidRPr="002B4918">
        <w:rPr>
          <w:rFonts w:eastAsia="Times New Roman" w:cs="Arial"/>
          <w:color w:val="000000"/>
          <w:u w:val="single"/>
          <w:lang w:val="en-US"/>
        </w:rPr>
        <w:t>JHR</w:t>
      </w:r>
      <w:r w:rsidRPr="002B4918">
        <w:rPr>
          <w:rFonts w:eastAsia="Times New Roman" w:cs="Arial"/>
          <w:color w:val="000000"/>
          <w:u w:val="single"/>
        </w:rPr>
        <w:t>)</w:t>
      </w:r>
    </w:p>
    <w:p w14:paraId="09C90BE8" w14:textId="77777777" w:rsidR="002B4918" w:rsidRPr="002B4918" w:rsidRDefault="002B4918" w:rsidP="002B4918">
      <w:pPr>
        <w:spacing w:line="240" w:lineRule="auto"/>
        <w:rPr>
          <w:rFonts w:eastAsia="Times New Roman" w:cs="Arial"/>
        </w:rPr>
      </w:pPr>
      <w:r w:rsidRPr="002B4918">
        <w:rPr>
          <w:rFonts w:eastAsia="Times New Roman" w:cs="Arial"/>
          <w:color w:val="000000"/>
          <w:lang w:eastAsia="bg-BG"/>
        </w:rPr>
        <w:t xml:space="preserve">Някои пациенти със спирохетни инфекции може да получат реакция на </w:t>
      </w:r>
      <w:proofErr w:type="spellStart"/>
      <w:r w:rsidRPr="002B4918">
        <w:rPr>
          <w:rFonts w:eastAsia="Times New Roman" w:cs="Arial"/>
          <w:color w:val="000000"/>
          <w:lang w:val="en-US"/>
        </w:rPr>
        <w:t>Jarisch</w:t>
      </w:r>
      <w:proofErr w:type="spellEnd"/>
      <w:r w:rsidRPr="002B4918">
        <w:rPr>
          <w:rFonts w:eastAsia="Times New Roman" w:cs="Arial"/>
          <w:color w:val="000000"/>
          <w:lang w:val="ru-RU"/>
        </w:rPr>
        <w:t>-</w:t>
      </w:r>
      <w:proofErr w:type="spellStart"/>
      <w:r w:rsidRPr="002B4918">
        <w:rPr>
          <w:rFonts w:eastAsia="Times New Roman" w:cs="Arial"/>
          <w:color w:val="000000"/>
          <w:lang w:val="en-US"/>
        </w:rPr>
        <w:t>Herxheimer</w:t>
      </w:r>
      <w:proofErr w:type="spellEnd"/>
      <w:r w:rsidRPr="002B4918">
        <w:rPr>
          <w:rFonts w:eastAsia="Times New Roman" w:cs="Arial"/>
          <w:color w:val="000000"/>
          <w:lang w:val="ru-RU"/>
        </w:rPr>
        <w:t xml:space="preserve"> (</w:t>
      </w:r>
      <w:r w:rsidRPr="002B4918">
        <w:rPr>
          <w:rFonts w:eastAsia="Times New Roman" w:cs="Arial"/>
          <w:color w:val="000000"/>
          <w:lang w:val="en-US"/>
        </w:rPr>
        <w:t>JHR</w:t>
      </w:r>
      <w:r w:rsidRPr="002B4918">
        <w:rPr>
          <w:rFonts w:eastAsia="Times New Roman" w:cs="Arial"/>
          <w:color w:val="000000"/>
          <w:lang w:val="ru-RU"/>
        </w:rPr>
        <w:t xml:space="preserve">) </w:t>
      </w:r>
      <w:r w:rsidRPr="002B4918">
        <w:rPr>
          <w:rFonts w:eastAsia="Times New Roman" w:cs="Arial"/>
          <w:color w:val="000000"/>
          <w:lang w:eastAsia="bg-BG"/>
        </w:rPr>
        <w:t xml:space="preserve">малко след започване на лечението с цефтриаксон. Обикновено </w:t>
      </w:r>
      <w:r w:rsidRPr="002B4918">
        <w:rPr>
          <w:rFonts w:eastAsia="Times New Roman" w:cs="Arial"/>
          <w:color w:val="000000"/>
          <w:lang w:val="en-US"/>
        </w:rPr>
        <w:t>JHR</w:t>
      </w:r>
      <w:r w:rsidRPr="002B4918">
        <w:rPr>
          <w:rFonts w:eastAsia="Times New Roman" w:cs="Arial"/>
          <w:color w:val="000000"/>
          <w:lang w:val="ru-RU"/>
        </w:rPr>
        <w:t xml:space="preserve"> </w:t>
      </w:r>
      <w:r w:rsidRPr="002B4918">
        <w:rPr>
          <w:rFonts w:eastAsia="Times New Roman" w:cs="Arial"/>
          <w:color w:val="000000"/>
          <w:lang w:eastAsia="bg-BG"/>
        </w:rPr>
        <w:t>е самоограничаващо се заболяване, което също така може да се овладее със симптоматично лечение.</w:t>
      </w:r>
    </w:p>
    <w:p w14:paraId="00DA8466" w14:textId="77777777" w:rsidR="002B4918" w:rsidRPr="002B4918" w:rsidRDefault="002B4918" w:rsidP="002B4918">
      <w:pPr>
        <w:spacing w:line="240" w:lineRule="auto"/>
        <w:rPr>
          <w:rFonts w:eastAsia="Times New Roman" w:cs="Arial"/>
        </w:rPr>
      </w:pPr>
      <w:r w:rsidRPr="002B4918">
        <w:rPr>
          <w:rFonts w:eastAsia="Times New Roman" w:cs="Arial"/>
          <w:color w:val="000000"/>
          <w:lang w:eastAsia="bg-BG"/>
        </w:rPr>
        <w:t>Антибиотичното лечение не трябва да се преустановява при възникване на такава реакция.</w:t>
      </w:r>
    </w:p>
    <w:p w14:paraId="7B058BAE" w14:textId="77777777" w:rsidR="002B4918" w:rsidRPr="00C459DE" w:rsidRDefault="002B4918" w:rsidP="002B4918">
      <w:pPr>
        <w:spacing w:line="240" w:lineRule="auto"/>
        <w:rPr>
          <w:rFonts w:eastAsia="Times New Roman" w:cs="Arial"/>
          <w:color w:val="000000"/>
          <w:u w:val="single"/>
          <w:lang w:eastAsia="bg-BG"/>
        </w:rPr>
      </w:pPr>
    </w:p>
    <w:p w14:paraId="5A15EA9C" w14:textId="2260EA34" w:rsidR="002B4918" w:rsidRPr="002B4918" w:rsidRDefault="002B4918" w:rsidP="002B4918">
      <w:pPr>
        <w:spacing w:line="240" w:lineRule="auto"/>
        <w:rPr>
          <w:rFonts w:eastAsia="Times New Roman" w:cs="Arial"/>
        </w:rPr>
      </w:pPr>
      <w:r w:rsidRPr="002B4918">
        <w:rPr>
          <w:rFonts w:eastAsia="Times New Roman" w:cs="Arial"/>
          <w:color w:val="000000"/>
          <w:u w:val="single"/>
          <w:lang w:eastAsia="bg-BG"/>
        </w:rPr>
        <w:t>Взаимодействия с калций-съдържащи продукти</w:t>
      </w:r>
    </w:p>
    <w:p w14:paraId="15D64D4D" w14:textId="77777777" w:rsidR="002B4918" w:rsidRPr="002B4918" w:rsidRDefault="002B4918" w:rsidP="002B4918">
      <w:pPr>
        <w:spacing w:line="240" w:lineRule="auto"/>
        <w:rPr>
          <w:rFonts w:eastAsia="Times New Roman" w:cs="Arial"/>
        </w:rPr>
      </w:pPr>
      <w:r w:rsidRPr="002B4918">
        <w:rPr>
          <w:rFonts w:eastAsia="Times New Roman" w:cs="Arial"/>
          <w:color w:val="000000"/>
          <w:lang w:eastAsia="bg-BG"/>
        </w:rPr>
        <w:t xml:space="preserve">Описани са фатални реакции вследствие образуване и отлагане на цефтриаксон-калциеви преципитати в белите дробове и бъбреците при недоносени и новородени в термин деца на възраст под 1 месец. Поне при една от тези реакции приложението на цефтриаксон и калций е извършвано по различно време и в отделни инфузии. В наличните научни данни няма потвърдени съобщения за поява на вътресъдови преципитати при други възрастови групи пациенти, освен при новородени, лекувани интравенозно с цефтриаксон и калций съдържащи разтвори или други калций съдържащи продукти. </w:t>
      </w:r>
      <w:r w:rsidRPr="002B4918">
        <w:rPr>
          <w:rFonts w:eastAsia="Times New Roman" w:cs="Arial"/>
          <w:i/>
          <w:iCs/>
          <w:color w:val="000000"/>
          <w:lang w:val="en-US"/>
        </w:rPr>
        <w:t>In</w:t>
      </w:r>
      <w:r w:rsidRPr="002B4918">
        <w:rPr>
          <w:rFonts w:eastAsia="Times New Roman" w:cs="Arial"/>
          <w:i/>
          <w:iCs/>
          <w:color w:val="000000"/>
          <w:lang w:val="ru-RU"/>
        </w:rPr>
        <w:t xml:space="preserve"> </w:t>
      </w:r>
      <w:r w:rsidRPr="002B4918">
        <w:rPr>
          <w:rFonts w:eastAsia="Times New Roman" w:cs="Arial"/>
          <w:i/>
          <w:iCs/>
          <w:color w:val="000000"/>
          <w:lang w:val="en-US"/>
        </w:rPr>
        <w:t>vitro</w:t>
      </w:r>
      <w:r w:rsidRPr="002B4918">
        <w:rPr>
          <w:rFonts w:eastAsia="Times New Roman" w:cs="Arial"/>
          <w:color w:val="000000"/>
          <w:lang w:val="ru-RU"/>
        </w:rPr>
        <w:t xml:space="preserve"> </w:t>
      </w:r>
      <w:r w:rsidRPr="002B4918">
        <w:rPr>
          <w:rFonts w:eastAsia="Times New Roman" w:cs="Arial"/>
          <w:color w:val="000000"/>
          <w:lang w:eastAsia="bg-BG"/>
        </w:rPr>
        <w:t>изследвания показват, че в сравнение с другите възрастови групи при новородените се наблюдава повишен риск от образуване на цефтриаксон-калциеви преципитати.</w:t>
      </w:r>
    </w:p>
    <w:p w14:paraId="264F6E6E" w14:textId="77777777" w:rsidR="002B4918" w:rsidRPr="00C459DE" w:rsidRDefault="002B4918" w:rsidP="002B4918">
      <w:pPr>
        <w:spacing w:line="240" w:lineRule="auto"/>
        <w:rPr>
          <w:rFonts w:eastAsia="Times New Roman" w:cs="Arial"/>
          <w:color w:val="000000"/>
          <w:lang w:eastAsia="bg-BG"/>
        </w:rPr>
      </w:pPr>
    </w:p>
    <w:p w14:paraId="59602DC1" w14:textId="1ECC7FCC" w:rsidR="002B4918" w:rsidRPr="002B4918" w:rsidRDefault="002B4918" w:rsidP="002B4918">
      <w:pPr>
        <w:spacing w:line="240" w:lineRule="auto"/>
        <w:rPr>
          <w:rFonts w:eastAsia="Times New Roman" w:cs="Arial"/>
        </w:rPr>
      </w:pPr>
      <w:r w:rsidRPr="002B4918">
        <w:rPr>
          <w:rFonts w:eastAsia="Times New Roman" w:cs="Arial"/>
          <w:color w:val="000000"/>
          <w:lang w:eastAsia="bg-BG"/>
        </w:rPr>
        <w:t xml:space="preserve">При пациенти от всички възрасти, цефтриаксон не трябва да се смесва или прилага едновременно с интравенозни калций съдържащи разтвори, дори когато те се прилагат през отделни инфузии или през различни места. Все пак при пациенти на възраст над 28 дни, цефтриаксон и калций съдържащи разтвори могат да се прилагат последователно един след друг, ако инфузиите се прилагат на различни места или ако инфузионните системи се подменят или щателно се промият с физиологичен разтвор между отделните инфузии, за да се избегне преципитиране. При пациенти, при които се налага продължителна инфузия на калций съдържащи </w:t>
      </w:r>
      <w:r w:rsidRPr="002B4918">
        <w:rPr>
          <w:rFonts w:eastAsia="Times New Roman" w:cs="Arial"/>
          <w:color w:val="000000"/>
          <w:lang w:val="en-US"/>
        </w:rPr>
        <w:t>TPN</w:t>
      </w:r>
      <w:r w:rsidRPr="002B4918">
        <w:rPr>
          <w:rFonts w:eastAsia="Times New Roman" w:cs="Arial"/>
          <w:color w:val="000000"/>
          <w:lang w:val="ru-RU"/>
        </w:rPr>
        <w:t xml:space="preserve"> </w:t>
      </w:r>
      <w:r w:rsidRPr="002B4918">
        <w:rPr>
          <w:rFonts w:eastAsia="Times New Roman" w:cs="Arial"/>
          <w:color w:val="000000"/>
          <w:lang w:eastAsia="bg-BG"/>
        </w:rPr>
        <w:t xml:space="preserve">разтвори (разтвори за тотално парентерално хранене), лекарите могат да използват алтернативно антибактериално лечение, при което няма подобен риск от образуване на преципитати. Ако приложението на цефтриаксон се счита наложително при пациенти, които се нуждаят от продължително парентерално хранене, </w:t>
      </w:r>
      <w:r w:rsidRPr="002B4918">
        <w:rPr>
          <w:rFonts w:eastAsia="Times New Roman" w:cs="Arial"/>
          <w:color w:val="000000"/>
          <w:lang w:val="en-US"/>
        </w:rPr>
        <w:t>TPN</w:t>
      </w:r>
      <w:r w:rsidRPr="002B4918">
        <w:rPr>
          <w:rFonts w:eastAsia="Times New Roman" w:cs="Arial"/>
          <w:color w:val="000000"/>
          <w:lang w:val="ru-RU"/>
        </w:rPr>
        <w:t xml:space="preserve"> </w:t>
      </w:r>
      <w:r w:rsidRPr="002B4918">
        <w:rPr>
          <w:rFonts w:eastAsia="Times New Roman" w:cs="Arial"/>
          <w:color w:val="000000"/>
          <w:lang w:eastAsia="bg-BG"/>
        </w:rPr>
        <w:t xml:space="preserve">разтвори и цефтриаксон могат да се прилагат едновременно, </w:t>
      </w:r>
      <w:r w:rsidRPr="002B4918">
        <w:rPr>
          <w:rFonts w:eastAsia="Times New Roman" w:cs="Arial"/>
          <w:color w:val="000000"/>
          <w:lang w:eastAsia="bg-BG"/>
        </w:rPr>
        <w:lastRenderedPageBreak/>
        <w:t xml:space="preserve">но през различни инфузионни линии и в различни места на приложение. Друга възможност е инфузията с </w:t>
      </w:r>
      <w:r w:rsidRPr="002B4918">
        <w:rPr>
          <w:rFonts w:eastAsia="Times New Roman" w:cs="Arial"/>
          <w:color w:val="000000"/>
          <w:lang w:val="en-US"/>
        </w:rPr>
        <w:t>TPN</w:t>
      </w:r>
      <w:r w:rsidRPr="002B4918">
        <w:rPr>
          <w:rFonts w:eastAsia="Times New Roman" w:cs="Arial"/>
          <w:color w:val="000000"/>
          <w:lang w:val="ru-RU"/>
        </w:rPr>
        <w:t xml:space="preserve"> </w:t>
      </w:r>
      <w:r w:rsidRPr="002B4918">
        <w:rPr>
          <w:rFonts w:eastAsia="Times New Roman" w:cs="Arial"/>
          <w:color w:val="000000"/>
          <w:lang w:eastAsia="bg-BG"/>
        </w:rPr>
        <w:t>разтвори да бъде прекратена за периода на инфузиране на цефтриаксон, като се имат предвид препоръките за промиване на инфузионните линии между отделните разтвори (вж. точки 4.3,4.8, 5.2 и 6.2)</w:t>
      </w:r>
    </w:p>
    <w:p w14:paraId="19C2AC1F" w14:textId="77777777" w:rsidR="002B4918" w:rsidRPr="00C459DE" w:rsidRDefault="002B4918" w:rsidP="002B4918">
      <w:pPr>
        <w:spacing w:line="240" w:lineRule="auto"/>
        <w:rPr>
          <w:rFonts w:eastAsia="Times New Roman" w:cs="Arial"/>
          <w:color w:val="000000"/>
          <w:u w:val="single"/>
          <w:lang w:eastAsia="bg-BG"/>
        </w:rPr>
      </w:pPr>
    </w:p>
    <w:p w14:paraId="59C83A73" w14:textId="504C4A13" w:rsidR="002B4918" w:rsidRPr="002B4918" w:rsidRDefault="002B4918" w:rsidP="002B4918">
      <w:pPr>
        <w:spacing w:line="240" w:lineRule="auto"/>
        <w:rPr>
          <w:rFonts w:eastAsia="Times New Roman" w:cs="Arial"/>
        </w:rPr>
      </w:pPr>
      <w:r w:rsidRPr="002B4918">
        <w:rPr>
          <w:rFonts w:eastAsia="Times New Roman" w:cs="Arial"/>
          <w:color w:val="000000"/>
          <w:u w:val="single"/>
          <w:lang w:eastAsia="bg-BG"/>
        </w:rPr>
        <w:t>Педиатрична популация</w:t>
      </w:r>
    </w:p>
    <w:p w14:paraId="717738D9" w14:textId="77777777" w:rsidR="002B4918" w:rsidRPr="002B4918" w:rsidRDefault="002B4918" w:rsidP="002B4918">
      <w:pPr>
        <w:spacing w:line="240" w:lineRule="auto"/>
        <w:rPr>
          <w:rFonts w:eastAsia="Times New Roman" w:cs="Arial"/>
        </w:rPr>
      </w:pPr>
      <w:r w:rsidRPr="002B4918">
        <w:rPr>
          <w:rFonts w:eastAsia="Times New Roman" w:cs="Arial"/>
          <w:color w:val="000000"/>
          <w:lang w:eastAsia="bg-BG"/>
        </w:rPr>
        <w:t>Безопасността и ефикасността на цефтриаксон при новородени, бебета и деца са установени за дозите, описани в Дозировка и начин на приложение. Проучвания са показали, че цефтриаксон, както и други цефалоспорини може да измести билирубина от местата за свързване със серумния албумин.</w:t>
      </w:r>
    </w:p>
    <w:p w14:paraId="05CCCC54" w14:textId="5C51E658" w:rsidR="002B4918" w:rsidRPr="00C459DE" w:rsidRDefault="002B4918" w:rsidP="002B4918">
      <w:pPr>
        <w:spacing w:line="240" w:lineRule="auto"/>
        <w:rPr>
          <w:rFonts w:eastAsia="Times New Roman" w:cs="Arial"/>
          <w:color w:val="000000"/>
          <w:lang w:eastAsia="bg-BG"/>
        </w:rPr>
      </w:pPr>
      <w:r w:rsidRPr="002B4918">
        <w:rPr>
          <w:rFonts w:eastAsia="Times New Roman" w:cs="Arial"/>
          <w:color w:val="000000"/>
          <w:lang w:eastAsia="bg-BG"/>
        </w:rPr>
        <w:t>Цефтриаксон не трябва да се прилага при недоносени новородени и родени в термин поради риск от развитие на билирубинова енцефалопатия (вж. точка 4.3).</w:t>
      </w:r>
    </w:p>
    <w:p w14:paraId="4CFEA9F1" w14:textId="60CA5293" w:rsidR="002B4918" w:rsidRPr="00C459DE" w:rsidRDefault="002B4918" w:rsidP="002B4918">
      <w:pPr>
        <w:spacing w:line="240" w:lineRule="auto"/>
        <w:rPr>
          <w:rFonts w:eastAsia="Times New Roman" w:cs="Arial"/>
          <w:color w:val="000000"/>
          <w:lang w:eastAsia="bg-BG"/>
        </w:rPr>
      </w:pPr>
    </w:p>
    <w:p w14:paraId="23534118" w14:textId="77777777" w:rsidR="002B4918" w:rsidRPr="002B4918" w:rsidRDefault="002B4918" w:rsidP="002B4918">
      <w:pPr>
        <w:spacing w:line="240" w:lineRule="auto"/>
        <w:rPr>
          <w:rFonts w:eastAsia="Times New Roman" w:cs="Arial"/>
        </w:rPr>
      </w:pPr>
      <w:r w:rsidRPr="002B4918">
        <w:rPr>
          <w:rFonts w:eastAsia="Times New Roman" w:cs="Arial"/>
          <w:color w:val="000000"/>
          <w:u w:val="single"/>
          <w:lang w:eastAsia="bg-BG"/>
        </w:rPr>
        <w:t>Имуномедиирана хемолитична анемия</w:t>
      </w:r>
    </w:p>
    <w:p w14:paraId="4BF4FA81" w14:textId="77777777" w:rsidR="002B4918" w:rsidRPr="002B4918" w:rsidRDefault="002B4918" w:rsidP="002B4918">
      <w:pPr>
        <w:spacing w:line="240" w:lineRule="auto"/>
        <w:rPr>
          <w:rFonts w:eastAsia="Times New Roman" w:cs="Arial"/>
        </w:rPr>
      </w:pPr>
      <w:r w:rsidRPr="002B4918">
        <w:rPr>
          <w:rFonts w:eastAsia="Times New Roman" w:cs="Arial"/>
          <w:color w:val="000000"/>
          <w:lang w:eastAsia="bg-BG"/>
        </w:rPr>
        <w:t>Имуномедиирана хемолитична анемия е наблюдавана при пациенти, получаващи антибактериални средства от цефалоспориновата група, включително цефтриаксон (вж. точка 4.8). Тежки случаи на хемолитична анемия, включително и с фатален изход са съобщавани по време на лечение с цефтриаксон и при възрастни и при деца.</w:t>
      </w:r>
    </w:p>
    <w:p w14:paraId="24F476EE" w14:textId="77777777" w:rsidR="002B4918" w:rsidRPr="00C459DE" w:rsidRDefault="002B4918" w:rsidP="002B4918">
      <w:pPr>
        <w:spacing w:line="240" w:lineRule="auto"/>
        <w:rPr>
          <w:rFonts w:eastAsia="Times New Roman" w:cs="Arial"/>
          <w:color w:val="000000"/>
          <w:lang w:eastAsia="bg-BG"/>
        </w:rPr>
      </w:pPr>
    </w:p>
    <w:p w14:paraId="103AF6F7" w14:textId="2F10720F" w:rsidR="002B4918" w:rsidRPr="002B4918" w:rsidRDefault="002B4918" w:rsidP="002B4918">
      <w:pPr>
        <w:spacing w:line="240" w:lineRule="auto"/>
        <w:rPr>
          <w:rFonts w:eastAsia="Times New Roman" w:cs="Arial"/>
        </w:rPr>
      </w:pPr>
      <w:r w:rsidRPr="002B4918">
        <w:rPr>
          <w:rFonts w:eastAsia="Times New Roman" w:cs="Arial"/>
          <w:color w:val="000000"/>
          <w:lang w:eastAsia="bg-BG"/>
        </w:rPr>
        <w:t>Ако пациентът развие анемия по време на лечение с цефтриаксон, трябва да се има предвид диагнозата цефалоспорин-свързана анемия и лечението с цефтриаксон да се преустанови до изясняване на етиологията.</w:t>
      </w:r>
    </w:p>
    <w:p w14:paraId="01E45152" w14:textId="77777777" w:rsidR="002B4918" w:rsidRPr="00C459DE" w:rsidRDefault="002B4918" w:rsidP="002B4918">
      <w:pPr>
        <w:spacing w:line="240" w:lineRule="auto"/>
        <w:rPr>
          <w:rFonts w:eastAsia="Times New Roman" w:cs="Arial"/>
          <w:color w:val="000000"/>
          <w:u w:val="single"/>
          <w:lang w:eastAsia="bg-BG"/>
        </w:rPr>
      </w:pPr>
    </w:p>
    <w:p w14:paraId="41211BE0" w14:textId="7A253EBA" w:rsidR="002B4918" w:rsidRPr="002B4918" w:rsidRDefault="002B4918" w:rsidP="002B4918">
      <w:pPr>
        <w:spacing w:line="240" w:lineRule="auto"/>
        <w:rPr>
          <w:rFonts w:eastAsia="Times New Roman" w:cs="Arial"/>
        </w:rPr>
      </w:pPr>
      <w:r w:rsidRPr="002B4918">
        <w:rPr>
          <w:rFonts w:eastAsia="Times New Roman" w:cs="Arial"/>
          <w:color w:val="000000"/>
          <w:u w:val="single"/>
          <w:lang w:eastAsia="bg-BG"/>
        </w:rPr>
        <w:t>Продължително лечение</w:t>
      </w:r>
    </w:p>
    <w:p w14:paraId="2E37386B" w14:textId="77777777" w:rsidR="002B4918" w:rsidRPr="002B4918" w:rsidRDefault="002B4918" w:rsidP="002B4918">
      <w:pPr>
        <w:spacing w:line="240" w:lineRule="auto"/>
        <w:rPr>
          <w:rFonts w:eastAsia="Times New Roman" w:cs="Arial"/>
        </w:rPr>
      </w:pPr>
      <w:r w:rsidRPr="002B4918">
        <w:rPr>
          <w:rFonts w:eastAsia="Times New Roman" w:cs="Arial"/>
          <w:color w:val="000000"/>
          <w:lang w:eastAsia="bg-BG"/>
        </w:rPr>
        <w:t xml:space="preserve">При продължително лечение </w:t>
      </w:r>
      <w:r w:rsidRPr="002B4918">
        <w:rPr>
          <w:rFonts w:eastAsia="Times New Roman" w:cs="Arial"/>
          <w:i/>
          <w:iCs/>
          <w:color w:val="000000"/>
          <w:lang w:eastAsia="bg-BG"/>
        </w:rPr>
        <w:t>е</w:t>
      </w:r>
      <w:r w:rsidRPr="002B4918">
        <w:rPr>
          <w:rFonts w:eastAsia="Times New Roman" w:cs="Arial"/>
          <w:color w:val="000000"/>
          <w:lang w:eastAsia="bg-BG"/>
        </w:rPr>
        <w:t xml:space="preserve"> необходимо редовно проследяване на кръвната картина.</w:t>
      </w:r>
    </w:p>
    <w:p w14:paraId="22F7091C" w14:textId="77777777" w:rsidR="002B4918" w:rsidRPr="00C459DE" w:rsidRDefault="002B4918" w:rsidP="002B4918">
      <w:pPr>
        <w:spacing w:line="240" w:lineRule="auto"/>
        <w:rPr>
          <w:rFonts w:eastAsia="Times New Roman" w:cs="Arial"/>
          <w:color w:val="000000"/>
          <w:u w:val="single"/>
          <w:lang w:eastAsia="bg-BG"/>
        </w:rPr>
      </w:pPr>
    </w:p>
    <w:p w14:paraId="177C24C2" w14:textId="1D74C004" w:rsidR="002B4918" w:rsidRPr="002B4918" w:rsidRDefault="002B4918" w:rsidP="002B4918">
      <w:pPr>
        <w:spacing w:line="240" w:lineRule="auto"/>
        <w:rPr>
          <w:rFonts w:eastAsia="Times New Roman" w:cs="Arial"/>
        </w:rPr>
      </w:pPr>
      <w:r w:rsidRPr="002B4918">
        <w:rPr>
          <w:rFonts w:eastAsia="Times New Roman" w:cs="Arial"/>
          <w:color w:val="000000"/>
          <w:u w:val="single"/>
          <w:lang w:eastAsia="bg-BG"/>
        </w:rPr>
        <w:t>Колит/свръхрастеж на нечувствителни микроорганизми</w:t>
      </w:r>
    </w:p>
    <w:p w14:paraId="109AEFAF" w14:textId="77777777" w:rsidR="002B4918" w:rsidRPr="002B4918" w:rsidRDefault="002B4918" w:rsidP="002B4918">
      <w:pPr>
        <w:spacing w:line="240" w:lineRule="auto"/>
        <w:rPr>
          <w:rFonts w:eastAsia="Times New Roman" w:cs="Arial"/>
        </w:rPr>
      </w:pPr>
      <w:r w:rsidRPr="002B4918">
        <w:rPr>
          <w:rFonts w:eastAsia="Times New Roman" w:cs="Arial"/>
          <w:color w:val="000000"/>
          <w:lang w:eastAsia="bg-BG"/>
        </w:rPr>
        <w:t xml:space="preserve">Колит, свързан с приложението на антибактериални средства и псевдомембранозен колит са наблюдавани при почти всички антибактериални средства, включително и цефтриаксон, който варира по тежест от лек до животозастрашаващ. Поради това е важно да се има предвид тази диагноза при пациенти, с поява на диария по време на или след приложението на цефтриаксон (виж точка 4.8). Лечението с цефтриаксон трябва да се прекрати и да се приложи специфично лечение за </w:t>
      </w:r>
      <w:r w:rsidRPr="002B4918">
        <w:rPr>
          <w:rFonts w:eastAsia="Times New Roman" w:cs="Arial"/>
          <w:i/>
          <w:iCs/>
          <w:color w:val="000000"/>
          <w:lang w:val="en-US"/>
        </w:rPr>
        <w:t>Clostridium</w:t>
      </w:r>
      <w:r w:rsidRPr="002B4918">
        <w:rPr>
          <w:rFonts w:eastAsia="Times New Roman" w:cs="Arial"/>
          <w:i/>
          <w:iCs/>
          <w:color w:val="000000"/>
          <w:lang w:val="ru-RU"/>
        </w:rPr>
        <w:t xml:space="preserve"> </w:t>
      </w:r>
      <w:r w:rsidRPr="002B4918">
        <w:rPr>
          <w:rFonts w:eastAsia="Times New Roman" w:cs="Arial"/>
          <w:i/>
          <w:iCs/>
          <w:color w:val="000000"/>
          <w:lang w:val="en-US"/>
        </w:rPr>
        <w:t>difficile</w:t>
      </w:r>
      <w:r w:rsidRPr="002B4918">
        <w:rPr>
          <w:rFonts w:eastAsia="Times New Roman" w:cs="Arial"/>
          <w:i/>
          <w:iCs/>
          <w:color w:val="000000"/>
          <w:lang w:val="ru-RU"/>
        </w:rPr>
        <w:t>.</w:t>
      </w:r>
      <w:r w:rsidRPr="002B4918">
        <w:rPr>
          <w:rFonts w:eastAsia="Times New Roman" w:cs="Arial"/>
          <w:color w:val="000000"/>
          <w:lang w:val="ru-RU"/>
        </w:rPr>
        <w:t xml:space="preserve"> </w:t>
      </w:r>
      <w:r w:rsidRPr="002B4918">
        <w:rPr>
          <w:rFonts w:eastAsia="Times New Roman" w:cs="Arial"/>
          <w:color w:val="000000"/>
          <w:lang w:eastAsia="bg-BG"/>
        </w:rPr>
        <w:t>Не трябва да се назначават лекарствени продукти, които потискат перисталтиката.</w:t>
      </w:r>
    </w:p>
    <w:p w14:paraId="22E9D1CF" w14:textId="77777777" w:rsidR="002B4918" w:rsidRPr="002B4918" w:rsidRDefault="002B4918" w:rsidP="002B4918">
      <w:pPr>
        <w:spacing w:line="240" w:lineRule="auto"/>
        <w:rPr>
          <w:rFonts w:eastAsia="Times New Roman" w:cs="Arial"/>
        </w:rPr>
      </w:pPr>
      <w:r w:rsidRPr="002B4918">
        <w:rPr>
          <w:rFonts w:eastAsia="Times New Roman" w:cs="Arial"/>
          <w:color w:val="000000"/>
          <w:lang w:eastAsia="bg-BG"/>
        </w:rPr>
        <w:t>Както при всички антибиотици, могат да се наблюдават суперинфекции с нечувствителни микроорганизми</w:t>
      </w:r>
    </w:p>
    <w:p w14:paraId="074FDA42" w14:textId="77777777" w:rsidR="002B4918" w:rsidRPr="00C459DE" w:rsidRDefault="002B4918" w:rsidP="002B4918">
      <w:pPr>
        <w:spacing w:line="240" w:lineRule="auto"/>
        <w:rPr>
          <w:rFonts w:eastAsia="Times New Roman" w:cs="Arial"/>
          <w:color w:val="000000"/>
          <w:u w:val="single"/>
          <w:lang w:eastAsia="bg-BG"/>
        </w:rPr>
      </w:pPr>
    </w:p>
    <w:p w14:paraId="7F22C5BE" w14:textId="54CAE8BF" w:rsidR="002B4918" w:rsidRPr="002B4918" w:rsidRDefault="002B4918" w:rsidP="002B4918">
      <w:pPr>
        <w:spacing w:line="240" w:lineRule="auto"/>
        <w:rPr>
          <w:rFonts w:eastAsia="Times New Roman" w:cs="Arial"/>
        </w:rPr>
      </w:pPr>
      <w:r w:rsidRPr="002B4918">
        <w:rPr>
          <w:rFonts w:eastAsia="Times New Roman" w:cs="Arial"/>
          <w:color w:val="000000"/>
          <w:u w:val="single"/>
          <w:lang w:eastAsia="bg-BG"/>
        </w:rPr>
        <w:t>Тежка бъбречна и чернодробна недостатъчност</w:t>
      </w:r>
    </w:p>
    <w:p w14:paraId="7408F82A" w14:textId="77777777" w:rsidR="002B4918" w:rsidRPr="002B4918" w:rsidRDefault="002B4918" w:rsidP="002B4918">
      <w:pPr>
        <w:spacing w:line="240" w:lineRule="auto"/>
        <w:rPr>
          <w:rFonts w:eastAsia="Times New Roman" w:cs="Arial"/>
        </w:rPr>
      </w:pPr>
      <w:r w:rsidRPr="002B4918">
        <w:rPr>
          <w:rFonts w:eastAsia="Times New Roman" w:cs="Arial"/>
          <w:color w:val="000000"/>
          <w:lang w:eastAsia="bg-BG"/>
        </w:rPr>
        <w:t>При тежка бъбречна и чернодробна недостатъчност, се препоръчва стриктно клинично наблюдение за безопасност и ефикасност (вж. точка 4.2).</w:t>
      </w:r>
    </w:p>
    <w:p w14:paraId="013E7995" w14:textId="77777777" w:rsidR="002B4918" w:rsidRPr="00C459DE" w:rsidRDefault="002B4918" w:rsidP="002B4918">
      <w:pPr>
        <w:spacing w:line="240" w:lineRule="auto"/>
        <w:rPr>
          <w:rFonts w:eastAsia="Times New Roman" w:cs="Arial"/>
          <w:color w:val="000000"/>
          <w:u w:val="single"/>
          <w:lang w:eastAsia="bg-BG"/>
        </w:rPr>
      </w:pPr>
    </w:p>
    <w:p w14:paraId="17256410" w14:textId="62F23740" w:rsidR="002B4918" w:rsidRPr="002B4918" w:rsidRDefault="002B4918" w:rsidP="002B4918">
      <w:pPr>
        <w:spacing w:line="240" w:lineRule="auto"/>
        <w:rPr>
          <w:rFonts w:eastAsia="Times New Roman" w:cs="Arial"/>
        </w:rPr>
      </w:pPr>
      <w:r w:rsidRPr="002B4918">
        <w:rPr>
          <w:rFonts w:eastAsia="Times New Roman" w:cs="Arial"/>
          <w:color w:val="000000"/>
          <w:u w:val="single"/>
          <w:lang w:eastAsia="bg-BG"/>
        </w:rPr>
        <w:t>Влияние върху серологичните изследвания</w:t>
      </w:r>
    </w:p>
    <w:p w14:paraId="107C7695" w14:textId="77777777" w:rsidR="002B4918" w:rsidRPr="002B4918" w:rsidRDefault="002B4918" w:rsidP="002B4918">
      <w:pPr>
        <w:spacing w:line="240" w:lineRule="auto"/>
        <w:rPr>
          <w:rFonts w:eastAsia="Times New Roman" w:cs="Arial"/>
        </w:rPr>
      </w:pPr>
      <w:r w:rsidRPr="002B4918">
        <w:rPr>
          <w:rFonts w:eastAsia="Times New Roman" w:cs="Arial"/>
          <w:color w:val="000000"/>
          <w:lang w:eastAsia="bg-BG"/>
        </w:rPr>
        <w:t>Може да окаже влияние върху теста на Кумбс, като цефтриаксон може да доведе до фалшиво положителни резултати от теста. Цефтриаксон може също да доведе до фалшиво-положителни резултати от теста за галактоземия (вж. точка 4.8).</w:t>
      </w:r>
    </w:p>
    <w:p w14:paraId="11DDF185" w14:textId="77777777" w:rsidR="002B4918" w:rsidRPr="002B4918" w:rsidRDefault="002B4918" w:rsidP="002B4918">
      <w:pPr>
        <w:spacing w:line="240" w:lineRule="auto"/>
        <w:rPr>
          <w:rFonts w:eastAsia="Times New Roman" w:cs="Arial"/>
        </w:rPr>
      </w:pPr>
      <w:r w:rsidRPr="002B4918">
        <w:rPr>
          <w:rFonts w:eastAsia="Times New Roman" w:cs="Arial"/>
          <w:color w:val="000000"/>
          <w:lang w:eastAsia="bg-BG"/>
        </w:rPr>
        <w:t>Не-ензимните методи за определяне на глюкоза в урината могат да дадат фалшиво положителни резултати. Определянето на глюкоза в урината по време на лечение с цефтриаксон трябва да се извършва с ензимни методи (вж. точка 4.8).</w:t>
      </w:r>
    </w:p>
    <w:p w14:paraId="26C80846" w14:textId="77777777" w:rsidR="002B4918" w:rsidRPr="00C459DE" w:rsidRDefault="002B4918" w:rsidP="002B4918">
      <w:pPr>
        <w:spacing w:line="240" w:lineRule="auto"/>
        <w:rPr>
          <w:rFonts w:eastAsia="Times New Roman" w:cs="Arial"/>
          <w:color w:val="000000"/>
          <w:u w:val="single"/>
          <w:lang w:eastAsia="bg-BG"/>
        </w:rPr>
      </w:pPr>
    </w:p>
    <w:p w14:paraId="0A87486C" w14:textId="641C2518" w:rsidR="002B4918" w:rsidRPr="002B4918" w:rsidRDefault="002B4918" w:rsidP="002B4918">
      <w:pPr>
        <w:spacing w:line="240" w:lineRule="auto"/>
        <w:rPr>
          <w:rFonts w:eastAsia="Times New Roman" w:cs="Arial"/>
        </w:rPr>
      </w:pPr>
      <w:r w:rsidRPr="002B4918">
        <w:rPr>
          <w:rFonts w:eastAsia="Times New Roman" w:cs="Arial"/>
          <w:color w:val="000000"/>
          <w:u w:val="single"/>
          <w:lang w:eastAsia="bg-BG"/>
        </w:rPr>
        <w:t>Спектър на антибактериална активност</w:t>
      </w:r>
    </w:p>
    <w:p w14:paraId="02F20731" w14:textId="77777777" w:rsidR="002B4918" w:rsidRPr="002B4918" w:rsidRDefault="002B4918" w:rsidP="002B4918">
      <w:pPr>
        <w:spacing w:line="240" w:lineRule="auto"/>
        <w:rPr>
          <w:rFonts w:eastAsia="Times New Roman" w:cs="Arial"/>
        </w:rPr>
      </w:pPr>
      <w:r w:rsidRPr="002B4918">
        <w:rPr>
          <w:rFonts w:eastAsia="Times New Roman" w:cs="Arial"/>
          <w:color w:val="000000"/>
          <w:lang w:eastAsia="bg-BG"/>
        </w:rPr>
        <w:lastRenderedPageBreak/>
        <w:t>Цефтриаксон притежава ограничен спектър на антибактериална активност и може да не е подходящ за монотерапия на някои видове инфекции, освен при вече изолиран патоген (вж. точка 4.2). При полимикробни инфекции, където сред предполагаемите патогени има устойчиви на цефтриаксон, трябва да се приложи допълнителен антибиотик.</w:t>
      </w:r>
    </w:p>
    <w:p w14:paraId="7AB3F071" w14:textId="77777777" w:rsidR="002B4918" w:rsidRPr="00C459DE" w:rsidRDefault="002B4918" w:rsidP="002B4918">
      <w:pPr>
        <w:spacing w:line="240" w:lineRule="auto"/>
        <w:rPr>
          <w:rFonts w:eastAsia="Times New Roman" w:cs="Arial"/>
          <w:color w:val="000000"/>
          <w:u w:val="single"/>
          <w:lang w:eastAsia="bg-BG"/>
        </w:rPr>
      </w:pPr>
    </w:p>
    <w:p w14:paraId="1A0A9FDF" w14:textId="75207EF8" w:rsidR="002B4918" w:rsidRPr="002B4918" w:rsidRDefault="002B4918" w:rsidP="002B4918">
      <w:pPr>
        <w:spacing w:line="240" w:lineRule="auto"/>
        <w:rPr>
          <w:rFonts w:eastAsia="Times New Roman" w:cs="Arial"/>
        </w:rPr>
      </w:pPr>
      <w:r w:rsidRPr="002B4918">
        <w:rPr>
          <w:rFonts w:eastAsia="Times New Roman" w:cs="Arial"/>
          <w:color w:val="000000"/>
          <w:u w:val="single"/>
          <w:lang w:eastAsia="bg-BG"/>
        </w:rPr>
        <w:t>Използване на лидокаин</w:t>
      </w:r>
    </w:p>
    <w:p w14:paraId="24A3E2EA" w14:textId="77777777" w:rsidR="002B4918" w:rsidRPr="002B4918" w:rsidRDefault="002B4918" w:rsidP="002B4918">
      <w:pPr>
        <w:spacing w:line="240" w:lineRule="auto"/>
        <w:rPr>
          <w:rFonts w:eastAsia="Times New Roman" w:cs="Arial"/>
        </w:rPr>
      </w:pPr>
      <w:r w:rsidRPr="002B4918">
        <w:rPr>
          <w:rFonts w:eastAsia="Times New Roman" w:cs="Arial"/>
          <w:color w:val="000000"/>
          <w:lang w:eastAsia="bg-BG"/>
        </w:rPr>
        <w:t>Когато за разтворител се използва разтвор на лидокаин, разтворът на цефтриаксон може да се използва само за интрамускулно инжектиране. Преди употреба трябва да се прегледат противопоказанията за лидокаин, предупрежденията и друга релевантна информация, които са описани подробно в Кратката характеристика на лидокаин (вж. точка 4.3). Разтвор на лидокаин никога не трябва да се прилага интравенозно.</w:t>
      </w:r>
    </w:p>
    <w:p w14:paraId="126CDB29" w14:textId="77777777" w:rsidR="002B4918" w:rsidRPr="00C459DE" w:rsidRDefault="002B4918" w:rsidP="002B4918">
      <w:pPr>
        <w:spacing w:line="240" w:lineRule="auto"/>
        <w:rPr>
          <w:rFonts w:eastAsia="Times New Roman" w:cs="Arial"/>
          <w:color w:val="000000"/>
          <w:u w:val="single"/>
          <w:lang w:eastAsia="bg-BG"/>
        </w:rPr>
      </w:pPr>
    </w:p>
    <w:p w14:paraId="3E44FEA1" w14:textId="48AC3B54" w:rsidR="002B4918" w:rsidRPr="002B4918" w:rsidRDefault="002B4918" w:rsidP="002B4918">
      <w:pPr>
        <w:spacing w:line="240" w:lineRule="auto"/>
        <w:rPr>
          <w:rFonts w:eastAsia="Times New Roman" w:cs="Arial"/>
        </w:rPr>
      </w:pPr>
      <w:r w:rsidRPr="002B4918">
        <w:rPr>
          <w:rFonts w:eastAsia="Times New Roman" w:cs="Arial"/>
          <w:color w:val="000000"/>
          <w:u w:val="single"/>
          <w:lang w:eastAsia="bg-BG"/>
        </w:rPr>
        <w:t>Холелитиаза</w:t>
      </w:r>
    </w:p>
    <w:p w14:paraId="281BE69E" w14:textId="77777777" w:rsidR="00C459DE" w:rsidRPr="00C459DE" w:rsidRDefault="002B4918" w:rsidP="00C459DE">
      <w:pPr>
        <w:rPr>
          <w:rFonts w:eastAsia="Times New Roman" w:cs="Arial"/>
        </w:rPr>
      </w:pPr>
      <w:r w:rsidRPr="00C459DE">
        <w:rPr>
          <w:rFonts w:eastAsia="Times New Roman" w:cs="Arial"/>
          <w:color w:val="000000"/>
          <w:lang w:eastAsia="bg-BG"/>
        </w:rPr>
        <w:t xml:space="preserve">Когато се наблюдават сенки на ехографията при ултразвуково изследване трябва да се има предвид възможността от образуване на преципитати от калциев цефтриаксон. Сенки които са били погрешно взети за камъни в жлъчния мехур, открити при ехография на жлъчния мехур са наблюдавани по-често след прилагане на цефтриаксон в дневни дози от 1 </w:t>
      </w:r>
      <w:r w:rsidRPr="00C459DE">
        <w:rPr>
          <w:rFonts w:eastAsia="Times New Roman" w:cs="Arial"/>
          <w:color w:val="000000"/>
          <w:lang w:val="en-US"/>
        </w:rPr>
        <w:t>g</w:t>
      </w:r>
      <w:r w:rsidRPr="00C459DE">
        <w:rPr>
          <w:rFonts w:eastAsia="Times New Roman" w:cs="Arial"/>
          <w:color w:val="000000"/>
          <w:lang w:val="ru-RU"/>
        </w:rPr>
        <w:t xml:space="preserve"> </w:t>
      </w:r>
      <w:r w:rsidRPr="00C459DE">
        <w:rPr>
          <w:rFonts w:eastAsia="Times New Roman" w:cs="Arial"/>
          <w:color w:val="000000"/>
          <w:lang w:eastAsia="bg-BG"/>
        </w:rPr>
        <w:t>и повече. Изисква</w:t>
      </w:r>
      <w:r w:rsidR="00C459DE" w:rsidRPr="00C459DE">
        <w:rPr>
          <w:rFonts w:eastAsia="Times New Roman" w:cs="Arial"/>
          <w:color w:val="000000"/>
          <w:lang w:eastAsia="bg-BG"/>
        </w:rPr>
        <w:t xml:space="preserve"> се повишено внимание, особено при педиатричната популация. След преустановяване на терапията с цефтриаксон тези преципитати не се наблюдават. В редки случаи при тези ехографски данни се наблюдават симптоми. При наличие на симптоми се препоръчва консервативно нехирургично лечение и лечението с цефтриаксон се прекратява по преценка на лекаря след оценка на съотношението полза/риск (вж. точка 4.8)</w:t>
      </w:r>
    </w:p>
    <w:p w14:paraId="10DB9C91" w14:textId="77777777" w:rsidR="00C459DE" w:rsidRPr="00C459DE" w:rsidRDefault="00C459DE" w:rsidP="00C459DE">
      <w:pPr>
        <w:spacing w:line="240" w:lineRule="auto"/>
        <w:rPr>
          <w:rFonts w:eastAsia="Times New Roman" w:cs="Arial"/>
          <w:color w:val="000000"/>
          <w:u w:val="single"/>
          <w:lang w:eastAsia="bg-BG"/>
        </w:rPr>
      </w:pPr>
    </w:p>
    <w:p w14:paraId="516B141D" w14:textId="0F0368E4" w:rsidR="00C459DE" w:rsidRPr="00C459DE" w:rsidRDefault="00C459DE" w:rsidP="00C459DE">
      <w:pPr>
        <w:spacing w:line="240" w:lineRule="auto"/>
        <w:rPr>
          <w:rFonts w:eastAsia="Times New Roman" w:cs="Arial"/>
        </w:rPr>
      </w:pPr>
      <w:r w:rsidRPr="00C459DE">
        <w:rPr>
          <w:rFonts w:eastAsia="Times New Roman" w:cs="Arial"/>
          <w:color w:val="000000"/>
          <w:u w:val="single"/>
          <w:lang w:eastAsia="bg-BG"/>
        </w:rPr>
        <w:t>Холестаза</w:t>
      </w:r>
    </w:p>
    <w:p w14:paraId="13EF78C6" w14:textId="77777777" w:rsidR="00C459DE" w:rsidRPr="00C459DE" w:rsidRDefault="00C459DE" w:rsidP="00C459DE">
      <w:pPr>
        <w:spacing w:line="240" w:lineRule="auto"/>
        <w:rPr>
          <w:rFonts w:eastAsia="Times New Roman" w:cs="Arial"/>
        </w:rPr>
      </w:pPr>
      <w:r w:rsidRPr="00C459DE">
        <w:rPr>
          <w:rFonts w:eastAsia="Times New Roman" w:cs="Arial"/>
          <w:color w:val="000000"/>
          <w:lang w:eastAsia="bg-BG"/>
        </w:rPr>
        <w:t>При пациенти, лекувани с цефтриаксон са наблюдавани случаи на панкреатит, вероятно причинен от билиарна обструкция (вж. точка 4.8). Повечето пациенти са с рискови фактори за холестаза и утаяване на жлъчка, напр. вследствие предхождаща основна терапия, тежко заболяване и тотално парентерално хранене. Не може да се изключи отключващата или кофакторна роля на цефтриаксон- свързаните жлъчни преципитати.</w:t>
      </w:r>
    </w:p>
    <w:p w14:paraId="26A31869" w14:textId="77777777" w:rsidR="00C459DE" w:rsidRPr="00C459DE" w:rsidRDefault="00C459DE" w:rsidP="00C459DE">
      <w:pPr>
        <w:spacing w:line="240" w:lineRule="auto"/>
        <w:rPr>
          <w:rFonts w:eastAsia="Times New Roman" w:cs="Arial"/>
          <w:color w:val="000000"/>
          <w:u w:val="single"/>
          <w:lang w:eastAsia="bg-BG"/>
        </w:rPr>
      </w:pPr>
    </w:p>
    <w:p w14:paraId="64F90E68" w14:textId="51EDB0C3" w:rsidR="00C459DE" w:rsidRPr="00C459DE" w:rsidRDefault="00C459DE" w:rsidP="00C459DE">
      <w:pPr>
        <w:spacing w:line="240" w:lineRule="auto"/>
        <w:rPr>
          <w:rFonts w:eastAsia="Times New Roman" w:cs="Arial"/>
        </w:rPr>
      </w:pPr>
      <w:r w:rsidRPr="00C459DE">
        <w:rPr>
          <w:rFonts w:eastAsia="Times New Roman" w:cs="Arial"/>
          <w:color w:val="000000"/>
          <w:u w:val="single"/>
          <w:lang w:eastAsia="bg-BG"/>
        </w:rPr>
        <w:t>Бъбречна литиаза</w:t>
      </w:r>
    </w:p>
    <w:p w14:paraId="41AA9AC0" w14:textId="77777777" w:rsidR="00C459DE" w:rsidRPr="00C459DE" w:rsidRDefault="00C459DE" w:rsidP="00C459DE">
      <w:pPr>
        <w:spacing w:line="240" w:lineRule="auto"/>
        <w:rPr>
          <w:rFonts w:eastAsia="Times New Roman" w:cs="Arial"/>
        </w:rPr>
      </w:pPr>
      <w:r w:rsidRPr="00C459DE">
        <w:rPr>
          <w:rFonts w:eastAsia="Times New Roman" w:cs="Arial"/>
          <w:color w:val="000000"/>
          <w:lang w:eastAsia="bg-BG"/>
        </w:rPr>
        <w:t>След преустановяване на лечението с цефтриаксон се съобщава за случаи на бъбречна литиаза, които са обратими (вж. точка 4.8). При наличие на симптоми трябва да се проведе ехография. Употреба на цефтриксон при пациенти с анамнеза за бъбречна литиаза или с хиперкалциурия трябва да се разгледа от лекар и да се оцени съотношението полза/риск.</w:t>
      </w:r>
    </w:p>
    <w:p w14:paraId="5681F054" w14:textId="77777777" w:rsidR="00C459DE" w:rsidRPr="00C459DE" w:rsidRDefault="00C459DE" w:rsidP="00C459DE">
      <w:pPr>
        <w:spacing w:line="240" w:lineRule="auto"/>
        <w:rPr>
          <w:rFonts w:eastAsia="Times New Roman" w:cs="Arial"/>
          <w:color w:val="000000"/>
          <w:u w:val="single"/>
          <w:lang w:eastAsia="bg-BG"/>
        </w:rPr>
      </w:pPr>
    </w:p>
    <w:p w14:paraId="48FF91F7" w14:textId="541220D2" w:rsidR="00C459DE" w:rsidRPr="00C459DE" w:rsidRDefault="00C459DE" w:rsidP="00C459DE">
      <w:pPr>
        <w:spacing w:line="240" w:lineRule="auto"/>
        <w:rPr>
          <w:rFonts w:eastAsia="Times New Roman" w:cs="Arial"/>
        </w:rPr>
      </w:pPr>
      <w:r w:rsidRPr="00C459DE">
        <w:rPr>
          <w:rFonts w:eastAsia="Times New Roman" w:cs="Arial"/>
          <w:color w:val="000000"/>
          <w:u w:val="single"/>
          <w:lang w:eastAsia="bg-BG"/>
        </w:rPr>
        <w:t>Натрий</w:t>
      </w:r>
    </w:p>
    <w:p w14:paraId="4CCEAAF1" w14:textId="0F8F7EE2" w:rsidR="002B4918" w:rsidRPr="002B4918" w:rsidRDefault="00C459DE" w:rsidP="00C459DE">
      <w:pPr>
        <w:spacing w:line="240" w:lineRule="auto"/>
        <w:rPr>
          <w:rFonts w:eastAsia="Times New Roman" w:cs="Arial"/>
        </w:rPr>
      </w:pPr>
      <w:r w:rsidRPr="00C459DE">
        <w:rPr>
          <w:rFonts w:eastAsia="Times New Roman" w:cs="Arial"/>
          <w:color w:val="000000"/>
          <w:lang w:eastAsia="bg-BG"/>
        </w:rPr>
        <w:t xml:space="preserve">Този лекарствен продукт съдържа 83 </w:t>
      </w:r>
      <w:r w:rsidRPr="00C459DE">
        <w:rPr>
          <w:rFonts w:eastAsia="Times New Roman" w:cs="Arial"/>
          <w:color w:val="000000"/>
          <w:lang w:val="en-US"/>
        </w:rPr>
        <w:t>mg</w:t>
      </w:r>
      <w:r w:rsidRPr="00C459DE">
        <w:rPr>
          <w:rFonts w:eastAsia="Times New Roman" w:cs="Arial"/>
          <w:color w:val="000000"/>
          <w:lang w:val="ru-RU"/>
        </w:rPr>
        <w:t xml:space="preserve"> </w:t>
      </w:r>
      <w:r w:rsidRPr="00C459DE">
        <w:rPr>
          <w:rFonts w:eastAsia="Times New Roman" w:cs="Arial"/>
          <w:color w:val="000000"/>
          <w:lang w:eastAsia="bg-BG"/>
        </w:rPr>
        <w:t>натрий 1</w:t>
      </w:r>
      <w:r w:rsidRPr="00C459DE">
        <w:rPr>
          <w:rFonts w:eastAsia="Times New Roman" w:cs="Arial"/>
          <w:color w:val="000000"/>
          <w:lang w:val="en-US"/>
        </w:rPr>
        <w:t>g</w:t>
      </w:r>
      <w:r w:rsidRPr="00C459DE">
        <w:rPr>
          <w:rFonts w:eastAsia="Times New Roman" w:cs="Arial"/>
          <w:color w:val="000000"/>
          <w:lang w:val="ru-RU"/>
        </w:rPr>
        <w:t xml:space="preserve"> </w:t>
      </w:r>
      <w:r w:rsidRPr="00C459DE">
        <w:rPr>
          <w:rFonts w:eastAsia="Times New Roman" w:cs="Arial"/>
          <w:color w:val="000000"/>
          <w:lang w:eastAsia="bg-BG"/>
        </w:rPr>
        <w:t xml:space="preserve">прах за инжекционен разтвор и 166 </w:t>
      </w:r>
      <w:r w:rsidRPr="00C459DE">
        <w:rPr>
          <w:rFonts w:eastAsia="Times New Roman" w:cs="Arial"/>
          <w:color w:val="000000"/>
          <w:lang w:val="en-US"/>
        </w:rPr>
        <w:t>mg</w:t>
      </w:r>
      <w:r w:rsidRPr="00C459DE">
        <w:rPr>
          <w:rFonts w:eastAsia="Times New Roman" w:cs="Arial"/>
          <w:color w:val="000000"/>
          <w:lang w:val="ru-RU"/>
        </w:rPr>
        <w:t xml:space="preserve"> </w:t>
      </w:r>
      <w:r w:rsidRPr="00C459DE">
        <w:rPr>
          <w:rFonts w:eastAsia="Times New Roman" w:cs="Arial"/>
          <w:color w:val="000000"/>
          <w:lang w:eastAsia="bg-BG"/>
        </w:rPr>
        <w:t xml:space="preserve">натрий в 2 </w:t>
      </w:r>
      <w:r w:rsidRPr="00C459DE">
        <w:rPr>
          <w:rFonts w:eastAsia="Times New Roman" w:cs="Arial"/>
          <w:color w:val="000000"/>
          <w:lang w:val="en-US"/>
        </w:rPr>
        <w:t>g</w:t>
      </w:r>
      <w:r w:rsidRPr="00C459DE">
        <w:rPr>
          <w:rFonts w:eastAsia="Times New Roman" w:cs="Arial"/>
          <w:color w:val="000000"/>
          <w:lang w:val="ru-RU"/>
        </w:rPr>
        <w:t xml:space="preserve"> </w:t>
      </w:r>
      <w:r w:rsidRPr="00C459DE">
        <w:rPr>
          <w:rFonts w:eastAsia="Times New Roman" w:cs="Arial"/>
          <w:color w:val="000000"/>
          <w:lang w:eastAsia="bg-BG"/>
        </w:rPr>
        <w:t xml:space="preserve">прах за инжекционен разтвор, които са еквивалентни съответно на 4,15% и 8,3% от препоръчителния максимален дневен прием от 2 </w:t>
      </w:r>
      <w:r w:rsidRPr="00C459DE">
        <w:rPr>
          <w:rFonts w:eastAsia="Times New Roman" w:cs="Arial"/>
          <w:color w:val="000000"/>
          <w:lang w:val="en-US"/>
        </w:rPr>
        <w:t>g</w:t>
      </w:r>
      <w:r w:rsidRPr="00C459DE">
        <w:rPr>
          <w:rFonts w:eastAsia="Times New Roman" w:cs="Arial"/>
          <w:color w:val="000000"/>
          <w:lang w:val="ru-RU"/>
        </w:rPr>
        <w:t xml:space="preserve"> </w:t>
      </w:r>
      <w:r w:rsidRPr="00C459DE">
        <w:rPr>
          <w:rFonts w:eastAsia="Times New Roman" w:cs="Arial"/>
          <w:color w:val="000000"/>
          <w:lang w:eastAsia="bg-BG"/>
        </w:rPr>
        <w:t>натрий за възрастен.</w:t>
      </w:r>
    </w:p>
    <w:p w14:paraId="5179848E" w14:textId="77777777" w:rsidR="002B4918" w:rsidRPr="002B4918" w:rsidRDefault="002B4918" w:rsidP="002B4918"/>
    <w:p w14:paraId="302A1C2B" w14:textId="0B5113CE" w:rsidR="00426E5F" w:rsidRDefault="002C50EE" w:rsidP="00A65A81">
      <w:pPr>
        <w:pStyle w:val="Heading2"/>
      </w:pPr>
      <w:r>
        <w:t>4.5. Взаимодействие с други лекарствени продукти и други форми на взаимодействие</w:t>
      </w:r>
    </w:p>
    <w:p w14:paraId="407179C3" w14:textId="5C5902F5" w:rsidR="00C459DE" w:rsidRDefault="00C459DE" w:rsidP="00C459DE"/>
    <w:p w14:paraId="7D718CBA" w14:textId="77777777" w:rsidR="00C459DE" w:rsidRPr="00C459DE" w:rsidRDefault="00C459DE" w:rsidP="00C459DE">
      <w:pPr>
        <w:spacing w:line="240" w:lineRule="auto"/>
        <w:rPr>
          <w:rFonts w:eastAsia="Times New Roman" w:cs="Arial"/>
          <w:sz w:val="28"/>
          <w:szCs w:val="24"/>
        </w:rPr>
      </w:pPr>
      <w:r w:rsidRPr="00C459DE">
        <w:rPr>
          <w:rFonts w:eastAsia="Times New Roman" w:cs="Arial"/>
          <w:color w:val="000000"/>
          <w:szCs w:val="20"/>
          <w:lang w:eastAsia="bg-BG"/>
        </w:rPr>
        <w:t xml:space="preserve">Разтвори съдържащи калций (като разтвори на Рингер и Хартман), не трябва да се използват за разтваряне на цефтриаксон прах за инжекционен разтвор или за допълнително разреждане на приготвения разтвор за венозно приложение, поради </w:t>
      </w:r>
      <w:r w:rsidRPr="00C459DE">
        <w:rPr>
          <w:rFonts w:eastAsia="Times New Roman" w:cs="Arial"/>
          <w:color w:val="000000"/>
          <w:szCs w:val="20"/>
          <w:lang w:eastAsia="bg-BG"/>
        </w:rPr>
        <w:lastRenderedPageBreak/>
        <w:t xml:space="preserve">възможност за образуване на преципитати. Образуване на цефтриаксон-калциеви преципитати може да се наблюдава и когато цефтриаксон се смеси с калций съдържащи разтвори в една инфузия. Цефтриаксон не трябва да се прилага едновременно с калций-съдържащи интравенозни разтвори, включително с продължителни калций-съдържащи инфузии за парентерално хранене венозно. При пациенти (с изкл. на новородените) цефтриаксон и калций-съдържащи разтвори могат да се прилагат пооотделно, ако инфузионният път се промива между инфузиите със съвместими разтвори. При </w:t>
      </w:r>
      <w:r w:rsidRPr="00C459DE">
        <w:rPr>
          <w:rFonts w:eastAsia="Times New Roman" w:cs="Arial"/>
          <w:i/>
          <w:iCs/>
          <w:color w:val="000000"/>
          <w:szCs w:val="20"/>
          <w:lang w:val="en-US"/>
        </w:rPr>
        <w:t>in</w:t>
      </w:r>
      <w:r w:rsidRPr="00C459DE">
        <w:rPr>
          <w:rFonts w:eastAsia="Times New Roman" w:cs="Arial"/>
          <w:i/>
          <w:iCs/>
          <w:color w:val="000000"/>
          <w:szCs w:val="20"/>
          <w:lang w:val="ru-RU"/>
        </w:rPr>
        <w:t xml:space="preserve"> </w:t>
      </w:r>
      <w:r w:rsidRPr="00C459DE">
        <w:rPr>
          <w:rFonts w:eastAsia="Times New Roman" w:cs="Arial"/>
          <w:i/>
          <w:iCs/>
          <w:color w:val="000000"/>
          <w:szCs w:val="20"/>
          <w:lang w:val="en-US"/>
        </w:rPr>
        <w:t>vitro</w:t>
      </w:r>
      <w:r w:rsidRPr="00C459DE">
        <w:rPr>
          <w:rFonts w:eastAsia="Times New Roman" w:cs="Arial"/>
          <w:color w:val="000000"/>
          <w:szCs w:val="20"/>
          <w:lang w:val="ru-RU"/>
        </w:rPr>
        <w:t xml:space="preserve"> </w:t>
      </w:r>
      <w:r w:rsidRPr="00C459DE">
        <w:rPr>
          <w:rFonts w:eastAsia="Times New Roman" w:cs="Arial"/>
          <w:color w:val="000000"/>
          <w:szCs w:val="20"/>
          <w:lang w:eastAsia="bg-BG"/>
        </w:rPr>
        <w:t>проучвания с използване на плазма, получена от кръвта на пъпната връв е установено, че при новородените рискът от получаване на преципитат калций-цефтриаксон е повишен (вж. точки 4.2, 4.3,4.4, 4.8 и 6.2).</w:t>
      </w:r>
    </w:p>
    <w:p w14:paraId="700ACEDD" w14:textId="77777777" w:rsidR="00C459DE" w:rsidRPr="00C459DE" w:rsidRDefault="00C459DE" w:rsidP="00C459DE">
      <w:pPr>
        <w:spacing w:line="240" w:lineRule="auto"/>
        <w:rPr>
          <w:rFonts w:eastAsia="Times New Roman" w:cs="Arial"/>
          <w:color w:val="000000"/>
          <w:szCs w:val="20"/>
          <w:lang w:eastAsia="bg-BG"/>
        </w:rPr>
      </w:pPr>
    </w:p>
    <w:p w14:paraId="0830C105" w14:textId="06CC8B5B" w:rsidR="00C459DE" w:rsidRPr="00C459DE" w:rsidRDefault="00C459DE" w:rsidP="00C459DE">
      <w:pPr>
        <w:spacing w:line="240" w:lineRule="auto"/>
        <w:rPr>
          <w:rFonts w:eastAsia="Times New Roman" w:cs="Arial"/>
          <w:sz w:val="28"/>
          <w:szCs w:val="24"/>
        </w:rPr>
      </w:pPr>
      <w:r w:rsidRPr="00C459DE">
        <w:rPr>
          <w:rFonts w:eastAsia="Times New Roman" w:cs="Arial"/>
          <w:color w:val="000000"/>
          <w:szCs w:val="20"/>
          <w:lang w:eastAsia="bg-BG"/>
        </w:rPr>
        <w:t xml:space="preserve">Едновременната употреба с перорални антикоагуланти може да усили антивитамин К ефекта и риска от кървене. Препоръчва се Международното нормализирано съотношение </w:t>
      </w:r>
      <w:r w:rsidRPr="00C459DE">
        <w:rPr>
          <w:rFonts w:eastAsia="Times New Roman" w:cs="Arial"/>
          <w:color w:val="000000"/>
          <w:szCs w:val="20"/>
          <w:lang w:val="ru-RU"/>
        </w:rPr>
        <w:t>(</w:t>
      </w:r>
      <w:r w:rsidRPr="00C459DE">
        <w:rPr>
          <w:rFonts w:eastAsia="Times New Roman" w:cs="Arial"/>
          <w:color w:val="000000"/>
          <w:szCs w:val="20"/>
          <w:lang w:val="en-US"/>
        </w:rPr>
        <w:t>INR</w:t>
      </w:r>
      <w:r w:rsidRPr="00C459DE">
        <w:rPr>
          <w:rFonts w:eastAsia="Times New Roman" w:cs="Arial"/>
          <w:color w:val="000000"/>
          <w:szCs w:val="20"/>
          <w:lang w:val="ru-RU"/>
        </w:rPr>
        <w:t xml:space="preserve">) </w:t>
      </w:r>
      <w:r w:rsidRPr="00C459DE">
        <w:rPr>
          <w:rFonts w:eastAsia="Times New Roman" w:cs="Arial"/>
          <w:color w:val="000000"/>
          <w:szCs w:val="20"/>
          <w:lang w:eastAsia="bg-BG"/>
        </w:rPr>
        <w:t>да се наблюдава често и дозировката на антивитамин К лекарствата съответно да се коригира, какго по време на, така и след лечение с цефтриаксон (вж. точка 4.8).</w:t>
      </w:r>
    </w:p>
    <w:p w14:paraId="571CCC0A" w14:textId="77777777" w:rsidR="00C459DE" w:rsidRPr="00C459DE" w:rsidRDefault="00C459DE" w:rsidP="00C459DE">
      <w:pPr>
        <w:spacing w:line="240" w:lineRule="auto"/>
        <w:rPr>
          <w:rFonts w:eastAsia="Times New Roman" w:cs="Arial"/>
          <w:color w:val="000000"/>
          <w:szCs w:val="20"/>
          <w:lang w:eastAsia="bg-BG"/>
        </w:rPr>
      </w:pPr>
    </w:p>
    <w:p w14:paraId="5169A39F" w14:textId="758A5647" w:rsidR="00C459DE" w:rsidRPr="00C459DE" w:rsidRDefault="00C459DE" w:rsidP="00C459DE">
      <w:pPr>
        <w:spacing w:line="240" w:lineRule="auto"/>
        <w:rPr>
          <w:rFonts w:eastAsia="Times New Roman" w:cs="Arial"/>
          <w:sz w:val="28"/>
          <w:szCs w:val="24"/>
        </w:rPr>
      </w:pPr>
      <w:r w:rsidRPr="00C459DE">
        <w:rPr>
          <w:rFonts w:eastAsia="Times New Roman" w:cs="Arial"/>
          <w:color w:val="000000"/>
          <w:szCs w:val="20"/>
          <w:lang w:eastAsia="bg-BG"/>
        </w:rPr>
        <w:t>Има противоречиви доказателства по отношение на възможното увеличение на бъбречна токсичност на аминогликозидите, когато се използват с цефалоспорини. При такива случаи в клиничната практика се препоръчва внимателно мониториране на концентрациите на аминогликозидите (и бъбречна функция).</w:t>
      </w:r>
    </w:p>
    <w:p w14:paraId="2AB17961" w14:textId="77777777" w:rsidR="00C459DE" w:rsidRPr="00C459DE" w:rsidRDefault="00C459DE" w:rsidP="00C459DE">
      <w:pPr>
        <w:rPr>
          <w:rFonts w:eastAsia="Times New Roman" w:cs="Arial"/>
          <w:color w:val="000000"/>
          <w:szCs w:val="20"/>
          <w:lang w:eastAsia="bg-BG"/>
        </w:rPr>
      </w:pPr>
    </w:p>
    <w:p w14:paraId="5DD35807" w14:textId="69AEE5F3" w:rsidR="00C459DE" w:rsidRPr="00C459DE" w:rsidRDefault="00C459DE" w:rsidP="00C459DE">
      <w:pPr>
        <w:rPr>
          <w:rFonts w:eastAsia="Times New Roman" w:cs="Arial"/>
          <w:color w:val="000000"/>
          <w:szCs w:val="20"/>
          <w:lang w:eastAsia="bg-BG"/>
        </w:rPr>
      </w:pPr>
      <w:r w:rsidRPr="00C459DE">
        <w:rPr>
          <w:rFonts w:eastAsia="Times New Roman" w:cs="Arial"/>
          <w:color w:val="000000"/>
          <w:szCs w:val="20"/>
          <w:lang w:eastAsia="bg-BG"/>
        </w:rPr>
        <w:t xml:space="preserve">В </w:t>
      </w:r>
      <w:r w:rsidRPr="00C459DE">
        <w:rPr>
          <w:rFonts w:eastAsia="Times New Roman" w:cs="Arial"/>
          <w:i/>
          <w:iCs/>
          <w:color w:val="000000"/>
          <w:szCs w:val="20"/>
          <w:lang w:val="en-US"/>
        </w:rPr>
        <w:t>in</w:t>
      </w:r>
      <w:r w:rsidRPr="00C459DE">
        <w:rPr>
          <w:rFonts w:eastAsia="Times New Roman" w:cs="Arial"/>
          <w:i/>
          <w:iCs/>
          <w:color w:val="000000"/>
          <w:szCs w:val="20"/>
          <w:lang w:val="ru-RU"/>
        </w:rPr>
        <w:t xml:space="preserve"> </w:t>
      </w:r>
      <w:r w:rsidRPr="00C459DE">
        <w:rPr>
          <w:rFonts w:eastAsia="Times New Roman" w:cs="Arial"/>
          <w:i/>
          <w:iCs/>
          <w:color w:val="000000"/>
          <w:szCs w:val="20"/>
          <w:lang w:val="en-US"/>
        </w:rPr>
        <w:t>vitro</w:t>
      </w:r>
      <w:r w:rsidRPr="00C459DE">
        <w:rPr>
          <w:rFonts w:eastAsia="Times New Roman" w:cs="Arial"/>
          <w:color w:val="000000"/>
          <w:szCs w:val="20"/>
          <w:lang w:val="ru-RU"/>
        </w:rPr>
        <w:t xml:space="preserve"> </w:t>
      </w:r>
      <w:r w:rsidRPr="00C459DE">
        <w:rPr>
          <w:rFonts w:eastAsia="Times New Roman" w:cs="Arial"/>
          <w:color w:val="000000"/>
          <w:szCs w:val="20"/>
          <w:lang w:eastAsia="bg-BG"/>
        </w:rPr>
        <w:t>проучване са наблюдавани антагонистични ефекти с комбинацията от хлорамфеникол и цефтриаксон. Клиничното значение на тези данни е неизвестно.</w:t>
      </w:r>
    </w:p>
    <w:p w14:paraId="75B88A3E" w14:textId="439C6D1A" w:rsidR="00C459DE" w:rsidRPr="00C459DE" w:rsidRDefault="00C459DE" w:rsidP="00C459DE">
      <w:pPr>
        <w:rPr>
          <w:rFonts w:eastAsia="Times New Roman" w:cs="Arial"/>
          <w:color w:val="000000"/>
          <w:szCs w:val="20"/>
          <w:lang w:eastAsia="bg-BG"/>
        </w:rPr>
      </w:pPr>
    </w:p>
    <w:p w14:paraId="30148DAD" w14:textId="77777777" w:rsidR="00C459DE" w:rsidRPr="00C459DE" w:rsidRDefault="00C459DE" w:rsidP="00C459DE">
      <w:pPr>
        <w:spacing w:line="240" w:lineRule="auto"/>
        <w:rPr>
          <w:rFonts w:eastAsia="Times New Roman" w:cs="Arial"/>
          <w:sz w:val="28"/>
          <w:szCs w:val="24"/>
        </w:rPr>
      </w:pPr>
      <w:r w:rsidRPr="00C459DE">
        <w:rPr>
          <w:rFonts w:eastAsia="Times New Roman" w:cs="Arial"/>
          <w:color w:val="000000"/>
          <w:szCs w:val="20"/>
          <w:lang w:eastAsia="bg-BG"/>
        </w:rPr>
        <w:t>Няма съобщения за взаимодействие между цефтриаксон и перорални калций-съдържащи продукти или взаимодействие между цефтриаксон, приложен интрамускулно и калций- съдържащи продукти (интравенозно или перорално).</w:t>
      </w:r>
    </w:p>
    <w:p w14:paraId="420D35A1" w14:textId="77777777" w:rsidR="00C459DE" w:rsidRPr="00C459DE" w:rsidRDefault="00C459DE" w:rsidP="00C459DE">
      <w:pPr>
        <w:spacing w:line="240" w:lineRule="auto"/>
        <w:rPr>
          <w:rFonts w:eastAsia="Times New Roman" w:cs="Arial"/>
          <w:color w:val="000000"/>
          <w:szCs w:val="20"/>
          <w:lang w:eastAsia="bg-BG"/>
        </w:rPr>
      </w:pPr>
    </w:p>
    <w:p w14:paraId="1F8C0070" w14:textId="2F6147D3" w:rsidR="00C459DE" w:rsidRPr="00C459DE" w:rsidRDefault="00C459DE" w:rsidP="00C459DE">
      <w:pPr>
        <w:spacing w:line="240" w:lineRule="auto"/>
        <w:rPr>
          <w:rFonts w:eastAsia="Times New Roman" w:cs="Arial"/>
          <w:sz w:val="28"/>
          <w:szCs w:val="24"/>
        </w:rPr>
      </w:pPr>
      <w:r w:rsidRPr="00C459DE">
        <w:rPr>
          <w:rFonts w:eastAsia="Times New Roman" w:cs="Arial"/>
          <w:color w:val="000000"/>
          <w:szCs w:val="20"/>
          <w:lang w:eastAsia="bg-BG"/>
        </w:rPr>
        <w:t>При пациенти, лекувани с цефтриаксон е възможно фалшиво позитивиране на теста на Кумбс.</w:t>
      </w:r>
    </w:p>
    <w:p w14:paraId="1D320B09" w14:textId="77777777" w:rsidR="00C459DE" w:rsidRPr="00C459DE" w:rsidRDefault="00C459DE" w:rsidP="00C459DE">
      <w:pPr>
        <w:spacing w:line="240" w:lineRule="auto"/>
        <w:rPr>
          <w:rFonts w:eastAsia="Times New Roman" w:cs="Arial"/>
          <w:color w:val="000000"/>
          <w:szCs w:val="20"/>
          <w:lang w:eastAsia="bg-BG"/>
        </w:rPr>
      </w:pPr>
    </w:p>
    <w:p w14:paraId="58F99351" w14:textId="0FCF4260" w:rsidR="00C459DE" w:rsidRPr="00C459DE" w:rsidRDefault="00C459DE" w:rsidP="00C459DE">
      <w:pPr>
        <w:spacing w:line="240" w:lineRule="auto"/>
        <w:rPr>
          <w:rFonts w:eastAsia="Times New Roman" w:cs="Arial"/>
          <w:sz w:val="28"/>
          <w:szCs w:val="24"/>
        </w:rPr>
      </w:pPr>
      <w:r w:rsidRPr="00C459DE">
        <w:rPr>
          <w:rFonts w:eastAsia="Times New Roman" w:cs="Arial"/>
          <w:color w:val="000000"/>
          <w:szCs w:val="20"/>
          <w:lang w:eastAsia="bg-BG"/>
        </w:rPr>
        <w:t>Цефтриаксон, подобно на други антибиотици може фалшиво да позитивира теста за галактоземия.</w:t>
      </w:r>
    </w:p>
    <w:p w14:paraId="17D4774E" w14:textId="77777777" w:rsidR="00C459DE" w:rsidRPr="00C459DE" w:rsidRDefault="00C459DE" w:rsidP="00C459DE">
      <w:pPr>
        <w:spacing w:line="240" w:lineRule="auto"/>
        <w:rPr>
          <w:rFonts w:eastAsia="Times New Roman" w:cs="Arial"/>
          <w:color w:val="000000"/>
          <w:szCs w:val="20"/>
          <w:lang w:eastAsia="bg-BG"/>
        </w:rPr>
      </w:pPr>
    </w:p>
    <w:p w14:paraId="799560F7" w14:textId="23DE078D" w:rsidR="00C459DE" w:rsidRPr="00C459DE" w:rsidRDefault="00C459DE" w:rsidP="00C459DE">
      <w:pPr>
        <w:spacing w:line="240" w:lineRule="auto"/>
        <w:rPr>
          <w:rFonts w:eastAsia="Times New Roman" w:cs="Arial"/>
          <w:sz w:val="28"/>
          <w:szCs w:val="24"/>
        </w:rPr>
      </w:pPr>
      <w:r w:rsidRPr="00C459DE">
        <w:rPr>
          <w:rFonts w:eastAsia="Times New Roman" w:cs="Arial"/>
          <w:color w:val="000000"/>
          <w:szCs w:val="20"/>
          <w:lang w:eastAsia="bg-BG"/>
        </w:rPr>
        <w:t>По същия начин е възможно фалшиво позитивиране на изследването за глюкоза в урината при използване на неензимни методи. Поради това се препоръчва определянето на глюкоза в урината да се извършва чрез ензимен метод.</w:t>
      </w:r>
    </w:p>
    <w:p w14:paraId="6C6C22F9" w14:textId="77777777" w:rsidR="00C459DE" w:rsidRPr="00C459DE" w:rsidRDefault="00C459DE" w:rsidP="00C459DE">
      <w:pPr>
        <w:spacing w:line="240" w:lineRule="auto"/>
        <w:rPr>
          <w:rFonts w:eastAsia="Times New Roman" w:cs="Arial"/>
          <w:color w:val="000000"/>
          <w:szCs w:val="20"/>
          <w:lang w:eastAsia="bg-BG"/>
        </w:rPr>
      </w:pPr>
    </w:p>
    <w:p w14:paraId="72B5DC10" w14:textId="4CF19EF6" w:rsidR="00C459DE" w:rsidRPr="00C459DE" w:rsidRDefault="00C459DE" w:rsidP="00C459DE">
      <w:pPr>
        <w:spacing w:line="240" w:lineRule="auto"/>
        <w:rPr>
          <w:rFonts w:eastAsia="Times New Roman" w:cs="Arial"/>
          <w:sz w:val="28"/>
          <w:szCs w:val="24"/>
        </w:rPr>
      </w:pPr>
      <w:r w:rsidRPr="00C459DE">
        <w:rPr>
          <w:rFonts w:eastAsia="Times New Roman" w:cs="Arial"/>
          <w:color w:val="000000"/>
          <w:szCs w:val="20"/>
          <w:lang w:eastAsia="bg-BG"/>
        </w:rPr>
        <w:t>Не се наблюдава увреждане на бъбречната функция след едновременно приложение на високи дози цефтриаксон и мощни диуретици (напр. фуроземид).</w:t>
      </w:r>
    </w:p>
    <w:p w14:paraId="47007625" w14:textId="77777777" w:rsidR="00C459DE" w:rsidRPr="00C459DE" w:rsidRDefault="00C459DE" w:rsidP="00C459DE">
      <w:pPr>
        <w:rPr>
          <w:rFonts w:eastAsia="Times New Roman" w:cs="Arial"/>
          <w:color w:val="000000"/>
          <w:szCs w:val="20"/>
          <w:lang w:eastAsia="bg-BG"/>
        </w:rPr>
      </w:pPr>
    </w:p>
    <w:p w14:paraId="63124C98" w14:textId="6114149A" w:rsidR="00C459DE" w:rsidRDefault="00C459DE" w:rsidP="00C459DE">
      <w:pPr>
        <w:rPr>
          <w:rFonts w:eastAsia="Times New Roman" w:cs="Arial"/>
          <w:color w:val="000000"/>
          <w:szCs w:val="20"/>
          <w:lang w:eastAsia="bg-BG"/>
        </w:rPr>
      </w:pPr>
      <w:r w:rsidRPr="00C459DE">
        <w:rPr>
          <w:rFonts w:eastAsia="Times New Roman" w:cs="Arial"/>
          <w:color w:val="000000"/>
          <w:szCs w:val="20"/>
          <w:lang w:eastAsia="bg-BG"/>
        </w:rPr>
        <w:t>Едновременното приложение на пробенецид не намалява елиминирането на цефтриаксон.</w:t>
      </w:r>
    </w:p>
    <w:p w14:paraId="5A67427E" w14:textId="77777777" w:rsidR="00C459DE" w:rsidRPr="00C459DE" w:rsidRDefault="00C459DE" w:rsidP="00C459DE">
      <w:pPr>
        <w:rPr>
          <w:rFonts w:cs="Arial"/>
          <w:sz w:val="24"/>
        </w:rPr>
      </w:pPr>
    </w:p>
    <w:p w14:paraId="73662265" w14:textId="7DB59DA0" w:rsidR="00426E5F" w:rsidRDefault="002C50EE" w:rsidP="00A65A81">
      <w:pPr>
        <w:pStyle w:val="Heading2"/>
      </w:pPr>
      <w:r>
        <w:t>4.6. Фертилитет, бременност и кърмене</w:t>
      </w:r>
    </w:p>
    <w:p w14:paraId="3B6D098C" w14:textId="466EC0DA" w:rsidR="00C459DE" w:rsidRDefault="00C459DE" w:rsidP="00C459DE"/>
    <w:p w14:paraId="1292E29E" w14:textId="77777777" w:rsidR="00C459DE" w:rsidRPr="00C459DE" w:rsidRDefault="00C459DE" w:rsidP="00C459DE">
      <w:pPr>
        <w:pStyle w:val="Heading3"/>
        <w:rPr>
          <w:rFonts w:eastAsia="Times New Roman"/>
          <w:sz w:val="28"/>
          <w:u w:val="single"/>
        </w:rPr>
      </w:pPr>
      <w:r w:rsidRPr="00C459DE">
        <w:rPr>
          <w:rFonts w:eastAsia="Times New Roman"/>
          <w:u w:val="single"/>
          <w:lang w:eastAsia="bg-BG"/>
        </w:rPr>
        <w:lastRenderedPageBreak/>
        <w:t>Бременност</w:t>
      </w:r>
    </w:p>
    <w:p w14:paraId="280C7ED9" w14:textId="77777777" w:rsidR="00C459DE" w:rsidRPr="00C459DE" w:rsidRDefault="00C459DE" w:rsidP="00C459DE">
      <w:pPr>
        <w:spacing w:line="240" w:lineRule="auto"/>
        <w:rPr>
          <w:rFonts w:eastAsia="Times New Roman" w:cs="Arial"/>
          <w:sz w:val="28"/>
          <w:szCs w:val="24"/>
        </w:rPr>
      </w:pPr>
      <w:r w:rsidRPr="00C459DE">
        <w:rPr>
          <w:rFonts w:eastAsia="Times New Roman" w:cs="Arial"/>
          <w:color w:val="000000"/>
          <w:szCs w:val="20"/>
          <w:lang w:eastAsia="bg-BG"/>
        </w:rPr>
        <w:t>Цефтриаксон преминава плацентарната бариера. Данните за употребата на цефтриаксон при бременни жени са ограничени. При проучванията върху животни не се наблюдават преки или косвени увреждащи ефекти по отношение на ембрионалното/феталното, перинаталното и постнаталното развитие (вж. точка 5.3). Цефтриаксон трябва да се прилага по време на бременност и особено в първия триместър на бременността, само ако ползата превишава риска.</w:t>
      </w:r>
    </w:p>
    <w:p w14:paraId="7F012603" w14:textId="77777777" w:rsidR="00C459DE" w:rsidRPr="00C459DE" w:rsidRDefault="00C459DE" w:rsidP="00C459DE">
      <w:pPr>
        <w:spacing w:line="240" w:lineRule="auto"/>
        <w:rPr>
          <w:rFonts w:eastAsia="Times New Roman" w:cs="Arial"/>
          <w:color w:val="000000"/>
          <w:szCs w:val="20"/>
          <w:u w:val="single"/>
          <w:lang w:eastAsia="bg-BG"/>
        </w:rPr>
      </w:pPr>
    </w:p>
    <w:p w14:paraId="026B0E32" w14:textId="4BA473F4" w:rsidR="00C459DE" w:rsidRPr="00C459DE" w:rsidRDefault="00C459DE" w:rsidP="00C459DE">
      <w:pPr>
        <w:pStyle w:val="Heading3"/>
        <w:rPr>
          <w:rFonts w:eastAsia="Times New Roman"/>
          <w:sz w:val="28"/>
          <w:u w:val="single"/>
        </w:rPr>
      </w:pPr>
      <w:r w:rsidRPr="00C459DE">
        <w:rPr>
          <w:rFonts w:eastAsia="Times New Roman"/>
          <w:u w:val="single"/>
          <w:lang w:eastAsia="bg-BG"/>
        </w:rPr>
        <w:t>Кърмене</w:t>
      </w:r>
    </w:p>
    <w:p w14:paraId="600C52F4" w14:textId="77777777" w:rsidR="00C459DE" w:rsidRPr="00C459DE" w:rsidRDefault="00C459DE" w:rsidP="00C459DE">
      <w:pPr>
        <w:spacing w:line="240" w:lineRule="auto"/>
        <w:rPr>
          <w:rFonts w:eastAsia="Times New Roman" w:cs="Arial"/>
          <w:sz w:val="28"/>
          <w:szCs w:val="24"/>
        </w:rPr>
      </w:pPr>
      <w:r w:rsidRPr="00C459DE">
        <w:rPr>
          <w:rFonts w:eastAsia="Times New Roman" w:cs="Arial"/>
          <w:color w:val="000000"/>
          <w:szCs w:val="20"/>
          <w:lang w:eastAsia="bg-BG"/>
        </w:rPr>
        <w:t>Цефтриаксон се отделя в майчиното мляко в ниски концентрации, но при терапевтични дози цефтриаксон не се очакват ефекти върху кърмачетата. Въпреки това, не може да се изключи риска от диария и гъбична инфекция на лигавиците. Възможността за повишаване на чувствителността трябва да бъде взета под внимание. Трябва да се вземе решение дали да се прекрати кърменето или да се преустанови/въздържи от лечение с цефтриаксон, като се вземе предвид ползата от кърменето за детето и ползата от терапията за жената.</w:t>
      </w:r>
    </w:p>
    <w:p w14:paraId="48FDCCBE" w14:textId="77777777" w:rsidR="00C459DE" w:rsidRPr="00C459DE" w:rsidRDefault="00C459DE" w:rsidP="00C459DE">
      <w:pPr>
        <w:spacing w:line="240" w:lineRule="auto"/>
        <w:rPr>
          <w:rFonts w:eastAsia="Times New Roman" w:cs="Arial"/>
          <w:color w:val="000000"/>
          <w:szCs w:val="20"/>
          <w:u w:val="single"/>
          <w:lang w:eastAsia="bg-BG"/>
        </w:rPr>
      </w:pPr>
    </w:p>
    <w:p w14:paraId="53D73CB9" w14:textId="000488B9" w:rsidR="00C459DE" w:rsidRPr="00C459DE" w:rsidRDefault="00C459DE" w:rsidP="00C459DE">
      <w:pPr>
        <w:pStyle w:val="Heading3"/>
        <w:rPr>
          <w:rFonts w:eastAsia="Times New Roman"/>
          <w:sz w:val="28"/>
          <w:u w:val="single"/>
        </w:rPr>
      </w:pPr>
      <w:r w:rsidRPr="00C459DE">
        <w:rPr>
          <w:rFonts w:eastAsia="Times New Roman"/>
          <w:u w:val="single"/>
          <w:lang w:eastAsia="bg-BG"/>
        </w:rPr>
        <w:t>Фертилитет</w:t>
      </w:r>
    </w:p>
    <w:p w14:paraId="03416D23" w14:textId="77777777" w:rsidR="00C459DE" w:rsidRPr="00C459DE" w:rsidRDefault="00C459DE" w:rsidP="00C459DE">
      <w:pPr>
        <w:spacing w:line="240" w:lineRule="auto"/>
        <w:rPr>
          <w:rFonts w:ascii="Times New Roman" w:eastAsia="Times New Roman" w:hAnsi="Times New Roman" w:cs="Times New Roman"/>
          <w:sz w:val="24"/>
          <w:szCs w:val="24"/>
        </w:rPr>
      </w:pPr>
      <w:r w:rsidRPr="00C459DE">
        <w:rPr>
          <w:rFonts w:eastAsia="Times New Roman" w:cs="Arial"/>
          <w:color w:val="000000"/>
          <w:szCs w:val="20"/>
          <w:lang w:eastAsia="bg-BG"/>
        </w:rPr>
        <w:t>При репродуктивни проучвания няма данни за нежелани ефекти върху мъжкия или женския фертилитет.</w:t>
      </w:r>
    </w:p>
    <w:p w14:paraId="21E9464F" w14:textId="77777777" w:rsidR="00C459DE" w:rsidRPr="00C459DE" w:rsidRDefault="00C459DE" w:rsidP="00C459DE"/>
    <w:p w14:paraId="2B2E0E23" w14:textId="6C956B64" w:rsidR="00426E5F" w:rsidRDefault="002C50EE" w:rsidP="00A65A81">
      <w:pPr>
        <w:pStyle w:val="Heading2"/>
      </w:pPr>
      <w:r>
        <w:t>4.7. Ефекти върху способността за шофиране и работа с машини</w:t>
      </w:r>
    </w:p>
    <w:p w14:paraId="3B45CCFF" w14:textId="7FD61B3D" w:rsidR="00C459DE" w:rsidRDefault="00C459DE" w:rsidP="00C459DE"/>
    <w:p w14:paraId="53DFF3BC" w14:textId="6F7C6299" w:rsidR="00C459DE" w:rsidRDefault="00C459DE" w:rsidP="00C459DE">
      <w:r>
        <w:t>По време на лечението с цефтриаксон могат да възникнат нежелани лекарствени реакции (например замайване), които могат да окажат влияние върху способността за шофиране и работа с машини (вж. точка 4.8). Пациентите трябва да бъдат внимателни при шофиране или работа с машини.</w:t>
      </w:r>
    </w:p>
    <w:p w14:paraId="11DF8192" w14:textId="77777777" w:rsidR="00C459DE" w:rsidRPr="00C459DE" w:rsidRDefault="00C459DE" w:rsidP="00C459DE"/>
    <w:p w14:paraId="25EF1252" w14:textId="467A666D" w:rsidR="00426E5F" w:rsidRDefault="002C50EE" w:rsidP="00A65A81">
      <w:pPr>
        <w:pStyle w:val="Heading2"/>
      </w:pPr>
      <w:r>
        <w:t>4.8. Нежелани лекарствени реакции</w:t>
      </w:r>
    </w:p>
    <w:p w14:paraId="60B839C3" w14:textId="168CE9B3" w:rsidR="00C459DE" w:rsidRDefault="00C459DE" w:rsidP="00C459DE"/>
    <w:p w14:paraId="0A0F547E" w14:textId="77777777" w:rsidR="00C459DE" w:rsidRPr="00C459DE" w:rsidRDefault="00C459DE" w:rsidP="00C459DE">
      <w:pPr>
        <w:rPr>
          <w:sz w:val="24"/>
          <w:szCs w:val="24"/>
        </w:rPr>
      </w:pPr>
      <w:r w:rsidRPr="00C459DE">
        <w:rPr>
          <w:lang w:eastAsia="bg-BG"/>
        </w:rPr>
        <w:t>Най-често докладваните нежелани реакции за цефтриаксон са еозинофилия, левкопения, тромбоцитопения, диария, обрив и повишени стойности на чернодробните ензими.</w:t>
      </w:r>
    </w:p>
    <w:p w14:paraId="28264535" w14:textId="77777777" w:rsidR="00C459DE" w:rsidRDefault="00C459DE" w:rsidP="00C459DE">
      <w:pPr>
        <w:rPr>
          <w:lang w:eastAsia="bg-BG"/>
        </w:rPr>
      </w:pPr>
    </w:p>
    <w:p w14:paraId="09291D73" w14:textId="14E4CA01" w:rsidR="00C459DE" w:rsidRPr="00C459DE" w:rsidRDefault="00C459DE" w:rsidP="00C459DE">
      <w:pPr>
        <w:rPr>
          <w:sz w:val="24"/>
          <w:szCs w:val="24"/>
        </w:rPr>
      </w:pPr>
      <w:r w:rsidRPr="00C459DE">
        <w:rPr>
          <w:lang w:eastAsia="bg-BG"/>
        </w:rPr>
        <w:t>Данните за определяне на честотата на НЛР, свързани с цефтриаксон са получени от клинични изпитвания.</w:t>
      </w:r>
    </w:p>
    <w:p w14:paraId="095B76AF" w14:textId="77777777" w:rsidR="00C459DE" w:rsidRPr="00C459DE" w:rsidRDefault="00C459DE" w:rsidP="00C459DE">
      <w:pPr>
        <w:rPr>
          <w:sz w:val="24"/>
          <w:szCs w:val="24"/>
        </w:rPr>
      </w:pPr>
      <w:r w:rsidRPr="00C459DE">
        <w:rPr>
          <w:lang w:eastAsia="bg-BG"/>
        </w:rPr>
        <w:t>За класифициране на честотата е използвана следната конвенция:</w:t>
      </w:r>
    </w:p>
    <w:p w14:paraId="69ACFD8B" w14:textId="77777777" w:rsidR="00C459DE" w:rsidRPr="00C459DE" w:rsidRDefault="00C459DE" w:rsidP="00C459DE">
      <w:pPr>
        <w:rPr>
          <w:sz w:val="24"/>
          <w:szCs w:val="24"/>
        </w:rPr>
      </w:pPr>
      <w:r w:rsidRPr="00C459DE">
        <w:rPr>
          <w:lang w:eastAsia="bg-BG"/>
        </w:rPr>
        <w:t>Много чести (≥1/10)</w:t>
      </w:r>
    </w:p>
    <w:p w14:paraId="2C87A460" w14:textId="77777777" w:rsidR="00C459DE" w:rsidRPr="00C459DE" w:rsidRDefault="00C459DE" w:rsidP="00C459DE">
      <w:pPr>
        <w:rPr>
          <w:sz w:val="24"/>
          <w:szCs w:val="24"/>
        </w:rPr>
      </w:pPr>
      <w:r w:rsidRPr="00C459DE">
        <w:rPr>
          <w:lang w:eastAsia="bg-BG"/>
        </w:rPr>
        <w:t>Чести (≥1/100 до &lt;1/10)</w:t>
      </w:r>
    </w:p>
    <w:p w14:paraId="6AB9B969" w14:textId="77777777" w:rsidR="00C459DE" w:rsidRPr="00C459DE" w:rsidRDefault="00C459DE" w:rsidP="00C459DE">
      <w:pPr>
        <w:rPr>
          <w:sz w:val="24"/>
          <w:szCs w:val="24"/>
        </w:rPr>
      </w:pPr>
      <w:r w:rsidRPr="00C459DE">
        <w:rPr>
          <w:lang w:eastAsia="bg-BG"/>
        </w:rPr>
        <w:t>Нечести (≥1/1 000 до &lt;1/100)</w:t>
      </w:r>
    </w:p>
    <w:p w14:paraId="720AD65F" w14:textId="77777777" w:rsidR="00C459DE" w:rsidRPr="00C459DE" w:rsidRDefault="00C459DE" w:rsidP="00C459DE">
      <w:pPr>
        <w:rPr>
          <w:sz w:val="24"/>
          <w:szCs w:val="24"/>
        </w:rPr>
      </w:pPr>
      <w:r w:rsidRPr="00C459DE">
        <w:rPr>
          <w:lang w:eastAsia="bg-BG"/>
        </w:rPr>
        <w:t>Редки (≥1/10 000 до &lt;1/1 000)</w:t>
      </w:r>
    </w:p>
    <w:p w14:paraId="36EE352B" w14:textId="2FFCD844" w:rsidR="00C459DE" w:rsidRDefault="00C459DE" w:rsidP="00C459DE">
      <w:pPr>
        <w:rPr>
          <w:lang w:eastAsia="bg-BG"/>
        </w:rPr>
      </w:pPr>
      <w:r w:rsidRPr="00C459DE">
        <w:rPr>
          <w:lang w:eastAsia="bg-BG"/>
        </w:rPr>
        <w:t>С неизвестна честота (не може да бъде определена от наличните данни)</w:t>
      </w:r>
    </w:p>
    <w:p w14:paraId="12017116" w14:textId="5C5C1E4D" w:rsidR="00C459DE" w:rsidRDefault="00C459DE" w:rsidP="00C459DE">
      <w:pPr>
        <w:rPr>
          <w:lang w:eastAsia="bg-BG"/>
        </w:rPr>
      </w:pPr>
    </w:p>
    <w:tbl>
      <w:tblPr>
        <w:tblStyle w:val="TableGrid"/>
        <w:tblW w:w="0" w:type="auto"/>
        <w:tblLook w:val="04A0" w:firstRow="1" w:lastRow="0" w:firstColumn="1" w:lastColumn="0" w:noHBand="0" w:noVBand="1"/>
      </w:tblPr>
      <w:tblGrid>
        <w:gridCol w:w="1769"/>
        <w:gridCol w:w="1889"/>
        <w:gridCol w:w="1950"/>
        <w:gridCol w:w="1349"/>
        <w:gridCol w:w="2393"/>
      </w:tblGrid>
      <w:tr w:rsidR="00C459DE" w14:paraId="79F8B5BB" w14:textId="77777777" w:rsidTr="00C459DE">
        <w:tc>
          <w:tcPr>
            <w:tcW w:w="1811" w:type="dxa"/>
          </w:tcPr>
          <w:p w14:paraId="18819F5B" w14:textId="5D7A5500" w:rsidR="00C459DE" w:rsidRPr="00C459DE" w:rsidRDefault="00C459DE" w:rsidP="00C459DE">
            <w:r w:rsidRPr="00C459DE">
              <w:rPr>
                <w:b/>
                <w:bCs/>
                <w:szCs w:val="20"/>
              </w:rPr>
              <w:t>Системо-органни класове</w:t>
            </w:r>
          </w:p>
        </w:tc>
        <w:tc>
          <w:tcPr>
            <w:tcW w:w="1935" w:type="dxa"/>
          </w:tcPr>
          <w:p w14:paraId="3FCB2E84" w14:textId="391BBCB7" w:rsidR="00C459DE" w:rsidRPr="00C459DE" w:rsidRDefault="00C459DE" w:rsidP="00C459DE">
            <w:r w:rsidRPr="00C459DE">
              <w:rPr>
                <w:b/>
                <w:bCs/>
                <w:szCs w:val="20"/>
              </w:rPr>
              <w:t>Чести</w:t>
            </w:r>
          </w:p>
        </w:tc>
        <w:tc>
          <w:tcPr>
            <w:tcW w:w="1998" w:type="dxa"/>
          </w:tcPr>
          <w:p w14:paraId="70C44A3A" w14:textId="7823788B" w:rsidR="00C459DE" w:rsidRPr="00C459DE" w:rsidRDefault="00C459DE" w:rsidP="00C459DE">
            <w:r w:rsidRPr="00C459DE">
              <w:rPr>
                <w:b/>
                <w:bCs/>
                <w:szCs w:val="20"/>
              </w:rPr>
              <w:t>Нечести</w:t>
            </w:r>
          </w:p>
        </w:tc>
        <w:tc>
          <w:tcPr>
            <w:tcW w:w="1380" w:type="dxa"/>
          </w:tcPr>
          <w:p w14:paraId="35608FD4" w14:textId="03D451F4" w:rsidR="00C459DE" w:rsidRPr="00C459DE" w:rsidRDefault="00C459DE" w:rsidP="00C459DE">
            <w:r w:rsidRPr="00C459DE">
              <w:rPr>
                <w:b/>
                <w:bCs/>
                <w:szCs w:val="20"/>
              </w:rPr>
              <w:t>Редки</w:t>
            </w:r>
          </w:p>
        </w:tc>
        <w:tc>
          <w:tcPr>
            <w:tcW w:w="2452" w:type="dxa"/>
          </w:tcPr>
          <w:p w14:paraId="547A7C20" w14:textId="0358AF06" w:rsidR="00C459DE" w:rsidRPr="00C459DE" w:rsidRDefault="00C459DE" w:rsidP="00C459DE">
            <w:r w:rsidRPr="00C459DE">
              <w:rPr>
                <w:b/>
                <w:bCs/>
                <w:szCs w:val="20"/>
              </w:rPr>
              <w:t>С неизвестна честота*</w:t>
            </w:r>
          </w:p>
        </w:tc>
      </w:tr>
      <w:tr w:rsidR="00C459DE" w14:paraId="76EC80D1" w14:textId="77777777" w:rsidTr="00C459DE">
        <w:tc>
          <w:tcPr>
            <w:tcW w:w="1811" w:type="dxa"/>
          </w:tcPr>
          <w:p w14:paraId="5560CC88" w14:textId="7C3F2130" w:rsidR="00C459DE" w:rsidRPr="00C459DE" w:rsidRDefault="00C459DE" w:rsidP="00C459DE">
            <w:r w:rsidRPr="00C459DE">
              <w:rPr>
                <w:szCs w:val="20"/>
              </w:rPr>
              <w:t>Инфекции и инфестации</w:t>
            </w:r>
          </w:p>
        </w:tc>
        <w:tc>
          <w:tcPr>
            <w:tcW w:w="1935" w:type="dxa"/>
          </w:tcPr>
          <w:p w14:paraId="7D935226" w14:textId="77777777" w:rsidR="00C459DE" w:rsidRPr="00C459DE" w:rsidRDefault="00C459DE" w:rsidP="00C459DE"/>
        </w:tc>
        <w:tc>
          <w:tcPr>
            <w:tcW w:w="1998" w:type="dxa"/>
          </w:tcPr>
          <w:p w14:paraId="17C3665B" w14:textId="1CE92E7E" w:rsidR="00C459DE" w:rsidRPr="00C459DE" w:rsidRDefault="00C459DE" w:rsidP="00C459DE">
            <w:r w:rsidRPr="00C459DE">
              <w:rPr>
                <w:szCs w:val="20"/>
              </w:rPr>
              <w:t>Микози на гениталиите</w:t>
            </w:r>
          </w:p>
        </w:tc>
        <w:tc>
          <w:tcPr>
            <w:tcW w:w="1380" w:type="dxa"/>
          </w:tcPr>
          <w:p w14:paraId="3E3A6FED" w14:textId="38A95B96" w:rsidR="00C459DE" w:rsidRPr="00C459DE" w:rsidRDefault="00C459DE" w:rsidP="00C459DE">
            <w:r w:rsidRPr="00C459DE">
              <w:rPr>
                <w:szCs w:val="20"/>
              </w:rPr>
              <w:t xml:space="preserve">Псевдомем- </w:t>
            </w:r>
            <w:r w:rsidRPr="00C459DE">
              <w:rPr>
                <w:szCs w:val="20"/>
              </w:rPr>
              <w:lastRenderedPageBreak/>
              <w:t>бранозен колит</w:t>
            </w:r>
            <w:r w:rsidRPr="00C459DE">
              <w:rPr>
                <w:szCs w:val="20"/>
                <w:vertAlign w:val="superscript"/>
                <w:lang w:val="en-US"/>
              </w:rPr>
              <w:t>b</w:t>
            </w:r>
          </w:p>
        </w:tc>
        <w:tc>
          <w:tcPr>
            <w:tcW w:w="2452" w:type="dxa"/>
          </w:tcPr>
          <w:p w14:paraId="62E499C8" w14:textId="542B4BBA" w:rsidR="00C459DE" w:rsidRPr="00C459DE" w:rsidRDefault="00C459DE" w:rsidP="00C459DE">
            <w:r w:rsidRPr="00C459DE">
              <w:rPr>
                <w:szCs w:val="20"/>
              </w:rPr>
              <w:lastRenderedPageBreak/>
              <w:t>Суперинфекция</w:t>
            </w:r>
            <w:r w:rsidRPr="00C459DE">
              <w:rPr>
                <w:szCs w:val="20"/>
                <w:vertAlign w:val="superscript"/>
                <w:lang w:val="en-US"/>
              </w:rPr>
              <w:t>b</w:t>
            </w:r>
          </w:p>
        </w:tc>
      </w:tr>
      <w:tr w:rsidR="00C459DE" w14:paraId="5763E7B9" w14:textId="77777777" w:rsidTr="00C459DE">
        <w:tc>
          <w:tcPr>
            <w:tcW w:w="1811" w:type="dxa"/>
          </w:tcPr>
          <w:p w14:paraId="6A16D918" w14:textId="1C050E4A" w:rsidR="00C459DE" w:rsidRPr="00C459DE" w:rsidRDefault="00C459DE" w:rsidP="00C459DE">
            <w:r w:rsidRPr="00C459DE">
              <w:rPr>
                <w:szCs w:val="20"/>
              </w:rPr>
              <w:t>Нарушения на кръвта и лимфната система</w:t>
            </w:r>
          </w:p>
        </w:tc>
        <w:tc>
          <w:tcPr>
            <w:tcW w:w="1935" w:type="dxa"/>
          </w:tcPr>
          <w:p w14:paraId="099361A3" w14:textId="0902000F" w:rsidR="00C459DE" w:rsidRPr="00C459DE" w:rsidRDefault="00C459DE" w:rsidP="00C459DE">
            <w:r w:rsidRPr="00C459DE">
              <w:rPr>
                <w:szCs w:val="20"/>
              </w:rPr>
              <w:t>Еозинофилия Левкопения Тромбоцитопения</w:t>
            </w:r>
          </w:p>
        </w:tc>
        <w:tc>
          <w:tcPr>
            <w:tcW w:w="1998" w:type="dxa"/>
          </w:tcPr>
          <w:p w14:paraId="76155D9D" w14:textId="2CC8E464" w:rsidR="00C459DE" w:rsidRPr="00C459DE" w:rsidRDefault="00C459DE" w:rsidP="00C459DE">
            <w:r w:rsidRPr="00C459DE">
              <w:rPr>
                <w:szCs w:val="20"/>
              </w:rPr>
              <w:t>Гранулоцитопения Анемия Коагулопатия</w:t>
            </w:r>
          </w:p>
        </w:tc>
        <w:tc>
          <w:tcPr>
            <w:tcW w:w="1380" w:type="dxa"/>
          </w:tcPr>
          <w:p w14:paraId="2CB5411A" w14:textId="77777777" w:rsidR="00C459DE" w:rsidRPr="00C459DE" w:rsidRDefault="00C459DE" w:rsidP="00C459DE"/>
        </w:tc>
        <w:tc>
          <w:tcPr>
            <w:tcW w:w="2452" w:type="dxa"/>
          </w:tcPr>
          <w:p w14:paraId="408F6008" w14:textId="31EE98DC" w:rsidR="00C459DE" w:rsidRPr="00C459DE" w:rsidRDefault="00C459DE" w:rsidP="00C459DE">
            <w:r w:rsidRPr="00C459DE">
              <w:rPr>
                <w:szCs w:val="20"/>
              </w:rPr>
              <w:t>Хемолигична анемия</w:t>
            </w:r>
            <w:r w:rsidRPr="00C459DE">
              <w:rPr>
                <w:szCs w:val="20"/>
                <w:vertAlign w:val="superscript"/>
                <w:lang w:val="en-US"/>
              </w:rPr>
              <w:t>b</w:t>
            </w:r>
            <w:r w:rsidRPr="00C459DE">
              <w:rPr>
                <w:szCs w:val="20"/>
                <w:vertAlign w:val="superscript"/>
              </w:rPr>
              <w:t xml:space="preserve"> </w:t>
            </w:r>
            <w:r w:rsidRPr="00C459DE">
              <w:rPr>
                <w:szCs w:val="20"/>
              </w:rPr>
              <w:t>Агранулоцитоза</w:t>
            </w:r>
          </w:p>
        </w:tc>
      </w:tr>
      <w:tr w:rsidR="00C459DE" w14:paraId="61BD0C8C" w14:textId="77777777" w:rsidTr="00C459DE">
        <w:tc>
          <w:tcPr>
            <w:tcW w:w="1811" w:type="dxa"/>
          </w:tcPr>
          <w:p w14:paraId="2EBD95BA" w14:textId="296B032B" w:rsidR="00C459DE" w:rsidRPr="00C459DE" w:rsidRDefault="00C459DE" w:rsidP="00C459DE">
            <w:r w:rsidRPr="00C459DE">
              <w:rPr>
                <w:szCs w:val="20"/>
              </w:rPr>
              <w:t>Нарушения на имунната система</w:t>
            </w:r>
          </w:p>
        </w:tc>
        <w:tc>
          <w:tcPr>
            <w:tcW w:w="1935" w:type="dxa"/>
          </w:tcPr>
          <w:p w14:paraId="3A25BB2A" w14:textId="77777777" w:rsidR="00C459DE" w:rsidRPr="00C459DE" w:rsidRDefault="00C459DE" w:rsidP="00C459DE"/>
        </w:tc>
        <w:tc>
          <w:tcPr>
            <w:tcW w:w="1998" w:type="dxa"/>
          </w:tcPr>
          <w:p w14:paraId="548A15BF" w14:textId="77777777" w:rsidR="00C459DE" w:rsidRPr="00C459DE" w:rsidRDefault="00C459DE" w:rsidP="00C459DE"/>
        </w:tc>
        <w:tc>
          <w:tcPr>
            <w:tcW w:w="1380" w:type="dxa"/>
          </w:tcPr>
          <w:p w14:paraId="507111E8" w14:textId="77777777" w:rsidR="00C459DE" w:rsidRPr="00C459DE" w:rsidRDefault="00C459DE" w:rsidP="00C459DE"/>
        </w:tc>
        <w:tc>
          <w:tcPr>
            <w:tcW w:w="2452" w:type="dxa"/>
          </w:tcPr>
          <w:p w14:paraId="09655AE5" w14:textId="77777777" w:rsidR="00C459DE" w:rsidRPr="00C459DE" w:rsidRDefault="00C459DE" w:rsidP="00C459DE">
            <w:r w:rsidRPr="00C459DE">
              <w:rPr>
                <w:szCs w:val="20"/>
              </w:rPr>
              <w:t xml:space="preserve">Анафилактичен шок Анафилактична реакция Анафилактоидна реакция Свръхчувствителност** Реакция на </w:t>
            </w:r>
            <w:proofErr w:type="spellStart"/>
            <w:r w:rsidRPr="00C459DE">
              <w:rPr>
                <w:szCs w:val="20"/>
                <w:lang w:val="en-US"/>
              </w:rPr>
              <w:t>Jarisch</w:t>
            </w:r>
            <w:proofErr w:type="spellEnd"/>
            <w:r w:rsidRPr="00C459DE">
              <w:rPr>
                <w:szCs w:val="20"/>
                <w:lang w:val="ru-RU"/>
              </w:rPr>
              <w:t>-</w:t>
            </w:r>
          </w:p>
          <w:p w14:paraId="105CC79B" w14:textId="77777777" w:rsidR="00C459DE" w:rsidRPr="00C459DE" w:rsidRDefault="00C459DE" w:rsidP="00C459DE"/>
          <w:p w14:paraId="1CC8E31A" w14:textId="52623291" w:rsidR="00C459DE" w:rsidRPr="00C459DE" w:rsidRDefault="00C459DE" w:rsidP="00C459DE">
            <w:proofErr w:type="spellStart"/>
            <w:r w:rsidRPr="00C459DE">
              <w:rPr>
                <w:szCs w:val="20"/>
                <w:lang w:val="en-US"/>
              </w:rPr>
              <w:t>Herxheimer</w:t>
            </w:r>
            <w:r w:rsidRPr="00C459DE">
              <w:rPr>
                <w:szCs w:val="20"/>
                <w:vertAlign w:val="superscript"/>
                <w:lang w:val="en-US"/>
              </w:rPr>
              <w:t>b</w:t>
            </w:r>
            <w:proofErr w:type="spellEnd"/>
          </w:p>
        </w:tc>
      </w:tr>
      <w:tr w:rsidR="00C459DE" w14:paraId="072F8F58" w14:textId="77777777" w:rsidTr="00C459DE">
        <w:tc>
          <w:tcPr>
            <w:tcW w:w="1811" w:type="dxa"/>
          </w:tcPr>
          <w:p w14:paraId="2C97483A" w14:textId="1C3AB36E" w:rsidR="00C459DE" w:rsidRPr="00C459DE" w:rsidRDefault="00C459DE" w:rsidP="00C459DE">
            <w:r w:rsidRPr="00C459DE">
              <w:rPr>
                <w:szCs w:val="20"/>
              </w:rPr>
              <w:t>Нарушения на нервната система</w:t>
            </w:r>
          </w:p>
        </w:tc>
        <w:tc>
          <w:tcPr>
            <w:tcW w:w="1935" w:type="dxa"/>
          </w:tcPr>
          <w:p w14:paraId="42BAAC17" w14:textId="77777777" w:rsidR="00C459DE" w:rsidRPr="00C459DE" w:rsidRDefault="00C459DE" w:rsidP="00C459DE"/>
        </w:tc>
        <w:tc>
          <w:tcPr>
            <w:tcW w:w="1998" w:type="dxa"/>
          </w:tcPr>
          <w:p w14:paraId="130232C5" w14:textId="77777777" w:rsidR="00C459DE" w:rsidRPr="00C459DE" w:rsidRDefault="00C459DE" w:rsidP="00C459DE">
            <w:r w:rsidRPr="00C459DE">
              <w:rPr>
                <w:szCs w:val="20"/>
              </w:rPr>
              <w:t>Главоболие</w:t>
            </w:r>
          </w:p>
          <w:p w14:paraId="0E68D217" w14:textId="56625EB2" w:rsidR="00C459DE" w:rsidRPr="00C459DE" w:rsidRDefault="00C459DE" w:rsidP="00C459DE">
            <w:r w:rsidRPr="00C459DE">
              <w:rPr>
                <w:szCs w:val="20"/>
              </w:rPr>
              <w:t>Световъртеж</w:t>
            </w:r>
          </w:p>
        </w:tc>
        <w:tc>
          <w:tcPr>
            <w:tcW w:w="1380" w:type="dxa"/>
          </w:tcPr>
          <w:p w14:paraId="665066C3" w14:textId="16D7B62C" w:rsidR="00C459DE" w:rsidRPr="00C459DE" w:rsidRDefault="00C459DE" w:rsidP="00C459DE">
            <w:r w:rsidRPr="00C459DE">
              <w:rPr>
                <w:szCs w:val="20"/>
              </w:rPr>
              <w:t>Енцефало- патия</w:t>
            </w:r>
          </w:p>
        </w:tc>
        <w:tc>
          <w:tcPr>
            <w:tcW w:w="2452" w:type="dxa"/>
          </w:tcPr>
          <w:p w14:paraId="35833FB3" w14:textId="6C7471DA" w:rsidR="00C459DE" w:rsidRPr="00C459DE" w:rsidRDefault="00C459DE" w:rsidP="00C459DE">
            <w:r w:rsidRPr="00C459DE">
              <w:rPr>
                <w:szCs w:val="20"/>
              </w:rPr>
              <w:t>Гърч</w:t>
            </w:r>
          </w:p>
        </w:tc>
      </w:tr>
      <w:tr w:rsidR="00C459DE" w14:paraId="4D2133D8" w14:textId="77777777" w:rsidTr="00C459DE">
        <w:tc>
          <w:tcPr>
            <w:tcW w:w="1811" w:type="dxa"/>
          </w:tcPr>
          <w:p w14:paraId="469AEA3A" w14:textId="740F8CA6" w:rsidR="00C459DE" w:rsidRPr="00C459DE" w:rsidRDefault="00C459DE" w:rsidP="00C459DE">
            <w:r w:rsidRPr="00C459DE">
              <w:rPr>
                <w:szCs w:val="20"/>
              </w:rPr>
              <w:t>Нарушения на ухото и лабиринта</w:t>
            </w:r>
          </w:p>
        </w:tc>
        <w:tc>
          <w:tcPr>
            <w:tcW w:w="1935" w:type="dxa"/>
          </w:tcPr>
          <w:p w14:paraId="401882F2" w14:textId="77777777" w:rsidR="00C459DE" w:rsidRPr="00C459DE" w:rsidRDefault="00C459DE" w:rsidP="00C459DE"/>
        </w:tc>
        <w:tc>
          <w:tcPr>
            <w:tcW w:w="1998" w:type="dxa"/>
          </w:tcPr>
          <w:p w14:paraId="07644985" w14:textId="77777777" w:rsidR="00C459DE" w:rsidRPr="00C459DE" w:rsidRDefault="00C459DE" w:rsidP="00C459DE"/>
        </w:tc>
        <w:tc>
          <w:tcPr>
            <w:tcW w:w="1380" w:type="dxa"/>
          </w:tcPr>
          <w:p w14:paraId="2D65315C" w14:textId="77777777" w:rsidR="00C459DE" w:rsidRPr="00C459DE" w:rsidRDefault="00C459DE" w:rsidP="00C459DE"/>
        </w:tc>
        <w:tc>
          <w:tcPr>
            <w:tcW w:w="2452" w:type="dxa"/>
          </w:tcPr>
          <w:p w14:paraId="1E23592F" w14:textId="1393BE3C" w:rsidR="00C459DE" w:rsidRPr="00C459DE" w:rsidRDefault="00C459DE" w:rsidP="00C459DE">
            <w:r w:rsidRPr="00C459DE">
              <w:rPr>
                <w:szCs w:val="20"/>
              </w:rPr>
              <w:t>Вертиго</w:t>
            </w:r>
          </w:p>
        </w:tc>
      </w:tr>
      <w:tr w:rsidR="00C459DE" w14:paraId="5026C354" w14:textId="77777777" w:rsidTr="00C459DE">
        <w:tc>
          <w:tcPr>
            <w:tcW w:w="1811" w:type="dxa"/>
            <w:vAlign w:val="bottom"/>
          </w:tcPr>
          <w:p w14:paraId="0DCEC229" w14:textId="25F5B613" w:rsidR="00C459DE" w:rsidRPr="00C459DE" w:rsidRDefault="00C459DE" w:rsidP="00C459DE">
            <w:r w:rsidRPr="00C459DE">
              <w:rPr>
                <w:szCs w:val="20"/>
              </w:rPr>
              <w:t>Респираторни, гръдни и медиастинални нарушения</w:t>
            </w:r>
          </w:p>
        </w:tc>
        <w:tc>
          <w:tcPr>
            <w:tcW w:w="1935" w:type="dxa"/>
          </w:tcPr>
          <w:p w14:paraId="4FFB4675" w14:textId="77777777" w:rsidR="00C459DE" w:rsidRPr="00C459DE" w:rsidRDefault="00C459DE" w:rsidP="00C459DE"/>
        </w:tc>
        <w:tc>
          <w:tcPr>
            <w:tcW w:w="1998" w:type="dxa"/>
          </w:tcPr>
          <w:p w14:paraId="75CACCBE" w14:textId="77777777" w:rsidR="00C459DE" w:rsidRPr="00C459DE" w:rsidRDefault="00C459DE" w:rsidP="00C459DE"/>
        </w:tc>
        <w:tc>
          <w:tcPr>
            <w:tcW w:w="1380" w:type="dxa"/>
          </w:tcPr>
          <w:p w14:paraId="001D97DA" w14:textId="5E56CC2B" w:rsidR="00C459DE" w:rsidRPr="00C459DE" w:rsidRDefault="00C459DE" w:rsidP="00C459DE">
            <w:r w:rsidRPr="00C459DE">
              <w:rPr>
                <w:szCs w:val="20"/>
              </w:rPr>
              <w:t>Бронхо- спазъм</w:t>
            </w:r>
          </w:p>
        </w:tc>
        <w:tc>
          <w:tcPr>
            <w:tcW w:w="2452" w:type="dxa"/>
          </w:tcPr>
          <w:p w14:paraId="0A573F5F" w14:textId="77777777" w:rsidR="00C459DE" w:rsidRPr="00C459DE" w:rsidRDefault="00C459DE" w:rsidP="00C459DE"/>
        </w:tc>
      </w:tr>
      <w:tr w:rsidR="00C459DE" w14:paraId="49BA2752" w14:textId="77777777" w:rsidTr="00C459DE">
        <w:tc>
          <w:tcPr>
            <w:tcW w:w="1811" w:type="dxa"/>
          </w:tcPr>
          <w:p w14:paraId="7A204EFC" w14:textId="42E38296" w:rsidR="00C459DE" w:rsidRPr="00C459DE" w:rsidRDefault="00C459DE" w:rsidP="00C459DE">
            <w:r w:rsidRPr="00C459DE">
              <w:rPr>
                <w:szCs w:val="20"/>
              </w:rPr>
              <w:t>Стомашно-чревни нарушения</w:t>
            </w:r>
          </w:p>
        </w:tc>
        <w:tc>
          <w:tcPr>
            <w:tcW w:w="1935" w:type="dxa"/>
            <w:vAlign w:val="bottom"/>
          </w:tcPr>
          <w:p w14:paraId="44831687" w14:textId="2D157CB9" w:rsidR="00C459DE" w:rsidRPr="00C459DE" w:rsidRDefault="00C459DE" w:rsidP="00C459DE">
            <w:r w:rsidRPr="00C459DE">
              <w:rPr>
                <w:szCs w:val="20"/>
              </w:rPr>
              <w:t>Диария</w:t>
            </w:r>
            <w:r w:rsidRPr="00C459DE">
              <w:rPr>
                <w:szCs w:val="20"/>
                <w:vertAlign w:val="superscript"/>
                <w:lang w:val="en-US"/>
              </w:rPr>
              <w:t>b</w:t>
            </w:r>
            <w:r w:rsidRPr="00C459DE">
              <w:rPr>
                <w:szCs w:val="20"/>
              </w:rPr>
              <w:t xml:space="preserve"> Редки изпражнения</w:t>
            </w:r>
          </w:p>
        </w:tc>
        <w:tc>
          <w:tcPr>
            <w:tcW w:w="1998" w:type="dxa"/>
          </w:tcPr>
          <w:p w14:paraId="2C5EA2F2" w14:textId="77777777" w:rsidR="00C459DE" w:rsidRPr="00C459DE" w:rsidRDefault="00C459DE" w:rsidP="00C459DE">
            <w:r w:rsidRPr="00C459DE">
              <w:rPr>
                <w:szCs w:val="20"/>
              </w:rPr>
              <w:t>Гадене</w:t>
            </w:r>
          </w:p>
          <w:p w14:paraId="740411FB" w14:textId="459DDA4E" w:rsidR="00C459DE" w:rsidRPr="00C459DE" w:rsidRDefault="00C459DE" w:rsidP="00C459DE">
            <w:r w:rsidRPr="00C459DE">
              <w:rPr>
                <w:szCs w:val="20"/>
              </w:rPr>
              <w:t>Повръщане</w:t>
            </w:r>
          </w:p>
        </w:tc>
        <w:tc>
          <w:tcPr>
            <w:tcW w:w="1380" w:type="dxa"/>
          </w:tcPr>
          <w:p w14:paraId="5B32BB53" w14:textId="77777777" w:rsidR="00C459DE" w:rsidRPr="00C459DE" w:rsidRDefault="00C459DE" w:rsidP="00C459DE"/>
        </w:tc>
        <w:tc>
          <w:tcPr>
            <w:tcW w:w="2452" w:type="dxa"/>
            <w:vAlign w:val="bottom"/>
          </w:tcPr>
          <w:p w14:paraId="53CCCB9C" w14:textId="77777777" w:rsidR="00C459DE" w:rsidRPr="00C459DE" w:rsidRDefault="00C459DE" w:rsidP="00C459DE">
            <w:r w:rsidRPr="00C459DE">
              <w:rPr>
                <w:szCs w:val="20"/>
              </w:rPr>
              <w:t>Панкреатит</w:t>
            </w:r>
            <w:r w:rsidRPr="00C459DE">
              <w:rPr>
                <w:szCs w:val="20"/>
                <w:vertAlign w:val="superscript"/>
                <w:lang w:val="en-US"/>
              </w:rPr>
              <w:t>b</w:t>
            </w:r>
          </w:p>
          <w:p w14:paraId="444943C8" w14:textId="72AC0160" w:rsidR="00C459DE" w:rsidRPr="00C459DE" w:rsidRDefault="00C459DE" w:rsidP="00C459DE">
            <w:r w:rsidRPr="00C459DE">
              <w:rPr>
                <w:szCs w:val="20"/>
              </w:rPr>
              <w:t>Стоматит Глосит</w:t>
            </w:r>
          </w:p>
        </w:tc>
      </w:tr>
      <w:tr w:rsidR="00C459DE" w14:paraId="725F40E8" w14:textId="77777777" w:rsidTr="00C459DE">
        <w:tc>
          <w:tcPr>
            <w:tcW w:w="1811" w:type="dxa"/>
          </w:tcPr>
          <w:p w14:paraId="05836290" w14:textId="4BBDBAAF" w:rsidR="00C459DE" w:rsidRPr="00C459DE" w:rsidRDefault="00C459DE" w:rsidP="00C459DE">
            <w:r w:rsidRPr="00C459DE">
              <w:rPr>
                <w:szCs w:val="20"/>
              </w:rPr>
              <w:t>Хепатобилиарни нарушения</w:t>
            </w:r>
          </w:p>
        </w:tc>
        <w:tc>
          <w:tcPr>
            <w:tcW w:w="1935" w:type="dxa"/>
          </w:tcPr>
          <w:p w14:paraId="1C68E5C3" w14:textId="48AF9A53" w:rsidR="00C459DE" w:rsidRPr="00C459DE" w:rsidRDefault="00C459DE" w:rsidP="00C459DE">
            <w:r w:rsidRPr="00C459DE">
              <w:rPr>
                <w:szCs w:val="20"/>
              </w:rPr>
              <w:t>Повишени стойности на чернодробните ензими</w:t>
            </w:r>
          </w:p>
        </w:tc>
        <w:tc>
          <w:tcPr>
            <w:tcW w:w="1998" w:type="dxa"/>
          </w:tcPr>
          <w:p w14:paraId="7F432D32" w14:textId="77777777" w:rsidR="00C459DE" w:rsidRPr="00C459DE" w:rsidRDefault="00C459DE" w:rsidP="00C459DE"/>
        </w:tc>
        <w:tc>
          <w:tcPr>
            <w:tcW w:w="1380" w:type="dxa"/>
          </w:tcPr>
          <w:p w14:paraId="4F29E2AE" w14:textId="77777777" w:rsidR="00C459DE" w:rsidRPr="00C459DE" w:rsidRDefault="00C459DE" w:rsidP="00C459DE"/>
        </w:tc>
        <w:tc>
          <w:tcPr>
            <w:tcW w:w="2452" w:type="dxa"/>
          </w:tcPr>
          <w:p w14:paraId="13C03853" w14:textId="77777777" w:rsidR="00C459DE" w:rsidRPr="00C459DE" w:rsidRDefault="00C459DE" w:rsidP="00C459DE">
            <w:r w:rsidRPr="00C459DE">
              <w:rPr>
                <w:szCs w:val="20"/>
              </w:rPr>
              <w:t>Отлагания в жлъчния мехур</w:t>
            </w:r>
            <w:r w:rsidRPr="00C459DE">
              <w:rPr>
                <w:szCs w:val="20"/>
                <w:vertAlign w:val="superscript"/>
                <w:lang w:val="en-US"/>
              </w:rPr>
              <w:t>b</w:t>
            </w:r>
          </w:p>
          <w:p w14:paraId="503D7748" w14:textId="77777777" w:rsidR="00C459DE" w:rsidRPr="00C459DE" w:rsidRDefault="00C459DE" w:rsidP="00C459DE">
            <w:r w:rsidRPr="00C459DE">
              <w:rPr>
                <w:szCs w:val="20"/>
              </w:rPr>
              <w:t>Керниктер</w:t>
            </w:r>
          </w:p>
          <w:p w14:paraId="6115E8A9" w14:textId="77777777" w:rsidR="00C459DE" w:rsidRPr="00C459DE" w:rsidRDefault="00C459DE" w:rsidP="00C459DE">
            <w:r w:rsidRPr="00C459DE">
              <w:rPr>
                <w:szCs w:val="20"/>
              </w:rPr>
              <w:t>Хепатит</w:t>
            </w:r>
            <w:r w:rsidRPr="00C459DE">
              <w:rPr>
                <w:szCs w:val="20"/>
                <w:vertAlign w:val="superscript"/>
                <w:lang w:val="en-US"/>
              </w:rPr>
              <w:t>c</w:t>
            </w:r>
          </w:p>
          <w:p w14:paraId="14EA0F72" w14:textId="208B7DA1" w:rsidR="00C459DE" w:rsidRPr="00C459DE" w:rsidRDefault="00C459DE" w:rsidP="00C459DE">
            <w:r w:rsidRPr="00C459DE">
              <w:rPr>
                <w:szCs w:val="20"/>
              </w:rPr>
              <w:t>Х</w:t>
            </w:r>
            <w:r w:rsidRPr="00C459DE">
              <w:rPr>
                <w:szCs w:val="20"/>
                <w:lang w:val="en-US"/>
              </w:rPr>
              <w:t>o</w:t>
            </w:r>
            <w:r w:rsidRPr="00C459DE">
              <w:rPr>
                <w:szCs w:val="20"/>
              </w:rPr>
              <w:t>лестатичен хепатит</w:t>
            </w:r>
            <w:proofErr w:type="spellStart"/>
            <w:r w:rsidRPr="00C459DE">
              <w:rPr>
                <w:szCs w:val="20"/>
                <w:vertAlign w:val="superscript"/>
                <w:lang w:val="en-US"/>
              </w:rPr>
              <w:t>b,c</w:t>
            </w:r>
            <w:proofErr w:type="spellEnd"/>
          </w:p>
        </w:tc>
      </w:tr>
      <w:tr w:rsidR="00C459DE" w14:paraId="424C433B" w14:textId="77777777" w:rsidTr="00C459DE">
        <w:tc>
          <w:tcPr>
            <w:tcW w:w="1811" w:type="dxa"/>
          </w:tcPr>
          <w:p w14:paraId="4B4A02D6" w14:textId="225F41FD" w:rsidR="00C459DE" w:rsidRPr="00C459DE" w:rsidRDefault="00C459DE" w:rsidP="00C459DE">
            <w:r w:rsidRPr="00C459DE">
              <w:rPr>
                <w:szCs w:val="20"/>
              </w:rPr>
              <w:t>Нарушения на кожата и подкожната тъкан</w:t>
            </w:r>
          </w:p>
        </w:tc>
        <w:tc>
          <w:tcPr>
            <w:tcW w:w="1935" w:type="dxa"/>
          </w:tcPr>
          <w:p w14:paraId="715B9DA3" w14:textId="3B7338BD" w:rsidR="00C459DE" w:rsidRPr="00C459DE" w:rsidRDefault="00C459DE" w:rsidP="00C459DE">
            <w:r w:rsidRPr="00C459DE">
              <w:rPr>
                <w:szCs w:val="20"/>
              </w:rPr>
              <w:t>Обрив</w:t>
            </w:r>
          </w:p>
        </w:tc>
        <w:tc>
          <w:tcPr>
            <w:tcW w:w="1998" w:type="dxa"/>
          </w:tcPr>
          <w:p w14:paraId="62BB6482" w14:textId="4E547C7B" w:rsidR="00C459DE" w:rsidRPr="00C459DE" w:rsidRDefault="00C459DE" w:rsidP="00C459DE">
            <w:r w:rsidRPr="00C459DE">
              <w:rPr>
                <w:szCs w:val="20"/>
              </w:rPr>
              <w:t>Сърбеж</w:t>
            </w:r>
          </w:p>
        </w:tc>
        <w:tc>
          <w:tcPr>
            <w:tcW w:w="1380" w:type="dxa"/>
          </w:tcPr>
          <w:p w14:paraId="4A0BB774" w14:textId="1A386203" w:rsidR="00C459DE" w:rsidRPr="00C459DE" w:rsidRDefault="00C459DE" w:rsidP="00C459DE">
            <w:r w:rsidRPr="00C459DE">
              <w:rPr>
                <w:szCs w:val="20"/>
              </w:rPr>
              <w:t>Уртикария</w:t>
            </w:r>
          </w:p>
        </w:tc>
        <w:tc>
          <w:tcPr>
            <w:tcW w:w="2452" w:type="dxa"/>
          </w:tcPr>
          <w:p w14:paraId="3E89AA04" w14:textId="0014D314" w:rsidR="00C459DE" w:rsidRPr="00C459DE" w:rsidRDefault="00C459DE" w:rsidP="00C459DE">
            <w:r w:rsidRPr="00C459DE">
              <w:rPr>
                <w:szCs w:val="20"/>
              </w:rPr>
              <w:t>Синдром на Стивънс- Джонсън</w:t>
            </w:r>
            <w:r w:rsidRPr="00C459DE">
              <w:rPr>
                <w:szCs w:val="20"/>
                <w:vertAlign w:val="superscript"/>
                <w:lang w:val="en-US"/>
              </w:rPr>
              <w:t>b</w:t>
            </w:r>
            <w:r w:rsidRPr="00C459DE">
              <w:rPr>
                <w:szCs w:val="20"/>
              </w:rPr>
              <w:t xml:space="preserve"> Токсична епидермална некролиза</w:t>
            </w:r>
            <w:r w:rsidRPr="00C459DE">
              <w:rPr>
                <w:szCs w:val="20"/>
                <w:vertAlign w:val="superscript"/>
                <w:lang w:val="en-US"/>
              </w:rPr>
              <w:t>b</w:t>
            </w:r>
            <w:r w:rsidRPr="00C459DE">
              <w:rPr>
                <w:szCs w:val="20"/>
                <w:vertAlign w:val="superscript"/>
              </w:rPr>
              <w:t xml:space="preserve"> </w:t>
            </w:r>
            <w:r w:rsidRPr="00C459DE">
              <w:rPr>
                <w:szCs w:val="20"/>
              </w:rPr>
              <w:t xml:space="preserve">Еритема мултиформе Остра генерализирана екзантематозна пустулоза Лекарствена реакция с еозинофилия и </w:t>
            </w:r>
            <w:r w:rsidRPr="00C459DE">
              <w:rPr>
                <w:szCs w:val="20"/>
              </w:rPr>
              <w:lastRenderedPageBreak/>
              <w:t>системни симптоми (</w:t>
            </w:r>
            <w:r w:rsidRPr="00C459DE">
              <w:rPr>
                <w:szCs w:val="20"/>
                <w:lang w:val="en-US"/>
              </w:rPr>
              <w:t>DRESS</w:t>
            </w:r>
            <w:r w:rsidRPr="00C459DE">
              <w:rPr>
                <w:szCs w:val="20"/>
                <w:lang w:val="ru-RU"/>
              </w:rPr>
              <w:t>)</w:t>
            </w:r>
            <w:r w:rsidRPr="00C459DE">
              <w:rPr>
                <w:szCs w:val="20"/>
                <w:vertAlign w:val="superscript"/>
                <w:lang w:val="en-US"/>
              </w:rPr>
              <w:t>b</w:t>
            </w:r>
          </w:p>
        </w:tc>
      </w:tr>
      <w:tr w:rsidR="00C459DE" w14:paraId="27DD9481" w14:textId="77777777" w:rsidTr="00C459DE">
        <w:tc>
          <w:tcPr>
            <w:tcW w:w="1811" w:type="dxa"/>
          </w:tcPr>
          <w:p w14:paraId="02BBF7DE" w14:textId="2848A065" w:rsidR="00C459DE" w:rsidRPr="00C459DE" w:rsidRDefault="00C459DE" w:rsidP="00C459DE">
            <w:r w:rsidRPr="00C459DE">
              <w:rPr>
                <w:szCs w:val="20"/>
              </w:rPr>
              <w:lastRenderedPageBreak/>
              <w:t>Нарушения на бъбреците и пикочните пътища</w:t>
            </w:r>
          </w:p>
        </w:tc>
        <w:tc>
          <w:tcPr>
            <w:tcW w:w="1935" w:type="dxa"/>
          </w:tcPr>
          <w:p w14:paraId="0020B36E" w14:textId="77777777" w:rsidR="00C459DE" w:rsidRPr="00C459DE" w:rsidRDefault="00C459DE" w:rsidP="00C459DE"/>
        </w:tc>
        <w:tc>
          <w:tcPr>
            <w:tcW w:w="1998" w:type="dxa"/>
          </w:tcPr>
          <w:p w14:paraId="019023C9" w14:textId="77777777" w:rsidR="00C459DE" w:rsidRPr="00C459DE" w:rsidRDefault="00C459DE" w:rsidP="00C459DE"/>
        </w:tc>
        <w:tc>
          <w:tcPr>
            <w:tcW w:w="1380" w:type="dxa"/>
          </w:tcPr>
          <w:p w14:paraId="11B98F90" w14:textId="053E133E" w:rsidR="00C459DE" w:rsidRPr="00C459DE" w:rsidRDefault="00C459DE" w:rsidP="00C459DE">
            <w:r w:rsidRPr="00C459DE">
              <w:rPr>
                <w:szCs w:val="20"/>
              </w:rPr>
              <w:t>Хематурия Глюкозурия</w:t>
            </w:r>
          </w:p>
        </w:tc>
        <w:tc>
          <w:tcPr>
            <w:tcW w:w="2452" w:type="dxa"/>
          </w:tcPr>
          <w:p w14:paraId="3974EF1D" w14:textId="77777777" w:rsidR="00C459DE" w:rsidRPr="00C459DE" w:rsidRDefault="00C459DE" w:rsidP="00C459DE">
            <w:r w:rsidRPr="00C459DE">
              <w:rPr>
                <w:szCs w:val="20"/>
              </w:rPr>
              <w:t>Олигурия</w:t>
            </w:r>
          </w:p>
          <w:p w14:paraId="16C53DB9" w14:textId="56061136" w:rsidR="00C459DE" w:rsidRPr="00C459DE" w:rsidRDefault="00C459DE" w:rsidP="00C459DE">
            <w:r w:rsidRPr="00C459DE">
              <w:rPr>
                <w:szCs w:val="20"/>
              </w:rPr>
              <w:t>Бъбречни отлагания (обратими)</w:t>
            </w:r>
          </w:p>
        </w:tc>
      </w:tr>
      <w:tr w:rsidR="00C459DE" w14:paraId="011D1E44" w14:textId="77777777" w:rsidTr="00C459DE">
        <w:tc>
          <w:tcPr>
            <w:tcW w:w="1811" w:type="dxa"/>
          </w:tcPr>
          <w:p w14:paraId="7A96E648" w14:textId="41CF311D" w:rsidR="00C459DE" w:rsidRPr="00C459DE" w:rsidRDefault="00C459DE" w:rsidP="00C459DE">
            <w:r w:rsidRPr="00C459DE">
              <w:rPr>
                <w:szCs w:val="20"/>
              </w:rPr>
              <w:t>Общи нарушения и ефекти на мястото на приложение</w:t>
            </w:r>
          </w:p>
        </w:tc>
        <w:tc>
          <w:tcPr>
            <w:tcW w:w="1935" w:type="dxa"/>
          </w:tcPr>
          <w:p w14:paraId="0A0D427C" w14:textId="77777777" w:rsidR="00C459DE" w:rsidRPr="00C459DE" w:rsidRDefault="00C459DE" w:rsidP="00C459DE"/>
        </w:tc>
        <w:tc>
          <w:tcPr>
            <w:tcW w:w="1998" w:type="dxa"/>
          </w:tcPr>
          <w:p w14:paraId="449BFFF9" w14:textId="77777777" w:rsidR="00C459DE" w:rsidRPr="00C459DE" w:rsidRDefault="00C459DE" w:rsidP="00C459DE">
            <w:r w:rsidRPr="00C459DE">
              <w:rPr>
                <w:szCs w:val="20"/>
              </w:rPr>
              <w:t>Флебит</w:t>
            </w:r>
          </w:p>
          <w:p w14:paraId="39BC38EF" w14:textId="2FB7D683" w:rsidR="00C459DE" w:rsidRPr="00C459DE" w:rsidRDefault="00C459DE" w:rsidP="00C459DE">
            <w:r w:rsidRPr="00C459DE">
              <w:rPr>
                <w:szCs w:val="20"/>
              </w:rPr>
              <w:t>Болка в мястото на инжектиране Пирексия</w:t>
            </w:r>
          </w:p>
        </w:tc>
        <w:tc>
          <w:tcPr>
            <w:tcW w:w="1380" w:type="dxa"/>
          </w:tcPr>
          <w:p w14:paraId="3AAD3E60" w14:textId="77777777" w:rsidR="00C459DE" w:rsidRPr="00C459DE" w:rsidRDefault="00C459DE" w:rsidP="00C459DE">
            <w:r w:rsidRPr="00C459DE">
              <w:rPr>
                <w:szCs w:val="20"/>
              </w:rPr>
              <w:t>Оток</w:t>
            </w:r>
          </w:p>
          <w:p w14:paraId="04E0F0E9" w14:textId="233EBA19" w:rsidR="00C459DE" w:rsidRPr="00C459DE" w:rsidRDefault="00C459DE" w:rsidP="00C459DE">
            <w:r w:rsidRPr="00C459DE">
              <w:rPr>
                <w:szCs w:val="20"/>
              </w:rPr>
              <w:t>Втрисане</w:t>
            </w:r>
          </w:p>
        </w:tc>
        <w:tc>
          <w:tcPr>
            <w:tcW w:w="2452" w:type="dxa"/>
          </w:tcPr>
          <w:p w14:paraId="4486C414" w14:textId="77777777" w:rsidR="00C459DE" w:rsidRPr="00C459DE" w:rsidRDefault="00C459DE" w:rsidP="00C459DE"/>
        </w:tc>
      </w:tr>
      <w:tr w:rsidR="00C459DE" w14:paraId="47821247" w14:textId="77777777" w:rsidTr="00C459DE">
        <w:tc>
          <w:tcPr>
            <w:tcW w:w="1811" w:type="dxa"/>
          </w:tcPr>
          <w:p w14:paraId="551ED8DD" w14:textId="38762707" w:rsidR="00C459DE" w:rsidRPr="00C459DE" w:rsidRDefault="00C459DE" w:rsidP="00C459DE">
            <w:r w:rsidRPr="00C459DE">
              <w:rPr>
                <w:szCs w:val="20"/>
              </w:rPr>
              <w:t>Изследвания</w:t>
            </w:r>
          </w:p>
        </w:tc>
        <w:tc>
          <w:tcPr>
            <w:tcW w:w="1935" w:type="dxa"/>
          </w:tcPr>
          <w:p w14:paraId="1B727F0A" w14:textId="77777777" w:rsidR="00C459DE" w:rsidRPr="00C459DE" w:rsidRDefault="00C459DE" w:rsidP="00C459DE"/>
        </w:tc>
        <w:tc>
          <w:tcPr>
            <w:tcW w:w="1998" w:type="dxa"/>
          </w:tcPr>
          <w:p w14:paraId="12805F07" w14:textId="27C3F822" w:rsidR="00C459DE" w:rsidRPr="00C459DE" w:rsidRDefault="00C459DE" w:rsidP="00C459DE">
            <w:r w:rsidRPr="00C459DE">
              <w:rPr>
                <w:szCs w:val="20"/>
              </w:rPr>
              <w:t>Повишени стойност на креатинин в кръвта</w:t>
            </w:r>
          </w:p>
        </w:tc>
        <w:tc>
          <w:tcPr>
            <w:tcW w:w="1380" w:type="dxa"/>
          </w:tcPr>
          <w:p w14:paraId="61CA5274" w14:textId="77777777" w:rsidR="00C459DE" w:rsidRPr="00C459DE" w:rsidRDefault="00C459DE" w:rsidP="00C459DE"/>
        </w:tc>
        <w:tc>
          <w:tcPr>
            <w:tcW w:w="2452" w:type="dxa"/>
          </w:tcPr>
          <w:p w14:paraId="2412F9DC" w14:textId="77777777" w:rsidR="00C459DE" w:rsidRPr="00C459DE" w:rsidRDefault="00C459DE" w:rsidP="00C459DE">
            <w:r w:rsidRPr="00C459DE">
              <w:rPr>
                <w:szCs w:val="20"/>
              </w:rPr>
              <w:t>Фалшиво позитивен тест на Кумбс</w:t>
            </w:r>
            <w:r w:rsidRPr="00C459DE">
              <w:rPr>
                <w:szCs w:val="20"/>
                <w:vertAlign w:val="superscript"/>
              </w:rPr>
              <w:t>ь</w:t>
            </w:r>
          </w:p>
          <w:p w14:paraId="070827AB" w14:textId="77777777" w:rsidR="00C459DE" w:rsidRPr="00C459DE" w:rsidRDefault="00C459DE" w:rsidP="00C459DE">
            <w:r w:rsidRPr="00C459DE">
              <w:rPr>
                <w:szCs w:val="20"/>
              </w:rPr>
              <w:t>Фалшиво позитивен тест за ь галактоземия</w:t>
            </w:r>
          </w:p>
          <w:p w14:paraId="5EE68E2E" w14:textId="77777777" w:rsidR="00C459DE" w:rsidRPr="00C459DE" w:rsidRDefault="00C459DE" w:rsidP="00C459DE">
            <w:r w:rsidRPr="00C459DE">
              <w:rPr>
                <w:szCs w:val="20"/>
              </w:rPr>
              <w:t>Фалшиво позитивни</w:t>
            </w:r>
          </w:p>
          <w:p w14:paraId="4DE96A5B" w14:textId="77777777" w:rsidR="00C459DE" w:rsidRPr="00C459DE" w:rsidRDefault="00C459DE" w:rsidP="00C459DE">
            <w:r w:rsidRPr="00C459DE">
              <w:rPr>
                <w:szCs w:val="20"/>
              </w:rPr>
              <w:t>неензимни методи за</w:t>
            </w:r>
          </w:p>
          <w:p w14:paraId="29CA0DD9" w14:textId="0EA1F144" w:rsidR="00C459DE" w:rsidRPr="00C459DE" w:rsidRDefault="00C459DE" w:rsidP="00C459DE">
            <w:r w:rsidRPr="00C459DE">
              <w:rPr>
                <w:szCs w:val="20"/>
              </w:rPr>
              <w:t>ь определяне на глюкоза</w:t>
            </w:r>
          </w:p>
        </w:tc>
      </w:tr>
    </w:tbl>
    <w:p w14:paraId="599ACFBD" w14:textId="77777777" w:rsidR="00C459DE" w:rsidRPr="00C459DE" w:rsidRDefault="00C459DE" w:rsidP="00C459DE">
      <w:pPr>
        <w:spacing w:line="240" w:lineRule="auto"/>
        <w:rPr>
          <w:rFonts w:eastAsia="Times New Roman" w:cs="Arial"/>
        </w:rPr>
      </w:pPr>
      <w:r w:rsidRPr="00C459DE">
        <w:rPr>
          <w:rFonts w:eastAsia="Times New Roman" w:cs="Arial"/>
          <w:color w:val="000000"/>
          <w:vertAlign w:val="superscript"/>
          <w:lang w:eastAsia="bg-BG"/>
        </w:rPr>
        <w:t>а</w:t>
      </w:r>
      <w:r w:rsidRPr="00C459DE">
        <w:rPr>
          <w:rFonts w:eastAsia="Times New Roman" w:cs="Arial"/>
          <w:color w:val="000000"/>
          <w:lang w:eastAsia="bg-BG"/>
        </w:rPr>
        <w:t>въз основа на пост-маркетингови съобщения. Тъй като тези реакции са съобщавани доброволно от популация с неопределени размери, не е възможно да се направи надеждна оценка на тяхната честота, която поради това е категоризирана като неизвестна.</w:t>
      </w:r>
    </w:p>
    <w:p w14:paraId="2320742E" w14:textId="77777777" w:rsidR="00C459DE" w:rsidRPr="00C459DE" w:rsidRDefault="00C459DE" w:rsidP="00C459DE">
      <w:pPr>
        <w:spacing w:line="240" w:lineRule="auto"/>
        <w:rPr>
          <w:rFonts w:eastAsia="Times New Roman" w:cs="Arial"/>
        </w:rPr>
      </w:pPr>
      <w:proofErr w:type="gramStart"/>
      <w:r w:rsidRPr="00C459DE">
        <w:rPr>
          <w:rFonts w:eastAsia="Times New Roman" w:cs="Arial"/>
          <w:color w:val="000000"/>
          <w:vertAlign w:val="superscript"/>
          <w:lang w:val="en-US"/>
        </w:rPr>
        <w:t>b</w:t>
      </w:r>
      <w:r w:rsidRPr="00C459DE">
        <w:rPr>
          <w:rFonts w:eastAsia="Times New Roman" w:cs="Arial"/>
          <w:color w:val="000000"/>
          <w:lang w:eastAsia="bg-BG"/>
        </w:rPr>
        <w:t>Виж</w:t>
      </w:r>
      <w:proofErr w:type="gramEnd"/>
      <w:r w:rsidRPr="00C459DE">
        <w:rPr>
          <w:rFonts w:eastAsia="Times New Roman" w:cs="Arial"/>
          <w:color w:val="000000"/>
          <w:lang w:eastAsia="bg-BG"/>
        </w:rPr>
        <w:t xml:space="preserve"> точка 4.4</w:t>
      </w:r>
    </w:p>
    <w:p w14:paraId="2F15DF7B" w14:textId="77777777" w:rsidR="00C459DE" w:rsidRPr="00C459DE" w:rsidRDefault="00C459DE" w:rsidP="00C459DE">
      <w:pPr>
        <w:spacing w:line="240" w:lineRule="auto"/>
        <w:rPr>
          <w:rFonts w:eastAsia="Times New Roman" w:cs="Arial"/>
        </w:rPr>
      </w:pPr>
      <w:r w:rsidRPr="00C459DE">
        <w:rPr>
          <w:rFonts w:eastAsia="Times New Roman" w:cs="Arial"/>
          <w:color w:val="000000"/>
          <w:vertAlign w:val="superscript"/>
          <w:lang w:eastAsia="bg-BG"/>
        </w:rPr>
        <w:t>с</w:t>
      </w:r>
      <w:r w:rsidRPr="00C459DE">
        <w:rPr>
          <w:rFonts w:eastAsia="Times New Roman" w:cs="Arial"/>
          <w:color w:val="000000"/>
          <w:lang w:eastAsia="bg-BG"/>
        </w:rPr>
        <w:t>Обикновено обратим при прекратяване на цефтриаксон</w:t>
      </w:r>
    </w:p>
    <w:p w14:paraId="71196963" w14:textId="77777777" w:rsidR="00C459DE" w:rsidRPr="00C459DE" w:rsidRDefault="00C459DE" w:rsidP="00C459DE">
      <w:pPr>
        <w:spacing w:line="240" w:lineRule="auto"/>
        <w:rPr>
          <w:rFonts w:eastAsia="Times New Roman" w:cs="Arial"/>
          <w:color w:val="000000"/>
          <w:u w:val="single"/>
          <w:lang w:eastAsia="bg-BG"/>
        </w:rPr>
      </w:pPr>
    </w:p>
    <w:p w14:paraId="752B3232" w14:textId="4DA29420" w:rsidR="00C459DE" w:rsidRPr="00C459DE" w:rsidRDefault="00C459DE" w:rsidP="00C459DE">
      <w:pPr>
        <w:spacing w:line="240" w:lineRule="auto"/>
        <w:rPr>
          <w:rFonts w:eastAsia="Times New Roman" w:cs="Arial"/>
        </w:rPr>
      </w:pPr>
      <w:r w:rsidRPr="00C459DE">
        <w:rPr>
          <w:rFonts w:eastAsia="Times New Roman" w:cs="Arial"/>
          <w:color w:val="000000"/>
          <w:u w:val="single"/>
          <w:lang w:eastAsia="bg-BG"/>
        </w:rPr>
        <w:t>Инфекции и инфестапии</w:t>
      </w:r>
    </w:p>
    <w:p w14:paraId="15319111" w14:textId="77777777" w:rsidR="00C459DE" w:rsidRPr="00C459DE" w:rsidRDefault="00C459DE" w:rsidP="00C459DE">
      <w:pPr>
        <w:spacing w:line="240" w:lineRule="auto"/>
        <w:rPr>
          <w:rFonts w:eastAsia="Times New Roman" w:cs="Arial"/>
        </w:rPr>
      </w:pPr>
      <w:r w:rsidRPr="00C459DE">
        <w:rPr>
          <w:rFonts w:eastAsia="Times New Roman" w:cs="Arial"/>
          <w:color w:val="000000"/>
          <w:lang w:eastAsia="bg-BG"/>
        </w:rPr>
        <w:t xml:space="preserve">Съобщенията за диария след употреба на цефтриаксон могат да бъдат свързани с </w:t>
      </w:r>
      <w:r w:rsidRPr="00C459DE">
        <w:rPr>
          <w:rFonts w:eastAsia="Times New Roman" w:cs="Arial"/>
          <w:i/>
          <w:iCs/>
          <w:color w:val="000000"/>
          <w:lang w:val="en-US"/>
        </w:rPr>
        <w:t>Clostridium</w:t>
      </w:r>
      <w:r w:rsidRPr="00C459DE">
        <w:rPr>
          <w:rFonts w:eastAsia="Times New Roman" w:cs="Arial"/>
          <w:i/>
          <w:iCs/>
          <w:color w:val="000000"/>
          <w:lang w:val="ru-RU"/>
        </w:rPr>
        <w:t xml:space="preserve"> </w:t>
      </w:r>
      <w:r w:rsidRPr="00C459DE">
        <w:rPr>
          <w:rFonts w:eastAsia="Times New Roman" w:cs="Arial"/>
          <w:i/>
          <w:iCs/>
          <w:color w:val="000000"/>
          <w:lang w:val="en-US"/>
        </w:rPr>
        <w:t>difficile</w:t>
      </w:r>
      <w:r w:rsidRPr="00C459DE">
        <w:rPr>
          <w:rFonts w:eastAsia="Times New Roman" w:cs="Arial"/>
          <w:i/>
          <w:iCs/>
          <w:color w:val="000000"/>
          <w:lang w:val="ru-RU"/>
        </w:rPr>
        <w:t>.</w:t>
      </w:r>
      <w:r w:rsidRPr="00C459DE">
        <w:rPr>
          <w:rFonts w:eastAsia="Times New Roman" w:cs="Arial"/>
          <w:color w:val="000000"/>
          <w:lang w:val="ru-RU"/>
        </w:rPr>
        <w:t xml:space="preserve"> </w:t>
      </w:r>
      <w:r w:rsidRPr="00C459DE">
        <w:rPr>
          <w:rFonts w:eastAsia="Times New Roman" w:cs="Arial"/>
          <w:color w:val="000000"/>
          <w:lang w:eastAsia="bg-BG"/>
        </w:rPr>
        <w:t>Трябва да започне вливане на подходящи течности и електролити (вж. точка 4.4).</w:t>
      </w:r>
    </w:p>
    <w:p w14:paraId="7A27CC7D" w14:textId="77777777" w:rsidR="00C459DE" w:rsidRPr="00C459DE" w:rsidRDefault="00C459DE" w:rsidP="00C459DE">
      <w:pPr>
        <w:spacing w:line="240" w:lineRule="auto"/>
        <w:rPr>
          <w:rFonts w:eastAsia="Times New Roman" w:cs="Arial"/>
          <w:color w:val="000000"/>
          <w:u w:val="single"/>
          <w:lang w:eastAsia="bg-BG"/>
        </w:rPr>
      </w:pPr>
    </w:p>
    <w:p w14:paraId="2996F80B" w14:textId="76ECEC07" w:rsidR="00C459DE" w:rsidRPr="00C459DE" w:rsidRDefault="00C459DE" w:rsidP="00C459DE">
      <w:pPr>
        <w:spacing w:line="240" w:lineRule="auto"/>
        <w:rPr>
          <w:rFonts w:eastAsia="Times New Roman" w:cs="Arial"/>
        </w:rPr>
      </w:pPr>
      <w:r w:rsidRPr="00C459DE">
        <w:rPr>
          <w:rFonts w:eastAsia="Times New Roman" w:cs="Arial"/>
          <w:color w:val="000000"/>
          <w:u w:val="single"/>
          <w:lang w:eastAsia="bg-BG"/>
        </w:rPr>
        <w:t>Преципитати от цефтриаксон-калциеви соли</w:t>
      </w:r>
    </w:p>
    <w:p w14:paraId="1FB680AF" w14:textId="77777777" w:rsidR="00C459DE" w:rsidRPr="00C459DE" w:rsidRDefault="00C459DE" w:rsidP="00C459DE">
      <w:pPr>
        <w:spacing w:line="240" w:lineRule="auto"/>
        <w:rPr>
          <w:rFonts w:eastAsia="Times New Roman" w:cs="Arial"/>
        </w:rPr>
      </w:pPr>
      <w:r w:rsidRPr="00C459DE">
        <w:rPr>
          <w:rFonts w:eastAsia="Times New Roman" w:cs="Arial"/>
          <w:color w:val="000000"/>
          <w:lang w:eastAsia="bg-BG"/>
        </w:rPr>
        <w:t>В редки случаи тежки и понякога фатални нежелани лекарствени реакции са докладвани при преждевременно родени и доносени новородени (на възраст &lt;28 дни), които са лекувани с интравенозен цефтриаксон и калций. Преципитати от цефтриаксон-калциеви соли са наблюдавани пост-мортем в белите дробове и бъбреците. Високият риск от преципитати при новородени е вследствие на ниския обем на кръвта и по-удълженото време на полуживот на цефтриаксон в сравнение с възрастни (вж. точки 4.3,4.4 и 5.2).</w:t>
      </w:r>
    </w:p>
    <w:p w14:paraId="78F0D62C" w14:textId="77777777" w:rsidR="00C459DE" w:rsidRPr="00C459DE" w:rsidRDefault="00C459DE" w:rsidP="00C459DE">
      <w:pPr>
        <w:spacing w:line="240" w:lineRule="auto"/>
        <w:rPr>
          <w:rFonts w:eastAsia="Times New Roman" w:cs="Arial"/>
          <w:color w:val="000000"/>
          <w:lang w:eastAsia="bg-BG"/>
        </w:rPr>
      </w:pPr>
    </w:p>
    <w:p w14:paraId="37738660" w14:textId="4A67533B" w:rsidR="00C459DE" w:rsidRPr="00C459DE" w:rsidRDefault="00C459DE" w:rsidP="00C459DE">
      <w:pPr>
        <w:spacing w:line="240" w:lineRule="auto"/>
        <w:rPr>
          <w:rFonts w:eastAsia="Times New Roman" w:cs="Arial"/>
        </w:rPr>
      </w:pPr>
      <w:r w:rsidRPr="00C459DE">
        <w:rPr>
          <w:rFonts w:eastAsia="Times New Roman" w:cs="Arial"/>
          <w:color w:val="000000"/>
          <w:lang w:eastAsia="bg-BG"/>
        </w:rPr>
        <w:t xml:space="preserve">Съобщава се за преципитати, отложени в бъбреците, предимно при деца над 3 годишна възраст, които са лекувани или с високи дневни дози (например ≥ 80 </w:t>
      </w:r>
      <w:r w:rsidRPr="00C459DE">
        <w:rPr>
          <w:rFonts w:eastAsia="Times New Roman" w:cs="Arial"/>
          <w:color w:val="000000"/>
          <w:lang w:val="en-US"/>
        </w:rPr>
        <w:t>mg</w:t>
      </w:r>
      <w:r w:rsidRPr="00C459DE">
        <w:rPr>
          <w:rFonts w:eastAsia="Times New Roman" w:cs="Arial"/>
          <w:color w:val="000000"/>
          <w:lang w:val="ru-RU"/>
        </w:rPr>
        <w:t>/</w:t>
      </w:r>
      <w:r w:rsidRPr="00C459DE">
        <w:rPr>
          <w:rFonts w:eastAsia="Times New Roman" w:cs="Arial"/>
          <w:color w:val="000000"/>
          <w:lang w:val="en-US"/>
        </w:rPr>
        <w:t>kg</w:t>
      </w:r>
      <w:r w:rsidRPr="00C459DE">
        <w:rPr>
          <w:rFonts w:eastAsia="Times New Roman" w:cs="Arial"/>
          <w:color w:val="000000"/>
          <w:lang w:eastAsia="bg-BG"/>
        </w:rPr>
        <w:t xml:space="preserve">/ден) или общи дози надвишаващи 10 </w:t>
      </w:r>
      <w:r w:rsidRPr="00C459DE">
        <w:rPr>
          <w:rFonts w:eastAsia="Times New Roman" w:cs="Arial"/>
          <w:color w:val="000000"/>
          <w:lang w:val="en-US"/>
        </w:rPr>
        <w:t>g</w:t>
      </w:r>
      <w:r w:rsidRPr="00C459DE">
        <w:rPr>
          <w:rFonts w:eastAsia="Times New Roman" w:cs="Arial"/>
          <w:color w:val="000000"/>
          <w:lang w:val="ru-RU"/>
        </w:rPr>
        <w:t xml:space="preserve"> </w:t>
      </w:r>
      <w:r w:rsidRPr="00C459DE">
        <w:rPr>
          <w:rFonts w:eastAsia="Times New Roman" w:cs="Arial"/>
          <w:color w:val="000000"/>
          <w:lang w:eastAsia="bg-BG"/>
        </w:rPr>
        <w:t>и наличие на други рискови фактори (напр. ограничен прием на течности или залежаване). При имобилизирани или дехидратирани пациенти се увеличава рискът от образуване на преципитати. Това събитие може да е симптоматично или асимптомно, може да доведе до бъбречна недостатъчност и анурия, и е обратимо при прекратяване на лечението с цефтриаксон (вж. точка 4.4).</w:t>
      </w:r>
    </w:p>
    <w:p w14:paraId="298ABC52" w14:textId="77777777" w:rsidR="00C459DE" w:rsidRPr="00C459DE" w:rsidRDefault="00C459DE" w:rsidP="00C459DE">
      <w:pPr>
        <w:rPr>
          <w:rFonts w:eastAsia="Times New Roman" w:cs="Arial"/>
          <w:color w:val="000000"/>
          <w:lang w:eastAsia="bg-BG"/>
        </w:rPr>
      </w:pPr>
    </w:p>
    <w:p w14:paraId="55034A7C" w14:textId="4A554AB9" w:rsidR="00C459DE" w:rsidRPr="00C459DE" w:rsidRDefault="00C459DE" w:rsidP="00C459DE">
      <w:pPr>
        <w:rPr>
          <w:rFonts w:eastAsia="Times New Roman" w:cs="Arial"/>
          <w:color w:val="000000"/>
          <w:lang w:eastAsia="bg-BG"/>
        </w:rPr>
      </w:pPr>
      <w:r w:rsidRPr="00C459DE">
        <w:rPr>
          <w:rFonts w:eastAsia="Times New Roman" w:cs="Arial"/>
          <w:color w:val="000000"/>
          <w:lang w:eastAsia="bg-BG"/>
        </w:rPr>
        <w:lastRenderedPageBreak/>
        <w:t>Утаяване на соли от калций- цефтриаксон в жлъчния мехур се наблюдава предимно при пациенти, лекувани с по-високи от препоръчваните стандартни дози. При деца проспективни изследвания показват променлива честота на преципитатите свързани с интравенозно приложение, в някои проучвания до над 30%. Честотата изглежда е по-ниска при бавна инфузия (20-30 минути). Този ефект обикновено е асимптоматичен, но в редки случаи</w:t>
      </w:r>
      <w:r w:rsidRPr="00C459DE">
        <w:rPr>
          <w:rFonts w:eastAsia="Times New Roman" w:cs="Arial"/>
          <w:color w:val="000000"/>
          <w:u w:val="single"/>
          <w:lang w:eastAsia="bg-BG"/>
        </w:rPr>
        <w:t xml:space="preserve"> </w:t>
      </w:r>
      <w:r w:rsidRPr="00C459DE">
        <w:rPr>
          <w:rFonts w:eastAsia="Times New Roman" w:cs="Arial"/>
          <w:color w:val="000000"/>
          <w:lang w:eastAsia="bg-BG"/>
        </w:rPr>
        <w:t>преципитатите са придружени от клинични симптоми като болка, гадене и повръщане. В тези случаи се препоръчва симптоматично лечение. Преципитатите обикновено са обратими след прекратяване на лечението с цефтриаксон (вж. точка 4.4).</w:t>
      </w:r>
    </w:p>
    <w:p w14:paraId="4520750C" w14:textId="09371F09" w:rsidR="00C459DE" w:rsidRPr="00C459DE" w:rsidRDefault="00C459DE" w:rsidP="00C459DE">
      <w:pPr>
        <w:rPr>
          <w:rFonts w:eastAsia="Times New Roman" w:cs="Arial"/>
          <w:color w:val="000000"/>
          <w:lang w:eastAsia="bg-BG"/>
        </w:rPr>
      </w:pPr>
    </w:p>
    <w:p w14:paraId="4158CC35" w14:textId="77777777" w:rsidR="00C459DE" w:rsidRPr="00C459DE" w:rsidRDefault="00C459DE" w:rsidP="00C459DE">
      <w:pPr>
        <w:spacing w:line="240" w:lineRule="auto"/>
        <w:rPr>
          <w:rFonts w:eastAsia="Times New Roman" w:cs="Arial"/>
        </w:rPr>
      </w:pPr>
      <w:r w:rsidRPr="00C459DE">
        <w:rPr>
          <w:rFonts w:eastAsia="Times New Roman" w:cs="Arial"/>
          <w:color w:val="000000"/>
          <w:u w:val="single"/>
          <w:lang w:eastAsia="bg-BG"/>
        </w:rPr>
        <w:t>Съобщаване на подозирани нежелани реакции</w:t>
      </w:r>
    </w:p>
    <w:p w14:paraId="22AE4F4C" w14:textId="19AB74AC" w:rsidR="00C459DE" w:rsidRDefault="00C459DE" w:rsidP="00C459DE">
      <w:pPr>
        <w:rPr>
          <w:rFonts w:eastAsia="Times New Roman" w:cs="Arial"/>
        </w:rPr>
      </w:pPr>
      <w:r w:rsidRPr="00C459DE">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02 8903417, уебсайт: </w:t>
      </w:r>
      <w:r w:rsidRPr="00C459DE">
        <w:rPr>
          <w:rFonts w:eastAsia="Times New Roman" w:cs="Arial"/>
        </w:rPr>
        <w:fldChar w:fldCharType="begin"/>
      </w:r>
      <w:r w:rsidRPr="00C459DE">
        <w:rPr>
          <w:rFonts w:eastAsia="Times New Roman" w:cs="Arial"/>
        </w:rPr>
        <w:instrText xml:space="preserve"> HYPERLINK "http://www.bda.bg" </w:instrText>
      </w:r>
      <w:r w:rsidRPr="00C459DE">
        <w:rPr>
          <w:rFonts w:eastAsia="Times New Roman" w:cs="Arial"/>
        </w:rPr>
      </w:r>
      <w:r w:rsidRPr="00C459DE">
        <w:rPr>
          <w:rFonts w:eastAsia="Times New Roman" w:cs="Arial"/>
        </w:rPr>
        <w:fldChar w:fldCharType="separate"/>
      </w:r>
      <w:r w:rsidRPr="00C459DE">
        <w:rPr>
          <w:rFonts w:eastAsia="Times New Roman" w:cs="Arial"/>
          <w:color w:val="000000"/>
          <w:u w:val="single"/>
          <w:lang w:val="en-US"/>
        </w:rPr>
        <w:t>www.bda.bg</w:t>
      </w:r>
      <w:r w:rsidRPr="00C459DE">
        <w:rPr>
          <w:rFonts w:eastAsia="Times New Roman" w:cs="Arial"/>
        </w:rPr>
        <w:fldChar w:fldCharType="end"/>
      </w:r>
    </w:p>
    <w:p w14:paraId="61A79F75" w14:textId="77777777" w:rsidR="00C459DE" w:rsidRPr="00C459DE" w:rsidRDefault="00C459DE" w:rsidP="00C459DE">
      <w:pPr>
        <w:rPr>
          <w:rFonts w:cs="Arial"/>
        </w:rPr>
      </w:pPr>
    </w:p>
    <w:p w14:paraId="5B0378B8" w14:textId="769D3573" w:rsidR="00426E5F" w:rsidRDefault="002C50EE" w:rsidP="00A65A81">
      <w:pPr>
        <w:pStyle w:val="Heading2"/>
      </w:pPr>
      <w:r>
        <w:t>4.9. Предозиране</w:t>
      </w:r>
    </w:p>
    <w:p w14:paraId="081876D7" w14:textId="2D93C589" w:rsidR="00C459DE" w:rsidRDefault="00C459DE" w:rsidP="00C459DE"/>
    <w:p w14:paraId="6309F307" w14:textId="77777777" w:rsidR="00C459DE" w:rsidRPr="00C459DE" w:rsidRDefault="00C459DE" w:rsidP="00C459DE">
      <w:pPr>
        <w:rPr>
          <w:sz w:val="24"/>
          <w:szCs w:val="24"/>
        </w:rPr>
      </w:pPr>
      <w:r w:rsidRPr="00C459DE">
        <w:rPr>
          <w:lang w:eastAsia="bg-BG"/>
        </w:rPr>
        <w:t>При предозиране са наблюдавани гадене, повръщане и диария. Концентрациите на цефтриаксон не се понижават при провеждане на хемодиализа или перитонеална диализа. Няма специфичен антидот. Лечението е симптоматично.</w:t>
      </w:r>
    </w:p>
    <w:p w14:paraId="190DF1C9" w14:textId="77777777" w:rsidR="00C459DE" w:rsidRPr="00C459DE" w:rsidRDefault="00C459DE" w:rsidP="00C459DE"/>
    <w:p w14:paraId="02081B24" w14:textId="1F46E296" w:rsidR="00395555" w:rsidRPr="00395555" w:rsidRDefault="002C50EE" w:rsidP="008A6AF2">
      <w:pPr>
        <w:pStyle w:val="Heading1"/>
      </w:pPr>
      <w:r>
        <w:t>5. ФАРМАКОЛОГИЧНИ СВОЙСТВА</w:t>
      </w:r>
    </w:p>
    <w:p w14:paraId="5279C268" w14:textId="0FBD48A9" w:rsidR="00426E5F" w:rsidRDefault="002C50EE" w:rsidP="00A65A81">
      <w:pPr>
        <w:pStyle w:val="Heading2"/>
      </w:pPr>
      <w:r>
        <w:t>5.1. Фармакодинамични свойства</w:t>
      </w:r>
    </w:p>
    <w:p w14:paraId="6B992B32" w14:textId="6E1B1905" w:rsidR="00C459DE" w:rsidRDefault="00C459DE" w:rsidP="00C459DE"/>
    <w:p w14:paraId="0ABBE673" w14:textId="77777777" w:rsidR="00C459DE" w:rsidRPr="00C459DE" w:rsidRDefault="00C459DE" w:rsidP="00C459DE">
      <w:pPr>
        <w:spacing w:line="240" w:lineRule="auto"/>
        <w:rPr>
          <w:rFonts w:eastAsia="Times New Roman" w:cs="Arial"/>
          <w:sz w:val="28"/>
          <w:szCs w:val="24"/>
        </w:rPr>
      </w:pPr>
      <w:r w:rsidRPr="00C459DE">
        <w:rPr>
          <w:rFonts w:eastAsia="Times New Roman" w:cs="Arial"/>
          <w:color w:val="000000"/>
          <w:szCs w:val="20"/>
          <w:lang w:eastAsia="bg-BG"/>
        </w:rPr>
        <w:t xml:space="preserve">Фармакотерапевтична група: Антибакгериални средства за системна употреба. Трета генерация цефалоспорини, АТС код </w:t>
      </w:r>
      <w:r w:rsidRPr="00C459DE">
        <w:rPr>
          <w:rFonts w:eastAsia="Times New Roman" w:cs="Arial"/>
          <w:color w:val="000000"/>
          <w:szCs w:val="20"/>
          <w:lang w:val="en-US"/>
        </w:rPr>
        <w:t>J</w:t>
      </w:r>
      <w:r w:rsidRPr="00C459DE">
        <w:rPr>
          <w:rFonts w:eastAsia="Times New Roman" w:cs="Arial"/>
          <w:color w:val="000000"/>
          <w:szCs w:val="20"/>
          <w:lang w:val="ru-RU"/>
        </w:rPr>
        <w:t>01</w:t>
      </w:r>
      <w:r w:rsidRPr="00C459DE">
        <w:rPr>
          <w:rFonts w:eastAsia="Times New Roman" w:cs="Arial"/>
          <w:color w:val="000000"/>
          <w:szCs w:val="20"/>
          <w:lang w:val="en-US"/>
        </w:rPr>
        <w:t>DD</w:t>
      </w:r>
      <w:r w:rsidRPr="00C459DE">
        <w:rPr>
          <w:rFonts w:eastAsia="Times New Roman" w:cs="Arial"/>
          <w:color w:val="000000"/>
          <w:szCs w:val="20"/>
          <w:lang w:val="ru-RU"/>
        </w:rPr>
        <w:t>04</w:t>
      </w:r>
    </w:p>
    <w:p w14:paraId="03923EFE" w14:textId="77777777" w:rsidR="00C459DE" w:rsidRPr="00C459DE" w:rsidRDefault="00C459DE" w:rsidP="00C459DE">
      <w:pPr>
        <w:spacing w:line="240" w:lineRule="auto"/>
        <w:rPr>
          <w:rFonts w:eastAsia="Times New Roman" w:cs="Arial"/>
          <w:color w:val="000000"/>
          <w:szCs w:val="20"/>
          <w:u w:val="single"/>
          <w:lang w:eastAsia="bg-BG"/>
        </w:rPr>
      </w:pPr>
    </w:p>
    <w:p w14:paraId="6584765C" w14:textId="610E7B04" w:rsidR="00C459DE" w:rsidRPr="00C459DE" w:rsidRDefault="00C459DE" w:rsidP="00C459DE">
      <w:pPr>
        <w:spacing w:line="240" w:lineRule="auto"/>
        <w:rPr>
          <w:rFonts w:eastAsia="Times New Roman" w:cs="Arial"/>
          <w:sz w:val="28"/>
          <w:szCs w:val="24"/>
        </w:rPr>
      </w:pPr>
      <w:r w:rsidRPr="00C459DE">
        <w:rPr>
          <w:rFonts w:eastAsia="Times New Roman" w:cs="Arial"/>
          <w:color w:val="000000"/>
          <w:szCs w:val="20"/>
          <w:u w:val="single"/>
          <w:lang w:eastAsia="bg-BG"/>
        </w:rPr>
        <w:t>Механизъм на действие</w:t>
      </w:r>
    </w:p>
    <w:p w14:paraId="25BD842F" w14:textId="77777777" w:rsidR="00C459DE" w:rsidRPr="00C459DE" w:rsidRDefault="00C459DE" w:rsidP="00C459DE">
      <w:pPr>
        <w:spacing w:line="240" w:lineRule="auto"/>
        <w:rPr>
          <w:rFonts w:eastAsia="Times New Roman" w:cs="Arial"/>
          <w:sz w:val="28"/>
          <w:szCs w:val="24"/>
        </w:rPr>
      </w:pPr>
      <w:r w:rsidRPr="00C459DE">
        <w:rPr>
          <w:rFonts w:eastAsia="Times New Roman" w:cs="Arial"/>
          <w:color w:val="000000"/>
          <w:szCs w:val="20"/>
          <w:lang w:eastAsia="bg-BG"/>
        </w:rPr>
        <w:t xml:space="preserve">Цефтриаксон инхибира синтеза на бактериалната клетъчна стена след свързване с пеницилин- свързващите протеини </w:t>
      </w:r>
      <w:r w:rsidRPr="00C459DE">
        <w:rPr>
          <w:rFonts w:eastAsia="Times New Roman" w:cs="Arial"/>
          <w:color w:val="000000"/>
          <w:szCs w:val="20"/>
          <w:lang w:val="ru-RU"/>
        </w:rPr>
        <w:t>(</w:t>
      </w:r>
      <w:r w:rsidRPr="00C459DE">
        <w:rPr>
          <w:rFonts w:eastAsia="Times New Roman" w:cs="Arial"/>
          <w:color w:val="000000"/>
          <w:szCs w:val="20"/>
          <w:lang w:val="en-US"/>
        </w:rPr>
        <w:t>PBPs</w:t>
      </w:r>
      <w:r w:rsidRPr="00C459DE">
        <w:rPr>
          <w:rFonts w:eastAsia="Times New Roman" w:cs="Arial"/>
          <w:color w:val="000000"/>
          <w:szCs w:val="20"/>
          <w:lang w:val="ru-RU"/>
        </w:rPr>
        <w:t xml:space="preserve">). </w:t>
      </w:r>
      <w:r w:rsidRPr="00C459DE">
        <w:rPr>
          <w:rFonts w:eastAsia="Times New Roman" w:cs="Arial"/>
          <w:color w:val="000000"/>
          <w:szCs w:val="20"/>
          <w:lang w:eastAsia="bg-BG"/>
        </w:rPr>
        <w:t>В резултат на това се прекъсва биосинтеза на клетъчна стена (пептидогликан), което води до лизис на бактериалната клетка и клетъчна смърт.</w:t>
      </w:r>
    </w:p>
    <w:p w14:paraId="7284D3F7" w14:textId="3BDB245B" w:rsidR="00C459DE" w:rsidRPr="00C459DE" w:rsidRDefault="00C459DE" w:rsidP="00C459DE">
      <w:pPr>
        <w:spacing w:line="240" w:lineRule="auto"/>
        <w:rPr>
          <w:rFonts w:eastAsia="Times New Roman" w:cs="Arial"/>
          <w:sz w:val="28"/>
          <w:szCs w:val="24"/>
        </w:rPr>
      </w:pPr>
      <w:r w:rsidRPr="00C459DE">
        <w:rPr>
          <w:rFonts w:eastAsia="Times New Roman" w:cs="Arial"/>
          <w:color w:val="000000"/>
          <w:szCs w:val="20"/>
          <w:u w:val="single"/>
          <w:lang w:eastAsia="bg-BG"/>
        </w:rPr>
        <w:t>Резистентност</w:t>
      </w:r>
    </w:p>
    <w:p w14:paraId="6CC4A336" w14:textId="77777777" w:rsidR="00C459DE" w:rsidRPr="00C459DE" w:rsidRDefault="00C459DE" w:rsidP="00C459DE">
      <w:pPr>
        <w:spacing w:line="240" w:lineRule="auto"/>
        <w:rPr>
          <w:rFonts w:eastAsia="Times New Roman" w:cs="Arial"/>
          <w:sz w:val="28"/>
          <w:szCs w:val="24"/>
        </w:rPr>
      </w:pPr>
      <w:r w:rsidRPr="00C459DE">
        <w:rPr>
          <w:rFonts w:eastAsia="Times New Roman" w:cs="Arial"/>
          <w:color w:val="000000"/>
          <w:szCs w:val="20"/>
          <w:lang w:eastAsia="bg-BG"/>
        </w:rPr>
        <w:t>Бактериалната резистентност към цефтриаксон може да се дължи на един или няколко от следните механизми:</w:t>
      </w:r>
    </w:p>
    <w:p w14:paraId="4EB651D1" w14:textId="77777777" w:rsidR="00C459DE" w:rsidRPr="00C459DE" w:rsidRDefault="00C459DE" w:rsidP="00C459DE">
      <w:pPr>
        <w:spacing w:line="240" w:lineRule="auto"/>
        <w:rPr>
          <w:rFonts w:eastAsia="Times New Roman" w:cs="Arial"/>
          <w:sz w:val="28"/>
          <w:szCs w:val="24"/>
        </w:rPr>
      </w:pPr>
      <w:r w:rsidRPr="00C459DE">
        <w:rPr>
          <w:rFonts w:eastAsia="Times New Roman" w:cs="Arial"/>
          <w:color w:val="000000"/>
          <w:szCs w:val="20"/>
          <w:lang w:eastAsia="bg-BG"/>
        </w:rPr>
        <w:t xml:space="preserve">хидролиза чрез бета-лактамази, включително широкоспектърни бета-лактамази </w:t>
      </w:r>
      <w:r w:rsidRPr="00C459DE">
        <w:rPr>
          <w:rFonts w:eastAsia="Times New Roman" w:cs="Arial"/>
          <w:color w:val="000000"/>
          <w:szCs w:val="20"/>
          <w:lang w:val="ru-RU"/>
        </w:rPr>
        <w:t>(</w:t>
      </w:r>
      <w:r w:rsidRPr="00C459DE">
        <w:rPr>
          <w:rFonts w:eastAsia="Times New Roman" w:cs="Arial"/>
          <w:color w:val="000000"/>
          <w:szCs w:val="20"/>
          <w:lang w:val="en-US"/>
        </w:rPr>
        <w:t>ESBLs</w:t>
      </w:r>
      <w:r w:rsidRPr="00C459DE">
        <w:rPr>
          <w:rFonts w:eastAsia="Times New Roman" w:cs="Arial"/>
          <w:color w:val="000000"/>
          <w:szCs w:val="20"/>
          <w:lang w:val="ru-RU"/>
        </w:rPr>
        <w:t xml:space="preserve">), </w:t>
      </w:r>
      <w:r w:rsidRPr="00C459DE">
        <w:rPr>
          <w:rFonts w:eastAsia="Times New Roman" w:cs="Arial"/>
          <w:color w:val="000000"/>
          <w:szCs w:val="20"/>
          <w:lang w:eastAsia="bg-BG"/>
        </w:rPr>
        <w:t xml:space="preserve">карбапенемази и </w:t>
      </w:r>
      <w:r w:rsidRPr="00C459DE">
        <w:rPr>
          <w:rFonts w:eastAsia="Times New Roman" w:cs="Arial"/>
          <w:color w:val="000000"/>
          <w:szCs w:val="20"/>
          <w:lang w:val="en-US"/>
        </w:rPr>
        <w:t>Amp</w:t>
      </w:r>
      <w:r w:rsidRPr="00C459DE">
        <w:rPr>
          <w:rFonts w:eastAsia="Times New Roman" w:cs="Arial"/>
          <w:color w:val="000000"/>
          <w:szCs w:val="20"/>
          <w:lang w:val="ru-RU"/>
        </w:rPr>
        <w:t xml:space="preserve"> </w:t>
      </w:r>
      <w:r w:rsidRPr="00C459DE">
        <w:rPr>
          <w:rFonts w:eastAsia="Times New Roman" w:cs="Arial"/>
          <w:color w:val="000000"/>
          <w:szCs w:val="20"/>
          <w:lang w:eastAsia="bg-BG"/>
        </w:rPr>
        <w:t>С ензими, които могат да бъдат индуцирани или стабилно дерепресирани в някои аеробни грам-отрицателни бактериални видове.</w:t>
      </w:r>
    </w:p>
    <w:p w14:paraId="436D9ADD" w14:textId="77777777" w:rsidR="00C459DE" w:rsidRPr="00C459DE" w:rsidRDefault="00C459DE" w:rsidP="00C459DE">
      <w:pPr>
        <w:spacing w:line="240" w:lineRule="auto"/>
        <w:rPr>
          <w:rFonts w:eastAsia="Times New Roman" w:cs="Arial"/>
          <w:sz w:val="28"/>
          <w:szCs w:val="24"/>
        </w:rPr>
      </w:pPr>
      <w:r w:rsidRPr="00C459DE">
        <w:rPr>
          <w:rFonts w:eastAsia="Times New Roman" w:cs="Arial"/>
          <w:color w:val="000000"/>
          <w:szCs w:val="20"/>
          <w:lang w:eastAsia="bg-BG"/>
        </w:rPr>
        <w:t>намален афинитет на пеницилин-свързващи протеини за цефтриаксон.</w:t>
      </w:r>
    </w:p>
    <w:p w14:paraId="5EDAE541" w14:textId="77777777" w:rsidR="00C459DE" w:rsidRPr="00C459DE" w:rsidRDefault="00C459DE" w:rsidP="00C459DE">
      <w:pPr>
        <w:spacing w:line="240" w:lineRule="auto"/>
        <w:rPr>
          <w:rFonts w:eastAsia="Times New Roman" w:cs="Arial"/>
          <w:sz w:val="28"/>
          <w:szCs w:val="24"/>
        </w:rPr>
      </w:pPr>
      <w:r w:rsidRPr="00C459DE">
        <w:rPr>
          <w:rFonts w:eastAsia="Times New Roman" w:cs="Arial"/>
          <w:color w:val="000000"/>
          <w:szCs w:val="20"/>
          <w:lang w:eastAsia="bg-BG"/>
        </w:rPr>
        <w:t>непропускливост на външната мембрана на Грам-отрицателните микроорганизми, бактериалните ефлуксни помпи</w:t>
      </w:r>
    </w:p>
    <w:p w14:paraId="60CCA9B0" w14:textId="77777777" w:rsidR="00C459DE" w:rsidRPr="00C459DE" w:rsidRDefault="00C459DE" w:rsidP="00C459DE">
      <w:pPr>
        <w:spacing w:line="240" w:lineRule="auto"/>
        <w:rPr>
          <w:rFonts w:eastAsia="Times New Roman" w:cs="Arial"/>
          <w:color w:val="000000"/>
          <w:szCs w:val="20"/>
          <w:u w:val="single"/>
          <w:lang w:eastAsia="bg-BG"/>
        </w:rPr>
      </w:pPr>
    </w:p>
    <w:p w14:paraId="0E99C7B5" w14:textId="512A5A07" w:rsidR="00C459DE" w:rsidRPr="00C459DE" w:rsidRDefault="00C459DE" w:rsidP="00C459DE">
      <w:pPr>
        <w:spacing w:line="240" w:lineRule="auto"/>
        <w:rPr>
          <w:rFonts w:eastAsia="Times New Roman" w:cs="Arial"/>
          <w:sz w:val="28"/>
          <w:szCs w:val="24"/>
        </w:rPr>
      </w:pPr>
      <w:r w:rsidRPr="00C459DE">
        <w:rPr>
          <w:rFonts w:eastAsia="Times New Roman" w:cs="Arial"/>
          <w:color w:val="000000"/>
          <w:szCs w:val="20"/>
          <w:u w:val="single"/>
          <w:lang w:eastAsia="bg-BG"/>
        </w:rPr>
        <w:t>Граници на чувствителност</w:t>
      </w:r>
    </w:p>
    <w:p w14:paraId="209BB866" w14:textId="27CCE19B" w:rsidR="00C459DE" w:rsidRDefault="00C459DE" w:rsidP="00C459DE">
      <w:pPr>
        <w:rPr>
          <w:rFonts w:eastAsia="Times New Roman" w:cs="Arial"/>
          <w:color w:val="000000"/>
          <w:szCs w:val="20"/>
          <w:lang w:eastAsia="bg-BG"/>
        </w:rPr>
      </w:pPr>
      <w:r w:rsidRPr="00C459DE">
        <w:rPr>
          <w:rFonts w:eastAsia="Times New Roman" w:cs="Arial"/>
          <w:color w:val="000000"/>
          <w:szCs w:val="20"/>
          <w:lang w:eastAsia="bg-BG"/>
        </w:rPr>
        <w:t xml:space="preserve">Границите на минималната инхибираща концентрация </w:t>
      </w:r>
      <w:r w:rsidRPr="00C459DE">
        <w:rPr>
          <w:rFonts w:eastAsia="Times New Roman" w:cs="Arial"/>
          <w:color w:val="000000"/>
          <w:szCs w:val="20"/>
          <w:lang w:val="ru-RU"/>
        </w:rPr>
        <w:t>(</w:t>
      </w:r>
      <w:r w:rsidRPr="00C459DE">
        <w:rPr>
          <w:rFonts w:eastAsia="Times New Roman" w:cs="Arial"/>
          <w:color w:val="000000"/>
          <w:szCs w:val="20"/>
          <w:lang w:val="en-US"/>
        </w:rPr>
        <w:t>MIC</w:t>
      </w:r>
      <w:r w:rsidRPr="00C459DE">
        <w:rPr>
          <w:rFonts w:eastAsia="Times New Roman" w:cs="Arial"/>
          <w:color w:val="000000"/>
          <w:szCs w:val="20"/>
          <w:lang w:val="ru-RU"/>
        </w:rPr>
        <w:t xml:space="preserve">), </w:t>
      </w:r>
      <w:r w:rsidRPr="00C459DE">
        <w:rPr>
          <w:rFonts w:eastAsia="Times New Roman" w:cs="Arial"/>
          <w:color w:val="000000"/>
          <w:szCs w:val="20"/>
          <w:lang w:eastAsia="bg-BG"/>
        </w:rPr>
        <w:t xml:space="preserve">установени от Европейския комитет за изследване на антимикробна чувствителност </w:t>
      </w:r>
      <w:r w:rsidRPr="00C459DE">
        <w:rPr>
          <w:rFonts w:eastAsia="Times New Roman" w:cs="Arial"/>
          <w:color w:val="000000"/>
          <w:szCs w:val="20"/>
          <w:lang w:val="ru-RU"/>
        </w:rPr>
        <w:t>(</w:t>
      </w:r>
      <w:r w:rsidRPr="00C459DE">
        <w:rPr>
          <w:rFonts w:eastAsia="Times New Roman" w:cs="Arial"/>
          <w:color w:val="000000"/>
          <w:szCs w:val="20"/>
          <w:lang w:val="en-US"/>
        </w:rPr>
        <w:t>EUCAST</w:t>
      </w:r>
      <w:r w:rsidRPr="00C459DE">
        <w:rPr>
          <w:rFonts w:eastAsia="Times New Roman" w:cs="Arial"/>
          <w:color w:val="000000"/>
          <w:szCs w:val="20"/>
          <w:lang w:val="ru-RU"/>
        </w:rPr>
        <w:t xml:space="preserve">) </w:t>
      </w:r>
      <w:r w:rsidRPr="00C459DE">
        <w:rPr>
          <w:rFonts w:eastAsia="Times New Roman" w:cs="Arial"/>
          <w:color w:val="000000"/>
          <w:szCs w:val="20"/>
          <w:lang w:eastAsia="bg-BG"/>
        </w:rPr>
        <w:t>са както следва:</w:t>
      </w:r>
    </w:p>
    <w:p w14:paraId="79F7CCB9" w14:textId="3275D81C" w:rsidR="00C459DE" w:rsidRDefault="00C459DE" w:rsidP="00C459DE">
      <w:pPr>
        <w:rPr>
          <w:rFonts w:eastAsia="Times New Roman" w:cs="Arial"/>
          <w:color w:val="000000"/>
          <w:szCs w:val="20"/>
          <w:lang w:eastAsia="bg-BG"/>
        </w:rPr>
      </w:pPr>
    </w:p>
    <w:tbl>
      <w:tblPr>
        <w:tblStyle w:val="TableGrid"/>
        <w:tblW w:w="0" w:type="auto"/>
        <w:tblLook w:val="04A0" w:firstRow="1" w:lastRow="0" w:firstColumn="1" w:lastColumn="0" w:noHBand="0" w:noVBand="1"/>
      </w:tblPr>
      <w:tblGrid>
        <w:gridCol w:w="3133"/>
        <w:gridCol w:w="3113"/>
        <w:gridCol w:w="3104"/>
      </w:tblGrid>
      <w:tr w:rsidR="00C459DE" w14:paraId="10FC2405" w14:textId="77777777" w:rsidTr="00C75B0A">
        <w:tc>
          <w:tcPr>
            <w:tcW w:w="3192" w:type="dxa"/>
            <w:vMerge w:val="restart"/>
          </w:tcPr>
          <w:p w14:paraId="41BA078E" w14:textId="77777777" w:rsidR="00C459DE" w:rsidRPr="00C459DE" w:rsidRDefault="00C459DE" w:rsidP="00C459DE">
            <w:pPr>
              <w:rPr>
                <w:b/>
                <w:sz w:val="24"/>
                <w:szCs w:val="24"/>
              </w:rPr>
            </w:pPr>
            <w:r w:rsidRPr="00C459DE">
              <w:rPr>
                <w:b/>
                <w:lang w:eastAsia="bg-BG"/>
              </w:rPr>
              <w:t>Патоген</w:t>
            </w:r>
          </w:p>
          <w:p w14:paraId="456248F6" w14:textId="77777777" w:rsidR="00C459DE" w:rsidRDefault="00C459DE" w:rsidP="00C459DE">
            <w:pPr>
              <w:rPr>
                <w:rFonts w:cs="Arial"/>
                <w:sz w:val="24"/>
              </w:rPr>
            </w:pPr>
          </w:p>
        </w:tc>
        <w:tc>
          <w:tcPr>
            <w:tcW w:w="6384" w:type="dxa"/>
            <w:gridSpan w:val="2"/>
          </w:tcPr>
          <w:p w14:paraId="1E7887BD" w14:textId="1909D913" w:rsidR="00C459DE" w:rsidRPr="00C459DE" w:rsidRDefault="00C459DE" w:rsidP="00C459DE">
            <w:pPr>
              <w:rPr>
                <w:rFonts w:cs="Arial"/>
                <w:b/>
                <w:sz w:val="24"/>
              </w:rPr>
            </w:pPr>
            <w:r w:rsidRPr="00C459DE">
              <w:rPr>
                <w:b/>
              </w:rPr>
              <w:t xml:space="preserve">Разреждане </w:t>
            </w:r>
            <w:r w:rsidRPr="00C459DE">
              <w:rPr>
                <w:b/>
                <w:lang w:val="en-US"/>
              </w:rPr>
              <w:t>(MIC, mg/L)</w:t>
            </w:r>
          </w:p>
        </w:tc>
      </w:tr>
      <w:tr w:rsidR="00C459DE" w14:paraId="6D376242" w14:textId="77777777" w:rsidTr="00C459DE">
        <w:tc>
          <w:tcPr>
            <w:tcW w:w="3192" w:type="dxa"/>
            <w:vMerge/>
          </w:tcPr>
          <w:p w14:paraId="33FE9CCC" w14:textId="77777777" w:rsidR="00C459DE" w:rsidRDefault="00C459DE" w:rsidP="00C459DE">
            <w:pPr>
              <w:rPr>
                <w:rFonts w:cs="Arial"/>
                <w:sz w:val="24"/>
              </w:rPr>
            </w:pPr>
          </w:p>
        </w:tc>
        <w:tc>
          <w:tcPr>
            <w:tcW w:w="3192" w:type="dxa"/>
          </w:tcPr>
          <w:p w14:paraId="49D214CD" w14:textId="4836BAFB" w:rsidR="00C459DE" w:rsidRPr="00C459DE" w:rsidRDefault="00C459DE" w:rsidP="00C459DE">
            <w:pPr>
              <w:rPr>
                <w:rFonts w:cs="Arial"/>
                <w:b/>
                <w:sz w:val="24"/>
              </w:rPr>
            </w:pPr>
            <w:r w:rsidRPr="00C459DE">
              <w:rPr>
                <w:b/>
              </w:rPr>
              <w:t>Чувствителни</w:t>
            </w:r>
          </w:p>
        </w:tc>
        <w:tc>
          <w:tcPr>
            <w:tcW w:w="3192" w:type="dxa"/>
          </w:tcPr>
          <w:p w14:paraId="1B74DC62" w14:textId="76B00F9D" w:rsidR="00C459DE" w:rsidRPr="00C459DE" w:rsidRDefault="00C459DE" w:rsidP="00C459DE">
            <w:pPr>
              <w:rPr>
                <w:rFonts w:cs="Arial"/>
                <w:b/>
                <w:sz w:val="24"/>
              </w:rPr>
            </w:pPr>
            <w:r w:rsidRPr="00C459DE">
              <w:rPr>
                <w:b/>
              </w:rPr>
              <w:t>Резистентни</w:t>
            </w:r>
          </w:p>
        </w:tc>
      </w:tr>
      <w:tr w:rsidR="00C459DE" w14:paraId="553127C5" w14:textId="77777777" w:rsidTr="00C459DE">
        <w:tc>
          <w:tcPr>
            <w:tcW w:w="3192" w:type="dxa"/>
          </w:tcPr>
          <w:p w14:paraId="00C162D6" w14:textId="75C3BA61" w:rsidR="00C459DE" w:rsidRPr="00C459DE" w:rsidRDefault="00C459DE" w:rsidP="00C459DE">
            <w:pPr>
              <w:rPr>
                <w:rFonts w:cs="Arial"/>
              </w:rPr>
            </w:pPr>
            <w:r w:rsidRPr="00C459DE">
              <w:rPr>
                <w:i/>
                <w:iCs/>
                <w:szCs w:val="20"/>
              </w:rPr>
              <w:t>Enterobacteriaceae</w:t>
            </w:r>
          </w:p>
        </w:tc>
        <w:tc>
          <w:tcPr>
            <w:tcW w:w="3192" w:type="dxa"/>
          </w:tcPr>
          <w:p w14:paraId="15F94BBD" w14:textId="70D2228E" w:rsidR="00C459DE" w:rsidRPr="00C459DE" w:rsidRDefault="00C459DE" w:rsidP="00C459DE">
            <w:pPr>
              <w:rPr>
                <w:rFonts w:cs="Arial"/>
              </w:rPr>
            </w:pPr>
            <w:r w:rsidRPr="00C459DE">
              <w:rPr>
                <w:szCs w:val="20"/>
                <w:lang w:eastAsia="bg-BG"/>
              </w:rPr>
              <w:t>≤</w:t>
            </w:r>
            <w:r w:rsidRPr="00C459DE">
              <w:rPr>
                <w:szCs w:val="20"/>
              </w:rPr>
              <w:t xml:space="preserve"> 1</w:t>
            </w:r>
          </w:p>
        </w:tc>
        <w:tc>
          <w:tcPr>
            <w:tcW w:w="3192" w:type="dxa"/>
          </w:tcPr>
          <w:p w14:paraId="17DB5AA5" w14:textId="4884A396" w:rsidR="00C459DE" w:rsidRPr="00C459DE" w:rsidRDefault="00C459DE" w:rsidP="00C459DE">
            <w:pPr>
              <w:rPr>
                <w:rFonts w:cs="Arial"/>
              </w:rPr>
            </w:pPr>
            <w:r w:rsidRPr="00C459DE">
              <w:rPr>
                <w:szCs w:val="20"/>
              </w:rPr>
              <w:t>&gt;2</w:t>
            </w:r>
          </w:p>
        </w:tc>
      </w:tr>
      <w:tr w:rsidR="00C459DE" w14:paraId="47DD9AC0" w14:textId="77777777" w:rsidTr="00C459DE">
        <w:tc>
          <w:tcPr>
            <w:tcW w:w="3192" w:type="dxa"/>
          </w:tcPr>
          <w:p w14:paraId="59CF9F1F" w14:textId="23849107" w:rsidR="00C459DE" w:rsidRPr="00C459DE" w:rsidRDefault="00C459DE" w:rsidP="00C459DE">
            <w:pPr>
              <w:rPr>
                <w:rFonts w:cs="Arial"/>
              </w:rPr>
            </w:pPr>
            <w:r w:rsidRPr="00C459DE">
              <w:rPr>
                <w:i/>
                <w:iCs/>
                <w:szCs w:val="20"/>
              </w:rPr>
              <w:t>Staphylococcus</w:t>
            </w:r>
            <w:r w:rsidRPr="00C459DE">
              <w:rPr>
                <w:szCs w:val="20"/>
              </w:rPr>
              <w:t xml:space="preserve"> spp.</w:t>
            </w:r>
          </w:p>
        </w:tc>
        <w:tc>
          <w:tcPr>
            <w:tcW w:w="3192" w:type="dxa"/>
          </w:tcPr>
          <w:p w14:paraId="0D1855A9" w14:textId="2FBC83B9" w:rsidR="00C459DE" w:rsidRPr="00C459DE" w:rsidRDefault="00C459DE" w:rsidP="00C459DE">
            <w:pPr>
              <w:rPr>
                <w:rFonts w:cs="Arial"/>
              </w:rPr>
            </w:pPr>
            <w:r w:rsidRPr="00C459DE">
              <w:rPr>
                <w:szCs w:val="20"/>
              </w:rPr>
              <w:t>a</w:t>
            </w:r>
          </w:p>
        </w:tc>
        <w:tc>
          <w:tcPr>
            <w:tcW w:w="3192" w:type="dxa"/>
          </w:tcPr>
          <w:p w14:paraId="799AEF5C" w14:textId="6E16234D" w:rsidR="00C459DE" w:rsidRPr="00C459DE" w:rsidRDefault="00C459DE" w:rsidP="00C459DE">
            <w:pPr>
              <w:rPr>
                <w:rFonts w:cs="Arial"/>
              </w:rPr>
            </w:pPr>
            <w:r w:rsidRPr="00C459DE">
              <w:rPr>
                <w:szCs w:val="20"/>
              </w:rPr>
              <w:t>a</w:t>
            </w:r>
          </w:p>
        </w:tc>
      </w:tr>
      <w:tr w:rsidR="00C459DE" w14:paraId="3B292581" w14:textId="77777777" w:rsidTr="00C459DE">
        <w:tc>
          <w:tcPr>
            <w:tcW w:w="3192" w:type="dxa"/>
          </w:tcPr>
          <w:p w14:paraId="62552BAB" w14:textId="77777777" w:rsidR="00C459DE" w:rsidRPr="00C459DE" w:rsidRDefault="00C459DE" w:rsidP="00C459DE">
            <w:r w:rsidRPr="00C459DE">
              <w:rPr>
                <w:i/>
                <w:iCs/>
                <w:szCs w:val="20"/>
              </w:rPr>
              <w:t>Streptococcus</w:t>
            </w:r>
            <w:r w:rsidRPr="00C459DE">
              <w:rPr>
                <w:szCs w:val="20"/>
              </w:rPr>
              <w:t xml:space="preserve"> spp.</w:t>
            </w:r>
          </w:p>
          <w:p w14:paraId="1B869B2F" w14:textId="78793222" w:rsidR="00C459DE" w:rsidRPr="00C459DE" w:rsidRDefault="00C459DE" w:rsidP="00C459DE">
            <w:pPr>
              <w:rPr>
                <w:rFonts w:cs="Arial"/>
              </w:rPr>
            </w:pPr>
            <w:r w:rsidRPr="00C459DE">
              <w:rPr>
                <w:szCs w:val="20"/>
                <w:lang w:eastAsia="bg-BG"/>
              </w:rPr>
              <w:t xml:space="preserve">(групи А, В, </w:t>
            </w:r>
            <w:r w:rsidRPr="00C459DE">
              <w:rPr>
                <w:szCs w:val="20"/>
              </w:rPr>
              <w:t xml:space="preserve">C </w:t>
            </w:r>
            <w:r w:rsidRPr="00C459DE">
              <w:rPr>
                <w:szCs w:val="20"/>
                <w:lang w:eastAsia="bg-BG"/>
              </w:rPr>
              <w:t xml:space="preserve">и </w:t>
            </w:r>
            <w:r w:rsidRPr="00C459DE">
              <w:rPr>
                <w:szCs w:val="20"/>
              </w:rPr>
              <w:t>G)</w:t>
            </w:r>
          </w:p>
        </w:tc>
        <w:tc>
          <w:tcPr>
            <w:tcW w:w="3192" w:type="dxa"/>
          </w:tcPr>
          <w:p w14:paraId="15FC0EFA" w14:textId="5C853B96" w:rsidR="00C459DE" w:rsidRPr="00C459DE" w:rsidRDefault="00C459DE" w:rsidP="00C459DE">
            <w:pPr>
              <w:rPr>
                <w:rFonts w:cs="Arial"/>
              </w:rPr>
            </w:pPr>
            <w:r w:rsidRPr="00C459DE">
              <w:rPr>
                <w:szCs w:val="20"/>
              </w:rPr>
              <w:t>b</w:t>
            </w:r>
          </w:p>
        </w:tc>
        <w:tc>
          <w:tcPr>
            <w:tcW w:w="3192" w:type="dxa"/>
          </w:tcPr>
          <w:p w14:paraId="01D74971" w14:textId="7E4BBF6E" w:rsidR="00C459DE" w:rsidRPr="00C459DE" w:rsidRDefault="00C459DE" w:rsidP="00C459DE">
            <w:pPr>
              <w:rPr>
                <w:rFonts w:cs="Arial"/>
              </w:rPr>
            </w:pPr>
            <w:r w:rsidRPr="00C459DE">
              <w:rPr>
                <w:szCs w:val="20"/>
              </w:rPr>
              <w:t>b</w:t>
            </w:r>
          </w:p>
        </w:tc>
      </w:tr>
      <w:tr w:rsidR="00C459DE" w14:paraId="63AF2A62" w14:textId="77777777" w:rsidTr="00C459DE">
        <w:tc>
          <w:tcPr>
            <w:tcW w:w="3192" w:type="dxa"/>
          </w:tcPr>
          <w:p w14:paraId="34909B36" w14:textId="3AFBEC47" w:rsidR="00C459DE" w:rsidRPr="00C459DE" w:rsidRDefault="00C459DE" w:rsidP="00C459DE">
            <w:pPr>
              <w:rPr>
                <w:rFonts w:cs="Arial"/>
              </w:rPr>
            </w:pPr>
            <w:r w:rsidRPr="00C459DE">
              <w:rPr>
                <w:i/>
                <w:iCs/>
                <w:szCs w:val="20"/>
              </w:rPr>
              <w:t>Streptococcus pneumoniae</w:t>
            </w:r>
          </w:p>
        </w:tc>
        <w:tc>
          <w:tcPr>
            <w:tcW w:w="3192" w:type="dxa"/>
          </w:tcPr>
          <w:p w14:paraId="2A9F2CD4" w14:textId="6DA42972" w:rsidR="00C459DE" w:rsidRPr="00C459DE" w:rsidRDefault="00C459DE" w:rsidP="00C459DE">
            <w:pPr>
              <w:rPr>
                <w:rFonts w:cs="Arial"/>
              </w:rPr>
            </w:pPr>
            <w:r w:rsidRPr="00C459DE">
              <w:rPr>
                <w:szCs w:val="20"/>
                <w:lang w:eastAsia="bg-BG"/>
              </w:rPr>
              <w:t>≤</w:t>
            </w:r>
            <w:r w:rsidRPr="00C459DE">
              <w:rPr>
                <w:szCs w:val="20"/>
              </w:rPr>
              <w:t>0,5</w:t>
            </w:r>
            <w:r w:rsidRPr="00C459DE">
              <w:rPr>
                <w:szCs w:val="20"/>
                <w:vertAlign w:val="superscript"/>
              </w:rPr>
              <w:t>c</w:t>
            </w:r>
          </w:p>
        </w:tc>
        <w:tc>
          <w:tcPr>
            <w:tcW w:w="3192" w:type="dxa"/>
          </w:tcPr>
          <w:p w14:paraId="37877C0F" w14:textId="4DD6E975" w:rsidR="00C459DE" w:rsidRPr="00C459DE" w:rsidRDefault="00C459DE" w:rsidP="00C459DE">
            <w:pPr>
              <w:rPr>
                <w:rFonts w:cs="Arial"/>
              </w:rPr>
            </w:pPr>
            <w:r w:rsidRPr="00C459DE">
              <w:rPr>
                <w:szCs w:val="20"/>
              </w:rPr>
              <w:t>&gt;2</w:t>
            </w:r>
          </w:p>
        </w:tc>
      </w:tr>
      <w:tr w:rsidR="00C459DE" w14:paraId="7B4BBB33" w14:textId="77777777" w:rsidTr="00C459DE">
        <w:tc>
          <w:tcPr>
            <w:tcW w:w="3192" w:type="dxa"/>
          </w:tcPr>
          <w:p w14:paraId="51F9D0C2" w14:textId="48C70ED6" w:rsidR="00C459DE" w:rsidRPr="00C459DE" w:rsidRDefault="00C459DE" w:rsidP="00C459DE">
            <w:pPr>
              <w:rPr>
                <w:rFonts w:cs="Arial"/>
              </w:rPr>
            </w:pPr>
            <w:r w:rsidRPr="00C459DE">
              <w:rPr>
                <w:szCs w:val="20"/>
              </w:rPr>
              <w:t xml:space="preserve">Viridans </w:t>
            </w:r>
            <w:r w:rsidRPr="00C459DE">
              <w:rPr>
                <w:szCs w:val="20"/>
                <w:lang w:eastAsia="bg-BG"/>
              </w:rPr>
              <w:t xml:space="preserve">група </w:t>
            </w:r>
            <w:r w:rsidRPr="00C459DE">
              <w:rPr>
                <w:i/>
                <w:iCs/>
                <w:szCs w:val="20"/>
              </w:rPr>
              <w:t>Streptococci</w:t>
            </w:r>
          </w:p>
        </w:tc>
        <w:tc>
          <w:tcPr>
            <w:tcW w:w="3192" w:type="dxa"/>
          </w:tcPr>
          <w:p w14:paraId="77CA968A" w14:textId="1790FFB6" w:rsidR="00C459DE" w:rsidRPr="00C459DE" w:rsidRDefault="00C459DE" w:rsidP="00C459DE">
            <w:pPr>
              <w:rPr>
                <w:rFonts w:cs="Arial"/>
              </w:rPr>
            </w:pPr>
            <w:r w:rsidRPr="00C459DE">
              <w:rPr>
                <w:szCs w:val="20"/>
                <w:lang w:eastAsia="bg-BG"/>
              </w:rPr>
              <w:t>≤</w:t>
            </w:r>
            <w:r w:rsidRPr="00C459DE">
              <w:rPr>
                <w:szCs w:val="20"/>
              </w:rPr>
              <w:t>0,5</w:t>
            </w:r>
          </w:p>
        </w:tc>
        <w:tc>
          <w:tcPr>
            <w:tcW w:w="3192" w:type="dxa"/>
          </w:tcPr>
          <w:p w14:paraId="31FE13D6" w14:textId="30AEA609" w:rsidR="00C459DE" w:rsidRPr="00C459DE" w:rsidRDefault="00C459DE" w:rsidP="00C459DE">
            <w:pPr>
              <w:rPr>
                <w:rFonts w:cs="Arial"/>
              </w:rPr>
            </w:pPr>
            <w:r w:rsidRPr="00C459DE">
              <w:rPr>
                <w:szCs w:val="20"/>
              </w:rPr>
              <w:t>&gt;0,5</w:t>
            </w:r>
          </w:p>
        </w:tc>
      </w:tr>
      <w:tr w:rsidR="00C459DE" w14:paraId="289B8600" w14:textId="77777777" w:rsidTr="00C459DE">
        <w:tc>
          <w:tcPr>
            <w:tcW w:w="3192" w:type="dxa"/>
          </w:tcPr>
          <w:p w14:paraId="23599827" w14:textId="2E2D0769" w:rsidR="00C459DE" w:rsidRPr="00C459DE" w:rsidRDefault="00C459DE" w:rsidP="00C459DE">
            <w:pPr>
              <w:rPr>
                <w:rFonts w:cs="Arial"/>
              </w:rPr>
            </w:pPr>
            <w:r w:rsidRPr="00C459DE">
              <w:rPr>
                <w:i/>
                <w:iCs/>
                <w:szCs w:val="20"/>
              </w:rPr>
              <w:t>Haemophilus influenzae</w:t>
            </w:r>
          </w:p>
        </w:tc>
        <w:tc>
          <w:tcPr>
            <w:tcW w:w="3192" w:type="dxa"/>
          </w:tcPr>
          <w:p w14:paraId="3F2ED720" w14:textId="10822170" w:rsidR="00C459DE" w:rsidRPr="00C459DE" w:rsidRDefault="00C459DE" w:rsidP="00C459DE">
            <w:pPr>
              <w:rPr>
                <w:rFonts w:cs="Arial"/>
              </w:rPr>
            </w:pPr>
            <w:r w:rsidRPr="00C459DE">
              <w:rPr>
                <w:szCs w:val="20"/>
                <w:lang w:eastAsia="bg-BG"/>
              </w:rPr>
              <w:t>≤</w:t>
            </w:r>
            <w:r w:rsidRPr="00C459DE">
              <w:rPr>
                <w:szCs w:val="20"/>
              </w:rPr>
              <w:t>0,12</w:t>
            </w:r>
            <w:r w:rsidRPr="00C459DE">
              <w:rPr>
                <w:szCs w:val="20"/>
                <w:vertAlign w:val="superscript"/>
              </w:rPr>
              <w:t>c</w:t>
            </w:r>
          </w:p>
        </w:tc>
        <w:tc>
          <w:tcPr>
            <w:tcW w:w="3192" w:type="dxa"/>
          </w:tcPr>
          <w:p w14:paraId="02FFC0FE" w14:textId="6B497471" w:rsidR="00C459DE" w:rsidRPr="00C459DE" w:rsidRDefault="00C459DE" w:rsidP="00C459DE">
            <w:pPr>
              <w:rPr>
                <w:rFonts w:cs="Arial"/>
              </w:rPr>
            </w:pPr>
            <w:r w:rsidRPr="00C459DE">
              <w:rPr>
                <w:szCs w:val="20"/>
              </w:rPr>
              <w:t>&gt;0,12</w:t>
            </w:r>
          </w:p>
        </w:tc>
      </w:tr>
      <w:tr w:rsidR="00C459DE" w14:paraId="369D17B2" w14:textId="77777777" w:rsidTr="00C459DE">
        <w:tc>
          <w:tcPr>
            <w:tcW w:w="3192" w:type="dxa"/>
          </w:tcPr>
          <w:p w14:paraId="71706A8B" w14:textId="7C04FA13" w:rsidR="00C459DE" w:rsidRPr="00C459DE" w:rsidRDefault="00C459DE" w:rsidP="00C459DE">
            <w:pPr>
              <w:rPr>
                <w:rFonts w:cs="Arial"/>
              </w:rPr>
            </w:pPr>
            <w:r w:rsidRPr="00C459DE">
              <w:rPr>
                <w:i/>
                <w:iCs/>
                <w:szCs w:val="20"/>
              </w:rPr>
              <w:t>Moraxella catarrhalis</w:t>
            </w:r>
          </w:p>
        </w:tc>
        <w:tc>
          <w:tcPr>
            <w:tcW w:w="3192" w:type="dxa"/>
          </w:tcPr>
          <w:p w14:paraId="00B43E5A" w14:textId="65FAA1D0" w:rsidR="00C459DE" w:rsidRPr="00C459DE" w:rsidRDefault="00C459DE" w:rsidP="00C459DE">
            <w:pPr>
              <w:rPr>
                <w:rFonts w:cs="Arial"/>
              </w:rPr>
            </w:pPr>
            <w:r w:rsidRPr="00C459DE">
              <w:rPr>
                <w:szCs w:val="20"/>
                <w:lang w:eastAsia="bg-BG"/>
              </w:rPr>
              <w:t>≤</w:t>
            </w:r>
            <w:r w:rsidRPr="00C459DE">
              <w:rPr>
                <w:szCs w:val="20"/>
              </w:rPr>
              <w:t xml:space="preserve"> 1</w:t>
            </w:r>
          </w:p>
        </w:tc>
        <w:tc>
          <w:tcPr>
            <w:tcW w:w="3192" w:type="dxa"/>
          </w:tcPr>
          <w:p w14:paraId="1DC8ACE2" w14:textId="5B1E8C97" w:rsidR="00C459DE" w:rsidRPr="00C459DE" w:rsidRDefault="00C459DE" w:rsidP="00C459DE">
            <w:pPr>
              <w:rPr>
                <w:rFonts w:cs="Arial"/>
              </w:rPr>
            </w:pPr>
            <w:r w:rsidRPr="00C459DE">
              <w:rPr>
                <w:i/>
                <w:iCs/>
                <w:szCs w:val="20"/>
              </w:rPr>
              <w:t>&gt;2</w:t>
            </w:r>
          </w:p>
        </w:tc>
      </w:tr>
      <w:tr w:rsidR="00C459DE" w14:paraId="33B9CF69" w14:textId="77777777" w:rsidTr="00C459DE">
        <w:tc>
          <w:tcPr>
            <w:tcW w:w="3192" w:type="dxa"/>
          </w:tcPr>
          <w:p w14:paraId="43A2D27B" w14:textId="3E046980" w:rsidR="00C459DE" w:rsidRPr="00C459DE" w:rsidRDefault="00C459DE" w:rsidP="00C459DE">
            <w:pPr>
              <w:rPr>
                <w:rFonts w:cs="Arial"/>
              </w:rPr>
            </w:pPr>
            <w:r w:rsidRPr="00C459DE">
              <w:rPr>
                <w:i/>
                <w:iCs/>
                <w:szCs w:val="20"/>
              </w:rPr>
              <w:t>Neisseria gonorrhoeae</w:t>
            </w:r>
          </w:p>
        </w:tc>
        <w:tc>
          <w:tcPr>
            <w:tcW w:w="3192" w:type="dxa"/>
          </w:tcPr>
          <w:p w14:paraId="58718D80" w14:textId="4A503BE0" w:rsidR="00C459DE" w:rsidRPr="00C459DE" w:rsidRDefault="00C459DE" w:rsidP="00C459DE">
            <w:pPr>
              <w:rPr>
                <w:rFonts w:cs="Arial"/>
              </w:rPr>
            </w:pPr>
            <w:r w:rsidRPr="00C459DE">
              <w:rPr>
                <w:szCs w:val="20"/>
                <w:lang w:eastAsia="bg-BG"/>
              </w:rPr>
              <w:t>≤</w:t>
            </w:r>
            <w:r w:rsidRPr="00C459DE">
              <w:rPr>
                <w:szCs w:val="20"/>
              </w:rPr>
              <w:t>0,12</w:t>
            </w:r>
          </w:p>
        </w:tc>
        <w:tc>
          <w:tcPr>
            <w:tcW w:w="3192" w:type="dxa"/>
          </w:tcPr>
          <w:p w14:paraId="174E5905" w14:textId="0315DB31" w:rsidR="00C459DE" w:rsidRPr="00C459DE" w:rsidRDefault="00C459DE" w:rsidP="00C459DE">
            <w:pPr>
              <w:rPr>
                <w:rFonts w:cs="Arial"/>
              </w:rPr>
            </w:pPr>
            <w:r w:rsidRPr="00C459DE">
              <w:rPr>
                <w:szCs w:val="20"/>
              </w:rPr>
              <w:t>&gt;0,12</w:t>
            </w:r>
          </w:p>
        </w:tc>
      </w:tr>
      <w:tr w:rsidR="00C459DE" w14:paraId="4726ED0F" w14:textId="77777777" w:rsidTr="00C459DE">
        <w:tc>
          <w:tcPr>
            <w:tcW w:w="3192" w:type="dxa"/>
          </w:tcPr>
          <w:p w14:paraId="7A56CAA1" w14:textId="78869FF8" w:rsidR="00C459DE" w:rsidRPr="00C459DE" w:rsidRDefault="00C459DE" w:rsidP="00C459DE">
            <w:pPr>
              <w:rPr>
                <w:rFonts w:cs="Arial"/>
              </w:rPr>
            </w:pPr>
            <w:r w:rsidRPr="00C459DE">
              <w:rPr>
                <w:i/>
                <w:iCs/>
                <w:szCs w:val="20"/>
              </w:rPr>
              <w:t>Neisseria meningitidis</w:t>
            </w:r>
          </w:p>
        </w:tc>
        <w:tc>
          <w:tcPr>
            <w:tcW w:w="3192" w:type="dxa"/>
          </w:tcPr>
          <w:p w14:paraId="6EA87A5F" w14:textId="5FB3DDA3" w:rsidR="00C459DE" w:rsidRPr="00C459DE" w:rsidRDefault="00C459DE" w:rsidP="00C459DE">
            <w:pPr>
              <w:rPr>
                <w:rFonts w:cs="Arial"/>
              </w:rPr>
            </w:pPr>
            <w:r w:rsidRPr="00C459DE">
              <w:rPr>
                <w:szCs w:val="20"/>
                <w:lang w:eastAsia="bg-BG"/>
              </w:rPr>
              <w:t>≤</w:t>
            </w:r>
            <w:r w:rsidRPr="00C459DE">
              <w:rPr>
                <w:szCs w:val="20"/>
              </w:rPr>
              <w:t>0,12</w:t>
            </w:r>
            <w:r w:rsidRPr="00C459DE">
              <w:rPr>
                <w:szCs w:val="20"/>
                <w:vertAlign w:val="superscript"/>
              </w:rPr>
              <w:t>c</w:t>
            </w:r>
          </w:p>
        </w:tc>
        <w:tc>
          <w:tcPr>
            <w:tcW w:w="3192" w:type="dxa"/>
          </w:tcPr>
          <w:p w14:paraId="506B8054" w14:textId="124AA064" w:rsidR="00C459DE" w:rsidRPr="00C459DE" w:rsidRDefault="00C459DE" w:rsidP="00C459DE">
            <w:pPr>
              <w:rPr>
                <w:rFonts w:cs="Arial"/>
              </w:rPr>
            </w:pPr>
            <w:r w:rsidRPr="00C459DE">
              <w:rPr>
                <w:szCs w:val="20"/>
              </w:rPr>
              <w:t>&gt;0,12</w:t>
            </w:r>
          </w:p>
        </w:tc>
      </w:tr>
      <w:tr w:rsidR="00C459DE" w14:paraId="7F0E21C0" w14:textId="77777777" w:rsidTr="00C459DE">
        <w:tc>
          <w:tcPr>
            <w:tcW w:w="3192" w:type="dxa"/>
          </w:tcPr>
          <w:p w14:paraId="3B612A6C" w14:textId="53F7DE90" w:rsidR="00C459DE" w:rsidRPr="00C459DE" w:rsidRDefault="00C459DE" w:rsidP="00C459DE">
            <w:pPr>
              <w:rPr>
                <w:rFonts w:cs="Arial"/>
              </w:rPr>
            </w:pPr>
            <w:r w:rsidRPr="00C459DE">
              <w:rPr>
                <w:szCs w:val="20"/>
                <w:lang w:eastAsia="bg-BG"/>
              </w:rPr>
              <w:t xml:space="preserve">Несвързани </w:t>
            </w:r>
            <w:r w:rsidRPr="00C459DE">
              <w:rPr>
                <w:szCs w:val="20"/>
              </w:rPr>
              <w:t xml:space="preserve">c </w:t>
            </w:r>
            <w:r w:rsidRPr="00C459DE">
              <w:rPr>
                <w:szCs w:val="20"/>
                <w:lang w:eastAsia="bg-BG"/>
              </w:rPr>
              <w:t>вида</w:t>
            </w:r>
          </w:p>
        </w:tc>
        <w:tc>
          <w:tcPr>
            <w:tcW w:w="3192" w:type="dxa"/>
          </w:tcPr>
          <w:p w14:paraId="19A54023" w14:textId="67222A07" w:rsidR="00C459DE" w:rsidRPr="00C459DE" w:rsidRDefault="00C459DE" w:rsidP="00C459DE">
            <w:pPr>
              <w:rPr>
                <w:rFonts w:cs="Arial"/>
              </w:rPr>
            </w:pPr>
            <w:r w:rsidRPr="00C459DE">
              <w:rPr>
                <w:szCs w:val="20"/>
                <w:lang w:eastAsia="bg-BG"/>
              </w:rPr>
              <w:t>≤1</w:t>
            </w:r>
            <w:r w:rsidRPr="00C459DE">
              <w:rPr>
                <w:szCs w:val="20"/>
                <w:vertAlign w:val="superscript"/>
              </w:rPr>
              <w:t>b</w:t>
            </w:r>
          </w:p>
        </w:tc>
        <w:tc>
          <w:tcPr>
            <w:tcW w:w="3192" w:type="dxa"/>
          </w:tcPr>
          <w:p w14:paraId="739A3C74" w14:textId="24B34814" w:rsidR="00C459DE" w:rsidRPr="00C459DE" w:rsidRDefault="00C459DE" w:rsidP="00C459DE">
            <w:pPr>
              <w:rPr>
                <w:rFonts w:cs="Arial"/>
              </w:rPr>
            </w:pPr>
            <w:r w:rsidRPr="00C459DE">
              <w:rPr>
                <w:szCs w:val="20"/>
              </w:rPr>
              <w:t>&gt;2</w:t>
            </w:r>
          </w:p>
        </w:tc>
      </w:tr>
    </w:tbl>
    <w:p w14:paraId="0F1295F0" w14:textId="1B1C54B0" w:rsidR="00C459DE" w:rsidRPr="00C459DE" w:rsidRDefault="00C459DE" w:rsidP="00C459DE">
      <w:pPr>
        <w:rPr>
          <w:sz w:val="24"/>
          <w:szCs w:val="24"/>
        </w:rPr>
      </w:pPr>
      <w:r>
        <w:rPr>
          <w:lang w:eastAsia="bg-BG"/>
        </w:rPr>
        <w:t>а.</w:t>
      </w:r>
      <w:r w:rsidRPr="00C459DE">
        <w:rPr>
          <w:lang w:eastAsia="bg-BG"/>
        </w:rPr>
        <w:t>Чувствителност изведена от чувствителността към цефокситин</w:t>
      </w:r>
    </w:p>
    <w:p w14:paraId="570EC5F8" w14:textId="260EDBE9" w:rsidR="00C459DE" w:rsidRPr="00C459DE" w:rsidRDefault="00C459DE" w:rsidP="00C459DE">
      <w:pPr>
        <w:rPr>
          <w:sz w:val="24"/>
          <w:szCs w:val="24"/>
        </w:rPr>
      </w:pPr>
      <w:r>
        <w:rPr>
          <w:lang w:eastAsia="bg-BG"/>
        </w:rPr>
        <w:t>б.</w:t>
      </w:r>
      <w:r w:rsidRPr="00C459DE">
        <w:rPr>
          <w:lang w:eastAsia="bg-BG"/>
        </w:rPr>
        <w:t>Чувствителност изведена от чувствителността към пеницилин</w:t>
      </w:r>
    </w:p>
    <w:p w14:paraId="6CCD9442" w14:textId="50D0AEE2" w:rsidR="00C459DE" w:rsidRPr="00C459DE" w:rsidRDefault="00C459DE" w:rsidP="00C459DE">
      <w:pPr>
        <w:rPr>
          <w:sz w:val="24"/>
          <w:szCs w:val="24"/>
        </w:rPr>
      </w:pPr>
      <w:r>
        <w:rPr>
          <w:lang w:eastAsia="bg-BG"/>
        </w:rPr>
        <w:t>с.</w:t>
      </w:r>
      <w:r w:rsidRPr="00C459DE">
        <w:rPr>
          <w:lang w:eastAsia="bg-BG"/>
        </w:rPr>
        <w:t xml:space="preserve">Изолати с </w:t>
      </w:r>
      <w:r w:rsidRPr="00C459DE">
        <w:rPr>
          <w:lang w:val="en-US"/>
        </w:rPr>
        <w:t>MIC</w:t>
      </w:r>
      <w:r w:rsidRPr="00C459DE">
        <w:rPr>
          <w:lang w:val="ru-RU"/>
        </w:rPr>
        <w:t xml:space="preserve"> </w:t>
      </w:r>
      <w:r w:rsidRPr="00C459DE">
        <w:rPr>
          <w:lang w:eastAsia="bg-BG"/>
        </w:rPr>
        <w:t>за цефтриаксон, които са над границите за чувствителност са рядкост и ако се установят, трябва да се тестват отново и при потвърждение трябва да се изпратят в референтна лаборатория.</w:t>
      </w:r>
    </w:p>
    <w:p w14:paraId="25BD87A9" w14:textId="405FEB33" w:rsidR="00C459DE" w:rsidRPr="00C459DE" w:rsidRDefault="00C459DE" w:rsidP="00C459DE">
      <w:pPr>
        <w:rPr>
          <w:sz w:val="24"/>
          <w:szCs w:val="24"/>
        </w:rPr>
      </w:pPr>
      <w:r>
        <w:rPr>
          <w:lang w:eastAsia="bg-BG"/>
        </w:rPr>
        <w:t>г.</w:t>
      </w:r>
      <w:r w:rsidRPr="00C459DE">
        <w:rPr>
          <w:lang w:eastAsia="bg-BG"/>
        </w:rPr>
        <w:t xml:space="preserve">Границите на чувствителност се отнасят за дневна интравенозна доза от 1 </w:t>
      </w:r>
      <w:r w:rsidRPr="00C459DE">
        <w:rPr>
          <w:lang w:val="en-US"/>
        </w:rPr>
        <w:t>g</w:t>
      </w:r>
      <w:r w:rsidRPr="00C459DE">
        <w:rPr>
          <w:lang w:val="ru-RU"/>
        </w:rPr>
        <w:t xml:space="preserve"> </w:t>
      </w:r>
      <w:r w:rsidRPr="00C459DE">
        <w:rPr>
          <w:lang w:eastAsia="bg-BG"/>
        </w:rPr>
        <w:t xml:space="preserve">X 1 и за висока доза не по-малко от 2 </w:t>
      </w:r>
      <w:r w:rsidRPr="00C459DE">
        <w:rPr>
          <w:lang w:val="en-US"/>
        </w:rPr>
        <w:t>g</w:t>
      </w:r>
      <w:r w:rsidRPr="00C459DE">
        <w:rPr>
          <w:lang w:val="ru-RU"/>
        </w:rPr>
        <w:t xml:space="preserve"> </w:t>
      </w:r>
      <w:r w:rsidRPr="00C459DE">
        <w:rPr>
          <w:lang w:eastAsia="bg-BG"/>
        </w:rPr>
        <w:t>X 1.</w:t>
      </w:r>
    </w:p>
    <w:p w14:paraId="7234504F" w14:textId="77777777" w:rsidR="00C459DE" w:rsidRDefault="00C459DE" w:rsidP="00C459DE">
      <w:pPr>
        <w:rPr>
          <w:u w:val="single"/>
          <w:lang w:eastAsia="bg-BG"/>
        </w:rPr>
      </w:pPr>
    </w:p>
    <w:p w14:paraId="730A3695" w14:textId="5B15E663" w:rsidR="00C459DE" w:rsidRPr="00C459DE" w:rsidRDefault="00C459DE" w:rsidP="00C459DE">
      <w:pPr>
        <w:rPr>
          <w:sz w:val="24"/>
          <w:szCs w:val="24"/>
        </w:rPr>
      </w:pPr>
      <w:r w:rsidRPr="00C459DE">
        <w:rPr>
          <w:u w:val="single"/>
          <w:lang w:eastAsia="bg-BG"/>
        </w:rPr>
        <w:t>Клинична ефикасност срещу специфични патогени</w:t>
      </w:r>
    </w:p>
    <w:p w14:paraId="69DCEA50" w14:textId="3ACEC8B0" w:rsidR="00C459DE" w:rsidRDefault="00C459DE" w:rsidP="00C459DE">
      <w:pPr>
        <w:rPr>
          <w:lang w:eastAsia="bg-BG"/>
        </w:rPr>
      </w:pPr>
      <w:r w:rsidRPr="00C459DE">
        <w:rPr>
          <w:lang w:eastAsia="bg-BG"/>
        </w:rPr>
        <w:t>Преобладаването на придобита резистентност може да варира географски и във времето за определени щамове, поради което е желателно ползването на локалните данни, особено при третиране на тежки инфекции. При необходимост трябва да се потърси експертен съвет, когато локалната преобладаваща резистентност е такава, че ползата от цефтриаксон поне при няколко вида инфекции е дискутабилна.</w:t>
      </w:r>
    </w:p>
    <w:p w14:paraId="29F5D484" w14:textId="56E697DB" w:rsidR="00C459DE" w:rsidRDefault="00C459DE" w:rsidP="00C459DE">
      <w:pPr>
        <w:rPr>
          <w:lang w:eastAsia="bg-BG"/>
        </w:rPr>
      </w:pPr>
    </w:p>
    <w:tbl>
      <w:tblPr>
        <w:tblStyle w:val="TableGrid"/>
        <w:tblW w:w="0" w:type="auto"/>
        <w:tblLook w:val="04A0" w:firstRow="1" w:lastRow="0" w:firstColumn="1" w:lastColumn="0" w:noHBand="0" w:noVBand="1"/>
      </w:tblPr>
      <w:tblGrid>
        <w:gridCol w:w="9350"/>
      </w:tblGrid>
      <w:tr w:rsidR="00C459DE" w14:paraId="47E7A2A6" w14:textId="77777777" w:rsidTr="00C459DE">
        <w:tc>
          <w:tcPr>
            <w:tcW w:w="9576" w:type="dxa"/>
          </w:tcPr>
          <w:p w14:paraId="0EA1E1F1" w14:textId="77777777" w:rsidR="00C459DE" w:rsidRPr="00C459DE" w:rsidRDefault="00C459DE" w:rsidP="00C459DE">
            <w:pPr>
              <w:spacing w:line="240" w:lineRule="auto"/>
              <w:rPr>
                <w:rFonts w:eastAsia="Times New Roman" w:cs="Arial"/>
                <w:sz w:val="28"/>
                <w:szCs w:val="24"/>
                <w:lang w:val="ru-RU"/>
              </w:rPr>
            </w:pPr>
            <w:r w:rsidRPr="00C459DE">
              <w:rPr>
                <w:rFonts w:eastAsia="Times New Roman" w:cs="Arial"/>
                <w:b/>
                <w:bCs/>
                <w:color w:val="000000"/>
                <w:szCs w:val="20"/>
                <w:u w:val="single"/>
                <w:lang w:eastAsia="bg-BG"/>
              </w:rPr>
              <w:t>Обичайно чувствителни микроорганизми</w:t>
            </w:r>
          </w:p>
          <w:p w14:paraId="7D302724" w14:textId="77777777" w:rsidR="00C459DE" w:rsidRPr="00C459DE" w:rsidRDefault="00C459DE" w:rsidP="00C459DE">
            <w:pPr>
              <w:spacing w:line="240" w:lineRule="auto"/>
              <w:rPr>
                <w:rFonts w:eastAsia="Times New Roman" w:cs="Arial"/>
                <w:color w:val="000000"/>
                <w:szCs w:val="20"/>
                <w:u w:val="single"/>
                <w:lang w:eastAsia="bg-BG"/>
              </w:rPr>
            </w:pPr>
          </w:p>
          <w:p w14:paraId="19A4B89D" w14:textId="585B5F28" w:rsidR="00C459DE" w:rsidRPr="00C459DE" w:rsidRDefault="00C459DE" w:rsidP="00C459DE">
            <w:pPr>
              <w:spacing w:line="240" w:lineRule="auto"/>
              <w:rPr>
                <w:rFonts w:eastAsia="Times New Roman" w:cs="Arial"/>
                <w:sz w:val="28"/>
                <w:szCs w:val="24"/>
                <w:lang w:val="ru-RU"/>
              </w:rPr>
            </w:pPr>
            <w:r w:rsidRPr="00C459DE">
              <w:rPr>
                <w:rFonts w:eastAsia="Times New Roman" w:cs="Arial"/>
                <w:color w:val="000000"/>
                <w:szCs w:val="20"/>
                <w:u w:val="single"/>
                <w:lang w:eastAsia="bg-BG"/>
              </w:rPr>
              <w:t>Грам положителни аероби</w:t>
            </w:r>
          </w:p>
          <w:p w14:paraId="770BAD54" w14:textId="77777777" w:rsidR="00C459DE" w:rsidRPr="00C459DE" w:rsidRDefault="00C459DE" w:rsidP="00C459DE">
            <w:pPr>
              <w:spacing w:line="240" w:lineRule="auto"/>
              <w:rPr>
                <w:rFonts w:eastAsia="Times New Roman" w:cs="Arial"/>
                <w:i/>
                <w:iCs/>
                <w:color w:val="000000"/>
                <w:szCs w:val="20"/>
                <w:lang w:val="en-US"/>
              </w:rPr>
            </w:pPr>
          </w:p>
          <w:p w14:paraId="5F4B2B16" w14:textId="445E7718" w:rsidR="00C459DE" w:rsidRPr="00C459DE" w:rsidRDefault="00C459DE" w:rsidP="00C459DE">
            <w:pPr>
              <w:spacing w:line="240" w:lineRule="auto"/>
              <w:rPr>
                <w:rFonts w:eastAsia="Times New Roman" w:cs="Arial"/>
                <w:sz w:val="28"/>
                <w:szCs w:val="24"/>
                <w:lang w:val="ru-RU"/>
              </w:rPr>
            </w:pPr>
            <w:r w:rsidRPr="00C459DE">
              <w:rPr>
                <w:rFonts w:eastAsia="Times New Roman" w:cs="Arial"/>
                <w:i/>
                <w:iCs/>
                <w:color w:val="000000"/>
                <w:szCs w:val="20"/>
                <w:lang w:val="en-US"/>
              </w:rPr>
              <w:t>Staphylococcus</w:t>
            </w:r>
            <w:r w:rsidRPr="00C459DE">
              <w:rPr>
                <w:rFonts w:eastAsia="Times New Roman" w:cs="Arial"/>
                <w:i/>
                <w:iCs/>
                <w:color w:val="000000"/>
                <w:szCs w:val="20"/>
                <w:lang w:val="ru-RU"/>
              </w:rPr>
              <w:t xml:space="preserve"> </w:t>
            </w:r>
            <w:r w:rsidRPr="00C459DE">
              <w:rPr>
                <w:rFonts w:eastAsia="Times New Roman" w:cs="Arial"/>
                <w:i/>
                <w:iCs/>
                <w:color w:val="000000"/>
                <w:szCs w:val="20"/>
                <w:lang w:val="en-US"/>
              </w:rPr>
              <w:t>aureus</w:t>
            </w:r>
            <w:r w:rsidRPr="00C459DE">
              <w:rPr>
                <w:rFonts w:eastAsia="Times New Roman" w:cs="Arial"/>
                <w:color w:val="000000"/>
                <w:szCs w:val="20"/>
                <w:lang w:val="ru-RU"/>
              </w:rPr>
              <w:t xml:space="preserve"> </w:t>
            </w:r>
            <w:r w:rsidRPr="00C459DE">
              <w:rPr>
                <w:rFonts w:eastAsia="Times New Roman" w:cs="Arial"/>
                <w:color w:val="000000"/>
                <w:szCs w:val="20"/>
                <w:lang w:eastAsia="bg-BG"/>
              </w:rPr>
              <w:t xml:space="preserve">(метицилин-чувствителни) </w:t>
            </w:r>
            <w:r w:rsidRPr="00C459DE">
              <w:rPr>
                <w:rFonts w:eastAsia="Times New Roman" w:cs="Arial"/>
                <w:color w:val="000000"/>
                <w:szCs w:val="20"/>
                <w:lang w:eastAsia="bg-BG"/>
              </w:rPr>
              <w:t>£</w:t>
            </w:r>
          </w:p>
          <w:p w14:paraId="6D66D57B" w14:textId="77777777" w:rsidR="00C459DE" w:rsidRPr="00C459DE" w:rsidRDefault="00C459DE" w:rsidP="00C459DE">
            <w:pPr>
              <w:spacing w:line="240" w:lineRule="auto"/>
              <w:rPr>
                <w:rFonts w:eastAsia="Times New Roman" w:cs="Arial"/>
                <w:color w:val="000000"/>
                <w:szCs w:val="20"/>
                <w:lang w:eastAsia="bg-BG"/>
              </w:rPr>
            </w:pPr>
          </w:p>
          <w:p w14:paraId="5235B3B0" w14:textId="0CD43A11" w:rsidR="00C459DE" w:rsidRPr="00C459DE" w:rsidRDefault="00C459DE" w:rsidP="00C459DE">
            <w:pPr>
              <w:spacing w:line="240" w:lineRule="auto"/>
              <w:rPr>
                <w:rFonts w:eastAsia="Times New Roman" w:cs="Arial"/>
                <w:color w:val="000000"/>
                <w:szCs w:val="20"/>
                <w:lang w:eastAsia="bg-BG"/>
              </w:rPr>
            </w:pPr>
            <w:r w:rsidRPr="00C459DE">
              <w:rPr>
                <w:rFonts w:eastAsia="Times New Roman" w:cs="Arial"/>
                <w:color w:val="000000"/>
                <w:szCs w:val="20"/>
                <w:lang w:eastAsia="bg-BG"/>
              </w:rPr>
              <w:t xml:space="preserve">коагулазо-негативни </w:t>
            </w:r>
            <w:r w:rsidRPr="00C459DE">
              <w:rPr>
                <w:rFonts w:eastAsia="Times New Roman" w:cs="Arial"/>
                <w:color w:val="000000"/>
                <w:szCs w:val="20"/>
                <w:lang w:val="en-US"/>
              </w:rPr>
              <w:t>Staphylococci</w:t>
            </w:r>
            <w:r w:rsidRPr="00C459DE">
              <w:rPr>
                <w:rFonts w:eastAsia="Times New Roman" w:cs="Arial"/>
                <w:color w:val="000000"/>
                <w:szCs w:val="20"/>
              </w:rPr>
              <w:t xml:space="preserve"> </w:t>
            </w:r>
            <w:r w:rsidRPr="00C459DE">
              <w:rPr>
                <w:rFonts w:eastAsia="Times New Roman" w:cs="Arial"/>
                <w:color w:val="000000"/>
                <w:szCs w:val="20"/>
                <w:lang w:eastAsia="bg-BG"/>
              </w:rPr>
              <w:t>(метицилин-чувствителни)</w:t>
            </w:r>
            <w:r w:rsidRPr="00C459DE">
              <w:rPr>
                <w:rFonts w:eastAsia="Times New Roman" w:cs="Arial"/>
                <w:color w:val="000000"/>
                <w:szCs w:val="20"/>
                <w:lang w:eastAsia="bg-BG"/>
              </w:rPr>
              <w:t xml:space="preserve">£ </w:t>
            </w:r>
          </w:p>
          <w:p w14:paraId="723B8454" w14:textId="44C458D8" w:rsidR="00C459DE" w:rsidRPr="00C459DE" w:rsidRDefault="00C459DE" w:rsidP="00C459DE">
            <w:pPr>
              <w:spacing w:line="240" w:lineRule="auto"/>
              <w:rPr>
                <w:rFonts w:eastAsia="Times New Roman" w:cs="Arial"/>
                <w:color w:val="000000"/>
                <w:szCs w:val="20"/>
                <w:lang w:eastAsia="bg-BG"/>
              </w:rPr>
            </w:pPr>
            <w:r w:rsidRPr="00C459DE">
              <w:rPr>
                <w:rFonts w:eastAsia="Times New Roman" w:cs="Arial"/>
                <w:i/>
                <w:iCs/>
                <w:color w:val="000000"/>
                <w:szCs w:val="20"/>
                <w:lang w:val="en-US"/>
              </w:rPr>
              <w:t>Streptococcus</w:t>
            </w:r>
            <w:r w:rsidRPr="00C459DE">
              <w:rPr>
                <w:rFonts w:eastAsia="Times New Roman" w:cs="Arial"/>
                <w:i/>
                <w:iCs/>
                <w:color w:val="000000"/>
                <w:szCs w:val="20"/>
              </w:rPr>
              <w:t xml:space="preserve"> </w:t>
            </w:r>
            <w:proofErr w:type="spellStart"/>
            <w:r w:rsidRPr="00C459DE">
              <w:rPr>
                <w:rFonts w:eastAsia="Times New Roman" w:cs="Arial"/>
                <w:i/>
                <w:iCs/>
                <w:color w:val="000000"/>
                <w:szCs w:val="20"/>
                <w:lang w:val="en-US"/>
              </w:rPr>
              <w:t>pyogenes</w:t>
            </w:r>
            <w:proofErr w:type="spellEnd"/>
            <w:r w:rsidRPr="00C459DE">
              <w:rPr>
                <w:rFonts w:eastAsia="Times New Roman" w:cs="Arial"/>
                <w:color w:val="000000"/>
                <w:szCs w:val="20"/>
              </w:rPr>
              <w:t xml:space="preserve"> </w:t>
            </w:r>
            <w:r w:rsidRPr="00C459DE">
              <w:rPr>
                <w:rFonts w:eastAsia="Times New Roman" w:cs="Arial"/>
                <w:color w:val="000000"/>
                <w:szCs w:val="20"/>
                <w:lang w:eastAsia="bg-BG"/>
              </w:rPr>
              <w:t xml:space="preserve">(група А) </w:t>
            </w:r>
          </w:p>
          <w:p w14:paraId="61C0D2D7" w14:textId="50684D9F" w:rsidR="00C459DE" w:rsidRPr="00C459DE" w:rsidRDefault="00C459DE" w:rsidP="00C459DE">
            <w:pPr>
              <w:spacing w:line="240" w:lineRule="auto"/>
              <w:rPr>
                <w:rFonts w:eastAsia="Times New Roman" w:cs="Arial"/>
                <w:sz w:val="28"/>
                <w:szCs w:val="24"/>
              </w:rPr>
            </w:pPr>
            <w:r w:rsidRPr="00C459DE">
              <w:rPr>
                <w:rFonts w:eastAsia="Times New Roman" w:cs="Arial"/>
                <w:i/>
                <w:iCs/>
                <w:color w:val="000000"/>
                <w:szCs w:val="20"/>
                <w:lang w:val="en-US"/>
              </w:rPr>
              <w:t>Streptococcus</w:t>
            </w:r>
            <w:r w:rsidRPr="00C459DE">
              <w:rPr>
                <w:rFonts w:eastAsia="Times New Roman" w:cs="Arial"/>
                <w:i/>
                <w:iCs/>
                <w:color w:val="000000"/>
                <w:szCs w:val="20"/>
              </w:rPr>
              <w:t xml:space="preserve"> </w:t>
            </w:r>
            <w:proofErr w:type="spellStart"/>
            <w:r w:rsidRPr="00C459DE">
              <w:rPr>
                <w:rFonts w:eastAsia="Times New Roman" w:cs="Arial"/>
                <w:i/>
                <w:iCs/>
                <w:color w:val="000000"/>
                <w:szCs w:val="20"/>
                <w:lang w:val="en-US"/>
              </w:rPr>
              <w:t>agalactiae</w:t>
            </w:r>
            <w:proofErr w:type="spellEnd"/>
            <w:r w:rsidRPr="00C459DE">
              <w:rPr>
                <w:rFonts w:eastAsia="Times New Roman" w:cs="Arial"/>
                <w:color w:val="000000"/>
                <w:szCs w:val="20"/>
              </w:rPr>
              <w:t xml:space="preserve"> </w:t>
            </w:r>
            <w:r w:rsidRPr="00C459DE">
              <w:rPr>
                <w:rFonts w:eastAsia="Times New Roman" w:cs="Arial"/>
                <w:color w:val="000000"/>
                <w:szCs w:val="20"/>
                <w:lang w:eastAsia="bg-BG"/>
              </w:rPr>
              <w:t>(група В)</w:t>
            </w:r>
          </w:p>
          <w:p w14:paraId="3D6578DE" w14:textId="77777777" w:rsidR="00C459DE" w:rsidRPr="00C459DE" w:rsidRDefault="00C459DE" w:rsidP="00C459DE">
            <w:pPr>
              <w:spacing w:line="240" w:lineRule="auto"/>
              <w:rPr>
                <w:rFonts w:eastAsia="Times New Roman" w:cs="Arial"/>
                <w:sz w:val="28"/>
                <w:szCs w:val="24"/>
                <w:lang w:val="ru-RU"/>
              </w:rPr>
            </w:pPr>
            <w:r w:rsidRPr="00C459DE">
              <w:rPr>
                <w:rFonts w:eastAsia="Times New Roman" w:cs="Arial"/>
                <w:i/>
                <w:iCs/>
                <w:color w:val="000000"/>
                <w:szCs w:val="20"/>
                <w:lang w:val="en-US"/>
              </w:rPr>
              <w:t>Streptococcus</w:t>
            </w:r>
            <w:r w:rsidRPr="00C459DE">
              <w:rPr>
                <w:rFonts w:eastAsia="Times New Roman" w:cs="Arial"/>
                <w:i/>
                <w:iCs/>
                <w:color w:val="000000"/>
                <w:szCs w:val="20"/>
                <w:lang w:val="ru-RU"/>
              </w:rPr>
              <w:t xml:space="preserve"> </w:t>
            </w:r>
            <w:proofErr w:type="spellStart"/>
            <w:r w:rsidRPr="00C459DE">
              <w:rPr>
                <w:rFonts w:eastAsia="Times New Roman" w:cs="Arial"/>
                <w:i/>
                <w:iCs/>
                <w:color w:val="000000"/>
                <w:szCs w:val="20"/>
                <w:lang w:val="en-US"/>
              </w:rPr>
              <w:t>pneumoniae</w:t>
            </w:r>
            <w:proofErr w:type="spellEnd"/>
          </w:p>
          <w:p w14:paraId="78DAB2AA" w14:textId="6E25EC75" w:rsidR="00C459DE" w:rsidRPr="00C459DE" w:rsidRDefault="00C459DE" w:rsidP="00C459DE">
            <w:pPr>
              <w:spacing w:line="240" w:lineRule="auto"/>
              <w:rPr>
                <w:rFonts w:eastAsia="Times New Roman" w:cs="Arial"/>
                <w:color w:val="000000"/>
                <w:szCs w:val="20"/>
                <w:lang w:eastAsia="bg-BG"/>
              </w:rPr>
            </w:pPr>
            <w:proofErr w:type="spellStart"/>
            <w:r w:rsidRPr="00C459DE">
              <w:rPr>
                <w:rFonts w:eastAsia="Times New Roman" w:cs="Arial"/>
                <w:color w:val="000000"/>
                <w:szCs w:val="20"/>
                <w:lang w:val="en-US"/>
              </w:rPr>
              <w:t>Viridans</w:t>
            </w:r>
            <w:proofErr w:type="spellEnd"/>
            <w:r w:rsidRPr="00C459DE">
              <w:rPr>
                <w:rFonts w:eastAsia="Times New Roman" w:cs="Arial"/>
                <w:color w:val="000000"/>
                <w:szCs w:val="20"/>
                <w:lang w:val="ru-RU"/>
              </w:rPr>
              <w:t xml:space="preserve"> </w:t>
            </w:r>
            <w:r w:rsidRPr="00C459DE">
              <w:rPr>
                <w:rFonts w:eastAsia="Times New Roman" w:cs="Arial"/>
                <w:color w:val="000000"/>
                <w:szCs w:val="20"/>
                <w:lang w:eastAsia="bg-BG"/>
              </w:rPr>
              <w:t xml:space="preserve">група </w:t>
            </w:r>
            <w:r w:rsidRPr="00C459DE">
              <w:rPr>
                <w:rFonts w:eastAsia="Times New Roman" w:cs="Arial"/>
                <w:i/>
                <w:iCs/>
                <w:color w:val="000000"/>
                <w:szCs w:val="20"/>
                <w:lang w:val="en-US"/>
              </w:rPr>
              <w:t>Streptococci</w:t>
            </w:r>
          </w:p>
          <w:p w14:paraId="47D7F5DD" w14:textId="77777777" w:rsidR="00C459DE" w:rsidRPr="00C459DE" w:rsidRDefault="00C459DE" w:rsidP="00C459DE">
            <w:pPr>
              <w:spacing w:line="240" w:lineRule="auto"/>
              <w:rPr>
                <w:rFonts w:eastAsia="Times New Roman" w:cs="Arial"/>
                <w:color w:val="000000"/>
                <w:szCs w:val="20"/>
                <w:u w:val="single"/>
                <w:lang w:eastAsia="bg-BG"/>
              </w:rPr>
            </w:pPr>
          </w:p>
          <w:p w14:paraId="790511AD" w14:textId="743C4961" w:rsidR="00C459DE" w:rsidRPr="00C459DE" w:rsidRDefault="00C459DE" w:rsidP="00C459DE">
            <w:pPr>
              <w:spacing w:line="240" w:lineRule="auto"/>
              <w:rPr>
                <w:rFonts w:eastAsia="Times New Roman" w:cs="Arial"/>
                <w:sz w:val="28"/>
                <w:szCs w:val="24"/>
                <w:lang w:val="ru-RU"/>
              </w:rPr>
            </w:pPr>
            <w:r w:rsidRPr="00C459DE">
              <w:rPr>
                <w:rFonts w:eastAsia="Times New Roman" w:cs="Arial"/>
                <w:color w:val="000000"/>
                <w:szCs w:val="20"/>
                <w:u w:val="single"/>
                <w:lang w:eastAsia="bg-BG"/>
              </w:rPr>
              <w:t>Грам отрицателни аероби</w:t>
            </w:r>
          </w:p>
          <w:p w14:paraId="528405AB" w14:textId="77777777" w:rsidR="00C459DE" w:rsidRPr="00C459DE" w:rsidRDefault="00C459DE" w:rsidP="00C459DE">
            <w:pPr>
              <w:spacing w:line="240" w:lineRule="auto"/>
              <w:rPr>
                <w:rFonts w:eastAsia="Times New Roman" w:cs="Arial"/>
                <w:sz w:val="28"/>
                <w:szCs w:val="24"/>
                <w:lang w:val="en-US"/>
              </w:rPr>
            </w:pPr>
            <w:proofErr w:type="spellStart"/>
            <w:r w:rsidRPr="00C459DE">
              <w:rPr>
                <w:rFonts w:eastAsia="Times New Roman" w:cs="Arial"/>
                <w:i/>
                <w:iCs/>
                <w:color w:val="000000"/>
                <w:szCs w:val="20"/>
                <w:lang w:val="en-US"/>
              </w:rPr>
              <w:t>Borrelia</w:t>
            </w:r>
            <w:proofErr w:type="spellEnd"/>
            <w:r w:rsidRPr="00C459DE">
              <w:rPr>
                <w:rFonts w:eastAsia="Times New Roman" w:cs="Arial"/>
                <w:i/>
                <w:iCs/>
                <w:color w:val="000000"/>
                <w:szCs w:val="20"/>
                <w:lang w:val="en-US"/>
              </w:rPr>
              <w:t xml:space="preserve"> </w:t>
            </w:r>
            <w:proofErr w:type="spellStart"/>
            <w:r w:rsidRPr="00C459DE">
              <w:rPr>
                <w:rFonts w:eastAsia="Times New Roman" w:cs="Arial"/>
                <w:i/>
                <w:iCs/>
                <w:color w:val="000000"/>
                <w:szCs w:val="20"/>
                <w:lang w:val="en-US"/>
              </w:rPr>
              <w:t>burgdorferi</w:t>
            </w:r>
            <w:proofErr w:type="spellEnd"/>
          </w:p>
          <w:p w14:paraId="2DDA59A6" w14:textId="77777777" w:rsidR="00C459DE" w:rsidRPr="00C459DE" w:rsidRDefault="00C459DE" w:rsidP="00C459DE">
            <w:pPr>
              <w:spacing w:line="240" w:lineRule="auto"/>
              <w:rPr>
                <w:rFonts w:eastAsia="Times New Roman" w:cs="Arial"/>
                <w:sz w:val="28"/>
                <w:szCs w:val="24"/>
                <w:lang w:val="en-US"/>
              </w:rPr>
            </w:pPr>
            <w:proofErr w:type="spellStart"/>
            <w:r w:rsidRPr="00C459DE">
              <w:rPr>
                <w:rFonts w:eastAsia="Times New Roman" w:cs="Arial"/>
                <w:i/>
                <w:iCs/>
                <w:color w:val="000000"/>
                <w:szCs w:val="20"/>
                <w:lang w:val="en-US"/>
              </w:rPr>
              <w:t>Haemophilus</w:t>
            </w:r>
            <w:proofErr w:type="spellEnd"/>
            <w:r w:rsidRPr="00C459DE">
              <w:rPr>
                <w:rFonts w:eastAsia="Times New Roman" w:cs="Arial"/>
                <w:i/>
                <w:iCs/>
                <w:color w:val="000000"/>
                <w:szCs w:val="20"/>
                <w:lang w:val="en-US"/>
              </w:rPr>
              <w:t xml:space="preserve"> </w:t>
            </w:r>
            <w:proofErr w:type="spellStart"/>
            <w:r w:rsidRPr="00C459DE">
              <w:rPr>
                <w:rFonts w:eastAsia="Times New Roman" w:cs="Arial"/>
                <w:i/>
                <w:iCs/>
                <w:color w:val="000000"/>
                <w:szCs w:val="20"/>
                <w:lang w:val="en-US"/>
              </w:rPr>
              <w:t>influenzae</w:t>
            </w:r>
            <w:proofErr w:type="spellEnd"/>
          </w:p>
          <w:p w14:paraId="2CADF7B1" w14:textId="77777777" w:rsidR="00C459DE" w:rsidRPr="00C459DE" w:rsidRDefault="00C459DE" w:rsidP="00C459DE">
            <w:pPr>
              <w:spacing w:line="240" w:lineRule="auto"/>
              <w:rPr>
                <w:rFonts w:eastAsia="Times New Roman" w:cs="Arial"/>
                <w:sz w:val="28"/>
                <w:szCs w:val="24"/>
                <w:lang w:val="en-US"/>
              </w:rPr>
            </w:pPr>
            <w:proofErr w:type="spellStart"/>
            <w:r w:rsidRPr="00C459DE">
              <w:rPr>
                <w:rFonts w:eastAsia="Times New Roman" w:cs="Arial"/>
                <w:i/>
                <w:iCs/>
                <w:color w:val="000000"/>
                <w:szCs w:val="20"/>
                <w:lang w:val="en-US"/>
              </w:rPr>
              <w:t>Haemophilus</w:t>
            </w:r>
            <w:proofErr w:type="spellEnd"/>
            <w:r w:rsidRPr="00C459DE">
              <w:rPr>
                <w:rFonts w:eastAsia="Times New Roman" w:cs="Arial"/>
                <w:i/>
                <w:iCs/>
                <w:color w:val="000000"/>
                <w:szCs w:val="20"/>
                <w:lang w:val="en-US"/>
              </w:rPr>
              <w:t xml:space="preserve"> </w:t>
            </w:r>
            <w:proofErr w:type="spellStart"/>
            <w:r w:rsidRPr="00C459DE">
              <w:rPr>
                <w:rFonts w:eastAsia="Times New Roman" w:cs="Arial"/>
                <w:i/>
                <w:iCs/>
                <w:color w:val="000000"/>
                <w:szCs w:val="20"/>
                <w:lang w:val="en-US"/>
              </w:rPr>
              <w:t>parainfluenzae</w:t>
            </w:r>
            <w:proofErr w:type="spellEnd"/>
          </w:p>
          <w:p w14:paraId="29041898" w14:textId="77777777" w:rsidR="00C459DE" w:rsidRPr="00C459DE" w:rsidRDefault="00C459DE" w:rsidP="00C459DE">
            <w:pPr>
              <w:spacing w:line="240" w:lineRule="auto"/>
              <w:rPr>
                <w:rFonts w:eastAsia="Times New Roman" w:cs="Arial"/>
                <w:sz w:val="28"/>
                <w:szCs w:val="24"/>
                <w:lang w:val="en-US"/>
              </w:rPr>
            </w:pPr>
            <w:r w:rsidRPr="00C459DE">
              <w:rPr>
                <w:rFonts w:eastAsia="Times New Roman" w:cs="Arial"/>
                <w:i/>
                <w:iCs/>
                <w:color w:val="000000"/>
                <w:szCs w:val="20"/>
                <w:lang w:val="en-US"/>
              </w:rPr>
              <w:t xml:space="preserve">Moraxella </w:t>
            </w:r>
            <w:proofErr w:type="spellStart"/>
            <w:r w:rsidRPr="00C459DE">
              <w:rPr>
                <w:rFonts w:eastAsia="Times New Roman" w:cs="Arial"/>
                <w:i/>
                <w:iCs/>
                <w:color w:val="000000"/>
                <w:szCs w:val="20"/>
                <w:lang w:val="en-US"/>
              </w:rPr>
              <w:t>catarrhalis</w:t>
            </w:r>
            <w:proofErr w:type="spellEnd"/>
          </w:p>
          <w:p w14:paraId="1D304A26" w14:textId="77777777" w:rsidR="00C459DE" w:rsidRPr="00C459DE" w:rsidRDefault="00C459DE" w:rsidP="00C459DE">
            <w:pPr>
              <w:spacing w:line="240" w:lineRule="auto"/>
              <w:rPr>
                <w:rFonts w:eastAsia="Times New Roman" w:cs="Arial"/>
                <w:sz w:val="28"/>
                <w:szCs w:val="24"/>
                <w:lang w:val="en-US"/>
              </w:rPr>
            </w:pPr>
            <w:r w:rsidRPr="00C459DE">
              <w:rPr>
                <w:rFonts w:eastAsia="Times New Roman" w:cs="Arial"/>
                <w:i/>
                <w:iCs/>
                <w:color w:val="000000"/>
                <w:szCs w:val="20"/>
                <w:lang w:val="en-US"/>
              </w:rPr>
              <w:t xml:space="preserve">Neisseria </w:t>
            </w:r>
            <w:proofErr w:type="spellStart"/>
            <w:r w:rsidRPr="00C459DE">
              <w:rPr>
                <w:rFonts w:eastAsia="Times New Roman" w:cs="Arial"/>
                <w:i/>
                <w:iCs/>
                <w:color w:val="000000"/>
                <w:szCs w:val="20"/>
                <w:lang w:val="en-US"/>
              </w:rPr>
              <w:t>gonorrhoea</w:t>
            </w:r>
            <w:proofErr w:type="spellEnd"/>
          </w:p>
          <w:p w14:paraId="60995FDB" w14:textId="77777777" w:rsidR="00C459DE" w:rsidRPr="00C459DE" w:rsidRDefault="00C459DE" w:rsidP="00C459DE">
            <w:pPr>
              <w:spacing w:line="240" w:lineRule="auto"/>
              <w:rPr>
                <w:rFonts w:eastAsia="Times New Roman" w:cs="Arial"/>
                <w:sz w:val="28"/>
                <w:szCs w:val="24"/>
                <w:lang w:val="en-US"/>
              </w:rPr>
            </w:pPr>
            <w:r w:rsidRPr="00C459DE">
              <w:rPr>
                <w:rFonts w:eastAsia="Times New Roman" w:cs="Arial"/>
                <w:i/>
                <w:iCs/>
                <w:color w:val="000000"/>
                <w:szCs w:val="20"/>
                <w:lang w:val="en-US"/>
              </w:rPr>
              <w:t xml:space="preserve">Neisseria </w:t>
            </w:r>
            <w:proofErr w:type="spellStart"/>
            <w:r w:rsidRPr="00C459DE">
              <w:rPr>
                <w:rFonts w:eastAsia="Times New Roman" w:cs="Arial"/>
                <w:i/>
                <w:iCs/>
                <w:color w:val="000000"/>
                <w:szCs w:val="20"/>
                <w:lang w:val="en-US"/>
              </w:rPr>
              <w:t>meningitidis</w:t>
            </w:r>
            <w:proofErr w:type="spellEnd"/>
          </w:p>
          <w:p w14:paraId="76FF3C68" w14:textId="77777777" w:rsidR="00C459DE" w:rsidRPr="00C459DE" w:rsidRDefault="00C459DE" w:rsidP="00C459DE">
            <w:pPr>
              <w:spacing w:line="240" w:lineRule="auto"/>
              <w:rPr>
                <w:rFonts w:eastAsia="Times New Roman" w:cs="Arial"/>
                <w:sz w:val="28"/>
                <w:szCs w:val="24"/>
                <w:lang w:val="en-US"/>
              </w:rPr>
            </w:pPr>
            <w:r w:rsidRPr="00C459DE">
              <w:rPr>
                <w:rFonts w:eastAsia="Times New Roman" w:cs="Arial"/>
                <w:i/>
                <w:iCs/>
                <w:color w:val="000000"/>
                <w:szCs w:val="20"/>
                <w:lang w:val="en-US"/>
              </w:rPr>
              <w:lastRenderedPageBreak/>
              <w:t>Proteus mirabilis</w:t>
            </w:r>
          </w:p>
          <w:p w14:paraId="38BD588B" w14:textId="77777777" w:rsidR="00C459DE" w:rsidRPr="00C459DE" w:rsidRDefault="00C459DE" w:rsidP="00C459DE">
            <w:pPr>
              <w:spacing w:line="240" w:lineRule="auto"/>
              <w:rPr>
                <w:rFonts w:eastAsia="Times New Roman" w:cs="Arial"/>
                <w:sz w:val="28"/>
                <w:szCs w:val="24"/>
                <w:lang w:val="en-US"/>
              </w:rPr>
            </w:pPr>
            <w:proofErr w:type="spellStart"/>
            <w:r w:rsidRPr="00C459DE">
              <w:rPr>
                <w:rFonts w:eastAsia="Times New Roman" w:cs="Arial"/>
                <w:i/>
                <w:iCs/>
                <w:color w:val="000000"/>
                <w:szCs w:val="20"/>
                <w:lang w:val="en-US"/>
              </w:rPr>
              <w:t>Providencia</w:t>
            </w:r>
            <w:proofErr w:type="spellEnd"/>
            <w:r w:rsidRPr="00C459DE">
              <w:rPr>
                <w:rFonts w:eastAsia="Times New Roman" w:cs="Arial"/>
                <w:color w:val="000000"/>
                <w:szCs w:val="20"/>
                <w:lang w:val="en-US"/>
              </w:rPr>
              <w:t xml:space="preserve"> </w:t>
            </w:r>
            <w:proofErr w:type="spellStart"/>
            <w:r w:rsidRPr="00C459DE">
              <w:rPr>
                <w:rFonts w:eastAsia="Times New Roman" w:cs="Arial"/>
                <w:color w:val="000000"/>
                <w:szCs w:val="20"/>
                <w:lang w:val="en-US"/>
              </w:rPr>
              <w:t>spp</w:t>
            </w:r>
            <w:proofErr w:type="spellEnd"/>
          </w:p>
          <w:p w14:paraId="52FAA296" w14:textId="77777777" w:rsidR="00C459DE" w:rsidRPr="00C459DE" w:rsidRDefault="00C459DE" w:rsidP="00C459DE">
            <w:pPr>
              <w:spacing w:line="240" w:lineRule="auto"/>
              <w:rPr>
                <w:rFonts w:eastAsia="Times New Roman" w:cs="Arial"/>
                <w:sz w:val="28"/>
                <w:szCs w:val="24"/>
                <w:lang w:val="en-US"/>
              </w:rPr>
            </w:pPr>
            <w:proofErr w:type="spellStart"/>
            <w:r w:rsidRPr="00C459DE">
              <w:rPr>
                <w:rFonts w:eastAsia="Times New Roman" w:cs="Arial"/>
                <w:i/>
                <w:iCs/>
                <w:color w:val="000000"/>
                <w:szCs w:val="20"/>
                <w:lang w:val="en-US"/>
              </w:rPr>
              <w:t>Treponema</w:t>
            </w:r>
            <w:proofErr w:type="spellEnd"/>
            <w:r w:rsidRPr="00C459DE">
              <w:rPr>
                <w:rFonts w:eastAsia="Times New Roman" w:cs="Arial"/>
                <w:i/>
                <w:iCs/>
                <w:color w:val="000000"/>
                <w:szCs w:val="20"/>
                <w:lang w:val="en-US"/>
              </w:rPr>
              <w:t xml:space="preserve"> pallidum</w:t>
            </w:r>
          </w:p>
          <w:p w14:paraId="60B62CF5" w14:textId="77777777" w:rsidR="00C459DE" w:rsidRPr="00C459DE" w:rsidRDefault="00C459DE" w:rsidP="00C459DE">
            <w:pPr>
              <w:rPr>
                <w:sz w:val="24"/>
                <w:szCs w:val="24"/>
                <w:lang w:val="en-US"/>
              </w:rPr>
            </w:pPr>
          </w:p>
        </w:tc>
      </w:tr>
      <w:tr w:rsidR="00C459DE" w14:paraId="64CFF8A6" w14:textId="77777777" w:rsidTr="00C459DE">
        <w:tc>
          <w:tcPr>
            <w:tcW w:w="9576" w:type="dxa"/>
          </w:tcPr>
          <w:p w14:paraId="1C578682" w14:textId="7266C20A" w:rsidR="00C459DE" w:rsidRPr="00C459DE" w:rsidRDefault="00C459DE" w:rsidP="00C459DE">
            <w:pPr>
              <w:rPr>
                <w:szCs w:val="24"/>
              </w:rPr>
            </w:pPr>
            <w:r w:rsidRPr="00C459DE">
              <w:rPr>
                <w:b/>
                <w:bCs/>
                <w:szCs w:val="20"/>
                <w:lang w:eastAsia="bg-BG"/>
              </w:rPr>
              <w:lastRenderedPageBreak/>
              <w:t>Щамове, при които придобитата резистентност може да бъде проблематична</w:t>
            </w:r>
          </w:p>
        </w:tc>
      </w:tr>
      <w:tr w:rsidR="00C459DE" w14:paraId="4DDE036B" w14:textId="77777777" w:rsidTr="00C459DE">
        <w:tc>
          <w:tcPr>
            <w:tcW w:w="9576" w:type="dxa"/>
          </w:tcPr>
          <w:p w14:paraId="798EDC56" w14:textId="77777777" w:rsidR="00C459DE" w:rsidRDefault="00C459DE" w:rsidP="00C459DE">
            <w:pPr>
              <w:rPr>
                <w:szCs w:val="20"/>
                <w:u w:val="single"/>
                <w:lang w:eastAsia="bg-BG"/>
              </w:rPr>
            </w:pPr>
            <w:r w:rsidRPr="00C459DE">
              <w:rPr>
                <w:szCs w:val="20"/>
                <w:u w:val="single"/>
                <w:lang w:eastAsia="bg-BG"/>
              </w:rPr>
              <w:t xml:space="preserve">Грам положителни аероби </w:t>
            </w:r>
          </w:p>
          <w:p w14:paraId="587ABDFC" w14:textId="77777777" w:rsidR="00C459DE" w:rsidRDefault="00C459DE" w:rsidP="00C459DE">
            <w:pPr>
              <w:rPr>
                <w:i/>
                <w:iCs/>
                <w:szCs w:val="20"/>
                <w:vertAlign w:val="superscript"/>
              </w:rPr>
            </w:pPr>
            <w:r w:rsidRPr="00C459DE">
              <w:rPr>
                <w:i/>
                <w:iCs/>
                <w:szCs w:val="20"/>
              </w:rPr>
              <w:t>Staphylococcus epidermidis</w:t>
            </w:r>
            <w:r w:rsidRPr="00C459DE">
              <w:rPr>
                <w:i/>
                <w:iCs/>
                <w:szCs w:val="20"/>
                <w:vertAlign w:val="superscript"/>
              </w:rPr>
              <w:t xml:space="preserve">+ </w:t>
            </w:r>
          </w:p>
          <w:p w14:paraId="1B65F69A" w14:textId="77777777" w:rsidR="00C459DE" w:rsidRDefault="00C459DE" w:rsidP="00C459DE">
            <w:pPr>
              <w:rPr>
                <w:i/>
                <w:iCs/>
                <w:szCs w:val="20"/>
                <w:vertAlign w:val="superscript"/>
              </w:rPr>
            </w:pPr>
            <w:r w:rsidRPr="00C459DE">
              <w:rPr>
                <w:i/>
                <w:iCs/>
                <w:szCs w:val="20"/>
              </w:rPr>
              <w:t>Staphylococcus haemolyticus</w:t>
            </w:r>
            <w:r w:rsidRPr="00C459DE">
              <w:rPr>
                <w:i/>
                <w:iCs/>
                <w:szCs w:val="20"/>
                <w:vertAlign w:val="superscript"/>
              </w:rPr>
              <w:t xml:space="preserve">+ </w:t>
            </w:r>
          </w:p>
          <w:p w14:paraId="6B2EFA95" w14:textId="77D7585E" w:rsidR="00C459DE" w:rsidRPr="00C459DE" w:rsidRDefault="00C459DE" w:rsidP="00C459DE">
            <w:r w:rsidRPr="00C459DE">
              <w:rPr>
                <w:i/>
                <w:iCs/>
                <w:szCs w:val="20"/>
              </w:rPr>
              <w:t>Staphylococcus hominis</w:t>
            </w:r>
            <w:r w:rsidRPr="00C459DE">
              <w:rPr>
                <w:i/>
                <w:iCs/>
                <w:szCs w:val="20"/>
                <w:vertAlign w:val="superscript"/>
              </w:rPr>
              <w:t>+</w:t>
            </w:r>
          </w:p>
          <w:p w14:paraId="72130192" w14:textId="77777777" w:rsidR="00C459DE" w:rsidRDefault="00C459DE" w:rsidP="00C459DE">
            <w:pPr>
              <w:rPr>
                <w:szCs w:val="20"/>
                <w:u w:val="single"/>
                <w:lang w:eastAsia="bg-BG"/>
              </w:rPr>
            </w:pPr>
          </w:p>
          <w:p w14:paraId="045022BD" w14:textId="565ABD0A" w:rsidR="00C459DE" w:rsidRPr="00C459DE" w:rsidRDefault="00C459DE" w:rsidP="00C459DE">
            <w:r w:rsidRPr="00C459DE">
              <w:rPr>
                <w:szCs w:val="20"/>
                <w:u w:val="single"/>
                <w:lang w:eastAsia="bg-BG"/>
              </w:rPr>
              <w:t>Грам отрицателни аероби</w:t>
            </w:r>
          </w:p>
          <w:p w14:paraId="31B056DE" w14:textId="77777777" w:rsidR="00C459DE" w:rsidRDefault="00C459DE" w:rsidP="00C459DE">
            <w:pPr>
              <w:rPr>
                <w:i/>
                <w:iCs/>
                <w:szCs w:val="20"/>
              </w:rPr>
            </w:pPr>
            <w:r w:rsidRPr="00C459DE">
              <w:rPr>
                <w:i/>
                <w:iCs/>
                <w:szCs w:val="20"/>
              </w:rPr>
              <w:t xml:space="preserve">Citrobacterfreundii </w:t>
            </w:r>
          </w:p>
          <w:p w14:paraId="2CB10257" w14:textId="77777777" w:rsidR="00C459DE" w:rsidRDefault="00C459DE" w:rsidP="00C459DE">
            <w:pPr>
              <w:rPr>
                <w:i/>
                <w:iCs/>
                <w:szCs w:val="20"/>
              </w:rPr>
            </w:pPr>
            <w:r w:rsidRPr="00C459DE">
              <w:rPr>
                <w:i/>
                <w:iCs/>
                <w:szCs w:val="20"/>
              </w:rPr>
              <w:t xml:space="preserve">Enterobacter aerogenes </w:t>
            </w:r>
          </w:p>
          <w:p w14:paraId="0A64C15D" w14:textId="77777777" w:rsidR="00C459DE" w:rsidRDefault="00C459DE" w:rsidP="00C459DE">
            <w:pPr>
              <w:rPr>
                <w:i/>
                <w:iCs/>
                <w:szCs w:val="20"/>
              </w:rPr>
            </w:pPr>
            <w:r w:rsidRPr="00C459DE">
              <w:rPr>
                <w:i/>
                <w:iCs/>
                <w:szCs w:val="20"/>
              </w:rPr>
              <w:t xml:space="preserve">Enterobacter cloacae </w:t>
            </w:r>
          </w:p>
          <w:p w14:paraId="115162D6" w14:textId="1DB380E6" w:rsidR="00C459DE" w:rsidRPr="00C459DE" w:rsidRDefault="00C459DE" w:rsidP="00C459DE">
            <w:r w:rsidRPr="00C459DE">
              <w:rPr>
                <w:i/>
                <w:iCs/>
                <w:szCs w:val="20"/>
              </w:rPr>
              <w:t>Escherichia coli</w:t>
            </w:r>
            <w:r w:rsidRPr="00C459DE">
              <w:rPr>
                <w:i/>
                <w:iCs/>
                <w:szCs w:val="20"/>
                <w:vertAlign w:val="superscript"/>
              </w:rPr>
              <w:t>%</w:t>
            </w:r>
          </w:p>
          <w:p w14:paraId="7A496BBA" w14:textId="77777777" w:rsidR="00C459DE" w:rsidRPr="00C459DE" w:rsidRDefault="00C459DE" w:rsidP="00C459DE">
            <w:r w:rsidRPr="00C459DE">
              <w:rPr>
                <w:i/>
                <w:iCs/>
                <w:szCs w:val="20"/>
              </w:rPr>
              <w:t>Klebsiella pneumoniae</w:t>
            </w:r>
            <w:r w:rsidRPr="00C459DE">
              <w:rPr>
                <w:i/>
                <w:iCs/>
                <w:szCs w:val="20"/>
                <w:vertAlign w:val="superscript"/>
              </w:rPr>
              <w:t>%</w:t>
            </w:r>
          </w:p>
          <w:p w14:paraId="6DB6C36A" w14:textId="77777777" w:rsidR="00C459DE" w:rsidRPr="00C459DE" w:rsidRDefault="00C459DE" w:rsidP="00C459DE"/>
          <w:p w14:paraId="5F1E014F" w14:textId="77777777" w:rsidR="00C459DE" w:rsidRDefault="00C459DE" w:rsidP="00C459DE">
            <w:pPr>
              <w:rPr>
                <w:i/>
                <w:iCs/>
                <w:szCs w:val="20"/>
              </w:rPr>
            </w:pPr>
            <w:r w:rsidRPr="00C459DE">
              <w:rPr>
                <w:i/>
                <w:iCs/>
                <w:szCs w:val="20"/>
              </w:rPr>
              <w:t>Klebsiella oxytoca</w:t>
            </w:r>
            <w:r w:rsidRPr="00C459DE">
              <w:rPr>
                <w:i/>
                <w:iCs/>
                <w:szCs w:val="20"/>
                <w:vertAlign w:val="superscript"/>
              </w:rPr>
              <w:t>%</w:t>
            </w:r>
            <w:r w:rsidRPr="00C459DE">
              <w:rPr>
                <w:i/>
                <w:iCs/>
                <w:szCs w:val="20"/>
              </w:rPr>
              <w:t xml:space="preserve"> </w:t>
            </w:r>
          </w:p>
          <w:p w14:paraId="1773BBA9" w14:textId="1446119A" w:rsidR="00C459DE" w:rsidRPr="00C459DE" w:rsidRDefault="00C459DE" w:rsidP="00C459DE">
            <w:r w:rsidRPr="00C459DE">
              <w:rPr>
                <w:i/>
                <w:iCs/>
                <w:szCs w:val="20"/>
              </w:rPr>
              <w:t>Morganella morganii</w:t>
            </w:r>
          </w:p>
          <w:p w14:paraId="4DF30980" w14:textId="77777777" w:rsidR="00C459DE" w:rsidRPr="00C459DE" w:rsidRDefault="00C459DE" w:rsidP="00C459DE">
            <w:r w:rsidRPr="00C459DE">
              <w:rPr>
                <w:i/>
                <w:iCs/>
                <w:szCs w:val="20"/>
              </w:rPr>
              <w:t>Proteus vulgaris</w:t>
            </w:r>
          </w:p>
          <w:p w14:paraId="7FC05BCC" w14:textId="77777777" w:rsidR="00C459DE" w:rsidRPr="00C459DE" w:rsidRDefault="00C459DE" w:rsidP="00C459DE">
            <w:r w:rsidRPr="00C459DE">
              <w:rPr>
                <w:i/>
                <w:iCs/>
                <w:szCs w:val="20"/>
              </w:rPr>
              <w:t>Serratia marcescens</w:t>
            </w:r>
          </w:p>
          <w:p w14:paraId="69704CFA" w14:textId="77777777" w:rsidR="00C459DE" w:rsidRDefault="00C459DE" w:rsidP="00C459DE">
            <w:pPr>
              <w:rPr>
                <w:szCs w:val="20"/>
                <w:u w:val="single"/>
                <w:lang w:eastAsia="bg-BG"/>
              </w:rPr>
            </w:pPr>
          </w:p>
          <w:p w14:paraId="118E9B52" w14:textId="1AF5F979" w:rsidR="00C459DE" w:rsidRPr="00C459DE" w:rsidRDefault="00C459DE" w:rsidP="00C459DE">
            <w:r w:rsidRPr="00C459DE">
              <w:rPr>
                <w:szCs w:val="20"/>
                <w:u w:val="single"/>
                <w:lang w:eastAsia="bg-BG"/>
              </w:rPr>
              <w:t>Анаероби</w:t>
            </w:r>
          </w:p>
          <w:p w14:paraId="7EBD1768" w14:textId="77777777" w:rsidR="00C459DE" w:rsidRDefault="00C459DE" w:rsidP="00C459DE">
            <w:pPr>
              <w:rPr>
                <w:szCs w:val="20"/>
              </w:rPr>
            </w:pPr>
            <w:r w:rsidRPr="00C459DE">
              <w:rPr>
                <w:i/>
                <w:iCs/>
                <w:szCs w:val="20"/>
              </w:rPr>
              <w:t>Bacteroides</w:t>
            </w:r>
            <w:r w:rsidRPr="00C459DE">
              <w:rPr>
                <w:szCs w:val="20"/>
              </w:rPr>
              <w:t xml:space="preserve"> spp, </w:t>
            </w:r>
          </w:p>
          <w:p w14:paraId="77FC871A" w14:textId="77777777" w:rsidR="00C459DE" w:rsidRDefault="00C459DE" w:rsidP="00C459DE">
            <w:pPr>
              <w:rPr>
                <w:szCs w:val="20"/>
              </w:rPr>
            </w:pPr>
            <w:r w:rsidRPr="00C459DE">
              <w:rPr>
                <w:i/>
                <w:iCs/>
                <w:szCs w:val="20"/>
              </w:rPr>
              <w:t>Fusobacterium</w:t>
            </w:r>
            <w:r w:rsidRPr="00C459DE">
              <w:rPr>
                <w:szCs w:val="20"/>
              </w:rPr>
              <w:t xml:space="preserve"> spp. </w:t>
            </w:r>
          </w:p>
          <w:p w14:paraId="4E57D793" w14:textId="77777777" w:rsidR="00C459DE" w:rsidRDefault="00C459DE" w:rsidP="00C459DE">
            <w:pPr>
              <w:rPr>
                <w:szCs w:val="20"/>
              </w:rPr>
            </w:pPr>
            <w:r w:rsidRPr="00C459DE">
              <w:rPr>
                <w:i/>
                <w:iCs/>
                <w:szCs w:val="20"/>
              </w:rPr>
              <w:t>Peptostreptococcus</w:t>
            </w:r>
            <w:r w:rsidRPr="00C459DE">
              <w:rPr>
                <w:szCs w:val="20"/>
              </w:rPr>
              <w:t xml:space="preserve"> spp. </w:t>
            </w:r>
          </w:p>
          <w:p w14:paraId="1982E6D4" w14:textId="2DD7E423" w:rsidR="00C459DE" w:rsidRPr="00C459DE" w:rsidRDefault="00C459DE" w:rsidP="00C459DE">
            <w:pPr>
              <w:rPr>
                <w:szCs w:val="24"/>
              </w:rPr>
            </w:pPr>
            <w:r w:rsidRPr="00C459DE">
              <w:rPr>
                <w:i/>
                <w:iCs/>
                <w:szCs w:val="20"/>
              </w:rPr>
              <w:t>Clostridium perjringens</w:t>
            </w:r>
          </w:p>
        </w:tc>
      </w:tr>
      <w:tr w:rsidR="00C459DE" w14:paraId="08ADB64A" w14:textId="77777777" w:rsidTr="00C459DE">
        <w:tc>
          <w:tcPr>
            <w:tcW w:w="9576" w:type="dxa"/>
          </w:tcPr>
          <w:p w14:paraId="593606BF" w14:textId="609B0D4D" w:rsidR="00C459DE" w:rsidRPr="00C459DE" w:rsidRDefault="00C459DE" w:rsidP="00C459DE">
            <w:pPr>
              <w:rPr>
                <w:szCs w:val="24"/>
              </w:rPr>
            </w:pPr>
            <w:r w:rsidRPr="00C459DE">
              <w:rPr>
                <w:b/>
                <w:bCs/>
                <w:szCs w:val="20"/>
                <w:lang w:eastAsia="bg-BG"/>
              </w:rPr>
              <w:t>Микроорганизми, конто обичайно са резистентни</w:t>
            </w:r>
          </w:p>
        </w:tc>
      </w:tr>
      <w:tr w:rsidR="00C459DE" w14:paraId="5631CF6F" w14:textId="77777777" w:rsidTr="00C459DE">
        <w:tc>
          <w:tcPr>
            <w:tcW w:w="9576" w:type="dxa"/>
          </w:tcPr>
          <w:p w14:paraId="355EB0E0" w14:textId="77777777" w:rsidR="00C459DE" w:rsidRDefault="00C459DE" w:rsidP="00C459DE">
            <w:pPr>
              <w:rPr>
                <w:szCs w:val="20"/>
                <w:u w:val="single"/>
                <w:lang w:eastAsia="bg-BG"/>
              </w:rPr>
            </w:pPr>
            <w:r w:rsidRPr="00C459DE">
              <w:rPr>
                <w:szCs w:val="20"/>
                <w:u w:val="single"/>
                <w:lang w:eastAsia="bg-BG"/>
              </w:rPr>
              <w:t xml:space="preserve">Грам положителни аероби </w:t>
            </w:r>
          </w:p>
          <w:p w14:paraId="375A3BD5" w14:textId="6AE6DAA4" w:rsidR="00C459DE" w:rsidRPr="00C459DE" w:rsidRDefault="00C459DE" w:rsidP="00C459DE">
            <w:r w:rsidRPr="00C459DE">
              <w:rPr>
                <w:i/>
                <w:iCs/>
                <w:szCs w:val="20"/>
              </w:rPr>
              <w:t>Enterococcus</w:t>
            </w:r>
            <w:r w:rsidRPr="00C459DE">
              <w:rPr>
                <w:szCs w:val="20"/>
              </w:rPr>
              <w:t xml:space="preserve"> spp.</w:t>
            </w:r>
          </w:p>
          <w:p w14:paraId="1BB633B2" w14:textId="77777777" w:rsidR="00C459DE" w:rsidRPr="00C459DE" w:rsidRDefault="00C459DE" w:rsidP="00C459DE">
            <w:r w:rsidRPr="00C459DE">
              <w:rPr>
                <w:i/>
                <w:iCs/>
                <w:szCs w:val="20"/>
              </w:rPr>
              <w:t>Listeria monocytogenes</w:t>
            </w:r>
          </w:p>
          <w:p w14:paraId="7EE2FCE3" w14:textId="77777777" w:rsidR="00C459DE" w:rsidRDefault="00C459DE" w:rsidP="00C459DE">
            <w:pPr>
              <w:rPr>
                <w:szCs w:val="20"/>
                <w:u w:val="single"/>
                <w:lang w:eastAsia="bg-BG"/>
              </w:rPr>
            </w:pPr>
          </w:p>
          <w:p w14:paraId="37E9FAEC" w14:textId="4FC976E5" w:rsidR="00C459DE" w:rsidRPr="00C459DE" w:rsidRDefault="00C459DE" w:rsidP="00C459DE">
            <w:pPr>
              <w:rPr>
                <w:szCs w:val="20"/>
                <w:u w:val="single"/>
                <w:lang w:eastAsia="bg-BG"/>
              </w:rPr>
            </w:pPr>
            <w:r w:rsidRPr="00C459DE">
              <w:rPr>
                <w:szCs w:val="20"/>
                <w:u w:val="single"/>
                <w:lang w:eastAsia="bg-BG"/>
              </w:rPr>
              <w:t>Грам отрицателни аероби</w:t>
            </w:r>
          </w:p>
          <w:p w14:paraId="302A89DE" w14:textId="77777777" w:rsidR="00C459DE" w:rsidRDefault="00C459DE" w:rsidP="00C459DE">
            <w:pPr>
              <w:rPr>
                <w:i/>
                <w:iCs/>
                <w:szCs w:val="20"/>
              </w:rPr>
            </w:pPr>
            <w:r w:rsidRPr="00C459DE">
              <w:rPr>
                <w:i/>
                <w:iCs/>
                <w:szCs w:val="20"/>
              </w:rPr>
              <w:t xml:space="preserve">Acinetobacter baumannii </w:t>
            </w:r>
          </w:p>
          <w:p w14:paraId="43889C74" w14:textId="77777777" w:rsidR="00C459DE" w:rsidRDefault="00C459DE" w:rsidP="00C459DE">
            <w:pPr>
              <w:rPr>
                <w:i/>
                <w:iCs/>
                <w:szCs w:val="20"/>
              </w:rPr>
            </w:pPr>
            <w:r w:rsidRPr="00C459DE">
              <w:rPr>
                <w:i/>
                <w:iCs/>
                <w:szCs w:val="20"/>
              </w:rPr>
              <w:t xml:space="preserve">Pseudomonas aeruginosa </w:t>
            </w:r>
          </w:p>
          <w:p w14:paraId="264BFF9C" w14:textId="6AF7E7E8" w:rsidR="00C459DE" w:rsidRPr="00C459DE" w:rsidRDefault="00C459DE" w:rsidP="00C459DE">
            <w:r w:rsidRPr="00C459DE">
              <w:rPr>
                <w:i/>
                <w:iCs/>
                <w:szCs w:val="20"/>
              </w:rPr>
              <w:t>Stenotrophomonas maltophilia</w:t>
            </w:r>
          </w:p>
          <w:p w14:paraId="29F48601" w14:textId="77777777" w:rsidR="00C459DE" w:rsidRDefault="00C459DE" w:rsidP="00C459DE">
            <w:pPr>
              <w:rPr>
                <w:szCs w:val="20"/>
                <w:u w:val="single"/>
                <w:lang w:eastAsia="bg-BG"/>
              </w:rPr>
            </w:pPr>
          </w:p>
          <w:p w14:paraId="4C99CF46" w14:textId="67AE6F66" w:rsidR="00C459DE" w:rsidRPr="00C459DE" w:rsidRDefault="00C459DE" w:rsidP="00C459DE">
            <w:r w:rsidRPr="00C459DE">
              <w:rPr>
                <w:szCs w:val="20"/>
                <w:u w:val="single"/>
                <w:lang w:eastAsia="bg-BG"/>
              </w:rPr>
              <w:t>Анаероби</w:t>
            </w:r>
          </w:p>
          <w:p w14:paraId="43B194D5" w14:textId="77777777" w:rsidR="00C459DE" w:rsidRPr="00C459DE" w:rsidRDefault="00C459DE" w:rsidP="00C459DE">
            <w:r w:rsidRPr="00C459DE">
              <w:rPr>
                <w:i/>
                <w:iCs/>
                <w:szCs w:val="20"/>
              </w:rPr>
              <w:t>Clostridium difficile</w:t>
            </w:r>
          </w:p>
          <w:p w14:paraId="25848351" w14:textId="77777777" w:rsidR="00C459DE" w:rsidRDefault="00C459DE" w:rsidP="00C459DE">
            <w:pPr>
              <w:rPr>
                <w:szCs w:val="20"/>
                <w:u w:val="single"/>
                <w:lang w:eastAsia="bg-BG"/>
              </w:rPr>
            </w:pPr>
          </w:p>
          <w:p w14:paraId="0EA79882" w14:textId="384E0E39" w:rsidR="00C459DE" w:rsidRPr="00C459DE" w:rsidRDefault="00C459DE" w:rsidP="00C459DE">
            <w:r w:rsidRPr="00C459DE">
              <w:rPr>
                <w:szCs w:val="20"/>
                <w:u w:val="single"/>
                <w:lang w:eastAsia="bg-BG"/>
              </w:rPr>
              <w:t>Други:</w:t>
            </w:r>
          </w:p>
          <w:p w14:paraId="4E9260A2" w14:textId="77777777" w:rsidR="00C459DE" w:rsidRPr="00C459DE" w:rsidRDefault="00C459DE" w:rsidP="00C459DE">
            <w:r w:rsidRPr="00C459DE">
              <w:rPr>
                <w:i/>
                <w:iCs/>
                <w:szCs w:val="20"/>
              </w:rPr>
              <w:t>Chlamydia spp.</w:t>
            </w:r>
          </w:p>
          <w:p w14:paraId="60920389" w14:textId="77777777" w:rsidR="00C459DE" w:rsidRPr="00C459DE" w:rsidRDefault="00C459DE" w:rsidP="00C459DE">
            <w:r w:rsidRPr="00C459DE">
              <w:rPr>
                <w:i/>
                <w:iCs/>
                <w:szCs w:val="20"/>
              </w:rPr>
              <w:t>Chlamydophila spp.</w:t>
            </w:r>
          </w:p>
          <w:p w14:paraId="5C9E930F" w14:textId="77777777" w:rsidR="00C459DE" w:rsidRPr="00C459DE" w:rsidRDefault="00C459DE" w:rsidP="00C459DE">
            <w:r w:rsidRPr="00C459DE">
              <w:rPr>
                <w:i/>
                <w:iCs/>
                <w:szCs w:val="20"/>
              </w:rPr>
              <w:t>Mycoplasma spp.</w:t>
            </w:r>
          </w:p>
          <w:p w14:paraId="4A7C7CB1" w14:textId="77777777" w:rsidR="00C459DE" w:rsidRPr="00C459DE" w:rsidRDefault="00C459DE" w:rsidP="00C459DE">
            <w:r w:rsidRPr="00C459DE">
              <w:rPr>
                <w:i/>
                <w:iCs/>
                <w:szCs w:val="20"/>
              </w:rPr>
              <w:t>Legionella spp.</w:t>
            </w:r>
          </w:p>
          <w:p w14:paraId="0B36F3C0" w14:textId="24C86EC4" w:rsidR="00C459DE" w:rsidRPr="00C459DE" w:rsidRDefault="00C459DE" w:rsidP="00C459DE">
            <w:pPr>
              <w:rPr>
                <w:szCs w:val="24"/>
              </w:rPr>
            </w:pPr>
            <w:r w:rsidRPr="00C459DE">
              <w:rPr>
                <w:i/>
                <w:iCs/>
                <w:szCs w:val="20"/>
              </w:rPr>
              <w:t>Ureaplasma urealyticum</w:t>
            </w:r>
          </w:p>
        </w:tc>
      </w:tr>
    </w:tbl>
    <w:p w14:paraId="4B3B7B9A" w14:textId="77777777" w:rsidR="00C459DE" w:rsidRDefault="00C459DE" w:rsidP="00C459DE">
      <w:pPr>
        <w:rPr>
          <w:lang w:eastAsia="bg-BG"/>
        </w:rPr>
      </w:pPr>
      <w:r w:rsidRPr="00C459DE">
        <w:rPr>
          <w:lang w:eastAsia="bg-BG"/>
        </w:rPr>
        <w:t xml:space="preserve">£ Всички метицилин-резистентни стафилококи са резистентни на цефтриаксон </w:t>
      </w:r>
    </w:p>
    <w:p w14:paraId="24B14818" w14:textId="04040D9F" w:rsidR="00C459DE" w:rsidRPr="00C459DE" w:rsidRDefault="00C459DE" w:rsidP="00C459DE">
      <w:pPr>
        <w:rPr>
          <w:sz w:val="24"/>
          <w:szCs w:val="24"/>
        </w:rPr>
      </w:pPr>
      <w:r>
        <w:rPr>
          <w:lang w:eastAsia="bg-BG"/>
        </w:rPr>
        <w:lastRenderedPageBreak/>
        <w:t>+</w:t>
      </w:r>
      <w:r w:rsidRPr="00C459DE">
        <w:rPr>
          <w:lang w:eastAsia="bg-BG"/>
        </w:rPr>
        <w:t>резистентност &gt; 50% в не по-малко от един регион</w:t>
      </w:r>
    </w:p>
    <w:p w14:paraId="6DF06A3C" w14:textId="40278FEB" w:rsidR="00C459DE" w:rsidRPr="00C459DE" w:rsidRDefault="00C459DE" w:rsidP="00C459DE">
      <w:pPr>
        <w:rPr>
          <w:rFonts w:cs="Arial"/>
          <w:sz w:val="24"/>
        </w:rPr>
      </w:pPr>
      <w:r w:rsidRPr="00C459DE">
        <w:rPr>
          <w:lang w:eastAsia="bg-BG"/>
        </w:rPr>
        <w:t xml:space="preserve">% </w:t>
      </w:r>
      <w:r w:rsidRPr="00C459DE">
        <w:rPr>
          <w:lang w:val="en-US"/>
        </w:rPr>
        <w:t>ESBLs</w:t>
      </w:r>
      <w:r w:rsidRPr="00C459DE">
        <w:rPr>
          <w:lang w:val="ru-RU"/>
        </w:rPr>
        <w:t xml:space="preserve"> </w:t>
      </w:r>
      <w:r w:rsidRPr="00C459DE">
        <w:rPr>
          <w:lang w:eastAsia="bg-BG"/>
        </w:rPr>
        <w:t>продуциращите щамове са винаги резистентни</w:t>
      </w:r>
    </w:p>
    <w:p w14:paraId="5C51B4CC" w14:textId="2A8B3BF8" w:rsidR="00426E5F" w:rsidRDefault="002C50EE" w:rsidP="00A65A81">
      <w:pPr>
        <w:pStyle w:val="Heading2"/>
      </w:pPr>
      <w:r>
        <w:t>5.2. Фармакокинетични свойства</w:t>
      </w:r>
    </w:p>
    <w:p w14:paraId="3A885D34" w14:textId="1C6C7201" w:rsidR="00C459DE" w:rsidRDefault="00C459DE" w:rsidP="00C459DE"/>
    <w:p w14:paraId="474D8DCC" w14:textId="77777777" w:rsidR="00C459DE" w:rsidRPr="00C459DE" w:rsidRDefault="00C459DE" w:rsidP="00C459DE">
      <w:pPr>
        <w:pStyle w:val="Heading3"/>
        <w:rPr>
          <w:rFonts w:eastAsia="Times New Roman"/>
          <w:sz w:val="28"/>
          <w:u w:val="single"/>
        </w:rPr>
      </w:pPr>
      <w:r w:rsidRPr="00C459DE">
        <w:rPr>
          <w:rFonts w:eastAsia="Times New Roman"/>
          <w:u w:val="single"/>
          <w:lang w:eastAsia="bg-BG"/>
        </w:rPr>
        <w:t>Абсорбция</w:t>
      </w:r>
    </w:p>
    <w:p w14:paraId="596299AB" w14:textId="77777777" w:rsidR="00C459DE" w:rsidRPr="00C459DE" w:rsidRDefault="00C459DE" w:rsidP="00C459DE">
      <w:pPr>
        <w:rPr>
          <w:rFonts w:eastAsia="Times New Roman" w:cs="Arial"/>
          <w:sz w:val="28"/>
          <w:szCs w:val="24"/>
        </w:rPr>
      </w:pPr>
      <w:r w:rsidRPr="00C459DE">
        <w:rPr>
          <w:rFonts w:eastAsia="Times New Roman" w:cs="Arial"/>
          <w:color w:val="000000"/>
          <w:szCs w:val="20"/>
          <w:lang w:eastAsia="bg-BG"/>
        </w:rPr>
        <w:t xml:space="preserve">След интравенозно болус приложение на 500 </w:t>
      </w:r>
      <w:r w:rsidRPr="00C459DE">
        <w:rPr>
          <w:rFonts w:eastAsia="Times New Roman" w:cs="Arial"/>
          <w:color w:val="000000"/>
          <w:szCs w:val="20"/>
          <w:lang w:val="en-US"/>
        </w:rPr>
        <w:t>mg</w:t>
      </w:r>
      <w:r w:rsidRPr="00C459DE">
        <w:rPr>
          <w:rFonts w:eastAsia="Times New Roman" w:cs="Arial"/>
          <w:color w:val="000000"/>
          <w:szCs w:val="20"/>
          <w:lang w:val="ru-RU"/>
        </w:rPr>
        <w:t xml:space="preserve"> </w:t>
      </w:r>
      <w:r w:rsidRPr="00C459DE">
        <w:rPr>
          <w:rFonts w:eastAsia="Times New Roman" w:cs="Arial"/>
          <w:color w:val="000000"/>
          <w:szCs w:val="20"/>
          <w:lang w:eastAsia="bg-BG"/>
        </w:rPr>
        <w:t xml:space="preserve">и 1 </w:t>
      </w:r>
      <w:r w:rsidRPr="00C459DE">
        <w:rPr>
          <w:rFonts w:eastAsia="Times New Roman" w:cs="Arial"/>
          <w:color w:val="000000"/>
          <w:szCs w:val="20"/>
          <w:lang w:val="en-US"/>
        </w:rPr>
        <w:t>g</w:t>
      </w:r>
      <w:r w:rsidRPr="00C459DE">
        <w:rPr>
          <w:rFonts w:eastAsia="Times New Roman" w:cs="Arial"/>
          <w:color w:val="000000"/>
          <w:szCs w:val="20"/>
          <w:lang w:val="ru-RU"/>
        </w:rPr>
        <w:t xml:space="preserve"> </w:t>
      </w:r>
      <w:r w:rsidRPr="00C459DE">
        <w:rPr>
          <w:rFonts w:eastAsia="Times New Roman" w:cs="Arial"/>
          <w:color w:val="000000"/>
          <w:szCs w:val="20"/>
          <w:lang w:eastAsia="bg-BG"/>
        </w:rPr>
        <w:t xml:space="preserve">цефтриаксон средните максимални плазмени концентрации на цефтриаксон са приблизително 120 и 200 </w:t>
      </w:r>
      <w:r w:rsidRPr="00C459DE">
        <w:rPr>
          <w:rFonts w:eastAsia="Times New Roman" w:cs="Arial"/>
          <w:color w:val="000000"/>
          <w:szCs w:val="20"/>
          <w:lang w:val="en-US"/>
        </w:rPr>
        <w:t>mg</w:t>
      </w:r>
      <w:r w:rsidRPr="00C459DE">
        <w:rPr>
          <w:rFonts w:eastAsia="Times New Roman" w:cs="Arial"/>
          <w:color w:val="000000"/>
          <w:szCs w:val="20"/>
          <w:lang w:val="ru-RU"/>
        </w:rPr>
        <w:t>/1,</w:t>
      </w:r>
      <w:r w:rsidRPr="00C459DE">
        <w:rPr>
          <w:rFonts w:eastAsia="Times New Roman" w:cs="Arial"/>
          <w:color w:val="000000"/>
          <w:szCs w:val="20"/>
          <w:lang w:eastAsia="bg-BG"/>
        </w:rPr>
        <w:t xml:space="preserve"> съответно. След интравенозна инфузия на 500 </w:t>
      </w:r>
      <w:r w:rsidRPr="00C459DE">
        <w:rPr>
          <w:rFonts w:eastAsia="Times New Roman" w:cs="Arial"/>
          <w:color w:val="000000"/>
          <w:szCs w:val="20"/>
          <w:lang w:val="en-US"/>
        </w:rPr>
        <w:t>mg</w:t>
      </w:r>
      <w:r w:rsidRPr="00C459DE">
        <w:rPr>
          <w:rFonts w:eastAsia="Times New Roman" w:cs="Arial"/>
          <w:color w:val="000000"/>
          <w:szCs w:val="20"/>
          <w:lang w:val="ru-RU"/>
        </w:rPr>
        <w:t xml:space="preserve">, </w:t>
      </w:r>
      <w:r w:rsidRPr="00C459DE">
        <w:rPr>
          <w:rFonts w:eastAsia="Times New Roman" w:cs="Arial"/>
          <w:color w:val="000000"/>
          <w:szCs w:val="20"/>
          <w:lang w:eastAsia="bg-BG"/>
        </w:rPr>
        <w:t xml:space="preserve">1 </w:t>
      </w:r>
      <w:r w:rsidRPr="00C459DE">
        <w:rPr>
          <w:rFonts w:eastAsia="Times New Roman" w:cs="Arial"/>
          <w:color w:val="000000"/>
          <w:szCs w:val="20"/>
          <w:lang w:val="en-US"/>
        </w:rPr>
        <w:t>g</w:t>
      </w:r>
      <w:r w:rsidRPr="00C459DE">
        <w:rPr>
          <w:rFonts w:eastAsia="Times New Roman" w:cs="Arial"/>
          <w:color w:val="000000"/>
          <w:szCs w:val="20"/>
          <w:lang w:val="ru-RU"/>
        </w:rPr>
        <w:t xml:space="preserve"> </w:t>
      </w:r>
      <w:r w:rsidRPr="00C459DE">
        <w:rPr>
          <w:rFonts w:eastAsia="Times New Roman" w:cs="Arial"/>
          <w:color w:val="000000"/>
          <w:szCs w:val="20"/>
          <w:lang w:eastAsia="bg-BG"/>
        </w:rPr>
        <w:t xml:space="preserve">и 2 </w:t>
      </w:r>
      <w:r w:rsidRPr="00C459DE">
        <w:rPr>
          <w:rFonts w:eastAsia="Times New Roman" w:cs="Arial"/>
          <w:color w:val="000000"/>
          <w:szCs w:val="20"/>
          <w:lang w:val="en-US"/>
        </w:rPr>
        <w:t>g</w:t>
      </w:r>
      <w:r w:rsidRPr="00C459DE">
        <w:rPr>
          <w:rFonts w:eastAsia="Times New Roman" w:cs="Arial"/>
          <w:color w:val="000000"/>
          <w:szCs w:val="20"/>
          <w:lang w:val="ru-RU"/>
        </w:rPr>
        <w:t xml:space="preserve"> </w:t>
      </w:r>
      <w:r w:rsidRPr="00C459DE">
        <w:rPr>
          <w:rFonts w:eastAsia="Times New Roman" w:cs="Arial"/>
          <w:color w:val="000000"/>
          <w:szCs w:val="20"/>
          <w:lang w:eastAsia="bg-BG"/>
        </w:rPr>
        <w:t xml:space="preserve">цефтриаксон плазмените концентрации на цефтриаксон са съответно приблизително 80,150 и 250 </w:t>
      </w:r>
      <w:r w:rsidRPr="00C459DE">
        <w:rPr>
          <w:rFonts w:eastAsia="Times New Roman" w:cs="Arial"/>
          <w:color w:val="000000"/>
          <w:szCs w:val="20"/>
          <w:lang w:val="en-US"/>
        </w:rPr>
        <w:t>mg</w:t>
      </w:r>
      <w:r w:rsidRPr="00C459DE">
        <w:rPr>
          <w:rFonts w:eastAsia="Times New Roman" w:cs="Arial"/>
          <w:color w:val="000000"/>
          <w:szCs w:val="20"/>
          <w:lang w:val="ru-RU"/>
        </w:rPr>
        <w:t xml:space="preserve">/1. </w:t>
      </w:r>
      <w:r w:rsidRPr="00C459DE">
        <w:rPr>
          <w:rFonts w:eastAsia="Times New Roman" w:cs="Arial"/>
          <w:color w:val="000000"/>
          <w:szCs w:val="20"/>
          <w:lang w:eastAsia="bg-BG"/>
        </w:rPr>
        <w:t xml:space="preserve">След интрамускулно инжектиране, средните максимални плазмени концентрации на цефтриаксон са приблизително половината от тези, наблюдавани след интравенозно приложение на еквивалентна доза. Максималната плазмена концентрация след еднократна интрамускулна доза от 1 </w:t>
      </w:r>
      <w:r w:rsidRPr="00C459DE">
        <w:rPr>
          <w:rFonts w:eastAsia="Times New Roman" w:cs="Arial"/>
          <w:color w:val="000000"/>
          <w:szCs w:val="20"/>
          <w:lang w:val="en-US"/>
        </w:rPr>
        <w:t>g</w:t>
      </w:r>
      <w:r w:rsidRPr="00C459DE">
        <w:rPr>
          <w:rFonts w:eastAsia="Times New Roman" w:cs="Arial"/>
          <w:color w:val="000000"/>
          <w:szCs w:val="20"/>
          <w:lang w:val="ru-RU"/>
        </w:rPr>
        <w:t xml:space="preserve"> </w:t>
      </w:r>
      <w:r w:rsidRPr="00C459DE">
        <w:rPr>
          <w:rFonts w:eastAsia="Times New Roman" w:cs="Arial"/>
          <w:color w:val="000000"/>
          <w:szCs w:val="20"/>
          <w:lang w:eastAsia="bg-BG"/>
        </w:rPr>
        <w:t xml:space="preserve">е около 81 </w:t>
      </w:r>
      <w:r w:rsidRPr="00C459DE">
        <w:rPr>
          <w:rFonts w:eastAsia="Times New Roman" w:cs="Arial"/>
          <w:color w:val="000000"/>
          <w:szCs w:val="20"/>
          <w:lang w:val="en-US"/>
        </w:rPr>
        <w:t>mg</w:t>
      </w:r>
      <w:r w:rsidRPr="00C459DE">
        <w:rPr>
          <w:rFonts w:eastAsia="Times New Roman" w:cs="Arial"/>
          <w:color w:val="000000"/>
          <w:szCs w:val="20"/>
          <w:lang w:val="ru-RU"/>
        </w:rPr>
        <w:t xml:space="preserve">/1 </w:t>
      </w:r>
      <w:r w:rsidRPr="00C459DE">
        <w:rPr>
          <w:rFonts w:eastAsia="Times New Roman" w:cs="Arial"/>
          <w:color w:val="000000"/>
          <w:szCs w:val="20"/>
          <w:lang w:eastAsia="bg-BG"/>
        </w:rPr>
        <w:t>и се достига на 2 - 3 час след приложение. Площта под кривата плазмена концентрация- време след интрамускулно приложение е еквивалентна на тази след интравенозно приложение на еквивалентна доза.</w:t>
      </w:r>
    </w:p>
    <w:p w14:paraId="0489E1C3" w14:textId="77777777" w:rsidR="00C459DE" w:rsidRPr="00C459DE" w:rsidRDefault="00C459DE" w:rsidP="00C459DE">
      <w:pPr>
        <w:spacing w:line="240" w:lineRule="auto"/>
        <w:rPr>
          <w:rFonts w:eastAsia="Times New Roman" w:cs="Arial"/>
          <w:color w:val="000000"/>
          <w:szCs w:val="20"/>
          <w:u w:val="single"/>
          <w:lang w:eastAsia="bg-BG"/>
        </w:rPr>
      </w:pPr>
    </w:p>
    <w:p w14:paraId="36AE2DE8" w14:textId="2E7974FD" w:rsidR="00C459DE" w:rsidRPr="00C459DE" w:rsidRDefault="00C459DE" w:rsidP="00C459DE">
      <w:pPr>
        <w:pStyle w:val="Heading3"/>
        <w:rPr>
          <w:rFonts w:eastAsia="Times New Roman"/>
          <w:sz w:val="28"/>
          <w:u w:val="single"/>
        </w:rPr>
      </w:pPr>
      <w:r w:rsidRPr="00C459DE">
        <w:rPr>
          <w:rFonts w:eastAsia="Times New Roman"/>
          <w:u w:val="single"/>
          <w:lang w:eastAsia="bg-BG"/>
        </w:rPr>
        <w:t>Разпределение</w:t>
      </w:r>
    </w:p>
    <w:p w14:paraId="5323EFA0" w14:textId="77777777" w:rsidR="00C459DE" w:rsidRPr="00C459DE" w:rsidRDefault="00C459DE" w:rsidP="00C459DE">
      <w:pPr>
        <w:spacing w:line="240" w:lineRule="auto"/>
        <w:rPr>
          <w:rFonts w:eastAsia="Times New Roman" w:cs="Arial"/>
          <w:sz w:val="28"/>
          <w:szCs w:val="24"/>
        </w:rPr>
      </w:pPr>
      <w:r w:rsidRPr="00C459DE">
        <w:rPr>
          <w:rFonts w:eastAsia="Times New Roman" w:cs="Arial"/>
          <w:color w:val="000000"/>
          <w:szCs w:val="20"/>
          <w:lang w:eastAsia="bg-BG"/>
        </w:rPr>
        <w:t>Обемът на разпределение на цефтриаксон е 7-12 1. Концентрации доста над минималните инхибиторни концентрации за повечето значими патогени са откриваеми в тъканите, включително белите дробове, сърцето, жлъчните пътища/черен дроб, сливиците, средното ухо и носната лигавица, костите и в цереброспиналната, плевралната, простатната и синовиалната течности. След многократно приложение се наблюдава повишаване на средната максимална плазмена концентрация (С</w:t>
      </w:r>
      <w:r w:rsidRPr="00C459DE">
        <w:rPr>
          <w:rFonts w:eastAsia="Times New Roman" w:cs="Arial"/>
          <w:color w:val="000000"/>
          <w:szCs w:val="20"/>
          <w:vertAlign w:val="subscript"/>
          <w:lang w:val="en-US"/>
        </w:rPr>
        <w:t>max</w:t>
      </w:r>
      <w:r w:rsidRPr="00C459DE">
        <w:rPr>
          <w:rFonts w:eastAsia="Times New Roman" w:cs="Arial"/>
          <w:color w:val="000000"/>
          <w:szCs w:val="20"/>
          <w:lang w:eastAsia="bg-BG"/>
        </w:rPr>
        <w:t>) с 8 - 15%; в повечето случаи стационарно състояние се достига в рамките на 48-72 часа в зависимост от начина на приложение.</w:t>
      </w:r>
    </w:p>
    <w:p w14:paraId="03069471" w14:textId="77777777" w:rsidR="00C459DE" w:rsidRPr="00C459DE" w:rsidRDefault="00C459DE" w:rsidP="00C459DE">
      <w:pPr>
        <w:spacing w:line="240" w:lineRule="auto"/>
        <w:rPr>
          <w:rFonts w:eastAsia="Times New Roman" w:cs="Arial"/>
          <w:i/>
          <w:iCs/>
          <w:color w:val="000000"/>
          <w:szCs w:val="20"/>
          <w:u w:val="single"/>
          <w:lang w:eastAsia="bg-BG"/>
        </w:rPr>
      </w:pPr>
    </w:p>
    <w:p w14:paraId="24ACBEDE" w14:textId="2F08E359" w:rsidR="00C459DE" w:rsidRPr="00C459DE" w:rsidRDefault="00C459DE" w:rsidP="00C459DE">
      <w:pPr>
        <w:spacing w:line="240" w:lineRule="auto"/>
        <w:rPr>
          <w:rFonts w:eastAsia="Times New Roman" w:cs="Arial"/>
          <w:sz w:val="28"/>
          <w:szCs w:val="24"/>
        </w:rPr>
      </w:pPr>
      <w:r w:rsidRPr="00C459DE">
        <w:rPr>
          <w:rFonts w:eastAsia="Times New Roman" w:cs="Arial"/>
          <w:i/>
          <w:iCs/>
          <w:color w:val="000000"/>
          <w:szCs w:val="20"/>
          <w:u w:val="single"/>
          <w:lang w:eastAsia="bg-BG"/>
        </w:rPr>
        <w:t>Проникване в специфични тъкани</w:t>
      </w:r>
    </w:p>
    <w:p w14:paraId="12231A27" w14:textId="77777777" w:rsidR="00C459DE" w:rsidRPr="00C459DE" w:rsidRDefault="00C459DE" w:rsidP="00C459DE">
      <w:pPr>
        <w:spacing w:line="240" w:lineRule="auto"/>
        <w:rPr>
          <w:rFonts w:eastAsia="Times New Roman" w:cs="Arial"/>
          <w:sz w:val="28"/>
          <w:szCs w:val="24"/>
        </w:rPr>
      </w:pPr>
      <w:r w:rsidRPr="00C459DE">
        <w:rPr>
          <w:rFonts w:eastAsia="Times New Roman" w:cs="Arial"/>
          <w:color w:val="000000"/>
          <w:szCs w:val="20"/>
          <w:lang w:eastAsia="bg-BG"/>
        </w:rPr>
        <w:t>Цефтриаксон пенетрира в менингите. Пенетрирането е най-голямо, когато менингите са възпалени. Съобщава се, че при пациенти с бактериален менингит средните максимални концентрации на цефтриаксон в цереброспиналната течност са до 25% от плазмените концентрации в сравнение с 2% от плазмените концентрации при пациенти без възпаление на менингите. Максимални концентрации на цефтриаксон в цереброспиналната течност се достигат приблизително 4-6 часа след интравенозно инжектиране. Цефтриаксон преминава плацентарната бариера и се екскретира в кърмата в ниски концентрации (виж точка 4.6).</w:t>
      </w:r>
    </w:p>
    <w:p w14:paraId="57929FCA" w14:textId="77777777" w:rsidR="00C459DE" w:rsidRPr="00C459DE" w:rsidRDefault="00C459DE" w:rsidP="00C459DE">
      <w:pPr>
        <w:spacing w:line="240" w:lineRule="auto"/>
        <w:rPr>
          <w:rFonts w:eastAsia="Times New Roman" w:cs="Arial"/>
          <w:i/>
          <w:iCs/>
          <w:color w:val="000000"/>
          <w:szCs w:val="20"/>
          <w:u w:val="single"/>
          <w:lang w:eastAsia="bg-BG"/>
        </w:rPr>
      </w:pPr>
    </w:p>
    <w:p w14:paraId="67AEF2ED" w14:textId="33CCEC51" w:rsidR="00C459DE" w:rsidRPr="00C459DE" w:rsidRDefault="00C459DE" w:rsidP="00C459DE">
      <w:pPr>
        <w:spacing w:line="240" w:lineRule="auto"/>
        <w:rPr>
          <w:rFonts w:eastAsia="Times New Roman" w:cs="Arial"/>
          <w:sz w:val="28"/>
          <w:szCs w:val="24"/>
        </w:rPr>
      </w:pPr>
      <w:r w:rsidRPr="00C459DE">
        <w:rPr>
          <w:rFonts w:eastAsia="Times New Roman" w:cs="Arial"/>
          <w:i/>
          <w:iCs/>
          <w:color w:val="000000"/>
          <w:szCs w:val="20"/>
          <w:u w:val="single"/>
          <w:lang w:eastAsia="bg-BG"/>
        </w:rPr>
        <w:t>Свързване с протеините</w:t>
      </w:r>
    </w:p>
    <w:p w14:paraId="3DAA671B" w14:textId="77777777" w:rsidR="00C459DE" w:rsidRPr="00C459DE" w:rsidRDefault="00C459DE" w:rsidP="00C459DE">
      <w:pPr>
        <w:spacing w:line="240" w:lineRule="auto"/>
        <w:rPr>
          <w:rFonts w:eastAsia="Times New Roman" w:cs="Arial"/>
          <w:sz w:val="28"/>
          <w:szCs w:val="24"/>
        </w:rPr>
      </w:pPr>
      <w:r w:rsidRPr="00C459DE">
        <w:rPr>
          <w:rFonts w:eastAsia="Times New Roman" w:cs="Arial"/>
          <w:color w:val="000000"/>
          <w:szCs w:val="20"/>
          <w:lang w:eastAsia="bg-BG"/>
        </w:rPr>
        <w:t xml:space="preserve">Цефтриаксон се свързва обратимо с албумина. Свързването е 95% при плазмени концентрации по-ниски от 100 </w:t>
      </w:r>
      <w:r w:rsidRPr="00C459DE">
        <w:rPr>
          <w:rFonts w:eastAsia="Times New Roman" w:cs="Arial"/>
          <w:color w:val="000000"/>
          <w:szCs w:val="20"/>
          <w:lang w:val="en-US"/>
        </w:rPr>
        <w:t>mg</w:t>
      </w:r>
      <w:r w:rsidRPr="00C459DE">
        <w:rPr>
          <w:rFonts w:eastAsia="Times New Roman" w:cs="Arial"/>
          <w:color w:val="000000"/>
          <w:szCs w:val="20"/>
          <w:lang w:val="ru-RU"/>
        </w:rPr>
        <w:t xml:space="preserve">/1, </w:t>
      </w:r>
      <w:r w:rsidRPr="00C459DE">
        <w:rPr>
          <w:rFonts w:eastAsia="Times New Roman" w:cs="Arial"/>
          <w:color w:val="000000"/>
          <w:szCs w:val="20"/>
          <w:lang w:eastAsia="bg-BG"/>
        </w:rPr>
        <w:t xml:space="preserve">като процента на свързване намалява с повишаване на концентрациите (до 85% при плазмени концентрации на цефтриаксон от 300 </w:t>
      </w:r>
      <w:r w:rsidRPr="00C459DE">
        <w:rPr>
          <w:rFonts w:eastAsia="Times New Roman" w:cs="Arial"/>
          <w:color w:val="000000"/>
          <w:szCs w:val="20"/>
          <w:lang w:val="en-US"/>
        </w:rPr>
        <w:t>mg</w:t>
      </w:r>
      <w:r w:rsidRPr="00C459DE">
        <w:rPr>
          <w:rFonts w:eastAsia="Times New Roman" w:cs="Arial"/>
          <w:color w:val="000000"/>
          <w:szCs w:val="20"/>
          <w:lang w:val="ru-RU"/>
        </w:rPr>
        <w:t>/1).</w:t>
      </w:r>
    </w:p>
    <w:p w14:paraId="1026991F" w14:textId="77777777" w:rsidR="00C459DE" w:rsidRPr="00C459DE" w:rsidRDefault="00C459DE" w:rsidP="00C459DE">
      <w:pPr>
        <w:spacing w:line="240" w:lineRule="auto"/>
        <w:rPr>
          <w:rFonts w:eastAsia="Times New Roman" w:cs="Arial"/>
          <w:color w:val="000000"/>
          <w:szCs w:val="20"/>
          <w:u w:val="single"/>
          <w:lang w:eastAsia="bg-BG"/>
        </w:rPr>
      </w:pPr>
    </w:p>
    <w:p w14:paraId="4D425E0F" w14:textId="4AEA0DF7" w:rsidR="00C459DE" w:rsidRPr="00C459DE" w:rsidRDefault="00C459DE" w:rsidP="00C459DE">
      <w:pPr>
        <w:pStyle w:val="Heading3"/>
        <w:rPr>
          <w:rFonts w:eastAsia="Times New Roman"/>
          <w:sz w:val="28"/>
          <w:u w:val="single"/>
        </w:rPr>
      </w:pPr>
      <w:r w:rsidRPr="00C459DE">
        <w:rPr>
          <w:rFonts w:eastAsia="Times New Roman"/>
          <w:u w:val="single"/>
          <w:lang w:eastAsia="bg-BG"/>
        </w:rPr>
        <w:t>Биотрансформация</w:t>
      </w:r>
    </w:p>
    <w:p w14:paraId="061F4AD5" w14:textId="77777777" w:rsidR="00C459DE" w:rsidRPr="00C459DE" w:rsidRDefault="00C459DE" w:rsidP="00C459DE">
      <w:pPr>
        <w:spacing w:line="240" w:lineRule="auto"/>
        <w:rPr>
          <w:rFonts w:eastAsia="Times New Roman" w:cs="Arial"/>
          <w:sz w:val="28"/>
          <w:szCs w:val="24"/>
        </w:rPr>
      </w:pPr>
      <w:r w:rsidRPr="00C459DE">
        <w:rPr>
          <w:rFonts w:eastAsia="Times New Roman" w:cs="Arial"/>
          <w:color w:val="000000"/>
          <w:szCs w:val="20"/>
          <w:lang w:eastAsia="bg-BG"/>
        </w:rPr>
        <w:t>Цефтриаксон не се подлага на системен метаболизъм, но се конвертира до неактивни метаболити от чревната флора.</w:t>
      </w:r>
    </w:p>
    <w:p w14:paraId="1940181F" w14:textId="77777777" w:rsidR="00C459DE" w:rsidRPr="00C459DE" w:rsidRDefault="00C459DE" w:rsidP="00C459DE">
      <w:pPr>
        <w:spacing w:line="240" w:lineRule="auto"/>
        <w:rPr>
          <w:rFonts w:eastAsia="Times New Roman" w:cs="Arial"/>
          <w:color w:val="000000"/>
          <w:szCs w:val="20"/>
          <w:u w:val="single"/>
          <w:lang w:eastAsia="bg-BG"/>
        </w:rPr>
      </w:pPr>
    </w:p>
    <w:p w14:paraId="798677A3" w14:textId="2900A82A" w:rsidR="00C459DE" w:rsidRPr="00C459DE" w:rsidRDefault="00C459DE" w:rsidP="00C459DE">
      <w:pPr>
        <w:pStyle w:val="Heading3"/>
        <w:rPr>
          <w:rFonts w:eastAsia="Times New Roman"/>
          <w:sz w:val="28"/>
          <w:u w:val="single"/>
        </w:rPr>
      </w:pPr>
      <w:r w:rsidRPr="00C459DE">
        <w:rPr>
          <w:rFonts w:eastAsia="Times New Roman"/>
          <w:u w:val="single"/>
          <w:lang w:eastAsia="bg-BG"/>
        </w:rPr>
        <w:lastRenderedPageBreak/>
        <w:t>Елиминиране</w:t>
      </w:r>
    </w:p>
    <w:p w14:paraId="36A89323" w14:textId="77777777" w:rsidR="00C459DE" w:rsidRPr="00C459DE" w:rsidRDefault="00C459DE" w:rsidP="00C459DE">
      <w:pPr>
        <w:spacing w:line="240" w:lineRule="auto"/>
        <w:rPr>
          <w:rFonts w:eastAsia="Times New Roman" w:cs="Arial"/>
          <w:sz w:val="28"/>
          <w:szCs w:val="24"/>
        </w:rPr>
      </w:pPr>
      <w:r w:rsidRPr="00C459DE">
        <w:rPr>
          <w:rFonts w:eastAsia="Times New Roman" w:cs="Arial"/>
          <w:color w:val="000000"/>
          <w:szCs w:val="20"/>
          <w:lang w:eastAsia="bg-BG"/>
        </w:rPr>
        <w:t xml:space="preserve">Плазменият клирънс на общия цефтриаксон (свързан и несвързан) е 10-22 </w:t>
      </w:r>
      <w:r w:rsidRPr="00C459DE">
        <w:rPr>
          <w:rFonts w:eastAsia="Times New Roman" w:cs="Arial"/>
          <w:color w:val="000000"/>
          <w:szCs w:val="20"/>
          <w:lang w:val="en-US"/>
        </w:rPr>
        <w:t>ml</w:t>
      </w:r>
      <w:r w:rsidRPr="00C459DE">
        <w:rPr>
          <w:rFonts w:eastAsia="Times New Roman" w:cs="Arial"/>
          <w:color w:val="000000"/>
          <w:szCs w:val="20"/>
          <w:lang w:val="ru-RU"/>
        </w:rPr>
        <w:t>/</w:t>
      </w:r>
      <w:r w:rsidRPr="00C459DE">
        <w:rPr>
          <w:rFonts w:eastAsia="Times New Roman" w:cs="Arial"/>
          <w:color w:val="000000"/>
          <w:szCs w:val="20"/>
          <w:lang w:val="en-US"/>
        </w:rPr>
        <w:t>min</w:t>
      </w:r>
      <w:r w:rsidRPr="00C459DE">
        <w:rPr>
          <w:rFonts w:eastAsia="Times New Roman" w:cs="Arial"/>
          <w:color w:val="000000"/>
          <w:szCs w:val="20"/>
          <w:lang w:val="ru-RU"/>
        </w:rPr>
        <w:t xml:space="preserve">. </w:t>
      </w:r>
      <w:r w:rsidRPr="00C459DE">
        <w:rPr>
          <w:rFonts w:eastAsia="Times New Roman" w:cs="Arial"/>
          <w:color w:val="000000"/>
          <w:szCs w:val="20"/>
          <w:lang w:eastAsia="bg-BG"/>
        </w:rPr>
        <w:t xml:space="preserve">Бъбречният клирънс е 5 - 12 </w:t>
      </w:r>
      <w:r w:rsidRPr="00C459DE">
        <w:rPr>
          <w:rFonts w:eastAsia="Times New Roman" w:cs="Arial"/>
          <w:color w:val="000000"/>
          <w:szCs w:val="20"/>
          <w:lang w:val="en-US"/>
        </w:rPr>
        <w:t>ml</w:t>
      </w:r>
      <w:r w:rsidRPr="00C459DE">
        <w:rPr>
          <w:rFonts w:eastAsia="Times New Roman" w:cs="Arial"/>
          <w:color w:val="000000"/>
          <w:szCs w:val="20"/>
          <w:lang w:val="ru-RU"/>
        </w:rPr>
        <w:t>/</w:t>
      </w:r>
      <w:r w:rsidRPr="00C459DE">
        <w:rPr>
          <w:rFonts w:eastAsia="Times New Roman" w:cs="Arial"/>
          <w:color w:val="000000"/>
          <w:szCs w:val="20"/>
          <w:lang w:val="en-US"/>
        </w:rPr>
        <w:t>min</w:t>
      </w:r>
      <w:r w:rsidRPr="00C459DE">
        <w:rPr>
          <w:rFonts w:eastAsia="Times New Roman" w:cs="Arial"/>
          <w:color w:val="000000"/>
          <w:szCs w:val="20"/>
          <w:lang w:val="ru-RU"/>
        </w:rPr>
        <w:t xml:space="preserve">. </w:t>
      </w:r>
      <w:r w:rsidRPr="00C459DE">
        <w:rPr>
          <w:rFonts w:eastAsia="Times New Roman" w:cs="Arial"/>
          <w:color w:val="000000"/>
          <w:szCs w:val="20"/>
          <w:lang w:eastAsia="bg-BG"/>
        </w:rPr>
        <w:t>50-60% от цефтриаксон се отделя непроменен в урината, главно чрез гломерулна филтрация, 40-50% се отделя в непроменен вид чрез жлъчката. Елиминационният полуживот на общия цефтриаксон при възрастни е около 8 часа.</w:t>
      </w:r>
    </w:p>
    <w:p w14:paraId="73373BDE" w14:textId="77777777" w:rsidR="00C459DE" w:rsidRPr="00C459DE" w:rsidRDefault="00C459DE" w:rsidP="00C459DE">
      <w:pPr>
        <w:spacing w:line="240" w:lineRule="auto"/>
        <w:rPr>
          <w:rFonts w:eastAsia="Times New Roman" w:cs="Arial"/>
          <w:i/>
          <w:iCs/>
          <w:color w:val="000000"/>
          <w:szCs w:val="20"/>
          <w:u w:val="single"/>
          <w:lang w:eastAsia="bg-BG"/>
        </w:rPr>
      </w:pPr>
    </w:p>
    <w:p w14:paraId="7C218758" w14:textId="7D319BE9" w:rsidR="00C459DE" w:rsidRPr="00C459DE" w:rsidRDefault="00C459DE" w:rsidP="00C459DE">
      <w:pPr>
        <w:spacing w:line="240" w:lineRule="auto"/>
        <w:rPr>
          <w:rFonts w:eastAsia="Times New Roman" w:cs="Arial"/>
          <w:sz w:val="28"/>
          <w:szCs w:val="24"/>
        </w:rPr>
      </w:pPr>
      <w:r w:rsidRPr="00C459DE">
        <w:rPr>
          <w:rFonts w:eastAsia="Times New Roman" w:cs="Arial"/>
          <w:i/>
          <w:iCs/>
          <w:color w:val="000000"/>
          <w:szCs w:val="20"/>
          <w:u w:val="single"/>
          <w:lang w:eastAsia="bg-BG"/>
        </w:rPr>
        <w:t>Пациенти с бъбречно или чернодробно увреждане</w:t>
      </w:r>
    </w:p>
    <w:p w14:paraId="2D522ECF" w14:textId="77777777" w:rsidR="00C459DE" w:rsidRPr="00C459DE" w:rsidRDefault="00C459DE" w:rsidP="00C459DE">
      <w:pPr>
        <w:spacing w:line="240" w:lineRule="auto"/>
        <w:rPr>
          <w:rFonts w:eastAsia="Times New Roman" w:cs="Arial"/>
          <w:sz w:val="28"/>
          <w:szCs w:val="24"/>
        </w:rPr>
      </w:pPr>
      <w:r w:rsidRPr="00C459DE">
        <w:rPr>
          <w:rFonts w:eastAsia="Times New Roman" w:cs="Arial"/>
          <w:color w:val="000000"/>
          <w:szCs w:val="20"/>
          <w:lang w:eastAsia="bg-BG"/>
        </w:rPr>
        <w:t>При пациенти с бъбречна или чернодробна дисфункция, фармакокинетичните параметри на цефтриаксон са само минимално повлияни с леко увеличен полуживот (по-малко от два пъти), дори и при пациенти с тежко увредена бъбречна функция.</w:t>
      </w:r>
    </w:p>
    <w:p w14:paraId="12B32225" w14:textId="77777777" w:rsidR="00C459DE" w:rsidRPr="00C459DE" w:rsidRDefault="00C459DE" w:rsidP="00C459DE">
      <w:pPr>
        <w:spacing w:line="240" w:lineRule="auto"/>
        <w:rPr>
          <w:rFonts w:eastAsia="Times New Roman" w:cs="Arial"/>
          <w:color w:val="000000"/>
          <w:szCs w:val="20"/>
          <w:lang w:eastAsia="bg-BG"/>
        </w:rPr>
      </w:pPr>
    </w:p>
    <w:p w14:paraId="44DA8E25" w14:textId="08A3E5CA" w:rsidR="00C459DE" w:rsidRPr="00C459DE" w:rsidRDefault="00C459DE" w:rsidP="00C459DE">
      <w:pPr>
        <w:spacing w:line="240" w:lineRule="auto"/>
        <w:rPr>
          <w:rFonts w:eastAsia="Times New Roman" w:cs="Arial"/>
          <w:sz w:val="28"/>
          <w:szCs w:val="24"/>
        </w:rPr>
      </w:pPr>
      <w:r w:rsidRPr="00C459DE">
        <w:rPr>
          <w:rFonts w:eastAsia="Times New Roman" w:cs="Arial"/>
          <w:color w:val="000000"/>
          <w:szCs w:val="20"/>
          <w:lang w:eastAsia="bg-BG"/>
        </w:rPr>
        <w:t>Относително умереното увеличение на полуживота при бъбречно увреждане се обяснява с компенсаторно увеличение на не-бъбречния клирънс, вследствие от намаляване на протеиновото свързване и съответно увеличение на не-бъбречния клирънс на общия цефтриаксон.</w:t>
      </w:r>
    </w:p>
    <w:p w14:paraId="649FB24C" w14:textId="77777777" w:rsidR="00C459DE" w:rsidRPr="00C459DE" w:rsidRDefault="00C459DE" w:rsidP="00C459DE">
      <w:pPr>
        <w:rPr>
          <w:rFonts w:eastAsia="Times New Roman" w:cs="Arial"/>
          <w:sz w:val="28"/>
          <w:szCs w:val="24"/>
        </w:rPr>
      </w:pPr>
      <w:r w:rsidRPr="00C459DE">
        <w:rPr>
          <w:rFonts w:eastAsia="Times New Roman" w:cs="Arial"/>
          <w:color w:val="000000"/>
          <w:szCs w:val="20"/>
          <w:lang w:eastAsia="bg-BG"/>
        </w:rPr>
        <w:t>При пациенти с чернодробно увреждане елиминационният полуживот на цефтриаксон не се увеличава, което се дължи на компенсаторно повишаване на бъбречния клирънс. Това също се дължи на увеличение на свободната фракция на цефтриаксон в плазмата, което допринася за наблюдаваното парадоксално увеличение на общия лекарствен клирьнс, с увеличение на обема на разпределение паралелно на общия клирьнс.</w:t>
      </w:r>
    </w:p>
    <w:p w14:paraId="5D880CB0" w14:textId="77777777" w:rsidR="00C459DE" w:rsidRPr="00C459DE" w:rsidRDefault="00C459DE" w:rsidP="00C459DE">
      <w:pPr>
        <w:spacing w:line="240" w:lineRule="auto"/>
        <w:rPr>
          <w:rFonts w:eastAsia="Times New Roman" w:cs="Arial"/>
          <w:sz w:val="28"/>
          <w:szCs w:val="24"/>
        </w:rPr>
      </w:pPr>
      <w:r w:rsidRPr="00C459DE">
        <w:rPr>
          <w:rFonts w:eastAsia="Times New Roman" w:cs="Arial"/>
          <w:i/>
          <w:iCs/>
          <w:color w:val="000000"/>
          <w:szCs w:val="20"/>
          <w:u w:val="single"/>
          <w:lang w:eastAsia="bg-BG"/>
        </w:rPr>
        <w:t>Пациенти в старческа възраст</w:t>
      </w:r>
    </w:p>
    <w:p w14:paraId="7E068324" w14:textId="77777777" w:rsidR="00C459DE" w:rsidRDefault="00C459DE" w:rsidP="00C459DE">
      <w:pPr>
        <w:spacing w:line="240" w:lineRule="auto"/>
        <w:rPr>
          <w:rFonts w:eastAsia="Times New Roman" w:cs="Arial"/>
          <w:color w:val="000000"/>
          <w:szCs w:val="20"/>
          <w:lang w:eastAsia="bg-BG"/>
        </w:rPr>
      </w:pPr>
      <w:r w:rsidRPr="00C459DE">
        <w:rPr>
          <w:rFonts w:eastAsia="Times New Roman" w:cs="Arial"/>
          <w:color w:val="000000"/>
          <w:szCs w:val="20"/>
          <w:lang w:eastAsia="bg-BG"/>
        </w:rPr>
        <w:t xml:space="preserve">При пациенти в старческа възраст над 75 години средният елиминационен полуживот обикновено е два до три пъти по-удължен от този при младите хора. </w:t>
      </w:r>
    </w:p>
    <w:p w14:paraId="475B982D" w14:textId="39D1413D" w:rsidR="00C459DE" w:rsidRPr="00C459DE" w:rsidRDefault="00C459DE" w:rsidP="00C459DE">
      <w:pPr>
        <w:spacing w:line="240" w:lineRule="auto"/>
        <w:rPr>
          <w:rFonts w:eastAsia="Times New Roman" w:cs="Arial"/>
          <w:sz w:val="28"/>
          <w:szCs w:val="24"/>
        </w:rPr>
      </w:pPr>
      <w:r w:rsidRPr="00C459DE">
        <w:rPr>
          <w:rFonts w:eastAsia="Times New Roman" w:cs="Arial"/>
          <w:i/>
          <w:iCs/>
          <w:color w:val="000000"/>
          <w:szCs w:val="20"/>
          <w:u w:val="single"/>
          <w:lang w:eastAsia="bg-BG"/>
        </w:rPr>
        <w:t>Педиатрична популация</w:t>
      </w:r>
    </w:p>
    <w:p w14:paraId="1FE9C0D4" w14:textId="77777777" w:rsidR="00C459DE" w:rsidRPr="00C459DE" w:rsidRDefault="00C459DE" w:rsidP="00C459DE">
      <w:pPr>
        <w:spacing w:line="240" w:lineRule="auto"/>
        <w:rPr>
          <w:rFonts w:eastAsia="Times New Roman" w:cs="Arial"/>
          <w:sz w:val="28"/>
          <w:szCs w:val="24"/>
        </w:rPr>
      </w:pPr>
      <w:r w:rsidRPr="00C459DE">
        <w:rPr>
          <w:rFonts w:eastAsia="Times New Roman" w:cs="Arial"/>
          <w:color w:val="000000"/>
          <w:szCs w:val="20"/>
          <w:lang w:eastAsia="bg-BG"/>
        </w:rPr>
        <w:t>При новородени периодът на полуелиминиране на цефтриаксон е удължен. От раждането до 14-дневна възраст, концентрациите на свободния цефтриаксон могат да бъдат допълнително увеличени от фактори, като намалена гломерулна филтрация и нарушено свързване с протеините. В детска възраст полуживотът е по-кратък, отколкото при новородени или възрастни.</w:t>
      </w:r>
    </w:p>
    <w:p w14:paraId="65974D9F" w14:textId="77777777" w:rsidR="00C459DE" w:rsidRPr="00C459DE" w:rsidRDefault="00C459DE" w:rsidP="00C459DE">
      <w:pPr>
        <w:spacing w:line="240" w:lineRule="auto"/>
        <w:rPr>
          <w:rFonts w:eastAsia="Times New Roman" w:cs="Arial"/>
          <w:sz w:val="28"/>
          <w:szCs w:val="24"/>
        </w:rPr>
      </w:pPr>
      <w:r w:rsidRPr="00C459DE">
        <w:rPr>
          <w:rFonts w:eastAsia="Times New Roman" w:cs="Arial"/>
          <w:color w:val="000000"/>
          <w:szCs w:val="20"/>
          <w:lang w:eastAsia="bg-BG"/>
        </w:rPr>
        <w:t>Плазменият клирьнс и обемът на разпределение на общия цефтриаксон са по-удължени при новородени, бебета и деца, отколкото при възрастни.</w:t>
      </w:r>
    </w:p>
    <w:p w14:paraId="6CBF873A" w14:textId="77777777" w:rsidR="00C459DE" w:rsidRPr="00C459DE" w:rsidRDefault="00C459DE" w:rsidP="00C459DE">
      <w:pPr>
        <w:spacing w:line="240" w:lineRule="auto"/>
        <w:rPr>
          <w:rFonts w:eastAsia="Times New Roman" w:cs="Arial"/>
          <w:color w:val="000000"/>
          <w:szCs w:val="20"/>
          <w:u w:val="single"/>
          <w:lang w:eastAsia="bg-BG"/>
        </w:rPr>
      </w:pPr>
    </w:p>
    <w:p w14:paraId="7889A6F9" w14:textId="247662F8" w:rsidR="00C459DE" w:rsidRPr="00C459DE" w:rsidRDefault="00C459DE" w:rsidP="00C459DE">
      <w:pPr>
        <w:spacing w:line="240" w:lineRule="auto"/>
        <w:rPr>
          <w:rFonts w:eastAsia="Times New Roman" w:cs="Arial"/>
          <w:sz w:val="28"/>
          <w:szCs w:val="24"/>
        </w:rPr>
      </w:pPr>
      <w:r w:rsidRPr="00C459DE">
        <w:rPr>
          <w:rFonts w:eastAsia="Times New Roman" w:cs="Arial"/>
          <w:color w:val="000000"/>
          <w:szCs w:val="20"/>
          <w:u w:val="single"/>
          <w:lang w:eastAsia="bg-BG"/>
        </w:rPr>
        <w:t>Фармакокинетика при специални клинични състояния</w:t>
      </w:r>
    </w:p>
    <w:p w14:paraId="53D792F8" w14:textId="77777777" w:rsidR="00C459DE" w:rsidRPr="00C459DE" w:rsidRDefault="00C459DE" w:rsidP="00C459DE">
      <w:pPr>
        <w:spacing w:line="240" w:lineRule="auto"/>
        <w:rPr>
          <w:rFonts w:eastAsia="Times New Roman" w:cs="Arial"/>
          <w:sz w:val="28"/>
          <w:szCs w:val="24"/>
        </w:rPr>
      </w:pPr>
      <w:r w:rsidRPr="00C459DE">
        <w:rPr>
          <w:rFonts w:eastAsia="Times New Roman" w:cs="Arial"/>
          <w:color w:val="000000"/>
          <w:szCs w:val="20"/>
          <w:lang w:eastAsia="bg-BG"/>
        </w:rPr>
        <w:t>В първата седмица от живота, 80% от дозата се екскретира в урината; през първият месец това намалява до стойности близки до тези на възрастните. При новородени на възраст под 8 дни, средният елиминационен полуживот обикновено е два до три пъти по-дълъг в сравнение с този при възрастни.</w:t>
      </w:r>
    </w:p>
    <w:p w14:paraId="309A247B" w14:textId="77777777" w:rsidR="00C459DE" w:rsidRPr="00C459DE" w:rsidRDefault="00C459DE" w:rsidP="00C459DE">
      <w:pPr>
        <w:spacing w:line="240" w:lineRule="auto"/>
        <w:rPr>
          <w:rFonts w:eastAsia="Times New Roman" w:cs="Arial"/>
          <w:color w:val="000000"/>
          <w:szCs w:val="20"/>
          <w:u w:val="single"/>
          <w:lang w:eastAsia="bg-BG"/>
        </w:rPr>
      </w:pPr>
    </w:p>
    <w:p w14:paraId="102E1F52" w14:textId="28BE88FD" w:rsidR="00C459DE" w:rsidRPr="00C459DE" w:rsidRDefault="00C459DE" w:rsidP="00C459DE">
      <w:pPr>
        <w:spacing w:line="240" w:lineRule="auto"/>
        <w:rPr>
          <w:rFonts w:eastAsia="Times New Roman" w:cs="Arial"/>
          <w:sz w:val="28"/>
          <w:szCs w:val="24"/>
        </w:rPr>
      </w:pPr>
      <w:r w:rsidRPr="00C459DE">
        <w:rPr>
          <w:rFonts w:eastAsia="Times New Roman" w:cs="Arial"/>
          <w:color w:val="000000"/>
          <w:szCs w:val="20"/>
          <w:u w:val="single"/>
          <w:lang w:eastAsia="bg-BG"/>
        </w:rPr>
        <w:t>Линейност/нелинейност</w:t>
      </w:r>
    </w:p>
    <w:p w14:paraId="54743D7E" w14:textId="77777777" w:rsidR="00C459DE" w:rsidRPr="00C459DE" w:rsidRDefault="00C459DE" w:rsidP="00C459DE">
      <w:pPr>
        <w:spacing w:line="240" w:lineRule="auto"/>
        <w:rPr>
          <w:rFonts w:eastAsia="Times New Roman" w:cs="Arial"/>
          <w:sz w:val="28"/>
          <w:szCs w:val="24"/>
        </w:rPr>
      </w:pPr>
      <w:r w:rsidRPr="00C459DE">
        <w:rPr>
          <w:rFonts w:eastAsia="Times New Roman" w:cs="Arial"/>
          <w:color w:val="000000"/>
          <w:szCs w:val="20"/>
          <w:lang w:eastAsia="bg-BG"/>
        </w:rPr>
        <w:t>Фармакокинетиката на цефтриаксон е нелинейна и всички основни фармакокинетични параметри, с изключение на плазмения полуживот са доза-зависими по отношение на общата лекарствена концентрация, увеличаването е по-слабо пропорционално на дозата.</w:t>
      </w:r>
    </w:p>
    <w:p w14:paraId="0A67E72A" w14:textId="77777777" w:rsidR="00C459DE" w:rsidRPr="00C459DE" w:rsidRDefault="00C459DE" w:rsidP="00C459DE">
      <w:pPr>
        <w:spacing w:line="240" w:lineRule="auto"/>
        <w:rPr>
          <w:rFonts w:eastAsia="Times New Roman" w:cs="Arial"/>
          <w:sz w:val="28"/>
          <w:szCs w:val="24"/>
        </w:rPr>
      </w:pPr>
      <w:r w:rsidRPr="00C459DE">
        <w:rPr>
          <w:rFonts w:eastAsia="Times New Roman" w:cs="Arial"/>
          <w:color w:val="000000"/>
          <w:szCs w:val="20"/>
          <w:lang w:eastAsia="bg-BG"/>
        </w:rPr>
        <w:t>Нелинейносгта се дължи на наситено свързване с плазмените протеини и следователно се отнася за общия плазмен цефтриаксон, но не и за свободния (несвързан) цефтриаксон.</w:t>
      </w:r>
    </w:p>
    <w:p w14:paraId="679DB891" w14:textId="77777777" w:rsidR="00C459DE" w:rsidRPr="00C459DE" w:rsidRDefault="00C459DE" w:rsidP="00C459DE">
      <w:pPr>
        <w:spacing w:line="240" w:lineRule="auto"/>
        <w:rPr>
          <w:rFonts w:eastAsia="Times New Roman" w:cs="Arial"/>
          <w:color w:val="000000"/>
          <w:szCs w:val="20"/>
          <w:u w:val="single"/>
          <w:lang w:eastAsia="bg-BG"/>
        </w:rPr>
      </w:pPr>
    </w:p>
    <w:p w14:paraId="4F1BE84F" w14:textId="6E59018F" w:rsidR="00C459DE" w:rsidRPr="00C459DE" w:rsidRDefault="00C459DE" w:rsidP="00C459DE">
      <w:pPr>
        <w:spacing w:line="240" w:lineRule="auto"/>
        <w:rPr>
          <w:rFonts w:eastAsia="Times New Roman" w:cs="Arial"/>
          <w:sz w:val="28"/>
          <w:szCs w:val="24"/>
        </w:rPr>
      </w:pPr>
      <w:r w:rsidRPr="00C459DE">
        <w:rPr>
          <w:rFonts w:eastAsia="Times New Roman" w:cs="Arial"/>
          <w:color w:val="000000"/>
          <w:szCs w:val="20"/>
          <w:u w:val="single"/>
          <w:lang w:eastAsia="bg-BG"/>
        </w:rPr>
        <w:t>Връзка фармакокинетика/Фармакодинамика</w:t>
      </w:r>
    </w:p>
    <w:p w14:paraId="0F8BFE35" w14:textId="7CAC056C" w:rsidR="00C459DE" w:rsidRPr="00C459DE" w:rsidRDefault="00C459DE" w:rsidP="00C459DE">
      <w:pPr>
        <w:spacing w:line="240" w:lineRule="auto"/>
        <w:rPr>
          <w:rFonts w:eastAsia="Times New Roman" w:cs="Arial"/>
          <w:sz w:val="28"/>
          <w:szCs w:val="24"/>
          <w:lang w:val="ru-RU"/>
        </w:rPr>
      </w:pPr>
      <w:r w:rsidRPr="00C459DE">
        <w:rPr>
          <w:rFonts w:eastAsia="Times New Roman" w:cs="Arial"/>
          <w:color w:val="000000"/>
          <w:szCs w:val="20"/>
          <w:lang w:eastAsia="bg-BG"/>
        </w:rPr>
        <w:t xml:space="preserve">Както и при други бета-лактами, фармакокинетичният-фармакодинамичният индекс, който най-добре показва корелацията с </w:t>
      </w:r>
      <w:r w:rsidRPr="00C459DE">
        <w:rPr>
          <w:rFonts w:eastAsia="Times New Roman" w:cs="Arial"/>
          <w:i/>
          <w:iCs/>
          <w:color w:val="000000"/>
          <w:szCs w:val="20"/>
          <w:lang w:val="en-US"/>
        </w:rPr>
        <w:t>in</w:t>
      </w:r>
      <w:r w:rsidRPr="00C459DE">
        <w:rPr>
          <w:rFonts w:eastAsia="Times New Roman" w:cs="Arial"/>
          <w:i/>
          <w:iCs/>
          <w:color w:val="000000"/>
          <w:szCs w:val="20"/>
          <w:lang w:val="ru-RU"/>
        </w:rPr>
        <w:t xml:space="preserve"> </w:t>
      </w:r>
      <w:r w:rsidRPr="00C459DE">
        <w:rPr>
          <w:rFonts w:eastAsia="Times New Roman" w:cs="Arial"/>
          <w:i/>
          <w:iCs/>
          <w:color w:val="000000"/>
          <w:szCs w:val="20"/>
          <w:lang w:val="en-US"/>
        </w:rPr>
        <w:t>vivo</w:t>
      </w:r>
      <w:r w:rsidRPr="00C459DE">
        <w:rPr>
          <w:rFonts w:eastAsia="Times New Roman" w:cs="Arial"/>
          <w:color w:val="000000"/>
          <w:szCs w:val="20"/>
          <w:lang w:val="ru-RU"/>
        </w:rPr>
        <w:t xml:space="preserve"> </w:t>
      </w:r>
      <w:r w:rsidRPr="00C459DE">
        <w:rPr>
          <w:rFonts w:eastAsia="Times New Roman" w:cs="Arial"/>
          <w:color w:val="000000"/>
          <w:szCs w:val="20"/>
          <w:lang w:eastAsia="bg-BG"/>
        </w:rPr>
        <w:t xml:space="preserve">ефикасността е процентът от интервала на </w:t>
      </w:r>
      <w:r w:rsidRPr="00C459DE">
        <w:rPr>
          <w:rFonts w:eastAsia="Times New Roman" w:cs="Arial"/>
          <w:color w:val="000000"/>
          <w:szCs w:val="20"/>
          <w:lang w:eastAsia="bg-BG"/>
        </w:rPr>
        <w:lastRenderedPageBreak/>
        <w:t xml:space="preserve">дозиране, в който несвързаната концентрация остава над минималната инхибираща концентрация </w:t>
      </w:r>
      <w:r w:rsidRPr="00C459DE">
        <w:rPr>
          <w:rFonts w:eastAsia="Times New Roman" w:cs="Arial"/>
          <w:color w:val="000000"/>
          <w:szCs w:val="20"/>
          <w:lang w:val="ru-RU"/>
        </w:rPr>
        <w:t>(</w:t>
      </w:r>
      <w:r w:rsidRPr="00C459DE">
        <w:rPr>
          <w:rFonts w:eastAsia="Times New Roman" w:cs="Arial"/>
          <w:color w:val="000000"/>
          <w:szCs w:val="20"/>
          <w:lang w:val="en-US"/>
        </w:rPr>
        <w:t>MIC</w:t>
      </w:r>
      <w:r w:rsidRPr="00C459DE">
        <w:rPr>
          <w:rFonts w:eastAsia="Times New Roman" w:cs="Arial"/>
          <w:color w:val="000000"/>
          <w:szCs w:val="20"/>
          <w:lang w:val="ru-RU"/>
        </w:rPr>
        <w:t xml:space="preserve">) </w:t>
      </w:r>
      <w:r w:rsidRPr="00C459DE">
        <w:rPr>
          <w:rFonts w:eastAsia="Times New Roman" w:cs="Arial"/>
          <w:color w:val="000000"/>
          <w:szCs w:val="20"/>
          <w:lang w:eastAsia="bg-BG"/>
        </w:rPr>
        <w:t xml:space="preserve">на цефтриаксон за отделните таргетни видове (т.е.% Т &gt; </w:t>
      </w:r>
      <w:r w:rsidRPr="00C459DE">
        <w:rPr>
          <w:rFonts w:eastAsia="Times New Roman" w:cs="Arial"/>
          <w:color w:val="000000"/>
          <w:szCs w:val="20"/>
          <w:lang w:val="en-US"/>
        </w:rPr>
        <w:t>MIC</w:t>
      </w:r>
      <w:r w:rsidRPr="00C459DE">
        <w:rPr>
          <w:rFonts w:eastAsia="Times New Roman" w:cs="Arial"/>
          <w:color w:val="000000"/>
          <w:szCs w:val="20"/>
          <w:lang w:val="ru-RU"/>
        </w:rPr>
        <w:t>).</w:t>
      </w:r>
    </w:p>
    <w:p w14:paraId="075E493D" w14:textId="5D935BE7" w:rsidR="00C459DE" w:rsidRPr="00C459DE" w:rsidRDefault="00C459DE" w:rsidP="00C459DE"/>
    <w:p w14:paraId="028E658A" w14:textId="2BC08BDD" w:rsidR="00395555" w:rsidRDefault="002C50EE" w:rsidP="008A6AF2">
      <w:pPr>
        <w:pStyle w:val="Heading2"/>
      </w:pPr>
      <w:r>
        <w:t>5.3. Предклинични данни за безопасност</w:t>
      </w:r>
    </w:p>
    <w:p w14:paraId="14C27ACC" w14:textId="03EDB1F7" w:rsidR="00C459DE" w:rsidRDefault="00C459DE" w:rsidP="00C459DE"/>
    <w:p w14:paraId="6F599173" w14:textId="77777777" w:rsidR="00C459DE" w:rsidRPr="00C459DE" w:rsidRDefault="00C459DE" w:rsidP="00C459DE">
      <w:pPr>
        <w:rPr>
          <w:sz w:val="24"/>
          <w:szCs w:val="24"/>
        </w:rPr>
      </w:pPr>
      <w:r w:rsidRPr="00C459DE">
        <w:rPr>
          <w:lang w:eastAsia="bg-BG"/>
        </w:rPr>
        <w:t>Има данни от проучвания върху животни, че високите дози цефтриаксон калциева сол водят до образуване на конкременти и преципитати в жлъчния мехур на кучета и маймуни, които са обратими.</w:t>
      </w:r>
    </w:p>
    <w:p w14:paraId="50D0F9A4" w14:textId="5A2DEADA" w:rsidR="00C459DE" w:rsidRPr="00C459DE" w:rsidRDefault="00C459DE" w:rsidP="00C459DE">
      <w:r w:rsidRPr="00C459DE">
        <w:rPr>
          <w:lang w:eastAsia="bg-BG"/>
        </w:rPr>
        <w:t>Проучванията върху животни не показват наличие на репродуктивна токсичност и генотоксичност. Проучвания за карциногенност на цефтриаксон не са провеждани.</w:t>
      </w:r>
    </w:p>
    <w:p w14:paraId="6A7820AB" w14:textId="2E9793A0" w:rsidR="008A6AF2" w:rsidRDefault="002C50EE" w:rsidP="00395555">
      <w:pPr>
        <w:pStyle w:val="Heading1"/>
      </w:pPr>
      <w:r>
        <w:t>7. ПРИТЕЖАТЕЛ НА РАЗРЕШЕНИЕТО ЗА УПОТРЕБА</w:t>
      </w:r>
    </w:p>
    <w:p w14:paraId="08072038" w14:textId="146BB593" w:rsidR="00C459DE" w:rsidRDefault="00C459DE" w:rsidP="00C459DE"/>
    <w:p w14:paraId="214A92CC" w14:textId="77777777" w:rsidR="00C459DE" w:rsidRPr="00C459DE" w:rsidRDefault="00C459DE" w:rsidP="00C459DE">
      <w:pPr>
        <w:rPr>
          <w:sz w:val="24"/>
          <w:szCs w:val="24"/>
        </w:rPr>
      </w:pPr>
      <w:r w:rsidRPr="00C459DE">
        <w:rPr>
          <w:lang w:eastAsia="bg-BG"/>
        </w:rPr>
        <w:t>Тева Фарма ЕАД</w:t>
      </w:r>
    </w:p>
    <w:p w14:paraId="44EE62EB" w14:textId="77777777" w:rsidR="00C459DE" w:rsidRPr="00C459DE" w:rsidRDefault="00C459DE" w:rsidP="00C459DE">
      <w:pPr>
        <w:rPr>
          <w:sz w:val="24"/>
          <w:szCs w:val="24"/>
        </w:rPr>
      </w:pPr>
      <w:r w:rsidRPr="00C459DE">
        <w:rPr>
          <w:lang w:eastAsia="bg-BG"/>
        </w:rPr>
        <w:t>ул. „Люба Величкова“ № 9,1407 София</w:t>
      </w:r>
    </w:p>
    <w:p w14:paraId="032188D8" w14:textId="08559DCD" w:rsidR="00C459DE" w:rsidRPr="00C459DE" w:rsidRDefault="00C459DE" w:rsidP="00C459DE">
      <w:r w:rsidRPr="00C459DE">
        <w:rPr>
          <w:lang w:eastAsia="bg-BG"/>
        </w:rPr>
        <w:t>България</w:t>
      </w:r>
    </w:p>
    <w:p w14:paraId="04840D59" w14:textId="57937F70" w:rsidR="002C50EE" w:rsidRDefault="002C50EE" w:rsidP="00395555">
      <w:pPr>
        <w:pStyle w:val="Heading1"/>
      </w:pPr>
      <w:r>
        <w:t>8. НОМЕР НА РАЗРЕШЕНИЕТО ЗА УПОТРЕБА</w:t>
      </w:r>
    </w:p>
    <w:p w14:paraId="508CCDD8" w14:textId="44C1AF5C" w:rsidR="00C459DE" w:rsidRDefault="00C459DE" w:rsidP="00C459DE"/>
    <w:p w14:paraId="5A3ECF32" w14:textId="77777777" w:rsidR="00C459DE" w:rsidRPr="00C459DE" w:rsidRDefault="00C459DE" w:rsidP="00C459DE">
      <w:pPr>
        <w:rPr>
          <w:sz w:val="24"/>
          <w:szCs w:val="24"/>
        </w:rPr>
      </w:pPr>
      <w:r w:rsidRPr="00C459DE">
        <w:rPr>
          <w:lang w:eastAsia="bg-BG"/>
        </w:rPr>
        <w:t xml:space="preserve">Терцеф </w:t>
      </w:r>
      <w:r w:rsidRPr="00C459DE">
        <w:rPr>
          <w:lang w:val="ru-RU"/>
        </w:rPr>
        <w:t>1</w:t>
      </w:r>
      <w:r w:rsidRPr="00C459DE">
        <w:rPr>
          <w:lang w:val="en-US"/>
        </w:rPr>
        <w:t>g</w:t>
      </w:r>
      <w:r w:rsidRPr="00C459DE">
        <w:rPr>
          <w:lang w:val="ru-RU"/>
        </w:rPr>
        <w:t xml:space="preserve">- </w:t>
      </w:r>
      <w:r w:rsidRPr="00C459DE">
        <w:rPr>
          <w:lang w:val="en-US"/>
        </w:rPr>
        <w:t>per</w:t>
      </w:r>
      <w:r w:rsidRPr="00C459DE">
        <w:rPr>
          <w:lang w:val="ru-RU"/>
        </w:rPr>
        <w:t xml:space="preserve">. </w:t>
      </w:r>
      <w:r w:rsidRPr="00C459DE">
        <w:rPr>
          <w:lang w:eastAsia="bg-BG"/>
        </w:rPr>
        <w:t>№ 9900248</w:t>
      </w:r>
    </w:p>
    <w:p w14:paraId="557138BC" w14:textId="369FA8E6" w:rsidR="00C459DE" w:rsidRPr="00C459DE" w:rsidRDefault="00C459DE" w:rsidP="00C459DE">
      <w:r w:rsidRPr="00C459DE">
        <w:rPr>
          <w:lang w:eastAsia="bg-BG"/>
        </w:rPr>
        <w:t xml:space="preserve">Терцеф </w:t>
      </w:r>
      <w:r w:rsidRPr="00C459DE">
        <w:rPr>
          <w:lang w:val="ru-RU"/>
        </w:rPr>
        <w:t>2</w:t>
      </w:r>
      <w:r w:rsidRPr="00C459DE">
        <w:rPr>
          <w:lang w:val="en-US"/>
        </w:rPr>
        <w:t>g</w:t>
      </w:r>
      <w:r w:rsidRPr="00C459DE">
        <w:rPr>
          <w:lang w:val="ru-RU"/>
        </w:rPr>
        <w:t xml:space="preserve">- </w:t>
      </w:r>
      <w:r w:rsidRPr="00C459DE">
        <w:rPr>
          <w:lang w:val="en-US"/>
        </w:rPr>
        <w:t>per</w:t>
      </w:r>
      <w:r w:rsidRPr="00C459DE">
        <w:rPr>
          <w:lang w:val="ru-RU"/>
        </w:rPr>
        <w:t xml:space="preserve">. </w:t>
      </w:r>
      <w:r w:rsidRPr="00C459DE">
        <w:rPr>
          <w:lang w:eastAsia="bg-BG"/>
        </w:rPr>
        <w:t>№ 9900247</w:t>
      </w:r>
    </w:p>
    <w:p w14:paraId="2CCB5832" w14:textId="261F6370" w:rsidR="007C605B" w:rsidRDefault="002C50EE" w:rsidP="007C605B">
      <w:pPr>
        <w:pStyle w:val="Heading1"/>
      </w:pPr>
      <w:r>
        <w:t>9. ДАТА НА ПЪРВО РАЗРЕШАВАНЕ/ПОДНОВЯВАНЕ НА РАЗРЕШЕНИЕТО ЗА УПОТРЕБА</w:t>
      </w:r>
    </w:p>
    <w:p w14:paraId="10988EFB" w14:textId="77777777" w:rsidR="00C459DE" w:rsidRDefault="00C459DE" w:rsidP="00C459DE">
      <w:pPr>
        <w:spacing w:line="240" w:lineRule="auto"/>
        <w:rPr>
          <w:rFonts w:ascii="Times New Roman" w:eastAsia="Times New Roman" w:hAnsi="Times New Roman" w:cs="Times New Roman"/>
          <w:color w:val="000000"/>
          <w:sz w:val="20"/>
          <w:szCs w:val="20"/>
          <w:lang w:eastAsia="bg-BG"/>
        </w:rPr>
      </w:pPr>
    </w:p>
    <w:p w14:paraId="6D59E0CD" w14:textId="04AA33F9" w:rsidR="00C459DE" w:rsidRPr="00C459DE" w:rsidRDefault="00C459DE" w:rsidP="00C459DE">
      <w:pPr>
        <w:rPr>
          <w:sz w:val="24"/>
          <w:szCs w:val="24"/>
        </w:rPr>
      </w:pPr>
      <w:r w:rsidRPr="00C459DE">
        <w:rPr>
          <w:lang w:eastAsia="bg-BG"/>
        </w:rPr>
        <w:t>Дата на първо разрешаване:</w:t>
      </w:r>
    </w:p>
    <w:p w14:paraId="2C12033F" w14:textId="381B26BF" w:rsidR="00C459DE" w:rsidRPr="00C459DE" w:rsidRDefault="00C459DE" w:rsidP="00C459DE">
      <w:pPr>
        <w:rPr>
          <w:sz w:val="24"/>
          <w:szCs w:val="24"/>
        </w:rPr>
      </w:pPr>
      <w:r w:rsidRPr="00C459DE">
        <w:rPr>
          <w:lang w:eastAsia="bg-BG"/>
        </w:rPr>
        <w:t xml:space="preserve">Терцеф </w:t>
      </w:r>
      <w:r w:rsidRPr="00C459DE">
        <w:t>1</w:t>
      </w:r>
      <w:r w:rsidRPr="00C459DE">
        <w:rPr>
          <w:lang w:val="en-US"/>
        </w:rPr>
        <w:t>g</w:t>
      </w:r>
      <w:r w:rsidRPr="00C459DE">
        <w:t>-</w:t>
      </w:r>
      <w:r w:rsidRPr="00C459DE">
        <w:rPr>
          <w:lang w:eastAsia="bg-BG"/>
        </w:rPr>
        <w:t>16.08.1999 г.</w:t>
      </w:r>
    </w:p>
    <w:p w14:paraId="4A135B95" w14:textId="77777777" w:rsidR="00C459DE" w:rsidRPr="00C459DE" w:rsidRDefault="00C459DE" w:rsidP="00C459DE">
      <w:pPr>
        <w:rPr>
          <w:sz w:val="24"/>
          <w:szCs w:val="24"/>
        </w:rPr>
      </w:pPr>
      <w:proofErr w:type="spellStart"/>
      <w:r w:rsidRPr="00C459DE">
        <w:rPr>
          <w:lang w:val="en-US"/>
        </w:rPr>
        <w:t>Te</w:t>
      </w:r>
      <w:proofErr w:type="spellEnd"/>
      <w:r w:rsidRPr="00C459DE">
        <w:rPr>
          <w:lang w:eastAsia="bg-BG"/>
        </w:rPr>
        <w:t>рцеф</w:t>
      </w:r>
      <w:r w:rsidRPr="00C459DE">
        <w:t>2</w:t>
      </w:r>
      <w:r w:rsidRPr="00C459DE">
        <w:rPr>
          <w:lang w:val="en-US"/>
        </w:rPr>
        <w:t>g</w:t>
      </w:r>
      <w:r w:rsidRPr="00C459DE">
        <w:t xml:space="preserve">- </w:t>
      </w:r>
      <w:r w:rsidRPr="00C459DE">
        <w:rPr>
          <w:lang w:eastAsia="bg-BG"/>
        </w:rPr>
        <w:t>11.08.1999г.</w:t>
      </w:r>
    </w:p>
    <w:p w14:paraId="22C3C39C" w14:textId="77777777" w:rsidR="00C459DE" w:rsidRDefault="00C459DE" w:rsidP="00C459DE">
      <w:pPr>
        <w:rPr>
          <w:lang w:eastAsia="bg-BG"/>
        </w:rPr>
      </w:pPr>
    </w:p>
    <w:p w14:paraId="1D367809" w14:textId="076AAEE2" w:rsidR="00C459DE" w:rsidRPr="00C459DE" w:rsidRDefault="00C459DE" w:rsidP="00C459DE">
      <w:r w:rsidRPr="00C459DE">
        <w:rPr>
          <w:lang w:eastAsia="bg-BG"/>
        </w:rPr>
        <w:t>Дата на последно подновяване: 22.01.2010 г.</w:t>
      </w:r>
    </w:p>
    <w:p w14:paraId="0E9D0119" w14:textId="0245C6D7" w:rsidR="002C50EE" w:rsidRDefault="002C50EE" w:rsidP="002C50EE">
      <w:pPr>
        <w:pStyle w:val="Heading1"/>
      </w:pPr>
      <w:r>
        <w:t>10. ДАТА НА АКТУАЛИЗИРАНЕ НА ТЕКСТА</w:t>
      </w:r>
    </w:p>
    <w:bookmarkEnd w:id="0"/>
    <w:p w14:paraId="43FB38A2" w14:textId="55E73163" w:rsidR="007C605B" w:rsidRPr="003E3126" w:rsidRDefault="00C459DE" w:rsidP="00C459DE">
      <w:r>
        <w:t>11.08.2021</w:t>
      </w:r>
      <w:bookmarkStart w:id="1" w:name="_GoBack"/>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23B3233"/>
    <w:multiLevelType w:val="hybridMultilevel"/>
    <w:tmpl w:val="3D5C4C64"/>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33781"/>
    <w:multiLevelType w:val="hybridMultilevel"/>
    <w:tmpl w:val="3D8801D2"/>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23968"/>
    <w:multiLevelType w:val="hybridMultilevel"/>
    <w:tmpl w:val="A2A6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C63F10"/>
    <w:multiLevelType w:val="hybridMultilevel"/>
    <w:tmpl w:val="F7D41340"/>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C619FB"/>
    <w:multiLevelType w:val="hybridMultilevel"/>
    <w:tmpl w:val="BA78318A"/>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0"/>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5"/>
  </w:num>
  <w:num w:numId="11">
    <w:abstractNumId w:val="32"/>
  </w:num>
  <w:num w:numId="12">
    <w:abstractNumId w:val="15"/>
  </w:num>
  <w:num w:numId="13">
    <w:abstractNumId w:val="20"/>
  </w:num>
  <w:num w:numId="14">
    <w:abstractNumId w:val="13"/>
  </w:num>
  <w:num w:numId="15">
    <w:abstractNumId w:val="31"/>
  </w:num>
  <w:num w:numId="16">
    <w:abstractNumId w:val="11"/>
  </w:num>
  <w:num w:numId="17">
    <w:abstractNumId w:val="25"/>
  </w:num>
  <w:num w:numId="18">
    <w:abstractNumId w:val="9"/>
  </w:num>
  <w:num w:numId="19">
    <w:abstractNumId w:val="29"/>
  </w:num>
  <w:num w:numId="20">
    <w:abstractNumId w:val="24"/>
  </w:num>
  <w:num w:numId="21">
    <w:abstractNumId w:val="18"/>
  </w:num>
  <w:num w:numId="22">
    <w:abstractNumId w:val="27"/>
  </w:num>
  <w:num w:numId="23">
    <w:abstractNumId w:val="19"/>
  </w:num>
  <w:num w:numId="24">
    <w:abstractNumId w:val="10"/>
  </w:num>
  <w:num w:numId="25">
    <w:abstractNumId w:val="23"/>
  </w:num>
  <w:num w:numId="26">
    <w:abstractNumId w:val="22"/>
  </w:num>
  <w:num w:numId="27">
    <w:abstractNumId w:val="34"/>
  </w:num>
  <w:num w:numId="28">
    <w:abstractNumId w:val="8"/>
  </w:num>
  <w:num w:numId="29">
    <w:abstractNumId w:val="21"/>
  </w:num>
  <w:num w:numId="30">
    <w:abstractNumId w:val="36"/>
  </w:num>
  <w:num w:numId="31">
    <w:abstractNumId w:val="6"/>
  </w:num>
  <w:num w:numId="32">
    <w:abstractNumId w:val="35"/>
  </w:num>
  <w:num w:numId="33">
    <w:abstractNumId w:val="4"/>
  </w:num>
  <w:num w:numId="34">
    <w:abstractNumId w:val="33"/>
  </w:num>
  <w:num w:numId="35">
    <w:abstractNumId w:val="7"/>
  </w:num>
  <w:num w:numId="36">
    <w:abstractNumId w:val="26"/>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918"/>
    <w:rsid w:val="002B4DBB"/>
    <w:rsid w:val="002C50EE"/>
    <w:rsid w:val="00340A0A"/>
    <w:rsid w:val="003765DC"/>
    <w:rsid w:val="00395555"/>
    <w:rsid w:val="003E3126"/>
    <w:rsid w:val="00426E5F"/>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610B6"/>
    <w:rsid w:val="00893B92"/>
    <w:rsid w:val="008A6AF2"/>
    <w:rsid w:val="008C70A2"/>
    <w:rsid w:val="009773E4"/>
    <w:rsid w:val="009B171C"/>
    <w:rsid w:val="009F1313"/>
    <w:rsid w:val="00A20351"/>
    <w:rsid w:val="00A65A81"/>
    <w:rsid w:val="00AA23EC"/>
    <w:rsid w:val="00AC63CE"/>
    <w:rsid w:val="00AE2107"/>
    <w:rsid w:val="00B275A8"/>
    <w:rsid w:val="00BF2600"/>
    <w:rsid w:val="00C0049F"/>
    <w:rsid w:val="00C07B84"/>
    <w:rsid w:val="00C33464"/>
    <w:rsid w:val="00C459DE"/>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6229</Words>
  <Characters>35506</Characters>
  <Application>Microsoft Office Word</Application>
  <DocSecurity>0</DocSecurity>
  <Lines>295</Lines>
  <Paragraphs>83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2022-02-18T19:06:00Z</dcterms:created>
  <dcterms:modified xsi:type="dcterms:W3CDTF">2022-02-18T19:06:00Z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