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4C2FFECD" w:rsidR="00DB32D3" w:rsidRDefault="00DD466D" w:rsidP="005726E3">
      <w:pPr>
        <w:pStyle w:val="Heading1"/>
      </w:pPr>
      <w:r>
        <w:t>1.ИМЕ НА ЛЕКАРСТВЕНИЯ ПРОДУКТ</w:t>
      </w:r>
    </w:p>
    <w:p w14:paraId="684ECE0B" w14:textId="32437874" w:rsidR="00AB7050" w:rsidRDefault="00AB7050" w:rsidP="00AB7050"/>
    <w:p w14:paraId="38BC913A" w14:textId="77777777" w:rsidR="00AB7050" w:rsidRPr="00AB7050" w:rsidRDefault="00AB7050" w:rsidP="00AB7050">
      <w:pPr>
        <w:rPr>
          <w:sz w:val="24"/>
          <w:szCs w:val="24"/>
        </w:rPr>
      </w:pPr>
      <w:r w:rsidRPr="00AB7050">
        <w:rPr>
          <w:lang w:eastAsia="bg-BG"/>
        </w:rPr>
        <w:t xml:space="preserve">Теваквел 100 </w:t>
      </w:r>
      <w:r w:rsidRPr="00AB7050">
        <w:rPr>
          <w:lang w:val="en-US"/>
        </w:rPr>
        <w:t>mg</w:t>
      </w:r>
      <w:r w:rsidRPr="00AB7050">
        <w:t xml:space="preserve"> </w:t>
      </w:r>
      <w:r w:rsidRPr="00AB7050">
        <w:rPr>
          <w:lang w:eastAsia="bg-BG"/>
        </w:rPr>
        <w:t>филмирани таблетки</w:t>
      </w:r>
    </w:p>
    <w:p w14:paraId="351C427A" w14:textId="77777777" w:rsidR="00AB7050" w:rsidRPr="00AB7050" w:rsidRDefault="00AB7050" w:rsidP="00AB7050">
      <w:pPr>
        <w:rPr>
          <w:sz w:val="24"/>
          <w:szCs w:val="24"/>
        </w:rPr>
      </w:pPr>
      <w:r w:rsidRPr="00AB7050">
        <w:rPr>
          <w:lang w:val="en-US"/>
        </w:rPr>
        <w:t>Tevaquel</w:t>
      </w:r>
      <w:r w:rsidRPr="00AB7050">
        <w:t xml:space="preserve"> </w:t>
      </w:r>
      <w:r w:rsidRPr="00AB7050">
        <w:rPr>
          <w:lang w:eastAsia="bg-BG"/>
        </w:rPr>
        <w:t xml:space="preserve">100 </w:t>
      </w:r>
      <w:r w:rsidRPr="00AB7050">
        <w:rPr>
          <w:lang w:val="en-US"/>
        </w:rPr>
        <w:t>mg</w:t>
      </w:r>
      <w:r w:rsidRPr="00AB7050">
        <w:t xml:space="preserve"> </w:t>
      </w:r>
      <w:r w:rsidRPr="00AB7050">
        <w:rPr>
          <w:lang w:val="en-US"/>
        </w:rPr>
        <w:t>film</w:t>
      </w:r>
      <w:r w:rsidRPr="00AB7050">
        <w:t>-</w:t>
      </w:r>
      <w:r w:rsidRPr="00AB7050">
        <w:rPr>
          <w:lang w:val="en-US"/>
        </w:rPr>
        <w:t>coated</w:t>
      </w:r>
      <w:r w:rsidRPr="00AB7050">
        <w:t xml:space="preserve"> </w:t>
      </w:r>
      <w:r w:rsidRPr="00AB7050">
        <w:rPr>
          <w:lang w:val="en-US"/>
        </w:rPr>
        <w:t>tablets</w:t>
      </w:r>
    </w:p>
    <w:p w14:paraId="471351F3" w14:textId="77777777" w:rsidR="00AB7050" w:rsidRDefault="00AB7050" w:rsidP="00AB7050">
      <w:pPr>
        <w:rPr>
          <w:lang w:eastAsia="bg-BG"/>
        </w:rPr>
      </w:pPr>
    </w:p>
    <w:p w14:paraId="182F0516" w14:textId="3D7B87BE" w:rsidR="00AB7050" w:rsidRPr="00AB7050" w:rsidRDefault="00AB7050" w:rsidP="00AB7050">
      <w:pPr>
        <w:rPr>
          <w:sz w:val="24"/>
          <w:szCs w:val="24"/>
        </w:rPr>
      </w:pPr>
      <w:r w:rsidRPr="00AB7050">
        <w:rPr>
          <w:lang w:eastAsia="bg-BG"/>
        </w:rPr>
        <w:t xml:space="preserve">Теваквел </w:t>
      </w:r>
      <w:r w:rsidRPr="00AB7050">
        <w:t xml:space="preserve">200 </w:t>
      </w:r>
      <w:r w:rsidRPr="00AB7050">
        <w:rPr>
          <w:lang w:val="en-US"/>
        </w:rPr>
        <w:t>mg</w:t>
      </w:r>
      <w:r w:rsidRPr="00AB7050">
        <w:t xml:space="preserve"> </w:t>
      </w:r>
      <w:r w:rsidRPr="00AB7050">
        <w:rPr>
          <w:lang w:eastAsia="bg-BG"/>
        </w:rPr>
        <w:t>филмирани таблетки</w:t>
      </w:r>
    </w:p>
    <w:p w14:paraId="5EE2CA66" w14:textId="77777777" w:rsidR="00AB7050" w:rsidRPr="00AB7050" w:rsidRDefault="00AB7050" w:rsidP="00AB7050">
      <w:pPr>
        <w:rPr>
          <w:sz w:val="24"/>
          <w:szCs w:val="24"/>
        </w:rPr>
      </w:pPr>
      <w:r w:rsidRPr="00AB7050">
        <w:rPr>
          <w:lang w:val="en-US"/>
        </w:rPr>
        <w:t>Tevaquel</w:t>
      </w:r>
      <w:r w:rsidRPr="00AB7050">
        <w:t xml:space="preserve"> </w:t>
      </w:r>
      <w:r w:rsidRPr="00AB7050">
        <w:rPr>
          <w:lang w:eastAsia="bg-BG"/>
        </w:rPr>
        <w:t xml:space="preserve">200 </w:t>
      </w:r>
      <w:r w:rsidRPr="00AB7050">
        <w:rPr>
          <w:lang w:val="en-US"/>
        </w:rPr>
        <w:t>mg</w:t>
      </w:r>
      <w:r w:rsidRPr="00AB7050">
        <w:t xml:space="preserve"> </w:t>
      </w:r>
      <w:r w:rsidRPr="00AB7050">
        <w:rPr>
          <w:lang w:val="en-US"/>
        </w:rPr>
        <w:t>film</w:t>
      </w:r>
      <w:r w:rsidRPr="00AB7050">
        <w:t>-</w:t>
      </w:r>
      <w:r w:rsidRPr="00AB7050">
        <w:rPr>
          <w:lang w:val="en-US"/>
        </w:rPr>
        <w:t>coated</w:t>
      </w:r>
      <w:r w:rsidRPr="00AB7050">
        <w:t xml:space="preserve"> </w:t>
      </w:r>
      <w:r w:rsidRPr="00AB7050">
        <w:rPr>
          <w:lang w:val="en-US"/>
        </w:rPr>
        <w:t>tablets</w:t>
      </w:r>
    </w:p>
    <w:p w14:paraId="6170C8AA" w14:textId="77777777" w:rsidR="00AB7050" w:rsidRPr="00AB7050" w:rsidRDefault="00AB7050" w:rsidP="00AB7050"/>
    <w:p w14:paraId="48E6CABE" w14:textId="4B3BAD85" w:rsidR="00DB32D3" w:rsidRDefault="00DD466D" w:rsidP="005726E3">
      <w:pPr>
        <w:pStyle w:val="Heading1"/>
      </w:pPr>
      <w:r>
        <w:t>2. КАЧЕСТВЕН И КОЛИЧЕСТВЕН СЪСТАВ</w:t>
      </w:r>
    </w:p>
    <w:p w14:paraId="4B7CA3C7" w14:textId="07A3E8AE" w:rsidR="00AB7050" w:rsidRDefault="00AB7050" w:rsidP="00AB7050"/>
    <w:p w14:paraId="2D85864F" w14:textId="77777777"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 xml:space="preserve">Теваквел 100 </w:t>
      </w:r>
      <w:r w:rsidRPr="00AB7050">
        <w:rPr>
          <w:rFonts w:eastAsia="Times New Roman" w:cs="Arial"/>
          <w:i/>
          <w:iCs/>
          <w:color w:val="000000"/>
          <w:lang w:val="en-US"/>
        </w:rPr>
        <w:t>mg</w:t>
      </w:r>
      <w:r w:rsidRPr="00AB7050">
        <w:rPr>
          <w:rFonts w:eastAsia="Times New Roman" w:cs="Arial"/>
          <w:i/>
          <w:iCs/>
          <w:color w:val="000000"/>
        </w:rPr>
        <w:t xml:space="preserve"> </w:t>
      </w:r>
      <w:r w:rsidRPr="00AB7050">
        <w:rPr>
          <w:rFonts w:eastAsia="Times New Roman" w:cs="Arial"/>
          <w:i/>
          <w:iCs/>
          <w:color w:val="000000"/>
          <w:lang w:eastAsia="bg-BG"/>
        </w:rPr>
        <w:t>филмирани таблетки</w:t>
      </w:r>
    </w:p>
    <w:p w14:paraId="767E450F"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Всяка филмирана таблетка съдържа 100 </w:t>
      </w:r>
      <w:r w:rsidRPr="00AB7050">
        <w:rPr>
          <w:rFonts w:eastAsia="Times New Roman" w:cs="Arial"/>
          <w:color w:val="000000"/>
          <w:lang w:val="en-US"/>
        </w:rPr>
        <w:t>mg</w:t>
      </w:r>
      <w:r w:rsidRPr="00AB7050">
        <w:rPr>
          <w:rFonts w:eastAsia="Times New Roman" w:cs="Arial"/>
          <w:color w:val="000000"/>
        </w:rPr>
        <w:t xml:space="preserve"> </w:t>
      </w:r>
      <w:r w:rsidRPr="00AB7050">
        <w:rPr>
          <w:rFonts w:eastAsia="Times New Roman" w:cs="Arial"/>
          <w:color w:val="000000"/>
          <w:lang w:eastAsia="bg-BG"/>
        </w:rPr>
        <w:t xml:space="preserve">кветиапин </w:t>
      </w:r>
      <w:r w:rsidRPr="00AB7050">
        <w:rPr>
          <w:rFonts w:eastAsia="Times New Roman" w:cs="Arial"/>
          <w:color w:val="000000"/>
        </w:rPr>
        <w:t>(</w:t>
      </w:r>
      <w:r w:rsidRPr="00AB7050">
        <w:rPr>
          <w:rFonts w:eastAsia="Times New Roman" w:cs="Arial"/>
          <w:color w:val="000000"/>
          <w:lang w:val="en-US"/>
        </w:rPr>
        <w:t>quetiapine</w:t>
      </w:r>
      <w:r w:rsidRPr="00AB7050">
        <w:rPr>
          <w:rFonts w:eastAsia="Times New Roman" w:cs="Arial"/>
          <w:color w:val="000000"/>
        </w:rPr>
        <w:t xml:space="preserve">) </w:t>
      </w:r>
      <w:r w:rsidRPr="00AB7050">
        <w:rPr>
          <w:rFonts w:eastAsia="Times New Roman" w:cs="Arial"/>
          <w:color w:val="000000"/>
          <w:lang w:eastAsia="bg-BG"/>
        </w:rPr>
        <w:t>(като кветиапинов фумарат).</w:t>
      </w:r>
    </w:p>
    <w:p w14:paraId="320E71DB" w14:textId="77777777" w:rsidR="00AB7050" w:rsidRPr="00AB7050" w:rsidRDefault="00AB7050" w:rsidP="00AB7050">
      <w:pPr>
        <w:spacing w:line="240" w:lineRule="auto"/>
        <w:rPr>
          <w:rFonts w:eastAsia="Times New Roman" w:cs="Arial"/>
          <w:color w:val="000000"/>
          <w:u w:val="single"/>
          <w:lang w:eastAsia="bg-BG"/>
        </w:rPr>
      </w:pPr>
    </w:p>
    <w:p w14:paraId="652C51C6" w14:textId="5A600E38"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Помошно(и) вешество(а) с известно действие</w:t>
      </w:r>
    </w:p>
    <w:p w14:paraId="704A068C"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Всяка филмирана таблетка съдържа 57 </w:t>
      </w:r>
      <w:r w:rsidRPr="00AB7050">
        <w:rPr>
          <w:rFonts w:eastAsia="Times New Roman" w:cs="Arial"/>
          <w:color w:val="000000"/>
          <w:lang w:val="en-US"/>
        </w:rPr>
        <w:t>mg</w:t>
      </w:r>
      <w:r w:rsidRPr="00AB7050">
        <w:rPr>
          <w:rFonts w:eastAsia="Times New Roman" w:cs="Arial"/>
          <w:color w:val="000000"/>
        </w:rPr>
        <w:t xml:space="preserve"> </w:t>
      </w:r>
      <w:r w:rsidRPr="00AB7050">
        <w:rPr>
          <w:rFonts w:eastAsia="Times New Roman" w:cs="Arial"/>
          <w:color w:val="000000"/>
          <w:lang w:eastAsia="bg-BG"/>
        </w:rPr>
        <w:t xml:space="preserve">лактоза и 0,124 </w:t>
      </w:r>
      <w:r w:rsidRPr="00AB7050">
        <w:rPr>
          <w:rFonts w:eastAsia="Times New Roman" w:cs="Arial"/>
          <w:color w:val="000000"/>
          <w:lang w:val="en-US"/>
        </w:rPr>
        <w:t>mg</w:t>
      </w:r>
      <w:r w:rsidRPr="00AB7050">
        <w:rPr>
          <w:rFonts w:eastAsia="Times New Roman" w:cs="Arial"/>
          <w:color w:val="000000"/>
        </w:rPr>
        <w:t xml:space="preserve"> </w:t>
      </w:r>
      <w:r w:rsidRPr="00AB7050">
        <w:rPr>
          <w:rFonts w:eastAsia="Times New Roman" w:cs="Arial"/>
          <w:color w:val="000000"/>
          <w:lang w:eastAsia="bg-BG"/>
        </w:rPr>
        <w:t xml:space="preserve">сънсет жълто </w:t>
      </w:r>
      <w:r w:rsidRPr="00AB7050">
        <w:rPr>
          <w:rFonts w:eastAsia="Times New Roman" w:cs="Arial"/>
          <w:color w:val="000000"/>
          <w:lang w:val="en-US"/>
        </w:rPr>
        <w:t>FCF</w:t>
      </w:r>
      <w:r w:rsidRPr="00AB7050">
        <w:rPr>
          <w:rFonts w:eastAsia="Times New Roman" w:cs="Arial"/>
          <w:color w:val="000000"/>
        </w:rPr>
        <w:t xml:space="preserve"> </w:t>
      </w:r>
      <w:r w:rsidRPr="00AB7050">
        <w:rPr>
          <w:rFonts w:eastAsia="Times New Roman" w:cs="Arial"/>
          <w:color w:val="000000"/>
          <w:lang w:eastAsia="bg-BG"/>
        </w:rPr>
        <w:t>алуминиев лак (ЕИО).</w:t>
      </w:r>
    </w:p>
    <w:p w14:paraId="48D62541" w14:textId="77777777" w:rsidR="00AB7050" w:rsidRPr="00AB7050" w:rsidRDefault="00AB7050" w:rsidP="00AB7050">
      <w:pPr>
        <w:spacing w:line="240" w:lineRule="auto"/>
        <w:rPr>
          <w:rFonts w:eastAsia="Times New Roman" w:cs="Arial"/>
          <w:i/>
          <w:iCs/>
          <w:color w:val="000000"/>
          <w:lang w:eastAsia="bg-BG"/>
        </w:rPr>
      </w:pPr>
    </w:p>
    <w:p w14:paraId="62EA1F18" w14:textId="4A62BC14"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 xml:space="preserve">Теваквел 200 </w:t>
      </w:r>
      <w:r w:rsidRPr="00AB7050">
        <w:rPr>
          <w:rFonts w:eastAsia="Times New Roman" w:cs="Arial"/>
          <w:i/>
          <w:iCs/>
          <w:color w:val="000000"/>
          <w:lang w:val="en-US"/>
        </w:rPr>
        <w:t>mg</w:t>
      </w:r>
      <w:r w:rsidRPr="00AB7050">
        <w:rPr>
          <w:rFonts w:eastAsia="Times New Roman" w:cs="Arial"/>
          <w:i/>
          <w:iCs/>
          <w:color w:val="000000"/>
        </w:rPr>
        <w:t xml:space="preserve"> </w:t>
      </w:r>
      <w:r w:rsidRPr="00AB7050">
        <w:rPr>
          <w:rFonts w:eastAsia="Times New Roman" w:cs="Arial"/>
          <w:i/>
          <w:iCs/>
          <w:color w:val="000000"/>
          <w:lang w:eastAsia="bg-BG"/>
        </w:rPr>
        <w:t>филмирани таблетки</w:t>
      </w:r>
    </w:p>
    <w:p w14:paraId="4AB7CDD6"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Всяка филмирана таблетка съдържа 200 </w:t>
      </w:r>
      <w:r w:rsidRPr="00AB7050">
        <w:rPr>
          <w:rFonts w:eastAsia="Times New Roman" w:cs="Arial"/>
          <w:color w:val="000000"/>
          <w:lang w:val="en-US"/>
        </w:rPr>
        <w:t>mg</w:t>
      </w:r>
      <w:r w:rsidRPr="00AB7050">
        <w:rPr>
          <w:rFonts w:eastAsia="Times New Roman" w:cs="Arial"/>
          <w:color w:val="000000"/>
        </w:rPr>
        <w:t xml:space="preserve"> </w:t>
      </w:r>
      <w:r w:rsidRPr="00AB7050">
        <w:rPr>
          <w:rFonts w:eastAsia="Times New Roman" w:cs="Arial"/>
          <w:color w:val="000000"/>
          <w:lang w:eastAsia="bg-BG"/>
        </w:rPr>
        <w:t xml:space="preserve">кветиапин </w:t>
      </w:r>
      <w:r w:rsidRPr="00AB7050">
        <w:rPr>
          <w:rFonts w:eastAsia="Times New Roman" w:cs="Arial"/>
          <w:color w:val="000000"/>
        </w:rPr>
        <w:t>(</w:t>
      </w:r>
      <w:r w:rsidRPr="00AB7050">
        <w:rPr>
          <w:rFonts w:eastAsia="Times New Roman" w:cs="Arial"/>
          <w:color w:val="000000"/>
          <w:lang w:val="en-US"/>
        </w:rPr>
        <w:t>quetiapine</w:t>
      </w:r>
      <w:r w:rsidRPr="00AB7050">
        <w:rPr>
          <w:rFonts w:eastAsia="Times New Roman" w:cs="Arial"/>
          <w:color w:val="000000"/>
        </w:rPr>
        <w:t xml:space="preserve">) </w:t>
      </w:r>
      <w:r w:rsidRPr="00AB7050">
        <w:rPr>
          <w:rFonts w:eastAsia="Times New Roman" w:cs="Arial"/>
          <w:color w:val="000000"/>
          <w:lang w:eastAsia="bg-BG"/>
        </w:rPr>
        <w:t>(като кветиапинов фумарат).</w:t>
      </w:r>
    </w:p>
    <w:p w14:paraId="4F4CA4FF" w14:textId="77777777" w:rsidR="00AB7050" w:rsidRPr="00AB7050" w:rsidRDefault="00AB7050" w:rsidP="00AB7050">
      <w:pPr>
        <w:spacing w:line="240" w:lineRule="auto"/>
        <w:rPr>
          <w:rFonts w:eastAsia="Times New Roman" w:cs="Arial"/>
          <w:color w:val="000000"/>
          <w:u w:val="single"/>
          <w:lang w:eastAsia="bg-BG"/>
        </w:rPr>
      </w:pPr>
    </w:p>
    <w:p w14:paraId="086056B9" w14:textId="570E0117"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Помощно(и) вещество(а) с известно действие</w:t>
      </w:r>
    </w:p>
    <w:p w14:paraId="72EBB1B9"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Всяка филмирана таблетка съдържа 113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лактоза.</w:t>
      </w:r>
    </w:p>
    <w:p w14:paraId="36221774" w14:textId="77777777" w:rsidR="00AB7050" w:rsidRPr="00AB7050" w:rsidRDefault="00AB7050" w:rsidP="00AB7050"/>
    <w:p w14:paraId="614984C4" w14:textId="3302A8E4" w:rsidR="008A6AF2" w:rsidRDefault="00DD466D" w:rsidP="002C50EE">
      <w:pPr>
        <w:pStyle w:val="Heading1"/>
      </w:pPr>
      <w:r>
        <w:t>3. ЛЕКАРСТВЕНА ФОРМА</w:t>
      </w:r>
    </w:p>
    <w:p w14:paraId="0815F811" w14:textId="4DDA515B" w:rsidR="00AB7050" w:rsidRDefault="00AB7050" w:rsidP="00AB7050"/>
    <w:p w14:paraId="56897ED7"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Филмирана таблетка</w:t>
      </w:r>
    </w:p>
    <w:p w14:paraId="73D3D17F" w14:textId="77777777"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 xml:space="preserve">Теваквел 100 </w:t>
      </w:r>
      <w:r w:rsidRPr="00AB7050">
        <w:rPr>
          <w:rFonts w:eastAsia="Times New Roman" w:cs="Arial"/>
          <w:i/>
          <w:iCs/>
          <w:color w:val="000000"/>
          <w:lang w:val="en-US"/>
        </w:rPr>
        <w:t>mg</w:t>
      </w:r>
      <w:r w:rsidRPr="00AB7050">
        <w:rPr>
          <w:rFonts w:eastAsia="Times New Roman" w:cs="Arial"/>
          <w:i/>
          <w:iCs/>
          <w:color w:val="000000"/>
          <w:lang w:val="ru-RU"/>
        </w:rPr>
        <w:t xml:space="preserve"> </w:t>
      </w:r>
      <w:r w:rsidRPr="00AB7050">
        <w:rPr>
          <w:rFonts w:eastAsia="Times New Roman" w:cs="Arial"/>
          <w:i/>
          <w:iCs/>
          <w:color w:val="000000"/>
          <w:lang w:eastAsia="bg-BG"/>
        </w:rPr>
        <w:t>филмирани таблетки</w:t>
      </w:r>
    </w:p>
    <w:p w14:paraId="2018FBB6"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Светлооранжева, кръгла, двойноизпъкнала филмирана таблетка, с гравиран надпис “100” от едната страна на таблетката и гладка от другата.</w:t>
      </w:r>
    </w:p>
    <w:p w14:paraId="1137DDD6" w14:textId="77777777" w:rsidR="00AB7050" w:rsidRPr="00AB7050" w:rsidRDefault="00AB7050" w:rsidP="00AB7050">
      <w:pPr>
        <w:spacing w:line="240" w:lineRule="auto"/>
        <w:rPr>
          <w:rFonts w:eastAsia="Times New Roman" w:cs="Arial"/>
          <w:i/>
          <w:iCs/>
          <w:color w:val="000000"/>
          <w:lang w:eastAsia="bg-BG"/>
        </w:rPr>
      </w:pPr>
    </w:p>
    <w:p w14:paraId="797D3148" w14:textId="59619FAF"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 xml:space="preserve">Теваквел 200 </w:t>
      </w:r>
      <w:r w:rsidRPr="00AB7050">
        <w:rPr>
          <w:rFonts w:eastAsia="Times New Roman" w:cs="Arial"/>
          <w:i/>
          <w:iCs/>
          <w:color w:val="000000"/>
          <w:lang w:val="en-US"/>
        </w:rPr>
        <w:t>mg</w:t>
      </w:r>
      <w:r w:rsidRPr="00AB7050">
        <w:rPr>
          <w:rFonts w:eastAsia="Times New Roman" w:cs="Arial"/>
          <w:i/>
          <w:iCs/>
          <w:color w:val="000000"/>
          <w:lang w:val="ru-RU"/>
        </w:rPr>
        <w:t xml:space="preserve"> </w:t>
      </w:r>
      <w:r w:rsidRPr="00AB7050">
        <w:rPr>
          <w:rFonts w:eastAsia="Times New Roman" w:cs="Arial"/>
          <w:i/>
          <w:iCs/>
          <w:color w:val="000000"/>
          <w:lang w:eastAsia="bg-BG"/>
        </w:rPr>
        <w:t>филмирани таблетки</w:t>
      </w:r>
    </w:p>
    <w:p w14:paraId="52D891E3"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Бяла до почти бяла, кръгла, двойноизпъкнала филмирана таблетка, с гравиран надпис “200” от едната страна на таблетката и гладка от другата.</w:t>
      </w:r>
    </w:p>
    <w:p w14:paraId="4B6FFE34" w14:textId="77777777" w:rsidR="00AB7050" w:rsidRPr="00AB7050" w:rsidRDefault="00AB7050" w:rsidP="00AB7050"/>
    <w:p w14:paraId="490FC2C4" w14:textId="6899DE43" w:rsidR="002C50EE" w:rsidRDefault="002C50EE" w:rsidP="002C50EE">
      <w:pPr>
        <w:pStyle w:val="Heading1"/>
      </w:pPr>
      <w:r>
        <w:t>4. КЛИНИЧНИ ДАННИ</w:t>
      </w:r>
    </w:p>
    <w:p w14:paraId="0771830A" w14:textId="43A83FBF" w:rsidR="00DB32D3" w:rsidRDefault="002C50EE" w:rsidP="005726E3">
      <w:pPr>
        <w:pStyle w:val="Heading2"/>
      </w:pPr>
      <w:r>
        <w:t>4.1. Терапевтични показания</w:t>
      </w:r>
    </w:p>
    <w:p w14:paraId="28A24AC5" w14:textId="751B2CDF" w:rsidR="00AB7050" w:rsidRDefault="00AB7050" w:rsidP="00AB7050"/>
    <w:p w14:paraId="0689E51A"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Кветиапин е показан за:</w:t>
      </w:r>
    </w:p>
    <w:p w14:paraId="2503AA38" w14:textId="77777777" w:rsidR="00AB7050" w:rsidRPr="00AB7050" w:rsidRDefault="00AB7050" w:rsidP="00AB7050">
      <w:pPr>
        <w:pStyle w:val="ListParagraph"/>
        <w:numPr>
          <w:ilvl w:val="0"/>
          <w:numId w:val="37"/>
        </w:numPr>
        <w:spacing w:line="240" w:lineRule="auto"/>
        <w:rPr>
          <w:rFonts w:eastAsia="Times New Roman" w:cs="Arial"/>
          <w:color w:val="000000"/>
          <w:lang w:eastAsia="bg-BG"/>
        </w:rPr>
      </w:pPr>
      <w:r w:rsidRPr="00AB7050">
        <w:rPr>
          <w:rFonts w:eastAsia="Times New Roman" w:cs="Arial"/>
          <w:color w:val="000000"/>
          <w:lang w:eastAsia="bg-BG"/>
        </w:rPr>
        <w:t>Лечение на шизофрения</w:t>
      </w:r>
    </w:p>
    <w:p w14:paraId="305428F8" w14:textId="7019B362" w:rsidR="00AB7050" w:rsidRPr="00AB7050" w:rsidRDefault="00AB7050" w:rsidP="00AB7050">
      <w:pPr>
        <w:pStyle w:val="ListParagraph"/>
        <w:numPr>
          <w:ilvl w:val="0"/>
          <w:numId w:val="37"/>
        </w:numPr>
        <w:spacing w:line="240" w:lineRule="auto"/>
        <w:rPr>
          <w:rFonts w:eastAsia="Times New Roman" w:cs="Arial"/>
          <w:color w:val="000000"/>
          <w:lang w:eastAsia="bg-BG"/>
        </w:rPr>
      </w:pPr>
      <w:r w:rsidRPr="00AB7050">
        <w:rPr>
          <w:rFonts w:eastAsia="Times New Roman" w:cs="Arial"/>
          <w:color w:val="000000"/>
          <w:lang w:eastAsia="bg-BG"/>
        </w:rPr>
        <w:lastRenderedPageBreak/>
        <w:t>Лечение на биполярно разстройство</w:t>
      </w:r>
    </w:p>
    <w:p w14:paraId="2B16BFE1" w14:textId="77777777" w:rsidR="00AB7050" w:rsidRPr="00AB7050" w:rsidRDefault="00AB7050" w:rsidP="00AB7050">
      <w:pPr>
        <w:pStyle w:val="ListParagraph"/>
        <w:numPr>
          <w:ilvl w:val="0"/>
          <w:numId w:val="38"/>
        </w:numPr>
        <w:spacing w:line="240" w:lineRule="auto"/>
        <w:rPr>
          <w:rFonts w:eastAsia="Times New Roman" w:cs="Arial"/>
          <w:sz w:val="24"/>
          <w:szCs w:val="24"/>
        </w:rPr>
      </w:pPr>
      <w:r w:rsidRPr="00AB7050">
        <w:rPr>
          <w:rFonts w:eastAsia="Times New Roman" w:cs="Arial"/>
          <w:color w:val="000000"/>
          <w:lang w:eastAsia="bg-BG"/>
        </w:rPr>
        <w:t>За лечение на умерено тежки до тежки манийни епизоди при биполярно разстройство</w:t>
      </w:r>
    </w:p>
    <w:p w14:paraId="228F3321" w14:textId="77777777" w:rsidR="00AB7050" w:rsidRPr="00AB7050" w:rsidRDefault="00AB7050" w:rsidP="00AB7050">
      <w:pPr>
        <w:pStyle w:val="ListParagraph"/>
        <w:numPr>
          <w:ilvl w:val="0"/>
          <w:numId w:val="38"/>
        </w:numPr>
        <w:spacing w:line="240" w:lineRule="auto"/>
        <w:rPr>
          <w:rFonts w:eastAsia="Times New Roman" w:cs="Arial"/>
          <w:sz w:val="24"/>
          <w:szCs w:val="24"/>
        </w:rPr>
      </w:pPr>
      <w:r w:rsidRPr="00AB7050">
        <w:rPr>
          <w:rFonts w:eastAsia="Times New Roman" w:cs="Arial"/>
          <w:color w:val="000000"/>
          <w:lang w:eastAsia="bg-BG"/>
        </w:rPr>
        <w:t>За лечение на големи депресивни епизоди при биполярно разстройство</w:t>
      </w:r>
    </w:p>
    <w:p w14:paraId="2E9567E4" w14:textId="6AA938C0" w:rsidR="00AB7050" w:rsidRPr="00AB7050" w:rsidRDefault="00AB7050" w:rsidP="00AB7050">
      <w:pPr>
        <w:pStyle w:val="ListParagraph"/>
        <w:numPr>
          <w:ilvl w:val="0"/>
          <w:numId w:val="38"/>
        </w:numPr>
        <w:spacing w:line="240" w:lineRule="auto"/>
        <w:rPr>
          <w:rFonts w:ascii="Times New Roman" w:eastAsia="Times New Roman" w:hAnsi="Times New Roman" w:cs="Times New Roman"/>
          <w:sz w:val="24"/>
          <w:szCs w:val="24"/>
        </w:rPr>
      </w:pPr>
      <w:r w:rsidRPr="00AB7050">
        <w:rPr>
          <w:rFonts w:eastAsia="Times New Roman" w:cs="Arial"/>
          <w:color w:val="000000"/>
          <w:lang w:eastAsia="bg-BG"/>
        </w:rPr>
        <w:t>За превенция на рецидиви на манийни или депресивни епизоди при пациенти с биполярно разстройство, които в миналото са се повлияли от лечението с</w:t>
      </w:r>
      <w:r w:rsidRPr="00AB7050">
        <w:rPr>
          <w:rFonts w:eastAsia="Times New Roman" w:cs="Arial"/>
          <w:i/>
          <w:iCs/>
          <w:color w:val="000000"/>
          <w:lang w:eastAsia="bg-BG"/>
        </w:rPr>
        <w:t xml:space="preserve"> </w:t>
      </w:r>
      <w:r w:rsidRPr="00AB7050">
        <w:rPr>
          <w:rFonts w:eastAsia="Times New Roman" w:cs="Arial"/>
          <w:color w:val="000000"/>
          <w:lang w:eastAsia="bg-BG"/>
        </w:rPr>
        <w:t>кветиапин.</w:t>
      </w:r>
    </w:p>
    <w:p w14:paraId="78F30DB1" w14:textId="77777777" w:rsidR="00AB7050" w:rsidRPr="00AB7050" w:rsidRDefault="00AB7050" w:rsidP="00AB7050">
      <w:pPr>
        <w:spacing w:line="240" w:lineRule="auto"/>
        <w:rPr>
          <w:rFonts w:ascii="Times New Roman" w:eastAsia="Times New Roman" w:hAnsi="Times New Roman" w:cs="Times New Roman"/>
          <w:sz w:val="24"/>
          <w:szCs w:val="24"/>
        </w:rPr>
      </w:pPr>
    </w:p>
    <w:p w14:paraId="7647A102" w14:textId="6DACC11A" w:rsidR="00DB32D3" w:rsidRDefault="002C50EE" w:rsidP="005726E3">
      <w:pPr>
        <w:pStyle w:val="Heading2"/>
      </w:pPr>
      <w:r>
        <w:t>4.2. Дозировка и начин на приложение</w:t>
      </w:r>
    </w:p>
    <w:p w14:paraId="177905F3" w14:textId="18E5E65D" w:rsidR="00AB7050" w:rsidRDefault="00AB7050" w:rsidP="00AB7050"/>
    <w:p w14:paraId="426D989F" w14:textId="77777777" w:rsidR="00AB7050" w:rsidRPr="00AB7050" w:rsidRDefault="00AB7050" w:rsidP="00AB7050">
      <w:pPr>
        <w:pStyle w:val="Heading3"/>
        <w:rPr>
          <w:rFonts w:eastAsia="Times New Roman"/>
          <w:u w:val="single"/>
        </w:rPr>
      </w:pPr>
      <w:r w:rsidRPr="00AB7050">
        <w:rPr>
          <w:rFonts w:eastAsia="Times New Roman"/>
          <w:u w:val="single"/>
          <w:lang w:eastAsia="bg-BG"/>
        </w:rPr>
        <w:t>Дозировка</w:t>
      </w:r>
    </w:p>
    <w:p w14:paraId="54961B35" w14:textId="77777777" w:rsidR="00AB7050" w:rsidRPr="00AB7050" w:rsidRDefault="00AB7050" w:rsidP="00AB7050">
      <w:pPr>
        <w:spacing w:line="240" w:lineRule="auto"/>
        <w:rPr>
          <w:rFonts w:eastAsia="Times New Roman" w:cs="Arial"/>
          <w:color w:val="000000"/>
          <w:lang w:eastAsia="bg-BG"/>
        </w:rPr>
      </w:pPr>
    </w:p>
    <w:p w14:paraId="0184D50C" w14:textId="77280008"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За всяко показание съществуват различни схеми на дозиране. Затова трябва да се гарантира, че всеки пациент получава ясна информация за подходящата дозировка за своето състояние.</w:t>
      </w:r>
    </w:p>
    <w:p w14:paraId="3A887509" w14:textId="77777777" w:rsidR="00AB7050" w:rsidRPr="00AB7050" w:rsidRDefault="00AB7050" w:rsidP="00AB7050">
      <w:pPr>
        <w:spacing w:line="240" w:lineRule="auto"/>
        <w:rPr>
          <w:rFonts w:eastAsia="Times New Roman" w:cs="Arial"/>
          <w:b/>
          <w:bCs/>
          <w:color w:val="000000"/>
          <w:lang w:eastAsia="bg-BG"/>
        </w:rPr>
      </w:pPr>
      <w:bookmarkStart w:id="1" w:name="bookmark0"/>
    </w:p>
    <w:p w14:paraId="5FEDD332" w14:textId="385F4936" w:rsidR="00AB7050" w:rsidRPr="00AB7050" w:rsidRDefault="00AB7050" w:rsidP="00AB7050">
      <w:pPr>
        <w:spacing w:line="240" w:lineRule="auto"/>
        <w:rPr>
          <w:rFonts w:eastAsia="Times New Roman" w:cs="Arial"/>
          <w:sz w:val="24"/>
          <w:szCs w:val="24"/>
        </w:rPr>
      </w:pPr>
      <w:r w:rsidRPr="00AB7050">
        <w:rPr>
          <w:rFonts w:eastAsia="Times New Roman" w:cs="Arial"/>
          <w:b/>
          <w:bCs/>
          <w:color w:val="000000"/>
          <w:lang w:eastAsia="bg-BG"/>
        </w:rPr>
        <w:t>Възрастни</w:t>
      </w:r>
      <w:bookmarkEnd w:id="1"/>
    </w:p>
    <w:p w14:paraId="057F13D2" w14:textId="77777777" w:rsidR="00AB7050" w:rsidRPr="00AB7050" w:rsidRDefault="00AB7050" w:rsidP="00AB7050">
      <w:pPr>
        <w:spacing w:line="240" w:lineRule="auto"/>
        <w:rPr>
          <w:rFonts w:eastAsia="Times New Roman" w:cs="Arial"/>
          <w:color w:val="000000"/>
          <w:u w:val="single"/>
          <w:lang w:eastAsia="bg-BG"/>
        </w:rPr>
      </w:pPr>
    </w:p>
    <w:p w14:paraId="41CC1AF4" w14:textId="1FFE9AA3"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За лечение на шизофрения</w:t>
      </w:r>
    </w:p>
    <w:p w14:paraId="4E32D643"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За лечение на шизофрения кветиапин трябва да се прилага два пъти дневно. Общата дневна доза за първите четири дни от терапията е 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1), 100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2), 200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3) и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(Ден 4).</w:t>
      </w:r>
    </w:p>
    <w:p w14:paraId="0F529718"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От Ден 4 дозата трябва да бъде титрирана до обичайната ефективна доза от 300 до 450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дневно. В зависимост от клиничния отговор и поносимостта на всеки пациент, дозата може да бъде адаптирана в границите от 150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до 750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w:t>
      </w:r>
    </w:p>
    <w:p w14:paraId="67A466BC" w14:textId="77777777" w:rsidR="00AB7050" w:rsidRPr="00AB7050" w:rsidRDefault="00AB7050" w:rsidP="00AB7050">
      <w:pPr>
        <w:spacing w:line="240" w:lineRule="auto"/>
        <w:rPr>
          <w:rFonts w:eastAsia="Times New Roman" w:cs="Arial"/>
          <w:color w:val="000000"/>
          <w:u w:val="single"/>
          <w:lang w:eastAsia="bg-BG"/>
        </w:rPr>
      </w:pPr>
    </w:p>
    <w:p w14:paraId="6E7B2385" w14:textId="1D9E941A"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За лечение на умерено тежки до тежки манийни епизоди при биполярно разстройство</w:t>
      </w:r>
    </w:p>
    <w:p w14:paraId="050EA12D"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За лечение на манийни епизоди асоциирани с биполярно разстройство, кветиапин трябва да се прилага два пъти дневно. Общата дневна доза за първите 4 дни от терапията е 100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1), 200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2),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3) и 400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4). Последващо адаптиране на дозата до 800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дневно до Ден 6 трябва да бъде направено с нарастване с не повече от 200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w:t>
      </w:r>
    </w:p>
    <w:p w14:paraId="1D49F891"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Дозата може да бъде адаптирана в зависимост от клиничния отговор и поносимостта на всеки пациент в границите от 200 до 800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дневно. Обичайната ефективна доза е в границите от 400 до 800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w:t>
      </w:r>
    </w:p>
    <w:p w14:paraId="6C97EDD8" w14:textId="77777777" w:rsidR="00AB7050" w:rsidRPr="00AB7050" w:rsidRDefault="00AB7050" w:rsidP="00AB7050">
      <w:pPr>
        <w:spacing w:line="240" w:lineRule="auto"/>
        <w:rPr>
          <w:rFonts w:eastAsia="Times New Roman" w:cs="Arial"/>
          <w:color w:val="000000"/>
          <w:u w:val="single"/>
          <w:lang w:eastAsia="bg-BG"/>
        </w:rPr>
      </w:pPr>
    </w:p>
    <w:p w14:paraId="39D19583" w14:textId="29062A77"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За лечение на големи депресивни епизоди при биполярно разстройство</w:t>
      </w:r>
    </w:p>
    <w:p w14:paraId="38619D54"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Кветиапин трябва да се прилага веднъж дневно преди лягане. Тоталната дневна доза за първите четири дни от терапията е 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1), 100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2), 200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(Ден 3) и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(Ден 4).</w:t>
      </w:r>
    </w:p>
    <w:p w14:paraId="13DD7815"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Препоръчителната дневна доза е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В клинични проучвания в групата получавала доза от 600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не са наблюдавани допълнителни благоприятни ефекти в сравнение с групата, приемала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(вж. точка 5.1). Отделни пациенти може да се повлияят благоприятно от доза 600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Дозировки по-високи от 300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трябва да се започват от лекари с опит в лечението на биполярно разстройство. При отделни пациенти, при съмнение за развитие на толеранс, клиничните проучвания са показали, че може да се обсъди намаляване на дозата до минималната от 200 </w:t>
      </w:r>
      <w:r w:rsidRPr="00AB7050">
        <w:rPr>
          <w:rFonts w:eastAsia="Times New Roman" w:cs="Arial"/>
          <w:color w:val="000000"/>
          <w:lang w:val="en-US"/>
        </w:rPr>
        <w:t>mg</w:t>
      </w:r>
      <w:r w:rsidRPr="00AB7050">
        <w:rPr>
          <w:rFonts w:eastAsia="Times New Roman" w:cs="Arial"/>
          <w:color w:val="000000"/>
          <w:lang w:val="ru-RU"/>
        </w:rPr>
        <w:t>.</w:t>
      </w:r>
    </w:p>
    <w:p w14:paraId="76B554C8" w14:textId="77777777" w:rsidR="00AB7050" w:rsidRPr="00AB7050" w:rsidRDefault="00AB7050" w:rsidP="00AB7050">
      <w:pPr>
        <w:spacing w:line="240" w:lineRule="auto"/>
        <w:rPr>
          <w:rFonts w:eastAsia="Times New Roman" w:cs="Arial"/>
          <w:color w:val="000000"/>
          <w:u w:val="single"/>
          <w:lang w:eastAsia="bg-BG"/>
        </w:rPr>
      </w:pPr>
    </w:p>
    <w:p w14:paraId="32548BEE" w14:textId="1B8C76C6" w:rsidR="00AB7050" w:rsidRPr="00AB7050" w:rsidRDefault="00AB7050" w:rsidP="00AB7050">
      <w:pPr>
        <w:spacing w:line="240" w:lineRule="auto"/>
        <w:rPr>
          <w:rFonts w:eastAsia="Times New Roman" w:cs="Arial"/>
          <w:sz w:val="24"/>
          <w:szCs w:val="24"/>
        </w:rPr>
      </w:pPr>
      <w:r w:rsidRPr="00AB7050">
        <w:rPr>
          <w:rFonts w:eastAsia="Times New Roman" w:cs="Arial"/>
          <w:color w:val="000000"/>
          <w:u w:val="single"/>
          <w:lang w:eastAsia="bg-BG"/>
        </w:rPr>
        <w:t>За превенция на рецидиви при пациенти с биполярно разстройство</w:t>
      </w:r>
    </w:p>
    <w:p w14:paraId="7088FC2E"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lastRenderedPageBreak/>
        <w:t xml:space="preserve">За превенция на рецидиви при пациенти с манийни, смесени или депресивни епизоди на биполярно разстройство, пациентите, които са отговорили на лечението с кветиапин в острата фаза на биполярно разстройство трябва да продължат терапията в същата доза. Дозата може да се адаптира в зависимост от клиничния отговор и поносимостта на отделния пациент в рамките на 300 до 800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 прилагани два пъти дневно. Важно е за поддържаща терапия да се използва най-ниската ефективна доза.</w:t>
      </w:r>
    </w:p>
    <w:p w14:paraId="16E09992" w14:textId="77777777" w:rsidR="00AB7050" w:rsidRPr="00AB7050" w:rsidRDefault="00AB7050" w:rsidP="00AB7050">
      <w:pPr>
        <w:spacing w:line="240" w:lineRule="auto"/>
        <w:rPr>
          <w:rFonts w:eastAsia="Times New Roman" w:cs="Arial"/>
          <w:i/>
          <w:iCs/>
          <w:color w:val="000000"/>
          <w:lang w:eastAsia="bg-BG"/>
        </w:rPr>
      </w:pPr>
    </w:p>
    <w:p w14:paraId="523F5EEE" w14:textId="2582681B"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Пациенти в старческа възраст</w:t>
      </w:r>
    </w:p>
    <w:p w14:paraId="2E9690B7" w14:textId="789E92A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Подобно на останалите антипсихотици, кветиапин трябва да се използва внимателно при пациенти в старческа възраст, особено в периода на първоначално определяне на дозата. Може да се наложи скоростта, с която се титрира дозата да е по-бавна, а дневната терапевтична доза да е по-ниска от обичайната за по-млади пациенти, в зависимост от клиничния отговор и индивидуалната поносимост на пациента. Средният плазмен клирънс на кветиапин е бил</w:t>
      </w:r>
      <w:r w:rsidRPr="00AB7050">
        <w:rPr>
          <w:rFonts w:eastAsia="Times New Roman" w:cs="Arial"/>
          <w:sz w:val="24"/>
          <w:szCs w:val="24"/>
        </w:rPr>
        <w:t xml:space="preserve"> </w:t>
      </w:r>
      <w:r w:rsidRPr="00AB7050">
        <w:rPr>
          <w:rFonts w:eastAsia="Times New Roman" w:cs="Arial"/>
          <w:color w:val="000000"/>
          <w:lang w:eastAsia="bg-BG"/>
        </w:rPr>
        <w:t>редуциран с 30-50% при пациенти в старческа възраст в сравнение с по-млади пациенти. Ефикасността и безопасността не са оценявани при пациенти на възраст над 65 години с депресивни епизоди в рамките на биполярно разстройство.</w:t>
      </w:r>
    </w:p>
    <w:p w14:paraId="46C34245" w14:textId="41702DA3" w:rsidR="00AB7050" w:rsidRPr="00AB7050" w:rsidRDefault="00AB7050" w:rsidP="00AB7050">
      <w:pPr>
        <w:rPr>
          <w:rFonts w:cs="Arial"/>
        </w:rPr>
      </w:pPr>
    </w:p>
    <w:p w14:paraId="4F8FB7E4" w14:textId="77777777"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Педиатрична популация</w:t>
      </w:r>
    </w:p>
    <w:p w14:paraId="578E87D5"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Кветиапин не се препоръчва за употреба при деца и юноши под 18-годишна възраст, поради липса на данни, които биха подкрепили употребата в тази възрастова група. Наличните доказателства от плацебо контролирани клинични проучвания са представени в точки 4.4, 4.8, 5.1 и 5.2.</w:t>
      </w:r>
    </w:p>
    <w:p w14:paraId="4F7B0036" w14:textId="77777777" w:rsidR="00AB7050" w:rsidRPr="00AB7050" w:rsidRDefault="00AB7050" w:rsidP="00AB7050">
      <w:pPr>
        <w:spacing w:line="240" w:lineRule="auto"/>
        <w:rPr>
          <w:rFonts w:eastAsia="Times New Roman" w:cs="Arial"/>
          <w:i/>
          <w:iCs/>
          <w:color w:val="000000"/>
          <w:lang w:eastAsia="bg-BG"/>
        </w:rPr>
      </w:pPr>
    </w:p>
    <w:p w14:paraId="11FDE6B3" w14:textId="766D058E"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Бъбречно увреждане</w:t>
      </w:r>
    </w:p>
    <w:p w14:paraId="54881F38"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Не се налага корекция на дозата при пациенти с бъбречно увреждане.</w:t>
      </w:r>
    </w:p>
    <w:p w14:paraId="45495935" w14:textId="77777777" w:rsidR="00AB7050" w:rsidRPr="00AB7050" w:rsidRDefault="00AB7050" w:rsidP="00AB7050">
      <w:pPr>
        <w:spacing w:line="240" w:lineRule="auto"/>
        <w:rPr>
          <w:rFonts w:eastAsia="Times New Roman" w:cs="Arial"/>
          <w:i/>
          <w:iCs/>
          <w:color w:val="000000"/>
          <w:lang w:eastAsia="bg-BG"/>
        </w:rPr>
      </w:pPr>
    </w:p>
    <w:p w14:paraId="0522780C" w14:textId="3CC3F98D" w:rsidR="00AB7050" w:rsidRPr="00AB7050" w:rsidRDefault="00AB7050" w:rsidP="00AB7050">
      <w:pPr>
        <w:spacing w:line="240" w:lineRule="auto"/>
        <w:rPr>
          <w:rFonts w:eastAsia="Times New Roman" w:cs="Arial"/>
          <w:sz w:val="24"/>
          <w:szCs w:val="24"/>
        </w:rPr>
      </w:pPr>
      <w:r w:rsidRPr="00AB7050">
        <w:rPr>
          <w:rFonts w:eastAsia="Times New Roman" w:cs="Arial"/>
          <w:i/>
          <w:iCs/>
          <w:color w:val="000000"/>
          <w:lang w:eastAsia="bg-BG"/>
        </w:rPr>
        <w:t>Чернодробно увреждане</w:t>
      </w:r>
    </w:p>
    <w:p w14:paraId="16640987"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Кветиапин се метаболизира в голяма степен от черния дроб. Затова кветиапин трябва да се използва предпазливо при пациенти с известно чернодробно увреждане, особено по време на периода на първоначално определяне на дозата.</w:t>
      </w:r>
    </w:p>
    <w:p w14:paraId="16CE371E"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 xml:space="preserve">Пациенти с известно чернодробно увреждане трябва да започнат лечението с дневна доза от 25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 xml:space="preserve">Дозата трябва да се повишава с увеличаване от 25 до 50 </w:t>
      </w:r>
      <w:r w:rsidRPr="00AB7050">
        <w:rPr>
          <w:rFonts w:eastAsia="Times New Roman" w:cs="Arial"/>
          <w:color w:val="000000"/>
          <w:lang w:val="en-US"/>
        </w:rPr>
        <w:t>mg</w:t>
      </w:r>
      <w:r w:rsidRPr="00AB7050">
        <w:rPr>
          <w:rFonts w:eastAsia="Times New Roman" w:cs="Arial"/>
          <w:color w:val="000000"/>
          <w:lang w:val="ru-RU"/>
        </w:rPr>
        <w:t xml:space="preserve"> </w:t>
      </w:r>
      <w:r w:rsidRPr="00AB7050">
        <w:rPr>
          <w:rFonts w:eastAsia="Times New Roman" w:cs="Arial"/>
          <w:color w:val="000000"/>
          <w:lang w:eastAsia="bg-BG"/>
        </w:rPr>
        <w:t>дневно до постигане на ефективна доза в зависимост от клиничния отговор и поносимостга на всеки пациент.</w:t>
      </w:r>
    </w:p>
    <w:p w14:paraId="7E4530C8" w14:textId="77777777" w:rsidR="00AB7050" w:rsidRPr="00AB7050" w:rsidRDefault="00AB7050" w:rsidP="00AB7050">
      <w:pPr>
        <w:spacing w:line="240" w:lineRule="auto"/>
        <w:rPr>
          <w:rFonts w:eastAsia="Times New Roman" w:cs="Arial"/>
          <w:color w:val="000000"/>
          <w:u w:val="single"/>
          <w:lang w:eastAsia="bg-BG"/>
        </w:rPr>
      </w:pPr>
    </w:p>
    <w:p w14:paraId="002540C9" w14:textId="29F02EEE" w:rsidR="00AB7050" w:rsidRPr="00AB7050" w:rsidRDefault="00AB7050" w:rsidP="00AB7050">
      <w:pPr>
        <w:pStyle w:val="Heading3"/>
        <w:rPr>
          <w:rFonts w:eastAsia="Times New Roman"/>
          <w:u w:val="single"/>
        </w:rPr>
      </w:pPr>
      <w:r w:rsidRPr="00AB7050">
        <w:rPr>
          <w:rFonts w:eastAsia="Times New Roman"/>
          <w:u w:val="single"/>
          <w:lang w:eastAsia="bg-BG"/>
        </w:rPr>
        <w:t>Начин на приложение</w:t>
      </w:r>
    </w:p>
    <w:p w14:paraId="61BEA44A" w14:textId="77777777" w:rsidR="00AB7050" w:rsidRPr="00AB7050" w:rsidRDefault="00AB7050" w:rsidP="00AB7050">
      <w:pPr>
        <w:spacing w:line="240" w:lineRule="auto"/>
        <w:rPr>
          <w:rFonts w:eastAsia="Times New Roman" w:cs="Arial"/>
          <w:color w:val="000000"/>
          <w:lang w:eastAsia="bg-BG"/>
        </w:rPr>
      </w:pPr>
    </w:p>
    <w:p w14:paraId="30330C0D" w14:textId="3F6D5E12"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Перорално приложение</w:t>
      </w:r>
    </w:p>
    <w:p w14:paraId="31622EEF" w14:textId="77777777" w:rsidR="00AB7050" w:rsidRPr="00AB7050" w:rsidRDefault="00AB7050" w:rsidP="00AB7050">
      <w:pPr>
        <w:spacing w:line="240" w:lineRule="auto"/>
        <w:rPr>
          <w:rFonts w:eastAsia="Times New Roman" w:cs="Arial"/>
          <w:sz w:val="24"/>
          <w:szCs w:val="24"/>
        </w:rPr>
      </w:pPr>
      <w:r w:rsidRPr="00AB7050">
        <w:rPr>
          <w:rFonts w:eastAsia="Times New Roman" w:cs="Arial"/>
          <w:color w:val="000000"/>
          <w:lang w:eastAsia="bg-BG"/>
        </w:rPr>
        <w:t>Кветиапин може да се прилага със или без храна.</w:t>
      </w:r>
    </w:p>
    <w:p w14:paraId="07939784" w14:textId="77777777" w:rsidR="00AB7050" w:rsidRPr="00AB7050" w:rsidRDefault="00AB7050" w:rsidP="00AB7050"/>
    <w:p w14:paraId="74903285" w14:textId="2BFB0970" w:rsidR="00DB32D3" w:rsidRDefault="002C50EE" w:rsidP="005726E3">
      <w:pPr>
        <w:pStyle w:val="Heading2"/>
      </w:pPr>
      <w:r>
        <w:t>4.3. Противопоказания</w:t>
      </w:r>
    </w:p>
    <w:p w14:paraId="58A5DCA9" w14:textId="6E0F2A77" w:rsidR="00AB7050" w:rsidRDefault="00AB7050" w:rsidP="00AB7050"/>
    <w:p w14:paraId="79078A4A" w14:textId="77777777" w:rsidR="00AB7050" w:rsidRPr="00AB7050" w:rsidRDefault="00AB7050" w:rsidP="00AB7050">
      <w:pPr>
        <w:rPr>
          <w:sz w:val="24"/>
          <w:szCs w:val="24"/>
        </w:rPr>
      </w:pPr>
      <w:r w:rsidRPr="00AB7050">
        <w:rPr>
          <w:lang w:eastAsia="bg-BG"/>
        </w:rPr>
        <w:t>Свръхчувствителност към активното вещество или към някое от помощните вещества, изброени в точка 6.1.</w:t>
      </w:r>
    </w:p>
    <w:p w14:paraId="56DD06B9" w14:textId="6E4AA89B" w:rsidR="00AB7050" w:rsidRPr="00AB7050" w:rsidRDefault="00AB7050" w:rsidP="00AB7050">
      <w:pPr>
        <w:rPr>
          <w:sz w:val="24"/>
          <w:szCs w:val="24"/>
        </w:rPr>
      </w:pPr>
      <w:r w:rsidRPr="00AB7050">
        <w:rPr>
          <w:lang w:eastAsia="bg-BG"/>
        </w:rPr>
        <w:t xml:space="preserve">Едновременното приложение на инхибитори на цитохром Р450 3А4 като </w:t>
      </w:r>
      <w:r w:rsidRPr="00AB7050">
        <w:rPr>
          <w:lang w:val="en-US"/>
        </w:rPr>
        <w:t>HIV</w:t>
      </w:r>
      <w:r w:rsidRPr="00AB7050">
        <w:rPr>
          <w:lang w:eastAsia="bg-BG"/>
        </w:rPr>
        <w:t>-протеазни инхибитори, азолови антифунгални продукти, еритромицин, кларитромицин и нефазодон е противопоказано. (Вижте също точка 4.5.)</w:t>
      </w:r>
    </w:p>
    <w:p w14:paraId="76DC8E58" w14:textId="413346DB" w:rsidR="00DB32D3" w:rsidRDefault="002C50EE" w:rsidP="005726E3">
      <w:pPr>
        <w:pStyle w:val="Heading2"/>
      </w:pPr>
      <w:r>
        <w:lastRenderedPageBreak/>
        <w:t>4.4. Специални предупреждения и предпазни мерки при употреба</w:t>
      </w:r>
    </w:p>
    <w:p w14:paraId="673225D5" w14:textId="09E25A43" w:rsidR="00AB7050" w:rsidRDefault="00AB7050" w:rsidP="00AB7050"/>
    <w:p w14:paraId="75F341FC" w14:textId="77777777" w:rsidR="00AB7050" w:rsidRPr="00524A06" w:rsidRDefault="00AB7050" w:rsidP="00AB7050">
      <w:pPr>
        <w:spacing w:line="240" w:lineRule="auto"/>
        <w:rPr>
          <w:rFonts w:eastAsia="Times New Roman" w:cs="Arial"/>
          <w:color w:val="000000"/>
          <w:lang w:eastAsia="bg-BG"/>
        </w:rPr>
      </w:pPr>
      <w:r w:rsidRPr="00AB7050">
        <w:rPr>
          <w:rFonts w:eastAsia="Times New Roman" w:cs="Arial"/>
          <w:color w:val="000000"/>
          <w:lang w:eastAsia="bg-BG"/>
        </w:rPr>
        <w:t xml:space="preserve">Тъй като кветиапин има няколко показания, профилът на безопасност трябва да се обсъди по </w:t>
      </w:r>
    </w:p>
    <w:p w14:paraId="78BAF58C" w14:textId="60E96C79" w:rsidR="00AB7050" w:rsidRPr="00AB7050" w:rsidRDefault="00AB7050" w:rsidP="00AB7050">
      <w:pPr>
        <w:spacing w:line="240" w:lineRule="auto"/>
        <w:rPr>
          <w:rFonts w:eastAsia="Times New Roman" w:cs="Arial"/>
        </w:rPr>
      </w:pPr>
      <w:r w:rsidRPr="00AB7050">
        <w:rPr>
          <w:rFonts w:eastAsia="Times New Roman" w:cs="Arial"/>
          <w:color w:val="000000"/>
          <w:lang w:eastAsia="bg-BG"/>
        </w:rPr>
        <w:t>отношение диагнозата на всеки отделен пациент и прилаганата доза.</w:t>
      </w:r>
    </w:p>
    <w:p w14:paraId="34993954" w14:textId="77777777" w:rsidR="00AB7050" w:rsidRPr="00524A06" w:rsidRDefault="00AB7050" w:rsidP="00AB7050">
      <w:pPr>
        <w:spacing w:line="240" w:lineRule="auto"/>
        <w:rPr>
          <w:rFonts w:eastAsia="Times New Roman" w:cs="Arial"/>
          <w:color w:val="000000"/>
          <w:u w:val="single"/>
          <w:lang w:eastAsia="bg-BG"/>
        </w:rPr>
      </w:pPr>
    </w:p>
    <w:p w14:paraId="376AED4D" w14:textId="10374D32" w:rsidR="00AB7050" w:rsidRPr="00AB7050" w:rsidRDefault="00AB7050" w:rsidP="00AB7050">
      <w:pPr>
        <w:spacing w:line="240" w:lineRule="auto"/>
        <w:rPr>
          <w:rFonts w:eastAsia="Times New Roman" w:cs="Arial"/>
        </w:rPr>
      </w:pPr>
      <w:r w:rsidRPr="00AB7050">
        <w:rPr>
          <w:rFonts w:eastAsia="Times New Roman" w:cs="Arial"/>
          <w:color w:val="000000"/>
          <w:u w:val="single"/>
          <w:lang w:eastAsia="bg-BG"/>
        </w:rPr>
        <w:t>Педиатрична популация</w:t>
      </w:r>
    </w:p>
    <w:p w14:paraId="1C1E7D1D"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Кветиапин не се препоръчва за употреба при деца и юноши под 18-годишна възраст, поради липса на данни, които биха подкрепили употребата в тази възрастова група. Клиничните проучвания с кветиапин са показали, че в допълнение към известния профил на безопасност при възрастни (вж. точка 4.8), при деца и юноши е била наблюдавана по-висока честота на определени нежелани реакции (повишен апетит, повишение на серумния пролактин, повръщане, ринит и синкоп) или може да имат различни последствия при деца и юноши (екстрапирамидни симптоми и раздразнителност), а за една е установено, че не е наблюдавана в проучвания с възрастни пациенти (повишение на артериалното налягане). При деца и юноши са наблюдавани и промени във функцията на щитовидната жлеза.</w:t>
      </w:r>
    </w:p>
    <w:p w14:paraId="28D72E36" w14:textId="77777777" w:rsidR="00AB7050" w:rsidRPr="00524A06" w:rsidRDefault="00AB7050" w:rsidP="00AB7050">
      <w:pPr>
        <w:spacing w:line="240" w:lineRule="auto"/>
        <w:rPr>
          <w:rFonts w:eastAsia="Times New Roman" w:cs="Arial"/>
          <w:color w:val="000000"/>
          <w:lang w:eastAsia="bg-BG"/>
        </w:rPr>
      </w:pPr>
    </w:p>
    <w:p w14:paraId="58B288B7" w14:textId="75390DE6" w:rsidR="00AB7050" w:rsidRPr="00AB7050" w:rsidRDefault="00AB7050" w:rsidP="00AB7050">
      <w:pPr>
        <w:spacing w:line="240" w:lineRule="auto"/>
        <w:rPr>
          <w:rFonts w:eastAsia="Times New Roman" w:cs="Arial"/>
        </w:rPr>
      </w:pPr>
      <w:r w:rsidRPr="00AB7050">
        <w:rPr>
          <w:rFonts w:eastAsia="Times New Roman" w:cs="Arial"/>
          <w:color w:val="000000"/>
          <w:lang w:eastAsia="bg-BG"/>
        </w:rPr>
        <w:t>Дългосрочното въздействие на лечението с кветиапин върху растежа и развитието не е проучвано за период по-дълъг от 26 седмици. Не са известни и дългосрочните ефекти върху когнитивното и поведенческо развитие.</w:t>
      </w:r>
    </w:p>
    <w:p w14:paraId="4B2FDEC8" w14:textId="77777777" w:rsidR="00AB7050" w:rsidRPr="00524A06" w:rsidRDefault="00AB7050" w:rsidP="00AB7050">
      <w:pPr>
        <w:rPr>
          <w:rFonts w:eastAsia="Times New Roman" w:cs="Arial"/>
          <w:color w:val="000000"/>
          <w:lang w:eastAsia="bg-BG"/>
        </w:rPr>
      </w:pPr>
    </w:p>
    <w:p w14:paraId="4BAD75CF" w14:textId="06828264" w:rsidR="00AB7050" w:rsidRPr="00524A06" w:rsidRDefault="00AB7050" w:rsidP="00AB7050">
      <w:pPr>
        <w:rPr>
          <w:rFonts w:eastAsia="Times New Roman" w:cs="Arial"/>
          <w:color w:val="000000"/>
          <w:lang w:eastAsia="bg-BG"/>
        </w:rPr>
      </w:pPr>
      <w:r w:rsidRPr="00524A06">
        <w:rPr>
          <w:rFonts w:eastAsia="Times New Roman" w:cs="Arial"/>
          <w:color w:val="000000"/>
          <w:lang w:eastAsia="bg-BG"/>
        </w:rPr>
        <w:t>По време на плацебо контролирани клинични проучвания при деца и юноши, приложението на кветиапин е свързано с повишена честота на екстрапирамидните симптоми (ЕПС) в сравнение с пациенти, получавали плацебо за лечение на шизофрения, биполярна мания и биполярна депресия (вж. точка 4.8).</w:t>
      </w:r>
    </w:p>
    <w:p w14:paraId="57D0E0BD" w14:textId="034A8529" w:rsidR="00AB7050" w:rsidRPr="00524A06" w:rsidRDefault="00AB7050" w:rsidP="00AB7050">
      <w:pPr>
        <w:rPr>
          <w:rFonts w:eastAsia="Times New Roman" w:cs="Arial"/>
          <w:color w:val="000000"/>
          <w:lang w:eastAsia="bg-BG"/>
        </w:rPr>
      </w:pPr>
    </w:p>
    <w:p w14:paraId="4CB500C5" w14:textId="77777777"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Опити за самоубийство/суииидни мисли или клинично влошаване</w:t>
      </w:r>
    </w:p>
    <w:p w14:paraId="56EB6D1E"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Депресията при биполярно разстройство се придружава от повишен риск от суицидни мисли, самонараняване и опити за самоубийство (суицидно-свързани събития). Този риск персистира до установяване на клинично значима ремисия. Тъй като през първите няколко седмици от лечението може и да не се наблюдава подобрение, пациентите трябва да бъдат внимателно наблюдавани до поява на подобрение. Обобщения клиничен опит показва, че рискът от опит за самоубийство може да е повишен в началните етапи от възстановяването.</w:t>
      </w:r>
    </w:p>
    <w:p w14:paraId="4B5EFFB6" w14:textId="77777777" w:rsidR="00AB7050" w:rsidRPr="00524A06" w:rsidRDefault="00AB7050" w:rsidP="00AB7050">
      <w:pPr>
        <w:spacing w:line="240" w:lineRule="auto"/>
        <w:rPr>
          <w:rFonts w:eastAsia="Times New Roman" w:cs="Arial"/>
          <w:color w:val="000000"/>
          <w:lang w:eastAsia="bg-BG"/>
        </w:rPr>
      </w:pPr>
    </w:p>
    <w:p w14:paraId="20C5F2CA" w14:textId="0573ED30" w:rsidR="00AB7050" w:rsidRPr="00AB7050" w:rsidRDefault="00AB7050" w:rsidP="00AB7050">
      <w:pPr>
        <w:spacing w:line="240" w:lineRule="auto"/>
        <w:rPr>
          <w:rFonts w:eastAsia="Times New Roman" w:cs="Arial"/>
        </w:rPr>
      </w:pPr>
      <w:r w:rsidRPr="00AB7050">
        <w:rPr>
          <w:rFonts w:eastAsia="Times New Roman" w:cs="Arial"/>
          <w:color w:val="000000"/>
          <w:lang w:eastAsia="bg-BG"/>
        </w:rPr>
        <w:t>Освен това лекарите трябва да имат предвид потенциалния риск от суицидно-свързани събития след внезапно прекратяване на лечението с кветиапин, поради наличие на известни рискови фактори за заболяването, за което е било провеждано лечение. Други психиатрични състояния, за които се предписва кветиапин също може да са свързани с повишен риск от суицидно- свързани събития. Освен това тези състояния може да бъдат придружаващи големия депресивен епизод. При лечението на големи депресивни епизоди трябва да се имат предвид същите предпазни мерки, както при лечението на пациенти с други психиатрични заболявания.</w:t>
      </w:r>
    </w:p>
    <w:p w14:paraId="7F0F98F9" w14:textId="77777777" w:rsidR="00AB7050" w:rsidRPr="00524A06" w:rsidRDefault="00AB7050" w:rsidP="00AB7050">
      <w:pPr>
        <w:spacing w:line="240" w:lineRule="auto"/>
        <w:rPr>
          <w:rFonts w:eastAsia="Times New Roman" w:cs="Arial"/>
          <w:color w:val="000000"/>
          <w:lang w:eastAsia="bg-BG"/>
        </w:rPr>
      </w:pPr>
    </w:p>
    <w:p w14:paraId="64FFEF85" w14:textId="1684C894"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За пациенти с анамнеза за суицидно-свързани събития или такива, които са с изразена степен на суицидна идеация преди </w:t>
      </w:r>
      <w:r w:rsidRPr="00AB7050">
        <w:rPr>
          <w:rFonts w:eastAsia="Times New Roman" w:cs="Arial"/>
          <w:color w:val="000000"/>
          <w:u w:val="single"/>
          <w:lang w:eastAsia="bg-BG"/>
        </w:rPr>
        <w:t>започване</w:t>
      </w:r>
      <w:r w:rsidRPr="00AB7050">
        <w:rPr>
          <w:rFonts w:eastAsia="Times New Roman" w:cs="Arial"/>
          <w:color w:val="000000"/>
          <w:lang w:eastAsia="bg-BG"/>
        </w:rPr>
        <w:t xml:space="preserve"> на лечението, е известно че са с повишен риск от мисли за самоубийство или опити за самоубийство и трябва да бъдат обект на внимателно наблюдение по време на лечението. Един мета-анализ на плацебо контролирани клинични проучвания с антидепресанти при възрастни пациенти с психични </w:t>
      </w:r>
      <w:r w:rsidRPr="00AB7050">
        <w:rPr>
          <w:rFonts w:eastAsia="Times New Roman" w:cs="Arial"/>
          <w:color w:val="000000"/>
          <w:lang w:eastAsia="bg-BG"/>
        </w:rPr>
        <w:lastRenderedPageBreak/>
        <w:t>нарушения е показал повишен риск от суицидно поведение при антидепресантите в сравнение с плацебо при пациенти под 25-годишна възраст.</w:t>
      </w:r>
    </w:p>
    <w:p w14:paraId="225EF198" w14:textId="77777777" w:rsidR="00AB7050" w:rsidRPr="00524A06" w:rsidRDefault="00AB7050" w:rsidP="00AB7050">
      <w:pPr>
        <w:spacing w:line="240" w:lineRule="auto"/>
        <w:rPr>
          <w:rFonts w:eastAsia="Times New Roman" w:cs="Arial"/>
          <w:color w:val="000000"/>
          <w:lang w:eastAsia="bg-BG"/>
        </w:rPr>
      </w:pPr>
    </w:p>
    <w:p w14:paraId="4994ADBD" w14:textId="146C860A" w:rsidR="00AB7050" w:rsidRPr="00AB7050" w:rsidRDefault="00AB7050" w:rsidP="00AB7050">
      <w:pPr>
        <w:spacing w:line="240" w:lineRule="auto"/>
        <w:rPr>
          <w:rFonts w:eastAsia="Times New Roman" w:cs="Arial"/>
        </w:rPr>
      </w:pPr>
      <w:r w:rsidRPr="00AB7050">
        <w:rPr>
          <w:rFonts w:eastAsia="Times New Roman" w:cs="Arial"/>
          <w:color w:val="000000"/>
          <w:lang w:eastAsia="bg-BG"/>
        </w:rPr>
        <w:t>Лекарствената терапия трябва да се провежда с непосредствено наблюдение на пациентите, в частност на тези с висок риск, особено в ранните етапи от лечението и след промяна на дозата. Пациентите (и хората, които се грижат за пациентите) трябва да бъдат бдителни за необходимостта от контрол за каквото и да е влошаване на клиничното състояние, суицидно поведение или мисли и необичайни промени в поведението, и при поява на такива симптоми незабавно да потърсят лекарски съвет.</w:t>
      </w:r>
    </w:p>
    <w:p w14:paraId="22EBF7CE" w14:textId="77777777" w:rsidR="00AB7050" w:rsidRPr="00524A06" w:rsidRDefault="00AB7050" w:rsidP="00AB7050">
      <w:pPr>
        <w:spacing w:line="240" w:lineRule="auto"/>
        <w:rPr>
          <w:rFonts w:eastAsia="Times New Roman" w:cs="Arial"/>
          <w:color w:val="000000"/>
          <w:lang w:eastAsia="bg-BG"/>
        </w:rPr>
      </w:pPr>
    </w:p>
    <w:p w14:paraId="67D9FF21" w14:textId="2F672465" w:rsidR="00AB7050" w:rsidRPr="00AB7050" w:rsidRDefault="00AB7050" w:rsidP="00AB7050">
      <w:pPr>
        <w:spacing w:line="240" w:lineRule="auto"/>
        <w:rPr>
          <w:rFonts w:eastAsia="Times New Roman" w:cs="Arial"/>
        </w:rPr>
      </w:pPr>
      <w:r w:rsidRPr="00AB7050">
        <w:rPr>
          <w:rFonts w:eastAsia="Times New Roman" w:cs="Arial"/>
          <w:color w:val="000000"/>
          <w:lang w:eastAsia="bg-BG"/>
        </w:rPr>
        <w:t>В краткосрочни плацебо контролирани клинични проучвания на пациенти с големи депресивни епизоди в хода на биполярно разстройство, е установен повишен риск от суицидно-свързани събития при млади възрастни пациенти (под 25-годишна възраст), които са били на лечение с кветиапин в сравнение с тези, които са били на лечение с плацебо (3,0% спрямо 0% съответно). Ретроспективно, базирано на популация проучване на кветиапин за лечение на пациенти с голямо депресивно разстройство е показало повишен риск от самонараняване и самоубийство при пациенти на възраст 25-64 години без анамнеза за самонараняване при употреба на кветиапин с други антидепресанти.</w:t>
      </w:r>
    </w:p>
    <w:p w14:paraId="60156FBC" w14:textId="77777777" w:rsidR="00AB7050" w:rsidRPr="00524A06" w:rsidRDefault="00AB7050" w:rsidP="00AB7050">
      <w:pPr>
        <w:spacing w:line="240" w:lineRule="auto"/>
        <w:rPr>
          <w:rFonts w:eastAsia="Times New Roman" w:cs="Arial"/>
          <w:i/>
          <w:iCs/>
          <w:color w:val="000000"/>
          <w:u w:val="single"/>
          <w:lang w:eastAsia="bg-BG"/>
        </w:rPr>
      </w:pPr>
    </w:p>
    <w:p w14:paraId="311D7C2A" w14:textId="518E6DC1"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Метаболитен риск</w:t>
      </w:r>
    </w:p>
    <w:p w14:paraId="533135AB"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Като се има предвид наблюдавания риск от влошаване на метаболитния профил, в това число промени в телесното тегло, кръвната захар (вж. хипергликемия) и липидите, които се наблюдават в клиничните проучвания, метаболитните параметри на пациентите трябва да се оценяват при започване на лечението и промените в тези параметри трябва да се контролират редовно по време на лечението. Влошаването на тези параметри трябва да се лекува, както е подходящо от клинична гледна точка (вж. също точка 4.8).</w:t>
      </w:r>
    </w:p>
    <w:p w14:paraId="275EE5F6" w14:textId="77777777" w:rsidR="00AB7050" w:rsidRPr="00524A06" w:rsidRDefault="00AB7050" w:rsidP="00AB7050">
      <w:pPr>
        <w:spacing w:line="240" w:lineRule="auto"/>
        <w:rPr>
          <w:rFonts w:eastAsia="Times New Roman" w:cs="Arial"/>
          <w:i/>
          <w:iCs/>
          <w:color w:val="000000"/>
          <w:u w:val="single"/>
          <w:lang w:eastAsia="bg-BG"/>
        </w:rPr>
      </w:pPr>
    </w:p>
    <w:p w14:paraId="21E4B5DE" w14:textId="316C6B58"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Екстрапирамидни симптоми</w:t>
      </w:r>
    </w:p>
    <w:p w14:paraId="5E21C9D5"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В плацебо контролирани клинични проучвания при възрастни пациенти, приложението на кветиапин е било свързано с повишена честота на екстрапирамидните симптоми </w:t>
      </w:r>
      <w:r w:rsidRPr="00AB7050">
        <w:rPr>
          <w:rFonts w:eastAsia="Times New Roman" w:cs="Arial"/>
          <w:color w:val="000000"/>
          <w:lang w:val="ru-RU"/>
        </w:rPr>
        <w:t>(</w:t>
      </w:r>
      <w:r w:rsidRPr="00AB7050">
        <w:rPr>
          <w:rFonts w:eastAsia="Times New Roman" w:cs="Arial"/>
          <w:color w:val="000000"/>
          <w:lang w:eastAsia="bg-BG"/>
        </w:rPr>
        <w:t>ЕПС) спрямо плацебо при пациенти лекувани за големи депресивни епизоди при биполярно разстройство</w:t>
      </w:r>
    </w:p>
    <w:p w14:paraId="5148D575"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(вж. точки 4.8 и 5.1).</w:t>
      </w:r>
    </w:p>
    <w:p w14:paraId="7231C49D"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Употребата на кветиапин се свързва с развитието на акатизия, характеризираща се със субективно неприятно или дистрес-безпокойство и необходимост от движение, често</w:t>
      </w:r>
    </w:p>
    <w:p w14:paraId="7F2644AE" w14:textId="77777777" w:rsidR="00AB7050" w:rsidRPr="00524A06" w:rsidRDefault="00AB7050" w:rsidP="00AB7050">
      <w:pPr>
        <w:rPr>
          <w:rFonts w:eastAsia="Times New Roman" w:cs="Arial"/>
        </w:rPr>
      </w:pPr>
      <w:r w:rsidRPr="00524A06">
        <w:rPr>
          <w:rFonts w:eastAsia="Times New Roman" w:cs="Arial"/>
          <w:color w:val="000000"/>
          <w:lang w:eastAsia="bg-BG"/>
        </w:rPr>
        <w:t>придружено от невъзможност за оставане в спокойно състояние. Това е най-вероятно да се прояви през първите няколко седмици от началото на лечението. При пациенти, които развият тези симптоми, повишаването на дозата може да е опасно.</w:t>
      </w:r>
    </w:p>
    <w:p w14:paraId="7E115DEE" w14:textId="77777777" w:rsidR="00AB7050" w:rsidRPr="00524A06" w:rsidRDefault="00AB7050" w:rsidP="00AB7050">
      <w:pPr>
        <w:spacing w:line="240" w:lineRule="auto"/>
        <w:rPr>
          <w:rFonts w:eastAsia="Times New Roman" w:cs="Arial"/>
          <w:i/>
          <w:iCs/>
          <w:color w:val="000000"/>
          <w:u w:val="single"/>
          <w:lang w:eastAsia="bg-BG"/>
        </w:rPr>
      </w:pPr>
    </w:p>
    <w:p w14:paraId="7A25CCCE" w14:textId="33091257"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Тардивна дискинезия</w:t>
      </w:r>
    </w:p>
    <w:p w14:paraId="172EF5F2"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Ако се появят признаци и симптоми на тардивна дискинезия, трябва да се обмисли намаляване на дозата или спиране на лечението. Симптомите на тардивна дискинезия може да се влошат или дори да се появят след спиране на лечението (вж. точка 4.8).</w:t>
      </w:r>
    </w:p>
    <w:p w14:paraId="666F0616" w14:textId="77777777" w:rsidR="00AB7050" w:rsidRPr="00524A06" w:rsidRDefault="00AB7050" w:rsidP="00AB7050">
      <w:pPr>
        <w:spacing w:line="240" w:lineRule="auto"/>
        <w:rPr>
          <w:rFonts w:eastAsia="Times New Roman" w:cs="Arial"/>
          <w:i/>
          <w:iCs/>
          <w:color w:val="000000"/>
          <w:u w:val="single"/>
          <w:lang w:eastAsia="bg-BG"/>
        </w:rPr>
      </w:pPr>
    </w:p>
    <w:p w14:paraId="7F9E092C" w14:textId="7B4D7ADA"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Сомнолентност и замаяност</w:t>
      </w:r>
    </w:p>
    <w:p w14:paraId="6CD2C907"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Лечението с кветиапин се придружава от сомнолентност и съответните симптоми като седация (вж. точка 4.8). В клинични проучвания за лечение на пациенти с биполярна депресия, началото на тези симптоми обикновено е било в рамките на 3 дни след започване на лечението, и е било предимно с лека до умерена интензивност. Пациентите, получили тежка форма на сомнолентност може да се нуждаят от по-чести </w:t>
      </w:r>
      <w:r w:rsidRPr="00AB7050">
        <w:rPr>
          <w:rFonts w:eastAsia="Times New Roman" w:cs="Arial"/>
          <w:color w:val="000000"/>
          <w:lang w:eastAsia="bg-BG"/>
        </w:rPr>
        <w:lastRenderedPageBreak/>
        <w:t>контакти през първите две седмици след появата й или до подобрение на симптомите, или трябва да се обсъди прекратяване на лечението.</w:t>
      </w:r>
    </w:p>
    <w:p w14:paraId="3912AB26" w14:textId="77777777" w:rsidR="00AB7050" w:rsidRPr="00524A06" w:rsidRDefault="00AB7050" w:rsidP="00AB7050">
      <w:pPr>
        <w:spacing w:line="240" w:lineRule="auto"/>
        <w:rPr>
          <w:rFonts w:eastAsia="Times New Roman" w:cs="Arial"/>
          <w:i/>
          <w:iCs/>
          <w:color w:val="000000"/>
          <w:u w:val="single"/>
          <w:lang w:eastAsia="bg-BG"/>
        </w:rPr>
      </w:pPr>
    </w:p>
    <w:p w14:paraId="6D770F0C" w14:textId="4C4974CD"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Ортостатична хипотония</w:t>
      </w:r>
    </w:p>
    <w:p w14:paraId="0B8922CB"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Лечението с кветиапин е било свързано с ортостатична хипотония и замаяност (вж. точка 4.8), която подобно на сомнолентността се е появявала обикновено в периода на първоначално титриране на дозата. Това би могло да повиши честотата на случайното нараняване (падане), особено в популацията от пациенти в старческа възраст. Затова пациентите трябва да бъдат съветвани да са предпазливи докато опознаят потенциалните ефекти на лечението.</w:t>
      </w:r>
    </w:p>
    <w:p w14:paraId="5CD31FFA" w14:textId="77777777" w:rsidR="00AB7050" w:rsidRPr="00524A06" w:rsidRDefault="00AB7050" w:rsidP="00AB7050">
      <w:pPr>
        <w:spacing w:line="240" w:lineRule="auto"/>
        <w:rPr>
          <w:rFonts w:eastAsia="Times New Roman" w:cs="Arial"/>
          <w:color w:val="000000"/>
          <w:lang w:eastAsia="bg-BG"/>
        </w:rPr>
      </w:pPr>
    </w:p>
    <w:p w14:paraId="27087AB9" w14:textId="1C3CA002" w:rsidR="00AB7050" w:rsidRPr="00AB7050" w:rsidRDefault="00AB7050" w:rsidP="00AB7050">
      <w:pPr>
        <w:spacing w:line="240" w:lineRule="auto"/>
        <w:rPr>
          <w:rFonts w:eastAsia="Times New Roman" w:cs="Arial"/>
        </w:rPr>
      </w:pPr>
      <w:r w:rsidRPr="00AB7050">
        <w:rPr>
          <w:rFonts w:eastAsia="Times New Roman" w:cs="Arial"/>
          <w:color w:val="000000"/>
          <w:lang w:eastAsia="bg-BG"/>
        </w:rPr>
        <w:t>Кветиапин трябва да се прилага предпазливо при пациенти с анамнеза за сърдечносъдово заболяване, цереброваскуларно заболяване или състояния, предразполагащи към хипотония. Трябва да се има предвид редукция на дозата или по-постепенното й титриране, ако се появи ортостатична хипотония, по-специално при пациенти с придружаващо сърдечно-съдово заболяване.</w:t>
      </w:r>
    </w:p>
    <w:p w14:paraId="5657FC07" w14:textId="77777777" w:rsidR="00AB7050" w:rsidRPr="00524A06" w:rsidRDefault="00AB7050" w:rsidP="00AB7050">
      <w:pPr>
        <w:spacing w:line="240" w:lineRule="auto"/>
        <w:rPr>
          <w:rFonts w:eastAsia="Times New Roman" w:cs="Arial"/>
          <w:i/>
          <w:iCs/>
          <w:color w:val="000000"/>
          <w:u w:val="single"/>
          <w:lang w:eastAsia="bg-BG"/>
        </w:rPr>
      </w:pPr>
    </w:p>
    <w:p w14:paraId="0B58CECC" w14:textId="2A7E9CF4"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Синдром на сънна апнея</w:t>
      </w:r>
    </w:p>
    <w:p w14:paraId="69021570"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Съобщава се за синдром на сънна апнея при пациенти, приемащи кветиапин. При пациенти, приемащи едновременно лекарствени продукти, потискащи централната нервна система, и които имат анамнеза или рискови фактори за сънна апнея, като наднормено тегло/затлъстяване или мъжки пол, кветиапин трябва да се прилага с повишено внимание.</w:t>
      </w:r>
    </w:p>
    <w:p w14:paraId="4743FF0B" w14:textId="77777777" w:rsidR="00AB7050" w:rsidRPr="00524A06" w:rsidRDefault="00AB7050" w:rsidP="00AB7050">
      <w:pPr>
        <w:spacing w:line="240" w:lineRule="auto"/>
        <w:rPr>
          <w:rFonts w:eastAsia="Times New Roman" w:cs="Arial"/>
          <w:i/>
          <w:iCs/>
          <w:color w:val="000000"/>
          <w:u w:val="single"/>
          <w:lang w:eastAsia="bg-BG"/>
        </w:rPr>
      </w:pPr>
    </w:p>
    <w:p w14:paraId="0FFD65C6" w14:textId="086C8C03"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Припадъци</w:t>
      </w:r>
    </w:p>
    <w:p w14:paraId="0736089E"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В контролирани клинични проучвания не е имало разлика в честотата на припадъците при пациенти лекувани с кветиапин или с плацебо. Липсват данни относно честотата на припадъците при пациенти</w:t>
      </w:r>
    </w:p>
    <w:p w14:paraId="3EF544E7"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с анамнеза за конвулсивни разстройства. Както и при другите антипсихотици, по време на лечение на пациенти с анамнеза за припадъци е необходимо внимание (вж. точка 4.8).</w:t>
      </w:r>
    </w:p>
    <w:p w14:paraId="00612CDD" w14:textId="77777777" w:rsidR="00AB7050" w:rsidRPr="00524A06" w:rsidRDefault="00AB7050" w:rsidP="00AB7050">
      <w:pPr>
        <w:spacing w:line="240" w:lineRule="auto"/>
        <w:rPr>
          <w:rFonts w:eastAsia="Times New Roman" w:cs="Arial"/>
          <w:i/>
          <w:iCs/>
          <w:color w:val="000000"/>
          <w:u w:val="single"/>
          <w:lang w:eastAsia="bg-BG"/>
        </w:rPr>
      </w:pPr>
    </w:p>
    <w:p w14:paraId="626131E6" w14:textId="169C2C6E"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Невролептичен малигнен синдром</w:t>
      </w:r>
    </w:p>
    <w:p w14:paraId="45C4388B"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Невролептичният малигнен синдром се асоциира с антипсихотична терапия, включително кветиапин (вж. точка 4.8). Клиничните прояви включват хипертермия, нарушен психичен статус, мускулна ригидност, автономна нестабилност и повишена креатин фосфокиназа. При такова събитие употребата на кветиапин трябва да бъде прекратена и да се приложи подходящо лечение.</w:t>
      </w:r>
    </w:p>
    <w:p w14:paraId="26FB33BD" w14:textId="77777777" w:rsidR="00AB7050" w:rsidRPr="00524A06" w:rsidRDefault="00AB7050" w:rsidP="00AB7050">
      <w:pPr>
        <w:spacing w:line="240" w:lineRule="auto"/>
        <w:rPr>
          <w:rFonts w:eastAsia="Times New Roman" w:cs="Arial"/>
          <w:i/>
          <w:iCs/>
          <w:color w:val="000000"/>
          <w:u w:val="single"/>
          <w:lang w:eastAsia="bg-BG"/>
        </w:rPr>
      </w:pPr>
    </w:p>
    <w:p w14:paraId="13BA0D3B" w14:textId="2B02D6E7"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Тежка неутропения и агранулоиитоза</w:t>
      </w:r>
    </w:p>
    <w:p w14:paraId="6C94C12E" w14:textId="77777777" w:rsidR="00AB7050" w:rsidRPr="00524A06" w:rsidRDefault="00AB7050" w:rsidP="00AB7050">
      <w:pPr>
        <w:rPr>
          <w:rFonts w:eastAsia="Times New Roman" w:cs="Arial"/>
        </w:rPr>
      </w:pPr>
      <w:r w:rsidRPr="00524A06">
        <w:rPr>
          <w:rFonts w:eastAsia="Times New Roman" w:cs="Arial"/>
          <w:color w:val="000000"/>
          <w:lang w:eastAsia="bg-BG"/>
        </w:rPr>
        <w:t>В клинични проучвания с кветиапин е съобщавано за тежка неутропения (неутрофилен брой &lt; 0,5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xml:space="preserve">). Повечето случаи на неутропения се появяват в рамките на няколко месеца от началото на терапията с кветиапин. Не е установена връзка с прилаганата доза. По време на постмаркетинговия опит, някои случаи са били фатални. Възможните рискови фактори за неутропения включват предшестващ нисък брой на левкоцитите </w:t>
      </w:r>
      <w:r w:rsidRPr="00524A06">
        <w:rPr>
          <w:rFonts w:eastAsia="Times New Roman" w:cs="Arial"/>
          <w:color w:val="000000"/>
          <w:lang w:val="ru-RU"/>
        </w:rPr>
        <w:t>(</w:t>
      </w:r>
      <w:r w:rsidRPr="00524A06">
        <w:rPr>
          <w:rFonts w:eastAsia="Times New Roman" w:cs="Arial"/>
          <w:color w:val="000000"/>
          <w:lang w:val="en-US"/>
        </w:rPr>
        <w:t>WBC</w:t>
      </w:r>
      <w:r w:rsidRPr="00524A06">
        <w:rPr>
          <w:rFonts w:eastAsia="Times New Roman" w:cs="Arial"/>
          <w:color w:val="000000"/>
          <w:lang w:val="ru-RU"/>
        </w:rPr>
        <w:t xml:space="preserve">) </w:t>
      </w:r>
      <w:r w:rsidRPr="00524A06">
        <w:rPr>
          <w:rFonts w:eastAsia="Times New Roman" w:cs="Arial"/>
          <w:color w:val="000000"/>
          <w:lang w:eastAsia="bg-BG"/>
        </w:rPr>
        <w:t>и анамнеза за неутропения индуцирана от някои лекарства. Въпреки това, някои случаи са настъпили при пациенти без предшестващи рискови фактори. Употребата на кветиапин трябва да бъде прекратена при пациенти с брой на неутрофилите &lt;1,0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Пациентите трябва да се наблюдават за признаци и симптоми на инфекция, а броят на неутрофилите да се проследява (докато не надхвърли 1,5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(вж. точка 5.1).</w:t>
      </w:r>
    </w:p>
    <w:p w14:paraId="4CE89562" w14:textId="77777777" w:rsidR="00AB7050" w:rsidRPr="00524A06" w:rsidRDefault="00AB7050" w:rsidP="00AB7050">
      <w:pPr>
        <w:spacing w:line="240" w:lineRule="auto"/>
        <w:rPr>
          <w:rFonts w:eastAsia="Times New Roman" w:cs="Arial"/>
          <w:color w:val="000000"/>
          <w:lang w:eastAsia="bg-BG"/>
        </w:rPr>
      </w:pPr>
    </w:p>
    <w:p w14:paraId="21C3E059" w14:textId="7864C50E" w:rsidR="00AB7050" w:rsidRPr="00AB7050" w:rsidRDefault="00AB7050" w:rsidP="00AB7050">
      <w:pPr>
        <w:spacing w:line="240" w:lineRule="auto"/>
        <w:rPr>
          <w:rFonts w:eastAsia="Times New Roman" w:cs="Arial"/>
        </w:rPr>
      </w:pPr>
      <w:r w:rsidRPr="00AB7050">
        <w:rPr>
          <w:rFonts w:eastAsia="Times New Roman" w:cs="Arial"/>
          <w:color w:val="000000"/>
          <w:lang w:eastAsia="bg-BG"/>
        </w:rPr>
        <w:lastRenderedPageBreak/>
        <w:t>При пациенти с инфекция или повишена температура, особено при липсата на ясен(ни) предразполагайки) фактор(и), трябва да се има предвид вероятността от развитие на неутропения и трябва да се лекува както е подходящо от клинична гледна точка.</w:t>
      </w:r>
    </w:p>
    <w:p w14:paraId="4EB37B7B" w14:textId="77777777" w:rsidR="00AB7050" w:rsidRPr="00524A06" w:rsidRDefault="00AB7050" w:rsidP="00AB7050">
      <w:pPr>
        <w:spacing w:line="240" w:lineRule="auto"/>
        <w:rPr>
          <w:rFonts w:eastAsia="Times New Roman" w:cs="Arial"/>
          <w:color w:val="000000"/>
          <w:lang w:eastAsia="bg-BG"/>
        </w:rPr>
      </w:pPr>
    </w:p>
    <w:p w14:paraId="728279B1" w14:textId="11B7AEA4"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Пациентите трябва да бъдат съветвани да съобщават незабавно за появата на признаци/симптоми на агранулоцитоза или инфекция (напр. повишена температура, слабост, летаргия или болки в гърлото) по всяко време при лечението с кветиапин. При такива пациенти трябва своевременно да се изследва броя на левкоцитите </w:t>
      </w:r>
      <w:r w:rsidRPr="00AB7050">
        <w:rPr>
          <w:rFonts w:eastAsia="Times New Roman" w:cs="Arial"/>
          <w:color w:val="000000"/>
          <w:lang w:val="ru-RU"/>
        </w:rPr>
        <w:t>(</w:t>
      </w:r>
      <w:r w:rsidRPr="00AB7050">
        <w:rPr>
          <w:rFonts w:eastAsia="Times New Roman" w:cs="Arial"/>
          <w:color w:val="000000"/>
          <w:lang w:val="en-US"/>
        </w:rPr>
        <w:t>WBC</w:t>
      </w:r>
      <w:r w:rsidRPr="00AB7050">
        <w:rPr>
          <w:rFonts w:eastAsia="Times New Roman" w:cs="Arial"/>
          <w:color w:val="000000"/>
          <w:lang w:val="ru-RU"/>
        </w:rPr>
        <w:t xml:space="preserve">) </w:t>
      </w:r>
      <w:r w:rsidRPr="00AB7050">
        <w:rPr>
          <w:rFonts w:eastAsia="Times New Roman" w:cs="Arial"/>
          <w:color w:val="000000"/>
          <w:lang w:eastAsia="bg-BG"/>
        </w:rPr>
        <w:t xml:space="preserve">и абсолютния брой на неутрофилите </w:t>
      </w:r>
      <w:r w:rsidRPr="00AB7050">
        <w:rPr>
          <w:rFonts w:eastAsia="Times New Roman" w:cs="Arial"/>
          <w:color w:val="000000"/>
          <w:lang w:val="ru-RU"/>
        </w:rPr>
        <w:t>(</w:t>
      </w:r>
      <w:r w:rsidRPr="00AB7050">
        <w:rPr>
          <w:rFonts w:eastAsia="Times New Roman" w:cs="Arial"/>
          <w:color w:val="000000"/>
          <w:lang w:val="en-US"/>
        </w:rPr>
        <w:t>ANC</w:t>
      </w:r>
      <w:r w:rsidRPr="00AB7050">
        <w:rPr>
          <w:rFonts w:eastAsia="Times New Roman" w:cs="Arial"/>
          <w:color w:val="000000"/>
          <w:lang w:val="ru-RU"/>
        </w:rPr>
        <w:t xml:space="preserve">), </w:t>
      </w:r>
      <w:r w:rsidRPr="00AB7050">
        <w:rPr>
          <w:rFonts w:eastAsia="Times New Roman" w:cs="Arial"/>
          <w:color w:val="000000"/>
          <w:lang w:eastAsia="bg-BG"/>
        </w:rPr>
        <w:t>особено при отсъствие на предразполагащи фактори.</w:t>
      </w:r>
    </w:p>
    <w:p w14:paraId="2BC0632A" w14:textId="77777777" w:rsidR="00AB7050" w:rsidRPr="00524A06" w:rsidRDefault="00AB7050" w:rsidP="00AB7050">
      <w:pPr>
        <w:spacing w:line="240" w:lineRule="auto"/>
        <w:rPr>
          <w:rFonts w:eastAsia="Times New Roman" w:cs="Arial"/>
          <w:i/>
          <w:iCs/>
          <w:color w:val="000000"/>
          <w:u w:val="single"/>
          <w:lang w:eastAsia="bg-BG"/>
        </w:rPr>
      </w:pPr>
    </w:p>
    <w:p w14:paraId="12836075" w14:textId="5694F679"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Антихолинергични (мускаринови) ефекти</w:t>
      </w:r>
    </w:p>
    <w:p w14:paraId="5518245F"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Норкветиапин, който е активен метаболит на кветиапин притежава умерен до силен афинитет към няколко подвила мускаринови рецептори. Това допринася за поява на нежелани лекарствени реакции, вследствие на антихолинергични ефекти, когато кветиапин се използва в препоръчителните дози, когато се използва едновременно с други лекарства, които имат антихолинергично действие и в случай на предозиране. Кветиапин трябва да се прилага с повишено внимание при пациенти, приемащи лекарства, които имат антихолинергични (мускаринови) ефекти. Кветиапин трябва да се използва с повишено внимание при пациенти с настояща диагноза или с анамнестични данни за задръжка на урина, клинично значимо хипертрофия на простатата, чревна непроходимост или свързани с тях състояния, повишено вътреочно налягане или закритоъгьлна глаукома. (Вижте точки 4.5, 4.8,</w:t>
      </w:r>
      <w:r w:rsidRPr="00AB7050">
        <w:rPr>
          <w:rFonts w:eastAsia="Times New Roman" w:cs="Arial"/>
          <w:color w:val="000000"/>
          <w:lang w:val="ru-RU"/>
        </w:rPr>
        <w:t xml:space="preserve"> </w:t>
      </w:r>
      <w:r w:rsidRPr="00AB7050">
        <w:rPr>
          <w:rFonts w:eastAsia="Times New Roman" w:cs="Arial"/>
          <w:color w:val="000000"/>
          <w:lang w:eastAsia="bg-BG"/>
        </w:rPr>
        <w:t>5.1 и 4.9)</w:t>
      </w:r>
    </w:p>
    <w:p w14:paraId="05BC5E62" w14:textId="77777777" w:rsidR="00AB7050" w:rsidRPr="00524A06" w:rsidRDefault="00AB7050" w:rsidP="00AB7050">
      <w:pPr>
        <w:spacing w:line="240" w:lineRule="auto"/>
        <w:rPr>
          <w:rFonts w:eastAsia="Times New Roman" w:cs="Arial"/>
          <w:i/>
          <w:iCs/>
          <w:color w:val="000000"/>
          <w:u w:val="single"/>
          <w:lang w:eastAsia="bg-BG"/>
        </w:rPr>
      </w:pPr>
    </w:p>
    <w:p w14:paraId="3887DB5F" w14:textId="77777777" w:rsidR="00AB7050" w:rsidRPr="00524A06" w:rsidRDefault="00AB7050" w:rsidP="00AB7050">
      <w:pPr>
        <w:spacing w:line="240" w:lineRule="auto"/>
        <w:rPr>
          <w:rFonts w:eastAsia="Times New Roman" w:cs="Arial"/>
          <w:i/>
          <w:iCs/>
          <w:color w:val="000000"/>
          <w:u w:val="single"/>
          <w:lang w:eastAsia="bg-BG"/>
        </w:rPr>
      </w:pPr>
      <w:r w:rsidRPr="00AB7050">
        <w:rPr>
          <w:rFonts w:eastAsia="Times New Roman" w:cs="Arial"/>
          <w:i/>
          <w:iCs/>
          <w:color w:val="000000"/>
          <w:u w:val="single"/>
          <w:lang w:eastAsia="bg-BG"/>
        </w:rPr>
        <w:t>Взаимодействия</w:t>
      </w:r>
    </w:p>
    <w:p w14:paraId="1A382F60" w14:textId="0AAF607A" w:rsidR="00AB7050" w:rsidRPr="00AB7050" w:rsidRDefault="00AB7050" w:rsidP="00AB7050">
      <w:pPr>
        <w:spacing w:line="240" w:lineRule="auto"/>
        <w:rPr>
          <w:rFonts w:eastAsia="Times New Roman" w:cs="Arial"/>
        </w:rPr>
      </w:pPr>
      <w:r w:rsidRPr="00AB7050">
        <w:rPr>
          <w:rFonts w:eastAsia="Times New Roman" w:cs="Arial"/>
          <w:color w:val="000000"/>
          <w:lang w:eastAsia="bg-BG"/>
        </w:rPr>
        <w:t>Виж точка 4.5. Едновременна употреба на кветиапин с мощни индуктори на чернодробните ензими като карбамазепин или фенитоин, съществено понижава плазмените концентрации на кветиапин, което би променило ефикасността на терапията с кветиапин. При пациенти, които приемат индуктори на чернодробните ензими, лечение с кветиапин трябва да започва само ако лекуващият лекар счита, че ползите от кветиапин надвишават рисковете от отстраняване на индуктора на чернодробните ензими. Важно е всяка промяна в индуктора да става постепенно и ако е необходимо да бъде заменен от неиндуктор (напр. натриев валпроат).</w:t>
      </w:r>
    </w:p>
    <w:p w14:paraId="0F0F9274" w14:textId="77777777" w:rsidR="00AB7050" w:rsidRPr="00524A06" w:rsidRDefault="00AB7050" w:rsidP="00AB7050">
      <w:pPr>
        <w:spacing w:line="240" w:lineRule="auto"/>
        <w:rPr>
          <w:rFonts w:eastAsia="Times New Roman" w:cs="Arial"/>
          <w:i/>
          <w:iCs/>
          <w:color w:val="000000"/>
          <w:u w:val="single"/>
          <w:lang w:eastAsia="bg-BG"/>
        </w:rPr>
      </w:pPr>
    </w:p>
    <w:p w14:paraId="787E27B3" w14:textId="0514EE88"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Телесно тегло</w:t>
      </w:r>
    </w:p>
    <w:p w14:paraId="1AC5F637"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При пациенти лекувани с кветиапин са били съобщени случаи на покачване на телесното тегло; затова пациентите трябва да бъдат мониторирани като се използват подходящи клинични методи и съобразно използваните ръководства за антипсихотици (вж. точки 4.8 и 5.1).</w:t>
      </w:r>
    </w:p>
    <w:p w14:paraId="2CF73947" w14:textId="77777777" w:rsidR="00AB7050" w:rsidRPr="00524A06" w:rsidRDefault="00AB7050" w:rsidP="00AB7050">
      <w:pPr>
        <w:spacing w:line="240" w:lineRule="auto"/>
        <w:rPr>
          <w:rFonts w:eastAsia="Times New Roman" w:cs="Arial"/>
          <w:i/>
          <w:iCs/>
          <w:color w:val="000000"/>
          <w:u w:val="single"/>
          <w:lang w:eastAsia="bg-BG"/>
        </w:rPr>
      </w:pPr>
    </w:p>
    <w:p w14:paraId="37835CF2" w14:textId="637224B6"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Хипергликемия</w:t>
      </w:r>
    </w:p>
    <w:p w14:paraId="459175E6"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Има редки съобщения за хипергликемия и/или развитие, или влошаване на захарен диабет, понякога придружени с кетоацидоза или кома, включително и фатални случаи (вж. точка 4.8). В някои случаи това е било предшествано от покачване на телесното тегло, което би могло да е предразполагащ фактор. В съответствие с използваните ръководства за антипсихотици се препоръчва използване на подходящи клинични методи за мониториране. Пациентите, които се лекуват с какъвто и да е антипсихотик, включително кветиапин, трябва да бъдат наблюдавани за белези и симптоми на хипергликемия (като полидипсия, полиурия, полифагия и слабост), а при пациенти със захарен диабет или с рискови фактори за захарен диабет, трябва</w:t>
      </w:r>
      <w:r w:rsidRPr="00AB7050">
        <w:rPr>
          <w:rFonts w:eastAsia="Times New Roman" w:cs="Arial"/>
          <w:color w:val="000000"/>
          <w:lang w:val="ru-RU"/>
        </w:rPr>
        <w:t xml:space="preserve"> </w:t>
      </w:r>
      <w:r w:rsidRPr="00AB7050">
        <w:rPr>
          <w:rFonts w:eastAsia="Times New Roman" w:cs="Arial"/>
          <w:color w:val="000000"/>
          <w:lang w:eastAsia="bg-BG"/>
        </w:rPr>
        <w:t xml:space="preserve">редовно да се </w:t>
      </w:r>
      <w:r w:rsidRPr="00AB7050">
        <w:rPr>
          <w:rFonts w:eastAsia="Times New Roman" w:cs="Arial"/>
          <w:color w:val="000000"/>
          <w:lang w:eastAsia="bg-BG"/>
        </w:rPr>
        <w:lastRenderedPageBreak/>
        <w:t>провеждат изследвания за влошаване на гликемичния контрол. Редовно трябва да се контролира и телесното тегло.</w:t>
      </w:r>
    </w:p>
    <w:p w14:paraId="5CE328D8" w14:textId="235D267F" w:rsidR="00AB7050" w:rsidRPr="00524A06" w:rsidRDefault="00AB7050" w:rsidP="00AB7050">
      <w:pPr>
        <w:rPr>
          <w:rFonts w:cs="Arial"/>
        </w:rPr>
      </w:pPr>
    </w:p>
    <w:p w14:paraId="039AA7DD" w14:textId="77777777"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Липиди</w:t>
      </w:r>
    </w:p>
    <w:p w14:paraId="5F268BE5"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В клинични проучвания с кветиапин е било наблюдавано повишение на триглицеридите, </w:t>
      </w:r>
      <w:r w:rsidRPr="00AB7050">
        <w:rPr>
          <w:rFonts w:eastAsia="Times New Roman" w:cs="Arial"/>
          <w:color w:val="000000"/>
          <w:lang w:val="en-US"/>
        </w:rPr>
        <w:t>LDL</w:t>
      </w:r>
      <w:r w:rsidRPr="00AB7050">
        <w:rPr>
          <w:rFonts w:eastAsia="Times New Roman" w:cs="Arial"/>
          <w:color w:val="000000"/>
          <w:lang w:val="ru-RU"/>
        </w:rPr>
        <w:t xml:space="preserve"> </w:t>
      </w:r>
      <w:r w:rsidRPr="00AB7050">
        <w:rPr>
          <w:rFonts w:eastAsia="Times New Roman" w:cs="Arial"/>
          <w:color w:val="000000"/>
          <w:lang w:eastAsia="bg-BG"/>
        </w:rPr>
        <w:t xml:space="preserve">и общия холестерол и понижение на </w:t>
      </w:r>
      <w:r w:rsidRPr="00AB7050">
        <w:rPr>
          <w:rFonts w:eastAsia="Times New Roman" w:cs="Arial"/>
          <w:color w:val="000000"/>
          <w:lang w:val="en-US"/>
        </w:rPr>
        <w:t>HDL</w:t>
      </w:r>
      <w:r w:rsidRPr="00AB7050">
        <w:rPr>
          <w:rFonts w:eastAsia="Times New Roman" w:cs="Arial"/>
          <w:color w:val="000000"/>
          <w:lang w:eastAsia="bg-BG"/>
        </w:rPr>
        <w:t>-холестерола (вж. точка 4.8). Промените в липидния профил трябва да бъдат лекувани в съответствие с актуалните клинични ръководства.</w:t>
      </w:r>
    </w:p>
    <w:p w14:paraId="706AA527" w14:textId="77777777" w:rsidR="00AB7050" w:rsidRPr="00524A06" w:rsidRDefault="00AB7050" w:rsidP="00AB7050">
      <w:pPr>
        <w:spacing w:line="240" w:lineRule="auto"/>
        <w:rPr>
          <w:rFonts w:eastAsia="Times New Roman" w:cs="Arial"/>
          <w:i/>
          <w:iCs/>
          <w:color w:val="000000"/>
          <w:u w:val="single"/>
          <w:lang w:eastAsia="bg-BG"/>
        </w:rPr>
      </w:pPr>
    </w:p>
    <w:p w14:paraId="64D1BC63" w14:textId="5062913D"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 xml:space="preserve">Удължаване на </w:t>
      </w:r>
      <w:r w:rsidRPr="00AB7050">
        <w:rPr>
          <w:rFonts w:eastAsia="Times New Roman" w:cs="Arial"/>
          <w:i/>
          <w:iCs/>
          <w:color w:val="000000"/>
          <w:u w:val="single"/>
          <w:lang w:val="en-US"/>
        </w:rPr>
        <w:t>Q</w:t>
      </w:r>
      <w:r w:rsidRPr="00AB7050">
        <w:rPr>
          <w:rFonts w:eastAsia="Times New Roman" w:cs="Arial"/>
          <w:i/>
          <w:iCs/>
          <w:color w:val="000000"/>
          <w:u w:val="single"/>
          <w:lang w:eastAsia="bg-BG"/>
        </w:rPr>
        <w:t>Т-интервала</w:t>
      </w:r>
    </w:p>
    <w:p w14:paraId="5D3506E4"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В клинични проучвания и употреба в съответствие с КХП, кветиапин не е бил асоцииран с персистиращо удължаване на абсолютните </w:t>
      </w:r>
      <w:r w:rsidRPr="00AB7050">
        <w:rPr>
          <w:rFonts w:eastAsia="Times New Roman" w:cs="Arial"/>
          <w:color w:val="000000"/>
          <w:lang w:val="en-US"/>
        </w:rPr>
        <w:t>QT</w:t>
      </w:r>
      <w:r w:rsidRPr="00AB7050">
        <w:rPr>
          <w:rFonts w:eastAsia="Times New Roman" w:cs="Arial"/>
          <w:color w:val="000000"/>
          <w:lang w:eastAsia="bg-BG"/>
        </w:rPr>
        <w:t xml:space="preserve">-интервали. В периода след пускане на пазара </w:t>
      </w:r>
      <w:r w:rsidRPr="00AB7050">
        <w:rPr>
          <w:rFonts w:eastAsia="Times New Roman" w:cs="Arial"/>
          <w:i/>
          <w:iCs/>
          <w:color w:val="000000"/>
          <w:lang w:eastAsia="bg-BG"/>
        </w:rPr>
        <w:t xml:space="preserve">е </w:t>
      </w:r>
      <w:r w:rsidRPr="00AB7050">
        <w:rPr>
          <w:rFonts w:eastAsia="Times New Roman" w:cs="Arial"/>
          <w:color w:val="000000"/>
          <w:lang w:eastAsia="bg-BG"/>
        </w:rPr>
        <w:t xml:space="preserve">било съобщавано за удължаване на </w:t>
      </w:r>
      <w:r w:rsidRPr="00AB7050">
        <w:rPr>
          <w:rFonts w:eastAsia="Times New Roman" w:cs="Arial"/>
          <w:color w:val="000000"/>
          <w:lang w:val="en-US"/>
        </w:rPr>
        <w:t>QT</w:t>
      </w:r>
      <w:r w:rsidRPr="00AB7050">
        <w:rPr>
          <w:rFonts w:eastAsia="Times New Roman" w:cs="Arial"/>
          <w:color w:val="000000"/>
          <w:lang w:eastAsia="bg-BG"/>
        </w:rPr>
        <w:t xml:space="preserve">-интервала при употреба на кветиапин в терапевтични дози (вж. точка 4.8) и при предозиране (вж. точка 4.9). Както и при други антипсихотици, и кветиапин трябва да се предписва внимателно при пациенти със сърдечно-съдово заболяване или фамилна анамнеза за удължаване на </w:t>
      </w:r>
      <w:r w:rsidRPr="00AB7050">
        <w:rPr>
          <w:rFonts w:eastAsia="Times New Roman" w:cs="Arial"/>
          <w:color w:val="000000"/>
          <w:lang w:val="en-US"/>
        </w:rPr>
        <w:t>QT</w:t>
      </w:r>
      <w:r w:rsidRPr="00AB7050">
        <w:rPr>
          <w:rFonts w:eastAsia="Times New Roman" w:cs="Arial"/>
          <w:color w:val="000000"/>
          <w:lang w:eastAsia="bg-BG"/>
        </w:rPr>
        <w:t xml:space="preserve">-интервала. Необходимо е също така повишено внимание, когато кветиапин се предписва едновременно с лекарства, за които се знае, че удължават </w:t>
      </w:r>
      <w:r w:rsidRPr="00AB7050">
        <w:rPr>
          <w:rFonts w:eastAsia="Times New Roman" w:cs="Arial"/>
          <w:color w:val="000000"/>
          <w:lang w:val="en-US"/>
        </w:rPr>
        <w:t>QT</w:t>
      </w:r>
      <w:r w:rsidRPr="00AB7050">
        <w:rPr>
          <w:rFonts w:eastAsia="Times New Roman" w:cs="Arial"/>
          <w:color w:val="000000"/>
          <w:lang w:eastAsia="bg-BG"/>
        </w:rPr>
        <w:t xml:space="preserve">-интервала или с невролептици, особено при пациенти в старческа възраст, пациенти със синдром на вроден удължен </w:t>
      </w:r>
      <w:r w:rsidRPr="00AB7050">
        <w:rPr>
          <w:rFonts w:eastAsia="Times New Roman" w:cs="Arial"/>
          <w:color w:val="000000"/>
          <w:lang w:val="en-US"/>
        </w:rPr>
        <w:t>QT</w:t>
      </w:r>
      <w:r w:rsidRPr="00AB7050">
        <w:rPr>
          <w:rFonts w:eastAsia="Times New Roman" w:cs="Arial"/>
          <w:color w:val="000000"/>
          <w:lang w:val="ru-RU"/>
        </w:rPr>
        <w:t xml:space="preserve"> </w:t>
      </w:r>
      <w:r w:rsidRPr="00AB7050">
        <w:rPr>
          <w:rFonts w:eastAsia="Times New Roman" w:cs="Arial"/>
          <w:color w:val="000000"/>
          <w:lang w:eastAsia="bg-BG"/>
        </w:rPr>
        <w:t>интервал, конгестивна сърдечна недостатъчност, хипертрофия на сърцето, хипокалиемия или хипомагнезиемия (вж. точка 4.5).</w:t>
      </w:r>
    </w:p>
    <w:p w14:paraId="555F8C67" w14:textId="77777777" w:rsidR="00AB7050" w:rsidRPr="00524A06" w:rsidRDefault="00AB7050" w:rsidP="00AB7050">
      <w:pPr>
        <w:spacing w:line="240" w:lineRule="auto"/>
        <w:rPr>
          <w:rFonts w:eastAsia="Times New Roman" w:cs="Arial"/>
          <w:i/>
          <w:iCs/>
          <w:color w:val="000000"/>
          <w:u w:val="single"/>
          <w:lang w:eastAsia="bg-BG"/>
        </w:rPr>
      </w:pPr>
    </w:p>
    <w:p w14:paraId="56564C5E" w14:textId="464EBAC2"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Кардиомиопатия и миокардит</w:t>
      </w:r>
    </w:p>
    <w:p w14:paraId="47BC8F6F"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Има съобщения за кардиомиопатия и миокардит при клинични проучвания и по време на постмаркетинговия опит (вж. точка 4.8). При пациенти със съмнение за кардиомиопатия или миокардит, трябва да се обмисли прекратяване на лечението с кветиапин.</w:t>
      </w:r>
    </w:p>
    <w:p w14:paraId="2D354AEB" w14:textId="77777777" w:rsidR="00AB7050" w:rsidRPr="00524A06" w:rsidRDefault="00AB7050" w:rsidP="00AB7050">
      <w:pPr>
        <w:spacing w:line="240" w:lineRule="auto"/>
        <w:rPr>
          <w:rFonts w:eastAsia="Times New Roman" w:cs="Arial"/>
          <w:i/>
          <w:iCs/>
          <w:color w:val="000000"/>
          <w:u w:val="single"/>
          <w:lang w:eastAsia="bg-BG"/>
        </w:rPr>
      </w:pPr>
    </w:p>
    <w:p w14:paraId="27D774A3" w14:textId="4D9A22C9"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Тежки кожни нежелани реакции</w:t>
      </w:r>
    </w:p>
    <w:p w14:paraId="0FA2467E"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 xml:space="preserve">Много рядко при лечение с кветиапин са съобщавани тежки кожни нежелани реакции </w:t>
      </w:r>
      <w:r w:rsidRPr="00AB7050">
        <w:rPr>
          <w:rFonts w:eastAsia="Times New Roman" w:cs="Arial"/>
          <w:color w:val="000000"/>
        </w:rPr>
        <w:t>(</w:t>
      </w:r>
      <w:r w:rsidRPr="00AB7050">
        <w:rPr>
          <w:rFonts w:eastAsia="Times New Roman" w:cs="Arial"/>
          <w:color w:val="000000"/>
          <w:lang w:val="en-US"/>
        </w:rPr>
        <w:t>severe</w:t>
      </w:r>
      <w:r w:rsidRPr="00AB7050">
        <w:rPr>
          <w:rFonts w:eastAsia="Times New Roman" w:cs="Arial"/>
          <w:color w:val="000000"/>
        </w:rPr>
        <w:t xml:space="preserve"> </w:t>
      </w:r>
      <w:r w:rsidRPr="00AB7050">
        <w:rPr>
          <w:rFonts w:eastAsia="Times New Roman" w:cs="Arial"/>
          <w:color w:val="000000"/>
          <w:lang w:val="en-US"/>
        </w:rPr>
        <w:t>cutaneous</w:t>
      </w:r>
      <w:r w:rsidRPr="00AB7050">
        <w:rPr>
          <w:rFonts w:eastAsia="Times New Roman" w:cs="Arial"/>
          <w:color w:val="000000"/>
        </w:rPr>
        <w:t xml:space="preserve"> </w:t>
      </w:r>
      <w:r w:rsidRPr="00AB7050">
        <w:rPr>
          <w:rFonts w:eastAsia="Times New Roman" w:cs="Arial"/>
          <w:color w:val="000000"/>
          <w:lang w:val="en-US"/>
        </w:rPr>
        <w:t>adverse</w:t>
      </w:r>
      <w:r w:rsidRPr="00AB7050">
        <w:rPr>
          <w:rFonts w:eastAsia="Times New Roman" w:cs="Arial"/>
          <w:color w:val="000000"/>
        </w:rPr>
        <w:t xml:space="preserve"> </w:t>
      </w:r>
      <w:r w:rsidRPr="00AB7050">
        <w:rPr>
          <w:rFonts w:eastAsia="Times New Roman" w:cs="Arial"/>
          <w:color w:val="000000"/>
          <w:lang w:val="en-US"/>
        </w:rPr>
        <w:t>reactions</w:t>
      </w:r>
      <w:r w:rsidRPr="00AB7050">
        <w:rPr>
          <w:rFonts w:eastAsia="Times New Roman" w:cs="Arial"/>
          <w:color w:val="000000"/>
        </w:rPr>
        <w:t xml:space="preserve">, </w:t>
      </w:r>
      <w:r w:rsidRPr="00AB7050">
        <w:rPr>
          <w:rFonts w:eastAsia="Times New Roman" w:cs="Arial"/>
          <w:color w:val="000000"/>
          <w:lang w:val="en-US"/>
        </w:rPr>
        <w:t>SCARs</w:t>
      </w:r>
      <w:r w:rsidRPr="00AB7050">
        <w:rPr>
          <w:rFonts w:eastAsia="Times New Roman" w:cs="Arial"/>
          <w:color w:val="000000"/>
        </w:rPr>
        <w:t xml:space="preserve">), </w:t>
      </w:r>
      <w:r w:rsidRPr="00AB7050">
        <w:rPr>
          <w:rFonts w:eastAsia="Times New Roman" w:cs="Arial"/>
          <w:color w:val="000000"/>
          <w:lang w:eastAsia="bg-BG"/>
        </w:rPr>
        <w:t xml:space="preserve">включително синдром на </w:t>
      </w:r>
      <w:r w:rsidRPr="00AB7050">
        <w:rPr>
          <w:rFonts w:eastAsia="Times New Roman" w:cs="Arial"/>
          <w:color w:val="000000"/>
          <w:lang w:val="en-US"/>
        </w:rPr>
        <w:t>Stevens</w:t>
      </w:r>
      <w:r w:rsidRPr="00AB7050">
        <w:rPr>
          <w:rFonts w:eastAsia="Times New Roman" w:cs="Arial"/>
          <w:color w:val="000000"/>
        </w:rPr>
        <w:t>-</w:t>
      </w:r>
      <w:r w:rsidRPr="00AB7050">
        <w:rPr>
          <w:rFonts w:eastAsia="Times New Roman" w:cs="Arial"/>
          <w:color w:val="000000"/>
          <w:lang w:val="en-US"/>
        </w:rPr>
        <w:t>Johnson</w:t>
      </w:r>
      <w:r w:rsidRPr="00AB7050">
        <w:rPr>
          <w:rFonts w:eastAsia="Times New Roman" w:cs="Arial"/>
          <w:color w:val="000000"/>
        </w:rPr>
        <w:t xml:space="preserve"> (</w:t>
      </w:r>
      <w:r w:rsidRPr="00AB7050">
        <w:rPr>
          <w:rFonts w:eastAsia="Times New Roman" w:cs="Arial"/>
          <w:color w:val="000000"/>
          <w:lang w:val="en-US"/>
        </w:rPr>
        <w:t>SJS</w:t>
      </w:r>
      <w:r w:rsidRPr="00AB7050">
        <w:rPr>
          <w:rFonts w:eastAsia="Times New Roman" w:cs="Arial"/>
          <w:color w:val="000000"/>
        </w:rPr>
        <w:t xml:space="preserve">), </w:t>
      </w:r>
      <w:r w:rsidRPr="00AB7050">
        <w:rPr>
          <w:rFonts w:eastAsia="Times New Roman" w:cs="Arial"/>
          <w:color w:val="000000"/>
          <w:lang w:eastAsia="bg-BG"/>
        </w:rPr>
        <w:t xml:space="preserve">токсична епидермална некролиза </w:t>
      </w:r>
      <w:r w:rsidRPr="00AB7050">
        <w:rPr>
          <w:rFonts w:eastAsia="Times New Roman" w:cs="Arial"/>
          <w:color w:val="000000"/>
        </w:rPr>
        <w:t>(</w:t>
      </w:r>
      <w:r w:rsidRPr="00AB7050">
        <w:rPr>
          <w:rFonts w:eastAsia="Times New Roman" w:cs="Arial"/>
          <w:color w:val="000000"/>
          <w:lang w:val="en-US"/>
        </w:rPr>
        <w:t>toxic</w:t>
      </w:r>
      <w:r w:rsidRPr="00AB7050">
        <w:rPr>
          <w:rFonts w:eastAsia="Times New Roman" w:cs="Arial"/>
          <w:color w:val="000000"/>
        </w:rPr>
        <w:t xml:space="preserve"> </w:t>
      </w:r>
      <w:r w:rsidRPr="00AB7050">
        <w:rPr>
          <w:rFonts w:eastAsia="Times New Roman" w:cs="Arial"/>
          <w:color w:val="000000"/>
          <w:lang w:val="en-US"/>
        </w:rPr>
        <w:t>epidermal</w:t>
      </w:r>
      <w:r w:rsidRPr="00AB7050">
        <w:rPr>
          <w:rFonts w:eastAsia="Times New Roman" w:cs="Arial"/>
          <w:color w:val="000000"/>
        </w:rPr>
        <w:t xml:space="preserve"> </w:t>
      </w:r>
      <w:r w:rsidRPr="00AB7050">
        <w:rPr>
          <w:rFonts w:eastAsia="Times New Roman" w:cs="Arial"/>
          <w:color w:val="000000"/>
          <w:lang w:val="en-US"/>
        </w:rPr>
        <w:t>necrolysis</w:t>
      </w:r>
      <w:r w:rsidRPr="00AB7050">
        <w:rPr>
          <w:rFonts w:eastAsia="Times New Roman" w:cs="Arial"/>
          <w:color w:val="000000"/>
        </w:rPr>
        <w:t xml:space="preserve">, </w:t>
      </w:r>
      <w:r w:rsidRPr="00AB7050">
        <w:rPr>
          <w:rFonts w:eastAsia="Times New Roman" w:cs="Arial"/>
          <w:color w:val="000000"/>
          <w:lang w:val="en-US"/>
        </w:rPr>
        <w:t>TEN</w:t>
      </w:r>
      <w:r w:rsidRPr="00AB7050">
        <w:rPr>
          <w:rFonts w:eastAsia="Times New Roman" w:cs="Arial"/>
          <w:color w:val="000000"/>
        </w:rPr>
        <w:t xml:space="preserve">), </w:t>
      </w:r>
      <w:r w:rsidRPr="00AB7050">
        <w:rPr>
          <w:rFonts w:eastAsia="Times New Roman" w:cs="Arial"/>
          <w:color w:val="000000"/>
          <w:lang w:eastAsia="bg-BG"/>
        </w:rPr>
        <w:t xml:space="preserve">остра генерализирана екзантемна пустулоза </w:t>
      </w:r>
      <w:r w:rsidRPr="00AB7050">
        <w:rPr>
          <w:rFonts w:eastAsia="Times New Roman" w:cs="Arial"/>
          <w:color w:val="000000"/>
        </w:rPr>
        <w:t>(</w:t>
      </w:r>
      <w:r w:rsidRPr="00AB7050">
        <w:rPr>
          <w:rFonts w:eastAsia="Times New Roman" w:cs="Arial"/>
          <w:color w:val="000000"/>
          <w:lang w:val="en-US"/>
        </w:rPr>
        <w:t>acute</w:t>
      </w:r>
      <w:r w:rsidRPr="00AB7050">
        <w:rPr>
          <w:rFonts w:eastAsia="Times New Roman" w:cs="Arial"/>
          <w:color w:val="000000"/>
        </w:rPr>
        <w:t xml:space="preserve"> </w:t>
      </w:r>
      <w:r w:rsidRPr="00AB7050">
        <w:rPr>
          <w:rFonts w:eastAsia="Times New Roman" w:cs="Arial"/>
          <w:color w:val="000000"/>
          <w:lang w:val="en-US"/>
        </w:rPr>
        <w:t>generalized</w:t>
      </w:r>
      <w:r w:rsidRPr="00AB7050">
        <w:rPr>
          <w:rFonts w:eastAsia="Times New Roman" w:cs="Arial"/>
          <w:color w:val="000000"/>
        </w:rPr>
        <w:t xml:space="preserve"> </w:t>
      </w:r>
      <w:r w:rsidRPr="00AB7050">
        <w:rPr>
          <w:rFonts w:eastAsia="Times New Roman" w:cs="Arial"/>
          <w:color w:val="000000"/>
          <w:lang w:val="en-US"/>
        </w:rPr>
        <w:t>exanthematous</w:t>
      </w:r>
      <w:r w:rsidRPr="00AB7050">
        <w:rPr>
          <w:rFonts w:eastAsia="Times New Roman" w:cs="Arial"/>
          <w:color w:val="000000"/>
        </w:rPr>
        <w:t xml:space="preserve"> </w:t>
      </w:r>
      <w:r w:rsidRPr="00AB7050">
        <w:rPr>
          <w:rFonts w:eastAsia="Times New Roman" w:cs="Arial"/>
          <w:color w:val="000000"/>
          <w:lang w:val="en-US"/>
        </w:rPr>
        <w:t>pustulosis</w:t>
      </w:r>
      <w:r w:rsidRPr="00AB7050">
        <w:rPr>
          <w:rFonts w:eastAsia="Times New Roman" w:cs="Arial"/>
          <w:color w:val="000000"/>
        </w:rPr>
        <w:t xml:space="preserve">, </w:t>
      </w:r>
      <w:r w:rsidRPr="00AB7050">
        <w:rPr>
          <w:rFonts w:eastAsia="Times New Roman" w:cs="Arial"/>
          <w:color w:val="000000"/>
          <w:lang w:val="en-US"/>
        </w:rPr>
        <w:t>AGEP</w:t>
      </w:r>
      <w:r w:rsidRPr="00AB7050">
        <w:rPr>
          <w:rFonts w:eastAsia="Times New Roman" w:cs="Arial"/>
          <w:color w:val="000000"/>
        </w:rPr>
        <w:t xml:space="preserve">), </w:t>
      </w:r>
      <w:r w:rsidRPr="00AB7050">
        <w:rPr>
          <w:rFonts w:eastAsia="Times New Roman" w:cs="Arial"/>
          <w:color w:val="000000"/>
          <w:lang w:eastAsia="bg-BG"/>
        </w:rPr>
        <w:t xml:space="preserve">еритема мултиформе </w:t>
      </w:r>
      <w:r w:rsidRPr="00AB7050">
        <w:rPr>
          <w:rFonts w:eastAsia="Times New Roman" w:cs="Arial"/>
          <w:color w:val="000000"/>
        </w:rPr>
        <w:t>(</w:t>
      </w:r>
      <w:r w:rsidRPr="00AB7050">
        <w:rPr>
          <w:rFonts w:eastAsia="Times New Roman" w:cs="Arial"/>
          <w:color w:val="000000"/>
          <w:lang w:val="en-US"/>
        </w:rPr>
        <w:t>erythema</w:t>
      </w:r>
      <w:r w:rsidRPr="00AB7050">
        <w:rPr>
          <w:rFonts w:eastAsia="Times New Roman" w:cs="Arial"/>
          <w:color w:val="000000"/>
        </w:rPr>
        <w:t xml:space="preserve"> </w:t>
      </w:r>
      <w:r w:rsidRPr="00AB7050">
        <w:rPr>
          <w:rFonts w:eastAsia="Times New Roman" w:cs="Arial"/>
          <w:color w:val="000000"/>
          <w:lang w:val="en-US"/>
        </w:rPr>
        <w:t>multiforme</w:t>
      </w:r>
      <w:r w:rsidRPr="00AB7050">
        <w:rPr>
          <w:rFonts w:eastAsia="Times New Roman" w:cs="Arial"/>
          <w:color w:val="000000"/>
        </w:rPr>
        <w:t xml:space="preserve">, </w:t>
      </w:r>
      <w:r w:rsidRPr="00AB7050">
        <w:rPr>
          <w:rFonts w:eastAsia="Times New Roman" w:cs="Arial"/>
          <w:color w:val="000000"/>
          <w:lang w:val="en-US"/>
        </w:rPr>
        <w:t>EM</w:t>
      </w:r>
      <w:r w:rsidRPr="00AB7050">
        <w:rPr>
          <w:rFonts w:eastAsia="Times New Roman" w:cs="Arial"/>
          <w:color w:val="000000"/>
        </w:rPr>
        <w:t xml:space="preserve">) </w:t>
      </w:r>
      <w:r w:rsidRPr="00AB7050">
        <w:rPr>
          <w:rFonts w:eastAsia="Times New Roman" w:cs="Arial"/>
          <w:color w:val="000000"/>
          <w:lang w:eastAsia="bg-BG"/>
        </w:rPr>
        <w:t xml:space="preserve">и лекарствена реакция </w:t>
      </w:r>
      <w:r w:rsidRPr="00AB7050">
        <w:rPr>
          <w:rFonts w:eastAsia="Times New Roman" w:cs="Arial"/>
          <w:color w:val="000000"/>
          <w:lang w:val="en-US"/>
        </w:rPr>
        <w:t>c</w:t>
      </w:r>
      <w:r w:rsidRPr="00AB7050">
        <w:rPr>
          <w:rFonts w:eastAsia="Times New Roman" w:cs="Arial"/>
          <w:color w:val="000000"/>
        </w:rPr>
        <w:t xml:space="preserve"> </w:t>
      </w:r>
      <w:r w:rsidRPr="00AB7050">
        <w:rPr>
          <w:rFonts w:eastAsia="Times New Roman" w:cs="Arial"/>
          <w:color w:val="000000"/>
          <w:lang w:eastAsia="bg-BG"/>
        </w:rPr>
        <w:t xml:space="preserve">еозинофилия и системни симптоми </w:t>
      </w:r>
      <w:r w:rsidRPr="00AB7050">
        <w:rPr>
          <w:rFonts w:eastAsia="Times New Roman" w:cs="Arial"/>
          <w:color w:val="000000"/>
        </w:rPr>
        <w:t>(</w:t>
      </w:r>
      <w:r w:rsidRPr="00AB7050">
        <w:rPr>
          <w:rFonts w:eastAsia="Times New Roman" w:cs="Arial"/>
          <w:color w:val="000000"/>
          <w:lang w:val="en-US"/>
        </w:rPr>
        <w:t>drug</w:t>
      </w:r>
      <w:r w:rsidRPr="00AB7050">
        <w:rPr>
          <w:rFonts w:eastAsia="Times New Roman" w:cs="Arial"/>
          <w:color w:val="000000"/>
        </w:rPr>
        <w:t xml:space="preserve"> </w:t>
      </w:r>
      <w:r w:rsidRPr="00AB7050">
        <w:rPr>
          <w:rFonts w:eastAsia="Times New Roman" w:cs="Arial"/>
          <w:color w:val="000000"/>
          <w:lang w:val="en-US"/>
        </w:rPr>
        <w:t>reaction</w:t>
      </w:r>
      <w:r w:rsidRPr="00AB7050">
        <w:rPr>
          <w:rFonts w:eastAsia="Times New Roman" w:cs="Arial"/>
          <w:color w:val="000000"/>
        </w:rPr>
        <w:t xml:space="preserve"> </w:t>
      </w:r>
      <w:r w:rsidRPr="00AB7050">
        <w:rPr>
          <w:rFonts w:eastAsia="Times New Roman" w:cs="Arial"/>
          <w:color w:val="000000"/>
          <w:lang w:val="en-US"/>
        </w:rPr>
        <w:t>with</w:t>
      </w:r>
      <w:r w:rsidRPr="00AB7050">
        <w:rPr>
          <w:rFonts w:eastAsia="Times New Roman" w:cs="Arial"/>
          <w:color w:val="000000"/>
        </w:rPr>
        <w:t xml:space="preserve"> </w:t>
      </w:r>
      <w:r w:rsidRPr="00AB7050">
        <w:rPr>
          <w:rFonts w:eastAsia="Times New Roman" w:cs="Arial"/>
          <w:color w:val="000000"/>
          <w:lang w:val="en-US"/>
        </w:rPr>
        <w:t>eosinophilia</w:t>
      </w:r>
      <w:r w:rsidRPr="00AB7050">
        <w:rPr>
          <w:rFonts w:eastAsia="Times New Roman" w:cs="Arial"/>
          <w:color w:val="000000"/>
        </w:rPr>
        <w:t xml:space="preserve"> </w:t>
      </w:r>
      <w:r w:rsidRPr="00AB7050">
        <w:rPr>
          <w:rFonts w:eastAsia="Times New Roman" w:cs="Arial"/>
          <w:color w:val="000000"/>
          <w:lang w:val="en-US"/>
        </w:rPr>
        <w:t>and</w:t>
      </w:r>
      <w:r w:rsidRPr="00AB7050">
        <w:rPr>
          <w:rFonts w:eastAsia="Times New Roman" w:cs="Arial"/>
          <w:color w:val="000000"/>
        </w:rPr>
        <w:t xml:space="preserve"> </w:t>
      </w:r>
      <w:r w:rsidRPr="00AB7050">
        <w:rPr>
          <w:rFonts w:eastAsia="Times New Roman" w:cs="Arial"/>
          <w:color w:val="000000"/>
          <w:lang w:val="en-US"/>
        </w:rPr>
        <w:t>systemic</w:t>
      </w:r>
      <w:r w:rsidRPr="00AB7050">
        <w:rPr>
          <w:rFonts w:eastAsia="Times New Roman" w:cs="Arial"/>
          <w:color w:val="000000"/>
        </w:rPr>
        <w:t xml:space="preserve"> </w:t>
      </w:r>
      <w:r w:rsidRPr="00AB7050">
        <w:rPr>
          <w:rFonts w:eastAsia="Times New Roman" w:cs="Arial"/>
          <w:color w:val="000000"/>
          <w:lang w:val="en-US"/>
        </w:rPr>
        <w:t>symptoms</w:t>
      </w:r>
      <w:r w:rsidRPr="00AB7050">
        <w:rPr>
          <w:rFonts w:eastAsia="Times New Roman" w:cs="Arial"/>
          <w:color w:val="000000"/>
        </w:rPr>
        <w:t xml:space="preserve">, </w:t>
      </w:r>
      <w:r w:rsidRPr="00AB7050">
        <w:rPr>
          <w:rFonts w:eastAsia="Times New Roman" w:cs="Arial"/>
          <w:color w:val="000000"/>
          <w:lang w:val="en-US"/>
        </w:rPr>
        <w:t>DRESS</w:t>
      </w:r>
      <w:r w:rsidRPr="00AB7050">
        <w:rPr>
          <w:rFonts w:eastAsia="Times New Roman" w:cs="Arial"/>
          <w:color w:val="000000"/>
        </w:rPr>
        <w:t xml:space="preserve">), </w:t>
      </w:r>
      <w:r w:rsidRPr="00AB7050">
        <w:rPr>
          <w:rFonts w:eastAsia="Times New Roman" w:cs="Arial"/>
          <w:color w:val="000000"/>
          <w:lang w:eastAsia="bg-BG"/>
        </w:rPr>
        <w:t xml:space="preserve">които могат да бъдат животозастрашаващи или фатални. </w:t>
      </w:r>
      <w:r w:rsidRPr="00AB7050">
        <w:rPr>
          <w:rFonts w:eastAsia="Times New Roman" w:cs="Arial"/>
          <w:color w:val="000000"/>
          <w:lang w:val="en-US"/>
        </w:rPr>
        <w:t>SCARs</w:t>
      </w:r>
      <w:r w:rsidRPr="00AB7050">
        <w:rPr>
          <w:rFonts w:eastAsia="Times New Roman" w:cs="Arial"/>
          <w:color w:val="000000"/>
          <w:lang w:val="ru-RU"/>
        </w:rPr>
        <w:t xml:space="preserve"> </w:t>
      </w:r>
      <w:r w:rsidRPr="00AB7050">
        <w:rPr>
          <w:rFonts w:eastAsia="Times New Roman" w:cs="Arial"/>
          <w:color w:val="000000"/>
          <w:lang w:eastAsia="bg-BG"/>
        </w:rPr>
        <w:t xml:space="preserve">обикновено се проявяват с един или няколко от следните симптоми: обширен кожен обрив, който може да се характеризира със сърбеж или пустули, ексфолиативен дерматит, висока температура, лимфаденопатия и възможна еозинофилия или неутрофилия. Повечето от тези реакции се появяват в рамките на 4 седмици от започване на лечението с кветиапин, някои </w:t>
      </w:r>
      <w:r w:rsidRPr="00AB7050">
        <w:rPr>
          <w:rFonts w:eastAsia="Times New Roman" w:cs="Arial"/>
          <w:color w:val="000000"/>
          <w:lang w:val="en-US"/>
        </w:rPr>
        <w:t>DRESS</w:t>
      </w:r>
      <w:r w:rsidRPr="00AB7050">
        <w:rPr>
          <w:rFonts w:eastAsia="Times New Roman" w:cs="Arial"/>
          <w:color w:val="000000"/>
          <w:lang w:val="ru-RU"/>
        </w:rPr>
        <w:t xml:space="preserve"> </w:t>
      </w:r>
      <w:r w:rsidRPr="00AB7050">
        <w:rPr>
          <w:rFonts w:eastAsia="Times New Roman" w:cs="Arial"/>
          <w:color w:val="000000"/>
          <w:lang w:eastAsia="bg-BG"/>
        </w:rPr>
        <w:t>реакции възникват в рамките на 6 седмици от започване на лечението с кветиапин. Ако се появят признаци и симптоми, наподобяващи тези тежки кожни реакции, трябва незабавно да се прекрати приема на кветиапин и да се обмисли алтернативно лечение.</w:t>
      </w:r>
    </w:p>
    <w:p w14:paraId="27DB2F33" w14:textId="77777777" w:rsidR="00AB7050" w:rsidRPr="00524A06" w:rsidRDefault="00AB7050" w:rsidP="00AB7050">
      <w:pPr>
        <w:spacing w:line="240" w:lineRule="auto"/>
        <w:rPr>
          <w:rFonts w:eastAsia="Times New Roman" w:cs="Arial"/>
          <w:i/>
          <w:iCs/>
          <w:color w:val="000000"/>
          <w:u w:val="single"/>
          <w:lang w:eastAsia="bg-BG"/>
        </w:rPr>
      </w:pPr>
    </w:p>
    <w:p w14:paraId="5F7708DE" w14:textId="7087E14D" w:rsidR="00AB7050" w:rsidRPr="00AB7050" w:rsidRDefault="00AB7050" w:rsidP="00AB7050">
      <w:pPr>
        <w:spacing w:line="240" w:lineRule="auto"/>
        <w:rPr>
          <w:rFonts w:eastAsia="Times New Roman" w:cs="Arial"/>
        </w:rPr>
      </w:pPr>
      <w:r w:rsidRPr="00AB7050">
        <w:rPr>
          <w:rFonts w:eastAsia="Times New Roman" w:cs="Arial"/>
          <w:i/>
          <w:iCs/>
          <w:color w:val="000000"/>
          <w:u w:val="single"/>
          <w:lang w:eastAsia="bg-BG"/>
        </w:rPr>
        <w:t>Прекратяване на лечението</w:t>
      </w:r>
    </w:p>
    <w:p w14:paraId="749C1638"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След внезапно спиране на кветиапин са съобщени остри симптоми на отнемане като безсъние, гадене, главоболие, диария, повръщане, замаяност и раздразнителност. Препоръчва се постепенно спиране на лечението за период от най-малко една до две седмици (вж. точка 4.8).</w:t>
      </w:r>
    </w:p>
    <w:p w14:paraId="281D2B11" w14:textId="77777777" w:rsidR="00AB7050" w:rsidRPr="00524A06" w:rsidRDefault="00AB7050" w:rsidP="00AB7050">
      <w:pPr>
        <w:spacing w:line="240" w:lineRule="auto"/>
        <w:rPr>
          <w:rFonts w:eastAsia="Times New Roman" w:cs="Arial"/>
          <w:i/>
          <w:iCs/>
          <w:color w:val="000000"/>
          <w:u w:val="single"/>
          <w:lang w:eastAsia="bg-BG"/>
        </w:rPr>
      </w:pPr>
    </w:p>
    <w:p w14:paraId="525B9F8F" w14:textId="77777777" w:rsidR="00AB7050" w:rsidRPr="00524A06" w:rsidRDefault="00AB7050" w:rsidP="00AB7050">
      <w:pPr>
        <w:spacing w:line="240" w:lineRule="auto"/>
        <w:rPr>
          <w:rFonts w:eastAsia="Times New Roman" w:cs="Arial"/>
          <w:i/>
          <w:iCs/>
          <w:color w:val="000000"/>
          <w:u w:val="single"/>
          <w:lang w:eastAsia="bg-BG"/>
        </w:rPr>
      </w:pPr>
      <w:r w:rsidRPr="00AB7050">
        <w:rPr>
          <w:rFonts w:eastAsia="Times New Roman" w:cs="Arial"/>
          <w:i/>
          <w:iCs/>
          <w:color w:val="000000"/>
          <w:u w:val="single"/>
          <w:lang w:eastAsia="bg-BG"/>
        </w:rPr>
        <w:t xml:space="preserve">Пациенти в старческа възраст с психоза асоциирана с деменция </w:t>
      </w:r>
    </w:p>
    <w:p w14:paraId="230D5FED" w14:textId="0209F07D" w:rsidR="00AB7050" w:rsidRPr="00AB7050" w:rsidRDefault="00AB7050" w:rsidP="00AB7050">
      <w:pPr>
        <w:spacing w:line="240" w:lineRule="auto"/>
        <w:rPr>
          <w:rFonts w:eastAsia="Times New Roman" w:cs="Arial"/>
        </w:rPr>
      </w:pPr>
      <w:r w:rsidRPr="00AB7050">
        <w:rPr>
          <w:rFonts w:eastAsia="Times New Roman" w:cs="Arial"/>
          <w:color w:val="000000"/>
          <w:lang w:eastAsia="bg-BG"/>
        </w:rPr>
        <w:lastRenderedPageBreak/>
        <w:t>Кветиапин не е одобрен за лечение на психоза асоциирана с деменция. В рандомизирани, плацебо контролирани клинични проучвания в популация с деменция на лечение с някои атипични антипсихотици, е било наблюдавано приблизително 3-кратно повишение на риска от мозъчно-съдови нежелани реакции. Механизмът за това повишение на риска не е известен. Повишаване на риска не може да се изключи и за други антипсихотици или други групи пациенти. Кветиапин трябва да се използва предпазливо при пациенти с рискови фактори за инсулт.</w:t>
      </w:r>
    </w:p>
    <w:p w14:paraId="5325CB0F" w14:textId="77777777" w:rsidR="00AB7050" w:rsidRPr="00AB7050" w:rsidRDefault="00AB7050" w:rsidP="00AB7050">
      <w:pPr>
        <w:spacing w:line="240" w:lineRule="auto"/>
        <w:rPr>
          <w:rFonts w:eastAsia="Times New Roman" w:cs="Arial"/>
        </w:rPr>
      </w:pPr>
      <w:r w:rsidRPr="00AB7050">
        <w:rPr>
          <w:rFonts w:eastAsia="Times New Roman" w:cs="Arial"/>
          <w:color w:val="000000"/>
          <w:lang w:eastAsia="bg-BG"/>
        </w:rPr>
        <w:t>В мета анализ на атипични антипсихотици е било съобщено, че пациенти в старческа възраст с психоза свързана с деменция са с повишен риск от смърт в сравнение с плацебо. В две</w:t>
      </w:r>
    </w:p>
    <w:p w14:paraId="479A9779" w14:textId="06434991" w:rsidR="00AB7050" w:rsidRPr="00524A06" w:rsidRDefault="00AB7050" w:rsidP="00AB7050">
      <w:pPr>
        <w:rPr>
          <w:rFonts w:eastAsia="Times New Roman" w:cs="Arial"/>
          <w:color w:val="000000"/>
          <w:lang w:eastAsia="bg-BG"/>
        </w:rPr>
      </w:pPr>
      <w:r w:rsidRPr="00524A06">
        <w:rPr>
          <w:rFonts w:eastAsia="Times New Roman" w:cs="Arial"/>
          <w:color w:val="000000"/>
          <w:lang w:eastAsia="bg-BG"/>
        </w:rPr>
        <w:t>10-седмични плацебо контролирани проучвания на кветиапин в същата популация пациенти (</w:t>
      </w:r>
      <w:r w:rsidRPr="00524A06">
        <w:rPr>
          <w:rFonts w:eastAsia="Times New Roman" w:cs="Arial"/>
          <w:color w:val="000000"/>
          <w:lang w:val="en-US"/>
        </w:rPr>
        <w:t>n</w:t>
      </w:r>
      <w:r w:rsidRPr="00524A06">
        <w:rPr>
          <w:rFonts w:eastAsia="Times New Roman" w:cs="Arial"/>
          <w:color w:val="000000"/>
          <w:lang w:eastAsia="bg-BG"/>
        </w:rPr>
        <w:t>=710; средна възраст 83 години; възрастов диапазон 56-99 години), смъртността в групата пациенти на лечение с кветиапин е била 5,5% спрямо 3,2% в групата пациенти</w:t>
      </w:r>
      <w:r w:rsidRPr="00524A06">
        <w:rPr>
          <w:rFonts w:eastAsia="Times New Roman" w:cs="Arial"/>
          <w:color w:val="000000"/>
          <w:lang w:val="ru-RU"/>
        </w:rPr>
        <w:t xml:space="preserve"> </w:t>
      </w:r>
      <w:r w:rsidRPr="00524A06">
        <w:rPr>
          <w:rFonts w:eastAsia="Times New Roman" w:cs="Arial"/>
          <w:color w:val="000000"/>
          <w:lang w:eastAsia="bg-BG"/>
        </w:rPr>
        <w:t>на лечение с плацебо. Пациентите в тези проучвания са починали вследствие на различни причини, които са в съответствие с очакванията за тази популация.</w:t>
      </w:r>
    </w:p>
    <w:p w14:paraId="5E6A0415" w14:textId="242B939D" w:rsidR="00524A06" w:rsidRPr="00524A06" w:rsidRDefault="00524A06" w:rsidP="00AB7050">
      <w:pPr>
        <w:rPr>
          <w:rFonts w:eastAsia="Times New Roman" w:cs="Arial"/>
          <w:color w:val="000000"/>
          <w:lang w:eastAsia="bg-BG"/>
        </w:rPr>
      </w:pPr>
    </w:p>
    <w:p w14:paraId="1F7EBEA6" w14:textId="77777777"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Пациенти в старческа възраст с болест на Паркинсон/паркинсонизъм</w:t>
      </w:r>
    </w:p>
    <w:p w14:paraId="5C64A385"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Ретроспективно, базирано на популация проучване на кветиапин за лечение на пациенти с голямо депресивно разстройство е показало повишен риск от смърт по време на употреба на кветиапин при пациенти на възраст &gt; 65 години. Такава връзка не е съществувала, когато пациентите с паркинсонизъм са били изключени от анализа. Необходимо е повишено внимание, ако кветиапин се предписва на пациенти в старческа възраст и с паркинсонизъм.</w:t>
      </w:r>
    </w:p>
    <w:p w14:paraId="4A3C7141" w14:textId="77777777" w:rsidR="00524A06" w:rsidRPr="00524A06" w:rsidRDefault="00524A06" w:rsidP="00524A06">
      <w:pPr>
        <w:spacing w:line="240" w:lineRule="auto"/>
        <w:rPr>
          <w:rFonts w:eastAsia="Times New Roman" w:cs="Arial"/>
          <w:i/>
          <w:iCs/>
          <w:color w:val="000000"/>
          <w:u w:val="single"/>
          <w:lang w:eastAsia="bg-BG"/>
        </w:rPr>
      </w:pPr>
    </w:p>
    <w:p w14:paraId="1BE20E85" w14:textId="51F54A9E"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Дисфагия</w:t>
      </w:r>
    </w:p>
    <w:p w14:paraId="4A53B8B1"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При лечение с кветиапин е било докладвано за дисфагия (вж. точка 4.8). Кветиапин трябва да се използва предпазливо при пациенти с риск за аспирационна пневмония.</w:t>
      </w:r>
    </w:p>
    <w:p w14:paraId="05E67913" w14:textId="77777777" w:rsidR="00524A06" w:rsidRPr="00524A06" w:rsidRDefault="00524A06" w:rsidP="00524A06">
      <w:pPr>
        <w:spacing w:line="240" w:lineRule="auto"/>
        <w:rPr>
          <w:rFonts w:eastAsia="Times New Roman" w:cs="Arial"/>
          <w:i/>
          <w:iCs/>
          <w:color w:val="000000"/>
          <w:u w:val="single"/>
          <w:lang w:eastAsia="bg-BG"/>
        </w:rPr>
      </w:pPr>
    </w:p>
    <w:p w14:paraId="08E136DF" w14:textId="0BD1ACFF"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Констипация и чревна обструкция</w:t>
      </w:r>
    </w:p>
    <w:p w14:paraId="4302B0F3"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Констипацията е рисков фактор за чревна обструкция. Има съобщения за констипация и чревна обструкция при употреба на кветиапин (вж. точка 4.8). Те включват фатални случаи при пациенти, които са с по-висок риск от чревна непроходимост, включително тези, получаващи едновременно много лекарства, които понижават чревния мотилитет и/или не могат да съобщават симптоми на констипация. Пациентите с чревна непроходимост/илеус трябва да се проследяват внимателно и при необходимост да се включат спешни мерки.</w:t>
      </w:r>
    </w:p>
    <w:p w14:paraId="4D57C8FB" w14:textId="77777777" w:rsidR="00524A06" w:rsidRPr="00524A06" w:rsidRDefault="00524A06" w:rsidP="00524A06">
      <w:pPr>
        <w:spacing w:line="240" w:lineRule="auto"/>
        <w:rPr>
          <w:rFonts w:eastAsia="Times New Roman" w:cs="Arial"/>
          <w:i/>
          <w:iCs/>
          <w:color w:val="000000"/>
          <w:u w:val="single"/>
          <w:lang w:eastAsia="bg-BG"/>
        </w:rPr>
      </w:pPr>
    </w:p>
    <w:p w14:paraId="594B2CFF" w14:textId="75BF777C"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Венозна тромбоемболия (ВТЕ)</w:t>
      </w:r>
    </w:p>
    <w:p w14:paraId="340A20DB"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При употреба на антипсихотични лекарствени продукти са били докладвани случаи на венозна тромбоемболия (ВТЕ). Тъй като пациентите лекувани с антипсихотици често са с придобити рискови фактори за ВТЕ, преди и по време на лечение с кветиапин трябва да се идентифицират всички възможни рискови фактори и да се предприемат профилактични мерки.</w:t>
      </w:r>
    </w:p>
    <w:p w14:paraId="3B9DEF79" w14:textId="77777777" w:rsidR="00524A06" w:rsidRPr="00524A06" w:rsidRDefault="00524A06" w:rsidP="00524A06">
      <w:pPr>
        <w:spacing w:line="240" w:lineRule="auto"/>
        <w:rPr>
          <w:rFonts w:eastAsia="Times New Roman" w:cs="Arial"/>
          <w:i/>
          <w:iCs/>
          <w:color w:val="000000"/>
          <w:u w:val="single"/>
          <w:lang w:eastAsia="bg-BG"/>
        </w:rPr>
      </w:pPr>
    </w:p>
    <w:p w14:paraId="039B52D2" w14:textId="3BC6259E"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Панкреатит</w:t>
      </w:r>
    </w:p>
    <w:p w14:paraId="78C4ECEC"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 xml:space="preserve">В клиничните проучвания и от постмаркетинговия опит са съобщавани случаи на панкреатит. Сред постмаркетинговите съобщения, въпреки че не всички случаи са били придружени от рискови фактори, много пациенти са имали фактори, за които е известно </w:t>
      </w:r>
      <w:r w:rsidRPr="00524A06">
        <w:rPr>
          <w:rFonts w:eastAsia="Times New Roman" w:cs="Arial"/>
          <w:color w:val="000000"/>
          <w:lang w:eastAsia="bg-BG"/>
        </w:rPr>
        <w:lastRenderedPageBreak/>
        <w:t>че са свързани с панкреатит, като повишени нива на триглицеридите (вж. точка 4.4), жлъчни камъни и консумация на алкохол.</w:t>
      </w:r>
    </w:p>
    <w:p w14:paraId="45761890" w14:textId="77777777" w:rsidR="00524A06" w:rsidRPr="00524A06" w:rsidRDefault="00524A06" w:rsidP="00524A06">
      <w:pPr>
        <w:spacing w:line="240" w:lineRule="auto"/>
        <w:rPr>
          <w:rFonts w:eastAsia="Times New Roman" w:cs="Arial"/>
          <w:i/>
          <w:iCs/>
          <w:color w:val="000000"/>
          <w:u w:val="single"/>
          <w:lang w:eastAsia="bg-BG"/>
        </w:rPr>
      </w:pPr>
    </w:p>
    <w:p w14:paraId="35C20123" w14:textId="34F8BCF7"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Допълнителна информация</w:t>
      </w:r>
    </w:p>
    <w:p w14:paraId="6EB268AA"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Данните за комбинацията на кветиапин с дивалпроекс или литий в остри, умерено тежки до тежки манийни епизоди са ограничени; все пак комбинираната терапия е била понасяна добре (вж. точки 4.8 и 5.1). Данните са показали адитивен ефект в третата седмица,</w:t>
      </w:r>
    </w:p>
    <w:p w14:paraId="31CA1554" w14:textId="77777777" w:rsidR="00524A06" w:rsidRPr="00524A06" w:rsidRDefault="00524A06" w:rsidP="00524A06">
      <w:pPr>
        <w:spacing w:line="240" w:lineRule="auto"/>
        <w:rPr>
          <w:rFonts w:eastAsia="Times New Roman" w:cs="Arial"/>
          <w:i/>
          <w:iCs/>
          <w:color w:val="000000"/>
          <w:u w:val="single"/>
          <w:lang w:eastAsia="bg-BG"/>
        </w:rPr>
      </w:pPr>
    </w:p>
    <w:p w14:paraId="4D663080" w14:textId="5E991511" w:rsidR="00524A06" w:rsidRPr="00524A06" w:rsidRDefault="00524A06" w:rsidP="00524A06">
      <w:pPr>
        <w:spacing w:line="240" w:lineRule="auto"/>
        <w:rPr>
          <w:rFonts w:eastAsia="Times New Roman" w:cs="Arial"/>
        </w:rPr>
      </w:pPr>
      <w:r w:rsidRPr="00524A06">
        <w:rPr>
          <w:rFonts w:eastAsia="Times New Roman" w:cs="Arial"/>
          <w:i/>
          <w:iCs/>
          <w:color w:val="000000"/>
          <w:u w:val="single"/>
          <w:lang w:eastAsia="bg-BG"/>
        </w:rPr>
        <w:t>Неправилна употреба и злоупотреба</w:t>
      </w:r>
    </w:p>
    <w:p w14:paraId="645F8A52"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Съобщавани са случаи на неправилна употреба и злоупотреба. Трябва да се обърне особено внимание при предписване на кветиапин при пациенти с история на злоупотреба с алкохол и лекарства.</w:t>
      </w:r>
    </w:p>
    <w:p w14:paraId="2B270422" w14:textId="77777777" w:rsidR="00524A06" w:rsidRPr="00524A06" w:rsidRDefault="00524A06" w:rsidP="00524A06">
      <w:pPr>
        <w:spacing w:line="240" w:lineRule="auto"/>
        <w:rPr>
          <w:rFonts w:eastAsia="Times New Roman" w:cs="Arial"/>
          <w:color w:val="000000"/>
          <w:u w:val="single"/>
          <w:lang w:eastAsia="bg-BG"/>
        </w:rPr>
      </w:pPr>
    </w:p>
    <w:p w14:paraId="404A543D" w14:textId="30A0FD6D" w:rsidR="00524A06" w:rsidRPr="00524A06" w:rsidRDefault="00524A06" w:rsidP="00524A06">
      <w:pPr>
        <w:spacing w:line="240" w:lineRule="auto"/>
        <w:rPr>
          <w:rFonts w:eastAsia="Times New Roman" w:cs="Arial"/>
        </w:rPr>
      </w:pPr>
      <w:r w:rsidRPr="00524A06">
        <w:rPr>
          <w:rFonts w:eastAsia="Times New Roman" w:cs="Arial"/>
          <w:color w:val="000000"/>
          <w:u w:val="single"/>
          <w:lang w:eastAsia="bg-BG"/>
        </w:rPr>
        <w:t>Помощни вещества</w:t>
      </w:r>
    </w:p>
    <w:p w14:paraId="43975471" w14:textId="77777777" w:rsidR="00524A06" w:rsidRPr="00524A06" w:rsidRDefault="00524A06" w:rsidP="00524A06">
      <w:pPr>
        <w:spacing w:line="240" w:lineRule="auto"/>
        <w:rPr>
          <w:rFonts w:eastAsia="Times New Roman" w:cs="Arial"/>
          <w:i/>
          <w:iCs/>
          <w:color w:val="000000"/>
          <w:lang w:eastAsia="bg-BG"/>
        </w:rPr>
      </w:pPr>
    </w:p>
    <w:p w14:paraId="7E8E89F0" w14:textId="12D65569" w:rsidR="00524A06" w:rsidRPr="00524A06" w:rsidRDefault="00524A06" w:rsidP="00524A06">
      <w:pPr>
        <w:spacing w:line="240" w:lineRule="auto"/>
        <w:rPr>
          <w:rFonts w:eastAsia="Times New Roman" w:cs="Arial"/>
        </w:rPr>
      </w:pPr>
      <w:r w:rsidRPr="00524A06">
        <w:rPr>
          <w:rFonts w:eastAsia="Times New Roman" w:cs="Arial"/>
          <w:i/>
          <w:iCs/>
          <w:color w:val="000000"/>
          <w:lang w:eastAsia="bg-BG"/>
        </w:rPr>
        <w:t>Лактоза</w:t>
      </w:r>
    </w:p>
    <w:p w14:paraId="3D4EBDF7"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глюкозо-галакгозна малабсорбция не трябва да приемат това лекарство.</w:t>
      </w:r>
    </w:p>
    <w:p w14:paraId="57D05523" w14:textId="77777777" w:rsidR="00524A06" w:rsidRPr="00524A06" w:rsidRDefault="00524A06" w:rsidP="00524A06">
      <w:pPr>
        <w:spacing w:line="240" w:lineRule="auto"/>
        <w:rPr>
          <w:rFonts w:eastAsia="Times New Roman" w:cs="Arial"/>
          <w:i/>
          <w:iCs/>
          <w:color w:val="000000"/>
          <w:lang w:eastAsia="bg-BG"/>
        </w:rPr>
      </w:pPr>
    </w:p>
    <w:p w14:paraId="10DA774A" w14:textId="1F8F4ED7" w:rsidR="00524A06" w:rsidRPr="00524A06" w:rsidRDefault="00524A06" w:rsidP="00524A06">
      <w:pPr>
        <w:spacing w:line="240" w:lineRule="auto"/>
        <w:rPr>
          <w:rFonts w:eastAsia="Times New Roman" w:cs="Arial"/>
        </w:rPr>
      </w:pPr>
      <w:r w:rsidRPr="00524A06">
        <w:rPr>
          <w:rFonts w:eastAsia="Times New Roman" w:cs="Arial"/>
          <w:i/>
          <w:iCs/>
          <w:color w:val="000000"/>
          <w:lang w:eastAsia="bg-BG"/>
        </w:rPr>
        <w:t>Натрий</w:t>
      </w:r>
    </w:p>
    <w:p w14:paraId="281EFB18" w14:textId="77777777" w:rsidR="00524A06" w:rsidRPr="00524A06" w:rsidRDefault="00524A06" w:rsidP="00524A06">
      <w:pPr>
        <w:spacing w:line="240" w:lineRule="auto"/>
        <w:rPr>
          <w:rFonts w:eastAsia="Times New Roman" w:cs="Arial"/>
        </w:rPr>
      </w:pPr>
      <w:r w:rsidRPr="00524A06">
        <w:rPr>
          <w:rFonts w:eastAsia="Times New Roman" w:cs="Arial"/>
          <w:color w:val="000000"/>
          <w:lang w:eastAsia="bg-BG"/>
        </w:rPr>
        <w:t xml:space="preserve">Това лекарство съдържа по-малко от 1 </w:t>
      </w:r>
      <w:r w:rsidRPr="00524A06">
        <w:rPr>
          <w:rFonts w:eastAsia="Times New Roman" w:cs="Arial"/>
          <w:color w:val="000000"/>
          <w:lang w:val="en-US"/>
        </w:rPr>
        <w:t>mmol</w:t>
      </w:r>
      <w:r w:rsidRPr="00524A06">
        <w:rPr>
          <w:rFonts w:eastAsia="Times New Roman" w:cs="Arial"/>
          <w:color w:val="000000"/>
          <w:lang w:val="ru-RU"/>
        </w:rPr>
        <w:t xml:space="preserve"> </w:t>
      </w:r>
      <w:r w:rsidRPr="00524A06">
        <w:rPr>
          <w:rFonts w:eastAsia="Times New Roman" w:cs="Arial"/>
          <w:color w:val="000000"/>
          <w:lang w:eastAsia="bg-BG"/>
        </w:rPr>
        <w:t xml:space="preserve">натрий (23 </w:t>
      </w:r>
      <w:r w:rsidRPr="00524A06">
        <w:rPr>
          <w:rFonts w:eastAsia="Times New Roman" w:cs="Arial"/>
          <w:color w:val="000000"/>
          <w:lang w:val="en-US"/>
        </w:rPr>
        <w:t>mg</w:t>
      </w:r>
      <w:r w:rsidRPr="00524A06">
        <w:rPr>
          <w:rFonts w:eastAsia="Times New Roman" w:cs="Arial"/>
          <w:color w:val="000000"/>
          <w:lang w:val="ru-RU"/>
        </w:rPr>
        <w:t xml:space="preserve">) </w:t>
      </w:r>
      <w:r w:rsidRPr="00524A06">
        <w:rPr>
          <w:rFonts w:eastAsia="Times New Roman" w:cs="Arial"/>
          <w:color w:val="000000"/>
          <w:lang w:eastAsia="bg-BG"/>
        </w:rPr>
        <w:t>на филмирана таблетка. т.е може да се каже, че практически не съдържа натрий.</w:t>
      </w:r>
    </w:p>
    <w:p w14:paraId="4DB80153" w14:textId="77777777" w:rsidR="00524A06" w:rsidRPr="00524A06" w:rsidRDefault="00524A06" w:rsidP="00524A06">
      <w:pPr>
        <w:spacing w:line="240" w:lineRule="auto"/>
        <w:rPr>
          <w:rFonts w:eastAsia="Times New Roman" w:cs="Arial"/>
          <w:i/>
          <w:iCs/>
          <w:color w:val="000000"/>
          <w:lang w:eastAsia="bg-BG"/>
        </w:rPr>
      </w:pPr>
    </w:p>
    <w:p w14:paraId="47939DD0" w14:textId="6E5F010B" w:rsidR="00524A06" w:rsidRPr="00524A06" w:rsidRDefault="00524A06" w:rsidP="00524A06">
      <w:pPr>
        <w:spacing w:line="240" w:lineRule="auto"/>
        <w:rPr>
          <w:rFonts w:eastAsia="Times New Roman" w:cs="Arial"/>
        </w:rPr>
      </w:pPr>
      <w:r w:rsidRPr="00524A06">
        <w:rPr>
          <w:rFonts w:eastAsia="Times New Roman" w:cs="Arial"/>
          <w:i/>
          <w:iCs/>
          <w:color w:val="000000"/>
          <w:lang w:eastAsia="bg-BG"/>
        </w:rPr>
        <w:t>Сънсет жълто</w:t>
      </w:r>
    </w:p>
    <w:p w14:paraId="36CABCC9" w14:textId="77920049" w:rsidR="00524A06" w:rsidRDefault="00524A06" w:rsidP="00524A06">
      <w:pPr>
        <w:rPr>
          <w:rFonts w:eastAsia="Times New Roman" w:cs="Arial"/>
          <w:color w:val="000000"/>
          <w:lang w:eastAsia="bg-BG"/>
        </w:rPr>
      </w:pPr>
      <w:r w:rsidRPr="00524A06">
        <w:rPr>
          <w:rFonts w:eastAsia="Times New Roman" w:cs="Arial"/>
          <w:color w:val="000000"/>
          <w:lang w:eastAsia="bg-BG"/>
        </w:rPr>
        <w:t xml:space="preserve">Филмираните таблетки Теваквел от 100 </w:t>
      </w:r>
      <w:r w:rsidRPr="00524A06">
        <w:rPr>
          <w:rFonts w:eastAsia="Times New Roman" w:cs="Arial"/>
          <w:color w:val="000000"/>
          <w:lang w:val="en-US"/>
        </w:rPr>
        <w:t>mg</w:t>
      </w:r>
      <w:r w:rsidRPr="00524A06">
        <w:rPr>
          <w:rFonts w:eastAsia="Times New Roman" w:cs="Arial"/>
          <w:color w:val="000000"/>
          <w:lang w:val="ru-RU"/>
        </w:rPr>
        <w:t xml:space="preserve"> </w:t>
      </w:r>
      <w:r w:rsidRPr="00524A06">
        <w:rPr>
          <w:rFonts w:eastAsia="Times New Roman" w:cs="Arial"/>
          <w:color w:val="000000"/>
          <w:lang w:eastAsia="bg-BG"/>
        </w:rPr>
        <w:t xml:space="preserve">съдържат сънсет жълто </w:t>
      </w:r>
      <w:r w:rsidRPr="00524A06">
        <w:rPr>
          <w:rFonts w:eastAsia="Times New Roman" w:cs="Arial"/>
          <w:color w:val="000000"/>
          <w:lang w:val="en-US"/>
        </w:rPr>
        <w:t>FCF</w:t>
      </w:r>
      <w:r w:rsidRPr="00524A06">
        <w:rPr>
          <w:rFonts w:eastAsia="Times New Roman" w:cs="Arial"/>
          <w:color w:val="000000"/>
          <w:lang w:val="ru-RU"/>
        </w:rPr>
        <w:t xml:space="preserve"> </w:t>
      </w:r>
      <w:r w:rsidRPr="00524A06">
        <w:rPr>
          <w:rFonts w:eastAsia="Times New Roman" w:cs="Arial"/>
          <w:color w:val="000000"/>
          <w:lang w:eastAsia="bg-BG"/>
        </w:rPr>
        <w:t>алуминиев лак (</w:t>
      </w:r>
      <w:r w:rsidRPr="00524A06">
        <w:rPr>
          <w:rFonts w:eastAsia="Times New Roman" w:cs="Arial"/>
          <w:color w:val="000000"/>
          <w:lang w:val="en-US"/>
        </w:rPr>
        <w:t>E</w:t>
      </w:r>
      <w:r w:rsidRPr="00524A06">
        <w:rPr>
          <w:rFonts w:eastAsia="Times New Roman" w:cs="Arial"/>
          <w:color w:val="000000"/>
          <w:lang w:val="ru-RU"/>
        </w:rPr>
        <w:t>110)</w:t>
      </w:r>
      <w:r w:rsidRPr="00524A06">
        <w:rPr>
          <w:rFonts w:eastAsia="Times New Roman" w:cs="Arial"/>
          <w:color w:val="000000"/>
          <w:lang w:eastAsia="bg-BG"/>
        </w:rPr>
        <w:t xml:space="preserve"> който може да предизвика алергични реакции.</w:t>
      </w:r>
    </w:p>
    <w:p w14:paraId="3721EB8D" w14:textId="77777777" w:rsidR="00524A06" w:rsidRPr="00524A06" w:rsidRDefault="00524A06" w:rsidP="00524A06">
      <w:pPr>
        <w:rPr>
          <w:rFonts w:eastAsia="Times New Roman" w:cs="Arial"/>
          <w:color w:val="000000"/>
          <w:lang w:val="ru-RU"/>
        </w:rPr>
      </w:pPr>
    </w:p>
    <w:p w14:paraId="459C0884" w14:textId="77777777" w:rsidR="00524A06"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020B9579" w14:textId="24F4E43F" w:rsidR="00524A06" w:rsidRDefault="00524A06" w:rsidP="00524A06"/>
    <w:p w14:paraId="713E644F"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Предвид ефектите на кветиапин главно върху централната нервна система, кветиапин трябва да се използва с повишено внимание в комбинация с други централно-действащи лекарствени продукти и алкохол.</w:t>
      </w:r>
    </w:p>
    <w:p w14:paraId="67A2F839" w14:textId="77777777" w:rsidR="00524A06" w:rsidRPr="00524A06" w:rsidRDefault="00524A06" w:rsidP="00524A06">
      <w:pPr>
        <w:spacing w:line="240" w:lineRule="auto"/>
        <w:rPr>
          <w:rFonts w:eastAsia="Times New Roman" w:cs="Arial"/>
          <w:color w:val="000000"/>
          <w:lang w:eastAsia="bg-BG"/>
        </w:rPr>
      </w:pPr>
    </w:p>
    <w:p w14:paraId="019B0F08" w14:textId="5953319B"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Необходимо е повишено внимание при лечение на пациенти, приемащи други лекарства, които имат антихолинергични (мускаринови) ефекти (вж. точка 4.4).</w:t>
      </w:r>
    </w:p>
    <w:p w14:paraId="062A663F" w14:textId="77777777" w:rsidR="00524A06" w:rsidRPr="00524A06" w:rsidRDefault="00524A06" w:rsidP="00524A06">
      <w:pPr>
        <w:spacing w:line="240" w:lineRule="auto"/>
        <w:rPr>
          <w:rFonts w:eastAsia="Times New Roman" w:cs="Arial"/>
          <w:color w:val="000000"/>
          <w:lang w:eastAsia="bg-BG"/>
        </w:rPr>
      </w:pPr>
    </w:p>
    <w:p w14:paraId="5B01C808" w14:textId="6E63CFDE"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lang w:eastAsia="bg-BG"/>
        </w:rPr>
        <w:t xml:space="preserve">Цитохром Р450 </w:t>
      </w:r>
      <w:r w:rsidRPr="00524A06">
        <w:rPr>
          <w:rFonts w:eastAsia="Times New Roman" w:cs="Arial"/>
          <w:color w:val="000000"/>
          <w:lang w:val="ru-RU"/>
        </w:rPr>
        <w:t>(</w:t>
      </w:r>
      <w:r w:rsidRPr="00524A06">
        <w:rPr>
          <w:rFonts w:eastAsia="Times New Roman" w:cs="Arial"/>
          <w:color w:val="000000"/>
          <w:lang w:val="en-US"/>
        </w:rPr>
        <w:t>CYP</w:t>
      </w:r>
      <w:r w:rsidRPr="00524A06">
        <w:rPr>
          <w:rFonts w:eastAsia="Times New Roman" w:cs="Arial"/>
          <w:color w:val="000000"/>
          <w:lang w:val="ru-RU"/>
        </w:rPr>
        <w:t xml:space="preserve">) </w:t>
      </w:r>
      <w:r w:rsidRPr="00524A06">
        <w:rPr>
          <w:rFonts w:eastAsia="Times New Roman" w:cs="Arial"/>
          <w:color w:val="000000"/>
          <w:lang w:eastAsia="bg-BG"/>
        </w:rPr>
        <w:t xml:space="preserve">ЗА4 е ензим, който е отговорен преди всичко за цитохром Р450- </w:t>
      </w:r>
    </w:p>
    <w:p w14:paraId="349C61C6" w14:textId="721998A4"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медиирания метаболизъм на кветиапин. В едно проучване за взаимодействия при здрави доброволци, едновременното приложение на кветиапин (в доза 25 </w:t>
      </w:r>
      <w:r w:rsidRPr="00524A06">
        <w:rPr>
          <w:rFonts w:eastAsia="Times New Roman" w:cs="Arial"/>
          <w:color w:val="000000"/>
          <w:lang w:val="en-US"/>
        </w:rPr>
        <w:t>mg</w:t>
      </w:r>
      <w:r w:rsidRPr="00524A06">
        <w:rPr>
          <w:rFonts w:eastAsia="Times New Roman" w:cs="Arial"/>
          <w:color w:val="000000"/>
          <w:lang w:val="ru-RU"/>
        </w:rPr>
        <w:t xml:space="preserve">) </w:t>
      </w:r>
      <w:r w:rsidRPr="00524A06">
        <w:rPr>
          <w:rFonts w:eastAsia="Times New Roman" w:cs="Arial"/>
          <w:color w:val="000000"/>
          <w:lang w:eastAsia="bg-BG"/>
        </w:rPr>
        <w:t xml:space="preserve">с кетоконазол, известен инхибитор на </w:t>
      </w:r>
      <w:r w:rsidRPr="00524A06">
        <w:rPr>
          <w:rFonts w:eastAsia="Times New Roman" w:cs="Arial"/>
          <w:color w:val="000000"/>
          <w:lang w:val="en-US"/>
        </w:rPr>
        <w:t>CYP</w:t>
      </w:r>
      <w:r w:rsidRPr="00524A06">
        <w:rPr>
          <w:rFonts w:eastAsia="Times New Roman" w:cs="Arial"/>
          <w:color w:val="000000"/>
          <w:lang w:val="ru-RU"/>
        </w:rPr>
        <w:t>3</w:t>
      </w:r>
      <w:r w:rsidRPr="00524A06">
        <w:rPr>
          <w:rFonts w:eastAsia="Times New Roman" w:cs="Arial"/>
          <w:color w:val="000000"/>
          <w:lang w:eastAsia="bg-BG"/>
        </w:rPr>
        <w:t xml:space="preserve">А4, предизвиква 5- до 8-кратно повишаване на </w:t>
      </w:r>
      <w:r w:rsidRPr="00524A06">
        <w:rPr>
          <w:rFonts w:eastAsia="Times New Roman" w:cs="Arial"/>
          <w:color w:val="000000"/>
          <w:lang w:val="en-US"/>
        </w:rPr>
        <w:t>AUC</w:t>
      </w:r>
      <w:r w:rsidRPr="00524A06">
        <w:rPr>
          <w:rFonts w:eastAsia="Times New Roman" w:cs="Arial"/>
          <w:color w:val="000000"/>
          <w:lang w:val="ru-RU"/>
        </w:rPr>
        <w:t xml:space="preserve"> </w:t>
      </w:r>
      <w:r w:rsidRPr="00524A06">
        <w:rPr>
          <w:rFonts w:eastAsia="Times New Roman" w:cs="Arial"/>
          <w:color w:val="000000"/>
          <w:lang w:eastAsia="bg-BG"/>
        </w:rPr>
        <w:t xml:space="preserve">на кветиапин. Въз основа на това едновременната употреба на кветиапин с инхибитори на </w:t>
      </w:r>
      <w:r w:rsidRPr="00524A06">
        <w:rPr>
          <w:rFonts w:eastAsia="Times New Roman" w:cs="Arial"/>
          <w:color w:val="000000"/>
          <w:lang w:val="en-US"/>
        </w:rPr>
        <w:t>CYP</w:t>
      </w:r>
      <w:r w:rsidRPr="00524A06">
        <w:rPr>
          <w:rFonts w:eastAsia="Times New Roman" w:cs="Arial"/>
          <w:color w:val="000000"/>
          <w:lang w:val="ru-RU"/>
        </w:rPr>
        <w:t>3</w:t>
      </w:r>
      <w:r w:rsidRPr="00524A06">
        <w:rPr>
          <w:rFonts w:eastAsia="Times New Roman" w:cs="Arial"/>
          <w:color w:val="000000"/>
          <w:lang w:eastAsia="bg-BG"/>
        </w:rPr>
        <w:t>А4 е противопоказана. Освен това не се препоръчва да се консумира сок от грейпфрут, докато продължава лечението с кветиапин.</w:t>
      </w:r>
    </w:p>
    <w:p w14:paraId="7AAB64BB" w14:textId="77777777" w:rsidR="00524A06" w:rsidRPr="00524A06" w:rsidRDefault="00524A06" w:rsidP="00524A06">
      <w:pPr>
        <w:spacing w:line="240" w:lineRule="auto"/>
        <w:rPr>
          <w:rFonts w:eastAsia="Times New Roman" w:cs="Arial"/>
          <w:color w:val="000000"/>
          <w:lang w:eastAsia="bg-BG"/>
        </w:rPr>
      </w:pPr>
    </w:p>
    <w:p w14:paraId="6E5FC7CA" w14:textId="23A13643"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В клинично проучване с многократно прилагане при пациенти за оценка на фармакокинетиката на кветиапин, даван преди или по време на терапия с карбамазепин (известен индуктор на чернодробен ензим), едновременното приложение на </w:t>
      </w:r>
      <w:r w:rsidRPr="00524A06">
        <w:rPr>
          <w:rFonts w:eastAsia="Times New Roman" w:cs="Arial"/>
          <w:color w:val="000000"/>
          <w:lang w:eastAsia="bg-BG"/>
        </w:rPr>
        <w:lastRenderedPageBreak/>
        <w:t xml:space="preserve">карбамазепин значително повишава клирънса на кветиапин. Това повишаване на клирънса редуцира системната експозиция на кветиапин (измерена посредством </w:t>
      </w:r>
      <w:r w:rsidRPr="00524A06">
        <w:rPr>
          <w:rFonts w:eastAsia="Times New Roman" w:cs="Arial"/>
          <w:color w:val="000000"/>
          <w:lang w:val="en-US"/>
        </w:rPr>
        <w:t>AUC</w:t>
      </w:r>
      <w:r w:rsidRPr="00524A06">
        <w:rPr>
          <w:rFonts w:eastAsia="Times New Roman" w:cs="Arial"/>
          <w:color w:val="000000"/>
          <w:lang w:val="ru-RU"/>
        </w:rPr>
        <w:t xml:space="preserve">) </w:t>
      </w:r>
      <w:r w:rsidRPr="00524A06">
        <w:rPr>
          <w:rFonts w:eastAsia="Times New Roman" w:cs="Arial"/>
          <w:color w:val="000000"/>
          <w:lang w:eastAsia="bg-BG"/>
        </w:rPr>
        <w:t>до средно 13% от експозицията по време на самостоятелно приложение на кветиапин; все пак при някои пациенти е бил наблюдаван по- силен ефект. Като следствие от това взаимодействие са наблюдавани по-ниски плазмени концентрации, което би могло да промени ефикасността на терапията с кветиапин.</w:t>
      </w:r>
    </w:p>
    <w:p w14:paraId="01D32A0A" w14:textId="77777777" w:rsidR="00524A06" w:rsidRPr="00524A06" w:rsidRDefault="00524A06" w:rsidP="00524A06">
      <w:pPr>
        <w:spacing w:line="240" w:lineRule="auto"/>
        <w:rPr>
          <w:rFonts w:eastAsia="Times New Roman" w:cs="Arial"/>
          <w:color w:val="000000"/>
          <w:lang w:eastAsia="bg-BG"/>
        </w:rPr>
      </w:pPr>
    </w:p>
    <w:p w14:paraId="6B807413" w14:textId="1C444336"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Едновременно приложение на кветиапин и фенитоин (друг индуктор на микрозомалните ензими) е предизвикало изразено повишаване на клирънса на кветиапин с приблизително 450%. При пациенти, които приемат индуктор на чернодробните ензими, лечение с кветиапин трябва да се започва само ако лекуващият лекар прецени, че ползите от кветиапин надвишават риска от прекратяване на индуктора на чернодробните ензими. Важно е всяка промяна в дозата на индуктора да става постепенно и ако е необходимо да бъде заменен от неиндуктор (напр. натриев валпроат) (вж. точка 4.4).</w:t>
      </w:r>
    </w:p>
    <w:p w14:paraId="35D5E222" w14:textId="77777777" w:rsidR="00524A06" w:rsidRPr="00524A06" w:rsidRDefault="00524A06" w:rsidP="00524A06">
      <w:pPr>
        <w:spacing w:line="240" w:lineRule="auto"/>
        <w:rPr>
          <w:rFonts w:eastAsia="Times New Roman" w:cs="Arial"/>
          <w:color w:val="000000"/>
          <w:lang w:eastAsia="bg-BG"/>
        </w:rPr>
      </w:pPr>
    </w:p>
    <w:p w14:paraId="39F1DD7C" w14:textId="1D0076AF"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Фармакокинетиката на кветиапин не се променя значително при едновременно приложение на антидепресанта имипрамин (известен инхибитор на </w:t>
      </w:r>
      <w:r w:rsidRPr="00524A06">
        <w:rPr>
          <w:rFonts w:eastAsia="Times New Roman" w:cs="Arial"/>
          <w:color w:val="000000"/>
          <w:lang w:val="en-US"/>
        </w:rPr>
        <w:t>CYP</w:t>
      </w:r>
      <w:r w:rsidRPr="00524A06">
        <w:rPr>
          <w:rFonts w:eastAsia="Times New Roman" w:cs="Arial"/>
          <w:color w:val="000000"/>
          <w:lang w:val="ru-RU"/>
        </w:rPr>
        <w:t xml:space="preserve"> 2</w:t>
      </w:r>
      <w:r w:rsidRPr="00524A06">
        <w:rPr>
          <w:rFonts w:eastAsia="Times New Roman" w:cs="Arial"/>
          <w:color w:val="000000"/>
          <w:lang w:val="en-US"/>
        </w:rPr>
        <w:t>D</w:t>
      </w:r>
      <w:r w:rsidRPr="00524A06">
        <w:rPr>
          <w:rFonts w:eastAsia="Times New Roman" w:cs="Arial"/>
          <w:color w:val="000000"/>
          <w:lang w:val="ru-RU"/>
        </w:rPr>
        <w:t xml:space="preserve">6) </w:t>
      </w:r>
      <w:r w:rsidRPr="00524A06">
        <w:rPr>
          <w:rFonts w:eastAsia="Times New Roman" w:cs="Arial"/>
          <w:color w:val="000000"/>
          <w:lang w:eastAsia="bg-BG"/>
        </w:rPr>
        <w:t xml:space="preserve">или флуоксетин (инхибитор на </w:t>
      </w:r>
      <w:r w:rsidRPr="00524A06">
        <w:rPr>
          <w:rFonts w:eastAsia="Times New Roman" w:cs="Arial"/>
          <w:color w:val="000000"/>
          <w:lang w:val="en-US"/>
        </w:rPr>
        <w:t>CYP</w:t>
      </w:r>
      <w:r w:rsidRPr="00524A06">
        <w:rPr>
          <w:rFonts w:eastAsia="Times New Roman" w:cs="Arial"/>
          <w:color w:val="000000"/>
          <w:lang w:val="ru-RU"/>
        </w:rPr>
        <w:t xml:space="preserve"> </w:t>
      </w:r>
      <w:r w:rsidRPr="00524A06">
        <w:rPr>
          <w:rFonts w:eastAsia="Times New Roman" w:cs="Arial"/>
          <w:color w:val="000000"/>
          <w:lang w:eastAsia="bg-BG"/>
        </w:rPr>
        <w:t>ЗА4</w:t>
      </w:r>
      <w:r w:rsidRPr="00524A06">
        <w:rPr>
          <w:rFonts w:eastAsia="Times New Roman" w:cs="Arial"/>
          <w:color w:val="000000"/>
          <w:lang w:val="ru-RU"/>
        </w:rPr>
        <w:t xml:space="preserve"> </w:t>
      </w:r>
      <w:r w:rsidRPr="00524A06">
        <w:rPr>
          <w:rFonts w:eastAsia="Times New Roman" w:cs="Arial"/>
          <w:color w:val="000000"/>
          <w:lang w:eastAsia="bg-BG"/>
        </w:rPr>
        <w:t>и</w:t>
      </w:r>
      <w:r w:rsidRPr="00524A06">
        <w:rPr>
          <w:rFonts w:eastAsia="Times New Roman" w:cs="Arial"/>
          <w:color w:val="000000"/>
          <w:lang w:val="ru-RU"/>
        </w:rPr>
        <w:t xml:space="preserve"> </w:t>
      </w:r>
      <w:r w:rsidRPr="00524A06">
        <w:rPr>
          <w:rFonts w:eastAsia="Times New Roman" w:cs="Arial"/>
          <w:color w:val="000000"/>
          <w:lang w:val="en-US"/>
        </w:rPr>
        <w:t>CYP</w:t>
      </w:r>
      <w:r w:rsidRPr="00524A06">
        <w:rPr>
          <w:rFonts w:eastAsia="Times New Roman" w:cs="Arial"/>
          <w:color w:val="000000"/>
          <w:lang w:eastAsia="bg-BG"/>
        </w:rPr>
        <w:t xml:space="preserve"> </w:t>
      </w:r>
      <w:r w:rsidRPr="00524A06">
        <w:rPr>
          <w:rFonts w:eastAsia="Times New Roman" w:cs="Arial"/>
          <w:color w:val="000000"/>
          <w:lang w:val="ru-RU"/>
        </w:rPr>
        <w:t>2</w:t>
      </w:r>
      <w:r w:rsidRPr="00524A06">
        <w:rPr>
          <w:rFonts w:eastAsia="Times New Roman" w:cs="Arial"/>
          <w:color w:val="000000"/>
          <w:lang w:val="en-US"/>
        </w:rPr>
        <w:t>D</w:t>
      </w:r>
      <w:r w:rsidRPr="00524A06">
        <w:rPr>
          <w:rFonts w:eastAsia="Times New Roman" w:cs="Arial"/>
          <w:color w:val="000000"/>
          <w:lang w:val="ru-RU"/>
        </w:rPr>
        <w:t>6).</w:t>
      </w:r>
    </w:p>
    <w:p w14:paraId="617671B3" w14:textId="77777777" w:rsidR="00524A06" w:rsidRPr="00524A06" w:rsidRDefault="00524A06" w:rsidP="00524A06">
      <w:pPr>
        <w:spacing w:line="240" w:lineRule="auto"/>
        <w:rPr>
          <w:rFonts w:eastAsia="Times New Roman" w:cs="Arial"/>
          <w:color w:val="000000"/>
          <w:lang w:eastAsia="bg-BG"/>
        </w:rPr>
      </w:pPr>
    </w:p>
    <w:p w14:paraId="0ECABD22" w14:textId="6950F290"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Фармакокинетиката на кветиапин не се променя значително при едновременно приложение на антипсихотиците рисперидон или халоперидол. Едновременна употреба на кветиапин и тиоридазин е предизвикала повишаване на клирънса на кветиапин с приблизително 70%.</w:t>
      </w:r>
    </w:p>
    <w:p w14:paraId="42615435" w14:textId="77777777" w:rsidR="00524A06" w:rsidRPr="00524A06" w:rsidRDefault="00524A06" w:rsidP="00524A06">
      <w:pPr>
        <w:spacing w:line="240" w:lineRule="auto"/>
        <w:rPr>
          <w:rFonts w:eastAsia="Times New Roman" w:cs="Arial"/>
          <w:color w:val="000000"/>
          <w:lang w:eastAsia="bg-BG"/>
        </w:rPr>
      </w:pPr>
    </w:p>
    <w:p w14:paraId="12C68816" w14:textId="6408D85D"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Фармакокинетиката на кветиапин не се променя след едновременното приложение с циметидин.</w:t>
      </w:r>
    </w:p>
    <w:p w14:paraId="655F7973"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Фармакокинетиката на литий не се променя, когато е прилаган едновременно с кветиапин.</w:t>
      </w:r>
    </w:p>
    <w:p w14:paraId="2C3AC863" w14:textId="77777777" w:rsidR="00524A06" w:rsidRPr="00524A06" w:rsidRDefault="00524A06" w:rsidP="00524A06">
      <w:pPr>
        <w:spacing w:line="240" w:lineRule="auto"/>
        <w:rPr>
          <w:rFonts w:eastAsia="Times New Roman" w:cs="Arial"/>
          <w:color w:val="000000"/>
          <w:lang w:eastAsia="bg-BG"/>
        </w:rPr>
      </w:pPr>
    </w:p>
    <w:p w14:paraId="1AC3193B" w14:textId="2AE848BA"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В едно 6-седмично, рандомизирано проучване с приложение на литий и кветиапин (с удължено освобождаване) спрямо плацебо и кветиапин (с удължено освобождаване) при възрастни пациенти с остра мания, е наблюдавана по-висока честота на екстрапирамидни събития (по- специално тремор), сънливост и наддаване на телесно тегло при групата на добавен лит</w:t>
      </w:r>
      <w:r w:rsidRPr="00524A06">
        <w:rPr>
          <w:rFonts w:eastAsia="Times New Roman" w:cs="Arial"/>
          <w:color w:val="000000"/>
          <w:u w:val="single"/>
          <w:lang w:eastAsia="bg-BG"/>
        </w:rPr>
        <w:t xml:space="preserve">ий, в </w:t>
      </w:r>
      <w:r w:rsidRPr="00524A06">
        <w:rPr>
          <w:rFonts w:eastAsia="Times New Roman" w:cs="Arial"/>
          <w:color w:val="000000"/>
          <w:lang w:eastAsia="bg-BG"/>
        </w:rPr>
        <w:t>сравнение с групата на добавено плацебо (вж. точка 5.1).</w:t>
      </w:r>
    </w:p>
    <w:p w14:paraId="62F2E5D5" w14:textId="77777777" w:rsidR="00524A06" w:rsidRPr="00524A06" w:rsidRDefault="00524A06" w:rsidP="00524A06">
      <w:pPr>
        <w:spacing w:line="240" w:lineRule="auto"/>
        <w:rPr>
          <w:rFonts w:eastAsia="Times New Roman" w:cs="Arial"/>
          <w:color w:val="000000"/>
          <w:lang w:eastAsia="bg-BG"/>
        </w:rPr>
      </w:pPr>
    </w:p>
    <w:p w14:paraId="49ABA7DA" w14:textId="66263602"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Фармакокинетиката на натриев валпроат и кветиапин не се променя в клинично</w:t>
      </w:r>
      <w:r w:rsidRPr="00524A06">
        <w:rPr>
          <w:rFonts w:eastAsia="Times New Roman" w:cs="Arial"/>
          <w:color w:val="000000"/>
          <w:lang w:val="ru-RU"/>
        </w:rPr>
        <w:t xml:space="preserve"> </w:t>
      </w:r>
      <w:r w:rsidRPr="00524A06">
        <w:rPr>
          <w:rFonts w:eastAsia="Times New Roman" w:cs="Arial"/>
          <w:color w:val="000000"/>
          <w:lang w:eastAsia="bg-BG"/>
        </w:rPr>
        <w:t>значима степен</w:t>
      </w:r>
      <w:r w:rsidRPr="00524A06">
        <w:rPr>
          <w:rFonts w:eastAsia="Times New Roman" w:cs="Arial"/>
          <w:color w:val="000000"/>
          <w:u w:val="single"/>
          <w:lang w:eastAsia="bg-BG"/>
        </w:rPr>
        <w:t xml:space="preserve"> </w:t>
      </w:r>
      <w:r w:rsidRPr="00524A06">
        <w:rPr>
          <w:rFonts w:eastAsia="Times New Roman" w:cs="Arial"/>
          <w:color w:val="000000"/>
          <w:lang w:eastAsia="bg-BG"/>
        </w:rPr>
        <w:t>при едновременно приложение. Едно ретроспективно проучване при деца и юноши, които са получавали валпроат, кветиапин или и двата продукта, е установило по-висока честота на левкопения и неутропения в комбинираната група спрямо групите на монотерапия.</w:t>
      </w:r>
    </w:p>
    <w:p w14:paraId="61E515A8" w14:textId="1B6806EE" w:rsidR="00524A06" w:rsidRPr="00524A06" w:rsidRDefault="00524A06" w:rsidP="00524A06">
      <w:pPr>
        <w:rPr>
          <w:rFonts w:cs="Arial"/>
        </w:rPr>
      </w:pPr>
    </w:p>
    <w:p w14:paraId="084C76CD"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Не са провеждани официални проучвания за взаимодействията при едновременно приложение със сърдечно-съдови лекарствени продукти.</w:t>
      </w:r>
    </w:p>
    <w:p w14:paraId="6AD922D5" w14:textId="77777777" w:rsidR="00524A06" w:rsidRPr="00524A06" w:rsidRDefault="00524A06" w:rsidP="00524A06">
      <w:pPr>
        <w:spacing w:line="240" w:lineRule="auto"/>
        <w:rPr>
          <w:rFonts w:eastAsia="Times New Roman" w:cs="Arial"/>
          <w:color w:val="000000"/>
          <w:lang w:eastAsia="bg-BG"/>
        </w:rPr>
      </w:pPr>
    </w:p>
    <w:p w14:paraId="78763A5C" w14:textId="0A654A1E"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Необходимо е повишено внимание когато кветиапин се използва едновременно с лекарствени продукти, за които е известно, че водят до електролитен дисбаланс или удължават </w:t>
      </w:r>
      <w:r w:rsidRPr="00524A06">
        <w:rPr>
          <w:rFonts w:eastAsia="Times New Roman" w:cs="Arial"/>
          <w:color w:val="000000"/>
          <w:lang w:val="en-US"/>
        </w:rPr>
        <w:t>QT</w:t>
      </w:r>
      <w:r w:rsidRPr="00524A06">
        <w:rPr>
          <w:rFonts w:eastAsia="Times New Roman" w:cs="Arial"/>
          <w:color w:val="000000"/>
          <w:lang w:eastAsia="bg-BG"/>
        </w:rPr>
        <w:t>- интервала.</w:t>
      </w:r>
    </w:p>
    <w:p w14:paraId="43901AEA" w14:textId="77777777" w:rsidR="00524A06" w:rsidRPr="00524A06" w:rsidRDefault="00524A06" w:rsidP="00524A06">
      <w:pPr>
        <w:spacing w:line="240" w:lineRule="auto"/>
        <w:rPr>
          <w:rFonts w:eastAsia="Times New Roman" w:cs="Arial"/>
          <w:color w:val="000000"/>
          <w:lang w:eastAsia="bg-BG"/>
        </w:rPr>
      </w:pPr>
    </w:p>
    <w:p w14:paraId="6AA9DBD9" w14:textId="1163FA90"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Има съобщения за фалшиво-положителни резултати от ензимните имуноанализи за метадон и трициклични антидепресанти при пациенти, които са на лечение с кветиапин. </w:t>
      </w:r>
      <w:r w:rsidRPr="00524A06">
        <w:rPr>
          <w:rFonts w:eastAsia="Times New Roman" w:cs="Arial"/>
          <w:color w:val="000000"/>
          <w:lang w:eastAsia="bg-BG"/>
        </w:rPr>
        <w:lastRenderedPageBreak/>
        <w:t>Препоръчва се потвърждаване на въпросните резултати от скринингови имуноанализи с подходяща хроматографска техника.</w:t>
      </w:r>
    </w:p>
    <w:p w14:paraId="2C45586A" w14:textId="4C00F87B" w:rsidR="00524A06" w:rsidRPr="00524A06" w:rsidRDefault="00524A06" w:rsidP="00524A06"/>
    <w:p w14:paraId="006BE4EC" w14:textId="5C49592E" w:rsidR="00DB32D3" w:rsidRDefault="002C50EE" w:rsidP="005726E3">
      <w:pPr>
        <w:pStyle w:val="Heading2"/>
      </w:pPr>
      <w:r>
        <w:t>4.6. Фертилитет, бременност и кърмене</w:t>
      </w:r>
    </w:p>
    <w:p w14:paraId="04EF1308" w14:textId="62B9BACC" w:rsidR="00524A06" w:rsidRDefault="00524A06" w:rsidP="00524A06"/>
    <w:p w14:paraId="4B732A07" w14:textId="77777777" w:rsidR="00524A06" w:rsidRPr="00524A06" w:rsidRDefault="00524A06" w:rsidP="00524A06">
      <w:pPr>
        <w:pStyle w:val="Heading3"/>
        <w:rPr>
          <w:rFonts w:eastAsia="Times New Roman"/>
          <w:u w:val="single"/>
        </w:rPr>
      </w:pPr>
      <w:r w:rsidRPr="00524A06">
        <w:rPr>
          <w:rFonts w:eastAsia="Times New Roman"/>
          <w:u w:val="single"/>
          <w:lang w:eastAsia="bg-BG"/>
        </w:rPr>
        <w:t>Бременност</w:t>
      </w:r>
    </w:p>
    <w:p w14:paraId="1C202516" w14:textId="77777777" w:rsidR="00524A06" w:rsidRPr="00524A06" w:rsidRDefault="00524A06" w:rsidP="00524A06">
      <w:pPr>
        <w:spacing w:line="240" w:lineRule="auto"/>
        <w:rPr>
          <w:rFonts w:eastAsia="Times New Roman" w:cs="Arial"/>
          <w:sz w:val="24"/>
          <w:szCs w:val="24"/>
        </w:rPr>
      </w:pPr>
      <w:r w:rsidRPr="00524A06">
        <w:rPr>
          <w:rFonts w:eastAsia="Times New Roman" w:cs="Arial"/>
          <w:i/>
          <w:iCs/>
          <w:color w:val="000000"/>
          <w:lang w:eastAsia="bg-BG"/>
        </w:rPr>
        <w:t>Първи триместър</w:t>
      </w:r>
    </w:p>
    <w:p w14:paraId="183B8EF7"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Неголям обем публикувани данни за експозиция по време на бременност (т.е. за изхода от 300 до 1 000 случая на бременност), включително индивидуални съобщения и някои обсервационни проучвания, не показват повишен риск от малформации, дължащи се на лечението. Въпреки това, въз основа на всички налични данни не може да се направи категорично заключение. Проучванията при животни са показали репродуктивна токсичност (вж. точка 5.3). Поради това, кветиапин трябва да се използва по време на бременност само ако ползата оправдава потенциалния риск.</w:t>
      </w:r>
    </w:p>
    <w:p w14:paraId="2FBB179C" w14:textId="77777777" w:rsidR="00524A06" w:rsidRPr="00524A06" w:rsidRDefault="00524A06" w:rsidP="00524A06">
      <w:pPr>
        <w:spacing w:line="240" w:lineRule="auto"/>
        <w:rPr>
          <w:rFonts w:eastAsia="Times New Roman" w:cs="Arial"/>
          <w:i/>
          <w:iCs/>
          <w:color w:val="000000"/>
          <w:lang w:eastAsia="bg-BG"/>
        </w:rPr>
      </w:pPr>
    </w:p>
    <w:p w14:paraId="3FE868A1" w14:textId="78715AF3" w:rsidR="00524A06" w:rsidRPr="00524A06" w:rsidRDefault="00524A06" w:rsidP="00524A06">
      <w:pPr>
        <w:spacing w:line="240" w:lineRule="auto"/>
        <w:rPr>
          <w:rFonts w:eastAsia="Times New Roman" w:cs="Arial"/>
          <w:sz w:val="24"/>
          <w:szCs w:val="24"/>
        </w:rPr>
      </w:pPr>
      <w:r w:rsidRPr="00524A06">
        <w:rPr>
          <w:rFonts w:eastAsia="Times New Roman" w:cs="Arial"/>
          <w:i/>
          <w:iCs/>
          <w:color w:val="000000"/>
          <w:lang w:eastAsia="bg-BG"/>
        </w:rPr>
        <w:t>Трети триместър</w:t>
      </w:r>
    </w:p>
    <w:p w14:paraId="1AAE954D" w14:textId="7777777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lang w:eastAsia="bg-BG"/>
        </w:rPr>
        <w:t xml:space="preserve">При новородени, които са били изложени на действието на антипсихотици (включително кветиапин) по време на третия триместър от бременността съществува риск след раждането да се появят нежелани реакции, включително екстрапирамидни симптоми и/или симптоми на отнемане, които може да варират като сериозност и продължителност. Има съобщения за симптоми на тревожност, хипертония, хипотония, тремор, сънливост, респираторен дистрес или нарушено </w:t>
      </w:r>
    </w:p>
    <w:p w14:paraId="5202CC97" w14:textId="378594EA"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хранене. Его защо новородените трябва да бъдат внимателно мониторирани.</w:t>
      </w:r>
    </w:p>
    <w:p w14:paraId="0D2DFD8A" w14:textId="77777777" w:rsidR="00524A06" w:rsidRPr="00524A06" w:rsidRDefault="00524A06" w:rsidP="00524A06">
      <w:pPr>
        <w:spacing w:line="240" w:lineRule="auto"/>
        <w:rPr>
          <w:rFonts w:eastAsia="Times New Roman" w:cs="Arial"/>
          <w:color w:val="000000"/>
          <w:u w:val="single"/>
          <w:lang w:eastAsia="bg-BG"/>
        </w:rPr>
      </w:pPr>
    </w:p>
    <w:p w14:paraId="506FB078" w14:textId="36A2589B" w:rsidR="00524A06" w:rsidRPr="00524A06" w:rsidRDefault="00524A06" w:rsidP="00524A06">
      <w:pPr>
        <w:pStyle w:val="Heading3"/>
        <w:rPr>
          <w:rFonts w:eastAsia="Times New Roman"/>
          <w:u w:val="single"/>
        </w:rPr>
      </w:pPr>
      <w:r w:rsidRPr="00524A06">
        <w:rPr>
          <w:rFonts w:eastAsia="Times New Roman"/>
          <w:u w:val="single"/>
          <w:lang w:eastAsia="bg-BG"/>
        </w:rPr>
        <w:t>Кърмене</w:t>
      </w:r>
    </w:p>
    <w:p w14:paraId="67D1CFD8"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Въз основа на много ограничени данни от публикувани съобщения за екскреция на кветиапин в кърмата, екскрецията на кветиапин в терапевтични дози е непостоянна. Поради липсата на сигурни данни, трябва да се прецени дали да се преустанови кърменето или да се преустанови лечението с кветиапин, като се вземат предвид ползата от кърменето за детето и ползата от терапията за жената.</w:t>
      </w:r>
    </w:p>
    <w:p w14:paraId="7CAB7C07" w14:textId="77777777" w:rsidR="00524A06" w:rsidRPr="00524A06" w:rsidRDefault="00524A06" w:rsidP="00524A06">
      <w:pPr>
        <w:spacing w:line="240" w:lineRule="auto"/>
        <w:rPr>
          <w:rFonts w:eastAsia="Times New Roman" w:cs="Arial"/>
          <w:color w:val="000000"/>
          <w:u w:val="single"/>
          <w:lang w:eastAsia="bg-BG"/>
        </w:rPr>
      </w:pPr>
    </w:p>
    <w:p w14:paraId="771F9304" w14:textId="386458B2" w:rsidR="00524A06" w:rsidRPr="00524A06" w:rsidRDefault="00524A06" w:rsidP="00524A06">
      <w:pPr>
        <w:pStyle w:val="Heading3"/>
        <w:rPr>
          <w:rFonts w:eastAsia="Times New Roman"/>
          <w:u w:val="single"/>
        </w:rPr>
      </w:pPr>
      <w:r w:rsidRPr="00524A06">
        <w:rPr>
          <w:rFonts w:eastAsia="Times New Roman"/>
          <w:u w:val="single"/>
          <w:lang w:eastAsia="bg-BG"/>
        </w:rPr>
        <w:t>Фертилитет</w:t>
      </w:r>
    </w:p>
    <w:p w14:paraId="115802D5"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Ефектите на кветиапин върху фертилитета при хора не са оценени. При плъхове са наблюдавани ефекти, свързани с повишени нива на пролактин, въпреки че те не са пряко приложими за хората (вж. точка 5.3).</w:t>
      </w:r>
    </w:p>
    <w:p w14:paraId="0A401A5A" w14:textId="77777777" w:rsidR="00524A06" w:rsidRPr="00524A06" w:rsidRDefault="00524A06" w:rsidP="00524A06"/>
    <w:p w14:paraId="128BA3A8" w14:textId="23DB054D" w:rsidR="00DB32D3" w:rsidRDefault="002C50EE" w:rsidP="005726E3">
      <w:pPr>
        <w:pStyle w:val="Heading2"/>
      </w:pPr>
      <w:r>
        <w:t>4.7. Ефекти върху способността за шофиране и работа с машини</w:t>
      </w:r>
    </w:p>
    <w:p w14:paraId="246723BB" w14:textId="23D27EB9" w:rsidR="00524A06" w:rsidRDefault="00524A06" w:rsidP="00524A06"/>
    <w:p w14:paraId="5D54451D" w14:textId="4A2BAF95" w:rsidR="00524A06" w:rsidRDefault="00524A06" w:rsidP="00524A06">
      <w:r>
        <w:t>Предвид главно ефектите му върху централната нервна система, кветиапин може да окаже влияние на дейности, изискващи бодрост на ума. Затова пациентите трябва да бъдат съветвани да не шофират или да не работят с машини, докато се изясни индивидуалната чувствителност към това.</w:t>
      </w:r>
    </w:p>
    <w:p w14:paraId="08FBCE9C" w14:textId="77777777" w:rsidR="00524A06" w:rsidRPr="00524A06" w:rsidRDefault="00524A06" w:rsidP="00524A06"/>
    <w:p w14:paraId="44CE30A3" w14:textId="38C0EDF5" w:rsidR="007122AD" w:rsidRDefault="002C50EE" w:rsidP="00936AD0">
      <w:pPr>
        <w:pStyle w:val="Heading2"/>
      </w:pPr>
      <w:r>
        <w:t>4.8. Нежелани лекарствени реакции</w:t>
      </w:r>
    </w:p>
    <w:p w14:paraId="5C759337" w14:textId="259D7C33" w:rsidR="00524A06" w:rsidRDefault="00524A06" w:rsidP="00524A06"/>
    <w:p w14:paraId="773F0AD8"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Най-често съобщаваните нежелани лекарствени реакции (НЛР) с кветиапин (≥10%) са сомнолентност, замаяност, главоболие, сухота в устата, симптоми на отнемане </w:t>
      </w:r>
      <w:r w:rsidRPr="00524A06">
        <w:rPr>
          <w:rFonts w:eastAsia="Times New Roman" w:cs="Arial"/>
          <w:color w:val="000000"/>
          <w:lang w:eastAsia="bg-BG"/>
        </w:rPr>
        <w:lastRenderedPageBreak/>
        <w:t>серумните повишени нива на серумните триглицериди, повишени нива на общия холестерол (предимно</w:t>
      </w:r>
    </w:p>
    <w:p w14:paraId="6B4E390F"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val="en-US"/>
        </w:rPr>
        <w:t>LDL</w:t>
      </w:r>
      <w:r w:rsidRPr="00524A06">
        <w:rPr>
          <w:rFonts w:eastAsia="Times New Roman" w:cs="Arial"/>
          <w:color w:val="000000"/>
          <w:lang w:eastAsia="bg-BG"/>
        </w:rPr>
        <w:t xml:space="preserve">-холестерол), понижени нива на </w:t>
      </w:r>
      <w:r w:rsidRPr="00524A06">
        <w:rPr>
          <w:rFonts w:eastAsia="Times New Roman" w:cs="Arial"/>
          <w:color w:val="000000"/>
          <w:lang w:val="en-US"/>
        </w:rPr>
        <w:t>HDL</w:t>
      </w:r>
      <w:r w:rsidRPr="00524A06">
        <w:rPr>
          <w:rFonts w:eastAsia="Times New Roman" w:cs="Arial"/>
          <w:color w:val="000000"/>
          <w:lang w:eastAsia="bg-BG"/>
        </w:rPr>
        <w:t>-холестерола, увеличение на телесното тегло, понижен хемоглобин и екстрапирамидни симптоми.</w:t>
      </w:r>
    </w:p>
    <w:p w14:paraId="27539508" w14:textId="77777777" w:rsidR="00524A06" w:rsidRPr="00524A06" w:rsidRDefault="00524A06" w:rsidP="00524A06">
      <w:pPr>
        <w:spacing w:line="240" w:lineRule="auto"/>
        <w:rPr>
          <w:rFonts w:eastAsia="Times New Roman" w:cs="Arial"/>
          <w:color w:val="000000"/>
          <w:lang w:eastAsia="bg-BG"/>
        </w:rPr>
      </w:pPr>
    </w:p>
    <w:p w14:paraId="32EFECEF" w14:textId="71F035F9"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Честотите на нежеланите реакции свързани с терапията с кветиапин са описани в таблиците по- долу (Таблица 1), съгласно препоръчания от Съвета за международна организация на медицинските науки </w:t>
      </w:r>
      <w:r w:rsidRPr="00524A06">
        <w:rPr>
          <w:rFonts w:eastAsia="Times New Roman" w:cs="Arial"/>
          <w:color w:val="000000"/>
        </w:rPr>
        <w:t>(</w:t>
      </w:r>
      <w:r w:rsidRPr="00524A06">
        <w:rPr>
          <w:rFonts w:eastAsia="Times New Roman" w:cs="Arial"/>
          <w:color w:val="000000"/>
          <w:lang w:val="en-US"/>
        </w:rPr>
        <w:t>Council</w:t>
      </w:r>
      <w:r w:rsidRPr="00524A06">
        <w:rPr>
          <w:rFonts w:eastAsia="Times New Roman" w:cs="Arial"/>
          <w:color w:val="000000"/>
        </w:rPr>
        <w:t xml:space="preserve"> </w:t>
      </w:r>
      <w:r w:rsidRPr="00524A06">
        <w:rPr>
          <w:rFonts w:eastAsia="Times New Roman" w:cs="Arial"/>
          <w:color w:val="000000"/>
          <w:lang w:val="en-US"/>
        </w:rPr>
        <w:t>for</w:t>
      </w:r>
      <w:r w:rsidRPr="00524A06">
        <w:rPr>
          <w:rFonts w:eastAsia="Times New Roman" w:cs="Arial"/>
          <w:color w:val="000000"/>
        </w:rPr>
        <w:t xml:space="preserve"> </w:t>
      </w:r>
      <w:r w:rsidRPr="00524A06">
        <w:rPr>
          <w:rFonts w:eastAsia="Times New Roman" w:cs="Arial"/>
          <w:color w:val="000000"/>
          <w:lang w:val="en-US"/>
        </w:rPr>
        <w:t>International</w:t>
      </w:r>
      <w:r w:rsidRPr="00524A06">
        <w:rPr>
          <w:rFonts w:eastAsia="Times New Roman" w:cs="Arial"/>
          <w:color w:val="000000"/>
        </w:rPr>
        <w:t xml:space="preserve"> </w:t>
      </w:r>
      <w:r w:rsidRPr="00524A06">
        <w:rPr>
          <w:rFonts w:eastAsia="Times New Roman" w:cs="Arial"/>
          <w:color w:val="000000"/>
          <w:lang w:val="en-US"/>
        </w:rPr>
        <w:t>Organizations</w:t>
      </w:r>
      <w:r w:rsidRPr="00524A06">
        <w:rPr>
          <w:rFonts w:eastAsia="Times New Roman" w:cs="Arial"/>
          <w:color w:val="000000"/>
        </w:rPr>
        <w:t xml:space="preserve"> </w:t>
      </w:r>
      <w:r w:rsidRPr="00524A06">
        <w:rPr>
          <w:rFonts w:eastAsia="Times New Roman" w:cs="Arial"/>
          <w:color w:val="000000"/>
          <w:lang w:val="en-US"/>
        </w:rPr>
        <w:t>of</w:t>
      </w:r>
      <w:r w:rsidRPr="00524A06">
        <w:rPr>
          <w:rFonts w:eastAsia="Times New Roman" w:cs="Arial"/>
          <w:color w:val="000000"/>
        </w:rPr>
        <w:t xml:space="preserve"> </w:t>
      </w:r>
      <w:r w:rsidRPr="00524A06">
        <w:rPr>
          <w:rFonts w:eastAsia="Times New Roman" w:cs="Arial"/>
          <w:color w:val="000000"/>
          <w:lang w:val="en-US"/>
        </w:rPr>
        <w:t>Medical</w:t>
      </w:r>
      <w:r w:rsidRPr="00524A06">
        <w:rPr>
          <w:rFonts w:eastAsia="Times New Roman" w:cs="Arial"/>
          <w:color w:val="000000"/>
        </w:rPr>
        <w:t xml:space="preserve"> </w:t>
      </w:r>
      <w:r w:rsidRPr="00524A06">
        <w:rPr>
          <w:rFonts w:eastAsia="Times New Roman" w:cs="Arial"/>
          <w:color w:val="000000"/>
          <w:lang w:val="en-US"/>
        </w:rPr>
        <w:t>Sciences</w:t>
      </w:r>
      <w:r w:rsidRPr="00524A06">
        <w:rPr>
          <w:rFonts w:eastAsia="Times New Roman" w:cs="Arial"/>
          <w:color w:val="000000"/>
        </w:rPr>
        <w:t xml:space="preserve"> (</w:t>
      </w:r>
      <w:r w:rsidRPr="00524A06">
        <w:rPr>
          <w:rFonts w:eastAsia="Times New Roman" w:cs="Arial"/>
          <w:color w:val="000000"/>
          <w:lang w:val="en-US"/>
        </w:rPr>
        <w:t>CIOMS</w:t>
      </w:r>
      <w:r w:rsidRPr="00524A06">
        <w:rPr>
          <w:rFonts w:eastAsia="Times New Roman" w:cs="Arial"/>
          <w:color w:val="000000"/>
        </w:rPr>
        <w:t xml:space="preserve"> </w:t>
      </w:r>
      <w:r w:rsidRPr="00524A06">
        <w:rPr>
          <w:rFonts w:eastAsia="Times New Roman" w:cs="Arial"/>
          <w:color w:val="000000"/>
          <w:lang w:val="en-US"/>
        </w:rPr>
        <w:t>III</w:t>
      </w:r>
      <w:r w:rsidRPr="00524A06">
        <w:rPr>
          <w:rFonts w:eastAsia="Times New Roman" w:cs="Arial"/>
          <w:color w:val="000000"/>
        </w:rPr>
        <w:t xml:space="preserve"> </w:t>
      </w:r>
      <w:r w:rsidRPr="00524A06">
        <w:rPr>
          <w:rFonts w:eastAsia="Times New Roman" w:cs="Arial"/>
          <w:color w:val="000000"/>
          <w:lang w:val="en-US"/>
        </w:rPr>
        <w:t>Working</w:t>
      </w:r>
      <w:r w:rsidRPr="00524A06">
        <w:rPr>
          <w:rFonts w:eastAsia="Times New Roman" w:cs="Arial"/>
          <w:color w:val="000000"/>
        </w:rPr>
        <w:t xml:space="preserve"> </w:t>
      </w:r>
      <w:r w:rsidRPr="00524A06">
        <w:rPr>
          <w:rFonts w:eastAsia="Times New Roman" w:cs="Arial"/>
          <w:color w:val="000000"/>
          <w:lang w:val="en-US"/>
        </w:rPr>
        <w:t>Group</w:t>
      </w:r>
      <w:r w:rsidRPr="00524A06">
        <w:rPr>
          <w:rFonts w:eastAsia="Times New Roman" w:cs="Arial"/>
          <w:color w:val="000000"/>
        </w:rPr>
        <w:t xml:space="preserve">; 1995)) </w:t>
      </w:r>
      <w:r w:rsidRPr="00524A06">
        <w:rPr>
          <w:rFonts w:eastAsia="Times New Roman" w:cs="Arial"/>
          <w:color w:val="000000"/>
          <w:lang w:eastAsia="bg-BG"/>
        </w:rPr>
        <w:t>формат.</w:t>
      </w:r>
    </w:p>
    <w:p w14:paraId="45734CA5" w14:textId="77777777" w:rsidR="00524A06" w:rsidRPr="00524A06" w:rsidRDefault="00524A06" w:rsidP="00524A06">
      <w:pPr>
        <w:spacing w:line="240" w:lineRule="auto"/>
        <w:rPr>
          <w:rFonts w:eastAsia="Times New Roman" w:cs="Arial"/>
          <w:b/>
          <w:bCs/>
          <w:color w:val="000000"/>
          <w:lang w:eastAsia="bg-BG"/>
        </w:rPr>
      </w:pPr>
    </w:p>
    <w:p w14:paraId="396169A9" w14:textId="4C892C3F" w:rsidR="00524A06" w:rsidRPr="00524A06" w:rsidRDefault="00524A06" w:rsidP="00524A06">
      <w:pPr>
        <w:spacing w:line="240" w:lineRule="auto"/>
        <w:rPr>
          <w:rFonts w:eastAsia="Times New Roman" w:cs="Arial"/>
          <w:sz w:val="24"/>
          <w:szCs w:val="24"/>
        </w:rPr>
      </w:pPr>
      <w:r w:rsidRPr="00524A06">
        <w:rPr>
          <w:rFonts w:eastAsia="Times New Roman" w:cs="Arial"/>
          <w:b/>
          <w:bCs/>
          <w:color w:val="000000"/>
          <w:lang w:eastAsia="bg-BG"/>
        </w:rPr>
        <w:t xml:space="preserve">Таблица </w:t>
      </w:r>
      <w:r w:rsidRPr="00524A06">
        <w:rPr>
          <w:rFonts w:eastAsia="Times New Roman" w:cs="Arial"/>
          <w:b/>
          <w:bCs/>
          <w:color w:val="000000"/>
          <w:lang w:val="ru-RU"/>
        </w:rPr>
        <w:t xml:space="preserve">1 </w:t>
      </w:r>
      <w:r w:rsidRPr="00524A06">
        <w:rPr>
          <w:rFonts w:eastAsia="Times New Roman" w:cs="Arial"/>
          <w:b/>
          <w:bCs/>
          <w:color w:val="000000"/>
          <w:lang w:eastAsia="bg-BG"/>
        </w:rPr>
        <w:t>НЛР, свързани с лечението е кветиапин</w:t>
      </w:r>
    </w:p>
    <w:p w14:paraId="670F1446" w14:textId="77777777" w:rsidR="00524A06" w:rsidRPr="00524A06" w:rsidRDefault="00524A06" w:rsidP="00524A06">
      <w:pPr>
        <w:spacing w:line="240" w:lineRule="auto"/>
        <w:rPr>
          <w:rFonts w:eastAsia="Times New Roman" w:cs="Arial"/>
          <w:color w:val="000000"/>
          <w:lang w:eastAsia="bg-BG"/>
        </w:rPr>
      </w:pPr>
    </w:p>
    <w:p w14:paraId="691F5441" w14:textId="73503506"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Нежеланите реакции са групирани според честотата както следва: много чести (≥1/10), чести (≥1/100 до &lt;1/10), нечести (≥1/1 000 до &lt;1/100), редки (≥1/10 000 до &lt;1/1 000), много редки (&lt;1/10 000) и с неизвестна честота (от наличните данни не може да бъде направена оценка).</w:t>
      </w:r>
    </w:p>
    <w:p w14:paraId="780D6FB1" w14:textId="74FFACCE" w:rsidR="00524A06" w:rsidRDefault="00524A06" w:rsidP="00524A06"/>
    <w:tbl>
      <w:tblPr>
        <w:tblStyle w:val="TableGrid"/>
        <w:tblW w:w="0" w:type="auto"/>
        <w:tblLook w:val="04A0" w:firstRow="1" w:lastRow="0" w:firstColumn="1" w:lastColumn="0" w:noHBand="0" w:noVBand="1"/>
      </w:tblPr>
      <w:tblGrid>
        <w:gridCol w:w="1144"/>
        <w:gridCol w:w="1519"/>
        <w:gridCol w:w="1376"/>
        <w:gridCol w:w="1606"/>
        <w:gridCol w:w="1210"/>
        <w:gridCol w:w="1129"/>
        <w:gridCol w:w="1366"/>
      </w:tblGrid>
      <w:tr w:rsidR="00524A06" w14:paraId="65D39108" w14:textId="77777777" w:rsidTr="00524A06">
        <w:tc>
          <w:tcPr>
            <w:tcW w:w="1170" w:type="dxa"/>
          </w:tcPr>
          <w:p w14:paraId="53CE9788" w14:textId="1A5A7381" w:rsidR="00524A06" w:rsidRPr="00524A06" w:rsidRDefault="00524A06" w:rsidP="00524A06">
            <w:r w:rsidRPr="00524A06">
              <w:rPr>
                <w:b/>
                <w:bCs/>
                <w:lang w:val="en-US"/>
              </w:rPr>
              <w:t>SOC</w:t>
            </w:r>
          </w:p>
        </w:tc>
        <w:tc>
          <w:tcPr>
            <w:tcW w:w="1557" w:type="dxa"/>
          </w:tcPr>
          <w:p w14:paraId="37982BD3" w14:textId="1B0DCF45" w:rsidR="00524A06" w:rsidRPr="00524A06" w:rsidRDefault="00524A06" w:rsidP="00524A06">
            <w:r w:rsidRPr="00524A06">
              <w:rPr>
                <w:b/>
                <w:bCs/>
              </w:rPr>
              <w:t>Много чести</w:t>
            </w:r>
          </w:p>
        </w:tc>
        <w:tc>
          <w:tcPr>
            <w:tcW w:w="1410" w:type="dxa"/>
          </w:tcPr>
          <w:p w14:paraId="63D61B50" w14:textId="7BD539E8" w:rsidR="00524A06" w:rsidRPr="00524A06" w:rsidRDefault="00524A06" w:rsidP="00524A06">
            <w:r w:rsidRPr="00524A06">
              <w:rPr>
                <w:b/>
                <w:bCs/>
              </w:rPr>
              <w:t>Чести</w:t>
            </w:r>
          </w:p>
        </w:tc>
        <w:tc>
          <w:tcPr>
            <w:tcW w:w="1646" w:type="dxa"/>
          </w:tcPr>
          <w:p w14:paraId="27E2A7DA" w14:textId="3E1B6571" w:rsidR="00524A06" w:rsidRPr="00524A06" w:rsidRDefault="00524A06" w:rsidP="00524A06">
            <w:r w:rsidRPr="00524A06">
              <w:rPr>
                <w:b/>
                <w:bCs/>
              </w:rPr>
              <w:t>Нечести</w:t>
            </w:r>
          </w:p>
        </w:tc>
        <w:tc>
          <w:tcPr>
            <w:tcW w:w="1239" w:type="dxa"/>
          </w:tcPr>
          <w:p w14:paraId="3D4E1D3A" w14:textId="3C0F6E5A" w:rsidR="00524A06" w:rsidRPr="00524A06" w:rsidRDefault="00524A06" w:rsidP="00524A06">
            <w:r w:rsidRPr="00524A06">
              <w:rPr>
                <w:b/>
                <w:bCs/>
              </w:rPr>
              <w:t>Редки</w:t>
            </w:r>
          </w:p>
        </w:tc>
        <w:tc>
          <w:tcPr>
            <w:tcW w:w="1155" w:type="dxa"/>
          </w:tcPr>
          <w:p w14:paraId="78C41B66" w14:textId="3709456B" w:rsidR="00524A06" w:rsidRPr="00524A06" w:rsidRDefault="00524A06" w:rsidP="00524A06">
            <w:r w:rsidRPr="00524A06">
              <w:rPr>
                <w:b/>
                <w:bCs/>
              </w:rPr>
              <w:t>Много редки</w:t>
            </w:r>
          </w:p>
        </w:tc>
        <w:tc>
          <w:tcPr>
            <w:tcW w:w="1399" w:type="dxa"/>
          </w:tcPr>
          <w:p w14:paraId="165C1663" w14:textId="79B8E1B9" w:rsidR="00524A06" w:rsidRPr="00524A06" w:rsidRDefault="00524A06" w:rsidP="00524A06">
            <w:r w:rsidRPr="00524A06">
              <w:rPr>
                <w:b/>
                <w:bCs/>
              </w:rPr>
              <w:t>С неизвестна честота</w:t>
            </w:r>
          </w:p>
        </w:tc>
      </w:tr>
      <w:tr w:rsidR="00524A06" w14:paraId="4A8031D5" w14:textId="77777777" w:rsidTr="00524A06">
        <w:tc>
          <w:tcPr>
            <w:tcW w:w="1170" w:type="dxa"/>
          </w:tcPr>
          <w:p w14:paraId="006FBB2C" w14:textId="44B87DD4" w:rsidR="00524A06" w:rsidRPr="00524A06" w:rsidRDefault="00524A06" w:rsidP="00524A06">
            <w:r w:rsidRPr="00524A06">
              <w:rPr>
                <w:i/>
                <w:iCs/>
              </w:rPr>
              <w:t>Нарушени я на кръвта и лимфната система</w:t>
            </w:r>
          </w:p>
        </w:tc>
        <w:tc>
          <w:tcPr>
            <w:tcW w:w="1557" w:type="dxa"/>
          </w:tcPr>
          <w:p w14:paraId="596C439A" w14:textId="74BFFF29" w:rsidR="00524A06" w:rsidRPr="00524A06" w:rsidRDefault="00524A06" w:rsidP="00524A06">
            <w:r w:rsidRPr="00524A06">
              <w:t>Намален хемоглобин</w:t>
            </w:r>
            <w:r w:rsidRPr="00524A06">
              <w:rPr>
                <w:vertAlign w:val="superscript"/>
              </w:rPr>
              <w:t>22</w:t>
            </w:r>
          </w:p>
        </w:tc>
        <w:tc>
          <w:tcPr>
            <w:tcW w:w="1410" w:type="dxa"/>
          </w:tcPr>
          <w:p w14:paraId="04ACBD3C" w14:textId="77777777" w:rsidR="00524A06" w:rsidRPr="00524A06" w:rsidRDefault="00524A06" w:rsidP="00524A06">
            <w:r w:rsidRPr="00524A06">
              <w:t>Левкопения</w:t>
            </w:r>
            <w:r w:rsidRPr="00524A06">
              <w:rPr>
                <w:vertAlign w:val="superscript"/>
              </w:rPr>
              <w:t>1,28</w:t>
            </w:r>
          </w:p>
          <w:p w14:paraId="71E46BA7" w14:textId="77777777" w:rsidR="00524A06" w:rsidRPr="00524A06" w:rsidRDefault="00524A06" w:rsidP="00524A06"/>
          <w:p w14:paraId="296A42C4" w14:textId="6302E319" w:rsidR="00524A06" w:rsidRPr="00524A06" w:rsidRDefault="00524A06" w:rsidP="00524A06">
            <w:r w:rsidRPr="00524A06">
              <w:t>намален брой неутрофили , повишени еозинофили</w:t>
            </w:r>
            <w:r w:rsidRPr="00524A06">
              <w:rPr>
                <w:vertAlign w:val="superscript"/>
              </w:rPr>
              <w:t>27</w:t>
            </w:r>
          </w:p>
        </w:tc>
        <w:tc>
          <w:tcPr>
            <w:tcW w:w="1646" w:type="dxa"/>
          </w:tcPr>
          <w:p w14:paraId="6C9013A5" w14:textId="00CF129F" w:rsidR="00524A06" w:rsidRPr="00524A06" w:rsidRDefault="00524A06" w:rsidP="00524A06">
            <w:r w:rsidRPr="00524A06">
              <w:t>Неутропения</w:t>
            </w:r>
            <w:r w:rsidRPr="00524A06">
              <w:rPr>
                <w:vertAlign w:val="superscript"/>
              </w:rPr>
              <w:t>1</w:t>
            </w:r>
            <w:r w:rsidRPr="00524A06">
              <w:t>, тромбоцито- пения, анемия, намален брой тромбоцити</w:t>
            </w:r>
            <w:r w:rsidRPr="00524A06">
              <w:rPr>
                <w:vertAlign w:val="superscript"/>
              </w:rPr>
              <w:t>13</w:t>
            </w:r>
          </w:p>
        </w:tc>
        <w:tc>
          <w:tcPr>
            <w:tcW w:w="1239" w:type="dxa"/>
          </w:tcPr>
          <w:p w14:paraId="6E4E94DA" w14:textId="230A1DC1" w:rsidR="00524A06" w:rsidRPr="00524A06" w:rsidRDefault="00524A06" w:rsidP="00524A06">
            <w:r w:rsidRPr="00524A06">
              <w:t>Агрануло- цитоза</w:t>
            </w:r>
            <w:r w:rsidRPr="00524A06">
              <w:rPr>
                <w:vertAlign w:val="superscript"/>
              </w:rPr>
              <w:t>26</w:t>
            </w:r>
          </w:p>
        </w:tc>
        <w:tc>
          <w:tcPr>
            <w:tcW w:w="1155" w:type="dxa"/>
          </w:tcPr>
          <w:p w14:paraId="57B16F66" w14:textId="77777777" w:rsidR="00524A06" w:rsidRPr="00524A06" w:rsidRDefault="00524A06" w:rsidP="00524A06"/>
        </w:tc>
        <w:tc>
          <w:tcPr>
            <w:tcW w:w="1399" w:type="dxa"/>
          </w:tcPr>
          <w:p w14:paraId="4D0B6DCD" w14:textId="77777777" w:rsidR="00524A06" w:rsidRPr="00524A06" w:rsidRDefault="00524A06" w:rsidP="00524A06"/>
        </w:tc>
      </w:tr>
      <w:tr w:rsidR="00524A06" w14:paraId="7A2C3A8D" w14:textId="77777777" w:rsidTr="00524A06">
        <w:tc>
          <w:tcPr>
            <w:tcW w:w="1170" w:type="dxa"/>
          </w:tcPr>
          <w:p w14:paraId="3304827C" w14:textId="56242D3C" w:rsidR="00524A06" w:rsidRPr="00524A06" w:rsidRDefault="00524A06" w:rsidP="00524A06">
            <w:r w:rsidRPr="00524A06">
              <w:rPr>
                <w:i/>
                <w:iCs/>
              </w:rPr>
              <w:t>Нарушени я на имунната система</w:t>
            </w:r>
          </w:p>
        </w:tc>
        <w:tc>
          <w:tcPr>
            <w:tcW w:w="1557" w:type="dxa"/>
          </w:tcPr>
          <w:p w14:paraId="4F0E9B2C" w14:textId="77777777" w:rsidR="00524A06" w:rsidRPr="00524A06" w:rsidRDefault="00524A06" w:rsidP="00524A06"/>
        </w:tc>
        <w:tc>
          <w:tcPr>
            <w:tcW w:w="1410" w:type="dxa"/>
          </w:tcPr>
          <w:p w14:paraId="7E63D5CD" w14:textId="77777777" w:rsidR="00524A06" w:rsidRPr="00524A06" w:rsidRDefault="00524A06" w:rsidP="00524A06"/>
        </w:tc>
        <w:tc>
          <w:tcPr>
            <w:tcW w:w="1646" w:type="dxa"/>
          </w:tcPr>
          <w:p w14:paraId="570E0C1D" w14:textId="44E83E03" w:rsidR="00524A06" w:rsidRPr="00524A06" w:rsidRDefault="00524A06" w:rsidP="00524A06">
            <w:r w:rsidRPr="00524A06">
              <w:t>Свръхчувстви</w:t>
            </w:r>
            <w:r w:rsidRPr="00524A06">
              <w:softHyphen/>
              <w:t>телност (включително алергични кожни реакции)</w:t>
            </w:r>
          </w:p>
        </w:tc>
        <w:tc>
          <w:tcPr>
            <w:tcW w:w="1239" w:type="dxa"/>
          </w:tcPr>
          <w:p w14:paraId="50F38B14" w14:textId="77777777" w:rsidR="00524A06" w:rsidRPr="00524A06" w:rsidRDefault="00524A06" w:rsidP="00524A06"/>
        </w:tc>
        <w:tc>
          <w:tcPr>
            <w:tcW w:w="1155" w:type="dxa"/>
          </w:tcPr>
          <w:p w14:paraId="2A2B503D" w14:textId="1C9FC7C4" w:rsidR="00524A06" w:rsidRPr="00524A06" w:rsidRDefault="00524A06" w:rsidP="00524A06">
            <w:r w:rsidRPr="00524A06">
              <w:t>Анафи- лактична реакция</w:t>
            </w:r>
            <w:r w:rsidRPr="00524A06">
              <w:rPr>
                <w:vertAlign w:val="superscript"/>
              </w:rPr>
              <w:t>5</w:t>
            </w:r>
          </w:p>
        </w:tc>
        <w:tc>
          <w:tcPr>
            <w:tcW w:w="1399" w:type="dxa"/>
          </w:tcPr>
          <w:p w14:paraId="5AB2030F" w14:textId="77777777" w:rsidR="00524A06" w:rsidRPr="00524A06" w:rsidRDefault="00524A06" w:rsidP="00524A06"/>
        </w:tc>
      </w:tr>
      <w:tr w:rsidR="00524A06" w14:paraId="51194D92" w14:textId="77777777" w:rsidTr="00524A06">
        <w:tc>
          <w:tcPr>
            <w:tcW w:w="1170" w:type="dxa"/>
          </w:tcPr>
          <w:p w14:paraId="0DCF26D7" w14:textId="38BF7967" w:rsidR="00524A06" w:rsidRPr="00524A06" w:rsidRDefault="00524A06" w:rsidP="00524A06">
            <w:r w:rsidRPr="00524A06">
              <w:rPr>
                <w:i/>
                <w:iCs/>
              </w:rPr>
              <w:t>Ендокринн и нарушения</w:t>
            </w:r>
          </w:p>
        </w:tc>
        <w:tc>
          <w:tcPr>
            <w:tcW w:w="1557" w:type="dxa"/>
          </w:tcPr>
          <w:p w14:paraId="5F11C412" w14:textId="77777777" w:rsidR="00524A06" w:rsidRPr="00524A06" w:rsidRDefault="00524A06" w:rsidP="00524A06"/>
        </w:tc>
        <w:tc>
          <w:tcPr>
            <w:tcW w:w="1410" w:type="dxa"/>
          </w:tcPr>
          <w:p w14:paraId="479BC8B2" w14:textId="24A13E09" w:rsidR="00524A06" w:rsidRPr="00524A06" w:rsidRDefault="00524A06" w:rsidP="00524A06">
            <w:r w:rsidRPr="00524A06">
              <w:t>Хиперпро- лактинемия</w:t>
            </w:r>
            <w:r w:rsidRPr="00524A06">
              <w:rPr>
                <w:vertAlign w:val="superscript"/>
              </w:rPr>
              <w:t>15</w:t>
            </w:r>
            <w:r w:rsidRPr="00524A06">
              <w:t xml:space="preserve"> намаление на общия Т4</w:t>
            </w:r>
            <w:r w:rsidRPr="00524A06">
              <w:rPr>
                <w:vertAlign w:val="superscript"/>
              </w:rPr>
              <w:t>24</w:t>
            </w:r>
            <w:r w:rsidRPr="00524A06">
              <w:t>, намаление на свободния Т4</w:t>
            </w:r>
            <w:r w:rsidRPr="00524A06">
              <w:rPr>
                <w:vertAlign w:val="superscript"/>
              </w:rPr>
              <w:t>24</w:t>
            </w:r>
            <w:r w:rsidRPr="00524A06">
              <w:t xml:space="preserve">, Намаление на общия </w:t>
            </w:r>
            <w:r w:rsidRPr="00524A06">
              <w:lastRenderedPageBreak/>
              <w:t>ТЗ</w:t>
            </w:r>
            <w:r w:rsidRPr="00524A06">
              <w:rPr>
                <w:vertAlign w:val="superscript"/>
              </w:rPr>
              <w:t>24</w:t>
            </w:r>
            <w:r w:rsidRPr="00524A06">
              <w:t>, повишаване наТ</w:t>
            </w:r>
            <w:r w:rsidRPr="00524A06">
              <w:rPr>
                <w:lang w:val="en-US"/>
              </w:rPr>
              <w:t>SH</w:t>
            </w:r>
            <w:r w:rsidRPr="00524A06">
              <w:rPr>
                <w:vertAlign w:val="superscript"/>
              </w:rPr>
              <w:t>24</w:t>
            </w:r>
          </w:p>
        </w:tc>
        <w:tc>
          <w:tcPr>
            <w:tcW w:w="1646" w:type="dxa"/>
          </w:tcPr>
          <w:p w14:paraId="3E6F2C8E" w14:textId="58D59C09" w:rsidR="00524A06" w:rsidRPr="00524A06" w:rsidRDefault="00524A06" w:rsidP="00524A06">
            <w:r w:rsidRPr="00524A06">
              <w:lastRenderedPageBreak/>
              <w:t>Намаление на свободния ТЗ</w:t>
            </w:r>
            <w:r w:rsidRPr="00524A06">
              <w:rPr>
                <w:vertAlign w:val="superscript"/>
              </w:rPr>
              <w:t>24</w:t>
            </w:r>
            <w:r w:rsidRPr="00524A06">
              <w:t>, хипо- тиреоидизъм</w:t>
            </w:r>
            <w:r w:rsidRPr="00524A06">
              <w:rPr>
                <w:vertAlign w:val="superscript"/>
              </w:rPr>
              <w:t>21</w:t>
            </w:r>
          </w:p>
        </w:tc>
        <w:tc>
          <w:tcPr>
            <w:tcW w:w="1239" w:type="dxa"/>
          </w:tcPr>
          <w:p w14:paraId="4A0D1FE6" w14:textId="77777777" w:rsidR="00524A06" w:rsidRPr="00524A06" w:rsidRDefault="00524A06" w:rsidP="00524A06"/>
        </w:tc>
        <w:tc>
          <w:tcPr>
            <w:tcW w:w="1155" w:type="dxa"/>
          </w:tcPr>
          <w:p w14:paraId="748D8C00" w14:textId="15CFEB06" w:rsidR="00524A06" w:rsidRPr="00524A06" w:rsidRDefault="00524A06" w:rsidP="00524A06">
            <w:r w:rsidRPr="00524A06">
              <w:t>Неадекват</w:t>
            </w:r>
            <w:r w:rsidRPr="00524A06">
              <w:softHyphen/>
              <w:t>на секреция на антидиу- ретичен хормон</w:t>
            </w:r>
          </w:p>
        </w:tc>
        <w:tc>
          <w:tcPr>
            <w:tcW w:w="1399" w:type="dxa"/>
          </w:tcPr>
          <w:p w14:paraId="7540C6D8" w14:textId="77777777" w:rsidR="00524A06" w:rsidRPr="00524A06" w:rsidRDefault="00524A06" w:rsidP="00524A06"/>
        </w:tc>
      </w:tr>
      <w:tr w:rsidR="00524A06" w14:paraId="397C6677" w14:textId="77777777" w:rsidTr="00524A06">
        <w:tc>
          <w:tcPr>
            <w:tcW w:w="1170" w:type="dxa"/>
          </w:tcPr>
          <w:p w14:paraId="52C1B2AE" w14:textId="64781247" w:rsidR="00524A06" w:rsidRPr="00524A06" w:rsidRDefault="00524A06" w:rsidP="00524A06">
            <w:r w:rsidRPr="00524A06">
              <w:rPr>
                <w:i/>
                <w:iCs/>
              </w:rPr>
              <w:t>Нарушени я на метаболиз -ма и храненето</w:t>
            </w:r>
          </w:p>
        </w:tc>
        <w:tc>
          <w:tcPr>
            <w:tcW w:w="1557" w:type="dxa"/>
          </w:tcPr>
          <w:p w14:paraId="6BF0927A" w14:textId="79ADF3EC" w:rsidR="00524A06" w:rsidRPr="00524A06" w:rsidRDefault="00524A06" w:rsidP="00524A06">
            <w:r w:rsidRPr="00524A06">
              <w:t>Повишени нива на серумните триглице- рИДИ</w:t>
            </w:r>
            <w:r w:rsidRPr="00524A06">
              <w:rPr>
                <w:vertAlign w:val="superscript"/>
              </w:rPr>
              <w:t>10,30</w:t>
            </w:r>
            <w:r w:rsidRPr="00524A06">
              <w:t xml:space="preserve">, повишаване на общия холестерол (предимно на </w:t>
            </w:r>
            <w:r w:rsidRPr="00524A06">
              <w:rPr>
                <w:lang w:val="en-US"/>
              </w:rPr>
              <w:t>LDL</w:t>
            </w:r>
            <w:r w:rsidRPr="00524A06">
              <w:rPr>
                <w:lang w:val="ru-RU"/>
              </w:rPr>
              <w:t xml:space="preserve"> </w:t>
            </w:r>
            <w:r w:rsidRPr="00524A06">
              <w:t>холесте- рола)</w:t>
            </w:r>
            <w:r w:rsidRPr="00524A06">
              <w:rPr>
                <w:vertAlign w:val="superscript"/>
              </w:rPr>
              <w:t>11,30</w:t>
            </w:r>
            <w:r w:rsidRPr="00524A06">
              <w:t xml:space="preserve">, понижаване </w:t>
            </w:r>
            <w:r w:rsidRPr="00524A06">
              <w:rPr>
                <w:lang w:val="en-US"/>
              </w:rPr>
              <w:t>Ha</w:t>
            </w:r>
            <w:r w:rsidRPr="00524A06">
              <w:rPr>
                <w:lang w:val="ru-RU"/>
              </w:rPr>
              <w:t xml:space="preserve"> </w:t>
            </w:r>
            <w:r w:rsidRPr="00524A06">
              <w:rPr>
                <w:lang w:val="en-US"/>
              </w:rPr>
              <w:t>HDL</w:t>
            </w:r>
            <w:r w:rsidRPr="00524A06">
              <w:rPr>
                <w:lang w:val="ru-RU"/>
              </w:rPr>
              <w:t xml:space="preserve"> </w:t>
            </w:r>
            <w:r w:rsidRPr="00524A06">
              <w:t>холестерола</w:t>
            </w:r>
            <w:r w:rsidRPr="00524A06">
              <w:rPr>
                <w:vertAlign w:val="superscript"/>
              </w:rPr>
              <w:t>17,30</w:t>
            </w:r>
            <w:r w:rsidRPr="00524A06">
              <w:t xml:space="preserve"> повишаване</w:t>
            </w:r>
            <w:r>
              <w:t xml:space="preserve"> </w:t>
            </w:r>
            <w:r>
              <w:rPr>
                <w:sz w:val="20"/>
                <w:szCs w:val="20"/>
              </w:rPr>
              <w:t>на теглото</w:t>
            </w:r>
            <w:r>
              <w:rPr>
                <w:sz w:val="20"/>
                <w:szCs w:val="20"/>
                <w:vertAlign w:val="superscript"/>
              </w:rPr>
              <w:t>8,30</w:t>
            </w:r>
          </w:p>
        </w:tc>
        <w:tc>
          <w:tcPr>
            <w:tcW w:w="1410" w:type="dxa"/>
          </w:tcPr>
          <w:p w14:paraId="0730474A" w14:textId="6A044762" w:rsidR="00524A06" w:rsidRPr="00524A06" w:rsidRDefault="00524A06" w:rsidP="00524A06">
            <w:r w:rsidRPr="00524A06">
              <w:t>Повишен апетит, повишена глюкоза до хиперглике- мични нива</w:t>
            </w:r>
            <w:r w:rsidRPr="00524A06">
              <w:rPr>
                <w:vertAlign w:val="superscript"/>
              </w:rPr>
              <w:t>6,30</w:t>
            </w:r>
          </w:p>
        </w:tc>
        <w:tc>
          <w:tcPr>
            <w:tcW w:w="1646" w:type="dxa"/>
          </w:tcPr>
          <w:p w14:paraId="41337C4D" w14:textId="77777777" w:rsidR="00524A06" w:rsidRPr="00524A06" w:rsidRDefault="00524A06" w:rsidP="00524A06">
            <w:r w:rsidRPr="00524A06">
              <w:t>Хипонатриемия</w:t>
            </w:r>
            <w:r w:rsidRPr="00524A06">
              <w:rPr>
                <w:vertAlign w:val="superscript"/>
              </w:rPr>
              <w:t>19</w:t>
            </w:r>
          </w:p>
          <w:p w14:paraId="622B83D3" w14:textId="6F347FEB" w:rsidR="00524A06" w:rsidRPr="00524A06" w:rsidRDefault="00524A06" w:rsidP="00524A06">
            <w:r w:rsidRPr="00524A06">
              <w:t>, захарен диабет</w:t>
            </w:r>
            <w:r w:rsidRPr="00524A06">
              <w:rPr>
                <w:vertAlign w:val="superscript"/>
              </w:rPr>
              <w:t>1,5</w:t>
            </w:r>
            <w:r w:rsidRPr="00524A06">
              <w:t>, обостряне на съществуващ диабет</w:t>
            </w:r>
          </w:p>
        </w:tc>
        <w:tc>
          <w:tcPr>
            <w:tcW w:w="1239" w:type="dxa"/>
          </w:tcPr>
          <w:p w14:paraId="3A6D1A5B" w14:textId="4C1C546E" w:rsidR="00524A06" w:rsidRPr="00524A06" w:rsidRDefault="00524A06" w:rsidP="00524A06">
            <w:r w:rsidRPr="00524A06">
              <w:t>Метаболи- тен синдром</w:t>
            </w:r>
            <w:r w:rsidRPr="00524A06">
              <w:rPr>
                <w:vertAlign w:val="superscript"/>
              </w:rPr>
              <w:t>29</w:t>
            </w:r>
          </w:p>
        </w:tc>
        <w:tc>
          <w:tcPr>
            <w:tcW w:w="1155" w:type="dxa"/>
            <w:textDirection w:val="tbRl"/>
          </w:tcPr>
          <w:p w14:paraId="0698F3B2" w14:textId="77777777" w:rsidR="00524A06" w:rsidRPr="00524A06" w:rsidRDefault="00524A06" w:rsidP="00524A06"/>
        </w:tc>
        <w:tc>
          <w:tcPr>
            <w:tcW w:w="1399" w:type="dxa"/>
          </w:tcPr>
          <w:p w14:paraId="34C9B6F3" w14:textId="77777777" w:rsidR="00524A06" w:rsidRPr="00524A06" w:rsidRDefault="00524A06" w:rsidP="00524A06"/>
        </w:tc>
      </w:tr>
      <w:tr w:rsidR="00524A06" w14:paraId="13EE1C7A" w14:textId="77777777" w:rsidTr="00524A06">
        <w:tc>
          <w:tcPr>
            <w:tcW w:w="1170" w:type="dxa"/>
          </w:tcPr>
          <w:p w14:paraId="7473A311" w14:textId="2CDE73D2" w:rsidR="00524A06" w:rsidRPr="00524A06" w:rsidRDefault="00524A06" w:rsidP="00524A06">
            <w:pPr>
              <w:rPr>
                <w:rFonts w:cs="Arial"/>
              </w:rPr>
            </w:pPr>
            <w:r w:rsidRPr="00524A06">
              <w:rPr>
                <w:rFonts w:cs="Arial"/>
                <w:i/>
                <w:iCs/>
              </w:rPr>
              <w:t>Психични нарушения</w:t>
            </w:r>
          </w:p>
        </w:tc>
        <w:tc>
          <w:tcPr>
            <w:tcW w:w="1557" w:type="dxa"/>
          </w:tcPr>
          <w:p w14:paraId="1343BA17" w14:textId="77777777" w:rsidR="00524A06" w:rsidRPr="00524A06" w:rsidRDefault="00524A06" w:rsidP="00524A06">
            <w:pPr>
              <w:rPr>
                <w:rFonts w:cs="Arial"/>
              </w:rPr>
            </w:pPr>
          </w:p>
        </w:tc>
        <w:tc>
          <w:tcPr>
            <w:tcW w:w="1410" w:type="dxa"/>
          </w:tcPr>
          <w:p w14:paraId="2846C206" w14:textId="6D0DFB9B" w:rsidR="00524A06" w:rsidRPr="00524A06" w:rsidRDefault="00524A06" w:rsidP="00524A06">
            <w:pPr>
              <w:rPr>
                <w:rFonts w:cs="Arial"/>
              </w:rPr>
            </w:pPr>
            <w:r w:rsidRPr="00524A06">
              <w:rPr>
                <w:rFonts w:cs="Arial"/>
              </w:rPr>
              <w:t>Патологичн и сънища и кошмари, суицидни мисли и суицидно поведение</w:t>
            </w:r>
            <w:r w:rsidRPr="00524A06">
              <w:rPr>
                <w:rFonts w:cs="Arial"/>
                <w:vertAlign w:val="superscript"/>
              </w:rPr>
              <w:t>20</w:t>
            </w:r>
          </w:p>
        </w:tc>
        <w:tc>
          <w:tcPr>
            <w:tcW w:w="1646" w:type="dxa"/>
          </w:tcPr>
          <w:p w14:paraId="3D8E2677" w14:textId="77777777" w:rsidR="00524A06" w:rsidRPr="00524A06" w:rsidRDefault="00524A06" w:rsidP="00524A06">
            <w:pPr>
              <w:rPr>
                <w:rFonts w:cs="Arial"/>
              </w:rPr>
            </w:pPr>
          </w:p>
        </w:tc>
        <w:tc>
          <w:tcPr>
            <w:tcW w:w="1239" w:type="dxa"/>
          </w:tcPr>
          <w:p w14:paraId="1166653F" w14:textId="4C7A4B9D" w:rsidR="00524A06" w:rsidRPr="00524A06" w:rsidRDefault="00524A06" w:rsidP="00524A06">
            <w:pPr>
              <w:rPr>
                <w:rFonts w:cs="Arial"/>
              </w:rPr>
            </w:pPr>
            <w:r w:rsidRPr="00524A06">
              <w:rPr>
                <w:rFonts w:cs="Arial"/>
              </w:rPr>
              <w:t>Сомнамбу- лизъми свързани с него реакции, като говорене на сън и свързано със съня хранително разстройст во</w:t>
            </w:r>
          </w:p>
        </w:tc>
        <w:tc>
          <w:tcPr>
            <w:tcW w:w="1155" w:type="dxa"/>
          </w:tcPr>
          <w:p w14:paraId="2046D657" w14:textId="77777777" w:rsidR="00524A06" w:rsidRPr="00524A06" w:rsidRDefault="00524A06" w:rsidP="00524A06">
            <w:pPr>
              <w:rPr>
                <w:rFonts w:cs="Arial"/>
              </w:rPr>
            </w:pPr>
          </w:p>
        </w:tc>
        <w:tc>
          <w:tcPr>
            <w:tcW w:w="1399" w:type="dxa"/>
          </w:tcPr>
          <w:p w14:paraId="589980C6" w14:textId="77777777" w:rsidR="00524A06" w:rsidRPr="00524A06" w:rsidRDefault="00524A06" w:rsidP="00524A06">
            <w:pPr>
              <w:rPr>
                <w:rFonts w:cs="Arial"/>
              </w:rPr>
            </w:pPr>
          </w:p>
        </w:tc>
      </w:tr>
      <w:tr w:rsidR="00524A06" w14:paraId="7E0B9A0F" w14:textId="77777777" w:rsidTr="00524A06">
        <w:tc>
          <w:tcPr>
            <w:tcW w:w="1170" w:type="dxa"/>
          </w:tcPr>
          <w:p w14:paraId="30C7210E" w14:textId="0AB3ABDE" w:rsidR="00524A06" w:rsidRPr="00524A06" w:rsidRDefault="00524A06" w:rsidP="00524A06">
            <w:pPr>
              <w:rPr>
                <w:rFonts w:cs="Arial"/>
              </w:rPr>
            </w:pPr>
            <w:r w:rsidRPr="00524A06">
              <w:rPr>
                <w:rFonts w:cs="Arial"/>
                <w:i/>
                <w:iCs/>
              </w:rPr>
              <w:t>Нарушени я на нервната система</w:t>
            </w:r>
          </w:p>
        </w:tc>
        <w:tc>
          <w:tcPr>
            <w:tcW w:w="1557" w:type="dxa"/>
          </w:tcPr>
          <w:p w14:paraId="624BDA6B" w14:textId="1BAD8B0F" w:rsidR="00524A06" w:rsidRPr="00524A06" w:rsidRDefault="00524A06" w:rsidP="00524A06">
            <w:pPr>
              <w:rPr>
                <w:rFonts w:cs="Arial"/>
              </w:rPr>
            </w:pPr>
            <w:r w:rsidRPr="00524A06">
              <w:rPr>
                <w:rFonts w:cs="Arial"/>
              </w:rPr>
              <w:t>Замаяност</w:t>
            </w:r>
            <w:r w:rsidRPr="00524A06">
              <w:rPr>
                <w:rFonts w:cs="Arial"/>
                <w:vertAlign w:val="superscript"/>
              </w:rPr>
              <w:t>4,16</w:t>
            </w:r>
            <w:r w:rsidRPr="00524A06">
              <w:rPr>
                <w:rFonts w:cs="Arial"/>
              </w:rPr>
              <w:t>, сомно</w:t>
            </w:r>
            <w:r w:rsidRPr="00524A06">
              <w:rPr>
                <w:rFonts w:cs="Arial"/>
              </w:rPr>
              <w:softHyphen/>
              <w:t>лентност</w:t>
            </w:r>
            <w:r w:rsidRPr="00524A06">
              <w:rPr>
                <w:rFonts w:cs="Arial"/>
                <w:vertAlign w:val="superscript"/>
              </w:rPr>
              <w:t>2,16</w:t>
            </w:r>
            <w:r w:rsidRPr="00524A06">
              <w:rPr>
                <w:rFonts w:cs="Arial"/>
              </w:rPr>
              <w:t xml:space="preserve"> главоболие, екстрапи</w:t>
            </w:r>
            <w:r w:rsidRPr="00524A06">
              <w:rPr>
                <w:rFonts w:cs="Arial"/>
              </w:rPr>
              <w:softHyphen/>
              <w:t xml:space="preserve">рамидни </w:t>
            </w:r>
            <w:r w:rsidRPr="00524A06">
              <w:t>симптоми</w:t>
            </w:r>
            <w:r w:rsidRPr="00524A06">
              <w:rPr>
                <w:rFonts w:cs="Arial"/>
                <w:b/>
                <w:bCs/>
                <w:vertAlign w:val="superscript"/>
              </w:rPr>
              <w:t>1</w:t>
            </w:r>
            <w:r w:rsidRPr="00524A06">
              <w:rPr>
                <w:rFonts w:cs="Arial"/>
                <w:b/>
                <w:bCs/>
              </w:rPr>
              <w:t>’</w:t>
            </w:r>
            <w:r w:rsidRPr="00524A06">
              <w:rPr>
                <w:rFonts w:cs="Arial"/>
                <w:b/>
                <w:bCs/>
                <w:vertAlign w:val="superscript"/>
              </w:rPr>
              <w:t>21</w:t>
            </w:r>
          </w:p>
        </w:tc>
        <w:tc>
          <w:tcPr>
            <w:tcW w:w="1410" w:type="dxa"/>
          </w:tcPr>
          <w:p w14:paraId="13072DE4" w14:textId="6E07A241" w:rsidR="00524A06" w:rsidRPr="00524A06" w:rsidRDefault="00524A06" w:rsidP="00524A06">
            <w:pPr>
              <w:rPr>
                <w:rFonts w:cs="Arial"/>
              </w:rPr>
            </w:pPr>
            <w:r w:rsidRPr="00524A06">
              <w:rPr>
                <w:rFonts w:cs="Arial"/>
              </w:rPr>
              <w:t>Дизартрия</w:t>
            </w:r>
          </w:p>
        </w:tc>
        <w:tc>
          <w:tcPr>
            <w:tcW w:w="1646" w:type="dxa"/>
            <w:vAlign w:val="bottom"/>
          </w:tcPr>
          <w:p w14:paraId="15783057" w14:textId="35E87B6B" w:rsidR="00524A06" w:rsidRPr="00524A06" w:rsidRDefault="00524A06" w:rsidP="00524A06">
            <w:pPr>
              <w:rPr>
                <w:rFonts w:cs="Arial"/>
              </w:rPr>
            </w:pPr>
            <w:r w:rsidRPr="00524A06">
              <w:rPr>
                <w:rFonts w:cs="Arial"/>
              </w:rPr>
              <w:t>Гърчове</w:t>
            </w:r>
            <w:r w:rsidRPr="00524A06">
              <w:rPr>
                <w:rFonts w:cs="Arial"/>
                <w:vertAlign w:val="superscript"/>
              </w:rPr>
              <w:t>1</w:t>
            </w:r>
            <w:r w:rsidRPr="00524A06">
              <w:rPr>
                <w:rFonts w:cs="Arial"/>
              </w:rPr>
              <w:t>, синдром на неспокойните крака, тардивна дискинезия</w:t>
            </w:r>
            <w:r w:rsidRPr="00524A06">
              <w:rPr>
                <w:rFonts w:cs="Arial"/>
                <w:vertAlign w:val="superscript"/>
              </w:rPr>
              <w:t>1,5</w:t>
            </w:r>
            <w:r w:rsidRPr="00524A06">
              <w:rPr>
                <w:rFonts w:cs="Arial"/>
              </w:rPr>
              <w:t>, синкоп</w:t>
            </w:r>
            <w:r w:rsidRPr="00524A06">
              <w:rPr>
                <w:rFonts w:cs="Arial"/>
                <w:vertAlign w:val="superscript"/>
              </w:rPr>
              <w:t>4,16</w:t>
            </w:r>
            <w:r w:rsidRPr="00524A06">
              <w:rPr>
                <w:rFonts w:cs="Arial"/>
              </w:rPr>
              <w:t>, състояние на обърканост</w:t>
            </w:r>
          </w:p>
        </w:tc>
        <w:tc>
          <w:tcPr>
            <w:tcW w:w="1239" w:type="dxa"/>
          </w:tcPr>
          <w:p w14:paraId="3EE32909" w14:textId="77777777" w:rsidR="00524A06" w:rsidRPr="00524A06" w:rsidRDefault="00524A06" w:rsidP="00524A06">
            <w:pPr>
              <w:rPr>
                <w:rFonts w:cs="Arial"/>
              </w:rPr>
            </w:pPr>
          </w:p>
        </w:tc>
        <w:tc>
          <w:tcPr>
            <w:tcW w:w="1155" w:type="dxa"/>
          </w:tcPr>
          <w:p w14:paraId="2BAA1749" w14:textId="77777777" w:rsidR="00524A06" w:rsidRPr="00524A06" w:rsidRDefault="00524A06" w:rsidP="00524A06">
            <w:pPr>
              <w:rPr>
                <w:rFonts w:cs="Arial"/>
              </w:rPr>
            </w:pPr>
          </w:p>
        </w:tc>
        <w:tc>
          <w:tcPr>
            <w:tcW w:w="1399" w:type="dxa"/>
          </w:tcPr>
          <w:p w14:paraId="374C1D44" w14:textId="77777777" w:rsidR="00524A06" w:rsidRPr="00524A06" w:rsidRDefault="00524A06" w:rsidP="00524A06">
            <w:pPr>
              <w:rPr>
                <w:rFonts w:cs="Arial"/>
              </w:rPr>
            </w:pPr>
          </w:p>
        </w:tc>
      </w:tr>
      <w:tr w:rsidR="00524A06" w14:paraId="5AC9AF68" w14:textId="77777777" w:rsidTr="00524A06">
        <w:tc>
          <w:tcPr>
            <w:tcW w:w="1170" w:type="dxa"/>
            <w:vAlign w:val="bottom"/>
          </w:tcPr>
          <w:p w14:paraId="1E2221EB" w14:textId="32D38F9D" w:rsidR="00524A06" w:rsidRPr="00524A06" w:rsidRDefault="00524A06" w:rsidP="00524A06">
            <w:pPr>
              <w:rPr>
                <w:rFonts w:cs="Arial"/>
              </w:rPr>
            </w:pPr>
            <w:r w:rsidRPr="00524A06">
              <w:rPr>
                <w:rFonts w:cs="Arial"/>
                <w:i/>
                <w:iCs/>
              </w:rPr>
              <w:lastRenderedPageBreak/>
              <w:t>Нарушени я на очите</w:t>
            </w:r>
          </w:p>
        </w:tc>
        <w:tc>
          <w:tcPr>
            <w:tcW w:w="1557" w:type="dxa"/>
          </w:tcPr>
          <w:p w14:paraId="1E7C0093" w14:textId="77777777" w:rsidR="00524A06" w:rsidRPr="00524A06" w:rsidRDefault="00524A06" w:rsidP="00524A06">
            <w:pPr>
              <w:rPr>
                <w:rFonts w:cs="Arial"/>
              </w:rPr>
            </w:pPr>
          </w:p>
        </w:tc>
        <w:tc>
          <w:tcPr>
            <w:tcW w:w="1410" w:type="dxa"/>
            <w:vAlign w:val="bottom"/>
          </w:tcPr>
          <w:p w14:paraId="162ED6D4" w14:textId="79394868" w:rsidR="00524A06" w:rsidRPr="00524A06" w:rsidRDefault="00524A06" w:rsidP="00524A06">
            <w:pPr>
              <w:rPr>
                <w:rFonts w:cs="Arial"/>
              </w:rPr>
            </w:pPr>
            <w:r w:rsidRPr="00524A06">
              <w:rPr>
                <w:rFonts w:cs="Arial"/>
              </w:rPr>
              <w:t>Замъглено зрение</w:t>
            </w:r>
          </w:p>
        </w:tc>
        <w:tc>
          <w:tcPr>
            <w:tcW w:w="1646" w:type="dxa"/>
            <w:vAlign w:val="bottom"/>
          </w:tcPr>
          <w:p w14:paraId="1DF44B2D" w14:textId="77777777" w:rsidR="00524A06" w:rsidRPr="00524A06" w:rsidRDefault="00524A06" w:rsidP="00524A06">
            <w:pPr>
              <w:rPr>
                <w:rFonts w:cs="Arial"/>
              </w:rPr>
            </w:pPr>
          </w:p>
        </w:tc>
        <w:tc>
          <w:tcPr>
            <w:tcW w:w="1239" w:type="dxa"/>
          </w:tcPr>
          <w:p w14:paraId="3FF4ADC0" w14:textId="77777777" w:rsidR="00524A06" w:rsidRPr="00524A06" w:rsidRDefault="00524A06" w:rsidP="00524A06">
            <w:pPr>
              <w:rPr>
                <w:rFonts w:cs="Arial"/>
              </w:rPr>
            </w:pPr>
          </w:p>
        </w:tc>
        <w:tc>
          <w:tcPr>
            <w:tcW w:w="1155" w:type="dxa"/>
          </w:tcPr>
          <w:p w14:paraId="28BA85A1" w14:textId="77777777" w:rsidR="00524A06" w:rsidRPr="00524A06" w:rsidRDefault="00524A06" w:rsidP="00524A06">
            <w:pPr>
              <w:rPr>
                <w:rFonts w:cs="Arial"/>
              </w:rPr>
            </w:pPr>
          </w:p>
        </w:tc>
        <w:tc>
          <w:tcPr>
            <w:tcW w:w="1399" w:type="dxa"/>
          </w:tcPr>
          <w:p w14:paraId="16A53407" w14:textId="77777777" w:rsidR="00524A06" w:rsidRPr="00524A06" w:rsidRDefault="00524A06" w:rsidP="00524A06">
            <w:pPr>
              <w:rPr>
                <w:rFonts w:cs="Arial"/>
              </w:rPr>
            </w:pPr>
          </w:p>
        </w:tc>
      </w:tr>
      <w:tr w:rsidR="00524A06" w14:paraId="412494D7" w14:textId="77777777" w:rsidTr="00524A06">
        <w:tc>
          <w:tcPr>
            <w:tcW w:w="1170" w:type="dxa"/>
          </w:tcPr>
          <w:p w14:paraId="065B11D6" w14:textId="259BBDD6" w:rsidR="00524A06" w:rsidRPr="00524A06" w:rsidRDefault="00524A06" w:rsidP="00524A06">
            <w:pPr>
              <w:rPr>
                <w:rFonts w:cs="Arial"/>
              </w:rPr>
            </w:pPr>
            <w:r w:rsidRPr="00524A06">
              <w:rPr>
                <w:rFonts w:cs="Arial"/>
                <w:i/>
                <w:iCs/>
              </w:rPr>
              <w:t>Сърдечни нарушения</w:t>
            </w:r>
          </w:p>
        </w:tc>
        <w:tc>
          <w:tcPr>
            <w:tcW w:w="1557" w:type="dxa"/>
          </w:tcPr>
          <w:p w14:paraId="6EC7E52E" w14:textId="77777777" w:rsidR="00524A06" w:rsidRPr="00524A06" w:rsidRDefault="00524A06" w:rsidP="00524A06">
            <w:pPr>
              <w:rPr>
                <w:rFonts w:cs="Arial"/>
              </w:rPr>
            </w:pPr>
          </w:p>
        </w:tc>
        <w:tc>
          <w:tcPr>
            <w:tcW w:w="1410" w:type="dxa"/>
          </w:tcPr>
          <w:p w14:paraId="62CE7E8D" w14:textId="77777777" w:rsidR="00524A06" w:rsidRPr="00524A06" w:rsidRDefault="00524A06" w:rsidP="00524A06">
            <w:pPr>
              <w:rPr>
                <w:rFonts w:cs="Arial"/>
              </w:rPr>
            </w:pPr>
            <w:r w:rsidRPr="00524A06">
              <w:rPr>
                <w:rFonts w:cs="Arial"/>
              </w:rPr>
              <w:t>Тахикардия 4</w:t>
            </w:r>
          </w:p>
          <w:p w14:paraId="05AFF686" w14:textId="26D9CFD3" w:rsidR="00524A06" w:rsidRPr="00524A06" w:rsidRDefault="00524A06" w:rsidP="00524A06">
            <w:pPr>
              <w:rPr>
                <w:rFonts w:cs="Arial"/>
              </w:rPr>
            </w:pPr>
            <w:r w:rsidRPr="00524A06">
              <w:rPr>
                <w:rFonts w:cs="Arial"/>
              </w:rPr>
              <w:t>палпитации 23</w:t>
            </w:r>
          </w:p>
        </w:tc>
        <w:tc>
          <w:tcPr>
            <w:tcW w:w="1646" w:type="dxa"/>
          </w:tcPr>
          <w:p w14:paraId="4A9119DE" w14:textId="0D069B03" w:rsidR="00524A06" w:rsidRPr="00524A06" w:rsidRDefault="00524A06" w:rsidP="00524A06">
            <w:pPr>
              <w:rPr>
                <w:rFonts w:cs="Arial"/>
              </w:rPr>
            </w:pPr>
            <w:r w:rsidRPr="00524A06">
              <w:rPr>
                <w:rFonts w:cs="Arial"/>
              </w:rPr>
              <w:t xml:space="preserve">Удължен </w:t>
            </w:r>
            <w:r w:rsidRPr="00524A06">
              <w:rPr>
                <w:rFonts w:cs="Arial"/>
                <w:lang w:val="en-US"/>
              </w:rPr>
              <w:t xml:space="preserve">QT- </w:t>
            </w:r>
            <w:r w:rsidRPr="00524A06">
              <w:rPr>
                <w:rFonts w:cs="Arial"/>
              </w:rPr>
              <w:t>интервал</w:t>
            </w:r>
            <w:r w:rsidRPr="00524A06">
              <w:rPr>
                <w:rFonts w:cs="Arial"/>
                <w:vertAlign w:val="superscript"/>
              </w:rPr>
              <w:t xml:space="preserve">1,12,18 </w:t>
            </w:r>
            <w:r w:rsidRPr="00524A06">
              <w:rPr>
                <w:rFonts w:cs="Arial"/>
              </w:rPr>
              <w:t>брадикардия</w:t>
            </w:r>
            <w:r w:rsidRPr="00524A06">
              <w:rPr>
                <w:rFonts w:cs="Arial"/>
                <w:vertAlign w:val="superscript"/>
              </w:rPr>
              <w:t>32</w:t>
            </w:r>
          </w:p>
        </w:tc>
        <w:tc>
          <w:tcPr>
            <w:tcW w:w="1239" w:type="dxa"/>
          </w:tcPr>
          <w:p w14:paraId="3B9A336A" w14:textId="77777777" w:rsidR="00524A06" w:rsidRPr="00524A06" w:rsidRDefault="00524A06" w:rsidP="00524A06">
            <w:pPr>
              <w:rPr>
                <w:rFonts w:cs="Arial"/>
              </w:rPr>
            </w:pPr>
          </w:p>
        </w:tc>
        <w:tc>
          <w:tcPr>
            <w:tcW w:w="1155" w:type="dxa"/>
          </w:tcPr>
          <w:p w14:paraId="25B33437" w14:textId="77777777" w:rsidR="00524A06" w:rsidRPr="00524A06" w:rsidRDefault="00524A06" w:rsidP="00524A06">
            <w:pPr>
              <w:rPr>
                <w:rFonts w:cs="Arial"/>
              </w:rPr>
            </w:pPr>
          </w:p>
        </w:tc>
        <w:tc>
          <w:tcPr>
            <w:tcW w:w="1399" w:type="dxa"/>
          </w:tcPr>
          <w:p w14:paraId="66E6D920" w14:textId="51756EE5" w:rsidR="00524A06" w:rsidRPr="00524A06" w:rsidRDefault="00524A06" w:rsidP="00524A06">
            <w:pPr>
              <w:rPr>
                <w:rFonts w:cs="Arial"/>
              </w:rPr>
            </w:pPr>
            <w:r w:rsidRPr="00524A06">
              <w:rPr>
                <w:rFonts w:cs="Arial"/>
              </w:rPr>
              <w:t>Кардио</w:t>
            </w:r>
            <w:r w:rsidRPr="00524A06">
              <w:rPr>
                <w:rFonts w:cs="Arial"/>
              </w:rPr>
              <w:softHyphen/>
              <w:t>миопатия, миокардит</w:t>
            </w:r>
          </w:p>
        </w:tc>
      </w:tr>
      <w:tr w:rsidR="00524A06" w14:paraId="296E09F9" w14:textId="77777777" w:rsidTr="00524A06">
        <w:tc>
          <w:tcPr>
            <w:tcW w:w="1170" w:type="dxa"/>
          </w:tcPr>
          <w:p w14:paraId="336ECB61" w14:textId="212C38DC" w:rsidR="00524A06" w:rsidRPr="00524A06" w:rsidRDefault="00524A06" w:rsidP="00524A06">
            <w:pPr>
              <w:rPr>
                <w:rFonts w:cs="Arial"/>
              </w:rPr>
            </w:pPr>
            <w:r w:rsidRPr="00524A06">
              <w:rPr>
                <w:rFonts w:cs="Arial"/>
                <w:i/>
                <w:iCs/>
              </w:rPr>
              <w:t>Съдови нарушения</w:t>
            </w:r>
          </w:p>
        </w:tc>
        <w:tc>
          <w:tcPr>
            <w:tcW w:w="1557" w:type="dxa"/>
          </w:tcPr>
          <w:p w14:paraId="3C7D28D2" w14:textId="77777777" w:rsidR="00524A06" w:rsidRPr="00524A06" w:rsidRDefault="00524A06" w:rsidP="00524A06">
            <w:pPr>
              <w:rPr>
                <w:rFonts w:cs="Arial"/>
              </w:rPr>
            </w:pPr>
          </w:p>
        </w:tc>
        <w:tc>
          <w:tcPr>
            <w:tcW w:w="1410" w:type="dxa"/>
          </w:tcPr>
          <w:p w14:paraId="2893DF4D" w14:textId="388E1874" w:rsidR="00524A06" w:rsidRPr="00524A06" w:rsidRDefault="00524A06" w:rsidP="00524A06">
            <w:pPr>
              <w:rPr>
                <w:rFonts w:cs="Arial"/>
              </w:rPr>
            </w:pPr>
            <w:r w:rsidRPr="00524A06">
              <w:rPr>
                <w:rFonts w:cs="Arial"/>
              </w:rPr>
              <w:t>Ортостатич</w:t>
            </w:r>
            <w:r w:rsidRPr="00524A06">
              <w:rPr>
                <w:rFonts w:cs="Arial"/>
              </w:rPr>
              <w:softHyphen/>
              <w:t>на хипотония</w:t>
            </w:r>
            <w:r w:rsidRPr="00524A06">
              <w:rPr>
                <w:rFonts w:cs="Arial"/>
                <w:vertAlign w:val="superscript"/>
              </w:rPr>
              <w:t>4,16</w:t>
            </w:r>
          </w:p>
        </w:tc>
        <w:tc>
          <w:tcPr>
            <w:tcW w:w="1646" w:type="dxa"/>
          </w:tcPr>
          <w:p w14:paraId="4BEA4CBC" w14:textId="77777777" w:rsidR="00524A06" w:rsidRPr="00524A06" w:rsidRDefault="00524A06" w:rsidP="00524A06">
            <w:pPr>
              <w:rPr>
                <w:rFonts w:cs="Arial"/>
              </w:rPr>
            </w:pPr>
          </w:p>
        </w:tc>
        <w:tc>
          <w:tcPr>
            <w:tcW w:w="1239" w:type="dxa"/>
          </w:tcPr>
          <w:p w14:paraId="768EB83D" w14:textId="3E4CED63" w:rsidR="00524A06" w:rsidRPr="00524A06" w:rsidRDefault="00524A06" w:rsidP="00524A06">
            <w:pPr>
              <w:rPr>
                <w:rFonts w:cs="Arial"/>
              </w:rPr>
            </w:pPr>
            <w:r w:rsidRPr="00524A06">
              <w:rPr>
                <w:rFonts w:cs="Arial"/>
              </w:rPr>
              <w:t>Венозен тромбо- емболизъм</w:t>
            </w:r>
            <w:r w:rsidRPr="00524A06">
              <w:rPr>
                <w:rFonts w:cs="Arial"/>
                <w:vertAlign w:val="superscript"/>
              </w:rPr>
              <w:t>1</w:t>
            </w:r>
          </w:p>
        </w:tc>
        <w:tc>
          <w:tcPr>
            <w:tcW w:w="1155" w:type="dxa"/>
          </w:tcPr>
          <w:p w14:paraId="5C3EE43C" w14:textId="77777777" w:rsidR="00524A06" w:rsidRPr="00524A06" w:rsidRDefault="00524A06" w:rsidP="00524A06">
            <w:pPr>
              <w:rPr>
                <w:rFonts w:cs="Arial"/>
              </w:rPr>
            </w:pPr>
          </w:p>
        </w:tc>
        <w:tc>
          <w:tcPr>
            <w:tcW w:w="1399" w:type="dxa"/>
          </w:tcPr>
          <w:p w14:paraId="73C6B72C" w14:textId="283BC13D" w:rsidR="00524A06" w:rsidRPr="00524A06" w:rsidRDefault="00524A06" w:rsidP="00524A06">
            <w:pPr>
              <w:rPr>
                <w:rFonts w:cs="Arial"/>
              </w:rPr>
            </w:pPr>
            <w:r w:rsidRPr="00524A06">
              <w:rPr>
                <w:rFonts w:cs="Arial"/>
              </w:rPr>
              <w:t>Инсулт</w:t>
            </w:r>
            <w:r w:rsidRPr="00524A06">
              <w:rPr>
                <w:rFonts w:cs="Arial"/>
                <w:vertAlign w:val="superscript"/>
              </w:rPr>
              <w:t>33</w:t>
            </w:r>
          </w:p>
        </w:tc>
      </w:tr>
      <w:tr w:rsidR="00524A06" w14:paraId="344F724B" w14:textId="77777777" w:rsidTr="00524A06">
        <w:tc>
          <w:tcPr>
            <w:tcW w:w="1170" w:type="dxa"/>
            <w:vAlign w:val="bottom"/>
          </w:tcPr>
          <w:p w14:paraId="7D815A03" w14:textId="17710593" w:rsidR="00524A06" w:rsidRPr="00524A06" w:rsidRDefault="00524A06" w:rsidP="00524A06">
            <w:pPr>
              <w:rPr>
                <w:rFonts w:cs="Arial"/>
              </w:rPr>
            </w:pPr>
            <w:r w:rsidRPr="00524A06">
              <w:rPr>
                <w:rFonts w:cs="Arial"/>
                <w:i/>
                <w:iCs/>
              </w:rPr>
              <w:t>Респира</w:t>
            </w:r>
            <w:r w:rsidRPr="00524A06">
              <w:rPr>
                <w:rFonts w:cs="Arial"/>
                <w:i/>
                <w:iCs/>
              </w:rPr>
              <w:softHyphen/>
              <w:t>торни, гръдни и медиасти- нални нарушения</w:t>
            </w:r>
          </w:p>
        </w:tc>
        <w:tc>
          <w:tcPr>
            <w:tcW w:w="1557" w:type="dxa"/>
          </w:tcPr>
          <w:p w14:paraId="66672D02" w14:textId="77777777" w:rsidR="00524A06" w:rsidRPr="00524A06" w:rsidRDefault="00524A06" w:rsidP="00524A06">
            <w:pPr>
              <w:rPr>
                <w:rFonts w:cs="Arial"/>
              </w:rPr>
            </w:pPr>
          </w:p>
        </w:tc>
        <w:tc>
          <w:tcPr>
            <w:tcW w:w="1410" w:type="dxa"/>
          </w:tcPr>
          <w:p w14:paraId="1F3692C0" w14:textId="65EF85A8" w:rsidR="00524A06" w:rsidRPr="00524A06" w:rsidRDefault="00524A06" w:rsidP="00524A06">
            <w:pPr>
              <w:rPr>
                <w:rFonts w:cs="Arial"/>
              </w:rPr>
            </w:pPr>
            <w:r w:rsidRPr="00524A06">
              <w:rPr>
                <w:rFonts w:cs="Arial"/>
              </w:rPr>
              <w:t>Диспнея</w:t>
            </w:r>
            <w:r w:rsidRPr="00524A06">
              <w:rPr>
                <w:rFonts w:cs="Arial"/>
                <w:vertAlign w:val="superscript"/>
              </w:rPr>
              <w:t>23</w:t>
            </w:r>
          </w:p>
        </w:tc>
        <w:tc>
          <w:tcPr>
            <w:tcW w:w="1646" w:type="dxa"/>
          </w:tcPr>
          <w:p w14:paraId="0BA88E3E" w14:textId="30E77325" w:rsidR="00524A06" w:rsidRPr="00524A06" w:rsidRDefault="00524A06" w:rsidP="00524A06">
            <w:pPr>
              <w:rPr>
                <w:rFonts w:cs="Arial"/>
              </w:rPr>
            </w:pPr>
            <w:r w:rsidRPr="00524A06">
              <w:rPr>
                <w:rFonts w:cs="Arial"/>
              </w:rPr>
              <w:t>Ринит</w:t>
            </w:r>
          </w:p>
        </w:tc>
        <w:tc>
          <w:tcPr>
            <w:tcW w:w="1239" w:type="dxa"/>
          </w:tcPr>
          <w:p w14:paraId="5C65A6BB" w14:textId="77777777" w:rsidR="00524A06" w:rsidRPr="00524A06" w:rsidRDefault="00524A06" w:rsidP="00524A06">
            <w:pPr>
              <w:rPr>
                <w:rFonts w:cs="Arial"/>
              </w:rPr>
            </w:pPr>
          </w:p>
        </w:tc>
        <w:tc>
          <w:tcPr>
            <w:tcW w:w="1155" w:type="dxa"/>
          </w:tcPr>
          <w:p w14:paraId="42BA3557" w14:textId="77777777" w:rsidR="00524A06" w:rsidRPr="00524A06" w:rsidRDefault="00524A06" w:rsidP="00524A06">
            <w:pPr>
              <w:rPr>
                <w:rFonts w:cs="Arial"/>
              </w:rPr>
            </w:pPr>
          </w:p>
        </w:tc>
        <w:tc>
          <w:tcPr>
            <w:tcW w:w="1399" w:type="dxa"/>
          </w:tcPr>
          <w:p w14:paraId="7C9D2989" w14:textId="77777777" w:rsidR="00524A06" w:rsidRPr="00524A06" w:rsidRDefault="00524A06" w:rsidP="00524A06">
            <w:pPr>
              <w:rPr>
                <w:rFonts w:cs="Arial"/>
              </w:rPr>
            </w:pPr>
          </w:p>
        </w:tc>
      </w:tr>
      <w:tr w:rsidR="00524A06" w14:paraId="39647A84" w14:textId="77777777" w:rsidTr="00524A06">
        <w:tc>
          <w:tcPr>
            <w:tcW w:w="1170" w:type="dxa"/>
          </w:tcPr>
          <w:p w14:paraId="66E07518" w14:textId="3A39289C" w:rsidR="00524A06" w:rsidRPr="00524A06" w:rsidRDefault="00524A06" w:rsidP="00524A06">
            <w:pPr>
              <w:rPr>
                <w:rFonts w:cs="Arial"/>
              </w:rPr>
            </w:pPr>
            <w:r w:rsidRPr="00524A06">
              <w:rPr>
                <w:rFonts w:cs="Arial"/>
                <w:i/>
                <w:iCs/>
              </w:rPr>
              <w:t>Стомашн о-чревни нарушения</w:t>
            </w:r>
          </w:p>
        </w:tc>
        <w:tc>
          <w:tcPr>
            <w:tcW w:w="1557" w:type="dxa"/>
          </w:tcPr>
          <w:p w14:paraId="4BF90F5B" w14:textId="3DD7BE2A" w:rsidR="00524A06" w:rsidRPr="00524A06" w:rsidRDefault="00524A06" w:rsidP="00524A06">
            <w:pPr>
              <w:rPr>
                <w:rFonts w:cs="Arial"/>
              </w:rPr>
            </w:pPr>
            <w:r w:rsidRPr="00524A06">
              <w:rPr>
                <w:rFonts w:cs="Arial"/>
              </w:rPr>
              <w:t>Сухота</w:t>
            </w:r>
            <w:r w:rsidRPr="00524A06">
              <w:rPr>
                <w:rFonts w:cs="Arial"/>
                <w:lang w:val="en-US"/>
              </w:rPr>
              <w:t xml:space="preserve"> </w:t>
            </w:r>
            <w:r w:rsidRPr="00524A06">
              <w:rPr>
                <w:rFonts w:cs="Arial"/>
              </w:rPr>
              <w:t>в устата</w:t>
            </w:r>
          </w:p>
        </w:tc>
        <w:tc>
          <w:tcPr>
            <w:tcW w:w="1410" w:type="dxa"/>
          </w:tcPr>
          <w:p w14:paraId="2CCEF6A5" w14:textId="18A734C4" w:rsidR="00524A06" w:rsidRPr="00524A06" w:rsidRDefault="00524A06" w:rsidP="00524A06">
            <w:pPr>
              <w:rPr>
                <w:rFonts w:cs="Arial"/>
              </w:rPr>
            </w:pPr>
            <w:r w:rsidRPr="00524A06">
              <w:rPr>
                <w:rFonts w:cs="Arial"/>
              </w:rPr>
              <w:t>Констипаци я, диспепсия, повръщане</w:t>
            </w:r>
            <w:r w:rsidRPr="00524A06">
              <w:rPr>
                <w:rFonts w:cs="Arial"/>
                <w:vertAlign w:val="superscript"/>
              </w:rPr>
              <w:t>2,5</w:t>
            </w:r>
          </w:p>
        </w:tc>
        <w:tc>
          <w:tcPr>
            <w:tcW w:w="1646" w:type="dxa"/>
          </w:tcPr>
          <w:p w14:paraId="1AD8D097" w14:textId="619FFF12" w:rsidR="00524A06" w:rsidRPr="00524A06" w:rsidRDefault="00524A06" w:rsidP="00524A06">
            <w:pPr>
              <w:rPr>
                <w:rFonts w:cs="Arial"/>
              </w:rPr>
            </w:pPr>
            <w:r w:rsidRPr="00524A06">
              <w:rPr>
                <w:rFonts w:cs="Arial"/>
              </w:rPr>
              <w:t>Дисфагия</w:t>
            </w:r>
            <w:r w:rsidRPr="00524A06">
              <w:rPr>
                <w:rFonts w:cs="Arial"/>
                <w:vertAlign w:val="superscript"/>
              </w:rPr>
              <w:t>7</w:t>
            </w:r>
          </w:p>
        </w:tc>
        <w:tc>
          <w:tcPr>
            <w:tcW w:w="1239" w:type="dxa"/>
            <w:vAlign w:val="bottom"/>
          </w:tcPr>
          <w:p w14:paraId="52093466" w14:textId="77777777" w:rsidR="00524A06" w:rsidRPr="00524A06" w:rsidRDefault="00524A06" w:rsidP="00524A06">
            <w:pPr>
              <w:rPr>
                <w:rFonts w:cs="Arial"/>
              </w:rPr>
            </w:pPr>
            <w:r w:rsidRPr="00524A06">
              <w:rPr>
                <w:rFonts w:cs="Arial"/>
              </w:rPr>
              <w:t>Панкреатит</w:t>
            </w:r>
            <w:r w:rsidRPr="00524A06">
              <w:rPr>
                <w:rFonts w:cs="Arial"/>
                <w:vertAlign w:val="superscript"/>
              </w:rPr>
              <w:t>1</w:t>
            </w:r>
          </w:p>
          <w:p w14:paraId="462C053F" w14:textId="77777777" w:rsidR="00524A06" w:rsidRPr="00524A06" w:rsidRDefault="00524A06" w:rsidP="00524A06">
            <w:pPr>
              <w:rPr>
                <w:rFonts w:cs="Arial"/>
              </w:rPr>
            </w:pPr>
          </w:p>
          <w:p w14:paraId="21D213B6" w14:textId="77777777" w:rsidR="00524A06" w:rsidRPr="00524A06" w:rsidRDefault="00524A06" w:rsidP="00524A06">
            <w:pPr>
              <w:rPr>
                <w:rFonts w:cs="Arial"/>
              </w:rPr>
            </w:pPr>
            <w:r w:rsidRPr="00524A06">
              <w:rPr>
                <w:rFonts w:cs="Arial"/>
              </w:rPr>
              <w:t>Интестинал</w:t>
            </w:r>
          </w:p>
          <w:p w14:paraId="134AEE15" w14:textId="77777777" w:rsidR="00524A06" w:rsidRPr="00524A06" w:rsidRDefault="00524A06" w:rsidP="00524A06">
            <w:pPr>
              <w:rPr>
                <w:rFonts w:cs="Arial"/>
              </w:rPr>
            </w:pPr>
            <w:r w:rsidRPr="00524A06">
              <w:rPr>
                <w:rFonts w:cs="Arial"/>
              </w:rPr>
              <w:t>-на обструкция /</w:t>
            </w:r>
          </w:p>
          <w:p w14:paraId="0AC6F09F" w14:textId="3C9C619D" w:rsidR="00524A06" w:rsidRPr="00524A06" w:rsidRDefault="00524A06" w:rsidP="00524A06">
            <w:pPr>
              <w:rPr>
                <w:rFonts w:cs="Arial"/>
              </w:rPr>
            </w:pPr>
            <w:r w:rsidRPr="00524A06">
              <w:rPr>
                <w:rFonts w:cs="Arial"/>
              </w:rPr>
              <w:t>илеус</w:t>
            </w:r>
          </w:p>
        </w:tc>
        <w:tc>
          <w:tcPr>
            <w:tcW w:w="1155" w:type="dxa"/>
          </w:tcPr>
          <w:p w14:paraId="0D09CD58" w14:textId="77777777" w:rsidR="00524A06" w:rsidRPr="00524A06" w:rsidRDefault="00524A06" w:rsidP="00524A06">
            <w:pPr>
              <w:rPr>
                <w:rFonts w:cs="Arial"/>
              </w:rPr>
            </w:pPr>
          </w:p>
        </w:tc>
        <w:tc>
          <w:tcPr>
            <w:tcW w:w="1399" w:type="dxa"/>
          </w:tcPr>
          <w:p w14:paraId="4C176AAE" w14:textId="77777777" w:rsidR="00524A06" w:rsidRPr="00524A06" w:rsidRDefault="00524A06" w:rsidP="00524A06">
            <w:pPr>
              <w:rPr>
                <w:rFonts w:cs="Arial"/>
              </w:rPr>
            </w:pPr>
          </w:p>
        </w:tc>
      </w:tr>
      <w:tr w:rsidR="00524A06" w14:paraId="703854B5" w14:textId="77777777" w:rsidTr="00524A06">
        <w:tc>
          <w:tcPr>
            <w:tcW w:w="1170" w:type="dxa"/>
          </w:tcPr>
          <w:p w14:paraId="5EBCE39B" w14:textId="56599089" w:rsidR="00524A06" w:rsidRPr="00524A06" w:rsidRDefault="00524A06" w:rsidP="00524A06">
            <w:pPr>
              <w:rPr>
                <w:rFonts w:cs="Arial"/>
              </w:rPr>
            </w:pPr>
            <w:r w:rsidRPr="00524A06">
              <w:rPr>
                <w:rFonts w:cs="Arial"/>
                <w:i/>
                <w:iCs/>
              </w:rPr>
              <w:t>Хепато- билиарни нарушения</w:t>
            </w:r>
          </w:p>
        </w:tc>
        <w:tc>
          <w:tcPr>
            <w:tcW w:w="1557" w:type="dxa"/>
          </w:tcPr>
          <w:p w14:paraId="0F74A05B" w14:textId="77777777" w:rsidR="00524A06" w:rsidRPr="00524A06" w:rsidRDefault="00524A06" w:rsidP="00524A06">
            <w:pPr>
              <w:rPr>
                <w:rFonts w:cs="Arial"/>
              </w:rPr>
            </w:pPr>
          </w:p>
        </w:tc>
        <w:tc>
          <w:tcPr>
            <w:tcW w:w="1410" w:type="dxa"/>
            <w:vAlign w:val="bottom"/>
          </w:tcPr>
          <w:p w14:paraId="08387DE2" w14:textId="450AC311" w:rsidR="00524A06" w:rsidRPr="00524A06" w:rsidRDefault="00524A06" w:rsidP="00524A06">
            <w:pPr>
              <w:rPr>
                <w:rFonts w:cs="Arial"/>
              </w:rPr>
            </w:pPr>
            <w:r w:rsidRPr="00524A06">
              <w:rPr>
                <w:rFonts w:cs="Arial"/>
              </w:rPr>
              <w:t xml:space="preserve">Повишение на серумната аланин аминотранс -фераза </w:t>
            </w:r>
            <w:r w:rsidRPr="00524A06">
              <w:rPr>
                <w:rFonts w:cs="Arial"/>
                <w:lang w:val="ru-RU"/>
              </w:rPr>
              <w:t>(</w:t>
            </w:r>
            <w:r w:rsidRPr="00524A06">
              <w:rPr>
                <w:rFonts w:cs="Arial"/>
                <w:lang w:val="en-US"/>
              </w:rPr>
              <w:t>ALT</w:t>
            </w:r>
            <w:r w:rsidRPr="00524A06">
              <w:rPr>
                <w:rFonts w:cs="Arial"/>
                <w:lang w:val="ru-RU"/>
              </w:rPr>
              <w:t>)</w:t>
            </w:r>
            <w:r w:rsidRPr="00524A06">
              <w:rPr>
                <w:rFonts w:cs="Arial"/>
                <w:vertAlign w:val="superscript"/>
                <w:lang w:val="ru-RU"/>
              </w:rPr>
              <w:t>3</w:t>
            </w:r>
            <w:r w:rsidRPr="00524A06">
              <w:rPr>
                <w:rFonts w:cs="Arial"/>
                <w:lang w:val="ru-RU"/>
              </w:rPr>
              <w:t xml:space="preserve">, </w:t>
            </w:r>
            <w:r w:rsidRPr="00524A06">
              <w:rPr>
                <w:rFonts w:cs="Arial"/>
              </w:rPr>
              <w:t>Повишени нива на гама</w:t>
            </w:r>
            <w:r w:rsidRPr="00524A06">
              <w:rPr>
                <w:rFonts w:cs="Arial"/>
                <w:lang w:val="ru-RU"/>
              </w:rPr>
              <w:t>-</w:t>
            </w:r>
            <w:r w:rsidRPr="00524A06">
              <w:rPr>
                <w:rFonts w:cs="Arial"/>
                <w:lang w:val="en-US"/>
              </w:rPr>
              <w:t>GT</w:t>
            </w:r>
            <w:r w:rsidRPr="00524A06">
              <w:rPr>
                <w:rFonts w:cs="Arial"/>
                <w:vertAlign w:val="superscript"/>
                <w:lang w:val="ru-RU"/>
              </w:rPr>
              <w:t>3</w:t>
            </w:r>
          </w:p>
        </w:tc>
        <w:tc>
          <w:tcPr>
            <w:tcW w:w="1646" w:type="dxa"/>
          </w:tcPr>
          <w:p w14:paraId="7A41EAC4" w14:textId="48EA4136" w:rsidR="00524A06" w:rsidRPr="00524A06" w:rsidRDefault="00524A06" w:rsidP="00524A06">
            <w:pPr>
              <w:rPr>
                <w:rFonts w:cs="Arial"/>
              </w:rPr>
            </w:pPr>
            <w:r w:rsidRPr="00524A06">
              <w:rPr>
                <w:rFonts w:cs="Arial"/>
              </w:rPr>
              <w:t xml:space="preserve">Повишение на серумната аспартат аминотрансфе- раза </w:t>
            </w:r>
            <w:r w:rsidRPr="00524A06">
              <w:rPr>
                <w:rFonts w:cs="Arial"/>
                <w:lang w:val="ru-RU"/>
              </w:rPr>
              <w:t>(</w:t>
            </w:r>
            <w:r w:rsidRPr="00524A06">
              <w:rPr>
                <w:rFonts w:cs="Arial"/>
                <w:lang w:val="en-US"/>
              </w:rPr>
              <w:t>AST</w:t>
            </w:r>
            <w:r w:rsidRPr="00524A06">
              <w:rPr>
                <w:rFonts w:cs="Arial"/>
                <w:vertAlign w:val="superscript"/>
                <w:lang w:val="ru-RU"/>
              </w:rPr>
              <w:t>)3</w:t>
            </w:r>
          </w:p>
        </w:tc>
        <w:tc>
          <w:tcPr>
            <w:tcW w:w="1239" w:type="dxa"/>
          </w:tcPr>
          <w:p w14:paraId="5DD48CE2" w14:textId="77777777" w:rsidR="00524A06" w:rsidRPr="00524A06" w:rsidRDefault="00524A06" w:rsidP="00524A06">
            <w:pPr>
              <w:rPr>
                <w:rFonts w:cs="Arial"/>
              </w:rPr>
            </w:pPr>
            <w:r w:rsidRPr="00524A06">
              <w:rPr>
                <w:rFonts w:cs="Arial"/>
              </w:rPr>
              <w:t>Жълтеница</w:t>
            </w:r>
          </w:p>
          <w:p w14:paraId="4DD84CBA" w14:textId="3E2D92E4" w:rsidR="00524A06" w:rsidRPr="00524A06" w:rsidRDefault="00524A06" w:rsidP="00524A06">
            <w:pPr>
              <w:rPr>
                <w:rFonts w:cs="Arial"/>
              </w:rPr>
            </w:pPr>
            <w:r w:rsidRPr="00524A06">
              <w:rPr>
                <w:rFonts w:cs="Arial"/>
                <w:vertAlign w:val="superscript"/>
              </w:rPr>
              <w:t>5</w:t>
            </w:r>
            <w:r w:rsidRPr="00524A06">
              <w:rPr>
                <w:rFonts w:cs="Arial"/>
              </w:rPr>
              <w:t>, хепатит</w:t>
            </w:r>
          </w:p>
        </w:tc>
        <w:tc>
          <w:tcPr>
            <w:tcW w:w="1155" w:type="dxa"/>
          </w:tcPr>
          <w:p w14:paraId="7E044838" w14:textId="77777777" w:rsidR="00524A06" w:rsidRPr="00524A06" w:rsidRDefault="00524A06" w:rsidP="00524A06">
            <w:pPr>
              <w:rPr>
                <w:rFonts w:cs="Arial"/>
              </w:rPr>
            </w:pPr>
          </w:p>
        </w:tc>
        <w:tc>
          <w:tcPr>
            <w:tcW w:w="1399" w:type="dxa"/>
          </w:tcPr>
          <w:p w14:paraId="05538595" w14:textId="77777777" w:rsidR="00524A06" w:rsidRPr="00524A06" w:rsidRDefault="00524A06" w:rsidP="00524A06">
            <w:pPr>
              <w:rPr>
                <w:rFonts w:cs="Arial"/>
              </w:rPr>
            </w:pPr>
          </w:p>
        </w:tc>
      </w:tr>
      <w:tr w:rsidR="00524A06" w14:paraId="226B18BB" w14:textId="77777777" w:rsidTr="00524A06">
        <w:tc>
          <w:tcPr>
            <w:tcW w:w="1170" w:type="dxa"/>
          </w:tcPr>
          <w:p w14:paraId="3C168AB5" w14:textId="75691808" w:rsidR="00524A06" w:rsidRPr="00524A06" w:rsidRDefault="00524A06" w:rsidP="00524A06">
            <w:pPr>
              <w:rPr>
                <w:rFonts w:cs="Arial"/>
              </w:rPr>
            </w:pPr>
            <w:r w:rsidRPr="00524A06">
              <w:rPr>
                <w:rFonts w:cs="Arial"/>
                <w:i/>
                <w:iCs/>
              </w:rPr>
              <w:t>Нарушени я на кожата и подкожна -та тъкан</w:t>
            </w:r>
          </w:p>
        </w:tc>
        <w:tc>
          <w:tcPr>
            <w:tcW w:w="1557" w:type="dxa"/>
          </w:tcPr>
          <w:p w14:paraId="47D40B69" w14:textId="77777777" w:rsidR="00524A06" w:rsidRPr="00524A06" w:rsidRDefault="00524A06" w:rsidP="00524A06">
            <w:pPr>
              <w:rPr>
                <w:rFonts w:cs="Arial"/>
              </w:rPr>
            </w:pPr>
          </w:p>
        </w:tc>
        <w:tc>
          <w:tcPr>
            <w:tcW w:w="1410" w:type="dxa"/>
          </w:tcPr>
          <w:p w14:paraId="2CC683D4" w14:textId="77777777" w:rsidR="00524A06" w:rsidRPr="00524A06" w:rsidRDefault="00524A06" w:rsidP="00524A06">
            <w:pPr>
              <w:rPr>
                <w:rFonts w:cs="Arial"/>
              </w:rPr>
            </w:pPr>
          </w:p>
        </w:tc>
        <w:tc>
          <w:tcPr>
            <w:tcW w:w="1646" w:type="dxa"/>
          </w:tcPr>
          <w:p w14:paraId="56BC16D5" w14:textId="77777777" w:rsidR="00524A06" w:rsidRPr="00524A06" w:rsidRDefault="00524A06" w:rsidP="00524A06">
            <w:pPr>
              <w:rPr>
                <w:rFonts w:cs="Arial"/>
              </w:rPr>
            </w:pPr>
          </w:p>
        </w:tc>
        <w:tc>
          <w:tcPr>
            <w:tcW w:w="1239" w:type="dxa"/>
          </w:tcPr>
          <w:p w14:paraId="08C4D9C6" w14:textId="77777777" w:rsidR="00524A06" w:rsidRPr="00524A06" w:rsidRDefault="00524A06" w:rsidP="00524A06">
            <w:pPr>
              <w:rPr>
                <w:rFonts w:cs="Arial"/>
              </w:rPr>
            </w:pPr>
          </w:p>
        </w:tc>
        <w:tc>
          <w:tcPr>
            <w:tcW w:w="1155" w:type="dxa"/>
            <w:vAlign w:val="bottom"/>
          </w:tcPr>
          <w:p w14:paraId="5BCBD7A0" w14:textId="77777777" w:rsidR="00524A06" w:rsidRPr="00524A06" w:rsidRDefault="00524A06" w:rsidP="00524A06">
            <w:pPr>
              <w:rPr>
                <w:rFonts w:cs="Arial"/>
              </w:rPr>
            </w:pPr>
            <w:r w:rsidRPr="00524A06">
              <w:rPr>
                <w:rFonts w:cs="Arial"/>
              </w:rPr>
              <w:t>Ангиодем</w:t>
            </w:r>
            <w:r w:rsidRPr="00524A06">
              <w:rPr>
                <w:rFonts w:cs="Arial"/>
                <w:vertAlign w:val="superscript"/>
              </w:rPr>
              <w:t>5</w:t>
            </w:r>
            <w:r w:rsidRPr="00524A06">
              <w:rPr>
                <w:rFonts w:cs="Arial"/>
              </w:rPr>
              <w:t>,</w:t>
            </w:r>
          </w:p>
          <w:p w14:paraId="361C048B" w14:textId="77777777" w:rsidR="00524A06" w:rsidRPr="00524A06" w:rsidRDefault="00524A06" w:rsidP="00524A06">
            <w:pPr>
              <w:rPr>
                <w:rFonts w:cs="Arial"/>
              </w:rPr>
            </w:pPr>
            <w:r w:rsidRPr="00524A06">
              <w:rPr>
                <w:rFonts w:cs="Arial"/>
              </w:rPr>
              <w:t>синдром на</w:t>
            </w:r>
          </w:p>
          <w:p w14:paraId="6BE72627" w14:textId="77777777" w:rsidR="00524A06" w:rsidRPr="00524A06" w:rsidRDefault="00524A06" w:rsidP="00524A06">
            <w:pPr>
              <w:rPr>
                <w:rFonts w:cs="Arial"/>
              </w:rPr>
            </w:pPr>
            <w:r w:rsidRPr="00524A06">
              <w:rPr>
                <w:rFonts w:cs="Arial"/>
                <w:lang w:val="en-US"/>
              </w:rPr>
              <w:t>Stevens</w:t>
            </w:r>
            <w:r w:rsidRPr="00524A06">
              <w:rPr>
                <w:rFonts w:cs="Arial"/>
                <w:lang w:val="ru-RU"/>
              </w:rPr>
              <w:t>-</w:t>
            </w:r>
          </w:p>
          <w:p w14:paraId="02E34618" w14:textId="1DAFA852" w:rsidR="00524A06" w:rsidRPr="00524A06" w:rsidRDefault="00524A06" w:rsidP="00524A06">
            <w:pPr>
              <w:rPr>
                <w:rFonts w:cs="Arial"/>
              </w:rPr>
            </w:pPr>
            <w:r w:rsidRPr="00524A06">
              <w:rPr>
                <w:rFonts w:cs="Arial"/>
                <w:lang w:val="en-US"/>
              </w:rPr>
              <w:t>Johnson</w:t>
            </w:r>
            <w:r w:rsidRPr="00524A06">
              <w:rPr>
                <w:rFonts w:cs="Arial"/>
                <w:vertAlign w:val="superscript"/>
                <w:lang w:val="ru-RU"/>
              </w:rPr>
              <w:t>5</w:t>
            </w:r>
          </w:p>
        </w:tc>
        <w:tc>
          <w:tcPr>
            <w:tcW w:w="1399" w:type="dxa"/>
            <w:vAlign w:val="bottom"/>
          </w:tcPr>
          <w:p w14:paraId="6FA09B97" w14:textId="77777777" w:rsidR="00524A06" w:rsidRPr="00524A06" w:rsidRDefault="00524A06" w:rsidP="00524A06">
            <w:pPr>
              <w:rPr>
                <w:rFonts w:cs="Arial"/>
              </w:rPr>
            </w:pPr>
            <w:r w:rsidRPr="00524A06">
              <w:rPr>
                <w:rFonts w:cs="Arial"/>
              </w:rPr>
              <w:t>Токсична</w:t>
            </w:r>
          </w:p>
          <w:p w14:paraId="0DBE9953" w14:textId="77777777" w:rsidR="00524A06" w:rsidRPr="00524A06" w:rsidRDefault="00524A06" w:rsidP="00524A06">
            <w:pPr>
              <w:rPr>
                <w:rFonts w:cs="Arial"/>
              </w:rPr>
            </w:pPr>
            <w:r w:rsidRPr="00524A06">
              <w:rPr>
                <w:rFonts w:cs="Arial"/>
              </w:rPr>
              <w:t>Епидермална некролиза,</w:t>
            </w:r>
          </w:p>
          <w:p w14:paraId="00400B51" w14:textId="77777777" w:rsidR="00524A06" w:rsidRPr="00524A06" w:rsidRDefault="00524A06" w:rsidP="00524A06">
            <w:pPr>
              <w:rPr>
                <w:rFonts w:cs="Arial"/>
              </w:rPr>
            </w:pPr>
            <w:r w:rsidRPr="00524A06">
              <w:rPr>
                <w:rFonts w:cs="Arial"/>
              </w:rPr>
              <w:t xml:space="preserve">Еритема мулти-форме, </w:t>
            </w:r>
          </w:p>
          <w:p w14:paraId="5CE79F7E" w14:textId="77777777" w:rsidR="00524A06" w:rsidRPr="00524A06" w:rsidRDefault="00524A06" w:rsidP="00524A06">
            <w:pPr>
              <w:rPr>
                <w:rFonts w:cs="Arial"/>
              </w:rPr>
            </w:pPr>
            <w:r w:rsidRPr="00524A06">
              <w:rPr>
                <w:rFonts w:cs="Arial"/>
              </w:rPr>
              <w:lastRenderedPageBreak/>
              <w:t>Тенерализира</w:t>
            </w:r>
          </w:p>
          <w:p w14:paraId="6404ACEE" w14:textId="177B9056" w:rsidR="00524A06" w:rsidRPr="00524A06" w:rsidRDefault="00524A06" w:rsidP="00524A06">
            <w:pPr>
              <w:spacing w:line="240" w:lineRule="auto"/>
              <w:rPr>
                <w:rFonts w:eastAsia="Times New Roman" w:cs="Arial"/>
              </w:rPr>
            </w:pPr>
            <w:r w:rsidRPr="00524A06">
              <w:rPr>
                <w:rFonts w:eastAsia="Times New Roman" w:cs="Arial"/>
                <w:color w:val="000000"/>
                <w:lang w:eastAsia="bg-BG"/>
              </w:rPr>
              <w:t xml:space="preserve">на екзантемна пустулоза </w:t>
            </w:r>
            <w:r w:rsidRPr="00524A06">
              <w:rPr>
                <w:rFonts w:eastAsia="Times New Roman" w:cs="Arial"/>
                <w:color w:val="000000"/>
                <w:lang w:val="ru-RU"/>
              </w:rPr>
              <w:t>(</w:t>
            </w:r>
            <w:r w:rsidRPr="00524A06">
              <w:rPr>
                <w:rFonts w:eastAsia="Times New Roman" w:cs="Arial"/>
                <w:color w:val="000000"/>
                <w:lang w:val="en-US"/>
              </w:rPr>
              <w:t>AGEP</w:t>
            </w:r>
            <w:r w:rsidRPr="00524A06">
              <w:rPr>
                <w:rFonts w:eastAsia="Times New Roman" w:cs="Arial"/>
                <w:color w:val="000000"/>
                <w:lang w:val="ru-RU"/>
              </w:rPr>
              <w:t xml:space="preserve">), </w:t>
            </w:r>
            <w:r w:rsidRPr="00524A06">
              <w:rPr>
                <w:rFonts w:eastAsia="Times New Roman" w:cs="Arial"/>
                <w:color w:val="000000"/>
                <w:lang w:eastAsia="bg-BG"/>
              </w:rPr>
              <w:t xml:space="preserve">лекарствена реакция с еозинофилия и системни симптоми </w:t>
            </w:r>
            <w:r w:rsidRPr="00524A06">
              <w:rPr>
                <w:rFonts w:eastAsia="Times New Roman" w:cs="Arial"/>
                <w:color w:val="000000"/>
                <w:lang w:val="ru-RU"/>
              </w:rPr>
              <w:t>(</w:t>
            </w:r>
            <w:r w:rsidRPr="00524A06">
              <w:rPr>
                <w:rFonts w:eastAsia="Times New Roman" w:cs="Arial"/>
                <w:color w:val="000000"/>
                <w:lang w:val="en-US"/>
              </w:rPr>
              <w:t>DRESS</w:t>
            </w:r>
            <w:r w:rsidRPr="00524A06">
              <w:rPr>
                <w:rFonts w:eastAsia="Times New Roman" w:cs="Arial"/>
                <w:color w:val="000000"/>
                <w:lang w:val="ru-RU"/>
              </w:rPr>
              <w:t xml:space="preserve">), </w:t>
            </w:r>
            <w:r w:rsidRPr="00524A06">
              <w:rPr>
                <w:rFonts w:eastAsia="Times New Roman" w:cs="Arial"/>
                <w:color w:val="000000"/>
                <w:lang w:eastAsia="bg-BG"/>
              </w:rPr>
              <w:t>кожен васкулит</w:t>
            </w:r>
          </w:p>
        </w:tc>
      </w:tr>
      <w:tr w:rsidR="00524A06" w14:paraId="2583DD15" w14:textId="77777777" w:rsidTr="00524A06">
        <w:tc>
          <w:tcPr>
            <w:tcW w:w="1170" w:type="dxa"/>
          </w:tcPr>
          <w:p w14:paraId="01A0887E" w14:textId="1B66F757" w:rsidR="00524A06" w:rsidRPr="00524A06" w:rsidRDefault="00524A06" w:rsidP="00524A06">
            <w:r w:rsidRPr="00524A06">
              <w:rPr>
                <w:i/>
                <w:iCs/>
                <w:szCs w:val="20"/>
              </w:rPr>
              <w:lastRenderedPageBreak/>
              <w:t>Нарушени яна мускулно- скелетна та система и съедини</w:t>
            </w:r>
            <w:r w:rsidRPr="00524A06">
              <w:rPr>
                <w:i/>
                <w:iCs/>
                <w:szCs w:val="20"/>
              </w:rPr>
              <w:softHyphen/>
              <w:t>телната тъкан</w:t>
            </w:r>
          </w:p>
        </w:tc>
        <w:tc>
          <w:tcPr>
            <w:tcW w:w="1557" w:type="dxa"/>
          </w:tcPr>
          <w:p w14:paraId="06A0F2FD" w14:textId="77777777" w:rsidR="00524A06" w:rsidRPr="00524A06" w:rsidRDefault="00524A06" w:rsidP="00524A06"/>
        </w:tc>
        <w:tc>
          <w:tcPr>
            <w:tcW w:w="1410" w:type="dxa"/>
          </w:tcPr>
          <w:p w14:paraId="679683A3" w14:textId="77777777" w:rsidR="00524A06" w:rsidRPr="00524A06" w:rsidRDefault="00524A06" w:rsidP="00524A06"/>
        </w:tc>
        <w:tc>
          <w:tcPr>
            <w:tcW w:w="1646" w:type="dxa"/>
          </w:tcPr>
          <w:p w14:paraId="1445049A" w14:textId="77777777" w:rsidR="00524A06" w:rsidRPr="00524A06" w:rsidRDefault="00524A06" w:rsidP="00524A06"/>
        </w:tc>
        <w:tc>
          <w:tcPr>
            <w:tcW w:w="1239" w:type="dxa"/>
          </w:tcPr>
          <w:p w14:paraId="36CE5041" w14:textId="77777777" w:rsidR="00524A06" w:rsidRPr="00524A06" w:rsidRDefault="00524A06" w:rsidP="00524A06"/>
        </w:tc>
        <w:tc>
          <w:tcPr>
            <w:tcW w:w="1155" w:type="dxa"/>
          </w:tcPr>
          <w:p w14:paraId="23E98BF5" w14:textId="582B8FD5" w:rsidR="00524A06" w:rsidRPr="00524A06" w:rsidRDefault="00524A06" w:rsidP="00524A06">
            <w:r w:rsidRPr="00524A06">
              <w:rPr>
                <w:szCs w:val="20"/>
              </w:rPr>
              <w:t>Рабдомио- лиза</w:t>
            </w:r>
          </w:p>
        </w:tc>
        <w:tc>
          <w:tcPr>
            <w:tcW w:w="1399" w:type="dxa"/>
          </w:tcPr>
          <w:p w14:paraId="51AAEE46" w14:textId="77777777" w:rsidR="00524A06" w:rsidRPr="00524A06" w:rsidRDefault="00524A06" w:rsidP="00524A06"/>
        </w:tc>
      </w:tr>
      <w:tr w:rsidR="00524A06" w14:paraId="11C2CBE8" w14:textId="77777777" w:rsidTr="00524A06">
        <w:tc>
          <w:tcPr>
            <w:tcW w:w="1170" w:type="dxa"/>
          </w:tcPr>
          <w:p w14:paraId="4EC52673" w14:textId="1A39C64F" w:rsidR="00524A06" w:rsidRPr="00524A06" w:rsidRDefault="00524A06" w:rsidP="00524A06">
            <w:r w:rsidRPr="00524A06">
              <w:rPr>
                <w:i/>
                <w:iCs/>
                <w:szCs w:val="20"/>
              </w:rPr>
              <w:t>Нарушени яна бъбреците и пикочните пътища</w:t>
            </w:r>
          </w:p>
        </w:tc>
        <w:tc>
          <w:tcPr>
            <w:tcW w:w="1557" w:type="dxa"/>
          </w:tcPr>
          <w:p w14:paraId="7C60EFFA" w14:textId="77777777" w:rsidR="00524A06" w:rsidRPr="00524A06" w:rsidRDefault="00524A06" w:rsidP="00524A06"/>
        </w:tc>
        <w:tc>
          <w:tcPr>
            <w:tcW w:w="1410" w:type="dxa"/>
          </w:tcPr>
          <w:p w14:paraId="2DE340BC" w14:textId="77777777" w:rsidR="00524A06" w:rsidRPr="00524A06" w:rsidRDefault="00524A06" w:rsidP="00524A06"/>
        </w:tc>
        <w:tc>
          <w:tcPr>
            <w:tcW w:w="1646" w:type="dxa"/>
          </w:tcPr>
          <w:p w14:paraId="023729F8" w14:textId="357975B4" w:rsidR="00524A06" w:rsidRPr="00524A06" w:rsidRDefault="00524A06" w:rsidP="00524A06">
            <w:r w:rsidRPr="00524A06">
              <w:rPr>
                <w:szCs w:val="20"/>
              </w:rPr>
              <w:t>Задържане на урина</w:t>
            </w:r>
          </w:p>
        </w:tc>
        <w:tc>
          <w:tcPr>
            <w:tcW w:w="1239" w:type="dxa"/>
          </w:tcPr>
          <w:p w14:paraId="1951AF04" w14:textId="77777777" w:rsidR="00524A06" w:rsidRPr="00524A06" w:rsidRDefault="00524A06" w:rsidP="00524A06"/>
        </w:tc>
        <w:tc>
          <w:tcPr>
            <w:tcW w:w="1155" w:type="dxa"/>
          </w:tcPr>
          <w:p w14:paraId="6DB3EE77" w14:textId="77777777" w:rsidR="00524A06" w:rsidRPr="00524A06" w:rsidRDefault="00524A06" w:rsidP="00524A06"/>
        </w:tc>
        <w:tc>
          <w:tcPr>
            <w:tcW w:w="1399" w:type="dxa"/>
          </w:tcPr>
          <w:p w14:paraId="2AD03D0C" w14:textId="77777777" w:rsidR="00524A06" w:rsidRPr="00524A06" w:rsidRDefault="00524A06" w:rsidP="00524A06"/>
        </w:tc>
      </w:tr>
      <w:tr w:rsidR="00524A06" w14:paraId="468BDF4D" w14:textId="77777777" w:rsidTr="00524A06">
        <w:tc>
          <w:tcPr>
            <w:tcW w:w="1170" w:type="dxa"/>
          </w:tcPr>
          <w:p w14:paraId="79152EE3" w14:textId="0FA54C4A" w:rsidR="00524A06" w:rsidRPr="00524A06" w:rsidRDefault="00524A06" w:rsidP="00524A06">
            <w:r w:rsidRPr="00524A06">
              <w:rPr>
                <w:i/>
                <w:iCs/>
                <w:szCs w:val="20"/>
              </w:rPr>
              <w:t>Състояни я свързани с бремен</w:t>
            </w:r>
            <w:r w:rsidRPr="00524A06">
              <w:rPr>
                <w:i/>
                <w:iCs/>
                <w:szCs w:val="20"/>
              </w:rPr>
              <w:softHyphen/>
              <w:t>ността, родовия и послеродо -вия период</w:t>
            </w:r>
          </w:p>
        </w:tc>
        <w:tc>
          <w:tcPr>
            <w:tcW w:w="1557" w:type="dxa"/>
          </w:tcPr>
          <w:p w14:paraId="3CB4AFBA" w14:textId="77777777" w:rsidR="00524A06" w:rsidRPr="00524A06" w:rsidRDefault="00524A06" w:rsidP="00524A06"/>
        </w:tc>
        <w:tc>
          <w:tcPr>
            <w:tcW w:w="1410" w:type="dxa"/>
          </w:tcPr>
          <w:p w14:paraId="7AC656BF" w14:textId="77777777" w:rsidR="00524A06" w:rsidRPr="00524A06" w:rsidRDefault="00524A06" w:rsidP="00524A06"/>
        </w:tc>
        <w:tc>
          <w:tcPr>
            <w:tcW w:w="1646" w:type="dxa"/>
          </w:tcPr>
          <w:p w14:paraId="25FAD7F9" w14:textId="77777777" w:rsidR="00524A06" w:rsidRPr="00524A06" w:rsidRDefault="00524A06" w:rsidP="00524A06"/>
        </w:tc>
        <w:tc>
          <w:tcPr>
            <w:tcW w:w="1239" w:type="dxa"/>
          </w:tcPr>
          <w:p w14:paraId="233C253B" w14:textId="77777777" w:rsidR="00524A06" w:rsidRPr="00524A06" w:rsidRDefault="00524A06" w:rsidP="00524A06"/>
        </w:tc>
        <w:tc>
          <w:tcPr>
            <w:tcW w:w="1155" w:type="dxa"/>
          </w:tcPr>
          <w:p w14:paraId="556CFDA2" w14:textId="77777777" w:rsidR="00524A06" w:rsidRPr="00524A06" w:rsidRDefault="00524A06" w:rsidP="00524A06"/>
        </w:tc>
        <w:tc>
          <w:tcPr>
            <w:tcW w:w="1399" w:type="dxa"/>
          </w:tcPr>
          <w:p w14:paraId="514B0857" w14:textId="536C7AD0" w:rsidR="00524A06" w:rsidRPr="00524A06" w:rsidRDefault="00524A06" w:rsidP="00524A06">
            <w:r w:rsidRPr="00524A06">
              <w:rPr>
                <w:szCs w:val="20"/>
              </w:rPr>
              <w:t>Неонатален синдром на отнемане</w:t>
            </w:r>
            <w:r w:rsidRPr="00524A06">
              <w:rPr>
                <w:szCs w:val="20"/>
                <w:vertAlign w:val="superscript"/>
              </w:rPr>
              <w:t>31</w:t>
            </w:r>
          </w:p>
        </w:tc>
      </w:tr>
      <w:tr w:rsidR="00524A06" w14:paraId="11364D5C" w14:textId="77777777" w:rsidTr="00524A06">
        <w:tc>
          <w:tcPr>
            <w:tcW w:w="1170" w:type="dxa"/>
          </w:tcPr>
          <w:p w14:paraId="7F0263D0" w14:textId="03B065CB" w:rsidR="00524A06" w:rsidRPr="00524A06" w:rsidRDefault="00524A06" w:rsidP="00524A06">
            <w:r w:rsidRPr="00524A06">
              <w:rPr>
                <w:i/>
                <w:iCs/>
                <w:szCs w:val="20"/>
              </w:rPr>
              <w:t xml:space="preserve">Нарушени я на </w:t>
            </w:r>
            <w:r w:rsidRPr="00524A06">
              <w:rPr>
                <w:i/>
                <w:iCs/>
                <w:szCs w:val="20"/>
              </w:rPr>
              <w:lastRenderedPageBreak/>
              <w:t>репродук</w:t>
            </w:r>
            <w:r w:rsidRPr="00524A06">
              <w:rPr>
                <w:i/>
                <w:iCs/>
                <w:szCs w:val="20"/>
              </w:rPr>
              <w:softHyphen/>
              <w:t>тивната система и гърдата</w:t>
            </w:r>
          </w:p>
        </w:tc>
        <w:tc>
          <w:tcPr>
            <w:tcW w:w="1557" w:type="dxa"/>
          </w:tcPr>
          <w:p w14:paraId="19BC1069" w14:textId="77777777" w:rsidR="00524A06" w:rsidRPr="00524A06" w:rsidRDefault="00524A06" w:rsidP="00524A06"/>
        </w:tc>
        <w:tc>
          <w:tcPr>
            <w:tcW w:w="1410" w:type="dxa"/>
          </w:tcPr>
          <w:p w14:paraId="5ECE4AB5" w14:textId="77777777" w:rsidR="00524A06" w:rsidRPr="00524A06" w:rsidRDefault="00524A06" w:rsidP="00524A06"/>
        </w:tc>
        <w:tc>
          <w:tcPr>
            <w:tcW w:w="1646" w:type="dxa"/>
          </w:tcPr>
          <w:p w14:paraId="2B14F54C" w14:textId="213DC343" w:rsidR="00524A06" w:rsidRPr="00524A06" w:rsidRDefault="00524A06" w:rsidP="00524A06">
            <w:r w:rsidRPr="00524A06">
              <w:rPr>
                <w:szCs w:val="20"/>
              </w:rPr>
              <w:t>Сексуална дисфункция</w:t>
            </w:r>
          </w:p>
        </w:tc>
        <w:tc>
          <w:tcPr>
            <w:tcW w:w="1239" w:type="dxa"/>
          </w:tcPr>
          <w:p w14:paraId="5978A2C0" w14:textId="77777777" w:rsidR="00524A06" w:rsidRPr="00524A06" w:rsidRDefault="00524A06" w:rsidP="00524A06">
            <w:r w:rsidRPr="00524A06">
              <w:rPr>
                <w:szCs w:val="20"/>
              </w:rPr>
              <w:t>Приапизъм</w:t>
            </w:r>
          </w:p>
          <w:p w14:paraId="5E131B88" w14:textId="04088F8C" w:rsidR="00524A06" w:rsidRPr="00524A06" w:rsidRDefault="00524A06" w:rsidP="00524A06">
            <w:r w:rsidRPr="00524A06">
              <w:rPr>
                <w:szCs w:val="20"/>
              </w:rPr>
              <w:lastRenderedPageBreak/>
              <w:t>Галакторея ,оток на гърдата, менструалн и нарушения</w:t>
            </w:r>
          </w:p>
        </w:tc>
        <w:tc>
          <w:tcPr>
            <w:tcW w:w="1155" w:type="dxa"/>
          </w:tcPr>
          <w:p w14:paraId="1E140FB8" w14:textId="77777777" w:rsidR="00524A06" w:rsidRPr="00524A06" w:rsidRDefault="00524A06" w:rsidP="00524A06"/>
        </w:tc>
        <w:tc>
          <w:tcPr>
            <w:tcW w:w="1399" w:type="dxa"/>
          </w:tcPr>
          <w:p w14:paraId="02ABBB1F" w14:textId="77777777" w:rsidR="00524A06" w:rsidRPr="00524A06" w:rsidRDefault="00524A06" w:rsidP="00524A06"/>
        </w:tc>
      </w:tr>
      <w:tr w:rsidR="00524A06" w14:paraId="6D8B4248" w14:textId="77777777" w:rsidTr="00524A06">
        <w:tc>
          <w:tcPr>
            <w:tcW w:w="1170" w:type="dxa"/>
          </w:tcPr>
          <w:p w14:paraId="6B4285A2" w14:textId="5777A1A2" w:rsidR="00524A06" w:rsidRPr="00524A06" w:rsidRDefault="00524A06" w:rsidP="00524A06">
            <w:r w:rsidRPr="00524A06">
              <w:rPr>
                <w:i/>
                <w:iCs/>
                <w:szCs w:val="20"/>
              </w:rPr>
              <w:t>Общи нарушения и нарушения на мястото на приложе</w:t>
            </w:r>
            <w:r w:rsidRPr="00524A06">
              <w:rPr>
                <w:i/>
                <w:iCs/>
                <w:szCs w:val="20"/>
              </w:rPr>
              <w:softHyphen/>
              <w:t>ние</w:t>
            </w:r>
          </w:p>
        </w:tc>
        <w:tc>
          <w:tcPr>
            <w:tcW w:w="1557" w:type="dxa"/>
          </w:tcPr>
          <w:p w14:paraId="720D8611" w14:textId="2380B166" w:rsidR="00524A06" w:rsidRPr="00524A06" w:rsidRDefault="00524A06" w:rsidP="00524A06">
            <w:r w:rsidRPr="00524A06">
              <w:rPr>
                <w:szCs w:val="20"/>
              </w:rPr>
              <w:t>Абстинетни симптоми (на отнемане)</w:t>
            </w:r>
            <w:r w:rsidRPr="00524A06">
              <w:rPr>
                <w:szCs w:val="20"/>
                <w:vertAlign w:val="superscript"/>
              </w:rPr>
              <w:t>1,9</w:t>
            </w:r>
          </w:p>
        </w:tc>
        <w:tc>
          <w:tcPr>
            <w:tcW w:w="1410" w:type="dxa"/>
          </w:tcPr>
          <w:p w14:paraId="0BDD41E0" w14:textId="1B225EF6" w:rsidR="00524A06" w:rsidRPr="00524A06" w:rsidRDefault="00524A06" w:rsidP="00524A06">
            <w:r w:rsidRPr="00524A06">
              <w:rPr>
                <w:szCs w:val="20"/>
              </w:rPr>
              <w:t>Лека астения, периферен оток, раздразни</w:t>
            </w:r>
            <w:r w:rsidRPr="00524A06">
              <w:rPr>
                <w:szCs w:val="20"/>
              </w:rPr>
              <w:softHyphen/>
              <w:t>телност, пирексия</w:t>
            </w:r>
          </w:p>
        </w:tc>
        <w:tc>
          <w:tcPr>
            <w:tcW w:w="1646" w:type="dxa"/>
          </w:tcPr>
          <w:p w14:paraId="4234E00D" w14:textId="77777777" w:rsidR="00524A06" w:rsidRPr="00524A06" w:rsidRDefault="00524A06" w:rsidP="00524A06"/>
        </w:tc>
        <w:tc>
          <w:tcPr>
            <w:tcW w:w="1239" w:type="dxa"/>
          </w:tcPr>
          <w:p w14:paraId="01843CFA" w14:textId="10A1D318" w:rsidR="00524A06" w:rsidRPr="00524A06" w:rsidRDefault="00524A06" w:rsidP="00524A06">
            <w:r w:rsidRPr="00524A06">
              <w:rPr>
                <w:szCs w:val="20"/>
              </w:rPr>
              <w:t>Невролепт и-чен малитнен синдром</w:t>
            </w:r>
            <w:r w:rsidRPr="00524A06">
              <w:rPr>
                <w:szCs w:val="20"/>
                <w:vertAlign w:val="superscript"/>
              </w:rPr>
              <w:t>1</w:t>
            </w:r>
            <w:r w:rsidRPr="00524A06">
              <w:rPr>
                <w:szCs w:val="20"/>
              </w:rPr>
              <w:t>, хипотерми я</w:t>
            </w:r>
          </w:p>
        </w:tc>
        <w:tc>
          <w:tcPr>
            <w:tcW w:w="1155" w:type="dxa"/>
          </w:tcPr>
          <w:p w14:paraId="4923E5A9" w14:textId="77777777" w:rsidR="00524A06" w:rsidRPr="00524A06" w:rsidRDefault="00524A06" w:rsidP="00524A06"/>
        </w:tc>
        <w:tc>
          <w:tcPr>
            <w:tcW w:w="1399" w:type="dxa"/>
          </w:tcPr>
          <w:p w14:paraId="012E6FFF" w14:textId="77777777" w:rsidR="00524A06" w:rsidRPr="00524A06" w:rsidRDefault="00524A06" w:rsidP="00524A06"/>
        </w:tc>
      </w:tr>
      <w:tr w:rsidR="00524A06" w14:paraId="26DED387" w14:textId="77777777" w:rsidTr="00524A06">
        <w:tc>
          <w:tcPr>
            <w:tcW w:w="1170" w:type="dxa"/>
          </w:tcPr>
          <w:p w14:paraId="127AAA4A" w14:textId="2B2BFD63" w:rsidR="00524A06" w:rsidRPr="00524A06" w:rsidRDefault="00524A06" w:rsidP="00524A06">
            <w:r w:rsidRPr="00524A06">
              <w:rPr>
                <w:i/>
                <w:iCs/>
                <w:szCs w:val="20"/>
              </w:rPr>
              <w:t>Изследва</w:t>
            </w:r>
            <w:r w:rsidRPr="00524A06">
              <w:rPr>
                <w:i/>
                <w:iCs/>
                <w:szCs w:val="20"/>
              </w:rPr>
              <w:softHyphen/>
              <w:t>ния</w:t>
            </w:r>
          </w:p>
        </w:tc>
        <w:tc>
          <w:tcPr>
            <w:tcW w:w="1557" w:type="dxa"/>
          </w:tcPr>
          <w:p w14:paraId="06E387B8" w14:textId="77777777" w:rsidR="00524A06" w:rsidRPr="00524A06" w:rsidRDefault="00524A06" w:rsidP="00524A06"/>
        </w:tc>
        <w:tc>
          <w:tcPr>
            <w:tcW w:w="1410" w:type="dxa"/>
          </w:tcPr>
          <w:p w14:paraId="61DA3F1C" w14:textId="77777777" w:rsidR="00524A06" w:rsidRPr="00524A06" w:rsidRDefault="00524A06" w:rsidP="00524A06"/>
        </w:tc>
        <w:tc>
          <w:tcPr>
            <w:tcW w:w="1646" w:type="dxa"/>
          </w:tcPr>
          <w:p w14:paraId="0CB407E4" w14:textId="77777777" w:rsidR="00524A06" w:rsidRPr="00524A06" w:rsidRDefault="00524A06" w:rsidP="00524A06"/>
        </w:tc>
        <w:tc>
          <w:tcPr>
            <w:tcW w:w="1239" w:type="dxa"/>
          </w:tcPr>
          <w:p w14:paraId="719F6CD3" w14:textId="51A4853F" w:rsidR="00524A06" w:rsidRPr="00524A06" w:rsidRDefault="00524A06" w:rsidP="00524A06">
            <w:r w:rsidRPr="00524A06">
              <w:rPr>
                <w:szCs w:val="20"/>
              </w:rPr>
              <w:t>Повишена креатин фосфокина за в кръвта</w:t>
            </w:r>
            <w:r w:rsidRPr="00524A06">
              <w:rPr>
                <w:szCs w:val="20"/>
                <w:vertAlign w:val="superscript"/>
              </w:rPr>
              <w:t>14</w:t>
            </w:r>
          </w:p>
        </w:tc>
        <w:tc>
          <w:tcPr>
            <w:tcW w:w="1155" w:type="dxa"/>
          </w:tcPr>
          <w:p w14:paraId="0C1EC0EF" w14:textId="77777777" w:rsidR="00524A06" w:rsidRPr="00524A06" w:rsidRDefault="00524A06" w:rsidP="00524A06"/>
        </w:tc>
        <w:tc>
          <w:tcPr>
            <w:tcW w:w="1399" w:type="dxa"/>
          </w:tcPr>
          <w:p w14:paraId="12DC420E" w14:textId="77777777" w:rsidR="00524A06" w:rsidRPr="00524A06" w:rsidRDefault="00524A06" w:rsidP="00524A06"/>
        </w:tc>
      </w:tr>
    </w:tbl>
    <w:p w14:paraId="32CDEB11"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vertAlign w:val="superscript"/>
          <w:lang w:eastAsia="bg-BG"/>
        </w:rPr>
        <w:t>1</w:t>
      </w:r>
      <w:r w:rsidRPr="00524A06">
        <w:rPr>
          <w:rFonts w:eastAsia="Times New Roman" w:cs="Arial"/>
          <w:color w:val="000000"/>
          <w:lang w:eastAsia="bg-BG"/>
        </w:rPr>
        <w:t>Вижте точка 4.4.</w:t>
      </w:r>
    </w:p>
    <w:p w14:paraId="0F955C9D" w14:textId="0FDF793A" w:rsidR="00524A06" w:rsidRPr="00524A06" w:rsidRDefault="00524A06" w:rsidP="00524A06">
      <w:pPr>
        <w:rPr>
          <w:rFonts w:eastAsia="Times New Roman" w:cs="Arial"/>
          <w:color w:val="000000"/>
          <w:lang w:eastAsia="bg-BG"/>
        </w:rPr>
      </w:pPr>
      <w:r w:rsidRPr="00524A06">
        <w:rPr>
          <w:rFonts w:eastAsia="Times New Roman" w:cs="Arial"/>
          <w:color w:val="000000"/>
          <w:vertAlign w:val="superscript"/>
          <w:lang w:eastAsia="bg-BG"/>
        </w:rPr>
        <w:t>2</w:t>
      </w:r>
      <w:r w:rsidRPr="00524A06">
        <w:rPr>
          <w:rFonts w:eastAsia="Times New Roman" w:cs="Arial"/>
          <w:color w:val="000000"/>
          <w:lang w:eastAsia="bg-BG"/>
        </w:rPr>
        <w:t>Сомнолентност може да се появи обикновено през първите две седмици от терапията и като цяло отзвучава с продължаване приложението на кветиапин.</w:t>
      </w:r>
    </w:p>
    <w:p w14:paraId="549338D5" w14:textId="601E7C6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3</w:t>
      </w:r>
      <w:r w:rsidRPr="00524A06">
        <w:rPr>
          <w:rFonts w:eastAsia="Times New Roman" w:cs="Arial"/>
          <w:color w:val="000000"/>
          <w:lang w:eastAsia="bg-BG"/>
        </w:rPr>
        <w:t xml:space="preserve">При някои пациенти на лечение с кветиапин са били наблюдавани безсимптомни повишени нива (от нормални стойности до &gt; ЗхГГН по което и да е време) на серумните трансаминази </w:t>
      </w:r>
      <w:r w:rsidRPr="00524A06">
        <w:rPr>
          <w:rFonts w:eastAsia="Times New Roman" w:cs="Arial"/>
          <w:color w:val="000000"/>
          <w:lang w:val="ru-RU"/>
        </w:rPr>
        <w:t>(</w:t>
      </w:r>
      <w:r w:rsidRPr="00524A06">
        <w:rPr>
          <w:rFonts w:eastAsia="Times New Roman" w:cs="Arial"/>
          <w:color w:val="000000"/>
          <w:lang w:val="en-US"/>
        </w:rPr>
        <w:t>ALT</w:t>
      </w:r>
      <w:r w:rsidRPr="00524A06">
        <w:rPr>
          <w:rFonts w:eastAsia="Times New Roman" w:cs="Arial"/>
          <w:color w:val="000000"/>
          <w:lang w:val="ru-RU"/>
        </w:rPr>
        <w:t xml:space="preserve">, </w:t>
      </w:r>
      <w:r w:rsidRPr="00524A06">
        <w:rPr>
          <w:rFonts w:eastAsia="Times New Roman" w:cs="Arial"/>
          <w:color w:val="000000"/>
          <w:lang w:val="en-US"/>
        </w:rPr>
        <w:t>AST</w:t>
      </w:r>
      <w:r w:rsidRPr="00524A06">
        <w:rPr>
          <w:rFonts w:eastAsia="Times New Roman" w:cs="Arial"/>
          <w:color w:val="000000"/>
          <w:lang w:val="ru-RU"/>
        </w:rPr>
        <w:t xml:space="preserve">) </w:t>
      </w:r>
      <w:r w:rsidRPr="00524A06">
        <w:rPr>
          <w:rFonts w:eastAsia="Times New Roman" w:cs="Arial"/>
          <w:color w:val="000000"/>
          <w:lang w:eastAsia="bg-BG"/>
        </w:rPr>
        <w:t>или гама</w:t>
      </w:r>
      <w:r w:rsidRPr="00524A06">
        <w:rPr>
          <w:rFonts w:eastAsia="Times New Roman" w:cs="Arial"/>
          <w:color w:val="000000"/>
          <w:lang w:val="ru-RU"/>
        </w:rPr>
        <w:t>-</w:t>
      </w:r>
      <w:r w:rsidRPr="00524A06">
        <w:rPr>
          <w:rFonts w:eastAsia="Times New Roman" w:cs="Arial"/>
          <w:color w:val="000000"/>
          <w:lang w:val="en-US"/>
        </w:rPr>
        <w:t>GT</w:t>
      </w:r>
      <w:r w:rsidRPr="00524A06">
        <w:rPr>
          <w:rFonts w:eastAsia="Times New Roman" w:cs="Arial"/>
          <w:color w:val="000000"/>
          <w:lang w:val="ru-RU"/>
        </w:rPr>
        <w:t xml:space="preserve">. </w:t>
      </w:r>
      <w:r w:rsidRPr="00524A06">
        <w:rPr>
          <w:rFonts w:eastAsia="Times New Roman" w:cs="Arial"/>
          <w:color w:val="000000"/>
          <w:lang w:eastAsia="bg-BG"/>
        </w:rPr>
        <w:t>Тези повишения обикновено са били обратими с продължаване на лечението с кветиапин.</w:t>
      </w:r>
    </w:p>
    <w:p w14:paraId="2EF829BB" w14:textId="0C97746F"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4</w:t>
      </w:r>
      <w:r w:rsidRPr="00524A06">
        <w:rPr>
          <w:rFonts w:eastAsia="Times New Roman" w:cs="Arial"/>
          <w:color w:val="000000"/>
          <w:lang w:eastAsia="bg-BG"/>
        </w:rPr>
        <w:t>Както и останалите антипсихотици с алфа-1 адреноблокираща активност, кветиапин може често да индуцира ортостатична хипотония асоциирана със замаяност, тахикардия, а при някои пациенти синкоп, особено в периода на първоначално титриране на дозата (вж. точка 4.4).</w:t>
      </w:r>
    </w:p>
    <w:p w14:paraId="0165C96C" w14:textId="295A6C51"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5</w:t>
      </w:r>
      <w:r w:rsidRPr="00524A06">
        <w:rPr>
          <w:rFonts w:eastAsia="Times New Roman" w:cs="Arial"/>
          <w:color w:val="000000"/>
          <w:lang w:eastAsia="bg-BG"/>
        </w:rPr>
        <w:t>Изчисляването на честотата на тези нежелани реакции е направено само въз основа на данните от постмаркетинговия опит.</w:t>
      </w:r>
    </w:p>
    <w:p w14:paraId="38ECE996" w14:textId="0CFA166D"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6</w:t>
      </w:r>
      <w:r w:rsidRPr="00524A06">
        <w:rPr>
          <w:rFonts w:eastAsia="Times New Roman" w:cs="Arial"/>
          <w:color w:val="000000"/>
          <w:lang w:eastAsia="bg-BG"/>
        </w:rPr>
        <w:t xml:space="preserve">Кръвна захар на гладно &gt; 126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≥7,0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 xml:space="preserve">или след храна &gt; 200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≥11,1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в поне един случай.</w:t>
      </w:r>
    </w:p>
    <w:p w14:paraId="73C9DF8E" w14:textId="713B1382"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7</w:t>
      </w:r>
      <w:r w:rsidRPr="00524A06">
        <w:rPr>
          <w:rFonts w:eastAsia="Times New Roman" w:cs="Arial"/>
          <w:color w:val="000000"/>
          <w:lang w:eastAsia="bg-BG"/>
        </w:rPr>
        <w:t>Повишение степента на дисфагия с кветиапин спрямо плацебо е било наблюдавано само в клинични проучвания при биполярна депресия.</w:t>
      </w:r>
    </w:p>
    <w:p w14:paraId="22923B81" w14:textId="0268601C"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8</w:t>
      </w:r>
      <w:r w:rsidRPr="00524A06">
        <w:rPr>
          <w:rFonts w:eastAsia="Times New Roman" w:cs="Arial"/>
          <w:color w:val="000000"/>
          <w:lang w:eastAsia="bg-BG"/>
        </w:rPr>
        <w:t>Въз основа на &gt;7% повишение на телесното тегло спрямо изходното. Наблюдава се предимно в началните седмици на лечението при възрастни.</w:t>
      </w:r>
    </w:p>
    <w:p w14:paraId="5F019383" w14:textId="21E2303C"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9</w:t>
      </w:r>
      <w:r w:rsidRPr="00524A06">
        <w:rPr>
          <w:rFonts w:eastAsia="Times New Roman" w:cs="Arial"/>
          <w:color w:val="000000"/>
          <w:lang w:eastAsia="bg-BG"/>
        </w:rPr>
        <w:t>Най-често в остри, плацебо контролирани клинични проучвания с монотерапия за оценка на симптомите при прекратяване на лечението, са били наблюдавани следните симптоми на отнемане: безсъние, гадене, главоболие, диария, повръщане, замаяност и раздразнителност. Честотата на тези реакции е намаляла значително 1 седмица след прекратяване на лечението.</w:t>
      </w:r>
    </w:p>
    <w:p w14:paraId="5A84E5A6" w14:textId="13713EA8"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10</w:t>
      </w:r>
      <w:r w:rsidRPr="00524A06">
        <w:rPr>
          <w:rFonts w:eastAsia="Times New Roman" w:cs="Arial"/>
          <w:color w:val="000000"/>
          <w:lang w:eastAsia="bg-BG"/>
        </w:rPr>
        <w:t xml:space="preserve">Триглицериди ≥200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(≥2,258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(пациенти ≥18 години) или ≥150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≥1,694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(пациенти &lt;18 години) в поне един случай.</w:t>
      </w:r>
    </w:p>
    <w:p w14:paraId="0AF5A81D" w14:textId="7777777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lastRenderedPageBreak/>
        <w:t>11</w:t>
      </w:r>
      <w:r w:rsidRPr="00524A06">
        <w:rPr>
          <w:rFonts w:eastAsia="Times New Roman" w:cs="Arial"/>
          <w:color w:val="000000"/>
          <w:lang w:eastAsia="bg-BG"/>
        </w:rPr>
        <w:t xml:space="preserve">Холестерол ≥240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(≥6,2064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 xml:space="preserve">(пациенти ≥18 години) или ≥200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≥5,172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 xml:space="preserve">(пациенти &lt;18 години) в поне един случаи. Много често е било наблюдавано повишение на </w:t>
      </w:r>
      <w:r w:rsidRPr="00524A06">
        <w:rPr>
          <w:rFonts w:eastAsia="Times New Roman" w:cs="Arial"/>
          <w:color w:val="000000"/>
          <w:lang w:val="en-US"/>
        </w:rPr>
        <w:t>LDL</w:t>
      </w:r>
      <w:r w:rsidRPr="00524A06">
        <w:rPr>
          <w:rFonts w:eastAsia="Times New Roman" w:cs="Arial"/>
          <w:color w:val="000000"/>
          <w:lang w:val="ru-RU"/>
        </w:rPr>
        <w:t xml:space="preserve"> </w:t>
      </w:r>
      <w:r w:rsidRPr="00524A06">
        <w:rPr>
          <w:rFonts w:eastAsia="Times New Roman" w:cs="Arial"/>
          <w:color w:val="000000"/>
          <w:lang w:eastAsia="bg-BG"/>
        </w:rPr>
        <w:t xml:space="preserve">холестерола &gt;30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(≥0,769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Средната промяна при пациентите, които са получили такова повишение е била 41,7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£1,07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w:t>
      </w:r>
    </w:p>
    <w:p w14:paraId="1F3B548B" w14:textId="499EB55D"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12</w:t>
      </w:r>
      <w:r w:rsidRPr="00524A06">
        <w:rPr>
          <w:rFonts w:eastAsia="Times New Roman" w:cs="Arial"/>
          <w:color w:val="000000"/>
          <w:lang w:eastAsia="bg-BG"/>
        </w:rPr>
        <w:t>Вижте текста по-долу.</w:t>
      </w:r>
    </w:p>
    <w:p w14:paraId="42271078" w14:textId="713AF612"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13</w:t>
      </w:r>
      <w:r w:rsidRPr="00524A06">
        <w:rPr>
          <w:rFonts w:eastAsia="Times New Roman" w:cs="Arial"/>
          <w:color w:val="000000"/>
          <w:lang w:eastAsia="bg-BG"/>
        </w:rPr>
        <w:t>Тромбоцити ≤100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xml:space="preserve"> в поне един случай.</w:t>
      </w:r>
    </w:p>
    <w:p w14:paraId="6FAF995E" w14:textId="3C68E3D3"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14</w:t>
      </w:r>
      <w:r w:rsidRPr="00524A06">
        <w:rPr>
          <w:rFonts w:eastAsia="Times New Roman" w:cs="Arial"/>
          <w:color w:val="000000"/>
          <w:lang w:eastAsia="bg-BG"/>
        </w:rPr>
        <w:t>Въз основа на клинично проучване, съобщенията за нежелани реакции за повишени стойности на креатин фосфокиназата в кръвта не са били свързани с невролептичен малигнен синдром.</w:t>
      </w:r>
    </w:p>
    <w:p w14:paraId="3E9B99D1" w14:textId="4D425AE1"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15</w:t>
      </w:r>
      <w:r w:rsidRPr="00524A06">
        <w:rPr>
          <w:rFonts w:eastAsia="Times New Roman" w:cs="Arial"/>
          <w:color w:val="000000"/>
          <w:lang w:eastAsia="bg-BG"/>
        </w:rPr>
        <w:t>Нива на пролакгин (пациенти &gt; 18 години): &gt;20 μ</w:t>
      </w:r>
      <w:r w:rsidRPr="00524A06">
        <w:rPr>
          <w:rFonts w:eastAsia="Times New Roman" w:cs="Arial"/>
          <w:color w:val="000000"/>
          <w:lang w:val="en-US"/>
        </w:rPr>
        <w:t>g</w:t>
      </w:r>
      <w:r w:rsidRPr="00524A06">
        <w:rPr>
          <w:rFonts w:eastAsia="Times New Roman" w:cs="Arial"/>
          <w:color w:val="000000"/>
          <w:lang w:val="ru-RU"/>
        </w:rPr>
        <w:t xml:space="preserve"> </w:t>
      </w:r>
      <w:r w:rsidRPr="00524A06">
        <w:rPr>
          <w:rFonts w:eastAsia="Times New Roman" w:cs="Arial"/>
          <w:color w:val="000000"/>
          <w:lang w:eastAsia="bg-BG"/>
        </w:rPr>
        <w:t xml:space="preserve">/1 (&gt;869,56 </w:t>
      </w:r>
      <w:r w:rsidRPr="00524A06">
        <w:rPr>
          <w:rFonts w:eastAsia="Times New Roman" w:cs="Arial"/>
          <w:color w:val="000000"/>
          <w:lang w:val="en-US"/>
        </w:rPr>
        <w:t>pmol</w:t>
      </w:r>
      <w:r w:rsidRPr="00524A06">
        <w:rPr>
          <w:rFonts w:eastAsia="Times New Roman" w:cs="Arial"/>
          <w:color w:val="000000"/>
          <w:lang w:val="ru-RU"/>
        </w:rPr>
        <w:t xml:space="preserve">/1) </w:t>
      </w:r>
      <w:r w:rsidRPr="00524A06">
        <w:rPr>
          <w:rFonts w:eastAsia="Times New Roman" w:cs="Arial"/>
          <w:color w:val="000000"/>
          <w:lang w:eastAsia="bg-BG"/>
        </w:rPr>
        <w:t>мъже; &gt;30 μ</w:t>
      </w:r>
      <w:r w:rsidRPr="00524A06">
        <w:rPr>
          <w:rFonts w:eastAsia="Times New Roman" w:cs="Arial"/>
          <w:color w:val="000000"/>
          <w:lang w:val="en-US"/>
        </w:rPr>
        <w:t>g</w:t>
      </w:r>
      <w:r w:rsidRPr="00524A06">
        <w:rPr>
          <w:rFonts w:eastAsia="Times New Roman" w:cs="Arial"/>
          <w:color w:val="000000"/>
          <w:lang w:val="ru-RU"/>
        </w:rPr>
        <w:t xml:space="preserve"> </w:t>
      </w:r>
      <w:r w:rsidRPr="00524A06">
        <w:rPr>
          <w:rFonts w:eastAsia="Times New Roman" w:cs="Arial"/>
          <w:color w:val="000000"/>
          <w:lang w:eastAsia="bg-BG"/>
        </w:rPr>
        <w:t xml:space="preserve">/1 (&gt;1 304,34 </w:t>
      </w:r>
      <w:r w:rsidRPr="00524A06">
        <w:rPr>
          <w:rFonts w:eastAsia="Times New Roman" w:cs="Arial"/>
          <w:color w:val="000000"/>
          <w:lang w:val="en-US"/>
        </w:rPr>
        <w:t>pmol</w:t>
      </w:r>
      <w:r w:rsidRPr="00524A06">
        <w:rPr>
          <w:rFonts w:eastAsia="Times New Roman" w:cs="Arial"/>
          <w:color w:val="000000"/>
          <w:lang w:val="ru-RU"/>
        </w:rPr>
        <w:t xml:space="preserve">/1) </w:t>
      </w:r>
      <w:r w:rsidRPr="00524A06">
        <w:rPr>
          <w:rFonts w:eastAsia="Times New Roman" w:cs="Arial"/>
          <w:color w:val="000000"/>
          <w:lang w:eastAsia="bg-BG"/>
        </w:rPr>
        <w:t>жени по всяко време.</w:t>
      </w:r>
    </w:p>
    <w:p w14:paraId="7268CBB4" w14:textId="2FE4D906"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16</w:t>
      </w:r>
      <w:r w:rsidRPr="00524A06">
        <w:rPr>
          <w:rFonts w:eastAsia="Times New Roman" w:cs="Arial"/>
          <w:color w:val="000000"/>
          <w:lang w:eastAsia="bg-BG"/>
        </w:rPr>
        <w:t>Може да доведе до припадък.</w:t>
      </w:r>
    </w:p>
    <w:p w14:paraId="395B9DFE" w14:textId="4F96FAF7" w:rsidR="00524A06" w:rsidRPr="00524A06" w:rsidRDefault="00524A06" w:rsidP="00524A06">
      <w:pPr>
        <w:spacing w:line="240" w:lineRule="auto"/>
        <w:rPr>
          <w:rFonts w:eastAsia="Times New Roman" w:cs="Arial"/>
          <w:color w:val="000000"/>
          <w:lang w:val="ru-RU"/>
        </w:rPr>
      </w:pPr>
      <w:r w:rsidRPr="00524A06">
        <w:rPr>
          <w:rFonts w:eastAsia="Times New Roman" w:cs="Arial"/>
          <w:color w:val="000000"/>
          <w:vertAlign w:val="superscript"/>
        </w:rPr>
        <w:t>17</w:t>
      </w:r>
      <w:r w:rsidRPr="00524A06">
        <w:rPr>
          <w:rFonts w:eastAsia="Times New Roman" w:cs="Arial"/>
          <w:color w:val="000000"/>
          <w:lang w:val="en-US"/>
        </w:rPr>
        <w:t>HDL</w:t>
      </w:r>
      <w:r w:rsidRPr="00524A06">
        <w:rPr>
          <w:rFonts w:eastAsia="Times New Roman" w:cs="Arial"/>
          <w:color w:val="000000"/>
          <w:lang w:val="ru-RU"/>
        </w:rPr>
        <w:t xml:space="preserve"> </w:t>
      </w:r>
      <w:r w:rsidRPr="00524A06">
        <w:rPr>
          <w:rFonts w:eastAsia="Times New Roman" w:cs="Arial"/>
          <w:color w:val="000000"/>
          <w:lang w:eastAsia="bg-BG"/>
        </w:rPr>
        <w:t xml:space="preserve">холестерол: &lt;40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(1,025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мъже; &lt;50 </w:t>
      </w:r>
      <w:r w:rsidRPr="00524A06">
        <w:rPr>
          <w:rFonts w:eastAsia="Times New Roman" w:cs="Arial"/>
          <w:color w:val="000000"/>
          <w:lang w:val="en-US"/>
        </w:rPr>
        <w:t>mg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(1,282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жени по всяко време.</w:t>
      </w:r>
    </w:p>
    <w:p w14:paraId="0AC8FECE" w14:textId="5F664BF9"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18</w:t>
      </w:r>
      <w:r w:rsidRPr="00524A06">
        <w:rPr>
          <w:rFonts w:eastAsia="Times New Roman" w:cs="Arial"/>
          <w:color w:val="000000"/>
          <w:lang w:eastAsia="bg-BG"/>
        </w:rPr>
        <w:t xml:space="preserve">Честота на пациенти, при които е било установена промяна на </w:t>
      </w:r>
      <w:r w:rsidRPr="00524A06">
        <w:rPr>
          <w:rFonts w:eastAsia="Times New Roman" w:cs="Arial"/>
          <w:color w:val="000000"/>
          <w:lang w:val="en-US"/>
        </w:rPr>
        <w:t>QT</w:t>
      </w:r>
      <w:r w:rsidRPr="00524A06">
        <w:rPr>
          <w:rFonts w:eastAsia="Times New Roman" w:cs="Arial"/>
          <w:color w:val="000000"/>
          <w:lang w:eastAsia="bg-BG"/>
        </w:rPr>
        <w:t xml:space="preserve">-интервала от &lt;450 </w:t>
      </w:r>
      <w:r w:rsidRPr="00524A06">
        <w:rPr>
          <w:rFonts w:eastAsia="Times New Roman" w:cs="Arial"/>
          <w:color w:val="000000"/>
          <w:lang w:val="en-US"/>
        </w:rPr>
        <w:t>msec</w:t>
      </w:r>
      <w:r w:rsidRPr="00524A06">
        <w:rPr>
          <w:rFonts w:eastAsia="Times New Roman" w:cs="Arial"/>
          <w:color w:val="000000"/>
          <w:lang w:val="ru-RU"/>
        </w:rPr>
        <w:t xml:space="preserve"> </w:t>
      </w:r>
      <w:r w:rsidRPr="00524A06">
        <w:rPr>
          <w:rFonts w:eastAsia="Times New Roman" w:cs="Arial"/>
          <w:color w:val="000000"/>
          <w:lang w:eastAsia="bg-BG"/>
        </w:rPr>
        <w:t>до</w:t>
      </w:r>
    </w:p>
    <w:p w14:paraId="5BE3DD08"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≥450 </w:t>
      </w:r>
      <w:r w:rsidRPr="00524A06">
        <w:rPr>
          <w:rFonts w:eastAsia="Times New Roman" w:cs="Arial"/>
          <w:color w:val="000000"/>
          <w:lang w:val="en-US"/>
        </w:rPr>
        <w:t>msec</w:t>
      </w:r>
      <w:r w:rsidRPr="00524A06">
        <w:rPr>
          <w:rFonts w:eastAsia="Times New Roman" w:cs="Arial"/>
          <w:color w:val="000000"/>
          <w:lang w:val="ru-RU"/>
        </w:rPr>
        <w:t xml:space="preserve"> </w:t>
      </w:r>
      <w:r w:rsidRPr="00524A06">
        <w:rPr>
          <w:rFonts w:eastAsia="Times New Roman" w:cs="Arial"/>
          <w:color w:val="000000"/>
          <w:lang w:eastAsia="bg-BG"/>
        </w:rPr>
        <w:t xml:space="preserve">с ≥30 </w:t>
      </w:r>
      <w:r w:rsidRPr="00524A06">
        <w:rPr>
          <w:rFonts w:eastAsia="Times New Roman" w:cs="Arial"/>
          <w:color w:val="000000"/>
          <w:lang w:val="en-US"/>
        </w:rPr>
        <w:t>msec</w:t>
      </w:r>
      <w:r w:rsidRPr="00524A06">
        <w:rPr>
          <w:rFonts w:eastAsia="Times New Roman" w:cs="Arial"/>
          <w:color w:val="000000"/>
          <w:lang w:val="ru-RU"/>
        </w:rPr>
        <w:t xml:space="preserve"> </w:t>
      </w:r>
      <w:r w:rsidRPr="00524A06">
        <w:rPr>
          <w:rFonts w:eastAsia="Times New Roman" w:cs="Arial"/>
          <w:color w:val="000000"/>
          <w:lang w:eastAsia="bg-BG"/>
        </w:rPr>
        <w:t>удължаване. В плацебо контролирани клинични проучвания с кветиапин, средната промяна и честотата на пациентите с клинично значими нива на промяната са били сходни между групите на кветиапин и плацебо.</w:t>
      </w:r>
    </w:p>
    <w:p w14:paraId="4FA35E96" w14:textId="53C3F1AC"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19</w:t>
      </w:r>
      <w:r w:rsidRPr="00524A06">
        <w:rPr>
          <w:rFonts w:eastAsia="Times New Roman" w:cs="Arial"/>
          <w:color w:val="000000"/>
          <w:lang w:eastAsia="bg-BG"/>
        </w:rPr>
        <w:t xml:space="preserve">Промяна от &gt;132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до ≤132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в поне един случай.</w:t>
      </w:r>
    </w:p>
    <w:p w14:paraId="497082CC" w14:textId="722209C0"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20</w:t>
      </w:r>
      <w:r w:rsidRPr="00524A06">
        <w:rPr>
          <w:rFonts w:eastAsia="Times New Roman" w:cs="Arial"/>
          <w:color w:val="000000"/>
          <w:lang w:eastAsia="bg-BG"/>
        </w:rPr>
        <w:t>По време на лечението с кветиапин или скоро след спиране на терапията (вж. точки 4.4 и 5.1) са били съобщени случаи на суицидна идеация и суицидно поведение.</w:t>
      </w:r>
    </w:p>
    <w:p w14:paraId="7C56B1EF" w14:textId="1FE05110"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21</w:t>
      </w:r>
      <w:r w:rsidRPr="00524A06">
        <w:rPr>
          <w:rFonts w:eastAsia="Times New Roman" w:cs="Arial"/>
          <w:color w:val="000000"/>
          <w:lang w:eastAsia="bg-BG"/>
        </w:rPr>
        <w:t>Вижте точка 5.1</w:t>
      </w:r>
    </w:p>
    <w:p w14:paraId="24F51842" w14:textId="4338C863"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22</w:t>
      </w:r>
      <w:r w:rsidRPr="00524A06">
        <w:rPr>
          <w:rFonts w:eastAsia="Times New Roman" w:cs="Arial"/>
          <w:color w:val="000000"/>
          <w:lang w:eastAsia="bg-BG"/>
        </w:rPr>
        <w:t xml:space="preserve">Във всички клинични проучвания, включително откритите продължения е било наблюдавано намаление на хемоглобина до ≤13 </w:t>
      </w:r>
      <w:r w:rsidRPr="00524A06">
        <w:rPr>
          <w:rFonts w:eastAsia="Times New Roman" w:cs="Arial"/>
          <w:color w:val="000000"/>
          <w:lang w:val="en-US"/>
        </w:rPr>
        <w:t>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(8,07 </w:t>
      </w:r>
      <w:r w:rsidRPr="00524A06">
        <w:rPr>
          <w:rFonts w:eastAsia="Times New Roman" w:cs="Arial"/>
          <w:color w:val="000000"/>
          <w:lang w:val="en-US"/>
        </w:rPr>
        <w:t>mmol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за мъжете и, ≤12 </w:t>
      </w:r>
      <w:r w:rsidRPr="00524A06">
        <w:rPr>
          <w:rFonts w:eastAsia="Times New Roman" w:cs="Arial"/>
          <w:color w:val="000000"/>
          <w:lang w:val="en-US"/>
        </w:rPr>
        <w:t>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 xml:space="preserve"> </w:t>
      </w:r>
      <w:r w:rsidRPr="00524A06">
        <w:rPr>
          <w:rFonts w:eastAsia="Times New Roman" w:cs="Arial"/>
          <w:color w:val="000000"/>
          <w:lang w:eastAsia="bg-BG"/>
        </w:rPr>
        <w:t xml:space="preserve">(7,45 </w:t>
      </w:r>
      <w:r w:rsidRPr="00524A06">
        <w:rPr>
          <w:rFonts w:eastAsia="Times New Roman" w:cs="Arial"/>
          <w:color w:val="000000"/>
          <w:lang w:val="en-US"/>
        </w:rPr>
        <w:t>mmol</w:t>
      </w:r>
      <w:r w:rsidRPr="00524A06">
        <w:rPr>
          <w:rFonts w:eastAsia="Times New Roman" w:cs="Arial"/>
          <w:color w:val="000000"/>
          <w:lang w:val="ru-RU"/>
        </w:rPr>
        <w:t xml:space="preserve">/1) </w:t>
      </w:r>
      <w:r w:rsidRPr="00524A06">
        <w:rPr>
          <w:rFonts w:eastAsia="Times New Roman" w:cs="Arial"/>
          <w:color w:val="000000"/>
          <w:lang w:eastAsia="bg-BG"/>
        </w:rPr>
        <w:t xml:space="preserve">за жени в поне един случаи сред 11% от пациентите с кветиапин. За тези пациентите средното максимално намаление на хемоглобина по което и да е време е било -1,50 </w:t>
      </w:r>
      <w:r w:rsidRPr="00524A06">
        <w:rPr>
          <w:rFonts w:eastAsia="Times New Roman" w:cs="Arial"/>
          <w:color w:val="000000"/>
          <w:lang w:val="en-US"/>
        </w:rPr>
        <w:t>g</w:t>
      </w:r>
      <w:r w:rsidRPr="00524A06">
        <w:rPr>
          <w:rFonts w:eastAsia="Times New Roman" w:cs="Arial"/>
          <w:color w:val="000000"/>
          <w:lang w:val="ru-RU"/>
        </w:rPr>
        <w:t>/</w:t>
      </w:r>
      <w:r w:rsidRPr="00524A06">
        <w:rPr>
          <w:rFonts w:eastAsia="Times New Roman" w:cs="Arial"/>
          <w:color w:val="000000"/>
          <w:lang w:val="en-US"/>
        </w:rPr>
        <w:t>dl</w:t>
      </w:r>
      <w:r w:rsidRPr="00524A06">
        <w:rPr>
          <w:rFonts w:eastAsia="Times New Roman" w:cs="Arial"/>
          <w:color w:val="000000"/>
          <w:lang w:val="ru-RU"/>
        </w:rPr>
        <w:t>.</w:t>
      </w:r>
    </w:p>
    <w:p w14:paraId="69B06E52" w14:textId="7960634D"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23</w:t>
      </w:r>
      <w:r w:rsidRPr="00524A06">
        <w:rPr>
          <w:rFonts w:eastAsia="Times New Roman" w:cs="Arial"/>
          <w:color w:val="000000"/>
          <w:lang w:eastAsia="bg-BG"/>
        </w:rPr>
        <w:t>Тези съобщения често са се появявали в комбинация с тахикардия, световъртеж, ортостатична хипотония и/или подлежащо сърдечно/респираторно заболяване.</w:t>
      </w:r>
    </w:p>
    <w:p w14:paraId="30853188" w14:textId="68D9FD21"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24</w:t>
      </w:r>
      <w:r w:rsidRPr="00524A06">
        <w:rPr>
          <w:rFonts w:eastAsia="Times New Roman" w:cs="Arial"/>
          <w:color w:val="000000"/>
          <w:lang w:eastAsia="bg-BG"/>
        </w:rPr>
        <w:t>Въз основа на промени от нормални изходни до потенциално клинично значими стойности по всяко време след началото, във всички клинични проучвания. Отклоненията в общия Т4, свободния Т4, общия ТЗ и свободния ТЗ са определени като &lt;0,8 х</w:t>
      </w:r>
      <w:r w:rsidRPr="00524A06">
        <w:rPr>
          <w:rFonts w:eastAsia="Times New Roman" w:cs="Arial"/>
          <w:color w:val="000000"/>
          <w:lang w:val="ru-RU"/>
        </w:rPr>
        <w:t xml:space="preserve"> </w:t>
      </w:r>
      <w:r w:rsidRPr="00524A06">
        <w:rPr>
          <w:rFonts w:eastAsia="Times New Roman" w:cs="Arial"/>
          <w:color w:val="000000"/>
          <w:lang w:eastAsia="bg-BG"/>
        </w:rPr>
        <w:t>ГГН (</w:t>
      </w:r>
      <w:r w:rsidRPr="00524A06">
        <w:rPr>
          <w:rFonts w:eastAsia="Times New Roman" w:cs="Arial"/>
          <w:color w:val="000000"/>
          <w:lang w:val="en-US"/>
        </w:rPr>
        <w:t>pmol</w:t>
      </w:r>
      <w:r w:rsidRPr="00524A06">
        <w:rPr>
          <w:rFonts w:eastAsia="Times New Roman" w:cs="Arial"/>
          <w:color w:val="000000"/>
          <w:lang w:val="ru-RU"/>
        </w:rPr>
        <w:t>/</w:t>
      </w:r>
      <w:r w:rsidRPr="00524A06">
        <w:rPr>
          <w:rFonts w:eastAsia="Times New Roman" w:cs="Arial"/>
          <w:color w:val="000000"/>
          <w:lang w:val="en-US"/>
        </w:rPr>
        <w:t>l</w:t>
      </w:r>
      <w:r w:rsidRPr="00524A06">
        <w:rPr>
          <w:rFonts w:eastAsia="Times New Roman" w:cs="Arial"/>
          <w:color w:val="000000"/>
          <w:lang w:val="ru-RU"/>
        </w:rPr>
        <w:t xml:space="preserve"> </w:t>
      </w:r>
      <w:r w:rsidRPr="00524A06">
        <w:rPr>
          <w:rFonts w:eastAsia="Times New Roman" w:cs="Arial"/>
          <w:color w:val="000000"/>
          <w:lang w:eastAsia="bg-BG"/>
        </w:rPr>
        <w:t xml:space="preserve">и промяна на ТТХ е &gt; 5 </w:t>
      </w:r>
      <w:r w:rsidRPr="00524A06">
        <w:rPr>
          <w:rFonts w:eastAsia="Times New Roman" w:cs="Arial"/>
          <w:color w:val="000000"/>
          <w:lang w:val="en-US"/>
        </w:rPr>
        <w:t>mIU</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xml:space="preserve"> по което и да е време.</w:t>
      </w:r>
    </w:p>
    <w:p w14:paraId="00C9FDE9" w14:textId="1D87913B"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25</w:t>
      </w:r>
      <w:r w:rsidRPr="00524A06">
        <w:rPr>
          <w:rFonts w:eastAsia="Times New Roman" w:cs="Arial"/>
          <w:color w:val="000000"/>
          <w:lang w:eastAsia="bg-BG"/>
        </w:rPr>
        <w:t>Въз основа на повишената честота на повръщане при пациенти в старческа възраст (&gt;65 години).</w:t>
      </w:r>
    </w:p>
    <w:p w14:paraId="75606462" w14:textId="2950CE0D" w:rsidR="00524A06" w:rsidRPr="00524A06" w:rsidRDefault="00524A06" w:rsidP="00524A06">
      <w:pPr>
        <w:spacing w:line="240" w:lineRule="auto"/>
        <w:rPr>
          <w:rFonts w:eastAsia="Times New Roman" w:cs="Arial"/>
          <w:color w:val="000000"/>
          <w:lang w:eastAsia="bg-BG"/>
        </w:rPr>
      </w:pPr>
      <w:r w:rsidRPr="00524A06">
        <w:rPr>
          <w:rFonts w:cs="Arial"/>
          <w:vertAlign w:val="superscript"/>
        </w:rPr>
        <w:t>26</w:t>
      </w:r>
      <w:r w:rsidRPr="00524A06">
        <w:rPr>
          <w:rFonts w:eastAsia="Times New Roman" w:cs="Arial"/>
          <w:color w:val="000000"/>
          <w:lang w:eastAsia="bg-BG"/>
        </w:rPr>
        <w:t>Въз основа на промяна в броя на неутрофилите от &gt;=1,5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xml:space="preserve"> в началото до &lt;0,5 х 10</w:t>
      </w:r>
      <w:r w:rsidRPr="00524A06">
        <w:rPr>
          <w:rFonts w:eastAsia="Times New Roman" w:cs="Arial"/>
          <w:color w:val="000000"/>
          <w:vertAlign w:val="superscript"/>
          <w:lang w:eastAsia="bg-BG"/>
        </w:rPr>
        <w:t>9</w:t>
      </w:r>
      <w:r w:rsidRPr="00524A06">
        <w:rPr>
          <w:rFonts w:eastAsia="Times New Roman" w:cs="Arial"/>
          <w:color w:val="000000"/>
          <w:lang w:eastAsia="bg-BG"/>
        </w:rPr>
        <w:t>/1 по което и да е време в хода на лечението и на базата на пациенти с тежка неутропения (&lt;0,5 х 10</w:t>
      </w:r>
      <w:r w:rsidRPr="00524A06">
        <w:rPr>
          <w:rFonts w:eastAsia="Times New Roman" w:cs="Arial"/>
          <w:color w:val="000000"/>
          <w:vertAlign w:val="superscript"/>
          <w:lang w:eastAsia="bg-BG"/>
        </w:rPr>
        <w:t>9</w:t>
      </w:r>
      <w:r w:rsidRPr="00524A06">
        <w:rPr>
          <w:rFonts w:eastAsia="Times New Roman" w:cs="Arial"/>
          <w:color w:val="000000"/>
          <w:lang w:eastAsia="bg-BG"/>
        </w:rPr>
        <w:t>/</w:t>
      </w:r>
      <w:r w:rsidRPr="00524A06">
        <w:rPr>
          <w:rFonts w:eastAsia="Times New Roman" w:cs="Arial"/>
          <w:color w:val="000000"/>
          <w:lang w:val="en-US"/>
        </w:rPr>
        <w:t>l</w:t>
      </w:r>
      <w:r w:rsidRPr="00524A06">
        <w:rPr>
          <w:rFonts w:eastAsia="Times New Roman" w:cs="Arial"/>
          <w:color w:val="000000"/>
          <w:lang w:eastAsia="bg-BG"/>
        </w:rPr>
        <w:t>) и инфекция при всички клинични проучвания с кветиапин (вж. точка 4.4).</w:t>
      </w:r>
    </w:p>
    <w:p w14:paraId="0DF80382" w14:textId="6A1BF976"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27</w:t>
      </w:r>
      <w:r w:rsidRPr="00524A06">
        <w:rPr>
          <w:rFonts w:eastAsia="Times New Roman" w:cs="Arial"/>
          <w:color w:val="000000"/>
          <w:lang w:eastAsia="bg-BG"/>
        </w:rPr>
        <w:t>Въз основа на промяна от нормални изходни до потенциално клинично значими стойности по всяко време във всички клинични проучвания. Промените в еозинофилния брой са били дефинирани като &gt;1 х 10</w:t>
      </w:r>
      <w:r w:rsidRPr="00524A06">
        <w:rPr>
          <w:rFonts w:eastAsia="Times New Roman" w:cs="Arial"/>
          <w:color w:val="000000"/>
          <w:vertAlign w:val="superscript"/>
          <w:lang w:eastAsia="bg-BG"/>
        </w:rPr>
        <w:t>9</w:t>
      </w:r>
      <w:r w:rsidRPr="00524A06">
        <w:rPr>
          <w:rFonts w:eastAsia="Times New Roman" w:cs="Arial"/>
          <w:color w:val="000000"/>
          <w:lang w:eastAsia="bg-BG"/>
        </w:rPr>
        <w:t xml:space="preserve"> клетки/1 по всяко време.</w:t>
      </w:r>
    </w:p>
    <w:p w14:paraId="7EAB4819" w14:textId="3C183078"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28</w:t>
      </w:r>
      <w:r w:rsidRPr="00524A06">
        <w:rPr>
          <w:rFonts w:eastAsia="Times New Roman" w:cs="Arial"/>
          <w:color w:val="000000"/>
          <w:lang w:eastAsia="bg-BG"/>
        </w:rPr>
        <w:t>Въз основа на промяна от нормални изходни до потенциално клинично значими стойности по всяко време след изходните във всички клинични проучвания. Промяната в левкоцитния брой е определена като ≤ 3 х 10</w:t>
      </w:r>
      <w:r w:rsidRPr="00524A06">
        <w:rPr>
          <w:rFonts w:eastAsia="Times New Roman" w:cs="Arial"/>
          <w:color w:val="000000"/>
          <w:vertAlign w:val="superscript"/>
          <w:lang w:eastAsia="bg-BG"/>
        </w:rPr>
        <w:t>9</w:t>
      </w:r>
      <w:r w:rsidRPr="00524A06">
        <w:rPr>
          <w:rFonts w:eastAsia="Times New Roman" w:cs="Arial"/>
          <w:color w:val="000000"/>
          <w:lang w:eastAsia="bg-BG"/>
        </w:rPr>
        <w:t xml:space="preserve"> клетки/1 по всяко време.</w:t>
      </w:r>
    </w:p>
    <w:p w14:paraId="0BF9D7ED" w14:textId="61BBB7BF"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29</w:t>
      </w:r>
      <w:r w:rsidRPr="00524A06">
        <w:rPr>
          <w:rFonts w:eastAsia="Times New Roman" w:cs="Arial"/>
          <w:color w:val="000000"/>
          <w:lang w:eastAsia="bg-BG"/>
        </w:rPr>
        <w:t>Въз основа на съобщенията за метаболитен синдром от всички клинични проучвания с кветиапин.</w:t>
      </w:r>
    </w:p>
    <w:p w14:paraId="0ADD67DB" w14:textId="7FD8E15D"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30</w:t>
      </w:r>
      <w:r w:rsidRPr="00524A06">
        <w:rPr>
          <w:rFonts w:eastAsia="Times New Roman" w:cs="Arial"/>
          <w:color w:val="000000"/>
          <w:lang w:eastAsia="bg-BG"/>
        </w:rPr>
        <w:t>При някои пациенти е било наблюдавано влошаване на повече от един метаболитен фактор на телесното тегло, кръвната захар и липидите (вж. точка 4.4).</w:t>
      </w:r>
    </w:p>
    <w:p w14:paraId="6AE5FE58" w14:textId="518ABB4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31</w:t>
      </w:r>
      <w:r w:rsidRPr="00524A06">
        <w:rPr>
          <w:rFonts w:eastAsia="Times New Roman" w:cs="Arial"/>
          <w:color w:val="000000"/>
          <w:lang w:eastAsia="bg-BG"/>
        </w:rPr>
        <w:t>Вижте точка 4.6.</w:t>
      </w:r>
    </w:p>
    <w:p w14:paraId="145B623E" w14:textId="673CE8C1"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lastRenderedPageBreak/>
        <w:t>32</w:t>
      </w:r>
      <w:r w:rsidRPr="00524A06">
        <w:rPr>
          <w:rFonts w:eastAsia="Times New Roman" w:cs="Arial"/>
          <w:color w:val="000000"/>
          <w:lang w:eastAsia="bg-BG"/>
        </w:rPr>
        <w:t>Може да се появят при или скоро след започване на лечението и да са свързани с хипотония и/или синкоп. Честота е определена от съобщенията за нежелани лекарствени реакции като брадикардия и свързани събития във всички клинични проучвания с кветиапин.</w:t>
      </w:r>
    </w:p>
    <w:p w14:paraId="10D4AA23" w14:textId="4BEF6D37" w:rsidR="00524A06" w:rsidRPr="00524A06" w:rsidRDefault="00524A06" w:rsidP="00524A06">
      <w:pPr>
        <w:spacing w:line="240" w:lineRule="auto"/>
        <w:rPr>
          <w:rFonts w:eastAsia="Times New Roman" w:cs="Arial"/>
          <w:color w:val="000000"/>
          <w:lang w:eastAsia="bg-BG"/>
        </w:rPr>
      </w:pPr>
      <w:r w:rsidRPr="00524A06">
        <w:rPr>
          <w:rFonts w:eastAsia="Times New Roman" w:cs="Arial"/>
          <w:color w:val="000000"/>
          <w:vertAlign w:val="superscript"/>
          <w:lang w:eastAsia="bg-BG"/>
        </w:rPr>
        <w:t>33</w:t>
      </w:r>
      <w:r w:rsidRPr="00524A06">
        <w:rPr>
          <w:rFonts w:eastAsia="Times New Roman" w:cs="Arial"/>
          <w:color w:val="000000"/>
          <w:lang w:eastAsia="bg-BG"/>
        </w:rPr>
        <w:t>На база на едно ретроспективно нерандомизирано епидемиологично проучване</w:t>
      </w:r>
    </w:p>
    <w:p w14:paraId="4A504778" w14:textId="77777777" w:rsidR="00524A06" w:rsidRPr="00524A06" w:rsidRDefault="00524A06" w:rsidP="00524A06">
      <w:pPr>
        <w:spacing w:line="240" w:lineRule="auto"/>
        <w:rPr>
          <w:rFonts w:eastAsia="Times New Roman" w:cs="Arial"/>
          <w:color w:val="000000"/>
          <w:lang w:eastAsia="bg-BG"/>
        </w:rPr>
      </w:pPr>
    </w:p>
    <w:p w14:paraId="498FAA60" w14:textId="3B3DBB89"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По време на употреба на невролептици са били съобщавани случаи на удължаване на </w:t>
      </w:r>
      <w:r w:rsidRPr="00524A06">
        <w:rPr>
          <w:rFonts w:eastAsia="Times New Roman" w:cs="Arial"/>
          <w:color w:val="000000"/>
          <w:lang w:val="en-US"/>
        </w:rPr>
        <w:t>QT</w:t>
      </w:r>
      <w:r w:rsidRPr="00524A06">
        <w:rPr>
          <w:rFonts w:eastAsia="Times New Roman" w:cs="Arial"/>
          <w:color w:val="000000"/>
          <w:lang w:eastAsia="bg-BG"/>
        </w:rPr>
        <w:t xml:space="preserve">- интервала, камерна аритмия, внезапна необяснима смърт, сърдечен арест и </w:t>
      </w:r>
      <w:r w:rsidRPr="00524A06">
        <w:rPr>
          <w:rFonts w:eastAsia="Times New Roman" w:cs="Arial"/>
          <w:i/>
          <w:iCs/>
          <w:color w:val="000000"/>
          <w:lang w:val="en-US"/>
        </w:rPr>
        <w:t>torsades</w:t>
      </w:r>
      <w:r w:rsidRPr="00524A06">
        <w:rPr>
          <w:rFonts w:eastAsia="Times New Roman" w:cs="Arial"/>
          <w:i/>
          <w:iCs/>
          <w:color w:val="000000"/>
          <w:lang w:val="ru-RU"/>
        </w:rPr>
        <w:t xml:space="preserve"> </w:t>
      </w:r>
      <w:r w:rsidRPr="00524A06">
        <w:rPr>
          <w:rFonts w:eastAsia="Times New Roman" w:cs="Arial"/>
          <w:i/>
          <w:iCs/>
          <w:color w:val="000000"/>
          <w:lang w:val="en-US"/>
        </w:rPr>
        <w:t>de</w:t>
      </w:r>
      <w:r w:rsidRPr="00524A06">
        <w:rPr>
          <w:rFonts w:eastAsia="Times New Roman" w:cs="Arial"/>
          <w:i/>
          <w:iCs/>
          <w:color w:val="000000"/>
          <w:lang w:val="ru-RU"/>
        </w:rPr>
        <w:t xml:space="preserve"> </w:t>
      </w:r>
      <w:r w:rsidRPr="00524A06">
        <w:rPr>
          <w:rFonts w:eastAsia="Times New Roman" w:cs="Arial"/>
          <w:i/>
          <w:iCs/>
          <w:color w:val="000000"/>
          <w:lang w:val="en-US"/>
        </w:rPr>
        <w:t>pointes</w:t>
      </w:r>
      <w:r w:rsidRPr="00524A06">
        <w:rPr>
          <w:rFonts w:eastAsia="Times New Roman" w:cs="Arial"/>
          <w:color w:val="000000"/>
          <w:lang w:val="ru-RU"/>
        </w:rPr>
        <w:t xml:space="preserve"> </w:t>
      </w:r>
      <w:r w:rsidRPr="00524A06">
        <w:rPr>
          <w:rFonts w:eastAsia="Times New Roman" w:cs="Arial"/>
          <w:color w:val="000000"/>
          <w:lang w:eastAsia="bg-BG"/>
        </w:rPr>
        <w:t>и се считат за характерни за класа ефекти.</w:t>
      </w:r>
    </w:p>
    <w:p w14:paraId="1D3C8CB3" w14:textId="77777777" w:rsidR="00524A06" w:rsidRPr="00524A06" w:rsidRDefault="00524A06" w:rsidP="00524A06">
      <w:pPr>
        <w:spacing w:line="240" w:lineRule="auto"/>
        <w:rPr>
          <w:rFonts w:eastAsia="Times New Roman" w:cs="Arial"/>
          <w:color w:val="000000"/>
          <w:lang w:eastAsia="bg-BG"/>
        </w:rPr>
      </w:pPr>
    </w:p>
    <w:p w14:paraId="2787FE6B" w14:textId="04D29220"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 xml:space="preserve">Тежки кожни нежелани реакции </w:t>
      </w:r>
      <w:r w:rsidRPr="00524A06">
        <w:rPr>
          <w:rFonts w:eastAsia="Times New Roman" w:cs="Arial"/>
          <w:color w:val="000000"/>
        </w:rPr>
        <w:t>(</w:t>
      </w:r>
      <w:r w:rsidRPr="00524A06">
        <w:rPr>
          <w:rFonts w:eastAsia="Times New Roman" w:cs="Arial"/>
          <w:color w:val="000000"/>
          <w:lang w:val="en-US"/>
        </w:rPr>
        <w:t>SCARs</w:t>
      </w:r>
      <w:r w:rsidRPr="00524A06">
        <w:rPr>
          <w:rFonts w:eastAsia="Times New Roman" w:cs="Arial"/>
          <w:color w:val="000000"/>
        </w:rPr>
        <w:t xml:space="preserve">), </w:t>
      </w:r>
      <w:r w:rsidRPr="00524A06">
        <w:rPr>
          <w:rFonts w:eastAsia="Times New Roman" w:cs="Arial"/>
          <w:color w:val="000000"/>
          <w:lang w:eastAsia="bg-BG"/>
        </w:rPr>
        <w:t xml:space="preserve">включващи синдром на </w:t>
      </w:r>
      <w:r w:rsidRPr="00524A06">
        <w:rPr>
          <w:rFonts w:eastAsia="Times New Roman" w:cs="Arial"/>
          <w:color w:val="000000"/>
          <w:lang w:val="en-US"/>
        </w:rPr>
        <w:t>Stevens</w:t>
      </w:r>
      <w:r w:rsidRPr="00524A06">
        <w:rPr>
          <w:rFonts w:eastAsia="Times New Roman" w:cs="Arial"/>
          <w:color w:val="000000"/>
        </w:rPr>
        <w:t>-</w:t>
      </w:r>
      <w:r w:rsidRPr="00524A06">
        <w:rPr>
          <w:rFonts w:eastAsia="Times New Roman" w:cs="Arial"/>
          <w:color w:val="000000"/>
          <w:lang w:val="en-US"/>
        </w:rPr>
        <w:t>Johnson</w:t>
      </w:r>
      <w:r w:rsidRPr="00524A06">
        <w:rPr>
          <w:rFonts w:eastAsia="Times New Roman" w:cs="Arial"/>
          <w:color w:val="000000"/>
        </w:rPr>
        <w:t xml:space="preserve"> (</w:t>
      </w:r>
      <w:r w:rsidRPr="00524A06">
        <w:rPr>
          <w:rFonts w:eastAsia="Times New Roman" w:cs="Arial"/>
          <w:color w:val="000000"/>
          <w:lang w:val="en-US"/>
        </w:rPr>
        <w:t>SJS</w:t>
      </w:r>
      <w:r w:rsidRPr="00524A06">
        <w:rPr>
          <w:rFonts w:eastAsia="Times New Roman" w:cs="Arial"/>
          <w:color w:val="000000"/>
        </w:rPr>
        <w:t xml:space="preserve">), </w:t>
      </w:r>
      <w:r w:rsidRPr="00524A06">
        <w:rPr>
          <w:rFonts w:eastAsia="Times New Roman" w:cs="Arial"/>
          <w:color w:val="000000"/>
          <w:lang w:eastAsia="bg-BG"/>
        </w:rPr>
        <w:t xml:space="preserve">токсична епидермална некролиза (ТЕН), лекарствен обрив с еозинофилия и системни симптоми </w:t>
      </w:r>
      <w:r w:rsidRPr="00524A06">
        <w:rPr>
          <w:rFonts w:eastAsia="Times New Roman" w:cs="Arial"/>
          <w:color w:val="000000"/>
        </w:rPr>
        <w:t>(</w:t>
      </w:r>
      <w:r w:rsidRPr="00524A06">
        <w:rPr>
          <w:rFonts w:eastAsia="Times New Roman" w:cs="Arial"/>
          <w:color w:val="000000"/>
          <w:lang w:val="en-US"/>
        </w:rPr>
        <w:t>DRESS</w:t>
      </w:r>
      <w:r w:rsidRPr="00524A06">
        <w:rPr>
          <w:rFonts w:eastAsia="Times New Roman" w:cs="Arial"/>
          <w:color w:val="000000"/>
        </w:rPr>
        <w:t xml:space="preserve">), </w:t>
      </w:r>
      <w:r w:rsidRPr="00524A06">
        <w:rPr>
          <w:rFonts w:eastAsia="Times New Roman" w:cs="Arial"/>
          <w:color w:val="000000"/>
          <w:lang w:eastAsia="bg-BG"/>
        </w:rPr>
        <w:t>са съобщавани като свързани с лечението с кветиапин.</w:t>
      </w:r>
    </w:p>
    <w:p w14:paraId="46400412" w14:textId="77777777" w:rsidR="00524A06" w:rsidRPr="00524A06" w:rsidRDefault="00524A06" w:rsidP="00524A06">
      <w:pPr>
        <w:spacing w:line="240" w:lineRule="auto"/>
        <w:rPr>
          <w:rFonts w:eastAsia="Times New Roman" w:cs="Arial"/>
          <w:color w:val="000000"/>
          <w:u w:val="single"/>
          <w:lang w:eastAsia="bg-BG"/>
        </w:rPr>
      </w:pPr>
    </w:p>
    <w:p w14:paraId="273804AC" w14:textId="3826DED9" w:rsidR="00524A06" w:rsidRPr="00524A06" w:rsidRDefault="00524A06" w:rsidP="00524A06">
      <w:pPr>
        <w:spacing w:line="240" w:lineRule="auto"/>
        <w:rPr>
          <w:rFonts w:eastAsia="Times New Roman" w:cs="Arial"/>
          <w:sz w:val="24"/>
          <w:szCs w:val="24"/>
        </w:rPr>
      </w:pPr>
      <w:r w:rsidRPr="00524A06">
        <w:rPr>
          <w:rFonts w:eastAsia="Times New Roman" w:cs="Arial"/>
          <w:color w:val="000000"/>
          <w:u w:val="single"/>
          <w:lang w:eastAsia="bg-BG"/>
        </w:rPr>
        <w:t>Педиатрична популация</w:t>
      </w:r>
    </w:p>
    <w:p w14:paraId="2B17FDFF" w14:textId="7777777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При деца и юноши трябва да се имат предвид същите нежелани реакции, описани по-горе за възрастни. Следващата таблица обобщава нежеланите лекарствени реакции, които се появяват в по-висока честота при деца и юноши (10 до 17-годишна възраст) отколкото при възрастни или НЛР, които не са били наблюдавани при възрастни.</w:t>
      </w:r>
    </w:p>
    <w:p w14:paraId="27ABE4CC" w14:textId="77777777" w:rsidR="00524A06" w:rsidRPr="00524A06" w:rsidRDefault="00524A06" w:rsidP="00524A06">
      <w:pPr>
        <w:spacing w:line="240" w:lineRule="auto"/>
        <w:rPr>
          <w:rFonts w:eastAsia="Times New Roman" w:cs="Arial"/>
          <w:b/>
          <w:bCs/>
          <w:color w:val="000000"/>
          <w:lang w:eastAsia="bg-BG"/>
        </w:rPr>
      </w:pPr>
    </w:p>
    <w:p w14:paraId="5277EC5D" w14:textId="20E90D31" w:rsidR="00524A06" w:rsidRPr="00524A06" w:rsidRDefault="00524A06" w:rsidP="00524A06">
      <w:pPr>
        <w:spacing w:line="240" w:lineRule="auto"/>
        <w:rPr>
          <w:rFonts w:eastAsia="Times New Roman" w:cs="Arial"/>
          <w:sz w:val="24"/>
          <w:szCs w:val="24"/>
        </w:rPr>
      </w:pPr>
      <w:r w:rsidRPr="00524A06">
        <w:rPr>
          <w:rFonts w:eastAsia="Times New Roman" w:cs="Arial"/>
          <w:b/>
          <w:bCs/>
          <w:color w:val="000000"/>
          <w:lang w:eastAsia="bg-BG"/>
        </w:rPr>
        <w:t>Таблица 2 НЛР при деца и юноши, свързани с лечението с кветиапин, които се наблюдават с по-висока честота, отколкото при възрастни, или конто не са идентифицирани в популацията на възрастни пациенти</w:t>
      </w:r>
    </w:p>
    <w:p w14:paraId="12F2982C" w14:textId="77777777" w:rsidR="00524A06" w:rsidRPr="00524A06" w:rsidRDefault="00524A06" w:rsidP="00524A06">
      <w:pPr>
        <w:spacing w:line="240" w:lineRule="auto"/>
        <w:rPr>
          <w:rFonts w:eastAsia="Times New Roman" w:cs="Arial"/>
          <w:color w:val="000000"/>
          <w:lang w:eastAsia="bg-BG"/>
        </w:rPr>
      </w:pPr>
    </w:p>
    <w:p w14:paraId="5DB3859F" w14:textId="08753157" w:rsidR="00524A06" w:rsidRPr="00524A06" w:rsidRDefault="00524A06" w:rsidP="00524A06">
      <w:pPr>
        <w:spacing w:line="240" w:lineRule="auto"/>
        <w:rPr>
          <w:rFonts w:eastAsia="Times New Roman" w:cs="Arial"/>
          <w:sz w:val="24"/>
          <w:szCs w:val="24"/>
        </w:rPr>
      </w:pPr>
      <w:r w:rsidRPr="00524A06">
        <w:rPr>
          <w:rFonts w:eastAsia="Times New Roman" w:cs="Arial"/>
          <w:color w:val="000000"/>
          <w:lang w:eastAsia="bg-BG"/>
        </w:rPr>
        <w:t>Честотата на нежеланите реакции е определена както следва: много чести (≥1/10), чести (≥1/100 до &lt;1/10), нечести (≥1/1 000 до &lt;1/100), редки (≥1/10 000 до &lt;1/1 000), много редки (&lt;1/10 000).</w:t>
      </w:r>
    </w:p>
    <w:tbl>
      <w:tblPr>
        <w:tblStyle w:val="TableGrid"/>
        <w:tblW w:w="0" w:type="auto"/>
        <w:tblLook w:val="04A0" w:firstRow="1" w:lastRow="0" w:firstColumn="1" w:lastColumn="0" w:noHBand="0" w:noVBand="1"/>
      </w:tblPr>
      <w:tblGrid>
        <w:gridCol w:w="3107"/>
        <w:gridCol w:w="3117"/>
        <w:gridCol w:w="3126"/>
      </w:tblGrid>
      <w:tr w:rsidR="00235125" w14:paraId="4A384022" w14:textId="77777777" w:rsidTr="00235125">
        <w:tc>
          <w:tcPr>
            <w:tcW w:w="3192" w:type="dxa"/>
          </w:tcPr>
          <w:p w14:paraId="74D166A3" w14:textId="4644E12B" w:rsidR="00235125" w:rsidRDefault="00235125" w:rsidP="00235125">
            <w:r>
              <w:rPr>
                <w:b/>
                <w:bCs/>
                <w:lang w:val="en-US"/>
              </w:rPr>
              <w:t>SOC</w:t>
            </w:r>
          </w:p>
        </w:tc>
        <w:tc>
          <w:tcPr>
            <w:tcW w:w="3192" w:type="dxa"/>
          </w:tcPr>
          <w:p w14:paraId="205B7D38" w14:textId="5B7F1A11" w:rsidR="00235125" w:rsidRDefault="00235125" w:rsidP="00235125">
            <w:r>
              <w:rPr>
                <w:b/>
                <w:bCs/>
              </w:rPr>
              <w:t>Много чести</w:t>
            </w:r>
          </w:p>
        </w:tc>
        <w:tc>
          <w:tcPr>
            <w:tcW w:w="3192" w:type="dxa"/>
          </w:tcPr>
          <w:p w14:paraId="70DF8683" w14:textId="3617EA26" w:rsidR="00235125" w:rsidRDefault="00235125" w:rsidP="00235125">
            <w:r>
              <w:rPr>
                <w:b/>
                <w:bCs/>
              </w:rPr>
              <w:t>Чести</w:t>
            </w:r>
          </w:p>
        </w:tc>
      </w:tr>
      <w:tr w:rsidR="00235125" w14:paraId="6496AC74" w14:textId="77777777" w:rsidTr="00235125">
        <w:tc>
          <w:tcPr>
            <w:tcW w:w="3192" w:type="dxa"/>
          </w:tcPr>
          <w:p w14:paraId="6B012B98" w14:textId="4E7E83D4" w:rsidR="00235125" w:rsidRDefault="00235125" w:rsidP="00235125">
            <w:r>
              <w:rPr>
                <w:i/>
                <w:iCs/>
              </w:rPr>
              <w:t>Ендокринни нарушения</w:t>
            </w:r>
          </w:p>
        </w:tc>
        <w:tc>
          <w:tcPr>
            <w:tcW w:w="3192" w:type="dxa"/>
          </w:tcPr>
          <w:p w14:paraId="26F25EDB" w14:textId="6694358E" w:rsidR="00235125" w:rsidRDefault="00235125" w:rsidP="00235125">
            <w:r>
              <w:t>Повишено ниво на пролактин</w:t>
            </w:r>
            <w:r>
              <w:rPr>
                <w:vertAlign w:val="superscript"/>
              </w:rPr>
              <w:t>1</w:t>
            </w:r>
          </w:p>
        </w:tc>
        <w:tc>
          <w:tcPr>
            <w:tcW w:w="3192" w:type="dxa"/>
          </w:tcPr>
          <w:p w14:paraId="3B2DBC1E" w14:textId="77777777" w:rsidR="00235125" w:rsidRDefault="00235125" w:rsidP="00235125"/>
        </w:tc>
      </w:tr>
      <w:tr w:rsidR="00235125" w14:paraId="346F7F02" w14:textId="77777777" w:rsidTr="00235125">
        <w:tc>
          <w:tcPr>
            <w:tcW w:w="3192" w:type="dxa"/>
          </w:tcPr>
          <w:p w14:paraId="0362CB04" w14:textId="5ED764BF" w:rsidR="00235125" w:rsidRDefault="00235125" w:rsidP="00235125">
            <w:r>
              <w:rPr>
                <w:i/>
                <w:iCs/>
              </w:rPr>
              <w:t>Нарушения на метаболизма и храненето</w:t>
            </w:r>
          </w:p>
        </w:tc>
        <w:tc>
          <w:tcPr>
            <w:tcW w:w="3192" w:type="dxa"/>
          </w:tcPr>
          <w:p w14:paraId="00130903" w14:textId="0840DD44" w:rsidR="00235125" w:rsidRDefault="00235125" w:rsidP="00235125">
            <w:r>
              <w:t>Повишен апетит</w:t>
            </w:r>
          </w:p>
        </w:tc>
        <w:tc>
          <w:tcPr>
            <w:tcW w:w="3192" w:type="dxa"/>
          </w:tcPr>
          <w:p w14:paraId="754D602C" w14:textId="77777777" w:rsidR="00235125" w:rsidRDefault="00235125" w:rsidP="00235125"/>
        </w:tc>
      </w:tr>
      <w:tr w:rsidR="00235125" w14:paraId="20B6F1C6" w14:textId="77777777" w:rsidTr="00235125">
        <w:tc>
          <w:tcPr>
            <w:tcW w:w="3192" w:type="dxa"/>
          </w:tcPr>
          <w:p w14:paraId="34683D21" w14:textId="3B752011" w:rsidR="00235125" w:rsidRDefault="00235125" w:rsidP="00235125">
            <w:r>
              <w:rPr>
                <w:i/>
                <w:iCs/>
              </w:rPr>
              <w:t>Нарушения на нервната система</w:t>
            </w:r>
          </w:p>
        </w:tc>
        <w:tc>
          <w:tcPr>
            <w:tcW w:w="3192" w:type="dxa"/>
          </w:tcPr>
          <w:p w14:paraId="1DFDE6D1" w14:textId="175C0605" w:rsidR="00235125" w:rsidRDefault="00235125" w:rsidP="00235125">
            <w:r>
              <w:t>Екстрапирамидни симптоми</w:t>
            </w:r>
            <w:r>
              <w:rPr>
                <w:vertAlign w:val="superscript"/>
              </w:rPr>
              <w:t>3,4</w:t>
            </w:r>
          </w:p>
        </w:tc>
        <w:tc>
          <w:tcPr>
            <w:tcW w:w="3192" w:type="dxa"/>
          </w:tcPr>
          <w:p w14:paraId="308CB2DF" w14:textId="405F9920" w:rsidR="00235125" w:rsidRDefault="00235125" w:rsidP="00235125">
            <w:r>
              <w:t>Синкоп</w:t>
            </w:r>
          </w:p>
        </w:tc>
      </w:tr>
      <w:tr w:rsidR="00235125" w14:paraId="2A87D411" w14:textId="77777777" w:rsidTr="00235125">
        <w:tc>
          <w:tcPr>
            <w:tcW w:w="3192" w:type="dxa"/>
          </w:tcPr>
          <w:p w14:paraId="25660DD3" w14:textId="2E823A04" w:rsidR="00235125" w:rsidRDefault="00235125" w:rsidP="00235125">
            <w:r>
              <w:rPr>
                <w:i/>
                <w:iCs/>
              </w:rPr>
              <w:t>Съдови нарушения</w:t>
            </w:r>
          </w:p>
        </w:tc>
        <w:tc>
          <w:tcPr>
            <w:tcW w:w="3192" w:type="dxa"/>
          </w:tcPr>
          <w:p w14:paraId="572D29C6" w14:textId="54F879AD" w:rsidR="00235125" w:rsidRDefault="00235125" w:rsidP="00235125">
            <w:r>
              <w:t>Повишено артериално налягане</w:t>
            </w:r>
            <w:r>
              <w:rPr>
                <w:vertAlign w:val="superscript"/>
              </w:rPr>
              <w:t>2</w:t>
            </w:r>
          </w:p>
        </w:tc>
        <w:tc>
          <w:tcPr>
            <w:tcW w:w="3192" w:type="dxa"/>
          </w:tcPr>
          <w:p w14:paraId="7AA86DC3" w14:textId="77777777" w:rsidR="00235125" w:rsidRDefault="00235125" w:rsidP="00235125"/>
        </w:tc>
      </w:tr>
      <w:tr w:rsidR="00235125" w14:paraId="07288E0D" w14:textId="77777777" w:rsidTr="00235125">
        <w:tc>
          <w:tcPr>
            <w:tcW w:w="3192" w:type="dxa"/>
          </w:tcPr>
          <w:p w14:paraId="37DF5E54" w14:textId="5B60D3F6" w:rsidR="00235125" w:rsidRDefault="00235125" w:rsidP="00235125">
            <w:r>
              <w:rPr>
                <w:i/>
                <w:iCs/>
              </w:rPr>
              <w:t>Респираторни, гръдни и медиастинални нарушения</w:t>
            </w:r>
          </w:p>
        </w:tc>
        <w:tc>
          <w:tcPr>
            <w:tcW w:w="3192" w:type="dxa"/>
          </w:tcPr>
          <w:p w14:paraId="0F32814E" w14:textId="77777777" w:rsidR="00235125" w:rsidRDefault="00235125" w:rsidP="00235125"/>
        </w:tc>
        <w:tc>
          <w:tcPr>
            <w:tcW w:w="3192" w:type="dxa"/>
          </w:tcPr>
          <w:p w14:paraId="1F973713" w14:textId="2CB076B6" w:rsidR="00235125" w:rsidRDefault="00235125" w:rsidP="00235125">
            <w:r>
              <w:t>Ринит</w:t>
            </w:r>
          </w:p>
        </w:tc>
      </w:tr>
      <w:tr w:rsidR="00235125" w14:paraId="496DBBBB" w14:textId="77777777" w:rsidTr="00235125">
        <w:tc>
          <w:tcPr>
            <w:tcW w:w="3192" w:type="dxa"/>
          </w:tcPr>
          <w:p w14:paraId="39DE3A67" w14:textId="08C6DEA4" w:rsidR="00235125" w:rsidRDefault="00235125" w:rsidP="00235125">
            <w:r>
              <w:rPr>
                <w:i/>
                <w:iCs/>
              </w:rPr>
              <w:t>Стомашно-чревни нарушения</w:t>
            </w:r>
          </w:p>
        </w:tc>
        <w:tc>
          <w:tcPr>
            <w:tcW w:w="3192" w:type="dxa"/>
          </w:tcPr>
          <w:p w14:paraId="1D73454E" w14:textId="5057E7BC" w:rsidR="00235125" w:rsidRDefault="00235125" w:rsidP="00235125">
            <w:r>
              <w:t>Повръщане</w:t>
            </w:r>
          </w:p>
        </w:tc>
        <w:tc>
          <w:tcPr>
            <w:tcW w:w="3192" w:type="dxa"/>
          </w:tcPr>
          <w:p w14:paraId="6A368A8A" w14:textId="77777777" w:rsidR="00235125" w:rsidRDefault="00235125" w:rsidP="00235125"/>
        </w:tc>
      </w:tr>
      <w:tr w:rsidR="00235125" w14:paraId="68C6A46F" w14:textId="77777777" w:rsidTr="00235125">
        <w:tc>
          <w:tcPr>
            <w:tcW w:w="3192" w:type="dxa"/>
          </w:tcPr>
          <w:p w14:paraId="11C7C87B" w14:textId="5761ECF0" w:rsidR="00235125" w:rsidRDefault="00235125" w:rsidP="00235125">
            <w:r>
              <w:rPr>
                <w:i/>
                <w:iCs/>
              </w:rPr>
              <w:t>Общи нарушения и ефекти на мястото на приложение</w:t>
            </w:r>
          </w:p>
        </w:tc>
        <w:tc>
          <w:tcPr>
            <w:tcW w:w="3192" w:type="dxa"/>
          </w:tcPr>
          <w:p w14:paraId="3862DE77" w14:textId="77777777" w:rsidR="00235125" w:rsidRDefault="00235125" w:rsidP="00235125"/>
        </w:tc>
        <w:tc>
          <w:tcPr>
            <w:tcW w:w="3192" w:type="dxa"/>
          </w:tcPr>
          <w:p w14:paraId="43FD5585" w14:textId="62CBA4A1" w:rsidR="00235125" w:rsidRDefault="00235125" w:rsidP="00235125">
            <w:r>
              <w:t>Раздразнителност</w:t>
            </w:r>
            <w:r>
              <w:rPr>
                <w:vertAlign w:val="superscript"/>
              </w:rPr>
              <w:t>3</w:t>
            </w:r>
          </w:p>
        </w:tc>
      </w:tr>
    </w:tbl>
    <w:p w14:paraId="24697837" w14:textId="77777777" w:rsidR="00235125" w:rsidRPr="00235125" w:rsidRDefault="00235125" w:rsidP="00235125">
      <w:pPr>
        <w:spacing w:line="240" w:lineRule="auto"/>
        <w:rPr>
          <w:rFonts w:eastAsia="Times New Roman" w:cs="Arial"/>
        </w:rPr>
      </w:pPr>
      <w:r w:rsidRPr="00235125">
        <w:rPr>
          <w:rFonts w:eastAsia="Times New Roman" w:cs="Arial"/>
          <w:color w:val="000000"/>
          <w:vertAlign w:val="superscript"/>
          <w:lang w:eastAsia="bg-BG"/>
        </w:rPr>
        <w:t>1</w:t>
      </w:r>
      <w:r w:rsidRPr="00235125">
        <w:rPr>
          <w:rFonts w:eastAsia="Times New Roman" w:cs="Arial"/>
          <w:color w:val="000000"/>
          <w:lang w:eastAsia="bg-BG"/>
        </w:rPr>
        <w:t xml:space="preserve"> Нивата на пролактин (при пациенти под 18 години): &gt;20 μ</w:t>
      </w:r>
      <w:r w:rsidRPr="00235125">
        <w:rPr>
          <w:rFonts w:eastAsia="Times New Roman" w:cs="Arial"/>
          <w:color w:val="000000"/>
          <w:lang w:val="en-US"/>
        </w:rPr>
        <w:t>g</w:t>
      </w:r>
      <w:r w:rsidRPr="00235125">
        <w:rPr>
          <w:rFonts w:eastAsia="Times New Roman" w:cs="Arial"/>
          <w:color w:val="000000"/>
          <w:lang w:val="ru-RU"/>
        </w:rPr>
        <w:t>/</w:t>
      </w:r>
      <w:r w:rsidRPr="00235125">
        <w:rPr>
          <w:rFonts w:eastAsia="Times New Roman" w:cs="Arial"/>
          <w:color w:val="000000"/>
          <w:lang w:val="en-US"/>
        </w:rPr>
        <w:t>l</w:t>
      </w:r>
      <w:r w:rsidRPr="00235125">
        <w:rPr>
          <w:rFonts w:eastAsia="Times New Roman" w:cs="Arial"/>
          <w:color w:val="000000"/>
          <w:lang w:val="ru-RU"/>
        </w:rPr>
        <w:t xml:space="preserve"> </w:t>
      </w:r>
      <w:r w:rsidRPr="00235125">
        <w:rPr>
          <w:rFonts w:eastAsia="Times New Roman" w:cs="Arial"/>
          <w:color w:val="000000"/>
          <w:lang w:eastAsia="bg-BG"/>
        </w:rPr>
        <w:t xml:space="preserve">(&gt;869,56 </w:t>
      </w:r>
      <w:r w:rsidRPr="00235125">
        <w:rPr>
          <w:rFonts w:eastAsia="Times New Roman" w:cs="Arial"/>
          <w:color w:val="000000"/>
          <w:lang w:val="en-US"/>
        </w:rPr>
        <w:t>pmol</w:t>
      </w:r>
      <w:r w:rsidRPr="00235125">
        <w:rPr>
          <w:rFonts w:eastAsia="Times New Roman" w:cs="Arial"/>
          <w:color w:val="000000"/>
          <w:lang w:val="ru-RU"/>
        </w:rPr>
        <w:t>/</w:t>
      </w:r>
      <w:r w:rsidRPr="00235125">
        <w:rPr>
          <w:rFonts w:eastAsia="Times New Roman" w:cs="Arial"/>
          <w:color w:val="000000"/>
          <w:lang w:val="en-US"/>
        </w:rPr>
        <w:t>l</w:t>
      </w:r>
      <w:r w:rsidRPr="00235125">
        <w:rPr>
          <w:rFonts w:eastAsia="Times New Roman" w:cs="Arial"/>
          <w:color w:val="000000"/>
          <w:lang w:val="ru-RU"/>
        </w:rPr>
        <w:t xml:space="preserve">) </w:t>
      </w:r>
      <w:r w:rsidRPr="00235125">
        <w:rPr>
          <w:rFonts w:eastAsia="Times New Roman" w:cs="Arial"/>
          <w:color w:val="000000"/>
          <w:lang w:eastAsia="bg-BG"/>
        </w:rPr>
        <w:t>мъже; &gt;26 μ</w:t>
      </w:r>
      <w:r w:rsidRPr="00235125">
        <w:rPr>
          <w:rFonts w:eastAsia="Times New Roman" w:cs="Arial"/>
          <w:color w:val="000000"/>
          <w:lang w:val="en-US"/>
        </w:rPr>
        <w:t>g</w:t>
      </w:r>
      <w:r w:rsidRPr="00235125">
        <w:rPr>
          <w:rFonts w:eastAsia="Times New Roman" w:cs="Arial"/>
          <w:color w:val="000000"/>
          <w:lang w:val="ru-RU"/>
        </w:rPr>
        <w:t>/</w:t>
      </w:r>
      <w:r w:rsidRPr="00235125">
        <w:rPr>
          <w:rFonts w:eastAsia="Times New Roman" w:cs="Arial"/>
          <w:color w:val="000000"/>
          <w:lang w:val="en-US"/>
        </w:rPr>
        <w:t>l</w:t>
      </w:r>
    </w:p>
    <w:p w14:paraId="7D35ADDE" w14:textId="77777777" w:rsidR="00235125" w:rsidRPr="00235125" w:rsidRDefault="00235125" w:rsidP="00235125">
      <w:pPr>
        <w:spacing w:line="240" w:lineRule="auto"/>
        <w:rPr>
          <w:rFonts w:eastAsia="Times New Roman" w:cs="Arial"/>
        </w:rPr>
      </w:pPr>
      <w:r w:rsidRPr="00235125">
        <w:rPr>
          <w:rFonts w:eastAsia="Times New Roman" w:cs="Arial"/>
          <w:color w:val="000000"/>
          <w:lang w:eastAsia="bg-BG"/>
        </w:rPr>
        <w:t xml:space="preserve">(&gt;1 130,428 </w:t>
      </w:r>
      <w:r w:rsidRPr="00235125">
        <w:rPr>
          <w:rFonts w:eastAsia="Times New Roman" w:cs="Arial"/>
          <w:color w:val="000000"/>
          <w:lang w:val="en-US"/>
        </w:rPr>
        <w:t>pmol</w:t>
      </w:r>
      <w:r w:rsidRPr="00235125">
        <w:rPr>
          <w:rFonts w:eastAsia="Times New Roman" w:cs="Arial"/>
          <w:color w:val="000000"/>
          <w:lang w:val="ru-RU"/>
        </w:rPr>
        <w:t>/</w:t>
      </w:r>
      <w:r w:rsidRPr="00235125">
        <w:rPr>
          <w:rFonts w:eastAsia="Times New Roman" w:cs="Arial"/>
          <w:color w:val="000000"/>
          <w:lang w:val="en-US"/>
        </w:rPr>
        <w:t>l</w:t>
      </w:r>
      <w:r w:rsidRPr="00235125">
        <w:rPr>
          <w:rFonts w:eastAsia="Times New Roman" w:cs="Arial"/>
          <w:color w:val="000000"/>
          <w:lang w:val="ru-RU"/>
        </w:rPr>
        <w:t xml:space="preserve">) </w:t>
      </w:r>
      <w:r w:rsidRPr="00235125">
        <w:rPr>
          <w:rFonts w:eastAsia="Times New Roman" w:cs="Arial"/>
          <w:color w:val="000000"/>
          <w:lang w:eastAsia="bg-BG"/>
        </w:rPr>
        <w:t>жени по всяко време. По-малко от 1% от пациентите</w:t>
      </w:r>
      <w:r w:rsidRPr="00235125">
        <w:rPr>
          <w:rFonts w:eastAsia="Times New Roman" w:cs="Arial"/>
          <w:color w:val="000000"/>
          <w:lang w:val="ru-RU"/>
        </w:rPr>
        <w:t xml:space="preserve"> </w:t>
      </w:r>
      <w:r w:rsidRPr="00235125">
        <w:rPr>
          <w:rFonts w:eastAsia="Times New Roman" w:cs="Arial"/>
          <w:color w:val="000000"/>
          <w:lang w:eastAsia="bg-BG"/>
        </w:rPr>
        <w:t>са имали повишение на</w:t>
      </w:r>
    </w:p>
    <w:p w14:paraId="1D860312" w14:textId="5C50E199" w:rsidR="00524A06" w:rsidRPr="00235125" w:rsidRDefault="00235125" w:rsidP="00235125">
      <w:pPr>
        <w:rPr>
          <w:rFonts w:eastAsia="Times New Roman" w:cs="Arial"/>
          <w:color w:val="000000"/>
          <w:lang w:val="ru-RU"/>
        </w:rPr>
      </w:pPr>
      <w:r w:rsidRPr="00235125">
        <w:rPr>
          <w:rFonts w:eastAsia="Times New Roman" w:cs="Arial"/>
          <w:color w:val="000000"/>
          <w:lang w:eastAsia="bg-BG"/>
        </w:rPr>
        <w:t>нивото на пролактина &gt;100 μ</w:t>
      </w:r>
      <w:r w:rsidRPr="00235125">
        <w:rPr>
          <w:rFonts w:eastAsia="Times New Roman" w:cs="Arial"/>
          <w:color w:val="000000"/>
          <w:lang w:val="en-US"/>
        </w:rPr>
        <w:t>g</w:t>
      </w:r>
      <w:r w:rsidRPr="00235125">
        <w:rPr>
          <w:rFonts w:eastAsia="Times New Roman" w:cs="Arial"/>
          <w:color w:val="000000"/>
          <w:lang w:val="ru-RU"/>
        </w:rPr>
        <w:t>/1.</w:t>
      </w:r>
    </w:p>
    <w:p w14:paraId="58184B4F" w14:textId="58756C57" w:rsidR="00235125" w:rsidRPr="00235125" w:rsidRDefault="00235125" w:rsidP="00235125">
      <w:pPr>
        <w:spacing w:line="240" w:lineRule="auto"/>
        <w:rPr>
          <w:rFonts w:eastAsia="Times New Roman" w:cs="Arial"/>
          <w:color w:val="000000"/>
          <w:lang w:eastAsia="bg-BG"/>
        </w:rPr>
      </w:pPr>
      <w:r w:rsidRPr="00235125">
        <w:rPr>
          <w:rFonts w:eastAsia="Times New Roman" w:cs="Arial"/>
          <w:color w:val="000000"/>
          <w:vertAlign w:val="superscript"/>
          <w:lang w:eastAsia="bg-BG"/>
        </w:rPr>
        <w:lastRenderedPageBreak/>
        <w:t>2</w:t>
      </w:r>
      <w:r w:rsidRPr="00235125">
        <w:rPr>
          <w:rFonts w:eastAsia="Times New Roman" w:cs="Arial"/>
          <w:color w:val="000000"/>
          <w:lang w:eastAsia="bg-BG"/>
        </w:rPr>
        <w:t xml:space="preserve">Въз основа на преминаване на горните клинично значими прагове (адаптирани от критериите на националния здравен институт) или повишение с </w:t>
      </w:r>
      <w:r w:rsidRPr="00235125">
        <w:rPr>
          <w:rFonts w:eastAsia="Times New Roman" w:cs="Arial"/>
          <w:color w:val="000000"/>
          <w:lang w:val="ru-RU"/>
        </w:rPr>
        <w:t>&gt;20</w:t>
      </w:r>
      <w:r w:rsidRPr="00235125">
        <w:rPr>
          <w:rFonts w:eastAsia="Times New Roman" w:cs="Arial"/>
          <w:color w:val="000000"/>
          <w:lang w:val="en-US"/>
        </w:rPr>
        <w:t>mmHg</w:t>
      </w:r>
      <w:r w:rsidRPr="00235125">
        <w:rPr>
          <w:rFonts w:eastAsia="Times New Roman" w:cs="Arial"/>
          <w:color w:val="000000"/>
          <w:lang w:val="ru-RU"/>
        </w:rPr>
        <w:t xml:space="preserve"> </w:t>
      </w:r>
      <w:r w:rsidRPr="00235125">
        <w:rPr>
          <w:rFonts w:eastAsia="Times New Roman" w:cs="Arial"/>
          <w:color w:val="000000"/>
          <w:lang w:eastAsia="bg-BG"/>
        </w:rPr>
        <w:t>за систолното артериално налягане или с &gt;10</w:t>
      </w:r>
      <w:r w:rsidRPr="00235125">
        <w:rPr>
          <w:rFonts w:eastAsia="Times New Roman" w:cs="Arial"/>
          <w:color w:val="000000"/>
          <w:lang w:val="en-US"/>
        </w:rPr>
        <w:t>mmHg</w:t>
      </w:r>
      <w:r w:rsidRPr="00235125">
        <w:rPr>
          <w:rFonts w:eastAsia="Times New Roman" w:cs="Arial"/>
          <w:color w:val="000000"/>
          <w:lang w:val="ru-RU"/>
        </w:rPr>
        <w:t xml:space="preserve"> </w:t>
      </w:r>
      <w:r w:rsidRPr="00235125">
        <w:rPr>
          <w:rFonts w:eastAsia="Times New Roman" w:cs="Arial"/>
          <w:color w:val="000000"/>
          <w:lang w:eastAsia="bg-BG"/>
        </w:rPr>
        <w:t>за диастолното налягане по което и да е време в две остри (3-6 седмици) плацебо контролирани клинични проучвания при деца и юноши.</w:t>
      </w:r>
    </w:p>
    <w:p w14:paraId="370DECB1" w14:textId="2BCA2152" w:rsidR="00235125" w:rsidRPr="00235125" w:rsidRDefault="00235125" w:rsidP="00235125">
      <w:pPr>
        <w:spacing w:line="240" w:lineRule="auto"/>
        <w:rPr>
          <w:rFonts w:eastAsia="Times New Roman" w:cs="Arial"/>
          <w:color w:val="000000"/>
          <w:lang w:eastAsia="bg-BG"/>
        </w:rPr>
      </w:pPr>
      <w:r w:rsidRPr="00235125">
        <w:rPr>
          <w:rFonts w:eastAsia="Times New Roman" w:cs="Arial"/>
          <w:color w:val="000000"/>
          <w:vertAlign w:val="superscript"/>
          <w:lang w:eastAsia="bg-BG"/>
        </w:rPr>
        <w:t>3</w:t>
      </w:r>
      <w:r w:rsidRPr="00235125">
        <w:rPr>
          <w:rFonts w:eastAsia="Times New Roman" w:cs="Arial"/>
          <w:color w:val="000000"/>
          <w:lang w:eastAsia="bg-BG"/>
        </w:rPr>
        <w:t>Бележка: Честотата е в съответствие с наблюдаваната при възрастни, но раздразнителността може да се придружава от различни клинични ефекти при деца и юноши в сравнение с възрастни.</w:t>
      </w:r>
    </w:p>
    <w:p w14:paraId="2C3E17B8" w14:textId="046D06DB" w:rsidR="00235125" w:rsidRPr="00235125" w:rsidRDefault="00235125" w:rsidP="00235125">
      <w:pPr>
        <w:spacing w:line="240" w:lineRule="auto"/>
        <w:rPr>
          <w:rFonts w:eastAsia="Times New Roman" w:cs="Arial"/>
          <w:color w:val="000000"/>
          <w:lang w:eastAsia="bg-BG"/>
        </w:rPr>
      </w:pPr>
      <w:r w:rsidRPr="00235125">
        <w:rPr>
          <w:rFonts w:eastAsia="Times New Roman" w:cs="Arial"/>
          <w:color w:val="000000"/>
          <w:vertAlign w:val="superscript"/>
          <w:lang w:eastAsia="bg-BG"/>
        </w:rPr>
        <w:t>4</w:t>
      </w:r>
      <w:r w:rsidRPr="00235125">
        <w:rPr>
          <w:rFonts w:eastAsia="Times New Roman" w:cs="Arial"/>
          <w:color w:val="000000"/>
          <w:lang w:eastAsia="bg-BG"/>
        </w:rPr>
        <w:t>Вижте точка 5.1.</w:t>
      </w:r>
    </w:p>
    <w:p w14:paraId="2F1ABDE6" w14:textId="77777777" w:rsidR="00235125" w:rsidRPr="00235125" w:rsidRDefault="00235125" w:rsidP="00235125">
      <w:pPr>
        <w:spacing w:line="240" w:lineRule="auto"/>
        <w:rPr>
          <w:rFonts w:eastAsia="Times New Roman" w:cs="Arial"/>
          <w:color w:val="000000"/>
          <w:u w:val="single"/>
          <w:lang w:eastAsia="bg-BG"/>
        </w:rPr>
      </w:pPr>
    </w:p>
    <w:p w14:paraId="6520CA61" w14:textId="65ACBEA5" w:rsidR="00235125" w:rsidRPr="00235125" w:rsidRDefault="00235125" w:rsidP="00235125">
      <w:pPr>
        <w:spacing w:line="240" w:lineRule="auto"/>
        <w:rPr>
          <w:rFonts w:eastAsia="Times New Roman" w:cs="Arial"/>
        </w:rPr>
      </w:pPr>
      <w:r w:rsidRPr="00235125">
        <w:rPr>
          <w:rFonts w:eastAsia="Times New Roman" w:cs="Arial"/>
          <w:color w:val="000000"/>
          <w:u w:val="single"/>
          <w:lang w:eastAsia="bg-BG"/>
        </w:rPr>
        <w:t>Съобщаване на подозирани нежелани реакции</w:t>
      </w:r>
    </w:p>
    <w:p w14:paraId="3600D197" w14:textId="77777777" w:rsidR="00235125" w:rsidRPr="00235125" w:rsidRDefault="00235125" w:rsidP="00235125">
      <w:pPr>
        <w:spacing w:line="240" w:lineRule="auto"/>
        <w:rPr>
          <w:rFonts w:ascii="Times New Roman" w:eastAsia="Times New Roman" w:hAnsi="Times New Roman" w:cs="Times New Roman"/>
          <w:sz w:val="24"/>
          <w:szCs w:val="24"/>
        </w:rPr>
      </w:pPr>
      <w:r w:rsidRPr="00235125">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+359 2 8903417, уебсайт: </w:t>
      </w:r>
      <w:hyperlink r:id="rId5" w:history="1">
        <w:r w:rsidRPr="00235125">
          <w:rPr>
            <w:rFonts w:eastAsia="Times New Roman" w:cs="Arial"/>
            <w:color w:val="000000"/>
            <w:lang w:val="en-US"/>
          </w:rPr>
          <w:t>www.bda.bg</w:t>
        </w:r>
      </w:hyperlink>
      <w:r w:rsidRPr="00235125">
        <w:rPr>
          <w:rFonts w:eastAsia="Times New Roman" w:cs="Arial"/>
          <w:color w:val="000000"/>
          <w:lang w:val="en-US"/>
        </w:rPr>
        <w:t>.</w:t>
      </w:r>
    </w:p>
    <w:p w14:paraId="25EB956F" w14:textId="77777777" w:rsidR="00235125" w:rsidRPr="00235125" w:rsidRDefault="00235125" w:rsidP="00235125">
      <w:pPr>
        <w:rPr>
          <w:lang w:val="ru-RU"/>
        </w:rPr>
      </w:pPr>
    </w:p>
    <w:p w14:paraId="5A87DBA3" w14:textId="20652C11" w:rsidR="007122AD" w:rsidRDefault="002C50EE" w:rsidP="00936AD0">
      <w:pPr>
        <w:pStyle w:val="Heading2"/>
      </w:pPr>
      <w:r>
        <w:t>4.9. Предозиране</w:t>
      </w:r>
    </w:p>
    <w:p w14:paraId="64585739" w14:textId="2C1717C0" w:rsidR="00235125" w:rsidRDefault="00235125" w:rsidP="00235125"/>
    <w:p w14:paraId="3BBDD58F" w14:textId="77777777" w:rsidR="00235125" w:rsidRPr="00E9373A" w:rsidRDefault="00235125" w:rsidP="00E9373A">
      <w:pPr>
        <w:pStyle w:val="Heading3"/>
        <w:rPr>
          <w:rFonts w:eastAsia="Times New Roman"/>
          <w:b/>
        </w:rPr>
      </w:pPr>
      <w:r w:rsidRPr="00E9373A">
        <w:rPr>
          <w:rFonts w:eastAsia="Times New Roman"/>
          <w:b/>
          <w:lang w:eastAsia="bg-BG"/>
        </w:rPr>
        <w:t>Симптоми</w:t>
      </w:r>
    </w:p>
    <w:p w14:paraId="7CB69215" w14:textId="77777777"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Като цяло, съобщените признаци и симптоми се дължат на засилване на известните фармакологични ефекти на активното вещество, т.е. сънливост и седация, тахикардия, хипотония и антихолинергични ефекти.</w:t>
      </w:r>
    </w:p>
    <w:p w14:paraId="030F263F" w14:textId="77777777"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 xml:space="preserve">Предозирането може да доведе до удължаване на </w:t>
      </w:r>
      <w:r w:rsidRPr="00235125">
        <w:rPr>
          <w:rFonts w:eastAsia="Times New Roman" w:cs="Arial"/>
          <w:color w:val="000000"/>
          <w:lang w:val="en-US"/>
        </w:rPr>
        <w:t>QT</w:t>
      </w:r>
      <w:r w:rsidRPr="00235125">
        <w:rPr>
          <w:rFonts w:eastAsia="Times New Roman" w:cs="Arial"/>
          <w:color w:val="000000"/>
          <w:lang w:eastAsia="bg-BG"/>
        </w:rPr>
        <w:t>-интервала, гърчове, епилептичен статус, рабдомиолиза, потискане на дишането, задържане на урина, обърканост, делириум и/или ажитация, кома или смърт. Пациенти с подлежащо сърдечно-съдово заболяване вероятно са с повишен риск от ефектите на предозиране (вж. точка 4.4 Ортостатична хипотония).</w:t>
      </w:r>
    </w:p>
    <w:p w14:paraId="177D8329" w14:textId="77777777" w:rsidR="00235125" w:rsidRPr="00E9373A" w:rsidRDefault="00235125" w:rsidP="00235125">
      <w:pPr>
        <w:spacing w:line="240" w:lineRule="auto"/>
        <w:rPr>
          <w:rFonts w:eastAsia="Times New Roman" w:cs="Arial"/>
          <w:b/>
          <w:bCs/>
          <w:color w:val="000000"/>
          <w:lang w:eastAsia="bg-BG"/>
        </w:rPr>
      </w:pPr>
      <w:bookmarkStart w:id="2" w:name="bookmark2"/>
    </w:p>
    <w:p w14:paraId="773AE0AD" w14:textId="53C71500" w:rsidR="00235125" w:rsidRPr="00E9373A" w:rsidRDefault="00235125" w:rsidP="00E9373A">
      <w:pPr>
        <w:pStyle w:val="Heading3"/>
        <w:rPr>
          <w:rFonts w:eastAsia="Times New Roman"/>
          <w:b/>
        </w:rPr>
      </w:pPr>
      <w:r w:rsidRPr="00E9373A">
        <w:rPr>
          <w:rFonts w:eastAsia="Times New Roman"/>
          <w:b/>
          <w:lang w:eastAsia="bg-BG"/>
        </w:rPr>
        <w:t>Лечение на предозирането</w:t>
      </w:r>
      <w:bookmarkEnd w:id="2"/>
    </w:p>
    <w:p w14:paraId="28CA49FB" w14:textId="77777777"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Няма специфичен антидот за кветиапин. В случаи на тежки прояви, трябва да се има предвид възможността за участие на няколко лекарства, препоръчват се интензивни грижи, включително осигуряване и поддържане на проходимост на дихателните пътища, адекватна оксигенация и вентилация и мониториране и поддържане на сърдечно-съдовата система.</w:t>
      </w:r>
    </w:p>
    <w:p w14:paraId="14FBA48D" w14:textId="77777777" w:rsidR="00235125" w:rsidRPr="00E9373A" w:rsidRDefault="00235125" w:rsidP="00235125">
      <w:pPr>
        <w:spacing w:line="240" w:lineRule="auto"/>
        <w:rPr>
          <w:rFonts w:eastAsia="Times New Roman" w:cs="Arial"/>
          <w:color w:val="000000"/>
          <w:lang w:eastAsia="bg-BG"/>
        </w:rPr>
      </w:pPr>
    </w:p>
    <w:p w14:paraId="7384F9C6" w14:textId="451D6D6C"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 xml:space="preserve">Въз основа на литературни публикации, пациенти с делириум, ажитация и ясно изразен антихолинергичен синдром могат да бъдат лекувани с физостигмин, 1-2 </w:t>
      </w:r>
      <w:r w:rsidRPr="00235125">
        <w:rPr>
          <w:rFonts w:eastAsia="Times New Roman" w:cs="Arial"/>
          <w:color w:val="000000"/>
          <w:lang w:val="en-US"/>
        </w:rPr>
        <w:t>mg</w:t>
      </w:r>
      <w:r w:rsidRPr="00235125">
        <w:rPr>
          <w:rFonts w:eastAsia="Times New Roman" w:cs="Arial"/>
          <w:color w:val="000000"/>
          <w:lang w:val="ru-RU"/>
        </w:rPr>
        <w:t xml:space="preserve"> </w:t>
      </w:r>
      <w:r w:rsidRPr="00235125">
        <w:rPr>
          <w:rFonts w:eastAsia="Times New Roman" w:cs="Arial"/>
          <w:color w:val="000000"/>
          <w:lang w:eastAsia="bg-BG"/>
        </w:rPr>
        <w:t xml:space="preserve">(при непрекъснато наблюдение на ЕКГ). Това не се препоръчва като стандартно лечение поради потенциално отрицателното въздействие на физостигмин върху сърдечната проводимост. Физостигмин може да се използва, ако няма отклонения в ЕКГ. Не използвайте физостигмин в случай на аритмия, каквато и да е степен на сърдечен блок или разширение на </w:t>
      </w:r>
      <w:r w:rsidRPr="00235125">
        <w:rPr>
          <w:rFonts w:eastAsia="Times New Roman" w:cs="Arial"/>
          <w:color w:val="000000"/>
          <w:lang w:val="en-US"/>
        </w:rPr>
        <w:t>QRS</w:t>
      </w:r>
      <w:r w:rsidRPr="00235125">
        <w:rPr>
          <w:rFonts w:eastAsia="Times New Roman" w:cs="Arial"/>
          <w:color w:val="000000"/>
          <w:lang w:val="ru-RU"/>
        </w:rPr>
        <w:t xml:space="preserve"> </w:t>
      </w:r>
      <w:r w:rsidRPr="00235125">
        <w:rPr>
          <w:rFonts w:eastAsia="Times New Roman" w:cs="Arial"/>
          <w:color w:val="000000"/>
          <w:lang w:eastAsia="bg-BG"/>
        </w:rPr>
        <w:t>комплекса.</w:t>
      </w:r>
    </w:p>
    <w:p w14:paraId="184F7B30" w14:textId="77777777" w:rsidR="00235125" w:rsidRPr="00E9373A" w:rsidRDefault="00235125" w:rsidP="00235125">
      <w:pPr>
        <w:spacing w:line="240" w:lineRule="auto"/>
        <w:rPr>
          <w:rFonts w:eastAsia="Times New Roman" w:cs="Arial"/>
          <w:color w:val="000000"/>
          <w:lang w:eastAsia="bg-BG"/>
        </w:rPr>
      </w:pPr>
    </w:p>
    <w:p w14:paraId="4F6F07BB" w14:textId="14E4604F"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Тъй като предотвратяването на абсорбцията в случаи на предозиране не е проучено, при тежко отравяне може да е показано извършването на стомашна промивка, като е добре това да се направи в рамките на един час след поглъщането. Трябва да се обсъди и прилагането на активен въглен.</w:t>
      </w:r>
    </w:p>
    <w:p w14:paraId="6E950862" w14:textId="77777777" w:rsidR="00235125" w:rsidRPr="00E9373A" w:rsidRDefault="00235125" w:rsidP="00235125">
      <w:pPr>
        <w:spacing w:line="240" w:lineRule="auto"/>
        <w:rPr>
          <w:rFonts w:eastAsia="Times New Roman" w:cs="Arial"/>
          <w:color w:val="000000"/>
          <w:lang w:eastAsia="bg-BG"/>
        </w:rPr>
      </w:pPr>
    </w:p>
    <w:p w14:paraId="718872DD" w14:textId="3C3594AA"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lastRenderedPageBreak/>
        <w:t>При предозиране с кветиапин рефрактерната хипотония трябва да се лекува с подходящи мерки, като интравенозно приложение на течности и/или симпатикомиметици. Да се избягват адреналин и допамин, тъй като бета-стимулацията може да влоши хипотонията в условията на кветиапин-индуцирана алфа блокада.</w:t>
      </w:r>
    </w:p>
    <w:p w14:paraId="61A11145" w14:textId="77777777" w:rsidR="00235125" w:rsidRPr="00E9373A" w:rsidRDefault="00235125" w:rsidP="00235125">
      <w:pPr>
        <w:spacing w:line="240" w:lineRule="auto"/>
        <w:rPr>
          <w:rFonts w:eastAsia="Times New Roman" w:cs="Arial"/>
          <w:color w:val="000000"/>
          <w:lang w:eastAsia="bg-BG"/>
        </w:rPr>
      </w:pPr>
    </w:p>
    <w:p w14:paraId="1AAB71A3" w14:textId="666F9481" w:rsidR="00235125" w:rsidRPr="00235125" w:rsidRDefault="00235125" w:rsidP="00235125">
      <w:pPr>
        <w:spacing w:line="240" w:lineRule="auto"/>
        <w:rPr>
          <w:rFonts w:eastAsia="Times New Roman" w:cs="Arial"/>
          <w:sz w:val="24"/>
          <w:szCs w:val="24"/>
        </w:rPr>
      </w:pPr>
      <w:r w:rsidRPr="00235125">
        <w:rPr>
          <w:rFonts w:eastAsia="Times New Roman" w:cs="Arial"/>
          <w:color w:val="000000"/>
          <w:lang w:eastAsia="bg-BG"/>
        </w:rPr>
        <w:t>Непосредственото лекарско наблюдение и мониторирането на пациента трябва да пр</w:t>
      </w:r>
      <w:r w:rsidRPr="00235125">
        <w:rPr>
          <w:rFonts w:eastAsia="Times New Roman" w:cs="Arial"/>
          <w:color w:val="000000"/>
          <w:u w:val="single"/>
          <w:lang w:eastAsia="bg-BG"/>
        </w:rPr>
        <w:t>одълж</w:t>
      </w:r>
      <w:r w:rsidRPr="00235125">
        <w:rPr>
          <w:rFonts w:eastAsia="Times New Roman" w:cs="Arial"/>
          <w:color w:val="000000"/>
          <w:lang w:eastAsia="bg-BG"/>
        </w:rPr>
        <w:t>и до възстановяването му.</w:t>
      </w:r>
    </w:p>
    <w:p w14:paraId="0CF6E5C3" w14:textId="77777777" w:rsidR="00235125" w:rsidRPr="00235125" w:rsidRDefault="00235125" w:rsidP="00235125"/>
    <w:p w14:paraId="02081B24" w14:textId="36FE76F4" w:rsidR="00395555" w:rsidRPr="00395555" w:rsidRDefault="002C50EE" w:rsidP="008A6AF2">
      <w:pPr>
        <w:pStyle w:val="Heading1"/>
      </w:pPr>
      <w:r>
        <w:t>5. ФАРМАКОЛОГИЧНИ СВОЙСТВА</w:t>
      </w:r>
    </w:p>
    <w:p w14:paraId="6339E404" w14:textId="5CA61251" w:rsidR="00875EEC" w:rsidRDefault="002C50EE" w:rsidP="005726E3">
      <w:pPr>
        <w:pStyle w:val="Heading2"/>
      </w:pPr>
      <w:r>
        <w:t>5.1. Фармакодинамични свойства</w:t>
      </w:r>
    </w:p>
    <w:p w14:paraId="6A1987C9" w14:textId="707B2C78" w:rsidR="00E9373A" w:rsidRDefault="00E9373A" w:rsidP="00E9373A"/>
    <w:p w14:paraId="344A8DD4"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Фармакотерапевтична група; Антипсихотици; Диазепини, оксазепини, тиазепини и оксепини АТС код: </w:t>
      </w:r>
      <w:r w:rsidRPr="00E9373A">
        <w:rPr>
          <w:rFonts w:eastAsia="Times New Roman" w:cs="Arial"/>
          <w:color w:val="000000"/>
          <w:lang w:val="en-US"/>
        </w:rPr>
        <w:t>N</w:t>
      </w:r>
      <w:r w:rsidRPr="00E9373A">
        <w:rPr>
          <w:rFonts w:eastAsia="Times New Roman" w:cs="Arial"/>
          <w:color w:val="000000"/>
          <w:lang w:eastAsia="bg-BG"/>
        </w:rPr>
        <w:t>05А Н04</w:t>
      </w:r>
    </w:p>
    <w:p w14:paraId="4C83A916" w14:textId="77777777" w:rsidR="00E9373A" w:rsidRPr="00E9373A" w:rsidRDefault="00E9373A" w:rsidP="00E9373A">
      <w:pPr>
        <w:spacing w:line="240" w:lineRule="auto"/>
        <w:rPr>
          <w:rFonts w:eastAsia="Times New Roman" w:cs="Arial"/>
          <w:color w:val="000000"/>
          <w:u w:val="single"/>
          <w:lang w:eastAsia="bg-BG"/>
        </w:rPr>
      </w:pPr>
    </w:p>
    <w:p w14:paraId="2B2FCB91" w14:textId="15A7415F"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Механизъм на действие</w:t>
      </w:r>
    </w:p>
    <w:p w14:paraId="63A15370"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Кветиапин е атипичен антипсихотичен агент.</w:t>
      </w:r>
    </w:p>
    <w:p w14:paraId="3F0AE0C1"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Кветиапин и неговият активен метаболит в човешката плазма норкветиапин взаимодействат с широк набор невротрансмитерни рецептори. Кветиапин и норкветиапин показват афинитет към мозъчните серотонинови 5-НТ2 и допаминови </w:t>
      </w:r>
      <w:r w:rsidRPr="00E9373A">
        <w:rPr>
          <w:rFonts w:eastAsia="Times New Roman" w:cs="Arial"/>
          <w:color w:val="000000"/>
          <w:lang w:val="en-US"/>
        </w:rPr>
        <w:t>D</w:t>
      </w:r>
      <w:r w:rsidRPr="00E9373A">
        <w:rPr>
          <w:rFonts w:eastAsia="Times New Roman" w:cs="Arial"/>
          <w:color w:val="000000"/>
          <w:lang w:val="ru-RU"/>
        </w:rPr>
        <w:t xml:space="preserve">1 </w:t>
      </w:r>
      <w:r w:rsidRPr="00E9373A">
        <w:rPr>
          <w:rFonts w:eastAsia="Times New Roman" w:cs="Arial"/>
          <w:color w:val="000000"/>
          <w:lang w:eastAsia="bg-BG"/>
        </w:rPr>
        <w:t xml:space="preserve">и </w:t>
      </w:r>
      <w:r w:rsidRPr="00E9373A">
        <w:rPr>
          <w:rFonts w:eastAsia="Times New Roman" w:cs="Arial"/>
          <w:color w:val="000000"/>
          <w:lang w:val="en-US"/>
        </w:rPr>
        <w:t>D</w:t>
      </w:r>
      <w:r w:rsidRPr="00E9373A">
        <w:rPr>
          <w:rFonts w:eastAsia="Times New Roman" w:cs="Arial"/>
          <w:color w:val="000000"/>
          <w:lang w:val="ru-RU"/>
        </w:rPr>
        <w:t xml:space="preserve">2 </w:t>
      </w:r>
      <w:r w:rsidRPr="00E9373A">
        <w:rPr>
          <w:rFonts w:eastAsia="Times New Roman" w:cs="Arial"/>
          <w:color w:val="000000"/>
          <w:lang w:eastAsia="bg-BG"/>
        </w:rPr>
        <w:t xml:space="preserve">рецептори. Това е тази комбинация на рецепторен антагонизъм с висока селективност за 5-НТ2 свързани с </w:t>
      </w:r>
      <w:r w:rsidRPr="00E9373A">
        <w:rPr>
          <w:rFonts w:eastAsia="Times New Roman" w:cs="Arial"/>
          <w:color w:val="000000"/>
          <w:lang w:val="en-US"/>
        </w:rPr>
        <w:t>D</w:t>
      </w:r>
      <w:r w:rsidRPr="00E9373A">
        <w:rPr>
          <w:rFonts w:eastAsia="Times New Roman" w:cs="Arial"/>
          <w:color w:val="000000"/>
          <w:lang w:val="ru-RU"/>
        </w:rPr>
        <w:t xml:space="preserve">2 </w:t>
      </w:r>
      <w:r w:rsidRPr="00E9373A">
        <w:rPr>
          <w:rFonts w:eastAsia="Times New Roman" w:cs="Arial"/>
          <w:color w:val="000000"/>
          <w:lang w:eastAsia="bg-BG"/>
        </w:rPr>
        <w:t xml:space="preserve">рецептори, за която се вярва, че допринася за клиничните антипсихотачни свойства и проявите на долна екстрапирамидна нежелана реакция (ЕПС) на кветиапин в сравнение с типичните антипсихотици. Кветиапин и норкветиапин нямат значим афинитет към бензодиазепиновите рецептори, но имат висок афинитет към хистаминергични и адренергични алфа1 рецептори и умерен афинитет към адренергичните алфа2 рецептори. Кветиапин притежава също нисък афинитет или няма афинитет към мускариновите рецептори, докато норкветиапин има умерен до висок афинитет към няколко мускаринови рецептори, което може да обясни антихолинергичните (мускаринови) ефекта. Инхибирането на норепинефринов преносител </w:t>
      </w:r>
      <w:r w:rsidRPr="00E9373A">
        <w:rPr>
          <w:rFonts w:eastAsia="Times New Roman" w:cs="Arial"/>
          <w:color w:val="000000"/>
          <w:lang w:val="ru-RU"/>
        </w:rPr>
        <w:t>(</w:t>
      </w:r>
      <w:r w:rsidRPr="00E9373A">
        <w:rPr>
          <w:rFonts w:eastAsia="Times New Roman" w:cs="Arial"/>
          <w:color w:val="000000"/>
          <w:lang w:val="en-US"/>
        </w:rPr>
        <w:t>NET</w:t>
      </w:r>
      <w:r w:rsidRPr="00E9373A">
        <w:rPr>
          <w:rFonts w:eastAsia="Times New Roman" w:cs="Arial"/>
          <w:color w:val="000000"/>
          <w:lang w:val="ru-RU"/>
        </w:rPr>
        <w:t xml:space="preserve">) </w:t>
      </w:r>
      <w:r w:rsidRPr="00E9373A">
        <w:rPr>
          <w:rFonts w:eastAsia="Times New Roman" w:cs="Arial"/>
          <w:color w:val="000000"/>
          <w:lang w:eastAsia="bg-BG"/>
        </w:rPr>
        <w:t xml:space="preserve">и частичното агонистично действие на местата на </w:t>
      </w:r>
      <w:r w:rsidRPr="00E9373A">
        <w:rPr>
          <w:rFonts w:eastAsia="Times New Roman" w:cs="Arial"/>
          <w:color w:val="000000"/>
          <w:lang w:val="en-US"/>
        </w:rPr>
        <w:t>S</w:t>
      </w:r>
      <w:r w:rsidRPr="00E9373A">
        <w:rPr>
          <w:rFonts w:eastAsia="Times New Roman" w:cs="Arial"/>
          <w:smallCaps/>
          <w:color w:val="000000"/>
          <w:lang w:val="en-US"/>
        </w:rPr>
        <w:t>HT</w:t>
      </w:r>
      <w:r w:rsidRPr="00E9373A">
        <w:rPr>
          <w:rFonts w:eastAsia="Times New Roman" w:cs="Arial"/>
          <w:smallCaps/>
          <w:color w:val="000000"/>
          <w:vertAlign w:val="subscript"/>
          <w:lang w:val="ru-RU"/>
        </w:rPr>
        <w:t>1</w:t>
      </w:r>
      <w:r w:rsidRPr="00E9373A">
        <w:rPr>
          <w:rFonts w:eastAsia="Times New Roman" w:cs="Arial"/>
          <w:smallCaps/>
          <w:color w:val="000000"/>
          <w:vertAlign w:val="subscript"/>
          <w:lang w:val="en-US"/>
        </w:rPr>
        <w:t>a</w:t>
      </w:r>
      <w:r w:rsidRPr="00E9373A">
        <w:rPr>
          <w:rFonts w:eastAsia="Times New Roman" w:cs="Arial"/>
          <w:smallCaps/>
          <w:color w:val="000000"/>
          <w:lang w:val="ru-RU"/>
        </w:rPr>
        <w:t xml:space="preserve"> </w:t>
      </w:r>
      <w:r w:rsidRPr="00E9373A">
        <w:rPr>
          <w:rFonts w:eastAsia="Times New Roman" w:cs="Arial"/>
          <w:smallCaps/>
          <w:color w:val="000000"/>
          <w:lang w:eastAsia="bg-BG"/>
        </w:rPr>
        <w:t>от</w:t>
      </w:r>
      <w:r w:rsidRPr="00E9373A">
        <w:rPr>
          <w:rFonts w:eastAsia="Times New Roman" w:cs="Arial"/>
          <w:color w:val="000000"/>
          <w:lang w:eastAsia="bg-BG"/>
        </w:rPr>
        <w:t xml:space="preserve"> норкветиапин може да допринесе за терапевтичната ефикасност на кветиапин като антидепресант.</w:t>
      </w:r>
    </w:p>
    <w:p w14:paraId="331D2585" w14:textId="77777777" w:rsidR="00E9373A" w:rsidRPr="00E9373A" w:rsidRDefault="00E9373A" w:rsidP="00E9373A">
      <w:pPr>
        <w:spacing w:line="240" w:lineRule="auto"/>
        <w:rPr>
          <w:rFonts w:eastAsia="Times New Roman" w:cs="Arial"/>
          <w:color w:val="000000"/>
          <w:u w:val="single"/>
          <w:lang w:eastAsia="bg-BG"/>
        </w:rPr>
      </w:pPr>
    </w:p>
    <w:p w14:paraId="1F5D29A0" w14:textId="71FA8715"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Фармакодинамични ефекти</w:t>
      </w:r>
    </w:p>
    <w:p w14:paraId="5412ACF9"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Кветиапин е активен при тестове за антипсихотична активност, такива като условно въздържание. Той също блокира активността на допаминовите агонисти, определена поведенчески или електрофизиологично и повишава концентрациите на допаминовите метаболити, неврохимичен индекс за </w:t>
      </w:r>
      <w:r w:rsidRPr="00E9373A">
        <w:rPr>
          <w:rFonts w:eastAsia="Times New Roman" w:cs="Arial"/>
          <w:color w:val="000000"/>
          <w:lang w:val="en-US"/>
        </w:rPr>
        <w:t>D</w:t>
      </w:r>
      <w:r w:rsidRPr="00E9373A">
        <w:rPr>
          <w:rFonts w:eastAsia="Times New Roman" w:cs="Arial"/>
          <w:color w:val="000000"/>
          <w:lang w:val="ru-RU"/>
        </w:rPr>
        <w:t xml:space="preserve">2 </w:t>
      </w:r>
      <w:r w:rsidRPr="00E9373A">
        <w:rPr>
          <w:rFonts w:eastAsia="Times New Roman" w:cs="Arial"/>
          <w:color w:val="000000"/>
          <w:lang w:eastAsia="bg-BG"/>
        </w:rPr>
        <w:t>рецепторна блокада.</w:t>
      </w:r>
    </w:p>
    <w:p w14:paraId="6B82C218"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При предклинични тестове за прогноза на ЕПС, кветиапин е различен от типичните антипсихотици и има атипичен профил. След хронично приложение, кветиапин не води до свръхчувствителност на допаминовите </w:t>
      </w:r>
      <w:r w:rsidRPr="00E9373A">
        <w:rPr>
          <w:rFonts w:eastAsia="Times New Roman" w:cs="Arial"/>
          <w:color w:val="000000"/>
          <w:lang w:val="en-US"/>
        </w:rPr>
        <w:t>D</w:t>
      </w:r>
      <w:r w:rsidRPr="00E9373A">
        <w:rPr>
          <w:rFonts w:eastAsia="Times New Roman" w:cs="Arial"/>
          <w:color w:val="000000"/>
          <w:vertAlign w:val="subscript"/>
          <w:lang w:val="ru-RU"/>
        </w:rPr>
        <w:t>2</w:t>
      </w:r>
      <w:r w:rsidRPr="00E9373A">
        <w:rPr>
          <w:rFonts w:eastAsia="Times New Roman" w:cs="Arial"/>
          <w:color w:val="000000"/>
          <w:lang w:val="ru-RU"/>
        </w:rPr>
        <w:t xml:space="preserve"> </w:t>
      </w:r>
      <w:r w:rsidRPr="00E9373A">
        <w:rPr>
          <w:rFonts w:eastAsia="Times New Roman" w:cs="Arial"/>
          <w:color w:val="000000"/>
          <w:lang w:eastAsia="bg-BG"/>
        </w:rPr>
        <w:t xml:space="preserve">рецептори. Кветиапин предизвиква само слабо изразена каталепсия в дози ефективни за блокиране на допаминови </w:t>
      </w:r>
      <w:r w:rsidRPr="00E9373A">
        <w:rPr>
          <w:rFonts w:eastAsia="Times New Roman" w:cs="Arial"/>
          <w:color w:val="000000"/>
          <w:lang w:val="en-US"/>
        </w:rPr>
        <w:t>D</w:t>
      </w:r>
      <w:r w:rsidRPr="00E9373A">
        <w:rPr>
          <w:rFonts w:eastAsia="Times New Roman" w:cs="Arial"/>
          <w:color w:val="000000"/>
          <w:lang w:val="ru-RU"/>
        </w:rPr>
        <w:t xml:space="preserve">2 </w:t>
      </w:r>
      <w:r w:rsidRPr="00E9373A">
        <w:rPr>
          <w:rFonts w:eastAsia="Times New Roman" w:cs="Arial"/>
          <w:color w:val="000000"/>
          <w:lang w:eastAsia="bg-BG"/>
        </w:rPr>
        <w:t xml:space="preserve">рецептори. Кветиапин демонстрира избирателност по отношение на лимбичната система, като след хронично приложение води до деполаризационна блокада на мезолимбичните, но не и на нигростриалните допамин-съдьржащи неврони. Кветиапин показва минимална дистонична ангажираност при халоперидол сенсибилизирани или нетретирани маймуни от вида </w:t>
      </w:r>
      <w:r w:rsidRPr="00E9373A">
        <w:rPr>
          <w:rFonts w:eastAsia="Times New Roman" w:cs="Arial"/>
          <w:color w:val="000000"/>
          <w:lang w:val="en-US"/>
        </w:rPr>
        <w:t>Cebus</w:t>
      </w:r>
      <w:r w:rsidRPr="00E9373A">
        <w:rPr>
          <w:rFonts w:eastAsia="Times New Roman" w:cs="Arial"/>
          <w:color w:val="000000"/>
          <w:lang w:val="ru-RU"/>
        </w:rPr>
        <w:t xml:space="preserve"> </w:t>
      </w:r>
      <w:r w:rsidRPr="00E9373A">
        <w:rPr>
          <w:rFonts w:eastAsia="Times New Roman" w:cs="Arial"/>
          <w:color w:val="000000"/>
          <w:lang w:eastAsia="bg-BG"/>
        </w:rPr>
        <w:t>след остро или хронично приложение, (вж. точка 4.8).</w:t>
      </w:r>
    </w:p>
    <w:p w14:paraId="112FAFA0" w14:textId="77777777" w:rsidR="00E9373A" w:rsidRPr="00E9373A" w:rsidRDefault="00E9373A" w:rsidP="00E9373A">
      <w:pPr>
        <w:spacing w:line="240" w:lineRule="auto"/>
        <w:rPr>
          <w:rFonts w:eastAsia="Times New Roman" w:cs="Arial"/>
          <w:color w:val="000000"/>
          <w:u w:val="single"/>
          <w:lang w:eastAsia="bg-BG"/>
        </w:rPr>
      </w:pPr>
    </w:p>
    <w:p w14:paraId="125CF34E" w14:textId="00352095"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Клинична ефикасност</w:t>
      </w:r>
    </w:p>
    <w:p w14:paraId="12EEB00F" w14:textId="77777777"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Шизофрения</w:t>
      </w:r>
    </w:p>
    <w:p w14:paraId="69E4F62E" w14:textId="5C748217" w:rsidR="00E9373A" w:rsidRPr="00E9373A" w:rsidRDefault="00E9373A" w:rsidP="00E9373A">
      <w:pPr>
        <w:spacing w:line="240" w:lineRule="auto"/>
        <w:rPr>
          <w:rFonts w:eastAsia="Times New Roman" w:cs="Arial"/>
        </w:rPr>
      </w:pPr>
      <w:r w:rsidRPr="00E9373A">
        <w:rPr>
          <w:rFonts w:eastAsia="Times New Roman" w:cs="Arial"/>
          <w:color w:val="000000"/>
          <w:lang w:eastAsia="bg-BG"/>
        </w:rPr>
        <w:lastRenderedPageBreak/>
        <w:t xml:space="preserve">В три плацебо контролирани клинични проучвания при пациенти с шизофрения, при използване на различни дози кветиапин, не са били установени различия между двете групи на лечение с кветиапин и плацебо по отношение честотата на ЕПС или едновременната употреба на антихолинергици. Едно плацебо контролирано клинично проучване с фиксирани дози кветиапин в дозовия интервал от 75 до 750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не е дало доказателства за повишаване честотата на ЕПС или употребата на антихолинергици. Дългосрочната ефикасност на кветиапин с незабавно освобождаване за превенция на рецидиви на шизофрения не е била потвърдена при заслепени клинични проучвания. В открити проучвания, проведени с пациенти с шизофрения кветиапин е бил ефективен за поддържане на клиничното подобрение в хода на продължителна терапия при пациенти, които са получили отговор при първоначалното лечение, подсказващ известна дългосрочна ефикасност.</w:t>
      </w:r>
    </w:p>
    <w:p w14:paraId="2E0FE53E" w14:textId="77777777" w:rsidR="00E9373A" w:rsidRPr="00E9373A" w:rsidRDefault="00E9373A" w:rsidP="00E9373A">
      <w:pPr>
        <w:spacing w:line="240" w:lineRule="auto"/>
        <w:rPr>
          <w:rFonts w:eastAsia="Times New Roman" w:cs="Arial"/>
          <w:color w:val="000000"/>
          <w:u w:val="single"/>
          <w:lang w:eastAsia="bg-BG"/>
        </w:rPr>
      </w:pPr>
    </w:p>
    <w:p w14:paraId="0FC52E89" w14:textId="6D714924"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Биполярно разстройство</w:t>
      </w:r>
    </w:p>
    <w:p w14:paraId="435F7DD7" w14:textId="3FBE89F1" w:rsidR="00E9373A" w:rsidRPr="00E9373A" w:rsidRDefault="00E9373A" w:rsidP="00E9373A">
      <w:pPr>
        <w:spacing w:line="240" w:lineRule="auto"/>
        <w:rPr>
          <w:rFonts w:eastAsia="Times New Roman" w:cs="Arial"/>
        </w:rPr>
      </w:pPr>
      <w:r w:rsidRPr="00E9373A">
        <w:rPr>
          <w:rFonts w:eastAsia="Times New Roman" w:cs="Arial"/>
          <w:color w:val="000000"/>
          <w:lang w:eastAsia="bg-BG"/>
        </w:rPr>
        <w:t>В четири плацебо контролирани клинични проучвания, оценяващи дози на</w:t>
      </w:r>
      <w:r w:rsidRPr="00E9373A">
        <w:rPr>
          <w:rFonts w:eastAsia="Times New Roman" w:cs="Arial"/>
          <w:color w:val="000000"/>
          <w:lang w:val="ru-RU"/>
        </w:rPr>
        <w:t xml:space="preserve"> </w:t>
      </w:r>
      <w:r w:rsidRPr="00E9373A">
        <w:rPr>
          <w:rFonts w:eastAsia="Times New Roman" w:cs="Arial"/>
          <w:color w:val="000000"/>
          <w:lang w:eastAsia="bg-BG"/>
        </w:rPr>
        <w:t>кветиапин до 800</w:t>
      </w:r>
      <w:r>
        <w:rPr>
          <w:rFonts w:eastAsia="Times New Roman" w:cs="Arial"/>
        </w:rPr>
        <w:t xml:space="preserve">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за лечение на умерени до тежки манийни епизоди, две от които като монотерапия и</w:t>
      </w:r>
      <w:r>
        <w:rPr>
          <w:rFonts w:eastAsia="Times New Roman" w:cs="Arial"/>
        </w:rPr>
        <w:t xml:space="preserve"> </w:t>
      </w:r>
      <w:r w:rsidRPr="00E9373A">
        <w:rPr>
          <w:rFonts w:eastAsia="Times New Roman" w:cs="Arial"/>
          <w:i/>
          <w:iCs/>
          <w:color w:val="000000"/>
          <w:lang w:eastAsia="bg-BG"/>
        </w:rPr>
        <w:t>две в</w:t>
      </w:r>
      <w:r w:rsidRPr="00E9373A">
        <w:rPr>
          <w:rFonts w:eastAsia="Times New Roman" w:cs="Arial"/>
          <w:color w:val="000000"/>
          <w:lang w:eastAsia="bg-BG"/>
        </w:rPr>
        <w:t xml:space="preserve"> комбинация с литий или дивалпроекс, не са били установени разлики между групите на лечение с кветиапин и плацебо по отношение на честотата на ЕПС или едновременната употреба на антихолинергици.</w:t>
      </w:r>
    </w:p>
    <w:p w14:paraId="47E92327" w14:textId="77777777" w:rsidR="00E9373A" w:rsidRPr="00E9373A" w:rsidRDefault="00E9373A" w:rsidP="00E9373A">
      <w:pPr>
        <w:spacing w:line="240" w:lineRule="auto"/>
        <w:rPr>
          <w:rFonts w:eastAsia="Times New Roman" w:cs="Arial"/>
          <w:color w:val="000000"/>
          <w:lang w:eastAsia="bg-BG"/>
        </w:rPr>
      </w:pPr>
    </w:p>
    <w:p w14:paraId="416B819D" w14:textId="46CD2AA0"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две проучвания с монотерапия за лечение на умерено тежки до тежки манийни епизоди, кветиапин е показал по-добра ефикасност спрямо плацебо по отношение намаляване на манийните симптоми на 3-та и 12-та седмица. Липсват данни, доказващи дългосрочната ефективност на кветиапин в предотвратяването на последващи манийни или депресивни епизоди. Данните за кветиапин в комбинация с дивалпроекс или литий при остри, умерено тежки до тежки манийни епизоди на 3-та и 6-та седмица са ограничени; все пак комбинираната терапия е била добре понасяна. Данните са показали адитивен ефект на 3-та седмица. Друго проучване не е доказало адитивен ефект на 6-та седмица.</w:t>
      </w:r>
    </w:p>
    <w:p w14:paraId="67BFF390" w14:textId="77777777" w:rsidR="00E9373A" w:rsidRPr="00E9373A" w:rsidRDefault="00E9373A" w:rsidP="00E9373A">
      <w:pPr>
        <w:spacing w:line="240" w:lineRule="auto"/>
        <w:rPr>
          <w:rFonts w:eastAsia="Times New Roman" w:cs="Arial"/>
          <w:color w:val="000000"/>
          <w:lang w:eastAsia="bg-BG"/>
        </w:rPr>
      </w:pPr>
    </w:p>
    <w:p w14:paraId="54583C13" w14:textId="55F65FA4"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Средната доза на кветиапин през последната седмица при отговорилите пациенти е била приблизително 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като приблизително 85% от тях са били в дозовия интервал от 400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w:t>
      </w:r>
    </w:p>
    <w:p w14:paraId="0E69AF4C" w14:textId="77777777" w:rsidR="00E9373A" w:rsidRPr="00E9373A" w:rsidRDefault="00E9373A" w:rsidP="00E9373A">
      <w:pPr>
        <w:spacing w:line="240" w:lineRule="auto"/>
        <w:rPr>
          <w:rFonts w:eastAsia="Times New Roman" w:cs="Arial"/>
          <w:color w:val="000000"/>
          <w:lang w:eastAsia="bg-BG"/>
        </w:rPr>
      </w:pPr>
    </w:p>
    <w:p w14:paraId="58058F26" w14:textId="49EFC51C"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четири клинични проучвания с продължителност 8 седмици при пациенти с умерено тежки до тежки депресивни епизоди при биполярно I или биполярно </w:t>
      </w:r>
      <w:r w:rsidRPr="00E9373A">
        <w:rPr>
          <w:rFonts w:eastAsia="Times New Roman" w:cs="Arial"/>
          <w:color w:val="000000"/>
          <w:lang w:val="en-US"/>
        </w:rPr>
        <w:t>II</w:t>
      </w:r>
      <w:r w:rsidRPr="00E9373A">
        <w:rPr>
          <w:rFonts w:eastAsia="Times New Roman" w:cs="Arial"/>
          <w:color w:val="000000"/>
          <w:lang w:eastAsia="bg-BG"/>
        </w:rPr>
        <w:t xml:space="preserve"> разстройство, кветиапин с незабавно освобождаване е бил подчертано по-добър спрямо плацебо по отношение на изходните показатели: средно подобрение на </w:t>
      </w:r>
      <w:r w:rsidRPr="00E9373A">
        <w:rPr>
          <w:rFonts w:eastAsia="Times New Roman" w:cs="Arial"/>
          <w:color w:val="000000"/>
          <w:lang w:val="en-US"/>
        </w:rPr>
        <w:t>MADRS</w:t>
      </w:r>
      <w:r w:rsidRPr="00E9373A">
        <w:rPr>
          <w:rFonts w:eastAsia="Times New Roman" w:cs="Arial"/>
          <w:color w:val="000000"/>
          <w:lang w:val="ru-RU"/>
        </w:rPr>
        <w:t xml:space="preserve">, </w:t>
      </w:r>
      <w:r w:rsidRPr="00E9373A">
        <w:rPr>
          <w:rFonts w:eastAsia="Times New Roman" w:cs="Arial"/>
          <w:color w:val="000000"/>
          <w:lang w:eastAsia="bg-BG"/>
        </w:rPr>
        <w:t xml:space="preserve">както и за отговора дефиниран като поне 50% подобрение на общия сбор на </w:t>
      </w:r>
      <w:r w:rsidRPr="00E9373A">
        <w:rPr>
          <w:rFonts w:eastAsia="Times New Roman" w:cs="Arial"/>
          <w:color w:val="000000"/>
          <w:lang w:val="en-US"/>
        </w:rPr>
        <w:t>MADRS</w:t>
      </w:r>
      <w:r w:rsidRPr="00E9373A">
        <w:rPr>
          <w:rFonts w:eastAsia="Times New Roman" w:cs="Arial"/>
          <w:color w:val="000000"/>
          <w:lang w:val="ru-RU"/>
        </w:rPr>
        <w:t xml:space="preserve"> </w:t>
      </w:r>
      <w:r w:rsidRPr="00E9373A">
        <w:rPr>
          <w:rFonts w:eastAsia="Times New Roman" w:cs="Arial"/>
          <w:color w:val="000000"/>
          <w:lang w:eastAsia="bg-BG"/>
        </w:rPr>
        <w:t xml:space="preserve">спрямо изходния. Не са били установени различия в силата на ефекта между пациентите, които са получавали 300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кветиапин с незабавно освобождаване и тези, които са получавали доза от 600 </w:t>
      </w:r>
      <w:r w:rsidRPr="00E9373A">
        <w:rPr>
          <w:rFonts w:eastAsia="Times New Roman" w:cs="Arial"/>
          <w:color w:val="000000"/>
          <w:lang w:val="en-US"/>
        </w:rPr>
        <w:t>mg</w:t>
      </w:r>
      <w:r w:rsidRPr="00E9373A">
        <w:rPr>
          <w:rFonts w:eastAsia="Times New Roman" w:cs="Arial"/>
          <w:color w:val="000000"/>
          <w:lang w:val="ru-RU"/>
        </w:rPr>
        <w:t>.</w:t>
      </w:r>
    </w:p>
    <w:p w14:paraId="6F05F88C" w14:textId="77777777" w:rsidR="00E9373A" w:rsidRPr="00E9373A" w:rsidRDefault="00E9373A" w:rsidP="00E9373A">
      <w:pPr>
        <w:spacing w:line="240" w:lineRule="auto"/>
        <w:rPr>
          <w:rFonts w:eastAsia="Times New Roman" w:cs="Arial"/>
          <w:color w:val="000000"/>
          <w:lang w:eastAsia="bg-BG"/>
        </w:rPr>
      </w:pPr>
    </w:p>
    <w:p w14:paraId="6851945F" w14:textId="0776AE36"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последваща фаза на две от тези проучвания е било установено, че при пациенти отговорили на кветиапин 300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или 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дългосрочното лечение с кветиапин е било ефективно в сравнение с плацебо по отношение на депресивни симптоми, но не и по отношение на манийни симптоми.</w:t>
      </w:r>
    </w:p>
    <w:p w14:paraId="1DE6F92F" w14:textId="77777777" w:rsidR="00E9373A" w:rsidRPr="00E9373A" w:rsidRDefault="00E9373A" w:rsidP="00E9373A">
      <w:pPr>
        <w:spacing w:line="240" w:lineRule="auto"/>
        <w:rPr>
          <w:rFonts w:eastAsia="Times New Roman" w:cs="Arial"/>
          <w:color w:val="000000"/>
          <w:lang w:eastAsia="bg-BG"/>
        </w:rPr>
      </w:pPr>
    </w:p>
    <w:p w14:paraId="1CB5EC1C" w14:textId="531D1622"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две проучвания за профилактика на рецидивите, оценяващи кветиапин в комбинация със стабилизатори на настроението, при пациенти с манийни, депресивни или смесени епизоди, комбинацията с кветиапин е превъзхождала монотерапията със стабилизатори </w:t>
      </w:r>
      <w:r w:rsidRPr="00E9373A">
        <w:rPr>
          <w:rFonts w:eastAsia="Times New Roman" w:cs="Arial"/>
          <w:color w:val="000000"/>
          <w:lang w:eastAsia="bg-BG"/>
        </w:rPr>
        <w:lastRenderedPageBreak/>
        <w:t xml:space="preserve">на настроението по отношение удължаване на времето до рецидивиране, на което и да е разстройство на настроението (манийно, смесено или депресивно). Кветиапин е прилаган два пъти дневно в доза от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като комбинирана терапия с литий или валпроат.</w:t>
      </w:r>
    </w:p>
    <w:p w14:paraId="2A0BF33A" w14:textId="77777777" w:rsidR="00E9373A" w:rsidRPr="00E9373A" w:rsidRDefault="00E9373A" w:rsidP="00E9373A">
      <w:pPr>
        <w:spacing w:line="240" w:lineRule="auto"/>
        <w:rPr>
          <w:rFonts w:eastAsia="Times New Roman" w:cs="Arial"/>
          <w:color w:val="000000"/>
          <w:lang w:eastAsia="bg-BG"/>
        </w:rPr>
      </w:pPr>
    </w:p>
    <w:p w14:paraId="0A2FC1B8" w14:textId="40F249F4"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едно 6-седмично, рандомизирано проучване с прием на литий и кветиапин (с удължено освобождаване) спрямо плацебо и кветиапин (с удължено освобождаване) при възрастни пациенти с остра мания, разликата в средната промяна по скалата на Йънг за оценка на манийните разстройства </w:t>
      </w:r>
      <w:r w:rsidRPr="00E9373A">
        <w:rPr>
          <w:rFonts w:eastAsia="Times New Roman" w:cs="Arial"/>
          <w:color w:val="000000"/>
          <w:lang w:val="ru-RU"/>
        </w:rPr>
        <w:t>(</w:t>
      </w:r>
      <w:r w:rsidRPr="00E9373A">
        <w:rPr>
          <w:rFonts w:eastAsia="Times New Roman" w:cs="Arial"/>
          <w:color w:val="000000"/>
          <w:lang w:val="en-US"/>
        </w:rPr>
        <w:t>YMRS</w:t>
      </w:r>
      <w:r w:rsidRPr="00E9373A">
        <w:rPr>
          <w:rFonts w:eastAsia="Times New Roman" w:cs="Arial"/>
          <w:color w:val="000000"/>
          <w:lang w:val="ru-RU"/>
        </w:rPr>
        <w:t xml:space="preserve">) </w:t>
      </w:r>
      <w:r w:rsidRPr="00E9373A">
        <w:rPr>
          <w:rFonts w:eastAsia="Times New Roman" w:cs="Arial"/>
          <w:color w:val="000000"/>
          <w:lang w:eastAsia="bg-BG"/>
        </w:rPr>
        <w:t xml:space="preserve">между групата на добавен литий и групата на добавено плацебо е 2,8 точки, а разликата в процента респондери (определен като 50% промяна в сравнение с изходната стойност на </w:t>
      </w:r>
      <w:r w:rsidRPr="00E9373A">
        <w:rPr>
          <w:rFonts w:eastAsia="Times New Roman" w:cs="Arial"/>
          <w:color w:val="000000"/>
          <w:lang w:val="en-US"/>
        </w:rPr>
        <w:t>YMRS</w:t>
      </w:r>
      <w:r w:rsidRPr="00E9373A">
        <w:rPr>
          <w:rFonts w:eastAsia="Times New Roman" w:cs="Arial"/>
          <w:color w:val="000000"/>
          <w:lang w:val="ru-RU"/>
        </w:rPr>
        <w:t xml:space="preserve">) </w:t>
      </w:r>
      <w:r w:rsidRPr="00E9373A">
        <w:rPr>
          <w:rFonts w:eastAsia="Times New Roman" w:cs="Arial"/>
          <w:color w:val="000000"/>
          <w:lang w:eastAsia="bg-BG"/>
        </w:rPr>
        <w:t>е 11% (79% в групата на добавен литий спрямо 68% в групата на добавено плацебо).</w:t>
      </w:r>
    </w:p>
    <w:p w14:paraId="468711FB" w14:textId="77777777" w:rsidR="00E9373A" w:rsidRPr="00E9373A" w:rsidRDefault="00E9373A" w:rsidP="00E9373A">
      <w:pPr>
        <w:spacing w:line="240" w:lineRule="auto"/>
        <w:rPr>
          <w:rFonts w:eastAsia="Times New Roman" w:cs="Arial"/>
          <w:color w:val="000000"/>
          <w:lang w:eastAsia="bg-BG"/>
        </w:rPr>
      </w:pPr>
    </w:p>
    <w:p w14:paraId="652777A0" w14:textId="277ECCE4"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едно дългосрочно проучване (не повече от 2 години лечение) за оценка на предотвратяване на рецидиви при пациенти с манийни, депресивни или смесени епизоди кветиапин е бил с по- добра ефикасност спрямо плацебо по отношение на увеличаване продължителността на времето до рецидив (маниен, смесен или депресивен) при пациенти с биполярно I разстройство. Броят на пациентите с разстройство на настроението е бил съответно 91 (22,5%) в групата на кветиапин, 208 (51,5%) в групата на плацебо и 95 (26,1%) в групата на литий. При сравняване на продължителното лечение с кветиапин спрямо превключване на литий при пациеити, отговорили на кветиапин, резултатите са показали, че превключването на литий не предлага допълнителна полза по отношение предотвратяването на рецидив.</w:t>
      </w:r>
    </w:p>
    <w:p w14:paraId="41B75F91" w14:textId="77777777" w:rsidR="00E9373A" w:rsidRPr="00E9373A" w:rsidRDefault="00E9373A" w:rsidP="00E9373A">
      <w:pPr>
        <w:rPr>
          <w:rFonts w:eastAsia="Times New Roman" w:cs="Arial"/>
          <w:color w:val="000000"/>
          <w:lang w:eastAsia="bg-BG"/>
        </w:rPr>
      </w:pPr>
    </w:p>
    <w:p w14:paraId="5EB006A5" w14:textId="77777777" w:rsidR="00E9373A" w:rsidRPr="00E9373A" w:rsidRDefault="00E9373A" w:rsidP="00E9373A">
      <w:pPr>
        <w:rPr>
          <w:rFonts w:eastAsia="Times New Roman" w:cs="Arial"/>
        </w:rPr>
      </w:pPr>
      <w:r w:rsidRPr="00E9373A">
        <w:rPr>
          <w:rFonts w:eastAsia="Times New Roman" w:cs="Arial"/>
          <w:color w:val="000000"/>
          <w:lang w:eastAsia="bg-BG"/>
        </w:rPr>
        <w:t>Клиничните проучвания са показали, че кветиапин е ефективен при шизофрения и мания, когато е прилаган два пъти дневно, въпреки че кветиапин има фармакокинетичен полуживот от приблизително 7 часа. Това се потвърждава и от данните на позитронно-емисионната томография (ПЕТ), която идентифицира че за кветиапин има заемане на 5НТ</w:t>
      </w:r>
      <w:r w:rsidRPr="00E9373A">
        <w:rPr>
          <w:rFonts w:eastAsia="Times New Roman" w:cs="Arial"/>
          <w:color w:val="000000"/>
          <w:vertAlign w:val="subscript"/>
          <w:lang w:eastAsia="bg-BG"/>
        </w:rPr>
        <w:t>2</w:t>
      </w:r>
      <w:r w:rsidRPr="00E9373A">
        <w:rPr>
          <w:rFonts w:eastAsia="Times New Roman" w:cs="Arial"/>
          <w:color w:val="000000"/>
          <w:lang w:eastAsia="bg-BG"/>
        </w:rPr>
        <w:t xml:space="preserve"> и </w:t>
      </w:r>
      <w:r w:rsidRPr="00E9373A">
        <w:rPr>
          <w:rFonts w:eastAsia="Times New Roman" w:cs="Arial"/>
          <w:color w:val="000000"/>
          <w:lang w:val="en-US"/>
        </w:rPr>
        <w:t>D</w:t>
      </w:r>
      <w:r w:rsidRPr="00E9373A">
        <w:rPr>
          <w:rFonts w:eastAsia="Times New Roman" w:cs="Arial"/>
          <w:color w:val="000000"/>
          <w:vertAlign w:val="subscript"/>
          <w:lang w:val="ru-RU"/>
        </w:rPr>
        <w:t>2</w:t>
      </w:r>
      <w:r w:rsidRPr="00E9373A">
        <w:rPr>
          <w:rFonts w:eastAsia="Times New Roman" w:cs="Arial"/>
          <w:color w:val="000000"/>
          <w:lang w:val="ru-RU"/>
        </w:rPr>
        <w:t xml:space="preserve">- </w:t>
      </w:r>
      <w:r w:rsidRPr="00E9373A">
        <w:rPr>
          <w:rFonts w:eastAsia="Times New Roman" w:cs="Arial"/>
          <w:color w:val="000000"/>
          <w:lang w:eastAsia="bg-BG"/>
        </w:rPr>
        <w:t xml:space="preserve">рецепторите до 12 часа. Безопасността и ефикасността на дози над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не са били проучени.</w:t>
      </w:r>
    </w:p>
    <w:p w14:paraId="142A6CE8" w14:textId="77777777" w:rsidR="00E9373A" w:rsidRPr="00E9373A" w:rsidRDefault="00E9373A" w:rsidP="00E9373A">
      <w:pPr>
        <w:spacing w:line="240" w:lineRule="auto"/>
        <w:rPr>
          <w:rFonts w:eastAsia="Times New Roman" w:cs="Arial"/>
          <w:color w:val="000000"/>
          <w:u w:val="single"/>
          <w:lang w:eastAsia="bg-BG"/>
        </w:rPr>
      </w:pPr>
    </w:p>
    <w:p w14:paraId="21FBCE4C" w14:textId="62528E50"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Клинична безопасност</w:t>
      </w:r>
    </w:p>
    <w:p w14:paraId="5425F1BB"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краткосрочни плацебо контролирани клинични проучвания при шизофрения и биполярна мания, повишаването на честотата на екстрапирамидните симптоми е било сходно с това при плацебо (шизофрения: 7,8% за кветиапин и 8,0% за плацебо; биполярна мания: 11,2% за кветиапин и 11,4% за плацебо). По-високи честоти на екстрапирамидни симптоми са били наблюдавани при пациентите, лекувани с плацебо спрямо тези, които са получавали плацебо при краткосрочни, плацебо-контролирани клинични проучвания при </w:t>
      </w:r>
      <w:r w:rsidRPr="00E9373A">
        <w:rPr>
          <w:rFonts w:eastAsia="Times New Roman" w:cs="Arial"/>
          <w:color w:val="000000"/>
          <w:lang w:val="en-US"/>
        </w:rPr>
        <w:t>MDD</w:t>
      </w:r>
      <w:r w:rsidRPr="00E9373A">
        <w:rPr>
          <w:rFonts w:eastAsia="Times New Roman" w:cs="Arial"/>
          <w:color w:val="000000"/>
          <w:lang w:val="ru-RU"/>
        </w:rPr>
        <w:t xml:space="preserve"> </w:t>
      </w:r>
      <w:r w:rsidRPr="00E9373A">
        <w:rPr>
          <w:rFonts w:eastAsia="Times New Roman" w:cs="Arial"/>
          <w:color w:val="000000"/>
          <w:lang w:eastAsia="bg-BG"/>
        </w:rPr>
        <w:t xml:space="preserve">биполярна депресия. В краткосрочни плацебо-контролирани проучвания на биполярна депресия повишаването на честотата на екстрапирамидните симптоми е била 8,9% за кветиапин спрямо 3,8% за плацебо. В краткосрочно плацебо контролирано проучване с монотерапия при пациента в старческа възраст с голям депресивен епизод, повишената честота на екстрапирамидни симптоми е била 5,4% за кветиапин (с удължено освобождаване) и 3,2% за плацебо. В едно краткосрочно плацебо контролирано проучване с монотерапия при пациенти в старческа възраст с голям депресивен епизод, повишената честота на екстрапирамидни симптоми е била 9,0% за кветиапин (с удължено освобождаване) и 2,3% за плацебо. И при двете състояния </w:t>
      </w:r>
      <w:r w:rsidRPr="00E9373A">
        <w:rPr>
          <w:rFonts w:eastAsia="Times New Roman" w:cs="Arial"/>
          <w:color w:val="000000"/>
          <w:lang w:val="en-US"/>
        </w:rPr>
        <w:t>MDD</w:t>
      </w:r>
      <w:r w:rsidRPr="00E9373A">
        <w:rPr>
          <w:rFonts w:eastAsia="Times New Roman" w:cs="Arial"/>
          <w:color w:val="000000"/>
          <w:lang w:val="ru-RU"/>
        </w:rPr>
        <w:t xml:space="preserve"> </w:t>
      </w:r>
      <w:r w:rsidRPr="00E9373A">
        <w:rPr>
          <w:rFonts w:eastAsia="Times New Roman" w:cs="Arial"/>
          <w:color w:val="000000"/>
          <w:lang w:eastAsia="bg-BG"/>
        </w:rPr>
        <w:t xml:space="preserve">и биполярна депресия, честотата на отделните нежелани събития (като акатизия, екстрапирамидно нарушение, тремор, дискинезия, дистония, безпокойство, </w:t>
      </w:r>
      <w:r w:rsidRPr="00E9373A">
        <w:rPr>
          <w:rFonts w:eastAsia="Times New Roman" w:cs="Arial"/>
          <w:color w:val="000000"/>
          <w:lang w:eastAsia="bg-BG"/>
        </w:rPr>
        <w:lastRenderedPageBreak/>
        <w:t>неволеви мускулни контракции, психомоторна хиперактивност и мускулна ригидност) не са превишавали 4% във всяка терапевтична група.</w:t>
      </w:r>
    </w:p>
    <w:p w14:paraId="40E3993F" w14:textId="77777777" w:rsidR="00E9373A" w:rsidRPr="00E9373A" w:rsidRDefault="00E9373A" w:rsidP="00E9373A">
      <w:pPr>
        <w:spacing w:line="240" w:lineRule="auto"/>
        <w:rPr>
          <w:rFonts w:eastAsia="Times New Roman" w:cs="Arial"/>
          <w:color w:val="000000"/>
          <w:lang w:eastAsia="bg-BG"/>
        </w:rPr>
      </w:pPr>
    </w:p>
    <w:p w14:paraId="4EB76EA5" w14:textId="3AA0AB97"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В краткосрочни плацебо контролирани проучвания с фиксирана доза (50 </w:t>
      </w:r>
      <w:r w:rsidRPr="00E9373A">
        <w:rPr>
          <w:rFonts w:eastAsia="Times New Roman" w:cs="Arial"/>
          <w:color w:val="000000"/>
          <w:lang w:val="en-US"/>
        </w:rPr>
        <w:t>mg</w:t>
      </w:r>
      <w:r w:rsidRPr="00E9373A">
        <w:rPr>
          <w:rFonts w:eastAsia="Times New Roman" w:cs="Arial"/>
          <w:color w:val="000000"/>
          <w:lang w:eastAsia="bg-BG"/>
        </w:rPr>
        <w:t xml:space="preserve">/дневно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(с продължителност от 3 до 8 седмици) средното повишаване на телесното тегло за пациентите с кветиапин е било в диапазона от 0,8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 xml:space="preserve">за дозата от 50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до 1,4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 xml:space="preserve">за дозата от 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(с по-малко напълняване за дневната доза от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в сравнение с 0,2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 xml:space="preserve">за групата пациенти получавали плацебо. Процентът на пациентите, получавали кветиапин, които са напълнели </w:t>
      </w:r>
      <w:r w:rsidRPr="00E9373A">
        <w:rPr>
          <w:rFonts w:eastAsia="Times New Roman" w:cs="Arial"/>
          <w:i/>
          <w:iCs/>
          <w:color w:val="000000"/>
          <w:lang w:eastAsia="bg-BG"/>
        </w:rPr>
        <w:t>с</w:t>
      </w:r>
      <w:r w:rsidRPr="00E9373A">
        <w:rPr>
          <w:rFonts w:eastAsia="Times New Roman" w:cs="Arial"/>
          <w:color w:val="000000"/>
          <w:lang w:eastAsia="bg-BG"/>
        </w:rPr>
        <w:t xml:space="preserve"> повече от 7% от телесното си тегло е бил от 5,3% за 50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дневна доза до 15,5% за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дневна доза (с по-слабо напълняване за дневните дози от 600 и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в сравнение </w:t>
      </w:r>
      <w:r w:rsidRPr="00E9373A">
        <w:rPr>
          <w:rFonts w:eastAsia="Times New Roman" w:cs="Arial"/>
          <w:i/>
          <w:iCs/>
          <w:color w:val="000000"/>
          <w:lang w:eastAsia="bg-BG"/>
        </w:rPr>
        <w:t xml:space="preserve">с </w:t>
      </w:r>
      <w:r w:rsidRPr="00E9373A">
        <w:rPr>
          <w:rFonts w:eastAsia="Times New Roman" w:cs="Arial"/>
          <w:color w:val="000000"/>
          <w:lang w:eastAsia="bg-BG"/>
        </w:rPr>
        <w:t>3,7% за пациентите с плацебо.</w:t>
      </w:r>
    </w:p>
    <w:p w14:paraId="61282849" w14:textId="77777777" w:rsidR="00E9373A" w:rsidRPr="00E9373A" w:rsidRDefault="00E9373A" w:rsidP="00E9373A">
      <w:pPr>
        <w:spacing w:line="240" w:lineRule="auto"/>
        <w:rPr>
          <w:rFonts w:eastAsia="Times New Roman" w:cs="Arial"/>
          <w:color w:val="000000"/>
          <w:lang w:eastAsia="bg-BG"/>
        </w:rPr>
      </w:pPr>
    </w:p>
    <w:p w14:paraId="6E1C965E" w14:textId="767AD41C" w:rsidR="00E9373A" w:rsidRPr="00E9373A" w:rsidRDefault="00E9373A" w:rsidP="00E9373A">
      <w:pPr>
        <w:spacing w:line="240" w:lineRule="auto"/>
        <w:rPr>
          <w:rFonts w:eastAsia="Times New Roman" w:cs="Arial"/>
        </w:rPr>
      </w:pPr>
      <w:r w:rsidRPr="00E9373A">
        <w:rPr>
          <w:rFonts w:eastAsia="Times New Roman" w:cs="Arial"/>
          <w:color w:val="000000"/>
          <w:lang w:eastAsia="bg-BG"/>
        </w:rPr>
        <w:t>Едно 6-седмично, рандомизирано проучване с прием на литий и кветиапин (с удължено освобождаване) спрямо плацебо и кветиапин (с удължено освобождаване) при възрастни пациенти с остра мания е показало, че комбинацията на кветиапин (с удължено освобождаване) с литий води до повече нежелани реакции (63% спрямо 48% за кветиапин (с удължено освобождаване) в комбинация с плацебо). Резултатите за безопасност показват по-висока честота на екстрапирамидни симптоми, съобщавани при 16,8% от пациентите в групата на добавен литий и 6,6% при групата на добавено плацебо, по-голямата част от които са тремор, съобщаван при 15,6% от пациентите в групата на добавен литий и 4,9% в групата на добавено плацебо. Честотата на сънливост е по-висока в групата на кветиапин (с удължено освобождаване) с добавен литий (12,7%) в сравнение с групата на кветиапин (с удължено освобождаване) с добавено плацебо (5,5%). Освен това, по-висок процент от пациентите, лекувани в групата на добавен литий (8,0%) са повишили телесното тегло (≥7%) в края на лечението, в сравнение с пациентите в групата на добавено плацебо (4,7%).</w:t>
      </w:r>
    </w:p>
    <w:p w14:paraId="44793AAD" w14:textId="77777777" w:rsidR="00E9373A" w:rsidRPr="00E9373A" w:rsidRDefault="00E9373A" w:rsidP="00E9373A">
      <w:pPr>
        <w:spacing w:line="240" w:lineRule="auto"/>
        <w:rPr>
          <w:rFonts w:eastAsia="Times New Roman" w:cs="Arial"/>
          <w:color w:val="000000"/>
          <w:lang w:eastAsia="bg-BG"/>
        </w:rPr>
      </w:pPr>
    </w:p>
    <w:p w14:paraId="59C1799A" w14:textId="5C9E6AEF"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Проучванията за дългосрочна превенция на рецидиви са имали открит период (продължаващ от 4 до 36 седмици), през който пациентите са били лекувани с кветиапин, последвано от рандомизиран период на отнемане, през който пациентите са били рандомизирани да получават кветиапин или плацебо. За пациентите, които са били рандомизирани да получават кветиапин, средното напълняване е било 3,22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 xml:space="preserve">сравнено с изходната стойност през откритата фаза. За пациентите, които са били рандомизирани на плацебо средното напълняване през откритата фаза е било 2,39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а до седмица 48 от периода на рандомизиране средното напълняване е било</w:t>
      </w:r>
    </w:p>
    <w:p w14:paraId="4065DA80" w14:textId="79CCCF3E" w:rsidR="00E9373A" w:rsidRPr="00E9373A" w:rsidRDefault="00E9373A" w:rsidP="00E9373A">
      <w:pPr>
        <w:rPr>
          <w:rFonts w:eastAsia="Times New Roman" w:cs="Arial"/>
          <w:color w:val="000000"/>
          <w:lang w:eastAsia="bg-BG"/>
        </w:rPr>
      </w:pPr>
      <w:r w:rsidRPr="00E9373A">
        <w:rPr>
          <w:rFonts w:eastAsia="Times New Roman" w:cs="Arial"/>
          <w:color w:val="000000"/>
          <w:lang w:eastAsia="bg-BG"/>
        </w:rPr>
        <w:t xml:space="preserve">0,89 </w:t>
      </w:r>
      <w:r w:rsidRPr="00E9373A">
        <w:rPr>
          <w:rFonts w:eastAsia="Times New Roman" w:cs="Arial"/>
          <w:color w:val="000000"/>
          <w:lang w:val="en-US"/>
        </w:rPr>
        <w:t>kg</w:t>
      </w:r>
      <w:r w:rsidRPr="00E9373A">
        <w:rPr>
          <w:rFonts w:eastAsia="Times New Roman" w:cs="Arial"/>
          <w:color w:val="000000"/>
          <w:lang w:val="ru-RU"/>
        </w:rPr>
        <w:t xml:space="preserve"> </w:t>
      </w:r>
      <w:r w:rsidRPr="00E9373A">
        <w:rPr>
          <w:rFonts w:eastAsia="Times New Roman" w:cs="Arial"/>
          <w:color w:val="000000"/>
          <w:lang w:eastAsia="bg-BG"/>
        </w:rPr>
        <w:t>в сравнение с нивото през откритата фаза.</w:t>
      </w:r>
    </w:p>
    <w:p w14:paraId="413779E8" w14:textId="084C80D7" w:rsidR="00E9373A" w:rsidRPr="00E9373A" w:rsidRDefault="00E9373A" w:rsidP="00E9373A">
      <w:pPr>
        <w:rPr>
          <w:rFonts w:eastAsia="Times New Roman" w:cs="Arial"/>
          <w:color w:val="000000"/>
          <w:lang w:eastAsia="bg-BG"/>
        </w:rPr>
      </w:pPr>
    </w:p>
    <w:p w14:paraId="36A59E18"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плацебо контролирани проучвания, проведени при пациенти в старческа възраст със свързана с деменция психоза, честотата на мозъчно-съдовите инциденти за 100 пациентогодини не е била по-висока в групата с кветиапин, отколкото при тези, получавали плацебо.</w:t>
      </w:r>
    </w:p>
    <w:p w14:paraId="68A17592" w14:textId="77777777" w:rsidR="00E9373A" w:rsidRPr="00E9373A" w:rsidRDefault="00E9373A" w:rsidP="00E9373A">
      <w:pPr>
        <w:spacing w:line="240" w:lineRule="auto"/>
        <w:rPr>
          <w:rFonts w:eastAsia="Times New Roman" w:cs="Arial"/>
          <w:color w:val="000000"/>
          <w:lang w:eastAsia="bg-BG"/>
        </w:rPr>
      </w:pPr>
    </w:p>
    <w:p w14:paraId="0AAEDCE8" w14:textId="164ED080" w:rsidR="00E9373A" w:rsidRPr="00E9373A" w:rsidRDefault="00E9373A" w:rsidP="00E9373A">
      <w:pPr>
        <w:spacing w:line="240" w:lineRule="auto"/>
        <w:rPr>
          <w:rFonts w:eastAsia="Times New Roman" w:cs="Arial"/>
        </w:rPr>
      </w:pPr>
      <w:r w:rsidRPr="00E9373A">
        <w:rPr>
          <w:rFonts w:eastAsia="Times New Roman" w:cs="Arial"/>
          <w:color w:val="000000"/>
          <w:lang w:eastAsia="bg-BG"/>
        </w:rPr>
        <w:t>Във всички краткосрочни плацебо контролирани проучвания с монотерапия при пациенти с изходен неутрофилен брой ≥1,5 х 10</w:t>
      </w:r>
      <w:r w:rsidRPr="00E9373A">
        <w:rPr>
          <w:rFonts w:eastAsia="Times New Roman" w:cs="Arial"/>
          <w:color w:val="000000"/>
          <w:vertAlign w:val="superscript"/>
          <w:lang w:eastAsia="bg-BG"/>
        </w:rPr>
        <w:t>9</w:t>
      </w:r>
      <w:r w:rsidRPr="00E9373A">
        <w:rPr>
          <w:rFonts w:eastAsia="Times New Roman" w:cs="Arial"/>
          <w:color w:val="000000"/>
          <w:lang w:eastAsia="bg-BG"/>
        </w:rPr>
        <w:t>/</w:t>
      </w:r>
      <w:r w:rsidRPr="00E9373A">
        <w:rPr>
          <w:rFonts w:eastAsia="Times New Roman" w:cs="Arial"/>
          <w:color w:val="000000"/>
          <w:lang w:val="en-US"/>
        </w:rPr>
        <w:t>l</w:t>
      </w:r>
      <w:r w:rsidRPr="00E9373A">
        <w:rPr>
          <w:rFonts w:eastAsia="Times New Roman" w:cs="Arial"/>
          <w:color w:val="000000"/>
          <w:lang w:eastAsia="bg-BG"/>
        </w:rPr>
        <w:t>, честотата на най-малко веднъж установена промяна в неутрофилния брой под 1,5 х 10</w:t>
      </w:r>
      <w:r w:rsidRPr="00E9373A">
        <w:rPr>
          <w:rFonts w:eastAsia="Times New Roman" w:cs="Arial"/>
          <w:color w:val="000000"/>
          <w:vertAlign w:val="superscript"/>
          <w:lang w:eastAsia="bg-BG"/>
        </w:rPr>
        <w:t>9</w:t>
      </w:r>
      <w:r w:rsidRPr="00E9373A">
        <w:rPr>
          <w:rFonts w:eastAsia="Times New Roman" w:cs="Arial"/>
          <w:color w:val="000000"/>
          <w:lang w:eastAsia="bg-BG"/>
        </w:rPr>
        <w:t>/</w:t>
      </w:r>
      <w:r w:rsidRPr="00E9373A">
        <w:rPr>
          <w:rFonts w:eastAsia="Times New Roman" w:cs="Arial"/>
          <w:color w:val="000000"/>
          <w:lang w:val="en-US"/>
        </w:rPr>
        <w:t>l</w:t>
      </w:r>
      <w:r w:rsidRPr="00E9373A">
        <w:rPr>
          <w:rFonts w:eastAsia="Times New Roman" w:cs="Arial"/>
          <w:color w:val="000000"/>
          <w:lang w:eastAsia="bg-BG"/>
        </w:rPr>
        <w:t xml:space="preserve"> е била 1,9% при пациенти на лечение с кветиапин, сравнено с 1,5% при пациенти на лечение с плацебо. Честотата на преминаване към &gt;0,5-&lt;1,0 х 10</w:t>
      </w:r>
      <w:r w:rsidRPr="00E9373A">
        <w:rPr>
          <w:rFonts w:eastAsia="Times New Roman" w:cs="Arial"/>
          <w:color w:val="000000"/>
          <w:vertAlign w:val="superscript"/>
          <w:lang w:eastAsia="bg-BG"/>
        </w:rPr>
        <w:t>9</w:t>
      </w:r>
      <w:r w:rsidRPr="00E9373A">
        <w:rPr>
          <w:rFonts w:eastAsia="Times New Roman" w:cs="Arial"/>
          <w:color w:val="000000"/>
          <w:lang w:eastAsia="bg-BG"/>
        </w:rPr>
        <w:t>/1 е била една и съща (0,2%) при пациентите, лекувани с кветиапин, и тези, получавали плацебо. Във всички клинични проучвания (плацебо контролирани, отворени, с активен компаратор) при пациенти с изходен брой на неутрофилите ≥ 1,5 х 10</w:t>
      </w:r>
      <w:r w:rsidRPr="00E9373A">
        <w:rPr>
          <w:rFonts w:eastAsia="Times New Roman" w:cs="Arial"/>
          <w:color w:val="000000"/>
          <w:vertAlign w:val="superscript"/>
          <w:lang w:eastAsia="bg-BG"/>
        </w:rPr>
        <w:t>9</w:t>
      </w:r>
      <w:r w:rsidRPr="00E9373A">
        <w:rPr>
          <w:rFonts w:eastAsia="Times New Roman" w:cs="Arial"/>
          <w:color w:val="000000"/>
          <w:lang w:eastAsia="bg-BG"/>
        </w:rPr>
        <w:t xml:space="preserve">/1, честотата на поява на най-малко една промяна в броя на </w:t>
      </w:r>
      <w:r w:rsidRPr="00E9373A">
        <w:rPr>
          <w:rFonts w:eastAsia="Times New Roman" w:cs="Arial"/>
          <w:color w:val="000000"/>
          <w:lang w:eastAsia="bg-BG"/>
        </w:rPr>
        <w:lastRenderedPageBreak/>
        <w:t>неутрофилите под 1,5 х 10</w:t>
      </w:r>
      <w:r w:rsidRPr="00E9373A">
        <w:rPr>
          <w:rFonts w:eastAsia="Times New Roman" w:cs="Arial"/>
          <w:color w:val="000000"/>
          <w:vertAlign w:val="superscript"/>
          <w:lang w:eastAsia="bg-BG"/>
        </w:rPr>
        <w:t>9</w:t>
      </w:r>
      <w:r w:rsidRPr="00E9373A">
        <w:rPr>
          <w:rFonts w:eastAsia="Times New Roman" w:cs="Arial"/>
          <w:color w:val="000000"/>
          <w:lang w:eastAsia="bg-BG"/>
        </w:rPr>
        <w:t>/1 е била 2,9%, а до &lt;0,5 х 10</w:t>
      </w:r>
      <w:r w:rsidRPr="00E9373A">
        <w:rPr>
          <w:rFonts w:eastAsia="Times New Roman" w:cs="Arial"/>
          <w:color w:val="000000"/>
          <w:vertAlign w:val="superscript"/>
          <w:lang w:eastAsia="bg-BG"/>
        </w:rPr>
        <w:t>9</w:t>
      </w:r>
      <w:r w:rsidRPr="00E9373A">
        <w:rPr>
          <w:rFonts w:eastAsia="Times New Roman" w:cs="Arial"/>
          <w:color w:val="000000"/>
          <w:lang w:eastAsia="bg-BG"/>
        </w:rPr>
        <w:t>/</w:t>
      </w:r>
      <w:r w:rsidRPr="00E9373A">
        <w:rPr>
          <w:rFonts w:eastAsia="Times New Roman" w:cs="Arial"/>
          <w:color w:val="000000"/>
          <w:lang w:val="en-US"/>
        </w:rPr>
        <w:t>l</w:t>
      </w:r>
      <w:r w:rsidRPr="00E9373A">
        <w:rPr>
          <w:rFonts w:eastAsia="Times New Roman" w:cs="Arial"/>
          <w:color w:val="000000"/>
          <w:lang w:val="ru-RU"/>
        </w:rPr>
        <w:t xml:space="preserve"> </w:t>
      </w:r>
      <w:r w:rsidRPr="00E9373A">
        <w:rPr>
          <w:rFonts w:eastAsia="Times New Roman" w:cs="Arial"/>
          <w:color w:val="000000"/>
          <w:lang w:eastAsia="bg-BG"/>
        </w:rPr>
        <w:t>е била 0,21% при пациентите на лечение с кветиапин.</w:t>
      </w:r>
    </w:p>
    <w:p w14:paraId="467676EA" w14:textId="77777777" w:rsidR="00E9373A" w:rsidRPr="00E9373A" w:rsidRDefault="00E9373A" w:rsidP="00E9373A">
      <w:pPr>
        <w:spacing w:line="240" w:lineRule="auto"/>
        <w:rPr>
          <w:rFonts w:eastAsia="Times New Roman" w:cs="Arial"/>
          <w:color w:val="000000"/>
          <w:lang w:eastAsia="bg-BG"/>
        </w:rPr>
      </w:pPr>
    </w:p>
    <w:p w14:paraId="715D701E" w14:textId="15284F4A"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Лечението с кветиапин е било свързано с дозозависимо понижение на нивата на тиреоидните хормони. Честотата на промяна на </w:t>
      </w:r>
      <w:r w:rsidRPr="00E9373A">
        <w:rPr>
          <w:rFonts w:eastAsia="Times New Roman" w:cs="Arial"/>
          <w:color w:val="000000"/>
          <w:lang w:val="en-US"/>
        </w:rPr>
        <w:t>TSH</w:t>
      </w:r>
      <w:r w:rsidRPr="00E9373A">
        <w:rPr>
          <w:rFonts w:eastAsia="Times New Roman" w:cs="Arial"/>
          <w:color w:val="000000"/>
          <w:lang w:val="ru-RU"/>
        </w:rPr>
        <w:t xml:space="preserve"> </w:t>
      </w:r>
      <w:r w:rsidRPr="00E9373A">
        <w:rPr>
          <w:rFonts w:eastAsia="Times New Roman" w:cs="Arial"/>
          <w:color w:val="000000"/>
          <w:lang w:eastAsia="bg-BG"/>
        </w:rPr>
        <w:t xml:space="preserve">е била 3,2% за кветиапин спрямо 2,7% за плацебо. Честотата на реципрочната, потенциално клинично зависима промяна на Т3 или Т4 и </w:t>
      </w:r>
      <w:r w:rsidRPr="00E9373A">
        <w:rPr>
          <w:rFonts w:eastAsia="Times New Roman" w:cs="Arial"/>
          <w:color w:val="000000"/>
          <w:lang w:val="en-US"/>
        </w:rPr>
        <w:t>TSH</w:t>
      </w:r>
      <w:r w:rsidRPr="00E9373A">
        <w:rPr>
          <w:rFonts w:eastAsia="Times New Roman" w:cs="Arial"/>
          <w:color w:val="000000"/>
          <w:lang w:val="ru-RU"/>
        </w:rPr>
        <w:t xml:space="preserve"> </w:t>
      </w:r>
      <w:r w:rsidRPr="00E9373A">
        <w:rPr>
          <w:rFonts w:eastAsia="Times New Roman" w:cs="Arial"/>
          <w:color w:val="000000"/>
          <w:lang w:eastAsia="bg-BG"/>
        </w:rPr>
        <w:t>в тези проучвания е била много ниска, а наблюдаваните промени в нивата на тиреоидните хормони не се свързват с клинично изявен хипотиреоидизъм.</w:t>
      </w:r>
    </w:p>
    <w:p w14:paraId="28A325D0"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Понижението на тоталния и свободен Т4 е било максимално проявено през първите шест седмици от лечението с кветиапин, без допълнително понижение при продължително лечение. За около 2/3 от всички случаи спирането на лечението с кветиапин е било придружено от обратно развитие на ефектите върху свободния Т4, без значение продължителността на лечението.</w:t>
      </w:r>
    </w:p>
    <w:p w14:paraId="6B665382" w14:textId="77777777" w:rsidR="00E9373A" w:rsidRPr="00E9373A" w:rsidRDefault="00E9373A" w:rsidP="00E9373A">
      <w:pPr>
        <w:spacing w:line="240" w:lineRule="auto"/>
        <w:rPr>
          <w:rFonts w:eastAsia="Times New Roman" w:cs="Arial"/>
          <w:color w:val="000000"/>
          <w:u w:val="single"/>
          <w:lang w:eastAsia="bg-BG"/>
        </w:rPr>
      </w:pPr>
    </w:p>
    <w:p w14:paraId="15EE5A3B" w14:textId="49BCCF37"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Катаракта/помътняване на лещата</w:t>
      </w:r>
    </w:p>
    <w:p w14:paraId="12F8513A" w14:textId="77777777" w:rsidR="00E9373A" w:rsidRPr="00E9373A" w:rsidRDefault="00E9373A" w:rsidP="00E9373A">
      <w:pPr>
        <w:spacing w:line="240" w:lineRule="auto"/>
        <w:rPr>
          <w:rFonts w:eastAsia="Times New Roman" w:cs="Arial"/>
          <w:color w:val="000000"/>
          <w:lang w:eastAsia="bg-BG"/>
        </w:rPr>
      </w:pPr>
      <w:r w:rsidRPr="00E9373A">
        <w:rPr>
          <w:rFonts w:eastAsia="Times New Roman" w:cs="Arial"/>
          <w:color w:val="000000"/>
          <w:lang w:eastAsia="bg-BG"/>
        </w:rPr>
        <w:t xml:space="preserve">В клинично проучване за оценка на потенциала на кветиапин (200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за предизвикване на катаракта в сравнение с рисперидон (2 до 8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при пациенти с шизофрения или шизоафективно разстройство процентът на пациентите с повишена опалесценция на лещата не е бил по-висок при кветиапин (4%) спрямо рисперидон (10%) за пациентите с най-</w:t>
      </w:r>
    </w:p>
    <w:p w14:paraId="74084FB7" w14:textId="4F9E9CF5" w:rsidR="00E9373A" w:rsidRPr="00E9373A" w:rsidRDefault="00E9373A" w:rsidP="00E9373A">
      <w:pPr>
        <w:spacing w:line="240" w:lineRule="auto"/>
        <w:rPr>
          <w:rFonts w:eastAsia="Times New Roman" w:cs="Arial"/>
        </w:rPr>
      </w:pPr>
      <w:r w:rsidRPr="00E9373A">
        <w:rPr>
          <w:rFonts w:eastAsia="Times New Roman" w:cs="Arial"/>
          <w:color w:val="000000"/>
          <w:lang w:eastAsia="bg-BG"/>
        </w:rPr>
        <w:t>малко 21 седмици експозиция.</w:t>
      </w:r>
    </w:p>
    <w:p w14:paraId="47A04CBA" w14:textId="77777777" w:rsidR="00E9373A" w:rsidRPr="00E9373A" w:rsidRDefault="00E9373A" w:rsidP="00E9373A">
      <w:pPr>
        <w:spacing w:line="240" w:lineRule="auto"/>
        <w:rPr>
          <w:rFonts w:eastAsia="Times New Roman" w:cs="Arial"/>
          <w:b/>
          <w:bCs/>
          <w:color w:val="000000"/>
          <w:lang w:eastAsia="bg-BG"/>
        </w:rPr>
      </w:pPr>
    </w:p>
    <w:p w14:paraId="7DE707DA" w14:textId="5B50D8F6" w:rsidR="00E9373A" w:rsidRPr="00E9373A" w:rsidRDefault="00E9373A" w:rsidP="00E9373A">
      <w:pPr>
        <w:spacing w:line="240" w:lineRule="auto"/>
        <w:rPr>
          <w:rFonts w:eastAsia="Times New Roman" w:cs="Arial"/>
        </w:rPr>
      </w:pPr>
      <w:r w:rsidRPr="00E9373A">
        <w:rPr>
          <w:rFonts w:eastAsia="Times New Roman" w:cs="Arial"/>
          <w:b/>
          <w:bCs/>
          <w:color w:val="000000"/>
          <w:lang w:eastAsia="bg-BG"/>
        </w:rPr>
        <w:t>Педиатрична популация</w:t>
      </w:r>
    </w:p>
    <w:p w14:paraId="23253773" w14:textId="77777777"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Клинична ефикасност</w:t>
      </w:r>
    </w:p>
    <w:p w14:paraId="65CCF6FD"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Ефикасността и безопасността на кветиапин са били проучени в 3-седмично плацебо- контролирано проучване за лечение на манийни разстройства (</w:t>
      </w:r>
      <w:r w:rsidRPr="00E9373A">
        <w:rPr>
          <w:rFonts w:eastAsia="Times New Roman" w:cs="Arial"/>
          <w:color w:val="000000"/>
          <w:lang w:val="en-US"/>
        </w:rPr>
        <w:t>n</w:t>
      </w:r>
      <w:r w:rsidRPr="00E9373A">
        <w:rPr>
          <w:rFonts w:eastAsia="Times New Roman" w:cs="Arial"/>
          <w:color w:val="000000"/>
          <w:lang w:eastAsia="bg-BG"/>
        </w:rPr>
        <w:t>= 284 пациенти от САЩ, на възраст 10-17 години). Около 45% от пациентите от тази популация са били с допълнителна диагноза ХРДВ (хиперактивно разстройство с дефицит на вниманието). В допълнение е било проведено и 6-седмично, плацебо контролирано проучване за лечение на шизофрения (</w:t>
      </w:r>
      <w:r w:rsidRPr="00E9373A">
        <w:rPr>
          <w:rFonts w:eastAsia="Times New Roman" w:cs="Arial"/>
          <w:color w:val="000000"/>
          <w:lang w:val="en-US"/>
        </w:rPr>
        <w:t>n</w:t>
      </w:r>
      <w:r w:rsidRPr="00E9373A">
        <w:rPr>
          <w:rFonts w:eastAsia="Times New Roman" w:cs="Arial"/>
          <w:color w:val="000000"/>
          <w:lang w:eastAsia="bg-BG"/>
        </w:rPr>
        <w:t xml:space="preserve">= 222 пациента на възраст 13 до 17 години). Пациентите с известна липса на отговор спрямо кветиапин са били изключени и от двете проучвания. Лечението с кветиапин е започнало в доза 50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с повишаване през втория ден до 100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в последствие дозата е била титрирана до таргетна доза (манийно разстройство 400-600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шизофрения 400-800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чрез повишавания от по 100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разделени на 2 или 3 приема.</w:t>
      </w:r>
    </w:p>
    <w:p w14:paraId="39C78339" w14:textId="77777777" w:rsidR="00E9373A" w:rsidRPr="00E9373A" w:rsidRDefault="00E9373A" w:rsidP="00E9373A">
      <w:pPr>
        <w:spacing w:line="240" w:lineRule="auto"/>
        <w:rPr>
          <w:rFonts w:eastAsia="Times New Roman" w:cs="Arial"/>
          <w:color w:val="000000"/>
          <w:lang w:eastAsia="bg-BG"/>
        </w:rPr>
      </w:pPr>
    </w:p>
    <w:p w14:paraId="4F5DB768" w14:textId="5951FF99" w:rsidR="00E9373A" w:rsidRPr="00E9373A" w:rsidRDefault="00E9373A" w:rsidP="00E9373A">
      <w:pPr>
        <w:spacing w:line="240" w:lineRule="auto"/>
        <w:rPr>
          <w:rFonts w:eastAsia="Times New Roman" w:cs="Arial"/>
          <w:color w:val="000000"/>
          <w:lang w:eastAsia="bg-BG"/>
        </w:rPr>
      </w:pPr>
      <w:r w:rsidRPr="00E9373A">
        <w:rPr>
          <w:rFonts w:eastAsia="Times New Roman" w:cs="Arial"/>
          <w:color w:val="000000"/>
          <w:lang w:eastAsia="bg-BG"/>
        </w:rPr>
        <w:t xml:space="preserve">В проучването за лечение на манийни разстройства разликата в средната промяна в сравнение с </w:t>
      </w:r>
    </w:p>
    <w:p w14:paraId="032C3B4E" w14:textId="6BAC62F8" w:rsidR="00E9373A" w:rsidRPr="00E9373A" w:rsidRDefault="00E9373A" w:rsidP="00E9373A">
      <w:pPr>
        <w:spacing w:line="240" w:lineRule="auto"/>
        <w:rPr>
          <w:rFonts w:eastAsia="Times New Roman" w:cs="Arial"/>
        </w:rPr>
      </w:pPr>
      <w:r w:rsidRPr="00E9373A">
        <w:rPr>
          <w:rFonts w:eastAsia="Times New Roman" w:cs="Arial"/>
          <w:color w:val="000000"/>
          <w:lang w:eastAsia="bg-BG"/>
        </w:rPr>
        <w:t xml:space="preserve">изходната стойност на най-малките квадрати на общия скор по скалата на Йънг за оценка на манийните разстройства </w:t>
      </w:r>
      <w:r w:rsidRPr="00E9373A">
        <w:rPr>
          <w:rFonts w:eastAsia="Times New Roman" w:cs="Arial"/>
          <w:color w:val="000000"/>
          <w:lang w:val="ru-RU"/>
        </w:rPr>
        <w:t>(</w:t>
      </w:r>
      <w:r w:rsidRPr="00E9373A">
        <w:rPr>
          <w:rFonts w:eastAsia="Times New Roman" w:cs="Arial"/>
          <w:color w:val="000000"/>
          <w:lang w:val="en-US"/>
        </w:rPr>
        <w:t>YMRS</w:t>
      </w:r>
      <w:r w:rsidRPr="00E9373A">
        <w:rPr>
          <w:rFonts w:eastAsia="Times New Roman" w:cs="Arial"/>
          <w:color w:val="000000"/>
          <w:lang w:val="ru-RU"/>
        </w:rPr>
        <w:t xml:space="preserve">, </w:t>
      </w:r>
      <w:r w:rsidRPr="00E9373A">
        <w:rPr>
          <w:rFonts w:eastAsia="Times New Roman" w:cs="Arial"/>
          <w:color w:val="000000"/>
          <w:lang w:val="en-US"/>
        </w:rPr>
        <w:t>Yong</w:t>
      </w:r>
      <w:r w:rsidRPr="00E9373A">
        <w:rPr>
          <w:rFonts w:eastAsia="Times New Roman" w:cs="Arial"/>
          <w:color w:val="000000"/>
          <w:lang w:val="ru-RU"/>
        </w:rPr>
        <w:t xml:space="preserve"> </w:t>
      </w:r>
      <w:r w:rsidRPr="00E9373A">
        <w:rPr>
          <w:rFonts w:eastAsia="Times New Roman" w:cs="Arial"/>
          <w:color w:val="000000"/>
          <w:lang w:val="en-US"/>
        </w:rPr>
        <w:t>Mania</w:t>
      </w:r>
      <w:r w:rsidRPr="00E9373A">
        <w:rPr>
          <w:rFonts w:eastAsia="Times New Roman" w:cs="Arial"/>
          <w:color w:val="000000"/>
          <w:lang w:val="ru-RU"/>
        </w:rPr>
        <w:t xml:space="preserve"> </w:t>
      </w:r>
      <w:r w:rsidRPr="00E9373A">
        <w:rPr>
          <w:rFonts w:eastAsia="Times New Roman" w:cs="Arial"/>
          <w:color w:val="000000"/>
          <w:lang w:val="en-US"/>
        </w:rPr>
        <w:t>Rating</w:t>
      </w:r>
      <w:r w:rsidRPr="00E9373A">
        <w:rPr>
          <w:rFonts w:eastAsia="Times New Roman" w:cs="Arial"/>
          <w:color w:val="000000"/>
          <w:lang w:val="ru-RU"/>
        </w:rPr>
        <w:t xml:space="preserve"> </w:t>
      </w:r>
      <w:r w:rsidRPr="00E9373A">
        <w:rPr>
          <w:rFonts w:eastAsia="Times New Roman" w:cs="Arial"/>
          <w:color w:val="000000"/>
          <w:lang w:val="en-US"/>
        </w:rPr>
        <w:t>Score</w:t>
      </w:r>
      <w:r w:rsidRPr="00E9373A">
        <w:rPr>
          <w:rFonts w:eastAsia="Times New Roman" w:cs="Arial"/>
          <w:color w:val="000000"/>
          <w:lang w:val="ru-RU"/>
        </w:rPr>
        <w:t xml:space="preserve">) </w:t>
      </w:r>
      <w:r w:rsidRPr="00E9373A">
        <w:rPr>
          <w:rFonts w:eastAsia="Times New Roman" w:cs="Arial"/>
          <w:color w:val="000000"/>
          <w:lang w:eastAsia="bg-BG"/>
        </w:rPr>
        <w:t xml:space="preserve">(активни минус плацебо) е била - 5,21 за кветиапин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и -6,50 за кветиапин 600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Отговорът (подобрение по </w:t>
      </w:r>
      <w:r w:rsidRPr="00E9373A">
        <w:rPr>
          <w:rFonts w:eastAsia="Times New Roman" w:cs="Arial"/>
          <w:color w:val="000000"/>
          <w:lang w:val="en-US"/>
        </w:rPr>
        <w:t>YMRS</w:t>
      </w:r>
      <w:r w:rsidRPr="00E9373A">
        <w:rPr>
          <w:rFonts w:eastAsia="Times New Roman" w:cs="Arial"/>
          <w:color w:val="000000"/>
          <w:lang w:val="ru-RU"/>
        </w:rPr>
        <w:t xml:space="preserve"> </w:t>
      </w:r>
      <w:r w:rsidRPr="00E9373A">
        <w:rPr>
          <w:rFonts w:eastAsia="Times New Roman" w:cs="Arial"/>
          <w:color w:val="000000"/>
          <w:lang w:eastAsia="bg-BG"/>
        </w:rPr>
        <w:t xml:space="preserve">≥50%) е бил 64% в рамото за кветиапин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58% в рамото на</w:t>
      </w:r>
      <w:r w:rsidRPr="00E9373A">
        <w:rPr>
          <w:rFonts w:eastAsia="Times New Roman" w:cs="Arial"/>
          <w:color w:val="000000"/>
          <w:lang w:val="ru-RU"/>
        </w:rPr>
        <w:t xml:space="preserve"> 600</w:t>
      </w:r>
      <w:r w:rsidRPr="00E9373A">
        <w:rPr>
          <w:rFonts w:eastAsia="Times New Roman" w:cs="Arial"/>
          <w:color w:val="000000"/>
          <w:lang w:val="en-US"/>
        </w:rPr>
        <w:t>mg</w:t>
      </w:r>
      <w:r w:rsidRPr="00E9373A">
        <w:rPr>
          <w:rFonts w:eastAsia="Times New Roman" w:cs="Arial"/>
          <w:color w:val="000000"/>
          <w:u w:val="single"/>
          <w:lang w:eastAsia="bg-BG"/>
        </w:rPr>
        <w:t xml:space="preserve"> </w:t>
      </w:r>
      <w:r w:rsidRPr="00E9373A">
        <w:rPr>
          <w:rFonts w:eastAsia="Times New Roman" w:cs="Arial"/>
          <w:color w:val="000000"/>
          <w:lang w:eastAsia="bg-BG"/>
        </w:rPr>
        <w:t>дневно и 37% в рамото на плацебо.</w:t>
      </w:r>
    </w:p>
    <w:p w14:paraId="0497C17C" w14:textId="77777777" w:rsidR="00E9373A" w:rsidRPr="00E9373A" w:rsidRDefault="00E9373A" w:rsidP="00E9373A">
      <w:pPr>
        <w:spacing w:line="240" w:lineRule="auto"/>
        <w:rPr>
          <w:rFonts w:eastAsia="Times New Roman" w:cs="Arial"/>
          <w:color w:val="000000"/>
          <w:lang w:eastAsia="bg-BG"/>
        </w:rPr>
      </w:pPr>
    </w:p>
    <w:p w14:paraId="52EBC852" w14:textId="3601F81A"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проучване за лечение на шизофрения разликата в средната промяна в сравнение с изходната стойност на най-малките квадрати на общия скор по Скалата за позитивни и негативни</w:t>
      </w:r>
    </w:p>
    <w:p w14:paraId="45ABE42D" w14:textId="77777777" w:rsidR="00E9373A" w:rsidRPr="00E9373A" w:rsidRDefault="00E9373A" w:rsidP="00E9373A">
      <w:pPr>
        <w:rPr>
          <w:rFonts w:eastAsia="Times New Roman" w:cs="Arial"/>
          <w:color w:val="000000"/>
          <w:lang w:eastAsia="bg-BG"/>
        </w:rPr>
      </w:pPr>
      <w:r w:rsidRPr="00E9373A">
        <w:rPr>
          <w:rFonts w:eastAsia="Times New Roman" w:cs="Arial"/>
          <w:color w:val="000000"/>
          <w:lang w:eastAsia="bg-BG"/>
        </w:rPr>
        <w:t xml:space="preserve">синдроми </w:t>
      </w:r>
      <w:r w:rsidRPr="00E9373A">
        <w:rPr>
          <w:rFonts w:eastAsia="Times New Roman" w:cs="Arial"/>
          <w:color w:val="000000"/>
          <w:lang w:val="ru-RU"/>
        </w:rPr>
        <w:t>(</w:t>
      </w:r>
      <w:r w:rsidRPr="00E9373A">
        <w:rPr>
          <w:rFonts w:eastAsia="Times New Roman" w:cs="Arial"/>
          <w:color w:val="000000"/>
          <w:lang w:val="en-US"/>
        </w:rPr>
        <w:t>PANSS</w:t>
      </w:r>
      <w:r w:rsidRPr="00E9373A">
        <w:rPr>
          <w:rFonts w:eastAsia="Times New Roman" w:cs="Arial"/>
          <w:color w:val="000000"/>
          <w:lang w:val="ru-RU"/>
        </w:rPr>
        <w:t xml:space="preserve">) </w:t>
      </w:r>
      <w:r w:rsidRPr="00E9373A">
        <w:rPr>
          <w:rFonts w:eastAsia="Times New Roman" w:cs="Arial"/>
          <w:color w:val="000000"/>
          <w:lang w:eastAsia="bg-BG"/>
        </w:rPr>
        <w:t xml:space="preserve">(активни минус плацебо) е била -8,16 за кветиапин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и -9,29 за кветиапин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Нито ниската доза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нито високата доза (800</w:t>
      </w:r>
      <w:r w:rsidRPr="00E9373A">
        <w:rPr>
          <w:rFonts w:eastAsia="Times New Roman" w:cs="Arial"/>
          <w:color w:val="000000"/>
          <w:lang w:val="en-US"/>
        </w:rPr>
        <w:t>mg</w:t>
      </w:r>
      <w:r w:rsidRPr="00E9373A">
        <w:rPr>
          <w:rFonts w:eastAsia="Times New Roman" w:cs="Arial"/>
          <w:color w:val="000000"/>
        </w:rPr>
        <w:t xml:space="preserve"> </w:t>
      </w:r>
      <w:r w:rsidRPr="00E9373A">
        <w:rPr>
          <w:rFonts w:eastAsia="Times New Roman" w:cs="Arial"/>
          <w:color w:val="000000"/>
          <w:lang w:eastAsia="bg-BG"/>
        </w:rPr>
        <w:t xml:space="preserve">дневно) кветиапин са имали предимство пред плацебо по отношение на процента пациенти, при които е бил постигнат отговор, дефиниран като понижение с &gt;30% на </w:t>
      </w:r>
      <w:r w:rsidRPr="00E9373A">
        <w:rPr>
          <w:rFonts w:eastAsia="Times New Roman" w:cs="Arial"/>
          <w:color w:val="000000"/>
          <w:lang w:eastAsia="bg-BG"/>
        </w:rPr>
        <w:lastRenderedPageBreak/>
        <w:t xml:space="preserve">общия скор по </w:t>
      </w:r>
      <w:r w:rsidRPr="00E9373A">
        <w:rPr>
          <w:rFonts w:eastAsia="Times New Roman" w:cs="Arial"/>
          <w:color w:val="000000"/>
          <w:lang w:val="en-US"/>
        </w:rPr>
        <w:t>PANSS</w:t>
      </w:r>
      <w:r w:rsidRPr="00E9373A">
        <w:rPr>
          <w:rFonts w:eastAsia="Times New Roman" w:cs="Arial"/>
          <w:color w:val="000000"/>
          <w:lang w:val="ru-RU"/>
        </w:rPr>
        <w:t xml:space="preserve"> </w:t>
      </w:r>
      <w:r w:rsidRPr="00E9373A">
        <w:rPr>
          <w:rFonts w:eastAsia="Times New Roman" w:cs="Arial"/>
          <w:color w:val="000000"/>
          <w:lang w:eastAsia="bg-BG"/>
        </w:rPr>
        <w:t xml:space="preserve">в сравнение с изходната стойност. И при манийните разстройства, и при шизофрения, по- високите дози са дали </w:t>
      </w:r>
    </w:p>
    <w:p w14:paraId="07010210" w14:textId="4056313E" w:rsidR="00E9373A" w:rsidRPr="00E9373A" w:rsidRDefault="00E9373A" w:rsidP="00E9373A">
      <w:pPr>
        <w:rPr>
          <w:rFonts w:eastAsia="Times New Roman" w:cs="Arial"/>
        </w:rPr>
      </w:pPr>
      <w:r w:rsidRPr="00E9373A">
        <w:rPr>
          <w:rFonts w:eastAsia="Times New Roman" w:cs="Arial"/>
          <w:color w:val="000000"/>
          <w:lang w:eastAsia="bg-BG"/>
        </w:rPr>
        <w:t>по-ниска честота на отговор.</w:t>
      </w:r>
    </w:p>
    <w:p w14:paraId="13736370" w14:textId="77777777" w:rsidR="00E9373A" w:rsidRPr="00E9373A" w:rsidRDefault="00E9373A" w:rsidP="00E9373A">
      <w:pPr>
        <w:spacing w:line="240" w:lineRule="auto"/>
        <w:rPr>
          <w:rFonts w:eastAsia="Times New Roman" w:cs="Arial"/>
          <w:color w:val="000000"/>
          <w:lang w:eastAsia="bg-BG"/>
        </w:rPr>
      </w:pPr>
    </w:p>
    <w:p w14:paraId="4CB8E618" w14:textId="6E5D7C38" w:rsidR="00E9373A" w:rsidRPr="00E9373A" w:rsidRDefault="00E9373A" w:rsidP="00E9373A">
      <w:pPr>
        <w:spacing w:line="240" w:lineRule="auto"/>
        <w:rPr>
          <w:rFonts w:eastAsia="Times New Roman" w:cs="Arial"/>
        </w:rPr>
      </w:pPr>
      <w:r w:rsidRPr="00E9373A">
        <w:rPr>
          <w:rFonts w:eastAsia="Times New Roman" w:cs="Arial"/>
          <w:color w:val="000000"/>
          <w:lang w:eastAsia="bg-BG"/>
        </w:rPr>
        <w:t>В трето краткосрочно плацебо контролирано проучване с монотерапия с кветиапин (с удължено освобождаване) при деца и юноши (10-17 години) с биполярна депресия, ефикасността не е доказана.</w:t>
      </w:r>
    </w:p>
    <w:p w14:paraId="6C600F17"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В тази възрастова група няма данни за задържането на ефекта или профилактиката на рецидив.</w:t>
      </w:r>
    </w:p>
    <w:p w14:paraId="27E0E3EE" w14:textId="77777777" w:rsidR="00E9373A" w:rsidRPr="00E9373A" w:rsidRDefault="00E9373A" w:rsidP="00E9373A">
      <w:pPr>
        <w:spacing w:line="240" w:lineRule="auto"/>
        <w:rPr>
          <w:rFonts w:eastAsia="Times New Roman" w:cs="Arial"/>
          <w:color w:val="000000"/>
          <w:u w:val="single"/>
          <w:lang w:eastAsia="bg-BG"/>
        </w:rPr>
      </w:pPr>
    </w:p>
    <w:p w14:paraId="3C2FE688" w14:textId="4CBA732A"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Клинична безопасност</w:t>
      </w:r>
    </w:p>
    <w:p w14:paraId="14ABCEF1"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В краткосрочните педиатрични проучвания с кветиапин, описани по-горе, честота на ЕПС в активното рамо сравнени с плацебо са 12,9% спрямо 5,3% в проучването за шизофрения, 3,6% спрямо 1,1% в проучването за биполярна мания и 1,1% спрямо 0% в проучването за биполярна депресия. Скоростта на повишаване на телесното тегло ≥ 7% от изходното телесно тегло в активното рамо сравнена с плацебо е 17% спрямо 2,5% в проучванията за шизофрения и биполярна мания и 13,7% спрямо 6,8% в проучването за биполярна депресия. Честотата на суицидно свързаните събития в активното рамото в сравнение с плацебо е съответно 1,4% спрямо 1,3% в проучването за шизофрения, 1,0% спрямо 0% в проучването за биполярна мания и 1,1% спрямо 0% в проучването за биполярна депресия. По време на удължената фаза на проследяване след лечението при проучването за биполярна депресия, има две допълнителни суицидно свързани събития при двама пациенти; един от тези пациенти е бил на лечение с кветиапин по време на събитието.</w:t>
      </w:r>
    </w:p>
    <w:p w14:paraId="63684B6B" w14:textId="77777777" w:rsidR="00E9373A" w:rsidRPr="00E9373A" w:rsidRDefault="00E9373A" w:rsidP="00E9373A">
      <w:pPr>
        <w:spacing w:line="240" w:lineRule="auto"/>
        <w:rPr>
          <w:rFonts w:eastAsia="Times New Roman" w:cs="Arial"/>
          <w:color w:val="000000"/>
          <w:u w:val="single"/>
          <w:lang w:eastAsia="bg-BG"/>
        </w:rPr>
      </w:pPr>
    </w:p>
    <w:p w14:paraId="1E2EBDBB" w14:textId="7994FAD9" w:rsidR="00E9373A" w:rsidRPr="00E9373A" w:rsidRDefault="00E9373A" w:rsidP="00E9373A">
      <w:pPr>
        <w:spacing w:line="240" w:lineRule="auto"/>
        <w:rPr>
          <w:rFonts w:eastAsia="Times New Roman" w:cs="Arial"/>
        </w:rPr>
      </w:pPr>
      <w:r w:rsidRPr="00E9373A">
        <w:rPr>
          <w:rFonts w:eastAsia="Times New Roman" w:cs="Arial"/>
          <w:color w:val="000000"/>
          <w:u w:val="single"/>
          <w:lang w:eastAsia="bg-BG"/>
        </w:rPr>
        <w:t>Дългосрочна безопасност</w:t>
      </w:r>
    </w:p>
    <w:p w14:paraId="02318208" w14:textId="77777777" w:rsidR="00E9373A" w:rsidRPr="00E9373A" w:rsidRDefault="00E9373A" w:rsidP="00E9373A">
      <w:pPr>
        <w:spacing w:line="240" w:lineRule="auto"/>
        <w:rPr>
          <w:rFonts w:eastAsia="Times New Roman" w:cs="Arial"/>
        </w:rPr>
      </w:pPr>
      <w:r w:rsidRPr="00E9373A">
        <w:rPr>
          <w:rFonts w:eastAsia="Times New Roman" w:cs="Arial"/>
          <w:color w:val="000000"/>
          <w:lang w:eastAsia="bg-BG"/>
        </w:rPr>
        <w:t>Едно 26-седмично открито продължение на проучванията за лечение на остри състояния (</w:t>
      </w:r>
      <w:r w:rsidRPr="00E9373A">
        <w:rPr>
          <w:rFonts w:eastAsia="Times New Roman" w:cs="Arial"/>
          <w:color w:val="000000"/>
          <w:lang w:val="en-US"/>
        </w:rPr>
        <w:t>n</w:t>
      </w:r>
      <w:r w:rsidRPr="00E9373A">
        <w:rPr>
          <w:rFonts w:eastAsia="Times New Roman" w:cs="Arial"/>
          <w:color w:val="000000"/>
          <w:lang w:eastAsia="bg-BG"/>
        </w:rPr>
        <w:t xml:space="preserve">=380 пациенти) с гъвкаво дозиране на кветиапин в дози 400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дневно, е дало допълнителни данни за безопасността. При деца и юноши е съобщавано за повишаване на артериалното налягане и повишен апетит, а екстрапирамидни симптоми и повишени нива на серумния пролактин са докладвани с по-висока честота при деца и юноши в сравнение с възрастни пациенти (вж. точки 4.4 и 4.8). По отношение на повишаване на телесното тегло, с цел корекция по отношение на нормалното наддаване на тегло за дълъг период от време като показател за клинично значима промяна е било използвано повишаването с поне 0,5 стандартни отклонения на индекса на телесната маса; 18,3% от пациентите, лекувани с кветиапин в продължение на поне 26 седмици са покрили този критерий.</w:t>
      </w:r>
    </w:p>
    <w:p w14:paraId="76542B78" w14:textId="1614909C" w:rsidR="00E9373A" w:rsidRPr="00E9373A" w:rsidRDefault="00E9373A" w:rsidP="00E9373A"/>
    <w:p w14:paraId="346B622B" w14:textId="2DFC6772" w:rsidR="00875EEC" w:rsidRDefault="002C50EE" w:rsidP="005726E3">
      <w:pPr>
        <w:pStyle w:val="Heading2"/>
      </w:pPr>
      <w:r>
        <w:t>5.2. Фармакокинетични свойства</w:t>
      </w:r>
    </w:p>
    <w:p w14:paraId="471951C9" w14:textId="31636FE6" w:rsidR="00E9373A" w:rsidRDefault="00E9373A" w:rsidP="00E9373A"/>
    <w:p w14:paraId="35E28992" w14:textId="77777777" w:rsidR="00E9373A" w:rsidRPr="00E9373A" w:rsidRDefault="00E9373A" w:rsidP="00E9373A">
      <w:pPr>
        <w:pStyle w:val="Heading3"/>
        <w:rPr>
          <w:rFonts w:eastAsia="Times New Roman"/>
          <w:u w:val="single"/>
        </w:rPr>
      </w:pPr>
      <w:r w:rsidRPr="00E9373A">
        <w:rPr>
          <w:rFonts w:eastAsia="Times New Roman"/>
          <w:u w:val="single"/>
          <w:lang w:eastAsia="bg-BG"/>
        </w:rPr>
        <w:t>Абсорбция</w:t>
      </w:r>
    </w:p>
    <w:p w14:paraId="4EC46EA5"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Кветиапин се абсорбира добре и се метаболизира в голяма степен след перорално приложение. Бионаличността на кветиапин не се променя значително от приложението с храна. Пиковите моларни концентрации на активния метаболит норкветиапин в стационарно състояние са 35% от установените за кветиапин. Фармакокинетиките на кветиапин и </w:t>
      </w:r>
      <w:r w:rsidRPr="00E9373A">
        <w:rPr>
          <w:rFonts w:eastAsia="Times New Roman" w:cs="Arial"/>
          <w:color w:val="000000"/>
          <w:lang w:val="en-US"/>
        </w:rPr>
        <w:t>N</w:t>
      </w:r>
      <w:r w:rsidRPr="00E9373A">
        <w:rPr>
          <w:rFonts w:eastAsia="Times New Roman" w:cs="Arial"/>
          <w:color w:val="000000"/>
          <w:lang w:eastAsia="bg-BG"/>
        </w:rPr>
        <w:t>-дезалкил кветиапин са линейни в одобрения дозов интервал.</w:t>
      </w:r>
    </w:p>
    <w:p w14:paraId="29BC2E02" w14:textId="77777777" w:rsidR="00E9373A" w:rsidRPr="00E9373A" w:rsidRDefault="00E9373A" w:rsidP="00E9373A">
      <w:pPr>
        <w:spacing w:line="240" w:lineRule="auto"/>
        <w:rPr>
          <w:rFonts w:eastAsia="Times New Roman" w:cs="Arial"/>
          <w:color w:val="000000"/>
          <w:u w:val="single"/>
          <w:lang w:eastAsia="bg-BG"/>
        </w:rPr>
      </w:pPr>
    </w:p>
    <w:p w14:paraId="60D58A27" w14:textId="2189422B" w:rsidR="00E9373A" w:rsidRPr="00E9373A" w:rsidRDefault="00E9373A" w:rsidP="00E9373A">
      <w:pPr>
        <w:pStyle w:val="Heading3"/>
        <w:rPr>
          <w:rFonts w:eastAsia="Times New Roman"/>
          <w:u w:val="single"/>
        </w:rPr>
      </w:pPr>
      <w:r w:rsidRPr="00E9373A">
        <w:rPr>
          <w:rFonts w:eastAsia="Times New Roman"/>
          <w:u w:val="single"/>
          <w:lang w:eastAsia="bg-BG"/>
        </w:rPr>
        <w:t>Разпределение</w:t>
      </w:r>
    </w:p>
    <w:p w14:paraId="7B21EEAE"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Кветиапин се свързва с плазмените протеини в приблизително 83%.</w:t>
      </w:r>
    </w:p>
    <w:p w14:paraId="66E1BCBE" w14:textId="77777777" w:rsidR="00E9373A" w:rsidRPr="00E9373A" w:rsidRDefault="00E9373A" w:rsidP="00E9373A">
      <w:pPr>
        <w:spacing w:line="240" w:lineRule="auto"/>
        <w:rPr>
          <w:rFonts w:eastAsia="Times New Roman" w:cs="Arial"/>
          <w:color w:val="000000"/>
          <w:u w:val="single"/>
          <w:lang w:eastAsia="bg-BG"/>
        </w:rPr>
      </w:pPr>
    </w:p>
    <w:p w14:paraId="5FCE745B" w14:textId="333DDA05" w:rsidR="00E9373A" w:rsidRPr="00E9373A" w:rsidRDefault="00E9373A" w:rsidP="00E9373A">
      <w:pPr>
        <w:pStyle w:val="Heading3"/>
        <w:rPr>
          <w:rFonts w:eastAsia="Times New Roman"/>
          <w:u w:val="single"/>
        </w:rPr>
      </w:pPr>
      <w:r w:rsidRPr="00E9373A">
        <w:rPr>
          <w:rFonts w:eastAsia="Times New Roman"/>
          <w:u w:val="single"/>
          <w:lang w:eastAsia="bg-BG"/>
        </w:rPr>
        <w:t>Биотрансформация</w:t>
      </w:r>
    </w:p>
    <w:p w14:paraId="17433791" w14:textId="558FF00F"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Кветиапин се метаболизира в голяма степен в черния дроб, като изходното съединение се намира непроменено в урината и фецеса в по-малко от 5% от приложения радиоактивно</w:t>
      </w:r>
      <w:r>
        <w:rPr>
          <w:rFonts w:eastAsia="Times New Roman" w:cs="Arial"/>
          <w:sz w:val="24"/>
          <w:szCs w:val="24"/>
        </w:rPr>
        <w:t xml:space="preserve"> </w:t>
      </w:r>
      <w:r w:rsidRPr="00E9373A">
        <w:rPr>
          <w:rFonts w:eastAsia="Times New Roman" w:cs="Arial"/>
          <w:color w:val="000000"/>
          <w:lang w:eastAsia="bg-BG"/>
        </w:rPr>
        <w:t>маркиран кветиапин.</w:t>
      </w:r>
    </w:p>
    <w:p w14:paraId="08B7857A"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Изследванията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color w:val="000000"/>
          <w:lang w:val="ru-RU"/>
        </w:rPr>
        <w:t xml:space="preserve"> </w:t>
      </w:r>
      <w:r w:rsidRPr="00E9373A">
        <w:rPr>
          <w:rFonts w:eastAsia="Times New Roman" w:cs="Arial"/>
          <w:color w:val="000000"/>
          <w:lang w:eastAsia="bg-BG"/>
        </w:rPr>
        <w:t xml:space="preserve">са установили, че </w:t>
      </w:r>
      <w:r w:rsidRPr="00E9373A">
        <w:rPr>
          <w:rFonts w:eastAsia="Times New Roman" w:cs="Arial"/>
          <w:color w:val="000000"/>
          <w:lang w:val="en-US"/>
        </w:rPr>
        <w:t>CYP</w:t>
      </w:r>
      <w:r w:rsidRPr="00E9373A">
        <w:rPr>
          <w:rFonts w:eastAsia="Times New Roman" w:cs="Arial"/>
          <w:color w:val="000000"/>
          <w:lang w:val="ru-RU"/>
        </w:rPr>
        <w:t>3</w:t>
      </w:r>
      <w:r w:rsidRPr="00E9373A">
        <w:rPr>
          <w:rFonts w:eastAsia="Times New Roman" w:cs="Arial"/>
          <w:color w:val="000000"/>
          <w:lang w:val="en-US"/>
        </w:rPr>
        <w:t>A</w:t>
      </w:r>
      <w:r w:rsidRPr="00E9373A">
        <w:rPr>
          <w:rFonts w:eastAsia="Times New Roman" w:cs="Arial"/>
          <w:color w:val="000000"/>
          <w:lang w:val="ru-RU"/>
        </w:rPr>
        <w:t xml:space="preserve">4 </w:t>
      </w:r>
      <w:r w:rsidRPr="00E9373A">
        <w:rPr>
          <w:rFonts w:eastAsia="Times New Roman" w:cs="Arial"/>
          <w:color w:val="000000"/>
          <w:lang w:eastAsia="bg-BG"/>
        </w:rPr>
        <w:t xml:space="preserve">е главният ензим отговорен за цитохром </w:t>
      </w:r>
      <w:r w:rsidRPr="00E9373A">
        <w:rPr>
          <w:rFonts w:eastAsia="Times New Roman" w:cs="Arial"/>
          <w:color w:val="000000"/>
          <w:lang w:val="en-US"/>
        </w:rPr>
        <w:t>P</w:t>
      </w:r>
      <w:r w:rsidRPr="00E9373A">
        <w:rPr>
          <w:rFonts w:eastAsia="Times New Roman" w:cs="Arial"/>
          <w:color w:val="000000"/>
          <w:lang w:val="ru-RU"/>
        </w:rPr>
        <w:t>450</w:t>
      </w:r>
      <w:r w:rsidRPr="00E9373A">
        <w:rPr>
          <w:rFonts w:eastAsia="Times New Roman" w:cs="Arial"/>
          <w:color w:val="000000"/>
          <w:lang w:eastAsia="bg-BG"/>
        </w:rPr>
        <w:t xml:space="preserve"> медиирания метаболизъм на кветиапин. Норкветиапин се формира и елиминира предимно посредством </w:t>
      </w:r>
      <w:r w:rsidRPr="00E9373A">
        <w:rPr>
          <w:rFonts w:eastAsia="Times New Roman" w:cs="Arial"/>
          <w:color w:val="000000"/>
          <w:lang w:val="en-US"/>
        </w:rPr>
        <w:t>CYP3A4.</w:t>
      </w:r>
    </w:p>
    <w:p w14:paraId="52142B8A" w14:textId="77777777" w:rsidR="00E9373A" w:rsidRPr="00E9373A" w:rsidRDefault="00E9373A" w:rsidP="00E9373A">
      <w:pPr>
        <w:rPr>
          <w:rFonts w:eastAsia="Times New Roman" w:cs="Arial"/>
          <w:color w:val="000000"/>
          <w:lang w:eastAsia="bg-BG"/>
        </w:rPr>
      </w:pPr>
    </w:p>
    <w:p w14:paraId="4EC8A943" w14:textId="6AD71DAE" w:rsidR="00E9373A" w:rsidRPr="00E9373A" w:rsidRDefault="00E9373A" w:rsidP="00E9373A">
      <w:pPr>
        <w:rPr>
          <w:rFonts w:eastAsia="Times New Roman" w:cs="Arial"/>
          <w:color w:val="000000"/>
          <w:lang w:eastAsia="bg-BG"/>
        </w:rPr>
      </w:pPr>
      <w:r w:rsidRPr="00E9373A">
        <w:rPr>
          <w:rFonts w:eastAsia="Times New Roman" w:cs="Arial"/>
          <w:color w:val="000000"/>
          <w:lang w:eastAsia="bg-BG"/>
        </w:rPr>
        <w:t>Приблизително 73% от радиоактивността се екскретира с урината, а 21% с фецеса.</w:t>
      </w:r>
    </w:p>
    <w:p w14:paraId="599A802A" w14:textId="1733B117" w:rsidR="00E9373A" w:rsidRPr="00E9373A" w:rsidRDefault="00E9373A" w:rsidP="00E9373A">
      <w:pPr>
        <w:rPr>
          <w:rFonts w:eastAsia="Times New Roman" w:cs="Arial"/>
          <w:color w:val="000000"/>
          <w:lang w:eastAsia="bg-BG"/>
        </w:rPr>
      </w:pPr>
    </w:p>
    <w:p w14:paraId="4362F57D"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За кветиапин и няколко от неговите метаболити (включително норкветиапин) е било установено, че са слаби инхибитори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color w:val="000000"/>
          <w:lang w:val="ru-RU"/>
        </w:rPr>
        <w:t xml:space="preserve"> </w:t>
      </w:r>
      <w:r w:rsidRPr="00E9373A">
        <w:rPr>
          <w:rFonts w:eastAsia="Times New Roman" w:cs="Arial"/>
          <w:color w:val="000000"/>
          <w:lang w:eastAsia="bg-BG"/>
        </w:rPr>
        <w:t>на активността на човешките цитохром Р450 1А2, 2С9,2С19,</w:t>
      </w:r>
      <w:r w:rsidRPr="00E9373A">
        <w:rPr>
          <w:rFonts w:eastAsia="Times New Roman" w:cs="Arial"/>
          <w:color w:val="000000"/>
          <w:lang w:val="ru-RU"/>
        </w:rPr>
        <w:t xml:space="preserve"> 2</w:t>
      </w:r>
      <w:r w:rsidRPr="00E9373A">
        <w:rPr>
          <w:rFonts w:eastAsia="Times New Roman" w:cs="Arial"/>
          <w:color w:val="000000"/>
          <w:lang w:val="en-US"/>
        </w:rPr>
        <w:t>D</w:t>
      </w:r>
      <w:r w:rsidRPr="00E9373A">
        <w:rPr>
          <w:rFonts w:eastAsia="Times New Roman" w:cs="Arial"/>
          <w:color w:val="000000"/>
          <w:lang w:val="ru-RU"/>
        </w:rPr>
        <w:t xml:space="preserve">6 </w:t>
      </w:r>
      <w:r w:rsidRPr="00E9373A">
        <w:rPr>
          <w:rFonts w:eastAsia="Times New Roman" w:cs="Arial"/>
          <w:color w:val="000000"/>
          <w:lang w:eastAsia="bg-BG"/>
        </w:rPr>
        <w:t xml:space="preserve">и 3А4. Инхибирането на </w:t>
      </w:r>
      <w:r w:rsidRPr="00E9373A">
        <w:rPr>
          <w:rFonts w:eastAsia="Times New Roman" w:cs="Arial"/>
          <w:color w:val="000000"/>
          <w:lang w:val="en-US"/>
        </w:rPr>
        <w:t>CYP</w:t>
      </w:r>
      <w:r w:rsidRPr="00E9373A">
        <w:rPr>
          <w:rFonts w:eastAsia="Times New Roman" w:cs="Arial"/>
          <w:color w:val="000000"/>
          <w:lang w:val="ru-RU"/>
        </w:rPr>
        <w:t xml:space="preserve">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i/>
          <w:iCs/>
          <w:color w:val="000000"/>
          <w:lang w:val="ru-RU"/>
        </w:rPr>
        <w:t xml:space="preserve"> </w:t>
      </w:r>
      <w:r w:rsidRPr="00E9373A">
        <w:rPr>
          <w:rFonts w:eastAsia="Times New Roman" w:cs="Arial"/>
          <w:i/>
          <w:iCs/>
          <w:color w:val="000000"/>
          <w:lang w:eastAsia="bg-BG"/>
        </w:rPr>
        <w:t>е</w:t>
      </w:r>
      <w:r w:rsidRPr="00E9373A">
        <w:rPr>
          <w:rFonts w:eastAsia="Times New Roman" w:cs="Arial"/>
          <w:color w:val="000000"/>
          <w:lang w:eastAsia="bg-BG"/>
        </w:rPr>
        <w:t xml:space="preserve"> наблюдавана само в концентрации приблизително 5 до 50 пъти по-високи от тези, наблюдавани в лозовия интервал от 300 до 800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 xml:space="preserve">дневно при хора. Въз основа на тези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color w:val="000000"/>
          <w:lang w:val="ru-RU"/>
        </w:rPr>
        <w:t xml:space="preserve"> </w:t>
      </w:r>
      <w:r w:rsidRPr="00E9373A">
        <w:rPr>
          <w:rFonts w:eastAsia="Times New Roman" w:cs="Arial"/>
          <w:color w:val="000000"/>
          <w:lang w:eastAsia="bg-BG"/>
        </w:rPr>
        <w:t>резултати, не е вероятно едновременното приложение на кветиапин с други лекарства да доведе до клинично значимо ннхибиране на цитохром Р450 медиирания метаболизъм на други лекарства. От проучвания с животни е видно, че кветиапин може да индуцира цитохром Р450 ензимите. В специфично проучване за взаимодействията при пациенти с психози обаче, след прилагане на кветиапин не е било установено повишаване на активността на цитохром Р450.</w:t>
      </w:r>
    </w:p>
    <w:p w14:paraId="7D899B78" w14:textId="77777777" w:rsidR="00E9373A" w:rsidRPr="00E9373A" w:rsidRDefault="00E9373A" w:rsidP="00E9373A">
      <w:pPr>
        <w:spacing w:line="240" w:lineRule="auto"/>
        <w:rPr>
          <w:rFonts w:eastAsia="Times New Roman" w:cs="Arial"/>
          <w:color w:val="000000"/>
          <w:u w:val="single"/>
          <w:lang w:eastAsia="bg-BG"/>
        </w:rPr>
      </w:pPr>
    </w:p>
    <w:p w14:paraId="467091AE" w14:textId="3EE8A187" w:rsidR="00E9373A" w:rsidRPr="00E9373A" w:rsidRDefault="00E9373A" w:rsidP="00E9373A">
      <w:pPr>
        <w:pStyle w:val="Heading3"/>
        <w:rPr>
          <w:rFonts w:eastAsia="Times New Roman"/>
          <w:u w:val="single"/>
        </w:rPr>
      </w:pPr>
      <w:r w:rsidRPr="00E9373A">
        <w:rPr>
          <w:rFonts w:eastAsia="Times New Roman"/>
          <w:u w:val="single"/>
          <w:lang w:eastAsia="bg-BG"/>
        </w:rPr>
        <w:t>Елиминиране</w:t>
      </w:r>
    </w:p>
    <w:p w14:paraId="67918ECF"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Елиминационният полуживот на кветиапин и норкветиапин са приблизително 7 и 12 часа съответно.</w:t>
      </w:r>
    </w:p>
    <w:p w14:paraId="562089CB"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Средната моларна дозова фракция на свободния кветиапин и активния плазмен метаболит норкветиапин, се екскретира &lt;5% в урината.</w:t>
      </w:r>
    </w:p>
    <w:p w14:paraId="5C5EE379" w14:textId="77777777" w:rsidR="00E9373A" w:rsidRPr="00E9373A" w:rsidRDefault="00E9373A" w:rsidP="00E9373A">
      <w:pPr>
        <w:spacing w:line="240" w:lineRule="auto"/>
        <w:rPr>
          <w:rFonts w:eastAsia="Times New Roman" w:cs="Arial"/>
          <w:color w:val="000000"/>
          <w:u w:val="single"/>
          <w:lang w:eastAsia="bg-BG"/>
        </w:rPr>
      </w:pPr>
    </w:p>
    <w:p w14:paraId="39530E7B" w14:textId="231E4C39" w:rsidR="00E9373A" w:rsidRPr="00E9373A" w:rsidRDefault="00E9373A" w:rsidP="00E9373A">
      <w:pPr>
        <w:spacing w:line="240" w:lineRule="auto"/>
        <w:rPr>
          <w:rFonts w:eastAsia="Times New Roman" w:cs="Arial"/>
          <w:sz w:val="24"/>
          <w:szCs w:val="24"/>
        </w:rPr>
      </w:pPr>
      <w:r w:rsidRPr="00E9373A">
        <w:rPr>
          <w:rFonts w:eastAsia="Times New Roman" w:cs="Arial"/>
          <w:color w:val="000000"/>
          <w:u w:val="single"/>
          <w:lang w:eastAsia="bg-BG"/>
        </w:rPr>
        <w:t>Специални популации</w:t>
      </w:r>
    </w:p>
    <w:p w14:paraId="018ED939" w14:textId="77777777" w:rsidR="00E9373A" w:rsidRPr="00E9373A" w:rsidRDefault="00E9373A" w:rsidP="00E9373A">
      <w:pPr>
        <w:spacing w:line="240" w:lineRule="auto"/>
        <w:rPr>
          <w:rFonts w:eastAsia="Times New Roman" w:cs="Arial"/>
          <w:i/>
          <w:iCs/>
          <w:color w:val="000000"/>
          <w:lang w:eastAsia="bg-BG"/>
        </w:rPr>
      </w:pPr>
    </w:p>
    <w:p w14:paraId="425F6770" w14:textId="3F497EB6"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Пол</w:t>
      </w:r>
    </w:p>
    <w:p w14:paraId="61101CF6"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Кинетиките на кветиапин не се различават при мъже и жени.</w:t>
      </w:r>
    </w:p>
    <w:p w14:paraId="68D78808" w14:textId="77777777" w:rsidR="00E9373A" w:rsidRPr="00E9373A" w:rsidRDefault="00E9373A" w:rsidP="00E9373A">
      <w:pPr>
        <w:spacing w:line="240" w:lineRule="auto"/>
        <w:rPr>
          <w:rFonts w:eastAsia="Times New Roman" w:cs="Arial"/>
          <w:i/>
          <w:iCs/>
          <w:color w:val="000000"/>
          <w:lang w:eastAsia="bg-BG"/>
        </w:rPr>
      </w:pPr>
    </w:p>
    <w:p w14:paraId="4233EB13" w14:textId="5EBBE1EF"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Пациенти в старческа възраст</w:t>
      </w:r>
    </w:p>
    <w:p w14:paraId="5CCE0C58" w14:textId="1539A000"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Средният клирънс на кветиапин при пациенти в старческа възраст е приблизително 30 до 50% по-нисък от този наблюдаван при пациенти на възраст между 18 и 65 години.</w:t>
      </w:r>
    </w:p>
    <w:p w14:paraId="2ED5A9D4" w14:textId="77777777" w:rsidR="00E9373A" w:rsidRPr="00E9373A" w:rsidRDefault="00E9373A" w:rsidP="00E9373A">
      <w:pPr>
        <w:spacing w:line="240" w:lineRule="auto"/>
        <w:rPr>
          <w:rFonts w:eastAsia="Times New Roman" w:cs="Arial"/>
          <w:i/>
          <w:iCs/>
          <w:color w:val="000000"/>
          <w:lang w:eastAsia="bg-BG"/>
        </w:rPr>
      </w:pPr>
    </w:p>
    <w:p w14:paraId="67BC8101" w14:textId="60300FA9"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Бъбречно увреждане</w:t>
      </w:r>
    </w:p>
    <w:p w14:paraId="45ADF8ED"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Средният плазмен клирънс на кветиапин е бил редуциран с приблизително 25% при пациенти с тежко бъбречно увреждане (креатининов клирънс по-нисък от 30 </w:t>
      </w:r>
      <w:r w:rsidRPr="00E9373A">
        <w:rPr>
          <w:rFonts w:eastAsia="Times New Roman" w:cs="Arial"/>
          <w:color w:val="000000"/>
          <w:lang w:val="en-US"/>
        </w:rPr>
        <w:t>ml</w:t>
      </w:r>
      <w:r w:rsidRPr="00E9373A">
        <w:rPr>
          <w:rFonts w:eastAsia="Times New Roman" w:cs="Arial"/>
          <w:color w:val="000000"/>
          <w:lang w:val="ru-RU"/>
        </w:rPr>
        <w:t>/</w:t>
      </w:r>
      <w:r w:rsidRPr="00E9373A">
        <w:rPr>
          <w:rFonts w:eastAsia="Times New Roman" w:cs="Arial"/>
          <w:color w:val="000000"/>
          <w:lang w:val="en-US"/>
        </w:rPr>
        <w:t>min</w:t>
      </w:r>
      <w:r w:rsidRPr="00E9373A">
        <w:rPr>
          <w:rFonts w:eastAsia="Times New Roman" w:cs="Arial"/>
          <w:color w:val="000000"/>
          <w:lang w:val="ru-RU"/>
        </w:rPr>
        <w:t>/1,73</w:t>
      </w:r>
      <w:r w:rsidRPr="00E9373A">
        <w:rPr>
          <w:rFonts w:eastAsia="Times New Roman" w:cs="Arial"/>
          <w:color w:val="000000"/>
          <w:lang w:val="en-US"/>
        </w:rPr>
        <w:t>m</w:t>
      </w:r>
      <w:r w:rsidRPr="00E9373A">
        <w:rPr>
          <w:rFonts w:eastAsia="Times New Roman" w:cs="Arial"/>
          <w:color w:val="000000"/>
          <w:vertAlign w:val="superscript"/>
          <w:lang w:val="ru-RU"/>
        </w:rPr>
        <w:t>2</w:t>
      </w:r>
      <w:r w:rsidRPr="00E9373A">
        <w:rPr>
          <w:rFonts w:eastAsia="Times New Roman" w:cs="Arial"/>
          <w:color w:val="000000"/>
          <w:lang w:val="ru-RU"/>
        </w:rPr>
        <w:t xml:space="preserve">), </w:t>
      </w:r>
      <w:r w:rsidRPr="00E9373A">
        <w:rPr>
          <w:rFonts w:eastAsia="Times New Roman" w:cs="Arial"/>
          <w:color w:val="000000"/>
          <w:lang w:eastAsia="bg-BG"/>
        </w:rPr>
        <w:t>но индивидуалните стойности на клирънса са в границите за здравите хора.</w:t>
      </w:r>
    </w:p>
    <w:p w14:paraId="6F26241D" w14:textId="77777777" w:rsidR="00E9373A" w:rsidRPr="00E9373A" w:rsidRDefault="00E9373A" w:rsidP="00E9373A">
      <w:pPr>
        <w:spacing w:line="240" w:lineRule="auto"/>
        <w:rPr>
          <w:rFonts w:eastAsia="Times New Roman" w:cs="Arial"/>
          <w:i/>
          <w:iCs/>
          <w:color w:val="000000"/>
          <w:lang w:eastAsia="bg-BG"/>
        </w:rPr>
      </w:pPr>
    </w:p>
    <w:p w14:paraId="3E3375B6" w14:textId="2F8A7E90"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Чернодробно увреждане</w:t>
      </w:r>
    </w:p>
    <w:p w14:paraId="5737AA3F"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Средният плазмен клирънс на кветиапин се понижава с приблизително 25% при пациенти с диагностицирано чернодробно увреждане (стабилна алкохолна цироза). Тъй като кветиапин се метаболизира в голяма степен от черния дроб, в популацията с чернодробно увреждане се очакват повишени плазмени нива. При тези пациенти може да е необходимо адаптиране на дозата (вж. точка 4.2).</w:t>
      </w:r>
    </w:p>
    <w:p w14:paraId="4C90C5E4" w14:textId="77777777" w:rsidR="00E9373A" w:rsidRPr="00E9373A" w:rsidRDefault="00E9373A" w:rsidP="00E9373A">
      <w:pPr>
        <w:spacing w:line="240" w:lineRule="auto"/>
        <w:rPr>
          <w:rFonts w:eastAsia="Times New Roman" w:cs="Arial"/>
          <w:i/>
          <w:iCs/>
          <w:color w:val="000000"/>
          <w:lang w:eastAsia="bg-BG"/>
        </w:rPr>
      </w:pPr>
    </w:p>
    <w:p w14:paraId="0D8B18A5" w14:textId="25446984" w:rsidR="00E9373A" w:rsidRPr="00E9373A" w:rsidRDefault="00E9373A" w:rsidP="00E9373A">
      <w:pPr>
        <w:spacing w:line="240" w:lineRule="auto"/>
        <w:rPr>
          <w:rFonts w:eastAsia="Times New Roman" w:cs="Arial"/>
          <w:sz w:val="24"/>
          <w:szCs w:val="24"/>
        </w:rPr>
      </w:pPr>
      <w:r w:rsidRPr="00E9373A">
        <w:rPr>
          <w:rFonts w:eastAsia="Times New Roman" w:cs="Arial"/>
          <w:i/>
          <w:iCs/>
          <w:color w:val="000000"/>
          <w:lang w:eastAsia="bg-BG"/>
        </w:rPr>
        <w:t>Педиатрична популация</w:t>
      </w:r>
    </w:p>
    <w:p w14:paraId="2C3D18AE"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Фармакокинетичните данни са получени от 9 деца на възраст 10-12 години и 12 юноши, които са били на стабилно лечение с 400 </w:t>
      </w:r>
      <w:r w:rsidRPr="00E9373A">
        <w:rPr>
          <w:rFonts w:eastAsia="Times New Roman" w:cs="Arial"/>
          <w:color w:val="000000"/>
          <w:lang w:val="en-US"/>
        </w:rPr>
        <w:t>mg</w:t>
      </w:r>
      <w:r w:rsidRPr="00E9373A">
        <w:rPr>
          <w:rFonts w:eastAsia="Times New Roman" w:cs="Arial"/>
          <w:color w:val="000000"/>
          <w:lang w:val="ru-RU"/>
        </w:rPr>
        <w:t xml:space="preserve"> </w:t>
      </w:r>
      <w:r w:rsidRPr="00E9373A">
        <w:rPr>
          <w:rFonts w:eastAsia="Times New Roman" w:cs="Arial"/>
          <w:color w:val="000000"/>
          <w:lang w:eastAsia="bg-BG"/>
        </w:rPr>
        <w:t>кветиапин два пъти дневно. В стационарно състояние нормализираните спрямо дозата плазмени нива на изходното съединение, кветиапин при деца и юноши (10-17 години) са били като цяло сходни с тези при възраст, въпреки че С</w:t>
      </w:r>
      <w:r w:rsidRPr="00E9373A">
        <w:rPr>
          <w:rFonts w:eastAsia="Times New Roman" w:cs="Arial"/>
          <w:color w:val="000000"/>
          <w:vertAlign w:val="subscript"/>
          <w:lang w:val="en-US"/>
        </w:rPr>
        <w:t>max</w:t>
      </w:r>
      <w:r w:rsidRPr="00E9373A">
        <w:rPr>
          <w:rFonts w:eastAsia="Times New Roman" w:cs="Arial"/>
          <w:color w:val="000000"/>
          <w:lang w:eastAsia="bg-BG"/>
        </w:rPr>
        <w:t xml:space="preserve"> при деца е била в горния край на нормата, установена при възрастни. </w:t>
      </w:r>
      <w:r w:rsidRPr="00E9373A">
        <w:rPr>
          <w:rFonts w:eastAsia="Times New Roman" w:cs="Arial"/>
          <w:color w:val="000000"/>
          <w:lang w:val="en-US"/>
        </w:rPr>
        <w:t>AUC</w:t>
      </w:r>
      <w:r w:rsidRPr="00E9373A">
        <w:rPr>
          <w:rFonts w:eastAsia="Times New Roman" w:cs="Arial"/>
          <w:color w:val="000000"/>
          <w:lang w:val="ru-RU"/>
        </w:rPr>
        <w:t xml:space="preserve"> </w:t>
      </w:r>
      <w:r w:rsidRPr="00E9373A">
        <w:rPr>
          <w:rFonts w:eastAsia="Times New Roman" w:cs="Arial"/>
          <w:color w:val="000000"/>
          <w:lang w:eastAsia="bg-BG"/>
        </w:rPr>
        <w:t>и С</w:t>
      </w:r>
      <w:r w:rsidRPr="00E9373A">
        <w:rPr>
          <w:rFonts w:eastAsia="Times New Roman" w:cs="Arial"/>
          <w:color w:val="000000"/>
          <w:vertAlign w:val="subscript"/>
          <w:lang w:val="en-US"/>
        </w:rPr>
        <w:t>max</w:t>
      </w:r>
      <w:r w:rsidRPr="00E9373A">
        <w:rPr>
          <w:rFonts w:eastAsia="Times New Roman" w:cs="Arial"/>
          <w:color w:val="000000"/>
          <w:lang w:eastAsia="bg-BG"/>
        </w:rPr>
        <w:t xml:space="preserve"> на активния метаболит, норкветиапин са били по-високи, приблизително 62% и 49% при деца (10-12 години), съответно 28% и 14% при юноши (13-17 години) в сравнение с възрастни.</w:t>
      </w:r>
    </w:p>
    <w:p w14:paraId="351D6D10" w14:textId="77777777" w:rsidR="00E9373A" w:rsidRPr="00E9373A" w:rsidRDefault="00E9373A" w:rsidP="00E9373A"/>
    <w:p w14:paraId="4F31844C" w14:textId="0DF96038" w:rsidR="00875EEC" w:rsidRDefault="002C50EE" w:rsidP="005726E3">
      <w:pPr>
        <w:pStyle w:val="Heading2"/>
      </w:pPr>
      <w:r>
        <w:t>5.3. Предклинични данни за безопасност</w:t>
      </w:r>
    </w:p>
    <w:p w14:paraId="32ED05FB" w14:textId="4A0B4C85" w:rsidR="00E9373A" w:rsidRDefault="00E9373A" w:rsidP="00E9373A"/>
    <w:p w14:paraId="4B845D36"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Няма данни за генотоксичност в серия от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vitro</w:t>
      </w:r>
      <w:r w:rsidRPr="00E9373A">
        <w:rPr>
          <w:rFonts w:eastAsia="Times New Roman" w:cs="Arial"/>
          <w:i/>
          <w:iCs/>
          <w:color w:val="000000"/>
          <w:lang w:val="ru-RU"/>
        </w:rPr>
        <w:t xml:space="preserve"> </w:t>
      </w:r>
      <w:r w:rsidRPr="00E9373A">
        <w:rPr>
          <w:rFonts w:eastAsia="Times New Roman" w:cs="Arial"/>
          <w:i/>
          <w:iCs/>
          <w:color w:val="000000"/>
          <w:lang w:eastAsia="bg-BG"/>
        </w:rPr>
        <w:t xml:space="preserve">и </w:t>
      </w:r>
      <w:r w:rsidRPr="00E9373A">
        <w:rPr>
          <w:rFonts w:eastAsia="Times New Roman" w:cs="Arial"/>
          <w:i/>
          <w:iCs/>
          <w:color w:val="000000"/>
          <w:lang w:val="en-US"/>
        </w:rPr>
        <w:t>in</w:t>
      </w:r>
      <w:r w:rsidRPr="00E9373A">
        <w:rPr>
          <w:rFonts w:eastAsia="Times New Roman" w:cs="Arial"/>
          <w:i/>
          <w:iCs/>
          <w:color w:val="000000"/>
          <w:lang w:val="ru-RU"/>
        </w:rPr>
        <w:t xml:space="preserve"> </w:t>
      </w:r>
      <w:r w:rsidRPr="00E9373A">
        <w:rPr>
          <w:rFonts w:eastAsia="Times New Roman" w:cs="Arial"/>
          <w:i/>
          <w:iCs/>
          <w:color w:val="000000"/>
          <w:lang w:val="en-US"/>
        </w:rPr>
        <w:t>vivo</w:t>
      </w:r>
      <w:r w:rsidRPr="00E9373A">
        <w:rPr>
          <w:rFonts w:eastAsia="Times New Roman" w:cs="Arial"/>
          <w:color w:val="000000"/>
          <w:lang w:val="ru-RU"/>
        </w:rPr>
        <w:t xml:space="preserve"> </w:t>
      </w:r>
      <w:r w:rsidRPr="00E9373A">
        <w:rPr>
          <w:rFonts w:eastAsia="Times New Roman" w:cs="Arial"/>
          <w:color w:val="000000"/>
          <w:lang w:eastAsia="bg-BG"/>
        </w:rPr>
        <w:t>проучвания за генотоксичност. При лабораторни животни, при клинично значими нива на експозиция са били наблюдавани следните отклонения, които все още не са потвърдени в дългосрочни изследвания, При плъхове е било наблюдавано отлагане на пигмент в щитовидната жлеза;</w:t>
      </w:r>
      <w:r w:rsidRPr="00E9373A">
        <w:rPr>
          <w:rFonts w:eastAsia="Times New Roman" w:cs="Arial"/>
          <w:color w:val="000000"/>
          <w:lang w:val="ru-RU"/>
        </w:rPr>
        <w:t xml:space="preserve"> </w:t>
      </w:r>
      <w:r w:rsidRPr="00E9373A">
        <w:rPr>
          <w:rFonts w:eastAsia="Times New Roman" w:cs="Arial"/>
          <w:color w:val="000000"/>
          <w:lang w:eastAsia="bg-BG"/>
        </w:rPr>
        <w:t>при маймуини от</w:t>
      </w:r>
    </w:p>
    <w:p w14:paraId="2FF8D069"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 xml:space="preserve">вида </w:t>
      </w:r>
      <w:r w:rsidRPr="00E9373A">
        <w:rPr>
          <w:rFonts w:eastAsia="Times New Roman" w:cs="Arial"/>
          <w:color w:val="000000"/>
          <w:lang w:val="en-US"/>
        </w:rPr>
        <w:t>Cynomolgus</w:t>
      </w:r>
      <w:r w:rsidRPr="00E9373A">
        <w:rPr>
          <w:rFonts w:eastAsia="Times New Roman" w:cs="Arial"/>
          <w:color w:val="000000"/>
          <w:lang w:val="ru-RU"/>
        </w:rPr>
        <w:t xml:space="preserve"> </w:t>
      </w:r>
      <w:r w:rsidRPr="00E9373A">
        <w:rPr>
          <w:rFonts w:eastAsia="Times New Roman" w:cs="Arial"/>
          <w:color w:val="000000"/>
          <w:lang w:eastAsia="bg-BG"/>
        </w:rPr>
        <w:t>са били наблюдавани фоликуларно клетъчна хипертрофия на щитовидната жлеза, понижаване на плазмените нива на ТЗ, намаляване на концентрацията на хемоглобина и намаляване броя на червените и белите кръвни клетки; при кучета е било наблюдавано помътняване на лещата и катаракта (за катаракта/помътняване на лещата виж точка 5.1).</w:t>
      </w:r>
    </w:p>
    <w:p w14:paraId="2E835818" w14:textId="77602648" w:rsidR="00E9373A" w:rsidRPr="00E9373A" w:rsidRDefault="00E9373A" w:rsidP="00E9373A">
      <w:pPr>
        <w:rPr>
          <w:rFonts w:cs="Arial"/>
        </w:rPr>
      </w:pPr>
    </w:p>
    <w:p w14:paraId="08F624F7" w14:textId="77777777" w:rsidR="00E9373A" w:rsidRPr="00E9373A" w:rsidRDefault="00E9373A" w:rsidP="00E9373A">
      <w:pPr>
        <w:spacing w:line="240" w:lineRule="auto"/>
        <w:rPr>
          <w:rFonts w:eastAsia="Times New Roman" w:cs="Arial"/>
          <w:sz w:val="24"/>
          <w:szCs w:val="24"/>
        </w:rPr>
      </w:pPr>
      <w:r w:rsidRPr="00E9373A">
        <w:rPr>
          <w:rFonts w:eastAsia="Times New Roman" w:cs="Arial"/>
          <w:color w:val="000000"/>
          <w:lang w:eastAsia="bg-BG"/>
        </w:rPr>
        <w:t>При проучване за ембриофетална токсичност при зайци, честотата на карпална/тарзална флексия при плода е увеличена. Този ефект се наблюдава заедно с изявени ефекти при майката, като забавено наддаване на тегло. Тези ефекти са очевидни при нива на експозиция при майката, подобни или малко по-високи от тези при хора при максималната терапевтична доза. Значението на тази находка при хора не е известно.</w:t>
      </w:r>
    </w:p>
    <w:p w14:paraId="73063BF9" w14:textId="77777777" w:rsidR="00E9373A" w:rsidRPr="00E9373A" w:rsidRDefault="00E9373A" w:rsidP="00E9373A">
      <w:pPr>
        <w:spacing w:line="240" w:lineRule="auto"/>
        <w:rPr>
          <w:rFonts w:eastAsia="Times New Roman" w:cs="Arial"/>
          <w:color w:val="000000"/>
          <w:lang w:eastAsia="bg-BG"/>
        </w:rPr>
      </w:pPr>
    </w:p>
    <w:p w14:paraId="65F4C117" w14:textId="47DC8C7C" w:rsidR="00E9373A" w:rsidRPr="00E9373A" w:rsidRDefault="00E9373A" w:rsidP="00E9373A">
      <w:pPr>
        <w:spacing w:line="240" w:lineRule="auto"/>
        <w:rPr>
          <w:rFonts w:eastAsia="Times New Roman" w:cs="Arial"/>
          <w:color w:val="000000"/>
          <w:lang w:eastAsia="bg-BG"/>
        </w:rPr>
      </w:pPr>
      <w:r w:rsidRPr="00E9373A">
        <w:rPr>
          <w:rFonts w:eastAsia="Times New Roman" w:cs="Arial"/>
          <w:color w:val="000000"/>
          <w:lang w:eastAsia="bg-BG"/>
        </w:rPr>
        <w:t>В проучване на фертилитета при плъхове се наблюдават пределно намаляване на мъжката плодовитост и псевдобременност, продължителни периоди на диестрален цикъл, удължени интервали, предхождащи коитус и намалена честота на бременности. Тези ефекти са свързани с повишени нива на пролактина и не са пряко свързани с хората, поради различията в хормоналния контрол на репродукцията между видовете.</w:t>
      </w:r>
    </w:p>
    <w:p w14:paraId="3EA985B4" w14:textId="77777777" w:rsidR="00E9373A" w:rsidRPr="00E9373A" w:rsidRDefault="00E9373A" w:rsidP="00E9373A"/>
    <w:p w14:paraId="1BA6531D" w14:textId="3E464AFA" w:rsidR="00B6672E" w:rsidRDefault="002C50EE" w:rsidP="00936AD0">
      <w:pPr>
        <w:pStyle w:val="Heading1"/>
      </w:pPr>
      <w:r>
        <w:t>7. ПРИТЕЖАТЕЛ НА РАЗРЕШЕНИЕТО ЗА УПОТРЕБА</w:t>
      </w:r>
    </w:p>
    <w:p w14:paraId="29B7410C" w14:textId="7647363C" w:rsidR="00E9373A" w:rsidRDefault="00E9373A" w:rsidP="00E9373A"/>
    <w:p w14:paraId="060AB6AD" w14:textId="77777777" w:rsidR="00E9373A" w:rsidRPr="00E9373A" w:rsidRDefault="00E9373A" w:rsidP="00E9373A">
      <w:pPr>
        <w:rPr>
          <w:sz w:val="24"/>
          <w:szCs w:val="24"/>
          <w:lang w:val="en-US"/>
        </w:rPr>
      </w:pPr>
      <w:r w:rsidRPr="00E9373A">
        <w:rPr>
          <w:lang w:val="en-US"/>
        </w:rPr>
        <w:t>Teva B.V.</w:t>
      </w:r>
    </w:p>
    <w:p w14:paraId="640ECC8F" w14:textId="77777777" w:rsidR="00E9373A" w:rsidRPr="00E9373A" w:rsidRDefault="00E9373A" w:rsidP="00E9373A">
      <w:pPr>
        <w:rPr>
          <w:sz w:val="24"/>
          <w:szCs w:val="24"/>
          <w:lang w:val="en-US"/>
        </w:rPr>
      </w:pPr>
      <w:r w:rsidRPr="00E9373A">
        <w:rPr>
          <w:lang w:val="en-US"/>
        </w:rPr>
        <w:t xml:space="preserve">Swensweg </w:t>
      </w:r>
      <w:r w:rsidRPr="00E9373A">
        <w:rPr>
          <w:lang w:eastAsia="bg-BG"/>
        </w:rPr>
        <w:t>5</w:t>
      </w:r>
      <w:proofErr w:type="gramStart"/>
      <w:r w:rsidRPr="00E9373A">
        <w:rPr>
          <w:lang w:eastAsia="bg-BG"/>
        </w:rPr>
        <w:t>,2031</w:t>
      </w:r>
      <w:proofErr w:type="gramEnd"/>
      <w:r w:rsidRPr="00E9373A">
        <w:rPr>
          <w:lang w:eastAsia="bg-BG"/>
        </w:rPr>
        <w:t xml:space="preserve"> </w:t>
      </w:r>
      <w:r w:rsidRPr="00E9373A">
        <w:rPr>
          <w:lang w:val="en-US"/>
        </w:rPr>
        <w:t>GA Haarlem</w:t>
      </w:r>
    </w:p>
    <w:p w14:paraId="24F88393" w14:textId="26CA6F41" w:rsidR="00E9373A" w:rsidRPr="00E9373A" w:rsidRDefault="00E9373A" w:rsidP="00E9373A">
      <w:r w:rsidRPr="00E9373A">
        <w:rPr>
          <w:lang w:eastAsia="bg-BG"/>
        </w:rPr>
        <w:t>Нидерландия</w:t>
      </w:r>
    </w:p>
    <w:p w14:paraId="508F3A54" w14:textId="3F1ADA45" w:rsidR="00B6672E" w:rsidRDefault="00936AD0" w:rsidP="00936AD0">
      <w:pPr>
        <w:pStyle w:val="Heading1"/>
      </w:pPr>
      <w:r>
        <w:t>8.</w:t>
      </w:r>
      <w:r w:rsidR="002C50EE">
        <w:t>НОМЕР НА РАЗРЕШЕНИЕТО ЗА УПОТРЕБА</w:t>
      </w:r>
    </w:p>
    <w:p w14:paraId="043451C0" w14:textId="6630ED91" w:rsidR="00E9373A" w:rsidRDefault="00E9373A" w:rsidP="00E9373A"/>
    <w:p w14:paraId="529969B2" w14:textId="77777777" w:rsidR="00E9373A" w:rsidRPr="00E9373A" w:rsidRDefault="00E9373A" w:rsidP="00E9373A">
      <w:pPr>
        <w:rPr>
          <w:sz w:val="24"/>
          <w:szCs w:val="24"/>
        </w:rPr>
      </w:pPr>
      <w:r w:rsidRPr="00E9373A">
        <w:rPr>
          <w:lang w:eastAsia="bg-BG"/>
        </w:rPr>
        <w:t xml:space="preserve">Теваквел 100 </w:t>
      </w:r>
      <w:r w:rsidRPr="00E9373A">
        <w:rPr>
          <w:lang w:val="en-US"/>
        </w:rPr>
        <w:t>mg</w:t>
      </w:r>
      <w:r w:rsidRPr="00E9373A">
        <w:rPr>
          <w:lang w:val="ru-RU"/>
        </w:rPr>
        <w:t xml:space="preserve"> </w:t>
      </w:r>
      <w:r w:rsidRPr="00E9373A">
        <w:rPr>
          <w:lang w:eastAsia="bg-BG"/>
        </w:rPr>
        <w:t xml:space="preserve">филмирани таблетки - </w:t>
      </w:r>
      <w:r w:rsidRPr="00E9373A">
        <w:rPr>
          <w:lang w:val="en-US"/>
        </w:rPr>
        <w:t>Per</w:t>
      </w:r>
      <w:r w:rsidRPr="00E9373A">
        <w:rPr>
          <w:lang w:val="ru-RU"/>
        </w:rPr>
        <w:t xml:space="preserve">. </w:t>
      </w:r>
      <w:r w:rsidRPr="00E9373A">
        <w:rPr>
          <w:lang w:eastAsia="bg-BG"/>
        </w:rPr>
        <w:t>№ 20080234</w:t>
      </w:r>
    </w:p>
    <w:p w14:paraId="7E16C411" w14:textId="21E913ED" w:rsidR="00E9373A" w:rsidRPr="00E9373A" w:rsidRDefault="00E9373A" w:rsidP="00E9373A">
      <w:pPr>
        <w:rPr>
          <w:sz w:val="24"/>
          <w:szCs w:val="24"/>
        </w:rPr>
      </w:pPr>
      <w:r w:rsidRPr="00E9373A">
        <w:rPr>
          <w:lang w:eastAsia="bg-BG"/>
        </w:rPr>
        <w:t xml:space="preserve">Теваквел 200 </w:t>
      </w:r>
      <w:r w:rsidRPr="00E9373A">
        <w:rPr>
          <w:lang w:val="en-US"/>
        </w:rPr>
        <w:t>mg</w:t>
      </w:r>
      <w:r w:rsidRPr="00E9373A">
        <w:rPr>
          <w:lang w:val="ru-RU"/>
        </w:rPr>
        <w:t xml:space="preserve"> </w:t>
      </w:r>
      <w:r w:rsidRPr="00E9373A">
        <w:rPr>
          <w:lang w:eastAsia="bg-BG"/>
        </w:rPr>
        <w:t xml:space="preserve">филмирани таблетки - </w:t>
      </w:r>
      <w:r w:rsidRPr="00E9373A">
        <w:rPr>
          <w:lang w:val="en-US"/>
        </w:rPr>
        <w:t>Per</w:t>
      </w:r>
      <w:r w:rsidRPr="00E9373A">
        <w:rPr>
          <w:lang w:val="ru-RU"/>
        </w:rPr>
        <w:t xml:space="preserve">. </w:t>
      </w:r>
      <w:r w:rsidRPr="00E9373A">
        <w:rPr>
          <w:lang w:eastAsia="bg-BG"/>
        </w:rPr>
        <w:t>№ 20080235</w:t>
      </w:r>
    </w:p>
    <w:p w14:paraId="3BC5EC53" w14:textId="05AE1EBA" w:rsidR="00875EEC" w:rsidRDefault="002C50EE" w:rsidP="005726E3">
      <w:pPr>
        <w:pStyle w:val="Heading1"/>
      </w:pPr>
      <w:r>
        <w:lastRenderedPageBreak/>
        <w:t>9. ДАТА НА ПЪРВО РАЗРЕШАВАНЕ/ПОДНОВЯВАНЕ НА РАЗРЕШЕНИЕТО ЗА УПОТРЕБА</w:t>
      </w:r>
    </w:p>
    <w:p w14:paraId="03DD7ED2" w14:textId="6356E912" w:rsidR="00E9373A" w:rsidRDefault="00E9373A" w:rsidP="00E9373A"/>
    <w:p w14:paraId="7418C23B" w14:textId="77777777" w:rsidR="00E9373A" w:rsidRPr="00E9373A" w:rsidRDefault="00E9373A" w:rsidP="00E9373A">
      <w:pPr>
        <w:rPr>
          <w:sz w:val="24"/>
          <w:szCs w:val="24"/>
        </w:rPr>
      </w:pPr>
      <w:bookmarkStart w:id="3" w:name="_GoBack"/>
      <w:r w:rsidRPr="00E9373A">
        <w:rPr>
          <w:lang w:eastAsia="bg-BG"/>
        </w:rPr>
        <w:t>Дата на първо разрешаване: 11 ноември 2008 г.</w:t>
      </w:r>
    </w:p>
    <w:p w14:paraId="18384CE1" w14:textId="74E048DE" w:rsidR="00E9373A" w:rsidRPr="00E9373A" w:rsidRDefault="00E9373A" w:rsidP="00E9373A">
      <w:r w:rsidRPr="00E9373A">
        <w:rPr>
          <w:lang w:eastAsia="bg-BG"/>
        </w:rPr>
        <w:t>Дата на подновяване: 11 февруари 2013 г.</w:t>
      </w:r>
    </w:p>
    <w:bookmarkEnd w:id="3"/>
    <w:p w14:paraId="43FB38A2" w14:textId="1E62F256" w:rsidR="007C605B" w:rsidRPr="003E3126" w:rsidRDefault="002C50EE" w:rsidP="005726E3">
      <w:pPr>
        <w:pStyle w:val="Heading1"/>
      </w:pPr>
      <w:r>
        <w:t>10. ДАТА НА АКТУАЛИЗИРАНЕ НА ТЕКСТА</w:t>
      </w:r>
      <w:bookmarkEnd w:id="0"/>
    </w:p>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ABE7B05"/>
    <w:multiLevelType w:val="hybridMultilevel"/>
    <w:tmpl w:val="60306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3A7E14"/>
    <w:multiLevelType w:val="hybridMultilevel"/>
    <w:tmpl w:val="250A41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9"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6"/>
  </w:num>
  <w:num w:numId="4">
    <w:abstractNumId w:val="3"/>
  </w:num>
  <w:num w:numId="5">
    <w:abstractNumId w:val="1"/>
  </w:num>
  <w:num w:numId="6">
    <w:abstractNumId w:val="19"/>
  </w:num>
  <w:num w:numId="7">
    <w:abstractNumId w:val="12"/>
  </w:num>
  <w:num w:numId="8">
    <w:abstractNumId w:val="18"/>
  </w:num>
  <w:num w:numId="9">
    <w:abstractNumId w:val="2"/>
  </w:num>
  <w:num w:numId="10">
    <w:abstractNumId w:val="4"/>
  </w:num>
  <w:num w:numId="11">
    <w:abstractNumId w:val="33"/>
  </w:num>
  <w:num w:numId="12">
    <w:abstractNumId w:val="17"/>
  </w:num>
  <w:num w:numId="13">
    <w:abstractNumId w:val="22"/>
  </w:num>
  <w:num w:numId="14">
    <w:abstractNumId w:val="15"/>
  </w:num>
  <w:num w:numId="15">
    <w:abstractNumId w:val="32"/>
  </w:num>
  <w:num w:numId="16">
    <w:abstractNumId w:val="11"/>
  </w:num>
  <w:num w:numId="17">
    <w:abstractNumId w:val="27"/>
  </w:num>
  <w:num w:numId="18">
    <w:abstractNumId w:val="8"/>
  </w:num>
  <w:num w:numId="19">
    <w:abstractNumId w:val="29"/>
  </w:num>
  <w:num w:numId="20">
    <w:abstractNumId w:val="26"/>
  </w:num>
  <w:num w:numId="21">
    <w:abstractNumId w:val="20"/>
  </w:num>
  <w:num w:numId="22">
    <w:abstractNumId w:val="28"/>
  </w:num>
  <w:num w:numId="23">
    <w:abstractNumId w:val="21"/>
  </w:num>
  <w:num w:numId="24">
    <w:abstractNumId w:val="9"/>
  </w:num>
  <w:num w:numId="25">
    <w:abstractNumId w:val="25"/>
  </w:num>
  <w:num w:numId="26">
    <w:abstractNumId w:val="24"/>
  </w:num>
  <w:num w:numId="27">
    <w:abstractNumId w:val="34"/>
  </w:num>
  <w:num w:numId="28">
    <w:abstractNumId w:val="6"/>
  </w:num>
  <w:num w:numId="29">
    <w:abstractNumId w:val="23"/>
  </w:num>
  <w:num w:numId="30">
    <w:abstractNumId w:val="37"/>
  </w:num>
  <w:num w:numId="31">
    <w:abstractNumId w:val="5"/>
  </w:num>
  <w:num w:numId="32">
    <w:abstractNumId w:val="36"/>
  </w:num>
  <w:num w:numId="33">
    <w:abstractNumId w:val="31"/>
  </w:num>
  <w:num w:numId="34">
    <w:abstractNumId w:val="35"/>
  </w:num>
  <w:num w:numId="35">
    <w:abstractNumId w:val="7"/>
  </w:num>
  <w:num w:numId="36">
    <w:abstractNumId w:val="10"/>
  </w:num>
  <w:num w:numId="37">
    <w:abstractNumId w:val="13"/>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35125"/>
    <w:rsid w:val="002B3C38"/>
    <w:rsid w:val="002B4DBB"/>
    <w:rsid w:val="002C50EE"/>
    <w:rsid w:val="00340A0A"/>
    <w:rsid w:val="003765DC"/>
    <w:rsid w:val="00395555"/>
    <w:rsid w:val="003E3126"/>
    <w:rsid w:val="00426E5F"/>
    <w:rsid w:val="004A448E"/>
    <w:rsid w:val="004D4D6B"/>
    <w:rsid w:val="004F1CE7"/>
    <w:rsid w:val="004F498A"/>
    <w:rsid w:val="00517A5B"/>
    <w:rsid w:val="00524A06"/>
    <w:rsid w:val="005726E3"/>
    <w:rsid w:val="00593A00"/>
    <w:rsid w:val="005A66D9"/>
    <w:rsid w:val="005D078C"/>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B7050"/>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9373A"/>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10407</Words>
  <Characters>59324</Characters>
  <Application>Microsoft Office Word</Application>
  <DocSecurity>0</DocSecurity>
  <Lines>494</Lines>
  <Paragraphs>139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2022-12-05T13:47:00Z</dcterms:created>
  <dcterms:modified xsi:type="dcterms:W3CDTF">2022-12-05T13:47:00Z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