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79516554" w14:textId="46783BC4" w:rsidR="00DB32D3" w:rsidRDefault="00DD466D" w:rsidP="005726E3">
      <w:pPr>
        <w:pStyle w:val="Heading1"/>
      </w:pPr>
      <w:r>
        <w:t>1.ИМЕ НА ЛЕКАРСТВЕНИЯ ПРОДУКТ</w:t>
      </w:r>
    </w:p>
    <w:p w14:paraId="0D99B0BD" w14:textId="5C1DF0AA" w:rsidR="001A4D4E" w:rsidRDefault="001A4D4E" w:rsidP="001A4D4E"/>
    <w:p w14:paraId="744069E0" w14:textId="77777777" w:rsidR="001A4D4E" w:rsidRPr="001A4D4E" w:rsidRDefault="001A4D4E" w:rsidP="001A4D4E">
      <w:pPr>
        <w:rPr>
          <w:sz w:val="24"/>
          <w:szCs w:val="24"/>
        </w:rPr>
      </w:pPr>
      <w:proofErr w:type="spellStart"/>
      <w:r w:rsidRPr="001A4D4E">
        <w:rPr>
          <w:lang w:val="en-US"/>
        </w:rPr>
        <w:t>Teveten</w:t>
      </w:r>
      <w:proofErr w:type="spellEnd"/>
      <w:r w:rsidRPr="001A4D4E">
        <w:t xml:space="preserve"> </w:t>
      </w:r>
      <w:r w:rsidRPr="001A4D4E">
        <w:rPr>
          <w:lang w:eastAsia="bg-BG"/>
        </w:rPr>
        <w:t xml:space="preserve">600 </w:t>
      </w:r>
      <w:r w:rsidRPr="001A4D4E">
        <w:rPr>
          <w:lang w:val="en-US"/>
        </w:rPr>
        <w:t>mg</w:t>
      </w:r>
      <w:r w:rsidRPr="001A4D4E">
        <w:t xml:space="preserve"> </w:t>
      </w:r>
      <w:r w:rsidRPr="001A4D4E">
        <w:rPr>
          <w:lang w:val="en-US"/>
        </w:rPr>
        <w:t>film</w:t>
      </w:r>
      <w:r w:rsidRPr="001A4D4E">
        <w:t>-</w:t>
      </w:r>
      <w:r w:rsidRPr="001A4D4E">
        <w:rPr>
          <w:lang w:val="en-US"/>
        </w:rPr>
        <w:t>coated</w:t>
      </w:r>
      <w:r w:rsidRPr="001A4D4E">
        <w:t xml:space="preserve"> </w:t>
      </w:r>
      <w:r w:rsidRPr="001A4D4E">
        <w:rPr>
          <w:lang w:val="en-US"/>
        </w:rPr>
        <w:t>tablets</w:t>
      </w:r>
    </w:p>
    <w:p w14:paraId="662AA3FE" w14:textId="77777777" w:rsidR="001A4D4E" w:rsidRPr="001A4D4E" w:rsidRDefault="001A4D4E" w:rsidP="001A4D4E">
      <w:pPr>
        <w:rPr>
          <w:sz w:val="24"/>
          <w:szCs w:val="24"/>
        </w:rPr>
      </w:pPr>
      <w:r w:rsidRPr="001A4D4E">
        <w:rPr>
          <w:lang w:eastAsia="bg-BG"/>
        </w:rPr>
        <w:t xml:space="preserve">Теветен </w:t>
      </w:r>
      <w:r w:rsidRPr="001A4D4E">
        <w:t xml:space="preserve">600 </w:t>
      </w:r>
      <w:r w:rsidRPr="001A4D4E">
        <w:rPr>
          <w:lang w:val="en-US"/>
        </w:rPr>
        <w:t>mg</w:t>
      </w:r>
      <w:r w:rsidRPr="001A4D4E">
        <w:t xml:space="preserve"> </w:t>
      </w:r>
      <w:r w:rsidRPr="001A4D4E">
        <w:rPr>
          <w:lang w:eastAsia="bg-BG"/>
        </w:rPr>
        <w:t>филмирани таблетки</w:t>
      </w:r>
    </w:p>
    <w:p w14:paraId="03A697D5" w14:textId="77777777" w:rsidR="001A4D4E" w:rsidRPr="001A4D4E" w:rsidRDefault="001A4D4E" w:rsidP="001A4D4E"/>
    <w:p w14:paraId="48E6CABE" w14:textId="6123B297" w:rsidR="00DB32D3" w:rsidRDefault="00DD466D" w:rsidP="005726E3">
      <w:pPr>
        <w:pStyle w:val="Heading1"/>
      </w:pPr>
      <w:r>
        <w:t>2. КАЧЕСТВЕН И КОЛИЧЕСТВЕН СЪСТАВ</w:t>
      </w:r>
    </w:p>
    <w:p w14:paraId="3187394D" w14:textId="2BAE0EC6" w:rsidR="001A4D4E" w:rsidRDefault="001A4D4E" w:rsidP="001A4D4E"/>
    <w:p w14:paraId="061A030F" w14:textId="77777777" w:rsidR="001A4D4E" w:rsidRPr="001A4D4E" w:rsidRDefault="001A4D4E" w:rsidP="001A4D4E">
      <w:pPr>
        <w:spacing w:line="240" w:lineRule="auto"/>
        <w:rPr>
          <w:rFonts w:eastAsia="Times New Roman" w:cs="Arial"/>
          <w:sz w:val="12"/>
          <w:szCs w:val="24"/>
        </w:rPr>
      </w:pPr>
      <w:r w:rsidRPr="001A4D4E">
        <w:rPr>
          <w:rFonts w:eastAsia="Times New Roman" w:cs="Arial"/>
          <w:color w:val="000000"/>
          <w:szCs w:val="44"/>
          <w:lang w:eastAsia="bg-BG"/>
        </w:rPr>
        <w:t xml:space="preserve">Една филмирана таблетка съдържа епросартан мезилат </w:t>
      </w:r>
      <w:r w:rsidRPr="001A4D4E">
        <w:rPr>
          <w:rFonts w:eastAsia="Times New Roman" w:cs="Arial"/>
          <w:i/>
          <w:iCs/>
          <w:color w:val="000000"/>
          <w:szCs w:val="44"/>
        </w:rPr>
        <w:t>(</w:t>
      </w:r>
      <w:proofErr w:type="spellStart"/>
      <w:r w:rsidRPr="001A4D4E">
        <w:rPr>
          <w:rFonts w:eastAsia="Times New Roman" w:cs="Arial"/>
          <w:i/>
          <w:iCs/>
          <w:color w:val="000000"/>
          <w:szCs w:val="44"/>
          <w:lang w:val="en-US"/>
        </w:rPr>
        <w:t>eprosartan</w:t>
      </w:r>
      <w:proofErr w:type="spellEnd"/>
      <w:r w:rsidRPr="001A4D4E">
        <w:rPr>
          <w:rFonts w:eastAsia="Times New Roman" w:cs="Arial"/>
          <w:i/>
          <w:iCs/>
          <w:color w:val="000000"/>
          <w:szCs w:val="44"/>
        </w:rPr>
        <w:t xml:space="preserve"> </w:t>
      </w:r>
      <w:proofErr w:type="spellStart"/>
      <w:r w:rsidRPr="001A4D4E">
        <w:rPr>
          <w:rFonts w:eastAsia="Times New Roman" w:cs="Arial"/>
          <w:i/>
          <w:iCs/>
          <w:color w:val="000000"/>
          <w:szCs w:val="44"/>
          <w:lang w:val="en-US"/>
        </w:rPr>
        <w:t>mesylate</w:t>
      </w:r>
      <w:proofErr w:type="spellEnd"/>
      <w:r w:rsidRPr="001A4D4E">
        <w:rPr>
          <w:rFonts w:eastAsia="Times New Roman" w:cs="Arial"/>
          <w:i/>
          <w:iCs/>
          <w:color w:val="000000"/>
          <w:szCs w:val="44"/>
        </w:rPr>
        <w:t>),</w:t>
      </w:r>
      <w:r w:rsidRPr="001A4D4E">
        <w:rPr>
          <w:rFonts w:eastAsia="Times New Roman" w:cs="Arial"/>
          <w:color w:val="000000"/>
          <w:szCs w:val="44"/>
        </w:rPr>
        <w:t xml:space="preserve"> </w:t>
      </w:r>
      <w:r w:rsidRPr="001A4D4E">
        <w:rPr>
          <w:rFonts w:eastAsia="Times New Roman" w:cs="Arial"/>
          <w:color w:val="000000"/>
          <w:szCs w:val="44"/>
          <w:lang w:eastAsia="bg-BG"/>
        </w:rPr>
        <w:t xml:space="preserve">еквивалентен на 600 </w:t>
      </w:r>
      <w:r w:rsidRPr="001A4D4E">
        <w:rPr>
          <w:rFonts w:eastAsia="Times New Roman" w:cs="Arial"/>
          <w:color w:val="000000"/>
          <w:szCs w:val="44"/>
          <w:lang w:val="en-US"/>
        </w:rPr>
        <w:t>mg</w:t>
      </w:r>
      <w:r w:rsidRPr="001A4D4E">
        <w:rPr>
          <w:rFonts w:eastAsia="Times New Roman" w:cs="Arial"/>
          <w:color w:val="000000"/>
          <w:szCs w:val="44"/>
        </w:rPr>
        <w:t xml:space="preserve"> </w:t>
      </w:r>
      <w:r w:rsidRPr="001A4D4E">
        <w:rPr>
          <w:rFonts w:eastAsia="Times New Roman" w:cs="Arial"/>
          <w:color w:val="000000"/>
          <w:szCs w:val="44"/>
          <w:lang w:eastAsia="bg-BG"/>
        </w:rPr>
        <w:t>епросартан.</w:t>
      </w:r>
    </w:p>
    <w:p w14:paraId="22C36F9D" w14:textId="77777777" w:rsidR="001A4D4E" w:rsidRPr="001A4D4E" w:rsidRDefault="001A4D4E" w:rsidP="001A4D4E">
      <w:pPr>
        <w:spacing w:line="240" w:lineRule="auto"/>
        <w:rPr>
          <w:rFonts w:eastAsia="Times New Roman" w:cs="Arial"/>
          <w:color w:val="000000"/>
          <w:szCs w:val="44"/>
          <w:lang w:eastAsia="bg-BG"/>
        </w:rPr>
      </w:pPr>
    </w:p>
    <w:p w14:paraId="2EF3FB8A" w14:textId="3E4972BC" w:rsidR="001A4D4E" w:rsidRPr="001A4D4E" w:rsidRDefault="001A4D4E" w:rsidP="001A4D4E">
      <w:pPr>
        <w:spacing w:line="240" w:lineRule="auto"/>
        <w:rPr>
          <w:rFonts w:eastAsia="Times New Roman" w:cs="Arial"/>
          <w:sz w:val="12"/>
          <w:szCs w:val="24"/>
        </w:rPr>
      </w:pPr>
      <w:r w:rsidRPr="001A4D4E">
        <w:rPr>
          <w:rFonts w:eastAsia="Times New Roman" w:cs="Arial"/>
          <w:color w:val="000000"/>
          <w:szCs w:val="44"/>
          <w:lang w:eastAsia="bg-BG"/>
        </w:rPr>
        <w:t>Помощно вещество с известно действие:</w:t>
      </w:r>
    </w:p>
    <w:p w14:paraId="6105B399" w14:textId="77777777" w:rsidR="001A4D4E" w:rsidRPr="001A4D4E" w:rsidRDefault="001A4D4E" w:rsidP="001A4D4E">
      <w:pPr>
        <w:spacing w:line="240" w:lineRule="auto"/>
        <w:rPr>
          <w:rFonts w:eastAsia="Times New Roman" w:cs="Arial"/>
          <w:sz w:val="12"/>
          <w:szCs w:val="24"/>
        </w:rPr>
      </w:pPr>
      <w:r w:rsidRPr="001A4D4E">
        <w:rPr>
          <w:rFonts w:eastAsia="Times New Roman" w:cs="Arial"/>
          <w:color w:val="000000"/>
          <w:szCs w:val="44"/>
          <w:lang w:eastAsia="bg-BG"/>
        </w:rPr>
        <w:t xml:space="preserve">Всяка филмирана таблетка съдържа 43,3 </w:t>
      </w:r>
      <w:r w:rsidRPr="001A4D4E">
        <w:rPr>
          <w:rFonts w:eastAsia="Times New Roman" w:cs="Arial"/>
          <w:color w:val="000000"/>
          <w:szCs w:val="44"/>
          <w:lang w:val="en-US"/>
        </w:rPr>
        <w:t>mg</w:t>
      </w:r>
      <w:r w:rsidRPr="001A4D4E">
        <w:rPr>
          <w:rFonts w:eastAsia="Times New Roman" w:cs="Arial"/>
          <w:color w:val="000000"/>
          <w:szCs w:val="44"/>
          <w:lang w:val="ru-RU"/>
        </w:rPr>
        <w:t xml:space="preserve"> </w:t>
      </w:r>
      <w:r w:rsidRPr="001A4D4E">
        <w:rPr>
          <w:rFonts w:eastAsia="Times New Roman" w:cs="Arial"/>
          <w:color w:val="000000"/>
          <w:szCs w:val="44"/>
          <w:lang w:eastAsia="bg-BG"/>
        </w:rPr>
        <w:t>лактоза (като лактоза монохидрат).</w:t>
      </w:r>
    </w:p>
    <w:p w14:paraId="4F798690" w14:textId="77777777" w:rsidR="001A4D4E" w:rsidRPr="001A4D4E" w:rsidRDefault="001A4D4E" w:rsidP="001A4D4E"/>
    <w:p w14:paraId="614984C4" w14:textId="2D5C92DE" w:rsidR="008A6AF2" w:rsidRDefault="00DD466D" w:rsidP="002C50EE">
      <w:pPr>
        <w:pStyle w:val="Heading1"/>
      </w:pPr>
      <w:r>
        <w:t>3. ЛЕКАРСТВЕНА ФОРМА</w:t>
      </w:r>
    </w:p>
    <w:p w14:paraId="537B0CB0" w14:textId="32A2A510" w:rsidR="001A4D4E" w:rsidRDefault="001A4D4E" w:rsidP="001A4D4E"/>
    <w:p w14:paraId="24A32A96" w14:textId="7E0AC180" w:rsidR="001A4D4E" w:rsidRPr="001A4D4E" w:rsidRDefault="001A4D4E" w:rsidP="001A4D4E">
      <w:pPr>
        <w:rPr>
          <w:sz w:val="24"/>
          <w:szCs w:val="24"/>
        </w:rPr>
      </w:pPr>
      <w:r w:rsidRPr="001A4D4E">
        <w:rPr>
          <w:lang w:eastAsia="bg-BG"/>
        </w:rPr>
        <w:t>Филмирани таблетки, бели, с формата на капсула, с надпис 5046 от едната страна и без надпис от другата страна.</w:t>
      </w:r>
    </w:p>
    <w:p w14:paraId="490FC2C4" w14:textId="6899DE43" w:rsidR="002C50EE" w:rsidRDefault="002C50EE" w:rsidP="002C50EE">
      <w:pPr>
        <w:pStyle w:val="Heading1"/>
      </w:pPr>
      <w:r>
        <w:t>4. КЛИНИЧНИ ДАННИ</w:t>
      </w:r>
    </w:p>
    <w:p w14:paraId="0771830A" w14:textId="7DAE54B1" w:rsidR="00DB32D3" w:rsidRDefault="002C50EE" w:rsidP="005726E3">
      <w:pPr>
        <w:pStyle w:val="Heading2"/>
      </w:pPr>
      <w:r>
        <w:t>4.1. Терапевтични показания</w:t>
      </w:r>
    </w:p>
    <w:p w14:paraId="23F3FA9F" w14:textId="61E26406" w:rsidR="001A4D4E" w:rsidRDefault="001A4D4E" w:rsidP="001A4D4E"/>
    <w:p w14:paraId="45243836" w14:textId="293E25B4" w:rsidR="001A4D4E" w:rsidRDefault="001A4D4E" w:rsidP="001A4D4E">
      <w:proofErr w:type="spellStart"/>
      <w:r>
        <w:rPr>
          <w:lang w:val="en-US"/>
        </w:rPr>
        <w:t>Teveten</w:t>
      </w:r>
      <w:proofErr w:type="spellEnd"/>
      <w:r w:rsidRPr="001A4D4E">
        <w:rPr>
          <w:lang w:val="ru-RU"/>
        </w:rPr>
        <w:t xml:space="preserve"> </w:t>
      </w:r>
      <w:r>
        <w:t>е показан за лечение на есенциална хипертония.</w:t>
      </w:r>
    </w:p>
    <w:p w14:paraId="50392C2D" w14:textId="77777777" w:rsidR="001A4D4E" w:rsidRPr="001A4D4E" w:rsidRDefault="001A4D4E" w:rsidP="001A4D4E"/>
    <w:p w14:paraId="7647A102" w14:textId="46C6F189" w:rsidR="00DB32D3" w:rsidRDefault="002C50EE" w:rsidP="005726E3">
      <w:pPr>
        <w:pStyle w:val="Heading2"/>
      </w:pPr>
      <w:r>
        <w:t>4.2. Дозировка и начин на приложение</w:t>
      </w:r>
    </w:p>
    <w:p w14:paraId="592CDD99" w14:textId="77777777" w:rsidR="001A4D4E" w:rsidRPr="001A4D4E" w:rsidRDefault="001A4D4E" w:rsidP="001A4D4E"/>
    <w:p w14:paraId="342698EE" w14:textId="77777777" w:rsidR="001A4D4E" w:rsidRPr="001A4D4E" w:rsidRDefault="001A4D4E" w:rsidP="001A4D4E">
      <w:pPr>
        <w:spacing w:line="240" w:lineRule="auto"/>
        <w:rPr>
          <w:rFonts w:eastAsia="Times New Roman" w:cs="Arial"/>
        </w:rPr>
      </w:pPr>
      <w:r w:rsidRPr="001A4D4E">
        <w:rPr>
          <w:rFonts w:eastAsia="Times New Roman" w:cs="Arial"/>
          <w:color w:val="000000"/>
          <w:u w:val="single"/>
          <w:lang w:eastAsia="bg-BG"/>
        </w:rPr>
        <w:t>Дозировка</w:t>
      </w:r>
    </w:p>
    <w:p w14:paraId="47C5A05A" w14:textId="77777777" w:rsidR="001A4D4E" w:rsidRPr="001A4D4E" w:rsidRDefault="001A4D4E" w:rsidP="001A4D4E">
      <w:pPr>
        <w:spacing w:line="240" w:lineRule="auto"/>
        <w:rPr>
          <w:rFonts w:eastAsia="Times New Roman" w:cs="Arial"/>
        </w:rPr>
      </w:pPr>
      <w:r w:rsidRPr="001A4D4E">
        <w:rPr>
          <w:rFonts w:eastAsia="Times New Roman" w:cs="Arial"/>
          <w:color w:val="000000"/>
          <w:lang w:eastAsia="bg-BG"/>
        </w:rPr>
        <w:t xml:space="preserve">Препоръчителната доза е 600 </w:t>
      </w:r>
      <w:r w:rsidRPr="001A4D4E">
        <w:rPr>
          <w:rFonts w:eastAsia="Times New Roman" w:cs="Arial"/>
          <w:color w:val="000000"/>
          <w:lang w:val="en-US"/>
        </w:rPr>
        <w:t>mg</w:t>
      </w:r>
      <w:r w:rsidRPr="001A4D4E">
        <w:rPr>
          <w:rFonts w:eastAsia="Times New Roman" w:cs="Arial"/>
          <w:color w:val="000000"/>
          <w:lang w:val="ru-RU"/>
        </w:rPr>
        <w:t xml:space="preserve"> </w:t>
      </w:r>
      <w:r w:rsidRPr="001A4D4E">
        <w:rPr>
          <w:rFonts w:eastAsia="Times New Roman" w:cs="Arial"/>
          <w:color w:val="000000"/>
          <w:lang w:eastAsia="bg-BG"/>
        </w:rPr>
        <w:t>Теветен веднъж дневно.</w:t>
      </w:r>
    </w:p>
    <w:p w14:paraId="2D4205DC" w14:textId="77777777" w:rsidR="001A4D4E" w:rsidRDefault="001A4D4E" w:rsidP="001A4D4E">
      <w:pPr>
        <w:spacing w:line="240" w:lineRule="auto"/>
        <w:rPr>
          <w:rFonts w:eastAsia="Times New Roman" w:cs="Arial"/>
          <w:color w:val="000000"/>
          <w:lang w:eastAsia="bg-BG"/>
        </w:rPr>
      </w:pPr>
    </w:p>
    <w:p w14:paraId="03A577E3" w14:textId="17FBADAA" w:rsidR="001A4D4E" w:rsidRPr="001A4D4E" w:rsidRDefault="001A4D4E" w:rsidP="001A4D4E">
      <w:pPr>
        <w:spacing w:line="240" w:lineRule="auto"/>
        <w:rPr>
          <w:rFonts w:eastAsia="Times New Roman" w:cs="Arial"/>
        </w:rPr>
      </w:pPr>
      <w:r w:rsidRPr="001A4D4E">
        <w:rPr>
          <w:rFonts w:eastAsia="Times New Roman" w:cs="Arial"/>
          <w:color w:val="000000"/>
          <w:lang w:eastAsia="bg-BG"/>
        </w:rPr>
        <w:t>При повечето пациенти максимално понижение на артериалното налягане се постига за 2 до 3 седмици лечение.</w:t>
      </w:r>
    </w:p>
    <w:p w14:paraId="48A9AC88" w14:textId="77777777" w:rsidR="001A4D4E" w:rsidRDefault="001A4D4E" w:rsidP="001A4D4E">
      <w:pPr>
        <w:spacing w:line="240" w:lineRule="auto"/>
        <w:rPr>
          <w:rFonts w:eastAsia="Times New Roman" w:cs="Arial"/>
          <w:color w:val="000000"/>
          <w:lang w:eastAsia="bg-BG"/>
        </w:rPr>
      </w:pPr>
    </w:p>
    <w:p w14:paraId="7DF4F51C" w14:textId="58E79E1D" w:rsidR="001A4D4E" w:rsidRPr="001A4D4E" w:rsidRDefault="001A4D4E" w:rsidP="001A4D4E">
      <w:pPr>
        <w:spacing w:line="240" w:lineRule="auto"/>
        <w:rPr>
          <w:rFonts w:eastAsia="Times New Roman" w:cs="Arial"/>
        </w:rPr>
      </w:pPr>
      <w:r w:rsidRPr="001A4D4E">
        <w:rPr>
          <w:rFonts w:eastAsia="Times New Roman" w:cs="Arial"/>
          <w:color w:val="000000"/>
          <w:lang w:eastAsia="bg-BG"/>
        </w:rPr>
        <w:t>Теветен може да се използва самостоятелно или в комбинация с други антихипертензивни лекарства (вж. точки 4.3, 4.4, 4.5 и 5.1). Особено използването на тиазидни диуретици като хидрохлоротиазид и калциев антагонист като нифедипин с модифицирано освобождаване са показали допълнителен ефект към ефекта на Теветен.</w:t>
      </w:r>
    </w:p>
    <w:p w14:paraId="0EDED32C" w14:textId="77777777" w:rsidR="001A4D4E" w:rsidRDefault="001A4D4E" w:rsidP="001A4D4E">
      <w:pPr>
        <w:spacing w:line="240" w:lineRule="auto"/>
        <w:rPr>
          <w:rFonts w:eastAsia="Times New Roman" w:cs="Arial"/>
          <w:color w:val="000000"/>
          <w:lang w:eastAsia="bg-BG"/>
        </w:rPr>
      </w:pPr>
    </w:p>
    <w:p w14:paraId="396C3579" w14:textId="32F8D3B7" w:rsidR="001A4D4E" w:rsidRPr="001A4D4E" w:rsidRDefault="001A4D4E" w:rsidP="001A4D4E">
      <w:pPr>
        <w:spacing w:line="240" w:lineRule="auto"/>
        <w:rPr>
          <w:rFonts w:eastAsia="Times New Roman" w:cs="Arial"/>
          <w:color w:val="000000"/>
          <w:lang w:eastAsia="bg-BG"/>
        </w:rPr>
      </w:pPr>
      <w:r w:rsidRPr="001A4D4E">
        <w:rPr>
          <w:rFonts w:eastAsia="Times New Roman" w:cs="Arial"/>
          <w:color w:val="000000"/>
          <w:lang w:eastAsia="bg-BG"/>
        </w:rPr>
        <w:t>Теветен може да бъде приеман с или без храна</w:t>
      </w:r>
    </w:p>
    <w:p w14:paraId="6C42106A" w14:textId="77777777" w:rsidR="001A4D4E" w:rsidRDefault="001A4D4E" w:rsidP="001A4D4E">
      <w:pPr>
        <w:spacing w:line="240" w:lineRule="auto"/>
        <w:rPr>
          <w:rFonts w:eastAsia="Times New Roman" w:cs="Arial"/>
          <w:i/>
          <w:iCs/>
          <w:color w:val="000000"/>
          <w:lang w:eastAsia="bg-BG"/>
        </w:rPr>
      </w:pPr>
    </w:p>
    <w:p w14:paraId="074C3801" w14:textId="445B8B71" w:rsidR="001A4D4E" w:rsidRPr="001A4D4E" w:rsidRDefault="001A4D4E" w:rsidP="001A4D4E">
      <w:pPr>
        <w:spacing w:line="240" w:lineRule="auto"/>
        <w:rPr>
          <w:rFonts w:eastAsia="Times New Roman" w:cs="Arial"/>
        </w:rPr>
      </w:pPr>
      <w:r w:rsidRPr="001A4D4E">
        <w:rPr>
          <w:rFonts w:eastAsia="Times New Roman" w:cs="Arial"/>
          <w:i/>
          <w:iCs/>
          <w:color w:val="000000"/>
          <w:lang w:eastAsia="bg-BG"/>
        </w:rPr>
        <w:t>Гериатрични пациенти</w:t>
      </w:r>
    </w:p>
    <w:p w14:paraId="120D3810" w14:textId="7C8598B3" w:rsidR="001A4D4E" w:rsidRPr="001A4D4E" w:rsidRDefault="001A4D4E" w:rsidP="001A4D4E">
      <w:pPr>
        <w:spacing w:line="240" w:lineRule="auto"/>
        <w:rPr>
          <w:rFonts w:eastAsia="Times New Roman" w:cs="Arial"/>
        </w:rPr>
      </w:pPr>
      <w:r w:rsidRPr="001A4D4E">
        <w:rPr>
          <w:rFonts w:eastAsia="Times New Roman" w:cs="Arial"/>
          <w:color w:val="000000"/>
          <w:lang w:eastAsia="bg-BG"/>
        </w:rPr>
        <w:t>При пациенти в старческа възраст не се изисква коригиране на дозировката.</w:t>
      </w:r>
    </w:p>
    <w:p w14:paraId="2F5D8F38" w14:textId="77777777" w:rsidR="001A4D4E" w:rsidRDefault="001A4D4E" w:rsidP="001A4D4E">
      <w:pPr>
        <w:spacing w:line="240" w:lineRule="auto"/>
        <w:rPr>
          <w:rFonts w:eastAsia="Times New Roman" w:cs="Arial"/>
          <w:i/>
          <w:iCs/>
          <w:color w:val="000000"/>
          <w:lang w:eastAsia="bg-BG"/>
        </w:rPr>
      </w:pPr>
    </w:p>
    <w:p w14:paraId="202C6C0C" w14:textId="2C40071C" w:rsidR="001A4D4E" w:rsidRPr="001A4D4E" w:rsidRDefault="001A4D4E" w:rsidP="001A4D4E">
      <w:pPr>
        <w:spacing w:line="240" w:lineRule="auto"/>
        <w:rPr>
          <w:rFonts w:eastAsia="Times New Roman" w:cs="Arial"/>
        </w:rPr>
      </w:pPr>
      <w:r w:rsidRPr="001A4D4E">
        <w:rPr>
          <w:rFonts w:eastAsia="Times New Roman" w:cs="Arial"/>
          <w:i/>
          <w:iCs/>
          <w:color w:val="000000"/>
          <w:lang w:eastAsia="bg-BG"/>
        </w:rPr>
        <w:lastRenderedPageBreak/>
        <w:t>Дозировка при пациенти с чернодробни нарушения</w:t>
      </w:r>
    </w:p>
    <w:p w14:paraId="62E4E74B" w14:textId="334C2D36" w:rsidR="001A4D4E" w:rsidRDefault="001A4D4E" w:rsidP="001A4D4E">
      <w:pPr>
        <w:rPr>
          <w:rFonts w:eastAsia="Times New Roman" w:cs="Arial"/>
          <w:color w:val="000000"/>
          <w:lang w:eastAsia="bg-BG"/>
        </w:rPr>
      </w:pPr>
      <w:r w:rsidRPr="001A4D4E">
        <w:rPr>
          <w:rFonts w:eastAsia="Times New Roman" w:cs="Arial"/>
          <w:color w:val="000000"/>
          <w:lang w:eastAsia="bg-BG"/>
        </w:rPr>
        <w:t>Съществува ограничен опит с Теветен при пациенти с чернодробна недостатъчност (вж. точка 4.4).</w:t>
      </w:r>
    </w:p>
    <w:p w14:paraId="0C6F509B" w14:textId="2573F193" w:rsidR="001A4D4E" w:rsidRDefault="001A4D4E" w:rsidP="001A4D4E">
      <w:pPr>
        <w:rPr>
          <w:rFonts w:eastAsia="Times New Roman" w:cs="Arial"/>
          <w:color w:val="000000"/>
          <w:lang w:eastAsia="bg-BG"/>
        </w:rPr>
      </w:pPr>
    </w:p>
    <w:p w14:paraId="357A9197" w14:textId="77777777" w:rsidR="001A4D4E" w:rsidRPr="001A4D4E" w:rsidRDefault="001A4D4E" w:rsidP="001A4D4E">
      <w:pPr>
        <w:spacing w:line="240" w:lineRule="auto"/>
        <w:rPr>
          <w:rFonts w:eastAsia="Times New Roman" w:cs="Arial"/>
          <w:sz w:val="12"/>
          <w:szCs w:val="24"/>
        </w:rPr>
      </w:pPr>
      <w:r w:rsidRPr="001A4D4E">
        <w:rPr>
          <w:rFonts w:eastAsia="Times New Roman" w:cs="Arial"/>
          <w:i/>
          <w:iCs/>
          <w:color w:val="000000"/>
          <w:szCs w:val="44"/>
          <w:lang w:eastAsia="bg-BG"/>
        </w:rPr>
        <w:t>Дозировка при пациенти с бъбречни нарушения</w:t>
      </w:r>
    </w:p>
    <w:p w14:paraId="3A303123" w14:textId="77777777" w:rsidR="001A4D4E" w:rsidRPr="001A4D4E" w:rsidRDefault="001A4D4E" w:rsidP="001A4D4E">
      <w:pPr>
        <w:spacing w:line="240" w:lineRule="auto"/>
        <w:rPr>
          <w:rFonts w:eastAsia="Times New Roman" w:cs="Arial"/>
          <w:sz w:val="12"/>
          <w:szCs w:val="24"/>
        </w:rPr>
      </w:pPr>
      <w:r w:rsidRPr="001A4D4E">
        <w:rPr>
          <w:rFonts w:eastAsia="Times New Roman" w:cs="Arial"/>
          <w:color w:val="000000"/>
          <w:szCs w:val="44"/>
          <w:lang w:eastAsia="bg-BG"/>
        </w:rPr>
        <w:t xml:space="preserve">При пациенти с умерено или тежко бъбречно нарушение (креатининов клирънс &lt; 60 </w:t>
      </w:r>
      <w:r w:rsidRPr="001A4D4E">
        <w:rPr>
          <w:rFonts w:eastAsia="Times New Roman" w:cs="Arial"/>
          <w:color w:val="000000"/>
          <w:szCs w:val="44"/>
          <w:lang w:val="en-US"/>
        </w:rPr>
        <w:t>ml</w:t>
      </w:r>
      <w:r w:rsidRPr="001A4D4E">
        <w:rPr>
          <w:rFonts w:eastAsia="Times New Roman" w:cs="Arial"/>
          <w:color w:val="000000"/>
          <w:szCs w:val="44"/>
          <w:lang w:val="ru-RU"/>
        </w:rPr>
        <w:t>/</w:t>
      </w:r>
      <w:r w:rsidRPr="001A4D4E">
        <w:rPr>
          <w:rFonts w:eastAsia="Times New Roman" w:cs="Arial"/>
          <w:color w:val="000000"/>
          <w:szCs w:val="44"/>
          <w:lang w:val="en-US"/>
        </w:rPr>
        <w:t>min</w:t>
      </w:r>
      <w:r w:rsidRPr="001A4D4E">
        <w:rPr>
          <w:rFonts w:eastAsia="Times New Roman" w:cs="Arial"/>
          <w:color w:val="000000"/>
          <w:szCs w:val="44"/>
          <w:lang w:val="ru-RU"/>
        </w:rPr>
        <w:t xml:space="preserve">), </w:t>
      </w:r>
      <w:r w:rsidRPr="001A4D4E">
        <w:rPr>
          <w:rFonts w:eastAsia="Times New Roman" w:cs="Arial"/>
          <w:color w:val="000000"/>
          <w:szCs w:val="44"/>
          <w:lang w:eastAsia="bg-BG"/>
        </w:rPr>
        <w:t xml:space="preserve">дневната доза не трябва да надвишава 600 </w:t>
      </w:r>
      <w:r w:rsidRPr="001A4D4E">
        <w:rPr>
          <w:rFonts w:eastAsia="Times New Roman" w:cs="Arial"/>
          <w:color w:val="000000"/>
          <w:szCs w:val="44"/>
          <w:lang w:val="en-US"/>
        </w:rPr>
        <w:t>mg</w:t>
      </w:r>
      <w:r w:rsidRPr="001A4D4E">
        <w:rPr>
          <w:rFonts w:eastAsia="Times New Roman" w:cs="Arial"/>
          <w:color w:val="000000"/>
          <w:szCs w:val="44"/>
          <w:lang w:val="ru-RU"/>
        </w:rPr>
        <w:t>.</w:t>
      </w:r>
    </w:p>
    <w:p w14:paraId="440755A9" w14:textId="77777777" w:rsidR="001A4D4E" w:rsidRPr="001A4D4E" w:rsidRDefault="001A4D4E" w:rsidP="001A4D4E">
      <w:pPr>
        <w:spacing w:line="240" w:lineRule="auto"/>
        <w:rPr>
          <w:rFonts w:eastAsia="Times New Roman" w:cs="Arial"/>
          <w:i/>
          <w:iCs/>
          <w:color w:val="000000"/>
          <w:szCs w:val="44"/>
          <w:lang w:eastAsia="bg-BG"/>
        </w:rPr>
      </w:pPr>
    </w:p>
    <w:p w14:paraId="65D9D90A" w14:textId="47668BA0" w:rsidR="001A4D4E" w:rsidRPr="001A4D4E" w:rsidRDefault="001A4D4E" w:rsidP="001A4D4E">
      <w:pPr>
        <w:spacing w:line="240" w:lineRule="auto"/>
        <w:rPr>
          <w:rFonts w:eastAsia="Times New Roman" w:cs="Arial"/>
          <w:sz w:val="12"/>
          <w:szCs w:val="24"/>
        </w:rPr>
      </w:pPr>
      <w:r w:rsidRPr="001A4D4E">
        <w:rPr>
          <w:rFonts w:eastAsia="Times New Roman" w:cs="Arial"/>
          <w:i/>
          <w:iCs/>
          <w:color w:val="000000"/>
          <w:szCs w:val="44"/>
          <w:lang w:eastAsia="bg-BG"/>
        </w:rPr>
        <w:t>Педиатрична популация</w:t>
      </w:r>
    </w:p>
    <w:p w14:paraId="71683FDA" w14:textId="77777777" w:rsidR="001A4D4E" w:rsidRPr="001A4D4E" w:rsidRDefault="001A4D4E" w:rsidP="001A4D4E">
      <w:pPr>
        <w:spacing w:line="240" w:lineRule="auto"/>
        <w:rPr>
          <w:rFonts w:eastAsia="Times New Roman" w:cs="Arial"/>
          <w:sz w:val="12"/>
          <w:szCs w:val="24"/>
        </w:rPr>
      </w:pPr>
      <w:r w:rsidRPr="001A4D4E">
        <w:rPr>
          <w:rFonts w:eastAsia="Times New Roman" w:cs="Arial"/>
          <w:color w:val="000000"/>
          <w:szCs w:val="44"/>
          <w:lang w:eastAsia="bg-BG"/>
        </w:rPr>
        <w:t>Поради липса на данни за безопасност и ефикасност, не се препоръчва приложението на Теветен при деца и юноши.</w:t>
      </w:r>
    </w:p>
    <w:p w14:paraId="6C074EC5" w14:textId="77777777" w:rsidR="001A4D4E" w:rsidRPr="001A4D4E" w:rsidRDefault="001A4D4E" w:rsidP="001A4D4E">
      <w:pPr>
        <w:rPr>
          <w:rFonts w:cs="Arial"/>
        </w:rPr>
      </w:pPr>
    </w:p>
    <w:p w14:paraId="74903285" w14:textId="4F7319B9" w:rsidR="00DB32D3" w:rsidRDefault="002C50EE" w:rsidP="005726E3">
      <w:pPr>
        <w:pStyle w:val="Heading2"/>
      </w:pPr>
      <w:r>
        <w:t>4.3. Противопоказания</w:t>
      </w:r>
    </w:p>
    <w:p w14:paraId="0DAEB4A3" w14:textId="0254904F" w:rsidR="001A4D4E" w:rsidRDefault="001A4D4E" w:rsidP="001A4D4E"/>
    <w:p w14:paraId="6980F73F" w14:textId="77777777" w:rsidR="001A4D4E" w:rsidRPr="001A4D4E" w:rsidRDefault="001A4D4E" w:rsidP="001A4D4E">
      <w:pPr>
        <w:pStyle w:val="ListParagraph"/>
        <w:numPr>
          <w:ilvl w:val="0"/>
          <w:numId w:val="37"/>
        </w:numPr>
        <w:rPr>
          <w:sz w:val="24"/>
          <w:szCs w:val="24"/>
        </w:rPr>
      </w:pPr>
      <w:r w:rsidRPr="001A4D4E">
        <w:rPr>
          <w:lang w:eastAsia="bg-BG"/>
        </w:rPr>
        <w:t>Известна свръхчувствителност към епросартан или някое от помощните вещества.</w:t>
      </w:r>
    </w:p>
    <w:p w14:paraId="35FE4504" w14:textId="77777777" w:rsidR="001A4D4E" w:rsidRPr="001A4D4E" w:rsidRDefault="001A4D4E" w:rsidP="001A4D4E">
      <w:pPr>
        <w:pStyle w:val="ListParagraph"/>
        <w:numPr>
          <w:ilvl w:val="0"/>
          <w:numId w:val="37"/>
        </w:numPr>
        <w:rPr>
          <w:sz w:val="24"/>
          <w:szCs w:val="24"/>
        </w:rPr>
      </w:pPr>
      <w:r w:rsidRPr="001A4D4E">
        <w:rPr>
          <w:lang w:eastAsia="bg-BG"/>
        </w:rPr>
        <w:t>Втори и трети триместър на бременност (вж. точки 4.4 и 4.6).</w:t>
      </w:r>
    </w:p>
    <w:p w14:paraId="3623B26F" w14:textId="77777777" w:rsidR="001A4D4E" w:rsidRPr="001A4D4E" w:rsidRDefault="001A4D4E" w:rsidP="001A4D4E">
      <w:pPr>
        <w:pStyle w:val="ListParagraph"/>
        <w:numPr>
          <w:ilvl w:val="0"/>
          <w:numId w:val="37"/>
        </w:numPr>
        <w:rPr>
          <w:sz w:val="24"/>
          <w:szCs w:val="24"/>
        </w:rPr>
      </w:pPr>
      <w:r w:rsidRPr="001A4D4E">
        <w:rPr>
          <w:lang w:eastAsia="bg-BG"/>
        </w:rPr>
        <w:t>Хемодинамично значимо билатерално реноваскуларно заболяване или тежка стеноза на единствен функциониращ бъбрек.</w:t>
      </w:r>
    </w:p>
    <w:p w14:paraId="4DE60533" w14:textId="2B13EACE" w:rsidR="001A4D4E" w:rsidRPr="001A4D4E" w:rsidRDefault="001A4D4E" w:rsidP="001A4D4E">
      <w:pPr>
        <w:pStyle w:val="ListParagraph"/>
        <w:numPr>
          <w:ilvl w:val="0"/>
          <w:numId w:val="37"/>
        </w:numPr>
        <w:rPr>
          <w:sz w:val="24"/>
          <w:szCs w:val="24"/>
        </w:rPr>
      </w:pPr>
      <w:r w:rsidRPr="001A4D4E">
        <w:rPr>
          <w:lang w:eastAsia="bg-BG"/>
        </w:rPr>
        <w:t xml:space="preserve">Едновременната употреба на Теветен с алискирен-съдържащи продукти е противопоказана при пациенти със захарен диабет или бъбречно увреждане ( </w:t>
      </w:r>
      <w:r w:rsidRPr="001A4D4E">
        <w:rPr>
          <w:lang w:val="en-US"/>
        </w:rPr>
        <w:t>GFR</w:t>
      </w:r>
      <w:r w:rsidRPr="001A4D4E">
        <w:rPr>
          <w:lang w:val="ru-RU"/>
        </w:rPr>
        <w:t xml:space="preserve"> </w:t>
      </w:r>
      <w:r w:rsidRPr="001A4D4E">
        <w:rPr>
          <w:lang w:eastAsia="bg-BG"/>
        </w:rPr>
        <w:t xml:space="preserve">&lt; 60 </w:t>
      </w:r>
      <w:r w:rsidRPr="001A4D4E">
        <w:rPr>
          <w:lang w:val="en-US"/>
        </w:rPr>
        <w:t>ml</w:t>
      </w:r>
      <w:r w:rsidRPr="001A4D4E">
        <w:rPr>
          <w:lang w:val="ru-RU"/>
        </w:rPr>
        <w:t>/</w:t>
      </w:r>
      <w:r w:rsidRPr="001A4D4E">
        <w:rPr>
          <w:lang w:val="en-US"/>
        </w:rPr>
        <w:t>min</w:t>
      </w:r>
      <w:r w:rsidRPr="001A4D4E">
        <w:rPr>
          <w:lang w:val="ru-RU"/>
        </w:rPr>
        <w:t>/</w:t>
      </w:r>
      <w:r w:rsidRPr="001A4D4E">
        <w:rPr>
          <w:lang w:val="en-US"/>
        </w:rPr>
        <w:t>l</w:t>
      </w:r>
      <w:r w:rsidRPr="001A4D4E">
        <w:rPr>
          <w:lang w:val="ru-RU"/>
        </w:rPr>
        <w:t>,73</w:t>
      </w:r>
      <w:r w:rsidRPr="001A4D4E">
        <w:rPr>
          <w:lang w:val="en-US"/>
        </w:rPr>
        <w:t>m</w:t>
      </w:r>
      <w:r w:rsidRPr="001A4D4E">
        <w:rPr>
          <w:vertAlign w:val="superscript"/>
          <w:lang w:val="ru-RU"/>
        </w:rPr>
        <w:t>2</w:t>
      </w:r>
      <w:r w:rsidRPr="001A4D4E">
        <w:rPr>
          <w:lang w:val="ru-RU"/>
        </w:rPr>
        <w:t xml:space="preserve">) </w:t>
      </w:r>
      <w:r w:rsidRPr="001A4D4E">
        <w:rPr>
          <w:lang w:eastAsia="bg-BG"/>
        </w:rPr>
        <w:t>(вж. точки 4.5 и 5.1).</w:t>
      </w:r>
    </w:p>
    <w:p w14:paraId="0130D7EE" w14:textId="77777777" w:rsidR="001A4D4E" w:rsidRPr="001A4D4E" w:rsidRDefault="001A4D4E" w:rsidP="001A4D4E"/>
    <w:p w14:paraId="76DC8E58" w14:textId="12811EC0" w:rsidR="00DB32D3" w:rsidRDefault="002C50EE" w:rsidP="005726E3">
      <w:pPr>
        <w:pStyle w:val="Heading2"/>
      </w:pPr>
      <w:r>
        <w:t>4.4. Специални предупреждения и предпазни мерки при употреба</w:t>
      </w:r>
    </w:p>
    <w:p w14:paraId="7E8557BB" w14:textId="5C8392AC" w:rsidR="001A4D4E" w:rsidRDefault="001A4D4E" w:rsidP="001A4D4E"/>
    <w:p w14:paraId="6C6BD422" w14:textId="77777777" w:rsidR="001A4D4E" w:rsidRPr="001A4D4E" w:rsidRDefault="001A4D4E" w:rsidP="001A4D4E">
      <w:pPr>
        <w:spacing w:line="240" w:lineRule="auto"/>
        <w:rPr>
          <w:rFonts w:eastAsia="Times New Roman" w:cs="Arial"/>
        </w:rPr>
      </w:pPr>
      <w:r w:rsidRPr="001A4D4E">
        <w:rPr>
          <w:rFonts w:eastAsia="Times New Roman" w:cs="Arial"/>
          <w:color w:val="000000"/>
          <w:u w:val="single"/>
          <w:lang w:eastAsia="bg-BG"/>
        </w:rPr>
        <w:t>Чернодробно увреждане</w:t>
      </w:r>
    </w:p>
    <w:p w14:paraId="7FB5FF2E" w14:textId="77777777" w:rsidR="001A4D4E" w:rsidRPr="001A4D4E" w:rsidRDefault="001A4D4E" w:rsidP="001A4D4E">
      <w:pPr>
        <w:spacing w:line="240" w:lineRule="auto"/>
        <w:rPr>
          <w:rFonts w:eastAsia="Times New Roman" w:cs="Arial"/>
        </w:rPr>
      </w:pPr>
      <w:r w:rsidRPr="001A4D4E">
        <w:rPr>
          <w:rFonts w:eastAsia="Times New Roman" w:cs="Arial"/>
          <w:color w:val="000000"/>
          <w:lang w:eastAsia="bg-BG"/>
        </w:rPr>
        <w:t>Когато Теветен се прилага при пациенти с леко до умерено чернодробно увреждане е необходимо специално внимание поради факта, че съществува ограничен опит при пациенти от тази популация.</w:t>
      </w:r>
    </w:p>
    <w:p w14:paraId="50099EAB" w14:textId="77777777" w:rsidR="001A4D4E" w:rsidRDefault="001A4D4E" w:rsidP="001A4D4E">
      <w:pPr>
        <w:spacing w:line="240" w:lineRule="auto"/>
        <w:rPr>
          <w:rFonts w:eastAsia="Times New Roman" w:cs="Arial"/>
          <w:color w:val="000000"/>
          <w:u w:val="single"/>
          <w:lang w:eastAsia="bg-BG"/>
        </w:rPr>
      </w:pPr>
    </w:p>
    <w:p w14:paraId="040B7808" w14:textId="5FBC25F9" w:rsidR="001A4D4E" w:rsidRPr="001A4D4E" w:rsidRDefault="001A4D4E" w:rsidP="001A4D4E">
      <w:pPr>
        <w:spacing w:line="240" w:lineRule="auto"/>
        <w:rPr>
          <w:rFonts w:eastAsia="Times New Roman" w:cs="Arial"/>
        </w:rPr>
      </w:pPr>
      <w:r w:rsidRPr="001A4D4E">
        <w:rPr>
          <w:rFonts w:eastAsia="Times New Roman" w:cs="Arial"/>
          <w:color w:val="000000"/>
          <w:u w:val="single"/>
          <w:lang w:eastAsia="bg-BG"/>
        </w:rPr>
        <w:t>Бъбречно увреждане</w:t>
      </w:r>
    </w:p>
    <w:p w14:paraId="4708892C" w14:textId="77777777" w:rsidR="001A4D4E" w:rsidRPr="001A4D4E" w:rsidRDefault="001A4D4E" w:rsidP="001A4D4E">
      <w:pPr>
        <w:spacing w:line="240" w:lineRule="auto"/>
        <w:rPr>
          <w:rFonts w:eastAsia="Times New Roman" w:cs="Arial"/>
        </w:rPr>
      </w:pPr>
      <w:r w:rsidRPr="001A4D4E">
        <w:rPr>
          <w:rFonts w:eastAsia="Times New Roman" w:cs="Arial"/>
          <w:color w:val="000000"/>
          <w:lang w:eastAsia="bg-BG"/>
        </w:rPr>
        <w:t xml:space="preserve">Не е необходимо адаптиране на дозата при пациенти с леко до умерено бъбречно увреждане (креатининов клирънс ≥ 30 </w:t>
      </w:r>
      <w:r w:rsidRPr="001A4D4E">
        <w:rPr>
          <w:rFonts w:eastAsia="Times New Roman" w:cs="Arial"/>
          <w:color w:val="000000"/>
          <w:lang w:val="en-US"/>
        </w:rPr>
        <w:t>ml</w:t>
      </w:r>
      <w:r w:rsidRPr="001A4D4E">
        <w:rPr>
          <w:rFonts w:eastAsia="Times New Roman" w:cs="Arial"/>
          <w:color w:val="000000"/>
          <w:lang w:val="ru-RU"/>
        </w:rPr>
        <w:t>/</w:t>
      </w:r>
      <w:r w:rsidRPr="001A4D4E">
        <w:rPr>
          <w:rFonts w:eastAsia="Times New Roman" w:cs="Arial"/>
          <w:color w:val="000000"/>
          <w:lang w:val="en-US"/>
        </w:rPr>
        <w:t>min</w:t>
      </w:r>
      <w:r w:rsidRPr="001A4D4E">
        <w:rPr>
          <w:rFonts w:eastAsia="Times New Roman" w:cs="Arial"/>
          <w:color w:val="000000"/>
          <w:lang w:val="ru-RU"/>
        </w:rPr>
        <w:t xml:space="preserve">). </w:t>
      </w:r>
      <w:r w:rsidRPr="001A4D4E">
        <w:rPr>
          <w:rFonts w:eastAsia="Times New Roman" w:cs="Arial"/>
          <w:color w:val="000000"/>
          <w:lang w:eastAsia="bg-BG"/>
        </w:rPr>
        <w:t xml:space="preserve">Повишено внимание е необходимо при пациенти с креатининов клирънс &lt; 30 </w:t>
      </w:r>
      <w:r w:rsidRPr="001A4D4E">
        <w:rPr>
          <w:rFonts w:eastAsia="Times New Roman" w:cs="Arial"/>
          <w:color w:val="000000"/>
          <w:lang w:val="en-US"/>
        </w:rPr>
        <w:t>ml</w:t>
      </w:r>
      <w:r w:rsidRPr="001A4D4E">
        <w:rPr>
          <w:rFonts w:eastAsia="Times New Roman" w:cs="Arial"/>
          <w:color w:val="000000"/>
          <w:lang w:val="ru-RU"/>
        </w:rPr>
        <w:t>/</w:t>
      </w:r>
      <w:r w:rsidRPr="001A4D4E">
        <w:rPr>
          <w:rFonts w:eastAsia="Times New Roman" w:cs="Arial"/>
          <w:color w:val="000000"/>
          <w:lang w:val="en-US"/>
        </w:rPr>
        <w:t>min</w:t>
      </w:r>
      <w:r w:rsidRPr="001A4D4E">
        <w:rPr>
          <w:rFonts w:eastAsia="Times New Roman" w:cs="Arial"/>
          <w:color w:val="000000"/>
          <w:lang w:val="ru-RU"/>
        </w:rPr>
        <w:t xml:space="preserve"> </w:t>
      </w:r>
      <w:r w:rsidRPr="001A4D4E">
        <w:rPr>
          <w:rFonts w:eastAsia="Times New Roman" w:cs="Arial"/>
          <w:color w:val="000000"/>
          <w:lang w:eastAsia="bg-BG"/>
        </w:rPr>
        <w:t>или при пациенти на диализа.</w:t>
      </w:r>
    </w:p>
    <w:p w14:paraId="011B34A1" w14:textId="77777777" w:rsidR="001A4D4E" w:rsidRDefault="001A4D4E" w:rsidP="001A4D4E">
      <w:pPr>
        <w:spacing w:line="240" w:lineRule="auto"/>
        <w:rPr>
          <w:rFonts w:eastAsia="Times New Roman" w:cs="Arial"/>
          <w:color w:val="000000"/>
          <w:u w:val="single"/>
          <w:lang w:eastAsia="bg-BG"/>
        </w:rPr>
      </w:pPr>
    </w:p>
    <w:p w14:paraId="2D8334A7" w14:textId="1C18DE77" w:rsidR="001A4D4E" w:rsidRPr="001A4D4E" w:rsidRDefault="001A4D4E" w:rsidP="001A4D4E">
      <w:pPr>
        <w:spacing w:line="240" w:lineRule="auto"/>
        <w:rPr>
          <w:rFonts w:eastAsia="Times New Roman" w:cs="Arial"/>
        </w:rPr>
      </w:pPr>
      <w:r w:rsidRPr="001A4D4E">
        <w:rPr>
          <w:rFonts w:eastAsia="Times New Roman" w:cs="Arial"/>
          <w:color w:val="000000"/>
          <w:u w:val="single"/>
          <w:lang w:eastAsia="bg-BG"/>
        </w:rPr>
        <w:t>Пациенти с риск от бъбречно увреждане</w:t>
      </w:r>
    </w:p>
    <w:p w14:paraId="1D87B214" w14:textId="77777777" w:rsidR="001A4D4E" w:rsidRPr="001A4D4E" w:rsidRDefault="001A4D4E" w:rsidP="001A4D4E">
      <w:pPr>
        <w:spacing w:line="240" w:lineRule="auto"/>
        <w:rPr>
          <w:rFonts w:eastAsia="Times New Roman" w:cs="Arial"/>
        </w:rPr>
      </w:pPr>
      <w:r w:rsidRPr="001A4D4E">
        <w:rPr>
          <w:rFonts w:eastAsia="Times New Roman" w:cs="Arial"/>
          <w:color w:val="000000"/>
          <w:lang w:eastAsia="bg-BG"/>
        </w:rPr>
        <w:t xml:space="preserve">При пациенти, чиято бъбречна функция е зависима от продължителна вродена активност на системата ренин-ангиотензин-алдостерон (напр. пациенти с тежка сърдечна недостатъчност </w:t>
      </w:r>
      <w:r w:rsidRPr="001A4D4E">
        <w:rPr>
          <w:rFonts w:eastAsia="Times New Roman" w:cs="Arial"/>
          <w:color w:val="000000"/>
          <w:lang w:val="ru-RU"/>
        </w:rPr>
        <w:t>(</w:t>
      </w:r>
      <w:r w:rsidRPr="001A4D4E">
        <w:rPr>
          <w:rFonts w:eastAsia="Times New Roman" w:cs="Arial"/>
          <w:color w:val="000000"/>
          <w:lang w:val="en-US"/>
        </w:rPr>
        <w:t>NYHA</w:t>
      </w:r>
      <w:r w:rsidRPr="001A4D4E">
        <w:rPr>
          <w:rFonts w:eastAsia="Times New Roman" w:cs="Arial"/>
          <w:color w:val="000000"/>
          <w:lang w:eastAsia="bg-BG"/>
        </w:rPr>
        <w:t>-класификация клас IV), билатерална бъбречна артериална стеноза или бъбречна артериална стеноза на единствен бъбрек) съществува риск от развитие на олигурия и/или прогресивна азотемия и рядко остра бъбречна недостатъчност по време на лечение с АСЕ- инхибитори. Тези събития е по-вероятно да се появят при пациенти, лекувани едновременно и с диуретик. Не е имало достатъчен терапевтичен опит с ангиотензин II рецепторните блокери като Теветен за да се определи дали има подобен риск от увреждане на бъбречната функция при тези чувствителни пациенти. Когато Теветен предстои да се прилага при пациенти с бъбречно увреждане, бъбречната функция трябва да бъде оценена преди началото на лечението с Теветен и на определени периоди по време на лечението. Ако се наблюдава влошаване на бъбречната функция по време на терапията, лечението с Теветен трябва да се преоцени.</w:t>
      </w:r>
    </w:p>
    <w:p w14:paraId="2F6D875A" w14:textId="77777777" w:rsidR="001A4D4E" w:rsidRDefault="001A4D4E" w:rsidP="001A4D4E">
      <w:pPr>
        <w:spacing w:line="240" w:lineRule="auto"/>
        <w:rPr>
          <w:rFonts w:eastAsia="Times New Roman" w:cs="Arial"/>
          <w:color w:val="000000"/>
          <w:u w:val="single"/>
          <w:lang w:eastAsia="bg-BG"/>
        </w:rPr>
      </w:pPr>
    </w:p>
    <w:p w14:paraId="79C760B6" w14:textId="0BBEBD36" w:rsidR="001A4D4E" w:rsidRPr="001A4D4E" w:rsidRDefault="001A4D4E" w:rsidP="001A4D4E">
      <w:pPr>
        <w:spacing w:line="240" w:lineRule="auto"/>
        <w:rPr>
          <w:rFonts w:eastAsia="Times New Roman" w:cs="Arial"/>
        </w:rPr>
      </w:pPr>
      <w:r w:rsidRPr="001A4D4E">
        <w:rPr>
          <w:rFonts w:eastAsia="Times New Roman" w:cs="Arial"/>
          <w:color w:val="000000"/>
          <w:u w:val="single"/>
          <w:lang w:eastAsia="bg-BG"/>
        </w:rPr>
        <w:t>Следните мерки са били включени въз основа на опита с други лекарства от този клас и също АСЕ-инхибитори</w:t>
      </w:r>
    </w:p>
    <w:p w14:paraId="2DCBF5C5" w14:textId="77777777" w:rsidR="001A4D4E" w:rsidRDefault="001A4D4E" w:rsidP="001A4D4E">
      <w:pPr>
        <w:spacing w:line="240" w:lineRule="auto"/>
        <w:rPr>
          <w:rFonts w:eastAsia="Times New Roman" w:cs="Arial"/>
          <w:i/>
          <w:iCs/>
          <w:color w:val="000000"/>
          <w:lang w:eastAsia="bg-BG"/>
        </w:rPr>
      </w:pPr>
    </w:p>
    <w:p w14:paraId="70D60FD7" w14:textId="17EE58A8" w:rsidR="001A4D4E" w:rsidRPr="001A4D4E" w:rsidRDefault="001A4D4E" w:rsidP="001A4D4E">
      <w:pPr>
        <w:spacing w:line="240" w:lineRule="auto"/>
        <w:rPr>
          <w:rFonts w:eastAsia="Times New Roman" w:cs="Arial"/>
        </w:rPr>
      </w:pPr>
      <w:r w:rsidRPr="001A4D4E">
        <w:rPr>
          <w:rFonts w:eastAsia="Times New Roman" w:cs="Arial"/>
          <w:i/>
          <w:iCs/>
          <w:color w:val="000000"/>
          <w:lang w:eastAsia="bg-BG"/>
        </w:rPr>
        <w:t>Хиперкалиемия</w:t>
      </w:r>
    </w:p>
    <w:p w14:paraId="5F2A9055" w14:textId="77777777" w:rsidR="001A4D4E" w:rsidRPr="001A4D4E" w:rsidRDefault="001A4D4E" w:rsidP="001A4D4E">
      <w:pPr>
        <w:spacing w:line="240" w:lineRule="auto"/>
        <w:rPr>
          <w:rFonts w:eastAsia="Times New Roman" w:cs="Arial"/>
        </w:rPr>
      </w:pPr>
      <w:r w:rsidRPr="001A4D4E">
        <w:rPr>
          <w:rFonts w:eastAsia="Times New Roman" w:cs="Arial"/>
          <w:color w:val="000000"/>
          <w:lang w:eastAsia="bg-BG"/>
        </w:rPr>
        <w:t>По време на лечението с други лекарства, които влияят на системата ренин-ангиотензин- алдостерон може да се появи хиперкалиемия, особено при наличието на бъбречно увреждане и/или сърдечна недостатъчност. Препоръчва се адекватно наблюдение на серумния калий при пациенти в риск.</w:t>
      </w:r>
    </w:p>
    <w:p w14:paraId="13200B40" w14:textId="77777777" w:rsidR="001A4D4E" w:rsidRDefault="001A4D4E" w:rsidP="001A4D4E">
      <w:pPr>
        <w:spacing w:line="240" w:lineRule="auto"/>
        <w:rPr>
          <w:rFonts w:eastAsia="Times New Roman" w:cs="Arial"/>
          <w:color w:val="000000"/>
          <w:lang w:eastAsia="bg-BG"/>
        </w:rPr>
      </w:pPr>
    </w:p>
    <w:p w14:paraId="6F8E396C" w14:textId="77777777" w:rsidR="001A4D4E" w:rsidRPr="001A4D4E" w:rsidRDefault="001A4D4E" w:rsidP="001A4D4E">
      <w:pPr>
        <w:rPr>
          <w:rFonts w:eastAsia="Times New Roman" w:cs="Arial"/>
        </w:rPr>
      </w:pPr>
      <w:r w:rsidRPr="001A4D4E">
        <w:rPr>
          <w:rFonts w:eastAsia="Times New Roman" w:cs="Arial"/>
          <w:color w:val="000000"/>
          <w:lang w:eastAsia="bg-BG"/>
        </w:rPr>
        <w:t>На базата на опита с други лекарствени продукти, които могат да повлияят системата ренин- ангиотензин-алдостерон, едновременната употреба с калий-съхраняващи диуретици, добаваки на</w:t>
      </w:r>
      <w:r w:rsidRPr="001A4D4E">
        <w:rPr>
          <w:rFonts w:eastAsia="Times New Roman" w:cs="Arial"/>
          <w:lang w:val="ru-RU"/>
        </w:rPr>
        <w:t xml:space="preserve"> </w:t>
      </w:r>
      <w:r w:rsidRPr="001A4D4E">
        <w:rPr>
          <w:rFonts w:eastAsia="Times New Roman" w:cs="Arial"/>
          <w:color w:val="000000"/>
          <w:lang w:eastAsia="bg-BG"/>
        </w:rPr>
        <w:t>калий, заместители на солта, съдържащи калий и други лекарствени продукти, които могат да</w:t>
      </w:r>
      <w:r w:rsidRPr="001A4D4E">
        <w:rPr>
          <w:rFonts w:eastAsia="Times New Roman" w:cs="Arial"/>
          <w:color w:val="000000"/>
          <w:lang w:val="ru-RU" w:eastAsia="bg-BG"/>
        </w:rPr>
        <w:t xml:space="preserve"> </w:t>
      </w:r>
      <w:r w:rsidRPr="001A4D4E">
        <w:rPr>
          <w:rFonts w:eastAsia="Times New Roman" w:cs="Arial"/>
          <w:color w:val="000000"/>
          <w:lang w:eastAsia="bg-BG"/>
        </w:rPr>
        <w:t>повишат нивата на калия (напр. хепарин, лекарства, съдържащи триметоприм) могат да доведат до повишен серумен калий и трябва да се прилагат с повишено внимание заедно с Теветен.</w:t>
      </w:r>
    </w:p>
    <w:p w14:paraId="008B691B" w14:textId="77777777" w:rsidR="001A4D4E" w:rsidRDefault="001A4D4E" w:rsidP="001A4D4E">
      <w:pPr>
        <w:spacing w:line="240" w:lineRule="auto"/>
        <w:rPr>
          <w:rFonts w:eastAsia="Times New Roman" w:cs="Arial"/>
          <w:color w:val="000000"/>
          <w:u w:val="single"/>
          <w:lang w:eastAsia="bg-BG"/>
        </w:rPr>
      </w:pPr>
    </w:p>
    <w:p w14:paraId="3E3DE124" w14:textId="33CAA792" w:rsidR="001A4D4E" w:rsidRPr="001A4D4E" w:rsidRDefault="001A4D4E" w:rsidP="001A4D4E">
      <w:pPr>
        <w:spacing w:line="240" w:lineRule="auto"/>
        <w:rPr>
          <w:rFonts w:eastAsia="Times New Roman" w:cs="Arial"/>
        </w:rPr>
      </w:pPr>
      <w:r w:rsidRPr="001A4D4E">
        <w:rPr>
          <w:rFonts w:eastAsia="Times New Roman" w:cs="Arial"/>
          <w:color w:val="000000"/>
          <w:u w:val="single"/>
          <w:lang w:eastAsia="bg-BG"/>
        </w:rPr>
        <w:t xml:space="preserve">Двойно блокиране на ренин-ангиотензин-алдостероновата система ( </w:t>
      </w:r>
      <w:r w:rsidRPr="001A4D4E">
        <w:rPr>
          <w:rFonts w:eastAsia="Times New Roman" w:cs="Arial"/>
          <w:color w:val="000000"/>
          <w:u w:val="single"/>
          <w:lang w:val="en-US"/>
        </w:rPr>
        <w:t>RAAS</w:t>
      </w:r>
      <w:r w:rsidRPr="001A4D4E">
        <w:rPr>
          <w:rFonts w:eastAsia="Times New Roman" w:cs="Arial"/>
          <w:color w:val="000000"/>
          <w:u w:val="single"/>
          <w:lang w:val="ru-RU"/>
        </w:rPr>
        <w:t xml:space="preserve"> </w:t>
      </w:r>
      <w:r w:rsidRPr="001A4D4E">
        <w:rPr>
          <w:rFonts w:eastAsia="Times New Roman" w:cs="Arial"/>
          <w:color w:val="000000"/>
          <w:u w:val="single"/>
          <w:lang w:eastAsia="bg-BG"/>
        </w:rPr>
        <w:t>)</w:t>
      </w:r>
    </w:p>
    <w:p w14:paraId="66F2F41F" w14:textId="77777777" w:rsidR="001A4D4E" w:rsidRPr="001A4D4E" w:rsidRDefault="001A4D4E" w:rsidP="001A4D4E">
      <w:pPr>
        <w:spacing w:line="240" w:lineRule="auto"/>
        <w:rPr>
          <w:rFonts w:eastAsia="Times New Roman" w:cs="Arial"/>
        </w:rPr>
      </w:pPr>
      <w:r w:rsidRPr="001A4D4E">
        <w:rPr>
          <w:rFonts w:eastAsia="Times New Roman" w:cs="Arial"/>
          <w:color w:val="000000"/>
          <w:lang w:eastAsia="bg-BG"/>
        </w:rPr>
        <w:t xml:space="preserve">Има данни, че едновременната употреба на АСЕ-инхибитори, ангиотензин </w:t>
      </w:r>
      <w:r w:rsidRPr="001A4D4E">
        <w:rPr>
          <w:rFonts w:eastAsia="Times New Roman" w:cs="Arial"/>
          <w:color w:val="000000"/>
          <w:lang w:val="en-US"/>
        </w:rPr>
        <w:t>II</w:t>
      </w:r>
      <w:r w:rsidRPr="001A4D4E">
        <w:rPr>
          <w:rFonts w:eastAsia="Times New Roman" w:cs="Arial"/>
          <w:color w:val="000000"/>
          <w:lang w:eastAsia="bg-BG"/>
        </w:rPr>
        <w:t>-рецепторни блокери или алискирен повишава риска от хипотония, хиперкалиемия и намаляване на бъбречната функция (включително остра бъбречна недостатъчност). Поради това не се препоръчва двойно блокиране на РААС чрез комбинираната употреба на АСЕ-инхибитори, ангиотензин II- рецепторни блокери или алискирен (вж. точки 4.5 и 5.1).</w:t>
      </w:r>
    </w:p>
    <w:p w14:paraId="0B7EDB58" w14:textId="77777777" w:rsidR="001A4D4E" w:rsidRDefault="001A4D4E" w:rsidP="001A4D4E">
      <w:pPr>
        <w:spacing w:line="240" w:lineRule="auto"/>
        <w:rPr>
          <w:rFonts w:eastAsia="Times New Roman" w:cs="Arial"/>
          <w:color w:val="000000"/>
          <w:lang w:eastAsia="bg-BG"/>
        </w:rPr>
      </w:pPr>
    </w:p>
    <w:p w14:paraId="1B3170D6" w14:textId="52C28540" w:rsidR="001A4D4E" w:rsidRDefault="001A4D4E" w:rsidP="001A4D4E">
      <w:pPr>
        <w:spacing w:line="240" w:lineRule="auto"/>
        <w:rPr>
          <w:rFonts w:eastAsia="Times New Roman" w:cs="Arial"/>
          <w:color w:val="000000"/>
          <w:lang w:eastAsia="bg-BG"/>
        </w:rPr>
      </w:pPr>
      <w:r w:rsidRPr="001A4D4E">
        <w:rPr>
          <w:rFonts w:eastAsia="Times New Roman" w:cs="Arial"/>
          <w:color w:val="000000"/>
          <w:lang w:eastAsia="bg-BG"/>
        </w:rPr>
        <w:t xml:space="preserve">Ако се прецени, че терапията с двойно блокиране е абсолютно необходима, това трябва </w:t>
      </w:r>
    </w:p>
    <w:p w14:paraId="118C457F" w14:textId="7F4BD4D8" w:rsidR="001A4D4E" w:rsidRPr="001A4D4E" w:rsidRDefault="001A4D4E" w:rsidP="001A4D4E">
      <w:pPr>
        <w:spacing w:line="240" w:lineRule="auto"/>
        <w:rPr>
          <w:rFonts w:eastAsia="Times New Roman" w:cs="Arial"/>
        </w:rPr>
      </w:pPr>
      <w:r w:rsidRPr="001A4D4E">
        <w:rPr>
          <w:rFonts w:eastAsia="Times New Roman" w:cs="Arial"/>
          <w:color w:val="000000"/>
          <w:lang w:eastAsia="bg-BG"/>
        </w:rPr>
        <w:t>да става само под наблюдението на специалист и при често внимателно мониториране на бъбречната функция, електролитите и кръвното налягане.</w:t>
      </w:r>
    </w:p>
    <w:p w14:paraId="5E805116" w14:textId="77777777" w:rsidR="001A4D4E" w:rsidRDefault="001A4D4E" w:rsidP="001A4D4E">
      <w:pPr>
        <w:spacing w:line="240" w:lineRule="auto"/>
        <w:rPr>
          <w:rFonts w:eastAsia="Times New Roman" w:cs="Arial"/>
          <w:color w:val="000000"/>
          <w:lang w:eastAsia="bg-BG"/>
        </w:rPr>
      </w:pPr>
    </w:p>
    <w:p w14:paraId="4D52D2C2" w14:textId="1CB17272" w:rsidR="001A4D4E" w:rsidRPr="001A4D4E" w:rsidRDefault="001A4D4E" w:rsidP="001A4D4E">
      <w:pPr>
        <w:spacing w:line="240" w:lineRule="auto"/>
        <w:rPr>
          <w:rFonts w:eastAsia="Times New Roman" w:cs="Arial"/>
        </w:rPr>
      </w:pPr>
      <w:r w:rsidRPr="001A4D4E">
        <w:rPr>
          <w:rFonts w:eastAsia="Times New Roman" w:cs="Arial"/>
          <w:color w:val="000000"/>
          <w:lang w:eastAsia="bg-BG"/>
        </w:rPr>
        <w:t xml:space="preserve">АСЕ-инхибитори и ангиотензин </w:t>
      </w:r>
      <w:r w:rsidRPr="001A4D4E">
        <w:rPr>
          <w:rFonts w:eastAsia="Times New Roman" w:cs="Arial"/>
          <w:color w:val="000000"/>
          <w:lang w:val="en-US"/>
        </w:rPr>
        <w:t>II</w:t>
      </w:r>
      <w:r w:rsidRPr="001A4D4E">
        <w:rPr>
          <w:rFonts w:eastAsia="Times New Roman" w:cs="Arial"/>
          <w:color w:val="000000"/>
          <w:lang w:eastAsia="bg-BG"/>
        </w:rPr>
        <w:t>-рецепторни блокери не трябва да се използват едновременно при пациенти с диабетна нефропатия.</w:t>
      </w:r>
    </w:p>
    <w:p w14:paraId="330387D4" w14:textId="77777777" w:rsidR="001A4D4E" w:rsidRDefault="001A4D4E" w:rsidP="001A4D4E">
      <w:pPr>
        <w:spacing w:line="240" w:lineRule="auto"/>
        <w:rPr>
          <w:rFonts w:eastAsia="Times New Roman" w:cs="Arial"/>
          <w:color w:val="000000"/>
          <w:u w:val="single"/>
          <w:lang w:eastAsia="bg-BG"/>
        </w:rPr>
      </w:pPr>
    </w:p>
    <w:p w14:paraId="7D6C2A19" w14:textId="7BB39261" w:rsidR="001A4D4E" w:rsidRPr="001A4D4E" w:rsidRDefault="001A4D4E" w:rsidP="001A4D4E">
      <w:pPr>
        <w:spacing w:line="240" w:lineRule="auto"/>
        <w:rPr>
          <w:rFonts w:eastAsia="Times New Roman" w:cs="Arial"/>
        </w:rPr>
      </w:pPr>
      <w:r w:rsidRPr="001A4D4E">
        <w:rPr>
          <w:rFonts w:eastAsia="Times New Roman" w:cs="Arial"/>
          <w:color w:val="000000"/>
          <w:u w:val="single"/>
          <w:lang w:eastAsia="bg-BG"/>
        </w:rPr>
        <w:t>Първичен хипералдостеронизъм</w:t>
      </w:r>
    </w:p>
    <w:p w14:paraId="3998082E" w14:textId="77777777" w:rsidR="001A4D4E" w:rsidRPr="001A4D4E" w:rsidRDefault="001A4D4E" w:rsidP="001A4D4E">
      <w:pPr>
        <w:spacing w:line="240" w:lineRule="auto"/>
        <w:rPr>
          <w:rFonts w:eastAsia="Times New Roman" w:cs="Arial"/>
        </w:rPr>
      </w:pPr>
      <w:r w:rsidRPr="001A4D4E">
        <w:rPr>
          <w:rFonts w:eastAsia="Times New Roman" w:cs="Arial"/>
          <w:color w:val="000000"/>
          <w:lang w:eastAsia="bg-BG"/>
        </w:rPr>
        <w:t>Пациенти с първичен хипералдостеронизъм не се препоръчва да се лекуват с епросартан.</w:t>
      </w:r>
    </w:p>
    <w:p w14:paraId="792AA08A" w14:textId="77777777" w:rsidR="001A4D4E" w:rsidRDefault="001A4D4E" w:rsidP="001A4D4E">
      <w:pPr>
        <w:spacing w:line="240" w:lineRule="auto"/>
        <w:rPr>
          <w:rFonts w:eastAsia="Times New Roman" w:cs="Arial"/>
          <w:color w:val="000000"/>
          <w:u w:val="single"/>
          <w:lang w:eastAsia="bg-BG"/>
        </w:rPr>
      </w:pPr>
    </w:p>
    <w:p w14:paraId="187E935F" w14:textId="297E9BC5" w:rsidR="001A4D4E" w:rsidRPr="001A4D4E" w:rsidRDefault="001A4D4E" w:rsidP="001A4D4E">
      <w:pPr>
        <w:spacing w:line="240" w:lineRule="auto"/>
        <w:rPr>
          <w:rFonts w:eastAsia="Times New Roman" w:cs="Arial"/>
        </w:rPr>
      </w:pPr>
      <w:r w:rsidRPr="001A4D4E">
        <w:rPr>
          <w:rFonts w:eastAsia="Times New Roman" w:cs="Arial"/>
          <w:color w:val="000000"/>
          <w:u w:val="single"/>
          <w:lang w:eastAsia="bg-BG"/>
        </w:rPr>
        <w:t>Хипотония</w:t>
      </w:r>
    </w:p>
    <w:p w14:paraId="4AE86200" w14:textId="77777777" w:rsidR="001A4D4E" w:rsidRPr="001A4D4E" w:rsidRDefault="001A4D4E" w:rsidP="001A4D4E">
      <w:pPr>
        <w:spacing w:line="240" w:lineRule="auto"/>
        <w:rPr>
          <w:rFonts w:eastAsia="Times New Roman" w:cs="Arial"/>
        </w:rPr>
      </w:pPr>
      <w:r w:rsidRPr="001A4D4E">
        <w:rPr>
          <w:rFonts w:eastAsia="Times New Roman" w:cs="Arial"/>
          <w:color w:val="000000"/>
          <w:lang w:eastAsia="bg-BG"/>
        </w:rPr>
        <w:t>Симптоматична хипотония може да се появи при пациенти с тежък недостиг на обема на течностите и/или солите (напр. висока доза диуретик). Тези състояния трябва да бъдат коригирани преди началото на лечението.</w:t>
      </w:r>
    </w:p>
    <w:p w14:paraId="71CFBED4" w14:textId="77777777" w:rsidR="001A4D4E" w:rsidRDefault="001A4D4E" w:rsidP="001A4D4E">
      <w:pPr>
        <w:spacing w:line="240" w:lineRule="auto"/>
        <w:rPr>
          <w:rFonts w:eastAsia="Times New Roman" w:cs="Arial"/>
          <w:color w:val="000000"/>
          <w:u w:val="single"/>
          <w:lang w:eastAsia="bg-BG"/>
        </w:rPr>
      </w:pPr>
    </w:p>
    <w:p w14:paraId="50048692" w14:textId="735DD560" w:rsidR="001A4D4E" w:rsidRPr="001A4D4E" w:rsidRDefault="001A4D4E" w:rsidP="001A4D4E">
      <w:pPr>
        <w:spacing w:line="240" w:lineRule="auto"/>
        <w:rPr>
          <w:rFonts w:eastAsia="Times New Roman" w:cs="Arial"/>
        </w:rPr>
      </w:pPr>
      <w:r w:rsidRPr="001A4D4E">
        <w:rPr>
          <w:rFonts w:eastAsia="Times New Roman" w:cs="Arial"/>
          <w:color w:val="000000"/>
          <w:u w:val="single"/>
          <w:lang w:eastAsia="bg-BG"/>
        </w:rPr>
        <w:t>Исхемична болест на сърцето</w:t>
      </w:r>
    </w:p>
    <w:p w14:paraId="58AB7072" w14:textId="77777777" w:rsidR="001A4D4E" w:rsidRPr="001A4D4E" w:rsidRDefault="001A4D4E" w:rsidP="001A4D4E">
      <w:pPr>
        <w:spacing w:line="240" w:lineRule="auto"/>
        <w:rPr>
          <w:rFonts w:eastAsia="Times New Roman" w:cs="Arial"/>
        </w:rPr>
      </w:pPr>
      <w:r w:rsidRPr="001A4D4E">
        <w:rPr>
          <w:rFonts w:eastAsia="Times New Roman" w:cs="Arial"/>
          <w:color w:val="000000"/>
          <w:lang w:eastAsia="bg-BG"/>
        </w:rPr>
        <w:t>Съществува ограничен опит при пациенти с исхемична болест на сърцето.</w:t>
      </w:r>
    </w:p>
    <w:p w14:paraId="1D66302E" w14:textId="77777777" w:rsidR="001A4D4E" w:rsidRDefault="001A4D4E" w:rsidP="001A4D4E">
      <w:pPr>
        <w:spacing w:line="240" w:lineRule="auto"/>
        <w:rPr>
          <w:rFonts w:eastAsia="Times New Roman" w:cs="Arial"/>
          <w:color w:val="000000"/>
          <w:u w:val="single"/>
          <w:lang w:eastAsia="bg-BG"/>
        </w:rPr>
      </w:pPr>
    </w:p>
    <w:p w14:paraId="4405A459" w14:textId="49D8CE11" w:rsidR="001A4D4E" w:rsidRPr="001A4D4E" w:rsidRDefault="001A4D4E" w:rsidP="001A4D4E">
      <w:pPr>
        <w:spacing w:line="240" w:lineRule="auto"/>
        <w:rPr>
          <w:rFonts w:eastAsia="Times New Roman" w:cs="Arial"/>
        </w:rPr>
      </w:pPr>
      <w:r w:rsidRPr="001A4D4E">
        <w:rPr>
          <w:rFonts w:eastAsia="Times New Roman" w:cs="Arial"/>
          <w:color w:val="000000"/>
          <w:u w:val="single"/>
          <w:lang w:eastAsia="bg-BG"/>
        </w:rPr>
        <w:t>Стенози на аортната и митралната клапи/хипертрофична кардиомиопатия</w:t>
      </w:r>
    </w:p>
    <w:p w14:paraId="277EC97E" w14:textId="77777777" w:rsidR="001A4D4E" w:rsidRPr="001A4D4E" w:rsidRDefault="001A4D4E" w:rsidP="001A4D4E">
      <w:pPr>
        <w:spacing w:line="240" w:lineRule="auto"/>
        <w:rPr>
          <w:rFonts w:eastAsia="Times New Roman" w:cs="Arial"/>
        </w:rPr>
      </w:pPr>
      <w:r w:rsidRPr="001A4D4E">
        <w:rPr>
          <w:rFonts w:eastAsia="Times New Roman" w:cs="Arial"/>
          <w:color w:val="000000"/>
          <w:lang w:eastAsia="bg-BG"/>
        </w:rPr>
        <w:t>Както при всички вазодилататори, Теветен трябва да се прилага с повишено внимание при пациенти с аортна и митрална стенози или хипертрофична кардиомиопатия.</w:t>
      </w:r>
    </w:p>
    <w:p w14:paraId="30EF454A" w14:textId="77777777" w:rsidR="001A4D4E" w:rsidRDefault="001A4D4E" w:rsidP="001A4D4E">
      <w:pPr>
        <w:spacing w:line="240" w:lineRule="auto"/>
        <w:rPr>
          <w:rFonts w:eastAsia="Times New Roman" w:cs="Arial"/>
          <w:color w:val="000000"/>
          <w:u w:val="single"/>
          <w:lang w:eastAsia="bg-BG"/>
        </w:rPr>
      </w:pPr>
    </w:p>
    <w:p w14:paraId="4604B479" w14:textId="74530B8E" w:rsidR="001A4D4E" w:rsidRPr="001A4D4E" w:rsidRDefault="001A4D4E" w:rsidP="001A4D4E">
      <w:pPr>
        <w:spacing w:line="240" w:lineRule="auto"/>
        <w:rPr>
          <w:rFonts w:eastAsia="Times New Roman" w:cs="Arial"/>
        </w:rPr>
      </w:pPr>
      <w:r w:rsidRPr="001A4D4E">
        <w:rPr>
          <w:rFonts w:eastAsia="Times New Roman" w:cs="Arial"/>
          <w:color w:val="000000"/>
          <w:u w:val="single"/>
          <w:lang w:eastAsia="bg-BG"/>
        </w:rPr>
        <w:t>Бъбречна трансплантация</w:t>
      </w:r>
    </w:p>
    <w:p w14:paraId="3D8C6DA9" w14:textId="77777777" w:rsidR="001A4D4E" w:rsidRPr="001A4D4E" w:rsidRDefault="001A4D4E" w:rsidP="001A4D4E">
      <w:pPr>
        <w:spacing w:line="240" w:lineRule="auto"/>
        <w:rPr>
          <w:rFonts w:eastAsia="Times New Roman" w:cs="Arial"/>
        </w:rPr>
      </w:pPr>
      <w:r w:rsidRPr="001A4D4E">
        <w:rPr>
          <w:rFonts w:eastAsia="Times New Roman" w:cs="Arial"/>
          <w:color w:val="000000"/>
          <w:lang w:eastAsia="bg-BG"/>
        </w:rPr>
        <w:t>Няма опит с пациенти със скорошна бъбречна трансплантация.</w:t>
      </w:r>
    </w:p>
    <w:p w14:paraId="0E2EDD89" w14:textId="77777777" w:rsidR="001A4D4E" w:rsidRDefault="001A4D4E" w:rsidP="001A4D4E">
      <w:pPr>
        <w:spacing w:line="240" w:lineRule="auto"/>
        <w:rPr>
          <w:rFonts w:eastAsia="Times New Roman" w:cs="Arial"/>
          <w:color w:val="000000"/>
          <w:u w:val="single"/>
          <w:lang w:eastAsia="bg-BG"/>
        </w:rPr>
      </w:pPr>
    </w:p>
    <w:p w14:paraId="4F57AEDB" w14:textId="664207B7" w:rsidR="001A4D4E" w:rsidRPr="001A4D4E" w:rsidRDefault="001A4D4E" w:rsidP="001A4D4E">
      <w:pPr>
        <w:spacing w:line="240" w:lineRule="auto"/>
        <w:rPr>
          <w:rFonts w:eastAsia="Times New Roman" w:cs="Arial"/>
        </w:rPr>
      </w:pPr>
      <w:r w:rsidRPr="001A4D4E">
        <w:rPr>
          <w:rFonts w:eastAsia="Times New Roman" w:cs="Arial"/>
          <w:color w:val="000000"/>
          <w:u w:val="single"/>
          <w:lang w:eastAsia="bg-BG"/>
        </w:rPr>
        <w:lastRenderedPageBreak/>
        <w:t>Бременност</w:t>
      </w:r>
    </w:p>
    <w:p w14:paraId="71DBE5D1" w14:textId="77777777" w:rsidR="001A4D4E" w:rsidRPr="001A4D4E" w:rsidRDefault="001A4D4E" w:rsidP="001A4D4E">
      <w:pPr>
        <w:spacing w:line="240" w:lineRule="auto"/>
        <w:rPr>
          <w:rFonts w:eastAsia="Times New Roman" w:cs="Arial"/>
        </w:rPr>
      </w:pPr>
      <w:r w:rsidRPr="001A4D4E">
        <w:rPr>
          <w:rFonts w:eastAsia="Times New Roman" w:cs="Arial"/>
          <w:color w:val="000000"/>
          <w:lang w:eastAsia="bg-BG"/>
        </w:rPr>
        <w:t xml:space="preserve">Лечението с ангиотензин </w:t>
      </w:r>
      <w:r w:rsidRPr="001A4D4E">
        <w:rPr>
          <w:rFonts w:eastAsia="Times New Roman" w:cs="Arial"/>
          <w:color w:val="000000"/>
          <w:lang w:val="en-US"/>
        </w:rPr>
        <w:t>II</w:t>
      </w:r>
      <w:r w:rsidRPr="001A4D4E">
        <w:rPr>
          <w:rFonts w:eastAsia="Times New Roman" w:cs="Arial"/>
          <w:color w:val="000000"/>
          <w:lang w:eastAsia="bg-BG"/>
        </w:rPr>
        <w:t xml:space="preserve">-рецепторни блокери не трябва да започва по време на бременност. В случаите, когато лечението с ангиотензин </w:t>
      </w:r>
      <w:r w:rsidRPr="001A4D4E">
        <w:rPr>
          <w:rFonts w:eastAsia="Times New Roman" w:cs="Arial"/>
          <w:color w:val="000000"/>
          <w:lang w:val="en-US"/>
        </w:rPr>
        <w:t>II</w:t>
      </w:r>
      <w:r w:rsidRPr="001A4D4E">
        <w:rPr>
          <w:rFonts w:eastAsia="Times New Roman" w:cs="Arial"/>
          <w:color w:val="000000"/>
          <w:lang w:eastAsia="bg-BG"/>
        </w:rPr>
        <w:t xml:space="preserve">-рецепторни блокери е крайно наложително пациенти, планиращи бременност трябва да бъдат прехвърлени на друга алтернативна антихипертензивна терапия, която има установен профил на безопасност по време на бременност.. Когато се диагностицира бременност, лечението с ангиотензин </w:t>
      </w:r>
      <w:r w:rsidRPr="001A4D4E">
        <w:rPr>
          <w:rFonts w:eastAsia="Times New Roman" w:cs="Arial"/>
          <w:color w:val="000000"/>
          <w:lang w:val="en-US"/>
        </w:rPr>
        <w:t>II</w:t>
      </w:r>
      <w:r w:rsidRPr="001A4D4E">
        <w:rPr>
          <w:rFonts w:eastAsia="Times New Roman" w:cs="Arial"/>
          <w:color w:val="000000"/>
          <w:lang w:eastAsia="bg-BG"/>
        </w:rPr>
        <w:t>-рецепторни блокери трябва да спре незабавно и ако е подходящо да се започне алтернативна терапия (вж. точки 4.3 и 4.6).</w:t>
      </w:r>
    </w:p>
    <w:p w14:paraId="0623DC70" w14:textId="77777777" w:rsidR="001A4D4E" w:rsidRDefault="001A4D4E" w:rsidP="001A4D4E">
      <w:pPr>
        <w:spacing w:line="240" w:lineRule="auto"/>
        <w:rPr>
          <w:rFonts w:eastAsia="Times New Roman" w:cs="Arial"/>
          <w:color w:val="000000"/>
          <w:lang w:eastAsia="bg-BG"/>
        </w:rPr>
      </w:pPr>
    </w:p>
    <w:p w14:paraId="1C0C7019" w14:textId="36F59362" w:rsidR="001A4D4E" w:rsidRPr="001A4D4E" w:rsidRDefault="001A4D4E" w:rsidP="001A4D4E">
      <w:pPr>
        <w:spacing w:line="240" w:lineRule="auto"/>
        <w:rPr>
          <w:rFonts w:eastAsia="Times New Roman" w:cs="Arial"/>
        </w:rPr>
      </w:pPr>
      <w:r w:rsidRPr="001A4D4E">
        <w:rPr>
          <w:rFonts w:eastAsia="Times New Roman" w:cs="Arial"/>
          <w:color w:val="000000"/>
          <w:lang w:eastAsia="bg-BG"/>
        </w:rPr>
        <w:t>Други предупреждения и предпазни мерки</w:t>
      </w:r>
    </w:p>
    <w:p w14:paraId="24353B96" w14:textId="77777777" w:rsidR="001A4D4E" w:rsidRPr="001A4D4E" w:rsidRDefault="001A4D4E" w:rsidP="001A4D4E">
      <w:pPr>
        <w:spacing w:line="240" w:lineRule="auto"/>
        <w:rPr>
          <w:rFonts w:eastAsia="Times New Roman" w:cs="Arial"/>
        </w:rPr>
      </w:pPr>
      <w:r w:rsidRPr="001A4D4E">
        <w:rPr>
          <w:rFonts w:eastAsia="Times New Roman" w:cs="Arial"/>
          <w:color w:val="000000"/>
          <w:lang w:eastAsia="bg-BG"/>
        </w:rPr>
        <w:t>Както е наблюдавано при АСЕ-инхибиторите, Теветен и другите ангиотензин П-рецепторни блокери са по-малко ефективни в намаляването на кръвното налягане при хора афро-американски произход в сравнение с бялата раса, вероятно поради по-високата честота на състояния с нисък ренин при хипертоници от афро-американски произход.</w:t>
      </w:r>
    </w:p>
    <w:p w14:paraId="466E51CA" w14:textId="77777777" w:rsidR="001A4D4E" w:rsidRDefault="001A4D4E" w:rsidP="001A4D4E">
      <w:pPr>
        <w:spacing w:line="240" w:lineRule="auto"/>
        <w:rPr>
          <w:rFonts w:eastAsia="Times New Roman" w:cs="Arial"/>
          <w:color w:val="000000"/>
          <w:lang w:eastAsia="bg-BG"/>
        </w:rPr>
      </w:pPr>
    </w:p>
    <w:p w14:paraId="3E9EC67F" w14:textId="28CC7341" w:rsidR="001A4D4E" w:rsidRPr="001A4D4E" w:rsidRDefault="001A4D4E" w:rsidP="001A4D4E">
      <w:pPr>
        <w:spacing w:line="240" w:lineRule="auto"/>
        <w:rPr>
          <w:rFonts w:eastAsia="Times New Roman" w:cs="Arial"/>
          <w:color w:val="000000"/>
          <w:lang w:eastAsia="bg-BG"/>
        </w:rPr>
      </w:pPr>
      <w:r w:rsidRPr="001A4D4E">
        <w:rPr>
          <w:rFonts w:eastAsia="Times New Roman" w:cs="Arial"/>
          <w:color w:val="000000"/>
          <w:lang w:eastAsia="bg-BG"/>
        </w:rPr>
        <w:t>Пациенти с редки наследствени дефекти за галактозна непоносимост, пълна лактозна недостатъчност или глюкозо-галактозна малабсорбция не трябва да употребяват тов</w:t>
      </w:r>
      <w:r w:rsidRPr="001A4D4E">
        <w:rPr>
          <w:rFonts w:eastAsia="Times New Roman" w:cs="Arial"/>
          <w:color w:val="000000"/>
          <w:u w:val="single"/>
          <w:lang w:eastAsia="bg-BG"/>
        </w:rPr>
        <w:t>а лека</w:t>
      </w:r>
      <w:r w:rsidRPr="001A4D4E">
        <w:rPr>
          <w:rFonts w:eastAsia="Times New Roman" w:cs="Arial"/>
          <w:color w:val="000000"/>
          <w:lang w:eastAsia="bg-BG"/>
        </w:rPr>
        <w:t>рство.</w:t>
      </w:r>
    </w:p>
    <w:p w14:paraId="0BA4441F" w14:textId="77777777" w:rsidR="001A4D4E" w:rsidRPr="001A4D4E" w:rsidRDefault="001A4D4E" w:rsidP="001A4D4E">
      <w:pPr>
        <w:spacing w:line="240" w:lineRule="auto"/>
        <w:rPr>
          <w:rFonts w:eastAsia="Times New Roman" w:cs="Arial"/>
          <w:lang w:val="ru-RU"/>
        </w:rPr>
      </w:pPr>
    </w:p>
    <w:p w14:paraId="0E48726F" w14:textId="77777777" w:rsidR="001A4D4E" w:rsidRDefault="002C50EE" w:rsidP="005726E3">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p>
    <w:p w14:paraId="70CA90EA" w14:textId="77777777" w:rsidR="001A4D4E" w:rsidRDefault="001A4D4E" w:rsidP="001A4D4E"/>
    <w:p w14:paraId="27073879" w14:textId="77777777" w:rsidR="001A4D4E" w:rsidRPr="001A4D4E" w:rsidRDefault="001A4D4E" w:rsidP="001A4D4E">
      <w:pPr>
        <w:spacing w:line="240" w:lineRule="auto"/>
        <w:rPr>
          <w:rFonts w:eastAsia="Times New Roman" w:cs="Arial"/>
        </w:rPr>
      </w:pPr>
      <w:r w:rsidRPr="001A4D4E">
        <w:rPr>
          <w:rFonts w:eastAsia="Times New Roman" w:cs="Arial"/>
          <w:color w:val="000000"/>
          <w:lang w:eastAsia="bg-BG"/>
        </w:rPr>
        <w:t>Тъй като при плацебо-контролирани клинични проучвания е наблюдавано значимо повишаване</w:t>
      </w:r>
    </w:p>
    <w:p w14:paraId="79A5E064" w14:textId="77777777" w:rsidR="001A4D4E" w:rsidRPr="001A4D4E" w:rsidRDefault="001A4D4E" w:rsidP="001A4D4E">
      <w:pPr>
        <w:rPr>
          <w:rFonts w:eastAsia="Times New Roman" w:cs="Arial"/>
        </w:rPr>
      </w:pPr>
      <w:r w:rsidRPr="001A4D4E">
        <w:rPr>
          <w:rFonts w:eastAsia="Times New Roman" w:cs="Arial"/>
          <w:color w:val="000000"/>
          <w:lang w:eastAsia="bg-BG"/>
        </w:rPr>
        <w:t>на серумните нива на калий и на базата на опита при употреба на други лекарства, които</w:t>
      </w:r>
      <w:r w:rsidRPr="001A4D4E">
        <w:rPr>
          <w:rFonts w:eastAsia="Times New Roman" w:cs="Arial"/>
          <w:color w:val="000000"/>
          <w:lang w:val="ru-RU" w:eastAsia="bg-BG"/>
        </w:rPr>
        <w:t xml:space="preserve"> </w:t>
      </w:r>
      <w:r w:rsidRPr="001A4D4E">
        <w:rPr>
          <w:rFonts w:eastAsia="Times New Roman" w:cs="Arial"/>
          <w:color w:val="000000"/>
          <w:lang w:eastAsia="bg-BG"/>
        </w:rPr>
        <w:t>повлияват системата ренин-ангиотензин-алдостерон, едновременен прием с калий-съхраняващи диуретици, калиеви добавки, заместители на солта, съдържащи калий или други лекарства повишаващи серумния калий (напр. хепарин, лекарства, съдържащи триметоприм), може да се повиши серумния калий.</w:t>
      </w:r>
    </w:p>
    <w:p w14:paraId="53F715FA" w14:textId="77777777" w:rsidR="001A4D4E" w:rsidRDefault="001A4D4E" w:rsidP="001A4D4E">
      <w:pPr>
        <w:spacing w:line="240" w:lineRule="auto"/>
        <w:rPr>
          <w:rFonts w:eastAsia="Times New Roman" w:cs="Arial"/>
          <w:color w:val="000000"/>
          <w:lang w:eastAsia="bg-BG"/>
        </w:rPr>
      </w:pPr>
    </w:p>
    <w:p w14:paraId="6B9E655F" w14:textId="5EF40F2D" w:rsidR="001A4D4E" w:rsidRPr="001A4D4E" w:rsidRDefault="001A4D4E" w:rsidP="001A4D4E">
      <w:pPr>
        <w:spacing w:line="240" w:lineRule="auto"/>
        <w:rPr>
          <w:rFonts w:eastAsia="Times New Roman" w:cs="Arial"/>
        </w:rPr>
      </w:pPr>
      <w:r w:rsidRPr="001A4D4E">
        <w:rPr>
          <w:rFonts w:eastAsia="Times New Roman" w:cs="Arial"/>
          <w:color w:val="000000"/>
          <w:lang w:eastAsia="bg-BG"/>
        </w:rPr>
        <w:t xml:space="preserve">Данни от клинични проучвания показват, че двойното блокиране на ренин-ангиотензин- алдостероновата система (РА.А.С) чрез комбинираната употреба на АСЕ-инхибитори, ангиотензин </w:t>
      </w:r>
      <w:r w:rsidRPr="001A4D4E">
        <w:rPr>
          <w:rFonts w:eastAsia="Times New Roman" w:cs="Arial"/>
          <w:color w:val="000000"/>
          <w:lang w:val="en-US"/>
        </w:rPr>
        <w:t>II</w:t>
      </w:r>
      <w:r w:rsidRPr="001A4D4E">
        <w:rPr>
          <w:rFonts w:eastAsia="Times New Roman" w:cs="Arial"/>
          <w:color w:val="000000"/>
          <w:lang w:eastAsia="bg-BG"/>
        </w:rPr>
        <w:t>-рецепторни блокери или алискирен се свързва с по-висока честота на нежелани събития, като например хипотония, хиперкалиемия и намаляване на бъбречната функция (включително остра бъбречна недостатъчност), в сравнение с употребата само на едно лекарство, действащо върху РААС (вж. точки 4.3, 4.4 и 5.1).</w:t>
      </w:r>
    </w:p>
    <w:p w14:paraId="767A55D0" w14:textId="77777777" w:rsidR="001A4D4E" w:rsidRDefault="001A4D4E" w:rsidP="001A4D4E">
      <w:pPr>
        <w:spacing w:line="240" w:lineRule="auto"/>
        <w:rPr>
          <w:rFonts w:eastAsia="Times New Roman" w:cs="Arial"/>
          <w:color w:val="000000"/>
          <w:lang w:eastAsia="bg-BG"/>
        </w:rPr>
      </w:pPr>
    </w:p>
    <w:p w14:paraId="36A3CFE5" w14:textId="4912EF7C" w:rsidR="001A4D4E" w:rsidRPr="001A4D4E" w:rsidRDefault="001A4D4E" w:rsidP="001A4D4E">
      <w:pPr>
        <w:spacing w:line="240" w:lineRule="auto"/>
        <w:rPr>
          <w:rFonts w:eastAsia="Times New Roman" w:cs="Arial"/>
        </w:rPr>
      </w:pPr>
      <w:r w:rsidRPr="001A4D4E">
        <w:rPr>
          <w:rFonts w:eastAsia="Times New Roman" w:cs="Arial"/>
          <w:color w:val="000000"/>
          <w:lang w:eastAsia="bg-BG"/>
        </w:rPr>
        <w:t>Антихипертензивният ефект може да бъде потенциран от други антихипертензивни лекарства.</w:t>
      </w:r>
    </w:p>
    <w:p w14:paraId="4AFDE605" w14:textId="77777777" w:rsidR="001A4D4E" w:rsidRDefault="001A4D4E" w:rsidP="001A4D4E">
      <w:pPr>
        <w:spacing w:line="240" w:lineRule="auto"/>
        <w:rPr>
          <w:rFonts w:eastAsia="Times New Roman" w:cs="Arial"/>
          <w:color w:val="000000"/>
          <w:lang w:eastAsia="bg-BG"/>
        </w:rPr>
      </w:pPr>
    </w:p>
    <w:p w14:paraId="456B4AB3" w14:textId="4E3B10BC" w:rsidR="001A4D4E" w:rsidRPr="001A4D4E" w:rsidRDefault="001A4D4E" w:rsidP="001A4D4E">
      <w:pPr>
        <w:spacing w:line="240" w:lineRule="auto"/>
        <w:rPr>
          <w:rFonts w:eastAsia="Times New Roman" w:cs="Arial"/>
        </w:rPr>
      </w:pPr>
      <w:r w:rsidRPr="001A4D4E">
        <w:rPr>
          <w:rFonts w:eastAsia="Times New Roman" w:cs="Arial"/>
          <w:color w:val="000000"/>
          <w:lang w:eastAsia="bg-BG"/>
        </w:rPr>
        <w:t>Докладвани са токсичност и обратимо увеличаване на серумната концентрация на литий при едновременна терапия с литиеви препарати и АСЕ-инхибитори. Подобен ефект при употребата на Теветен, не може да бъде изключен и затова се препоръчва внимателно наблюдение на нивото на серумния литий по време на едновременната им употреба.</w:t>
      </w:r>
    </w:p>
    <w:p w14:paraId="63A6362C" w14:textId="77777777" w:rsidR="001A4D4E" w:rsidRDefault="001A4D4E" w:rsidP="001A4D4E">
      <w:pPr>
        <w:spacing w:line="240" w:lineRule="auto"/>
        <w:rPr>
          <w:rFonts w:eastAsia="Times New Roman" w:cs="Arial"/>
          <w:i/>
          <w:iCs/>
          <w:color w:val="000000"/>
          <w:lang w:val="en-US"/>
        </w:rPr>
      </w:pPr>
    </w:p>
    <w:p w14:paraId="401D8BF2" w14:textId="096E32F9" w:rsidR="001A4D4E" w:rsidRPr="001A4D4E" w:rsidRDefault="001A4D4E" w:rsidP="001A4D4E">
      <w:pPr>
        <w:spacing w:line="240" w:lineRule="auto"/>
        <w:rPr>
          <w:rFonts w:eastAsia="Times New Roman" w:cs="Arial"/>
        </w:rPr>
      </w:pPr>
      <w:r w:rsidRPr="001A4D4E">
        <w:rPr>
          <w:rFonts w:eastAsia="Times New Roman" w:cs="Arial"/>
          <w:i/>
          <w:iCs/>
          <w:color w:val="000000"/>
          <w:lang w:val="en-US"/>
        </w:rPr>
        <w:t>In</w:t>
      </w:r>
      <w:r w:rsidRPr="001A4D4E">
        <w:rPr>
          <w:rFonts w:eastAsia="Times New Roman" w:cs="Arial"/>
          <w:i/>
          <w:iCs/>
          <w:color w:val="000000"/>
          <w:lang w:val="ru-RU"/>
        </w:rPr>
        <w:t xml:space="preserve"> </w:t>
      </w:r>
      <w:r w:rsidRPr="001A4D4E">
        <w:rPr>
          <w:rFonts w:eastAsia="Times New Roman" w:cs="Arial"/>
          <w:i/>
          <w:iCs/>
          <w:color w:val="000000"/>
          <w:lang w:val="en-US"/>
        </w:rPr>
        <w:t>vitro</w:t>
      </w:r>
      <w:r w:rsidRPr="001A4D4E">
        <w:rPr>
          <w:rFonts w:eastAsia="Times New Roman" w:cs="Arial"/>
          <w:color w:val="000000"/>
          <w:lang w:val="ru-RU"/>
        </w:rPr>
        <w:t xml:space="preserve"> </w:t>
      </w:r>
      <w:r w:rsidRPr="001A4D4E">
        <w:rPr>
          <w:rFonts w:eastAsia="Times New Roman" w:cs="Arial"/>
          <w:color w:val="000000"/>
          <w:lang w:eastAsia="bg-BG"/>
        </w:rPr>
        <w:t xml:space="preserve">Теветен не инхибира цитохром Р450 ензимите </w:t>
      </w:r>
      <w:r w:rsidRPr="001A4D4E">
        <w:rPr>
          <w:rFonts w:eastAsia="Times New Roman" w:cs="Arial"/>
          <w:color w:val="000000"/>
          <w:lang w:val="en-US"/>
        </w:rPr>
        <w:t>CYP</w:t>
      </w:r>
      <w:r w:rsidRPr="001A4D4E">
        <w:rPr>
          <w:rFonts w:eastAsia="Times New Roman" w:cs="Arial"/>
          <w:color w:val="000000"/>
          <w:lang w:val="ru-RU"/>
        </w:rPr>
        <w:t xml:space="preserve">1 </w:t>
      </w:r>
      <w:r w:rsidRPr="001A4D4E">
        <w:rPr>
          <w:rFonts w:eastAsia="Times New Roman" w:cs="Arial"/>
          <w:color w:val="000000"/>
          <w:lang w:val="en-US"/>
        </w:rPr>
        <w:t>A</w:t>
      </w:r>
      <w:r w:rsidRPr="001A4D4E">
        <w:rPr>
          <w:rFonts w:eastAsia="Times New Roman" w:cs="Arial"/>
          <w:color w:val="000000"/>
          <w:lang w:val="ru-RU"/>
        </w:rPr>
        <w:t xml:space="preserve">, </w:t>
      </w:r>
      <w:r w:rsidRPr="001A4D4E">
        <w:rPr>
          <w:rFonts w:eastAsia="Times New Roman" w:cs="Arial"/>
          <w:color w:val="000000"/>
          <w:lang w:eastAsia="bg-BG"/>
        </w:rPr>
        <w:t xml:space="preserve">2А6, 2С9/8, 2С19, </w:t>
      </w:r>
      <w:r w:rsidRPr="001A4D4E">
        <w:rPr>
          <w:rFonts w:eastAsia="Times New Roman" w:cs="Arial"/>
          <w:color w:val="000000"/>
          <w:lang w:val="ru-RU"/>
        </w:rPr>
        <w:t>2</w:t>
      </w:r>
      <w:r w:rsidRPr="001A4D4E">
        <w:rPr>
          <w:rFonts w:eastAsia="Times New Roman" w:cs="Arial"/>
          <w:color w:val="000000"/>
          <w:lang w:val="en-US"/>
        </w:rPr>
        <w:t>D</w:t>
      </w:r>
      <w:r w:rsidRPr="001A4D4E">
        <w:rPr>
          <w:rFonts w:eastAsia="Times New Roman" w:cs="Arial"/>
          <w:color w:val="000000"/>
          <w:lang w:val="ru-RU"/>
        </w:rPr>
        <w:t xml:space="preserve">6, </w:t>
      </w:r>
      <w:r w:rsidRPr="001A4D4E">
        <w:rPr>
          <w:rFonts w:eastAsia="Times New Roman" w:cs="Arial"/>
          <w:color w:val="000000"/>
          <w:lang w:eastAsia="bg-BG"/>
        </w:rPr>
        <w:t>2Е и ЗА.</w:t>
      </w:r>
    </w:p>
    <w:p w14:paraId="15CA9081" w14:textId="77777777" w:rsidR="001A4D4E" w:rsidRDefault="001A4D4E" w:rsidP="001A4D4E">
      <w:pPr>
        <w:spacing w:line="240" w:lineRule="auto"/>
        <w:rPr>
          <w:rFonts w:eastAsia="Times New Roman" w:cs="Arial"/>
          <w:color w:val="000000"/>
          <w:lang w:eastAsia="bg-BG"/>
        </w:rPr>
      </w:pPr>
    </w:p>
    <w:p w14:paraId="488E915D" w14:textId="7A792D44" w:rsidR="001A4D4E" w:rsidRPr="001A4D4E" w:rsidRDefault="001A4D4E" w:rsidP="001A4D4E">
      <w:pPr>
        <w:spacing w:line="240" w:lineRule="auto"/>
        <w:rPr>
          <w:rFonts w:eastAsia="Times New Roman" w:cs="Arial"/>
        </w:rPr>
      </w:pPr>
      <w:r w:rsidRPr="001A4D4E">
        <w:rPr>
          <w:rFonts w:eastAsia="Times New Roman" w:cs="Arial"/>
          <w:color w:val="000000"/>
          <w:lang w:eastAsia="bg-BG"/>
        </w:rPr>
        <w:lastRenderedPageBreak/>
        <w:t xml:space="preserve">Както при АСЕ-инхибиторите, едновременно приемане на ангиотензин </w:t>
      </w:r>
      <w:r w:rsidRPr="001A4D4E">
        <w:rPr>
          <w:rFonts w:eastAsia="Times New Roman" w:cs="Arial"/>
          <w:color w:val="000000"/>
          <w:lang w:val="en-US"/>
        </w:rPr>
        <w:t>II</w:t>
      </w:r>
      <w:r w:rsidRPr="001A4D4E">
        <w:rPr>
          <w:rFonts w:eastAsia="Times New Roman" w:cs="Arial"/>
          <w:color w:val="000000"/>
          <w:lang w:eastAsia="bg-BG"/>
        </w:rPr>
        <w:t>-рецепторни блокери и НСПВС може да доведе до повишен риск от влошаване на бъбречната функция, вкл. възможна остра бъбречна недостатъчност и повишаване на серумния калий, особено при пациенти с влошена бъбречна функция. Комбинацията трябва да се прилага с повишено внимание, особено при пациенти в старческа възраст. Пациентите трябва да бъдат хидратирани адекватно и да се обсъди наблюдение на бъбречната функция след началото на терапията и периодично след това.</w:t>
      </w:r>
    </w:p>
    <w:p w14:paraId="206B7D72" w14:textId="77777777" w:rsidR="001A4D4E" w:rsidRPr="001A4D4E" w:rsidRDefault="001A4D4E" w:rsidP="001A4D4E">
      <w:pPr>
        <w:spacing w:line="240" w:lineRule="auto"/>
        <w:rPr>
          <w:rFonts w:eastAsia="Times New Roman" w:cs="Arial"/>
        </w:rPr>
      </w:pPr>
      <w:r w:rsidRPr="001A4D4E">
        <w:rPr>
          <w:rFonts w:eastAsia="Times New Roman" w:cs="Arial"/>
          <w:color w:val="000000"/>
          <w:lang w:eastAsia="bg-BG"/>
        </w:rPr>
        <w:t xml:space="preserve">Едновременно лечение с лозартан и НСПВС индометацин е довело до намаляване на ефикасността на ангиотензин </w:t>
      </w:r>
      <w:r w:rsidRPr="001A4D4E">
        <w:rPr>
          <w:rFonts w:eastAsia="Times New Roman" w:cs="Arial"/>
          <w:color w:val="000000"/>
          <w:lang w:val="en-US"/>
        </w:rPr>
        <w:t>II</w:t>
      </w:r>
      <w:r w:rsidRPr="001A4D4E">
        <w:rPr>
          <w:rFonts w:eastAsia="Times New Roman" w:cs="Arial"/>
          <w:color w:val="000000"/>
          <w:lang w:eastAsia="bg-BG"/>
        </w:rPr>
        <w:t>-рецепторни блокери; не може да се изключи клас-ефект.</w:t>
      </w:r>
    </w:p>
    <w:p w14:paraId="62F27C9B" w14:textId="4F8F0C55" w:rsidR="00DB32D3" w:rsidRPr="00DB32D3" w:rsidRDefault="002C50EE" w:rsidP="001A4D4E">
      <w:r>
        <w:t xml:space="preserve"> </w:t>
      </w:r>
    </w:p>
    <w:p w14:paraId="006BE4EC" w14:textId="17164FA6" w:rsidR="00DB32D3" w:rsidRDefault="002C50EE" w:rsidP="005726E3">
      <w:pPr>
        <w:pStyle w:val="Heading2"/>
      </w:pPr>
      <w:r>
        <w:t>4.6. Фертилитет, бременност и кърмене</w:t>
      </w:r>
    </w:p>
    <w:p w14:paraId="4DFA6247" w14:textId="199928DE" w:rsidR="001A4D4E" w:rsidRDefault="001A4D4E" w:rsidP="001A4D4E"/>
    <w:p w14:paraId="096F9FFD" w14:textId="77777777" w:rsidR="001A4D4E" w:rsidRPr="001A4D4E" w:rsidRDefault="001A4D4E" w:rsidP="001A4D4E">
      <w:pPr>
        <w:pStyle w:val="Heading3"/>
        <w:rPr>
          <w:rFonts w:eastAsia="Times New Roman"/>
          <w:u w:val="single"/>
        </w:rPr>
      </w:pPr>
      <w:r w:rsidRPr="001A4D4E">
        <w:rPr>
          <w:rFonts w:eastAsia="Times New Roman"/>
          <w:u w:val="single"/>
          <w:lang w:eastAsia="bg-BG"/>
        </w:rPr>
        <w:t>Бременност</w:t>
      </w:r>
    </w:p>
    <w:p w14:paraId="1A5970CC" w14:textId="77777777" w:rsidR="001A4D4E" w:rsidRPr="001A4D4E" w:rsidRDefault="001A4D4E" w:rsidP="001A4D4E">
      <w:pPr>
        <w:spacing w:line="240" w:lineRule="auto"/>
        <w:rPr>
          <w:rFonts w:eastAsia="Times New Roman" w:cs="Arial"/>
        </w:rPr>
      </w:pPr>
      <w:r w:rsidRPr="001A4D4E">
        <w:rPr>
          <w:rFonts w:eastAsia="Times New Roman" w:cs="Arial"/>
          <w:color w:val="000000"/>
          <w:lang w:eastAsia="bg-BG"/>
        </w:rPr>
        <w:t xml:space="preserve">Употребата на ангиотензин </w:t>
      </w:r>
      <w:r w:rsidRPr="001A4D4E">
        <w:rPr>
          <w:rFonts w:eastAsia="Times New Roman" w:cs="Arial"/>
          <w:color w:val="000000"/>
          <w:lang w:val="en-US"/>
        </w:rPr>
        <w:t>II</w:t>
      </w:r>
      <w:r w:rsidRPr="001A4D4E">
        <w:rPr>
          <w:rFonts w:eastAsia="Times New Roman" w:cs="Arial"/>
          <w:color w:val="000000"/>
          <w:lang w:eastAsia="bg-BG"/>
        </w:rPr>
        <w:t xml:space="preserve">-рецепторни блокери не се препоръчва по време на първия триместър на бремеността (вж. точка 4.4.). Употребата на ангиотензин </w:t>
      </w:r>
      <w:r w:rsidRPr="001A4D4E">
        <w:rPr>
          <w:rFonts w:eastAsia="Times New Roman" w:cs="Arial"/>
          <w:color w:val="000000"/>
          <w:lang w:val="en-US"/>
        </w:rPr>
        <w:t>II</w:t>
      </w:r>
      <w:r w:rsidRPr="001A4D4E">
        <w:rPr>
          <w:rFonts w:eastAsia="Times New Roman" w:cs="Arial"/>
          <w:color w:val="000000"/>
          <w:lang w:eastAsia="bg-BG"/>
        </w:rPr>
        <w:t>-рецепторни блокери по време на втория и третия триместър е противопоказана (вж. точки 4.3. и 4.4.).</w:t>
      </w:r>
    </w:p>
    <w:p w14:paraId="40778069" w14:textId="77777777" w:rsidR="001A4D4E" w:rsidRDefault="001A4D4E" w:rsidP="001A4D4E">
      <w:pPr>
        <w:spacing w:line="240" w:lineRule="auto"/>
        <w:rPr>
          <w:rFonts w:eastAsia="Times New Roman" w:cs="Arial"/>
          <w:color w:val="000000"/>
          <w:lang w:eastAsia="bg-BG"/>
        </w:rPr>
      </w:pPr>
    </w:p>
    <w:p w14:paraId="74490B50" w14:textId="5AEC90AF" w:rsidR="001A4D4E" w:rsidRPr="001A4D4E" w:rsidRDefault="001A4D4E" w:rsidP="001A4D4E">
      <w:pPr>
        <w:spacing w:line="240" w:lineRule="auto"/>
        <w:rPr>
          <w:rFonts w:eastAsia="Times New Roman" w:cs="Arial"/>
        </w:rPr>
      </w:pPr>
      <w:r w:rsidRPr="001A4D4E">
        <w:rPr>
          <w:rFonts w:eastAsia="Times New Roman" w:cs="Arial"/>
          <w:color w:val="000000"/>
          <w:lang w:eastAsia="bg-BG"/>
        </w:rPr>
        <w:t xml:space="preserve">Епидемиологичните доказателства по отношение на риска от тератогенност след експозиция с АСЕ-инхибитори по време на първия триместър от бременността не са заключителни, въпреки че малко повишаване на риска не може да се изключи, Докато няма контролирани епидемиологични данни по отношение на риска с ангиотензин </w:t>
      </w:r>
      <w:r w:rsidRPr="001A4D4E">
        <w:rPr>
          <w:rFonts w:eastAsia="Times New Roman" w:cs="Arial"/>
          <w:color w:val="000000"/>
          <w:lang w:val="en-US"/>
        </w:rPr>
        <w:t>II</w:t>
      </w:r>
      <w:r w:rsidRPr="001A4D4E">
        <w:rPr>
          <w:rFonts w:eastAsia="Times New Roman" w:cs="Arial"/>
          <w:color w:val="000000"/>
          <w:lang w:eastAsia="bg-BG"/>
        </w:rPr>
        <w:t xml:space="preserve">-рецепторните блокери, подобен риск за този клас лекарства може да съществува. В случаите, когато лечението е ангиотензин </w:t>
      </w:r>
      <w:r w:rsidRPr="001A4D4E">
        <w:rPr>
          <w:rFonts w:eastAsia="Times New Roman" w:cs="Arial"/>
          <w:color w:val="000000"/>
          <w:lang w:val="en-US"/>
        </w:rPr>
        <w:t>II</w:t>
      </w:r>
      <w:r w:rsidRPr="001A4D4E">
        <w:rPr>
          <w:rFonts w:eastAsia="Times New Roman" w:cs="Arial"/>
          <w:color w:val="000000"/>
          <w:lang w:eastAsia="bg-BG"/>
        </w:rPr>
        <w:t xml:space="preserve">-рецепторни блокери е крайно наложително пациенти, планиращи бременност трябва да бъдат прехвърлени на друга алтернативна антихипертензивна терапия, която има установен профил на безопасност по време на бременност. Когато се диагностицира бременност, лечението с ангиотензин </w:t>
      </w:r>
      <w:r w:rsidRPr="001A4D4E">
        <w:rPr>
          <w:rFonts w:eastAsia="Times New Roman" w:cs="Arial"/>
          <w:color w:val="000000"/>
          <w:lang w:val="en-US"/>
        </w:rPr>
        <w:t>II</w:t>
      </w:r>
      <w:r w:rsidRPr="001A4D4E">
        <w:rPr>
          <w:rFonts w:eastAsia="Times New Roman" w:cs="Arial"/>
          <w:color w:val="000000"/>
          <w:lang w:eastAsia="bg-BG"/>
        </w:rPr>
        <w:t>-рецепторни блокери трябва де спре незабавно и да се започне алтернативна терапия (вж. точки 4.3 и 4.6).</w:t>
      </w:r>
    </w:p>
    <w:p w14:paraId="0A7EF0CA" w14:textId="77777777" w:rsidR="001A4D4E" w:rsidRDefault="001A4D4E" w:rsidP="001A4D4E">
      <w:pPr>
        <w:rPr>
          <w:rFonts w:eastAsia="Times New Roman" w:cs="Arial"/>
          <w:color w:val="000000"/>
          <w:lang w:eastAsia="bg-BG"/>
        </w:rPr>
      </w:pPr>
    </w:p>
    <w:p w14:paraId="23C195C8" w14:textId="42E83B24" w:rsidR="001A4D4E" w:rsidRDefault="001A4D4E" w:rsidP="001A4D4E">
      <w:pPr>
        <w:rPr>
          <w:rFonts w:eastAsia="Times New Roman" w:cs="Arial"/>
          <w:color w:val="000000"/>
          <w:lang w:eastAsia="bg-BG"/>
        </w:rPr>
      </w:pPr>
      <w:r w:rsidRPr="001A4D4E">
        <w:rPr>
          <w:rFonts w:eastAsia="Times New Roman" w:cs="Arial"/>
          <w:color w:val="000000"/>
          <w:lang w:eastAsia="bg-BG"/>
        </w:rPr>
        <w:t xml:space="preserve">Експозиция на ангиотензин </w:t>
      </w:r>
      <w:r w:rsidRPr="001A4D4E">
        <w:rPr>
          <w:rFonts w:eastAsia="Times New Roman" w:cs="Arial"/>
          <w:color w:val="000000"/>
          <w:lang w:val="en-US"/>
        </w:rPr>
        <w:t>II</w:t>
      </w:r>
      <w:r w:rsidRPr="001A4D4E">
        <w:rPr>
          <w:rFonts w:eastAsia="Times New Roman" w:cs="Arial"/>
          <w:color w:val="000000"/>
          <w:lang w:eastAsia="bg-BG"/>
        </w:rPr>
        <w:t xml:space="preserve">-рецепторни блокери по време на втория и третия триместър на бременността индуцира фетотоксичност при хора (понижена бъбречна функция, олигохидрамнион, забавяне в осификацията на черепа) и неонатална токсичност (бъбречна недостатъчност, хипотония, хиперкалиемия). Ако експозицията на ангиотензин </w:t>
      </w:r>
      <w:r w:rsidRPr="001A4D4E">
        <w:rPr>
          <w:rFonts w:eastAsia="Times New Roman" w:cs="Arial"/>
          <w:color w:val="000000"/>
          <w:lang w:val="en-US"/>
        </w:rPr>
        <w:t>II</w:t>
      </w:r>
      <w:r w:rsidRPr="001A4D4E">
        <w:rPr>
          <w:rFonts w:eastAsia="Times New Roman" w:cs="Arial"/>
          <w:color w:val="000000"/>
          <w:lang w:val="ru-RU"/>
        </w:rPr>
        <w:t>-</w:t>
      </w:r>
      <w:r w:rsidRPr="001A4D4E">
        <w:rPr>
          <w:rFonts w:eastAsia="Times New Roman" w:cs="Arial"/>
          <w:color w:val="000000"/>
          <w:lang w:eastAsia="bg-BG"/>
        </w:rPr>
        <w:t>рецепторни блокери е от втория триместър, ултразвуково изследване на бъбречната функция и черва се препоръчва.</w:t>
      </w:r>
    </w:p>
    <w:p w14:paraId="6231B209" w14:textId="2787FAEF" w:rsidR="001A4D4E" w:rsidRDefault="001A4D4E" w:rsidP="001A4D4E">
      <w:pPr>
        <w:rPr>
          <w:rFonts w:eastAsia="Times New Roman" w:cs="Arial"/>
          <w:color w:val="000000"/>
          <w:lang w:eastAsia="bg-BG"/>
        </w:rPr>
      </w:pPr>
    </w:p>
    <w:p w14:paraId="613562F9" w14:textId="77777777" w:rsidR="001A4D4E" w:rsidRPr="001A4D4E" w:rsidRDefault="001A4D4E" w:rsidP="001A4D4E">
      <w:pPr>
        <w:spacing w:line="240" w:lineRule="auto"/>
        <w:rPr>
          <w:rFonts w:eastAsia="Times New Roman" w:cs="Arial"/>
        </w:rPr>
      </w:pPr>
      <w:r w:rsidRPr="001A4D4E">
        <w:rPr>
          <w:rFonts w:eastAsia="Times New Roman" w:cs="Arial"/>
          <w:color w:val="000000"/>
          <w:lang w:eastAsia="bg-BG"/>
        </w:rPr>
        <w:t xml:space="preserve">Кърмачета, чийто майки са приемали ангиотензин </w:t>
      </w:r>
      <w:r w:rsidRPr="001A4D4E">
        <w:rPr>
          <w:rFonts w:eastAsia="Times New Roman" w:cs="Arial"/>
          <w:color w:val="000000"/>
          <w:lang w:val="en-US"/>
        </w:rPr>
        <w:t>II</w:t>
      </w:r>
      <w:r w:rsidRPr="001A4D4E">
        <w:rPr>
          <w:rFonts w:eastAsia="Times New Roman" w:cs="Arial"/>
          <w:color w:val="000000"/>
          <w:lang w:eastAsia="bg-BG"/>
        </w:rPr>
        <w:t>-рецепторни блокери трябва да бъдат наблюдават внимателно за хипотония (вж. точки 4.3 и 4.4).</w:t>
      </w:r>
    </w:p>
    <w:p w14:paraId="78217E22" w14:textId="77777777" w:rsidR="001A4D4E" w:rsidRPr="001A4D4E" w:rsidRDefault="001A4D4E" w:rsidP="001A4D4E">
      <w:pPr>
        <w:spacing w:line="240" w:lineRule="auto"/>
        <w:rPr>
          <w:rFonts w:eastAsia="Times New Roman" w:cs="Arial"/>
          <w:color w:val="000000"/>
          <w:u w:val="single"/>
          <w:lang w:eastAsia="bg-BG"/>
        </w:rPr>
      </w:pPr>
    </w:p>
    <w:p w14:paraId="5822E0C5" w14:textId="5545F6FF" w:rsidR="001A4D4E" w:rsidRPr="001A4D4E" w:rsidRDefault="001A4D4E" w:rsidP="001A4D4E">
      <w:pPr>
        <w:pStyle w:val="Heading3"/>
        <w:rPr>
          <w:rFonts w:eastAsia="Times New Roman"/>
          <w:u w:val="single"/>
        </w:rPr>
      </w:pPr>
      <w:r w:rsidRPr="001A4D4E">
        <w:rPr>
          <w:rFonts w:eastAsia="Times New Roman"/>
          <w:u w:val="single"/>
          <w:lang w:eastAsia="bg-BG"/>
        </w:rPr>
        <w:t>Кърмене</w:t>
      </w:r>
    </w:p>
    <w:p w14:paraId="4D15B823" w14:textId="77777777" w:rsidR="001A4D4E" w:rsidRPr="001A4D4E" w:rsidRDefault="001A4D4E" w:rsidP="001A4D4E">
      <w:pPr>
        <w:spacing w:line="240" w:lineRule="auto"/>
        <w:rPr>
          <w:rFonts w:eastAsia="Times New Roman" w:cs="Arial"/>
        </w:rPr>
      </w:pPr>
      <w:r w:rsidRPr="001A4D4E">
        <w:rPr>
          <w:rFonts w:eastAsia="Times New Roman" w:cs="Arial"/>
          <w:color w:val="000000"/>
          <w:lang w:eastAsia="bg-BG"/>
        </w:rPr>
        <w:t>Няма достатъчно данни от приложение на Теветен по време на кърмене, Теветен не се препоръчва и е за предпочитане алтернативно лечение с по-добре установен профил на безопасност, особено при кърмене на новородено или преждевременно родено дете.</w:t>
      </w:r>
    </w:p>
    <w:p w14:paraId="26B25960" w14:textId="77777777" w:rsidR="001A4D4E" w:rsidRPr="001A4D4E" w:rsidRDefault="001A4D4E" w:rsidP="001A4D4E">
      <w:pPr>
        <w:rPr>
          <w:rFonts w:cs="Arial"/>
        </w:rPr>
      </w:pPr>
    </w:p>
    <w:p w14:paraId="128BA3A8" w14:textId="45020E3B" w:rsidR="00DB32D3" w:rsidRDefault="002C50EE" w:rsidP="005726E3">
      <w:pPr>
        <w:pStyle w:val="Heading2"/>
      </w:pPr>
      <w:r>
        <w:t>4.7. Ефекти върху способността за шофиране и работа с машини</w:t>
      </w:r>
    </w:p>
    <w:p w14:paraId="7AE8D44F" w14:textId="5125C399" w:rsidR="001A4D4E" w:rsidRDefault="001A4D4E" w:rsidP="001A4D4E"/>
    <w:p w14:paraId="5EEB3434" w14:textId="77777777" w:rsidR="001A4D4E" w:rsidRPr="001A4D4E" w:rsidRDefault="001A4D4E" w:rsidP="001A4D4E">
      <w:pPr>
        <w:spacing w:line="240" w:lineRule="auto"/>
        <w:rPr>
          <w:rFonts w:eastAsia="Times New Roman" w:cs="Arial"/>
        </w:rPr>
      </w:pPr>
      <w:r w:rsidRPr="001A4D4E">
        <w:rPr>
          <w:rFonts w:eastAsia="Times New Roman" w:cs="Arial"/>
          <w:color w:val="000000"/>
          <w:lang w:eastAsia="bg-BG"/>
        </w:rPr>
        <w:t xml:space="preserve">Ефектът на Теветен върху шофирането и работата с машини не е изследван, но на базата на фармакодинамичните свойства, малко вероятно е Теветен да оказва влияние </w:t>
      </w:r>
      <w:r w:rsidRPr="001A4D4E">
        <w:rPr>
          <w:rFonts w:eastAsia="Times New Roman" w:cs="Arial"/>
          <w:color w:val="000000"/>
          <w:lang w:eastAsia="bg-BG"/>
        </w:rPr>
        <w:lastRenderedPageBreak/>
        <w:t>върху способността за шофиране и работа с машини. При управление на превозно средство или при работа с машини трябва да се има предвид, че по време на антихипертензивно лечение понякога е възможно да се появи виене на свят или умора.</w:t>
      </w:r>
    </w:p>
    <w:p w14:paraId="30CDA9D0" w14:textId="77777777" w:rsidR="001A4D4E" w:rsidRPr="001A4D4E" w:rsidRDefault="001A4D4E" w:rsidP="001A4D4E"/>
    <w:p w14:paraId="44CE30A3" w14:textId="77FE5872" w:rsidR="007122AD" w:rsidRDefault="002C50EE" w:rsidP="00936AD0">
      <w:pPr>
        <w:pStyle w:val="Heading2"/>
      </w:pPr>
      <w:r>
        <w:t>4.8. Нежелани лекарствени реакции</w:t>
      </w:r>
    </w:p>
    <w:p w14:paraId="73940A77" w14:textId="11627D94" w:rsidR="001A4D4E" w:rsidRDefault="001A4D4E" w:rsidP="001A4D4E"/>
    <w:p w14:paraId="590AA2DF" w14:textId="77777777" w:rsidR="001A4D4E" w:rsidRPr="001A4D4E" w:rsidRDefault="001A4D4E" w:rsidP="001A4D4E">
      <w:pPr>
        <w:spacing w:line="240" w:lineRule="auto"/>
        <w:rPr>
          <w:rFonts w:eastAsia="Times New Roman" w:cs="Arial"/>
        </w:rPr>
      </w:pPr>
      <w:r w:rsidRPr="001A4D4E">
        <w:rPr>
          <w:rFonts w:eastAsia="Times New Roman" w:cs="Arial"/>
          <w:color w:val="000000"/>
          <w:lang w:eastAsia="bg-BG"/>
        </w:rPr>
        <w:t>Най-често съобщаваните нежелани реакции при пациенти, лекувани с Теветен са главоболие и неспецифични стомашно-чревни оплаквания, появяващи се в около 11% и 8% от пациентите, съответно.</w:t>
      </w:r>
    </w:p>
    <w:p w14:paraId="6E39C5EC" w14:textId="77777777" w:rsidR="001A4D4E" w:rsidRPr="001A4D4E" w:rsidRDefault="001A4D4E" w:rsidP="001A4D4E">
      <w:pPr>
        <w:spacing w:line="240" w:lineRule="auto"/>
        <w:rPr>
          <w:rFonts w:eastAsia="Times New Roman" w:cs="Arial"/>
          <w:color w:val="000000"/>
          <w:lang w:eastAsia="bg-BG"/>
        </w:rPr>
      </w:pPr>
    </w:p>
    <w:p w14:paraId="0817363B" w14:textId="0262E2DF" w:rsidR="001A4D4E" w:rsidRDefault="001A4D4E" w:rsidP="001A4D4E">
      <w:pPr>
        <w:spacing w:line="240" w:lineRule="auto"/>
        <w:jc w:val="center"/>
        <w:rPr>
          <w:rFonts w:eastAsia="Times New Roman" w:cs="Arial"/>
          <w:color w:val="000000"/>
          <w:lang w:eastAsia="bg-BG"/>
        </w:rPr>
      </w:pPr>
      <w:r w:rsidRPr="001A4D4E">
        <w:rPr>
          <w:rFonts w:eastAsia="Times New Roman" w:cs="Arial"/>
          <w:color w:val="000000"/>
          <w:lang w:eastAsia="bg-BG"/>
        </w:rPr>
        <w:t>НЕЖЕЛАНИ РЕАКЦИИ, НАБЛЮДАВАНИ ПРИ ПАЦИЕНТИ, ЛЕКУВАНИ С ТЕВЕТЕН В КЛИНИЧНИ ИЗПИТВАНИЯ (</w:t>
      </w:r>
      <w:r w:rsidRPr="001A4D4E">
        <w:rPr>
          <w:rFonts w:eastAsia="Times New Roman" w:cs="Arial"/>
          <w:color w:val="000000"/>
          <w:lang w:val="en-US"/>
        </w:rPr>
        <w:t>n</w:t>
      </w:r>
      <w:r w:rsidRPr="001A4D4E">
        <w:rPr>
          <w:rFonts w:eastAsia="Times New Roman" w:cs="Arial"/>
          <w:color w:val="000000"/>
          <w:lang w:eastAsia="bg-BG"/>
        </w:rPr>
        <w:t xml:space="preserve"> = 2316)</w:t>
      </w:r>
    </w:p>
    <w:tbl>
      <w:tblPr>
        <w:tblStyle w:val="TableGrid"/>
        <w:tblW w:w="0" w:type="auto"/>
        <w:tblLook w:val="04A0" w:firstRow="1" w:lastRow="0" w:firstColumn="1" w:lastColumn="0" w:noHBand="0" w:noVBand="1"/>
      </w:tblPr>
      <w:tblGrid>
        <w:gridCol w:w="2273"/>
        <w:gridCol w:w="2214"/>
        <w:gridCol w:w="2317"/>
        <w:gridCol w:w="2546"/>
      </w:tblGrid>
      <w:tr w:rsidR="001A4D4E" w14:paraId="72E829B8" w14:textId="77777777" w:rsidTr="001A4D4E">
        <w:tc>
          <w:tcPr>
            <w:tcW w:w="2345" w:type="dxa"/>
          </w:tcPr>
          <w:p w14:paraId="03DBD22F" w14:textId="49A41335" w:rsidR="001A4D4E" w:rsidRPr="001A4D4E" w:rsidRDefault="001A4D4E" w:rsidP="001A4D4E">
            <w:pPr>
              <w:spacing w:line="240" w:lineRule="auto"/>
              <w:rPr>
                <w:rFonts w:eastAsia="Times New Roman" w:cs="Arial"/>
              </w:rPr>
            </w:pPr>
            <w:proofErr w:type="spellStart"/>
            <w:r w:rsidRPr="001A4D4E">
              <w:rPr>
                <w:b/>
                <w:bCs/>
                <w:lang w:val="en-US"/>
              </w:rPr>
              <w:t>MedDRA</w:t>
            </w:r>
            <w:proofErr w:type="spellEnd"/>
            <w:r w:rsidRPr="001A4D4E">
              <w:rPr>
                <w:b/>
                <w:bCs/>
              </w:rPr>
              <w:t>-база данни на системо- органни класове</w:t>
            </w:r>
          </w:p>
        </w:tc>
        <w:tc>
          <w:tcPr>
            <w:tcW w:w="2322" w:type="dxa"/>
          </w:tcPr>
          <w:p w14:paraId="231AF6DF" w14:textId="3681BCE2" w:rsidR="001A4D4E" w:rsidRPr="001A4D4E" w:rsidRDefault="001A4D4E" w:rsidP="001A4D4E">
            <w:pPr>
              <w:spacing w:line="240" w:lineRule="auto"/>
              <w:rPr>
                <w:rFonts w:eastAsia="Times New Roman" w:cs="Arial"/>
              </w:rPr>
            </w:pPr>
            <w:r w:rsidRPr="001A4D4E">
              <w:rPr>
                <w:b/>
                <w:bCs/>
              </w:rPr>
              <w:t>Много чести (≥1/10)</w:t>
            </w:r>
          </w:p>
        </w:tc>
        <w:tc>
          <w:tcPr>
            <w:tcW w:w="2363" w:type="dxa"/>
          </w:tcPr>
          <w:p w14:paraId="5C7D9068" w14:textId="2A3801C5" w:rsidR="001A4D4E" w:rsidRPr="001A4D4E" w:rsidRDefault="001A4D4E" w:rsidP="001A4D4E">
            <w:pPr>
              <w:spacing w:line="240" w:lineRule="auto"/>
              <w:rPr>
                <w:rFonts w:eastAsia="Times New Roman" w:cs="Arial"/>
              </w:rPr>
            </w:pPr>
            <w:r w:rsidRPr="001A4D4E">
              <w:rPr>
                <w:b/>
                <w:bCs/>
              </w:rPr>
              <w:t>Чести (≥1/100 до &lt;1/10)</w:t>
            </w:r>
          </w:p>
        </w:tc>
        <w:tc>
          <w:tcPr>
            <w:tcW w:w="2546" w:type="dxa"/>
          </w:tcPr>
          <w:p w14:paraId="5819DAB5" w14:textId="41A8A9F9" w:rsidR="001A4D4E" w:rsidRPr="001A4D4E" w:rsidRDefault="001A4D4E" w:rsidP="001A4D4E">
            <w:pPr>
              <w:spacing w:line="240" w:lineRule="auto"/>
              <w:rPr>
                <w:rFonts w:eastAsia="Times New Roman" w:cs="Arial"/>
              </w:rPr>
            </w:pPr>
            <w:r w:rsidRPr="001A4D4E">
              <w:rPr>
                <w:b/>
                <w:bCs/>
              </w:rPr>
              <w:t>Не чести (≥1/1 000 до &lt;1/100)</w:t>
            </w:r>
          </w:p>
        </w:tc>
      </w:tr>
      <w:tr w:rsidR="001A4D4E" w14:paraId="68EFB843" w14:textId="77777777" w:rsidTr="001A4D4E">
        <w:tc>
          <w:tcPr>
            <w:tcW w:w="2345" w:type="dxa"/>
          </w:tcPr>
          <w:p w14:paraId="4F955B20" w14:textId="7E8D9344" w:rsidR="001A4D4E" w:rsidRPr="001A4D4E" w:rsidRDefault="001A4D4E" w:rsidP="001A4D4E">
            <w:pPr>
              <w:spacing w:line="240" w:lineRule="auto"/>
              <w:rPr>
                <w:rFonts w:eastAsia="Times New Roman" w:cs="Arial"/>
              </w:rPr>
            </w:pPr>
            <w:r w:rsidRPr="001A4D4E">
              <w:t>Нарушения на имунната система</w:t>
            </w:r>
          </w:p>
        </w:tc>
        <w:tc>
          <w:tcPr>
            <w:tcW w:w="2322" w:type="dxa"/>
          </w:tcPr>
          <w:p w14:paraId="2FD5A807" w14:textId="77777777" w:rsidR="001A4D4E" w:rsidRPr="001A4D4E" w:rsidRDefault="001A4D4E" w:rsidP="001A4D4E">
            <w:pPr>
              <w:spacing w:line="240" w:lineRule="auto"/>
              <w:rPr>
                <w:rFonts w:eastAsia="Times New Roman" w:cs="Arial"/>
              </w:rPr>
            </w:pPr>
          </w:p>
        </w:tc>
        <w:tc>
          <w:tcPr>
            <w:tcW w:w="2363" w:type="dxa"/>
          </w:tcPr>
          <w:p w14:paraId="329BE05F" w14:textId="77777777" w:rsidR="001A4D4E" w:rsidRPr="001A4D4E" w:rsidRDefault="001A4D4E" w:rsidP="001A4D4E">
            <w:pPr>
              <w:spacing w:line="240" w:lineRule="auto"/>
              <w:rPr>
                <w:rFonts w:eastAsia="Times New Roman" w:cs="Arial"/>
              </w:rPr>
            </w:pPr>
          </w:p>
        </w:tc>
        <w:tc>
          <w:tcPr>
            <w:tcW w:w="2546" w:type="dxa"/>
          </w:tcPr>
          <w:p w14:paraId="20FB6F76" w14:textId="1857816E" w:rsidR="001A4D4E" w:rsidRPr="001A4D4E" w:rsidRDefault="001A4D4E" w:rsidP="001A4D4E">
            <w:pPr>
              <w:spacing w:line="240" w:lineRule="auto"/>
              <w:rPr>
                <w:rFonts w:eastAsia="Times New Roman" w:cs="Arial"/>
              </w:rPr>
            </w:pPr>
            <w:r w:rsidRPr="001A4D4E">
              <w:t>Свръхчувствителност*</w:t>
            </w:r>
          </w:p>
        </w:tc>
      </w:tr>
      <w:tr w:rsidR="001A4D4E" w14:paraId="2DD7A8D3" w14:textId="77777777" w:rsidTr="001A4D4E">
        <w:tc>
          <w:tcPr>
            <w:tcW w:w="2345" w:type="dxa"/>
          </w:tcPr>
          <w:p w14:paraId="4F7CDD99" w14:textId="700D17D3" w:rsidR="001A4D4E" w:rsidRPr="001A4D4E" w:rsidRDefault="001A4D4E" w:rsidP="001A4D4E">
            <w:pPr>
              <w:spacing w:line="240" w:lineRule="auto"/>
              <w:rPr>
                <w:rFonts w:eastAsia="Times New Roman" w:cs="Arial"/>
              </w:rPr>
            </w:pPr>
            <w:r w:rsidRPr="001A4D4E">
              <w:t>Нарушения на нервната система</w:t>
            </w:r>
          </w:p>
        </w:tc>
        <w:tc>
          <w:tcPr>
            <w:tcW w:w="2322" w:type="dxa"/>
          </w:tcPr>
          <w:p w14:paraId="044E08B5" w14:textId="4157E2B4" w:rsidR="001A4D4E" w:rsidRPr="001A4D4E" w:rsidRDefault="001A4D4E" w:rsidP="001A4D4E">
            <w:pPr>
              <w:spacing w:line="240" w:lineRule="auto"/>
              <w:rPr>
                <w:rFonts w:eastAsia="Times New Roman" w:cs="Arial"/>
              </w:rPr>
            </w:pPr>
            <w:r w:rsidRPr="001A4D4E">
              <w:t>Главоболие*</w:t>
            </w:r>
          </w:p>
        </w:tc>
        <w:tc>
          <w:tcPr>
            <w:tcW w:w="2363" w:type="dxa"/>
          </w:tcPr>
          <w:p w14:paraId="40B0BE3A" w14:textId="63A0E057" w:rsidR="001A4D4E" w:rsidRPr="001A4D4E" w:rsidRDefault="001A4D4E" w:rsidP="001A4D4E">
            <w:pPr>
              <w:spacing w:line="240" w:lineRule="auto"/>
              <w:rPr>
                <w:rFonts w:eastAsia="Times New Roman" w:cs="Arial"/>
              </w:rPr>
            </w:pPr>
            <w:r w:rsidRPr="001A4D4E">
              <w:t>Замайване*</w:t>
            </w:r>
          </w:p>
        </w:tc>
        <w:tc>
          <w:tcPr>
            <w:tcW w:w="2546" w:type="dxa"/>
          </w:tcPr>
          <w:p w14:paraId="577E92EE" w14:textId="77777777" w:rsidR="001A4D4E" w:rsidRPr="001A4D4E" w:rsidRDefault="001A4D4E" w:rsidP="001A4D4E">
            <w:pPr>
              <w:spacing w:line="240" w:lineRule="auto"/>
              <w:rPr>
                <w:rFonts w:eastAsia="Times New Roman" w:cs="Arial"/>
              </w:rPr>
            </w:pPr>
          </w:p>
        </w:tc>
      </w:tr>
      <w:tr w:rsidR="001A4D4E" w14:paraId="7D29C32B" w14:textId="77777777" w:rsidTr="001A4D4E">
        <w:tc>
          <w:tcPr>
            <w:tcW w:w="2345" w:type="dxa"/>
          </w:tcPr>
          <w:p w14:paraId="457483DD" w14:textId="2DCB585A" w:rsidR="001A4D4E" w:rsidRPr="001A4D4E" w:rsidRDefault="001A4D4E" w:rsidP="001A4D4E">
            <w:pPr>
              <w:spacing w:line="240" w:lineRule="auto"/>
              <w:rPr>
                <w:rFonts w:eastAsia="Times New Roman" w:cs="Arial"/>
              </w:rPr>
            </w:pPr>
            <w:r w:rsidRPr="001A4D4E">
              <w:t>Съдови нарушения</w:t>
            </w:r>
          </w:p>
        </w:tc>
        <w:tc>
          <w:tcPr>
            <w:tcW w:w="2322" w:type="dxa"/>
          </w:tcPr>
          <w:p w14:paraId="21F38DA1" w14:textId="77777777" w:rsidR="001A4D4E" w:rsidRPr="001A4D4E" w:rsidRDefault="001A4D4E" w:rsidP="001A4D4E">
            <w:pPr>
              <w:spacing w:line="240" w:lineRule="auto"/>
              <w:rPr>
                <w:rFonts w:eastAsia="Times New Roman" w:cs="Arial"/>
              </w:rPr>
            </w:pPr>
          </w:p>
        </w:tc>
        <w:tc>
          <w:tcPr>
            <w:tcW w:w="2363" w:type="dxa"/>
          </w:tcPr>
          <w:p w14:paraId="178D12E3" w14:textId="77777777" w:rsidR="001A4D4E" w:rsidRPr="001A4D4E" w:rsidRDefault="001A4D4E" w:rsidP="001A4D4E">
            <w:pPr>
              <w:spacing w:line="240" w:lineRule="auto"/>
              <w:rPr>
                <w:rFonts w:eastAsia="Times New Roman" w:cs="Arial"/>
              </w:rPr>
            </w:pPr>
          </w:p>
        </w:tc>
        <w:tc>
          <w:tcPr>
            <w:tcW w:w="2546" w:type="dxa"/>
          </w:tcPr>
          <w:p w14:paraId="1A1A4730" w14:textId="6D093A00" w:rsidR="001A4D4E" w:rsidRPr="001A4D4E" w:rsidRDefault="001A4D4E" w:rsidP="001A4D4E">
            <w:pPr>
              <w:spacing w:line="240" w:lineRule="auto"/>
              <w:rPr>
                <w:rFonts w:eastAsia="Times New Roman" w:cs="Arial"/>
              </w:rPr>
            </w:pPr>
            <w:r w:rsidRPr="001A4D4E">
              <w:t>Хипотония</w:t>
            </w:r>
          </w:p>
        </w:tc>
      </w:tr>
      <w:tr w:rsidR="001A4D4E" w14:paraId="072523CD" w14:textId="77777777" w:rsidTr="001A4D4E">
        <w:tc>
          <w:tcPr>
            <w:tcW w:w="2345" w:type="dxa"/>
          </w:tcPr>
          <w:p w14:paraId="46313471" w14:textId="160312E1" w:rsidR="001A4D4E" w:rsidRPr="001A4D4E" w:rsidRDefault="001A4D4E" w:rsidP="001A4D4E">
            <w:pPr>
              <w:spacing w:line="240" w:lineRule="auto"/>
              <w:rPr>
                <w:rFonts w:eastAsia="Times New Roman" w:cs="Arial"/>
              </w:rPr>
            </w:pPr>
            <w:r w:rsidRPr="001A4D4E">
              <w:t>Респираторни, гръдни и медиастинални нарушения</w:t>
            </w:r>
          </w:p>
        </w:tc>
        <w:tc>
          <w:tcPr>
            <w:tcW w:w="2322" w:type="dxa"/>
          </w:tcPr>
          <w:p w14:paraId="68B5BB93" w14:textId="77777777" w:rsidR="001A4D4E" w:rsidRPr="001A4D4E" w:rsidRDefault="001A4D4E" w:rsidP="001A4D4E">
            <w:pPr>
              <w:spacing w:line="240" w:lineRule="auto"/>
              <w:rPr>
                <w:rFonts w:eastAsia="Times New Roman" w:cs="Arial"/>
              </w:rPr>
            </w:pPr>
          </w:p>
        </w:tc>
        <w:tc>
          <w:tcPr>
            <w:tcW w:w="2363" w:type="dxa"/>
          </w:tcPr>
          <w:p w14:paraId="1EE9DF28" w14:textId="0EF80567" w:rsidR="001A4D4E" w:rsidRPr="001A4D4E" w:rsidRDefault="001A4D4E" w:rsidP="001A4D4E">
            <w:pPr>
              <w:spacing w:line="240" w:lineRule="auto"/>
              <w:rPr>
                <w:rFonts w:eastAsia="Times New Roman" w:cs="Arial"/>
              </w:rPr>
            </w:pPr>
            <w:r w:rsidRPr="001A4D4E">
              <w:t>Ринит</w:t>
            </w:r>
          </w:p>
        </w:tc>
        <w:tc>
          <w:tcPr>
            <w:tcW w:w="2546" w:type="dxa"/>
          </w:tcPr>
          <w:p w14:paraId="0D22B276" w14:textId="77777777" w:rsidR="001A4D4E" w:rsidRPr="001A4D4E" w:rsidRDefault="001A4D4E" w:rsidP="001A4D4E">
            <w:pPr>
              <w:spacing w:line="240" w:lineRule="auto"/>
              <w:rPr>
                <w:rFonts w:eastAsia="Times New Roman" w:cs="Arial"/>
              </w:rPr>
            </w:pPr>
          </w:p>
        </w:tc>
      </w:tr>
      <w:tr w:rsidR="001A4D4E" w14:paraId="7090D030" w14:textId="77777777" w:rsidTr="001A4D4E">
        <w:tc>
          <w:tcPr>
            <w:tcW w:w="2345" w:type="dxa"/>
          </w:tcPr>
          <w:p w14:paraId="36DB152A" w14:textId="5BF3F4B7" w:rsidR="001A4D4E" w:rsidRPr="001A4D4E" w:rsidRDefault="001A4D4E" w:rsidP="001A4D4E">
            <w:pPr>
              <w:spacing w:line="240" w:lineRule="auto"/>
              <w:rPr>
                <w:rFonts w:eastAsia="Times New Roman" w:cs="Arial"/>
              </w:rPr>
            </w:pPr>
            <w:r w:rsidRPr="001A4D4E">
              <w:t>Нарушения на кожата и подкожната тъкан</w:t>
            </w:r>
          </w:p>
        </w:tc>
        <w:tc>
          <w:tcPr>
            <w:tcW w:w="2322" w:type="dxa"/>
          </w:tcPr>
          <w:p w14:paraId="0DC7ADC0" w14:textId="77777777" w:rsidR="001A4D4E" w:rsidRPr="001A4D4E" w:rsidRDefault="001A4D4E" w:rsidP="001A4D4E">
            <w:pPr>
              <w:spacing w:line="240" w:lineRule="auto"/>
              <w:rPr>
                <w:rFonts w:eastAsia="Times New Roman" w:cs="Arial"/>
              </w:rPr>
            </w:pPr>
          </w:p>
        </w:tc>
        <w:tc>
          <w:tcPr>
            <w:tcW w:w="2363" w:type="dxa"/>
          </w:tcPr>
          <w:p w14:paraId="406148C9" w14:textId="39000871" w:rsidR="001A4D4E" w:rsidRPr="001A4D4E" w:rsidRDefault="001A4D4E" w:rsidP="001A4D4E">
            <w:pPr>
              <w:spacing w:line="240" w:lineRule="auto"/>
              <w:rPr>
                <w:rFonts w:eastAsia="Times New Roman" w:cs="Arial"/>
              </w:rPr>
            </w:pPr>
            <w:r w:rsidRPr="001A4D4E">
              <w:t>Кожни алергични реакции (напр. обрив, пруритус)</w:t>
            </w:r>
          </w:p>
        </w:tc>
        <w:tc>
          <w:tcPr>
            <w:tcW w:w="2546" w:type="dxa"/>
          </w:tcPr>
          <w:p w14:paraId="6F321D09" w14:textId="5150A979" w:rsidR="001A4D4E" w:rsidRPr="001A4D4E" w:rsidRDefault="001A4D4E" w:rsidP="001A4D4E">
            <w:pPr>
              <w:spacing w:line="240" w:lineRule="auto"/>
              <w:rPr>
                <w:rFonts w:eastAsia="Times New Roman" w:cs="Arial"/>
              </w:rPr>
            </w:pPr>
            <w:r w:rsidRPr="001A4D4E">
              <w:t>Ангиоедем*</w:t>
            </w:r>
          </w:p>
        </w:tc>
      </w:tr>
      <w:tr w:rsidR="001A4D4E" w14:paraId="17C84751" w14:textId="77777777" w:rsidTr="001A4D4E">
        <w:tc>
          <w:tcPr>
            <w:tcW w:w="2345" w:type="dxa"/>
          </w:tcPr>
          <w:p w14:paraId="7E8FAD41" w14:textId="1E82594E" w:rsidR="001A4D4E" w:rsidRPr="001A4D4E" w:rsidRDefault="001A4D4E" w:rsidP="001A4D4E">
            <w:pPr>
              <w:spacing w:line="240" w:lineRule="auto"/>
              <w:rPr>
                <w:rFonts w:eastAsia="Times New Roman" w:cs="Arial"/>
              </w:rPr>
            </w:pPr>
            <w:r w:rsidRPr="001A4D4E">
              <w:t>Стомашно-чревни нарушения</w:t>
            </w:r>
          </w:p>
        </w:tc>
        <w:tc>
          <w:tcPr>
            <w:tcW w:w="2322" w:type="dxa"/>
          </w:tcPr>
          <w:p w14:paraId="68F6A580" w14:textId="77777777" w:rsidR="001A4D4E" w:rsidRPr="001A4D4E" w:rsidRDefault="001A4D4E" w:rsidP="001A4D4E">
            <w:pPr>
              <w:spacing w:line="240" w:lineRule="auto"/>
              <w:rPr>
                <w:rFonts w:eastAsia="Times New Roman" w:cs="Arial"/>
              </w:rPr>
            </w:pPr>
          </w:p>
        </w:tc>
        <w:tc>
          <w:tcPr>
            <w:tcW w:w="2363" w:type="dxa"/>
          </w:tcPr>
          <w:p w14:paraId="59380853" w14:textId="09A8D0B8" w:rsidR="001A4D4E" w:rsidRPr="001A4D4E" w:rsidRDefault="001A4D4E" w:rsidP="001A4D4E">
            <w:pPr>
              <w:spacing w:line="240" w:lineRule="auto"/>
              <w:rPr>
                <w:rFonts w:eastAsia="Times New Roman" w:cs="Arial"/>
              </w:rPr>
            </w:pPr>
            <w:r w:rsidRPr="001A4D4E">
              <w:t>Неспецифични стомашно-чревни оплаквания(напр. гадене, диария, повръщане)</w:t>
            </w:r>
          </w:p>
        </w:tc>
        <w:tc>
          <w:tcPr>
            <w:tcW w:w="2546" w:type="dxa"/>
          </w:tcPr>
          <w:p w14:paraId="55A43669" w14:textId="77777777" w:rsidR="001A4D4E" w:rsidRPr="001A4D4E" w:rsidRDefault="001A4D4E" w:rsidP="001A4D4E">
            <w:pPr>
              <w:spacing w:line="240" w:lineRule="auto"/>
              <w:rPr>
                <w:rFonts w:eastAsia="Times New Roman" w:cs="Arial"/>
              </w:rPr>
            </w:pPr>
          </w:p>
        </w:tc>
      </w:tr>
      <w:tr w:rsidR="001A4D4E" w14:paraId="1E7EFD0E" w14:textId="77777777" w:rsidTr="001A4D4E">
        <w:tc>
          <w:tcPr>
            <w:tcW w:w="2345" w:type="dxa"/>
          </w:tcPr>
          <w:p w14:paraId="7964BAD9" w14:textId="2C5BCBFB" w:rsidR="001A4D4E" w:rsidRPr="001A4D4E" w:rsidRDefault="001A4D4E" w:rsidP="001A4D4E">
            <w:pPr>
              <w:spacing w:line="240" w:lineRule="auto"/>
              <w:rPr>
                <w:rFonts w:eastAsia="Times New Roman" w:cs="Arial"/>
              </w:rPr>
            </w:pPr>
            <w:r w:rsidRPr="001A4D4E">
              <w:t>Общи нарушения и реакции на мястото на приложение</w:t>
            </w:r>
          </w:p>
        </w:tc>
        <w:tc>
          <w:tcPr>
            <w:tcW w:w="2322" w:type="dxa"/>
          </w:tcPr>
          <w:p w14:paraId="28612187" w14:textId="77777777" w:rsidR="001A4D4E" w:rsidRPr="001A4D4E" w:rsidRDefault="001A4D4E" w:rsidP="001A4D4E">
            <w:pPr>
              <w:spacing w:line="240" w:lineRule="auto"/>
              <w:rPr>
                <w:rFonts w:eastAsia="Times New Roman" w:cs="Arial"/>
              </w:rPr>
            </w:pPr>
          </w:p>
        </w:tc>
        <w:tc>
          <w:tcPr>
            <w:tcW w:w="2363" w:type="dxa"/>
          </w:tcPr>
          <w:p w14:paraId="314FF3E9" w14:textId="58AD2B4F" w:rsidR="001A4D4E" w:rsidRPr="001A4D4E" w:rsidRDefault="001A4D4E" w:rsidP="001A4D4E">
            <w:pPr>
              <w:spacing w:line="240" w:lineRule="auto"/>
              <w:rPr>
                <w:rFonts w:eastAsia="Times New Roman" w:cs="Arial"/>
              </w:rPr>
            </w:pPr>
            <w:r w:rsidRPr="001A4D4E">
              <w:t>Астения</w:t>
            </w:r>
          </w:p>
        </w:tc>
        <w:tc>
          <w:tcPr>
            <w:tcW w:w="2546" w:type="dxa"/>
          </w:tcPr>
          <w:p w14:paraId="634D1080" w14:textId="77777777" w:rsidR="001A4D4E" w:rsidRPr="001A4D4E" w:rsidRDefault="001A4D4E" w:rsidP="001A4D4E">
            <w:pPr>
              <w:spacing w:line="240" w:lineRule="auto"/>
              <w:rPr>
                <w:rFonts w:eastAsia="Times New Roman" w:cs="Arial"/>
              </w:rPr>
            </w:pPr>
          </w:p>
        </w:tc>
      </w:tr>
    </w:tbl>
    <w:p w14:paraId="33EA6BA2" w14:textId="77777777" w:rsidR="001A4D4E" w:rsidRPr="001A4D4E" w:rsidRDefault="001A4D4E" w:rsidP="001A4D4E">
      <w:pPr>
        <w:spacing w:line="240" w:lineRule="auto"/>
        <w:rPr>
          <w:rFonts w:eastAsia="Times New Roman" w:cs="Arial"/>
        </w:rPr>
      </w:pPr>
      <w:r w:rsidRPr="001A4D4E">
        <w:rPr>
          <w:rFonts w:eastAsia="Times New Roman" w:cs="Arial"/>
          <w:color w:val="000000"/>
          <w:lang w:eastAsia="bg-BG"/>
        </w:rPr>
        <w:t>*Не се появяват с по-висока честота, отколкото при плацебо.</w:t>
      </w:r>
    </w:p>
    <w:p w14:paraId="6B093BD1" w14:textId="77777777" w:rsidR="001A4D4E" w:rsidRDefault="001A4D4E" w:rsidP="001A4D4E">
      <w:pPr>
        <w:spacing w:line="240" w:lineRule="auto"/>
        <w:rPr>
          <w:rFonts w:eastAsia="Times New Roman" w:cs="Arial"/>
          <w:color w:val="000000"/>
          <w:lang w:eastAsia="bg-BG"/>
        </w:rPr>
      </w:pPr>
    </w:p>
    <w:p w14:paraId="216012C5" w14:textId="2434DEC7" w:rsidR="001A4D4E" w:rsidRPr="001A4D4E" w:rsidRDefault="001A4D4E" w:rsidP="001A4D4E">
      <w:pPr>
        <w:spacing w:line="240" w:lineRule="auto"/>
        <w:rPr>
          <w:rFonts w:eastAsia="Times New Roman" w:cs="Arial"/>
        </w:rPr>
      </w:pPr>
      <w:r w:rsidRPr="001A4D4E">
        <w:rPr>
          <w:rFonts w:eastAsia="Times New Roman" w:cs="Arial"/>
          <w:color w:val="000000"/>
          <w:lang w:eastAsia="bg-BG"/>
        </w:rPr>
        <w:t>В допълнение към тези страничните реакции, съобщени по време на</w:t>
      </w:r>
      <w:r w:rsidRPr="001A4D4E">
        <w:rPr>
          <w:rFonts w:eastAsia="Times New Roman" w:cs="Arial"/>
          <w:color w:val="000000"/>
          <w:lang w:val="ru-RU"/>
        </w:rPr>
        <w:t xml:space="preserve"> </w:t>
      </w:r>
      <w:r w:rsidRPr="001A4D4E">
        <w:rPr>
          <w:rFonts w:eastAsia="Times New Roman" w:cs="Arial"/>
          <w:color w:val="000000"/>
          <w:lang w:eastAsia="bg-BG"/>
        </w:rPr>
        <w:t>клинични изпитвания,</w:t>
      </w:r>
      <w:r w:rsidRPr="001A4D4E">
        <w:rPr>
          <w:rFonts w:eastAsia="Times New Roman" w:cs="Arial"/>
          <w:color w:val="000000"/>
          <w:lang w:val="ru-RU" w:eastAsia="bg-BG"/>
        </w:rPr>
        <w:t xml:space="preserve"> </w:t>
      </w:r>
      <w:r w:rsidRPr="001A4D4E">
        <w:rPr>
          <w:rFonts w:eastAsia="Times New Roman" w:cs="Arial"/>
          <w:color w:val="000000"/>
          <w:lang w:eastAsia="bg-BG"/>
        </w:rPr>
        <w:t>следните нежелани събития са били спонтанно докладвани по време на постмаркетинговата употреба на Теветен. Честотата не може да бъде определена от наличните данни (не е известна).</w:t>
      </w:r>
    </w:p>
    <w:p w14:paraId="7DBCDFF6" w14:textId="77777777" w:rsidR="001A4D4E" w:rsidRPr="001A4D4E" w:rsidRDefault="001A4D4E" w:rsidP="001A4D4E">
      <w:pPr>
        <w:spacing w:line="240" w:lineRule="auto"/>
        <w:rPr>
          <w:rFonts w:eastAsia="Times New Roman" w:cs="Arial"/>
        </w:rPr>
      </w:pPr>
    </w:p>
    <w:p w14:paraId="26A646E0" w14:textId="51E8DCBF" w:rsidR="001A4D4E" w:rsidRPr="001A4D4E" w:rsidRDefault="001A4D4E" w:rsidP="001A4D4E">
      <w:pPr>
        <w:spacing w:line="240" w:lineRule="auto"/>
        <w:rPr>
          <w:rFonts w:eastAsia="Times New Roman" w:cs="Arial"/>
        </w:rPr>
      </w:pPr>
      <w:r w:rsidRPr="001A4D4E">
        <w:rPr>
          <w:rFonts w:eastAsia="Times New Roman" w:cs="Arial"/>
          <w:color w:val="000000"/>
          <w:u w:val="single"/>
          <w:lang w:eastAsia="bg-BG"/>
        </w:rPr>
        <w:t>Нарушения на бъбреците и пикочните пътища</w:t>
      </w:r>
    </w:p>
    <w:p w14:paraId="25A637AE" w14:textId="77777777" w:rsidR="001A4D4E" w:rsidRPr="001A4D4E" w:rsidRDefault="001A4D4E" w:rsidP="001A4D4E">
      <w:pPr>
        <w:spacing w:line="240" w:lineRule="auto"/>
        <w:rPr>
          <w:rFonts w:eastAsia="Times New Roman" w:cs="Arial"/>
        </w:rPr>
      </w:pPr>
      <w:r w:rsidRPr="001A4D4E">
        <w:rPr>
          <w:rFonts w:eastAsia="Times New Roman" w:cs="Arial"/>
          <w:color w:val="000000"/>
          <w:lang w:eastAsia="bg-BG"/>
        </w:rPr>
        <w:t>Нарушена бъбречна функция, вкл. бъбречна недостатъчност при рискови пациенти (напр. при стеноза на бъбречната артерия).</w:t>
      </w:r>
    </w:p>
    <w:p w14:paraId="6736F7CE" w14:textId="77777777" w:rsidR="001A4D4E" w:rsidRDefault="001A4D4E" w:rsidP="001A4D4E">
      <w:pPr>
        <w:spacing w:line="240" w:lineRule="auto"/>
        <w:rPr>
          <w:rFonts w:eastAsia="Times New Roman" w:cs="Arial"/>
          <w:color w:val="000000"/>
          <w:u w:val="single"/>
          <w:lang w:eastAsia="bg-BG"/>
        </w:rPr>
      </w:pPr>
    </w:p>
    <w:p w14:paraId="74B2CB46" w14:textId="78762359" w:rsidR="001A4D4E" w:rsidRPr="001A4D4E" w:rsidRDefault="001A4D4E" w:rsidP="001A4D4E">
      <w:pPr>
        <w:spacing w:line="240" w:lineRule="auto"/>
        <w:rPr>
          <w:rFonts w:eastAsia="Times New Roman" w:cs="Arial"/>
        </w:rPr>
      </w:pPr>
      <w:r w:rsidRPr="001A4D4E">
        <w:rPr>
          <w:rFonts w:eastAsia="Times New Roman" w:cs="Arial"/>
          <w:color w:val="000000"/>
          <w:u w:val="single"/>
          <w:lang w:eastAsia="bg-BG"/>
        </w:rPr>
        <w:t>Нарушения на мускулно-скелетната система и съединителната тъкан</w:t>
      </w:r>
    </w:p>
    <w:p w14:paraId="0A2D3E0F" w14:textId="77777777" w:rsidR="001A4D4E" w:rsidRPr="001A4D4E" w:rsidRDefault="001A4D4E" w:rsidP="001A4D4E">
      <w:pPr>
        <w:spacing w:line="240" w:lineRule="auto"/>
        <w:rPr>
          <w:rFonts w:eastAsia="Times New Roman" w:cs="Arial"/>
        </w:rPr>
      </w:pPr>
      <w:r w:rsidRPr="001A4D4E">
        <w:rPr>
          <w:rFonts w:eastAsia="Times New Roman" w:cs="Arial"/>
          <w:color w:val="000000"/>
          <w:lang w:eastAsia="bg-BG"/>
        </w:rPr>
        <w:t>Артралгия</w:t>
      </w:r>
    </w:p>
    <w:p w14:paraId="62F1D671" w14:textId="77777777" w:rsidR="001A4D4E" w:rsidRDefault="001A4D4E" w:rsidP="001A4D4E">
      <w:pPr>
        <w:spacing w:line="240" w:lineRule="auto"/>
        <w:rPr>
          <w:rFonts w:eastAsia="Times New Roman" w:cs="Arial"/>
          <w:color w:val="000000"/>
          <w:u w:val="single"/>
          <w:lang w:eastAsia="bg-BG"/>
        </w:rPr>
      </w:pPr>
    </w:p>
    <w:p w14:paraId="04B28238" w14:textId="42CD8EF3" w:rsidR="001A4D4E" w:rsidRPr="001A4D4E" w:rsidRDefault="001A4D4E" w:rsidP="001A4D4E">
      <w:pPr>
        <w:spacing w:line="240" w:lineRule="auto"/>
        <w:rPr>
          <w:rFonts w:eastAsia="Times New Roman" w:cs="Arial"/>
        </w:rPr>
      </w:pPr>
      <w:r w:rsidRPr="001A4D4E">
        <w:rPr>
          <w:rFonts w:eastAsia="Times New Roman" w:cs="Arial"/>
          <w:color w:val="000000"/>
          <w:u w:val="single"/>
          <w:lang w:eastAsia="bg-BG"/>
        </w:rPr>
        <w:t>Съобщаване на подозирани нежелани реакции</w:t>
      </w:r>
    </w:p>
    <w:p w14:paraId="4F3A5DBC" w14:textId="77777777" w:rsidR="001A4D4E" w:rsidRPr="001A4D4E" w:rsidRDefault="001A4D4E" w:rsidP="001A4D4E">
      <w:pPr>
        <w:spacing w:line="240" w:lineRule="auto"/>
        <w:rPr>
          <w:rFonts w:eastAsia="Times New Roman" w:cs="Arial"/>
        </w:rPr>
      </w:pPr>
      <w:r w:rsidRPr="001A4D4E">
        <w:rPr>
          <w:rFonts w:eastAsia="Times New Roman" w:cs="Arial"/>
          <w:color w:val="000000"/>
          <w:lang w:eastAsia="bg-BG"/>
        </w:rPr>
        <w:lastRenderedPageBreak/>
        <w:t>Съобщаването на подозирани нежелани реакции след разрешаване на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 система за съобщаване:</w:t>
      </w:r>
    </w:p>
    <w:p w14:paraId="0D2AC267" w14:textId="77777777" w:rsidR="001A4D4E" w:rsidRPr="001A4D4E" w:rsidRDefault="001A4D4E" w:rsidP="001A4D4E">
      <w:pPr>
        <w:spacing w:line="240" w:lineRule="auto"/>
        <w:rPr>
          <w:rFonts w:eastAsia="Times New Roman" w:cs="Arial"/>
        </w:rPr>
      </w:pPr>
      <w:r w:rsidRPr="001A4D4E">
        <w:rPr>
          <w:rFonts w:eastAsia="Times New Roman" w:cs="Arial"/>
          <w:color w:val="000000"/>
          <w:lang w:eastAsia="bg-BG"/>
        </w:rPr>
        <w:t>Изпълнителна агенция по лекарствата</w:t>
      </w:r>
    </w:p>
    <w:p w14:paraId="3C70995F" w14:textId="77777777" w:rsidR="001A4D4E" w:rsidRPr="001A4D4E" w:rsidRDefault="001A4D4E" w:rsidP="001A4D4E">
      <w:pPr>
        <w:spacing w:line="240" w:lineRule="auto"/>
        <w:rPr>
          <w:rFonts w:eastAsia="Times New Roman" w:cs="Arial"/>
        </w:rPr>
      </w:pPr>
      <w:r w:rsidRPr="001A4D4E">
        <w:rPr>
          <w:rFonts w:eastAsia="Times New Roman" w:cs="Arial"/>
          <w:color w:val="000000"/>
          <w:lang w:eastAsia="bg-BG"/>
        </w:rPr>
        <w:t>ул. „Дамян Груев” № 8</w:t>
      </w:r>
    </w:p>
    <w:p w14:paraId="46B8B4F1" w14:textId="77777777" w:rsidR="001A4D4E" w:rsidRPr="001A4D4E" w:rsidRDefault="001A4D4E" w:rsidP="001A4D4E">
      <w:pPr>
        <w:spacing w:line="240" w:lineRule="auto"/>
        <w:rPr>
          <w:rFonts w:eastAsia="Times New Roman" w:cs="Arial"/>
        </w:rPr>
      </w:pPr>
      <w:r w:rsidRPr="001A4D4E">
        <w:rPr>
          <w:rFonts w:eastAsia="Times New Roman" w:cs="Arial"/>
          <w:color w:val="000000"/>
          <w:lang w:eastAsia="bg-BG"/>
        </w:rPr>
        <w:t>1303 София</w:t>
      </w:r>
    </w:p>
    <w:p w14:paraId="37025CD0" w14:textId="77777777" w:rsidR="001A4D4E" w:rsidRPr="001A4D4E" w:rsidRDefault="001A4D4E" w:rsidP="001A4D4E">
      <w:pPr>
        <w:spacing w:line="240" w:lineRule="auto"/>
        <w:rPr>
          <w:rFonts w:eastAsia="Times New Roman" w:cs="Arial"/>
        </w:rPr>
      </w:pPr>
      <w:r w:rsidRPr="001A4D4E">
        <w:rPr>
          <w:rFonts w:eastAsia="Times New Roman" w:cs="Arial"/>
          <w:color w:val="000000"/>
          <w:lang w:eastAsia="bg-BG"/>
        </w:rPr>
        <w:t>Тел.:+359 2 8903417</w:t>
      </w:r>
    </w:p>
    <w:p w14:paraId="70AF7A8A" w14:textId="77777777" w:rsidR="001A4D4E" w:rsidRPr="001A4D4E" w:rsidRDefault="001A4D4E" w:rsidP="001A4D4E">
      <w:pPr>
        <w:spacing w:line="240" w:lineRule="auto"/>
        <w:rPr>
          <w:rFonts w:eastAsia="Times New Roman" w:cs="Arial"/>
        </w:rPr>
      </w:pPr>
      <w:r w:rsidRPr="001A4D4E">
        <w:rPr>
          <w:rFonts w:eastAsia="Times New Roman" w:cs="Arial"/>
          <w:color w:val="000000"/>
          <w:lang w:eastAsia="bg-BG"/>
        </w:rPr>
        <w:t xml:space="preserve">уебсайт: </w:t>
      </w:r>
      <w:r w:rsidRPr="001A4D4E">
        <w:rPr>
          <w:rFonts w:eastAsia="Times New Roman" w:cs="Arial"/>
        </w:rPr>
        <w:fldChar w:fldCharType="begin"/>
      </w:r>
      <w:r w:rsidRPr="001A4D4E">
        <w:rPr>
          <w:rFonts w:eastAsia="Times New Roman" w:cs="Arial"/>
        </w:rPr>
        <w:instrText xml:space="preserve"> HYPERLINK "http://www.bda.bg" </w:instrText>
      </w:r>
      <w:r w:rsidRPr="001A4D4E">
        <w:rPr>
          <w:rFonts w:eastAsia="Times New Roman" w:cs="Arial"/>
        </w:rPr>
      </w:r>
      <w:r w:rsidRPr="001A4D4E">
        <w:rPr>
          <w:rFonts w:eastAsia="Times New Roman" w:cs="Arial"/>
        </w:rPr>
        <w:fldChar w:fldCharType="separate"/>
      </w:r>
      <w:r w:rsidRPr="001A4D4E">
        <w:rPr>
          <w:rFonts w:eastAsia="Times New Roman" w:cs="Arial"/>
          <w:color w:val="000000"/>
          <w:u w:val="single"/>
          <w:lang w:val="en-US"/>
        </w:rPr>
        <w:t>www</w:t>
      </w:r>
      <w:r w:rsidRPr="001A4D4E">
        <w:rPr>
          <w:rFonts w:eastAsia="Times New Roman" w:cs="Arial"/>
          <w:color w:val="000000"/>
          <w:u w:val="single"/>
          <w:lang w:val="ru-RU"/>
        </w:rPr>
        <w:t>.</w:t>
      </w:r>
      <w:proofErr w:type="spellStart"/>
      <w:r w:rsidRPr="001A4D4E">
        <w:rPr>
          <w:rFonts w:eastAsia="Times New Roman" w:cs="Arial"/>
          <w:color w:val="000000"/>
          <w:u w:val="single"/>
          <w:lang w:val="en-US"/>
        </w:rPr>
        <w:t>bda</w:t>
      </w:r>
      <w:proofErr w:type="spellEnd"/>
      <w:r w:rsidRPr="001A4D4E">
        <w:rPr>
          <w:rFonts w:eastAsia="Times New Roman" w:cs="Arial"/>
          <w:color w:val="000000"/>
          <w:u w:val="single"/>
          <w:lang w:val="ru-RU"/>
        </w:rPr>
        <w:t>.</w:t>
      </w:r>
      <w:proofErr w:type="spellStart"/>
      <w:r w:rsidRPr="001A4D4E">
        <w:rPr>
          <w:rFonts w:eastAsia="Times New Roman" w:cs="Arial"/>
          <w:color w:val="000000"/>
          <w:u w:val="single"/>
          <w:lang w:val="en-US"/>
        </w:rPr>
        <w:t>bg</w:t>
      </w:r>
      <w:proofErr w:type="spellEnd"/>
      <w:r w:rsidRPr="001A4D4E">
        <w:rPr>
          <w:rFonts w:eastAsia="Times New Roman" w:cs="Arial"/>
        </w:rPr>
        <w:fldChar w:fldCharType="end"/>
      </w:r>
    </w:p>
    <w:p w14:paraId="0A786478" w14:textId="77777777" w:rsidR="001A4D4E" w:rsidRPr="001A4D4E" w:rsidRDefault="001A4D4E" w:rsidP="001A4D4E"/>
    <w:p w14:paraId="5A87DBA3" w14:textId="72BCA8E8" w:rsidR="007122AD" w:rsidRDefault="002C50EE" w:rsidP="00936AD0">
      <w:pPr>
        <w:pStyle w:val="Heading2"/>
      </w:pPr>
      <w:r>
        <w:t>4.9. Предозиране</w:t>
      </w:r>
    </w:p>
    <w:p w14:paraId="4AA8AFC9" w14:textId="446C9440" w:rsidR="001A4D4E" w:rsidRDefault="001A4D4E" w:rsidP="001A4D4E"/>
    <w:p w14:paraId="07B21E54" w14:textId="77777777" w:rsidR="001A4D4E" w:rsidRPr="001A4D4E" w:rsidRDefault="001A4D4E" w:rsidP="001A4D4E">
      <w:pPr>
        <w:spacing w:line="240" w:lineRule="auto"/>
        <w:rPr>
          <w:rFonts w:eastAsia="Times New Roman" w:cs="Arial"/>
        </w:rPr>
      </w:pPr>
      <w:r w:rsidRPr="001A4D4E">
        <w:rPr>
          <w:rFonts w:eastAsia="Times New Roman" w:cs="Arial"/>
          <w:color w:val="000000"/>
          <w:lang w:eastAsia="bg-BG"/>
        </w:rPr>
        <w:t xml:space="preserve">Данните за предозиране при хора са ограничени. Съществуват индивидуални доклади от постмаркетингов опит, където дози до 12 000 </w:t>
      </w:r>
      <w:r w:rsidRPr="001A4D4E">
        <w:rPr>
          <w:rFonts w:eastAsia="Times New Roman" w:cs="Arial"/>
          <w:color w:val="000000"/>
          <w:lang w:val="en-US"/>
        </w:rPr>
        <w:t>mg</w:t>
      </w:r>
      <w:r w:rsidRPr="001A4D4E">
        <w:rPr>
          <w:rFonts w:eastAsia="Times New Roman" w:cs="Arial"/>
          <w:color w:val="000000"/>
          <w:lang w:val="ru-RU"/>
        </w:rPr>
        <w:t xml:space="preserve"> </w:t>
      </w:r>
      <w:r w:rsidRPr="001A4D4E">
        <w:rPr>
          <w:rFonts w:eastAsia="Times New Roman" w:cs="Arial"/>
          <w:color w:val="000000"/>
          <w:lang w:eastAsia="bg-BG"/>
        </w:rPr>
        <w:t xml:space="preserve">са били погълнати. Повечето пациенти не са докладвали симптоми. При един пациент е настъпил циркулаторен колапс след поглъщане на 12 000 </w:t>
      </w:r>
      <w:r w:rsidRPr="001A4D4E">
        <w:rPr>
          <w:rFonts w:eastAsia="Times New Roman" w:cs="Arial"/>
          <w:color w:val="000000"/>
          <w:lang w:val="en-US"/>
        </w:rPr>
        <w:t>mg</w:t>
      </w:r>
      <w:r w:rsidRPr="001A4D4E">
        <w:rPr>
          <w:rFonts w:eastAsia="Times New Roman" w:cs="Arial"/>
          <w:color w:val="000000"/>
          <w:lang w:val="ru-RU"/>
        </w:rPr>
        <w:t xml:space="preserve"> </w:t>
      </w:r>
      <w:r w:rsidRPr="001A4D4E">
        <w:rPr>
          <w:rFonts w:eastAsia="Times New Roman" w:cs="Arial"/>
          <w:color w:val="000000"/>
          <w:lang w:eastAsia="bg-BG"/>
        </w:rPr>
        <w:t>Теветен. Пациентът се възстановил напълно. Най-вероятната проява на предозиране би могла да бъде хипотония. В случаи на поява на симптоматична хипотония, трябва да се назначи поддържащо лечение.</w:t>
      </w:r>
    </w:p>
    <w:p w14:paraId="14803A1D" w14:textId="77777777" w:rsidR="001A4D4E" w:rsidRPr="001A4D4E" w:rsidRDefault="001A4D4E" w:rsidP="001A4D4E"/>
    <w:p w14:paraId="02081B24" w14:textId="36FE76F4" w:rsidR="00395555" w:rsidRPr="00395555" w:rsidRDefault="002C50EE" w:rsidP="008A6AF2">
      <w:pPr>
        <w:pStyle w:val="Heading1"/>
      </w:pPr>
      <w:r>
        <w:t>5. ФАРМАКОЛОГИЧНИ СВОЙСТВА</w:t>
      </w:r>
    </w:p>
    <w:p w14:paraId="6339E404" w14:textId="06E0C855" w:rsidR="00875EEC" w:rsidRDefault="002C50EE" w:rsidP="005726E3">
      <w:pPr>
        <w:pStyle w:val="Heading2"/>
      </w:pPr>
      <w:r>
        <w:t>5.1. Фармакодинамични свойства</w:t>
      </w:r>
    </w:p>
    <w:p w14:paraId="78721847" w14:textId="4C1A4CDC" w:rsidR="001A4D4E" w:rsidRDefault="001A4D4E" w:rsidP="001A4D4E"/>
    <w:p w14:paraId="40F4F991" w14:textId="77777777" w:rsidR="001A4D4E" w:rsidRPr="001A4D4E" w:rsidRDefault="001A4D4E" w:rsidP="001A4D4E">
      <w:pPr>
        <w:spacing w:line="240" w:lineRule="auto"/>
        <w:rPr>
          <w:rFonts w:eastAsia="Times New Roman" w:cs="Arial"/>
        </w:rPr>
      </w:pPr>
      <w:r w:rsidRPr="001A4D4E">
        <w:rPr>
          <w:rFonts w:eastAsia="Times New Roman" w:cs="Arial"/>
          <w:color w:val="000000"/>
          <w:lang w:eastAsia="bg-BG"/>
        </w:rPr>
        <w:t xml:space="preserve">Фармакотерапевтична група: Ангиотензин </w:t>
      </w:r>
      <w:r w:rsidRPr="001A4D4E">
        <w:rPr>
          <w:rFonts w:eastAsia="Times New Roman" w:cs="Arial"/>
          <w:color w:val="000000"/>
          <w:lang w:val="en-US"/>
        </w:rPr>
        <w:t>II</w:t>
      </w:r>
      <w:r w:rsidRPr="001A4D4E">
        <w:rPr>
          <w:rFonts w:eastAsia="Times New Roman" w:cs="Arial"/>
          <w:color w:val="000000"/>
          <w:lang w:eastAsia="bg-BG"/>
        </w:rPr>
        <w:t>-рецепторен антагонист, АТС код: С09СА02</w:t>
      </w:r>
    </w:p>
    <w:p w14:paraId="71285B66" w14:textId="77777777" w:rsidR="001A4D4E" w:rsidRDefault="001A4D4E" w:rsidP="001A4D4E">
      <w:pPr>
        <w:spacing w:line="240" w:lineRule="auto"/>
        <w:rPr>
          <w:rFonts w:eastAsia="Times New Roman" w:cs="Arial"/>
          <w:color w:val="000000"/>
          <w:lang w:eastAsia="bg-BG"/>
        </w:rPr>
      </w:pPr>
    </w:p>
    <w:p w14:paraId="1116F8E2" w14:textId="1D842266" w:rsidR="001A4D4E" w:rsidRPr="001A4D4E" w:rsidRDefault="001A4D4E" w:rsidP="001A4D4E">
      <w:pPr>
        <w:spacing w:line="240" w:lineRule="auto"/>
        <w:rPr>
          <w:rFonts w:eastAsia="Times New Roman" w:cs="Arial"/>
        </w:rPr>
      </w:pPr>
      <w:r w:rsidRPr="001A4D4E">
        <w:rPr>
          <w:rFonts w:eastAsia="Times New Roman" w:cs="Arial"/>
          <w:color w:val="000000"/>
          <w:lang w:eastAsia="bg-BG"/>
        </w:rPr>
        <w:t>Епросартан е мощен, непептиден, перорално активен, не-бифенилов, не-тетразолов ангиотензин</w:t>
      </w:r>
      <w:r w:rsidRPr="001A4D4E">
        <w:rPr>
          <w:rFonts w:eastAsia="Times New Roman" w:cs="Arial"/>
          <w:color w:val="000000"/>
          <w:lang w:val="en-US"/>
        </w:rPr>
        <w:t>II</w:t>
      </w:r>
      <w:r w:rsidRPr="001A4D4E">
        <w:rPr>
          <w:rFonts w:eastAsia="Times New Roman" w:cs="Arial"/>
          <w:color w:val="000000"/>
          <w:lang w:eastAsia="bg-BG"/>
        </w:rPr>
        <w:t xml:space="preserve">- рецепторен блокер, който се свързва с </w:t>
      </w:r>
      <w:r w:rsidRPr="001A4D4E">
        <w:rPr>
          <w:rFonts w:eastAsia="Times New Roman" w:cs="Arial"/>
          <w:color w:val="000000"/>
          <w:lang w:val="en-US"/>
        </w:rPr>
        <w:t>AT</w:t>
      </w:r>
      <w:r w:rsidRPr="001A4D4E">
        <w:rPr>
          <w:rFonts w:eastAsia="Times New Roman" w:cs="Arial"/>
          <w:color w:val="000000"/>
          <w:vertAlign w:val="subscript"/>
          <w:lang w:val="ru-RU"/>
        </w:rPr>
        <w:t>1</w:t>
      </w:r>
      <w:r w:rsidRPr="001A4D4E">
        <w:rPr>
          <w:rFonts w:eastAsia="Times New Roman" w:cs="Arial"/>
          <w:color w:val="000000"/>
          <w:lang w:val="ru-RU"/>
        </w:rPr>
        <w:t xml:space="preserve"> </w:t>
      </w:r>
      <w:r w:rsidRPr="001A4D4E">
        <w:rPr>
          <w:rFonts w:eastAsia="Times New Roman" w:cs="Arial"/>
          <w:color w:val="000000"/>
          <w:lang w:eastAsia="bg-BG"/>
        </w:rPr>
        <w:t xml:space="preserve">рецептора. Ангиотензин II е мощен вазоконстриктор и първично активен хормон на ренин- ангиотензин-алдостероновата система и играе важна роля в патофизиологията на хипертонията. Ангиотензин II се свързва с </w:t>
      </w:r>
      <w:r w:rsidRPr="001A4D4E">
        <w:rPr>
          <w:rFonts w:eastAsia="Times New Roman" w:cs="Arial"/>
          <w:color w:val="000000"/>
          <w:lang w:val="en-US"/>
        </w:rPr>
        <w:t>AT</w:t>
      </w:r>
      <w:r w:rsidRPr="001A4D4E">
        <w:rPr>
          <w:rFonts w:eastAsia="Times New Roman" w:cs="Arial"/>
          <w:color w:val="000000"/>
          <w:vertAlign w:val="subscript"/>
          <w:lang w:val="ru-RU"/>
        </w:rPr>
        <w:t>1</w:t>
      </w:r>
      <w:r w:rsidRPr="001A4D4E">
        <w:rPr>
          <w:rFonts w:eastAsia="Times New Roman" w:cs="Arial"/>
          <w:color w:val="000000"/>
          <w:lang w:val="ru-RU"/>
        </w:rPr>
        <w:t xml:space="preserve"> </w:t>
      </w:r>
      <w:r w:rsidRPr="001A4D4E">
        <w:rPr>
          <w:rFonts w:eastAsia="Times New Roman" w:cs="Arial"/>
          <w:color w:val="000000"/>
          <w:lang w:eastAsia="bg-BG"/>
        </w:rPr>
        <w:t>рецептора в много тъкани (напр. гладка съдова мускулатура, надбъбречна жлеза, бъбрек, сърце) и осъществява важни биологични ефекти като вазоконстрикция, задържане на натрий и освобождаване на алдостерон. Ангиотензин II участва в образуването на сърдечна и съдова хипертрофия чрез своя ефект върху сърдечните и гладка мускулни клетки.</w:t>
      </w:r>
    </w:p>
    <w:p w14:paraId="2DBBC8A0" w14:textId="77777777" w:rsidR="001A4D4E" w:rsidRDefault="001A4D4E" w:rsidP="001A4D4E">
      <w:pPr>
        <w:spacing w:line="240" w:lineRule="auto"/>
        <w:rPr>
          <w:rFonts w:eastAsia="Times New Roman" w:cs="Arial"/>
          <w:color w:val="000000"/>
          <w:lang w:eastAsia="bg-BG"/>
        </w:rPr>
      </w:pPr>
    </w:p>
    <w:p w14:paraId="3956BB56" w14:textId="344748AC" w:rsidR="001A4D4E" w:rsidRPr="001A4D4E" w:rsidRDefault="001A4D4E" w:rsidP="001A4D4E">
      <w:pPr>
        <w:spacing w:line="240" w:lineRule="auto"/>
        <w:rPr>
          <w:rFonts w:eastAsia="Times New Roman" w:cs="Arial"/>
        </w:rPr>
      </w:pPr>
      <w:r w:rsidRPr="001A4D4E">
        <w:rPr>
          <w:rFonts w:eastAsia="Times New Roman" w:cs="Arial"/>
          <w:color w:val="000000"/>
          <w:lang w:eastAsia="bg-BG"/>
        </w:rPr>
        <w:t xml:space="preserve">Епросартан противодейства на ефекта на ангиотензин II върху кръвното налягане, бъбречния кръвоток и секрецията на алдостерон при здрави доброволци. Кръвното налягане се поддържа в постоянни граници, с плавно понижение за период от 24 часа, без развитие на позиционна хипотония от първата доза. Прекъсването на употребата на епросартан не води до бързо повишаване на кръвното налягане </w:t>
      </w:r>
      <w:r w:rsidRPr="001A4D4E">
        <w:rPr>
          <w:rFonts w:eastAsia="Times New Roman" w:cs="Arial"/>
          <w:color w:val="000000"/>
          <w:lang w:val="ru-RU"/>
        </w:rPr>
        <w:t>(“</w:t>
      </w:r>
      <w:r w:rsidRPr="001A4D4E">
        <w:rPr>
          <w:rFonts w:eastAsia="Times New Roman" w:cs="Arial"/>
          <w:color w:val="000000"/>
          <w:lang w:val="en-US"/>
        </w:rPr>
        <w:t>rebound</w:t>
      </w:r>
      <w:r w:rsidRPr="001A4D4E">
        <w:rPr>
          <w:rFonts w:eastAsia="Times New Roman" w:cs="Arial"/>
          <w:color w:val="000000"/>
          <w:lang w:val="ru-RU"/>
        </w:rPr>
        <w:t xml:space="preserve">” </w:t>
      </w:r>
      <w:r w:rsidRPr="001A4D4E">
        <w:rPr>
          <w:rFonts w:eastAsia="Times New Roman" w:cs="Arial"/>
          <w:color w:val="000000"/>
          <w:lang w:eastAsia="bg-BG"/>
        </w:rPr>
        <w:t>ефект).</w:t>
      </w:r>
    </w:p>
    <w:p w14:paraId="7854698B" w14:textId="77777777" w:rsidR="001A4D4E" w:rsidRDefault="001A4D4E" w:rsidP="001A4D4E">
      <w:pPr>
        <w:spacing w:line="240" w:lineRule="auto"/>
        <w:rPr>
          <w:rFonts w:eastAsia="Times New Roman" w:cs="Arial"/>
          <w:color w:val="000000"/>
          <w:lang w:eastAsia="bg-BG"/>
        </w:rPr>
      </w:pPr>
    </w:p>
    <w:p w14:paraId="4F5DA5C9" w14:textId="1A9F9CF0" w:rsidR="001A4D4E" w:rsidRPr="001A4D4E" w:rsidRDefault="001A4D4E" w:rsidP="001A4D4E">
      <w:pPr>
        <w:spacing w:line="240" w:lineRule="auto"/>
        <w:rPr>
          <w:rFonts w:eastAsia="Times New Roman" w:cs="Arial"/>
        </w:rPr>
      </w:pPr>
      <w:r w:rsidRPr="001A4D4E">
        <w:rPr>
          <w:rFonts w:eastAsia="Times New Roman" w:cs="Arial"/>
          <w:color w:val="000000"/>
          <w:lang w:eastAsia="bg-BG"/>
        </w:rPr>
        <w:t>При пациенти с хипертония понижаването на артериалното налягане не вод</w:t>
      </w:r>
      <w:r w:rsidRPr="001A4D4E">
        <w:rPr>
          <w:rFonts w:eastAsia="Times New Roman" w:cs="Arial"/>
          <w:color w:val="000000"/>
          <w:u w:val="single"/>
          <w:lang w:eastAsia="bg-BG"/>
        </w:rPr>
        <w:t>и</w:t>
      </w:r>
      <w:r w:rsidRPr="001A4D4E">
        <w:rPr>
          <w:rFonts w:eastAsia="Times New Roman" w:cs="Arial"/>
          <w:color w:val="000000"/>
          <w:u w:val="single"/>
          <w:lang w:val="ru-RU"/>
        </w:rPr>
        <w:t xml:space="preserve"> </w:t>
      </w:r>
      <w:r w:rsidRPr="001A4D4E">
        <w:rPr>
          <w:rFonts w:eastAsia="Times New Roman" w:cs="Arial"/>
          <w:color w:val="000000"/>
          <w:u w:val="single"/>
          <w:lang w:eastAsia="bg-BG"/>
        </w:rPr>
        <w:t>до промяна в</w:t>
      </w:r>
      <w:r w:rsidRPr="001A4D4E">
        <w:rPr>
          <w:rFonts w:eastAsia="Times New Roman" w:cs="Arial"/>
          <w:color w:val="000000"/>
          <w:lang w:eastAsia="bg-BG"/>
        </w:rPr>
        <w:t xml:space="preserve"> сърдечната честота.</w:t>
      </w:r>
    </w:p>
    <w:p w14:paraId="1C2E56F3" w14:textId="77777777" w:rsidR="001A4D4E" w:rsidRDefault="001A4D4E" w:rsidP="001A4D4E">
      <w:pPr>
        <w:rPr>
          <w:rFonts w:eastAsia="Times New Roman" w:cs="Arial"/>
          <w:color w:val="000000"/>
          <w:lang w:eastAsia="bg-BG"/>
        </w:rPr>
      </w:pPr>
    </w:p>
    <w:p w14:paraId="19997561" w14:textId="77777777" w:rsidR="001A4D4E" w:rsidRPr="001A4D4E" w:rsidRDefault="001A4D4E" w:rsidP="001A4D4E">
      <w:pPr>
        <w:rPr>
          <w:rFonts w:eastAsia="Times New Roman" w:cs="Arial"/>
        </w:rPr>
      </w:pPr>
      <w:r w:rsidRPr="001A4D4E">
        <w:rPr>
          <w:rFonts w:eastAsia="Times New Roman" w:cs="Arial"/>
          <w:color w:val="000000"/>
          <w:lang w:eastAsia="bg-BG"/>
        </w:rPr>
        <w:t xml:space="preserve">В клиничното проучване </w:t>
      </w:r>
      <w:r w:rsidRPr="001A4D4E">
        <w:rPr>
          <w:rFonts w:eastAsia="Times New Roman" w:cs="Arial"/>
          <w:color w:val="000000"/>
          <w:lang w:val="en-US"/>
        </w:rPr>
        <w:t>MOSES</w:t>
      </w:r>
      <w:r w:rsidRPr="001A4D4E">
        <w:rPr>
          <w:rFonts w:eastAsia="Times New Roman" w:cs="Arial"/>
          <w:color w:val="000000"/>
          <w:lang w:val="ru-RU"/>
        </w:rPr>
        <w:t xml:space="preserve"> </w:t>
      </w:r>
      <w:r w:rsidRPr="001A4D4E">
        <w:rPr>
          <w:rFonts w:eastAsia="Times New Roman" w:cs="Arial"/>
          <w:color w:val="000000"/>
          <w:lang w:eastAsia="bg-BG"/>
        </w:rPr>
        <w:t xml:space="preserve">(заболеваемост и смъртност след инсулт епросартан в сравнение с нитрендипин за вторична превенция) 1 405 пациенти с хипертония и анамнеза за мозъчно-съдов инцидент са лекувани с епросартан или нитрендипин. В групата на лечение с епросартан 78% от пациентите са получавали 600 </w:t>
      </w:r>
      <w:r w:rsidRPr="001A4D4E">
        <w:rPr>
          <w:rFonts w:eastAsia="Times New Roman" w:cs="Arial"/>
          <w:color w:val="000000"/>
          <w:lang w:val="en-US"/>
        </w:rPr>
        <w:t>mg</w:t>
      </w:r>
      <w:r w:rsidRPr="001A4D4E">
        <w:rPr>
          <w:rFonts w:eastAsia="Times New Roman" w:cs="Arial"/>
          <w:color w:val="000000"/>
          <w:lang w:val="ru-RU"/>
        </w:rPr>
        <w:t xml:space="preserve"> </w:t>
      </w:r>
      <w:r w:rsidRPr="001A4D4E">
        <w:rPr>
          <w:rFonts w:eastAsia="Times New Roman" w:cs="Arial"/>
          <w:color w:val="000000"/>
          <w:lang w:eastAsia="bg-BG"/>
        </w:rPr>
        <w:t xml:space="preserve">веднъж </w:t>
      </w:r>
      <w:r w:rsidRPr="001A4D4E">
        <w:rPr>
          <w:rFonts w:eastAsia="Times New Roman" w:cs="Arial"/>
          <w:color w:val="000000"/>
          <w:lang w:eastAsia="bg-BG"/>
        </w:rPr>
        <w:lastRenderedPageBreak/>
        <w:t>дневно и 12% от пациентите - до 800</w:t>
      </w:r>
      <w:r w:rsidRPr="001A4D4E">
        <w:rPr>
          <w:rFonts w:eastAsia="Times New Roman" w:cs="Arial"/>
          <w:color w:val="000000"/>
          <w:lang w:val="en-US"/>
        </w:rPr>
        <w:t>mg</w:t>
      </w:r>
      <w:r w:rsidRPr="001A4D4E">
        <w:rPr>
          <w:rFonts w:eastAsia="Times New Roman" w:cs="Arial"/>
          <w:color w:val="000000"/>
          <w:lang w:val="ru-RU"/>
        </w:rPr>
        <w:t xml:space="preserve"> </w:t>
      </w:r>
      <w:r w:rsidRPr="001A4D4E">
        <w:rPr>
          <w:rFonts w:eastAsia="Times New Roman" w:cs="Arial"/>
          <w:color w:val="000000"/>
          <w:lang w:eastAsia="bg-BG"/>
        </w:rPr>
        <w:t>епросартан</w:t>
      </w:r>
      <w:r w:rsidRPr="001A4D4E">
        <w:rPr>
          <w:rFonts w:eastAsia="Times New Roman" w:cs="Arial"/>
          <w:color w:val="000000"/>
          <w:lang w:val="ru-RU" w:eastAsia="bg-BG"/>
        </w:rPr>
        <w:t xml:space="preserve"> </w:t>
      </w:r>
      <w:r w:rsidRPr="001A4D4E">
        <w:rPr>
          <w:rFonts w:eastAsia="Times New Roman" w:cs="Arial"/>
          <w:color w:val="000000"/>
          <w:lang w:eastAsia="bg-BG"/>
        </w:rPr>
        <w:t xml:space="preserve">дневно; в групата на лечение с нитрендипин 47% от пациентите са получавали 10 </w:t>
      </w:r>
      <w:r w:rsidRPr="001A4D4E">
        <w:rPr>
          <w:rFonts w:eastAsia="Times New Roman" w:cs="Arial"/>
          <w:color w:val="000000"/>
          <w:lang w:val="en-US"/>
        </w:rPr>
        <w:t>mg</w:t>
      </w:r>
      <w:r w:rsidRPr="001A4D4E">
        <w:rPr>
          <w:rFonts w:eastAsia="Times New Roman" w:cs="Arial"/>
          <w:color w:val="000000"/>
          <w:lang w:val="ru-RU"/>
        </w:rPr>
        <w:t xml:space="preserve"> </w:t>
      </w:r>
      <w:r w:rsidRPr="001A4D4E">
        <w:rPr>
          <w:rFonts w:eastAsia="Times New Roman" w:cs="Arial"/>
          <w:color w:val="000000"/>
          <w:lang w:eastAsia="bg-BG"/>
        </w:rPr>
        <w:t xml:space="preserve">и 42% от пациентите - по 20 </w:t>
      </w:r>
      <w:r w:rsidRPr="001A4D4E">
        <w:rPr>
          <w:rFonts w:eastAsia="Times New Roman" w:cs="Arial"/>
          <w:color w:val="000000"/>
          <w:lang w:val="en-US"/>
        </w:rPr>
        <w:t>mg</w:t>
      </w:r>
      <w:r w:rsidRPr="001A4D4E">
        <w:rPr>
          <w:rFonts w:eastAsia="Times New Roman" w:cs="Arial"/>
          <w:color w:val="000000"/>
          <w:lang w:val="ru-RU"/>
        </w:rPr>
        <w:t xml:space="preserve"> </w:t>
      </w:r>
      <w:r w:rsidRPr="001A4D4E">
        <w:rPr>
          <w:rFonts w:eastAsia="Times New Roman" w:cs="Arial"/>
          <w:color w:val="000000"/>
          <w:lang w:eastAsia="bg-BG"/>
        </w:rPr>
        <w:t xml:space="preserve">дневно (11% от пациентите са получавали до 40 </w:t>
      </w:r>
      <w:r w:rsidRPr="001A4D4E">
        <w:rPr>
          <w:rFonts w:eastAsia="Times New Roman" w:cs="Arial"/>
          <w:color w:val="000000"/>
          <w:lang w:val="en-US"/>
        </w:rPr>
        <w:t>mg</w:t>
      </w:r>
      <w:r w:rsidRPr="001A4D4E">
        <w:rPr>
          <w:rFonts w:eastAsia="Times New Roman" w:cs="Arial"/>
          <w:color w:val="000000"/>
          <w:lang w:val="ru-RU"/>
        </w:rPr>
        <w:t xml:space="preserve">). </w:t>
      </w:r>
      <w:r w:rsidRPr="001A4D4E">
        <w:rPr>
          <w:rFonts w:eastAsia="Times New Roman" w:cs="Arial"/>
          <w:color w:val="000000"/>
          <w:lang w:eastAsia="bg-BG"/>
        </w:rPr>
        <w:t xml:space="preserve">По отношение на своя дизайн, проучването е открито, проспективно, рандомизирано заслепено за оценяващите. Първичната комбинирана крайна цел включва обща смъртност, мозъчно-съдови инциденти </w:t>
      </w:r>
      <w:r w:rsidRPr="001A4D4E">
        <w:rPr>
          <w:rFonts w:eastAsia="Times New Roman" w:cs="Arial"/>
          <w:color w:val="000000"/>
        </w:rPr>
        <w:t>(</w:t>
      </w:r>
      <w:r w:rsidRPr="001A4D4E">
        <w:rPr>
          <w:rFonts w:eastAsia="Times New Roman" w:cs="Arial"/>
          <w:color w:val="000000"/>
          <w:lang w:val="en-US"/>
        </w:rPr>
        <w:t>TIA</w:t>
      </w:r>
      <w:r w:rsidRPr="001A4D4E">
        <w:rPr>
          <w:rFonts w:eastAsia="Times New Roman" w:cs="Arial"/>
          <w:color w:val="000000"/>
        </w:rPr>
        <w:t xml:space="preserve">, </w:t>
      </w:r>
      <w:r w:rsidRPr="001A4D4E">
        <w:rPr>
          <w:rFonts w:eastAsia="Times New Roman" w:cs="Arial"/>
          <w:color w:val="000000"/>
          <w:lang w:val="en-US"/>
        </w:rPr>
        <w:t>PRIND</w:t>
      </w:r>
      <w:r w:rsidRPr="001A4D4E">
        <w:rPr>
          <w:rFonts w:eastAsia="Times New Roman" w:cs="Arial"/>
          <w:color w:val="000000"/>
        </w:rPr>
        <w:t xml:space="preserve">, </w:t>
      </w:r>
      <w:r w:rsidRPr="001A4D4E">
        <w:rPr>
          <w:rFonts w:eastAsia="Times New Roman" w:cs="Arial"/>
          <w:color w:val="000000"/>
          <w:lang w:eastAsia="bg-BG"/>
        </w:rPr>
        <w:t xml:space="preserve">инсулт) и сърдечно-съдови инциденти (нестабилна стенокардия, миокарден инфаркт, сърдечна недостатъчност, белодробен емболизъм и фатална сърдечна аритмия), включително повторни инциденти. Желаните стойности на кръвното налягане са постигнати и поддържани и при двете терапевтични групи по време на проучването. Налице са значително по-добри резултати (21% редукция на риска) по отношение на първичната крайна цел в група на епросартан. При анализирането на данните за настъпване на първи инцидент, резултатите показват редукция на риска с 12% за мозъчно-съдови инциденти и с 30% за сърдечно-съдови инциденти. Това е главно поради намалената честота на </w:t>
      </w:r>
      <w:r w:rsidRPr="001A4D4E">
        <w:rPr>
          <w:rFonts w:eastAsia="Times New Roman" w:cs="Arial"/>
          <w:color w:val="000000"/>
          <w:lang w:val="en-US"/>
        </w:rPr>
        <w:t>TIA</w:t>
      </w:r>
      <w:r w:rsidRPr="001A4D4E">
        <w:rPr>
          <w:rFonts w:eastAsia="Times New Roman" w:cs="Arial"/>
          <w:color w:val="000000"/>
          <w:lang w:val="ru-RU"/>
        </w:rPr>
        <w:t>/</w:t>
      </w:r>
      <w:r w:rsidRPr="001A4D4E">
        <w:rPr>
          <w:rFonts w:eastAsia="Times New Roman" w:cs="Arial"/>
          <w:color w:val="000000"/>
          <w:lang w:val="en-US"/>
        </w:rPr>
        <w:t>PRIND</w:t>
      </w:r>
      <w:r w:rsidRPr="001A4D4E">
        <w:rPr>
          <w:rFonts w:eastAsia="Times New Roman" w:cs="Arial"/>
          <w:color w:val="000000"/>
          <w:lang w:val="ru-RU"/>
        </w:rPr>
        <w:t xml:space="preserve">, </w:t>
      </w:r>
      <w:r w:rsidRPr="001A4D4E">
        <w:rPr>
          <w:rFonts w:eastAsia="Times New Roman" w:cs="Arial"/>
          <w:color w:val="000000"/>
          <w:lang w:eastAsia="bg-BG"/>
        </w:rPr>
        <w:t xml:space="preserve">нестабилната стенокардия и сърдечната недостатъчност. Общата смъртност е числено по-ниска в групата на нитрендипин; в група на епросартан са починали 57 от общо 681 пациенти спрямо 52 от общо 671 пациенти в групата на нитрендипин </w:t>
      </w:r>
      <w:r w:rsidRPr="001A4D4E">
        <w:rPr>
          <w:rFonts w:eastAsia="Times New Roman" w:cs="Arial"/>
          <w:color w:val="000000"/>
          <w:lang w:val="ru-RU"/>
        </w:rPr>
        <w:t>(</w:t>
      </w:r>
      <w:r w:rsidRPr="001A4D4E">
        <w:rPr>
          <w:rFonts w:eastAsia="Times New Roman" w:cs="Arial"/>
          <w:color w:val="000000"/>
          <w:lang w:val="en-US"/>
        </w:rPr>
        <w:t>HR</w:t>
      </w:r>
      <w:r w:rsidRPr="001A4D4E">
        <w:rPr>
          <w:rFonts w:eastAsia="Times New Roman" w:cs="Arial"/>
          <w:color w:val="000000"/>
          <w:lang w:val="ru-RU"/>
        </w:rPr>
        <w:t xml:space="preserve"> </w:t>
      </w:r>
      <w:r w:rsidRPr="001A4D4E">
        <w:rPr>
          <w:rFonts w:eastAsia="Times New Roman" w:cs="Arial"/>
          <w:color w:val="000000"/>
          <w:lang w:eastAsia="bg-BG"/>
        </w:rPr>
        <w:t xml:space="preserve">1.07, 95% </w:t>
      </w:r>
      <w:r w:rsidRPr="001A4D4E">
        <w:rPr>
          <w:rFonts w:eastAsia="Times New Roman" w:cs="Arial"/>
          <w:color w:val="000000"/>
          <w:lang w:val="en-US"/>
        </w:rPr>
        <w:t>CI</w:t>
      </w:r>
      <w:r w:rsidRPr="001A4D4E">
        <w:rPr>
          <w:rFonts w:eastAsia="Times New Roman" w:cs="Arial"/>
          <w:color w:val="000000"/>
          <w:lang w:val="ru-RU"/>
        </w:rPr>
        <w:t xml:space="preserve"> </w:t>
      </w:r>
      <w:r w:rsidRPr="001A4D4E">
        <w:rPr>
          <w:rFonts w:eastAsia="Times New Roman" w:cs="Arial"/>
          <w:color w:val="000000"/>
          <w:lang w:eastAsia="bg-BG"/>
        </w:rPr>
        <w:t>0.73 - 1.56, р = 0.725). Фаталният и нефатален миокарден инфаркт са съответно 18 спрямо 20 и инсултите - 36 спрямо 42, т.е. числено са в полза на епросартан. По отношение на първичната крайна цел, ефектът на епросартан изглежда по-изразен при пациентите, които не са получавали бета-блокери.</w:t>
      </w:r>
    </w:p>
    <w:p w14:paraId="447FE47C" w14:textId="77777777" w:rsidR="001A4D4E" w:rsidRDefault="001A4D4E" w:rsidP="001A4D4E">
      <w:pPr>
        <w:spacing w:line="240" w:lineRule="auto"/>
        <w:rPr>
          <w:rFonts w:eastAsia="Times New Roman" w:cs="Arial"/>
          <w:color w:val="000000"/>
          <w:lang w:eastAsia="bg-BG"/>
        </w:rPr>
      </w:pPr>
    </w:p>
    <w:p w14:paraId="2F38B985" w14:textId="4A1937D6" w:rsidR="001A4D4E" w:rsidRPr="001A4D4E" w:rsidRDefault="001A4D4E" w:rsidP="001A4D4E">
      <w:pPr>
        <w:spacing w:line="240" w:lineRule="auto"/>
        <w:rPr>
          <w:rFonts w:eastAsia="Times New Roman" w:cs="Arial"/>
        </w:rPr>
      </w:pPr>
      <w:r w:rsidRPr="001A4D4E">
        <w:rPr>
          <w:rFonts w:eastAsia="Times New Roman" w:cs="Arial"/>
          <w:color w:val="000000"/>
          <w:lang w:eastAsia="bg-BG"/>
        </w:rPr>
        <w:t xml:space="preserve">При хипертоници, епросартан не повлиява триглицеридите на гладно, общия холестерол или </w:t>
      </w:r>
      <w:r w:rsidRPr="001A4D4E">
        <w:rPr>
          <w:rFonts w:eastAsia="Times New Roman" w:cs="Arial"/>
          <w:color w:val="000000"/>
          <w:lang w:val="en-US"/>
        </w:rPr>
        <w:t>LDL</w:t>
      </w:r>
      <w:r w:rsidRPr="001A4D4E">
        <w:rPr>
          <w:rFonts w:eastAsia="Times New Roman" w:cs="Arial"/>
          <w:color w:val="000000"/>
          <w:lang w:val="ru-RU"/>
        </w:rPr>
        <w:t xml:space="preserve"> </w:t>
      </w:r>
      <w:r w:rsidRPr="001A4D4E">
        <w:rPr>
          <w:rFonts w:eastAsia="Times New Roman" w:cs="Arial"/>
          <w:color w:val="000000"/>
          <w:lang w:eastAsia="bg-BG"/>
        </w:rPr>
        <w:t>(липопротеин с ниска плътност) холестерола. В допълнение, епросартан няма ефект върху нивото на кръвната захар на гладно.</w:t>
      </w:r>
    </w:p>
    <w:p w14:paraId="6DF403EC" w14:textId="77777777" w:rsidR="001A4D4E" w:rsidRDefault="001A4D4E" w:rsidP="001A4D4E">
      <w:pPr>
        <w:spacing w:line="240" w:lineRule="auto"/>
        <w:rPr>
          <w:rFonts w:eastAsia="Times New Roman" w:cs="Arial"/>
          <w:color w:val="000000"/>
          <w:lang w:eastAsia="bg-BG"/>
        </w:rPr>
      </w:pPr>
    </w:p>
    <w:p w14:paraId="2E31EE65" w14:textId="796D376B" w:rsidR="001A4D4E" w:rsidRPr="001A4D4E" w:rsidRDefault="001A4D4E" w:rsidP="001A4D4E">
      <w:pPr>
        <w:spacing w:line="240" w:lineRule="auto"/>
        <w:rPr>
          <w:rFonts w:eastAsia="Times New Roman" w:cs="Arial"/>
        </w:rPr>
      </w:pPr>
      <w:r w:rsidRPr="001A4D4E">
        <w:rPr>
          <w:rFonts w:eastAsia="Times New Roman" w:cs="Arial"/>
          <w:color w:val="000000"/>
          <w:lang w:eastAsia="bg-BG"/>
        </w:rPr>
        <w:t>Епросартан не компрометира авторегулаторните бъбречни механизми. При здрави възрастни мъже, епросартан показва повишаване на средния ефективен бъбречен плазмен ток. Епросартан поддържа бъбречната функция при пациенти с есенциална хипертония и такива с бъбречна недостатъчност. Епросартан не намалява скоростта на бъбречната гломерулна филтрация при здрави мъже, пациенти с хипертония или пациенти с различна степен на бъбречна недостатъчност. Епросартан има натриуретичен ефект при здрави хора, получаващи бедна на сол диета. Епросартан може да се прилага безопасно при пациенти с есенциална хипертония и пациенти с променлива степен на бъбречна недостатъчност, без да причинява задръжка на натрий или влошаване на бъбречната функция.</w:t>
      </w:r>
    </w:p>
    <w:p w14:paraId="5E10D2F4" w14:textId="77777777" w:rsidR="001A4D4E" w:rsidRDefault="001A4D4E" w:rsidP="001A4D4E">
      <w:pPr>
        <w:spacing w:line="240" w:lineRule="auto"/>
        <w:rPr>
          <w:rFonts w:eastAsia="Times New Roman" w:cs="Arial"/>
          <w:color w:val="000000"/>
          <w:lang w:eastAsia="bg-BG"/>
        </w:rPr>
      </w:pPr>
    </w:p>
    <w:p w14:paraId="4C9372AE" w14:textId="6C4C505A" w:rsidR="001A4D4E" w:rsidRPr="001A4D4E" w:rsidRDefault="001A4D4E" w:rsidP="001A4D4E">
      <w:pPr>
        <w:spacing w:line="240" w:lineRule="auto"/>
        <w:rPr>
          <w:rFonts w:eastAsia="Times New Roman" w:cs="Arial"/>
        </w:rPr>
      </w:pPr>
      <w:r w:rsidRPr="001A4D4E">
        <w:rPr>
          <w:rFonts w:eastAsia="Times New Roman" w:cs="Arial"/>
          <w:color w:val="000000"/>
          <w:lang w:eastAsia="bg-BG"/>
        </w:rPr>
        <w:t>Епросартан не повлиява значително екскрецията на пикочна киселина в урината.</w:t>
      </w:r>
    </w:p>
    <w:p w14:paraId="6E120940" w14:textId="77777777" w:rsidR="001A4D4E" w:rsidRDefault="001A4D4E" w:rsidP="001A4D4E">
      <w:pPr>
        <w:rPr>
          <w:rFonts w:eastAsia="Times New Roman" w:cs="Arial"/>
          <w:color w:val="000000"/>
          <w:lang w:eastAsia="bg-BG"/>
        </w:rPr>
      </w:pPr>
    </w:p>
    <w:p w14:paraId="28037182" w14:textId="44F9DDBA" w:rsidR="001A4D4E" w:rsidRDefault="001A4D4E" w:rsidP="001A4D4E">
      <w:pPr>
        <w:rPr>
          <w:rFonts w:eastAsia="Times New Roman" w:cs="Arial"/>
          <w:color w:val="000000"/>
          <w:lang w:eastAsia="bg-BG"/>
        </w:rPr>
      </w:pPr>
      <w:r w:rsidRPr="001A4D4E">
        <w:rPr>
          <w:rFonts w:eastAsia="Times New Roman" w:cs="Arial"/>
          <w:color w:val="000000"/>
          <w:lang w:eastAsia="bg-BG"/>
        </w:rPr>
        <w:t xml:space="preserve">Епросартан не потенцира ефектите, свързани с брадикинин (медиирани от АСЕ), напр. кашлица. В изследване, специално направено за сравняване честотата на поява на кашлица при пациенти, лекувани с епросартан и инхибитори на ангиотензин-конвертиращия ензим, честотата на поява на суха, персистираща кашлица при пациентите, лекувани с епросартан (1,5%) е била значително по- ниска (р&lt;0,05) от тази при пациенти, които са лекувани с инхибитори на ангиотензин конвертиращия ензим (5,4%). Появата на каквато и да е кашлица е също значително по-рядко срещана (р&lt;0,05) при пациенти, лекувани с епросартан (21,2%) от тази, наблюдавана при лекуваните с инхибитори на ангиотензин конвертиращия ензим (29,9%). В допълнително изследване, проучващо честотата на поява на кашлица при пациенти, които преди това са имали кашлица при прием на АСЕ-инхибитори, честотата на сухата, персистираща кашлица е </w:t>
      </w:r>
      <w:r w:rsidRPr="001A4D4E">
        <w:rPr>
          <w:rFonts w:eastAsia="Times New Roman" w:cs="Arial"/>
          <w:color w:val="000000"/>
          <w:lang w:eastAsia="bg-BG"/>
        </w:rPr>
        <w:lastRenderedPageBreak/>
        <w:t>била 2.6% при епросартан, 2.7% при плацебо и 25% при АСЕ-инхибитори. Разликата в честотата на поява на сухата, персистираща кашлица между епросартан и групите на АСЕ-инхибиторите е била статистически значима (р&lt;0.01), докато разликата между епросартан и плацебо не е. Честотата на поява на каквато и да е кашлица е била също статистически значимо по-ниска (р&lt;0,01) при епросартан в сравнение с АСЕ-инхибитори и не се различава статистически от тази при плацебо. В допълнение, при обобщен анализ, обхващащ 6 двойно-слепи клинични изпитвания включващи 1 554 пациенти, честотата на поява на кашлица, съобщавана спонтанно от пациенти, лекувани с епросартан е в рамките на същата честота (3,5%), както и при тези, лекувани плацебо (2,6%)</w:t>
      </w:r>
    </w:p>
    <w:p w14:paraId="40BBFD9D" w14:textId="06FD5019" w:rsidR="001A4D4E" w:rsidRDefault="001A4D4E" w:rsidP="001A4D4E">
      <w:pPr>
        <w:rPr>
          <w:rFonts w:eastAsia="Times New Roman" w:cs="Arial"/>
          <w:color w:val="000000"/>
          <w:lang w:eastAsia="bg-BG"/>
        </w:rPr>
      </w:pPr>
    </w:p>
    <w:p w14:paraId="523FB538" w14:textId="77777777" w:rsidR="001A4D4E" w:rsidRPr="001A4D4E" w:rsidRDefault="001A4D4E" w:rsidP="001A4D4E">
      <w:pPr>
        <w:spacing w:line="240" w:lineRule="auto"/>
        <w:rPr>
          <w:rFonts w:eastAsia="Times New Roman" w:cs="Arial"/>
        </w:rPr>
      </w:pPr>
      <w:r w:rsidRPr="001A4D4E">
        <w:rPr>
          <w:rFonts w:eastAsia="Times New Roman" w:cs="Arial"/>
          <w:color w:val="000000"/>
          <w:lang w:eastAsia="bg-BG"/>
        </w:rPr>
        <w:t>В три клинични изпитвания (</w:t>
      </w:r>
      <w:r w:rsidRPr="001A4D4E">
        <w:rPr>
          <w:rFonts w:eastAsia="Times New Roman" w:cs="Arial"/>
          <w:color w:val="000000"/>
          <w:lang w:val="en-US"/>
        </w:rPr>
        <w:t>n</w:t>
      </w:r>
      <w:r w:rsidRPr="001A4D4E">
        <w:rPr>
          <w:rFonts w:eastAsia="Times New Roman" w:cs="Arial"/>
          <w:color w:val="000000"/>
          <w:lang w:eastAsia="bg-BG"/>
        </w:rPr>
        <w:t>=791) е доказано, че ефектът на понижаване на артериалното налягане с епросартан е поне толкова голям, колкото и този на АСЕ-инхибитора еналаприл с тенденция за по-голяма ефикасност с епросартан.</w:t>
      </w:r>
    </w:p>
    <w:p w14:paraId="711815BC" w14:textId="77777777" w:rsidR="001A4D4E" w:rsidRPr="001A4D4E" w:rsidRDefault="001A4D4E" w:rsidP="001A4D4E">
      <w:pPr>
        <w:spacing w:line="240" w:lineRule="auto"/>
        <w:rPr>
          <w:rFonts w:eastAsia="Times New Roman" w:cs="Arial"/>
        </w:rPr>
      </w:pPr>
      <w:r w:rsidRPr="001A4D4E">
        <w:rPr>
          <w:rFonts w:eastAsia="Times New Roman" w:cs="Arial"/>
          <w:color w:val="000000"/>
          <w:lang w:eastAsia="bg-BG"/>
        </w:rPr>
        <w:t xml:space="preserve">Две големи рандомизирани контролирани проучвания - </w:t>
      </w:r>
      <w:r w:rsidRPr="001A4D4E">
        <w:rPr>
          <w:rFonts w:eastAsia="Times New Roman" w:cs="Arial"/>
          <w:color w:val="000000"/>
          <w:lang w:val="en-US"/>
        </w:rPr>
        <w:t>ONTARGET</w:t>
      </w:r>
      <w:r w:rsidRPr="001A4D4E">
        <w:rPr>
          <w:rFonts w:eastAsia="Times New Roman" w:cs="Arial"/>
          <w:color w:val="000000"/>
        </w:rPr>
        <w:t xml:space="preserve"> (</w:t>
      </w:r>
      <w:proofErr w:type="spellStart"/>
      <w:r w:rsidRPr="001A4D4E">
        <w:rPr>
          <w:rFonts w:eastAsia="Times New Roman" w:cs="Arial"/>
          <w:color w:val="000000"/>
          <w:lang w:val="en-US"/>
        </w:rPr>
        <w:t>ONgoing</w:t>
      </w:r>
      <w:proofErr w:type="spellEnd"/>
      <w:r w:rsidRPr="001A4D4E">
        <w:rPr>
          <w:rFonts w:eastAsia="Times New Roman" w:cs="Arial"/>
          <w:color w:val="000000"/>
        </w:rPr>
        <w:t xml:space="preserve"> </w:t>
      </w:r>
      <w:proofErr w:type="spellStart"/>
      <w:r w:rsidRPr="001A4D4E">
        <w:rPr>
          <w:rFonts w:eastAsia="Times New Roman" w:cs="Arial"/>
          <w:color w:val="000000"/>
          <w:lang w:val="en-US"/>
        </w:rPr>
        <w:t>Telmisartan</w:t>
      </w:r>
      <w:proofErr w:type="spellEnd"/>
      <w:r w:rsidRPr="001A4D4E">
        <w:rPr>
          <w:rFonts w:eastAsia="Times New Roman" w:cs="Arial"/>
          <w:color w:val="000000"/>
        </w:rPr>
        <w:t xml:space="preserve"> </w:t>
      </w:r>
      <w:r w:rsidRPr="001A4D4E">
        <w:rPr>
          <w:rFonts w:eastAsia="Times New Roman" w:cs="Arial"/>
          <w:color w:val="000000"/>
          <w:lang w:val="en-US"/>
        </w:rPr>
        <w:t>Alone</w:t>
      </w:r>
      <w:r w:rsidRPr="001A4D4E">
        <w:rPr>
          <w:rFonts w:eastAsia="Times New Roman" w:cs="Arial"/>
          <w:color w:val="000000"/>
        </w:rPr>
        <w:t xml:space="preserve"> </w:t>
      </w:r>
      <w:r w:rsidRPr="001A4D4E">
        <w:rPr>
          <w:rFonts w:eastAsia="Times New Roman" w:cs="Arial"/>
          <w:color w:val="000000"/>
          <w:lang w:val="en-US"/>
        </w:rPr>
        <w:t>and</w:t>
      </w:r>
      <w:r w:rsidRPr="001A4D4E">
        <w:rPr>
          <w:rFonts w:eastAsia="Times New Roman" w:cs="Arial"/>
          <w:color w:val="000000"/>
        </w:rPr>
        <w:t xml:space="preserve"> </w:t>
      </w:r>
      <w:r w:rsidRPr="001A4D4E">
        <w:rPr>
          <w:rFonts w:eastAsia="Times New Roman" w:cs="Arial"/>
          <w:color w:val="000000"/>
          <w:lang w:val="en-US"/>
        </w:rPr>
        <w:t>in</w:t>
      </w:r>
      <w:r w:rsidRPr="001A4D4E">
        <w:rPr>
          <w:rFonts w:eastAsia="Times New Roman" w:cs="Arial"/>
          <w:color w:val="000000"/>
        </w:rPr>
        <w:t xml:space="preserve"> </w:t>
      </w:r>
      <w:r w:rsidRPr="001A4D4E">
        <w:rPr>
          <w:rFonts w:eastAsia="Times New Roman" w:cs="Arial"/>
          <w:color w:val="000000"/>
          <w:lang w:val="en-US"/>
        </w:rPr>
        <w:t>combination</w:t>
      </w:r>
      <w:r w:rsidRPr="001A4D4E">
        <w:rPr>
          <w:rFonts w:eastAsia="Times New Roman" w:cs="Arial"/>
          <w:color w:val="000000"/>
        </w:rPr>
        <w:t xml:space="preserve"> </w:t>
      </w:r>
      <w:r w:rsidRPr="001A4D4E">
        <w:rPr>
          <w:rFonts w:eastAsia="Times New Roman" w:cs="Arial"/>
          <w:color w:val="000000"/>
          <w:lang w:val="en-US"/>
        </w:rPr>
        <w:t>with</w:t>
      </w:r>
      <w:r w:rsidRPr="001A4D4E">
        <w:rPr>
          <w:rFonts w:eastAsia="Times New Roman" w:cs="Arial"/>
          <w:color w:val="000000"/>
        </w:rPr>
        <w:t xml:space="preserve"> </w:t>
      </w:r>
      <w:r w:rsidRPr="001A4D4E">
        <w:rPr>
          <w:rFonts w:eastAsia="Times New Roman" w:cs="Arial"/>
          <w:color w:val="000000"/>
          <w:lang w:val="en-US"/>
        </w:rPr>
        <w:t>Ramipril</w:t>
      </w:r>
      <w:r w:rsidRPr="001A4D4E">
        <w:rPr>
          <w:rFonts w:eastAsia="Times New Roman" w:cs="Arial"/>
          <w:color w:val="000000"/>
        </w:rPr>
        <w:t xml:space="preserve"> </w:t>
      </w:r>
      <w:r w:rsidRPr="001A4D4E">
        <w:rPr>
          <w:rFonts w:eastAsia="Times New Roman" w:cs="Arial"/>
          <w:color w:val="000000"/>
          <w:lang w:val="en-US"/>
        </w:rPr>
        <w:t>Global</w:t>
      </w:r>
      <w:r w:rsidRPr="001A4D4E">
        <w:rPr>
          <w:rFonts w:eastAsia="Times New Roman" w:cs="Arial"/>
          <w:color w:val="000000"/>
        </w:rPr>
        <w:t xml:space="preserve"> </w:t>
      </w:r>
      <w:r w:rsidRPr="001A4D4E">
        <w:rPr>
          <w:rFonts w:eastAsia="Times New Roman" w:cs="Arial"/>
          <w:color w:val="000000"/>
          <w:lang w:val="en-US"/>
        </w:rPr>
        <w:t>Endpoint</w:t>
      </w:r>
      <w:r w:rsidRPr="001A4D4E">
        <w:rPr>
          <w:rFonts w:eastAsia="Times New Roman" w:cs="Arial"/>
          <w:color w:val="000000"/>
        </w:rPr>
        <w:t xml:space="preserve"> </w:t>
      </w:r>
      <w:r w:rsidRPr="001A4D4E">
        <w:rPr>
          <w:rFonts w:eastAsia="Times New Roman" w:cs="Arial"/>
          <w:color w:val="000000"/>
          <w:lang w:val="en-US"/>
        </w:rPr>
        <w:t>Trial</w:t>
      </w:r>
      <w:r w:rsidRPr="001A4D4E">
        <w:rPr>
          <w:rFonts w:eastAsia="Times New Roman" w:cs="Arial"/>
          <w:color w:val="000000"/>
        </w:rPr>
        <w:t xml:space="preserve"> - </w:t>
      </w:r>
      <w:r w:rsidRPr="001A4D4E">
        <w:rPr>
          <w:rFonts w:eastAsia="Times New Roman" w:cs="Arial"/>
          <w:color w:val="000000"/>
          <w:lang w:eastAsia="bg-BG"/>
        </w:rPr>
        <w:t xml:space="preserve">текущо глобално изпитване за крайни точки на телмисартан, самостоятелно и в комбинация с рамиприл) и </w:t>
      </w:r>
      <w:r w:rsidRPr="001A4D4E">
        <w:rPr>
          <w:rFonts w:eastAsia="Times New Roman" w:cs="Arial"/>
          <w:color w:val="000000"/>
          <w:lang w:val="en-US"/>
        </w:rPr>
        <w:t>VA</w:t>
      </w:r>
      <w:r w:rsidRPr="001A4D4E">
        <w:rPr>
          <w:rFonts w:eastAsia="Times New Roman" w:cs="Arial"/>
          <w:color w:val="000000"/>
        </w:rPr>
        <w:t xml:space="preserve"> </w:t>
      </w:r>
      <w:r w:rsidRPr="001A4D4E">
        <w:rPr>
          <w:rFonts w:eastAsia="Times New Roman" w:cs="Arial"/>
          <w:color w:val="000000"/>
          <w:lang w:val="en-US"/>
        </w:rPr>
        <w:t>NEPHRON</w:t>
      </w:r>
      <w:r w:rsidRPr="001A4D4E">
        <w:rPr>
          <w:rFonts w:eastAsia="Times New Roman" w:cs="Arial"/>
          <w:color w:val="000000"/>
        </w:rPr>
        <w:t>-</w:t>
      </w:r>
      <w:r w:rsidRPr="001A4D4E">
        <w:rPr>
          <w:rFonts w:eastAsia="Times New Roman" w:cs="Arial"/>
          <w:color w:val="000000"/>
          <w:lang w:val="en-US"/>
        </w:rPr>
        <w:t>D</w:t>
      </w:r>
      <w:r w:rsidRPr="001A4D4E">
        <w:rPr>
          <w:rFonts w:eastAsia="Times New Roman" w:cs="Arial"/>
          <w:color w:val="000000"/>
        </w:rPr>
        <w:t xml:space="preserve"> </w:t>
      </w:r>
      <w:r w:rsidRPr="001A4D4E">
        <w:rPr>
          <w:rFonts w:eastAsia="Times New Roman" w:cs="Arial"/>
          <w:color w:val="000000"/>
          <w:lang w:eastAsia="bg-BG"/>
        </w:rPr>
        <w:t xml:space="preserve">(Клинично проучване свързано с развитие на нефропатия при диабет, проведено от Министерство по въпросите на ветераните) - проучват употребата на комбинацията от АСЕ-инхибитор и ангиотензин </w:t>
      </w:r>
      <w:r w:rsidRPr="001A4D4E">
        <w:rPr>
          <w:rFonts w:eastAsia="Times New Roman" w:cs="Arial"/>
          <w:color w:val="000000"/>
          <w:lang w:val="en-US"/>
        </w:rPr>
        <w:t>II</w:t>
      </w:r>
      <w:r w:rsidRPr="001A4D4E">
        <w:rPr>
          <w:rFonts w:eastAsia="Times New Roman" w:cs="Arial"/>
          <w:color w:val="000000"/>
          <w:lang w:eastAsia="bg-BG"/>
        </w:rPr>
        <w:t>-рецепторен блокер.</w:t>
      </w:r>
    </w:p>
    <w:p w14:paraId="2FE5F28B" w14:textId="77777777" w:rsidR="001A4D4E" w:rsidRDefault="001A4D4E" w:rsidP="001A4D4E">
      <w:pPr>
        <w:spacing w:line="240" w:lineRule="auto"/>
        <w:rPr>
          <w:rFonts w:eastAsia="Times New Roman" w:cs="Arial"/>
          <w:color w:val="000000"/>
          <w:lang w:val="en-US"/>
        </w:rPr>
      </w:pPr>
    </w:p>
    <w:p w14:paraId="4406B8D2" w14:textId="6C23AE63" w:rsidR="001A4D4E" w:rsidRPr="001A4D4E" w:rsidRDefault="001A4D4E" w:rsidP="001A4D4E">
      <w:pPr>
        <w:spacing w:line="240" w:lineRule="auto"/>
        <w:rPr>
          <w:rFonts w:eastAsia="Times New Roman" w:cs="Arial"/>
        </w:rPr>
      </w:pPr>
      <w:r w:rsidRPr="001A4D4E">
        <w:rPr>
          <w:rFonts w:eastAsia="Times New Roman" w:cs="Arial"/>
          <w:color w:val="000000"/>
          <w:lang w:val="en-US"/>
        </w:rPr>
        <w:t>ONTARGET</w:t>
      </w:r>
      <w:r w:rsidRPr="001A4D4E">
        <w:rPr>
          <w:rFonts w:eastAsia="Times New Roman" w:cs="Arial"/>
          <w:color w:val="000000"/>
          <w:lang w:val="ru-RU"/>
        </w:rPr>
        <w:t xml:space="preserve"> </w:t>
      </w:r>
      <w:r w:rsidRPr="001A4D4E">
        <w:rPr>
          <w:rFonts w:eastAsia="Times New Roman" w:cs="Arial"/>
          <w:color w:val="000000"/>
          <w:lang w:eastAsia="bg-BG"/>
        </w:rPr>
        <w:t xml:space="preserve">е проучване, проведено при пациенти с анамнеза за сърдечно-съдова или мозъчно- съдова болест, или захарен диабет тип 2, придружени с данни за увреждане на ефекторни органи. </w:t>
      </w:r>
      <w:r w:rsidRPr="001A4D4E">
        <w:rPr>
          <w:rFonts w:eastAsia="Times New Roman" w:cs="Arial"/>
          <w:color w:val="000000"/>
          <w:lang w:val="en-US"/>
        </w:rPr>
        <w:t>VA</w:t>
      </w:r>
      <w:r w:rsidRPr="001A4D4E">
        <w:rPr>
          <w:rFonts w:eastAsia="Times New Roman" w:cs="Arial"/>
          <w:color w:val="000000"/>
          <w:lang w:val="ru-RU"/>
        </w:rPr>
        <w:t xml:space="preserve"> </w:t>
      </w:r>
      <w:r w:rsidRPr="001A4D4E">
        <w:rPr>
          <w:rFonts w:eastAsia="Times New Roman" w:cs="Arial"/>
          <w:color w:val="000000"/>
          <w:lang w:val="en-US"/>
        </w:rPr>
        <w:t>NEPHRON</w:t>
      </w:r>
      <w:r w:rsidRPr="001A4D4E">
        <w:rPr>
          <w:rFonts w:eastAsia="Times New Roman" w:cs="Arial"/>
          <w:color w:val="000000"/>
          <w:lang w:val="ru-RU"/>
        </w:rPr>
        <w:t>-</w:t>
      </w:r>
      <w:r w:rsidRPr="001A4D4E">
        <w:rPr>
          <w:rFonts w:eastAsia="Times New Roman" w:cs="Arial"/>
          <w:color w:val="000000"/>
          <w:lang w:val="en-US"/>
        </w:rPr>
        <w:t>D</w:t>
      </w:r>
      <w:r w:rsidRPr="001A4D4E">
        <w:rPr>
          <w:rFonts w:eastAsia="Times New Roman" w:cs="Arial"/>
          <w:color w:val="000000"/>
          <w:lang w:val="ru-RU"/>
        </w:rPr>
        <w:t xml:space="preserve"> </w:t>
      </w:r>
      <w:r w:rsidRPr="001A4D4E">
        <w:rPr>
          <w:rFonts w:eastAsia="Times New Roman" w:cs="Arial"/>
          <w:color w:val="000000"/>
          <w:lang w:eastAsia="bg-BG"/>
        </w:rPr>
        <w:t>е проучване при пациенти със захарен диабет тип 2 и диабетна нефропатия.</w:t>
      </w:r>
    </w:p>
    <w:p w14:paraId="617642E6" w14:textId="77777777" w:rsidR="001A4D4E" w:rsidRDefault="001A4D4E" w:rsidP="001A4D4E">
      <w:pPr>
        <w:spacing w:line="240" w:lineRule="auto"/>
        <w:rPr>
          <w:rFonts w:eastAsia="Times New Roman" w:cs="Arial"/>
          <w:color w:val="000000"/>
          <w:lang w:eastAsia="bg-BG"/>
        </w:rPr>
      </w:pPr>
    </w:p>
    <w:p w14:paraId="50ED1CF1" w14:textId="23968B99" w:rsidR="001A4D4E" w:rsidRPr="001A4D4E" w:rsidRDefault="001A4D4E" w:rsidP="001A4D4E">
      <w:pPr>
        <w:spacing w:line="240" w:lineRule="auto"/>
        <w:rPr>
          <w:rFonts w:eastAsia="Times New Roman" w:cs="Arial"/>
        </w:rPr>
      </w:pPr>
      <w:r w:rsidRPr="001A4D4E">
        <w:rPr>
          <w:rFonts w:eastAsia="Times New Roman" w:cs="Arial"/>
          <w:color w:val="000000"/>
          <w:lang w:eastAsia="bg-BG"/>
        </w:rPr>
        <w:t>Тези проучвания не показват значим благоприятен ефект върху бъбречните и/или сърдечно</w:t>
      </w:r>
      <w:r w:rsidRPr="001A4D4E">
        <w:rPr>
          <w:rFonts w:eastAsia="Times New Roman" w:cs="Arial"/>
          <w:color w:val="000000"/>
          <w:lang w:eastAsia="bg-BG"/>
        </w:rPr>
        <w:softHyphen/>
        <w:t xml:space="preserve">съдовите последици и смъртност, като същевременно са наблюдавани повишен риск от хиперкалиемия, остро увреждане на бъбреците и/или хипотония в сравнение с монотерапията. Като се имат предвид сходните им фармакодинамични свойства, тези резултати са приложими и за други АСЕ-инхибитори и ангиотензин </w:t>
      </w:r>
      <w:r w:rsidRPr="001A4D4E">
        <w:rPr>
          <w:rFonts w:eastAsia="Times New Roman" w:cs="Arial"/>
          <w:color w:val="000000"/>
          <w:lang w:val="en-US"/>
        </w:rPr>
        <w:t>II</w:t>
      </w:r>
      <w:r w:rsidRPr="001A4D4E">
        <w:rPr>
          <w:rFonts w:eastAsia="Times New Roman" w:cs="Arial"/>
          <w:color w:val="000000"/>
          <w:lang w:eastAsia="bg-BG"/>
        </w:rPr>
        <w:t>-рецепторни блокери.</w:t>
      </w:r>
    </w:p>
    <w:p w14:paraId="155622D0" w14:textId="77777777" w:rsidR="001A4D4E" w:rsidRDefault="001A4D4E" w:rsidP="001A4D4E">
      <w:pPr>
        <w:spacing w:line="240" w:lineRule="auto"/>
        <w:rPr>
          <w:rFonts w:eastAsia="Times New Roman" w:cs="Arial"/>
          <w:color w:val="000000"/>
          <w:lang w:eastAsia="bg-BG"/>
        </w:rPr>
      </w:pPr>
    </w:p>
    <w:p w14:paraId="337C1C6C" w14:textId="10F154FD" w:rsidR="001A4D4E" w:rsidRPr="001A4D4E" w:rsidRDefault="001A4D4E" w:rsidP="001A4D4E">
      <w:pPr>
        <w:spacing w:line="240" w:lineRule="auto"/>
        <w:rPr>
          <w:rFonts w:eastAsia="Times New Roman" w:cs="Arial"/>
        </w:rPr>
      </w:pPr>
      <w:r w:rsidRPr="001A4D4E">
        <w:rPr>
          <w:rFonts w:eastAsia="Times New Roman" w:cs="Arial"/>
          <w:color w:val="000000"/>
          <w:lang w:eastAsia="bg-BG"/>
        </w:rPr>
        <w:t xml:space="preserve">АСЕ-инхибитори и ангиотензин </w:t>
      </w:r>
      <w:r w:rsidRPr="001A4D4E">
        <w:rPr>
          <w:rFonts w:eastAsia="Times New Roman" w:cs="Arial"/>
          <w:color w:val="000000"/>
          <w:lang w:val="en-US"/>
        </w:rPr>
        <w:t>II</w:t>
      </w:r>
      <w:r w:rsidRPr="001A4D4E">
        <w:rPr>
          <w:rFonts w:eastAsia="Times New Roman" w:cs="Arial"/>
          <w:color w:val="000000"/>
          <w:lang w:eastAsia="bg-BG"/>
        </w:rPr>
        <w:t>-рецепторни блокери следователно не трябва да се използват едновременно при пациенти с диабетна нефропатия.</w:t>
      </w:r>
    </w:p>
    <w:p w14:paraId="3431B687" w14:textId="77777777" w:rsidR="001A4D4E" w:rsidRDefault="001A4D4E" w:rsidP="001A4D4E">
      <w:pPr>
        <w:spacing w:line="240" w:lineRule="auto"/>
        <w:rPr>
          <w:rFonts w:eastAsia="Times New Roman" w:cs="Arial"/>
          <w:color w:val="000000"/>
          <w:lang w:val="en-US"/>
        </w:rPr>
      </w:pPr>
    </w:p>
    <w:p w14:paraId="3B5B3107" w14:textId="2482422E" w:rsidR="001A4D4E" w:rsidRPr="001A4D4E" w:rsidRDefault="001A4D4E" w:rsidP="001A4D4E">
      <w:pPr>
        <w:spacing w:line="240" w:lineRule="auto"/>
        <w:rPr>
          <w:rFonts w:eastAsia="Times New Roman" w:cs="Arial"/>
        </w:rPr>
      </w:pPr>
      <w:r w:rsidRPr="001A4D4E">
        <w:rPr>
          <w:rFonts w:eastAsia="Times New Roman" w:cs="Arial"/>
          <w:color w:val="000000"/>
          <w:lang w:val="en-US"/>
        </w:rPr>
        <w:t>ALTITUDE</w:t>
      </w:r>
      <w:r w:rsidRPr="001A4D4E">
        <w:rPr>
          <w:rFonts w:eastAsia="Times New Roman" w:cs="Arial"/>
          <w:color w:val="000000"/>
          <w:lang w:val="ru-RU"/>
        </w:rPr>
        <w:t xml:space="preserve"> </w:t>
      </w:r>
      <w:r w:rsidRPr="001A4D4E">
        <w:rPr>
          <w:rFonts w:eastAsia="Times New Roman" w:cs="Arial"/>
          <w:color w:val="000000"/>
          <w:lang w:eastAsia="bg-BG"/>
        </w:rPr>
        <w:t xml:space="preserve">(Клинично проучване проведено с алискирен при пациенти със захарен диабет тип 2 с използване на сърдечно-съдови и бъбречни заболявания като крайни точки) е проучване, предназначено да изследва ползата от добавянето на алискирен към стандартна терапия с АСЕ- инхибитор или ангиотензин </w:t>
      </w:r>
      <w:r w:rsidRPr="001A4D4E">
        <w:rPr>
          <w:rFonts w:eastAsia="Times New Roman" w:cs="Arial"/>
          <w:color w:val="000000"/>
          <w:lang w:val="en-US"/>
        </w:rPr>
        <w:t>II</w:t>
      </w:r>
      <w:r w:rsidRPr="001A4D4E">
        <w:rPr>
          <w:rFonts w:eastAsia="Times New Roman" w:cs="Arial"/>
          <w:color w:val="000000"/>
          <w:lang w:eastAsia="bg-BG"/>
        </w:rPr>
        <w:t>-рецепторен блокер при пациенти със захарен диабет тип 2 и хронично бъбречно заболяване, сърдечно-съдово заболяване или и двете. Проучването е прекратено преждевременно поради повишен риск от неблагоприятни последици. Както сърдечно</w:t>
      </w:r>
      <w:r w:rsidRPr="001A4D4E">
        <w:rPr>
          <w:rFonts w:eastAsia="Times New Roman" w:cs="Arial"/>
          <w:color w:val="000000"/>
          <w:lang w:eastAsia="bg-BG"/>
        </w:rPr>
        <w:softHyphen/>
        <w:t>съдовата смърт, така и инсултът са по-чести в групата на алискирен, отколкото в групата на плацебо, а представляващите интерес нежелани събития и сериозни нежелани събития (хиперкалиемия, хипотония и бъбречна дисфункция) се съобщават по-често в групата на алискирен, отколкото в групата на плацебо.</w:t>
      </w:r>
    </w:p>
    <w:p w14:paraId="3EF67D50" w14:textId="77777777" w:rsidR="001A4D4E" w:rsidRPr="001A4D4E" w:rsidRDefault="001A4D4E" w:rsidP="001A4D4E">
      <w:pPr>
        <w:rPr>
          <w:rFonts w:eastAsia="Times New Roman" w:cs="Arial"/>
          <w:color w:val="000000"/>
          <w:lang w:eastAsia="bg-BG"/>
        </w:rPr>
      </w:pPr>
    </w:p>
    <w:p w14:paraId="533958A9" w14:textId="77777777" w:rsidR="001A4D4E" w:rsidRPr="001A4D4E" w:rsidRDefault="001A4D4E" w:rsidP="001A4D4E">
      <w:pPr>
        <w:rPr>
          <w:rFonts w:cs="Arial"/>
          <w:lang w:val="ru-RU"/>
        </w:rPr>
      </w:pPr>
    </w:p>
    <w:p w14:paraId="346B622B" w14:textId="72342E62" w:rsidR="00875EEC" w:rsidRDefault="002C50EE" w:rsidP="005726E3">
      <w:pPr>
        <w:pStyle w:val="Heading2"/>
      </w:pPr>
      <w:r>
        <w:t>5.2. Фармакокинетични свойства</w:t>
      </w:r>
    </w:p>
    <w:p w14:paraId="56E46188" w14:textId="127E8908" w:rsidR="001A4D4E" w:rsidRDefault="001A4D4E" w:rsidP="001A4D4E"/>
    <w:p w14:paraId="71784F50" w14:textId="77777777" w:rsidR="001A4D4E" w:rsidRPr="001A4D4E" w:rsidRDefault="001A4D4E" w:rsidP="001A4D4E">
      <w:pPr>
        <w:spacing w:line="240" w:lineRule="auto"/>
        <w:rPr>
          <w:rFonts w:eastAsia="Times New Roman" w:cs="Arial"/>
        </w:rPr>
      </w:pPr>
      <w:r w:rsidRPr="001A4D4E">
        <w:rPr>
          <w:rFonts w:eastAsia="Times New Roman" w:cs="Arial"/>
          <w:color w:val="000000"/>
          <w:u w:val="single"/>
          <w:lang w:eastAsia="bg-BG"/>
        </w:rPr>
        <w:lastRenderedPageBreak/>
        <w:t>Абсорбция</w:t>
      </w:r>
    </w:p>
    <w:p w14:paraId="2F87AF71" w14:textId="77777777" w:rsidR="001A4D4E" w:rsidRPr="001A4D4E" w:rsidRDefault="001A4D4E" w:rsidP="001A4D4E">
      <w:pPr>
        <w:spacing w:line="240" w:lineRule="auto"/>
        <w:rPr>
          <w:rFonts w:eastAsia="Times New Roman" w:cs="Arial"/>
        </w:rPr>
      </w:pPr>
      <w:r w:rsidRPr="001A4D4E">
        <w:rPr>
          <w:rFonts w:eastAsia="Times New Roman" w:cs="Arial"/>
          <w:color w:val="000000"/>
          <w:lang w:eastAsia="bg-BG"/>
        </w:rPr>
        <w:t xml:space="preserve">Абсолютната бионаличност след еднократна перорална доза от 300 </w:t>
      </w:r>
      <w:r w:rsidRPr="001A4D4E">
        <w:rPr>
          <w:rFonts w:eastAsia="Times New Roman" w:cs="Arial"/>
          <w:color w:val="000000"/>
          <w:lang w:val="en-US"/>
        </w:rPr>
        <w:t>mg</w:t>
      </w:r>
      <w:r w:rsidRPr="001A4D4E">
        <w:rPr>
          <w:rFonts w:eastAsia="Times New Roman" w:cs="Arial"/>
          <w:color w:val="000000"/>
          <w:lang w:val="ru-RU"/>
        </w:rPr>
        <w:t xml:space="preserve"> </w:t>
      </w:r>
      <w:r w:rsidRPr="001A4D4E">
        <w:rPr>
          <w:rFonts w:eastAsia="Times New Roman" w:cs="Arial"/>
          <w:color w:val="000000"/>
          <w:lang w:eastAsia="bg-BG"/>
        </w:rPr>
        <w:t xml:space="preserve">епросартан е около 13% в резултат на ограничената перорална абсорбция. Пикът на плазмената концентрация на епросартан се достига 1 до 2 часа след перорално приложение на гладно. В проучване за лозовата пропорционалност, плазмените концентрации на епросартан са пропорционални при дози от 100 до 200 </w:t>
      </w:r>
      <w:r w:rsidRPr="001A4D4E">
        <w:rPr>
          <w:rFonts w:eastAsia="Times New Roman" w:cs="Arial"/>
          <w:color w:val="000000"/>
          <w:lang w:val="en-US"/>
        </w:rPr>
        <w:t>mg</w:t>
      </w:r>
      <w:r w:rsidRPr="001A4D4E">
        <w:rPr>
          <w:rFonts w:eastAsia="Times New Roman" w:cs="Arial"/>
          <w:color w:val="000000"/>
          <w:lang w:val="ru-RU"/>
        </w:rPr>
        <w:t xml:space="preserve">, </w:t>
      </w:r>
      <w:r w:rsidRPr="001A4D4E">
        <w:rPr>
          <w:rFonts w:eastAsia="Times New Roman" w:cs="Arial"/>
          <w:color w:val="000000"/>
          <w:lang w:eastAsia="bg-BG"/>
        </w:rPr>
        <w:t xml:space="preserve">но по-малко пропорционални при дози от 400 и 800 </w:t>
      </w:r>
      <w:r w:rsidRPr="001A4D4E">
        <w:rPr>
          <w:rFonts w:eastAsia="Times New Roman" w:cs="Arial"/>
          <w:color w:val="000000"/>
          <w:lang w:val="en-US"/>
        </w:rPr>
        <w:t>mg</w:t>
      </w:r>
      <w:r w:rsidRPr="001A4D4E">
        <w:rPr>
          <w:rFonts w:eastAsia="Times New Roman" w:cs="Arial"/>
          <w:color w:val="000000"/>
          <w:lang w:val="ru-RU"/>
        </w:rPr>
        <w:t xml:space="preserve">. </w:t>
      </w:r>
      <w:r w:rsidRPr="001A4D4E">
        <w:rPr>
          <w:rFonts w:eastAsia="Times New Roman" w:cs="Arial"/>
          <w:color w:val="000000"/>
          <w:lang w:eastAsia="bg-BG"/>
        </w:rPr>
        <w:t>Крайният елиминационен полуживот на епросартан след перорално приложение обикновено е 5 до 9 часа. При хронична употреба на епросартан не се наблюдава значимо акумулиране.</w:t>
      </w:r>
    </w:p>
    <w:p w14:paraId="6F16811B" w14:textId="77777777" w:rsidR="001A4D4E" w:rsidRDefault="001A4D4E" w:rsidP="001A4D4E">
      <w:pPr>
        <w:spacing w:line="240" w:lineRule="auto"/>
        <w:rPr>
          <w:rFonts w:eastAsia="Times New Roman" w:cs="Arial"/>
          <w:color w:val="000000"/>
          <w:lang w:eastAsia="bg-BG"/>
        </w:rPr>
      </w:pPr>
    </w:p>
    <w:p w14:paraId="036253CD" w14:textId="7700A713" w:rsidR="001A4D4E" w:rsidRPr="001A4D4E" w:rsidRDefault="001A4D4E" w:rsidP="001A4D4E">
      <w:pPr>
        <w:spacing w:line="240" w:lineRule="auto"/>
        <w:rPr>
          <w:rFonts w:eastAsia="Times New Roman" w:cs="Arial"/>
        </w:rPr>
      </w:pPr>
      <w:r w:rsidRPr="001A4D4E">
        <w:rPr>
          <w:rFonts w:eastAsia="Times New Roman" w:cs="Arial"/>
          <w:color w:val="000000"/>
          <w:lang w:eastAsia="bg-BG"/>
        </w:rPr>
        <w:t>Приложението на епросартан с храна забавя абсорбцията минимално (&lt;25%), наблюдавано при С</w:t>
      </w:r>
      <w:r w:rsidRPr="001A4D4E">
        <w:rPr>
          <w:rFonts w:eastAsia="Times New Roman" w:cs="Arial"/>
          <w:color w:val="000000"/>
          <w:lang w:val="en-US"/>
        </w:rPr>
        <w:t>max</w:t>
      </w:r>
      <w:r w:rsidRPr="001A4D4E">
        <w:rPr>
          <w:rFonts w:eastAsia="Times New Roman" w:cs="Arial"/>
          <w:color w:val="000000"/>
          <w:lang w:eastAsia="bg-BG"/>
        </w:rPr>
        <w:t xml:space="preserve"> и </w:t>
      </w:r>
      <w:r w:rsidRPr="001A4D4E">
        <w:rPr>
          <w:rFonts w:eastAsia="Times New Roman" w:cs="Arial"/>
          <w:color w:val="000000"/>
          <w:lang w:val="en-US"/>
        </w:rPr>
        <w:t>AUC</w:t>
      </w:r>
      <w:r w:rsidRPr="001A4D4E">
        <w:rPr>
          <w:rFonts w:eastAsia="Times New Roman" w:cs="Arial"/>
          <w:color w:val="000000"/>
          <w:lang w:val="ru-RU"/>
        </w:rPr>
        <w:t xml:space="preserve">, </w:t>
      </w:r>
      <w:r w:rsidRPr="001A4D4E">
        <w:rPr>
          <w:rFonts w:eastAsia="Times New Roman" w:cs="Arial"/>
          <w:color w:val="000000"/>
          <w:lang w:eastAsia="bg-BG"/>
        </w:rPr>
        <w:t>което не е от клинична значимост.</w:t>
      </w:r>
    </w:p>
    <w:p w14:paraId="0A318965" w14:textId="77777777" w:rsidR="001A4D4E" w:rsidRDefault="001A4D4E" w:rsidP="001A4D4E">
      <w:pPr>
        <w:spacing w:line="240" w:lineRule="auto"/>
        <w:rPr>
          <w:rFonts w:eastAsia="Times New Roman" w:cs="Arial"/>
          <w:color w:val="000000"/>
          <w:u w:val="single"/>
          <w:lang w:eastAsia="bg-BG"/>
        </w:rPr>
      </w:pPr>
    </w:p>
    <w:p w14:paraId="6E359977" w14:textId="4D63D6BA" w:rsidR="001A4D4E" w:rsidRPr="001A4D4E" w:rsidRDefault="001A4D4E" w:rsidP="001A4D4E">
      <w:pPr>
        <w:spacing w:line="240" w:lineRule="auto"/>
        <w:rPr>
          <w:rFonts w:eastAsia="Times New Roman" w:cs="Arial"/>
        </w:rPr>
      </w:pPr>
      <w:r w:rsidRPr="001A4D4E">
        <w:rPr>
          <w:rFonts w:eastAsia="Times New Roman" w:cs="Arial"/>
          <w:color w:val="000000"/>
          <w:u w:val="single"/>
          <w:lang w:eastAsia="bg-BG"/>
        </w:rPr>
        <w:t>Разпределение</w:t>
      </w:r>
    </w:p>
    <w:p w14:paraId="1B5BBD98" w14:textId="2970A9C8" w:rsidR="001A4D4E" w:rsidRDefault="001A4D4E" w:rsidP="001A4D4E">
      <w:pPr>
        <w:rPr>
          <w:rFonts w:eastAsia="Times New Roman" w:cs="Arial"/>
          <w:color w:val="000000"/>
          <w:lang w:eastAsia="bg-BG"/>
        </w:rPr>
      </w:pPr>
      <w:r w:rsidRPr="001A4D4E">
        <w:rPr>
          <w:rFonts w:eastAsia="Times New Roman" w:cs="Arial"/>
          <w:color w:val="000000"/>
          <w:lang w:eastAsia="bg-BG"/>
        </w:rPr>
        <w:t>Свързването на епросартан с плазмените протеини е значително (приблизително 98%) и константно при концентрационния интервал постигнат с различните терапевтични дози. Степента на свързване с плазмените протеини не се влияе от пола, възрастта, наличието на черно дробна дисфункция или лека до средна степен на бъбречно нарушение, но показва понижение при малък брой пациенти с тежки бъбречни нарушения.</w:t>
      </w:r>
    </w:p>
    <w:p w14:paraId="622E1913" w14:textId="1D84C951" w:rsidR="001A4D4E" w:rsidRDefault="001A4D4E" w:rsidP="001A4D4E">
      <w:pPr>
        <w:rPr>
          <w:rFonts w:eastAsia="Times New Roman" w:cs="Arial"/>
          <w:color w:val="000000"/>
          <w:lang w:eastAsia="bg-BG"/>
        </w:rPr>
      </w:pPr>
    </w:p>
    <w:p w14:paraId="1FABE6B2" w14:textId="77777777" w:rsidR="001A4D4E" w:rsidRPr="001A4D4E" w:rsidRDefault="001A4D4E" w:rsidP="001A4D4E">
      <w:pPr>
        <w:spacing w:line="240" w:lineRule="auto"/>
        <w:rPr>
          <w:rFonts w:eastAsia="Times New Roman" w:cs="Arial"/>
        </w:rPr>
      </w:pPr>
      <w:r w:rsidRPr="001A4D4E">
        <w:rPr>
          <w:rFonts w:eastAsia="Times New Roman" w:cs="Arial"/>
          <w:color w:val="000000"/>
          <w:lang w:eastAsia="bg-BG"/>
        </w:rPr>
        <w:t>След перорално и интравенозно приложение при хора на [</w:t>
      </w:r>
      <w:r w:rsidRPr="001A4D4E">
        <w:rPr>
          <w:rFonts w:eastAsia="Times New Roman" w:cs="Arial"/>
          <w:color w:val="000000"/>
          <w:vertAlign w:val="superscript"/>
          <w:lang w:eastAsia="bg-BG"/>
        </w:rPr>
        <w:t>14</w:t>
      </w:r>
      <w:r w:rsidRPr="001A4D4E">
        <w:rPr>
          <w:rFonts w:eastAsia="Times New Roman" w:cs="Arial"/>
          <w:color w:val="000000"/>
          <w:lang w:eastAsia="bg-BG"/>
        </w:rPr>
        <w:t>С]епросартан, епросартан е единственото лекарствено свързано вещество, открито в плазмата и фецес. В урината около 20% от екскретираната радиоактивност е била под формата на ацил-глюкуронид на епросартан, а останалите 80% непроменен епросартан.</w:t>
      </w:r>
    </w:p>
    <w:p w14:paraId="60F2094A" w14:textId="77777777" w:rsidR="001A4D4E" w:rsidRDefault="001A4D4E" w:rsidP="001A4D4E">
      <w:pPr>
        <w:spacing w:line="240" w:lineRule="auto"/>
        <w:rPr>
          <w:rFonts w:eastAsia="Times New Roman" w:cs="Arial"/>
          <w:color w:val="000000"/>
          <w:lang w:eastAsia="bg-BG"/>
        </w:rPr>
      </w:pPr>
    </w:p>
    <w:p w14:paraId="20BDED51" w14:textId="42556434" w:rsidR="001A4D4E" w:rsidRPr="001A4D4E" w:rsidRDefault="001A4D4E" w:rsidP="001A4D4E">
      <w:pPr>
        <w:spacing w:line="240" w:lineRule="auto"/>
        <w:rPr>
          <w:rFonts w:eastAsia="Times New Roman" w:cs="Arial"/>
        </w:rPr>
      </w:pPr>
      <w:r w:rsidRPr="001A4D4E">
        <w:rPr>
          <w:rFonts w:eastAsia="Times New Roman" w:cs="Arial"/>
          <w:color w:val="000000"/>
          <w:lang w:eastAsia="bg-BG"/>
        </w:rPr>
        <w:t xml:space="preserve">Обемът на разпределение на епросартан е около 13 литра. Общият плазмен клирънс е около 130 </w:t>
      </w:r>
      <w:r w:rsidRPr="001A4D4E">
        <w:rPr>
          <w:rFonts w:eastAsia="Times New Roman" w:cs="Arial"/>
          <w:color w:val="000000"/>
          <w:lang w:val="en-US"/>
        </w:rPr>
        <w:t>ml</w:t>
      </w:r>
      <w:r w:rsidRPr="001A4D4E">
        <w:rPr>
          <w:rFonts w:eastAsia="Times New Roman" w:cs="Arial"/>
          <w:color w:val="000000"/>
          <w:lang w:val="ru-RU"/>
        </w:rPr>
        <w:t>/</w:t>
      </w:r>
      <w:r w:rsidRPr="001A4D4E">
        <w:rPr>
          <w:rFonts w:eastAsia="Times New Roman" w:cs="Arial"/>
          <w:color w:val="000000"/>
          <w:lang w:val="en-US"/>
        </w:rPr>
        <w:t>min</w:t>
      </w:r>
      <w:r w:rsidRPr="001A4D4E">
        <w:rPr>
          <w:rFonts w:eastAsia="Times New Roman" w:cs="Arial"/>
          <w:color w:val="000000"/>
          <w:lang w:val="ru-RU"/>
        </w:rPr>
        <w:t xml:space="preserve">. </w:t>
      </w:r>
      <w:r w:rsidRPr="001A4D4E">
        <w:rPr>
          <w:rFonts w:eastAsia="Times New Roman" w:cs="Arial"/>
          <w:color w:val="000000"/>
          <w:lang w:eastAsia="bg-BG"/>
        </w:rPr>
        <w:t xml:space="preserve">В елиминирането на епросартан участват жлъчна и ренална екскреция. След интравенозно приложение на </w:t>
      </w:r>
      <w:r w:rsidRPr="001A4D4E">
        <w:rPr>
          <w:rFonts w:eastAsia="Times New Roman" w:cs="Arial"/>
          <w:color w:val="000000"/>
          <w:lang w:val="ru-RU"/>
        </w:rPr>
        <w:t>[</w:t>
      </w:r>
      <w:r w:rsidRPr="001A4D4E">
        <w:rPr>
          <w:rFonts w:eastAsia="Times New Roman" w:cs="Arial"/>
          <w:color w:val="000000"/>
          <w:vertAlign w:val="superscript"/>
          <w:lang w:val="ru-RU"/>
        </w:rPr>
        <w:t>14</w:t>
      </w:r>
      <w:r w:rsidRPr="001A4D4E">
        <w:rPr>
          <w:rFonts w:eastAsia="Times New Roman" w:cs="Arial"/>
          <w:color w:val="000000"/>
          <w:lang w:val="en-US"/>
        </w:rPr>
        <w:t>C</w:t>
      </w:r>
      <w:r w:rsidRPr="001A4D4E">
        <w:rPr>
          <w:rFonts w:eastAsia="Times New Roman" w:cs="Arial"/>
          <w:color w:val="000000"/>
          <w:lang w:val="ru-RU"/>
        </w:rPr>
        <w:t xml:space="preserve">] </w:t>
      </w:r>
      <w:r w:rsidRPr="001A4D4E">
        <w:rPr>
          <w:rFonts w:eastAsia="Times New Roman" w:cs="Arial"/>
          <w:color w:val="000000"/>
          <w:lang w:eastAsia="bg-BG"/>
        </w:rPr>
        <w:t>епросартан около 61% от радиоактивността се установява във фекалните маси и около 37% - в урината. След перорална доза на [</w:t>
      </w:r>
      <w:r w:rsidRPr="001A4D4E">
        <w:rPr>
          <w:rFonts w:eastAsia="Times New Roman" w:cs="Arial"/>
          <w:color w:val="000000"/>
          <w:vertAlign w:val="superscript"/>
          <w:lang w:eastAsia="bg-BG"/>
        </w:rPr>
        <w:t>14</w:t>
      </w:r>
      <w:r w:rsidRPr="001A4D4E">
        <w:rPr>
          <w:rFonts w:eastAsia="Times New Roman" w:cs="Arial"/>
          <w:color w:val="000000"/>
          <w:lang w:eastAsia="bg-BG"/>
        </w:rPr>
        <w:t>С]епросартан около 90% от радиоактивността се установява във фекалните маси и около 7% - в урината.</w:t>
      </w:r>
    </w:p>
    <w:p w14:paraId="05C1508A" w14:textId="77777777" w:rsidR="001A4D4E" w:rsidRDefault="001A4D4E" w:rsidP="001A4D4E">
      <w:pPr>
        <w:spacing w:line="240" w:lineRule="auto"/>
        <w:rPr>
          <w:rFonts w:eastAsia="Times New Roman" w:cs="Arial"/>
          <w:color w:val="000000"/>
          <w:lang w:eastAsia="bg-BG"/>
        </w:rPr>
      </w:pPr>
    </w:p>
    <w:p w14:paraId="31460E2C" w14:textId="405B3306" w:rsidR="001A4D4E" w:rsidRPr="001A4D4E" w:rsidRDefault="001A4D4E" w:rsidP="001A4D4E">
      <w:pPr>
        <w:spacing w:line="240" w:lineRule="auto"/>
        <w:rPr>
          <w:rFonts w:eastAsia="Times New Roman" w:cs="Arial"/>
        </w:rPr>
      </w:pPr>
      <w:r w:rsidRPr="001A4D4E">
        <w:rPr>
          <w:rFonts w:eastAsia="Times New Roman" w:cs="Arial"/>
          <w:color w:val="000000"/>
          <w:lang w:eastAsia="bg-BG"/>
        </w:rPr>
        <w:t xml:space="preserve">Както стойностите в областта под концентрационната крива </w:t>
      </w:r>
      <w:r w:rsidRPr="001A4D4E">
        <w:rPr>
          <w:rFonts w:eastAsia="Times New Roman" w:cs="Arial"/>
          <w:color w:val="000000"/>
          <w:lang w:val="ru-RU"/>
        </w:rPr>
        <w:t>(</w:t>
      </w:r>
      <w:r w:rsidRPr="001A4D4E">
        <w:rPr>
          <w:rFonts w:eastAsia="Times New Roman" w:cs="Arial"/>
          <w:color w:val="000000"/>
          <w:lang w:val="en-US"/>
        </w:rPr>
        <w:t>AUC</w:t>
      </w:r>
      <w:r w:rsidRPr="001A4D4E">
        <w:rPr>
          <w:rFonts w:eastAsia="Times New Roman" w:cs="Arial"/>
          <w:color w:val="000000"/>
          <w:lang w:val="ru-RU"/>
        </w:rPr>
        <w:t xml:space="preserve">), </w:t>
      </w:r>
      <w:r w:rsidRPr="001A4D4E">
        <w:rPr>
          <w:rFonts w:eastAsia="Times New Roman" w:cs="Arial"/>
          <w:color w:val="000000"/>
          <w:lang w:eastAsia="bg-BG"/>
        </w:rPr>
        <w:t>така и С</w:t>
      </w:r>
      <w:r w:rsidRPr="001A4D4E">
        <w:rPr>
          <w:rFonts w:eastAsia="Times New Roman" w:cs="Arial"/>
          <w:color w:val="000000"/>
          <w:vertAlign w:val="subscript"/>
          <w:lang w:val="en-US"/>
        </w:rPr>
        <w:t>max</w:t>
      </w:r>
      <w:r w:rsidRPr="001A4D4E">
        <w:rPr>
          <w:rFonts w:eastAsia="Times New Roman" w:cs="Arial"/>
          <w:color w:val="000000"/>
          <w:lang w:eastAsia="bg-BG"/>
        </w:rPr>
        <w:t xml:space="preserve"> стойностите на епросартан се повишават при пациенти в старческа възраст (средно около 2 пъти), но това не налага промяна в дозировката.</w:t>
      </w:r>
    </w:p>
    <w:p w14:paraId="56AD88EA" w14:textId="77777777" w:rsidR="001A4D4E" w:rsidRDefault="001A4D4E" w:rsidP="001A4D4E">
      <w:pPr>
        <w:spacing w:line="240" w:lineRule="auto"/>
        <w:rPr>
          <w:rFonts w:eastAsia="Times New Roman" w:cs="Arial"/>
          <w:color w:val="000000"/>
          <w:lang w:eastAsia="bg-BG"/>
        </w:rPr>
      </w:pPr>
    </w:p>
    <w:p w14:paraId="679A8E57" w14:textId="5FC452AB" w:rsidR="001A4D4E" w:rsidRPr="001A4D4E" w:rsidRDefault="001A4D4E" w:rsidP="001A4D4E">
      <w:pPr>
        <w:spacing w:line="240" w:lineRule="auto"/>
        <w:rPr>
          <w:rFonts w:eastAsia="Times New Roman" w:cs="Arial"/>
        </w:rPr>
      </w:pPr>
      <w:r w:rsidRPr="001A4D4E">
        <w:rPr>
          <w:rFonts w:eastAsia="Times New Roman" w:cs="Arial"/>
          <w:color w:val="000000"/>
          <w:lang w:eastAsia="bg-BG"/>
        </w:rPr>
        <w:t xml:space="preserve">При пациенти с чернодробни нарушения </w:t>
      </w:r>
      <w:r w:rsidRPr="001A4D4E">
        <w:rPr>
          <w:rFonts w:eastAsia="Times New Roman" w:cs="Arial"/>
          <w:color w:val="000000"/>
          <w:lang w:val="en-US"/>
        </w:rPr>
        <w:t>AUC</w:t>
      </w:r>
      <w:r w:rsidRPr="001A4D4E">
        <w:rPr>
          <w:rFonts w:eastAsia="Times New Roman" w:cs="Arial"/>
          <w:color w:val="000000"/>
          <w:lang w:val="ru-RU"/>
        </w:rPr>
        <w:t xml:space="preserve"> </w:t>
      </w:r>
      <w:r w:rsidRPr="001A4D4E">
        <w:rPr>
          <w:rFonts w:eastAsia="Times New Roman" w:cs="Arial"/>
          <w:color w:val="000000"/>
          <w:lang w:eastAsia="bg-BG"/>
        </w:rPr>
        <w:t>стойностите н</w:t>
      </w:r>
      <w:r>
        <w:rPr>
          <w:rFonts w:eastAsia="Times New Roman" w:cs="Arial"/>
          <w:color w:val="000000"/>
          <w:lang w:eastAsia="bg-BG"/>
        </w:rPr>
        <w:t>а епросартан (но не и тези на С</w:t>
      </w:r>
      <w:r w:rsidRPr="001A4D4E">
        <w:rPr>
          <w:rFonts w:eastAsia="Times New Roman" w:cs="Arial"/>
          <w:color w:val="000000"/>
          <w:vertAlign w:val="subscript"/>
          <w:lang w:val="en-US" w:eastAsia="bg-BG"/>
        </w:rPr>
        <w:t>m</w:t>
      </w:r>
      <w:r w:rsidRPr="001A4D4E">
        <w:rPr>
          <w:rFonts w:eastAsia="Times New Roman" w:cs="Arial"/>
          <w:color w:val="000000"/>
          <w:vertAlign w:val="subscript"/>
          <w:lang w:eastAsia="bg-BG"/>
        </w:rPr>
        <w:t>ах</w:t>
      </w:r>
      <w:r w:rsidRPr="001A4D4E">
        <w:rPr>
          <w:rFonts w:eastAsia="Times New Roman" w:cs="Arial"/>
          <w:color w:val="000000"/>
          <w:lang w:eastAsia="bg-BG"/>
        </w:rPr>
        <w:t>) се повишават средно с около 40%, но това не изисква промяна в дозировката.</w:t>
      </w:r>
    </w:p>
    <w:p w14:paraId="3CD1AC04" w14:textId="77777777" w:rsidR="001A4D4E" w:rsidRDefault="001A4D4E" w:rsidP="001A4D4E">
      <w:pPr>
        <w:spacing w:line="240" w:lineRule="auto"/>
        <w:rPr>
          <w:rFonts w:eastAsia="Times New Roman" w:cs="Arial"/>
          <w:color w:val="000000"/>
          <w:lang w:eastAsia="bg-BG"/>
        </w:rPr>
      </w:pPr>
    </w:p>
    <w:p w14:paraId="2F539013" w14:textId="750786F7" w:rsidR="001A4D4E" w:rsidRPr="001A4D4E" w:rsidRDefault="001A4D4E" w:rsidP="001A4D4E">
      <w:pPr>
        <w:spacing w:line="240" w:lineRule="auto"/>
        <w:rPr>
          <w:rFonts w:eastAsia="Times New Roman" w:cs="Arial"/>
        </w:rPr>
      </w:pPr>
      <w:r w:rsidRPr="001A4D4E">
        <w:rPr>
          <w:rFonts w:eastAsia="Times New Roman" w:cs="Arial"/>
          <w:color w:val="000000"/>
          <w:lang w:eastAsia="bg-BG"/>
        </w:rPr>
        <w:t xml:space="preserve">В сравнение с индивиди с нормална бъбречна функция, средните </w:t>
      </w:r>
      <w:r w:rsidRPr="001A4D4E">
        <w:rPr>
          <w:rFonts w:eastAsia="Times New Roman" w:cs="Arial"/>
          <w:color w:val="000000"/>
          <w:lang w:val="en-US"/>
        </w:rPr>
        <w:t>AUC</w:t>
      </w:r>
      <w:r w:rsidRPr="001A4D4E">
        <w:rPr>
          <w:rFonts w:eastAsia="Times New Roman" w:cs="Arial"/>
          <w:color w:val="000000"/>
          <w:lang w:val="ru-RU"/>
        </w:rPr>
        <w:t xml:space="preserve"> </w:t>
      </w:r>
      <w:r w:rsidRPr="001A4D4E">
        <w:rPr>
          <w:rFonts w:eastAsia="Times New Roman" w:cs="Arial"/>
          <w:color w:val="000000"/>
          <w:lang w:eastAsia="bg-BG"/>
        </w:rPr>
        <w:t>и С</w:t>
      </w:r>
      <w:r w:rsidRPr="001A4D4E">
        <w:rPr>
          <w:rFonts w:eastAsia="Times New Roman" w:cs="Arial"/>
          <w:color w:val="000000"/>
          <w:vertAlign w:val="subscript"/>
          <w:lang w:val="en-US"/>
        </w:rPr>
        <w:t>max</w:t>
      </w:r>
      <w:r w:rsidRPr="001A4D4E">
        <w:rPr>
          <w:rFonts w:eastAsia="Times New Roman" w:cs="Arial"/>
          <w:color w:val="000000"/>
          <w:lang w:eastAsia="bg-BG"/>
        </w:rPr>
        <w:t xml:space="preserve"> стойности са с около 30% по-високи при пациенти със средна степен на бъбречно увреждане (креатининов клирънс 30</w:t>
      </w:r>
      <w:r w:rsidRPr="001A4D4E">
        <w:rPr>
          <w:rFonts w:eastAsia="Times New Roman" w:cs="Arial"/>
          <w:color w:val="000000"/>
          <w:lang w:val="ru-RU"/>
        </w:rPr>
        <w:t xml:space="preserve">- 59 </w:t>
      </w:r>
      <w:r w:rsidRPr="001A4D4E">
        <w:rPr>
          <w:rFonts w:eastAsia="Times New Roman" w:cs="Arial"/>
          <w:color w:val="000000"/>
          <w:lang w:val="en-US"/>
        </w:rPr>
        <w:t>mL</w:t>
      </w:r>
      <w:r w:rsidRPr="001A4D4E">
        <w:rPr>
          <w:rFonts w:eastAsia="Times New Roman" w:cs="Arial"/>
          <w:color w:val="000000"/>
          <w:lang w:val="ru-RU"/>
        </w:rPr>
        <w:t>/</w:t>
      </w:r>
      <w:r w:rsidRPr="001A4D4E">
        <w:rPr>
          <w:rFonts w:eastAsia="Times New Roman" w:cs="Arial"/>
          <w:color w:val="000000"/>
          <w:lang w:val="en-US"/>
        </w:rPr>
        <w:t>min</w:t>
      </w:r>
      <w:r w:rsidRPr="001A4D4E">
        <w:rPr>
          <w:rFonts w:eastAsia="Times New Roman" w:cs="Arial"/>
          <w:color w:val="000000"/>
          <w:lang w:val="ru-RU"/>
        </w:rPr>
        <w:t xml:space="preserve">) </w:t>
      </w:r>
      <w:r w:rsidRPr="001A4D4E">
        <w:rPr>
          <w:rFonts w:eastAsia="Times New Roman" w:cs="Arial"/>
          <w:color w:val="000000"/>
          <w:lang w:eastAsia="bg-BG"/>
        </w:rPr>
        <w:t xml:space="preserve">и около 50% по-високи при пациенти с тежка степен на бъбречно нарушение (креатининов клирънс 5-29 </w:t>
      </w:r>
      <w:r w:rsidRPr="001A4D4E">
        <w:rPr>
          <w:rFonts w:eastAsia="Times New Roman" w:cs="Arial"/>
          <w:color w:val="000000"/>
          <w:lang w:val="en-US"/>
        </w:rPr>
        <w:t>mL</w:t>
      </w:r>
      <w:r w:rsidRPr="001A4D4E">
        <w:rPr>
          <w:rFonts w:eastAsia="Times New Roman" w:cs="Arial"/>
          <w:color w:val="000000"/>
          <w:lang w:val="ru-RU"/>
        </w:rPr>
        <w:t>/</w:t>
      </w:r>
      <w:r w:rsidRPr="001A4D4E">
        <w:rPr>
          <w:rFonts w:eastAsia="Times New Roman" w:cs="Arial"/>
          <w:color w:val="000000"/>
          <w:lang w:val="en-US"/>
        </w:rPr>
        <w:t>min</w:t>
      </w:r>
      <w:r w:rsidRPr="001A4D4E">
        <w:rPr>
          <w:rFonts w:eastAsia="Times New Roman" w:cs="Arial"/>
          <w:color w:val="000000"/>
          <w:lang w:val="ru-RU"/>
        </w:rPr>
        <w:t xml:space="preserve">). </w:t>
      </w:r>
      <w:r w:rsidRPr="001A4D4E">
        <w:rPr>
          <w:rFonts w:eastAsia="Times New Roman" w:cs="Arial"/>
          <w:color w:val="000000"/>
          <w:lang w:eastAsia="bg-BG"/>
        </w:rPr>
        <w:t>Не се налага промяна в дозировката.</w:t>
      </w:r>
    </w:p>
    <w:p w14:paraId="4D94EE55" w14:textId="77777777" w:rsidR="001A4D4E" w:rsidRDefault="001A4D4E" w:rsidP="001A4D4E">
      <w:pPr>
        <w:spacing w:line="240" w:lineRule="auto"/>
        <w:rPr>
          <w:rFonts w:eastAsia="Times New Roman" w:cs="Arial"/>
          <w:color w:val="000000"/>
          <w:lang w:eastAsia="bg-BG"/>
        </w:rPr>
      </w:pPr>
    </w:p>
    <w:p w14:paraId="33CAF508" w14:textId="52C0E819" w:rsidR="001A4D4E" w:rsidRPr="001A4D4E" w:rsidRDefault="001A4D4E" w:rsidP="001A4D4E">
      <w:pPr>
        <w:spacing w:line="240" w:lineRule="auto"/>
        <w:rPr>
          <w:rFonts w:eastAsia="Times New Roman" w:cs="Arial"/>
        </w:rPr>
      </w:pPr>
      <w:r w:rsidRPr="001A4D4E">
        <w:rPr>
          <w:rFonts w:eastAsia="Times New Roman" w:cs="Arial"/>
          <w:color w:val="000000"/>
          <w:lang w:eastAsia="bg-BG"/>
        </w:rPr>
        <w:t>Няма разлика във фармакокинетиката на епросартан при мъже и жени.</w:t>
      </w:r>
    </w:p>
    <w:p w14:paraId="0A2BF2FC" w14:textId="77777777" w:rsidR="001A4D4E" w:rsidRPr="001A4D4E" w:rsidRDefault="001A4D4E" w:rsidP="001A4D4E">
      <w:pPr>
        <w:rPr>
          <w:rFonts w:cs="Arial"/>
        </w:rPr>
      </w:pPr>
    </w:p>
    <w:p w14:paraId="4F31844C" w14:textId="65881841" w:rsidR="00875EEC" w:rsidRDefault="002C50EE" w:rsidP="005726E3">
      <w:pPr>
        <w:pStyle w:val="Heading2"/>
      </w:pPr>
      <w:r>
        <w:t>5.3. Предклинични данни за безопасност</w:t>
      </w:r>
    </w:p>
    <w:p w14:paraId="31176C9A" w14:textId="6AAE1481" w:rsidR="001A4D4E" w:rsidRDefault="001A4D4E" w:rsidP="001A4D4E"/>
    <w:p w14:paraId="1DC905FC" w14:textId="77777777" w:rsidR="001A4D4E" w:rsidRPr="001A4D4E" w:rsidRDefault="001A4D4E" w:rsidP="001A4D4E">
      <w:pPr>
        <w:spacing w:line="240" w:lineRule="auto"/>
        <w:rPr>
          <w:rFonts w:eastAsia="Times New Roman" w:cs="Arial"/>
        </w:rPr>
      </w:pPr>
      <w:r w:rsidRPr="001A4D4E">
        <w:rPr>
          <w:rFonts w:eastAsia="Times New Roman" w:cs="Arial"/>
          <w:color w:val="000000"/>
          <w:u w:val="single"/>
          <w:lang w:eastAsia="bg-BG"/>
        </w:rPr>
        <w:t>Обща токсичност</w:t>
      </w:r>
    </w:p>
    <w:p w14:paraId="43F76505" w14:textId="77777777" w:rsidR="001A4D4E" w:rsidRPr="001A4D4E" w:rsidRDefault="001A4D4E" w:rsidP="001A4D4E">
      <w:pPr>
        <w:spacing w:line="240" w:lineRule="auto"/>
        <w:rPr>
          <w:rFonts w:eastAsia="Times New Roman" w:cs="Arial"/>
        </w:rPr>
      </w:pPr>
      <w:r w:rsidRPr="001A4D4E">
        <w:rPr>
          <w:rFonts w:eastAsia="Times New Roman" w:cs="Arial"/>
          <w:color w:val="000000"/>
          <w:lang w:eastAsia="bg-BG"/>
        </w:rPr>
        <w:lastRenderedPageBreak/>
        <w:t xml:space="preserve">При прием на епросартан от плъхове при дневна доза до 1 000 </w:t>
      </w:r>
      <w:r w:rsidRPr="001A4D4E">
        <w:rPr>
          <w:rFonts w:eastAsia="Times New Roman" w:cs="Arial"/>
          <w:color w:val="000000"/>
          <w:lang w:val="en-US"/>
        </w:rPr>
        <w:t>mg</w:t>
      </w:r>
      <w:r w:rsidRPr="001A4D4E">
        <w:rPr>
          <w:rFonts w:eastAsia="Times New Roman" w:cs="Arial"/>
          <w:color w:val="000000"/>
          <w:lang w:val="ru-RU"/>
        </w:rPr>
        <w:t>/</w:t>
      </w:r>
      <w:r w:rsidRPr="001A4D4E">
        <w:rPr>
          <w:rFonts w:eastAsia="Times New Roman" w:cs="Arial"/>
          <w:color w:val="000000"/>
          <w:lang w:val="en-US"/>
        </w:rPr>
        <w:t>kg</w:t>
      </w:r>
      <w:r w:rsidRPr="001A4D4E">
        <w:rPr>
          <w:rFonts w:eastAsia="Times New Roman" w:cs="Arial"/>
          <w:color w:val="000000"/>
          <w:lang w:val="ru-RU"/>
        </w:rPr>
        <w:t xml:space="preserve"> </w:t>
      </w:r>
      <w:r w:rsidRPr="001A4D4E">
        <w:rPr>
          <w:rFonts w:eastAsia="Times New Roman" w:cs="Arial"/>
          <w:color w:val="000000"/>
          <w:lang w:eastAsia="bg-BG"/>
        </w:rPr>
        <w:t>в продължение до 6 месеца и при кучета до 1 година, не е установена значителна лекарствена токсичност..</w:t>
      </w:r>
    </w:p>
    <w:p w14:paraId="29469E2D" w14:textId="77777777" w:rsidR="001A4D4E" w:rsidRDefault="001A4D4E" w:rsidP="001A4D4E">
      <w:pPr>
        <w:spacing w:line="240" w:lineRule="auto"/>
        <w:rPr>
          <w:rFonts w:eastAsia="Times New Roman" w:cs="Arial"/>
          <w:color w:val="000000"/>
          <w:u w:val="single"/>
          <w:lang w:eastAsia="bg-BG"/>
        </w:rPr>
      </w:pPr>
    </w:p>
    <w:p w14:paraId="04EB4DCE" w14:textId="0CA4CC84" w:rsidR="001A4D4E" w:rsidRPr="001A4D4E" w:rsidRDefault="001A4D4E" w:rsidP="001A4D4E">
      <w:pPr>
        <w:spacing w:line="240" w:lineRule="auto"/>
        <w:rPr>
          <w:rFonts w:eastAsia="Times New Roman" w:cs="Arial"/>
        </w:rPr>
      </w:pPr>
      <w:r w:rsidRPr="001A4D4E">
        <w:rPr>
          <w:rFonts w:eastAsia="Times New Roman" w:cs="Arial"/>
          <w:color w:val="000000"/>
          <w:u w:val="single"/>
          <w:lang w:eastAsia="bg-BG"/>
        </w:rPr>
        <w:t>Репродуктивна токсичност и токсичност на развитието</w:t>
      </w:r>
    </w:p>
    <w:p w14:paraId="52149B45" w14:textId="77777777" w:rsidR="001A4D4E" w:rsidRPr="001A4D4E" w:rsidRDefault="001A4D4E" w:rsidP="001A4D4E">
      <w:pPr>
        <w:spacing w:line="240" w:lineRule="auto"/>
        <w:rPr>
          <w:rFonts w:eastAsia="Times New Roman" w:cs="Arial"/>
        </w:rPr>
      </w:pPr>
      <w:r w:rsidRPr="001A4D4E">
        <w:rPr>
          <w:rFonts w:eastAsia="Times New Roman" w:cs="Arial"/>
          <w:color w:val="000000"/>
          <w:lang w:eastAsia="bg-BG"/>
        </w:rPr>
        <w:t xml:space="preserve">При бременни зайци, епросартан води до смърт на майката и плода при доза от 10 </w:t>
      </w:r>
      <w:r w:rsidRPr="001A4D4E">
        <w:rPr>
          <w:rFonts w:eastAsia="Times New Roman" w:cs="Arial"/>
          <w:color w:val="000000"/>
          <w:lang w:val="en-US"/>
        </w:rPr>
        <w:t>mg</w:t>
      </w:r>
      <w:r w:rsidRPr="001A4D4E">
        <w:rPr>
          <w:rFonts w:eastAsia="Times New Roman" w:cs="Arial"/>
          <w:color w:val="000000"/>
          <w:lang w:val="ru-RU"/>
        </w:rPr>
        <w:t>/</w:t>
      </w:r>
      <w:r w:rsidRPr="001A4D4E">
        <w:rPr>
          <w:rFonts w:eastAsia="Times New Roman" w:cs="Arial"/>
          <w:color w:val="000000"/>
          <w:lang w:val="en-US"/>
        </w:rPr>
        <w:t>kg</w:t>
      </w:r>
      <w:r w:rsidRPr="001A4D4E">
        <w:rPr>
          <w:rFonts w:eastAsia="Times New Roman" w:cs="Arial"/>
          <w:color w:val="000000"/>
          <w:lang w:val="ru-RU"/>
        </w:rPr>
        <w:t xml:space="preserve"> </w:t>
      </w:r>
      <w:r w:rsidRPr="001A4D4E">
        <w:rPr>
          <w:rFonts w:eastAsia="Times New Roman" w:cs="Arial"/>
          <w:color w:val="000000"/>
          <w:lang w:eastAsia="bg-BG"/>
        </w:rPr>
        <w:t xml:space="preserve">дневно, само когато е приет в късните стадии на бременността. . При дози от 3 </w:t>
      </w:r>
      <w:r w:rsidRPr="001A4D4E">
        <w:rPr>
          <w:rFonts w:eastAsia="Times New Roman" w:cs="Arial"/>
          <w:color w:val="000000"/>
          <w:lang w:val="en-US"/>
        </w:rPr>
        <w:t>mg</w:t>
      </w:r>
      <w:r w:rsidRPr="001A4D4E">
        <w:rPr>
          <w:rFonts w:eastAsia="Times New Roman" w:cs="Arial"/>
          <w:color w:val="000000"/>
          <w:lang w:val="ru-RU"/>
        </w:rPr>
        <w:t>/</w:t>
      </w:r>
      <w:r w:rsidRPr="001A4D4E">
        <w:rPr>
          <w:rFonts w:eastAsia="Times New Roman" w:cs="Arial"/>
          <w:color w:val="000000"/>
          <w:lang w:val="en-US"/>
        </w:rPr>
        <w:t>kg</w:t>
      </w:r>
      <w:r w:rsidRPr="001A4D4E">
        <w:rPr>
          <w:rFonts w:eastAsia="Times New Roman" w:cs="Arial"/>
          <w:color w:val="000000"/>
          <w:lang w:val="ru-RU"/>
        </w:rPr>
        <w:t xml:space="preserve"> </w:t>
      </w:r>
      <w:r w:rsidRPr="001A4D4E">
        <w:rPr>
          <w:rFonts w:eastAsia="Times New Roman" w:cs="Arial"/>
          <w:color w:val="000000"/>
          <w:lang w:eastAsia="bg-BG"/>
        </w:rPr>
        <w:t>дневно е наблюдавана токсичност при майката, но не и въздействие върху плода.</w:t>
      </w:r>
    </w:p>
    <w:p w14:paraId="41E0E267" w14:textId="77777777" w:rsidR="001A4D4E" w:rsidRDefault="001A4D4E" w:rsidP="001A4D4E">
      <w:pPr>
        <w:spacing w:line="240" w:lineRule="auto"/>
        <w:rPr>
          <w:rFonts w:eastAsia="Times New Roman" w:cs="Arial"/>
          <w:color w:val="000000"/>
          <w:u w:val="single"/>
          <w:lang w:eastAsia="bg-BG"/>
        </w:rPr>
      </w:pPr>
    </w:p>
    <w:p w14:paraId="7B95922F" w14:textId="152EDCFF" w:rsidR="001A4D4E" w:rsidRPr="001A4D4E" w:rsidRDefault="001A4D4E" w:rsidP="001A4D4E">
      <w:pPr>
        <w:spacing w:line="240" w:lineRule="auto"/>
        <w:rPr>
          <w:rFonts w:eastAsia="Times New Roman" w:cs="Arial"/>
        </w:rPr>
      </w:pPr>
      <w:r w:rsidRPr="001A4D4E">
        <w:rPr>
          <w:rFonts w:eastAsia="Times New Roman" w:cs="Arial"/>
          <w:color w:val="000000"/>
          <w:u w:val="single"/>
          <w:lang w:eastAsia="bg-BG"/>
        </w:rPr>
        <w:t>Генотоксичност</w:t>
      </w:r>
    </w:p>
    <w:p w14:paraId="34161966" w14:textId="77777777" w:rsidR="001A4D4E" w:rsidRPr="001A4D4E" w:rsidRDefault="001A4D4E" w:rsidP="001A4D4E">
      <w:pPr>
        <w:spacing w:line="240" w:lineRule="auto"/>
        <w:rPr>
          <w:rFonts w:eastAsia="Times New Roman" w:cs="Arial"/>
        </w:rPr>
      </w:pPr>
      <w:r w:rsidRPr="001A4D4E">
        <w:rPr>
          <w:rFonts w:eastAsia="Times New Roman" w:cs="Arial"/>
          <w:color w:val="000000"/>
          <w:lang w:eastAsia="bg-BG"/>
        </w:rPr>
        <w:t xml:space="preserve">Генотоксичност не е наблюдавана при серия от </w:t>
      </w:r>
      <w:r w:rsidRPr="001A4D4E">
        <w:rPr>
          <w:rFonts w:eastAsia="Times New Roman" w:cs="Arial"/>
          <w:i/>
          <w:iCs/>
          <w:color w:val="000000"/>
          <w:lang w:val="en-US"/>
        </w:rPr>
        <w:t>in</w:t>
      </w:r>
      <w:r w:rsidRPr="001A4D4E">
        <w:rPr>
          <w:rFonts w:eastAsia="Times New Roman" w:cs="Arial"/>
          <w:i/>
          <w:iCs/>
          <w:color w:val="000000"/>
          <w:lang w:val="ru-RU"/>
        </w:rPr>
        <w:t xml:space="preserve"> </w:t>
      </w:r>
      <w:r w:rsidRPr="001A4D4E">
        <w:rPr>
          <w:rFonts w:eastAsia="Times New Roman" w:cs="Arial"/>
          <w:i/>
          <w:iCs/>
          <w:color w:val="000000"/>
          <w:lang w:val="en-US"/>
        </w:rPr>
        <w:t>vitro</w:t>
      </w:r>
      <w:r w:rsidRPr="001A4D4E">
        <w:rPr>
          <w:rFonts w:eastAsia="Times New Roman" w:cs="Arial"/>
          <w:color w:val="000000"/>
          <w:lang w:val="ru-RU"/>
        </w:rPr>
        <w:t xml:space="preserve"> </w:t>
      </w:r>
      <w:r w:rsidRPr="001A4D4E">
        <w:rPr>
          <w:rFonts w:eastAsia="Times New Roman" w:cs="Arial"/>
          <w:color w:val="000000"/>
          <w:lang w:eastAsia="bg-BG"/>
        </w:rPr>
        <w:t xml:space="preserve">и </w:t>
      </w:r>
      <w:r w:rsidRPr="001A4D4E">
        <w:rPr>
          <w:rFonts w:eastAsia="Times New Roman" w:cs="Arial"/>
          <w:i/>
          <w:iCs/>
          <w:color w:val="000000"/>
          <w:lang w:val="en-US"/>
        </w:rPr>
        <w:t>in</w:t>
      </w:r>
      <w:r w:rsidRPr="001A4D4E">
        <w:rPr>
          <w:rFonts w:eastAsia="Times New Roman" w:cs="Arial"/>
          <w:i/>
          <w:iCs/>
          <w:color w:val="000000"/>
          <w:lang w:val="ru-RU"/>
        </w:rPr>
        <w:t xml:space="preserve"> </w:t>
      </w:r>
      <w:r w:rsidRPr="001A4D4E">
        <w:rPr>
          <w:rFonts w:eastAsia="Times New Roman" w:cs="Arial"/>
          <w:i/>
          <w:iCs/>
          <w:color w:val="000000"/>
          <w:lang w:val="en-US"/>
        </w:rPr>
        <w:t>vivo</w:t>
      </w:r>
      <w:r w:rsidRPr="001A4D4E">
        <w:rPr>
          <w:rFonts w:eastAsia="Times New Roman" w:cs="Arial"/>
          <w:color w:val="000000"/>
          <w:lang w:val="ru-RU"/>
        </w:rPr>
        <w:t xml:space="preserve"> </w:t>
      </w:r>
      <w:r w:rsidRPr="001A4D4E">
        <w:rPr>
          <w:rFonts w:eastAsia="Times New Roman" w:cs="Arial"/>
          <w:color w:val="000000"/>
          <w:lang w:eastAsia="bg-BG"/>
        </w:rPr>
        <w:t>тестове,</w:t>
      </w:r>
    </w:p>
    <w:p w14:paraId="032EE8B7" w14:textId="77777777" w:rsidR="001A4D4E" w:rsidRDefault="001A4D4E" w:rsidP="001A4D4E">
      <w:pPr>
        <w:spacing w:line="240" w:lineRule="auto"/>
        <w:rPr>
          <w:rFonts w:eastAsia="Times New Roman" w:cs="Arial"/>
          <w:color w:val="000000"/>
          <w:u w:val="single"/>
          <w:lang w:eastAsia="bg-BG"/>
        </w:rPr>
      </w:pPr>
    </w:p>
    <w:p w14:paraId="4ED92F80" w14:textId="6B5A52FF" w:rsidR="001A4D4E" w:rsidRPr="001A4D4E" w:rsidRDefault="001A4D4E" w:rsidP="001A4D4E">
      <w:pPr>
        <w:spacing w:line="240" w:lineRule="auto"/>
        <w:rPr>
          <w:rFonts w:eastAsia="Times New Roman" w:cs="Arial"/>
        </w:rPr>
      </w:pPr>
      <w:r w:rsidRPr="001A4D4E">
        <w:rPr>
          <w:rFonts w:eastAsia="Times New Roman" w:cs="Arial"/>
          <w:color w:val="000000"/>
          <w:u w:val="single"/>
          <w:lang w:eastAsia="bg-BG"/>
        </w:rPr>
        <w:t>Канцерогенност</w:t>
      </w:r>
    </w:p>
    <w:p w14:paraId="7D002C58" w14:textId="77777777" w:rsidR="001A4D4E" w:rsidRPr="001A4D4E" w:rsidRDefault="001A4D4E" w:rsidP="001A4D4E">
      <w:pPr>
        <w:spacing w:line="240" w:lineRule="auto"/>
        <w:rPr>
          <w:rFonts w:eastAsia="Times New Roman" w:cs="Arial"/>
        </w:rPr>
      </w:pPr>
      <w:r w:rsidRPr="001A4D4E">
        <w:rPr>
          <w:rFonts w:eastAsia="Times New Roman" w:cs="Arial"/>
          <w:color w:val="000000"/>
          <w:lang w:eastAsia="bg-BG"/>
        </w:rPr>
        <w:t xml:space="preserve">Не е наблюдавана канцерогенност при плъхове и мишки, на които е давано съответно до 600 или 2 000 </w:t>
      </w:r>
      <w:r w:rsidRPr="001A4D4E">
        <w:rPr>
          <w:rFonts w:eastAsia="Times New Roman" w:cs="Arial"/>
          <w:color w:val="000000"/>
          <w:lang w:val="en-US"/>
        </w:rPr>
        <w:t>mg</w:t>
      </w:r>
      <w:r w:rsidRPr="001A4D4E">
        <w:rPr>
          <w:rFonts w:eastAsia="Times New Roman" w:cs="Arial"/>
          <w:color w:val="000000"/>
          <w:lang w:val="ru-RU"/>
        </w:rPr>
        <w:t>/</w:t>
      </w:r>
      <w:r w:rsidRPr="001A4D4E">
        <w:rPr>
          <w:rFonts w:eastAsia="Times New Roman" w:cs="Arial"/>
          <w:color w:val="000000"/>
          <w:lang w:val="en-US"/>
        </w:rPr>
        <w:t>kg</w:t>
      </w:r>
      <w:r w:rsidRPr="001A4D4E">
        <w:rPr>
          <w:rFonts w:eastAsia="Times New Roman" w:cs="Arial"/>
          <w:color w:val="000000"/>
          <w:lang w:val="ru-RU"/>
        </w:rPr>
        <w:t xml:space="preserve"> </w:t>
      </w:r>
      <w:r w:rsidRPr="001A4D4E">
        <w:rPr>
          <w:rFonts w:eastAsia="Times New Roman" w:cs="Arial"/>
          <w:color w:val="000000"/>
          <w:lang w:eastAsia="bg-BG"/>
        </w:rPr>
        <w:t>дневно в продължение на 2 години.</w:t>
      </w:r>
    </w:p>
    <w:p w14:paraId="33557A6C" w14:textId="77777777" w:rsidR="001A4D4E" w:rsidRPr="001A4D4E" w:rsidRDefault="001A4D4E" w:rsidP="001A4D4E"/>
    <w:p w14:paraId="1BA6531D" w14:textId="39A2737F" w:rsidR="00B6672E" w:rsidRDefault="002C50EE" w:rsidP="00936AD0">
      <w:pPr>
        <w:pStyle w:val="Heading1"/>
      </w:pPr>
      <w:r>
        <w:t>7. ПРИТЕЖАТЕЛ НА РАЗРЕШЕНИЕТО ЗА УПОТРЕБА</w:t>
      </w:r>
    </w:p>
    <w:p w14:paraId="28359FC4" w14:textId="2C3ED767" w:rsidR="001A4D4E" w:rsidRDefault="001A4D4E" w:rsidP="001A4D4E"/>
    <w:p w14:paraId="5B79B505" w14:textId="77777777" w:rsidR="001A4D4E" w:rsidRPr="001A4D4E" w:rsidRDefault="001A4D4E" w:rsidP="001A4D4E">
      <w:pPr>
        <w:rPr>
          <w:sz w:val="24"/>
          <w:szCs w:val="24"/>
        </w:rPr>
      </w:pPr>
      <w:r w:rsidRPr="001A4D4E">
        <w:rPr>
          <w:lang w:eastAsia="bg-BG"/>
        </w:rPr>
        <w:t>Майлан ЕООД</w:t>
      </w:r>
    </w:p>
    <w:p w14:paraId="44EA4636" w14:textId="77777777" w:rsidR="001A4D4E" w:rsidRDefault="001A4D4E" w:rsidP="001A4D4E">
      <w:pPr>
        <w:rPr>
          <w:lang w:eastAsia="bg-BG"/>
        </w:rPr>
      </w:pPr>
      <w:r w:rsidRPr="001A4D4E">
        <w:rPr>
          <w:lang w:eastAsia="bg-BG"/>
        </w:rPr>
        <w:t xml:space="preserve">Офис сграда „Сердика офиси“ </w:t>
      </w:r>
    </w:p>
    <w:p w14:paraId="59865885" w14:textId="77777777" w:rsidR="001A4D4E" w:rsidRDefault="001A4D4E" w:rsidP="001A4D4E">
      <w:pPr>
        <w:rPr>
          <w:lang w:eastAsia="bg-BG"/>
        </w:rPr>
      </w:pPr>
      <w:r w:rsidRPr="001A4D4E">
        <w:rPr>
          <w:lang w:eastAsia="bg-BG"/>
        </w:rPr>
        <w:t xml:space="preserve">бул. Ситняково № 48, ет. 7 </w:t>
      </w:r>
    </w:p>
    <w:p w14:paraId="01DA62EA" w14:textId="6A946227" w:rsidR="001A4D4E" w:rsidRPr="001A4D4E" w:rsidRDefault="001A4D4E" w:rsidP="001A4D4E">
      <w:r w:rsidRPr="001A4D4E">
        <w:rPr>
          <w:lang w:eastAsia="bg-BG"/>
        </w:rPr>
        <w:t>1505 София, България</w:t>
      </w:r>
    </w:p>
    <w:p w14:paraId="508F3A54" w14:textId="11FEC4CE" w:rsidR="00B6672E" w:rsidRDefault="00936AD0" w:rsidP="00936AD0">
      <w:pPr>
        <w:pStyle w:val="Heading1"/>
      </w:pPr>
      <w:r>
        <w:t>8.</w:t>
      </w:r>
      <w:r w:rsidR="002C50EE">
        <w:t>НОМЕР НА РАЗРЕШЕНИЕТО ЗА УПОТРЕБА</w:t>
      </w:r>
    </w:p>
    <w:p w14:paraId="75D0C82F" w14:textId="659C9980" w:rsidR="001A4D4E" w:rsidRDefault="001A4D4E" w:rsidP="001A4D4E"/>
    <w:p w14:paraId="43B9A907" w14:textId="74BDB72E" w:rsidR="001A4D4E" w:rsidRPr="001A4D4E" w:rsidRDefault="001A4D4E" w:rsidP="001A4D4E">
      <w:r>
        <w:t>20011115</w:t>
      </w:r>
    </w:p>
    <w:p w14:paraId="3BC5EC53" w14:textId="2D2947A3" w:rsidR="00875EEC" w:rsidRDefault="002C50EE" w:rsidP="005726E3">
      <w:pPr>
        <w:pStyle w:val="Heading1"/>
      </w:pPr>
      <w:r>
        <w:t>9. ДАТА НА ПЪРВО РАЗРЕШАВАНЕ/ПОДНОВЯВАНЕ НА РАЗРЕШЕНИЕТО ЗА УПОТРЕБА</w:t>
      </w:r>
    </w:p>
    <w:p w14:paraId="23AE0FA9" w14:textId="679B78E5" w:rsidR="001A4D4E" w:rsidRDefault="001A4D4E" w:rsidP="001A4D4E"/>
    <w:p w14:paraId="5B1F9F38" w14:textId="77777777" w:rsidR="001A4D4E" w:rsidRPr="001A4D4E" w:rsidRDefault="001A4D4E" w:rsidP="001A4D4E">
      <w:pPr>
        <w:rPr>
          <w:sz w:val="24"/>
          <w:szCs w:val="24"/>
        </w:rPr>
      </w:pPr>
      <w:r w:rsidRPr="001A4D4E">
        <w:rPr>
          <w:lang w:eastAsia="bg-BG"/>
        </w:rPr>
        <w:t>Дата на първо разрешаване: 14 ноември 2001 г.</w:t>
      </w:r>
    </w:p>
    <w:p w14:paraId="5279D35D" w14:textId="608377F8" w:rsidR="001A4D4E" w:rsidRPr="001A4D4E" w:rsidRDefault="001A4D4E" w:rsidP="001A4D4E">
      <w:r w:rsidRPr="001A4D4E">
        <w:rPr>
          <w:lang w:eastAsia="bg-BG"/>
        </w:rPr>
        <w:t>Дата на послед</w:t>
      </w:r>
      <w:r>
        <w:rPr>
          <w:lang w:eastAsia="bg-BG"/>
        </w:rPr>
        <w:t>но подновяване: 23 април 2012 г.</w:t>
      </w:r>
    </w:p>
    <w:p w14:paraId="43FB38A2" w14:textId="5BD2A4B6" w:rsidR="007C605B" w:rsidRDefault="002C50EE" w:rsidP="005726E3">
      <w:pPr>
        <w:pStyle w:val="Heading1"/>
      </w:pPr>
      <w:r>
        <w:t>10. ДАТА НА АКТУАЛИЗИРАНЕ НА ТЕКСТА</w:t>
      </w:r>
      <w:bookmarkEnd w:id="0"/>
    </w:p>
    <w:p w14:paraId="3B05D30D" w14:textId="2EDC5BBD" w:rsidR="00775245" w:rsidRPr="00775245" w:rsidRDefault="00775245" w:rsidP="00775245">
      <w:r>
        <w:t>08/2020</w:t>
      </w:r>
      <w:bookmarkStart w:id="1" w:name="_GoBack"/>
      <w:bookmarkEnd w:id="1"/>
    </w:p>
    <w:sectPr w:rsidR="00775245" w:rsidRPr="007752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7"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2"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36" w15:restartNumberingAfterBreak="0">
    <w:nsid w:val="7FCE4B37"/>
    <w:multiLevelType w:val="hybridMultilevel"/>
    <w:tmpl w:val="A04E6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0"/>
  </w:num>
  <w:num w:numId="3">
    <w:abstractNumId w:val="14"/>
  </w:num>
  <w:num w:numId="4">
    <w:abstractNumId w:val="3"/>
  </w:num>
  <w:num w:numId="5">
    <w:abstractNumId w:val="1"/>
  </w:num>
  <w:num w:numId="6">
    <w:abstractNumId w:val="17"/>
  </w:num>
  <w:num w:numId="7">
    <w:abstractNumId w:val="12"/>
  </w:num>
  <w:num w:numId="8">
    <w:abstractNumId w:val="16"/>
  </w:num>
  <w:num w:numId="9">
    <w:abstractNumId w:val="2"/>
  </w:num>
  <w:num w:numId="10">
    <w:abstractNumId w:val="4"/>
  </w:num>
  <w:num w:numId="11">
    <w:abstractNumId w:val="31"/>
  </w:num>
  <w:num w:numId="12">
    <w:abstractNumId w:val="15"/>
  </w:num>
  <w:num w:numId="13">
    <w:abstractNumId w:val="20"/>
  </w:num>
  <w:num w:numId="14">
    <w:abstractNumId w:val="13"/>
  </w:num>
  <w:num w:numId="15">
    <w:abstractNumId w:val="30"/>
  </w:num>
  <w:num w:numId="16">
    <w:abstractNumId w:val="11"/>
  </w:num>
  <w:num w:numId="17">
    <w:abstractNumId w:val="25"/>
  </w:num>
  <w:num w:numId="18">
    <w:abstractNumId w:val="8"/>
  </w:num>
  <w:num w:numId="19">
    <w:abstractNumId w:val="27"/>
  </w:num>
  <w:num w:numId="20">
    <w:abstractNumId w:val="24"/>
  </w:num>
  <w:num w:numId="21">
    <w:abstractNumId w:val="18"/>
  </w:num>
  <w:num w:numId="22">
    <w:abstractNumId w:val="26"/>
  </w:num>
  <w:num w:numId="23">
    <w:abstractNumId w:val="19"/>
  </w:num>
  <w:num w:numId="24">
    <w:abstractNumId w:val="9"/>
  </w:num>
  <w:num w:numId="25">
    <w:abstractNumId w:val="23"/>
  </w:num>
  <w:num w:numId="26">
    <w:abstractNumId w:val="22"/>
  </w:num>
  <w:num w:numId="27">
    <w:abstractNumId w:val="32"/>
  </w:num>
  <w:num w:numId="28">
    <w:abstractNumId w:val="6"/>
  </w:num>
  <w:num w:numId="29">
    <w:abstractNumId w:val="21"/>
  </w:num>
  <w:num w:numId="30">
    <w:abstractNumId w:val="35"/>
  </w:num>
  <w:num w:numId="31">
    <w:abstractNumId w:val="5"/>
  </w:num>
  <w:num w:numId="32">
    <w:abstractNumId w:val="34"/>
  </w:num>
  <w:num w:numId="33">
    <w:abstractNumId w:val="29"/>
  </w:num>
  <w:num w:numId="34">
    <w:abstractNumId w:val="33"/>
  </w:num>
  <w:num w:numId="35">
    <w:abstractNumId w:val="7"/>
  </w:num>
  <w:num w:numId="36">
    <w:abstractNumId w:val="10"/>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A4D4E"/>
    <w:rsid w:val="001D1B23"/>
    <w:rsid w:val="002B3C38"/>
    <w:rsid w:val="002B4DBB"/>
    <w:rsid w:val="002C50EE"/>
    <w:rsid w:val="00340A0A"/>
    <w:rsid w:val="003765DC"/>
    <w:rsid w:val="00395555"/>
    <w:rsid w:val="003E3126"/>
    <w:rsid w:val="00426E5F"/>
    <w:rsid w:val="004A448E"/>
    <w:rsid w:val="004D4D6B"/>
    <w:rsid w:val="004F1CE7"/>
    <w:rsid w:val="004F498A"/>
    <w:rsid w:val="00517A5B"/>
    <w:rsid w:val="005726E3"/>
    <w:rsid w:val="00593A00"/>
    <w:rsid w:val="005A66D9"/>
    <w:rsid w:val="00605BCA"/>
    <w:rsid w:val="006158A1"/>
    <w:rsid w:val="00617B1F"/>
    <w:rsid w:val="00672487"/>
    <w:rsid w:val="00672600"/>
    <w:rsid w:val="00681D4A"/>
    <w:rsid w:val="00685882"/>
    <w:rsid w:val="007122AD"/>
    <w:rsid w:val="0075649D"/>
    <w:rsid w:val="00775245"/>
    <w:rsid w:val="007C605B"/>
    <w:rsid w:val="008134C8"/>
    <w:rsid w:val="00814073"/>
    <w:rsid w:val="00826F0D"/>
    <w:rsid w:val="00875EEC"/>
    <w:rsid w:val="00893B92"/>
    <w:rsid w:val="008A6AF2"/>
    <w:rsid w:val="008C70A2"/>
    <w:rsid w:val="00936AD0"/>
    <w:rsid w:val="009773E4"/>
    <w:rsid w:val="009B171C"/>
    <w:rsid w:val="009F1313"/>
    <w:rsid w:val="00A20351"/>
    <w:rsid w:val="00A65A81"/>
    <w:rsid w:val="00AA23EC"/>
    <w:rsid w:val="00AC63CE"/>
    <w:rsid w:val="00AE2107"/>
    <w:rsid w:val="00B275A8"/>
    <w:rsid w:val="00B6672E"/>
    <w:rsid w:val="00BF2600"/>
    <w:rsid w:val="00C0049F"/>
    <w:rsid w:val="00C07B84"/>
    <w:rsid w:val="00C33464"/>
    <w:rsid w:val="00C40420"/>
    <w:rsid w:val="00C809A7"/>
    <w:rsid w:val="00C83063"/>
    <w:rsid w:val="00C87E90"/>
    <w:rsid w:val="00CA1B57"/>
    <w:rsid w:val="00CF77F7"/>
    <w:rsid w:val="00D86297"/>
    <w:rsid w:val="00DB32D3"/>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3959</Words>
  <Characters>22571</Characters>
  <Application>Microsoft Office Word</Application>
  <DocSecurity>0</DocSecurity>
  <Lines>188</Lines>
  <Paragraphs>52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2022-12-05T00:14:00Z</dcterms:created>
  <dcterms:modified xsi:type="dcterms:W3CDTF">2022-12-05T00:14:00Z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