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30BC7AB" w:rsidR="00C40420" w:rsidRDefault="00DD466D" w:rsidP="004A448E">
      <w:pPr>
        <w:pStyle w:val="Heading1"/>
      </w:pPr>
      <w:r>
        <w:t>1.ИМЕ НА ЛЕКАРСТВЕНИЯ ПРОДУКТ</w:t>
      </w:r>
    </w:p>
    <w:p w14:paraId="15F7AE2F" w14:textId="59E20A5A" w:rsidR="002B6ED6" w:rsidRDefault="002B6ED6" w:rsidP="002B6ED6"/>
    <w:p w14:paraId="7842707C" w14:textId="77777777" w:rsidR="002B6ED6" w:rsidRPr="002B6ED6" w:rsidRDefault="002B6ED6" w:rsidP="002B6ED6">
      <w:pPr>
        <w:rPr>
          <w:sz w:val="24"/>
          <w:szCs w:val="24"/>
        </w:rPr>
      </w:pPr>
      <w:r w:rsidRPr="002B6ED6">
        <w:rPr>
          <w:lang w:eastAsia="bg-BG"/>
        </w:rPr>
        <w:t xml:space="preserve">Тезео 80 </w:t>
      </w:r>
      <w:r w:rsidRPr="002B6ED6">
        <w:rPr>
          <w:lang w:val="en-US"/>
        </w:rPr>
        <w:t>mg</w:t>
      </w:r>
      <w:r w:rsidRPr="002B6ED6">
        <w:t xml:space="preserve"> </w:t>
      </w:r>
      <w:r w:rsidRPr="002B6ED6">
        <w:rPr>
          <w:lang w:eastAsia="bg-BG"/>
        </w:rPr>
        <w:t>таблетки</w:t>
      </w:r>
    </w:p>
    <w:p w14:paraId="4FB41143" w14:textId="2E707B08" w:rsidR="002B6ED6" w:rsidRPr="002B6ED6" w:rsidRDefault="002B6ED6" w:rsidP="002B6ED6">
      <w:proofErr w:type="spellStart"/>
      <w:r w:rsidRPr="002B6ED6">
        <w:rPr>
          <w:lang w:val="en-US"/>
        </w:rPr>
        <w:t>Tezeo</w:t>
      </w:r>
      <w:proofErr w:type="spellEnd"/>
      <w:r w:rsidRPr="002B6ED6">
        <w:t xml:space="preserve"> </w:t>
      </w:r>
      <w:r w:rsidRPr="002B6ED6">
        <w:rPr>
          <w:lang w:eastAsia="bg-BG"/>
        </w:rPr>
        <w:t xml:space="preserve">80 </w:t>
      </w:r>
      <w:r w:rsidRPr="002B6ED6">
        <w:rPr>
          <w:lang w:val="en-US"/>
        </w:rPr>
        <w:t>mg</w:t>
      </w:r>
      <w:r w:rsidRPr="002B6ED6">
        <w:t xml:space="preserve"> </w:t>
      </w:r>
      <w:r w:rsidRPr="002B6ED6">
        <w:rPr>
          <w:lang w:val="en-US"/>
        </w:rPr>
        <w:t>tablets</w:t>
      </w:r>
      <w:r>
        <w:t>б</w:t>
      </w:r>
    </w:p>
    <w:p w14:paraId="6920A680" w14:textId="2C2CBCDF" w:rsidR="00C40420" w:rsidRDefault="00DD466D" w:rsidP="004A448E">
      <w:pPr>
        <w:pStyle w:val="Heading1"/>
      </w:pPr>
      <w:r>
        <w:t>2. КАЧЕСТВЕН И КОЛИЧЕСТВЕН СЪСТАВ</w:t>
      </w:r>
    </w:p>
    <w:p w14:paraId="4B567E1E" w14:textId="50312D33" w:rsidR="002B6ED6" w:rsidRDefault="002B6ED6" w:rsidP="002B6ED6"/>
    <w:p w14:paraId="55472D95" w14:textId="77777777" w:rsidR="002B6ED6" w:rsidRPr="002B6ED6" w:rsidRDefault="002B6ED6" w:rsidP="002B6ED6">
      <w:pPr>
        <w:rPr>
          <w:sz w:val="24"/>
          <w:szCs w:val="24"/>
        </w:rPr>
      </w:pPr>
      <w:r w:rsidRPr="002B6ED6">
        <w:rPr>
          <w:lang w:eastAsia="bg-BG"/>
        </w:rPr>
        <w:t xml:space="preserve">Всяка таблетка съдържа 80 </w:t>
      </w:r>
      <w:r w:rsidRPr="002B6ED6">
        <w:rPr>
          <w:lang w:val="en-US"/>
        </w:rPr>
        <w:t>mg</w:t>
      </w:r>
      <w:r w:rsidRPr="002B6ED6">
        <w:t xml:space="preserve"> </w:t>
      </w:r>
      <w:r w:rsidRPr="002B6ED6">
        <w:rPr>
          <w:lang w:eastAsia="bg-BG"/>
        </w:rPr>
        <w:t xml:space="preserve">телмисартан </w:t>
      </w:r>
      <w:r w:rsidRPr="002B6ED6">
        <w:t>(</w:t>
      </w:r>
      <w:proofErr w:type="spellStart"/>
      <w:r w:rsidRPr="002B6ED6">
        <w:rPr>
          <w:lang w:val="en-US"/>
        </w:rPr>
        <w:t>telmisartan</w:t>
      </w:r>
      <w:proofErr w:type="spellEnd"/>
      <w:r w:rsidRPr="002B6ED6">
        <w:t>).</w:t>
      </w:r>
    </w:p>
    <w:p w14:paraId="1B461025" w14:textId="77777777" w:rsidR="002B6ED6" w:rsidRDefault="002B6ED6" w:rsidP="002B6ED6">
      <w:pPr>
        <w:rPr>
          <w:lang w:eastAsia="bg-BG"/>
        </w:rPr>
      </w:pPr>
    </w:p>
    <w:p w14:paraId="099FD160" w14:textId="4699F483" w:rsidR="002B6ED6" w:rsidRPr="002B6ED6" w:rsidRDefault="002B6ED6" w:rsidP="002B6ED6">
      <w:r w:rsidRPr="002B6ED6">
        <w:rPr>
          <w:lang w:eastAsia="bg-BG"/>
        </w:rPr>
        <w:t xml:space="preserve">Помощни вещества с известно действие: Всяка таблетка съдържа 324,40 </w:t>
      </w:r>
      <w:r w:rsidRPr="002B6ED6">
        <w:rPr>
          <w:lang w:val="en-US"/>
        </w:rPr>
        <w:t>mg</w:t>
      </w:r>
      <w:r w:rsidRPr="002B6ED6">
        <w:rPr>
          <w:lang w:val="ru-RU"/>
        </w:rPr>
        <w:t xml:space="preserve"> </w:t>
      </w:r>
      <w:r w:rsidRPr="002B6ED6">
        <w:rPr>
          <w:lang w:eastAsia="bg-BG"/>
        </w:rPr>
        <w:t>сорбитол (Е420)</w:t>
      </w:r>
    </w:p>
    <w:p w14:paraId="614984C4" w14:textId="69E62B03" w:rsidR="008A6AF2" w:rsidRDefault="00DD466D" w:rsidP="002C50EE">
      <w:pPr>
        <w:pStyle w:val="Heading1"/>
      </w:pPr>
      <w:r>
        <w:t>3. ЛЕКАРСТВЕНА ФОРМА</w:t>
      </w:r>
    </w:p>
    <w:p w14:paraId="3E0D0E8C" w14:textId="15F3DF63" w:rsidR="002B6ED6" w:rsidRDefault="002B6ED6" w:rsidP="002B6ED6"/>
    <w:p w14:paraId="250174A2" w14:textId="77777777" w:rsidR="002B6ED6" w:rsidRPr="002B6ED6" w:rsidRDefault="002B6ED6" w:rsidP="002B6ED6">
      <w:pPr>
        <w:rPr>
          <w:sz w:val="24"/>
          <w:szCs w:val="24"/>
        </w:rPr>
      </w:pPr>
      <w:r w:rsidRPr="002B6ED6">
        <w:rPr>
          <w:lang w:eastAsia="bg-BG"/>
        </w:rPr>
        <w:t>Таблетка.</w:t>
      </w:r>
    </w:p>
    <w:p w14:paraId="3F21AC71" w14:textId="77777777" w:rsidR="002B6ED6" w:rsidRDefault="002B6ED6" w:rsidP="002B6ED6">
      <w:pPr>
        <w:rPr>
          <w:lang w:eastAsia="bg-BG"/>
        </w:rPr>
      </w:pPr>
    </w:p>
    <w:p w14:paraId="43E42572" w14:textId="227D61E7" w:rsidR="002B6ED6" w:rsidRPr="002B6ED6" w:rsidRDefault="002B6ED6" w:rsidP="002B6ED6">
      <w:pPr>
        <w:rPr>
          <w:sz w:val="24"/>
          <w:szCs w:val="24"/>
        </w:rPr>
      </w:pPr>
      <w:r w:rsidRPr="002B6ED6">
        <w:rPr>
          <w:lang w:eastAsia="bg-BG"/>
        </w:rPr>
        <w:t>Почти бели до жълтеникави, продълговати, двойно изпъкнали таблетки с „80”, щамповано от едната страна с дължина приблизително 16 мм, ширина приблизително 8 мм и дебелина 4,2-4,8 мм.</w:t>
      </w:r>
    </w:p>
    <w:p w14:paraId="47CD9A3A" w14:textId="77777777" w:rsidR="002B6ED6" w:rsidRPr="002B6ED6" w:rsidRDefault="002B6ED6" w:rsidP="002B6ED6"/>
    <w:p w14:paraId="490FC2C4" w14:textId="32682B15" w:rsidR="002C50EE" w:rsidRDefault="002C50EE" w:rsidP="002C50EE">
      <w:pPr>
        <w:pStyle w:val="Heading1"/>
      </w:pPr>
      <w:r>
        <w:t>4. КЛИНИЧНИ ДАННИ</w:t>
      </w:r>
    </w:p>
    <w:p w14:paraId="0C8E6903" w14:textId="09E13682" w:rsidR="008134C8" w:rsidRDefault="002C50EE" w:rsidP="004A448E">
      <w:pPr>
        <w:pStyle w:val="Heading2"/>
      </w:pPr>
      <w:r>
        <w:t>4.1. Терапевтични показания</w:t>
      </w:r>
    </w:p>
    <w:p w14:paraId="1FF4C955" w14:textId="0CDC8CE3" w:rsidR="002B6ED6" w:rsidRDefault="002B6ED6" w:rsidP="002B6ED6"/>
    <w:p w14:paraId="53A6B230" w14:textId="77777777"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Високо кръвно налягане</w:t>
      </w:r>
    </w:p>
    <w:p w14:paraId="3D0EC29D"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Лечение на есенциална хипертония при възрастни.</w:t>
      </w:r>
    </w:p>
    <w:p w14:paraId="5D6FC1EA" w14:textId="77777777" w:rsidR="002B6ED6" w:rsidRPr="002B6ED6" w:rsidRDefault="002B6ED6" w:rsidP="002B6ED6">
      <w:pPr>
        <w:spacing w:line="240" w:lineRule="auto"/>
        <w:rPr>
          <w:rFonts w:eastAsia="Times New Roman" w:cs="Arial"/>
          <w:bCs/>
          <w:color w:val="000000"/>
          <w:u w:val="single"/>
          <w:lang w:eastAsia="bg-BG"/>
        </w:rPr>
      </w:pPr>
    </w:p>
    <w:p w14:paraId="7A4CDF71" w14:textId="33BFBAD8"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Сърдечно-съдова профилактика</w:t>
      </w:r>
    </w:p>
    <w:p w14:paraId="7224ED28"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Намаляване на сърдечно-съдовата заболеваемост при пациенти с:</w:t>
      </w:r>
    </w:p>
    <w:p w14:paraId="0DAB0228" w14:textId="7E1887F8" w:rsidR="002B6ED6" w:rsidRPr="002B6ED6" w:rsidRDefault="002B6ED6" w:rsidP="002B6ED6">
      <w:pPr>
        <w:pStyle w:val="ListParagraph"/>
        <w:numPr>
          <w:ilvl w:val="0"/>
          <w:numId w:val="2"/>
        </w:numPr>
        <w:spacing w:line="240" w:lineRule="auto"/>
        <w:rPr>
          <w:rFonts w:eastAsia="Times New Roman" w:cs="Arial"/>
          <w:bCs/>
          <w:color w:val="000000"/>
          <w:lang w:eastAsia="bg-BG"/>
        </w:rPr>
      </w:pPr>
      <w:r w:rsidRPr="002B6ED6">
        <w:rPr>
          <w:rFonts w:eastAsia="Times New Roman" w:cs="Arial"/>
          <w:bCs/>
          <w:color w:val="000000"/>
          <w:lang w:eastAsia="bg-BG"/>
        </w:rPr>
        <w:t>изявена атеротромботична сърдечно-съдова болест (анамнеза за коронарна болест на сърцето, мозъчен инсулт или периферно артериално заболяване) или</w:t>
      </w:r>
    </w:p>
    <w:p w14:paraId="747E7E49" w14:textId="191E6713" w:rsidR="002B6ED6" w:rsidRPr="002B6ED6" w:rsidRDefault="002B6ED6" w:rsidP="002B6ED6">
      <w:pPr>
        <w:pStyle w:val="ListParagraph"/>
        <w:numPr>
          <w:ilvl w:val="0"/>
          <w:numId w:val="2"/>
        </w:numPr>
        <w:spacing w:line="240" w:lineRule="auto"/>
        <w:rPr>
          <w:rFonts w:ascii="Times New Roman" w:eastAsia="Times New Roman" w:hAnsi="Times New Roman" w:cs="Times New Roman"/>
          <w:bCs/>
          <w:color w:val="000000"/>
          <w:sz w:val="42"/>
          <w:szCs w:val="42"/>
          <w:lang w:eastAsia="bg-BG"/>
        </w:rPr>
      </w:pPr>
      <w:r w:rsidRPr="002B6ED6">
        <w:rPr>
          <w:rFonts w:eastAsia="Times New Roman" w:cs="Arial"/>
          <w:bCs/>
          <w:color w:val="000000"/>
          <w:lang w:eastAsia="bg-BG"/>
        </w:rPr>
        <w:t>захарен диабет тип 2 с установено увреждане на крайните прицелни органи.</w:t>
      </w:r>
    </w:p>
    <w:p w14:paraId="04158D20" w14:textId="53C32E90" w:rsidR="002B6ED6" w:rsidRDefault="002B6ED6" w:rsidP="002B6ED6"/>
    <w:p w14:paraId="01DE19E4" w14:textId="77777777" w:rsidR="002B6ED6" w:rsidRPr="002B6ED6" w:rsidRDefault="002B6ED6" w:rsidP="002B6ED6"/>
    <w:p w14:paraId="30BE2C7B" w14:textId="4093EF8F" w:rsidR="008134C8" w:rsidRDefault="002C50EE" w:rsidP="004A448E">
      <w:pPr>
        <w:pStyle w:val="Heading2"/>
      </w:pPr>
      <w:r>
        <w:t>4.2. Дозировка и начин на приложение</w:t>
      </w:r>
    </w:p>
    <w:p w14:paraId="065A0F7B" w14:textId="48109396" w:rsidR="002B6ED6" w:rsidRDefault="002B6ED6" w:rsidP="002B6ED6"/>
    <w:p w14:paraId="0B61DA66" w14:textId="77777777" w:rsidR="002B6ED6" w:rsidRPr="002B6ED6" w:rsidRDefault="002B6ED6" w:rsidP="002B6ED6">
      <w:pPr>
        <w:pStyle w:val="Heading3"/>
        <w:rPr>
          <w:rFonts w:eastAsia="Times New Roman"/>
          <w:u w:val="single"/>
        </w:rPr>
      </w:pPr>
      <w:r w:rsidRPr="002B6ED6">
        <w:rPr>
          <w:rFonts w:eastAsia="Times New Roman"/>
          <w:u w:val="single"/>
          <w:lang w:eastAsia="bg-BG"/>
        </w:rPr>
        <w:t>Дозировка</w:t>
      </w:r>
    </w:p>
    <w:p w14:paraId="6C84393E" w14:textId="77777777" w:rsidR="002B6ED6" w:rsidRPr="002B6ED6" w:rsidRDefault="002B6ED6" w:rsidP="002B6ED6">
      <w:pPr>
        <w:spacing w:line="240" w:lineRule="auto"/>
        <w:rPr>
          <w:rFonts w:eastAsia="Times New Roman" w:cs="Arial"/>
          <w:bCs/>
          <w:color w:val="000000"/>
          <w:u w:val="single"/>
          <w:lang w:eastAsia="bg-BG"/>
        </w:rPr>
      </w:pPr>
    </w:p>
    <w:p w14:paraId="44042F21" w14:textId="23C23551"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Лечение на есенциална хипертония:</w:t>
      </w:r>
    </w:p>
    <w:p w14:paraId="6F90E80A"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lastRenderedPageBreak/>
        <w:t xml:space="preserve">Обикновено ефективната доза е 40 </w:t>
      </w:r>
      <w:r w:rsidRPr="002B6ED6">
        <w:rPr>
          <w:rFonts w:eastAsia="Times New Roman" w:cs="Arial"/>
          <w:bCs/>
          <w:color w:val="000000"/>
          <w:lang w:val="en-US"/>
        </w:rPr>
        <w:t>mg</w:t>
      </w:r>
      <w:r w:rsidRPr="002B6ED6">
        <w:rPr>
          <w:rFonts w:eastAsia="Times New Roman" w:cs="Arial"/>
          <w:bCs/>
          <w:color w:val="000000"/>
          <w:lang w:val="ru-RU"/>
        </w:rPr>
        <w:t xml:space="preserve"> </w:t>
      </w:r>
      <w:r w:rsidRPr="002B6ED6">
        <w:rPr>
          <w:rFonts w:eastAsia="Times New Roman" w:cs="Arial"/>
          <w:bCs/>
          <w:color w:val="000000"/>
          <w:lang w:eastAsia="bg-BG"/>
        </w:rPr>
        <w:t xml:space="preserve">веднъж дневно. Някои пациенти могат да се повлияят и от дневна доза от 20 </w:t>
      </w:r>
      <w:r w:rsidRPr="002B6ED6">
        <w:rPr>
          <w:rFonts w:eastAsia="Times New Roman" w:cs="Arial"/>
          <w:bCs/>
          <w:color w:val="000000"/>
          <w:lang w:val="en-US"/>
        </w:rPr>
        <w:t>mg</w:t>
      </w:r>
      <w:r w:rsidRPr="002B6ED6">
        <w:rPr>
          <w:rFonts w:eastAsia="Times New Roman" w:cs="Arial"/>
          <w:bCs/>
          <w:color w:val="000000"/>
          <w:lang w:val="ru-RU"/>
        </w:rPr>
        <w:t xml:space="preserve">. </w:t>
      </w:r>
      <w:r w:rsidRPr="002B6ED6">
        <w:rPr>
          <w:rFonts w:eastAsia="Times New Roman" w:cs="Arial"/>
          <w:bCs/>
          <w:color w:val="000000"/>
          <w:lang w:eastAsia="bg-BG"/>
        </w:rPr>
        <w:t xml:space="preserve">Доза от 20 </w:t>
      </w:r>
      <w:r w:rsidRPr="002B6ED6">
        <w:rPr>
          <w:rFonts w:eastAsia="Times New Roman" w:cs="Arial"/>
          <w:bCs/>
          <w:color w:val="000000"/>
          <w:lang w:val="en-US"/>
        </w:rPr>
        <w:t>mg</w:t>
      </w:r>
      <w:r w:rsidRPr="002B6ED6">
        <w:rPr>
          <w:rFonts w:eastAsia="Times New Roman" w:cs="Arial"/>
          <w:bCs/>
          <w:color w:val="000000"/>
          <w:lang w:val="ru-RU"/>
        </w:rPr>
        <w:t xml:space="preserve"> </w:t>
      </w:r>
      <w:r w:rsidRPr="002B6ED6">
        <w:rPr>
          <w:rFonts w:eastAsia="Times New Roman" w:cs="Arial"/>
          <w:bCs/>
          <w:color w:val="000000"/>
          <w:lang w:eastAsia="bg-BG"/>
        </w:rPr>
        <w:t xml:space="preserve">може да се приеме при разделяне на таблетка от 40 </w:t>
      </w:r>
      <w:r w:rsidRPr="002B6ED6">
        <w:rPr>
          <w:rFonts w:eastAsia="Times New Roman" w:cs="Arial"/>
          <w:bCs/>
          <w:color w:val="000000"/>
          <w:lang w:val="en-US"/>
        </w:rPr>
        <w:t>mg</w:t>
      </w:r>
      <w:r w:rsidRPr="002B6ED6">
        <w:rPr>
          <w:rFonts w:eastAsia="Times New Roman" w:cs="Arial"/>
          <w:bCs/>
          <w:color w:val="000000"/>
          <w:lang w:val="ru-RU"/>
        </w:rPr>
        <w:t xml:space="preserve">. </w:t>
      </w:r>
      <w:r w:rsidRPr="002B6ED6">
        <w:rPr>
          <w:rFonts w:eastAsia="Times New Roman" w:cs="Arial"/>
          <w:bCs/>
          <w:color w:val="000000"/>
          <w:lang w:eastAsia="bg-BG"/>
        </w:rPr>
        <w:t xml:space="preserve">В случаите, в които не се постига желаното кръвно налягане, дозата на телмисартан може да бъде повишена максимално до 80 </w:t>
      </w:r>
      <w:r w:rsidRPr="002B6ED6">
        <w:rPr>
          <w:rFonts w:eastAsia="Times New Roman" w:cs="Arial"/>
          <w:bCs/>
          <w:color w:val="000000"/>
          <w:lang w:val="en-US"/>
        </w:rPr>
        <w:t>mg</w:t>
      </w:r>
      <w:r w:rsidRPr="002B6ED6">
        <w:rPr>
          <w:rFonts w:eastAsia="Times New Roman" w:cs="Arial"/>
          <w:bCs/>
          <w:color w:val="000000"/>
          <w:lang w:val="ru-RU"/>
        </w:rPr>
        <w:t xml:space="preserve"> </w:t>
      </w:r>
      <w:r w:rsidRPr="002B6ED6">
        <w:rPr>
          <w:rFonts w:eastAsia="Times New Roman" w:cs="Arial"/>
          <w:bCs/>
          <w:color w:val="000000"/>
          <w:lang w:eastAsia="bg-BG"/>
        </w:rPr>
        <w:t>веднъж дневно. Като алтернатива, телмисартан може да се прилага в комбинация с диуретици от тиазиден тип като хидрохлоротиазид, който допълнително понижава кръвното налягане. При решение за повишаване на дозата, трябва да се има предвид, че максималният антихипертензивен ефект се достига в рамките на 4-8 седмици след започване на лечението (вж. точка 5.1).</w:t>
      </w:r>
    </w:p>
    <w:p w14:paraId="17EFEDAB" w14:textId="77777777" w:rsidR="002B6ED6" w:rsidRPr="002B6ED6" w:rsidRDefault="002B6ED6" w:rsidP="002B6ED6">
      <w:pPr>
        <w:spacing w:line="240" w:lineRule="auto"/>
        <w:rPr>
          <w:rFonts w:eastAsia="Times New Roman" w:cs="Arial"/>
          <w:bCs/>
          <w:i/>
          <w:iCs/>
          <w:color w:val="000000"/>
          <w:u w:val="single"/>
          <w:lang w:eastAsia="bg-BG"/>
        </w:rPr>
      </w:pPr>
    </w:p>
    <w:p w14:paraId="2522CCC8" w14:textId="2794F10B" w:rsidR="002B6ED6" w:rsidRPr="002B6ED6" w:rsidRDefault="002B6ED6" w:rsidP="002B6ED6">
      <w:pPr>
        <w:spacing w:line="240" w:lineRule="auto"/>
        <w:rPr>
          <w:rFonts w:ascii="Times New Roman" w:eastAsia="Times New Roman" w:hAnsi="Times New Roman" w:cs="Times New Roman"/>
          <w:sz w:val="24"/>
          <w:szCs w:val="24"/>
        </w:rPr>
      </w:pPr>
      <w:r w:rsidRPr="002B6ED6">
        <w:rPr>
          <w:rFonts w:eastAsia="Times New Roman" w:cs="Arial"/>
          <w:bCs/>
          <w:i/>
          <w:iCs/>
          <w:color w:val="000000"/>
          <w:u w:val="single"/>
          <w:lang w:eastAsia="bg-BG"/>
        </w:rPr>
        <w:t>Сърдечно-съдова профилактика</w:t>
      </w:r>
      <w:r w:rsidRPr="002B6ED6">
        <w:rPr>
          <w:rFonts w:eastAsia="Times New Roman" w:cs="Arial"/>
          <w:bCs/>
          <w:i/>
          <w:iCs/>
          <w:color w:val="000000"/>
          <w:lang w:eastAsia="bg-BG"/>
        </w:rPr>
        <w:t>:</w:t>
      </w:r>
    </w:p>
    <w:p w14:paraId="1E096235"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 xml:space="preserve">Препоръчваната доза е 80 </w:t>
      </w:r>
      <w:r w:rsidRPr="002B6ED6">
        <w:rPr>
          <w:rFonts w:eastAsia="Times New Roman" w:cs="Arial"/>
          <w:color w:val="000000"/>
          <w:lang w:val="en-US"/>
        </w:rPr>
        <w:t>mg</w:t>
      </w:r>
      <w:r w:rsidRPr="002B6ED6">
        <w:rPr>
          <w:rFonts w:eastAsia="Times New Roman" w:cs="Arial"/>
          <w:color w:val="000000"/>
          <w:lang w:val="ru-RU"/>
        </w:rPr>
        <w:t xml:space="preserve"> </w:t>
      </w:r>
      <w:r w:rsidRPr="002B6ED6">
        <w:rPr>
          <w:rFonts w:eastAsia="Times New Roman" w:cs="Arial"/>
          <w:color w:val="000000"/>
          <w:lang w:eastAsia="bg-BG"/>
        </w:rPr>
        <w:t xml:space="preserve">един път дневно. Не е известно дали дози, по-ниски от </w:t>
      </w:r>
      <w:r w:rsidRPr="002B6ED6">
        <w:rPr>
          <w:rFonts w:eastAsia="Times New Roman" w:cs="Arial"/>
          <w:color w:val="000000"/>
          <w:lang w:val="ru-RU"/>
        </w:rPr>
        <w:t>80</w:t>
      </w:r>
      <w:r w:rsidRPr="002B6ED6">
        <w:rPr>
          <w:rFonts w:eastAsia="Times New Roman" w:cs="Arial"/>
          <w:color w:val="000000"/>
          <w:lang w:val="en-US"/>
        </w:rPr>
        <w:t>mg</w:t>
      </w:r>
      <w:r w:rsidRPr="002B6ED6">
        <w:rPr>
          <w:rFonts w:eastAsia="Times New Roman" w:cs="Arial"/>
          <w:color w:val="000000"/>
          <w:lang w:val="ru-RU"/>
        </w:rPr>
        <w:t xml:space="preserve"> </w:t>
      </w:r>
      <w:r w:rsidRPr="002B6ED6">
        <w:rPr>
          <w:rFonts w:eastAsia="Times New Roman" w:cs="Arial"/>
          <w:color w:val="000000"/>
          <w:lang w:eastAsia="bg-BG"/>
        </w:rPr>
        <w:t>телмисартан са ефикасни за намаляване на сърдечно-съдовата заболеваемост.</w:t>
      </w:r>
    </w:p>
    <w:p w14:paraId="69095189"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При започване на лечение с телмисартан за намаляване на сърдечно-съдова заболеваемост се препоръчва внимателно проследяване на кръвното налягане и ако се налага, коригиране на лекарствата, които понижават кръвното налягане.</w:t>
      </w:r>
    </w:p>
    <w:p w14:paraId="376551AC" w14:textId="77777777" w:rsidR="002B6ED6" w:rsidRDefault="002B6ED6" w:rsidP="002B6ED6">
      <w:pPr>
        <w:spacing w:line="240" w:lineRule="auto"/>
        <w:rPr>
          <w:rFonts w:eastAsia="Times New Roman" w:cs="Arial"/>
          <w:i/>
          <w:iCs/>
          <w:color w:val="000000"/>
          <w:u w:val="single"/>
          <w:lang w:eastAsia="bg-BG"/>
        </w:rPr>
      </w:pPr>
    </w:p>
    <w:p w14:paraId="2589DD26" w14:textId="5D2A35F8"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i/>
          <w:iCs/>
          <w:color w:val="000000"/>
          <w:u w:val="single"/>
          <w:lang w:eastAsia="bg-BG"/>
        </w:rPr>
        <w:t>Специални популации:</w:t>
      </w:r>
    </w:p>
    <w:p w14:paraId="34F5AF41"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i/>
          <w:iCs/>
          <w:color w:val="000000"/>
          <w:lang w:eastAsia="bg-BG"/>
        </w:rPr>
        <w:t>Бъбречно увреждане</w:t>
      </w:r>
    </w:p>
    <w:p w14:paraId="50513025"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 xml:space="preserve">Наличен е ограничен опит при пациенти с тежки нарушения на бъбречната функция или на хемодиализа. При тези пациенти се препоръчва по-ниска начална доза - 20 </w:t>
      </w:r>
      <w:r w:rsidRPr="002B6ED6">
        <w:rPr>
          <w:rFonts w:eastAsia="Times New Roman" w:cs="Arial"/>
          <w:color w:val="000000"/>
          <w:lang w:val="en-US"/>
        </w:rPr>
        <w:t>mg</w:t>
      </w:r>
      <w:r w:rsidRPr="002B6ED6">
        <w:rPr>
          <w:rFonts w:eastAsia="Times New Roman" w:cs="Arial"/>
          <w:color w:val="000000"/>
          <w:lang w:val="ru-RU"/>
        </w:rPr>
        <w:t xml:space="preserve"> </w:t>
      </w:r>
      <w:r w:rsidRPr="002B6ED6">
        <w:rPr>
          <w:rFonts w:eastAsia="Times New Roman" w:cs="Arial"/>
          <w:color w:val="000000"/>
          <w:lang w:eastAsia="bg-BG"/>
        </w:rPr>
        <w:t>(вж. точка 4.4). При пациенти с леко до средно тежко бъбречно увреждане не се налага промяна в дозировката.</w:t>
      </w:r>
    </w:p>
    <w:p w14:paraId="6C4F70F0" w14:textId="77777777" w:rsidR="002B6ED6" w:rsidRDefault="002B6ED6" w:rsidP="002B6ED6">
      <w:pPr>
        <w:spacing w:line="240" w:lineRule="auto"/>
        <w:rPr>
          <w:rFonts w:eastAsia="Times New Roman" w:cs="Arial"/>
          <w:i/>
          <w:iCs/>
          <w:color w:val="000000"/>
          <w:lang w:eastAsia="bg-BG"/>
        </w:rPr>
      </w:pPr>
    </w:p>
    <w:p w14:paraId="55B0EBFC" w14:textId="44FB0083"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i/>
          <w:iCs/>
          <w:color w:val="000000"/>
          <w:lang w:eastAsia="bg-BG"/>
        </w:rPr>
        <w:t>Чернодробно увреждане</w:t>
      </w:r>
    </w:p>
    <w:p w14:paraId="7F59F5A4"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 xml:space="preserve">Тезео е противопоказан при пациенти с тежко чернодробно увреждане (вж. точка 4.3). При пациенти с леко до средно тежко чернодробно увреждане не трябва да се надвишава доза от 40 </w:t>
      </w:r>
      <w:r w:rsidRPr="002B6ED6">
        <w:rPr>
          <w:rFonts w:eastAsia="Times New Roman" w:cs="Arial"/>
          <w:color w:val="000000"/>
          <w:lang w:val="en-US"/>
        </w:rPr>
        <w:t>mg</w:t>
      </w:r>
      <w:r w:rsidRPr="002B6ED6">
        <w:rPr>
          <w:rFonts w:eastAsia="Times New Roman" w:cs="Arial"/>
          <w:color w:val="000000"/>
          <w:lang w:val="ru-RU"/>
        </w:rPr>
        <w:t xml:space="preserve"> </w:t>
      </w:r>
      <w:r w:rsidRPr="002B6ED6">
        <w:rPr>
          <w:rFonts w:eastAsia="Times New Roman" w:cs="Arial"/>
          <w:color w:val="000000"/>
          <w:lang w:eastAsia="bg-BG"/>
        </w:rPr>
        <w:t>веднъж дневно (вж. точка 4.4).</w:t>
      </w:r>
    </w:p>
    <w:p w14:paraId="7CECC3B2" w14:textId="77777777" w:rsidR="002B6ED6" w:rsidRDefault="002B6ED6" w:rsidP="002B6ED6">
      <w:pPr>
        <w:spacing w:line="240" w:lineRule="auto"/>
        <w:rPr>
          <w:rFonts w:eastAsia="Times New Roman" w:cs="Arial"/>
          <w:i/>
          <w:iCs/>
          <w:color w:val="000000"/>
          <w:lang w:eastAsia="bg-BG"/>
        </w:rPr>
      </w:pPr>
    </w:p>
    <w:p w14:paraId="39317F47" w14:textId="3EAC8EBD"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i/>
          <w:iCs/>
          <w:color w:val="000000"/>
          <w:lang w:eastAsia="bg-BG"/>
        </w:rPr>
        <w:t>Старческа възраст</w:t>
      </w:r>
    </w:p>
    <w:p w14:paraId="3AEC9372"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Не е необходимо коригиране на дозата при пациенти в старческа възраст.</w:t>
      </w:r>
    </w:p>
    <w:p w14:paraId="393861C6" w14:textId="77777777" w:rsidR="002B6ED6" w:rsidRDefault="002B6ED6" w:rsidP="002B6ED6">
      <w:pPr>
        <w:spacing w:line="240" w:lineRule="auto"/>
        <w:rPr>
          <w:rFonts w:eastAsia="Times New Roman" w:cs="Arial"/>
          <w:i/>
          <w:iCs/>
          <w:color w:val="000000"/>
          <w:lang w:eastAsia="bg-BG"/>
        </w:rPr>
      </w:pPr>
    </w:p>
    <w:p w14:paraId="20E14F49" w14:textId="221C781B"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i/>
          <w:iCs/>
          <w:color w:val="000000"/>
          <w:lang w:eastAsia="bg-BG"/>
        </w:rPr>
        <w:t>Педиатрична популация</w:t>
      </w:r>
    </w:p>
    <w:p w14:paraId="7EAB794F"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Безопасността и ефикасността на Тезео при деца и юноши на възраст под 18 години не са установени. Наличните понастоящем данни са описани в точки 5.1 и 5.2, но препоръки за дозировка не може да бъдат направени.</w:t>
      </w:r>
    </w:p>
    <w:p w14:paraId="367AE2E2" w14:textId="77777777" w:rsidR="002B6ED6" w:rsidRDefault="002B6ED6" w:rsidP="002B6ED6">
      <w:pPr>
        <w:spacing w:line="240" w:lineRule="auto"/>
        <w:rPr>
          <w:rFonts w:eastAsia="Times New Roman" w:cs="Arial"/>
          <w:color w:val="000000"/>
          <w:u w:val="single"/>
          <w:lang w:eastAsia="bg-BG"/>
        </w:rPr>
      </w:pPr>
    </w:p>
    <w:p w14:paraId="1359CB15" w14:textId="430BCB16" w:rsidR="002B6ED6" w:rsidRPr="002B6ED6" w:rsidRDefault="002B6ED6" w:rsidP="002B6ED6">
      <w:pPr>
        <w:pStyle w:val="Heading3"/>
        <w:rPr>
          <w:rFonts w:ascii="Times New Roman" w:eastAsia="Times New Roman" w:hAnsi="Times New Roman" w:cs="Times New Roman"/>
          <w:u w:val="single"/>
        </w:rPr>
      </w:pPr>
      <w:r w:rsidRPr="002B6ED6">
        <w:rPr>
          <w:rFonts w:eastAsia="Times New Roman"/>
          <w:u w:val="single"/>
          <w:lang w:eastAsia="bg-BG"/>
        </w:rPr>
        <w:t>Начин на приложение</w:t>
      </w:r>
    </w:p>
    <w:p w14:paraId="76D09002"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Таблетките Тезео са предназначени за перорално приложение веднъж дневно и трябва да се приемат с течност, със или без храна.</w:t>
      </w:r>
    </w:p>
    <w:p w14:paraId="0807B7F5" w14:textId="77777777" w:rsidR="002B6ED6" w:rsidRDefault="002B6ED6" w:rsidP="002B6ED6">
      <w:pPr>
        <w:spacing w:line="240" w:lineRule="auto"/>
        <w:rPr>
          <w:rFonts w:eastAsia="Times New Roman" w:cs="Arial"/>
          <w:i/>
          <w:iCs/>
          <w:color w:val="000000"/>
          <w:lang w:eastAsia="bg-BG"/>
        </w:rPr>
      </w:pPr>
    </w:p>
    <w:p w14:paraId="3A31A373" w14:textId="235ED46A"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i/>
          <w:iCs/>
          <w:color w:val="000000"/>
          <w:lang w:eastAsia="bg-BG"/>
        </w:rPr>
        <w:t>Предпазни мерки, които трябва да бъдат взети преди работа или приложение на лекарствения продукт.</w:t>
      </w:r>
    </w:p>
    <w:p w14:paraId="1D583D09"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Телмисартан трябва да се съхранява в запечатания блистер, поради хигроскопичните свойства на таблетките. Таблетките трябва да се изваждат от блистера непосредствено преди употреба (вж. точка 4.3).</w:t>
      </w:r>
    </w:p>
    <w:p w14:paraId="3EFABA48" w14:textId="77777777" w:rsidR="002B6ED6" w:rsidRPr="002B6ED6" w:rsidRDefault="002B6ED6" w:rsidP="002B6ED6"/>
    <w:p w14:paraId="28C984E8" w14:textId="2B28F67D" w:rsidR="008134C8" w:rsidRDefault="002C50EE" w:rsidP="004A448E">
      <w:pPr>
        <w:pStyle w:val="Heading2"/>
      </w:pPr>
      <w:r>
        <w:t>4.3. Противопоказания</w:t>
      </w:r>
    </w:p>
    <w:p w14:paraId="5D84F3FF" w14:textId="50916EA1" w:rsidR="002B6ED6" w:rsidRDefault="002B6ED6" w:rsidP="002B6ED6"/>
    <w:p w14:paraId="7D0DBEF1" w14:textId="77777777" w:rsidR="002B6ED6" w:rsidRPr="002B6ED6" w:rsidRDefault="002B6ED6" w:rsidP="002B6ED6">
      <w:pPr>
        <w:pStyle w:val="ListParagraph"/>
        <w:numPr>
          <w:ilvl w:val="0"/>
          <w:numId w:val="36"/>
        </w:numPr>
        <w:rPr>
          <w:lang w:eastAsia="bg-BG"/>
        </w:rPr>
      </w:pPr>
      <w:r w:rsidRPr="002B6ED6">
        <w:rPr>
          <w:lang w:eastAsia="bg-BG"/>
        </w:rPr>
        <w:lastRenderedPageBreak/>
        <w:t>Свръхчувствителност към активното вещество или към някое от помощните вещества изброени в точка 6.1.</w:t>
      </w:r>
    </w:p>
    <w:p w14:paraId="13632E19" w14:textId="77777777" w:rsidR="002B6ED6" w:rsidRPr="002B6ED6" w:rsidRDefault="002B6ED6" w:rsidP="002B6ED6">
      <w:pPr>
        <w:pStyle w:val="ListParagraph"/>
        <w:numPr>
          <w:ilvl w:val="0"/>
          <w:numId w:val="36"/>
        </w:numPr>
        <w:rPr>
          <w:lang w:eastAsia="bg-BG"/>
        </w:rPr>
      </w:pPr>
      <w:r w:rsidRPr="002B6ED6">
        <w:rPr>
          <w:lang w:eastAsia="bg-BG"/>
        </w:rPr>
        <w:t>Второ и трето тримесечие на бременността (вж. точки 4.4 и 4.6).</w:t>
      </w:r>
    </w:p>
    <w:p w14:paraId="5EEC2303" w14:textId="77777777" w:rsidR="002B6ED6" w:rsidRPr="002B6ED6" w:rsidRDefault="002B6ED6" w:rsidP="002B6ED6">
      <w:pPr>
        <w:pStyle w:val="ListParagraph"/>
        <w:numPr>
          <w:ilvl w:val="0"/>
          <w:numId w:val="36"/>
        </w:numPr>
        <w:rPr>
          <w:lang w:eastAsia="bg-BG"/>
        </w:rPr>
      </w:pPr>
      <w:r w:rsidRPr="002B6ED6">
        <w:rPr>
          <w:lang w:eastAsia="bg-BG"/>
        </w:rPr>
        <w:t>Обструктивни заболявания на жлъчните пътища.</w:t>
      </w:r>
    </w:p>
    <w:p w14:paraId="24081131" w14:textId="77777777" w:rsidR="002B6ED6" w:rsidRPr="002B6ED6" w:rsidRDefault="002B6ED6" w:rsidP="002B6ED6">
      <w:pPr>
        <w:pStyle w:val="ListParagraph"/>
        <w:numPr>
          <w:ilvl w:val="0"/>
          <w:numId w:val="36"/>
        </w:numPr>
        <w:rPr>
          <w:lang w:eastAsia="bg-BG"/>
        </w:rPr>
      </w:pPr>
      <w:r w:rsidRPr="002B6ED6">
        <w:rPr>
          <w:lang w:eastAsia="bg-BG"/>
        </w:rPr>
        <w:t>Тежко чернодробно увреждане.</w:t>
      </w:r>
    </w:p>
    <w:p w14:paraId="64885C3D" w14:textId="77777777" w:rsidR="002B6ED6" w:rsidRPr="002B6ED6" w:rsidRDefault="002B6ED6" w:rsidP="002B6ED6">
      <w:pPr>
        <w:pStyle w:val="ListParagraph"/>
        <w:numPr>
          <w:ilvl w:val="0"/>
          <w:numId w:val="36"/>
        </w:numPr>
        <w:rPr>
          <w:lang w:eastAsia="bg-BG"/>
        </w:rPr>
      </w:pPr>
      <w:r w:rsidRPr="002B6ED6">
        <w:rPr>
          <w:lang w:eastAsia="bg-BG"/>
        </w:rPr>
        <w:t xml:space="preserve">Едновременната употреба на Тезео с алискирен-съдържащи продукти е противопоказана при пациенти, със захарен диабет или бъбречно увреждане </w:t>
      </w:r>
      <w:r w:rsidRPr="002B6ED6">
        <w:rPr>
          <w:lang w:val="ru-RU"/>
        </w:rPr>
        <w:t>(</w:t>
      </w:r>
      <w:r w:rsidRPr="002B6ED6">
        <w:rPr>
          <w:lang w:val="en-US"/>
        </w:rPr>
        <w:t>GFR</w:t>
      </w:r>
      <w:r w:rsidRPr="002B6ED6">
        <w:rPr>
          <w:lang w:val="ru-RU"/>
        </w:rPr>
        <w:t xml:space="preserve"> </w:t>
      </w:r>
      <w:r w:rsidRPr="002B6ED6">
        <w:rPr>
          <w:lang w:eastAsia="bg-BG"/>
        </w:rPr>
        <w:t xml:space="preserve">&lt; 60 </w:t>
      </w:r>
      <w:r w:rsidRPr="002B6ED6">
        <w:rPr>
          <w:lang w:val="en-US"/>
        </w:rPr>
        <w:t>ml</w:t>
      </w:r>
      <w:r w:rsidRPr="002B6ED6">
        <w:rPr>
          <w:lang w:val="ru-RU"/>
        </w:rPr>
        <w:t>/</w:t>
      </w:r>
      <w:r w:rsidRPr="002B6ED6">
        <w:rPr>
          <w:lang w:val="en-US"/>
        </w:rPr>
        <w:t>min</w:t>
      </w:r>
      <w:r w:rsidRPr="002B6ED6">
        <w:rPr>
          <w:lang w:val="ru-RU"/>
        </w:rPr>
        <w:t>/1</w:t>
      </w:r>
      <w:r w:rsidRPr="002B6ED6">
        <w:rPr>
          <w:lang w:eastAsia="bg-BG"/>
        </w:rPr>
        <w:t>.73 m2) (вж. точки 4.2, 4.4, 4.5 и 5.1).</w:t>
      </w:r>
    </w:p>
    <w:p w14:paraId="764DED07" w14:textId="77777777" w:rsidR="002B6ED6" w:rsidRPr="002B6ED6" w:rsidRDefault="002B6ED6" w:rsidP="002B6ED6"/>
    <w:p w14:paraId="212F509C" w14:textId="28116E68" w:rsidR="004F498A" w:rsidRDefault="002C50EE" w:rsidP="004A448E">
      <w:pPr>
        <w:pStyle w:val="Heading2"/>
      </w:pPr>
      <w:r>
        <w:t>4.4. Специални предупреждения и предпазни мерки при употреба</w:t>
      </w:r>
    </w:p>
    <w:p w14:paraId="3FC55A75" w14:textId="112C1535" w:rsidR="002B6ED6" w:rsidRDefault="002B6ED6" w:rsidP="002B6ED6"/>
    <w:p w14:paraId="14385A4C" w14:textId="77777777" w:rsidR="002B6ED6" w:rsidRPr="002B6ED6" w:rsidRDefault="002B6ED6" w:rsidP="002B6ED6">
      <w:pPr>
        <w:spacing w:line="240" w:lineRule="auto"/>
        <w:rPr>
          <w:rFonts w:eastAsia="Times New Roman" w:cs="Arial"/>
        </w:rPr>
      </w:pPr>
      <w:r w:rsidRPr="002B6ED6">
        <w:rPr>
          <w:rFonts w:eastAsia="Times New Roman" w:cs="Arial"/>
          <w:color w:val="000000"/>
          <w:u w:val="single"/>
          <w:lang w:eastAsia="bg-BG"/>
        </w:rPr>
        <w:t>Бременност</w:t>
      </w:r>
    </w:p>
    <w:p w14:paraId="63365430" w14:textId="2ADC1546" w:rsidR="002B6ED6" w:rsidRPr="002B6ED6" w:rsidRDefault="002B6ED6" w:rsidP="002B6ED6">
      <w:pPr>
        <w:rPr>
          <w:rFonts w:eastAsia="Times New Roman" w:cs="Arial"/>
          <w:color w:val="000000"/>
          <w:lang w:eastAsia="bg-BG"/>
        </w:rPr>
      </w:pPr>
      <w:r w:rsidRPr="002B6ED6">
        <w:rPr>
          <w:rFonts w:eastAsia="Times New Roman" w:cs="Arial"/>
          <w:color w:val="000000"/>
          <w:lang w:eastAsia="bg-BG"/>
        </w:rPr>
        <w:t xml:space="preserve">Не трябва да се започва прием на ангиотензин </w:t>
      </w:r>
      <w:r w:rsidRPr="002B6ED6">
        <w:rPr>
          <w:rFonts w:eastAsia="Times New Roman" w:cs="Arial"/>
          <w:color w:val="000000"/>
          <w:lang w:val="en-US"/>
        </w:rPr>
        <w:t>II</w:t>
      </w:r>
      <w:r w:rsidRPr="002B6ED6">
        <w:rPr>
          <w:rFonts w:eastAsia="Times New Roman" w:cs="Arial"/>
          <w:color w:val="000000"/>
          <w:lang w:eastAsia="bg-BG"/>
        </w:rPr>
        <w:t xml:space="preserve"> рецепторни антагонисти </w:t>
      </w:r>
      <w:r w:rsidRPr="002B6ED6">
        <w:rPr>
          <w:rFonts w:eastAsia="Times New Roman" w:cs="Arial"/>
          <w:color w:val="000000"/>
          <w:lang w:val="ru-RU"/>
        </w:rPr>
        <w:t>(</w:t>
      </w:r>
      <w:r w:rsidRPr="002B6ED6">
        <w:rPr>
          <w:rFonts w:eastAsia="Times New Roman" w:cs="Arial"/>
          <w:color w:val="000000"/>
          <w:lang w:val="en-US"/>
        </w:rPr>
        <w:t>AIIPA</w:t>
      </w:r>
      <w:r w:rsidRPr="002B6ED6">
        <w:rPr>
          <w:rFonts w:eastAsia="Times New Roman" w:cs="Arial"/>
          <w:color w:val="000000"/>
          <w:lang w:val="ru-RU"/>
        </w:rPr>
        <w:t xml:space="preserve">) </w:t>
      </w:r>
      <w:r w:rsidRPr="002B6ED6">
        <w:rPr>
          <w:rFonts w:eastAsia="Times New Roman" w:cs="Arial"/>
          <w:color w:val="000000"/>
          <w:lang w:eastAsia="bg-BG"/>
        </w:rPr>
        <w:t xml:space="preserve">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w:t>
      </w:r>
      <w:r w:rsidRPr="002B6ED6">
        <w:rPr>
          <w:rFonts w:eastAsia="Times New Roman" w:cs="Arial"/>
          <w:color w:val="000000"/>
          <w:lang w:val="en-US"/>
        </w:rPr>
        <w:t>AIIPA</w:t>
      </w:r>
      <w:r w:rsidRPr="002B6ED6">
        <w:rPr>
          <w:rFonts w:eastAsia="Times New Roman" w:cs="Arial"/>
          <w:color w:val="000000"/>
          <w:lang w:val="ru-RU"/>
        </w:rPr>
        <w:t>.</w:t>
      </w:r>
      <w:r w:rsidRPr="002B6ED6">
        <w:rPr>
          <w:rFonts w:eastAsia="Times New Roman" w:cs="Arial"/>
          <w:color w:val="000000"/>
          <w:lang w:eastAsia="bg-BG"/>
        </w:rPr>
        <w:t xml:space="preserve"> Ако е диагностицирана бременност, лечението с А</w:t>
      </w:r>
      <w:r w:rsidRPr="002B6ED6">
        <w:rPr>
          <w:rFonts w:eastAsia="Times New Roman" w:cs="Arial"/>
          <w:color w:val="000000"/>
          <w:lang w:val="en-US"/>
        </w:rPr>
        <w:t>II</w:t>
      </w:r>
      <w:r w:rsidRPr="002B6ED6">
        <w:rPr>
          <w:rFonts w:eastAsia="Times New Roman" w:cs="Arial"/>
          <w:color w:val="000000"/>
          <w:lang w:eastAsia="bg-BG"/>
        </w:rPr>
        <w:t>РА трябва незабавно да бъде</w:t>
      </w:r>
      <w:r w:rsidRPr="002B6ED6">
        <w:rPr>
          <w:rFonts w:eastAsia="Times New Roman" w:cs="Arial"/>
          <w:i/>
          <w:iCs/>
          <w:color w:val="000000"/>
          <w:lang w:eastAsia="bg-BG"/>
        </w:rPr>
        <w:t xml:space="preserve"> </w:t>
      </w:r>
      <w:r w:rsidRPr="002B6ED6">
        <w:rPr>
          <w:rFonts w:eastAsia="Times New Roman" w:cs="Arial"/>
          <w:color w:val="000000"/>
          <w:lang w:eastAsia="bg-BG"/>
        </w:rPr>
        <w:t>преустановено и ако е подходящо, да се започне алтернативно лечение (вж. точки 4.3 и 4.6).</w:t>
      </w:r>
    </w:p>
    <w:p w14:paraId="5828DCC5" w14:textId="32AA5034" w:rsidR="002B6ED6" w:rsidRPr="002B6ED6" w:rsidRDefault="002B6ED6" w:rsidP="002B6ED6">
      <w:pPr>
        <w:rPr>
          <w:rFonts w:eastAsia="Times New Roman" w:cs="Arial"/>
          <w:color w:val="000000"/>
          <w:lang w:eastAsia="bg-BG"/>
        </w:rPr>
      </w:pPr>
    </w:p>
    <w:p w14:paraId="368A4248" w14:textId="77777777"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Чернодробно увреждане</w:t>
      </w:r>
    </w:p>
    <w:p w14:paraId="711D99A6"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Тезео не трябва да се прилага при пациенти с холестаза, с жлъчни обструкгивни нарушения или тежко чернодробно увреждане (вж. точка 4.3), тъй като по-голямата част от телмисартан се елиминира чрез жлъчката. При тези пациенти може да се очаква намален чернодробен клирънс. Тезео трябва да се прилага внимателно при пациенти с леки до умерени нарушения в чернодробната функция.</w:t>
      </w:r>
    </w:p>
    <w:p w14:paraId="53B17A89" w14:textId="77777777" w:rsidR="002B6ED6" w:rsidRPr="002B6ED6" w:rsidRDefault="002B6ED6" w:rsidP="002B6ED6">
      <w:pPr>
        <w:spacing w:line="240" w:lineRule="auto"/>
        <w:rPr>
          <w:rFonts w:eastAsia="Times New Roman" w:cs="Arial"/>
          <w:bCs/>
          <w:color w:val="000000"/>
          <w:u w:val="single"/>
          <w:lang w:eastAsia="bg-BG"/>
        </w:rPr>
      </w:pPr>
    </w:p>
    <w:p w14:paraId="179C6FD1" w14:textId="43BD63FB"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Реноваскуларна хипертония</w:t>
      </w:r>
    </w:p>
    <w:p w14:paraId="677A57CD"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Когато пациенти със стеноза на бъбречна артерия или стеноза на артерията към единствен функциониращ бъбрек са третирани с лекарства, повлияващи системата ренин-ангиотензин- алдостерон, съществува повишен риск от тежка хипотония и бъбречна недостатъчност.</w:t>
      </w:r>
    </w:p>
    <w:p w14:paraId="57110A1A" w14:textId="77777777" w:rsidR="002B6ED6" w:rsidRPr="002B6ED6" w:rsidRDefault="002B6ED6" w:rsidP="002B6ED6">
      <w:pPr>
        <w:spacing w:line="240" w:lineRule="auto"/>
        <w:rPr>
          <w:rFonts w:eastAsia="Times New Roman" w:cs="Arial"/>
          <w:bCs/>
          <w:color w:val="000000"/>
          <w:u w:val="single"/>
          <w:lang w:eastAsia="bg-BG"/>
        </w:rPr>
      </w:pPr>
    </w:p>
    <w:p w14:paraId="5B873A20" w14:textId="79268D8B"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Бъбречно увреждане и бъбречна трансплантация</w:t>
      </w:r>
    </w:p>
    <w:p w14:paraId="6DCDB19E"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Когато се използва Тезео при пациенти с нарушена бъбречна функция, се препоръчва периодично следене на калия и серумното ниво на креатинина. Няма достатъчно данни по отношение на приложението на телмисартан при пациенти със скорошна бъбречна трансплантация.</w:t>
      </w:r>
    </w:p>
    <w:p w14:paraId="40CFA62B" w14:textId="77777777" w:rsidR="002B6ED6" w:rsidRPr="002B6ED6" w:rsidRDefault="002B6ED6" w:rsidP="002B6ED6">
      <w:pPr>
        <w:spacing w:line="240" w:lineRule="auto"/>
        <w:rPr>
          <w:rFonts w:eastAsia="Times New Roman" w:cs="Arial"/>
          <w:bCs/>
          <w:color w:val="000000"/>
          <w:u w:val="single"/>
          <w:lang w:eastAsia="bg-BG"/>
        </w:rPr>
      </w:pPr>
    </w:p>
    <w:p w14:paraId="0723EBFE" w14:textId="417501B7"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Вътресъдова хиповолемия</w:t>
      </w:r>
    </w:p>
    <w:p w14:paraId="082130D7"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Симптоматична хипотония, особено след първата доза Тезео може да се наблюдава при пациенти с тежък натриев и/ или обемен дефицит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телмисартан. Натриевият и/или обемен дефицит трябва да бъде коригиран преди приложение на телмисартан.</w:t>
      </w:r>
    </w:p>
    <w:p w14:paraId="090FE29B" w14:textId="77777777" w:rsidR="002B6ED6" w:rsidRPr="002B6ED6" w:rsidRDefault="002B6ED6" w:rsidP="002B6ED6">
      <w:pPr>
        <w:spacing w:line="240" w:lineRule="auto"/>
        <w:rPr>
          <w:rFonts w:eastAsia="Times New Roman" w:cs="Arial"/>
          <w:bCs/>
          <w:color w:val="000000"/>
          <w:u w:val="single"/>
          <w:lang w:eastAsia="bg-BG"/>
        </w:rPr>
      </w:pPr>
    </w:p>
    <w:p w14:paraId="7C5B591B" w14:textId="2C7113C3"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Двойно блокиране на системата ренин-ангиотензин-алдостерон (РААС)</w:t>
      </w:r>
      <w:r w:rsidRPr="002B6ED6">
        <w:rPr>
          <w:rFonts w:eastAsia="Times New Roman" w:cs="Arial"/>
          <w:bCs/>
          <w:color w:val="000000"/>
          <w:lang w:eastAsia="bg-BG"/>
        </w:rPr>
        <w:t>:</w:t>
      </w:r>
    </w:p>
    <w:p w14:paraId="57765911"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 xml:space="preserve">Комбинираната употреба на телмисартан с алискирен е противопоказана при пациенти със захарен диабет или бъбречно увреждане </w:t>
      </w:r>
      <w:r w:rsidRPr="002B6ED6">
        <w:rPr>
          <w:rFonts w:eastAsia="Times New Roman" w:cs="Arial"/>
          <w:bCs/>
          <w:color w:val="000000"/>
          <w:lang w:val="ru-RU"/>
        </w:rPr>
        <w:t>(</w:t>
      </w:r>
      <w:r w:rsidRPr="002B6ED6">
        <w:rPr>
          <w:rFonts w:eastAsia="Times New Roman" w:cs="Arial"/>
          <w:bCs/>
          <w:color w:val="000000"/>
          <w:lang w:val="en-US"/>
        </w:rPr>
        <w:t>GFR</w:t>
      </w:r>
      <w:r w:rsidRPr="002B6ED6">
        <w:rPr>
          <w:rFonts w:eastAsia="Times New Roman" w:cs="Arial"/>
          <w:bCs/>
          <w:color w:val="000000"/>
          <w:lang w:val="ru-RU"/>
        </w:rPr>
        <w:t xml:space="preserve"> </w:t>
      </w:r>
      <w:r w:rsidRPr="002B6ED6">
        <w:rPr>
          <w:rFonts w:eastAsia="Times New Roman" w:cs="Arial"/>
          <w:bCs/>
          <w:color w:val="000000"/>
          <w:lang w:eastAsia="bg-BG"/>
        </w:rPr>
        <w:t xml:space="preserve">&lt; 60 </w:t>
      </w:r>
      <w:r w:rsidRPr="002B6ED6">
        <w:rPr>
          <w:rFonts w:eastAsia="Times New Roman" w:cs="Arial"/>
          <w:bCs/>
          <w:color w:val="000000"/>
          <w:lang w:val="en-US"/>
        </w:rPr>
        <w:t>ml</w:t>
      </w:r>
      <w:r w:rsidRPr="002B6ED6">
        <w:rPr>
          <w:rFonts w:eastAsia="Times New Roman" w:cs="Arial"/>
          <w:bCs/>
          <w:color w:val="000000"/>
          <w:lang w:val="ru-RU"/>
        </w:rPr>
        <w:t>/</w:t>
      </w:r>
      <w:r w:rsidRPr="002B6ED6">
        <w:rPr>
          <w:rFonts w:eastAsia="Times New Roman" w:cs="Arial"/>
          <w:bCs/>
          <w:color w:val="000000"/>
          <w:lang w:val="en-US"/>
        </w:rPr>
        <w:t>min</w:t>
      </w:r>
      <w:r w:rsidRPr="002B6ED6">
        <w:rPr>
          <w:rFonts w:eastAsia="Times New Roman" w:cs="Arial"/>
          <w:bCs/>
          <w:color w:val="000000"/>
          <w:lang w:val="ru-RU"/>
        </w:rPr>
        <w:t>/1</w:t>
      </w:r>
      <w:r w:rsidRPr="002B6ED6">
        <w:rPr>
          <w:rFonts w:eastAsia="Times New Roman" w:cs="Arial"/>
          <w:bCs/>
          <w:color w:val="000000"/>
          <w:lang w:eastAsia="bg-BG"/>
        </w:rPr>
        <w:t xml:space="preserve">.73 </w:t>
      </w:r>
      <w:r w:rsidRPr="002B6ED6">
        <w:rPr>
          <w:rFonts w:eastAsia="Times New Roman" w:cs="Arial"/>
          <w:bCs/>
          <w:color w:val="000000"/>
          <w:lang w:val="en-US"/>
        </w:rPr>
        <w:t>m</w:t>
      </w:r>
      <w:r w:rsidRPr="002B6ED6">
        <w:rPr>
          <w:rFonts w:eastAsia="Times New Roman" w:cs="Arial"/>
          <w:bCs/>
          <w:color w:val="000000"/>
          <w:vertAlign w:val="superscript"/>
          <w:lang w:val="ru-RU"/>
        </w:rPr>
        <w:t>2</w:t>
      </w:r>
      <w:r w:rsidRPr="002B6ED6">
        <w:rPr>
          <w:rFonts w:eastAsia="Times New Roman" w:cs="Arial"/>
          <w:bCs/>
          <w:color w:val="000000"/>
          <w:lang w:val="ru-RU"/>
        </w:rPr>
        <w:t xml:space="preserve">) </w:t>
      </w:r>
      <w:r w:rsidRPr="002B6ED6">
        <w:rPr>
          <w:rFonts w:eastAsia="Times New Roman" w:cs="Arial"/>
          <w:bCs/>
          <w:color w:val="000000"/>
          <w:lang w:eastAsia="bg-BG"/>
        </w:rPr>
        <w:t>(вж. точка 4.3).</w:t>
      </w:r>
    </w:p>
    <w:p w14:paraId="7243CF8B"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lastRenderedPageBreak/>
        <w:t>Има данни, че едновременната употреба на АСЕ-инхибитори,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(вижте точки 4.5 и 5.1).</w:t>
      </w:r>
    </w:p>
    <w:p w14:paraId="2E7DF6B1"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Ако се прецени, че терапията с двойно блокиране е абсолютно необходима, това трябва да се осъществява само под наблюдението на специалист и при често внимателно мониториране на бъбречната функция, електролитите и кръвното налягане.</w:t>
      </w:r>
    </w:p>
    <w:p w14:paraId="316DAD0F"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АСЕ-инхибитори и ангиотензин II рецепторни блокери не трябва да се използват едновременно при пациенти с диабетна нефропатия.</w:t>
      </w:r>
    </w:p>
    <w:p w14:paraId="41BDE117" w14:textId="77777777" w:rsidR="002B6ED6" w:rsidRPr="002B6ED6" w:rsidRDefault="002B6ED6" w:rsidP="002B6ED6">
      <w:pPr>
        <w:spacing w:line="240" w:lineRule="auto"/>
        <w:rPr>
          <w:rFonts w:eastAsia="Times New Roman" w:cs="Arial"/>
          <w:bCs/>
          <w:color w:val="000000"/>
          <w:u w:val="single"/>
          <w:lang w:eastAsia="bg-BG"/>
        </w:rPr>
      </w:pPr>
    </w:p>
    <w:p w14:paraId="5794DA3C" w14:textId="50E379A0"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Други състояния със стимулация на системата ренин-ангиотензин-алдостерон</w:t>
      </w:r>
    </w:p>
    <w:p w14:paraId="04851C12"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При пациенти, чийто васкуларен тонус и бъбречна функция зависят основно от активността на системата ренин-ангиотензин-алдостерон (например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като телмисартан, се свързва с остра хипотония, хицеразотемия, олигурия или рядко остра бъбречна недостатъчност (вж. точка 4.8).</w:t>
      </w:r>
    </w:p>
    <w:p w14:paraId="1C9D12B5" w14:textId="77777777" w:rsidR="002B6ED6" w:rsidRPr="002B6ED6" w:rsidRDefault="002B6ED6" w:rsidP="002B6ED6">
      <w:pPr>
        <w:spacing w:line="240" w:lineRule="auto"/>
        <w:rPr>
          <w:rFonts w:eastAsia="Times New Roman" w:cs="Arial"/>
          <w:bCs/>
          <w:color w:val="000000"/>
          <w:u w:val="single"/>
          <w:lang w:eastAsia="bg-BG"/>
        </w:rPr>
      </w:pPr>
    </w:p>
    <w:p w14:paraId="0192A414" w14:textId="294D7C0F" w:rsidR="002B6ED6" w:rsidRPr="002B6ED6" w:rsidRDefault="002B6ED6" w:rsidP="002B6ED6">
      <w:pPr>
        <w:spacing w:line="240" w:lineRule="auto"/>
        <w:rPr>
          <w:rFonts w:eastAsia="Times New Roman" w:cs="Arial"/>
        </w:rPr>
      </w:pPr>
      <w:r w:rsidRPr="002B6ED6">
        <w:rPr>
          <w:rFonts w:eastAsia="Times New Roman" w:cs="Arial"/>
          <w:bCs/>
          <w:color w:val="000000"/>
          <w:u w:val="single"/>
          <w:lang w:eastAsia="bg-BG"/>
        </w:rPr>
        <w:t>Първичен алдостеронизъм</w:t>
      </w:r>
    </w:p>
    <w:p w14:paraId="71AD35F4" w14:textId="77777777"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инхибиране на системата ренин-ангиотензин. Поради това, употребата на телмисартан не се препоръчва.</w:t>
      </w:r>
    </w:p>
    <w:p w14:paraId="28127CA1" w14:textId="77777777" w:rsidR="002B6ED6" w:rsidRPr="002B6ED6" w:rsidRDefault="002B6ED6" w:rsidP="002B6ED6">
      <w:pPr>
        <w:spacing w:line="240" w:lineRule="auto"/>
        <w:rPr>
          <w:rFonts w:eastAsia="Times New Roman" w:cs="Arial"/>
          <w:bCs/>
          <w:color w:val="000000"/>
          <w:u w:val="single"/>
          <w:lang w:eastAsia="bg-BG"/>
        </w:rPr>
      </w:pPr>
    </w:p>
    <w:p w14:paraId="1357C5D7" w14:textId="77777777" w:rsidR="002B6ED6" w:rsidRPr="002B6ED6" w:rsidRDefault="002B6ED6" w:rsidP="002B6ED6">
      <w:pPr>
        <w:spacing w:line="240" w:lineRule="auto"/>
        <w:rPr>
          <w:rFonts w:eastAsia="Times New Roman" w:cs="Arial"/>
          <w:bCs/>
          <w:color w:val="000000"/>
          <w:u w:val="single"/>
          <w:lang w:eastAsia="bg-BG"/>
        </w:rPr>
      </w:pPr>
      <w:r w:rsidRPr="002B6ED6">
        <w:rPr>
          <w:rFonts w:eastAsia="Times New Roman" w:cs="Arial"/>
          <w:bCs/>
          <w:color w:val="000000"/>
          <w:u w:val="single"/>
          <w:lang w:eastAsia="bg-BG"/>
        </w:rPr>
        <w:t xml:space="preserve">Стеноза на аортната и митрална клапа, обструктивна хипертрофична каодиомиопатия </w:t>
      </w:r>
    </w:p>
    <w:p w14:paraId="1CFBD5AB" w14:textId="6843FD42"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Както при другите вазодилататори, специално внимание е необходимо при пацинети, страдащи от аортна или митрална стеноза или обструктивна хипертрофична кардиомиопатия.</w:t>
      </w:r>
    </w:p>
    <w:p w14:paraId="72F516FD" w14:textId="77777777" w:rsidR="002B6ED6" w:rsidRPr="002B6ED6" w:rsidRDefault="002B6ED6" w:rsidP="002B6ED6">
      <w:pPr>
        <w:spacing w:line="240" w:lineRule="auto"/>
        <w:rPr>
          <w:rFonts w:eastAsia="Times New Roman" w:cs="Arial"/>
          <w:bCs/>
          <w:color w:val="000000"/>
          <w:lang w:eastAsia="bg-BG"/>
        </w:rPr>
      </w:pPr>
    </w:p>
    <w:p w14:paraId="0440C217" w14:textId="52C88DCF" w:rsidR="002B6ED6" w:rsidRPr="002B6ED6" w:rsidRDefault="002B6ED6" w:rsidP="002B6ED6">
      <w:pPr>
        <w:spacing w:line="240" w:lineRule="auto"/>
        <w:rPr>
          <w:rFonts w:eastAsia="Times New Roman" w:cs="Arial"/>
        </w:rPr>
      </w:pPr>
      <w:r w:rsidRPr="002B6ED6">
        <w:rPr>
          <w:rFonts w:eastAsia="Times New Roman" w:cs="Arial"/>
          <w:bCs/>
          <w:color w:val="000000"/>
          <w:lang w:eastAsia="bg-BG"/>
        </w:rPr>
        <w:t>Пациенти с диабет, лекувани с инсулин или антидиабетни лекарства</w:t>
      </w:r>
    </w:p>
    <w:p w14:paraId="4AD39E2D" w14:textId="5AB6B841" w:rsidR="002B6ED6" w:rsidRDefault="002B6ED6" w:rsidP="002B6ED6"/>
    <w:p w14:paraId="54AFA609"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При тези пациенти може да настъпи хипогликемия при лечение с телмисартан. Затова, при тези пациенти трябва да се обмисли съответно проследяване на кръвната захар и може да се наложи коригиране на дозата на инсулина или антидиабетните лекарства, когато е показано.</w:t>
      </w:r>
    </w:p>
    <w:p w14:paraId="0618BBD5" w14:textId="77777777" w:rsidR="002B6ED6" w:rsidRDefault="002B6ED6" w:rsidP="002B6ED6">
      <w:pPr>
        <w:spacing w:line="240" w:lineRule="auto"/>
        <w:rPr>
          <w:rFonts w:eastAsia="Times New Roman" w:cs="Arial"/>
          <w:color w:val="000000"/>
          <w:u w:val="single"/>
          <w:lang w:eastAsia="bg-BG"/>
        </w:rPr>
      </w:pPr>
    </w:p>
    <w:p w14:paraId="71819663" w14:textId="07EF6595"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u w:val="single"/>
          <w:lang w:eastAsia="bg-BG"/>
        </w:rPr>
        <w:t>Хиперкалиемия</w:t>
      </w:r>
    </w:p>
    <w:p w14:paraId="13733C1E"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Употребата на лекарствени продукти, които повлияват системата ренин-ангиотензин- алдостерон може да доведе до хиперкалиемия.</w:t>
      </w:r>
    </w:p>
    <w:p w14:paraId="46D610F5"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Хиперкалиемията може да бъде с фатален изход при пациенти в напреднала възраст, при пациенти с бъбречна недостатъчност, при пациенти с диабет, при пациенти, лекувани едновременно и с други лекарствени продукти, които могат да повишат нивата на калия и/или при пациенти с придружаващи състояния.</w:t>
      </w:r>
    </w:p>
    <w:p w14:paraId="2800B6E0" w14:textId="77777777" w:rsidR="002B6ED6" w:rsidRDefault="002B6ED6" w:rsidP="002B6ED6">
      <w:pPr>
        <w:spacing w:line="240" w:lineRule="auto"/>
        <w:rPr>
          <w:rFonts w:eastAsia="Times New Roman" w:cs="Arial"/>
          <w:color w:val="000000"/>
          <w:lang w:eastAsia="bg-BG"/>
        </w:rPr>
      </w:pPr>
    </w:p>
    <w:p w14:paraId="1D555A7A" w14:textId="7DEA7E6A"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Преди да се вземе решение за едновременно приложение на лекарствени продукти, които повлияват системата ренин-ангиотензин-алдостерон, трябва да се прецени съотношението полза/ риск.</w:t>
      </w:r>
    </w:p>
    <w:p w14:paraId="6E7CBB21"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Основните рискови фактори за възникване на хиперкалиемия, които трябва да се вземат под внимание, са:</w:t>
      </w:r>
    </w:p>
    <w:p w14:paraId="7CF73387" w14:textId="77777777" w:rsidR="002B6ED6" w:rsidRDefault="002B6ED6" w:rsidP="002B6ED6">
      <w:pPr>
        <w:pStyle w:val="ListParagraph"/>
        <w:numPr>
          <w:ilvl w:val="0"/>
          <w:numId w:val="37"/>
        </w:numPr>
        <w:spacing w:line="240" w:lineRule="auto"/>
        <w:rPr>
          <w:rFonts w:eastAsia="Times New Roman" w:cs="Arial"/>
          <w:color w:val="000000"/>
          <w:lang w:eastAsia="bg-BG"/>
        </w:rPr>
      </w:pPr>
      <w:r w:rsidRPr="002B6ED6">
        <w:rPr>
          <w:rFonts w:eastAsia="Times New Roman" w:cs="Arial"/>
          <w:color w:val="000000"/>
          <w:lang w:eastAsia="bg-BG"/>
        </w:rPr>
        <w:t>Захарен диабет, бъбречно увреждане, възраст (&gt;70 години)</w:t>
      </w:r>
    </w:p>
    <w:p w14:paraId="4625D954" w14:textId="77777777" w:rsidR="002B6ED6" w:rsidRDefault="002B6ED6" w:rsidP="002B6ED6">
      <w:pPr>
        <w:pStyle w:val="ListParagraph"/>
        <w:numPr>
          <w:ilvl w:val="0"/>
          <w:numId w:val="37"/>
        </w:numPr>
        <w:spacing w:line="240" w:lineRule="auto"/>
        <w:rPr>
          <w:rFonts w:eastAsia="Times New Roman" w:cs="Arial"/>
          <w:color w:val="000000"/>
          <w:lang w:eastAsia="bg-BG"/>
        </w:rPr>
      </w:pPr>
      <w:r w:rsidRPr="002B6ED6">
        <w:rPr>
          <w:rFonts w:eastAsia="Times New Roman" w:cs="Arial"/>
          <w:color w:val="000000"/>
          <w:lang w:eastAsia="bg-BG"/>
        </w:rPr>
        <w:lastRenderedPageBreak/>
        <w:t>Комбинация с един или повече лекарствени продукти, които повлияват системата ренин-ангиотензин-алдостерон и/или калиеви добавки. Лекарствени продукти или терапевтични групи лекарства, които могат да предизвикат хиперкалиемия са: солеви заместители, съдържащи калий, калий-съхраняващи диуретици, АСЕ инхибитори, ангиотензин II рецепторни антагонисти, нестероидни противовъзпалителни лекарствени продукти (НСПВЛП, включително селективни СОХ -2 инхибитори), хепарин, имуносупресори (циклоспорин или такролимус) и триметоприм.</w:t>
      </w:r>
    </w:p>
    <w:p w14:paraId="0097C4AE" w14:textId="3E93C629" w:rsidR="002B6ED6" w:rsidRPr="002B6ED6" w:rsidRDefault="002B6ED6" w:rsidP="002B6ED6">
      <w:pPr>
        <w:pStyle w:val="ListParagraph"/>
        <w:numPr>
          <w:ilvl w:val="0"/>
          <w:numId w:val="37"/>
        </w:numPr>
        <w:spacing w:line="240" w:lineRule="auto"/>
        <w:rPr>
          <w:rFonts w:eastAsia="Times New Roman" w:cs="Arial"/>
          <w:color w:val="000000"/>
          <w:lang w:eastAsia="bg-BG"/>
        </w:rPr>
      </w:pPr>
      <w:r w:rsidRPr="002B6ED6">
        <w:rPr>
          <w:rFonts w:eastAsia="Times New Roman" w:cs="Arial"/>
          <w:color w:val="000000"/>
          <w:lang w:eastAsia="bg-BG"/>
        </w:rPr>
        <w:t>Интеркурентни събития и по-специално дехидратиране, остра сърдечна декомпенсация, метаболитна ацидоза, влошена бъбречна функция, внезапно влошаване на бъбречното състояние (например инфекциозни заболявалия), клетъчно лизиране (например остра исхемия на крайника, рабдомиолиза, обширна травма).</w:t>
      </w:r>
    </w:p>
    <w:p w14:paraId="246916CE" w14:textId="77777777" w:rsidR="002B6ED6" w:rsidRDefault="002B6ED6" w:rsidP="002B6ED6">
      <w:pPr>
        <w:spacing w:line="240" w:lineRule="auto"/>
        <w:rPr>
          <w:rFonts w:eastAsia="Times New Roman" w:cs="Arial"/>
          <w:color w:val="000000"/>
          <w:lang w:eastAsia="bg-BG"/>
        </w:rPr>
      </w:pPr>
    </w:p>
    <w:p w14:paraId="59610613" w14:textId="350F3B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При рискови пациенти се препоръчва внимателно следене на серумния калий (вж. точка 4.5).</w:t>
      </w:r>
    </w:p>
    <w:p w14:paraId="0850539E" w14:textId="77777777" w:rsidR="002B6ED6" w:rsidRDefault="002B6ED6" w:rsidP="002B6ED6">
      <w:pPr>
        <w:spacing w:line="240" w:lineRule="auto"/>
        <w:rPr>
          <w:rFonts w:eastAsia="Times New Roman" w:cs="Arial"/>
          <w:color w:val="000000"/>
          <w:u w:val="single"/>
          <w:lang w:eastAsia="bg-BG"/>
        </w:rPr>
      </w:pPr>
    </w:p>
    <w:p w14:paraId="7A32EFF3" w14:textId="6E9C96C1"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u w:val="single"/>
          <w:lang w:eastAsia="bg-BG"/>
        </w:rPr>
        <w:t>Етнически различия</w:t>
      </w:r>
    </w:p>
    <w:p w14:paraId="0F2C3BE9"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Както е наблюдавано при инхибиторите на ангиотензин конвертиращия ензим, телмисартан и другите ангиотензин II рецепторни антагонисти са очевидно по-малко ефективни в понижаването на кръвното налягане при хора от черната раса, отколкото при другите раси, вероятно поради по-честото срещане в черната популация на ниско рениново ниво с прояви на хипертония.</w:t>
      </w:r>
    </w:p>
    <w:p w14:paraId="1D8D7E9A" w14:textId="77777777" w:rsidR="002B6ED6" w:rsidRDefault="002B6ED6" w:rsidP="002B6ED6">
      <w:pPr>
        <w:spacing w:line="240" w:lineRule="auto"/>
        <w:rPr>
          <w:rFonts w:eastAsia="Times New Roman" w:cs="Arial"/>
          <w:color w:val="000000"/>
          <w:u w:val="single"/>
          <w:lang w:eastAsia="bg-BG"/>
        </w:rPr>
      </w:pPr>
    </w:p>
    <w:p w14:paraId="2F030C39" w14:textId="0CA47E49"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u w:val="single"/>
          <w:lang w:eastAsia="bg-BG"/>
        </w:rPr>
        <w:t>Други</w:t>
      </w:r>
    </w:p>
    <w:p w14:paraId="22F8B17D"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Както при други антихипертензивни агенти, ексцесивната редукция на кръвното налягане при пациенти с исхемична кардиопатия или исхемично кардиоваскуларно заболяване може да доведе до миокарден инфаркт или инсулт.</w:t>
      </w:r>
    </w:p>
    <w:p w14:paraId="7702C905" w14:textId="77777777" w:rsidR="002B6ED6" w:rsidRDefault="002B6ED6" w:rsidP="002B6ED6">
      <w:pPr>
        <w:spacing w:line="240" w:lineRule="auto"/>
        <w:rPr>
          <w:rFonts w:eastAsia="Times New Roman" w:cs="Arial"/>
          <w:color w:val="000000"/>
          <w:u w:val="single"/>
          <w:lang w:eastAsia="bg-BG"/>
        </w:rPr>
      </w:pPr>
    </w:p>
    <w:p w14:paraId="39BDC687" w14:textId="583EA9BE"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u w:val="single"/>
          <w:lang w:eastAsia="bg-BG"/>
        </w:rPr>
        <w:t>Сорбитол</w:t>
      </w:r>
    </w:p>
    <w:p w14:paraId="4075F2C6" w14:textId="77777777" w:rsidR="002B6ED6" w:rsidRPr="002B6ED6" w:rsidRDefault="002B6ED6" w:rsidP="002B6ED6">
      <w:pPr>
        <w:spacing w:line="240" w:lineRule="auto"/>
        <w:rPr>
          <w:rFonts w:ascii="Times New Roman" w:eastAsia="Times New Roman" w:hAnsi="Times New Roman" w:cs="Times New Roman"/>
        </w:rPr>
      </w:pPr>
      <w:r w:rsidRPr="002B6ED6">
        <w:rPr>
          <w:rFonts w:eastAsia="Times New Roman" w:cs="Arial"/>
          <w:color w:val="000000"/>
          <w:lang w:eastAsia="bg-BG"/>
        </w:rPr>
        <w:t>Този лекарствен продукт съдържа сорбитол (Е420). Пациенти с рядка наследствена непоносимост към фруктоза не трябва да приемат това лекарство.</w:t>
      </w:r>
    </w:p>
    <w:p w14:paraId="2EC77154" w14:textId="77777777" w:rsidR="002B6ED6" w:rsidRPr="002B6ED6" w:rsidRDefault="002B6ED6" w:rsidP="002B6ED6"/>
    <w:p w14:paraId="619DED1E" w14:textId="40E6AD57"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C94CB6E" w14:textId="234D1939" w:rsidR="002B6ED6" w:rsidRDefault="002B6ED6" w:rsidP="002B6ED6"/>
    <w:p w14:paraId="75655F18" w14:textId="77777777" w:rsidR="002B6ED6" w:rsidRPr="002B6ED6" w:rsidRDefault="002B6ED6" w:rsidP="002B6ED6">
      <w:pPr>
        <w:spacing w:line="240" w:lineRule="auto"/>
        <w:rPr>
          <w:rFonts w:eastAsia="Times New Roman" w:cs="Arial"/>
        </w:rPr>
      </w:pPr>
      <w:r w:rsidRPr="002B6ED6">
        <w:rPr>
          <w:rFonts w:eastAsia="Times New Roman" w:cs="Arial"/>
          <w:i/>
          <w:iCs/>
          <w:color w:val="000000"/>
          <w:lang w:eastAsia="bg-BG"/>
        </w:rPr>
        <w:t>Противопоказания (вижте точка 4.3)</w:t>
      </w:r>
    </w:p>
    <w:p w14:paraId="26383E69" w14:textId="77777777" w:rsidR="002B6ED6" w:rsidRPr="0011052C" w:rsidRDefault="002B6ED6" w:rsidP="002B6ED6">
      <w:pPr>
        <w:spacing w:line="240" w:lineRule="auto"/>
        <w:rPr>
          <w:rFonts w:eastAsia="Times New Roman" w:cs="Arial"/>
          <w:i/>
          <w:iCs/>
          <w:color w:val="000000"/>
          <w:lang w:eastAsia="bg-BG"/>
        </w:rPr>
      </w:pPr>
    </w:p>
    <w:p w14:paraId="4CFE0930" w14:textId="24492C61" w:rsidR="002B6ED6" w:rsidRPr="002B6ED6" w:rsidRDefault="002B6ED6" w:rsidP="002B6ED6">
      <w:pPr>
        <w:spacing w:line="240" w:lineRule="auto"/>
        <w:rPr>
          <w:rFonts w:eastAsia="Times New Roman" w:cs="Arial"/>
        </w:rPr>
      </w:pPr>
      <w:r w:rsidRPr="002B6ED6">
        <w:rPr>
          <w:rFonts w:eastAsia="Times New Roman" w:cs="Arial"/>
          <w:i/>
          <w:iCs/>
          <w:color w:val="000000"/>
          <w:lang w:eastAsia="bg-BG"/>
        </w:rPr>
        <w:t>Двойно блокиране на системата ренин-ангиотензин-алдостерон (РААС)</w:t>
      </w:r>
    </w:p>
    <w:p w14:paraId="5FCD66AA" w14:textId="0ACCB751" w:rsidR="002B6ED6" w:rsidRPr="0011052C" w:rsidRDefault="002B6ED6" w:rsidP="002B6ED6">
      <w:pPr>
        <w:rPr>
          <w:rFonts w:eastAsia="Times New Roman" w:cs="Arial"/>
          <w:color w:val="000000"/>
          <w:lang w:eastAsia="bg-BG"/>
        </w:rPr>
      </w:pPr>
      <w:r w:rsidRPr="0011052C">
        <w:rPr>
          <w:rFonts w:eastAsia="Times New Roman" w:cs="Arial"/>
          <w:color w:val="000000"/>
          <w:lang w:eastAsia="bg-BG"/>
        </w:rPr>
        <w:t xml:space="preserve">Комбинираната употреба на телмисартан с алискирен е противопоказана при пациенти със захарен диабет или бъбречно увреждане </w:t>
      </w:r>
      <w:r w:rsidRPr="0011052C">
        <w:rPr>
          <w:rFonts w:eastAsia="Times New Roman" w:cs="Arial"/>
          <w:color w:val="000000"/>
          <w:lang w:val="ru-RU"/>
        </w:rPr>
        <w:t>(</w:t>
      </w:r>
      <w:r w:rsidRPr="0011052C">
        <w:rPr>
          <w:rFonts w:eastAsia="Times New Roman" w:cs="Arial"/>
          <w:color w:val="000000"/>
          <w:lang w:val="en-US"/>
        </w:rPr>
        <w:t>GFR</w:t>
      </w:r>
      <w:r w:rsidRPr="0011052C">
        <w:rPr>
          <w:rFonts w:eastAsia="Times New Roman" w:cs="Arial"/>
          <w:color w:val="000000"/>
          <w:lang w:val="ru-RU"/>
        </w:rPr>
        <w:t xml:space="preserve"> </w:t>
      </w:r>
      <w:r w:rsidRPr="0011052C">
        <w:rPr>
          <w:rFonts w:eastAsia="Times New Roman" w:cs="Arial"/>
          <w:color w:val="000000"/>
          <w:lang w:eastAsia="bg-BG"/>
        </w:rPr>
        <w:t xml:space="preserve">&lt; 60 </w:t>
      </w:r>
      <w:r w:rsidRPr="0011052C">
        <w:rPr>
          <w:rFonts w:eastAsia="Times New Roman" w:cs="Arial"/>
          <w:color w:val="000000"/>
          <w:lang w:val="en-US"/>
        </w:rPr>
        <w:t>ml</w:t>
      </w:r>
      <w:r w:rsidRPr="0011052C">
        <w:rPr>
          <w:rFonts w:eastAsia="Times New Roman" w:cs="Arial"/>
          <w:color w:val="000000"/>
          <w:lang w:val="ru-RU"/>
        </w:rPr>
        <w:t>/</w:t>
      </w:r>
      <w:r w:rsidRPr="0011052C">
        <w:rPr>
          <w:rFonts w:eastAsia="Times New Roman" w:cs="Arial"/>
          <w:color w:val="000000"/>
          <w:lang w:val="en-US"/>
        </w:rPr>
        <w:t>min</w:t>
      </w:r>
      <w:r w:rsidRPr="0011052C">
        <w:rPr>
          <w:rFonts w:eastAsia="Times New Roman" w:cs="Arial"/>
          <w:color w:val="000000"/>
          <w:lang w:val="ru-RU"/>
        </w:rPr>
        <w:t>/1</w:t>
      </w:r>
      <w:r w:rsidRPr="0011052C">
        <w:rPr>
          <w:rFonts w:eastAsia="Times New Roman" w:cs="Arial"/>
          <w:color w:val="000000"/>
          <w:lang w:eastAsia="bg-BG"/>
        </w:rPr>
        <w:t xml:space="preserve">.73 </w:t>
      </w:r>
      <w:r w:rsidRPr="0011052C">
        <w:rPr>
          <w:rFonts w:eastAsia="Times New Roman" w:cs="Arial"/>
          <w:color w:val="000000"/>
          <w:lang w:val="en-US"/>
        </w:rPr>
        <w:t>m</w:t>
      </w:r>
      <w:r w:rsidRPr="0011052C">
        <w:rPr>
          <w:rFonts w:eastAsia="Times New Roman" w:cs="Arial"/>
          <w:color w:val="000000"/>
          <w:vertAlign w:val="superscript"/>
          <w:lang w:val="ru-RU"/>
        </w:rPr>
        <w:t>2</w:t>
      </w:r>
      <w:r w:rsidRPr="0011052C">
        <w:rPr>
          <w:rFonts w:eastAsia="Times New Roman" w:cs="Arial"/>
          <w:color w:val="000000"/>
          <w:lang w:val="ru-RU"/>
        </w:rPr>
        <w:t xml:space="preserve">) </w:t>
      </w:r>
      <w:r w:rsidRPr="0011052C">
        <w:rPr>
          <w:rFonts w:eastAsia="Times New Roman" w:cs="Arial"/>
          <w:color w:val="000000"/>
          <w:lang w:eastAsia="bg-BG"/>
        </w:rPr>
        <w:t>и не се препоръчва при други пациенти (вж. точки 4.3,4.4).</w:t>
      </w:r>
    </w:p>
    <w:p w14:paraId="6AA14DDA" w14:textId="4934A393" w:rsidR="0011052C" w:rsidRPr="0011052C" w:rsidRDefault="0011052C" w:rsidP="002B6ED6">
      <w:pPr>
        <w:rPr>
          <w:rFonts w:eastAsia="Times New Roman" w:cs="Arial"/>
          <w:color w:val="000000"/>
          <w:lang w:eastAsia="bg-BG"/>
        </w:rPr>
      </w:pPr>
    </w:p>
    <w:p w14:paraId="53C5071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11052C">
        <w:rPr>
          <w:rFonts w:eastAsia="Times New Roman" w:cs="Arial"/>
          <w:bCs/>
          <w:color w:val="000000"/>
          <w:lang w:val="en-US"/>
        </w:rPr>
        <w:t>II</w:t>
      </w:r>
      <w:r w:rsidRPr="0011052C">
        <w:rPr>
          <w:rFonts w:eastAsia="Times New Roman" w:cs="Arial"/>
          <w:bCs/>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11052C">
        <w:rPr>
          <w:rFonts w:eastAsia="Times New Roman" w:cs="Arial"/>
          <w:bCs/>
          <w:color w:val="000000"/>
          <w:lang w:val="ru-RU"/>
        </w:rPr>
        <w:t xml:space="preserve"> </w:t>
      </w:r>
      <w:r w:rsidRPr="0011052C">
        <w:rPr>
          <w:rFonts w:eastAsia="Times New Roman" w:cs="Arial"/>
          <w:bCs/>
          <w:color w:val="000000"/>
          <w:lang w:eastAsia="bg-BG"/>
        </w:rPr>
        <w:t>4.4 и 5.1).</w:t>
      </w:r>
    </w:p>
    <w:p w14:paraId="48ADEA8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lastRenderedPageBreak/>
        <w:t xml:space="preserve">Както и другите лекарствени продукти, които повлияват системата ренин-ангиотензин- алдостерон, телмисартан може да предизвика хиперкалиемия (вж. точка 4.4). Този риск може да се увеличи в случай на комбинирано лечение с други лекарствени продукти, които могат също да предизвикат хиперкалиемия: (солеви заместители, съдържащи калий, калий-съхранявящи диуретици, АСЕ инихибитори, ангиотензин </w:t>
      </w:r>
      <w:r w:rsidRPr="0011052C">
        <w:rPr>
          <w:rFonts w:eastAsia="Times New Roman" w:cs="Arial"/>
          <w:bCs/>
          <w:color w:val="000000"/>
          <w:lang w:val="en-US"/>
        </w:rPr>
        <w:t>II</w:t>
      </w:r>
      <w:r w:rsidRPr="0011052C">
        <w:rPr>
          <w:rFonts w:eastAsia="Times New Roman" w:cs="Arial"/>
          <w:bCs/>
          <w:color w:val="000000"/>
          <w:lang w:eastAsia="bg-BG"/>
        </w:rPr>
        <w:t xml:space="preserve"> рецепторни антагонисти, нестероидни противовъзпалителни средства (НСПВС, включително селективни СОХ-2 инхибитори), хеперин, имуносупресори (циклоспорин или такролимус), и триметоприм).</w:t>
      </w:r>
    </w:p>
    <w:p w14:paraId="530B0978"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Възникването на хиперкалиемия зависи от свързаните с това рискови фактори. Рискът се повишава при по-горе посочените лечебни комбинации. Рискът е особено висок при комбинация с калий-съхраняващи диуретици и когато се комбинира със солеви заместители, съдържащи калий. Например при комбинация с АСЕ инхибитори или НСПВС рискът е по- малък, при условие че стриктно се спазват предпазните мерки при употреба.</w:t>
      </w:r>
    </w:p>
    <w:p w14:paraId="0188B68D" w14:textId="77777777" w:rsidR="0011052C" w:rsidRDefault="0011052C" w:rsidP="0011052C">
      <w:pPr>
        <w:spacing w:line="240" w:lineRule="auto"/>
        <w:rPr>
          <w:rFonts w:eastAsia="Times New Roman" w:cs="Arial"/>
          <w:bCs/>
          <w:i/>
          <w:iCs/>
          <w:color w:val="000000"/>
          <w:lang w:eastAsia="bg-BG"/>
        </w:rPr>
      </w:pPr>
    </w:p>
    <w:p w14:paraId="697724EC" w14:textId="7D996A1C"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Дигоксин</w:t>
      </w:r>
    </w:p>
    <w:p w14:paraId="1AD053E5"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При едновременна употреба на телмисартан с дигоксин се наблюдава умерено повишаване на пиковата (49%) и на най-ниската (20%) плазмена концентация на дигоксин. При започване, коригиране на дозата или спиране на лечението с телмисартан, трябва да се наблюдават нивата на дигоксин, за да се поддържат в терапевтичния интервал.</w:t>
      </w:r>
    </w:p>
    <w:p w14:paraId="68EF0B14" w14:textId="77777777" w:rsidR="0011052C" w:rsidRDefault="0011052C" w:rsidP="0011052C">
      <w:pPr>
        <w:spacing w:line="240" w:lineRule="auto"/>
        <w:rPr>
          <w:rFonts w:eastAsia="Times New Roman" w:cs="Arial"/>
          <w:bCs/>
          <w:color w:val="000000"/>
          <w:u w:val="single"/>
          <w:lang w:eastAsia="bg-BG"/>
        </w:rPr>
      </w:pPr>
    </w:p>
    <w:p w14:paraId="452F29B8" w14:textId="74CFF4CB"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Едновременното приложение не се препоръчва с</w:t>
      </w:r>
    </w:p>
    <w:p w14:paraId="3758BEE1" w14:textId="77777777" w:rsidR="0011052C" w:rsidRDefault="0011052C" w:rsidP="0011052C">
      <w:pPr>
        <w:spacing w:line="240" w:lineRule="auto"/>
        <w:rPr>
          <w:rFonts w:eastAsia="Times New Roman" w:cs="Arial"/>
          <w:bCs/>
          <w:i/>
          <w:iCs/>
          <w:color w:val="000000"/>
          <w:lang w:eastAsia="bg-BG"/>
        </w:rPr>
      </w:pPr>
    </w:p>
    <w:p w14:paraId="3D605428" w14:textId="07DCA954"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Калий-съхраняващи диуретици или калиеви добавки</w:t>
      </w:r>
    </w:p>
    <w:p w14:paraId="338953FB" w14:textId="3092B954"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Ангиотензин </w:t>
      </w:r>
      <w:r w:rsidRPr="0011052C">
        <w:rPr>
          <w:rFonts w:eastAsia="Times New Roman" w:cs="Arial"/>
          <w:bCs/>
          <w:color w:val="000000"/>
          <w:lang w:val="en-US"/>
        </w:rPr>
        <w:t>II</w:t>
      </w:r>
      <w:r w:rsidRPr="0011052C">
        <w:rPr>
          <w:rFonts w:eastAsia="Times New Roman" w:cs="Arial"/>
          <w:bCs/>
          <w:color w:val="000000"/>
          <w:lang w:eastAsia="bg-BG"/>
        </w:rPr>
        <w:t xml:space="preserve"> рецепторни антагонисти, като телмисартан, намаляват загубата на калий. Калий-съхраняващите диуретици като спиринолактон, еплеренон, триамтерен или амилорид, калиевите добавки или солевите заместители, съдържащи калий могат да доведат до значимо повишаване на серумния калий. Ако едновременното приложение е показано поради установена хипокалиемия, то трябва да се извършва с повишено внимание и трябва често да се следи серумния калий.</w:t>
      </w:r>
    </w:p>
    <w:p w14:paraId="1B792920" w14:textId="77777777" w:rsidR="0011052C" w:rsidRDefault="0011052C" w:rsidP="0011052C">
      <w:pPr>
        <w:spacing w:line="240" w:lineRule="auto"/>
        <w:rPr>
          <w:rFonts w:eastAsia="Times New Roman" w:cs="Arial"/>
          <w:bCs/>
          <w:i/>
          <w:iCs/>
          <w:color w:val="000000"/>
          <w:lang w:eastAsia="bg-BG"/>
        </w:rPr>
      </w:pPr>
    </w:p>
    <w:p w14:paraId="366788AB" w14:textId="629F7C8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Литий</w:t>
      </w:r>
    </w:p>
    <w:p w14:paraId="3CF2E2B6"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По време на едновременно приложение на литий с инхибитори на ангиотензин конвертиращия ензим и с ангиотензин </w:t>
      </w:r>
      <w:r w:rsidRPr="0011052C">
        <w:rPr>
          <w:rFonts w:eastAsia="Times New Roman" w:cs="Arial"/>
          <w:bCs/>
          <w:color w:val="000000"/>
          <w:lang w:val="en-US"/>
        </w:rPr>
        <w:t>II</w:t>
      </w:r>
      <w:r w:rsidRPr="0011052C">
        <w:rPr>
          <w:rFonts w:eastAsia="Times New Roman" w:cs="Arial"/>
          <w:bCs/>
          <w:color w:val="000000"/>
          <w:lang w:eastAsia="bg-BG"/>
        </w:rPr>
        <w:t xml:space="preserve"> рецепторни антагонисти, включително телмисартан, са наблюдавани обратимо повишение на серумните Литиеви концентрации и прояви на токсичност. Ако тази комбинация е необходима, се препоръчва внимателно следене на серумните нива на лития.</w:t>
      </w:r>
    </w:p>
    <w:p w14:paraId="2A15B84B" w14:textId="77777777" w:rsidR="0011052C" w:rsidRDefault="0011052C" w:rsidP="0011052C">
      <w:pPr>
        <w:spacing w:line="240" w:lineRule="auto"/>
        <w:rPr>
          <w:rFonts w:eastAsia="Times New Roman" w:cs="Arial"/>
          <w:bCs/>
          <w:color w:val="000000"/>
          <w:u w:val="single"/>
          <w:lang w:eastAsia="bg-BG"/>
        </w:rPr>
      </w:pPr>
    </w:p>
    <w:p w14:paraId="4CF02ABF" w14:textId="122B818D"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Едновременното приложение изисква повишено внимание пои</w:t>
      </w:r>
    </w:p>
    <w:p w14:paraId="60CF9FCB" w14:textId="77777777" w:rsidR="0011052C" w:rsidRDefault="0011052C" w:rsidP="0011052C">
      <w:pPr>
        <w:spacing w:line="240" w:lineRule="auto"/>
        <w:rPr>
          <w:rFonts w:eastAsia="Times New Roman" w:cs="Arial"/>
          <w:bCs/>
          <w:i/>
          <w:iCs/>
          <w:color w:val="000000"/>
          <w:lang w:eastAsia="bg-BG"/>
        </w:rPr>
      </w:pPr>
    </w:p>
    <w:p w14:paraId="34A4B7EE" w14:textId="1E4BE652"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Нестероидни противовъзпалителни средства</w:t>
      </w:r>
    </w:p>
    <w:p w14:paraId="03741027" w14:textId="18321DF1" w:rsidR="0011052C" w:rsidRDefault="0011052C" w:rsidP="0011052C">
      <w:pPr>
        <w:rPr>
          <w:rFonts w:eastAsia="Times New Roman" w:cs="Arial"/>
          <w:bCs/>
          <w:color w:val="000000"/>
          <w:lang w:eastAsia="bg-BG"/>
        </w:rPr>
      </w:pPr>
      <w:r w:rsidRPr="0011052C">
        <w:rPr>
          <w:rFonts w:eastAsia="Times New Roman" w:cs="Arial"/>
          <w:bCs/>
          <w:color w:val="000000"/>
          <w:lang w:eastAsia="bg-BG"/>
        </w:rPr>
        <w:t>НСПВС (т.е. ацетилсалицилова киселина в противовъзпалителни дози, СОХ -2 инхибитори и неселективни НСПВС) могат да намалят антихипертензивния ефект на ангиотензин I</w:t>
      </w:r>
      <w:r w:rsidRPr="0011052C">
        <w:rPr>
          <w:rFonts w:eastAsia="Times New Roman" w:cs="Arial"/>
          <w:bCs/>
          <w:color w:val="000000"/>
          <w:lang w:val="en-US"/>
        </w:rPr>
        <w:t>I</w:t>
      </w:r>
      <w:r w:rsidRPr="0011052C">
        <w:rPr>
          <w:rFonts w:eastAsia="Times New Roman" w:cs="Arial"/>
          <w:bCs/>
          <w:color w:val="000000"/>
          <w:lang w:eastAsia="bg-BG"/>
        </w:rPr>
        <w:t xml:space="preserve"> рецепторните антагонисти. При някои пациенти с нарушена бъбречна функция (например дехидратирани пациенти или пациенти в напреднала възраст с нарушена бъбречна функция) едновременното приложение на ангиотензин II рецепторни антагонисти и лекарствени продукти, които инхибират цикло-оксигеназата може да доведе до по-нататъшно влошаване на бъбречната функция, включително е възможна остра бъбречна недостатъчност, която обикновено е обратима. По тази причина, </w:t>
      </w:r>
      <w:r w:rsidRPr="0011052C">
        <w:rPr>
          <w:rFonts w:eastAsia="Times New Roman" w:cs="Arial"/>
          <w:bCs/>
          <w:color w:val="000000"/>
          <w:lang w:eastAsia="bg-BG"/>
        </w:rPr>
        <w:lastRenderedPageBreak/>
        <w:t>комбинацията трябва да бъде прилагана с</w:t>
      </w:r>
      <w:r w:rsidRPr="0011052C">
        <w:rPr>
          <w:rFonts w:eastAsia="Times New Roman" w:cs="Arial"/>
          <w:bCs/>
          <w:color w:val="000000"/>
          <w:lang w:val="ru-RU"/>
        </w:rPr>
        <w:t xml:space="preserve"> </w:t>
      </w:r>
      <w:r w:rsidRPr="0011052C">
        <w:rPr>
          <w:rFonts w:eastAsia="Times New Roman" w:cs="Arial"/>
          <w:bCs/>
          <w:color w:val="000000"/>
          <w:lang w:eastAsia="bg-BG"/>
        </w:rPr>
        <w:t>повишено внимание, особено при пациенти в напреднала възраст. Пациентите трябва да бъдат адекватно</w:t>
      </w:r>
      <w:r w:rsidRPr="0011052C">
        <w:rPr>
          <w:rFonts w:eastAsia="Times New Roman" w:cs="Arial"/>
          <w:bCs/>
          <w:color w:val="000000"/>
          <w:u w:val="single"/>
          <w:lang w:eastAsia="bg-BG"/>
        </w:rPr>
        <w:t xml:space="preserve"> </w:t>
      </w:r>
      <w:r w:rsidRPr="0011052C">
        <w:rPr>
          <w:rFonts w:eastAsia="Times New Roman" w:cs="Arial"/>
          <w:bCs/>
          <w:color w:val="000000"/>
          <w:lang w:eastAsia="bg-BG"/>
        </w:rPr>
        <w:t>хидратирани и да бъде проследявана бъбречната им функция в началото на комбинираното лечение и периодично след това.</w:t>
      </w:r>
    </w:p>
    <w:p w14:paraId="55B36F4E" w14:textId="5FC1EB7C" w:rsidR="0011052C" w:rsidRDefault="0011052C" w:rsidP="0011052C">
      <w:pPr>
        <w:rPr>
          <w:rFonts w:eastAsia="Times New Roman" w:cs="Arial"/>
          <w:bCs/>
          <w:color w:val="000000"/>
          <w:lang w:eastAsia="bg-BG"/>
        </w:rPr>
      </w:pPr>
    </w:p>
    <w:p w14:paraId="6539AE85"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В едно проучване едновременното прилагане на телмисартан и рамиприл е довело до покачване на </w:t>
      </w:r>
      <w:r w:rsidRPr="0011052C">
        <w:rPr>
          <w:rFonts w:eastAsia="Times New Roman" w:cs="Arial"/>
          <w:bCs/>
          <w:color w:val="000000"/>
          <w:lang w:val="en-US"/>
        </w:rPr>
        <w:t>AUC</w:t>
      </w:r>
      <w:r w:rsidRPr="0011052C">
        <w:rPr>
          <w:rFonts w:eastAsia="Times New Roman" w:cs="Arial"/>
          <w:bCs/>
          <w:color w:val="000000"/>
          <w:lang w:val="ru-RU"/>
        </w:rPr>
        <w:t xml:space="preserve">0-24 </w:t>
      </w:r>
      <w:r w:rsidRPr="0011052C">
        <w:rPr>
          <w:rFonts w:eastAsia="Times New Roman" w:cs="Arial"/>
          <w:bCs/>
          <w:color w:val="000000"/>
          <w:lang w:eastAsia="bg-BG"/>
        </w:rPr>
        <w:t>и С</w:t>
      </w:r>
      <w:r w:rsidRPr="0011052C">
        <w:rPr>
          <w:rFonts w:eastAsia="Times New Roman" w:cs="Arial"/>
          <w:bCs/>
          <w:color w:val="000000"/>
          <w:lang w:val="en-US"/>
        </w:rPr>
        <w:t>max</w:t>
      </w:r>
      <w:r w:rsidRPr="0011052C">
        <w:rPr>
          <w:rFonts w:eastAsia="Times New Roman" w:cs="Arial"/>
          <w:bCs/>
          <w:color w:val="000000"/>
          <w:lang w:eastAsia="bg-BG"/>
        </w:rPr>
        <w:t xml:space="preserve"> на рамиприл и рамиприлат до 2,5 пъти. Клиничната значимост на това наблюдение не е известна.</w:t>
      </w:r>
    </w:p>
    <w:p w14:paraId="5B085FE5" w14:textId="77777777" w:rsidR="0011052C" w:rsidRDefault="0011052C" w:rsidP="0011052C">
      <w:pPr>
        <w:spacing w:line="240" w:lineRule="auto"/>
        <w:rPr>
          <w:rFonts w:eastAsia="Times New Roman" w:cs="Arial"/>
          <w:bCs/>
          <w:i/>
          <w:iCs/>
          <w:color w:val="000000"/>
          <w:lang w:eastAsia="bg-BG"/>
        </w:rPr>
      </w:pPr>
    </w:p>
    <w:p w14:paraId="70E90AE4" w14:textId="1D016EE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Диуретици (тиазидни или бримкови диуретици)</w:t>
      </w:r>
    </w:p>
    <w:p w14:paraId="3753C038"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Предшестваща терапия с високи дози диуретици като фуроземид (бримков диуретик) и хидрохлоротиазид (тиазиден диуретик) може да доведе до обемен дефицит и риск от възникване на хипотония при започване на лечение с телмисартан.</w:t>
      </w:r>
    </w:p>
    <w:p w14:paraId="3D5664E2" w14:textId="77777777" w:rsidR="0011052C" w:rsidRDefault="0011052C" w:rsidP="0011052C">
      <w:pPr>
        <w:spacing w:line="240" w:lineRule="auto"/>
        <w:rPr>
          <w:rFonts w:eastAsia="Times New Roman" w:cs="Arial"/>
          <w:bCs/>
          <w:color w:val="000000"/>
          <w:u w:val="single"/>
          <w:lang w:eastAsia="bg-BG"/>
        </w:rPr>
      </w:pPr>
    </w:p>
    <w:p w14:paraId="2301F3B2" w14:textId="79F4BF28"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 xml:space="preserve">Трябва са се вземе под внимание </w:t>
      </w:r>
      <w:r w:rsidRPr="0011052C">
        <w:rPr>
          <w:rFonts w:eastAsia="Times New Roman" w:cs="Arial"/>
          <w:bCs/>
          <w:smallCaps/>
          <w:color w:val="000000"/>
          <w:u w:val="single"/>
          <w:lang w:eastAsia="bg-BG"/>
        </w:rPr>
        <w:t>при</w:t>
      </w:r>
      <w:r w:rsidRPr="0011052C">
        <w:rPr>
          <w:rFonts w:eastAsia="Times New Roman" w:cs="Arial"/>
          <w:bCs/>
          <w:color w:val="000000"/>
          <w:u w:val="single"/>
          <w:lang w:eastAsia="bg-BG"/>
        </w:rPr>
        <w:t xml:space="preserve"> едновременно приложение</w:t>
      </w:r>
    </w:p>
    <w:p w14:paraId="1CEEB4DB" w14:textId="7777777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Други антихипертензивни лекарствени продукти</w:t>
      </w:r>
    </w:p>
    <w:p w14:paraId="0C9CEA16"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Хипотензивният ефект на телмисартан може да се повиши при едновременното приложение с други антихипертензивни лекарствени продукти.</w:t>
      </w:r>
    </w:p>
    <w:p w14:paraId="465DF15E" w14:textId="77777777" w:rsidR="0011052C" w:rsidRDefault="0011052C" w:rsidP="0011052C">
      <w:pPr>
        <w:spacing w:line="240" w:lineRule="auto"/>
        <w:rPr>
          <w:rFonts w:eastAsia="Times New Roman" w:cs="Arial"/>
          <w:bCs/>
          <w:color w:val="000000"/>
          <w:lang w:eastAsia="bg-BG"/>
        </w:rPr>
      </w:pPr>
    </w:p>
    <w:p w14:paraId="7CD3FBFB" w14:textId="6B76C484" w:rsidR="0011052C" w:rsidRDefault="0011052C" w:rsidP="0011052C">
      <w:pPr>
        <w:spacing w:line="240" w:lineRule="auto"/>
        <w:rPr>
          <w:rFonts w:eastAsia="Times New Roman" w:cs="Arial"/>
          <w:bCs/>
          <w:color w:val="000000"/>
          <w:lang w:eastAsia="bg-BG"/>
        </w:rPr>
      </w:pPr>
      <w:r w:rsidRPr="0011052C">
        <w:rPr>
          <w:rFonts w:eastAsia="Times New Roman" w:cs="Arial"/>
          <w:bCs/>
          <w:color w:val="000000"/>
          <w:lang w:eastAsia="bg-BG"/>
        </w:rPr>
        <w:t xml:space="preserve">Въз основа на фармакологичните им свойства е възможно да се очаква, че следните </w:t>
      </w:r>
    </w:p>
    <w:p w14:paraId="7ACD0E21" w14:textId="0A3A6226"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лекарствени продукти могат да повишат хипотензивния ефект на всички антихипертензивни средства, включително телмисартан; баклофен, амифостин. Също така, ортостатичната хипотония може да бъде засилена от алкохол, барбитурати, наркотични вещества или антидепресанти.</w:t>
      </w:r>
    </w:p>
    <w:p w14:paraId="73A354C2" w14:textId="77777777" w:rsidR="0011052C" w:rsidRDefault="0011052C" w:rsidP="0011052C">
      <w:pPr>
        <w:spacing w:line="240" w:lineRule="auto"/>
        <w:rPr>
          <w:rFonts w:eastAsia="Times New Roman" w:cs="Arial"/>
          <w:bCs/>
          <w:i/>
          <w:iCs/>
          <w:color w:val="000000"/>
          <w:lang w:eastAsia="bg-BG"/>
        </w:rPr>
      </w:pPr>
    </w:p>
    <w:p w14:paraId="27A3F469" w14:textId="3668F59D"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Кортикостероиди (системно приложение)</w:t>
      </w:r>
    </w:p>
    <w:p w14:paraId="57E433B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Намаляване на антихипертензивния ефект.</w:t>
      </w:r>
    </w:p>
    <w:p w14:paraId="2D73E052" w14:textId="77777777" w:rsidR="0011052C" w:rsidRPr="0011052C" w:rsidRDefault="0011052C" w:rsidP="0011052C">
      <w:pPr>
        <w:rPr>
          <w:rFonts w:cs="Arial"/>
        </w:rPr>
      </w:pPr>
    </w:p>
    <w:p w14:paraId="394A7584" w14:textId="6B53B512" w:rsidR="004F498A" w:rsidRDefault="002C50EE" w:rsidP="004A448E">
      <w:pPr>
        <w:pStyle w:val="Heading2"/>
      </w:pPr>
      <w:r>
        <w:t>4.6. Фертилитет, бременност и кърмене</w:t>
      </w:r>
    </w:p>
    <w:p w14:paraId="05566E6D" w14:textId="5FD6FAE0" w:rsidR="0011052C" w:rsidRDefault="0011052C" w:rsidP="0011052C"/>
    <w:p w14:paraId="79B4CABB" w14:textId="5099AEA6" w:rsidR="0011052C" w:rsidRPr="0011052C" w:rsidRDefault="0011052C" w:rsidP="0011052C">
      <w:pPr>
        <w:pStyle w:val="Heading3"/>
        <w:rPr>
          <w:u w:val="single"/>
        </w:rPr>
      </w:pPr>
      <w:r w:rsidRPr="0011052C">
        <w:rPr>
          <w:u w:val="single"/>
        </w:rPr>
        <w:t>Бременност</w:t>
      </w:r>
    </w:p>
    <w:tbl>
      <w:tblPr>
        <w:tblStyle w:val="TableGrid"/>
        <w:tblW w:w="0" w:type="auto"/>
        <w:tblLook w:val="04A0" w:firstRow="1" w:lastRow="0" w:firstColumn="1" w:lastColumn="0" w:noHBand="0" w:noVBand="1"/>
      </w:tblPr>
      <w:tblGrid>
        <w:gridCol w:w="9350"/>
      </w:tblGrid>
      <w:tr w:rsidR="0011052C" w14:paraId="19914D1B" w14:textId="77777777" w:rsidTr="0011052C">
        <w:tc>
          <w:tcPr>
            <w:tcW w:w="9576" w:type="dxa"/>
          </w:tcPr>
          <w:p w14:paraId="5568339F" w14:textId="21D029A0" w:rsidR="0011052C" w:rsidRPr="0011052C" w:rsidRDefault="0011052C" w:rsidP="0011052C">
            <w:pPr>
              <w:rPr>
                <w:sz w:val="24"/>
                <w:szCs w:val="24"/>
              </w:rPr>
            </w:pPr>
            <w:r w:rsidRPr="0011052C">
              <w:rPr>
                <w:lang w:eastAsia="bg-BG"/>
              </w:rPr>
              <w:t>Не се препоръчва употребата А</w:t>
            </w:r>
            <w:r w:rsidRPr="0011052C">
              <w:rPr>
                <w:lang w:val="en-US"/>
              </w:rPr>
              <w:t>II</w:t>
            </w:r>
            <w:r w:rsidRPr="0011052C">
              <w:rPr>
                <w:lang w:eastAsia="bg-BG"/>
              </w:rPr>
              <w:t>РА през първия триместьр на бременността (вж. точка 4.4). Употребата на АПРА е противопоказана през втория и третия триместьр на бременността (вж. точки 4.3 и 4.4).</w:t>
            </w:r>
          </w:p>
        </w:tc>
      </w:tr>
    </w:tbl>
    <w:p w14:paraId="4AFAFA9A" w14:textId="49D995F9" w:rsidR="0011052C" w:rsidRDefault="0011052C" w:rsidP="0011052C"/>
    <w:p w14:paraId="41E20D13"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Няма достатъчно данни за употребата на телмисартан при бременни жени. Експерименталните проучвания при животни показват репродуктивна токсичност (вж. точка 5.3).</w:t>
      </w:r>
    </w:p>
    <w:p w14:paraId="181C78EE"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Епидемиологичните данни за риска от тератогенност след експозиция на АСЕ инхибитори през първия триместьр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w:t>
      </w:r>
      <w:r w:rsidRPr="0011052C">
        <w:rPr>
          <w:rFonts w:eastAsia="Times New Roman" w:cs="Arial"/>
          <w:bCs/>
          <w:color w:val="000000"/>
          <w:lang w:val="en-US"/>
        </w:rPr>
        <w:t>II</w:t>
      </w:r>
      <w:r w:rsidRPr="0011052C">
        <w:rPr>
          <w:rFonts w:eastAsia="Times New Roman" w:cs="Arial"/>
          <w:bCs/>
          <w:color w:val="000000"/>
          <w:lang w:eastAsia="bg-BG"/>
        </w:rPr>
        <w:t>РА, сходни рискове могат да съществуват и при този клас лекарства.</w:t>
      </w:r>
    </w:p>
    <w:p w14:paraId="175812F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Пациентките, които планират бременност, трябва да преминат към алтернативно антихипергензивно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w:t>
      </w:r>
      <w:r w:rsidRPr="0011052C">
        <w:rPr>
          <w:rFonts w:eastAsia="Times New Roman" w:cs="Arial"/>
          <w:bCs/>
          <w:color w:val="000000"/>
          <w:lang w:val="en-US"/>
        </w:rPr>
        <w:t>II</w:t>
      </w:r>
      <w:r w:rsidRPr="0011052C">
        <w:rPr>
          <w:rFonts w:eastAsia="Times New Roman" w:cs="Arial"/>
          <w:bCs/>
          <w:color w:val="000000"/>
          <w:lang w:eastAsia="bg-BG"/>
        </w:rPr>
        <w:t>РА. Ако е диагностицирана бременност, лечението с А</w:t>
      </w:r>
      <w:r w:rsidRPr="0011052C">
        <w:rPr>
          <w:rFonts w:eastAsia="Times New Roman" w:cs="Arial"/>
          <w:bCs/>
          <w:color w:val="000000"/>
          <w:lang w:val="en-US"/>
        </w:rPr>
        <w:t>II</w:t>
      </w:r>
      <w:r w:rsidRPr="0011052C">
        <w:rPr>
          <w:rFonts w:eastAsia="Times New Roman" w:cs="Arial"/>
          <w:bCs/>
          <w:color w:val="000000"/>
          <w:lang w:eastAsia="bg-BG"/>
        </w:rPr>
        <w:t>РА трябва незабавно да бъде преустановено и ако е подходящо да бъде започнато алтернативно лечение.</w:t>
      </w:r>
    </w:p>
    <w:p w14:paraId="28DB37D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lastRenderedPageBreak/>
        <w:t>Установено е, че експозицията на А</w:t>
      </w:r>
      <w:r w:rsidRPr="0011052C">
        <w:rPr>
          <w:rFonts w:eastAsia="Times New Roman" w:cs="Arial"/>
          <w:bCs/>
          <w:color w:val="000000"/>
          <w:lang w:val="en-US"/>
        </w:rPr>
        <w:t>II</w:t>
      </w:r>
      <w:r w:rsidRPr="0011052C">
        <w:rPr>
          <w:rFonts w:eastAsia="Times New Roman" w:cs="Arial"/>
          <w:bCs/>
          <w:color w:val="000000"/>
          <w:lang w:eastAsia="bg-BG"/>
        </w:rPr>
        <w:t>РА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и хиперкалиемия) (виж точка 5.3).</w:t>
      </w:r>
    </w:p>
    <w:p w14:paraId="7CF8E9FF"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Препоръчва се ултразвуков преглед на бъбречната функция и черепа, ако настъпи експозиция на А</w:t>
      </w:r>
      <w:r w:rsidRPr="0011052C">
        <w:rPr>
          <w:rFonts w:eastAsia="Times New Roman" w:cs="Arial"/>
          <w:bCs/>
          <w:color w:val="000000"/>
          <w:lang w:val="en-US"/>
        </w:rPr>
        <w:t>II</w:t>
      </w:r>
      <w:r w:rsidRPr="0011052C">
        <w:rPr>
          <w:rFonts w:eastAsia="Times New Roman" w:cs="Arial"/>
          <w:bCs/>
          <w:color w:val="000000"/>
          <w:lang w:eastAsia="bg-BG"/>
        </w:rPr>
        <w:t>РА през втория триместьр на бременността и след това.</w:t>
      </w:r>
    </w:p>
    <w:p w14:paraId="7435C7C1"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Новородените, чийто майки са приемали АПРА, трябва да бъдат внимателно наблюдавани за наличие на хипотония (вж. точки 4.3 и 4.4).</w:t>
      </w:r>
    </w:p>
    <w:p w14:paraId="5D11B6F6" w14:textId="77777777" w:rsidR="0011052C" w:rsidRDefault="0011052C" w:rsidP="0011052C">
      <w:pPr>
        <w:spacing w:line="240" w:lineRule="auto"/>
        <w:rPr>
          <w:rFonts w:eastAsia="Times New Roman" w:cs="Arial"/>
          <w:bCs/>
          <w:color w:val="000000"/>
          <w:u w:val="single"/>
          <w:lang w:eastAsia="bg-BG"/>
        </w:rPr>
      </w:pPr>
    </w:p>
    <w:p w14:paraId="4E3D3B83" w14:textId="59F3124B" w:rsidR="0011052C" w:rsidRPr="0011052C" w:rsidRDefault="0011052C" w:rsidP="0011052C">
      <w:pPr>
        <w:pStyle w:val="Heading3"/>
        <w:rPr>
          <w:rFonts w:eastAsia="Times New Roman"/>
          <w:u w:val="single"/>
        </w:rPr>
      </w:pPr>
      <w:r w:rsidRPr="0011052C">
        <w:rPr>
          <w:rFonts w:eastAsia="Times New Roman"/>
          <w:u w:val="single"/>
          <w:lang w:eastAsia="bg-BG"/>
        </w:rPr>
        <w:t>Кърмене</w:t>
      </w:r>
    </w:p>
    <w:p w14:paraId="1E20E8EF"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Тъй като няма данни относно употребата на Тезео в периода на кърмене, Тезео не се </w:t>
      </w:r>
      <w:r w:rsidRPr="0011052C">
        <w:rPr>
          <w:rFonts w:eastAsia="Times New Roman" w:cs="Arial"/>
          <w:bCs/>
          <w:color w:val="000000"/>
          <w:vertAlign w:val="subscript"/>
          <w:lang w:eastAsia="bg-BG"/>
        </w:rPr>
        <w:t xml:space="preserve"> </w:t>
      </w:r>
      <w:r w:rsidRPr="0011052C">
        <w:rPr>
          <w:rFonts w:eastAsia="Times New Roman" w:cs="Arial"/>
          <w:bCs/>
          <w:color w:val="000000"/>
          <w:lang w:eastAsia="bg-BG"/>
        </w:rPr>
        <w:t>препоръчва, а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дете.</w:t>
      </w:r>
    </w:p>
    <w:p w14:paraId="7962AF7C" w14:textId="77777777" w:rsidR="0011052C" w:rsidRDefault="0011052C" w:rsidP="0011052C">
      <w:pPr>
        <w:spacing w:line="240" w:lineRule="auto"/>
        <w:rPr>
          <w:rFonts w:eastAsia="Times New Roman" w:cs="Arial"/>
          <w:bCs/>
          <w:color w:val="000000"/>
          <w:u w:val="single"/>
          <w:lang w:eastAsia="bg-BG"/>
        </w:rPr>
      </w:pPr>
    </w:p>
    <w:p w14:paraId="6F94D237" w14:textId="34569A1A" w:rsidR="0011052C" w:rsidRPr="0011052C" w:rsidRDefault="0011052C" w:rsidP="0011052C">
      <w:pPr>
        <w:pStyle w:val="Heading3"/>
        <w:rPr>
          <w:rFonts w:eastAsia="Times New Roman"/>
          <w:u w:val="single"/>
        </w:rPr>
      </w:pPr>
      <w:r w:rsidRPr="0011052C">
        <w:rPr>
          <w:rFonts w:eastAsia="Times New Roman"/>
          <w:u w:val="single"/>
          <w:lang w:eastAsia="bg-BG"/>
        </w:rPr>
        <w:t>Фертилитет</w:t>
      </w:r>
    </w:p>
    <w:p w14:paraId="74A89015" w14:textId="77777777" w:rsidR="0011052C" w:rsidRPr="0011052C" w:rsidRDefault="0011052C" w:rsidP="0011052C">
      <w:pPr>
        <w:rPr>
          <w:sz w:val="24"/>
          <w:szCs w:val="24"/>
        </w:rPr>
      </w:pPr>
      <w:r w:rsidRPr="0011052C">
        <w:rPr>
          <w:lang w:eastAsia="bg-BG"/>
        </w:rPr>
        <w:t>В предклинични проучвания не са наблюдавани ефекти на телмисартан върху фертилитета на мъжки и женски индивиди.</w:t>
      </w:r>
    </w:p>
    <w:p w14:paraId="3B5B49CC" w14:textId="77777777" w:rsidR="0011052C" w:rsidRPr="0011052C" w:rsidRDefault="0011052C" w:rsidP="0011052C"/>
    <w:p w14:paraId="064DF1DE" w14:textId="01AC7AB5" w:rsidR="00CF77F7" w:rsidRDefault="002C50EE" w:rsidP="004A448E">
      <w:pPr>
        <w:pStyle w:val="Heading2"/>
      </w:pPr>
      <w:r>
        <w:t>4.7. Ефекти върху способността за шофиране и работа с машини</w:t>
      </w:r>
    </w:p>
    <w:p w14:paraId="50EC15A5" w14:textId="0C073503" w:rsidR="0011052C" w:rsidRDefault="0011052C" w:rsidP="0011052C"/>
    <w:p w14:paraId="0B8964F2" w14:textId="7E393AF7" w:rsidR="0011052C" w:rsidRDefault="0011052C" w:rsidP="0011052C">
      <w:r>
        <w:t>Когато се шофира или работи с машини трябва да се има предвид, че при антихипертензивна терапия, като Тезео, макар и рядко, могат да се проявят замайване или сънливост.</w:t>
      </w:r>
    </w:p>
    <w:p w14:paraId="7498096B" w14:textId="77777777" w:rsidR="0011052C" w:rsidRPr="0011052C" w:rsidRDefault="0011052C" w:rsidP="0011052C"/>
    <w:p w14:paraId="37A3FD9F" w14:textId="07AE3919" w:rsidR="00CF77F7" w:rsidRDefault="002C50EE" w:rsidP="004A448E">
      <w:pPr>
        <w:pStyle w:val="Heading2"/>
      </w:pPr>
      <w:r>
        <w:t>4.8. Нежелани лекарствени реакции</w:t>
      </w:r>
    </w:p>
    <w:p w14:paraId="41D124DC" w14:textId="0F7FEF48" w:rsidR="0011052C" w:rsidRDefault="0011052C" w:rsidP="0011052C"/>
    <w:p w14:paraId="428CF30F" w14:textId="7777777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Кратко изложение на профила на безопасност</w:t>
      </w:r>
    </w:p>
    <w:p w14:paraId="34556DB4"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Сериозните нежелани лекарствени реакции включват анафилактични реакции и ангиоедем, които може да настъпят рядко (≥1/10 000 до &lt;1/1 000) и остра бъбречна недостатъчност.</w:t>
      </w:r>
    </w:p>
    <w:p w14:paraId="4C25E54A" w14:textId="77777777" w:rsidR="0011052C" w:rsidRDefault="0011052C" w:rsidP="0011052C">
      <w:pPr>
        <w:spacing w:line="240" w:lineRule="auto"/>
        <w:rPr>
          <w:rFonts w:eastAsia="Times New Roman" w:cs="Arial"/>
          <w:bCs/>
          <w:color w:val="000000"/>
          <w:lang w:eastAsia="bg-BG"/>
        </w:rPr>
      </w:pPr>
    </w:p>
    <w:p w14:paraId="4C5E5168" w14:textId="041C48EA"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Честотата на нежелани лекарствени реакции, съобщавани при употребата на телмисартан, обикновено е сравнима с плацебо (41,4% спрямо 43,9 %) при плацебо-контролирани проучвания при пациенти, лекувани за хипертония. Случаите на проявени нежелани лекарствени реакции не са свързани с дозата и не показват зависимост от пола, възрастта или расата на пациентите. Профилът на безопасност на телмисартан при пациенти, лекувани за намаляване на сърдечносъдовата заболеваемост е сходен с този, наблюдаван при пациенти с хипертония.</w:t>
      </w:r>
    </w:p>
    <w:p w14:paraId="5965D367" w14:textId="77777777" w:rsidR="0011052C" w:rsidRPr="0011052C" w:rsidRDefault="0011052C" w:rsidP="0011052C">
      <w:pPr>
        <w:spacing w:line="240" w:lineRule="auto"/>
        <w:rPr>
          <w:rFonts w:eastAsia="Times New Roman" w:cs="Arial"/>
        </w:rPr>
      </w:pPr>
    </w:p>
    <w:p w14:paraId="326C015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Представените по-долу нежелани лекарствени реакции, отразяват резултатите от контролирани клинични проучвания при пациенти, лекувани за хипертония и от пост-маркетингови доклади. Също се имат предвид сериозните нежелани реакции, както и прекъсване на лечението, докладвани при продължителни клинични проучвания, включващи 21642 пациента, лекувани с телмисартан за намаляване на сърдечносъдовата заболеваемост за период до 6 години.</w:t>
      </w:r>
    </w:p>
    <w:p w14:paraId="214F10BB" w14:textId="77777777" w:rsidR="0011052C" w:rsidRDefault="0011052C" w:rsidP="0011052C">
      <w:pPr>
        <w:spacing w:line="240" w:lineRule="auto"/>
        <w:rPr>
          <w:rFonts w:eastAsia="Times New Roman" w:cs="Arial"/>
          <w:bCs/>
          <w:i/>
          <w:iCs/>
          <w:color w:val="000000"/>
          <w:lang w:eastAsia="bg-BG"/>
        </w:rPr>
      </w:pPr>
    </w:p>
    <w:p w14:paraId="747C4829" w14:textId="64DA2F22"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Кратко изложение на нежеланите лекарствени реакции в табличен формат</w:t>
      </w:r>
    </w:p>
    <w:p w14:paraId="7E9F8081" w14:textId="77777777" w:rsidR="0011052C" w:rsidRDefault="0011052C" w:rsidP="0011052C">
      <w:pPr>
        <w:spacing w:line="240" w:lineRule="auto"/>
        <w:rPr>
          <w:rFonts w:eastAsia="Times New Roman" w:cs="Arial"/>
          <w:bCs/>
          <w:color w:val="000000"/>
          <w:lang w:eastAsia="bg-BG"/>
        </w:rPr>
      </w:pPr>
    </w:p>
    <w:p w14:paraId="5EE939C4" w14:textId="7141A68E"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lastRenderedPageBreak/>
        <w:t>Нежеланите лекарствени реакции са категоризирани според честотата, като е използвана 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5B45AC0F" w14:textId="77777777" w:rsidR="0011052C" w:rsidRDefault="0011052C" w:rsidP="0011052C">
      <w:pPr>
        <w:spacing w:line="240" w:lineRule="auto"/>
        <w:rPr>
          <w:rFonts w:eastAsia="Times New Roman" w:cs="Arial"/>
          <w:bCs/>
          <w:color w:val="000000"/>
          <w:lang w:eastAsia="bg-BG"/>
        </w:rPr>
      </w:pPr>
    </w:p>
    <w:p w14:paraId="7052B178" w14:textId="2F6F48B9" w:rsidR="0011052C" w:rsidRDefault="0011052C" w:rsidP="0011052C">
      <w:pPr>
        <w:spacing w:line="240" w:lineRule="auto"/>
        <w:rPr>
          <w:rFonts w:eastAsia="Times New Roman" w:cs="Arial"/>
          <w:bCs/>
          <w:color w:val="000000"/>
          <w:lang w:eastAsia="bg-BG"/>
        </w:rPr>
      </w:pPr>
      <w:r w:rsidRPr="0011052C">
        <w:rPr>
          <w:rFonts w:eastAsia="Times New Roman" w:cs="Arial"/>
          <w:bCs/>
          <w:color w:val="000000"/>
          <w:lang w:eastAsia="bg-BG"/>
        </w:rPr>
        <w:t xml:space="preserve">При всяко групиране в зависимост от честотата, нежеланите лекарствени реакции се </w:t>
      </w:r>
    </w:p>
    <w:p w14:paraId="3459EB32" w14:textId="4811DCDC"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изброяват в низходящ ред по отношение на тежестта.</w:t>
      </w:r>
    </w:p>
    <w:p w14:paraId="1D9D8B2A" w14:textId="77777777" w:rsidR="0011052C" w:rsidRDefault="0011052C" w:rsidP="0011052C">
      <w:pPr>
        <w:spacing w:line="240" w:lineRule="auto"/>
        <w:rPr>
          <w:rFonts w:eastAsia="Times New Roman" w:cs="Arial"/>
          <w:bCs/>
          <w:i/>
          <w:iCs/>
          <w:color w:val="000000"/>
          <w:lang w:eastAsia="bg-BG"/>
        </w:rPr>
      </w:pPr>
    </w:p>
    <w:p w14:paraId="78A0B294" w14:textId="1AE6A6E6"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Инфекции и инфестации</w:t>
      </w:r>
    </w:p>
    <w:p w14:paraId="47EFDAAA"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Нечести: Инфекция на уринарния тракт, включително цистит, </w:t>
      </w:r>
    </w:p>
    <w:p w14:paraId="57A4922F"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инфекция на горния респираторен тракт, включително фарингит и синуит</w:t>
      </w:r>
    </w:p>
    <w:p w14:paraId="5F88FA8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 Сепсис, включително с фатален изход</w:t>
      </w:r>
      <w:r w:rsidRPr="0011052C">
        <w:rPr>
          <w:rFonts w:eastAsia="Times New Roman" w:cs="Arial"/>
          <w:bCs/>
          <w:color w:val="000000"/>
          <w:vertAlign w:val="superscript"/>
          <w:lang w:eastAsia="bg-BG"/>
        </w:rPr>
        <w:t>1</w:t>
      </w:r>
      <w:r w:rsidRPr="0011052C">
        <w:rPr>
          <w:rFonts w:eastAsia="Times New Roman" w:cs="Arial"/>
          <w:bCs/>
          <w:color w:val="000000"/>
          <w:lang w:eastAsia="bg-BG"/>
        </w:rPr>
        <w:t>.</w:t>
      </w:r>
    </w:p>
    <w:p w14:paraId="0C5B95B3" w14:textId="77777777" w:rsidR="0011052C" w:rsidRDefault="0011052C" w:rsidP="0011052C">
      <w:pPr>
        <w:spacing w:line="240" w:lineRule="auto"/>
        <w:rPr>
          <w:rFonts w:eastAsia="Times New Roman" w:cs="Arial"/>
          <w:bCs/>
          <w:i/>
          <w:iCs/>
          <w:color w:val="000000"/>
          <w:lang w:eastAsia="bg-BG"/>
        </w:rPr>
      </w:pPr>
    </w:p>
    <w:p w14:paraId="1F66AA9B" w14:textId="77777777" w:rsidR="0011052C" w:rsidRDefault="0011052C" w:rsidP="0011052C">
      <w:pPr>
        <w:spacing w:line="240" w:lineRule="auto"/>
        <w:rPr>
          <w:rFonts w:eastAsia="Times New Roman" w:cs="Arial"/>
          <w:bCs/>
          <w:i/>
          <w:iCs/>
          <w:color w:val="000000"/>
          <w:lang w:eastAsia="bg-BG"/>
        </w:rPr>
      </w:pPr>
      <w:r w:rsidRPr="0011052C">
        <w:rPr>
          <w:rFonts w:eastAsia="Times New Roman" w:cs="Arial"/>
          <w:bCs/>
          <w:i/>
          <w:iCs/>
          <w:color w:val="000000"/>
          <w:lang w:eastAsia="bg-BG"/>
        </w:rPr>
        <w:t>Нарушения на кръвта и лимфната система</w:t>
      </w:r>
    </w:p>
    <w:p w14:paraId="24FFE4A3" w14:textId="192F7968"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Нечести: Анемия</w:t>
      </w:r>
    </w:p>
    <w:p w14:paraId="07F301A8"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 Еозинофилия, тромбоцитопения</w:t>
      </w:r>
    </w:p>
    <w:p w14:paraId="52A1ED86" w14:textId="77777777" w:rsidR="0011052C" w:rsidRDefault="0011052C" w:rsidP="0011052C">
      <w:pPr>
        <w:spacing w:line="240" w:lineRule="auto"/>
        <w:rPr>
          <w:rFonts w:eastAsia="Times New Roman" w:cs="Arial"/>
          <w:bCs/>
          <w:i/>
          <w:iCs/>
          <w:color w:val="000000"/>
          <w:lang w:eastAsia="bg-BG"/>
        </w:rPr>
      </w:pPr>
    </w:p>
    <w:p w14:paraId="1093459A" w14:textId="308AA9D4"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имунната система</w:t>
      </w:r>
    </w:p>
    <w:p w14:paraId="7CE1E7EE"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 Анафилактична реакция, свръхчувствителност</w:t>
      </w:r>
    </w:p>
    <w:p w14:paraId="1D4FFF68" w14:textId="77777777" w:rsidR="0011052C" w:rsidRDefault="0011052C" w:rsidP="0011052C">
      <w:pPr>
        <w:spacing w:line="240" w:lineRule="auto"/>
        <w:rPr>
          <w:rFonts w:eastAsia="Times New Roman" w:cs="Arial"/>
          <w:bCs/>
          <w:i/>
          <w:iCs/>
          <w:color w:val="000000"/>
          <w:lang w:eastAsia="bg-BG"/>
        </w:rPr>
      </w:pPr>
    </w:p>
    <w:p w14:paraId="018B7E24" w14:textId="292220C5"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метаболизма и храненето</w:t>
      </w:r>
    </w:p>
    <w:p w14:paraId="5F72D51C"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Нечести: Хиперкалиемия</w:t>
      </w:r>
    </w:p>
    <w:p w14:paraId="53668F8E"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 Хипогликемия (при пациенти, болни от диабет)</w:t>
      </w:r>
    </w:p>
    <w:p w14:paraId="7FCBDD87" w14:textId="77777777" w:rsidR="0011052C" w:rsidRDefault="0011052C" w:rsidP="0011052C">
      <w:pPr>
        <w:spacing w:line="240" w:lineRule="auto"/>
        <w:rPr>
          <w:rFonts w:eastAsia="Times New Roman" w:cs="Arial"/>
          <w:bCs/>
          <w:i/>
          <w:iCs/>
          <w:color w:val="000000"/>
          <w:lang w:eastAsia="bg-BG"/>
        </w:rPr>
      </w:pPr>
    </w:p>
    <w:p w14:paraId="209E0D9C" w14:textId="21060A75"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Психични нарушения</w:t>
      </w:r>
    </w:p>
    <w:p w14:paraId="6A7CD709"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Нечести: Безсъние, депресия</w:t>
      </w:r>
    </w:p>
    <w:p w14:paraId="06FAC146"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Безпокойство</w:t>
      </w:r>
    </w:p>
    <w:p w14:paraId="7A0AB8A5" w14:textId="77777777" w:rsidR="0011052C" w:rsidRDefault="0011052C" w:rsidP="0011052C">
      <w:pPr>
        <w:spacing w:line="240" w:lineRule="auto"/>
        <w:rPr>
          <w:rFonts w:eastAsia="Times New Roman" w:cs="Arial"/>
          <w:bCs/>
          <w:i/>
          <w:iCs/>
          <w:color w:val="000000"/>
          <w:lang w:eastAsia="bg-BG"/>
        </w:rPr>
      </w:pPr>
    </w:p>
    <w:p w14:paraId="5CD55FE3" w14:textId="3BA668AE"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нервната система</w:t>
      </w:r>
    </w:p>
    <w:p w14:paraId="00CC6FEB" w14:textId="09E0B655"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Синкоп,</w:t>
      </w:r>
    </w:p>
    <w:p w14:paraId="3DEE45CA"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Сънливост</w:t>
      </w:r>
    </w:p>
    <w:p w14:paraId="2BD649F5" w14:textId="77777777" w:rsidR="0011052C" w:rsidRDefault="0011052C" w:rsidP="0011052C">
      <w:pPr>
        <w:spacing w:line="240" w:lineRule="auto"/>
        <w:rPr>
          <w:rFonts w:eastAsia="Times New Roman" w:cs="Arial"/>
          <w:bCs/>
          <w:i/>
          <w:iCs/>
          <w:color w:val="000000"/>
          <w:lang w:eastAsia="bg-BG"/>
        </w:rPr>
      </w:pPr>
    </w:p>
    <w:p w14:paraId="78F831CB" w14:textId="0CBF8ECF"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очите</w:t>
      </w:r>
    </w:p>
    <w:p w14:paraId="649B352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Зрително нарушение</w:t>
      </w:r>
    </w:p>
    <w:p w14:paraId="69F5600F" w14:textId="77777777" w:rsidR="0011052C" w:rsidRDefault="0011052C" w:rsidP="0011052C">
      <w:pPr>
        <w:spacing w:line="240" w:lineRule="auto"/>
        <w:rPr>
          <w:rFonts w:eastAsia="Times New Roman" w:cs="Arial"/>
          <w:bCs/>
          <w:i/>
          <w:iCs/>
          <w:color w:val="000000"/>
          <w:lang w:eastAsia="bg-BG"/>
        </w:rPr>
      </w:pPr>
    </w:p>
    <w:p w14:paraId="3151FA8C" w14:textId="667D24B0"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ухото и лабиринта</w:t>
      </w:r>
    </w:p>
    <w:p w14:paraId="3105923F" w14:textId="43A33034"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Вертиго</w:t>
      </w:r>
    </w:p>
    <w:p w14:paraId="27707672" w14:textId="77777777" w:rsidR="0011052C" w:rsidRDefault="0011052C" w:rsidP="0011052C">
      <w:pPr>
        <w:spacing w:line="240" w:lineRule="auto"/>
        <w:rPr>
          <w:rFonts w:eastAsia="Times New Roman" w:cs="Arial"/>
          <w:bCs/>
          <w:i/>
          <w:iCs/>
          <w:color w:val="000000"/>
          <w:lang w:eastAsia="bg-BG"/>
        </w:rPr>
      </w:pPr>
    </w:p>
    <w:p w14:paraId="3DC83601" w14:textId="0572FD6A"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Сърдечни нарушения</w:t>
      </w:r>
    </w:p>
    <w:p w14:paraId="44CCAA44" w14:textId="239FFE7A"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Брадикардия</w:t>
      </w:r>
    </w:p>
    <w:p w14:paraId="7AACCDBD"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Тахикардия</w:t>
      </w:r>
    </w:p>
    <w:p w14:paraId="69912532" w14:textId="77777777" w:rsidR="0011052C" w:rsidRDefault="0011052C" w:rsidP="0011052C">
      <w:pPr>
        <w:spacing w:line="240" w:lineRule="auto"/>
        <w:rPr>
          <w:rFonts w:eastAsia="Times New Roman" w:cs="Arial"/>
          <w:bCs/>
          <w:i/>
          <w:iCs/>
          <w:color w:val="000000"/>
          <w:lang w:eastAsia="bg-BG"/>
        </w:rPr>
      </w:pPr>
    </w:p>
    <w:p w14:paraId="525DC019" w14:textId="207CA9F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Съдови нарушения</w:t>
      </w:r>
    </w:p>
    <w:p w14:paraId="719F6369" w14:textId="390801F8"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Хипотония</w:t>
      </w:r>
      <w:r w:rsidRPr="0011052C">
        <w:rPr>
          <w:rFonts w:eastAsia="Times New Roman" w:cs="Arial"/>
          <w:bCs/>
          <w:color w:val="000000"/>
          <w:vertAlign w:val="superscript"/>
          <w:lang w:eastAsia="bg-BG"/>
        </w:rPr>
        <w:t>2</w:t>
      </w:r>
      <w:r w:rsidRPr="0011052C">
        <w:rPr>
          <w:rFonts w:eastAsia="Times New Roman" w:cs="Arial"/>
          <w:bCs/>
          <w:color w:val="000000"/>
          <w:lang w:eastAsia="bg-BG"/>
        </w:rPr>
        <w:t>, ортостатична хипотония</w:t>
      </w:r>
    </w:p>
    <w:p w14:paraId="2023765E" w14:textId="77777777" w:rsidR="0011052C" w:rsidRDefault="0011052C" w:rsidP="0011052C">
      <w:pPr>
        <w:spacing w:line="240" w:lineRule="auto"/>
        <w:rPr>
          <w:rFonts w:eastAsia="Times New Roman" w:cs="Arial"/>
          <w:bCs/>
          <w:i/>
          <w:iCs/>
          <w:color w:val="000000"/>
          <w:lang w:eastAsia="bg-BG"/>
        </w:rPr>
      </w:pPr>
    </w:p>
    <w:p w14:paraId="0AB5954E" w14:textId="004CDF69"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Респираторни, гръдни и медиастинални нарушения</w:t>
      </w:r>
    </w:p>
    <w:p w14:paraId="732D8303" w14:textId="0AA10E76"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Диспнея, кашлица</w:t>
      </w:r>
    </w:p>
    <w:p w14:paraId="3407F45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Много редки:</w:t>
      </w:r>
      <w:r w:rsidRPr="0011052C">
        <w:rPr>
          <w:rFonts w:eastAsia="Times New Roman" w:cs="Arial"/>
          <w:bCs/>
          <w:color w:val="000000"/>
          <w:lang w:eastAsia="bg-BG"/>
        </w:rPr>
        <w:tab/>
        <w:t>Интерстициална белодробна болест</w:t>
      </w:r>
      <w:r w:rsidRPr="0011052C">
        <w:rPr>
          <w:rFonts w:eastAsia="Times New Roman" w:cs="Arial"/>
          <w:bCs/>
          <w:color w:val="000000"/>
          <w:vertAlign w:val="superscript"/>
          <w:lang w:eastAsia="bg-BG"/>
        </w:rPr>
        <w:t>4</w:t>
      </w:r>
    </w:p>
    <w:p w14:paraId="66AAABA2" w14:textId="77777777" w:rsidR="0011052C" w:rsidRDefault="0011052C" w:rsidP="0011052C">
      <w:pPr>
        <w:spacing w:line="240" w:lineRule="auto"/>
        <w:rPr>
          <w:rFonts w:eastAsia="Times New Roman" w:cs="Arial"/>
          <w:bCs/>
          <w:i/>
          <w:iCs/>
          <w:color w:val="000000"/>
          <w:lang w:eastAsia="bg-BG"/>
        </w:rPr>
      </w:pPr>
    </w:p>
    <w:p w14:paraId="303576F6" w14:textId="0B80C8F9"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Стомашно-чревни нарушения</w:t>
      </w:r>
    </w:p>
    <w:p w14:paraId="0E218E8A" w14:textId="211DB034"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Абдоминална болка, диария, диспепсия, флатуленция, повръщане</w:t>
      </w:r>
    </w:p>
    <w:p w14:paraId="38660F7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lastRenderedPageBreak/>
        <w:t>Редки:</w:t>
      </w:r>
      <w:r w:rsidRPr="0011052C">
        <w:rPr>
          <w:rFonts w:eastAsia="Times New Roman" w:cs="Arial"/>
          <w:bCs/>
          <w:color w:val="000000"/>
          <w:lang w:eastAsia="bg-BG"/>
        </w:rPr>
        <w:tab/>
        <w:t>Сухота в устата, стомашен дискомфорт, дисгеузия</w:t>
      </w:r>
    </w:p>
    <w:p w14:paraId="00325CFE" w14:textId="77777777" w:rsidR="0011052C" w:rsidRDefault="0011052C" w:rsidP="0011052C">
      <w:pPr>
        <w:spacing w:line="240" w:lineRule="auto"/>
        <w:rPr>
          <w:rFonts w:eastAsia="Times New Roman" w:cs="Arial"/>
          <w:bCs/>
          <w:i/>
          <w:iCs/>
          <w:color w:val="000000"/>
          <w:lang w:eastAsia="bg-BG"/>
        </w:rPr>
      </w:pPr>
    </w:p>
    <w:p w14:paraId="3E6B0438" w14:textId="4F5EBAD5"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Хепато-билиарни нарушения</w:t>
      </w:r>
    </w:p>
    <w:p w14:paraId="2A8DAB9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Абнормна чернодробна функция/чернодробно нарушение</w:t>
      </w:r>
      <w:r w:rsidRPr="0011052C">
        <w:rPr>
          <w:rFonts w:eastAsia="Times New Roman" w:cs="Arial"/>
          <w:bCs/>
          <w:color w:val="000000"/>
          <w:vertAlign w:val="superscript"/>
          <w:lang w:eastAsia="bg-BG"/>
        </w:rPr>
        <w:t>3</w:t>
      </w:r>
    </w:p>
    <w:p w14:paraId="674EA6B7" w14:textId="77777777" w:rsidR="0011052C" w:rsidRDefault="0011052C" w:rsidP="0011052C">
      <w:pPr>
        <w:spacing w:line="240" w:lineRule="auto"/>
        <w:rPr>
          <w:rFonts w:eastAsia="Times New Roman" w:cs="Arial"/>
          <w:bCs/>
          <w:i/>
          <w:iCs/>
          <w:color w:val="000000"/>
          <w:lang w:eastAsia="bg-BG"/>
        </w:rPr>
      </w:pPr>
    </w:p>
    <w:p w14:paraId="17FC9221" w14:textId="0CC7C7F5"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кожата и подкожната тъкан</w:t>
      </w:r>
    </w:p>
    <w:p w14:paraId="4F7EC066" w14:textId="01CB7C5A"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Пруритус, хиперхидроза, обрив</w:t>
      </w:r>
    </w:p>
    <w:p w14:paraId="4CA7DCAD"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Ангиоедем (също и с фатален изход), екзема, еритема, уртикария, лекарствен</w:t>
      </w:r>
    </w:p>
    <w:p w14:paraId="5EC9A799"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обрив, токсичен кожен обрив</w:t>
      </w:r>
    </w:p>
    <w:p w14:paraId="4F87189B" w14:textId="77777777" w:rsidR="0011052C" w:rsidRDefault="0011052C" w:rsidP="0011052C">
      <w:pPr>
        <w:spacing w:line="240" w:lineRule="auto"/>
        <w:rPr>
          <w:rFonts w:eastAsia="Times New Roman" w:cs="Arial"/>
          <w:bCs/>
          <w:i/>
          <w:iCs/>
          <w:color w:val="000000"/>
          <w:lang w:eastAsia="bg-BG"/>
        </w:rPr>
      </w:pPr>
    </w:p>
    <w:p w14:paraId="792F6EBF" w14:textId="3F20270E"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мускулно-скелетната система и съединителната тъкан</w:t>
      </w:r>
    </w:p>
    <w:p w14:paraId="2BB8913F" w14:textId="42FE4C9E"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Нечести:</w:t>
      </w:r>
      <w:r>
        <w:rPr>
          <w:rFonts w:eastAsia="Times New Roman" w:cs="Arial"/>
          <w:bCs/>
          <w:color w:val="000000"/>
          <w:lang w:eastAsia="bg-BG"/>
        </w:rPr>
        <w:t xml:space="preserve"> </w:t>
      </w:r>
      <w:r w:rsidRPr="0011052C">
        <w:rPr>
          <w:rFonts w:eastAsia="Times New Roman" w:cs="Arial"/>
          <w:bCs/>
          <w:color w:val="000000"/>
          <w:lang w:eastAsia="bg-BG"/>
        </w:rPr>
        <w:t>Болка в гърба (напр. ишиас), мускулни спазми миалгия,</w:t>
      </w:r>
    </w:p>
    <w:p w14:paraId="62A8DB1A"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Артралгия, болка в крайник, болки в сухожилията (тендинитоподобни</w:t>
      </w:r>
    </w:p>
    <w:p w14:paraId="02EA5DA6"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симптоми)</w:t>
      </w:r>
    </w:p>
    <w:p w14:paraId="1AB2241D" w14:textId="77777777" w:rsidR="0011052C" w:rsidRDefault="0011052C" w:rsidP="0011052C">
      <w:pPr>
        <w:spacing w:line="240" w:lineRule="auto"/>
        <w:rPr>
          <w:rFonts w:eastAsia="Times New Roman" w:cs="Arial"/>
          <w:bCs/>
          <w:i/>
          <w:iCs/>
          <w:color w:val="000000"/>
          <w:lang w:eastAsia="bg-BG"/>
        </w:rPr>
      </w:pPr>
    </w:p>
    <w:p w14:paraId="74175DAD" w14:textId="6234B289"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Нарушения на бъбреците и пикочните пътища</w:t>
      </w:r>
    </w:p>
    <w:p w14:paraId="3F71B4C7" w14:textId="22339DE4"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Бъбречно увреждане, включително остра бъбречна недостатъчност</w:t>
      </w:r>
    </w:p>
    <w:p w14:paraId="0D14635E" w14:textId="77777777" w:rsidR="0011052C" w:rsidRDefault="0011052C" w:rsidP="0011052C">
      <w:pPr>
        <w:spacing w:line="240" w:lineRule="auto"/>
        <w:rPr>
          <w:rFonts w:eastAsia="Times New Roman" w:cs="Arial"/>
          <w:bCs/>
          <w:i/>
          <w:iCs/>
          <w:color w:val="000000"/>
          <w:lang w:eastAsia="bg-BG"/>
        </w:rPr>
      </w:pPr>
    </w:p>
    <w:p w14:paraId="08311BAD" w14:textId="19C3F17F"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Общи нарушения и ефекти на мястото на приложение</w:t>
      </w:r>
    </w:p>
    <w:p w14:paraId="5EFF661B" w14:textId="35569423"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Болка в гръдния кош, астения (слабост)</w:t>
      </w:r>
    </w:p>
    <w:p w14:paraId="06FD04BC"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Грипоподобно заболяване</w:t>
      </w:r>
    </w:p>
    <w:p w14:paraId="45C460D7" w14:textId="77777777" w:rsidR="0011052C" w:rsidRDefault="0011052C" w:rsidP="0011052C">
      <w:pPr>
        <w:spacing w:line="240" w:lineRule="auto"/>
        <w:rPr>
          <w:rFonts w:eastAsia="Times New Roman" w:cs="Arial"/>
          <w:bCs/>
          <w:i/>
          <w:iCs/>
          <w:color w:val="000000"/>
          <w:lang w:eastAsia="bg-BG"/>
        </w:rPr>
      </w:pPr>
    </w:p>
    <w:p w14:paraId="33AB5B7E" w14:textId="1E0F232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Изследвания</w:t>
      </w:r>
    </w:p>
    <w:p w14:paraId="4FE1B748" w14:textId="0D79F0F5" w:rsidR="0011052C" w:rsidRPr="0011052C" w:rsidRDefault="0011052C" w:rsidP="0011052C">
      <w:pPr>
        <w:spacing w:line="240" w:lineRule="auto"/>
        <w:rPr>
          <w:rFonts w:eastAsia="Times New Roman" w:cs="Arial"/>
        </w:rPr>
      </w:pPr>
      <w:r>
        <w:rPr>
          <w:rFonts w:eastAsia="Times New Roman" w:cs="Arial"/>
          <w:bCs/>
          <w:color w:val="000000"/>
          <w:lang w:eastAsia="bg-BG"/>
        </w:rPr>
        <w:t xml:space="preserve">Нечести: </w:t>
      </w:r>
      <w:r w:rsidRPr="0011052C">
        <w:rPr>
          <w:rFonts w:eastAsia="Times New Roman" w:cs="Arial"/>
          <w:bCs/>
          <w:color w:val="000000"/>
          <w:lang w:eastAsia="bg-BG"/>
        </w:rPr>
        <w:t>Повишен креатинин в кръвта</w:t>
      </w:r>
    </w:p>
    <w:p w14:paraId="21411C13"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Редки:</w:t>
      </w:r>
      <w:r w:rsidRPr="0011052C">
        <w:rPr>
          <w:rFonts w:eastAsia="Times New Roman" w:cs="Arial"/>
          <w:bCs/>
          <w:color w:val="000000"/>
          <w:lang w:eastAsia="bg-BG"/>
        </w:rPr>
        <w:tab/>
        <w:t>Понижен хемоглобин, повишена пикочна киселина в кръвта, повишени</w:t>
      </w:r>
    </w:p>
    <w:p w14:paraId="59DED35A"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чернодробни ензими, повишена креатин фосфокиназа в кръвта,</w:t>
      </w:r>
    </w:p>
    <w:p w14:paraId="39CA3990" w14:textId="77777777" w:rsidR="0011052C" w:rsidRDefault="0011052C" w:rsidP="0011052C">
      <w:pPr>
        <w:spacing w:line="240" w:lineRule="auto"/>
        <w:rPr>
          <w:rFonts w:eastAsia="Times New Roman" w:cs="Arial"/>
          <w:bCs/>
          <w:color w:val="000000"/>
          <w:vertAlign w:val="superscript"/>
          <w:lang w:eastAsia="bg-BG"/>
        </w:rPr>
      </w:pPr>
    </w:p>
    <w:p w14:paraId="545F045A" w14:textId="7C53E6CD" w:rsidR="0011052C" w:rsidRPr="0011052C" w:rsidRDefault="0011052C" w:rsidP="0011052C">
      <w:pPr>
        <w:spacing w:line="240" w:lineRule="auto"/>
        <w:rPr>
          <w:rFonts w:eastAsia="Times New Roman" w:cs="Arial"/>
        </w:rPr>
      </w:pPr>
      <w:r w:rsidRPr="0011052C">
        <w:rPr>
          <w:rFonts w:eastAsia="Times New Roman" w:cs="Arial"/>
          <w:bCs/>
          <w:color w:val="000000"/>
          <w:vertAlign w:val="superscript"/>
          <w:lang w:eastAsia="bg-BG"/>
        </w:rPr>
        <w:t>1,2,3,4</w:t>
      </w:r>
      <w:r w:rsidRPr="0011052C">
        <w:rPr>
          <w:rFonts w:eastAsia="Times New Roman" w:cs="Arial"/>
          <w:bCs/>
          <w:color w:val="000000"/>
          <w:lang w:eastAsia="bg-BG"/>
        </w:rPr>
        <w:t xml:space="preserve">за допълнително описание, моля, вижте подточка </w:t>
      </w:r>
      <w:r w:rsidRPr="0011052C">
        <w:rPr>
          <w:rFonts w:eastAsia="Times New Roman" w:cs="Arial"/>
          <w:bCs/>
          <w:i/>
          <w:iCs/>
          <w:color w:val="000000"/>
          <w:lang w:eastAsia="bg-BG"/>
        </w:rPr>
        <w:t>„Описание на избрани нежелани реакции</w:t>
      </w:r>
    </w:p>
    <w:p w14:paraId="587785C6" w14:textId="77777777" w:rsidR="0011052C" w:rsidRDefault="0011052C" w:rsidP="0011052C">
      <w:pPr>
        <w:rPr>
          <w:rFonts w:eastAsia="Times New Roman" w:cs="Arial"/>
          <w:bCs/>
          <w:i/>
          <w:iCs/>
          <w:color w:val="000000"/>
          <w:lang w:eastAsia="bg-BG"/>
        </w:rPr>
      </w:pPr>
    </w:p>
    <w:p w14:paraId="3A0B4B17" w14:textId="7FA83E85" w:rsidR="0011052C" w:rsidRDefault="0011052C" w:rsidP="0011052C">
      <w:pPr>
        <w:rPr>
          <w:rFonts w:eastAsia="Times New Roman" w:cs="Arial"/>
          <w:bCs/>
          <w:i/>
          <w:iCs/>
          <w:color w:val="000000"/>
          <w:lang w:eastAsia="bg-BG"/>
        </w:rPr>
      </w:pPr>
      <w:r w:rsidRPr="0011052C">
        <w:rPr>
          <w:rFonts w:eastAsia="Times New Roman" w:cs="Arial"/>
          <w:bCs/>
          <w:i/>
          <w:iCs/>
          <w:color w:val="000000"/>
          <w:lang w:eastAsia="bg-BG"/>
        </w:rPr>
        <w:t>Описание на избрани нежелани лекарствени реакции</w:t>
      </w:r>
    </w:p>
    <w:p w14:paraId="7473696D" w14:textId="0AA07735" w:rsidR="0011052C" w:rsidRDefault="0011052C" w:rsidP="0011052C">
      <w:pPr>
        <w:rPr>
          <w:rFonts w:eastAsia="Times New Roman" w:cs="Arial"/>
          <w:bCs/>
          <w:i/>
          <w:iCs/>
          <w:color w:val="000000"/>
          <w:lang w:eastAsia="bg-BG"/>
        </w:rPr>
      </w:pPr>
    </w:p>
    <w:p w14:paraId="7DFD72ED" w14:textId="7777777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Сепсис</w:t>
      </w:r>
    </w:p>
    <w:p w14:paraId="7F2EE621"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В проучването </w:t>
      </w:r>
      <w:proofErr w:type="spellStart"/>
      <w:r w:rsidRPr="0011052C">
        <w:rPr>
          <w:rFonts w:eastAsia="Times New Roman" w:cs="Arial"/>
          <w:bCs/>
          <w:color w:val="000000"/>
          <w:lang w:val="en-US"/>
        </w:rPr>
        <w:t>PRoFESS</w:t>
      </w:r>
      <w:proofErr w:type="spellEnd"/>
      <w:r w:rsidRPr="0011052C">
        <w:rPr>
          <w:rFonts w:eastAsia="Times New Roman" w:cs="Arial"/>
          <w:bCs/>
          <w:color w:val="000000"/>
          <w:lang w:val="ru-RU"/>
        </w:rPr>
        <w:t xml:space="preserve"> </w:t>
      </w:r>
      <w:r w:rsidRPr="0011052C">
        <w:rPr>
          <w:rFonts w:eastAsia="Times New Roman" w:cs="Arial"/>
          <w:bCs/>
          <w:color w:val="000000"/>
          <w:lang w:eastAsia="bg-BG"/>
        </w:rPr>
        <w:t>е наблюдавана повишена честота на възникване на сепсис при телмисартан в сравнение с плацебо. Събитието може да е открито случайно или да е свързано с механизъм, който не е познат за момента (вж. също точка 5.1).</w:t>
      </w:r>
    </w:p>
    <w:p w14:paraId="28549CA5" w14:textId="77777777" w:rsidR="0011052C" w:rsidRDefault="0011052C" w:rsidP="0011052C">
      <w:pPr>
        <w:spacing w:line="240" w:lineRule="auto"/>
        <w:rPr>
          <w:rFonts w:eastAsia="Times New Roman" w:cs="Arial"/>
          <w:bCs/>
          <w:i/>
          <w:iCs/>
          <w:color w:val="000000"/>
          <w:lang w:eastAsia="bg-BG"/>
        </w:rPr>
      </w:pPr>
    </w:p>
    <w:p w14:paraId="453F7FE4" w14:textId="7069DD1D"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Хипотония,</w:t>
      </w:r>
    </w:p>
    <w:p w14:paraId="301A2A11"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Тази нежелана лекарствена реакция е съобщена като честа при пациенти с контролирано кръвно налягане, лекувани с телмисартан за намаляване на сърдечносъдовата заболеваемост при проведено стандартно лечение.</w:t>
      </w:r>
    </w:p>
    <w:p w14:paraId="05F7043A" w14:textId="77777777" w:rsidR="0011052C" w:rsidRDefault="0011052C" w:rsidP="0011052C">
      <w:pPr>
        <w:spacing w:line="240" w:lineRule="auto"/>
        <w:rPr>
          <w:rFonts w:eastAsia="Times New Roman" w:cs="Arial"/>
          <w:bCs/>
          <w:i/>
          <w:iCs/>
          <w:color w:val="000000"/>
          <w:lang w:eastAsia="bg-BG"/>
        </w:rPr>
      </w:pPr>
    </w:p>
    <w:p w14:paraId="76CC98A7" w14:textId="58AD287C"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Абнормна чернодробна функция / чернодробно нарушение</w:t>
      </w:r>
    </w:p>
    <w:p w14:paraId="22092DA4"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Повечето случаи на абнормна чернодробна функция/ чернодробно нарушение от пост- 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6859D0D3" w14:textId="77777777" w:rsidR="0011052C" w:rsidRDefault="0011052C" w:rsidP="0011052C">
      <w:pPr>
        <w:spacing w:line="240" w:lineRule="auto"/>
        <w:rPr>
          <w:rFonts w:eastAsia="Times New Roman" w:cs="Arial"/>
          <w:bCs/>
          <w:i/>
          <w:iCs/>
          <w:color w:val="000000"/>
          <w:lang w:eastAsia="bg-BG"/>
        </w:rPr>
      </w:pPr>
    </w:p>
    <w:p w14:paraId="5528A081" w14:textId="532C5F88"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Интерстициална белодробна болест</w:t>
      </w:r>
    </w:p>
    <w:p w14:paraId="12A249FC"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lastRenderedPageBreak/>
        <w:t>Случаи на интерстициална белодробна болест са докладвани от пост-маркетинговия опит, във връзка с приема на телмисартан. Причинно-следственна връзка обаче не е установена.</w:t>
      </w:r>
    </w:p>
    <w:p w14:paraId="59A2BCA8" w14:textId="77777777" w:rsidR="0011052C" w:rsidRDefault="0011052C" w:rsidP="0011052C">
      <w:pPr>
        <w:spacing w:line="240" w:lineRule="auto"/>
        <w:rPr>
          <w:rFonts w:eastAsia="Times New Roman" w:cs="Arial"/>
          <w:bCs/>
          <w:color w:val="000000"/>
          <w:u w:val="single"/>
          <w:lang w:eastAsia="bg-BG"/>
        </w:rPr>
      </w:pPr>
    </w:p>
    <w:p w14:paraId="76FD0935" w14:textId="167D228A"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Съобщаване на подозирани нежелани реакции</w:t>
      </w:r>
    </w:p>
    <w:p w14:paraId="4909E26D" w14:textId="7F69A87D" w:rsidR="0011052C" w:rsidRPr="0011052C" w:rsidRDefault="0011052C" w:rsidP="0011052C">
      <w:pPr>
        <w:rPr>
          <w:rFonts w:eastAsia="Times New Roman" w:cs="Arial"/>
        </w:rPr>
      </w:pPr>
      <w:r w:rsidRPr="0011052C">
        <w:rPr>
          <w:rFonts w:eastAsia="Times New Roman" w:cs="Arial"/>
          <w:bCs/>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 928903417, уебсайт: </w:t>
      </w:r>
      <w:r w:rsidRPr="0011052C">
        <w:rPr>
          <w:rFonts w:eastAsia="Times New Roman" w:cs="Arial"/>
        </w:rPr>
        <w:fldChar w:fldCharType="begin"/>
      </w:r>
      <w:r w:rsidRPr="0011052C">
        <w:rPr>
          <w:rFonts w:eastAsia="Times New Roman" w:cs="Arial"/>
        </w:rPr>
        <w:instrText xml:space="preserve"> HYPERLINK "http://www.bda.bg" </w:instrText>
      </w:r>
      <w:r w:rsidRPr="0011052C">
        <w:rPr>
          <w:rFonts w:eastAsia="Times New Roman" w:cs="Arial"/>
        </w:rPr>
      </w:r>
      <w:r w:rsidRPr="0011052C">
        <w:rPr>
          <w:rFonts w:eastAsia="Times New Roman" w:cs="Arial"/>
        </w:rPr>
        <w:fldChar w:fldCharType="separate"/>
      </w:r>
      <w:r w:rsidRPr="0011052C">
        <w:rPr>
          <w:rFonts w:eastAsia="Times New Roman" w:cs="Arial"/>
          <w:bCs/>
          <w:color w:val="000000"/>
          <w:lang w:val="en-US"/>
        </w:rPr>
        <w:t>www</w:t>
      </w:r>
      <w:r w:rsidRPr="0011052C">
        <w:rPr>
          <w:rFonts w:eastAsia="Times New Roman" w:cs="Arial"/>
          <w:bCs/>
          <w:color w:val="000000"/>
          <w:lang w:val="ru-RU"/>
        </w:rPr>
        <w:t>.</w:t>
      </w:r>
      <w:proofErr w:type="spellStart"/>
      <w:r w:rsidRPr="0011052C">
        <w:rPr>
          <w:rFonts w:eastAsia="Times New Roman" w:cs="Arial"/>
          <w:bCs/>
          <w:color w:val="000000"/>
          <w:lang w:val="en-US"/>
        </w:rPr>
        <w:t>bda</w:t>
      </w:r>
      <w:proofErr w:type="spellEnd"/>
      <w:r w:rsidRPr="0011052C">
        <w:rPr>
          <w:rFonts w:eastAsia="Times New Roman" w:cs="Arial"/>
          <w:bCs/>
          <w:color w:val="000000"/>
          <w:lang w:val="ru-RU"/>
        </w:rPr>
        <w:t>.</w:t>
      </w:r>
      <w:proofErr w:type="spellStart"/>
      <w:r w:rsidRPr="0011052C">
        <w:rPr>
          <w:rFonts w:eastAsia="Times New Roman" w:cs="Arial"/>
          <w:bCs/>
          <w:color w:val="000000"/>
          <w:lang w:val="en-US"/>
        </w:rPr>
        <w:t>bg</w:t>
      </w:r>
      <w:proofErr w:type="spellEnd"/>
      <w:r w:rsidRPr="0011052C">
        <w:rPr>
          <w:rFonts w:eastAsia="Times New Roman" w:cs="Arial"/>
        </w:rPr>
        <w:fldChar w:fldCharType="end"/>
      </w:r>
    </w:p>
    <w:p w14:paraId="1371BB26" w14:textId="77777777" w:rsidR="0011052C" w:rsidRPr="0011052C" w:rsidRDefault="0011052C" w:rsidP="0011052C">
      <w:pPr>
        <w:rPr>
          <w:rFonts w:eastAsia="Times New Roman" w:cs="Arial"/>
          <w:bCs/>
          <w:i/>
          <w:iCs/>
          <w:color w:val="000000"/>
          <w:lang w:eastAsia="bg-BG"/>
        </w:rPr>
      </w:pPr>
    </w:p>
    <w:p w14:paraId="0A023CE0" w14:textId="510A2A33" w:rsidR="00CF77F7" w:rsidRDefault="002C50EE" w:rsidP="004A448E">
      <w:pPr>
        <w:pStyle w:val="Heading2"/>
      </w:pPr>
      <w:r>
        <w:t>4.9. Предозиране</w:t>
      </w:r>
    </w:p>
    <w:p w14:paraId="0E01D294" w14:textId="76F82864" w:rsidR="0011052C" w:rsidRDefault="0011052C" w:rsidP="0011052C"/>
    <w:p w14:paraId="4CC8049B"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Съществува ограничена информация по отношение на предозирането при хора.</w:t>
      </w:r>
    </w:p>
    <w:p w14:paraId="55E6194D" w14:textId="77777777" w:rsidR="0011052C" w:rsidRPr="0011052C" w:rsidRDefault="0011052C" w:rsidP="0011052C">
      <w:pPr>
        <w:spacing w:line="240" w:lineRule="auto"/>
        <w:rPr>
          <w:rFonts w:eastAsia="Times New Roman" w:cs="Arial"/>
          <w:bCs/>
          <w:color w:val="000000"/>
          <w:u w:val="single"/>
          <w:lang w:eastAsia="bg-BG"/>
        </w:rPr>
      </w:pPr>
    </w:p>
    <w:p w14:paraId="306591AA" w14:textId="6E8A9795" w:rsidR="0011052C" w:rsidRPr="0011052C" w:rsidRDefault="0011052C" w:rsidP="0011052C">
      <w:pPr>
        <w:pStyle w:val="Heading3"/>
        <w:rPr>
          <w:rFonts w:eastAsia="Times New Roman"/>
          <w:u w:val="single"/>
        </w:rPr>
      </w:pPr>
      <w:r w:rsidRPr="0011052C">
        <w:rPr>
          <w:rFonts w:eastAsia="Times New Roman"/>
          <w:u w:val="single"/>
          <w:lang w:eastAsia="bg-BG"/>
        </w:rPr>
        <w:t>Симптоми:</w:t>
      </w:r>
    </w:p>
    <w:p w14:paraId="4391FB0D"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Най-изявените прояви на предозиране с телмисартан са хипотония и тахикардия, а също се съобщават и брадикардия, замаяност, повишаване на серумния креатинин и остра бъбречна недостатъчност.</w:t>
      </w:r>
    </w:p>
    <w:p w14:paraId="57830CC8" w14:textId="77777777" w:rsidR="0011052C" w:rsidRPr="0011052C" w:rsidRDefault="0011052C" w:rsidP="0011052C">
      <w:pPr>
        <w:spacing w:line="240" w:lineRule="auto"/>
        <w:rPr>
          <w:rFonts w:eastAsia="Times New Roman" w:cs="Arial"/>
          <w:bCs/>
          <w:color w:val="000000"/>
          <w:u w:val="single"/>
          <w:lang w:eastAsia="bg-BG"/>
        </w:rPr>
      </w:pPr>
    </w:p>
    <w:p w14:paraId="525908D3" w14:textId="102E33B9" w:rsidR="0011052C" w:rsidRPr="0011052C" w:rsidRDefault="0011052C" w:rsidP="0011052C">
      <w:pPr>
        <w:pStyle w:val="Heading3"/>
        <w:rPr>
          <w:rFonts w:eastAsia="Times New Roman"/>
          <w:u w:val="single"/>
        </w:rPr>
      </w:pPr>
      <w:r w:rsidRPr="0011052C">
        <w:rPr>
          <w:rFonts w:eastAsia="Times New Roman"/>
          <w:u w:val="single"/>
          <w:lang w:eastAsia="bg-BG"/>
        </w:rPr>
        <w:t>Лечение:</w:t>
      </w:r>
    </w:p>
    <w:p w14:paraId="3CB45E18"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на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допринесе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положение по гръб и бързо да се приложат солеви и обемни заместители.</w:t>
      </w:r>
    </w:p>
    <w:p w14:paraId="2932801D" w14:textId="77777777" w:rsidR="0011052C" w:rsidRPr="0011052C" w:rsidRDefault="0011052C" w:rsidP="0011052C"/>
    <w:p w14:paraId="02081B24" w14:textId="1F46E296" w:rsidR="00395555" w:rsidRPr="00395555" w:rsidRDefault="002C50EE" w:rsidP="008A6AF2">
      <w:pPr>
        <w:pStyle w:val="Heading1"/>
      </w:pPr>
      <w:r>
        <w:t>5. ФАРМАКОЛОГИЧНИ СВОЙСТВА</w:t>
      </w:r>
    </w:p>
    <w:p w14:paraId="32B6DE66" w14:textId="5A4F9FAC" w:rsidR="00CF77F7" w:rsidRDefault="002C50EE" w:rsidP="004A448E">
      <w:pPr>
        <w:pStyle w:val="Heading2"/>
      </w:pPr>
      <w:r>
        <w:t>5.1. Фармакодинамични свойства</w:t>
      </w:r>
    </w:p>
    <w:p w14:paraId="3BAD7814" w14:textId="08E47501" w:rsidR="0011052C" w:rsidRDefault="0011052C" w:rsidP="0011052C"/>
    <w:p w14:paraId="653BD9B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Фармакотерапевтична група: Средства, действащи върху системата ренин-ангиотензин, ангиотензин II антагонисти, самостоятелно, АТС код: С09СА07.</w:t>
      </w:r>
    </w:p>
    <w:p w14:paraId="7D05B7D8" w14:textId="77777777" w:rsidR="0011052C" w:rsidRPr="0011052C" w:rsidRDefault="0011052C" w:rsidP="0011052C">
      <w:pPr>
        <w:spacing w:line="240" w:lineRule="auto"/>
        <w:rPr>
          <w:rFonts w:eastAsia="Times New Roman" w:cs="Arial"/>
          <w:bCs/>
          <w:color w:val="000000"/>
          <w:u w:val="single"/>
          <w:lang w:eastAsia="bg-BG"/>
        </w:rPr>
      </w:pPr>
    </w:p>
    <w:p w14:paraId="441B1884" w14:textId="3236D7E8"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Механизъм на действие</w:t>
      </w:r>
    </w:p>
    <w:p w14:paraId="3F6963C1" w14:textId="5F6ACE21" w:rsidR="0011052C" w:rsidRPr="0011052C" w:rsidRDefault="0011052C" w:rsidP="0011052C">
      <w:pPr>
        <w:rPr>
          <w:rFonts w:eastAsia="Times New Roman" w:cs="Arial"/>
          <w:bCs/>
          <w:color w:val="000000"/>
          <w:lang w:val="ru-RU"/>
        </w:rPr>
      </w:pPr>
      <w:r w:rsidRPr="0011052C">
        <w:rPr>
          <w:rFonts w:eastAsia="Times New Roman" w:cs="Arial"/>
          <w:bCs/>
          <w:color w:val="000000"/>
          <w:lang w:eastAsia="bg-BG"/>
        </w:rPr>
        <w:t xml:space="preserve">Телмисартан е перорално активен и специфичен ангиотензин II рецепторен антагонист (тип </w:t>
      </w:r>
      <w:r w:rsidRPr="0011052C">
        <w:rPr>
          <w:rFonts w:eastAsia="Times New Roman" w:cs="Arial"/>
          <w:bCs/>
          <w:color w:val="000000"/>
          <w:lang w:val="en-US"/>
        </w:rPr>
        <w:t>AT</w:t>
      </w:r>
      <w:r w:rsidRPr="0011052C">
        <w:rPr>
          <w:rFonts w:eastAsia="Times New Roman" w:cs="Arial"/>
          <w:bCs/>
          <w:color w:val="000000"/>
          <w:lang w:val="ru-RU"/>
        </w:rPr>
        <w:t xml:space="preserve">1). </w:t>
      </w:r>
      <w:r w:rsidRPr="0011052C">
        <w:rPr>
          <w:rFonts w:eastAsia="Times New Roman" w:cs="Arial"/>
          <w:bCs/>
          <w:color w:val="000000"/>
          <w:lang w:eastAsia="bg-BG"/>
        </w:rPr>
        <w:t xml:space="preserve">Той измества с много висок афинитет ангиотензин П от неговото място на свързване и </w:t>
      </w:r>
      <w:r w:rsidRPr="0011052C">
        <w:rPr>
          <w:rFonts w:eastAsia="Times New Roman" w:cs="Arial"/>
          <w:bCs/>
          <w:color w:val="000000"/>
          <w:lang w:val="en-US"/>
        </w:rPr>
        <w:t>AT</w:t>
      </w:r>
      <w:r w:rsidRPr="0011052C">
        <w:rPr>
          <w:rFonts w:eastAsia="Times New Roman" w:cs="Arial"/>
          <w:bCs/>
          <w:color w:val="000000"/>
          <w:lang w:val="ru-RU"/>
        </w:rPr>
        <w:t xml:space="preserve">1 </w:t>
      </w:r>
      <w:r w:rsidRPr="0011052C">
        <w:rPr>
          <w:rFonts w:eastAsia="Times New Roman" w:cs="Arial"/>
          <w:bCs/>
          <w:color w:val="000000"/>
          <w:lang w:eastAsia="bg-BG"/>
        </w:rPr>
        <w:t xml:space="preserve">рецепторния подтип, който е отговорен за известните действия на ангиотензин </w:t>
      </w:r>
      <w:r w:rsidRPr="0011052C">
        <w:rPr>
          <w:rFonts w:eastAsia="Times New Roman" w:cs="Arial"/>
          <w:bCs/>
          <w:color w:val="000000"/>
          <w:lang w:val="en-US"/>
        </w:rPr>
        <w:t>II</w:t>
      </w:r>
      <w:r w:rsidRPr="0011052C">
        <w:rPr>
          <w:rFonts w:eastAsia="Times New Roman" w:cs="Arial"/>
          <w:bCs/>
          <w:color w:val="000000"/>
          <w:lang w:val="ru-RU"/>
        </w:rPr>
        <w:t>.</w:t>
      </w:r>
    </w:p>
    <w:p w14:paraId="1F72C126" w14:textId="10689DA2" w:rsidR="0011052C" w:rsidRPr="0011052C" w:rsidRDefault="0011052C" w:rsidP="0011052C">
      <w:pPr>
        <w:rPr>
          <w:rFonts w:eastAsia="Times New Roman" w:cs="Arial"/>
          <w:bCs/>
          <w:color w:val="000000"/>
          <w:lang w:val="ru-RU"/>
        </w:rPr>
      </w:pPr>
    </w:p>
    <w:p w14:paraId="41B77A2B"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Телмисартан няма дори и частична агонистична активност спрямо </w:t>
      </w:r>
      <w:r w:rsidRPr="0011052C">
        <w:rPr>
          <w:rFonts w:eastAsia="Times New Roman" w:cs="Arial"/>
          <w:bCs/>
          <w:color w:val="000000"/>
          <w:lang w:val="en-US"/>
        </w:rPr>
        <w:t>AT</w:t>
      </w:r>
      <w:r w:rsidRPr="0011052C">
        <w:rPr>
          <w:rFonts w:eastAsia="Times New Roman" w:cs="Arial"/>
          <w:bCs/>
          <w:color w:val="000000"/>
          <w:lang w:val="ru-RU"/>
        </w:rPr>
        <w:t xml:space="preserve">1 </w:t>
      </w:r>
      <w:r w:rsidRPr="0011052C">
        <w:rPr>
          <w:rFonts w:eastAsia="Times New Roman" w:cs="Arial"/>
          <w:bCs/>
          <w:color w:val="000000"/>
          <w:lang w:eastAsia="bg-BG"/>
        </w:rPr>
        <w:t xml:space="preserve">рецептора. Телмисартан се свързва селективно с </w:t>
      </w:r>
      <w:r w:rsidRPr="0011052C">
        <w:rPr>
          <w:rFonts w:eastAsia="Times New Roman" w:cs="Arial"/>
          <w:bCs/>
          <w:color w:val="000000"/>
          <w:lang w:val="en-US"/>
        </w:rPr>
        <w:t>AT</w:t>
      </w:r>
      <w:r w:rsidRPr="0011052C">
        <w:rPr>
          <w:rFonts w:eastAsia="Times New Roman" w:cs="Arial"/>
          <w:bCs/>
          <w:color w:val="000000"/>
          <w:lang w:val="ru-RU"/>
        </w:rPr>
        <w:t xml:space="preserve">1 </w:t>
      </w:r>
      <w:r w:rsidRPr="0011052C">
        <w:rPr>
          <w:rFonts w:eastAsia="Times New Roman" w:cs="Arial"/>
          <w:bCs/>
          <w:color w:val="000000"/>
          <w:lang w:eastAsia="bg-BG"/>
        </w:rPr>
        <w:t xml:space="preserve">рецептора. Свързването е продължително. Телмисартан не показва афинитет към други рецептори, включително АТ2 и други по-слабо характеризирани АТ- рецептори. Функционалната роля на тези рецептори не е </w:t>
      </w:r>
      <w:r w:rsidRPr="0011052C">
        <w:rPr>
          <w:rFonts w:eastAsia="Times New Roman" w:cs="Arial"/>
          <w:bCs/>
          <w:color w:val="000000"/>
          <w:lang w:eastAsia="bg-BG"/>
        </w:rPr>
        <w:lastRenderedPageBreak/>
        <w:t>известна, не е известен и ефекта на тяхната възможна свръхстимулация от ангиотензин II, чийто нива са повишени от телмисартан. Нивата на плазмения алдостерон са понижени от телмисартан. Телмисартан не инхибира човешкия плазмен ренин и не блокира Йонните канали. Телмисартан не инхибира ангиотензин конвертиращия ензим (кининаза II), ензимът, който също разгражда брадикинина. Поради това не се очаква да потенцира брадикинин-медиираните нежелани лекарствени реакции.</w:t>
      </w:r>
    </w:p>
    <w:p w14:paraId="36D69EA9"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При хора дозата от 80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eastAsia="bg-BG"/>
        </w:rPr>
        <w:t>телмисартан почти изцяло инхибира предизвиканото от ангиотензин И повишаване на кръвното налягане. Инхибиторният ефект се поддържа над 24 часа, като все още може да бъде установен до 48 часа.</w:t>
      </w:r>
    </w:p>
    <w:p w14:paraId="73632F07" w14:textId="77777777" w:rsidR="0011052C" w:rsidRDefault="0011052C" w:rsidP="0011052C">
      <w:pPr>
        <w:spacing w:line="240" w:lineRule="auto"/>
        <w:rPr>
          <w:rFonts w:eastAsia="Times New Roman" w:cs="Arial"/>
          <w:bCs/>
          <w:color w:val="000000"/>
          <w:u w:val="single"/>
          <w:lang w:eastAsia="bg-BG"/>
        </w:rPr>
      </w:pPr>
    </w:p>
    <w:p w14:paraId="62918778" w14:textId="7FB8E62C"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Клинична ефикасност и безопасност</w:t>
      </w:r>
    </w:p>
    <w:p w14:paraId="6426A79A" w14:textId="77777777" w:rsidR="0011052C" w:rsidRDefault="0011052C" w:rsidP="0011052C">
      <w:pPr>
        <w:spacing w:line="240" w:lineRule="auto"/>
        <w:rPr>
          <w:rFonts w:eastAsia="Times New Roman" w:cs="Arial"/>
          <w:bCs/>
          <w:i/>
          <w:iCs/>
          <w:color w:val="000000"/>
          <w:lang w:eastAsia="bg-BG"/>
        </w:rPr>
      </w:pPr>
    </w:p>
    <w:p w14:paraId="0406EAC7" w14:textId="3F1001ED"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Лечение на есенциална хипертония</w:t>
      </w:r>
    </w:p>
    <w:p w14:paraId="1869822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След прилагане на първата доза телмисартан се наблюдава постепенно поява на антихипертензивна активност в рамките на 3 часа. Максималната редукция на кръвното налягане се достига напълно в рамките на 4 до 8 седмици след началото на лечението и се поддържа чрез продължителна терапия.</w:t>
      </w:r>
    </w:p>
    <w:p w14:paraId="22B2CBF1"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съотношението минимални към максимални концентрации, което е постоянно над 80 % след прием на дози от 40 и 80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eastAsia="bg-BG"/>
        </w:rPr>
        <w:t xml:space="preserve">телмисартан при плацебо контролирани клинични проучвания. Налице е очевидна тенденция за връзка между дозата и времето на възстановяването на базалното систолно кръвно налягане </w:t>
      </w:r>
      <w:r w:rsidRPr="0011052C">
        <w:rPr>
          <w:rFonts w:eastAsia="Times New Roman" w:cs="Arial"/>
          <w:bCs/>
          <w:color w:val="000000"/>
          <w:lang w:val="ru-RU"/>
        </w:rPr>
        <w:t>(</w:t>
      </w:r>
      <w:r w:rsidRPr="0011052C">
        <w:rPr>
          <w:rFonts w:eastAsia="Times New Roman" w:cs="Arial"/>
          <w:bCs/>
          <w:color w:val="000000"/>
          <w:lang w:val="en-US"/>
        </w:rPr>
        <w:t>SBP</w:t>
      </w:r>
      <w:r w:rsidRPr="0011052C">
        <w:rPr>
          <w:rFonts w:eastAsia="Times New Roman" w:cs="Arial"/>
          <w:bCs/>
          <w:color w:val="000000"/>
          <w:lang w:val="ru-RU"/>
        </w:rPr>
        <w:t xml:space="preserve">). </w:t>
      </w:r>
      <w:r w:rsidRPr="0011052C">
        <w:rPr>
          <w:rFonts w:eastAsia="Times New Roman" w:cs="Arial"/>
          <w:bCs/>
          <w:color w:val="000000"/>
          <w:lang w:eastAsia="bg-BG"/>
        </w:rPr>
        <w:t xml:space="preserve">В това отношение данните за диастолно кръвно налягане </w:t>
      </w:r>
      <w:r w:rsidRPr="0011052C">
        <w:rPr>
          <w:rFonts w:eastAsia="Times New Roman" w:cs="Arial"/>
          <w:bCs/>
          <w:color w:val="000000"/>
          <w:lang w:val="ru-RU"/>
        </w:rPr>
        <w:t>(</w:t>
      </w:r>
      <w:r w:rsidRPr="0011052C">
        <w:rPr>
          <w:rFonts w:eastAsia="Times New Roman" w:cs="Arial"/>
          <w:bCs/>
          <w:color w:val="000000"/>
          <w:lang w:val="en-US"/>
        </w:rPr>
        <w:t>DBP</w:t>
      </w:r>
      <w:r w:rsidRPr="0011052C">
        <w:rPr>
          <w:rFonts w:eastAsia="Times New Roman" w:cs="Arial"/>
          <w:bCs/>
          <w:color w:val="000000"/>
          <w:lang w:val="ru-RU"/>
        </w:rPr>
        <w:t xml:space="preserve">) </w:t>
      </w:r>
      <w:r w:rsidRPr="0011052C">
        <w:rPr>
          <w:rFonts w:eastAsia="Times New Roman" w:cs="Arial"/>
          <w:bCs/>
          <w:color w:val="000000"/>
          <w:lang w:eastAsia="bg-BG"/>
        </w:rPr>
        <w:t>са непостоянни. При пациенти с хипертония телмисартан редуцира и систолното и диастолното кръвно налягане, без да повлиява честота на пулса. Наличието на диуретичен и натриуретичен ефект, който да допринесе за хипотензивната активност на лекарствения продукт, все още не е доказано.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хидрохлоротиазид и лизиноприл).</w:t>
      </w:r>
    </w:p>
    <w:p w14:paraId="404691C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При внезапно прекъсване на лечението с телмисартан кръвното налягане постепенно се връща до стойностите преди лечението, за период от няколко дни без данни за ребаунд хипертоничен ефект.Случаите на суха кашлица са значително по-малко при пациенти, третирани с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1659CB86" w14:textId="77777777" w:rsidR="0011052C" w:rsidRDefault="0011052C" w:rsidP="0011052C">
      <w:pPr>
        <w:spacing w:line="240" w:lineRule="auto"/>
        <w:rPr>
          <w:rFonts w:eastAsia="Times New Roman" w:cs="Arial"/>
          <w:bCs/>
          <w:color w:val="000000"/>
          <w:u w:val="single"/>
          <w:lang w:eastAsia="bg-BG"/>
        </w:rPr>
      </w:pPr>
    </w:p>
    <w:p w14:paraId="6E524B3D" w14:textId="39F8BC3A"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Сърдечно-съдова профилактика:</w:t>
      </w:r>
    </w:p>
    <w:p w14:paraId="661D50DA" w14:textId="77777777" w:rsidR="0011052C" w:rsidRPr="0011052C" w:rsidRDefault="0011052C" w:rsidP="0011052C">
      <w:pPr>
        <w:spacing w:line="240" w:lineRule="auto"/>
        <w:rPr>
          <w:rFonts w:eastAsia="Times New Roman" w:cs="Arial"/>
        </w:rPr>
      </w:pPr>
      <w:r w:rsidRPr="0011052C">
        <w:rPr>
          <w:rFonts w:eastAsia="Times New Roman" w:cs="Arial"/>
          <w:bCs/>
          <w:color w:val="000000"/>
          <w:lang w:val="en-US"/>
        </w:rPr>
        <w:t>ONTARGET</w:t>
      </w:r>
      <w:r w:rsidRPr="0011052C">
        <w:rPr>
          <w:rFonts w:eastAsia="Times New Roman" w:cs="Arial"/>
          <w:bCs/>
          <w:color w:val="000000"/>
          <w:lang w:val="ru-RU"/>
        </w:rPr>
        <w:t xml:space="preserve"> </w:t>
      </w:r>
      <w:r w:rsidRPr="0011052C">
        <w:rPr>
          <w:rFonts w:eastAsia="Times New Roman" w:cs="Arial"/>
          <w:bCs/>
          <w:color w:val="000000"/>
          <w:lang w:eastAsia="bg-BG"/>
        </w:rPr>
        <w:t>(Продължаващо и в момента глобално проучване на телмисартан самостоятелно и в комбинация с рамиприл с крайна точка) сравнява ефектите на телмисартан, рамиприл и комбинацията от телмисартан и рамиприл върху сърдечно-съдовите резултати при 25 620 пациенти на възраст 55 години или по-възрастни с анамнеза за коронарна артериална болест, мозъчен инсулт, преходен исхемичен пристъп, периферно артериално заболяване или захарен диабет тип 2, съпътстван с данни за увреждане на органите (като ретинопатия, левокамерна хипертрофия, макро- или микроалбуминурия), които са популация с риск от възникване на сърдечно-съдови инциденти.</w:t>
      </w:r>
    </w:p>
    <w:p w14:paraId="1D06B55A" w14:textId="77777777" w:rsidR="0011052C" w:rsidRPr="0011052C" w:rsidRDefault="0011052C" w:rsidP="0011052C">
      <w:pPr>
        <w:rPr>
          <w:rFonts w:eastAsia="Times New Roman" w:cs="Arial"/>
        </w:rPr>
      </w:pPr>
      <w:r w:rsidRPr="0011052C">
        <w:rPr>
          <w:rFonts w:eastAsia="Times New Roman" w:cs="Arial"/>
          <w:bCs/>
          <w:color w:val="000000"/>
          <w:lang w:eastAsia="bg-BG"/>
        </w:rPr>
        <w:t xml:space="preserve">Пациентите са рандомизирани към една от следните три трупи на лечение: телмисартан </w:t>
      </w:r>
      <w:r w:rsidRPr="0011052C">
        <w:rPr>
          <w:rFonts w:eastAsia="Times New Roman" w:cs="Arial"/>
          <w:bCs/>
          <w:color w:val="000000"/>
          <w:lang w:val="ru-RU"/>
        </w:rPr>
        <w:t>80</w:t>
      </w:r>
      <w:r w:rsidRPr="0011052C">
        <w:rPr>
          <w:rFonts w:eastAsia="Times New Roman" w:cs="Arial"/>
          <w:bCs/>
          <w:color w:val="000000"/>
          <w:lang w:val="en-US"/>
        </w:rPr>
        <w:t>mg</w:t>
      </w:r>
      <w:r w:rsidRPr="0011052C">
        <w:rPr>
          <w:rFonts w:eastAsia="Times New Roman" w:cs="Arial"/>
          <w:bCs/>
          <w:color w:val="000000"/>
          <w:u w:val="single"/>
          <w:lang w:val="ru-RU"/>
        </w:rPr>
        <w:t xml:space="preserve"> </w:t>
      </w:r>
      <w:r w:rsidRPr="0011052C">
        <w:rPr>
          <w:rFonts w:eastAsia="Times New Roman" w:cs="Arial"/>
          <w:bCs/>
          <w:color w:val="000000"/>
          <w:lang w:val="ru-RU"/>
        </w:rPr>
        <w:t>(</w:t>
      </w:r>
      <w:r w:rsidRPr="0011052C">
        <w:rPr>
          <w:rFonts w:eastAsia="Times New Roman" w:cs="Arial"/>
          <w:bCs/>
          <w:color w:val="000000"/>
          <w:lang w:val="en-US"/>
        </w:rPr>
        <w:t>n</w:t>
      </w:r>
      <w:r w:rsidRPr="0011052C">
        <w:rPr>
          <w:rFonts w:eastAsia="Times New Roman" w:cs="Arial"/>
          <w:bCs/>
          <w:color w:val="000000"/>
          <w:lang w:val="ru-RU"/>
        </w:rPr>
        <w:t xml:space="preserve">=8 </w:t>
      </w:r>
      <w:r w:rsidRPr="0011052C">
        <w:rPr>
          <w:rFonts w:eastAsia="Times New Roman" w:cs="Arial"/>
          <w:bCs/>
          <w:color w:val="000000"/>
          <w:lang w:eastAsia="bg-BG"/>
        </w:rPr>
        <w:t xml:space="preserve">542), рамиприл 10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val="en-US"/>
        </w:rPr>
        <w:t>n</w:t>
      </w:r>
      <w:r w:rsidRPr="0011052C">
        <w:rPr>
          <w:rFonts w:eastAsia="Times New Roman" w:cs="Arial"/>
          <w:bCs/>
          <w:color w:val="000000"/>
          <w:lang w:val="ru-RU"/>
        </w:rPr>
        <w:t xml:space="preserve">=8 576) </w:t>
      </w:r>
      <w:r w:rsidRPr="0011052C">
        <w:rPr>
          <w:rFonts w:eastAsia="Times New Roman" w:cs="Arial"/>
          <w:bCs/>
          <w:color w:val="000000"/>
          <w:lang w:eastAsia="bg-BG"/>
        </w:rPr>
        <w:t xml:space="preserve">или комбинацията от телмисартан 80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eastAsia="bg-BG"/>
        </w:rPr>
        <w:t xml:space="preserve">и </w:t>
      </w:r>
      <w:r w:rsidRPr="0011052C">
        <w:rPr>
          <w:rFonts w:eastAsia="Times New Roman" w:cs="Arial"/>
          <w:bCs/>
          <w:color w:val="000000"/>
          <w:lang w:eastAsia="bg-BG"/>
        </w:rPr>
        <w:lastRenderedPageBreak/>
        <w:t xml:space="preserve">(рамиприл 10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eastAsia="bg-BG"/>
        </w:rPr>
        <w:t>(</w:t>
      </w:r>
      <w:r w:rsidRPr="0011052C">
        <w:rPr>
          <w:rFonts w:eastAsia="Times New Roman" w:cs="Arial"/>
          <w:bCs/>
          <w:color w:val="000000"/>
          <w:lang w:val="en-US"/>
        </w:rPr>
        <w:t>n</w:t>
      </w:r>
      <w:r w:rsidRPr="0011052C">
        <w:rPr>
          <w:rFonts w:eastAsia="Times New Roman" w:cs="Arial"/>
          <w:bCs/>
          <w:color w:val="000000"/>
          <w:lang w:eastAsia="bg-BG"/>
        </w:rPr>
        <w:t>=8 502), с последващо средно време на проследяване 4,5 години. Телмисартан показва сходен ефект с рамиприл при намаляване на първичната съставка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точка е сходна в групите на телмисартан (16,7%) и рамиприл (16,5%). Коефицентът на</w:t>
      </w:r>
      <w:r>
        <w:rPr>
          <w:rFonts w:eastAsia="Times New Roman" w:cs="Arial"/>
          <w:bCs/>
          <w:color w:val="000000"/>
          <w:lang w:eastAsia="bg-BG"/>
        </w:rPr>
        <w:t xml:space="preserve"> </w:t>
      </w:r>
      <w:r w:rsidRPr="0011052C">
        <w:rPr>
          <w:rFonts w:eastAsia="Times New Roman" w:cs="Arial"/>
          <w:bCs/>
          <w:color w:val="000000"/>
          <w:lang w:eastAsia="bg-BG"/>
        </w:rPr>
        <w:t>риск за телмисартан спрямо рамиприл е 1,01 (97,5% ДИ 0,93 - 1,10; р (не по-голяма ефикасност) = 0,0019 при граница 1,13).</w:t>
      </w:r>
    </w:p>
    <w:p w14:paraId="25680122"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Процентът на случаите на смъртност по всяка причина е съответно 11,6% и 11,8% сред пациентите, лекувани с телмисартан и рамиприл.</w:t>
      </w:r>
    </w:p>
    <w:p w14:paraId="22003B1D"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Установено е, че ефективността на телмисартан е сходна с тази на рамиприл при предварително определената вторична крайна точка от сърдечно-съдова смърт, нефатален инфаркт на миокарда и нефатален мозъчен инсулт [0,99 (97,5% ДИ 0,90 - 1,08; р (не по-голяма ефикасност) = 0,0004)], първичната крайна точка в референтното проучване НОРЕ (Проучване за оценка на сърдечните резултати при профилактика), което проучва ефекта на рамиприл спрямо плацебо. Проучването </w:t>
      </w:r>
      <w:r w:rsidRPr="0011052C">
        <w:rPr>
          <w:rFonts w:eastAsia="Times New Roman" w:cs="Arial"/>
          <w:bCs/>
          <w:color w:val="000000"/>
          <w:lang w:val="en-US"/>
        </w:rPr>
        <w:t>TRANSCEND</w:t>
      </w:r>
      <w:r w:rsidRPr="0011052C">
        <w:rPr>
          <w:rFonts w:eastAsia="Times New Roman" w:cs="Arial"/>
          <w:bCs/>
          <w:color w:val="000000"/>
        </w:rPr>
        <w:t xml:space="preserve"> </w:t>
      </w:r>
      <w:r w:rsidRPr="0011052C">
        <w:rPr>
          <w:rFonts w:eastAsia="Times New Roman" w:cs="Arial"/>
          <w:bCs/>
          <w:color w:val="000000"/>
          <w:lang w:eastAsia="bg-BG"/>
        </w:rPr>
        <w:t xml:space="preserve">рандомизира пациенти с непоносимост към АСЕ инхибитори, със сходни критерии за включване като проучването </w:t>
      </w:r>
      <w:r w:rsidRPr="0011052C">
        <w:rPr>
          <w:rFonts w:eastAsia="Times New Roman" w:cs="Arial"/>
          <w:bCs/>
          <w:color w:val="000000"/>
          <w:lang w:val="en-US"/>
        </w:rPr>
        <w:t>ONTARGET</w:t>
      </w:r>
      <w:r w:rsidRPr="0011052C">
        <w:rPr>
          <w:rFonts w:eastAsia="Times New Roman" w:cs="Arial"/>
          <w:bCs/>
          <w:color w:val="000000"/>
        </w:rPr>
        <w:t xml:space="preserve">, </w:t>
      </w:r>
      <w:r w:rsidRPr="0011052C">
        <w:rPr>
          <w:rFonts w:eastAsia="Times New Roman" w:cs="Arial"/>
          <w:bCs/>
          <w:color w:val="000000"/>
          <w:lang w:eastAsia="bg-BG"/>
        </w:rPr>
        <w:t xml:space="preserve">на телмисартан 80 </w:t>
      </w:r>
      <w:r w:rsidRPr="0011052C">
        <w:rPr>
          <w:rFonts w:eastAsia="Times New Roman" w:cs="Arial"/>
          <w:bCs/>
          <w:color w:val="000000"/>
          <w:lang w:val="en-US"/>
        </w:rPr>
        <w:t>mg</w:t>
      </w:r>
      <w:r w:rsidRPr="0011052C">
        <w:rPr>
          <w:rFonts w:eastAsia="Times New Roman" w:cs="Arial"/>
          <w:bCs/>
          <w:color w:val="000000"/>
        </w:rPr>
        <w:t xml:space="preserve">, </w:t>
      </w:r>
      <w:r w:rsidRPr="0011052C">
        <w:rPr>
          <w:rFonts w:eastAsia="Times New Roman" w:cs="Arial"/>
          <w:bCs/>
          <w:color w:val="000000"/>
          <w:lang w:eastAsia="bg-BG"/>
        </w:rPr>
        <w:t xml:space="preserve">на телмисартан 80 </w:t>
      </w:r>
      <w:r w:rsidRPr="0011052C">
        <w:rPr>
          <w:rFonts w:eastAsia="Times New Roman" w:cs="Arial"/>
          <w:bCs/>
          <w:color w:val="000000"/>
          <w:lang w:val="en-US"/>
        </w:rPr>
        <w:t>mg</w:t>
      </w:r>
      <w:r w:rsidRPr="0011052C">
        <w:rPr>
          <w:rFonts w:eastAsia="Times New Roman" w:cs="Arial"/>
          <w:bCs/>
          <w:color w:val="000000"/>
        </w:rPr>
        <w:t xml:space="preserve"> </w:t>
      </w:r>
      <w:r w:rsidRPr="0011052C">
        <w:rPr>
          <w:rFonts w:eastAsia="Times New Roman" w:cs="Arial"/>
          <w:bCs/>
          <w:color w:val="000000"/>
          <w:lang w:eastAsia="bg-BG"/>
        </w:rPr>
        <w:t>(п=2 954) или плацебо (</w:t>
      </w:r>
      <w:r w:rsidRPr="0011052C">
        <w:rPr>
          <w:rFonts w:eastAsia="Times New Roman" w:cs="Arial"/>
          <w:bCs/>
          <w:color w:val="000000"/>
          <w:lang w:val="en-US"/>
        </w:rPr>
        <w:t>n</w:t>
      </w:r>
      <w:r w:rsidRPr="0011052C">
        <w:rPr>
          <w:rFonts w:eastAsia="Times New Roman" w:cs="Arial"/>
          <w:bCs/>
          <w:color w:val="000000"/>
        </w:rPr>
        <w:t>=</w:t>
      </w:r>
      <w:r w:rsidRPr="0011052C">
        <w:rPr>
          <w:rFonts w:eastAsia="Times New Roman" w:cs="Arial"/>
          <w:bCs/>
          <w:color w:val="000000"/>
          <w:lang w:eastAsia="bg-BG"/>
        </w:rPr>
        <w:t>2 972), като и двата се прилагат в допълнение към стандартните грижи.</w:t>
      </w:r>
    </w:p>
    <w:p w14:paraId="7DE87F21"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Средната продължителност на проследяване е 4 години и 8 месеца. Не се открива статистически значима разлика в честотата на първичната съставна крайна точка (сърдечно</w:t>
      </w:r>
      <w:r w:rsidRPr="0011052C">
        <w:rPr>
          <w:rFonts w:eastAsia="Times New Roman" w:cs="Arial"/>
          <w:bCs/>
          <w:color w:val="000000"/>
          <w:lang w:eastAsia="bg-BG"/>
        </w:rPr>
        <w:softHyphen/>
        <w:t>съдова смърт, нефатален инфаркт на миокарда, нефатален мозъчен инсулт или хоспитализация поради застойна сърдечна недостатъчност)) [ 15,7% в групата на телмисартан и 17,0% в групата на плацебо с коефициент на риск 0,92 (95 % ДИ 0,81 - 1,05; р = 0,22)]. Има данни за ползата на телмисартан в сравнение с плацебо при предварително определената вторична съставна крайна точка от сърдечно-съдова смърт, нефатален инфаркт на миокарда и нефатален мозъчен инсулт [0,87 (95% ДИ 0,76 - 1,00; р = 0.048). Няма данни за полза при сърдечно-съдова смъртност (коефициент на риск 1,03,</w:t>
      </w:r>
      <w:r w:rsidRPr="0011052C">
        <w:rPr>
          <w:rFonts w:eastAsia="Times New Roman" w:cs="Arial"/>
          <w:bCs/>
          <w:color w:val="000000"/>
          <w:lang w:val="ru-RU"/>
        </w:rPr>
        <w:t xml:space="preserve"> </w:t>
      </w:r>
      <w:r w:rsidRPr="0011052C">
        <w:rPr>
          <w:rFonts w:eastAsia="Times New Roman" w:cs="Arial"/>
          <w:bCs/>
          <w:color w:val="000000"/>
          <w:lang w:eastAsia="bg-BG"/>
        </w:rPr>
        <w:t>95% ДИ 0,85 -1,24).</w:t>
      </w:r>
    </w:p>
    <w:p w14:paraId="5B620CA6"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хипотония се съобщава по-често при телмисартан. Комбинирането на телмисартан с рамиприл не увеличава ползата спрямо рамиприл или телмисартан самостоятелно. Сърдечно-съдовата смъртност и смъртността по всяка причина, като числено изражение, са по-високи при комбинацията. Освен това има значимо по- висока честота на хиперкалиемия, бъбречна недостатъчност, хипотония и синкоп в групата с комбинацията. Поради тази причина, едновременната употреба на телмисартан и рамиприл не се препоръчва при тази популация.</w:t>
      </w:r>
    </w:p>
    <w:p w14:paraId="5B8C194A"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В проучването “Профилактичен режим за ефективно предпазване от повторен мозъчен инсулт” </w:t>
      </w:r>
      <w:r w:rsidRPr="0011052C">
        <w:rPr>
          <w:rFonts w:eastAsia="Times New Roman" w:cs="Arial"/>
          <w:bCs/>
          <w:color w:val="000000"/>
          <w:lang w:val="ru-RU"/>
        </w:rPr>
        <w:t>("</w:t>
      </w:r>
      <w:r w:rsidRPr="0011052C">
        <w:rPr>
          <w:rFonts w:eastAsia="Times New Roman" w:cs="Arial"/>
          <w:bCs/>
          <w:color w:val="000000"/>
          <w:lang w:val="en-US"/>
        </w:rPr>
        <w:t>Prevention</w:t>
      </w:r>
      <w:r w:rsidRPr="0011052C">
        <w:rPr>
          <w:rFonts w:eastAsia="Times New Roman" w:cs="Arial"/>
          <w:bCs/>
          <w:color w:val="000000"/>
          <w:lang w:val="ru-RU"/>
        </w:rPr>
        <w:t xml:space="preserve"> </w:t>
      </w:r>
      <w:r w:rsidRPr="0011052C">
        <w:rPr>
          <w:rFonts w:eastAsia="Times New Roman" w:cs="Arial"/>
          <w:bCs/>
          <w:color w:val="000000"/>
          <w:lang w:val="en-US"/>
        </w:rPr>
        <w:t>Regimen</w:t>
      </w:r>
      <w:r w:rsidRPr="0011052C">
        <w:rPr>
          <w:rFonts w:eastAsia="Times New Roman" w:cs="Arial"/>
          <w:bCs/>
          <w:color w:val="000000"/>
          <w:lang w:val="ru-RU"/>
        </w:rPr>
        <w:t xml:space="preserve"> </w:t>
      </w:r>
      <w:r w:rsidRPr="0011052C">
        <w:rPr>
          <w:rFonts w:eastAsia="Times New Roman" w:cs="Arial"/>
          <w:bCs/>
          <w:color w:val="000000"/>
          <w:lang w:val="en-US"/>
        </w:rPr>
        <w:t>For</w:t>
      </w:r>
      <w:r w:rsidRPr="0011052C">
        <w:rPr>
          <w:rFonts w:eastAsia="Times New Roman" w:cs="Arial"/>
          <w:bCs/>
          <w:color w:val="000000"/>
          <w:lang w:val="ru-RU"/>
        </w:rPr>
        <w:t xml:space="preserve"> </w:t>
      </w:r>
      <w:r w:rsidRPr="0011052C">
        <w:rPr>
          <w:rFonts w:eastAsia="Times New Roman" w:cs="Arial"/>
          <w:bCs/>
          <w:color w:val="000000"/>
          <w:lang w:val="en-US"/>
        </w:rPr>
        <w:t>Effectively</w:t>
      </w:r>
      <w:r w:rsidRPr="0011052C">
        <w:rPr>
          <w:rFonts w:eastAsia="Times New Roman" w:cs="Arial"/>
          <w:bCs/>
          <w:color w:val="000000"/>
          <w:lang w:val="ru-RU"/>
        </w:rPr>
        <w:t xml:space="preserve"> </w:t>
      </w:r>
      <w:r w:rsidRPr="0011052C">
        <w:rPr>
          <w:rFonts w:eastAsia="Times New Roman" w:cs="Arial"/>
          <w:bCs/>
          <w:color w:val="000000"/>
          <w:lang w:val="en-US"/>
        </w:rPr>
        <w:t>avoiding</w:t>
      </w:r>
      <w:r w:rsidRPr="0011052C">
        <w:rPr>
          <w:rFonts w:eastAsia="Times New Roman" w:cs="Arial"/>
          <w:bCs/>
          <w:color w:val="000000"/>
          <w:lang w:val="ru-RU"/>
        </w:rPr>
        <w:t xml:space="preserve"> </w:t>
      </w:r>
      <w:r w:rsidRPr="0011052C">
        <w:rPr>
          <w:rFonts w:eastAsia="Times New Roman" w:cs="Arial"/>
          <w:bCs/>
          <w:color w:val="000000"/>
          <w:lang w:val="en-US"/>
        </w:rPr>
        <w:t>Second</w:t>
      </w:r>
      <w:r w:rsidRPr="0011052C">
        <w:rPr>
          <w:rFonts w:eastAsia="Times New Roman" w:cs="Arial"/>
          <w:bCs/>
          <w:color w:val="000000"/>
          <w:lang w:val="ru-RU"/>
        </w:rPr>
        <w:t xml:space="preserve"> </w:t>
      </w:r>
      <w:r w:rsidRPr="0011052C">
        <w:rPr>
          <w:rFonts w:eastAsia="Times New Roman" w:cs="Arial"/>
          <w:bCs/>
          <w:color w:val="000000"/>
          <w:lang w:val="en-US"/>
        </w:rPr>
        <w:t>Strokes</w:t>
      </w:r>
      <w:r w:rsidRPr="0011052C">
        <w:rPr>
          <w:rFonts w:eastAsia="Times New Roman" w:cs="Arial"/>
          <w:bCs/>
          <w:color w:val="000000"/>
          <w:lang w:val="ru-RU"/>
        </w:rPr>
        <w:t>" (</w:t>
      </w:r>
      <w:proofErr w:type="spellStart"/>
      <w:r w:rsidRPr="0011052C">
        <w:rPr>
          <w:rFonts w:eastAsia="Times New Roman" w:cs="Arial"/>
          <w:bCs/>
          <w:color w:val="000000"/>
          <w:lang w:val="en-US"/>
        </w:rPr>
        <w:t>PRoFESS</w:t>
      </w:r>
      <w:proofErr w:type="spellEnd"/>
      <w:r w:rsidRPr="0011052C">
        <w:rPr>
          <w:rFonts w:eastAsia="Times New Roman" w:cs="Arial"/>
          <w:bCs/>
          <w:color w:val="000000"/>
          <w:lang w:val="ru-RU"/>
        </w:rPr>
        <w:t xml:space="preserve">)) </w:t>
      </w:r>
      <w:r w:rsidRPr="0011052C">
        <w:rPr>
          <w:rFonts w:eastAsia="Times New Roman" w:cs="Arial"/>
          <w:bCs/>
          <w:color w:val="000000"/>
          <w:lang w:eastAsia="bg-BG"/>
        </w:rPr>
        <w:t xml:space="preserve">при пациенти на </w:t>
      </w:r>
      <w:r w:rsidRPr="0011052C">
        <w:rPr>
          <w:rFonts w:eastAsia="Times New Roman" w:cs="Arial"/>
          <w:bCs/>
          <w:color w:val="000000"/>
          <w:lang w:val="ru-RU"/>
        </w:rPr>
        <w:t xml:space="preserve">50 </w:t>
      </w:r>
      <w:r w:rsidRPr="0011052C">
        <w:rPr>
          <w:rFonts w:eastAsia="Times New Roman" w:cs="Arial"/>
          <w:bCs/>
          <w:color w:val="000000"/>
          <w:lang w:eastAsia="bg-BG"/>
        </w:rPr>
        <w:t xml:space="preserve">години или по-въазрастни,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11052C">
        <w:rPr>
          <w:rFonts w:eastAsia="Times New Roman" w:cs="Arial"/>
          <w:bCs/>
          <w:color w:val="000000"/>
          <w:lang w:val="ru-RU"/>
        </w:rPr>
        <w:t>[</w:t>
      </w:r>
      <w:r w:rsidRPr="0011052C">
        <w:rPr>
          <w:rFonts w:eastAsia="Times New Roman" w:cs="Arial"/>
          <w:bCs/>
          <w:color w:val="000000"/>
          <w:lang w:val="en-US"/>
        </w:rPr>
        <w:t>RR</w:t>
      </w:r>
      <w:r w:rsidRPr="0011052C">
        <w:rPr>
          <w:rFonts w:eastAsia="Times New Roman" w:cs="Arial"/>
          <w:bCs/>
          <w:color w:val="000000"/>
          <w:lang w:val="ru-RU"/>
        </w:rPr>
        <w:t xml:space="preserve"> </w:t>
      </w:r>
      <w:r w:rsidRPr="0011052C">
        <w:rPr>
          <w:rFonts w:eastAsia="Times New Roman" w:cs="Arial"/>
          <w:bCs/>
          <w:color w:val="000000"/>
          <w:lang w:eastAsia="bg-BG"/>
        </w:rPr>
        <w:t>1,43 (95 % доверителен интервал 1,00 - 2,06)]; честотата на възникване на сепсис</w:t>
      </w:r>
      <w:r w:rsidRPr="0011052C">
        <w:rPr>
          <w:rFonts w:eastAsia="Times New Roman" w:cs="Arial"/>
          <w:bCs/>
          <w:color w:val="000000"/>
          <w:lang w:val="ru-RU"/>
        </w:rPr>
        <w:t xml:space="preserve"> </w:t>
      </w:r>
      <w:r w:rsidRPr="0011052C">
        <w:rPr>
          <w:rFonts w:eastAsia="Times New Roman" w:cs="Arial"/>
          <w:bCs/>
          <w:color w:val="000000"/>
          <w:lang w:eastAsia="bg-BG"/>
        </w:rPr>
        <w:t>с</w:t>
      </w:r>
      <w:r w:rsidRPr="0011052C">
        <w:rPr>
          <w:rFonts w:eastAsia="Times New Roman" w:cs="Arial"/>
          <w:bCs/>
          <w:color w:val="000000"/>
          <w:lang w:val="ru-RU"/>
        </w:rPr>
        <w:t xml:space="preserve"> </w:t>
      </w:r>
      <w:r w:rsidRPr="0011052C">
        <w:rPr>
          <w:rFonts w:eastAsia="Times New Roman" w:cs="Arial"/>
          <w:bCs/>
          <w:color w:val="000000"/>
          <w:lang w:eastAsia="bg-BG"/>
        </w:rPr>
        <w:t xml:space="preserve">фатален изход е повишена при пациентите, приемащи телмисартан (0,33 %) спрямо пациентите на плацебо (0,16 %) </w:t>
      </w:r>
      <w:r w:rsidRPr="0011052C">
        <w:rPr>
          <w:rFonts w:eastAsia="Times New Roman" w:cs="Arial"/>
          <w:bCs/>
          <w:color w:val="000000"/>
          <w:lang w:val="ru-RU"/>
        </w:rPr>
        <w:t>[</w:t>
      </w:r>
      <w:r w:rsidRPr="0011052C">
        <w:rPr>
          <w:rFonts w:eastAsia="Times New Roman" w:cs="Arial"/>
          <w:bCs/>
          <w:color w:val="000000"/>
          <w:lang w:val="en-US"/>
        </w:rPr>
        <w:t>RR</w:t>
      </w:r>
      <w:r w:rsidRPr="0011052C">
        <w:rPr>
          <w:rFonts w:eastAsia="Times New Roman" w:cs="Arial"/>
          <w:bCs/>
          <w:color w:val="000000"/>
          <w:lang w:val="ru-RU"/>
        </w:rPr>
        <w:t xml:space="preserve"> </w:t>
      </w:r>
      <w:r w:rsidRPr="0011052C">
        <w:rPr>
          <w:rFonts w:eastAsia="Times New Roman" w:cs="Arial"/>
          <w:bCs/>
          <w:color w:val="000000"/>
          <w:lang w:eastAsia="bg-BG"/>
        </w:rPr>
        <w:t>2,07 (95 % доверителен интервал 1,14 - 3,76)].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28B315AF"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Две големи рандомизирани контролирани проучвания - </w:t>
      </w:r>
      <w:r w:rsidRPr="0011052C">
        <w:rPr>
          <w:rFonts w:eastAsia="Times New Roman" w:cs="Arial"/>
          <w:bCs/>
          <w:color w:val="000000"/>
          <w:lang w:val="en-US"/>
        </w:rPr>
        <w:t>ONTARGET</w:t>
      </w:r>
      <w:r w:rsidRPr="0011052C">
        <w:rPr>
          <w:rFonts w:eastAsia="Times New Roman" w:cs="Arial"/>
          <w:bCs/>
          <w:color w:val="000000"/>
        </w:rPr>
        <w:t xml:space="preserve"> (</w:t>
      </w:r>
      <w:proofErr w:type="spellStart"/>
      <w:r w:rsidRPr="0011052C">
        <w:rPr>
          <w:rFonts w:eastAsia="Times New Roman" w:cs="Arial"/>
          <w:bCs/>
          <w:color w:val="000000"/>
          <w:lang w:val="en-US"/>
        </w:rPr>
        <w:t>ONgoing</w:t>
      </w:r>
      <w:proofErr w:type="spellEnd"/>
      <w:r w:rsidRPr="0011052C">
        <w:rPr>
          <w:rFonts w:eastAsia="Times New Roman" w:cs="Arial"/>
          <w:bCs/>
          <w:color w:val="000000"/>
        </w:rPr>
        <w:t xml:space="preserve"> </w:t>
      </w:r>
      <w:proofErr w:type="spellStart"/>
      <w:r w:rsidRPr="0011052C">
        <w:rPr>
          <w:rFonts w:eastAsia="Times New Roman" w:cs="Arial"/>
          <w:bCs/>
          <w:color w:val="000000"/>
          <w:lang w:val="en-US"/>
        </w:rPr>
        <w:t>Telmisartan</w:t>
      </w:r>
      <w:proofErr w:type="spellEnd"/>
      <w:r w:rsidRPr="0011052C">
        <w:rPr>
          <w:rFonts w:eastAsia="Times New Roman" w:cs="Arial"/>
          <w:bCs/>
          <w:color w:val="000000"/>
        </w:rPr>
        <w:t xml:space="preserve"> </w:t>
      </w:r>
      <w:r w:rsidRPr="0011052C">
        <w:rPr>
          <w:rFonts w:eastAsia="Times New Roman" w:cs="Arial"/>
          <w:bCs/>
          <w:color w:val="000000"/>
          <w:lang w:val="en-US"/>
        </w:rPr>
        <w:t>Alone</w:t>
      </w:r>
      <w:r w:rsidRPr="0011052C">
        <w:rPr>
          <w:rFonts w:eastAsia="Times New Roman" w:cs="Arial"/>
          <w:bCs/>
          <w:color w:val="000000"/>
        </w:rPr>
        <w:t xml:space="preserve"> </w:t>
      </w:r>
      <w:r w:rsidRPr="0011052C">
        <w:rPr>
          <w:rFonts w:eastAsia="Times New Roman" w:cs="Arial"/>
          <w:bCs/>
          <w:color w:val="000000"/>
          <w:lang w:val="en-US"/>
        </w:rPr>
        <w:t>and</w:t>
      </w:r>
      <w:r w:rsidRPr="0011052C">
        <w:rPr>
          <w:rFonts w:eastAsia="Times New Roman" w:cs="Arial"/>
          <w:bCs/>
          <w:color w:val="000000"/>
        </w:rPr>
        <w:t xml:space="preserve"> </w:t>
      </w:r>
      <w:r w:rsidRPr="0011052C">
        <w:rPr>
          <w:rFonts w:eastAsia="Times New Roman" w:cs="Arial"/>
          <w:bCs/>
          <w:color w:val="000000"/>
          <w:lang w:val="en-US"/>
        </w:rPr>
        <w:t>in</w:t>
      </w:r>
      <w:r w:rsidRPr="0011052C">
        <w:rPr>
          <w:rFonts w:eastAsia="Times New Roman" w:cs="Arial"/>
          <w:bCs/>
          <w:color w:val="000000"/>
        </w:rPr>
        <w:t xml:space="preserve"> </w:t>
      </w:r>
      <w:r w:rsidRPr="0011052C">
        <w:rPr>
          <w:rFonts w:eastAsia="Times New Roman" w:cs="Arial"/>
          <w:bCs/>
          <w:color w:val="000000"/>
          <w:lang w:val="en-US"/>
        </w:rPr>
        <w:t>combination</w:t>
      </w:r>
      <w:r w:rsidRPr="0011052C">
        <w:rPr>
          <w:rFonts w:eastAsia="Times New Roman" w:cs="Arial"/>
          <w:bCs/>
          <w:color w:val="000000"/>
        </w:rPr>
        <w:t xml:space="preserve"> </w:t>
      </w:r>
      <w:r w:rsidRPr="0011052C">
        <w:rPr>
          <w:rFonts w:eastAsia="Times New Roman" w:cs="Arial"/>
          <w:bCs/>
          <w:color w:val="000000"/>
          <w:lang w:val="en-US"/>
        </w:rPr>
        <w:t>with</w:t>
      </w:r>
      <w:r w:rsidRPr="0011052C">
        <w:rPr>
          <w:rFonts w:eastAsia="Times New Roman" w:cs="Arial"/>
          <w:bCs/>
          <w:color w:val="000000"/>
        </w:rPr>
        <w:t xml:space="preserve"> </w:t>
      </w:r>
      <w:r w:rsidRPr="0011052C">
        <w:rPr>
          <w:rFonts w:eastAsia="Times New Roman" w:cs="Arial"/>
          <w:bCs/>
          <w:color w:val="000000"/>
          <w:lang w:val="en-US"/>
        </w:rPr>
        <w:t>Ramipril</w:t>
      </w:r>
      <w:r w:rsidRPr="0011052C">
        <w:rPr>
          <w:rFonts w:eastAsia="Times New Roman" w:cs="Arial"/>
          <w:bCs/>
          <w:color w:val="000000"/>
        </w:rPr>
        <w:t xml:space="preserve"> </w:t>
      </w:r>
      <w:r w:rsidRPr="0011052C">
        <w:rPr>
          <w:rFonts w:eastAsia="Times New Roman" w:cs="Arial"/>
          <w:bCs/>
          <w:color w:val="000000"/>
          <w:lang w:val="en-US"/>
        </w:rPr>
        <w:t>Global</w:t>
      </w:r>
      <w:r w:rsidRPr="0011052C">
        <w:rPr>
          <w:rFonts w:eastAsia="Times New Roman" w:cs="Arial"/>
          <w:bCs/>
          <w:color w:val="000000"/>
        </w:rPr>
        <w:t xml:space="preserve"> </w:t>
      </w:r>
      <w:r w:rsidRPr="0011052C">
        <w:rPr>
          <w:rFonts w:eastAsia="Times New Roman" w:cs="Arial"/>
          <w:bCs/>
          <w:color w:val="000000"/>
          <w:lang w:val="en-US"/>
        </w:rPr>
        <w:t>Endpoint</w:t>
      </w:r>
      <w:r w:rsidRPr="0011052C">
        <w:rPr>
          <w:rFonts w:eastAsia="Times New Roman" w:cs="Arial"/>
          <w:bCs/>
          <w:color w:val="000000"/>
        </w:rPr>
        <w:t xml:space="preserve"> </w:t>
      </w:r>
      <w:r w:rsidRPr="0011052C">
        <w:rPr>
          <w:rFonts w:eastAsia="Times New Roman" w:cs="Arial"/>
          <w:bCs/>
          <w:color w:val="000000"/>
          <w:lang w:val="en-US"/>
        </w:rPr>
        <w:t>Trial</w:t>
      </w:r>
      <w:r w:rsidRPr="0011052C">
        <w:rPr>
          <w:rFonts w:eastAsia="Times New Roman" w:cs="Arial"/>
          <w:bCs/>
          <w:color w:val="000000"/>
        </w:rPr>
        <w:t xml:space="preserve"> - </w:t>
      </w:r>
      <w:r w:rsidRPr="0011052C">
        <w:rPr>
          <w:rFonts w:eastAsia="Times New Roman" w:cs="Arial"/>
          <w:bCs/>
          <w:color w:val="000000"/>
          <w:lang w:eastAsia="bg-BG"/>
        </w:rPr>
        <w:t xml:space="preserve">текущо глобално изпитване за крайни точки на телмисартан, самостоятелно и в комбинация с рамиприл) и </w:t>
      </w:r>
      <w:r w:rsidRPr="0011052C">
        <w:rPr>
          <w:rFonts w:eastAsia="Times New Roman" w:cs="Arial"/>
          <w:bCs/>
          <w:color w:val="000000"/>
          <w:lang w:val="en-US"/>
        </w:rPr>
        <w:t>VA</w:t>
      </w:r>
      <w:r w:rsidRPr="0011052C">
        <w:rPr>
          <w:rFonts w:eastAsia="Times New Roman" w:cs="Arial"/>
          <w:bCs/>
          <w:color w:val="000000"/>
        </w:rPr>
        <w:t xml:space="preserve"> </w:t>
      </w:r>
      <w:r w:rsidRPr="0011052C">
        <w:rPr>
          <w:rFonts w:eastAsia="Times New Roman" w:cs="Arial"/>
          <w:bCs/>
          <w:color w:val="000000"/>
          <w:lang w:val="en-US"/>
        </w:rPr>
        <w:lastRenderedPageBreak/>
        <w:t>NEPHRON</w:t>
      </w:r>
      <w:r w:rsidRPr="0011052C">
        <w:rPr>
          <w:rFonts w:eastAsia="Times New Roman" w:cs="Arial"/>
          <w:bCs/>
          <w:color w:val="000000"/>
        </w:rPr>
        <w:t>-</w:t>
      </w:r>
      <w:r w:rsidRPr="0011052C">
        <w:rPr>
          <w:rFonts w:eastAsia="Times New Roman" w:cs="Arial"/>
          <w:bCs/>
          <w:color w:val="000000"/>
          <w:lang w:val="en-US"/>
        </w:rPr>
        <w:t>D</w:t>
      </w:r>
      <w:r w:rsidRPr="0011052C">
        <w:rPr>
          <w:rFonts w:eastAsia="Times New Roman" w:cs="Arial"/>
          <w:bCs/>
          <w:color w:val="000000"/>
        </w:rPr>
        <w:t xml:space="preserve"> </w:t>
      </w:r>
      <w:r w:rsidRPr="0011052C">
        <w:rPr>
          <w:rFonts w:eastAsia="Times New Roman" w:cs="Arial"/>
          <w:bCs/>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11052C">
        <w:rPr>
          <w:rFonts w:eastAsia="Times New Roman" w:cs="Arial"/>
          <w:bCs/>
          <w:color w:val="000000"/>
          <w:lang w:val="en-US"/>
        </w:rPr>
        <w:t>II</w:t>
      </w:r>
      <w:r w:rsidRPr="0011052C">
        <w:rPr>
          <w:rFonts w:eastAsia="Times New Roman" w:cs="Arial"/>
          <w:bCs/>
          <w:color w:val="000000"/>
          <w:lang w:eastAsia="bg-BG"/>
        </w:rPr>
        <w:t>-рецепторен блокер.</w:t>
      </w:r>
    </w:p>
    <w:p w14:paraId="7953A054" w14:textId="77777777" w:rsidR="0011052C" w:rsidRPr="0011052C" w:rsidRDefault="0011052C" w:rsidP="0011052C">
      <w:pPr>
        <w:spacing w:line="240" w:lineRule="auto"/>
        <w:rPr>
          <w:rFonts w:eastAsia="Times New Roman" w:cs="Arial"/>
        </w:rPr>
      </w:pPr>
      <w:r w:rsidRPr="0011052C">
        <w:rPr>
          <w:rFonts w:eastAsia="Times New Roman" w:cs="Arial"/>
          <w:bCs/>
          <w:color w:val="000000"/>
          <w:lang w:val="en-US"/>
        </w:rPr>
        <w:t>ONTARGET</w:t>
      </w:r>
      <w:r w:rsidRPr="0011052C">
        <w:rPr>
          <w:rFonts w:eastAsia="Times New Roman" w:cs="Arial"/>
          <w:bCs/>
          <w:color w:val="000000"/>
          <w:lang w:val="ru-RU"/>
        </w:rPr>
        <w:t xml:space="preserve"> </w:t>
      </w:r>
      <w:r w:rsidRPr="0011052C">
        <w:rPr>
          <w:rFonts w:eastAsia="Times New Roman" w:cs="Arial"/>
          <w:bCs/>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11052C">
        <w:rPr>
          <w:rFonts w:eastAsia="Times New Roman" w:cs="Arial"/>
          <w:bCs/>
          <w:color w:val="000000"/>
          <w:lang w:val="en-US"/>
        </w:rPr>
        <w:t>VA</w:t>
      </w:r>
      <w:r w:rsidRPr="0011052C">
        <w:rPr>
          <w:rFonts w:eastAsia="Times New Roman" w:cs="Arial"/>
          <w:bCs/>
          <w:color w:val="000000"/>
          <w:lang w:val="ru-RU"/>
        </w:rPr>
        <w:t xml:space="preserve"> </w:t>
      </w:r>
      <w:r w:rsidRPr="0011052C">
        <w:rPr>
          <w:rFonts w:eastAsia="Times New Roman" w:cs="Arial"/>
          <w:bCs/>
          <w:color w:val="000000"/>
          <w:lang w:val="en-US"/>
        </w:rPr>
        <w:t>NEPHRON</w:t>
      </w:r>
      <w:r w:rsidRPr="0011052C">
        <w:rPr>
          <w:rFonts w:eastAsia="Times New Roman" w:cs="Arial"/>
          <w:bCs/>
          <w:color w:val="000000"/>
          <w:lang w:val="ru-RU"/>
        </w:rPr>
        <w:t>-</w:t>
      </w:r>
      <w:r w:rsidRPr="0011052C">
        <w:rPr>
          <w:rFonts w:eastAsia="Times New Roman" w:cs="Arial"/>
          <w:bCs/>
          <w:color w:val="000000"/>
          <w:lang w:val="en-US"/>
        </w:rPr>
        <w:t>D</w:t>
      </w:r>
      <w:r w:rsidRPr="0011052C">
        <w:rPr>
          <w:rFonts w:eastAsia="Times New Roman" w:cs="Arial"/>
          <w:bCs/>
          <w:color w:val="000000"/>
          <w:lang w:val="ru-RU"/>
        </w:rPr>
        <w:t xml:space="preserve"> </w:t>
      </w:r>
      <w:r w:rsidRPr="0011052C">
        <w:rPr>
          <w:rFonts w:eastAsia="Times New Roman" w:cs="Arial"/>
          <w:bCs/>
          <w:color w:val="000000"/>
          <w:lang w:eastAsia="bg-BG"/>
        </w:rPr>
        <w:t>е проучване при пациенти със захарен диабет тип 2 и диабетна нефропатия.</w:t>
      </w:r>
    </w:p>
    <w:p w14:paraId="183ABAD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Тези проучвания не показват значим благоприятен ефект върху бъбречните и/или сърдечно</w:t>
      </w:r>
      <w:r w:rsidRPr="0011052C">
        <w:rPr>
          <w:rFonts w:eastAsia="Times New Roman" w:cs="Arial"/>
          <w:bCs/>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11052C">
        <w:rPr>
          <w:rFonts w:eastAsia="Times New Roman" w:cs="Arial"/>
          <w:bCs/>
          <w:color w:val="000000"/>
          <w:lang w:val="en-US"/>
        </w:rPr>
        <w:t>II</w:t>
      </w:r>
      <w:r w:rsidRPr="0011052C">
        <w:rPr>
          <w:rFonts w:eastAsia="Times New Roman" w:cs="Arial"/>
          <w:bCs/>
          <w:color w:val="000000"/>
          <w:lang w:eastAsia="bg-BG"/>
        </w:rPr>
        <w:t>-рецепторни блокери.</w:t>
      </w:r>
    </w:p>
    <w:p w14:paraId="0DB3B867" w14:textId="201E9B8E"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АСЕ инхибитори и ангиотензин </w:t>
      </w:r>
      <w:r w:rsidRPr="0011052C">
        <w:rPr>
          <w:rFonts w:eastAsia="Times New Roman" w:cs="Arial"/>
          <w:bCs/>
          <w:color w:val="000000"/>
          <w:lang w:val="en-US"/>
        </w:rPr>
        <w:t>II</w:t>
      </w:r>
      <w:r w:rsidRPr="0011052C">
        <w:rPr>
          <w:rFonts w:eastAsia="Times New Roman" w:cs="Arial"/>
          <w:bCs/>
          <w:color w:val="000000"/>
          <w:lang w:eastAsia="bg-BG"/>
        </w:rPr>
        <w:t>-рецепторни блокери следователно не трябва да са използват едновременно при пациенти с диабетна нефропатия.</w:t>
      </w:r>
    </w:p>
    <w:p w14:paraId="187406A0" w14:textId="6DEE689D" w:rsidR="0011052C" w:rsidRDefault="0011052C" w:rsidP="0011052C">
      <w:pPr>
        <w:rPr>
          <w:lang w:val="ru-RU"/>
        </w:rPr>
      </w:pPr>
    </w:p>
    <w:p w14:paraId="754828B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val="en-US"/>
        </w:rPr>
        <w:t>ALTITUDE</w:t>
      </w:r>
      <w:r w:rsidRPr="0011052C">
        <w:rPr>
          <w:rFonts w:eastAsia="Times New Roman" w:cs="Arial"/>
          <w:bCs/>
          <w:color w:val="000000"/>
          <w:lang w:val="ru-RU"/>
        </w:rPr>
        <w:t xml:space="preserve"> </w:t>
      </w:r>
      <w:r w:rsidRPr="0011052C">
        <w:rPr>
          <w:rFonts w:eastAsia="Times New Roman" w:cs="Arial"/>
          <w:bCs/>
          <w:color w:val="000000"/>
          <w:lang w:eastAsia="bg-BG"/>
        </w:rPr>
        <w:t xml:space="preserve">(Клинично проучване проведено с алискирен при пациенти със захарен диабет тип </w:t>
      </w:r>
      <w:r w:rsidRPr="0011052C">
        <w:rPr>
          <w:rFonts w:eastAsia="Times New Roman" w:cs="Arial"/>
          <w:bCs/>
          <w:i/>
          <w:iCs/>
          <w:color w:val="000000"/>
          <w:lang w:eastAsia="bg-BG"/>
        </w:rPr>
        <w:t>2</w:t>
      </w:r>
      <w:r w:rsidRPr="0011052C">
        <w:rPr>
          <w:rFonts w:eastAsia="Times New Roman" w:cs="Arial"/>
          <w:bCs/>
          <w:color w:val="000000"/>
          <w:lang w:eastAsia="bg-BG"/>
        </w:rPr>
        <w:t xml:space="preserve">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П-рецепторен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5698F14" w14:textId="77777777" w:rsidR="0011052C" w:rsidRDefault="0011052C" w:rsidP="0011052C">
      <w:pPr>
        <w:spacing w:line="240" w:lineRule="auto"/>
        <w:rPr>
          <w:rFonts w:eastAsia="Times New Roman" w:cs="Arial"/>
          <w:bCs/>
          <w:color w:val="000000"/>
          <w:u w:val="single"/>
          <w:lang w:eastAsia="bg-BG"/>
        </w:rPr>
      </w:pPr>
    </w:p>
    <w:p w14:paraId="6C4EFCD9" w14:textId="7F5E72DD"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Педиатрична популация</w:t>
      </w:r>
    </w:p>
    <w:p w14:paraId="2D47012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Безопасността и ефикасността на телмисартан при деца и юноши на възраст под 18 години не са установени.</w:t>
      </w:r>
    </w:p>
    <w:p w14:paraId="1803F370"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Ефектите на понижаване на кръвното налягане от две дози телмисартан са оценявани при 76 пациенти с хипертония, предимно с наднормено тегло, на възраст от 6 до &lt; 18 години (телесно тегло ≥ 20 </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 xml:space="preserve">и ≤ 120 </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 xml:space="preserve">средно 74,6 </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 xml:space="preserve">след прием на телмисартан 1 </w:t>
      </w:r>
      <w:r w:rsidRPr="0011052C">
        <w:rPr>
          <w:rFonts w:eastAsia="Times New Roman" w:cs="Arial"/>
          <w:bCs/>
          <w:color w:val="000000"/>
          <w:lang w:val="en-US"/>
        </w:rPr>
        <w:t>mg</w:t>
      </w:r>
      <w:r w:rsidRPr="0011052C">
        <w:rPr>
          <w:rFonts w:eastAsia="Times New Roman" w:cs="Arial"/>
          <w:bCs/>
          <w:color w:val="000000"/>
          <w:lang w:val="ru-RU"/>
        </w:rPr>
        <w:t>/</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w:t>
      </w:r>
      <w:r w:rsidRPr="0011052C">
        <w:rPr>
          <w:rFonts w:eastAsia="Times New Roman" w:cs="Arial"/>
          <w:bCs/>
          <w:color w:val="000000"/>
          <w:lang w:val="en-US"/>
        </w:rPr>
        <w:t>n</w:t>
      </w:r>
      <w:r w:rsidRPr="0011052C">
        <w:rPr>
          <w:rFonts w:eastAsia="Times New Roman" w:cs="Arial"/>
          <w:bCs/>
          <w:color w:val="000000"/>
          <w:lang w:eastAsia="bg-BG"/>
        </w:rPr>
        <w:t xml:space="preserve"> = 29 лекувани) или 2 </w:t>
      </w:r>
      <w:r w:rsidRPr="0011052C">
        <w:rPr>
          <w:rFonts w:eastAsia="Times New Roman" w:cs="Arial"/>
          <w:bCs/>
          <w:color w:val="000000"/>
          <w:lang w:val="en-US"/>
        </w:rPr>
        <w:t>mg</w:t>
      </w:r>
      <w:r w:rsidRPr="0011052C">
        <w:rPr>
          <w:rFonts w:eastAsia="Times New Roman" w:cs="Arial"/>
          <w:bCs/>
          <w:color w:val="000000"/>
          <w:lang w:val="ru-RU"/>
        </w:rPr>
        <w:t>/</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w:t>
      </w:r>
      <w:r w:rsidRPr="0011052C">
        <w:rPr>
          <w:rFonts w:eastAsia="Times New Roman" w:cs="Arial"/>
          <w:bCs/>
          <w:color w:val="000000"/>
          <w:lang w:val="en-US"/>
        </w:rPr>
        <w:t>n</w:t>
      </w:r>
      <w:r w:rsidRPr="0011052C">
        <w:rPr>
          <w:rFonts w:eastAsia="Times New Roman" w:cs="Arial"/>
          <w:bCs/>
          <w:color w:val="000000"/>
          <w:lang w:eastAsia="bg-BG"/>
        </w:rPr>
        <w:t xml:space="preserve"> = 31 лекувани) за период на лечение от четири седмици. При включване в изследването наличието на вторична хипертония не е проучвано. При някои от изследваните пациенти, използваните дози са били по-високи от тези, препоръчвани за лечение на хипертония при възрастната популация, като са достигали дневна доза, съизмерима със 160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eastAsia="bg-BG"/>
        </w:rPr>
        <w:t xml:space="preserve">която е проучвана при възрастни. След коригиране за ефекти на възрастовата група, средно промените на САН спрямо изходните стойности (първична цел) са -14,5 (1,7) </w:t>
      </w:r>
      <w:r w:rsidRPr="0011052C">
        <w:rPr>
          <w:rFonts w:eastAsia="Times New Roman" w:cs="Arial"/>
          <w:bCs/>
          <w:color w:val="000000"/>
          <w:lang w:val="en-US"/>
        </w:rPr>
        <w:t>mm</w:t>
      </w:r>
      <w:r w:rsidRPr="0011052C">
        <w:rPr>
          <w:rFonts w:eastAsia="Times New Roman" w:cs="Arial"/>
          <w:bCs/>
          <w:color w:val="000000"/>
          <w:lang w:val="ru-RU"/>
        </w:rPr>
        <w:t xml:space="preserve"> </w:t>
      </w:r>
      <w:r w:rsidRPr="0011052C">
        <w:rPr>
          <w:rFonts w:eastAsia="Times New Roman" w:cs="Arial"/>
          <w:bCs/>
          <w:color w:val="000000"/>
          <w:lang w:val="en-US"/>
        </w:rPr>
        <w:t>Hg</w:t>
      </w:r>
      <w:r w:rsidRPr="0011052C">
        <w:rPr>
          <w:rFonts w:eastAsia="Times New Roman" w:cs="Arial"/>
          <w:bCs/>
          <w:color w:val="000000"/>
          <w:lang w:val="ru-RU"/>
        </w:rPr>
        <w:t xml:space="preserve"> </w:t>
      </w:r>
      <w:r w:rsidRPr="0011052C">
        <w:rPr>
          <w:rFonts w:eastAsia="Times New Roman" w:cs="Arial"/>
          <w:bCs/>
          <w:color w:val="000000"/>
          <w:lang w:eastAsia="bg-BG"/>
        </w:rPr>
        <w:t xml:space="preserve">в групата на телмисартан 2 </w:t>
      </w:r>
      <w:r w:rsidRPr="0011052C">
        <w:rPr>
          <w:rFonts w:eastAsia="Times New Roman" w:cs="Arial"/>
          <w:bCs/>
          <w:color w:val="000000"/>
          <w:lang w:val="en-US"/>
        </w:rPr>
        <w:t>mg</w:t>
      </w:r>
      <w:r w:rsidRPr="0011052C">
        <w:rPr>
          <w:rFonts w:eastAsia="Times New Roman" w:cs="Arial"/>
          <w:bCs/>
          <w:color w:val="000000"/>
          <w:lang w:val="ru-RU"/>
        </w:rPr>
        <w:t>/</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 xml:space="preserve">-9,7(1,7) </w:t>
      </w:r>
      <w:r w:rsidRPr="0011052C">
        <w:rPr>
          <w:rFonts w:eastAsia="Times New Roman" w:cs="Arial"/>
          <w:bCs/>
          <w:color w:val="000000"/>
          <w:lang w:val="en-US"/>
        </w:rPr>
        <w:t>mm</w:t>
      </w:r>
      <w:r w:rsidRPr="0011052C">
        <w:rPr>
          <w:rFonts w:eastAsia="Times New Roman" w:cs="Arial"/>
          <w:bCs/>
          <w:color w:val="000000"/>
          <w:lang w:val="ru-RU"/>
        </w:rPr>
        <w:t xml:space="preserve"> </w:t>
      </w:r>
      <w:r w:rsidRPr="0011052C">
        <w:rPr>
          <w:rFonts w:eastAsia="Times New Roman" w:cs="Arial"/>
          <w:bCs/>
          <w:color w:val="000000"/>
          <w:lang w:val="en-US"/>
        </w:rPr>
        <w:t>Hg</w:t>
      </w:r>
      <w:r w:rsidRPr="0011052C">
        <w:rPr>
          <w:rFonts w:eastAsia="Times New Roman" w:cs="Arial"/>
          <w:bCs/>
          <w:color w:val="000000"/>
          <w:lang w:val="ru-RU"/>
        </w:rPr>
        <w:t xml:space="preserve"> </w:t>
      </w:r>
      <w:r w:rsidRPr="0011052C">
        <w:rPr>
          <w:rFonts w:eastAsia="Times New Roman" w:cs="Arial"/>
          <w:bCs/>
          <w:color w:val="000000"/>
          <w:lang w:eastAsia="bg-BG"/>
        </w:rPr>
        <w:t xml:space="preserve">в групата на телмисартан 1 </w:t>
      </w:r>
      <w:r w:rsidRPr="0011052C">
        <w:rPr>
          <w:rFonts w:eastAsia="Times New Roman" w:cs="Arial"/>
          <w:bCs/>
          <w:color w:val="000000"/>
          <w:lang w:val="en-US"/>
        </w:rPr>
        <w:t>mg</w:t>
      </w:r>
      <w:r w:rsidRPr="0011052C">
        <w:rPr>
          <w:rFonts w:eastAsia="Times New Roman" w:cs="Arial"/>
          <w:bCs/>
          <w:color w:val="000000"/>
          <w:lang w:val="ru-RU"/>
        </w:rPr>
        <w:t>/</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 xml:space="preserve">и -6,0 (2,4) в плацебо групата. Коригираните промени в ДАН от изходните нива са съответно -8,4 (1,5) </w:t>
      </w:r>
      <w:r w:rsidRPr="0011052C">
        <w:rPr>
          <w:rFonts w:eastAsia="Times New Roman" w:cs="Arial"/>
          <w:bCs/>
          <w:color w:val="000000"/>
          <w:lang w:val="en-US"/>
        </w:rPr>
        <w:t>mm</w:t>
      </w:r>
      <w:r w:rsidRPr="0011052C">
        <w:rPr>
          <w:rFonts w:eastAsia="Times New Roman" w:cs="Arial"/>
          <w:bCs/>
          <w:color w:val="000000"/>
          <w:lang w:val="ru-RU"/>
        </w:rPr>
        <w:t xml:space="preserve"> </w:t>
      </w:r>
      <w:r w:rsidRPr="0011052C">
        <w:rPr>
          <w:rFonts w:eastAsia="Times New Roman" w:cs="Arial"/>
          <w:bCs/>
          <w:color w:val="000000"/>
          <w:lang w:val="en-US"/>
        </w:rPr>
        <w:t>Hg</w:t>
      </w:r>
      <w:r w:rsidRPr="0011052C">
        <w:rPr>
          <w:rFonts w:eastAsia="Times New Roman" w:cs="Arial"/>
          <w:bCs/>
          <w:color w:val="000000"/>
          <w:lang w:val="ru-RU"/>
        </w:rPr>
        <w:t xml:space="preserve">, </w:t>
      </w:r>
      <w:r w:rsidRPr="0011052C">
        <w:rPr>
          <w:rFonts w:eastAsia="Times New Roman" w:cs="Arial"/>
          <w:bCs/>
          <w:color w:val="000000"/>
          <w:lang w:eastAsia="bg-BG"/>
        </w:rPr>
        <w:t xml:space="preserve">-4,5 (1,6) </w:t>
      </w:r>
      <w:r w:rsidRPr="0011052C">
        <w:rPr>
          <w:rFonts w:eastAsia="Times New Roman" w:cs="Arial"/>
          <w:bCs/>
          <w:color w:val="000000"/>
          <w:lang w:val="en-US"/>
        </w:rPr>
        <w:t>mm</w:t>
      </w:r>
      <w:r w:rsidRPr="0011052C">
        <w:rPr>
          <w:rFonts w:eastAsia="Times New Roman" w:cs="Arial"/>
          <w:bCs/>
          <w:color w:val="000000"/>
          <w:lang w:val="ru-RU"/>
        </w:rPr>
        <w:t xml:space="preserve"> </w:t>
      </w:r>
      <w:r w:rsidRPr="0011052C">
        <w:rPr>
          <w:rFonts w:eastAsia="Times New Roman" w:cs="Arial"/>
          <w:bCs/>
          <w:color w:val="000000"/>
          <w:lang w:val="en-US"/>
        </w:rPr>
        <w:t>Hg</w:t>
      </w:r>
      <w:r w:rsidRPr="0011052C">
        <w:rPr>
          <w:rFonts w:eastAsia="Times New Roman" w:cs="Arial"/>
          <w:bCs/>
          <w:color w:val="000000"/>
          <w:lang w:val="ru-RU"/>
        </w:rPr>
        <w:t xml:space="preserve"> </w:t>
      </w:r>
      <w:r w:rsidRPr="0011052C">
        <w:rPr>
          <w:rFonts w:eastAsia="Times New Roman" w:cs="Arial"/>
          <w:bCs/>
          <w:color w:val="000000"/>
          <w:lang w:eastAsia="bg-BG"/>
        </w:rPr>
        <w:t xml:space="preserve">и </w:t>
      </w:r>
      <w:r w:rsidRPr="0011052C">
        <w:rPr>
          <w:rFonts w:eastAsia="Times New Roman" w:cs="Arial"/>
          <w:bCs/>
          <w:color w:val="000000"/>
          <w:lang w:val="ru-RU"/>
        </w:rPr>
        <w:t xml:space="preserve">-3,5 (2,1) </w:t>
      </w:r>
      <w:r w:rsidRPr="0011052C">
        <w:rPr>
          <w:rFonts w:eastAsia="Times New Roman" w:cs="Arial"/>
          <w:bCs/>
          <w:color w:val="000000"/>
          <w:lang w:val="en-US"/>
        </w:rPr>
        <w:t>mm</w:t>
      </w:r>
      <w:r w:rsidRPr="0011052C">
        <w:rPr>
          <w:rFonts w:eastAsia="Times New Roman" w:cs="Arial"/>
          <w:bCs/>
          <w:color w:val="000000"/>
          <w:lang w:val="ru-RU"/>
        </w:rPr>
        <w:t xml:space="preserve"> </w:t>
      </w:r>
      <w:r w:rsidRPr="0011052C">
        <w:rPr>
          <w:rFonts w:eastAsia="Times New Roman" w:cs="Arial"/>
          <w:bCs/>
          <w:color w:val="000000"/>
          <w:lang w:val="en-US"/>
        </w:rPr>
        <w:t>Hg</w:t>
      </w:r>
      <w:r w:rsidRPr="0011052C">
        <w:rPr>
          <w:rFonts w:eastAsia="Times New Roman" w:cs="Arial"/>
          <w:bCs/>
          <w:color w:val="000000"/>
          <w:lang w:val="ru-RU"/>
        </w:rPr>
        <w:t xml:space="preserve">. </w:t>
      </w:r>
      <w:r w:rsidRPr="0011052C">
        <w:rPr>
          <w:rFonts w:eastAsia="Times New Roman" w:cs="Arial"/>
          <w:bCs/>
          <w:color w:val="000000"/>
          <w:lang w:eastAsia="bg-BG"/>
        </w:rPr>
        <w:t>Промените са дозозависими. Данните за безопасност, от това проучване при пациенти на възраст от 6 до &lt; 18 години като цяло са подобни на тези при възрастни. Безопасността при дългосрочно лечение с телмисартан при деца и юноши не е оценявана.</w:t>
      </w:r>
    </w:p>
    <w:p w14:paraId="6A9EC0FD"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Повишение на броя на еозинофилите, съобщавано при тази популация пациенти, не е установено при възрастни. Клиничното му значение не е известно.</w:t>
      </w:r>
    </w:p>
    <w:p w14:paraId="675E97AE"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Клиничните данни не позволяват да се направи заключение по отношение на ефикасността и безопасността на телмисартан, при педиатрична популация с хипертония.</w:t>
      </w:r>
    </w:p>
    <w:p w14:paraId="6E304BF0" w14:textId="77777777" w:rsidR="0011052C" w:rsidRPr="0011052C" w:rsidRDefault="0011052C" w:rsidP="0011052C"/>
    <w:p w14:paraId="35F84B81" w14:textId="1DA2E9C7" w:rsidR="00CF77F7" w:rsidRDefault="002C50EE" w:rsidP="004A448E">
      <w:pPr>
        <w:pStyle w:val="Heading2"/>
      </w:pPr>
      <w:r>
        <w:t>5.2. Фармакокинетични свойства</w:t>
      </w:r>
    </w:p>
    <w:p w14:paraId="0DEF4645" w14:textId="2F6789C7" w:rsidR="0011052C" w:rsidRDefault="0011052C" w:rsidP="0011052C"/>
    <w:p w14:paraId="71FE4702" w14:textId="77777777"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Абсорбция</w:t>
      </w:r>
    </w:p>
    <w:p w14:paraId="42F71E5F"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Абсорбцията на телмисартан е бърза, независимо, че абсорбираното количество варира. Средната абсолютна бионаличност на телмисартан е около 50 %. Когато телмисартан се приема с храна, редукцията на областта под кривата плазмена концентрация-време </w:t>
      </w:r>
      <w:r w:rsidRPr="0011052C">
        <w:rPr>
          <w:rFonts w:eastAsia="Times New Roman" w:cs="Arial"/>
          <w:bCs/>
          <w:color w:val="000000"/>
          <w:lang w:val="ru-RU"/>
        </w:rPr>
        <w:t>(</w:t>
      </w:r>
      <w:r w:rsidRPr="0011052C">
        <w:rPr>
          <w:rFonts w:eastAsia="Times New Roman" w:cs="Arial"/>
          <w:bCs/>
          <w:color w:val="000000"/>
          <w:lang w:val="en-US"/>
        </w:rPr>
        <w:t>AUC</w:t>
      </w:r>
      <w:r w:rsidRPr="0011052C">
        <w:rPr>
          <w:rFonts w:eastAsia="Times New Roman" w:cs="Arial"/>
          <w:bCs/>
          <w:color w:val="000000"/>
          <w:lang w:val="ru-RU"/>
        </w:rPr>
        <w:t xml:space="preserve">0-∞) </w:t>
      </w:r>
      <w:r w:rsidRPr="0011052C">
        <w:rPr>
          <w:rFonts w:eastAsia="Times New Roman" w:cs="Arial"/>
          <w:bCs/>
          <w:color w:val="000000"/>
          <w:lang w:eastAsia="bg-BG"/>
        </w:rPr>
        <w:t xml:space="preserve">на телмисартан варира от около 6 % (40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eastAsia="bg-BG"/>
        </w:rPr>
        <w:t xml:space="preserve">доза) до около 19 % (160 </w:t>
      </w:r>
      <w:r w:rsidRPr="0011052C">
        <w:rPr>
          <w:rFonts w:eastAsia="Times New Roman" w:cs="Arial"/>
          <w:bCs/>
          <w:color w:val="000000"/>
          <w:lang w:val="en-US"/>
        </w:rPr>
        <w:t>mg</w:t>
      </w:r>
      <w:r w:rsidRPr="0011052C">
        <w:rPr>
          <w:rFonts w:eastAsia="Times New Roman" w:cs="Arial"/>
          <w:bCs/>
          <w:color w:val="000000"/>
          <w:lang w:val="ru-RU"/>
        </w:rPr>
        <w:t xml:space="preserve"> </w:t>
      </w:r>
      <w:r w:rsidRPr="0011052C">
        <w:rPr>
          <w:rFonts w:eastAsia="Times New Roman" w:cs="Arial"/>
          <w:bCs/>
          <w:color w:val="000000"/>
          <w:lang w:eastAsia="bg-BG"/>
        </w:rPr>
        <w:t>доза). Три часа след приложение плазмените концентрации са подобни при приемане на телмисартан на гладно или с храна.</w:t>
      </w:r>
    </w:p>
    <w:p w14:paraId="3C0D8EFC" w14:textId="77777777" w:rsidR="0011052C" w:rsidRPr="0011052C" w:rsidRDefault="0011052C" w:rsidP="0011052C">
      <w:pPr>
        <w:spacing w:line="240" w:lineRule="auto"/>
        <w:rPr>
          <w:rFonts w:eastAsia="Times New Roman" w:cs="Arial"/>
          <w:bCs/>
          <w:color w:val="000000"/>
          <w:u w:val="single"/>
          <w:lang w:eastAsia="bg-BG"/>
        </w:rPr>
      </w:pPr>
    </w:p>
    <w:p w14:paraId="1D550C17" w14:textId="63973D0A"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Линейност/ нелинейност</w:t>
      </w:r>
    </w:p>
    <w:p w14:paraId="62BD7F35"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Не се очаква слабата редукция на </w:t>
      </w:r>
      <w:r w:rsidRPr="0011052C">
        <w:rPr>
          <w:rFonts w:eastAsia="Times New Roman" w:cs="Arial"/>
          <w:bCs/>
          <w:color w:val="000000"/>
          <w:lang w:val="en-US"/>
        </w:rPr>
        <w:t>AUC</w:t>
      </w:r>
      <w:r w:rsidRPr="0011052C">
        <w:rPr>
          <w:rFonts w:eastAsia="Times New Roman" w:cs="Arial"/>
          <w:bCs/>
          <w:color w:val="000000"/>
          <w:lang w:val="ru-RU"/>
        </w:rPr>
        <w:t xml:space="preserve"> </w:t>
      </w:r>
      <w:r w:rsidRPr="0011052C">
        <w:rPr>
          <w:rFonts w:eastAsia="Times New Roman" w:cs="Arial"/>
          <w:bCs/>
          <w:color w:val="000000"/>
          <w:lang w:eastAsia="bg-BG"/>
        </w:rPr>
        <w:t xml:space="preserve">да причини редукция в терапевтичната ефикасност. Няма линейна зависимост между дозите и плазмените нива. Стах и в по-малка степен </w:t>
      </w:r>
      <w:r w:rsidRPr="0011052C">
        <w:rPr>
          <w:rFonts w:eastAsia="Times New Roman" w:cs="Arial"/>
          <w:bCs/>
          <w:color w:val="000000"/>
          <w:lang w:val="en-US"/>
        </w:rPr>
        <w:t>AUC</w:t>
      </w:r>
      <w:r w:rsidRPr="0011052C">
        <w:rPr>
          <w:rFonts w:eastAsia="Times New Roman" w:cs="Arial"/>
          <w:bCs/>
          <w:color w:val="000000"/>
          <w:lang w:val="ru-RU"/>
        </w:rPr>
        <w:t xml:space="preserve"> </w:t>
      </w:r>
      <w:r w:rsidRPr="0011052C">
        <w:rPr>
          <w:rFonts w:eastAsia="Times New Roman" w:cs="Arial"/>
          <w:bCs/>
          <w:color w:val="000000"/>
          <w:lang w:eastAsia="bg-BG"/>
        </w:rPr>
        <w:t xml:space="preserve">се повишават непропорционално при дози над 40 </w:t>
      </w:r>
      <w:r w:rsidRPr="0011052C">
        <w:rPr>
          <w:rFonts w:eastAsia="Times New Roman" w:cs="Arial"/>
          <w:bCs/>
          <w:color w:val="000000"/>
          <w:lang w:val="en-US"/>
        </w:rPr>
        <w:t>mg</w:t>
      </w:r>
      <w:r w:rsidRPr="0011052C">
        <w:rPr>
          <w:rFonts w:eastAsia="Times New Roman" w:cs="Arial"/>
          <w:bCs/>
          <w:color w:val="000000"/>
          <w:lang w:val="ru-RU"/>
        </w:rPr>
        <w:t>.</w:t>
      </w:r>
    </w:p>
    <w:p w14:paraId="061EB876" w14:textId="77777777" w:rsidR="0011052C" w:rsidRPr="0011052C" w:rsidRDefault="0011052C" w:rsidP="0011052C">
      <w:pPr>
        <w:spacing w:line="240" w:lineRule="auto"/>
        <w:rPr>
          <w:rFonts w:eastAsia="Times New Roman" w:cs="Arial"/>
          <w:bCs/>
          <w:color w:val="000000"/>
          <w:u w:val="single"/>
          <w:lang w:eastAsia="bg-BG"/>
        </w:rPr>
      </w:pPr>
    </w:p>
    <w:p w14:paraId="1AC5FE94" w14:textId="32E7EA92"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Разпределение</w:t>
      </w:r>
    </w:p>
    <w:p w14:paraId="38C443F1"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Телмисартан се свързва в голяма степен с плазмените протеини (&gt; 99,5 %), главно с албумин и алфа-1 кисел глюкопротеин. Средният привиден обем на разпределение при достигане на стационарно състояние </w:t>
      </w:r>
      <w:r w:rsidRPr="0011052C">
        <w:rPr>
          <w:rFonts w:eastAsia="Times New Roman" w:cs="Arial"/>
          <w:bCs/>
          <w:color w:val="000000"/>
          <w:lang w:val="ru-RU"/>
        </w:rPr>
        <w:t>(</w:t>
      </w:r>
      <w:proofErr w:type="spellStart"/>
      <w:r w:rsidRPr="0011052C">
        <w:rPr>
          <w:rFonts w:eastAsia="Times New Roman" w:cs="Arial"/>
          <w:bCs/>
          <w:color w:val="000000"/>
          <w:lang w:val="en-US"/>
        </w:rPr>
        <w:t>Vdss</w:t>
      </w:r>
      <w:proofErr w:type="spellEnd"/>
      <w:r w:rsidRPr="0011052C">
        <w:rPr>
          <w:rFonts w:eastAsia="Times New Roman" w:cs="Arial"/>
          <w:bCs/>
          <w:color w:val="000000"/>
          <w:lang w:val="ru-RU"/>
        </w:rPr>
        <w:t xml:space="preserve">) </w:t>
      </w:r>
      <w:r w:rsidRPr="0011052C">
        <w:rPr>
          <w:rFonts w:eastAsia="Times New Roman" w:cs="Arial"/>
          <w:bCs/>
          <w:color w:val="000000"/>
          <w:lang w:eastAsia="bg-BG"/>
        </w:rPr>
        <w:t>е около 500</w:t>
      </w:r>
      <w:r w:rsidRPr="0011052C">
        <w:rPr>
          <w:rFonts w:eastAsia="Times New Roman" w:cs="Arial"/>
          <w:bCs/>
          <w:color w:val="000000"/>
          <w:lang w:val="en-US"/>
        </w:rPr>
        <w:t>l</w:t>
      </w:r>
      <w:r w:rsidRPr="0011052C">
        <w:rPr>
          <w:rFonts w:eastAsia="Times New Roman" w:cs="Arial"/>
          <w:bCs/>
          <w:color w:val="000000"/>
          <w:lang w:eastAsia="bg-BG"/>
        </w:rPr>
        <w:t>.</w:t>
      </w:r>
    </w:p>
    <w:p w14:paraId="25A480A4" w14:textId="77777777" w:rsidR="0011052C" w:rsidRPr="0011052C" w:rsidRDefault="0011052C" w:rsidP="0011052C">
      <w:pPr>
        <w:spacing w:line="240" w:lineRule="auto"/>
        <w:rPr>
          <w:rFonts w:eastAsia="Times New Roman" w:cs="Arial"/>
          <w:bCs/>
          <w:color w:val="000000"/>
          <w:u w:val="single"/>
          <w:lang w:eastAsia="bg-BG"/>
        </w:rPr>
      </w:pPr>
    </w:p>
    <w:p w14:paraId="5C6F35A9" w14:textId="5FF06D78"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Биотрансформация</w:t>
      </w:r>
    </w:p>
    <w:p w14:paraId="321D606D" w14:textId="6F333807" w:rsidR="0011052C" w:rsidRPr="0011052C" w:rsidRDefault="0011052C" w:rsidP="0011052C">
      <w:pPr>
        <w:rPr>
          <w:rFonts w:eastAsia="Times New Roman" w:cs="Arial"/>
          <w:bCs/>
          <w:color w:val="000000"/>
          <w:lang w:eastAsia="bg-BG"/>
        </w:rPr>
      </w:pPr>
      <w:r w:rsidRPr="0011052C">
        <w:rPr>
          <w:rFonts w:eastAsia="Times New Roman" w:cs="Arial"/>
          <w:bCs/>
          <w:color w:val="000000"/>
          <w:lang w:eastAsia="bg-BG"/>
        </w:rPr>
        <w:t>Телмисартан се метаболизира чрез свързване на основното вещество с глюкуронид.</w:t>
      </w:r>
      <w:r w:rsidRPr="0011052C">
        <w:rPr>
          <w:rFonts w:eastAsia="Times New Roman" w:cs="Arial"/>
          <w:bCs/>
          <w:color w:val="000000"/>
          <w:lang w:val="ru-RU"/>
        </w:rPr>
        <w:t xml:space="preserve"> </w:t>
      </w:r>
      <w:r w:rsidRPr="0011052C">
        <w:rPr>
          <w:rFonts w:eastAsia="Times New Roman" w:cs="Arial"/>
          <w:bCs/>
          <w:color w:val="000000"/>
          <w:lang w:eastAsia="bg-BG"/>
        </w:rPr>
        <w:t>Не е наблюдавана фармакологична активност на конюгатите.</w:t>
      </w:r>
    </w:p>
    <w:p w14:paraId="1AF9669F" w14:textId="6CE2A1D3" w:rsidR="0011052C" w:rsidRPr="0011052C" w:rsidRDefault="0011052C" w:rsidP="0011052C">
      <w:pPr>
        <w:rPr>
          <w:rFonts w:eastAsia="Times New Roman" w:cs="Arial"/>
          <w:bCs/>
          <w:color w:val="000000"/>
          <w:lang w:eastAsia="bg-BG"/>
        </w:rPr>
      </w:pPr>
    </w:p>
    <w:p w14:paraId="55462B57" w14:textId="77777777"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Елиминиране</w:t>
      </w:r>
    </w:p>
    <w:p w14:paraId="7FF98FA1"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Телмисартан се характеризира с биекспоненциална отслабваща фармакокинетика с терминален елиминационен полуживот &gt; 20 часа. Максималната плазмена концентрация (С</w:t>
      </w:r>
      <w:r w:rsidRPr="0011052C">
        <w:rPr>
          <w:rFonts w:eastAsia="Times New Roman" w:cs="Arial"/>
          <w:bCs/>
          <w:color w:val="000000"/>
          <w:lang w:val="en-US"/>
        </w:rPr>
        <w:t>max</w:t>
      </w:r>
      <w:r w:rsidRPr="0011052C">
        <w:rPr>
          <w:rFonts w:eastAsia="Times New Roman" w:cs="Arial"/>
          <w:bCs/>
          <w:color w:val="000000"/>
          <w:lang w:eastAsia="bg-BG"/>
        </w:rPr>
        <w:t xml:space="preserve">) и в по- малка степен областта под кривата плазмена концентрация-време </w:t>
      </w:r>
      <w:r w:rsidRPr="0011052C">
        <w:rPr>
          <w:rFonts w:eastAsia="Times New Roman" w:cs="Arial"/>
          <w:bCs/>
          <w:color w:val="000000"/>
          <w:lang w:val="ru-RU"/>
        </w:rPr>
        <w:t>(</w:t>
      </w:r>
      <w:r w:rsidRPr="0011052C">
        <w:rPr>
          <w:rFonts w:eastAsia="Times New Roman" w:cs="Arial"/>
          <w:bCs/>
          <w:color w:val="000000"/>
          <w:lang w:val="en-US"/>
        </w:rPr>
        <w:t>AUC</w:t>
      </w:r>
      <w:r w:rsidRPr="0011052C">
        <w:rPr>
          <w:rFonts w:eastAsia="Times New Roman" w:cs="Arial"/>
          <w:bCs/>
          <w:color w:val="000000"/>
          <w:lang w:val="ru-RU"/>
        </w:rPr>
        <w:t xml:space="preserve">) </w:t>
      </w:r>
      <w:r w:rsidRPr="0011052C">
        <w:rPr>
          <w:rFonts w:eastAsia="Times New Roman" w:cs="Arial"/>
          <w:bCs/>
          <w:color w:val="000000"/>
          <w:lang w:eastAsia="bg-BG"/>
        </w:rPr>
        <w:t>се повишава непропорционално на дозата. Няма данни за клинически значима акумулация на телмисартан, приет в препоръчваните дози. Плазмените концентрации са по-високи при жени, отколкото при мъже, без това да е свързано с влияние върху ефикасността.</w:t>
      </w:r>
    </w:p>
    <w:p w14:paraId="24080A54"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 xml:space="preserve">След перорално (и интравенозно) приложение телмисартан се екскретира почти изцяло с фекалиите, главно като непроменено съединение. Кумулативната уринарна екскреция е &lt;1 % от дозата. Тоталният плазмен клирънс </w:t>
      </w:r>
      <w:r w:rsidRPr="0011052C">
        <w:rPr>
          <w:rFonts w:eastAsia="Times New Roman" w:cs="Arial"/>
          <w:bCs/>
          <w:color w:val="000000"/>
          <w:lang w:val="ru-RU"/>
        </w:rPr>
        <w:t>(</w:t>
      </w:r>
      <w:proofErr w:type="spellStart"/>
      <w:r w:rsidRPr="0011052C">
        <w:rPr>
          <w:rFonts w:eastAsia="Times New Roman" w:cs="Arial"/>
          <w:bCs/>
          <w:color w:val="000000"/>
          <w:lang w:val="en-US"/>
        </w:rPr>
        <w:t>Cltot</w:t>
      </w:r>
      <w:proofErr w:type="spellEnd"/>
      <w:r w:rsidRPr="0011052C">
        <w:rPr>
          <w:rFonts w:eastAsia="Times New Roman" w:cs="Arial"/>
          <w:bCs/>
          <w:color w:val="000000"/>
          <w:lang w:val="ru-RU"/>
        </w:rPr>
        <w:t xml:space="preserve">) </w:t>
      </w:r>
      <w:r w:rsidRPr="0011052C">
        <w:rPr>
          <w:rFonts w:eastAsia="Times New Roman" w:cs="Arial"/>
          <w:bCs/>
          <w:color w:val="000000"/>
          <w:lang w:eastAsia="bg-BG"/>
        </w:rPr>
        <w:t xml:space="preserve">е висок (около 1 000 </w:t>
      </w:r>
      <w:r w:rsidRPr="0011052C">
        <w:rPr>
          <w:rFonts w:eastAsia="Times New Roman" w:cs="Arial"/>
          <w:bCs/>
          <w:color w:val="000000"/>
          <w:lang w:val="en-US"/>
        </w:rPr>
        <w:t>ml</w:t>
      </w:r>
      <w:r w:rsidRPr="0011052C">
        <w:rPr>
          <w:rFonts w:eastAsia="Times New Roman" w:cs="Arial"/>
          <w:bCs/>
          <w:color w:val="000000"/>
          <w:lang w:val="ru-RU"/>
        </w:rPr>
        <w:t>/</w:t>
      </w:r>
      <w:r w:rsidRPr="0011052C">
        <w:rPr>
          <w:rFonts w:eastAsia="Times New Roman" w:cs="Arial"/>
          <w:bCs/>
          <w:color w:val="000000"/>
          <w:lang w:val="en-US"/>
        </w:rPr>
        <w:t>min</w:t>
      </w:r>
      <w:r w:rsidRPr="0011052C">
        <w:rPr>
          <w:rFonts w:eastAsia="Times New Roman" w:cs="Arial"/>
          <w:bCs/>
          <w:color w:val="000000"/>
          <w:lang w:val="ru-RU"/>
        </w:rPr>
        <w:t xml:space="preserve">), </w:t>
      </w:r>
      <w:r w:rsidRPr="0011052C">
        <w:rPr>
          <w:rFonts w:eastAsia="Times New Roman" w:cs="Arial"/>
          <w:bCs/>
          <w:color w:val="000000"/>
          <w:lang w:eastAsia="bg-BG"/>
        </w:rPr>
        <w:t xml:space="preserve">сравнен с чернодробния кръвен поток (около 1 500 </w:t>
      </w:r>
      <w:r w:rsidRPr="0011052C">
        <w:rPr>
          <w:rFonts w:eastAsia="Times New Roman" w:cs="Arial"/>
          <w:bCs/>
          <w:color w:val="000000"/>
          <w:lang w:val="en-US"/>
        </w:rPr>
        <w:t>ml</w:t>
      </w:r>
      <w:r w:rsidRPr="0011052C">
        <w:rPr>
          <w:rFonts w:eastAsia="Times New Roman" w:cs="Arial"/>
          <w:bCs/>
          <w:color w:val="000000"/>
          <w:lang w:val="ru-RU"/>
        </w:rPr>
        <w:t>/</w:t>
      </w:r>
      <w:r w:rsidRPr="0011052C">
        <w:rPr>
          <w:rFonts w:eastAsia="Times New Roman" w:cs="Arial"/>
          <w:bCs/>
          <w:color w:val="000000"/>
          <w:lang w:val="en-US"/>
        </w:rPr>
        <w:t>min</w:t>
      </w:r>
      <w:r w:rsidRPr="0011052C">
        <w:rPr>
          <w:rFonts w:eastAsia="Times New Roman" w:cs="Arial"/>
          <w:bCs/>
          <w:color w:val="000000"/>
          <w:lang w:val="ru-RU"/>
        </w:rPr>
        <w:t>).</w:t>
      </w:r>
    </w:p>
    <w:p w14:paraId="506A4DA2" w14:textId="77777777" w:rsidR="0011052C" w:rsidRDefault="0011052C" w:rsidP="0011052C">
      <w:pPr>
        <w:spacing w:line="240" w:lineRule="auto"/>
        <w:rPr>
          <w:rFonts w:eastAsia="Times New Roman" w:cs="Arial"/>
          <w:bCs/>
          <w:color w:val="000000"/>
          <w:u w:val="single"/>
          <w:lang w:eastAsia="bg-BG"/>
        </w:rPr>
      </w:pPr>
    </w:p>
    <w:p w14:paraId="6380EF49" w14:textId="7A3EA5C4" w:rsidR="0011052C" w:rsidRPr="0011052C" w:rsidRDefault="0011052C" w:rsidP="0011052C">
      <w:pPr>
        <w:spacing w:line="240" w:lineRule="auto"/>
        <w:rPr>
          <w:rFonts w:eastAsia="Times New Roman" w:cs="Arial"/>
        </w:rPr>
      </w:pPr>
      <w:r w:rsidRPr="0011052C">
        <w:rPr>
          <w:rFonts w:eastAsia="Times New Roman" w:cs="Arial"/>
          <w:bCs/>
          <w:color w:val="000000"/>
          <w:u w:val="single"/>
          <w:lang w:eastAsia="bg-BG"/>
        </w:rPr>
        <w:t>Специални популации</w:t>
      </w:r>
    </w:p>
    <w:p w14:paraId="6468BB41" w14:textId="77777777"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Педиатрична популация</w:t>
      </w:r>
    </w:p>
    <w:p w14:paraId="20E4907F"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Фармакокинетиката на две дози телмисартан е оценявана като вторична цел при пациенти с хипертония (</w:t>
      </w:r>
      <w:r w:rsidRPr="0011052C">
        <w:rPr>
          <w:rFonts w:eastAsia="Times New Roman" w:cs="Arial"/>
          <w:bCs/>
          <w:color w:val="000000"/>
          <w:lang w:val="en-US"/>
        </w:rPr>
        <w:t>n</w:t>
      </w:r>
      <w:r w:rsidRPr="0011052C">
        <w:rPr>
          <w:rFonts w:eastAsia="Times New Roman" w:cs="Arial"/>
          <w:bCs/>
          <w:color w:val="000000"/>
          <w:lang w:eastAsia="bg-BG"/>
        </w:rPr>
        <w:t xml:space="preserve"> = 57), на възраст от 6 до &lt; 18 години след прием на телмисартан 1 </w:t>
      </w:r>
      <w:r w:rsidRPr="0011052C">
        <w:rPr>
          <w:rFonts w:eastAsia="Times New Roman" w:cs="Arial"/>
          <w:bCs/>
          <w:color w:val="000000"/>
          <w:lang w:val="en-US"/>
        </w:rPr>
        <w:t>mg</w:t>
      </w:r>
      <w:r w:rsidRPr="0011052C">
        <w:rPr>
          <w:rFonts w:eastAsia="Times New Roman" w:cs="Arial"/>
          <w:bCs/>
          <w:color w:val="000000"/>
          <w:lang w:val="ru-RU"/>
        </w:rPr>
        <w:t>/</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 xml:space="preserve">или 2 </w:t>
      </w:r>
      <w:r w:rsidRPr="0011052C">
        <w:rPr>
          <w:rFonts w:eastAsia="Times New Roman" w:cs="Arial"/>
          <w:bCs/>
          <w:color w:val="000000"/>
          <w:lang w:val="en-US"/>
        </w:rPr>
        <w:t>mg</w:t>
      </w:r>
      <w:r w:rsidRPr="0011052C">
        <w:rPr>
          <w:rFonts w:eastAsia="Times New Roman" w:cs="Arial"/>
          <w:bCs/>
          <w:color w:val="000000"/>
          <w:lang w:val="ru-RU"/>
        </w:rPr>
        <w:t>/</w:t>
      </w:r>
      <w:r w:rsidRPr="0011052C">
        <w:rPr>
          <w:rFonts w:eastAsia="Times New Roman" w:cs="Arial"/>
          <w:bCs/>
          <w:color w:val="000000"/>
          <w:lang w:val="en-US"/>
        </w:rPr>
        <w:t>kg</w:t>
      </w:r>
      <w:r w:rsidRPr="0011052C">
        <w:rPr>
          <w:rFonts w:eastAsia="Times New Roman" w:cs="Arial"/>
          <w:bCs/>
          <w:color w:val="000000"/>
          <w:lang w:val="ru-RU"/>
        </w:rPr>
        <w:t xml:space="preserve"> </w:t>
      </w:r>
      <w:r w:rsidRPr="0011052C">
        <w:rPr>
          <w:rFonts w:eastAsia="Times New Roman" w:cs="Arial"/>
          <w:bCs/>
          <w:color w:val="000000"/>
          <w:lang w:eastAsia="bg-BG"/>
        </w:rPr>
        <w:t>за период на лечение от четири седмици. Фармакокинетичните цели включват определяне на стационарното състояние на телмисартан при деца и юноши, и проучване на различията, свързани с възрастта. Въпреки, че проучването е било много малко за значима оценка на фармакокинетиката при деца под 12 години, резултатите в повечето случаи са в съответствие с находките при възрастни и потвърждават нелинейността на телмисартан, особено по отношение на С</w:t>
      </w:r>
      <w:r w:rsidRPr="0011052C">
        <w:rPr>
          <w:rFonts w:eastAsia="Times New Roman" w:cs="Arial"/>
          <w:bCs/>
          <w:color w:val="000000"/>
          <w:vertAlign w:val="subscript"/>
          <w:lang w:val="en-US"/>
        </w:rPr>
        <w:t>max</w:t>
      </w:r>
      <w:r w:rsidRPr="0011052C">
        <w:rPr>
          <w:rFonts w:eastAsia="Times New Roman" w:cs="Arial"/>
          <w:bCs/>
          <w:color w:val="000000"/>
          <w:lang w:val="ru-RU"/>
        </w:rPr>
        <w:t>.</w:t>
      </w:r>
    </w:p>
    <w:p w14:paraId="0C1AE852" w14:textId="77777777" w:rsidR="0011052C" w:rsidRDefault="0011052C" w:rsidP="0011052C">
      <w:pPr>
        <w:spacing w:line="240" w:lineRule="auto"/>
        <w:rPr>
          <w:rFonts w:eastAsia="Times New Roman" w:cs="Arial"/>
          <w:bCs/>
          <w:i/>
          <w:iCs/>
          <w:color w:val="000000"/>
          <w:lang w:eastAsia="bg-BG"/>
        </w:rPr>
      </w:pPr>
    </w:p>
    <w:p w14:paraId="7B88107B" w14:textId="19311C64"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lastRenderedPageBreak/>
        <w:t>Полова обусловеност</w:t>
      </w:r>
    </w:p>
    <w:p w14:paraId="2DED2F4D"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Наблюдавани са полови различия в плазмените концентрации. С</w:t>
      </w:r>
      <w:r w:rsidRPr="0011052C">
        <w:rPr>
          <w:rFonts w:eastAsia="Times New Roman" w:cs="Arial"/>
          <w:bCs/>
          <w:color w:val="000000"/>
          <w:lang w:val="en-US"/>
        </w:rPr>
        <w:t>max</w:t>
      </w:r>
      <w:r w:rsidRPr="0011052C">
        <w:rPr>
          <w:rFonts w:eastAsia="Times New Roman" w:cs="Arial"/>
          <w:bCs/>
          <w:color w:val="000000"/>
          <w:lang w:eastAsia="bg-BG"/>
        </w:rPr>
        <w:t xml:space="preserve"> и </w:t>
      </w:r>
      <w:r w:rsidRPr="0011052C">
        <w:rPr>
          <w:rFonts w:eastAsia="Times New Roman" w:cs="Arial"/>
          <w:bCs/>
          <w:color w:val="000000"/>
          <w:lang w:val="en-US"/>
        </w:rPr>
        <w:t>AUC</w:t>
      </w:r>
      <w:r w:rsidRPr="0011052C">
        <w:rPr>
          <w:rFonts w:eastAsia="Times New Roman" w:cs="Arial"/>
          <w:bCs/>
          <w:color w:val="000000"/>
          <w:lang w:val="ru-RU"/>
        </w:rPr>
        <w:t xml:space="preserve"> </w:t>
      </w:r>
      <w:r w:rsidRPr="0011052C">
        <w:rPr>
          <w:rFonts w:eastAsia="Times New Roman" w:cs="Arial"/>
          <w:bCs/>
          <w:color w:val="000000"/>
          <w:lang w:eastAsia="bg-BG"/>
        </w:rPr>
        <w:t>съответно около 3 и 2 пъти по-високи при жените, сравнени с тези при мъжете.</w:t>
      </w:r>
    </w:p>
    <w:p w14:paraId="51993928" w14:textId="77777777" w:rsidR="0011052C" w:rsidRDefault="0011052C" w:rsidP="0011052C">
      <w:pPr>
        <w:spacing w:line="240" w:lineRule="auto"/>
        <w:rPr>
          <w:rFonts w:eastAsia="Times New Roman" w:cs="Arial"/>
          <w:bCs/>
          <w:i/>
          <w:iCs/>
          <w:color w:val="000000"/>
          <w:lang w:eastAsia="bg-BG"/>
        </w:rPr>
      </w:pPr>
    </w:p>
    <w:p w14:paraId="7F3C771C" w14:textId="3A5E6018"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Старческа възраст</w:t>
      </w:r>
    </w:p>
    <w:p w14:paraId="4DB25AB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Фармакокинетиката на телмисартан не се различава между пациенти в старческа възраст и тези по-млади от 65 години.</w:t>
      </w:r>
    </w:p>
    <w:p w14:paraId="545E2280" w14:textId="77777777" w:rsidR="0011052C" w:rsidRDefault="0011052C" w:rsidP="0011052C">
      <w:pPr>
        <w:spacing w:line="240" w:lineRule="auto"/>
        <w:rPr>
          <w:rFonts w:eastAsia="Times New Roman" w:cs="Arial"/>
          <w:bCs/>
          <w:i/>
          <w:iCs/>
          <w:color w:val="000000"/>
          <w:lang w:eastAsia="bg-BG"/>
        </w:rPr>
      </w:pPr>
    </w:p>
    <w:p w14:paraId="4E4F0DE6" w14:textId="07FEC87D"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Бъбречно увреждане</w:t>
      </w:r>
    </w:p>
    <w:p w14:paraId="49D50E37"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При пациенти с леки до умерени и тежки увреждания на бъбречната функция се наблюдава удвояване на плазмените концентрации. Наблюдават се по-ниски плазмени концентрации при пациенти с бъбречна недостатъчност, подложени на диализа. При болни с бъбречна недостатъчност телмисартан се свързва в голяма степен с плазмените протеини и не може да бъде отделен при диализа. При пациенти с бъбречни увреждания елиминационният полуживот не е променен.</w:t>
      </w:r>
    </w:p>
    <w:p w14:paraId="1FD34B5C" w14:textId="77777777" w:rsidR="0011052C" w:rsidRDefault="0011052C" w:rsidP="0011052C">
      <w:pPr>
        <w:spacing w:line="240" w:lineRule="auto"/>
        <w:rPr>
          <w:rFonts w:eastAsia="Times New Roman" w:cs="Arial"/>
          <w:bCs/>
          <w:i/>
          <w:iCs/>
          <w:color w:val="000000"/>
          <w:lang w:eastAsia="bg-BG"/>
        </w:rPr>
      </w:pPr>
    </w:p>
    <w:p w14:paraId="0D8F2FC5" w14:textId="7F4F49E8" w:rsidR="0011052C" w:rsidRPr="0011052C" w:rsidRDefault="0011052C" w:rsidP="0011052C">
      <w:pPr>
        <w:spacing w:line="240" w:lineRule="auto"/>
        <w:rPr>
          <w:rFonts w:eastAsia="Times New Roman" w:cs="Arial"/>
        </w:rPr>
      </w:pPr>
      <w:r w:rsidRPr="0011052C">
        <w:rPr>
          <w:rFonts w:eastAsia="Times New Roman" w:cs="Arial"/>
          <w:bCs/>
          <w:i/>
          <w:iCs/>
          <w:color w:val="000000"/>
          <w:lang w:eastAsia="bg-BG"/>
        </w:rPr>
        <w:t>Чернодробно увреждание</w:t>
      </w:r>
    </w:p>
    <w:p w14:paraId="49285F99" w14:textId="77777777" w:rsidR="0011052C" w:rsidRPr="0011052C" w:rsidRDefault="0011052C" w:rsidP="0011052C">
      <w:pPr>
        <w:spacing w:line="240" w:lineRule="auto"/>
        <w:rPr>
          <w:rFonts w:eastAsia="Times New Roman" w:cs="Arial"/>
        </w:rPr>
      </w:pPr>
      <w:r w:rsidRPr="0011052C">
        <w:rPr>
          <w:rFonts w:eastAsia="Times New Roman" w:cs="Arial"/>
          <w:bCs/>
          <w:color w:val="000000"/>
          <w:lang w:eastAsia="bg-BG"/>
        </w:rPr>
        <w:t>Фармакокинетичните проучвания при пациенти с чернодробни увреждания показват повишаване на абсолютната бионаличност до около 100 %. При пациенти с чернодробни увреждания елиминационният полуживот не е променен.</w:t>
      </w:r>
    </w:p>
    <w:p w14:paraId="4D67011B" w14:textId="77777777" w:rsidR="0011052C" w:rsidRPr="0011052C" w:rsidRDefault="0011052C" w:rsidP="0011052C"/>
    <w:p w14:paraId="648E39DA" w14:textId="7E329576" w:rsidR="00CF77F7" w:rsidRDefault="002C50EE" w:rsidP="004A448E">
      <w:pPr>
        <w:pStyle w:val="Heading2"/>
      </w:pPr>
      <w:r>
        <w:t>5.3. Предклинични данни за безопасност</w:t>
      </w:r>
    </w:p>
    <w:p w14:paraId="759CB937" w14:textId="187A5BCF" w:rsidR="0011052C" w:rsidRDefault="0011052C" w:rsidP="0011052C"/>
    <w:p w14:paraId="04409E0F" w14:textId="77777777" w:rsidR="0011052C" w:rsidRPr="0011052C" w:rsidRDefault="0011052C" w:rsidP="0011052C">
      <w:pPr>
        <w:rPr>
          <w:rFonts w:ascii="Times New Roman" w:eastAsia="Times New Roman" w:hAnsi="Times New Roman" w:cs="Times New Roman"/>
        </w:rPr>
      </w:pPr>
      <w:r w:rsidRPr="0011052C">
        <w:rPr>
          <w:bCs/>
        </w:rPr>
        <w:t>При предклинични проучвания за безопасност, дози, сравними с тези в клиничния терапевтичен диапазон, са предизвикали намаляване на параметрите на червените кръвни клетки (еритроцити, хемоглобин, хематокрит), промени в бъбречната хемодинамика (повишено ниво на урея в кръвта и креатинин), както и повишен калий в серума на нормотензивни</w:t>
      </w:r>
      <w:r w:rsidRPr="0011052C">
        <w:rPr>
          <w:bCs/>
          <w:u w:val="single"/>
        </w:rPr>
        <w:t xml:space="preserve"> </w:t>
      </w:r>
      <w:r w:rsidRPr="0011052C">
        <w:rPr>
          <w:bCs/>
        </w:rPr>
        <w:t xml:space="preserve">животни. При кучета са наблюдавани бъбречна тубуларна дилатация и атрофия. При плъхове и </w:t>
      </w:r>
      <w:r w:rsidRPr="0011052C">
        <w:rPr>
          <w:bCs/>
          <w:i/>
          <w:iCs/>
        </w:rPr>
        <w:t xml:space="preserve"> кучета е</w:t>
      </w:r>
      <w:r w:rsidRPr="0011052C">
        <w:rPr>
          <w:bCs/>
        </w:rPr>
        <w:t xml:space="preserve"> отбелязано също увреждане на стомашната мукоза (ерозия, язви или възпаление). Тези фармакологично медиирани нежелани лекарствени реакции, известни от предклиничните проучвания с инхибитори на ангиотензин конвертиращия ензим и ангиотензин </w:t>
      </w:r>
      <w:r w:rsidRPr="0011052C">
        <w:rPr>
          <w:bCs/>
          <w:lang w:val="en-US"/>
        </w:rPr>
        <w:t>II</w:t>
      </w:r>
      <w:r w:rsidRPr="0011052C">
        <w:rPr>
          <w:bCs/>
          <w:lang w:val="ru-RU"/>
        </w:rPr>
        <w:t xml:space="preserve"> </w:t>
      </w:r>
      <w:r w:rsidRPr="0011052C">
        <w:rPr>
          <w:bCs/>
        </w:rPr>
        <w:t>антахонисти са предотвратени чрез перорално добавяне на физиологичен разтвор. При двата вида животни са наблюдавани повишена активност на плазмения ренин и хипертрофия/ хиперплазия на</w:t>
      </w:r>
      <w:r w:rsidRPr="0011052C">
        <w:rPr>
          <w:bCs/>
        </w:rPr>
        <w:t xml:space="preserve"> </w:t>
      </w:r>
      <w:r w:rsidRPr="0011052C">
        <w:rPr>
          <w:rFonts w:eastAsia="Times New Roman" w:cs="Arial"/>
          <w:color w:val="000000"/>
          <w:lang w:eastAsia="bg-BG"/>
        </w:rPr>
        <w:t>юкстагломерулните клетки. Тези промени, които са също и ефект на инхибиторите на ангиотензин конвертиращия ензим и на други ангиотензин II рецепторни антагонисти, нямат клинична значимост.</w:t>
      </w:r>
    </w:p>
    <w:p w14:paraId="3DFC52EE" w14:textId="77777777" w:rsidR="0011052C" w:rsidRPr="0011052C" w:rsidRDefault="0011052C" w:rsidP="0011052C">
      <w:pPr>
        <w:spacing w:line="240" w:lineRule="auto"/>
        <w:rPr>
          <w:rFonts w:ascii="Times New Roman" w:eastAsia="Times New Roman" w:hAnsi="Times New Roman" w:cs="Times New Roman"/>
        </w:rPr>
      </w:pPr>
      <w:r w:rsidRPr="0011052C">
        <w:rPr>
          <w:rFonts w:eastAsia="Times New Roman" w:cs="Arial"/>
          <w:color w:val="000000"/>
          <w:lang w:eastAsia="bg-BG"/>
        </w:rPr>
        <w:t>Няма ясни доказателства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закъсняващо отваряне на очите.</w:t>
      </w:r>
    </w:p>
    <w:p w14:paraId="1406581E" w14:textId="77777777" w:rsidR="0011052C" w:rsidRPr="0011052C" w:rsidRDefault="0011052C" w:rsidP="0011052C">
      <w:pPr>
        <w:spacing w:line="240" w:lineRule="auto"/>
        <w:rPr>
          <w:rFonts w:ascii="Times New Roman" w:eastAsia="Times New Roman" w:hAnsi="Times New Roman" w:cs="Times New Roman"/>
        </w:rPr>
      </w:pPr>
      <w:r w:rsidRPr="0011052C">
        <w:rPr>
          <w:rFonts w:eastAsia="Times New Roman" w:cs="Arial"/>
          <w:color w:val="000000"/>
          <w:lang w:eastAsia="bg-BG"/>
        </w:rPr>
        <w:t xml:space="preserve">Няма данни за мутагенна и съответна кластогенна активност при изпитвания </w:t>
      </w:r>
      <w:r w:rsidRPr="0011052C">
        <w:rPr>
          <w:rFonts w:eastAsia="Times New Roman" w:cs="Arial"/>
          <w:i/>
          <w:iCs/>
          <w:color w:val="000000"/>
          <w:lang w:val="en-US"/>
        </w:rPr>
        <w:t>in</w:t>
      </w:r>
      <w:r w:rsidRPr="0011052C">
        <w:rPr>
          <w:rFonts w:eastAsia="Times New Roman" w:cs="Arial"/>
          <w:i/>
          <w:iCs/>
          <w:color w:val="000000"/>
          <w:lang w:val="ru-RU"/>
        </w:rPr>
        <w:t xml:space="preserve"> </w:t>
      </w:r>
      <w:r w:rsidRPr="0011052C">
        <w:rPr>
          <w:rFonts w:eastAsia="Times New Roman" w:cs="Arial"/>
          <w:i/>
          <w:iCs/>
          <w:color w:val="000000"/>
          <w:lang w:val="en-US"/>
        </w:rPr>
        <w:t>vitro</w:t>
      </w:r>
      <w:r w:rsidRPr="0011052C">
        <w:rPr>
          <w:rFonts w:eastAsia="Times New Roman" w:cs="Arial"/>
          <w:color w:val="000000"/>
          <w:lang w:val="ru-RU"/>
        </w:rPr>
        <w:t xml:space="preserve"> </w:t>
      </w:r>
      <w:r w:rsidRPr="0011052C">
        <w:rPr>
          <w:rFonts w:eastAsia="Times New Roman" w:cs="Arial"/>
          <w:color w:val="000000"/>
          <w:lang w:eastAsia="bg-BG"/>
        </w:rPr>
        <w:t>и за карциногенност при плъхове и мишки.</w:t>
      </w:r>
    </w:p>
    <w:p w14:paraId="2920CC2C" w14:textId="21B30E50" w:rsidR="0011052C" w:rsidRPr="0011052C" w:rsidRDefault="0011052C" w:rsidP="0011052C"/>
    <w:p w14:paraId="6A7820AB" w14:textId="526F40B4" w:rsidR="008A6AF2" w:rsidRDefault="002C50EE" w:rsidP="00395555">
      <w:pPr>
        <w:pStyle w:val="Heading1"/>
      </w:pPr>
      <w:r>
        <w:t>7. ПРИТЕЖАТЕЛ НА РАЗРЕШЕНИЕТО ЗА УПОТРЕБА</w:t>
      </w:r>
    </w:p>
    <w:p w14:paraId="11121003" w14:textId="7CFCF5AA" w:rsidR="0011052C" w:rsidRDefault="0011052C" w:rsidP="0011052C"/>
    <w:p w14:paraId="1141EA0A" w14:textId="77777777" w:rsidR="0011052C" w:rsidRPr="0011052C" w:rsidRDefault="0011052C" w:rsidP="0011052C">
      <w:pPr>
        <w:rPr>
          <w:rFonts w:ascii="Times New Roman" w:hAnsi="Times New Roman" w:cs="Times New Roman"/>
          <w:sz w:val="24"/>
          <w:szCs w:val="24"/>
          <w:lang w:val="en-US"/>
        </w:rPr>
      </w:pPr>
      <w:proofErr w:type="spellStart"/>
      <w:r w:rsidRPr="0011052C">
        <w:rPr>
          <w:lang w:val="en-US"/>
        </w:rPr>
        <w:t>Zentiva</w:t>
      </w:r>
      <w:proofErr w:type="spellEnd"/>
      <w:r w:rsidRPr="0011052C">
        <w:rPr>
          <w:lang w:val="en-US"/>
        </w:rPr>
        <w:t>, k. s</w:t>
      </w:r>
      <w:proofErr w:type="gramStart"/>
      <w:r w:rsidRPr="0011052C">
        <w:rPr>
          <w:lang w:val="en-US"/>
        </w:rPr>
        <w:t>.,</w:t>
      </w:r>
      <w:proofErr w:type="gramEnd"/>
    </w:p>
    <w:p w14:paraId="28BC4C7D" w14:textId="77777777" w:rsidR="0011052C" w:rsidRPr="0011052C" w:rsidRDefault="0011052C" w:rsidP="0011052C">
      <w:pPr>
        <w:rPr>
          <w:rFonts w:ascii="Times New Roman" w:hAnsi="Times New Roman" w:cs="Times New Roman"/>
          <w:sz w:val="24"/>
          <w:szCs w:val="24"/>
          <w:lang w:val="en-US"/>
        </w:rPr>
      </w:pPr>
      <w:r w:rsidRPr="0011052C">
        <w:rPr>
          <w:lang w:val="en-US"/>
        </w:rPr>
        <w:t xml:space="preserve">U </w:t>
      </w:r>
      <w:proofErr w:type="spellStart"/>
      <w:r w:rsidRPr="0011052C">
        <w:rPr>
          <w:lang w:val="en-US"/>
        </w:rPr>
        <w:t>kabelovny</w:t>
      </w:r>
      <w:proofErr w:type="spellEnd"/>
      <w:r w:rsidRPr="0011052C">
        <w:rPr>
          <w:lang w:val="en-US"/>
        </w:rPr>
        <w:t xml:space="preserve"> </w:t>
      </w:r>
      <w:r w:rsidRPr="0011052C">
        <w:rPr>
          <w:lang w:eastAsia="bg-BG"/>
        </w:rPr>
        <w:t>130</w:t>
      </w:r>
    </w:p>
    <w:p w14:paraId="466DE469" w14:textId="77777777" w:rsidR="0011052C" w:rsidRDefault="0011052C" w:rsidP="0011052C">
      <w:pPr>
        <w:rPr>
          <w:lang w:val="ru-RU"/>
        </w:rPr>
      </w:pPr>
      <w:r w:rsidRPr="0011052C">
        <w:rPr>
          <w:lang w:val="en-US"/>
        </w:rPr>
        <w:lastRenderedPageBreak/>
        <w:t>Prague</w:t>
      </w:r>
      <w:r w:rsidRPr="0011052C">
        <w:rPr>
          <w:lang w:val="ru-RU"/>
        </w:rPr>
        <w:t xml:space="preserve"> 10, </w:t>
      </w:r>
    </w:p>
    <w:p w14:paraId="0F696BE7" w14:textId="5684F9BE" w:rsidR="0011052C" w:rsidRPr="0011052C" w:rsidRDefault="0011052C" w:rsidP="0011052C">
      <w:r w:rsidRPr="0011052C">
        <w:rPr>
          <w:lang w:eastAsia="bg-BG"/>
        </w:rPr>
        <w:t>Чешка Република</w:t>
      </w:r>
    </w:p>
    <w:p w14:paraId="7BA1BA64" w14:textId="00E069B0" w:rsidR="00CF77F7" w:rsidRDefault="002C50EE" w:rsidP="004A448E">
      <w:pPr>
        <w:pStyle w:val="Heading1"/>
      </w:pPr>
      <w:r>
        <w:t>8. НОМЕР НА РАЗРЕШЕНИЕТО ЗА УПОТРЕБА</w:t>
      </w:r>
    </w:p>
    <w:p w14:paraId="3C433ABD" w14:textId="7A31282B" w:rsidR="0011052C" w:rsidRDefault="0011052C" w:rsidP="0011052C"/>
    <w:p w14:paraId="4ADEF82D" w14:textId="024CC3E5" w:rsidR="0011052C" w:rsidRPr="0011052C" w:rsidRDefault="0011052C" w:rsidP="0011052C">
      <w:r>
        <w:t>20100395</w:t>
      </w:r>
    </w:p>
    <w:p w14:paraId="2CCB5832" w14:textId="5603D1DA" w:rsidR="007C605B" w:rsidRDefault="002C50EE" w:rsidP="007C605B">
      <w:pPr>
        <w:pStyle w:val="Heading1"/>
      </w:pPr>
      <w:r>
        <w:t>9. ДАТА НА ПЪРВО РАЗРЕШАВАНЕ/ПОДНОВЯВАНЕ НА РАЗРЕШЕНИЕТО ЗА УПОТРЕБА</w:t>
      </w:r>
    </w:p>
    <w:p w14:paraId="6B9671BC" w14:textId="05962C77" w:rsidR="0011052C" w:rsidRDefault="0011052C" w:rsidP="0011052C"/>
    <w:p w14:paraId="6D348BBF" w14:textId="258CB193" w:rsidR="0011052C" w:rsidRPr="0011052C" w:rsidRDefault="0011052C" w:rsidP="0011052C">
      <w:r>
        <w:t>21.06.2010</w:t>
      </w:r>
    </w:p>
    <w:p w14:paraId="0E9D0119" w14:textId="0245C6D7" w:rsidR="002C50EE" w:rsidRDefault="002C50EE" w:rsidP="002C50EE">
      <w:pPr>
        <w:pStyle w:val="Heading1"/>
      </w:pPr>
      <w:r>
        <w:t>10. ДАТА НА АКТУАЛИЗИРАНЕ НА ТЕКСТА</w:t>
      </w:r>
    </w:p>
    <w:bookmarkEnd w:id="0"/>
    <w:p w14:paraId="43FB38A2" w14:textId="3EBC50D7" w:rsidR="007C605B" w:rsidRPr="003E3126" w:rsidRDefault="0011052C" w:rsidP="0011052C">
      <w:r>
        <w:t>15.08.2016</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4D5AE2"/>
    <w:multiLevelType w:val="hybridMultilevel"/>
    <w:tmpl w:val="95C674C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6C6836"/>
    <w:multiLevelType w:val="hybridMultilevel"/>
    <w:tmpl w:val="61A8030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C0BB2"/>
    <w:multiLevelType w:val="hybridMultilevel"/>
    <w:tmpl w:val="DE3A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1"/>
  </w:num>
  <w:num w:numId="8">
    <w:abstractNumId w:val="17"/>
  </w:num>
  <w:num w:numId="9">
    <w:abstractNumId w:val="2"/>
  </w:num>
  <w:num w:numId="10">
    <w:abstractNumId w:val="4"/>
  </w:num>
  <w:num w:numId="11">
    <w:abstractNumId w:val="32"/>
  </w:num>
  <w:num w:numId="12">
    <w:abstractNumId w:val="15"/>
  </w:num>
  <w:num w:numId="13">
    <w:abstractNumId w:val="21"/>
  </w:num>
  <w:num w:numId="14">
    <w:abstractNumId w:val="13"/>
  </w:num>
  <w:num w:numId="15">
    <w:abstractNumId w:val="31"/>
  </w:num>
  <w:num w:numId="16">
    <w:abstractNumId w:val="10"/>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7"/>
  </w:num>
  <w:num w:numId="29">
    <w:abstractNumId w:val="22"/>
  </w:num>
  <w:num w:numId="30">
    <w:abstractNumId w:val="36"/>
  </w:num>
  <w:num w:numId="31">
    <w:abstractNumId w:val="6"/>
  </w:num>
  <w:num w:numId="32">
    <w:abstractNumId w:val="35"/>
  </w:num>
  <w:num w:numId="33">
    <w:abstractNumId w:val="30"/>
  </w:num>
  <w:num w:numId="34">
    <w:abstractNumId w:val="34"/>
  </w:num>
  <w:num w:numId="35">
    <w:abstractNumId w:val="5"/>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1052C"/>
    <w:rsid w:val="00185A46"/>
    <w:rsid w:val="001915B6"/>
    <w:rsid w:val="001D1B23"/>
    <w:rsid w:val="002B3C38"/>
    <w:rsid w:val="002B4DBB"/>
    <w:rsid w:val="002B6ED6"/>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6176</Words>
  <Characters>35209</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2022-04-11T13:32:00Z</dcterms:created>
  <dcterms:modified xsi:type="dcterms:W3CDTF">2022-04-11T13:32:00Z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