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51569555" w:rsidR="00F53FB7" w:rsidRDefault="00DD466D" w:rsidP="00A93499">
      <w:pPr>
        <w:pStyle w:val="Heading1"/>
      </w:pPr>
      <w:r>
        <w:t>1.ИМЕ НА ЛЕКАРСТВЕНИЯ ПРОДУКТ</w:t>
      </w:r>
    </w:p>
    <w:p w14:paraId="01ABBB05" w14:textId="343259D4" w:rsidR="00410CAF" w:rsidRDefault="00410CAF" w:rsidP="00410CAF"/>
    <w:p w14:paraId="39BD621C" w14:textId="77777777" w:rsidR="00410CAF" w:rsidRPr="00410CAF" w:rsidRDefault="00410CAF" w:rsidP="00410CAF">
      <w:pPr>
        <w:rPr>
          <w:sz w:val="24"/>
          <w:szCs w:val="24"/>
          <w:lang w:eastAsia="bg-BG"/>
        </w:rPr>
      </w:pPr>
      <w:r w:rsidRPr="00410CAF">
        <w:rPr>
          <w:lang w:eastAsia="bg-BG"/>
        </w:rPr>
        <w:t xml:space="preserve">Тезео НСТ 80 </w:t>
      </w:r>
      <w:r w:rsidRPr="00410CAF">
        <w:rPr>
          <w:lang w:val="en-US"/>
        </w:rPr>
        <w:t>mg/</w:t>
      </w:r>
      <w:r w:rsidRPr="00410CAF">
        <w:rPr>
          <w:lang w:eastAsia="bg-BG"/>
        </w:rPr>
        <w:t xml:space="preserve">12,5 </w:t>
      </w:r>
      <w:r w:rsidRPr="00410CAF">
        <w:rPr>
          <w:lang w:val="en-US"/>
        </w:rPr>
        <w:t xml:space="preserve">mg </w:t>
      </w:r>
      <w:r w:rsidRPr="00410CAF">
        <w:rPr>
          <w:lang w:eastAsia="bg-BG"/>
        </w:rPr>
        <w:t>таблетки</w:t>
      </w:r>
    </w:p>
    <w:p w14:paraId="31698D96" w14:textId="77777777" w:rsidR="00410CAF" w:rsidRPr="00410CAF" w:rsidRDefault="00410CAF" w:rsidP="00410CAF">
      <w:pPr>
        <w:rPr>
          <w:sz w:val="24"/>
          <w:szCs w:val="24"/>
          <w:lang w:eastAsia="bg-BG"/>
        </w:rPr>
      </w:pPr>
      <w:proofErr w:type="spellStart"/>
      <w:r w:rsidRPr="00410CAF">
        <w:rPr>
          <w:lang w:val="en-US"/>
        </w:rPr>
        <w:t>Tezeo</w:t>
      </w:r>
      <w:proofErr w:type="spellEnd"/>
      <w:r w:rsidRPr="00410CAF">
        <w:rPr>
          <w:lang w:val="en-US"/>
        </w:rPr>
        <w:t xml:space="preserve"> </w:t>
      </w:r>
      <w:r w:rsidRPr="00410CAF">
        <w:rPr>
          <w:lang w:eastAsia="bg-BG"/>
        </w:rPr>
        <w:t xml:space="preserve">НСТ 80 </w:t>
      </w:r>
      <w:r w:rsidRPr="00410CAF">
        <w:rPr>
          <w:lang w:val="en-US"/>
        </w:rPr>
        <w:t>mg/</w:t>
      </w:r>
      <w:r w:rsidRPr="00410CAF">
        <w:rPr>
          <w:lang w:eastAsia="bg-BG"/>
        </w:rPr>
        <w:t xml:space="preserve">12,5 </w:t>
      </w:r>
      <w:r w:rsidRPr="00410CAF">
        <w:rPr>
          <w:lang w:val="en-US"/>
        </w:rPr>
        <w:t>mg tablets</w:t>
      </w:r>
    </w:p>
    <w:p w14:paraId="0AACD78A" w14:textId="77777777" w:rsidR="00410CAF" w:rsidRPr="00410CAF" w:rsidRDefault="00410CAF" w:rsidP="00410CAF"/>
    <w:p w14:paraId="0DF202EC" w14:textId="275459D8" w:rsidR="00F53FB7" w:rsidRDefault="00DD466D" w:rsidP="00A93499">
      <w:pPr>
        <w:pStyle w:val="Heading1"/>
      </w:pPr>
      <w:r>
        <w:t>2. КАЧЕСТВЕН И КОЛИЧЕСТВЕН СЪСТАВ</w:t>
      </w:r>
    </w:p>
    <w:p w14:paraId="6A07728E" w14:textId="3AC2AF8B" w:rsidR="00410CAF" w:rsidRDefault="00410CAF" w:rsidP="00410CAF"/>
    <w:p w14:paraId="20C5196D" w14:textId="77777777" w:rsidR="00410CAF" w:rsidRPr="00410CAF" w:rsidRDefault="00410CAF" w:rsidP="00410CAF">
      <w:pPr>
        <w:rPr>
          <w:sz w:val="24"/>
          <w:szCs w:val="24"/>
          <w:lang w:eastAsia="bg-BG"/>
        </w:rPr>
      </w:pPr>
      <w:r w:rsidRPr="00410CAF">
        <w:rPr>
          <w:lang w:eastAsia="bg-BG"/>
        </w:rPr>
        <w:t xml:space="preserve">Всяка таблетка съдържа 80 </w:t>
      </w:r>
      <w:r w:rsidRPr="00410CAF">
        <w:rPr>
          <w:lang w:val="en-US"/>
        </w:rPr>
        <w:t xml:space="preserve">mg </w:t>
      </w:r>
      <w:r w:rsidRPr="00410CAF">
        <w:rPr>
          <w:lang w:eastAsia="bg-BG"/>
        </w:rPr>
        <w:t xml:space="preserve">телмисартан </w:t>
      </w:r>
      <w:r w:rsidRPr="00410CAF">
        <w:rPr>
          <w:i/>
          <w:iCs/>
          <w:lang w:val="en-US"/>
        </w:rPr>
        <w:t>(telmisartan)</w:t>
      </w:r>
      <w:r w:rsidRPr="00410CAF">
        <w:rPr>
          <w:lang w:val="en-US"/>
        </w:rPr>
        <w:t xml:space="preserve"> </w:t>
      </w:r>
      <w:r w:rsidRPr="00410CAF">
        <w:rPr>
          <w:lang w:eastAsia="bg-BG"/>
        </w:rPr>
        <w:t xml:space="preserve">и 12,5 </w:t>
      </w:r>
      <w:r w:rsidRPr="00410CAF">
        <w:rPr>
          <w:lang w:val="en-US"/>
        </w:rPr>
        <w:t xml:space="preserve">mg </w:t>
      </w:r>
      <w:r w:rsidRPr="00410CAF">
        <w:rPr>
          <w:lang w:eastAsia="bg-BG"/>
        </w:rPr>
        <w:t xml:space="preserve">хидрохлоротиазид </w:t>
      </w:r>
      <w:r w:rsidRPr="00410CAF">
        <w:rPr>
          <w:i/>
          <w:iCs/>
          <w:lang w:val="en-US"/>
        </w:rPr>
        <w:t>(hydrochlorothiazide)</w:t>
      </w:r>
      <w:r w:rsidRPr="00410CAF">
        <w:rPr>
          <w:i/>
          <w:iCs/>
          <w:lang w:eastAsia="bg-BG"/>
        </w:rPr>
        <w:t>.</w:t>
      </w:r>
    </w:p>
    <w:p w14:paraId="35924B75" w14:textId="77777777" w:rsidR="00410CAF" w:rsidRDefault="00410CAF" w:rsidP="00410CAF">
      <w:pPr>
        <w:rPr>
          <w:u w:val="single"/>
          <w:lang w:eastAsia="bg-BG"/>
        </w:rPr>
      </w:pPr>
    </w:p>
    <w:p w14:paraId="446D30E1" w14:textId="5E8BD5B4" w:rsidR="00410CAF" w:rsidRPr="00410CAF" w:rsidRDefault="00410CAF" w:rsidP="00410CAF">
      <w:pPr>
        <w:rPr>
          <w:sz w:val="24"/>
          <w:szCs w:val="24"/>
          <w:lang w:eastAsia="bg-BG"/>
        </w:rPr>
      </w:pPr>
      <w:r w:rsidRPr="00410CAF">
        <w:rPr>
          <w:u w:val="single"/>
          <w:lang w:eastAsia="bg-BG"/>
        </w:rPr>
        <w:t>Помощни вещества с известно действие:</w:t>
      </w:r>
      <w:r w:rsidRPr="00410CAF">
        <w:rPr>
          <w:lang w:eastAsia="bg-BG"/>
        </w:rPr>
        <w:t xml:space="preserve"> сорбитол (Е420).</w:t>
      </w:r>
    </w:p>
    <w:p w14:paraId="2BF9101D" w14:textId="77777777" w:rsidR="00410CAF" w:rsidRPr="00410CAF" w:rsidRDefault="00410CAF" w:rsidP="00410CAF">
      <w:pPr>
        <w:rPr>
          <w:sz w:val="24"/>
          <w:szCs w:val="24"/>
          <w:lang w:eastAsia="bg-BG"/>
        </w:rPr>
      </w:pPr>
      <w:r w:rsidRPr="00410CAF">
        <w:rPr>
          <w:lang w:eastAsia="bg-BG"/>
        </w:rPr>
        <w:t xml:space="preserve">Всяка таблетка съдържа 348,3 </w:t>
      </w:r>
      <w:r w:rsidRPr="00410CAF">
        <w:rPr>
          <w:lang w:val="en-US"/>
        </w:rPr>
        <w:t xml:space="preserve">mg </w:t>
      </w:r>
      <w:r w:rsidRPr="00410CAF">
        <w:rPr>
          <w:lang w:eastAsia="bg-BG"/>
        </w:rPr>
        <w:t>сорбитол.</w:t>
      </w:r>
    </w:p>
    <w:p w14:paraId="59D527EF" w14:textId="77777777" w:rsidR="00410CAF" w:rsidRPr="00410CAF" w:rsidRDefault="00410CAF" w:rsidP="00410CAF"/>
    <w:p w14:paraId="4CABB9ED" w14:textId="698F6846" w:rsidR="00F53FB7" w:rsidRDefault="00DD466D" w:rsidP="00A93499">
      <w:pPr>
        <w:pStyle w:val="Heading1"/>
      </w:pPr>
      <w:r>
        <w:t>3. ЛЕКАРСТВЕНА ФОРМА</w:t>
      </w:r>
    </w:p>
    <w:p w14:paraId="3DA046E8" w14:textId="48CD0753" w:rsidR="00410CAF" w:rsidRDefault="00410CAF" w:rsidP="00410CAF"/>
    <w:p w14:paraId="6826A874" w14:textId="77777777" w:rsidR="00410CAF" w:rsidRPr="00410CAF" w:rsidRDefault="00410CAF" w:rsidP="00410CAF">
      <w:pPr>
        <w:rPr>
          <w:sz w:val="24"/>
          <w:szCs w:val="24"/>
          <w:lang w:eastAsia="bg-BG"/>
        </w:rPr>
      </w:pPr>
      <w:r w:rsidRPr="00410CAF">
        <w:rPr>
          <w:lang w:eastAsia="bg-BG"/>
        </w:rPr>
        <w:t>Таблетки.</w:t>
      </w:r>
    </w:p>
    <w:p w14:paraId="027A4436" w14:textId="77777777" w:rsidR="00410CAF" w:rsidRDefault="00410CAF" w:rsidP="00410CAF">
      <w:pPr>
        <w:rPr>
          <w:lang w:eastAsia="bg-BG"/>
        </w:rPr>
      </w:pPr>
    </w:p>
    <w:p w14:paraId="2E1964E0" w14:textId="19984ACC" w:rsidR="00410CAF" w:rsidRPr="00410CAF" w:rsidRDefault="00410CAF" w:rsidP="00410CAF">
      <w:pPr>
        <w:rPr>
          <w:sz w:val="24"/>
          <w:szCs w:val="24"/>
          <w:lang w:eastAsia="bg-BG"/>
        </w:rPr>
      </w:pPr>
      <w:r w:rsidRPr="00410CAF">
        <w:rPr>
          <w:lang w:eastAsia="bg-BG"/>
        </w:rPr>
        <w:t xml:space="preserve">Почти бели до жълтеникави, продълговати, двойноизпъкнали таблетки, гравирани с “81” от едната страна, с размери: дължина 16,5 </w:t>
      </w:r>
      <w:r w:rsidRPr="00410CAF">
        <w:rPr>
          <w:lang w:val="en-US"/>
        </w:rPr>
        <w:t xml:space="preserve">mm </w:t>
      </w:r>
      <w:r w:rsidRPr="00410CAF">
        <w:rPr>
          <w:lang w:eastAsia="bg-BG"/>
        </w:rPr>
        <w:t xml:space="preserve">и ширина 8,3 </w:t>
      </w:r>
      <w:r w:rsidRPr="00410CAF">
        <w:rPr>
          <w:lang w:val="en-US"/>
        </w:rPr>
        <w:t>mm</w:t>
      </w:r>
      <w:r w:rsidRPr="00410CAF">
        <w:rPr>
          <w:lang w:eastAsia="bg-BG"/>
        </w:rPr>
        <w:t>.</w:t>
      </w:r>
    </w:p>
    <w:p w14:paraId="7C9EDB35" w14:textId="77777777" w:rsidR="00410CAF" w:rsidRPr="00410CAF" w:rsidRDefault="00410CAF" w:rsidP="00410CAF"/>
    <w:p w14:paraId="490FC2C4" w14:textId="6899DE43" w:rsidR="002C50EE" w:rsidRDefault="002C50EE" w:rsidP="002C50EE">
      <w:pPr>
        <w:pStyle w:val="Heading1"/>
      </w:pPr>
      <w:r>
        <w:t>4. КЛИНИЧНИ ДАННИ</w:t>
      </w:r>
    </w:p>
    <w:p w14:paraId="1A37D275" w14:textId="31B58697" w:rsidR="00F53FB7" w:rsidRDefault="002C50EE" w:rsidP="00A93499">
      <w:pPr>
        <w:pStyle w:val="Heading2"/>
      </w:pPr>
      <w:r>
        <w:t>4.1. Терапевтични показания</w:t>
      </w:r>
    </w:p>
    <w:p w14:paraId="1BF92E3E" w14:textId="416FBCC4" w:rsidR="00410CAF" w:rsidRDefault="00410CAF" w:rsidP="00410CAF"/>
    <w:p w14:paraId="34B9D902" w14:textId="77777777" w:rsidR="00410CAF" w:rsidRPr="00410CAF" w:rsidRDefault="00410CAF" w:rsidP="00410CAF">
      <w:pPr>
        <w:rPr>
          <w:sz w:val="24"/>
          <w:szCs w:val="24"/>
          <w:lang w:eastAsia="bg-BG"/>
        </w:rPr>
      </w:pPr>
      <w:r w:rsidRPr="00410CAF">
        <w:rPr>
          <w:lang w:eastAsia="bg-BG"/>
        </w:rPr>
        <w:t>Лечение на есенциална хипертония.</w:t>
      </w:r>
    </w:p>
    <w:p w14:paraId="5E2DC977" w14:textId="77777777" w:rsidR="00410CAF" w:rsidRDefault="00410CAF" w:rsidP="00410CAF">
      <w:pPr>
        <w:rPr>
          <w:lang w:eastAsia="bg-BG"/>
        </w:rPr>
      </w:pPr>
    </w:p>
    <w:p w14:paraId="58C6F4F9" w14:textId="75D742E2" w:rsidR="00410CAF" w:rsidRPr="00410CAF" w:rsidRDefault="00410CAF" w:rsidP="00410CAF">
      <w:pPr>
        <w:rPr>
          <w:sz w:val="24"/>
          <w:szCs w:val="24"/>
          <w:lang w:eastAsia="bg-BG"/>
        </w:rPr>
      </w:pPr>
      <w:r w:rsidRPr="00410CAF">
        <w:rPr>
          <w:lang w:eastAsia="bg-BG"/>
        </w:rPr>
        <w:t xml:space="preserve">Комбинираният лекарствен продукт Тезео НСТ е с фиксирани дози (80 </w:t>
      </w:r>
      <w:r w:rsidRPr="00410CAF">
        <w:rPr>
          <w:lang w:val="en-US"/>
        </w:rPr>
        <w:t xml:space="preserve">mg </w:t>
      </w:r>
      <w:r w:rsidRPr="00410CAF">
        <w:rPr>
          <w:lang w:eastAsia="bg-BG"/>
        </w:rPr>
        <w:t xml:space="preserve">телмисартан/12,5 </w:t>
      </w:r>
      <w:r w:rsidRPr="00410CAF">
        <w:rPr>
          <w:lang w:val="en-US"/>
        </w:rPr>
        <w:t xml:space="preserve">mg </w:t>
      </w:r>
      <w:r w:rsidRPr="00410CAF">
        <w:rPr>
          <w:lang w:eastAsia="bg-BG"/>
        </w:rPr>
        <w:t>хидрохлоротиазид) и е показан за лечение на възрастни, чието кръвно налягане не е контролирано адекватно само с телмисартан.</w:t>
      </w:r>
    </w:p>
    <w:p w14:paraId="76A9868A" w14:textId="77777777" w:rsidR="00410CAF" w:rsidRPr="00410CAF" w:rsidRDefault="00410CAF" w:rsidP="00410CAF"/>
    <w:p w14:paraId="05D17336" w14:textId="61BC2AC2" w:rsidR="00F53FB7" w:rsidRDefault="002C50EE" w:rsidP="00A93499">
      <w:pPr>
        <w:pStyle w:val="Heading2"/>
      </w:pPr>
      <w:r>
        <w:t>4.2. Дозировка и начин на приложение</w:t>
      </w:r>
    </w:p>
    <w:p w14:paraId="0AC13331" w14:textId="30D582B1" w:rsidR="00410CAF" w:rsidRDefault="00410CAF" w:rsidP="00410CAF"/>
    <w:p w14:paraId="2C3C2FEF" w14:textId="77777777" w:rsidR="00410CAF" w:rsidRPr="00410CAF" w:rsidRDefault="00410CAF" w:rsidP="00410CAF">
      <w:pPr>
        <w:pStyle w:val="Heading3"/>
        <w:rPr>
          <w:rFonts w:eastAsia="Times New Roman"/>
          <w:sz w:val="28"/>
          <w:szCs w:val="28"/>
          <w:u w:val="single"/>
          <w:lang w:eastAsia="bg-BG"/>
        </w:rPr>
      </w:pPr>
      <w:r w:rsidRPr="00410CAF">
        <w:rPr>
          <w:rFonts w:eastAsia="Times New Roman"/>
          <w:u w:val="single"/>
          <w:lang w:eastAsia="bg-BG"/>
        </w:rPr>
        <w:t>Дозировка</w:t>
      </w:r>
    </w:p>
    <w:p w14:paraId="6CDC03CC" w14:textId="77777777" w:rsidR="00410CAF" w:rsidRPr="00410CAF" w:rsidRDefault="00410CAF" w:rsidP="00410CAF">
      <w:pPr>
        <w:spacing w:line="240" w:lineRule="auto"/>
        <w:rPr>
          <w:rFonts w:eastAsia="Times New Roman" w:cs="Arial"/>
          <w:i/>
          <w:iCs/>
          <w:color w:val="000000"/>
          <w:lang w:eastAsia="bg-BG"/>
        </w:rPr>
      </w:pPr>
    </w:p>
    <w:p w14:paraId="1C07B9C5" w14:textId="759B9625" w:rsidR="00410CAF" w:rsidRPr="00410CAF" w:rsidRDefault="00410CAF" w:rsidP="00410CAF">
      <w:pPr>
        <w:spacing w:line="240" w:lineRule="auto"/>
        <w:rPr>
          <w:rFonts w:eastAsia="Times New Roman" w:cs="Arial"/>
          <w:sz w:val="28"/>
          <w:szCs w:val="28"/>
          <w:lang w:eastAsia="bg-BG"/>
        </w:rPr>
      </w:pPr>
      <w:r w:rsidRPr="00410CAF">
        <w:rPr>
          <w:rFonts w:eastAsia="Times New Roman" w:cs="Arial"/>
          <w:i/>
          <w:iCs/>
          <w:color w:val="000000"/>
          <w:lang w:eastAsia="bg-BG"/>
        </w:rPr>
        <w:t>Възрастни</w:t>
      </w:r>
    </w:p>
    <w:p w14:paraId="6F6E7B27" w14:textId="77777777"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Тезео НСТ се приема от пациенти, чието кръвно налягане не е адекватно контролирано при прием само на телмисартан. Преди да се премине към този комбиниран лекарствен продукт с фиксирани дози е необходимо поотделно да се титрират дозите на всеки от двата компонента. При подходящи клинични показания може директно да се премине от монотерапията към прием на комбинирания лекарствен продукт.</w:t>
      </w:r>
    </w:p>
    <w:p w14:paraId="7C777708" w14:textId="7A0A2DC4" w:rsidR="00410CAF" w:rsidRPr="00410CAF" w:rsidRDefault="00410CAF" w:rsidP="00410CAF">
      <w:pPr>
        <w:pStyle w:val="ListParagraph"/>
        <w:numPr>
          <w:ilvl w:val="0"/>
          <w:numId w:val="40"/>
        </w:numPr>
        <w:spacing w:line="240" w:lineRule="auto"/>
        <w:rPr>
          <w:rFonts w:eastAsia="Times New Roman" w:cs="Arial"/>
          <w:sz w:val="28"/>
          <w:szCs w:val="28"/>
          <w:lang w:eastAsia="bg-BG"/>
        </w:rPr>
      </w:pPr>
      <w:r w:rsidRPr="00410CAF">
        <w:rPr>
          <w:rFonts w:eastAsia="Times New Roman" w:cs="Arial"/>
          <w:color w:val="000000"/>
          <w:lang w:eastAsia="bg-BG"/>
        </w:rPr>
        <w:lastRenderedPageBreak/>
        <w:t xml:space="preserve">Тезео НСТ 80 </w:t>
      </w:r>
      <w:r w:rsidRPr="00410CAF">
        <w:rPr>
          <w:rFonts w:eastAsia="Times New Roman" w:cs="Arial"/>
          <w:color w:val="000000"/>
          <w:lang w:val="en-US"/>
        </w:rPr>
        <w:t>mg/</w:t>
      </w:r>
      <w:r w:rsidRPr="00410CAF">
        <w:rPr>
          <w:rFonts w:eastAsia="Times New Roman" w:cs="Arial"/>
          <w:color w:val="000000"/>
          <w:lang w:eastAsia="bg-BG"/>
        </w:rPr>
        <w:t xml:space="preserve">12,5 </w:t>
      </w:r>
      <w:r w:rsidRPr="00410CAF">
        <w:rPr>
          <w:rFonts w:eastAsia="Times New Roman" w:cs="Arial"/>
          <w:color w:val="000000"/>
          <w:lang w:val="en-US"/>
        </w:rPr>
        <w:t xml:space="preserve">mg </w:t>
      </w:r>
      <w:r w:rsidRPr="00410CAF">
        <w:rPr>
          <w:rFonts w:eastAsia="Times New Roman" w:cs="Arial"/>
          <w:color w:val="000000"/>
          <w:lang w:eastAsia="bg-BG"/>
        </w:rPr>
        <w:t xml:space="preserve">може да се приложи един път дневно при пациенти, чието кръвно налягане не е адекватно контролирано при самостоятелно прилагане на телмисартан 80 </w:t>
      </w:r>
      <w:r w:rsidRPr="00410CAF">
        <w:rPr>
          <w:rFonts w:eastAsia="Times New Roman" w:cs="Arial"/>
          <w:color w:val="000000"/>
          <w:lang w:val="en-US"/>
        </w:rPr>
        <w:t xml:space="preserve">mg. </w:t>
      </w:r>
      <w:r w:rsidRPr="00410CAF">
        <w:rPr>
          <w:rFonts w:eastAsia="Times New Roman" w:cs="Arial"/>
          <w:color w:val="000000"/>
          <w:lang w:eastAsia="bg-BG"/>
        </w:rPr>
        <w:t xml:space="preserve">Тезео НСТ е наличен в дози 40 </w:t>
      </w:r>
      <w:r w:rsidRPr="00410CAF">
        <w:rPr>
          <w:rFonts w:eastAsia="Times New Roman" w:cs="Arial"/>
          <w:color w:val="000000"/>
          <w:lang w:val="en-US"/>
        </w:rPr>
        <w:t>mg/</w:t>
      </w:r>
      <w:r w:rsidRPr="00410CAF">
        <w:rPr>
          <w:rFonts w:eastAsia="Times New Roman" w:cs="Arial"/>
          <w:color w:val="000000"/>
          <w:lang w:eastAsia="bg-BG"/>
        </w:rPr>
        <w:t xml:space="preserve">12,5 </w:t>
      </w:r>
      <w:r w:rsidRPr="00410CAF">
        <w:rPr>
          <w:rFonts w:eastAsia="Times New Roman" w:cs="Arial"/>
          <w:color w:val="000000"/>
          <w:lang w:val="en-US"/>
        </w:rPr>
        <w:t xml:space="preserve">mg </w:t>
      </w:r>
      <w:r w:rsidRPr="00410CAF">
        <w:rPr>
          <w:rFonts w:eastAsia="Times New Roman" w:cs="Arial"/>
          <w:color w:val="000000"/>
          <w:lang w:eastAsia="bg-BG"/>
        </w:rPr>
        <w:t xml:space="preserve">и 80 </w:t>
      </w:r>
      <w:r w:rsidRPr="00410CAF">
        <w:rPr>
          <w:rFonts w:eastAsia="Times New Roman" w:cs="Arial"/>
          <w:color w:val="000000"/>
          <w:lang w:val="en-US"/>
        </w:rPr>
        <w:t>mg/25 mg.</w:t>
      </w:r>
    </w:p>
    <w:p w14:paraId="7BCA0C0B" w14:textId="0C0C8202" w:rsidR="00410CAF" w:rsidRPr="00410CAF" w:rsidRDefault="00410CAF" w:rsidP="00410CAF">
      <w:pPr>
        <w:rPr>
          <w:rFonts w:cs="Arial"/>
          <w:sz w:val="24"/>
          <w:szCs w:val="24"/>
        </w:rPr>
      </w:pPr>
    </w:p>
    <w:p w14:paraId="47D948B4" w14:textId="77777777" w:rsidR="00410CAF" w:rsidRPr="00410CAF" w:rsidRDefault="00410CAF" w:rsidP="00410CAF">
      <w:pPr>
        <w:spacing w:line="240" w:lineRule="auto"/>
        <w:rPr>
          <w:rFonts w:eastAsia="Times New Roman" w:cs="Arial"/>
          <w:sz w:val="28"/>
          <w:szCs w:val="28"/>
          <w:lang w:eastAsia="bg-BG"/>
        </w:rPr>
      </w:pPr>
      <w:r w:rsidRPr="00410CAF">
        <w:rPr>
          <w:rFonts w:eastAsia="Times New Roman" w:cs="Arial"/>
          <w:i/>
          <w:iCs/>
          <w:color w:val="000000"/>
          <w:u w:val="single"/>
          <w:lang w:eastAsia="bg-BG"/>
        </w:rPr>
        <w:t>Специални популации:</w:t>
      </w:r>
    </w:p>
    <w:p w14:paraId="580D3644" w14:textId="77777777" w:rsidR="00410CAF" w:rsidRPr="00410CAF" w:rsidRDefault="00410CAF" w:rsidP="00410CAF">
      <w:pPr>
        <w:spacing w:line="240" w:lineRule="auto"/>
        <w:rPr>
          <w:rFonts w:eastAsia="Times New Roman" w:cs="Arial"/>
          <w:i/>
          <w:iCs/>
          <w:color w:val="000000"/>
          <w:lang w:eastAsia="bg-BG"/>
        </w:rPr>
      </w:pPr>
    </w:p>
    <w:p w14:paraId="75C6FB14" w14:textId="3405A810" w:rsidR="00410CAF" w:rsidRPr="00410CAF" w:rsidRDefault="00410CAF" w:rsidP="00410CAF">
      <w:pPr>
        <w:spacing w:line="240" w:lineRule="auto"/>
        <w:rPr>
          <w:rFonts w:eastAsia="Times New Roman" w:cs="Arial"/>
          <w:sz w:val="28"/>
          <w:szCs w:val="28"/>
          <w:lang w:eastAsia="bg-BG"/>
        </w:rPr>
      </w:pPr>
      <w:r w:rsidRPr="00410CAF">
        <w:rPr>
          <w:rFonts w:eastAsia="Times New Roman" w:cs="Arial"/>
          <w:i/>
          <w:iCs/>
          <w:color w:val="000000"/>
          <w:lang w:eastAsia="bg-BG"/>
        </w:rPr>
        <w:t>Бъбречно увреждане</w:t>
      </w:r>
    </w:p>
    <w:p w14:paraId="6D9B185D" w14:textId="77777777"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Препоръчва се периодично проследяване на бъбречните функции (вж. точка 4.4).</w:t>
      </w:r>
    </w:p>
    <w:p w14:paraId="0EF1235D" w14:textId="77777777" w:rsidR="00410CAF" w:rsidRPr="00410CAF" w:rsidRDefault="00410CAF" w:rsidP="00410CAF">
      <w:pPr>
        <w:spacing w:line="240" w:lineRule="auto"/>
        <w:rPr>
          <w:rFonts w:eastAsia="Times New Roman" w:cs="Arial"/>
          <w:i/>
          <w:iCs/>
          <w:color w:val="000000"/>
          <w:lang w:eastAsia="bg-BG"/>
        </w:rPr>
      </w:pPr>
    </w:p>
    <w:p w14:paraId="7202896A" w14:textId="0DE7C159" w:rsidR="00410CAF" w:rsidRPr="00410CAF" w:rsidRDefault="00410CAF" w:rsidP="00410CAF">
      <w:pPr>
        <w:spacing w:line="240" w:lineRule="auto"/>
        <w:rPr>
          <w:rFonts w:eastAsia="Times New Roman" w:cs="Arial"/>
          <w:sz w:val="28"/>
          <w:szCs w:val="28"/>
          <w:lang w:eastAsia="bg-BG"/>
        </w:rPr>
      </w:pPr>
      <w:r w:rsidRPr="00410CAF">
        <w:rPr>
          <w:rFonts w:eastAsia="Times New Roman" w:cs="Arial"/>
          <w:i/>
          <w:iCs/>
          <w:color w:val="000000"/>
          <w:lang w:eastAsia="bg-BG"/>
        </w:rPr>
        <w:t>Чернодробно увреждане</w:t>
      </w:r>
    </w:p>
    <w:p w14:paraId="665E9B6B" w14:textId="77777777"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 xml:space="preserve">При пациенти с леко до средно чернодробно увреждане дозировката не трябвала надвишава Тезео НСТ 40 </w:t>
      </w:r>
      <w:r w:rsidRPr="00410CAF">
        <w:rPr>
          <w:rFonts w:eastAsia="Times New Roman" w:cs="Arial"/>
          <w:color w:val="000000"/>
          <w:lang w:val="en-US"/>
        </w:rPr>
        <w:t xml:space="preserve">mg/12,5 mg </w:t>
      </w:r>
      <w:r w:rsidRPr="00410CAF">
        <w:rPr>
          <w:rFonts w:eastAsia="Times New Roman" w:cs="Arial"/>
          <w:color w:val="000000"/>
          <w:lang w:eastAsia="bg-BG"/>
        </w:rPr>
        <w:t>веднъж дневно. Тезео НСТ не е показан за лечение на пациенти с тежки чернодробни нарушения. Тиазидите трябва да се използват предпазливо при пациенти с нарушени чернодробни функции (вж. точка 4.4).</w:t>
      </w:r>
    </w:p>
    <w:p w14:paraId="499CD16E" w14:textId="77777777" w:rsidR="00410CAF" w:rsidRPr="00410CAF" w:rsidRDefault="00410CAF" w:rsidP="00410CAF">
      <w:pPr>
        <w:spacing w:line="240" w:lineRule="auto"/>
        <w:rPr>
          <w:rFonts w:eastAsia="Times New Roman" w:cs="Arial"/>
          <w:i/>
          <w:iCs/>
          <w:color w:val="000000"/>
          <w:lang w:eastAsia="bg-BG"/>
        </w:rPr>
      </w:pPr>
    </w:p>
    <w:p w14:paraId="567D5813" w14:textId="53E66AD2" w:rsidR="00410CAF" w:rsidRPr="00410CAF" w:rsidRDefault="00410CAF" w:rsidP="00410CAF">
      <w:pPr>
        <w:spacing w:line="240" w:lineRule="auto"/>
        <w:rPr>
          <w:rFonts w:eastAsia="Times New Roman" w:cs="Arial"/>
          <w:sz w:val="28"/>
          <w:szCs w:val="28"/>
          <w:lang w:eastAsia="bg-BG"/>
        </w:rPr>
      </w:pPr>
      <w:r w:rsidRPr="00410CAF">
        <w:rPr>
          <w:rFonts w:eastAsia="Times New Roman" w:cs="Arial"/>
          <w:i/>
          <w:iCs/>
          <w:color w:val="000000"/>
          <w:lang w:eastAsia="bg-BG"/>
        </w:rPr>
        <w:t>Старческа възраст</w:t>
      </w:r>
    </w:p>
    <w:p w14:paraId="21A8A294" w14:textId="77777777"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Не е необходимо коригиране на дозата при пациенти в старческа възраст.</w:t>
      </w:r>
    </w:p>
    <w:p w14:paraId="524B93B8" w14:textId="77777777" w:rsidR="00410CAF" w:rsidRPr="00410CAF" w:rsidRDefault="00410CAF" w:rsidP="00410CAF">
      <w:pPr>
        <w:spacing w:line="240" w:lineRule="auto"/>
        <w:rPr>
          <w:rFonts w:eastAsia="Times New Roman" w:cs="Arial"/>
          <w:i/>
          <w:iCs/>
          <w:color w:val="000000"/>
          <w:lang w:eastAsia="bg-BG"/>
        </w:rPr>
      </w:pPr>
    </w:p>
    <w:p w14:paraId="5D71BACA" w14:textId="201B4C51" w:rsidR="00410CAF" w:rsidRPr="00410CAF" w:rsidRDefault="00410CAF" w:rsidP="00410CAF">
      <w:pPr>
        <w:spacing w:line="240" w:lineRule="auto"/>
        <w:rPr>
          <w:rFonts w:eastAsia="Times New Roman" w:cs="Arial"/>
          <w:sz w:val="28"/>
          <w:szCs w:val="28"/>
          <w:lang w:eastAsia="bg-BG"/>
        </w:rPr>
      </w:pPr>
      <w:r w:rsidRPr="00410CAF">
        <w:rPr>
          <w:rFonts w:eastAsia="Times New Roman" w:cs="Arial"/>
          <w:i/>
          <w:iCs/>
          <w:color w:val="000000"/>
          <w:lang w:eastAsia="bg-BG"/>
        </w:rPr>
        <w:t>Педиатрична популация</w:t>
      </w:r>
    </w:p>
    <w:p w14:paraId="6F17CBF8" w14:textId="77777777"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Безопасността и ефикасността на Тезео НСТ при деца и юноши на възраст под 18 години не са установени. Няма налични данни.</w:t>
      </w:r>
    </w:p>
    <w:p w14:paraId="10B87B5C" w14:textId="77777777" w:rsidR="00410CAF" w:rsidRPr="00410CAF" w:rsidRDefault="00410CAF" w:rsidP="00410CAF">
      <w:pPr>
        <w:spacing w:line="240" w:lineRule="auto"/>
        <w:rPr>
          <w:rFonts w:eastAsia="Times New Roman" w:cs="Arial"/>
          <w:color w:val="000000"/>
          <w:u w:val="single"/>
          <w:lang w:eastAsia="bg-BG"/>
        </w:rPr>
      </w:pPr>
    </w:p>
    <w:p w14:paraId="7EF8DB35" w14:textId="386EE0F2" w:rsidR="00410CAF" w:rsidRPr="00410CAF" w:rsidRDefault="00410CAF" w:rsidP="00410CAF">
      <w:pPr>
        <w:pStyle w:val="Heading3"/>
        <w:rPr>
          <w:rFonts w:eastAsia="Times New Roman"/>
          <w:sz w:val="28"/>
          <w:szCs w:val="28"/>
          <w:u w:val="single"/>
          <w:lang w:eastAsia="bg-BG"/>
        </w:rPr>
      </w:pPr>
      <w:r w:rsidRPr="00410CAF">
        <w:rPr>
          <w:rFonts w:eastAsia="Times New Roman"/>
          <w:u w:val="single"/>
          <w:lang w:eastAsia="bg-BG"/>
        </w:rPr>
        <w:t>Начин на приложение</w:t>
      </w:r>
    </w:p>
    <w:p w14:paraId="2BFE72AC" w14:textId="77777777" w:rsidR="00410CAF" w:rsidRPr="00410CAF" w:rsidRDefault="00410CAF" w:rsidP="00410CAF">
      <w:pPr>
        <w:spacing w:line="240" w:lineRule="auto"/>
        <w:rPr>
          <w:rFonts w:ascii="Times New Roman" w:eastAsia="Times New Roman" w:hAnsi="Times New Roman" w:cs="Times New Roman"/>
          <w:sz w:val="24"/>
          <w:szCs w:val="24"/>
          <w:lang w:eastAsia="bg-BG"/>
        </w:rPr>
      </w:pPr>
      <w:r w:rsidRPr="00410CAF">
        <w:rPr>
          <w:rFonts w:eastAsia="Times New Roman" w:cs="Arial"/>
          <w:color w:val="000000"/>
          <w:lang w:eastAsia="bg-BG"/>
        </w:rPr>
        <w:t>Таблетките Тезео НСТ са предназначени за перорално приложение веднъж дневно и трябва да се приемат с течност, със или без храна.</w:t>
      </w:r>
    </w:p>
    <w:p w14:paraId="56E44DE8" w14:textId="77777777" w:rsidR="00410CAF" w:rsidRPr="00410CAF" w:rsidRDefault="00410CAF" w:rsidP="00410CAF"/>
    <w:p w14:paraId="1BF2EFF4" w14:textId="785DD37E" w:rsidR="001A6EBD" w:rsidRDefault="002C50EE" w:rsidP="00471F10">
      <w:pPr>
        <w:pStyle w:val="Heading2"/>
      </w:pPr>
      <w:r>
        <w:t>4.3. Противопоказания</w:t>
      </w:r>
    </w:p>
    <w:p w14:paraId="4287780B" w14:textId="62150DCB" w:rsidR="00410CAF" w:rsidRDefault="00410CAF" w:rsidP="00410CAF"/>
    <w:p w14:paraId="36014B4C" w14:textId="77777777" w:rsidR="00410CAF" w:rsidRPr="00410CAF" w:rsidRDefault="00410CAF" w:rsidP="00410CAF">
      <w:pPr>
        <w:pStyle w:val="ListParagraph"/>
        <w:numPr>
          <w:ilvl w:val="0"/>
          <w:numId w:val="41"/>
        </w:numPr>
        <w:spacing w:line="240" w:lineRule="auto"/>
        <w:rPr>
          <w:rFonts w:eastAsia="Times New Roman" w:cs="Arial"/>
          <w:color w:val="000000"/>
          <w:lang w:eastAsia="bg-BG"/>
        </w:rPr>
      </w:pPr>
      <w:r w:rsidRPr="00410CAF">
        <w:rPr>
          <w:rFonts w:eastAsia="Times New Roman" w:cs="Arial"/>
          <w:color w:val="000000"/>
          <w:lang w:eastAsia="bg-BG"/>
        </w:rPr>
        <w:t>Свръхчувствителност към някое от активните вещества или към някое от помощните вещества, изброени в точка 6.1.</w:t>
      </w:r>
    </w:p>
    <w:p w14:paraId="63668399" w14:textId="77777777" w:rsidR="00410CAF" w:rsidRPr="00410CAF" w:rsidRDefault="00410CAF" w:rsidP="00410CAF">
      <w:pPr>
        <w:pStyle w:val="ListParagraph"/>
        <w:numPr>
          <w:ilvl w:val="0"/>
          <w:numId w:val="41"/>
        </w:numPr>
        <w:spacing w:line="240" w:lineRule="auto"/>
        <w:rPr>
          <w:rFonts w:eastAsia="Times New Roman" w:cs="Arial"/>
          <w:color w:val="000000"/>
          <w:lang w:eastAsia="bg-BG"/>
        </w:rPr>
      </w:pPr>
      <w:r w:rsidRPr="00410CAF">
        <w:rPr>
          <w:rFonts w:eastAsia="Times New Roman" w:cs="Arial"/>
          <w:color w:val="000000"/>
          <w:lang w:eastAsia="bg-BG"/>
        </w:rPr>
        <w:t>Свръхчувствителност към производните на сулфонамидните субстанции (тъй като хидрохлоротиазид е сулфонамидно производно).</w:t>
      </w:r>
    </w:p>
    <w:p w14:paraId="308AA29D" w14:textId="77777777" w:rsidR="00410CAF" w:rsidRPr="00410CAF" w:rsidRDefault="00410CAF" w:rsidP="00410CAF">
      <w:pPr>
        <w:pStyle w:val="ListParagraph"/>
        <w:numPr>
          <w:ilvl w:val="0"/>
          <w:numId w:val="41"/>
        </w:numPr>
        <w:spacing w:line="240" w:lineRule="auto"/>
        <w:rPr>
          <w:rFonts w:eastAsia="Times New Roman" w:cs="Arial"/>
          <w:color w:val="000000"/>
          <w:lang w:eastAsia="bg-BG"/>
        </w:rPr>
      </w:pPr>
      <w:r w:rsidRPr="00410CAF">
        <w:rPr>
          <w:rFonts w:eastAsia="Times New Roman" w:cs="Arial"/>
          <w:color w:val="000000"/>
          <w:lang w:eastAsia="bg-BG"/>
        </w:rPr>
        <w:t>Второ и трето тримесечие на бременността (вж. точки 4.4 и 4.6).</w:t>
      </w:r>
    </w:p>
    <w:p w14:paraId="13675B02" w14:textId="77777777" w:rsidR="00410CAF" w:rsidRPr="00410CAF" w:rsidRDefault="00410CAF" w:rsidP="00410CAF">
      <w:pPr>
        <w:pStyle w:val="ListParagraph"/>
        <w:numPr>
          <w:ilvl w:val="0"/>
          <w:numId w:val="41"/>
        </w:numPr>
        <w:spacing w:line="240" w:lineRule="auto"/>
        <w:rPr>
          <w:rFonts w:eastAsia="Times New Roman" w:cs="Arial"/>
          <w:color w:val="000000"/>
          <w:lang w:eastAsia="bg-BG"/>
        </w:rPr>
      </w:pPr>
      <w:r w:rsidRPr="00410CAF">
        <w:rPr>
          <w:rFonts w:eastAsia="Times New Roman" w:cs="Arial"/>
          <w:color w:val="000000"/>
          <w:lang w:eastAsia="bg-BG"/>
        </w:rPr>
        <w:t>Холестаза и обструктивни нарушения на жлъчните пътища.</w:t>
      </w:r>
    </w:p>
    <w:p w14:paraId="012AAB0A" w14:textId="77777777" w:rsidR="00410CAF" w:rsidRPr="00410CAF" w:rsidRDefault="00410CAF" w:rsidP="00410CAF">
      <w:pPr>
        <w:pStyle w:val="ListParagraph"/>
        <w:numPr>
          <w:ilvl w:val="0"/>
          <w:numId w:val="41"/>
        </w:numPr>
        <w:spacing w:line="240" w:lineRule="auto"/>
        <w:rPr>
          <w:rFonts w:eastAsia="Times New Roman" w:cs="Arial"/>
          <w:color w:val="000000"/>
          <w:lang w:eastAsia="bg-BG"/>
        </w:rPr>
      </w:pPr>
      <w:r w:rsidRPr="00410CAF">
        <w:rPr>
          <w:rFonts w:eastAsia="Times New Roman" w:cs="Arial"/>
          <w:color w:val="000000"/>
          <w:lang w:eastAsia="bg-BG"/>
        </w:rPr>
        <w:t>Тежко чернодробно увреждане.</w:t>
      </w:r>
    </w:p>
    <w:p w14:paraId="2BC7F88B" w14:textId="77777777" w:rsidR="00410CAF" w:rsidRPr="00410CAF" w:rsidRDefault="00410CAF" w:rsidP="00410CAF">
      <w:pPr>
        <w:pStyle w:val="ListParagraph"/>
        <w:numPr>
          <w:ilvl w:val="0"/>
          <w:numId w:val="41"/>
        </w:numPr>
        <w:spacing w:line="240" w:lineRule="auto"/>
        <w:rPr>
          <w:rFonts w:eastAsia="Times New Roman" w:cs="Arial"/>
          <w:color w:val="000000"/>
          <w:lang w:eastAsia="bg-BG"/>
        </w:rPr>
      </w:pPr>
      <w:r w:rsidRPr="00410CAF">
        <w:rPr>
          <w:rFonts w:eastAsia="Times New Roman" w:cs="Arial"/>
          <w:color w:val="000000"/>
          <w:lang w:eastAsia="bg-BG"/>
        </w:rPr>
        <w:t xml:space="preserve">Тежко бъбречно увреждане (креатининов клирънс &lt; 30 </w:t>
      </w:r>
      <w:r w:rsidRPr="00410CAF">
        <w:rPr>
          <w:rFonts w:eastAsia="Times New Roman" w:cs="Arial"/>
          <w:color w:val="000000"/>
          <w:lang w:val="en-US"/>
        </w:rPr>
        <w:t>ml/min).</w:t>
      </w:r>
    </w:p>
    <w:p w14:paraId="71EFC954" w14:textId="77777777" w:rsidR="00410CAF" w:rsidRPr="00410CAF" w:rsidRDefault="00410CAF" w:rsidP="00410CAF">
      <w:pPr>
        <w:pStyle w:val="ListParagraph"/>
        <w:numPr>
          <w:ilvl w:val="0"/>
          <w:numId w:val="41"/>
        </w:numPr>
        <w:spacing w:line="240" w:lineRule="auto"/>
        <w:rPr>
          <w:rFonts w:eastAsia="Times New Roman" w:cs="Arial"/>
          <w:color w:val="000000"/>
          <w:lang w:eastAsia="bg-BG"/>
        </w:rPr>
      </w:pPr>
      <w:r w:rsidRPr="00410CAF">
        <w:rPr>
          <w:rFonts w:eastAsia="Times New Roman" w:cs="Arial"/>
          <w:color w:val="000000"/>
          <w:lang w:eastAsia="bg-BG"/>
        </w:rPr>
        <w:t>Рефракторна хипокалиемия, хиперкалциемия.</w:t>
      </w:r>
    </w:p>
    <w:p w14:paraId="5CBF0FBE" w14:textId="115A00EE" w:rsidR="00410CAF" w:rsidRDefault="00410CAF" w:rsidP="00410CAF">
      <w:pPr>
        <w:pStyle w:val="ListParagraph"/>
        <w:numPr>
          <w:ilvl w:val="0"/>
          <w:numId w:val="41"/>
        </w:numPr>
        <w:spacing w:line="240" w:lineRule="auto"/>
        <w:rPr>
          <w:rFonts w:eastAsia="Times New Roman" w:cs="Arial"/>
          <w:color w:val="000000"/>
          <w:lang w:eastAsia="bg-BG"/>
        </w:rPr>
      </w:pPr>
      <w:r w:rsidRPr="00410CAF">
        <w:rPr>
          <w:rFonts w:eastAsia="Times New Roman" w:cs="Arial"/>
          <w:color w:val="000000"/>
          <w:lang w:eastAsia="bg-BG"/>
        </w:rPr>
        <w:t xml:space="preserve">Едновременната употреба на Тезео НСТ с алискирен-съдържащи продукти е противопоказана при пациенти със захарен диабет или бъбречно увреждане </w:t>
      </w:r>
      <w:r w:rsidRPr="00410CAF">
        <w:rPr>
          <w:rFonts w:eastAsia="Times New Roman" w:cs="Arial"/>
          <w:color w:val="000000"/>
          <w:lang w:val="en-US"/>
        </w:rPr>
        <w:t xml:space="preserve">(GFR </w:t>
      </w:r>
      <w:r w:rsidRPr="00410CAF">
        <w:rPr>
          <w:rFonts w:eastAsia="Times New Roman" w:cs="Arial"/>
          <w:color w:val="000000"/>
          <w:lang w:eastAsia="bg-BG"/>
        </w:rPr>
        <w:t xml:space="preserve">&lt; 60 </w:t>
      </w:r>
      <w:r w:rsidRPr="00410CAF">
        <w:rPr>
          <w:rFonts w:eastAsia="Times New Roman" w:cs="Arial"/>
          <w:color w:val="000000"/>
          <w:lang w:val="en-US"/>
        </w:rPr>
        <w:t>ml/min/1,73 m</w:t>
      </w:r>
      <w:r w:rsidRPr="00410CAF">
        <w:rPr>
          <w:rFonts w:eastAsia="Times New Roman" w:cs="Arial"/>
          <w:color w:val="000000"/>
          <w:vertAlign w:val="superscript"/>
          <w:lang w:val="en-US"/>
        </w:rPr>
        <w:t>2</w:t>
      </w:r>
      <w:r w:rsidRPr="00410CAF">
        <w:rPr>
          <w:rFonts w:eastAsia="Times New Roman" w:cs="Arial"/>
          <w:color w:val="000000"/>
          <w:lang w:val="en-US"/>
        </w:rPr>
        <w:t xml:space="preserve">) </w:t>
      </w:r>
      <w:r w:rsidRPr="00410CAF">
        <w:rPr>
          <w:rFonts w:eastAsia="Times New Roman" w:cs="Arial"/>
          <w:color w:val="000000"/>
          <w:lang w:eastAsia="bg-BG"/>
        </w:rPr>
        <w:t>(вж. точки 4.5 и 5.1).</w:t>
      </w:r>
    </w:p>
    <w:p w14:paraId="178F9631" w14:textId="77777777" w:rsidR="00410CAF" w:rsidRPr="00410CAF" w:rsidRDefault="00410CAF" w:rsidP="00410CAF">
      <w:pPr>
        <w:spacing w:line="240" w:lineRule="auto"/>
        <w:rPr>
          <w:rFonts w:eastAsia="Times New Roman" w:cs="Arial"/>
          <w:color w:val="000000"/>
          <w:lang w:eastAsia="bg-BG"/>
        </w:rPr>
      </w:pPr>
    </w:p>
    <w:p w14:paraId="0C106098" w14:textId="7A819A0F" w:rsidR="001A6EBD" w:rsidRDefault="002C50EE" w:rsidP="00471F10">
      <w:pPr>
        <w:pStyle w:val="Heading2"/>
      </w:pPr>
      <w:r>
        <w:t>4.4. Специални предупреждения и предпазни мерки при употреба</w:t>
      </w:r>
    </w:p>
    <w:p w14:paraId="59001D7F" w14:textId="74786847" w:rsidR="00410CAF" w:rsidRDefault="00410CAF" w:rsidP="00410CAF"/>
    <w:p w14:paraId="3727AE56"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Бременност</w:t>
      </w:r>
    </w:p>
    <w:p w14:paraId="0857F6AE"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Не трябва да се започва прием на ангиотензин II рецепторни антагонисти (А</w:t>
      </w:r>
      <w:r w:rsidRPr="00410CAF">
        <w:rPr>
          <w:rFonts w:eastAsia="Times New Roman" w:cs="Arial"/>
          <w:color w:val="000000"/>
          <w:lang w:val="en-US"/>
        </w:rPr>
        <w:t>II</w:t>
      </w:r>
      <w:r w:rsidRPr="00410CAF">
        <w:rPr>
          <w:rFonts w:eastAsia="Times New Roman" w:cs="Arial"/>
          <w:color w:val="000000"/>
          <w:lang w:eastAsia="bg-BG"/>
        </w:rPr>
        <w:t>РА) по време на бременност. Пациентките, които планират бременност, трябва</w:t>
      </w:r>
      <w:r w:rsidRPr="00410CAF">
        <w:rPr>
          <w:rFonts w:eastAsia="Times New Roman" w:cs="Arial"/>
          <w:color w:val="000000"/>
          <w:lang w:val="en-US"/>
        </w:rPr>
        <w:t xml:space="preserve"> </w:t>
      </w:r>
      <w:r w:rsidRPr="00410CAF">
        <w:rPr>
          <w:rFonts w:eastAsia="Times New Roman" w:cs="Arial"/>
          <w:color w:val="000000"/>
          <w:lang w:eastAsia="bg-BG"/>
        </w:rPr>
        <w:t xml:space="preserve">да преминат към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w:t>
      </w:r>
      <w:r w:rsidRPr="00410CAF">
        <w:rPr>
          <w:rFonts w:eastAsia="Times New Roman" w:cs="Arial"/>
          <w:color w:val="000000"/>
          <w:lang w:val="en-US"/>
        </w:rPr>
        <w:t xml:space="preserve">AIIPA. </w:t>
      </w:r>
      <w:r w:rsidRPr="00410CAF">
        <w:rPr>
          <w:rFonts w:eastAsia="Times New Roman" w:cs="Arial"/>
          <w:color w:val="000000"/>
          <w:lang w:eastAsia="bg-BG"/>
        </w:rPr>
        <w:t xml:space="preserve">Ако е диагностицирана бременност, лечението с </w:t>
      </w:r>
      <w:r w:rsidRPr="00410CAF">
        <w:rPr>
          <w:rFonts w:eastAsia="Times New Roman" w:cs="Arial"/>
          <w:color w:val="000000"/>
          <w:lang w:val="en-US"/>
        </w:rPr>
        <w:t xml:space="preserve">AIIPA </w:t>
      </w:r>
      <w:r w:rsidRPr="00410CAF">
        <w:rPr>
          <w:rFonts w:eastAsia="Times New Roman" w:cs="Arial"/>
          <w:color w:val="000000"/>
          <w:lang w:eastAsia="bg-BG"/>
        </w:rPr>
        <w:lastRenderedPageBreak/>
        <w:t>трябва незабавно да бъде преустановено и ако е подходящо, да се започне алтернативно лечение (вж. точки 4.3 и 4.6).</w:t>
      </w:r>
    </w:p>
    <w:p w14:paraId="342D3920" w14:textId="77777777" w:rsidR="00410CAF" w:rsidRPr="00410CAF" w:rsidRDefault="00410CAF" w:rsidP="00410CAF">
      <w:pPr>
        <w:spacing w:line="240" w:lineRule="auto"/>
        <w:rPr>
          <w:rFonts w:eastAsia="Times New Roman" w:cs="Arial"/>
          <w:color w:val="000000"/>
          <w:u w:val="single"/>
          <w:lang w:eastAsia="bg-BG"/>
        </w:rPr>
      </w:pPr>
    </w:p>
    <w:p w14:paraId="319F3818" w14:textId="129D35FF"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Чернодробно увреждане</w:t>
      </w:r>
    </w:p>
    <w:p w14:paraId="4437C41D"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Тезео НСТ не трябва да се прилага при пациенти с холестаза, с жлъчни обструктивни нарушения или тежко чернодробно увреждане (вж. точка 4.3), тъй като по-голямата част от телмисартан се елиминира чрез жлъчката. При тези пациенти може да се очаква намален чернодробен клирънс.</w:t>
      </w:r>
    </w:p>
    <w:p w14:paraId="79CA40EF" w14:textId="77777777" w:rsidR="00410CAF" w:rsidRPr="00410CAF" w:rsidRDefault="00410CAF" w:rsidP="00410CAF">
      <w:pPr>
        <w:rPr>
          <w:rFonts w:eastAsia="Times New Roman" w:cs="Arial"/>
          <w:lang w:eastAsia="bg-BG"/>
        </w:rPr>
      </w:pPr>
      <w:r w:rsidRPr="00410CAF">
        <w:rPr>
          <w:rFonts w:eastAsia="Times New Roman" w:cs="Arial"/>
          <w:color w:val="000000"/>
          <w:lang w:eastAsia="bg-BG"/>
        </w:rPr>
        <w:t>Освен това, Тезео НСТ трябва да се прилага внимателно при пациенти с нарушения в</w:t>
      </w:r>
      <w:r w:rsidRPr="00410CAF">
        <w:rPr>
          <w:rFonts w:eastAsia="Times New Roman" w:cs="Arial"/>
          <w:color w:val="000000"/>
          <w:u w:val="single"/>
          <w:lang w:eastAsia="bg-BG"/>
        </w:rPr>
        <w:t xml:space="preserve"> </w:t>
      </w:r>
      <w:r w:rsidRPr="00410CAF">
        <w:rPr>
          <w:rFonts w:eastAsia="Times New Roman" w:cs="Arial"/>
          <w:color w:val="000000"/>
          <w:lang w:eastAsia="bg-BG"/>
        </w:rPr>
        <w:t>чернодробната функция или прогресиращо чернодробно заболяване, тъй като в тези случаи малки промени във водно-електролитния баланс могат да доведат до чернодробна кома. Няма</w:t>
      </w:r>
      <w:r w:rsidRPr="00410CAF">
        <w:rPr>
          <w:rFonts w:eastAsia="Times New Roman" w:cs="Arial"/>
          <w:color w:val="000000"/>
          <w:lang w:eastAsia="bg-BG"/>
        </w:rPr>
        <w:t xml:space="preserve"> </w:t>
      </w:r>
      <w:r w:rsidRPr="00410CAF">
        <w:rPr>
          <w:rFonts w:eastAsia="Times New Roman" w:cs="Arial"/>
          <w:color w:val="000000"/>
          <w:lang w:eastAsia="bg-BG"/>
        </w:rPr>
        <w:t>клинични данни за използването на телмисартан/хидрохлоротиазид при пациенти с чернодробни нарушения.</w:t>
      </w:r>
    </w:p>
    <w:p w14:paraId="4B56E2A6" w14:textId="77777777" w:rsidR="00410CAF" w:rsidRPr="00410CAF" w:rsidRDefault="00410CAF" w:rsidP="00410CAF">
      <w:pPr>
        <w:spacing w:line="240" w:lineRule="auto"/>
        <w:rPr>
          <w:rFonts w:eastAsia="Times New Roman" w:cs="Arial"/>
          <w:color w:val="000000"/>
          <w:u w:val="single"/>
          <w:lang w:eastAsia="bg-BG"/>
        </w:rPr>
      </w:pPr>
    </w:p>
    <w:p w14:paraId="5F2A11B3" w14:textId="5C628A0C"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Реноваскуларна хипертония</w:t>
      </w:r>
    </w:p>
    <w:p w14:paraId="6BF5EA0C"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Когато пациенти със стеноза на бъбречна артерия или стеноза на артерията към единствен функциониращ бъбрек са третирани с лекарства, повлияващи системата ренин-ангиотензин- алдостерон, съществува повишен риск от тежка хипотония и бъбречна недостатъчност.</w:t>
      </w:r>
    </w:p>
    <w:p w14:paraId="7AEA6751" w14:textId="77777777" w:rsidR="00410CAF" w:rsidRPr="00410CAF" w:rsidRDefault="00410CAF" w:rsidP="00410CAF">
      <w:pPr>
        <w:spacing w:line="240" w:lineRule="auto"/>
        <w:rPr>
          <w:rFonts w:eastAsia="Times New Roman" w:cs="Arial"/>
          <w:color w:val="000000"/>
          <w:u w:val="single"/>
          <w:lang w:eastAsia="bg-BG"/>
        </w:rPr>
      </w:pPr>
    </w:p>
    <w:p w14:paraId="5420CF63" w14:textId="5F41D08C"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Бъбречно увреждане и бъбречна трансплантация</w:t>
      </w:r>
    </w:p>
    <w:p w14:paraId="09C0DAB7"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 xml:space="preserve">Тезео НСТ не трябва да се прилага при пациенти с тежко бъбречно увреждане (креатининов клирънс &lt;30 </w:t>
      </w:r>
      <w:r w:rsidRPr="00410CAF">
        <w:rPr>
          <w:rFonts w:eastAsia="Times New Roman" w:cs="Arial"/>
          <w:color w:val="000000"/>
          <w:lang w:val="en-US"/>
        </w:rPr>
        <w:t xml:space="preserve">ml/min) </w:t>
      </w:r>
      <w:r w:rsidRPr="00410CAF">
        <w:rPr>
          <w:rFonts w:eastAsia="Times New Roman" w:cs="Arial"/>
          <w:color w:val="000000"/>
          <w:lang w:eastAsia="bg-BG"/>
        </w:rPr>
        <w:t>(вж. точка 4.3). Няма достатъчно данни по отношение на приложението на телмисартан/хидрохлоротиазид при пациенти, претърпели наскоро бъбречна трансплантация. Налице е ограничен опит от употребата на телмисартан/хидрохлоротиазид при пациенти с леки до средно тежки бъбречни нарушения, поради което се препоръчва периодично проследяване на нивата на калий, креатинин и пикочна киселина в серума. При пациенти с нарушени бъбречни функции може да се появи азотемия, свързана с тиазидните диуретици.</w:t>
      </w:r>
    </w:p>
    <w:p w14:paraId="18633EAB" w14:textId="77777777" w:rsidR="00410CAF" w:rsidRPr="00410CAF" w:rsidRDefault="00410CAF" w:rsidP="00410CAF">
      <w:pPr>
        <w:spacing w:line="240" w:lineRule="auto"/>
        <w:rPr>
          <w:rFonts w:eastAsia="Times New Roman" w:cs="Arial"/>
          <w:color w:val="000000"/>
          <w:u w:val="single"/>
          <w:lang w:eastAsia="bg-BG"/>
        </w:rPr>
      </w:pPr>
    </w:p>
    <w:p w14:paraId="4693587A" w14:textId="0D8A942D"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Вътресьдова хиповолемия</w:t>
      </w:r>
    </w:p>
    <w:p w14:paraId="1DB60A6D"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Симптоматична хипотония, особено след първата доза, може да се наблюдава при пациенти с тежък натриев и/ или обемен дефицит при мощна диуретична терапия, диета с ограничено приемане на сол, диария или повръщане. Такива състояния трябва да бъдат коригирани преди приложение на Тезео НСТ.</w:t>
      </w:r>
    </w:p>
    <w:p w14:paraId="565865A4" w14:textId="77777777" w:rsidR="00410CAF" w:rsidRPr="00410CAF" w:rsidRDefault="00410CAF" w:rsidP="00410CAF">
      <w:pPr>
        <w:spacing w:line="240" w:lineRule="auto"/>
        <w:rPr>
          <w:rFonts w:eastAsia="Times New Roman" w:cs="Arial"/>
          <w:color w:val="000000"/>
          <w:u w:val="single"/>
          <w:lang w:eastAsia="bg-BG"/>
        </w:rPr>
      </w:pPr>
    </w:p>
    <w:p w14:paraId="6BBAC3B9" w14:textId="3267E211"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Двойно блокиране на системата ренин-ангиотензин-алдостерон (РААС)</w:t>
      </w:r>
    </w:p>
    <w:p w14:paraId="76F37F06"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 xml:space="preserve">Има данни, че едновременната употреба на АСЕ инхибитори, ангиотензин II-рецепторни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410CAF">
        <w:rPr>
          <w:rFonts w:eastAsia="Times New Roman" w:cs="Arial"/>
          <w:color w:val="000000"/>
          <w:lang w:val="en-US"/>
        </w:rPr>
        <w:t>II</w:t>
      </w:r>
      <w:r w:rsidRPr="00410CAF">
        <w:rPr>
          <w:rFonts w:eastAsia="Times New Roman" w:cs="Arial"/>
          <w:color w:val="000000"/>
          <w:lang w:eastAsia="bg-BG"/>
        </w:rPr>
        <w:t>-рецепторни блокери или алискирен (вж. точки 4.5 и 5.1).</w:t>
      </w:r>
    </w:p>
    <w:p w14:paraId="765CFBE4"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68385DA0"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 xml:space="preserve">АСЕ инхибитори и ангиотензин </w:t>
      </w:r>
      <w:r w:rsidRPr="00410CAF">
        <w:rPr>
          <w:rFonts w:eastAsia="Times New Roman" w:cs="Arial"/>
          <w:color w:val="000000"/>
          <w:lang w:val="en-US"/>
        </w:rPr>
        <w:t>II</w:t>
      </w:r>
      <w:r w:rsidRPr="00410CAF">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6DFE6A80" w14:textId="77777777" w:rsidR="00410CAF" w:rsidRPr="00410CAF" w:rsidRDefault="00410CAF" w:rsidP="00410CAF">
      <w:pPr>
        <w:spacing w:line="240" w:lineRule="auto"/>
        <w:rPr>
          <w:rFonts w:eastAsia="Times New Roman" w:cs="Arial"/>
          <w:color w:val="000000"/>
          <w:u w:val="single"/>
          <w:lang w:eastAsia="bg-BG"/>
        </w:rPr>
      </w:pPr>
    </w:p>
    <w:p w14:paraId="556CB072" w14:textId="184018A7"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Други състояния със стимулация на системата ренин-ангиотензин-алдостерон</w:t>
      </w:r>
    </w:p>
    <w:p w14:paraId="45B9DFC7"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lastRenderedPageBreak/>
        <w:t>При пациенти, чийто васкуларен тонус и бъбречна функция зависят основно от активността на системата ренин-ангиотензин-алдостерон (например пациенти с тежка застойна сърдечна недостатъчност или подлежащо бъбречно заболяване, включително и стеноза на бъбречната артерия), лечението с лекарствени продукти, които повлияват тази система като телмисартан, се свързва с остра хипотония, хиперазотемия, олигурия или рядко остра бъбречна недостатъчност (вж. точка 4.8).</w:t>
      </w:r>
    </w:p>
    <w:p w14:paraId="7F6E4C13" w14:textId="77777777" w:rsidR="00410CAF" w:rsidRPr="00410CAF" w:rsidRDefault="00410CAF" w:rsidP="00410CAF">
      <w:pPr>
        <w:spacing w:line="240" w:lineRule="auto"/>
        <w:rPr>
          <w:rFonts w:eastAsia="Times New Roman" w:cs="Arial"/>
          <w:color w:val="000000"/>
          <w:u w:val="single"/>
          <w:lang w:eastAsia="bg-BG"/>
        </w:rPr>
      </w:pPr>
    </w:p>
    <w:p w14:paraId="06CAB162" w14:textId="5448944E"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Първичен алдостеронизъм</w:t>
      </w:r>
    </w:p>
    <w:p w14:paraId="2903B925"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Пациенти с първичен алдостеронизъм по принцип няма да реагират на антихипертензивни лекарствени продукти, действащи чрез инхибиране на системата ренин-ангиотензин. Поради това, употребата на Тезео НСТ не се препоръчва.</w:t>
      </w:r>
    </w:p>
    <w:p w14:paraId="7806926A" w14:textId="77777777" w:rsidR="00410CAF" w:rsidRPr="00410CAF" w:rsidRDefault="00410CAF" w:rsidP="00410CAF">
      <w:pPr>
        <w:spacing w:line="240" w:lineRule="auto"/>
        <w:rPr>
          <w:rFonts w:eastAsia="Times New Roman" w:cs="Arial"/>
          <w:color w:val="000000"/>
          <w:u w:val="single"/>
          <w:lang w:eastAsia="bg-BG"/>
        </w:rPr>
      </w:pPr>
    </w:p>
    <w:p w14:paraId="0EE2914B" w14:textId="456969A4"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Стеноза на аортната и мигрална клапа, обструктивна хипертрофична кардиомиопатия</w:t>
      </w:r>
    </w:p>
    <w:p w14:paraId="24EC9D59"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Както при другите вазодилататори, специално внимание е необходимо при пациенти, страдащи от аортна или митрална стеноза или обструктивна хипертрофична кардиомиопатия.</w:t>
      </w:r>
    </w:p>
    <w:p w14:paraId="41EB8209" w14:textId="77777777" w:rsidR="00410CAF" w:rsidRPr="00410CAF" w:rsidRDefault="00410CAF" w:rsidP="00410CAF">
      <w:pPr>
        <w:spacing w:line="240" w:lineRule="auto"/>
        <w:rPr>
          <w:rFonts w:eastAsia="Times New Roman" w:cs="Arial"/>
          <w:color w:val="000000"/>
          <w:u w:val="single"/>
          <w:lang w:eastAsia="bg-BG"/>
        </w:rPr>
      </w:pPr>
    </w:p>
    <w:p w14:paraId="245D3487" w14:textId="2F2BE48B"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Метаболитни и ендокринни ефекти</w:t>
      </w:r>
    </w:p>
    <w:p w14:paraId="519FEEB5" w14:textId="77777777" w:rsidR="00410CAF" w:rsidRPr="00410CAF" w:rsidRDefault="00410CAF" w:rsidP="00410CAF">
      <w:pPr>
        <w:rPr>
          <w:rFonts w:eastAsia="Times New Roman" w:cs="Arial"/>
          <w:lang w:eastAsia="bg-BG"/>
        </w:rPr>
      </w:pPr>
      <w:r w:rsidRPr="00410CAF">
        <w:rPr>
          <w:rFonts w:eastAsia="Times New Roman" w:cs="Arial"/>
          <w:color w:val="000000"/>
          <w:lang w:eastAsia="bg-BG"/>
        </w:rPr>
        <w:t>Лечението с тиазиди може да наруши глюкозния толеранс, поради това, при пациенти с диабет лекувани с инсулин или антидиабетни лекарствени продукти и терапия с телмисартран може да настъпи хилогликемия. Затова, при тези пациенти трябва да се обмисли съответно</w:t>
      </w:r>
      <w:r w:rsidRPr="00410CAF">
        <w:rPr>
          <w:rFonts w:eastAsia="Times New Roman" w:cs="Arial"/>
          <w:color w:val="000000"/>
          <w:lang w:eastAsia="bg-BG"/>
        </w:rPr>
        <w:t xml:space="preserve"> </w:t>
      </w:r>
      <w:r w:rsidRPr="00410CAF">
        <w:rPr>
          <w:rFonts w:eastAsia="Times New Roman" w:cs="Arial"/>
          <w:color w:val="000000"/>
          <w:lang w:eastAsia="bg-BG"/>
        </w:rPr>
        <w:t>проследяване на кръвната захар; може да се наложи коригиране на дозата на инсулина или антидиабетните лекарства, когато е показано, По време на терапията с тиазвди може да се прояви латентен захарен диабет.</w:t>
      </w:r>
    </w:p>
    <w:p w14:paraId="7F956D44"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 xml:space="preserve">Лечението с тиазидни диуретици се свързва с повишаване на нивата на холестерол и триглицериди. Все пак, при доза 12,5 </w:t>
      </w:r>
      <w:r w:rsidRPr="00410CAF">
        <w:rPr>
          <w:rFonts w:eastAsia="Times New Roman" w:cs="Arial"/>
          <w:color w:val="000000"/>
          <w:lang w:val="en-US"/>
        </w:rPr>
        <w:t xml:space="preserve">mg </w:t>
      </w:r>
      <w:r w:rsidRPr="00410CAF">
        <w:rPr>
          <w:rFonts w:eastAsia="Times New Roman" w:cs="Arial"/>
          <w:color w:val="000000"/>
          <w:lang w:eastAsia="bg-BG"/>
        </w:rPr>
        <w:t>тиазиден диуретик, съдържаща се в Тезео НСТ, тези ефекти са минимални или липсват. При някои пациенти на тиазидна терапия може да се развие хиперурикемия или разгърната подагра.</w:t>
      </w:r>
    </w:p>
    <w:p w14:paraId="26994E17" w14:textId="77777777" w:rsidR="00410CAF" w:rsidRPr="00410CAF" w:rsidRDefault="00410CAF" w:rsidP="00410CAF">
      <w:pPr>
        <w:spacing w:line="240" w:lineRule="auto"/>
        <w:rPr>
          <w:rFonts w:eastAsia="Times New Roman" w:cs="Arial"/>
          <w:color w:val="000000"/>
          <w:u w:val="single"/>
          <w:lang w:eastAsia="bg-BG"/>
        </w:rPr>
      </w:pPr>
    </w:p>
    <w:p w14:paraId="228DCFE7" w14:textId="377F3822"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Електролитен дисбаланс</w:t>
      </w:r>
    </w:p>
    <w:p w14:paraId="356D90AF"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Както при всички пациенти на диуретична терапия е необходимо на определени интервали да се провежда периодично проследяване на нивата на електролитите в серума,</w:t>
      </w:r>
    </w:p>
    <w:p w14:paraId="47545327"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Тиазидите, включително хидрохлоротиазид, могат да доведат до водно-електролитен дисбаланс (включително хипокалиемия, хипонатриемия и хипохлоремична алкалоза). Началните признаци за водно-електролитен дисбаланс са: сухота в устата, жажда, астения, сънливост, замайване, безпокойство, болка в мускулите или мускулни крампи, мускулна слабост, хипотония, олигурия, тахикардия и стомашно-чревни смущения като гадене или повръщане (вж. точка 4.8).</w:t>
      </w:r>
    </w:p>
    <w:p w14:paraId="05D27CAA" w14:textId="77777777" w:rsidR="00410CAF" w:rsidRPr="00410CAF" w:rsidRDefault="00410CAF" w:rsidP="00410CAF">
      <w:pPr>
        <w:spacing w:line="240" w:lineRule="auto"/>
        <w:rPr>
          <w:rFonts w:eastAsia="Times New Roman" w:cs="Arial"/>
          <w:color w:val="000000"/>
          <w:lang w:eastAsia="bg-BG"/>
        </w:rPr>
      </w:pPr>
    </w:p>
    <w:p w14:paraId="0906E73F" w14:textId="3ED53794" w:rsidR="00410CAF" w:rsidRPr="00410CAF" w:rsidRDefault="00410CAF" w:rsidP="00410CAF">
      <w:pPr>
        <w:pStyle w:val="ListParagraph"/>
        <w:numPr>
          <w:ilvl w:val="0"/>
          <w:numId w:val="40"/>
        </w:numPr>
        <w:spacing w:line="240" w:lineRule="auto"/>
        <w:rPr>
          <w:rFonts w:eastAsia="Times New Roman" w:cs="Arial"/>
          <w:lang w:eastAsia="bg-BG"/>
        </w:rPr>
      </w:pPr>
      <w:r w:rsidRPr="00410CAF">
        <w:rPr>
          <w:rFonts w:eastAsia="Times New Roman" w:cs="Arial"/>
          <w:color w:val="000000"/>
          <w:lang w:eastAsia="bg-BG"/>
        </w:rPr>
        <w:t>Хипокалиемия</w:t>
      </w:r>
    </w:p>
    <w:p w14:paraId="68E21AD3"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Въпреки че, при употребата на тиазидни диуретици може да се развие хипокалиемия, едновременното лечение с телмисартан може да редуцира предизвиканата от диуретиците хипокалиемия. Рискът от развитие на хипокалиемия е по-голям при пациенти с чернодробна цироза, при пациенти със засилена диуреза, при пациенти, които поемат неадекватно количество електролити през устата и при пациенти, които едновременно се лекуват с кортикостероиди или адренокортикотропен хормон (АСТН) (вж. точка 4.5).</w:t>
      </w:r>
    </w:p>
    <w:p w14:paraId="247171D1" w14:textId="77777777" w:rsidR="00410CAF" w:rsidRPr="00410CAF" w:rsidRDefault="00410CAF" w:rsidP="00410CAF">
      <w:pPr>
        <w:spacing w:line="240" w:lineRule="auto"/>
        <w:rPr>
          <w:rFonts w:eastAsia="Times New Roman" w:cs="Arial"/>
          <w:color w:val="000000"/>
          <w:lang w:eastAsia="bg-BG"/>
        </w:rPr>
      </w:pPr>
    </w:p>
    <w:p w14:paraId="452C00AC" w14:textId="393C7F11" w:rsidR="00410CAF" w:rsidRPr="00410CAF" w:rsidRDefault="00410CAF" w:rsidP="00410CAF">
      <w:pPr>
        <w:pStyle w:val="ListParagraph"/>
        <w:numPr>
          <w:ilvl w:val="0"/>
          <w:numId w:val="40"/>
        </w:numPr>
        <w:spacing w:line="240" w:lineRule="auto"/>
        <w:rPr>
          <w:rFonts w:eastAsia="Times New Roman" w:cs="Arial"/>
          <w:lang w:eastAsia="bg-BG"/>
        </w:rPr>
      </w:pPr>
      <w:r w:rsidRPr="00410CAF">
        <w:rPr>
          <w:rFonts w:eastAsia="Times New Roman" w:cs="Arial"/>
          <w:color w:val="000000"/>
          <w:lang w:eastAsia="bg-BG"/>
        </w:rPr>
        <w:t>Хиперкалиемия</w:t>
      </w:r>
    </w:p>
    <w:p w14:paraId="3CD53E8B" w14:textId="77777777" w:rsidR="00410CAF" w:rsidRPr="00410CAF" w:rsidRDefault="00410CAF" w:rsidP="00410CAF">
      <w:pPr>
        <w:spacing w:line="240" w:lineRule="auto"/>
        <w:rPr>
          <w:rFonts w:eastAsia="Times New Roman" w:cs="Arial"/>
          <w:color w:val="000000"/>
          <w:lang w:eastAsia="bg-BG"/>
        </w:rPr>
      </w:pPr>
      <w:r w:rsidRPr="00410CAF">
        <w:rPr>
          <w:rFonts w:eastAsia="Times New Roman" w:cs="Arial"/>
          <w:color w:val="000000"/>
          <w:lang w:eastAsia="bg-BG"/>
        </w:rPr>
        <w:lastRenderedPageBreak/>
        <w:t>В противоположния случай може да се стигне до хиперкалиемия, дължаща се на антагонизма на телмисартан (компонент на Тезео НСТ) към ангиотензин II (АТ</w:t>
      </w:r>
      <w:r w:rsidRPr="00410CAF">
        <w:rPr>
          <w:rFonts w:eastAsia="Times New Roman" w:cs="Arial"/>
          <w:color w:val="000000"/>
          <w:vertAlign w:val="subscript"/>
          <w:lang w:eastAsia="bg-BG"/>
        </w:rPr>
        <w:t>1</w:t>
      </w:r>
      <w:r w:rsidRPr="00410CAF">
        <w:rPr>
          <w:rFonts w:eastAsia="Times New Roman" w:cs="Arial"/>
          <w:color w:val="000000"/>
          <w:lang w:eastAsia="bg-BG"/>
        </w:rPr>
        <w:t xml:space="preserve">) рецепторите. Макар че, досега не е отбелязано наличие на клинично значима хиперкалиемия по време на лечение с телмисартан/хидрохлоротиазид, рисковите фактори за развитието й включват бъбречна недостатъчност и/или сърдечна недостатъчност и захарен диабет. Калий-съхраняващите диуретици, калиевите добавки или заместителите на солта, съдържащи калий трябва да бъдат внимателно прилагани по време на лечение с </w:t>
      </w:r>
    </w:p>
    <w:p w14:paraId="44228F2A" w14:textId="116AE24D"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Тезео НСТ (вж. точка 4.5).</w:t>
      </w:r>
    </w:p>
    <w:p w14:paraId="1540F21F" w14:textId="77777777" w:rsidR="00410CAF" w:rsidRPr="00410CAF" w:rsidRDefault="00410CAF" w:rsidP="00410CAF">
      <w:pPr>
        <w:spacing w:line="240" w:lineRule="auto"/>
        <w:rPr>
          <w:rFonts w:eastAsia="Times New Roman" w:cs="Arial"/>
          <w:color w:val="000000"/>
          <w:lang w:eastAsia="bg-BG"/>
        </w:rPr>
      </w:pPr>
    </w:p>
    <w:p w14:paraId="7CDB1F70" w14:textId="095E5000" w:rsidR="00410CAF" w:rsidRPr="00410CAF" w:rsidRDefault="00410CAF" w:rsidP="00410CAF">
      <w:pPr>
        <w:pStyle w:val="ListParagraph"/>
        <w:numPr>
          <w:ilvl w:val="0"/>
          <w:numId w:val="40"/>
        </w:numPr>
        <w:spacing w:line="240" w:lineRule="auto"/>
        <w:rPr>
          <w:rFonts w:eastAsia="Times New Roman" w:cs="Arial"/>
          <w:lang w:eastAsia="bg-BG"/>
        </w:rPr>
      </w:pPr>
      <w:r w:rsidRPr="00410CAF">
        <w:rPr>
          <w:rFonts w:eastAsia="Times New Roman" w:cs="Arial"/>
          <w:color w:val="000000"/>
          <w:lang w:eastAsia="bg-BG"/>
        </w:rPr>
        <w:t>Хипонатриемия и хипохлоремична алкалоза</w:t>
      </w:r>
    </w:p>
    <w:p w14:paraId="7D51FC14"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Няма данни, че телмисартан/хидрохлоротиазид може да редуцира или предотврати предизвиканата от диуретици хипонатриемия. Хлорният дефицит обикновено е лек и не налага допълнително лечение.</w:t>
      </w:r>
    </w:p>
    <w:p w14:paraId="27297C57" w14:textId="77777777" w:rsidR="00410CAF" w:rsidRPr="00410CAF" w:rsidRDefault="00410CAF" w:rsidP="00410CAF">
      <w:pPr>
        <w:spacing w:line="240" w:lineRule="auto"/>
        <w:rPr>
          <w:rFonts w:eastAsia="Times New Roman" w:cs="Arial"/>
          <w:color w:val="000000"/>
          <w:lang w:eastAsia="bg-BG"/>
        </w:rPr>
      </w:pPr>
    </w:p>
    <w:p w14:paraId="4D4076CA" w14:textId="0ADCB9BA" w:rsidR="00410CAF" w:rsidRPr="00410CAF" w:rsidRDefault="00410CAF" w:rsidP="00410CAF">
      <w:pPr>
        <w:pStyle w:val="ListParagraph"/>
        <w:numPr>
          <w:ilvl w:val="0"/>
          <w:numId w:val="40"/>
        </w:numPr>
        <w:spacing w:line="240" w:lineRule="auto"/>
        <w:rPr>
          <w:rFonts w:eastAsia="Times New Roman" w:cs="Arial"/>
          <w:lang w:eastAsia="bg-BG"/>
        </w:rPr>
      </w:pPr>
      <w:r w:rsidRPr="00410CAF">
        <w:rPr>
          <w:rFonts w:eastAsia="Times New Roman" w:cs="Arial"/>
          <w:color w:val="000000"/>
          <w:lang w:eastAsia="bg-BG"/>
        </w:rPr>
        <w:t>Хиперкалциемия</w:t>
      </w:r>
    </w:p>
    <w:p w14:paraId="3D19F009"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Тиазидите могат да намалят излъчването на калций с урината и да доведат до преходни и леки увеличения на серумния калций при липса на установени нарушения в калциевия метаболизъм. Значителната хиперкалциемия може да е доказателство за скрит хиперпаратиреоидизъм. Преди да се проведе изследване на паратироидните функции трябва да се прекрати приема на тиазиди.</w:t>
      </w:r>
    </w:p>
    <w:p w14:paraId="35937812" w14:textId="77777777" w:rsidR="00410CAF" w:rsidRPr="00410CAF" w:rsidRDefault="00410CAF" w:rsidP="00410CAF">
      <w:pPr>
        <w:spacing w:line="240" w:lineRule="auto"/>
        <w:rPr>
          <w:rFonts w:eastAsia="Times New Roman" w:cs="Arial"/>
          <w:color w:val="000000"/>
          <w:lang w:eastAsia="bg-BG"/>
        </w:rPr>
      </w:pPr>
    </w:p>
    <w:p w14:paraId="271A5C24" w14:textId="5AADBA2F" w:rsidR="00410CAF" w:rsidRPr="00410CAF" w:rsidRDefault="00410CAF" w:rsidP="00410CAF">
      <w:pPr>
        <w:pStyle w:val="ListParagraph"/>
        <w:numPr>
          <w:ilvl w:val="0"/>
          <w:numId w:val="40"/>
        </w:numPr>
        <w:spacing w:line="240" w:lineRule="auto"/>
        <w:rPr>
          <w:rFonts w:eastAsia="Times New Roman" w:cs="Arial"/>
          <w:lang w:eastAsia="bg-BG"/>
        </w:rPr>
      </w:pPr>
      <w:r w:rsidRPr="00410CAF">
        <w:rPr>
          <w:rFonts w:eastAsia="Times New Roman" w:cs="Arial"/>
          <w:color w:val="000000"/>
          <w:lang w:eastAsia="bg-BG"/>
        </w:rPr>
        <w:t>Хипомагнезиемия</w:t>
      </w:r>
    </w:p>
    <w:p w14:paraId="394DA6DF"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Тиазидите увеличават отделянето на магнезий с урината, което може да доведе до хипомагнезиемия (вж. точка 4.5).</w:t>
      </w:r>
    </w:p>
    <w:p w14:paraId="547E09F6" w14:textId="77777777" w:rsidR="00410CAF" w:rsidRPr="00410CAF" w:rsidRDefault="00410CAF" w:rsidP="00410CAF">
      <w:pPr>
        <w:spacing w:line="240" w:lineRule="auto"/>
        <w:rPr>
          <w:rFonts w:eastAsia="Times New Roman" w:cs="Arial"/>
          <w:color w:val="000000"/>
          <w:u w:val="single"/>
          <w:lang w:eastAsia="bg-BG"/>
        </w:rPr>
      </w:pPr>
    </w:p>
    <w:p w14:paraId="73079206" w14:textId="7467FDBC"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Етнически различия</w:t>
      </w:r>
    </w:p>
    <w:p w14:paraId="26B4E6AD" w14:textId="0250F52B" w:rsidR="00410CAF" w:rsidRPr="00410CAF" w:rsidRDefault="00410CAF" w:rsidP="00410CAF">
      <w:pPr>
        <w:spacing w:line="240" w:lineRule="auto"/>
        <w:rPr>
          <w:rFonts w:eastAsia="Times New Roman" w:cs="Arial"/>
          <w:color w:val="000000"/>
          <w:lang w:eastAsia="bg-BG"/>
        </w:rPr>
      </w:pPr>
      <w:r w:rsidRPr="00410CAF">
        <w:rPr>
          <w:rFonts w:eastAsia="Times New Roman" w:cs="Arial"/>
          <w:color w:val="000000"/>
          <w:lang w:eastAsia="bg-BG"/>
        </w:rPr>
        <w:t xml:space="preserve">Както е наблюдавано при инхибиторите на ангиотензин конвертиращия ензим, телмисартан н другите ангиотензин II рецепторни антагонисти са очевидно по-малко ефективни в понижаването на кръвното налягане при хора от черната раса, отколкото при другите </w:t>
      </w:r>
      <w:r w:rsidRPr="00410CAF">
        <w:rPr>
          <w:rFonts w:eastAsia="Times New Roman" w:cs="Arial"/>
          <w:color w:val="000000"/>
          <w:lang w:val="en-US"/>
        </w:rPr>
        <w:t>p</w:t>
      </w:r>
      <w:r w:rsidRPr="00410CAF">
        <w:rPr>
          <w:rFonts w:eastAsia="Times New Roman" w:cs="Arial"/>
          <w:color w:val="000000"/>
          <w:lang w:eastAsia="bg-BG"/>
        </w:rPr>
        <w:t>аси, вероятно поради по-честото срещане в черната популация на ниско рениново ниво с прояви на хипертония.</w:t>
      </w:r>
    </w:p>
    <w:p w14:paraId="76DA1B14" w14:textId="284DD1C5" w:rsidR="00410CAF" w:rsidRPr="00410CAF" w:rsidRDefault="00410CAF" w:rsidP="00410CAF">
      <w:pPr>
        <w:spacing w:line="240" w:lineRule="auto"/>
        <w:rPr>
          <w:rFonts w:eastAsia="Times New Roman" w:cs="Arial"/>
          <w:color w:val="000000"/>
          <w:lang w:eastAsia="bg-BG"/>
        </w:rPr>
      </w:pPr>
    </w:p>
    <w:p w14:paraId="449EDA17"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Други</w:t>
      </w:r>
    </w:p>
    <w:p w14:paraId="1D21871D"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Както при други антихипертензивни агенти, ексцесивната редукция на кръвното налягане при пациенти с исхемична кардиопатия или исхемично кардиоваскуларно заболяване може да доведе до миокарден инфаркт или инсулт.</w:t>
      </w:r>
    </w:p>
    <w:p w14:paraId="5249B32F" w14:textId="77777777" w:rsidR="00410CAF" w:rsidRPr="00410CAF" w:rsidRDefault="00410CAF" w:rsidP="00410CAF">
      <w:pPr>
        <w:spacing w:line="240" w:lineRule="auto"/>
        <w:rPr>
          <w:rFonts w:eastAsia="Times New Roman" w:cs="Arial"/>
          <w:color w:val="000000"/>
          <w:u w:val="single"/>
          <w:lang w:eastAsia="bg-BG"/>
        </w:rPr>
      </w:pPr>
    </w:p>
    <w:p w14:paraId="2A492673" w14:textId="2B28AB8B"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Общи</w:t>
      </w:r>
    </w:p>
    <w:p w14:paraId="5354C51F"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При пациенти със или без анамнеза за алергия или бронхиална астма може да се наблюдават реакции на свръхчувствителност към хидрохлоротиазид, но са по-вероятни при пациенти с такава анамнеза.</w:t>
      </w:r>
    </w:p>
    <w:p w14:paraId="761B0AB4"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Има съобщения за обостряне или активиране на системен лупус еритематозус при пациенти, лекувани с тиазидни диуретици, включително хидрохлоротиазид.</w:t>
      </w:r>
    </w:p>
    <w:p w14:paraId="0676906F"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 xml:space="preserve">Има съобщения за реакции на фоточувствителност при употребата на тиазидни диуретици (вж. точка 4.8). Препоръчва се прекратяване на терапията, ако се появи реакция на фоточувстнителност в периода на лечение. Ако се счита за необходимо отново включване на диуретик, се препоръчва предпазване на зоните, които се излагат на слънце или на изкуствени </w:t>
      </w:r>
      <w:r w:rsidRPr="00410CAF">
        <w:rPr>
          <w:rFonts w:eastAsia="Times New Roman" w:cs="Arial"/>
          <w:color w:val="000000"/>
          <w:lang w:val="en-US"/>
        </w:rPr>
        <w:t xml:space="preserve">UVA </w:t>
      </w:r>
      <w:r w:rsidRPr="00410CAF">
        <w:rPr>
          <w:rFonts w:eastAsia="Times New Roman" w:cs="Arial"/>
          <w:color w:val="000000"/>
          <w:lang w:eastAsia="bg-BG"/>
        </w:rPr>
        <w:t>лъчи.</w:t>
      </w:r>
    </w:p>
    <w:p w14:paraId="798AE78D" w14:textId="77777777" w:rsidR="00410CAF" w:rsidRPr="00410CAF" w:rsidRDefault="00410CAF" w:rsidP="00410CAF">
      <w:pPr>
        <w:spacing w:line="240" w:lineRule="auto"/>
        <w:rPr>
          <w:rFonts w:eastAsia="Times New Roman" w:cs="Arial"/>
          <w:color w:val="000000"/>
          <w:u w:val="single"/>
          <w:lang w:eastAsia="bg-BG"/>
        </w:rPr>
      </w:pPr>
    </w:p>
    <w:p w14:paraId="0D8F9B50" w14:textId="706BFB0C"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Немеланомен рак на кожата</w:t>
      </w:r>
    </w:p>
    <w:p w14:paraId="59460D40"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lastRenderedPageBreak/>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6F772B23"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5CACF034" w14:textId="77777777" w:rsidR="00410CAF" w:rsidRPr="00410CAF" w:rsidRDefault="00410CAF" w:rsidP="00410CAF">
      <w:pPr>
        <w:spacing w:line="240" w:lineRule="auto"/>
        <w:rPr>
          <w:rFonts w:eastAsia="Times New Roman" w:cs="Arial"/>
          <w:color w:val="000000"/>
          <w:u w:val="single"/>
          <w:lang w:eastAsia="bg-BG"/>
        </w:rPr>
      </w:pPr>
    </w:p>
    <w:p w14:paraId="49BEC437" w14:textId="60E21783"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 xml:space="preserve">Хороидален излив, остра миопия и вторична закритоъгълна глаукома </w:t>
      </w:r>
      <w:r w:rsidRPr="00410CAF">
        <w:rPr>
          <w:rFonts w:eastAsia="Times New Roman" w:cs="Arial"/>
          <w:color w:val="000000"/>
          <w:lang w:eastAsia="bg-BG"/>
        </w:rPr>
        <w:t>Хидрохлортиазид, сулфонамид, който може да предизвика идиосинкратична реакция, водеща до водеща до хороидален излив с дефект на зрителното поле, преходна миопия и остра закритоъгълна глаукома. Симптомите включват в началото остро понижение на зрителната острота или очна болка, и обикновено се появяват в рамките на часове до седмици от началото на лечението. Нелекуваната, остра, закритоъгълна глаукома може да доведе до трайна загуба на зрение. Първичното лечение е да се спре приема на хидрохлортиазид възможно най-бързо. Навременно лечение или хирургична интервенция може да се наложи да се обмислят, ако вътреочното налагане остава неконтролирано. Рисковите фактори за развиване на остра закритоъгълна глаукома може да включват анамнеза за алергия към сулфонамиди или пеницилини.</w:t>
      </w:r>
    </w:p>
    <w:p w14:paraId="048869A2" w14:textId="77777777" w:rsidR="00410CAF" w:rsidRPr="00410CAF" w:rsidRDefault="00410CAF" w:rsidP="00410CAF">
      <w:pPr>
        <w:spacing w:line="240" w:lineRule="auto"/>
        <w:rPr>
          <w:rFonts w:eastAsia="Times New Roman" w:cs="Arial"/>
          <w:color w:val="000000"/>
          <w:u w:val="single"/>
          <w:lang w:eastAsia="bg-BG"/>
        </w:rPr>
      </w:pPr>
    </w:p>
    <w:p w14:paraId="367A5E67" w14:textId="7187DF24"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Остра респираторна токсичност</w:t>
      </w:r>
    </w:p>
    <w:p w14:paraId="0F8468E4"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ОРДС трябва да бъде спрян приемът на Тезео НСТ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1099E750" w14:textId="77777777" w:rsidR="00410CAF" w:rsidRPr="00410CAF" w:rsidRDefault="00410CAF" w:rsidP="00410CAF">
      <w:pPr>
        <w:spacing w:line="240" w:lineRule="auto"/>
        <w:rPr>
          <w:rFonts w:eastAsia="Times New Roman" w:cs="Arial"/>
          <w:color w:val="000000"/>
          <w:u w:val="single"/>
          <w:lang w:eastAsia="bg-BG"/>
        </w:rPr>
      </w:pPr>
    </w:p>
    <w:p w14:paraId="65B8B3A4" w14:textId="00492194"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Помощни вещества:</w:t>
      </w:r>
    </w:p>
    <w:p w14:paraId="4C753494" w14:textId="32A54491"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 xml:space="preserve">Тезео НСТ 80 </w:t>
      </w:r>
      <w:r w:rsidRPr="00410CAF">
        <w:rPr>
          <w:rFonts w:eastAsia="Times New Roman" w:cs="Arial"/>
          <w:color w:val="000000"/>
          <w:lang w:val="en-US"/>
        </w:rPr>
        <w:t xml:space="preserve">mg/12,5 mg: </w:t>
      </w:r>
      <w:r w:rsidRPr="00410CAF">
        <w:rPr>
          <w:rFonts w:eastAsia="Times New Roman" w:cs="Arial"/>
          <w:color w:val="000000"/>
          <w:lang w:eastAsia="bg-BG"/>
        </w:rPr>
        <w:t xml:space="preserve">Това лекарство съдържа 348,3 </w:t>
      </w:r>
      <w:r w:rsidRPr="00410CAF">
        <w:rPr>
          <w:rFonts w:eastAsia="Times New Roman" w:cs="Arial"/>
          <w:color w:val="000000"/>
          <w:lang w:val="en-US"/>
        </w:rPr>
        <w:t xml:space="preserve">mg </w:t>
      </w:r>
      <w:r w:rsidRPr="00410CAF">
        <w:rPr>
          <w:rFonts w:eastAsia="Times New Roman" w:cs="Arial"/>
          <w:color w:val="000000"/>
          <w:lang w:eastAsia="bg-BG"/>
        </w:rPr>
        <w:t>сорбитол във всяка таблетка</w:t>
      </w:r>
      <w:r w:rsidRPr="00410CAF">
        <w:rPr>
          <w:rFonts w:eastAsia="Times New Roman" w:cs="Arial"/>
          <w:color w:val="000000"/>
          <w:lang w:eastAsia="bg-BG"/>
        </w:rPr>
        <w:t>.</w:t>
      </w:r>
    </w:p>
    <w:p w14:paraId="25C2D88A"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Адитивният ефект от едновременното приложение на продукти съдържащи сорбитол (или фруктоза) и приемът на сорбитол (или фруктоза) с храната трябва да се вземе в предвид. Съдържанието на сорбитол в лекарствени продукти за перорално приложение може да повлияе бионаличността на други лекарствени продукти за перорално приложение при едновременната им употреба.</w:t>
      </w:r>
    </w:p>
    <w:p w14:paraId="3EF9FE40"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 xml:space="preserve">Пациентите с наследствена непоносимост към фруктоза </w:t>
      </w:r>
      <w:r w:rsidRPr="00410CAF">
        <w:rPr>
          <w:rFonts w:eastAsia="Times New Roman" w:cs="Arial"/>
          <w:color w:val="000000"/>
          <w:lang w:val="en-US"/>
        </w:rPr>
        <w:t xml:space="preserve">(HFI) </w:t>
      </w:r>
      <w:r w:rsidRPr="00410CAF">
        <w:rPr>
          <w:rFonts w:eastAsia="Times New Roman" w:cs="Arial"/>
          <w:color w:val="000000"/>
          <w:lang w:eastAsia="bg-BG"/>
        </w:rPr>
        <w:t>не трябва да приемат/им се дава този лекарствен продукт.</w:t>
      </w:r>
    </w:p>
    <w:p w14:paraId="179BA81B"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 xml:space="preserve">Това лекарство съдържа по-малко от 1 </w:t>
      </w:r>
      <w:r w:rsidRPr="00410CAF">
        <w:rPr>
          <w:rFonts w:eastAsia="Times New Roman" w:cs="Arial"/>
          <w:color w:val="000000"/>
          <w:lang w:val="en-US"/>
        </w:rPr>
        <w:t xml:space="preserve">mmol </w:t>
      </w:r>
      <w:r w:rsidRPr="00410CAF">
        <w:rPr>
          <w:rFonts w:eastAsia="Times New Roman" w:cs="Arial"/>
          <w:color w:val="000000"/>
          <w:lang w:eastAsia="bg-BG"/>
        </w:rPr>
        <w:t xml:space="preserve">натрий (23 </w:t>
      </w:r>
      <w:r w:rsidRPr="00410CAF">
        <w:rPr>
          <w:rFonts w:eastAsia="Times New Roman" w:cs="Arial"/>
          <w:color w:val="000000"/>
          <w:lang w:val="en-US"/>
        </w:rPr>
        <w:t xml:space="preserve">mg) </w:t>
      </w:r>
      <w:r w:rsidRPr="00410CAF">
        <w:rPr>
          <w:rFonts w:eastAsia="Times New Roman" w:cs="Arial"/>
          <w:color w:val="000000"/>
          <w:lang w:eastAsia="bg-BG"/>
        </w:rPr>
        <w:t>в таблетка ,така че на практика е „без натрий“.</w:t>
      </w:r>
    </w:p>
    <w:p w14:paraId="1D41ECB2" w14:textId="77777777" w:rsidR="00410CAF" w:rsidRPr="00410CAF" w:rsidRDefault="00410CAF" w:rsidP="00410CAF"/>
    <w:p w14:paraId="7ABEA351" w14:textId="6EF68075" w:rsidR="00A71DCF" w:rsidRDefault="002C50EE" w:rsidP="00A93499">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p>
    <w:p w14:paraId="01AAEE8F" w14:textId="158EA6B7" w:rsidR="00410CAF" w:rsidRDefault="00410CAF" w:rsidP="00410CAF"/>
    <w:p w14:paraId="70B66E36"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Литий</w:t>
      </w:r>
    </w:p>
    <w:p w14:paraId="21AF06A1"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 xml:space="preserve">По време на едновременно приложение на литий с инхибитори на ангиотензин конвертиращия ензим са наблюдавани обратими повишения на серумните литиеви концентрации и прояви на токсичност. Съобщавани са редки случаи и с ангиотензин </w:t>
      </w:r>
      <w:r w:rsidRPr="00410CAF">
        <w:rPr>
          <w:rFonts w:eastAsia="Times New Roman" w:cs="Arial"/>
          <w:color w:val="000000"/>
          <w:lang w:val="en-US"/>
        </w:rPr>
        <w:t>II</w:t>
      </w:r>
      <w:r w:rsidRPr="00410CAF">
        <w:rPr>
          <w:rFonts w:eastAsia="Times New Roman" w:cs="Arial"/>
          <w:color w:val="000000"/>
          <w:lang w:eastAsia="bg-BG"/>
        </w:rPr>
        <w:t xml:space="preserve"> рецепторни антагонисти (включително телмисартан/хидрохлоротиазид). Едновременното прилагане на литий и Тезео НСТ не се препоръчва (вж. точка 4.4). Ако тази комбинация е от съществено значение, се препоръчва внимателно проследяване на серумните литиеви нива по време на едновременно приложение.</w:t>
      </w:r>
    </w:p>
    <w:p w14:paraId="071E34FF" w14:textId="77777777" w:rsidR="00410CAF" w:rsidRPr="00410CAF" w:rsidRDefault="00410CAF" w:rsidP="00410CAF">
      <w:pPr>
        <w:spacing w:line="240" w:lineRule="auto"/>
        <w:rPr>
          <w:rFonts w:eastAsia="Times New Roman" w:cs="Arial"/>
          <w:color w:val="000000"/>
          <w:lang w:eastAsia="bg-BG"/>
        </w:rPr>
      </w:pPr>
    </w:p>
    <w:p w14:paraId="529E0F73" w14:textId="3E315F34"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Лекарствени продукти, които водят до загуба на калий и хипокалиемия</w:t>
      </w:r>
      <w:r w:rsidRPr="00410CAF">
        <w:rPr>
          <w:rFonts w:eastAsia="Times New Roman" w:cs="Arial"/>
          <w:color w:val="000000"/>
          <w:lang w:eastAsia="bg-BG"/>
        </w:rPr>
        <w:t xml:space="preserve"> (например други калиуретични диуретици, лаксативи, кортикостероиди, АСТН, амфотерацин, карбеноксолон, пеницилин </w:t>
      </w:r>
      <w:r w:rsidRPr="00410CAF">
        <w:rPr>
          <w:rFonts w:eastAsia="Times New Roman" w:cs="Arial"/>
          <w:color w:val="000000"/>
          <w:lang w:val="en-US"/>
        </w:rPr>
        <w:t xml:space="preserve">G </w:t>
      </w:r>
      <w:r w:rsidRPr="00410CAF">
        <w:rPr>
          <w:rFonts w:eastAsia="Times New Roman" w:cs="Arial"/>
          <w:color w:val="000000"/>
          <w:lang w:eastAsia="bg-BG"/>
        </w:rPr>
        <w:t>натрий, салицилова киселина и производните й).</w:t>
      </w:r>
    </w:p>
    <w:p w14:paraId="14C39B20"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Ако тези вещества трябва да се приемат едновременно с комбинацията телмисартан- хидрохлоротиазид, се препоръчва проследяване на калиевите нива в плазмата. Тези лекарствени продукти може да потенцират ефектите на хидрохлоротиазид върху серумния калий (вж. точка 4.4).</w:t>
      </w:r>
    </w:p>
    <w:p w14:paraId="3A0B0459" w14:textId="77777777" w:rsidR="00410CAF" w:rsidRPr="00410CAF" w:rsidRDefault="00410CAF" w:rsidP="00410CAF">
      <w:pPr>
        <w:spacing w:line="240" w:lineRule="auto"/>
        <w:rPr>
          <w:rFonts w:eastAsia="Times New Roman" w:cs="Arial"/>
          <w:color w:val="000000"/>
          <w:u w:val="single"/>
          <w:lang w:eastAsia="bg-BG"/>
        </w:rPr>
      </w:pPr>
    </w:p>
    <w:p w14:paraId="2F22E721" w14:textId="2CE3CBB7"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 xml:space="preserve">Лекарствени продукти, които повишават калиевите нива или индуцират хиперкалиемия </w:t>
      </w:r>
      <w:r w:rsidRPr="00410CAF">
        <w:rPr>
          <w:rFonts w:eastAsia="Times New Roman" w:cs="Arial"/>
          <w:color w:val="000000"/>
          <w:lang w:eastAsia="bg-BG"/>
        </w:rPr>
        <w:t>(например АСЕ инхибитори, калий-съхраняващи диуретици, калиеви добавки, солеви заместители, съдържащи калий, циклоспорин или други лекарствени продукти като хепарин натрий).</w:t>
      </w:r>
    </w:p>
    <w:p w14:paraId="6909A1EC"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Ако тези лекарствени продукти са предписани за употреба едновременно с комбинацията телмисартан-хидрохлоротиазид, препоръчва се мониториране на калиевите плазмени нива. Въз основа на опита с използването на други лекарствени продукти, намаляващи действието на системата ренин-ангиотензин, съпътстващото приложение на гореспоменатите лекарствени продукти може да доведе до повишаване на серумния калий и по тази причина не се препоръчва (вж. точка 4.4).</w:t>
      </w:r>
    </w:p>
    <w:p w14:paraId="0403E3AF" w14:textId="77777777" w:rsidR="00410CAF" w:rsidRPr="00410CAF" w:rsidRDefault="00410CAF" w:rsidP="00410CAF">
      <w:pPr>
        <w:spacing w:line="240" w:lineRule="auto"/>
        <w:rPr>
          <w:rFonts w:eastAsia="Times New Roman" w:cs="Arial"/>
          <w:color w:val="000000"/>
          <w:u w:val="single"/>
          <w:lang w:eastAsia="bg-BG"/>
        </w:rPr>
      </w:pPr>
    </w:p>
    <w:p w14:paraId="3195B8C5" w14:textId="53B28E24"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Лекарствени продукти, които се повлияват от нарушения в серумния калий</w:t>
      </w:r>
    </w:p>
    <w:p w14:paraId="57DE35D5"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 xml:space="preserve">Препоръчва се периодично проследяване на нивата на серумния калий и ЕКГ, когато Тезео НСТ се прилага едновременно с лекарствени продукти, които се повлияват от промени в серумния калии (например дигиталисови гликозиди, антиаритмични) и следните лекарствени продукти, предизвикващи </w:t>
      </w:r>
      <w:proofErr w:type="spellStart"/>
      <w:r w:rsidRPr="00410CAF">
        <w:rPr>
          <w:rFonts w:eastAsia="Times New Roman" w:cs="Arial"/>
          <w:color w:val="000000"/>
          <w:lang w:val="en-US"/>
        </w:rPr>
        <w:t>torsades</w:t>
      </w:r>
      <w:proofErr w:type="spellEnd"/>
      <w:r w:rsidRPr="00410CAF">
        <w:rPr>
          <w:rFonts w:eastAsia="Times New Roman" w:cs="Arial"/>
          <w:color w:val="000000"/>
          <w:lang w:val="en-US"/>
        </w:rPr>
        <w:t xml:space="preserve"> de pointes </w:t>
      </w:r>
      <w:r w:rsidRPr="00410CAF">
        <w:rPr>
          <w:rFonts w:eastAsia="Times New Roman" w:cs="Arial"/>
          <w:color w:val="000000"/>
          <w:lang w:eastAsia="bg-BG"/>
        </w:rPr>
        <w:t xml:space="preserve">(включващи някои антиаритмични), като хипокалиемията е предразполагащ фактор за </w:t>
      </w:r>
      <w:proofErr w:type="spellStart"/>
      <w:r w:rsidRPr="00410CAF">
        <w:rPr>
          <w:rFonts w:eastAsia="Times New Roman" w:cs="Arial"/>
          <w:color w:val="000000"/>
          <w:lang w:val="en-US"/>
        </w:rPr>
        <w:t>torsades</w:t>
      </w:r>
      <w:proofErr w:type="spellEnd"/>
      <w:r w:rsidRPr="00410CAF">
        <w:rPr>
          <w:rFonts w:eastAsia="Times New Roman" w:cs="Arial"/>
          <w:color w:val="000000"/>
          <w:lang w:val="en-US"/>
        </w:rPr>
        <w:t xml:space="preserve"> de pointes:</w:t>
      </w:r>
    </w:p>
    <w:p w14:paraId="3EF4CED7" w14:textId="77777777" w:rsidR="00410CAF" w:rsidRPr="00410CAF" w:rsidRDefault="00410CAF" w:rsidP="00410CAF">
      <w:pPr>
        <w:pStyle w:val="ListParagraph"/>
        <w:numPr>
          <w:ilvl w:val="0"/>
          <w:numId w:val="40"/>
        </w:numPr>
        <w:spacing w:line="240" w:lineRule="auto"/>
        <w:rPr>
          <w:rFonts w:eastAsia="Times New Roman" w:cs="Arial"/>
          <w:lang w:eastAsia="bg-BG"/>
        </w:rPr>
      </w:pPr>
      <w:r w:rsidRPr="00410CAF">
        <w:rPr>
          <w:rFonts w:eastAsia="Times New Roman" w:cs="Arial"/>
          <w:color w:val="000000"/>
          <w:lang w:eastAsia="bg-BG"/>
        </w:rPr>
        <w:t xml:space="preserve">клас </w:t>
      </w:r>
      <w:proofErr w:type="spellStart"/>
      <w:r w:rsidRPr="00410CAF">
        <w:rPr>
          <w:rFonts w:eastAsia="Times New Roman" w:cs="Arial"/>
          <w:color w:val="000000"/>
          <w:lang w:val="en-US"/>
        </w:rPr>
        <w:t>Ia</w:t>
      </w:r>
      <w:proofErr w:type="spellEnd"/>
      <w:r w:rsidRPr="00410CAF">
        <w:rPr>
          <w:rFonts w:eastAsia="Times New Roman" w:cs="Arial"/>
          <w:color w:val="000000"/>
          <w:lang w:val="en-US"/>
        </w:rPr>
        <w:t xml:space="preserve"> </w:t>
      </w:r>
      <w:r w:rsidRPr="00410CAF">
        <w:rPr>
          <w:rFonts w:eastAsia="Times New Roman" w:cs="Arial"/>
          <w:color w:val="000000"/>
          <w:lang w:eastAsia="bg-BG"/>
        </w:rPr>
        <w:t xml:space="preserve">антиаритмични (например хинидин, хидрохинидин, дизопирамид) </w:t>
      </w:r>
    </w:p>
    <w:p w14:paraId="05AD143F" w14:textId="77777777" w:rsidR="00410CAF" w:rsidRPr="00410CAF" w:rsidRDefault="00410CAF" w:rsidP="00410CAF">
      <w:pPr>
        <w:pStyle w:val="ListParagraph"/>
        <w:numPr>
          <w:ilvl w:val="0"/>
          <w:numId w:val="40"/>
        </w:numPr>
        <w:spacing w:line="240" w:lineRule="auto"/>
        <w:rPr>
          <w:rFonts w:eastAsia="Times New Roman" w:cs="Arial"/>
          <w:lang w:eastAsia="bg-BG"/>
        </w:rPr>
      </w:pPr>
      <w:r w:rsidRPr="00410CAF">
        <w:rPr>
          <w:rFonts w:eastAsia="Times New Roman" w:cs="Arial"/>
          <w:color w:val="000000"/>
          <w:lang w:eastAsia="bg-BG"/>
        </w:rPr>
        <w:t xml:space="preserve">клас III антиаритмични (например амиодарон, соталол, дофетилид, ибутилид) </w:t>
      </w:r>
    </w:p>
    <w:p w14:paraId="10B77DFC" w14:textId="77777777" w:rsidR="00410CAF" w:rsidRPr="00410CAF" w:rsidRDefault="00410CAF" w:rsidP="00410CAF">
      <w:pPr>
        <w:pStyle w:val="ListParagraph"/>
        <w:numPr>
          <w:ilvl w:val="0"/>
          <w:numId w:val="40"/>
        </w:numPr>
        <w:spacing w:line="240" w:lineRule="auto"/>
        <w:rPr>
          <w:rFonts w:eastAsia="Times New Roman" w:cs="Arial"/>
          <w:lang w:eastAsia="bg-BG"/>
        </w:rPr>
      </w:pPr>
      <w:r w:rsidRPr="00410CAF">
        <w:rPr>
          <w:rFonts w:eastAsia="Times New Roman" w:cs="Arial"/>
          <w:color w:val="000000"/>
          <w:lang w:eastAsia="bg-BG"/>
        </w:rPr>
        <w:t>някои антипсихотици (например тиоридазин, хлорпромазин, левомепромазин, трифлуоперазин, циамемазин, сулпирид, султоприд, амисулприд, тиаприд, пимозид, халоперидол, дроперидол)</w:t>
      </w:r>
    </w:p>
    <w:p w14:paraId="350725D4" w14:textId="6EE63621" w:rsidR="00410CAF" w:rsidRPr="00410CAF" w:rsidRDefault="00410CAF" w:rsidP="00410CAF">
      <w:pPr>
        <w:pStyle w:val="ListParagraph"/>
        <w:numPr>
          <w:ilvl w:val="0"/>
          <w:numId w:val="40"/>
        </w:numPr>
        <w:spacing w:line="240" w:lineRule="auto"/>
        <w:rPr>
          <w:rFonts w:eastAsia="Times New Roman" w:cs="Arial"/>
          <w:lang w:eastAsia="bg-BG"/>
        </w:rPr>
      </w:pPr>
      <w:r w:rsidRPr="00410CAF">
        <w:rPr>
          <w:rFonts w:eastAsia="Times New Roman" w:cs="Arial"/>
          <w:color w:val="000000"/>
          <w:lang w:eastAsia="bg-BG"/>
        </w:rPr>
        <w:t>други: (например бепридил, цизаприд, дифеманил, еритромицин IV, халофантрин, мизоластин, пентамидин, спарфлоксацин, терфенадин, винкамин IV).</w:t>
      </w:r>
    </w:p>
    <w:p w14:paraId="6E42FC60" w14:textId="77777777" w:rsidR="00410CAF" w:rsidRPr="00410CAF" w:rsidRDefault="00410CAF" w:rsidP="00410CAF">
      <w:pPr>
        <w:spacing w:line="240" w:lineRule="auto"/>
        <w:rPr>
          <w:rFonts w:eastAsia="Times New Roman" w:cs="Arial"/>
          <w:lang w:eastAsia="bg-BG"/>
        </w:rPr>
      </w:pPr>
    </w:p>
    <w:p w14:paraId="1AD8CEDC"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Дигиталисови гликозиди</w:t>
      </w:r>
    </w:p>
    <w:p w14:paraId="1C9E67E4" w14:textId="6A68F8E6" w:rsidR="00410CAF" w:rsidRPr="00410CAF" w:rsidRDefault="00410CAF" w:rsidP="00410CAF">
      <w:pPr>
        <w:rPr>
          <w:rFonts w:eastAsia="Times New Roman" w:cs="Arial"/>
          <w:color w:val="000000"/>
          <w:lang w:eastAsia="bg-BG"/>
        </w:rPr>
      </w:pPr>
      <w:r w:rsidRPr="00410CAF">
        <w:rPr>
          <w:rFonts w:eastAsia="Times New Roman" w:cs="Arial"/>
          <w:color w:val="000000"/>
          <w:lang w:eastAsia="bg-BG"/>
        </w:rPr>
        <w:t>Предизвиканата от тиазиди хипокалиемия или хипомагнезиемия благоприятства</w:t>
      </w:r>
      <w:r w:rsidRPr="00410CAF">
        <w:rPr>
          <w:rFonts w:eastAsia="Times New Roman" w:cs="Arial"/>
          <w:color w:val="000000"/>
          <w:lang w:val="en-US"/>
        </w:rPr>
        <w:t xml:space="preserve"> </w:t>
      </w:r>
      <w:r w:rsidRPr="00410CAF">
        <w:rPr>
          <w:rFonts w:eastAsia="Times New Roman" w:cs="Arial"/>
          <w:color w:val="000000"/>
          <w:lang w:eastAsia="bg-BG"/>
        </w:rPr>
        <w:t>възникването на предизвикана от дигиталис аритмия (вж. точка 4.4).</w:t>
      </w:r>
    </w:p>
    <w:p w14:paraId="58216CEA" w14:textId="155C334A" w:rsidR="00410CAF" w:rsidRPr="00410CAF" w:rsidRDefault="00410CAF" w:rsidP="00410CAF">
      <w:pPr>
        <w:rPr>
          <w:rFonts w:eastAsia="Times New Roman" w:cs="Arial"/>
          <w:color w:val="000000"/>
          <w:lang w:eastAsia="bg-BG"/>
        </w:rPr>
      </w:pPr>
    </w:p>
    <w:p w14:paraId="559E8E65"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Дигоксин</w:t>
      </w:r>
    </w:p>
    <w:p w14:paraId="3EC99F32"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lastRenderedPageBreak/>
        <w:t>При едновременна употреба на телмисартан с дигоксин се наблюдава умерено повишаване на пиковата (49%) и на най-ниската (20%) плазмена концентация на дигоксин. При започване, коригиране на дозата или спиране на лечението с телмисартан, трябва да се наблюдават нивата на дигоксин, за да се поддържат в терапевтичния интервал.</w:t>
      </w:r>
    </w:p>
    <w:p w14:paraId="50524147" w14:textId="77777777" w:rsidR="00410CAF" w:rsidRPr="00410CAF" w:rsidRDefault="00410CAF" w:rsidP="00410CAF">
      <w:pPr>
        <w:spacing w:line="240" w:lineRule="auto"/>
        <w:rPr>
          <w:rFonts w:eastAsia="Times New Roman" w:cs="Arial"/>
          <w:color w:val="000000"/>
          <w:u w:val="single"/>
          <w:lang w:eastAsia="bg-BG"/>
        </w:rPr>
      </w:pPr>
    </w:p>
    <w:p w14:paraId="57ED0739" w14:textId="3F558EC0"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Други антихипертензивни лекарствени продукти</w:t>
      </w:r>
    </w:p>
    <w:p w14:paraId="3B3AE92E"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Телмисартан може да повиши хипотензивния ефект на други антихипертензивни средства.</w:t>
      </w:r>
    </w:p>
    <w:p w14:paraId="3982A260" w14:textId="77777777" w:rsidR="00410CAF" w:rsidRPr="00410CAF" w:rsidRDefault="00410CAF" w:rsidP="00410CAF">
      <w:pPr>
        <w:spacing w:line="240" w:lineRule="auto"/>
        <w:rPr>
          <w:rFonts w:eastAsia="Times New Roman" w:cs="Arial"/>
          <w:color w:val="000000"/>
          <w:lang w:eastAsia="bg-BG"/>
        </w:rPr>
      </w:pPr>
    </w:p>
    <w:p w14:paraId="5E104A86" w14:textId="7E9F1F59"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410CAF">
        <w:rPr>
          <w:rFonts w:eastAsia="Times New Roman" w:cs="Arial"/>
          <w:color w:val="000000"/>
          <w:lang w:val="en-US"/>
        </w:rPr>
        <w:t>II</w:t>
      </w:r>
      <w:r w:rsidRPr="00410CAF">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7767ED68" w14:textId="77777777" w:rsidR="00410CAF" w:rsidRPr="00410CAF" w:rsidRDefault="00410CAF" w:rsidP="00410CAF">
      <w:pPr>
        <w:spacing w:line="240" w:lineRule="auto"/>
        <w:rPr>
          <w:rFonts w:eastAsia="Times New Roman" w:cs="Arial"/>
          <w:color w:val="000000"/>
          <w:u w:val="single"/>
          <w:lang w:eastAsia="bg-BG"/>
        </w:rPr>
      </w:pPr>
    </w:p>
    <w:p w14:paraId="3207D517" w14:textId="639C1F41"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Противодиабетни лекарствени продукти (перорални и инсулин)</w:t>
      </w:r>
    </w:p>
    <w:p w14:paraId="7186A819"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Може да се наложи коригиране на дозите на противодиабетните лекарствени продукти (вж. точка 4.4).</w:t>
      </w:r>
    </w:p>
    <w:p w14:paraId="7EC95C5C" w14:textId="77777777" w:rsidR="00410CAF" w:rsidRPr="00410CAF" w:rsidRDefault="00410CAF" w:rsidP="00410CAF">
      <w:pPr>
        <w:spacing w:line="240" w:lineRule="auto"/>
        <w:rPr>
          <w:rFonts w:eastAsia="Times New Roman" w:cs="Arial"/>
          <w:color w:val="000000"/>
          <w:u w:val="single"/>
          <w:lang w:eastAsia="bg-BG"/>
        </w:rPr>
      </w:pPr>
    </w:p>
    <w:p w14:paraId="55EBB1A1" w14:textId="690BA517"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Метформин</w:t>
      </w:r>
    </w:p>
    <w:p w14:paraId="4E0A52B7"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Трябва да се използва предпазливо поради риск от лактатна ацидоза, индуцирана от възможна функционална бъбречна недостатъчност, свързана с хидрохлоротиазид.</w:t>
      </w:r>
    </w:p>
    <w:p w14:paraId="48BD95CC" w14:textId="77777777" w:rsidR="00410CAF" w:rsidRPr="00410CAF" w:rsidRDefault="00410CAF" w:rsidP="00410CAF">
      <w:pPr>
        <w:spacing w:line="240" w:lineRule="auto"/>
        <w:rPr>
          <w:rFonts w:eastAsia="Times New Roman" w:cs="Arial"/>
          <w:color w:val="000000"/>
          <w:u w:val="single"/>
          <w:lang w:eastAsia="bg-BG"/>
        </w:rPr>
      </w:pPr>
    </w:p>
    <w:p w14:paraId="7D141F87" w14:textId="0DE9430A"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Колестирамин и колестиполови смоли</w:t>
      </w:r>
    </w:p>
    <w:p w14:paraId="080A7136"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При наличие на анионно-обменни смоли, абсорбцията на хидрохлоротиазид се нарушава.</w:t>
      </w:r>
    </w:p>
    <w:p w14:paraId="2B692FCE" w14:textId="77777777" w:rsidR="00410CAF" w:rsidRPr="00410CAF" w:rsidRDefault="00410CAF" w:rsidP="00410CAF">
      <w:pPr>
        <w:spacing w:line="240" w:lineRule="auto"/>
        <w:rPr>
          <w:rFonts w:eastAsia="Times New Roman" w:cs="Arial"/>
          <w:color w:val="000000"/>
          <w:u w:val="single"/>
          <w:lang w:eastAsia="bg-BG"/>
        </w:rPr>
      </w:pPr>
    </w:p>
    <w:p w14:paraId="13A5DF24" w14:textId="2C2891AC"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Нестероидни противовъзпалителни средства</w:t>
      </w:r>
    </w:p>
    <w:p w14:paraId="5D6E163C"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НСПВС (т.е. ацетилсалицилова киселина в противовъзпалителни дози, СОХ-2 инхибитори и неселективни НСПВС) могат да намалят диуретичния, натриуретичния антихипертензивния ефект на тиазидните диуретици и антихипертензивния ефект на ангиотензин II рецепторните антагонисти.</w:t>
      </w:r>
    </w:p>
    <w:p w14:paraId="6357D170"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 xml:space="preserve">При някои пациенти с нарушена бъбречна функция (например дехидратирани пациенти или по- възрастни пациенти с нарушена бъбречна функция) едновременното приложение на ангиотензин II рецепторни антагонисти и лекарствени продукти, които инхибират циклооксигеназата може да доведе до по-нататъшно влошаване на бъбречната функция, включително е възможна остра бъбречна недостатъчност, която обикновено е обратима. По тази причина, комбинацията трябва да бъде прилагана с повишено внимание, особено при по- възрастни пациенти. Пациентите трябва да бъдат адекватно хидратирани и да бъде проследявана бъбречната им функция </w:t>
      </w:r>
      <w:r w:rsidRPr="00410CAF">
        <w:rPr>
          <w:rFonts w:eastAsia="Times New Roman" w:cs="Arial"/>
          <w:i/>
          <w:iCs/>
          <w:color w:val="000000"/>
          <w:lang w:eastAsia="bg-BG"/>
        </w:rPr>
        <w:t>в началото на</w:t>
      </w:r>
      <w:r w:rsidRPr="00410CAF">
        <w:rPr>
          <w:rFonts w:eastAsia="Times New Roman" w:cs="Arial"/>
          <w:color w:val="000000"/>
          <w:lang w:eastAsia="bg-BG"/>
        </w:rPr>
        <w:t xml:space="preserve"> комбинираното лечение и периодично след това.</w:t>
      </w:r>
    </w:p>
    <w:p w14:paraId="3B0AA721"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 xml:space="preserve">В едно проучване едновременното прилагане на телмисартан и рамиприл е довело до покачване на </w:t>
      </w:r>
      <w:r w:rsidRPr="00410CAF">
        <w:rPr>
          <w:rFonts w:eastAsia="Times New Roman" w:cs="Arial"/>
          <w:color w:val="000000"/>
          <w:lang w:val="en-US"/>
        </w:rPr>
        <w:t>AUC</w:t>
      </w:r>
      <w:r w:rsidRPr="00410CAF">
        <w:rPr>
          <w:rFonts w:eastAsia="Times New Roman" w:cs="Arial"/>
          <w:color w:val="000000"/>
          <w:vertAlign w:val="subscript"/>
          <w:lang w:val="en-US"/>
        </w:rPr>
        <w:t>0-24</w:t>
      </w:r>
      <w:r w:rsidRPr="00410CAF">
        <w:rPr>
          <w:rFonts w:eastAsia="Times New Roman" w:cs="Arial"/>
          <w:color w:val="000000"/>
          <w:lang w:eastAsia="bg-BG"/>
        </w:rPr>
        <w:t xml:space="preserve"> </w:t>
      </w:r>
      <w:r w:rsidRPr="00410CAF">
        <w:rPr>
          <w:rFonts w:eastAsia="Times New Roman" w:cs="Arial"/>
          <w:smallCaps/>
          <w:color w:val="000000"/>
          <w:lang w:eastAsia="bg-BG"/>
        </w:rPr>
        <w:t>и</w:t>
      </w:r>
      <w:r w:rsidRPr="00410CAF">
        <w:rPr>
          <w:rFonts w:eastAsia="Times New Roman" w:cs="Arial"/>
          <w:color w:val="000000"/>
          <w:lang w:eastAsia="bg-BG"/>
        </w:rPr>
        <w:t xml:space="preserve"> С</w:t>
      </w:r>
      <w:r w:rsidRPr="00410CAF">
        <w:rPr>
          <w:rFonts w:eastAsia="Times New Roman" w:cs="Arial"/>
          <w:color w:val="000000"/>
          <w:vertAlign w:val="subscript"/>
          <w:lang w:val="en-US"/>
        </w:rPr>
        <w:t>max</w:t>
      </w:r>
      <w:r w:rsidRPr="00410CAF">
        <w:rPr>
          <w:rFonts w:eastAsia="Times New Roman" w:cs="Arial"/>
          <w:color w:val="000000"/>
          <w:lang w:eastAsia="bg-BG"/>
        </w:rPr>
        <w:t xml:space="preserve"> на рамиприл и рамиприлат до 2,5 пъти. Клиничната значимост на това наблюдение не е известна.</w:t>
      </w:r>
    </w:p>
    <w:p w14:paraId="4126911F" w14:textId="77777777" w:rsidR="00410CAF" w:rsidRPr="00410CAF" w:rsidRDefault="00410CAF" w:rsidP="00410CAF">
      <w:pPr>
        <w:spacing w:line="240" w:lineRule="auto"/>
        <w:rPr>
          <w:rFonts w:eastAsia="Times New Roman" w:cs="Arial"/>
          <w:color w:val="000000"/>
          <w:u w:val="single"/>
          <w:lang w:eastAsia="bg-BG"/>
        </w:rPr>
      </w:pPr>
    </w:p>
    <w:p w14:paraId="22BA76FB" w14:textId="7D5BADC6"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Пресорни амини (например норадреналин)</w:t>
      </w:r>
    </w:p>
    <w:p w14:paraId="6673346D"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Ефектът на пресорните амини може да се намали.</w:t>
      </w:r>
    </w:p>
    <w:p w14:paraId="57C03CF2" w14:textId="77777777" w:rsidR="00410CAF" w:rsidRPr="00410CAF" w:rsidRDefault="00410CAF" w:rsidP="00410CAF">
      <w:pPr>
        <w:spacing w:line="240" w:lineRule="auto"/>
        <w:rPr>
          <w:rFonts w:eastAsia="Times New Roman" w:cs="Arial"/>
          <w:color w:val="000000"/>
          <w:u w:val="single"/>
          <w:lang w:eastAsia="bg-BG"/>
        </w:rPr>
      </w:pPr>
    </w:p>
    <w:p w14:paraId="6CAF311B" w14:textId="7F9A2667"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lastRenderedPageBreak/>
        <w:t xml:space="preserve">Недеполяризираши скелетно-мускул ни релаксанти (например тубокурарин) </w:t>
      </w:r>
      <w:r w:rsidRPr="00410CAF">
        <w:rPr>
          <w:rFonts w:eastAsia="Times New Roman" w:cs="Arial"/>
          <w:color w:val="000000"/>
          <w:lang w:eastAsia="bg-BG"/>
        </w:rPr>
        <w:t>Хидрохлоротиазид може да потенцира ефекта на недеполяризиращите скелетно-мускулни релаксанти.</w:t>
      </w:r>
    </w:p>
    <w:p w14:paraId="5D705870" w14:textId="77777777" w:rsidR="00410CAF" w:rsidRPr="00410CAF" w:rsidRDefault="00410CAF" w:rsidP="00410CAF">
      <w:pPr>
        <w:spacing w:line="240" w:lineRule="auto"/>
        <w:rPr>
          <w:rFonts w:eastAsia="Times New Roman" w:cs="Arial"/>
          <w:color w:val="000000"/>
          <w:u w:val="single"/>
          <w:lang w:eastAsia="bg-BG"/>
        </w:rPr>
      </w:pPr>
    </w:p>
    <w:p w14:paraId="32204CAA" w14:textId="7B4BF5F2" w:rsidR="00410CAF" w:rsidRPr="00410CAF" w:rsidRDefault="00410CAF" w:rsidP="00410CAF">
      <w:pPr>
        <w:spacing w:line="240" w:lineRule="auto"/>
        <w:rPr>
          <w:rFonts w:eastAsia="Times New Roman" w:cs="Arial"/>
          <w:color w:val="000000"/>
          <w:lang w:eastAsia="bg-BG"/>
        </w:rPr>
      </w:pPr>
      <w:r w:rsidRPr="00410CAF">
        <w:rPr>
          <w:rFonts w:eastAsia="Times New Roman" w:cs="Arial"/>
          <w:color w:val="000000"/>
          <w:u w:val="single"/>
          <w:lang w:eastAsia="bg-BG"/>
        </w:rPr>
        <w:t>Лекарствени продукти използвани за лечение на подагра</w:t>
      </w:r>
      <w:r w:rsidRPr="00410CAF">
        <w:rPr>
          <w:rFonts w:eastAsia="Times New Roman" w:cs="Arial"/>
          <w:color w:val="000000"/>
          <w:lang w:eastAsia="bg-BG"/>
        </w:rPr>
        <w:t xml:space="preserve"> </w:t>
      </w:r>
      <w:r w:rsidRPr="00410CAF">
        <w:rPr>
          <w:rFonts w:eastAsia="Times New Roman" w:cs="Arial"/>
          <w:color w:val="000000"/>
          <w:lang w:eastAsia="bg-BG"/>
        </w:rPr>
        <w:t xml:space="preserve"> </w:t>
      </w:r>
      <w:r w:rsidRPr="00410CAF">
        <w:rPr>
          <w:rFonts w:eastAsia="Times New Roman" w:cs="Arial"/>
          <w:color w:val="000000"/>
          <w:lang w:eastAsia="bg-BG"/>
        </w:rPr>
        <w:t>(например пробеницид</w:t>
      </w:r>
      <w:r w:rsidRPr="00410CAF">
        <w:rPr>
          <w:rFonts w:eastAsia="Times New Roman" w:cs="Arial"/>
          <w:color w:val="000000"/>
          <w:lang w:eastAsia="bg-BG"/>
        </w:rPr>
        <w:t xml:space="preserve">, </w:t>
      </w:r>
      <w:r w:rsidRPr="00410CAF">
        <w:rPr>
          <w:rFonts w:eastAsia="Times New Roman" w:cs="Arial"/>
          <w:color w:val="000000"/>
          <w:lang w:eastAsia="bg-BG"/>
        </w:rPr>
        <w:t>сулфинпиразон и алопуринол)</w:t>
      </w:r>
    </w:p>
    <w:p w14:paraId="0493364F" w14:textId="77777777" w:rsidR="00410CAF" w:rsidRPr="00410CAF" w:rsidRDefault="00410CAF" w:rsidP="00410CAF">
      <w:pPr>
        <w:rPr>
          <w:rFonts w:eastAsia="Times New Roman" w:cs="Arial"/>
          <w:lang w:eastAsia="bg-BG"/>
        </w:rPr>
      </w:pPr>
      <w:r w:rsidRPr="00410CAF">
        <w:rPr>
          <w:rFonts w:eastAsia="Times New Roman" w:cs="Arial"/>
          <w:color w:val="000000"/>
          <w:lang w:eastAsia="bg-BG"/>
        </w:rPr>
        <w:t>Може да се наложи коригиране на дозата на урикозуричните лекарствени продукти, тъй като хидрохлоротиазид може да увеличи серумните нива на пикочната киселина. Може да се наложи</w:t>
      </w:r>
      <w:r w:rsidRPr="00410CAF">
        <w:rPr>
          <w:rFonts w:eastAsia="Times New Roman" w:cs="Arial"/>
          <w:color w:val="000000"/>
          <w:lang w:eastAsia="bg-BG"/>
        </w:rPr>
        <w:t xml:space="preserve"> </w:t>
      </w:r>
      <w:r w:rsidRPr="00410CAF">
        <w:rPr>
          <w:rFonts w:eastAsia="Times New Roman" w:cs="Arial"/>
          <w:color w:val="000000"/>
          <w:lang w:eastAsia="bg-BG"/>
        </w:rPr>
        <w:t>повишаване на дозите на пробеницид или сулфинпиразон. Едновременното приемане на тиазиди може да повиши честотата на реакциите на свръхчувствителност към алопуринол.</w:t>
      </w:r>
    </w:p>
    <w:p w14:paraId="1BAE733B" w14:textId="77777777" w:rsidR="00410CAF" w:rsidRPr="00410CAF" w:rsidRDefault="00410CAF" w:rsidP="00410CAF">
      <w:pPr>
        <w:spacing w:line="240" w:lineRule="auto"/>
        <w:rPr>
          <w:rFonts w:eastAsia="Times New Roman" w:cs="Arial"/>
          <w:color w:val="000000"/>
          <w:u w:val="single"/>
          <w:lang w:eastAsia="bg-BG"/>
        </w:rPr>
      </w:pPr>
    </w:p>
    <w:p w14:paraId="1E9723AE" w14:textId="299A334A"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Калциеви соли</w:t>
      </w:r>
    </w:p>
    <w:p w14:paraId="27409FC8"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 xml:space="preserve">Тиазидните диуретици може да повишат серумните нива на калций, което се дължи на понижената му екскреция. Ако трябва да се предпишат калциеви добавки или лекарствени продукти, задържащи калций в организма (например терапия с витамин </w:t>
      </w:r>
      <w:r w:rsidRPr="00410CAF">
        <w:rPr>
          <w:rFonts w:eastAsia="Times New Roman" w:cs="Arial"/>
          <w:color w:val="000000"/>
          <w:lang w:val="en-US"/>
        </w:rPr>
        <w:t>D)</w:t>
      </w:r>
      <w:r w:rsidRPr="00410CAF">
        <w:rPr>
          <w:rFonts w:eastAsia="Times New Roman" w:cs="Arial"/>
          <w:color w:val="000000"/>
          <w:lang w:eastAsia="bg-BG"/>
        </w:rPr>
        <w:t>, е необходимо да се проследяват серумните нива на калция и съответно да се коригира дозата.</w:t>
      </w:r>
    </w:p>
    <w:p w14:paraId="77BA50AF" w14:textId="77777777" w:rsidR="00410CAF" w:rsidRPr="00410CAF" w:rsidRDefault="00410CAF" w:rsidP="00410CAF">
      <w:pPr>
        <w:spacing w:line="240" w:lineRule="auto"/>
        <w:rPr>
          <w:rFonts w:eastAsia="Times New Roman" w:cs="Arial"/>
          <w:color w:val="000000"/>
          <w:u w:val="single"/>
          <w:lang w:eastAsia="bg-BG"/>
        </w:rPr>
      </w:pPr>
    </w:p>
    <w:p w14:paraId="753E7FC3" w14:textId="0E874DA4"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Бета-блокери и диазоксид</w:t>
      </w:r>
    </w:p>
    <w:p w14:paraId="79B8604F"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Тиазидите може да повишат хипергликемичните ефекти на бета-блокерите и диазоксида.</w:t>
      </w:r>
    </w:p>
    <w:p w14:paraId="09DD0199" w14:textId="77777777" w:rsidR="00410CAF" w:rsidRPr="00410CAF" w:rsidRDefault="00410CAF" w:rsidP="00410CAF">
      <w:pPr>
        <w:spacing w:line="240" w:lineRule="auto"/>
        <w:rPr>
          <w:rFonts w:eastAsia="Times New Roman" w:cs="Arial"/>
          <w:color w:val="000000"/>
          <w:u w:val="single"/>
          <w:lang w:eastAsia="bg-BG"/>
        </w:rPr>
      </w:pPr>
    </w:p>
    <w:p w14:paraId="3153BC4C" w14:textId="41B64E0C"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Антихолинергичните лекарствени продукти</w:t>
      </w:r>
      <w:r w:rsidRPr="00410CAF">
        <w:rPr>
          <w:rFonts w:eastAsia="Times New Roman" w:cs="Arial"/>
          <w:color w:val="000000"/>
          <w:lang w:eastAsia="bg-BG"/>
        </w:rPr>
        <w:t xml:space="preserve"> (например атропин, бипериден) може да повишат бионаличността на тиазидните диуретици чрез понижаване на стомашно-чревния мотилитет и честотата на изпразване на стомаха.</w:t>
      </w:r>
    </w:p>
    <w:p w14:paraId="6763000B" w14:textId="77777777" w:rsidR="00410CAF" w:rsidRPr="00410CAF" w:rsidRDefault="00410CAF" w:rsidP="00410CAF">
      <w:pPr>
        <w:spacing w:line="240" w:lineRule="auto"/>
        <w:rPr>
          <w:rFonts w:eastAsia="Times New Roman" w:cs="Arial"/>
          <w:color w:val="000000"/>
          <w:u w:val="single"/>
          <w:lang w:eastAsia="bg-BG"/>
        </w:rPr>
      </w:pPr>
    </w:p>
    <w:p w14:paraId="746B845A" w14:textId="7E92F8E2"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Амантадин</w:t>
      </w:r>
    </w:p>
    <w:p w14:paraId="5BC15B3E"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Тиазидите може да увеличат риска от нежелани ефекти, причинени от амантадин.</w:t>
      </w:r>
    </w:p>
    <w:p w14:paraId="5C562BC6" w14:textId="77777777" w:rsidR="00410CAF" w:rsidRPr="00410CAF" w:rsidRDefault="00410CAF" w:rsidP="00410CAF">
      <w:pPr>
        <w:spacing w:line="240" w:lineRule="auto"/>
        <w:rPr>
          <w:rFonts w:eastAsia="Times New Roman" w:cs="Arial"/>
          <w:color w:val="000000"/>
          <w:u w:val="single"/>
          <w:lang w:eastAsia="bg-BG"/>
        </w:rPr>
      </w:pPr>
    </w:p>
    <w:p w14:paraId="23D63EC1" w14:textId="5C058F45"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Цитотоксични лекарствени продукти</w:t>
      </w:r>
      <w:r w:rsidRPr="00410CAF">
        <w:rPr>
          <w:rFonts w:eastAsia="Times New Roman" w:cs="Arial"/>
          <w:color w:val="000000"/>
          <w:lang w:eastAsia="bg-BG"/>
        </w:rPr>
        <w:t xml:space="preserve"> (например циклофосфамид, метотрексат)</w:t>
      </w:r>
    </w:p>
    <w:p w14:paraId="6D3234CC"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Тиазидите може да намалят бъбречната екскреция на цитотоксичните лекарствени продукти и да потенцират миелосупресиращия им ефект.</w:t>
      </w:r>
    </w:p>
    <w:p w14:paraId="7AF2748C" w14:textId="77777777" w:rsidR="00410CAF" w:rsidRPr="00410CAF" w:rsidRDefault="00410CAF" w:rsidP="00410CAF">
      <w:pPr>
        <w:spacing w:line="240" w:lineRule="auto"/>
        <w:rPr>
          <w:rFonts w:eastAsia="Times New Roman" w:cs="Arial"/>
          <w:color w:val="000000"/>
          <w:lang w:eastAsia="bg-BG"/>
        </w:rPr>
      </w:pPr>
    </w:p>
    <w:p w14:paraId="3A206946" w14:textId="70DA1F5F"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Въз основа на фармакологичните им свойства е възможно да се очаква, че следните лекарствени продукти могат да повишат хипотензивния ефект на всички антихипертензивни средства, включително телмисартан: баклофен, амифостин.</w:t>
      </w:r>
    </w:p>
    <w:p w14:paraId="08738351"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Също така, ортостатичната хипотония може да бъде засилена от алкохол, барбитурати, наркотични вещества или антидепресанти.</w:t>
      </w:r>
    </w:p>
    <w:p w14:paraId="0D284F0A" w14:textId="52816895" w:rsidR="00410CAF" w:rsidRPr="00410CAF" w:rsidRDefault="00410CAF" w:rsidP="00410CAF"/>
    <w:p w14:paraId="15A75A66" w14:textId="64FA753B" w:rsidR="00A71DCF" w:rsidRDefault="002C50EE" w:rsidP="00A93499">
      <w:pPr>
        <w:pStyle w:val="Heading2"/>
      </w:pPr>
      <w:r>
        <w:t>4.6. Фертилитет, бременност и кърмене</w:t>
      </w:r>
    </w:p>
    <w:p w14:paraId="7770502A" w14:textId="2AC06581" w:rsidR="00410CAF" w:rsidRDefault="00410CAF" w:rsidP="00410CAF"/>
    <w:p w14:paraId="43E6D792" w14:textId="77777777" w:rsidR="00410CAF" w:rsidRPr="00410CAF" w:rsidRDefault="00410CAF" w:rsidP="00410CAF">
      <w:pPr>
        <w:pStyle w:val="Heading3"/>
        <w:rPr>
          <w:rFonts w:eastAsia="Times New Roman"/>
          <w:sz w:val="28"/>
          <w:szCs w:val="28"/>
          <w:u w:val="single"/>
          <w:lang w:eastAsia="bg-BG"/>
        </w:rPr>
      </w:pPr>
      <w:r w:rsidRPr="00410CAF">
        <w:rPr>
          <w:rFonts w:eastAsia="Times New Roman"/>
          <w:u w:val="single"/>
          <w:lang w:eastAsia="bg-BG"/>
        </w:rPr>
        <w:t>Бременност</w:t>
      </w:r>
    </w:p>
    <w:tbl>
      <w:tblPr>
        <w:tblStyle w:val="TableGrid"/>
        <w:tblW w:w="0" w:type="auto"/>
        <w:tblLook w:val="04A0" w:firstRow="1" w:lastRow="0" w:firstColumn="1" w:lastColumn="0" w:noHBand="0" w:noVBand="1"/>
      </w:tblPr>
      <w:tblGrid>
        <w:gridCol w:w="9350"/>
      </w:tblGrid>
      <w:tr w:rsidR="00410CAF" w:rsidRPr="00410CAF" w14:paraId="1B031F62" w14:textId="77777777" w:rsidTr="00410CAF">
        <w:tc>
          <w:tcPr>
            <w:tcW w:w="9500" w:type="dxa"/>
          </w:tcPr>
          <w:p w14:paraId="3A1D8EFC" w14:textId="2AB48BCD"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Не се препоръчва употребата на А</w:t>
            </w:r>
            <w:r w:rsidRPr="00410CAF">
              <w:rPr>
                <w:rFonts w:eastAsia="Times New Roman" w:cs="Arial"/>
                <w:color w:val="000000"/>
                <w:lang w:val="en-US"/>
              </w:rPr>
              <w:t>II</w:t>
            </w:r>
            <w:r w:rsidRPr="00410CAF">
              <w:rPr>
                <w:rFonts w:eastAsia="Times New Roman" w:cs="Arial"/>
                <w:color w:val="000000"/>
                <w:lang w:eastAsia="bg-BG"/>
              </w:rPr>
              <w:t>РА през първия триместър на бременността (вж. точка 4.4). Употребата на А</w:t>
            </w:r>
            <w:r w:rsidRPr="00410CAF">
              <w:rPr>
                <w:rFonts w:eastAsia="Times New Roman" w:cs="Arial"/>
                <w:color w:val="000000"/>
                <w:lang w:val="en-US"/>
              </w:rPr>
              <w:t>II</w:t>
            </w:r>
            <w:r w:rsidRPr="00410CAF">
              <w:rPr>
                <w:rFonts w:eastAsia="Times New Roman" w:cs="Arial"/>
                <w:color w:val="000000"/>
                <w:lang w:eastAsia="bg-BG"/>
              </w:rPr>
              <w:t>РА е противопоказана през втория и третия триместър на бременността (вж. точки 43 и 4.4).</w:t>
            </w:r>
          </w:p>
        </w:tc>
      </w:tr>
    </w:tbl>
    <w:p w14:paraId="71610339" w14:textId="77777777" w:rsidR="00410CAF" w:rsidRPr="00410CAF" w:rsidRDefault="00410CAF" w:rsidP="00410CAF">
      <w:pPr>
        <w:spacing w:line="240" w:lineRule="auto"/>
        <w:rPr>
          <w:rFonts w:eastAsia="Times New Roman" w:cs="Arial"/>
          <w:color w:val="000000"/>
          <w:lang w:eastAsia="bg-BG"/>
        </w:rPr>
      </w:pPr>
    </w:p>
    <w:p w14:paraId="422BA3E3" w14:textId="58DEAB5D"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Няма достатъчно данни за употребата на телмисартан/хидрохлоротиазид при бременни жени. Експерименталните проучвания при животни показват репродуктивна токсичност (вж. точка 5.3).</w:t>
      </w:r>
    </w:p>
    <w:p w14:paraId="01AE29C3" w14:textId="77777777" w:rsidR="00410CAF" w:rsidRPr="00410CAF" w:rsidRDefault="00410CAF" w:rsidP="00410CAF">
      <w:pPr>
        <w:spacing w:line="240" w:lineRule="auto"/>
        <w:rPr>
          <w:rFonts w:eastAsia="Times New Roman" w:cs="Arial"/>
          <w:color w:val="000000"/>
          <w:lang w:eastAsia="bg-BG"/>
        </w:rPr>
      </w:pPr>
    </w:p>
    <w:p w14:paraId="1F3B1B13" w14:textId="31C585E3"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Епидемиологичните данни за риска от тератогенност след експозиция на АСЕ инхибитори през първия триместър на бременността не са убедителни. Все пак, не може да се изключи слабо повишаване на риска. Докато няма контролирани епидемиологични данни за риска при употреба на А</w:t>
      </w:r>
      <w:r w:rsidRPr="00410CAF">
        <w:rPr>
          <w:rFonts w:eastAsia="Times New Roman" w:cs="Arial"/>
          <w:color w:val="000000"/>
          <w:lang w:val="en-US"/>
        </w:rPr>
        <w:t>II</w:t>
      </w:r>
      <w:r w:rsidRPr="00410CAF">
        <w:rPr>
          <w:rFonts w:eastAsia="Times New Roman" w:cs="Arial"/>
          <w:color w:val="000000"/>
          <w:lang w:eastAsia="bg-BG"/>
        </w:rPr>
        <w:t>РА, сходни рискове могат да съществуват и при този клас лекарства.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w:t>
      </w:r>
      <w:r w:rsidRPr="00410CAF">
        <w:rPr>
          <w:rFonts w:eastAsia="Times New Roman" w:cs="Arial"/>
          <w:color w:val="000000"/>
          <w:lang w:val="en-US"/>
        </w:rPr>
        <w:t>II</w:t>
      </w:r>
      <w:r w:rsidRPr="00410CAF">
        <w:rPr>
          <w:rFonts w:eastAsia="Times New Roman" w:cs="Arial"/>
          <w:color w:val="000000"/>
          <w:lang w:eastAsia="bg-BG"/>
        </w:rPr>
        <w:t>РА. Ако е диагностицирана бременност, лечението с А</w:t>
      </w:r>
      <w:r w:rsidRPr="00410CAF">
        <w:rPr>
          <w:rFonts w:eastAsia="Times New Roman" w:cs="Arial"/>
          <w:color w:val="000000"/>
          <w:lang w:val="en-US"/>
        </w:rPr>
        <w:t>II</w:t>
      </w:r>
      <w:r w:rsidRPr="00410CAF">
        <w:rPr>
          <w:rFonts w:eastAsia="Times New Roman" w:cs="Arial"/>
          <w:color w:val="000000"/>
          <w:lang w:eastAsia="bg-BG"/>
        </w:rPr>
        <w:t>РА трябва незабавно да бъде преустановено и ако е подходящо да бъде започнато алтернативно лечение.</w:t>
      </w:r>
    </w:p>
    <w:p w14:paraId="398A790D" w14:textId="1AF73AFE" w:rsidR="00410CAF" w:rsidRPr="00410CAF" w:rsidRDefault="00410CAF" w:rsidP="00410CAF">
      <w:pPr>
        <w:spacing w:line="240" w:lineRule="auto"/>
        <w:rPr>
          <w:rFonts w:eastAsia="Times New Roman" w:cs="Arial"/>
          <w:color w:val="000000"/>
          <w:lang w:eastAsia="bg-BG"/>
        </w:rPr>
      </w:pPr>
      <w:r w:rsidRPr="00410CAF">
        <w:rPr>
          <w:rFonts w:eastAsia="Times New Roman" w:cs="Arial"/>
          <w:color w:val="000000"/>
          <w:lang w:eastAsia="bg-BG"/>
        </w:rPr>
        <w:t>Установено е, че експозицията на А</w:t>
      </w:r>
      <w:r w:rsidRPr="00410CAF">
        <w:rPr>
          <w:rFonts w:eastAsia="Times New Roman" w:cs="Arial"/>
          <w:color w:val="000000"/>
          <w:lang w:val="en-US"/>
        </w:rPr>
        <w:t>II</w:t>
      </w:r>
      <w:r w:rsidRPr="00410CAF">
        <w:rPr>
          <w:rFonts w:eastAsia="Times New Roman" w:cs="Arial"/>
          <w:color w:val="000000"/>
          <w:lang w:eastAsia="bg-BG"/>
        </w:rPr>
        <w:t>РА през втория и третия триместър на бременността предизвиква фетотоксичност при хора (понижена бъбречна функция, олигохидрамнион, забавена черепна осификация) и неонатална токсичност (бъбречна недостатъчност, хипотония, и хиперкалиемия) (вж. точка 5.3). Препоръчва се ултразвуков преглед на бъбречната фу</w:t>
      </w:r>
      <w:r w:rsidRPr="00410CAF">
        <w:rPr>
          <w:rFonts w:eastAsia="Times New Roman" w:cs="Arial"/>
          <w:color w:val="000000"/>
          <w:u w:val="single"/>
          <w:lang w:eastAsia="bg-BG"/>
        </w:rPr>
        <w:t>нкция</w:t>
      </w:r>
      <w:r w:rsidRPr="00410CAF">
        <w:rPr>
          <w:rFonts w:eastAsia="Times New Roman" w:cs="Arial"/>
          <w:color w:val="000000"/>
          <w:lang w:eastAsia="bg-BG"/>
        </w:rPr>
        <w:t xml:space="preserve"> и черепа, ако настъпи експозиция на А</w:t>
      </w:r>
      <w:r w:rsidRPr="00410CAF">
        <w:rPr>
          <w:rFonts w:eastAsia="Times New Roman" w:cs="Arial"/>
          <w:color w:val="000000"/>
          <w:lang w:val="en-US"/>
        </w:rPr>
        <w:t>II</w:t>
      </w:r>
      <w:r w:rsidRPr="00410CAF">
        <w:rPr>
          <w:rFonts w:eastAsia="Times New Roman" w:cs="Arial"/>
          <w:color w:val="000000"/>
          <w:lang w:eastAsia="bg-BG"/>
        </w:rPr>
        <w:t>РАпрез втория триместър на бременността</w:t>
      </w:r>
      <w:r w:rsidRPr="00410CAF">
        <w:rPr>
          <w:rFonts w:eastAsia="Times New Roman" w:cs="Arial"/>
          <w:color w:val="000000"/>
          <w:lang w:val="en-US"/>
        </w:rPr>
        <w:t xml:space="preserve"> </w:t>
      </w:r>
      <w:r w:rsidRPr="00410CAF">
        <w:rPr>
          <w:rFonts w:eastAsia="Times New Roman" w:cs="Arial"/>
          <w:color w:val="000000"/>
          <w:lang w:eastAsia="bg-BG"/>
        </w:rPr>
        <w:t>и след това Новородените, чийто майки са приемали А</w:t>
      </w:r>
      <w:r w:rsidRPr="00410CAF">
        <w:rPr>
          <w:rFonts w:eastAsia="Times New Roman" w:cs="Arial"/>
          <w:color w:val="000000"/>
          <w:lang w:val="en-US"/>
        </w:rPr>
        <w:t>II</w:t>
      </w:r>
      <w:r w:rsidRPr="00410CAF">
        <w:rPr>
          <w:rFonts w:eastAsia="Times New Roman" w:cs="Arial"/>
          <w:color w:val="000000"/>
          <w:lang w:eastAsia="bg-BG"/>
        </w:rPr>
        <w:t>РА, трябва да бъдат внимателно наблюдавани за наличие на хипотония (вж. точки 4.3 и 4.4).</w:t>
      </w:r>
    </w:p>
    <w:p w14:paraId="199EE350" w14:textId="7F834103" w:rsidR="00410CAF" w:rsidRPr="00410CAF" w:rsidRDefault="00410CAF" w:rsidP="00410CAF">
      <w:pPr>
        <w:spacing w:line="240" w:lineRule="auto"/>
        <w:rPr>
          <w:rFonts w:eastAsia="Times New Roman" w:cs="Arial"/>
          <w:color w:val="000000"/>
          <w:lang w:eastAsia="bg-BG"/>
        </w:rPr>
      </w:pPr>
    </w:p>
    <w:p w14:paraId="58FCD76E" w14:textId="77777777"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Опитът с хидрохлоротиазид по време на бременност е ограничен, особено през първия триместър. Проучванията при животни са недостатъчни. Хидрохлоротиазид преминава през плацентата. Базирайки се на фармакологичния механизъм на действие на хидрохлоротиазид, употребата му през втория и третия триместър може да компрометира фето-плацентарната пропускливост, и да причини фетални и неонатални ефекти, като жълтеница, нарушение на електролитния баланс и тромбоцитопения.</w:t>
      </w:r>
    </w:p>
    <w:p w14:paraId="76E17644" w14:textId="77777777"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Хидрохлоротиазид не трябва да се използва при гестационен оток, гестационна хипертония или прееклампсия, поради риск от понижаване на плазмения обем и плацентарна хипоперфузия, без полезен ефект върху хода на заболяването.</w:t>
      </w:r>
    </w:p>
    <w:p w14:paraId="428310B4" w14:textId="7B54CA98"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Хидрохлоротиазид не трябва да се използва при есенциална хипертония при бременни жени, освен в редки случаи, когато не може да се приложи друго лечение.</w:t>
      </w:r>
    </w:p>
    <w:p w14:paraId="60BE306E" w14:textId="77777777" w:rsidR="00410CAF" w:rsidRPr="00410CAF" w:rsidRDefault="00410CAF" w:rsidP="00410CAF">
      <w:pPr>
        <w:spacing w:line="240" w:lineRule="auto"/>
        <w:rPr>
          <w:rFonts w:eastAsia="Times New Roman" w:cs="Arial"/>
          <w:color w:val="000000"/>
          <w:u w:val="single"/>
          <w:lang w:eastAsia="bg-BG"/>
        </w:rPr>
      </w:pPr>
    </w:p>
    <w:p w14:paraId="3924A8ED" w14:textId="1D870B03" w:rsidR="00410CAF" w:rsidRPr="00410CAF" w:rsidRDefault="00410CAF" w:rsidP="00410CAF">
      <w:pPr>
        <w:pStyle w:val="Heading3"/>
        <w:rPr>
          <w:rFonts w:eastAsia="Times New Roman"/>
          <w:sz w:val="28"/>
          <w:szCs w:val="28"/>
          <w:u w:val="single"/>
          <w:lang w:eastAsia="bg-BG"/>
        </w:rPr>
      </w:pPr>
      <w:r w:rsidRPr="00410CAF">
        <w:rPr>
          <w:rFonts w:eastAsia="Times New Roman"/>
          <w:u w:val="single"/>
          <w:lang w:eastAsia="bg-BG"/>
        </w:rPr>
        <w:t>Кърмене</w:t>
      </w:r>
    </w:p>
    <w:p w14:paraId="4E715647" w14:textId="77777777"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Тъй като няма данни относно употребата на телмисартан/хидрохлоротиазид в периода на кърмене, Тезео НСТ не се препоръчва, а се предпочитат алтернативни лечения с по-добре установен профил на безопасност в периода на кърмене, особено при кърмене на новородено или преждевременно родено дете.</w:t>
      </w:r>
    </w:p>
    <w:p w14:paraId="706E0D65" w14:textId="77777777" w:rsidR="00410CAF" w:rsidRPr="00410CAF" w:rsidRDefault="00410CAF" w:rsidP="00410CAF">
      <w:pPr>
        <w:spacing w:line="240" w:lineRule="auto"/>
        <w:rPr>
          <w:rFonts w:eastAsia="Times New Roman" w:cs="Arial"/>
          <w:color w:val="000000"/>
          <w:lang w:eastAsia="bg-BG"/>
        </w:rPr>
      </w:pPr>
    </w:p>
    <w:p w14:paraId="6D07B4E3" w14:textId="67F9ACFB"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Хидрохлоротиазид се екскретира в малки количества в майчиното мляко. Тиазиди във високи дози, предизвикващи интензивна диуреза може да инхибират продукцията на мляко.</w:t>
      </w:r>
    </w:p>
    <w:p w14:paraId="5BB35329" w14:textId="77777777"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Употребата на Тезео НСТ по време на кърмене не се препоръчва. Ако Тезео НСТ се използва в периода на кърмене, трябва да се поддържат най-ниските възможни дози.</w:t>
      </w:r>
    </w:p>
    <w:p w14:paraId="58DF643F" w14:textId="77777777" w:rsidR="00410CAF" w:rsidRPr="00410CAF" w:rsidRDefault="00410CAF" w:rsidP="00410CAF">
      <w:pPr>
        <w:spacing w:line="240" w:lineRule="auto"/>
        <w:rPr>
          <w:rFonts w:eastAsia="Times New Roman" w:cs="Arial"/>
          <w:color w:val="000000"/>
          <w:u w:val="single"/>
          <w:lang w:eastAsia="bg-BG"/>
        </w:rPr>
      </w:pPr>
    </w:p>
    <w:p w14:paraId="098A3EEA" w14:textId="4904D154" w:rsidR="00410CAF" w:rsidRPr="00410CAF" w:rsidRDefault="00410CAF" w:rsidP="00410CAF">
      <w:pPr>
        <w:pStyle w:val="Heading3"/>
        <w:rPr>
          <w:rFonts w:eastAsia="Times New Roman"/>
          <w:sz w:val="28"/>
          <w:szCs w:val="28"/>
          <w:u w:val="single"/>
          <w:lang w:eastAsia="bg-BG"/>
        </w:rPr>
      </w:pPr>
      <w:r w:rsidRPr="00410CAF">
        <w:rPr>
          <w:rFonts w:eastAsia="Times New Roman"/>
          <w:u w:val="single"/>
          <w:lang w:eastAsia="bg-BG"/>
        </w:rPr>
        <w:t>Фертилитет</w:t>
      </w:r>
    </w:p>
    <w:p w14:paraId="179C4385" w14:textId="77777777"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В предклинични проучвания не са наблюдавани ефекти на телмисартан върху фертилитета на мъжки и женски индивиди.</w:t>
      </w:r>
    </w:p>
    <w:p w14:paraId="6961FED5" w14:textId="77777777" w:rsidR="00410CAF" w:rsidRPr="00410CAF" w:rsidRDefault="00410CAF" w:rsidP="00410CAF">
      <w:pPr>
        <w:spacing w:line="240" w:lineRule="auto"/>
        <w:rPr>
          <w:rFonts w:ascii="Times New Roman" w:eastAsia="Times New Roman" w:hAnsi="Times New Roman" w:cs="Times New Roman"/>
          <w:sz w:val="24"/>
          <w:szCs w:val="24"/>
          <w:lang w:eastAsia="bg-BG"/>
        </w:rPr>
      </w:pPr>
    </w:p>
    <w:p w14:paraId="3202BE49" w14:textId="77777777" w:rsidR="00410CAF" w:rsidRPr="00410CAF" w:rsidRDefault="00410CAF" w:rsidP="00410CAF"/>
    <w:p w14:paraId="6201597D" w14:textId="7B3F0E76" w:rsidR="00EE6C97" w:rsidRDefault="002C50EE" w:rsidP="00A93499">
      <w:pPr>
        <w:pStyle w:val="Heading2"/>
      </w:pPr>
      <w:r>
        <w:lastRenderedPageBreak/>
        <w:t>4.7. Ефекти върху способността за шофиране и работа с машини</w:t>
      </w:r>
    </w:p>
    <w:p w14:paraId="3D1AC55F" w14:textId="471294C5" w:rsidR="00410CAF" w:rsidRDefault="00410CAF" w:rsidP="00410CAF"/>
    <w:p w14:paraId="6F163A53" w14:textId="77777777" w:rsidR="00410CAF" w:rsidRPr="00410CAF" w:rsidRDefault="00410CAF" w:rsidP="00410CAF">
      <w:pPr>
        <w:rPr>
          <w:sz w:val="24"/>
          <w:szCs w:val="24"/>
          <w:lang w:eastAsia="bg-BG"/>
        </w:rPr>
      </w:pPr>
      <w:r w:rsidRPr="00410CAF">
        <w:rPr>
          <w:lang w:eastAsia="bg-BG"/>
        </w:rPr>
        <w:t>Тезео НСТ може да окаже влияние върху способността за шофиране и работа с машини. Понякога при прием на Тезео НСТ могат да се появят замайване и сънливост.</w:t>
      </w:r>
    </w:p>
    <w:p w14:paraId="2EE21971" w14:textId="77777777" w:rsidR="00410CAF" w:rsidRPr="00410CAF" w:rsidRDefault="00410CAF" w:rsidP="00410CAF"/>
    <w:p w14:paraId="389A90F4" w14:textId="1F1602E4" w:rsidR="00BA5B74" w:rsidRDefault="002C50EE" w:rsidP="00A93499">
      <w:pPr>
        <w:pStyle w:val="Heading2"/>
      </w:pPr>
      <w:r>
        <w:t>4.8. Нежелани лекарствени реакции</w:t>
      </w:r>
    </w:p>
    <w:p w14:paraId="2A79BA53" w14:textId="1AEDBF4C" w:rsidR="00410CAF" w:rsidRDefault="00410CAF" w:rsidP="00410CAF"/>
    <w:p w14:paraId="62B459D3"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Кратко изложение на профила на безопасност</w:t>
      </w:r>
    </w:p>
    <w:p w14:paraId="3BE6E7A4"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Най-често съобщаваната нежелана лекарствена реакция е замайване. Сериозен ангиоедем може да настъпи рядко (≥1/10 000 до &lt; 1/1 000).</w:t>
      </w:r>
    </w:p>
    <w:p w14:paraId="35ECCD5C" w14:textId="77777777" w:rsidR="00410CAF" w:rsidRPr="00410CAF" w:rsidRDefault="00410CAF" w:rsidP="00410CAF">
      <w:pPr>
        <w:spacing w:line="240" w:lineRule="auto"/>
        <w:rPr>
          <w:rFonts w:eastAsia="Times New Roman" w:cs="Arial"/>
          <w:color w:val="000000"/>
          <w:lang w:eastAsia="bg-BG"/>
        </w:rPr>
      </w:pPr>
    </w:p>
    <w:p w14:paraId="24515F50" w14:textId="2154311C"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Честотата на нежелани лекарствени реакции, съобщавани при употребата на телмисартан/хидрохлоротиазид е сравнима с тази на нежеланите лекарствени реакции, съобщени при употреба само на телмисартан в рандомизирани контролирани проучвания, обхващащи 1471 пациенти, разпределени на случаен принцип за лечение с телмисартан плюс хидрохлоротиазид (835) или само с телмисартан (636). Не е установена зависимост между дозата и нежеланите реакции и липсва връзка с пола, възрастта или расовата принадлежност на пациентите.</w:t>
      </w:r>
    </w:p>
    <w:p w14:paraId="0579D546" w14:textId="77777777" w:rsidR="00410CAF" w:rsidRPr="00410CAF" w:rsidRDefault="00410CAF" w:rsidP="00410CAF">
      <w:pPr>
        <w:spacing w:line="240" w:lineRule="auto"/>
        <w:rPr>
          <w:rFonts w:eastAsia="Times New Roman" w:cs="Arial"/>
          <w:color w:val="000000"/>
          <w:u w:val="single"/>
          <w:lang w:eastAsia="bg-BG"/>
        </w:rPr>
      </w:pPr>
    </w:p>
    <w:p w14:paraId="60C246A5" w14:textId="588F1DDF" w:rsidR="00410CAF" w:rsidRPr="00410CAF" w:rsidRDefault="00410CAF" w:rsidP="00410CAF">
      <w:pPr>
        <w:spacing w:line="240" w:lineRule="auto"/>
        <w:rPr>
          <w:rFonts w:eastAsia="Times New Roman" w:cs="Arial"/>
          <w:lang w:eastAsia="bg-BG"/>
        </w:rPr>
      </w:pPr>
      <w:r w:rsidRPr="00410CAF">
        <w:rPr>
          <w:rFonts w:eastAsia="Times New Roman" w:cs="Arial"/>
          <w:color w:val="000000"/>
          <w:u w:val="single"/>
          <w:lang w:eastAsia="bg-BG"/>
        </w:rPr>
        <w:t>Кратко изложение на нежеланите лекарствени реакции в табличен списък</w:t>
      </w:r>
    </w:p>
    <w:p w14:paraId="181D05D4" w14:textId="77777777"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Нежеланите лекарствени реакции, съобщени във всички клинични проучвания и настъпили по- често (р≤0,05) при използването на телмисартан плюс хидрохлоротиазид, отколкото при плацебо, са описани по-долу в съответствие със системно-органната класификация. При лечение с Тезео НСТ могат да се появят и нежелани лекарствени реакции, които са характерни за самостоятелното прилагане на отделните му компоненти, но които не са наблюдавани в клиничните проучвания.</w:t>
      </w:r>
    </w:p>
    <w:p w14:paraId="0C521238" w14:textId="77777777" w:rsidR="00410CAF" w:rsidRPr="00410CAF" w:rsidRDefault="00410CAF" w:rsidP="00410CAF">
      <w:pPr>
        <w:spacing w:line="240" w:lineRule="auto"/>
        <w:rPr>
          <w:rFonts w:eastAsia="Times New Roman" w:cs="Arial"/>
          <w:color w:val="000000"/>
          <w:lang w:eastAsia="bg-BG"/>
        </w:rPr>
      </w:pPr>
    </w:p>
    <w:p w14:paraId="13B9222C" w14:textId="77777777" w:rsidR="00410CAF" w:rsidRPr="00410CAF" w:rsidRDefault="00410CAF" w:rsidP="00410CAF">
      <w:pPr>
        <w:rPr>
          <w:rFonts w:eastAsia="Times New Roman" w:cs="Arial"/>
          <w:lang w:eastAsia="bg-BG"/>
        </w:rPr>
      </w:pPr>
      <w:r w:rsidRPr="00410CAF">
        <w:rPr>
          <w:rFonts w:eastAsia="Times New Roman" w:cs="Arial"/>
          <w:color w:val="000000"/>
          <w:lang w:eastAsia="bg-BG"/>
        </w:rPr>
        <w:t>Нежеланите лекарствени реакции са категоризирани според честотата, като е използвана следната класификация: много чести (≥ 1/10), чести (≥ 1/100 до &lt; 1/10), нечести (≥ 1/1 000 до</w:t>
      </w:r>
      <w:r w:rsidRPr="00410CAF">
        <w:rPr>
          <w:rFonts w:eastAsia="Times New Roman" w:cs="Arial"/>
          <w:color w:val="000000"/>
          <w:lang w:eastAsia="bg-BG"/>
        </w:rPr>
        <w:t xml:space="preserve"> </w:t>
      </w:r>
      <w:r w:rsidRPr="00410CAF">
        <w:rPr>
          <w:rFonts w:eastAsia="Times New Roman" w:cs="Arial"/>
          <w:color w:val="000000"/>
          <w:lang w:eastAsia="bg-BG"/>
        </w:rPr>
        <w:t>&lt; 1/100), редки (≥ 1/10 000 до &lt; 1/1 000), много редки (&lt;1/10 000), с неизвестна честота (от наличните данни не може да бъде направена оценка).</w:t>
      </w:r>
    </w:p>
    <w:p w14:paraId="5CA04C21" w14:textId="77777777" w:rsidR="00410CAF" w:rsidRPr="00410CAF" w:rsidRDefault="00410CAF" w:rsidP="00410CAF">
      <w:pPr>
        <w:spacing w:line="240" w:lineRule="auto"/>
        <w:rPr>
          <w:rFonts w:eastAsia="Times New Roman" w:cs="Arial"/>
          <w:color w:val="000000"/>
          <w:lang w:eastAsia="bg-BG"/>
        </w:rPr>
      </w:pPr>
    </w:p>
    <w:p w14:paraId="4060AB74" w14:textId="7CB8E7C4" w:rsidR="00410CAF" w:rsidRPr="00410CAF" w:rsidRDefault="00410CAF" w:rsidP="00410CAF">
      <w:pPr>
        <w:spacing w:line="240" w:lineRule="auto"/>
        <w:rPr>
          <w:rFonts w:eastAsia="Times New Roman" w:cs="Arial"/>
          <w:lang w:eastAsia="bg-BG"/>
        </w:rPr>
      </w:pPr>
      <w:r w:rsidRPr="00410CAF">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тежестта.</w:t>
      </w:r>
    </w:p>
    <w:p w14:paraId="2C756059" w14:textId="4887347D" w:rsidR="00410CAF" w:rsidRDefault="00410CAF" w:rsidP="00410CAF">
      <w:pPr>
        <w:spacing w:line="240" w:lineRule="auto"/>
        <w:rPr>
          <w:rFonts w:ascii="Times New Roman" w:eastAsia="Times New Roman" w:hAnsi="Times New Roman" w:cs="Times New Roman"/>
          <w:sz w:val="24"/>
          <w:szCs w:val="24"/>
          <w:lang w:eastAsia="bg-BG"/>
        </w:rPr>
      </w:pPr>
    </w:p>
    <w:tbl>
      <w:tblPr>
        <w:tblStyle w:val="TableGrid"/>
        <w:tblW w:w="0" w:type="auto"/>
        <w:tblLook w:val="04A0" w:firstRow="1" w:lastRow="0" w:firstColumn="1" w:lastColumn="0" w:noHBand="0" w:noVBand="1"/>
      </w:tblPr>
      <w:tblGrid>
        <w:gridCol w:w="3136"/>
        <w:gridCol w:w="3076"/>
        <w:gridCol w:w="3138"/>
      </w:tblGrid>
      <w:tr w:rsidR="00410CAF" w14:paraId="3E492339" w14:textId="77777777" w:rsidTr="00410CAF">
        <w:tc>
          <w:tcPr>
            <w:tcW w:w="3166" w:type="dxa"/>
          </w:tcPr>
          <w:p w14:paraId="4F156490" w14:textId="1D19194E" w:rsidR="00410CAF" w:rsidRDefault="00410CAF" w:rsidP="00410CAF">
            <w:pPr>
              <w:spacing w:line="240" w:lineRule="auto"/>
              <w:rPr>
                <w:rFonts w:ascii="Times New Roman" w:eastAsia="Times New Roman" w:hAnsi="Times New Roman" w:cs="Times New Roman"/>
                <w:sz w:val="24"/>
                <w:szCs w:val="24"/>
                <w:lang w:eastAsia="bg-BG"/>
              </w:rPr>
            </w:pPr>
            <w:r>
              <w:rPr>
                <w:b/>
                <w:bCs/>
              </w:rPr>
              <w:t>Системо-оргаиен клас</w:t>
            </w:r>
          </w:p>
        </w:tc>
        <w:tc>
          <w:tcPr>
            <w:tcW w:w="3167" w:type="dxa"/>
          </w:tcPr>
          <w:p w14:paraId="02BFCDFF" w14:textId="66EC748A" w:rsidR="00410CAF" w:rsidRDefault="00410CAF" w:rsidP="00410CAF">
            <w:pPr>
              <w:spacing w:line="240" w:lineRule="auto"/>
              <w:rPr>
                <w:rFonts w:ascii="Times New Roman" w:eastAsia="Times New Roman" w:hAnsi="Times New Roman" w:cs="Times New Roman"/>
                <w:sz w:val="24"/>
                <w:szCs w:val="24"/>
                <w:lang w:eastAsia="bg-BG"/>
              </w:rPr>
            </w:pPr>
            <w:r>
              <w:rPr>
                <w:b/>
                <w:bCs/>
              </w:rPr>
              <w:t>Честота</w:t>
            </w:r>
          </w:p>
        </w:tc>
        <w:tc>
          <w:tcPr>
            <w:tcW w:w="3167" w:type="dxa"/>
          </w:tcPr>
          <w:p w14:paraId="134E4F69" w14:textId="183FBC9C" w:rsidR="00410CAF" w:rsidRDefault="00410CAF" w:rsidP="00410CAF">
            <w:pPr>
              <w:spacing w:line="240" w:lineRule="auto"/>
              <w:rPr>
                <w:rFonts w:ascii="Times New Roman" w:eastAsia="Times New Roman" w:hAnsi="Times New Roman" w:cs="Times New Roman"/>
                <w:sz w:val="24"/>
                <w:szCs w:val="24"/>
                <w:lang w:eastAsia="bg-BG"/>
              </w:rPr>
            </w:pPr>
            <w:r>
              <w:rPr>
                <w:b/>
                <w:bCs/>
              </w:rPr>
              <w:t>Нежелани реакции</w:t>
            </w:r>
          </w:p>
        </w:tc>
      </w:tr>
      <w:tr w:rsidR="00410CAF" w14:paraId="1BE274B6" w14:textId="77777777" w:rsidTr="00410CAF">
        <w:tc>
          <w:tcPr>
            <w:tcW w:w="3166" w:type="dxa"/>
          </w:tcPr>
          <w:p w14:paraId="16D91568" w14:textId="6033646B" w:rsidR="00410CAF" w:rsidRDefault="00410CAF" w:rsidP="00410CAF">
            <w:pPr>
              <w:spacing w:line="240" w:lineRule="auto"/>
              <w:rPr>
                <w:rFonts w:ascii="Times New Roman" w:eastAsia="Times New Roman" w:hAnsi="Times New Roman" w:cs="Times New Roman"/>
                <w:sz w:val="24"/>
                <w:szCs w:val="24"/>
                <w:lang w:eastAsia="bg-BG"/>
              </w:rPr>
            </w:pPr>
            <w:r>
              <w:t>Инфекции и инфестации</w:t>
            </w:r>
          </w:p>
        </w:tc>
        <w:tc>
          <w:tcPr>
            <w:tcW w:w="3167" w:type="dxa"/>
          </w:tcPr>
          <w:p w14:paraId="2116E623" w14:textId="2EA03C1B" w:rsidR="00410CAF" w:rsidRDefault="00410CAF" w:rsidP="00410CAF">
            <w:pPr>
              <w:spacing w:line="240" w:lineRule="auto"/>
              <w:rPr>
                <w:rFonts w:ascii="Times New Roman" w:eastAsia="Times New Roman" w:hAnsi="Times New Roman" w:cs="Times New Roman"/>
                <w:sz w:val="24"/>
                <w:szCs w:val="24"/>
                <w:lang w:eastAsia="bg-BG"/>
              </w:rPr>
            </w:pPr>
            <w:r>
              <w:t>Редки</w:t>
            </w:r>
          </w:p>
        </w:tc>
        <w:tc>
          <w:tcPr>
            <w:tcW w:w="3167" w:type="dxa"/>
          </w:tcPr>
          <w:p w14:paraId="06879EC4" w14:textId="542EAC7A" w:rsidR="00410CAF" w:rsidRDefault="00410CAF" w:rsidP="00410CAF">
            <w:pPr>
              <w:spacing w:line="240" w:lineRule="auto"/>
              <w:rPr>
                <w:rFonts w:ascii="Times New Roman" w:eastAsia="Times New Roman" w:hAnsi="Times New Roman" w:cs="Times New Roman"/>
                <w:sz w:val="24"/>
                <w:szCs w:val="24"/>
                <w:lang w:eastAsia="bg-BG"/>
              </w:rPr>
            </w:pPr>
            <w:r>
              <w:t>Бронхит, фарингит, синуит</w:t>
            </w:r>
          </w:p>
        </w:tc>
      </w:tr>
      <w:tr w:rsidR="00410CAF" w14:paraId="603A4032" w14:textId="77777777" w:rsidTr="00410CAF">
        <w:tc>
          <w:tcPr>
            <w:tcW w:w="3166" w:type="dxa"/>
          </w:tcPr>
          <w:p w14:paraId="59A423BC" w14:textId="1D9BA7E7" w:rsidR="00410CAF" w:rsidRDefault="00410CAF" w:rsidP="00410CAF">
            <w:pPr>
              <w:spacing w:line="240" w:lineRule="auto"/>
              <w:rPr>
                <w:rFonts w:ascii="Times New Roman" w:eastAsia="Times New Roman" w:hAnsi="Times New Roman" w:cs="Times New Roman"/>
                <w:sz w:val="24"/>
                <w:szCs w:val="24"/>
                <w:lang w:eastAsia="bg-BG"/>
              </w:rPr>
            </w:pPr>
            <w:r>
              <w:t>Нарушения на имунната система</w:t>
            </w:r>
          </w:p>
        </w:tc>
        <w:tc>
          <w:tcPr>
            <w:tcW w:w="3167" w:type="dxa"/>
          </w:tcPr>
          <w:p w14:paraId="08FBD74A" w14:textId="77850BC0" w:rsidR="00410CAF" w:rsidRDefault="00410CAF" w:rsidP="00410CAF">
            <w:pPr>
              <w:spacing w:line="240" w:lineRule="auto"/>
              <w:rPr>
                <w:rFonts w:ascii="Times New Roman" w:eastAsia="Times New Roman" w:hAnsi="Times New Roman" w:cs="Times New Roman"/>
                <w:sz w:val="24"/>
                <w:szCs w:val="24"/>
                <w:lang w:eastAsia="bg-BG"/>
              </w:rPr>
            </w:pPr>
            <w:r>
              <w:t>Редки</w:t>
            </w:r>
          </w:p>
        </w:tc>
        <w:tc>
          <w:tcPr>
            <w:tcW w:w="3167" w:type="dxa"/>
          </w:tcPr>
          <w:p w14:paraId="407EEC41" w14:textId="4620C5DA" w:rsidR="00410CAF" w:rsidRDefault="00410CAF" w:rsidP="00410CAF">
            <w:pPr>
              <w:spacing w:line="240" w:lineRule="auto"/>
              <w:rPr>
                <w:rFonts w:ascii="Times New Roman" w:eastAsia="Times New Roman" w:hAnsi="Times New Roman" w:cs="Times New Roman"/>
                <w:sz w:val="24"/>
                <w:szCs w:val="24"/>
                <w:lang w:eastAsia="bg-BG"/>
              </w:rPr>
            </w:pPr>
            <w:r>
              <w:t>Обостряне или активиране на системен лупус еритематодес</w:t>
            </w:r>
            <w:r>
              <w:rPr>
                <w:vertAlign w:val="superscript"/>
              </w:rPr>
              <w:t>1</w:t>
            </w:r>
          </w:p>
        </w:tc>
      </w:tr>
      <w:tr w:rsidR="00410CAF" w14:paraId="088DE693" w14:textId="77777777" w:rsidTr="00410CAF">
        <w:tc>
          <w:tcPr>
            <w:tcW w:w="3166" w:type="dxa"/>
            <w:vMerge w:val="restart"/>
          </w:tcPr>
          <w:p w14:paraId="35BD9C0D" w14:textId="725314D5" w:rsidR="00410CAF" w:rsidRDefault="00410CAF" w:rsidP="00410CAF">
            <w:pPr>
              <w:spacing w:line="240" w:lineRule="auto"/>
              <w:rPr>
                <w:rFonts w:ascii="Times New Roman" w:eastAsia="Times New Roman" w:hAnsi="Times New Roman" w:cs="Times New Roman"/>
                <w:sz w:val="24"/>
                <w:szCs w:val="24"/>
                <w:lang w:eastAsia="bg-BG"/>
              </w:rPr>
            </w:pPr>
            <w:r>
              <w:t>Нарушения на метаболизма и храненето</w:t>
            </w:r>
          </w:p>
        </w:tc>
        <w:tc>
          <w:tcPr>
            <w:tcW w:w="3167" w:type="dxa"/>
          </w:tcPr>
          <w:p w14:paraId="4618690D" w14:textId="78532B02" w:rsidR="00410CAF" w:rsidRDefault="00410CAF" w:rsidP="00410CAF">
            <w:pPr>
              <w:spacing w:line="240" w:lineRule="auto"/>
              <w:rPr>
                <w:rFonts w:ascii="Times New Roman" w:eastAsia="Times New Roman" w:hAnsi="Times New Roman" w:cs="Times New Roman"/>
                <w:sz w:val="24"/>
                <w:szCs w:val="24"/>
                <w:lang w:eastAsia="bg-BG"/>
              </w:rPr>
            </w:pPr>
            <w:r>
              <w:t>Нечести</w:t>
            </w:r>
          </w:p>
        </w:tc>
        <w:tc>
          <w:tcPr>
            <w:tcW w:w="3167" w:type="dxa"/>
          </w:tcPr>
          <w:p w14:paraId="3182F8C2" w14:textId="29A5E0D7" w:rsidR="00410CAF" w:rsidRDefault="00410CAF" w:rsidP="00410CAF">
            <w:pPr>
              <w:spacing w:line="240" w:lineRule="auto"/>
              <w:rPr>
                <w:rFonts w:ascii="Times New Roman" w:eastAsia="Times New Roman" w:hAnsi="Times New Roman" w:cs="Times New Roman"/>
                <w:sz w:val="24"/>
                <w:szCs w:val="24"/>
                <w:lang w:eastAsia="bg-BG"/>
              </w:rPr>
            </w:pPr>
            <w:r>
              <w:t>Хипокалиемия</w:t>
            </w:r>
          </w:p>
        </w:tc>
      </w:tr>
      <w:tr w:rsidR="00410CAF" w14:paraId="43346E56" w14:textId="77777777" w:rsidTr="00410CAF">
        <w:tc>
          <w:tcPr>
            <w:tcW w:w="3166" w:type="dxa"/>
            <w:vMerge/>
          </w:tcPr>
          <w:p w14:paraId="46D33C71" w14:textId="77777777" w:rsidR="00410CAF" w:rsidRDefault="00410CAF" w:rsidP="00410CAF">
            <w:pPr>
              <w:spacing w:line="240" w:lineRule="auto"/>
              <w:rPr>
                <w:rFonts w:ascii="Times New Roman" w:eastAsia="Times New Roman" w:hAnsi="Times New Roman" w:cs="Times New Roman"/>
                <w:sz w:val="24"/>
                <w:szCs w:val="24"/>
                <w:lang w:eastAsia="bg-BG"/>
              </w:rPr>
            </w:pPr>
          </w:p>
        </w:tc>
        <w:tc>
          <w:tcPr>
            <w:tcW w:w="3167" w:type="dxa"/>
          </w:tcPr>
          <w:p w14:paraId="30C286E1" w14:textId="5BAF6E59" w:rsidR="00410CAF" w:rsidRDefault="00410CAF" w:rsidP="00410CAF">
            <w:pPr>
              <w:spacing w:line="240" w:lineRule="auto"/>
              <w:rPr>
                <w:rFonts w:ascii="Times New Roman" w:eastAsia="Times New Roman" w:hAnsi="Times New Roman" w:cs="Times New Roman"/>
                <w:sz w:val="24"/>
                <w:szCs w:val="24"/>
                <w:lang w:eastAsia="bg-BG"/>
              </w:rPr>
            </w:pPr>
            <w:r>
              <w:t>Редки</w:t>
            </w:r>
          </w:p>
        </w:tc>
        <w:tc>
          <w:tcPr>
            <w:tcW w:w="3167" w:type="dxa"/>
          </w:tcPr>
          <w:p w14:paraId="31BD38AF" w14:textId="742928CA" w:rsidR="00410CAF" w:rsidRDefault="00410CAF" w:rsidP="00410CAF">
            <w:pPr>
              <w:spacing w:line="240" w:lineRule="auto"/>
              <w:rPr>
                <w:rFonts w:ascii="Times New Roman" w:eastAsia="Times New Roman" w:hAnsi="Times New Roman" w:cs="Times New Roman"/>
                <w:sz w:val="24"/>
                <w:szCs w:val="24"/>
                <w:lang w:eastAsia="bg-BG"/>
              </w:rPr>
            </w:pPr>
            <w:r>
              <w:t>Хиперурикемия, хипонатриемия</w:t>
            </w:r>
          </w:p>
        </w:tc>
      </w:tr>
      <w:tr w:rsidR="00410CAF" w14:paraId="2A1875A1" w14:textId="77777777" w:rsidTr="00410CAF">
        <w:tc>
          <w:tcPr>
            <w:tcW w:w="3166" w:type="dxa"/>
            <w:vMerge w:val="restart"/>
          </w:tcPr>
          <w:p w14:paraId="4D79AE23" w14:textId="6A0ED321" w:rsidR="00410CAF" w:rsidRDefault="00410CAF" w:rsidP="00410CAF">
            <w:pPr>
              <w:spacing w:line="240" w:lineRule="auto"/>
              <w:rPr>
                <w:rFonts w:ascii="Times New Roman" w:eastAsia="Times New Roman" w:hAnsi="Times New Roman" w:cs="Times New Roman"/>
                <w:sz w:val="24"/>
                <w:szCs w:val="24"/>
                <w:lang w:eastAsia="bg-BG"/>
              </w:rPr>
            </w:pPr>
            <w:r>
              <w:t>Психични нарушения</w:t>
            </w:r>
          </w:p>
        </w:tc>
        <w:tc>
          <w:tcPr>
            <w:tcW w:w="3167" w:type="dxa"/>
          </w:tcPr>
          <w:p w14:paraId="501A46D6" w14:textId="55C67BAB" w:rsidR="00410CAF" w:rsidRDefault="00410CAF" w:rsidP="00410CAF">
            <w:pPr>
              <w:spacing w:line="240" w:lineRule="auto"/>
              <w:rPr>
                <w:rFonts w:ascii="Times New Roman" w:eastAsia="Times New Roman" w:hAnsi="Times New Roman" w:cs="Times New Roman"/>
                <w:sz w:val="24"/>
                <w:szCs w:val="24"/>
                <w:lang w:eastAsia="bg-BG"/>
              </w:rPr>
            </w:pPr>
            <w:r>
              <w:t>Нечести</w:t>
            </w:r>
          </w:p>
        </w:tc>
        <w:tc>
          <w:tcPr>
            <w:tcW w:w="3167" w:type="dxa"/>
          </w:tcPr>
          <w:p w14:paraId="1B1C5C95" w14:textId="3A83316D" w:rsidR="00410CAF" w:rsidRDefault="00410CAF" w:rsidP="00410CAF">
            <w:pPr>
              <w:spacing w:line="240" w:lineRule="auto"/>
              <w:rPr>
                <w:rFonts w:ascii="Times New Roman" w:eastAsia="Times New Roman" w:hAnsi="Times New Roman" w:cs="Times New Roman"/>
                <w:sz w:val="24"/>
                <w:szCs w:val="24"/>
                <w:lang w:eastAsia="bg-BG"/>
              </w:rPr>
            </w:pPr>
            <w:r>
              <w:t>Безпокойство</w:t>
            </w:r>
          </w:p>
        </w:tc>
      </w:tr>
      <w:tr w:rsidR="00410CAF" w14:paraId="50A4C434" w14:textId="77777777" w:rsidTr="00410CAF">
        <w:tc>
          <w:tcPr>
            <w:tcW w:w="3166" w:type="dxa"/>
            <w:vMerge/>
          </w:tcPr>
          <w:p w14:paraId="07656F7E" w14:textId="77777777" w:rsidR="00410CAF" w:rsidRDefault="00410CAF" w:rsidP="00410CAF">
            <w:pPr>
              <w:spacing w:line="240" w:lineRule="auto"/>
              <w:rPr>
                <w:rFonts w:ascii="Times New Roman" w:eastAsia="Times New Roman" w:hAnsi="Times New Roman" w:cs="Times New Roman"/>
                <w:sz w:val="24"/>
                <w:szCs w:val="24"/>
                <w:lang w:eastAsia="bg-BG"/>
              </w:rPr>
            </w:pPr>
          </w:p>
        </w:tc>
        <w:tc>
          <w:tcPr>
            <w:tcW w:w="3167" w:type="dxa"/>
          </w:tcPr>
          <w:p w14:paraId="5972EB9F" w14:textId="560C086D" w:rsidR="00410CAF" w:rsidRDefault="00410CAF" w:rsidP="00410CAF">
            <w:pPr>
              <w:spacing w:line="240" w:lineRule="auto"/>
              <w:rPr>
                <w:rFonts w:ascii="Times New Roman" w:eastAsia="Times New Roman" w:hAnsi="Times New Roman" w:cs="Times New Roman"/>
                <w:sz w:val="24"/>
                <w:szCs w:val="24"/>
                <w:lang w:eastAsia="bg-BG"/>
              </w:rPr>
            </w:pPr>
            <w:r>
              <w:t>Редки</w:t>
            </w:r>
          </w:p>
        </w:tc>
        <w:tc>
          <w:tcPr>
            <w:tcW w:w="3167" w:type="dxa"/>
          </w:tcPr>
          <w:p w14:paraId="28C60B1B" w14:textId="26AC11AB" w:rsidR="00410CAF" w:rsidRDefault="00410CAF" w:rsidP="00410CAF">
            <w:pPr>
              <w:spacing w:line="240" w:lineRule="auto"/>
              <w:rPr>
                <w:rFonts w:ascii="Times New Roman" w:eastAsia="Times New Roman" w:hAnsi="Times New Roman" w:cs="Times New Roman"/>
                <w:sz w:val="24"/>
                <w:szCs w:val="24"/>
                <w:lang w:eastAsia="bg-BG"/>
              </w:rPr>
            </w:pPr>
            <w:r>
              <w:t>Депресия</w:t>
            </w:r>
          </w:p>
        </w:tc>
      </w:tr>
      <w:tr w:rsidR="00410CAF" w14:paraId="10A57D73" w14:textId="77777777" w:rsidTr="00410CAF">
        <w:tc>
          <w:tcPr>
            <w:tcW w:w="3166" w:type="dxa"/>
            <w:vMerge w:val="restart"/>
          </w:tcPr>
          <w:p w14:paraId="5C07DDF9" w14:textId="322E9F52" w:rsidR="00410CAF" w:rsidRDefault="00410CAF" w:rsidP="00410CAF">
            <w:pPr>
              <w:spacing w:line="240" w:lineRule="auto"/>
              <w:rPr>
                <w:rFonts w:ascii="Times New Roman" w:eastAsia="Times New Roman" w:hAnsi="Times New Roman" w:cs="Times New Roman"/>
                <w:sz w:val="24"/>
                <w:szCs w:val="24"/>
                <w:lang w:eastAsia="bg-BG"/>
              </w:rPr>
            </w:pPr>
            <w:r>
              <w:t>Нарушения на нервната система</w:t>
            </w:r>
          </w:p>
        </w:tc>
        <w:tc>
          <w:tcPr>
            <w:tcW w:w="3167" w:type="dxa"/>
          </w:tcPr>
          <w:p w14:paraId="34DB868E" w14:textId="41A2CA3B" w:rsidR="00410CAF" w:rsidRDefault="00410CAF" w:rsidP="00410CAF">
            <w:pPr>
              <w:spacing w:line="240" w:lineRule="auto"/>
              <w:rPr>
                <w:rFonts w:ascii="Times New Roman" w:eastAsia="Times New Roman" w:hAnsi="Times New Roman" w:cs="Times New Roman"/>
                <w:sz w:val="24"/>
                <w:szCs w:val="24"/>
                <w:lang w:eastAsia="bg-BG"/>
              </w:rPr>
            </w:pPr>
            <w:r>
              <w:t>Чести</w:t>
            </w:r>
          </w:p>
        </w:tc>
        <w:tc>
          <w:tcPr>
            <w:tcW w:w="3167" w:type="dxa"/>
          </w:tcPr>
          <w:p w14:paraId="64C5BB0B" w14:textId="1D35112D" w:rsidR="00410CAF" w:rsidRDefault="00410CAF" w:rsidP="00410CAF">
            <w:pPr>
              <w:spacing w:line="240" w:lineRule="auto"/>
              <w:rPr>
                <w:rFonts w:ascii="Times New Roman" w:eastAsia="Times New Roman" w:hAnsi="Times New Roman" w:cs="Times New Roman"/>
                <w:sz w:val="24"/>
                <w:szCs w:val="24"/>
                <w:lang w:eastAsia="bg-BG"/>
              </w:rPr>
            </w:pPr>
            <w:r>
              <w:t>Замайване</w:t>
            </w:r>
          </w:p>
        </w:tc>
      </w:tr>
      <w:tr w:rsidR="00410CAF" w14:paraId="293FF25D" w14:textId="77777777" w:rsidTr="00410CAF">
        <w:tc>
          <w:tcPr>
            <w:tcW w:w="3166" w:type="dxa"/>
            <w:vMerge/>
          </w:tcPr>
          <w:p w14:paraId="37CA6032" w14:textId="77777777" w:rsidR="00410CAF" w:rsidRDefault="00410CAF" w:rsidP="00410CAF">
            <w:pPr>
              <w:spacing w:line="240" w:lineRule="auto"/>
              <w:rPr>
                <w:rFonts w:ascii="Times New Roman" w:eastAsia="Times New Roman" w:hAnsi="Times New Roman" w:cs="Times New Roman"/>
                <w:sz w:val="24"/>
                <w:szCs w:val="24"/>
                <w:lang w:eastAsia="bg-BG"/>
              </w:rPr>
            </w:pPr>
          </w:p>
        </w:tc>
        <w:tc>
          <w:tcPr>
            <w:tcW w:w="3167" w:type="dxa"/>
          </w:tcPr>
          <w:p w14:paraId="69D93993" w14:textId="17E0B9BA" w:rsidR="00410CAF" w:rsidRDefault="00410CAF" w:rsidP="00410CAF">
            <w:pPr>
              <w:spacing w:line="240" w:lineRule="auto"/>
              <w:rPr>
                <w:rFonts w:ascii="Times New Roman" w:eastAsia="Times New Roman" w:hAnsi="Times New Roman" w:cs="Times New Roman"/>
                <w:sz w:val="24"/>
                <w:szCs w:val="24"/>
                <w:lang w:eastAsia="bg-BG"/>
              </w:rPr>
            </w:pPr>
            <w:r>
              <w:t>Нечести</w:t>
            </w:r>
          </w:p>
        </w:tc>
        <w:tc>
          <w:tcPr>
            <w:tcW w:w="3167" w:type="dxa"/>
          </w:tcPr>
          <w:p w14:paraId="4D82AD52" w14:textId="2341C7E6" w:rsidR="00410CAF" w:rsidRDefault="00410CAF" w:rsidP="00410CAF">
            <w:pPr>
              <w:spacing w:line="240" w:lineRule="auto"/>
              <w:rPr>
                <w:rFonts w:ascii="Times New Roman" w:eastAsia="Times New Roman" w:hAnsi="Times New Roman" w:cs="Times New Roman"/>
                <w:sz w:val="24"/>
                <w:szCs w:val="24"/>
                <w:lang w:eastAsia="bg-BG"/>
              </w:rPr>
            </w:pPr>
            <w:r>
              <w:t>Синкоп, парестезия</w:t>
            </w:r>
          </w:p>
        </w:tc>
      </w:tr>
      <w:tr w:rsidR="00410CAF" w14:paraId="7CC31395" w14:textId="77777777" w:rsidTr="00410CAF">
        <w:tc>
          <w:tcPr>
            <w:tcW w:w="3166" w:type="dxa"/>
            <w:vMerge/>
          </w:tcPr>
          <w:p w14:paraId="1541AFE1" w14:textId="77777777" w:rsidR="00410CAF" w:rsidRDefault="00410CAF" w:rsidP="00410CAF">
            <w:pPr>
              <w:spacing w:line="240" w:lineRule="auto"/>
              <w:rPr>
                <w:rFonts w:ascii="Times New Roman" w:eastAsia="Times New Roman" w:hAnsi="Times New Roman" w:cs="Times New Roman"/>
                <w:sz w:val="24"/>
                <w:szCs w:val="24"/>
                <w:lang w:eastAsia="bg-BG"/>
              </w:rPr>
            </w:pPr>
          </w:p>
        </w:tc>
        <w:tc>
          <w:tcPr>
            <w:tcW w:w="3167" w:type="dxa"/>
          </w:tcPr>
          <w:p w14:paraId="14051944" w14:textId="2D9E864B" w:rsidR="00410CAF" w:rsidRDefault="00410CAF" w:rsidP="00410CAF">
            <w:pPr>
              <w:spacing w:line="240" w:lineRule="auto"/>
              <w:rPr>
                <w:rFonts w:ascii="Times New Roman" w:eastAsia="Times New Roman" w:hAnsi="Times New Roman" w:cs="Times New Roman"/>
                <w:sz w:val="24"/>
                <w:szCs w:val="24"/>
                <w:lang w:eastAsia="bg-BG"/>
              </w:rPr>
            </w:pPr>
            <w:r>
              <w:t>Редки</w:t>
            </w:r>
          </w:p>
        </w:tc>
        <w:tc>
          <w:tcPr>
            <w:tcW w:w="3167" w:type="dxa"/>
          </w:tcPr>
          <w:p w14:paraId="22A706F8" w14:textId="3592A684" w:rsidR="00410CAF" w:rsidRDefault="00410CAF" w:rsidP="00410CAF">
            <w:pPr>
              <w:spacing w:line="240" w:lineRule="auto"/>
              <w:rPr>
                <w:rFonts w:ascii="Times New Roman" w:eastAsia="Times New Roman" w:hAnsi="Times New Roman" w:cs="Times New Roman"/>
                <w:sz w:val="24"/>
                <w:szCs w:val="24"/>
                <w:lang w:eastAsia="bg-BG"/>
              </w:rPr>
            </w:pPr>
            <w:r>
              <w:t>Безсъние, нарушения на съня</w:t>
            </w:r>
          </w:p>
        </w:tc>
      </w:tr>
      <w:tr w:rsidR="00410CAF" w14:paraId="13F8ED45" w14:textId="77777777" w:rsidTr="00410CAF">
        <w:tc>
          <w:tcPr>
            <w:tcW w:w="3166" w:type="dxa"/>
          </w:tcPr>
          <w:p w14:paraId="62D343DF" w14:textId="48DAA96E" w:rsidR="00410CAF" w:rsidRDefault="00410CAF" w:rsidP="00410CAF">
            <w:pPr>
              <w:spacing w:line="240" w:lineRule="auto"/>
              <w:rPr>
                <w:rFonts w:ascii="Times New Roman" w:eastAsia="Times New Roman" w:hAnsi="Times New Roman" w:cs="Times New Roman"/>
                <w:sz w:val="24"/>
                <w:szCs w:val="24"/>
                <w:lang w:eastAsia="bg-BG"/>
              </w:rPr>
            </w:pPr>
            <w:r>
              <w:lastRenderedPageBreak/>
              <w:t>Нарушения на очите</w:t>
            </w:r>
          </w:p>
        </w:tc>
        <w:tc>
          <w:tcPr>
            <w:tcW w:w="3167" w:type="dxa"/>
          </w:tcPr>
          <w:p w14:paraId="5DDFAEE2" w14:textId="07A2AAB2" w:rsidR="00410CAF" w:rsidRDefault="00410CAF" w:rsidP="00410CAF">
            <w:pPr>
              <w:spacing w:line="240" w:lineRule="auto"/>
              <w:rPr>
                <w:rFonts w:ascii="Times New Roman" w:eastAsia="Times New Roman" w:hAnsi="Times New Roman" w:cs="Times New Roman"/>
                <w:sz w:val="24"/>
                <w:szCs w:val="24"/>
                <w:lang w:eastAsia="bg-BG"/>
              </w:rPr>
            </w:pPr>
            <w:r>
              <w:t>Редки</w:t>
            </w:r>
          </w:p>
        </w:tc>
        <w:tc>
          <w:tcPr>
            <w:tcW w:w="3167" w:type="dxa"/>
          </w:tcPr>
          <w:p w14:paraId="6944EB04" w14:textId="067B17F4" w:rsidR="00410CAF" w:rsidRDefault="00410CAF" w:rsidP="00410CAF">
            <w:pPr>
              <w:spacing w:line="240" w:lineRule="auto"/>
              <w:rPr>
                <w:rFonts w:ascii="Times New Roman" w:eastAsia="Times New Roman" w:hAnsi="Times New Roman" w:cs="Times New Roman"/>
                <w:sz w:val="24"/>
                <w:szCs w:val="24"/>
                <w:lang w:eastAsia="bg-BG"/>
              </w:rPr>
            </w:pPr>
            <w:r>
              <w:t>Нарушения на зрението, замъглено виждане</w:t>
            </w:r>
          </w:p>
        </w:tc>
      </w:tr>
      <w:tr w:rsidR="00410CAF" w14:paraId="542307C4" w14:textId="77777777" w:rsidTr="00410CAF">
        <w:tc>
          <w:tcPr>
            <w:tcW w:w="3166" w:type="dxa"/>
          </w:tcPr>
          <w:p w14:paraId="4FB32A5C" w14:textId="3B52A257" w:rsidR="00410CAF" w:rsidRDefault="00410CAF" w:rsidP="00410CAF">
            <w:pPr>
              <w:spacing w:line="240" w:lineRule="auto"/>
              <w:rPr>
                <w:rFonts w:ascii="Times New Roman" w:eastAsia="Times New Roman" w:hAnsi="Times New Roman" w:cs="Times New Roman"/>
                <w:sz w:val="24"/>
                <w:szCs w:val="24"/>
                <w:lang w:eastAsia="bg-BG"/>
              </w:rPr>
            </w:pPr>
            <w:r>
              <w:t>Нарушения на ухото и лабиринта</w:t>
            </w:r>
          </w:p>
        </w:tc>
        <w:tc>
          <w:tcPr>
            <w:tcW w:w="3167" w:type="dxa"/>
          </w:tcPr>
          <w:p w14:paraId="276CF167" w14:textId="6C2AAE02" w:rsidR="00410CAF" w:rsidRDefault="00410CAF" w:rsidP="00410CAF">
            <w:pPr>
              <w:spacing w:line="240" w:lineRule="auto"/>
              <w:rPr>
                <w:rFonts w:ascii="Times New Roman" w:eastAsia="Times New Roman" w:hAnsi="Times New Roman" w:cs="Times New Roman"/>
                <w:sz w:val="24"/>
                <w:szCs w:val="24"/>
                <w:lang w:eastAsia="bg-BG"/>
              </w:rPr>
            </w:pPr>
            <w:r>
              <w:t>Нечести</w:t>
            </w:r>
          </w:p>
        </w:tc>
        <w:tc>
          <w:tcPr>
            <w:tcW w:w="3167" w:type="dxa"/>
          </w:tcPr>
          <w:p w14:paraId="1975B810" w14:textId="3C626ABA" w:rsidR="00410CAF" w:rsidRDefault="00410CAF" w:rsidP="00410CAF">
            <w:pPr>
              <w:spacing w:line="240" w:lineRule="auto"/>
              <w:rPr>
                <w:rFonts w:ascii="Times New Roman" w:eastAsia="Times New Roman" w:hAnsi="Times New Roman" w:cs="Times New Roman"/>
                <w:sz w:val="24"/>
                <w:szCs w:val="24"/>
                <w:lang w:eastAsia="bg-BG"/>
              </w:rPr>
            </w:pPr>
            <w:r>
              <w:t>Вертиго</w:t>
            </w:r>
          </w:p>
        </w:tc>
      </w:tr>
      <w:tr w:rsidR="00410CAF" w14:paraId="62AC74CF" w14:textId="77777777" w:rsidTr="00410CAF">
        <w:tc>
          <w:tcPr>
            <w:tcW w:w="3166" w:type="dxa"/>
          </w:tcPr>
          <w:p w14:paraId="5EEDCEC1" w14:textId="26A53FE8" w:rsidR="00410CAF" w:rsidRDefault="00410CAF" w:rsidP="00410CAF">
            <w:pPr>
              <w:spacing w:line="240" w:lineRule="auto"/>
              <w:rPr>
                <w:rFonts w:ascii="Times New Roman" w:eastAsia="Times New Roman" w:hAnsi="Times New Roman" w:cs="Times New Roman"/>
                <w:sz w:val="24"/>
                <w:szCs w:val="24"/>
                <w:lang w:eastAsia="bg-BG"/>
              </w:rPr>
            </w:pPr>
            <w:r>
              <w:t>Сърдечни нарушения</w:t>
            </w:r>
          </w:p>
        </w:tc>
        <w:tc>
          <w:tcPr>
            <w:tcW w:w="3167" w:type="dxa"/>
          </w:tcPr>
          <w:p w14:paraId="6421B92C" w14:textId="2C91750F" w:rsidR="00410CAF" w:rsidRDefault="00410CAF" w:rsidP="00410CAF">
            <w:pPr>
              <w:spacing w:line="240" w:lineRule="auto"/>
              <w:rPr>
                <w:rFonts w:ascii="Times New Roman" w:eastAsia="Times New Roman" w:hAnsi="Times New Roman" w:cs="Times New Roman"/>
                <w:sz w:val="24"/>
                <w:szCs w:val="24"/>
                <w:lang w:eastAsia="bg-BG"/>
              </w:rPr>
            </w:pPr>
            <w:r>
              <w:t>Нечести</w:t>
            </w:r>
          </w:p>
        </w:tc>
        <w:tc>
          <w:tcPr>
            <w:tcW w:w="3167" w:type="dxa"/>
          </w:tcPr>
          <w:p w14:paraId="7CC9BEDF" w14:textId="634488C1" w:rsidR="00410CAF" w:rsidRDefault="00410CAF" w:rsidP="00410CAF">
            <w:pPr>
              <w:spacing w:line="240" w:lineRule="auto"/>
              <w:rPr>
                <w:rFonts w:ascii="Times New Roman" w:eastAsia="Times New Roman" w:hAnsi="Times New Roman" w:cs="Times New Roman"/>
                <w:sz w:val="24"/>
                <w:szCs w:val="24"/>
                <w:lang w:eastAsia="bg-BG"/>
              </w:rPr>
            </w:pPr>
            <w:r>
              <w:t>Тахикардия, аритмия</w:t>
            </w:r>
          </w:p>
        </w:tc>
      </w:tr>
      <w:tr w:rsidR="00410CAF" w14:paraId="3C7E8F84" w14:textId="77777777" w:rsidTr="00410CAF">
        <w:tc>
          <w:tcPr>
            <w:tcW w:w="3166" w:type="dxa"/>
          </w:tcPr>
          <w:p w14:paraId="0D0A1686" w14:textId="573F38D1" w:rsidR="00410CAF" w:rsidRDefault="00410CAF" w:rsidP="00410CAF">
            <w:pPr>
              <w:spacing w:line="240" w:lineRule="auto"/>
              <w:rPr>
                <w:rFonts w:ascii="Times New Roman" w:eastAsia="Times New Roman" w:hAnsi="Times New Roman" w:cs="Times New Roman"/>
                <w:sz w:val="24"/>
                <w:szCs w:val="24"/>
                <w:lang w:eastAsia="bg-BG"/>
              </w:rPr>
            </w:pPr>
            <w:r>
              <w:t>Съдови нарушения</w:t>
            </w:r>
          </w:p>
        </w:tc>
        <w:tc>
          <w:tcPr>
            <w:tcW w:w="3167" w:type="dxa"/>
          </w:tcPr>
          <w:p w14:paraId="570EC6AE" w14:textId="2F738890" w:rsidR="00410CAF" w:rsidRDefault="00410CAF" w:rsidP="00410CAF">
            <w:pPr>
              <w:spacing w:line="240" w:lineRule="auto"/>
              <w:rPr>
                <w:rFonts w:ascii="Times New Roman" w:eastAsia="Times New Roman" w:hAnsi="Times New Roman" w:cs="Times New Roman"/>
                <w:sz w:val="24"/>
                <w:szCs w:val="24"/>
                <w:lang w:eastAsia="bg-BG"/>
              </w:rPr>
            </w:pPr>
            <w:r>
              <w:t>Нечести</w:t>
            </w:r>
          </w:p>
        </w:tc>
        <w:tc>
          <w:tcPr>
            <w:tcW w:w="3167" w:type="dxa"/>
          </w:tcPr>
          <w:p w14:paraId="6CE8DD4C" w14:textId="7E4ABF98" w:rsidR="00410CAF" w:rsidRDefault="00410CAF" w:rsidP="00410CAF">
            <w:pPr>
              <w:spacing w:line="240" w:lineRule="auto"/>
              <w:rPr>
                <w:rFonts w:ascii="Times New Roman" w:eastAsia="Times New Roman" w:hAnsi="Times New Roman" w:cs="Times New Roman"/>
                <w:sz w:val="24"/>
                <w:szCs w:val="24"/>
                <w:lang w:eastAsia="bg-BG"/>
              </w:rPr>
            </w:pPr>
            <w:r>
              <w:t>Хипотония, ортостатична хипотония</w:t>
            </w:r>
          </w:p>
        </w:tc>
      </w:tr>
      <w:tr w:rsidR="00410CAF" w14:paraId="5D9E234E" w14:textId="77777777" w:rsidTr="00410CAF">
        <w:tc>
          <w:tcPr>
            <w:tcW w:w="3166" w:type="dxa"/>
            <w:vMerge w:val="restart"/>
          </w:tcPr>
          <w:p w14:paraId="5E548BCD" w14:textId="14A52EC5" w:rsidR="00410CAF" w:rsidRDefault="00410CAF" w:rsidP="00410CAF">
            <w:pPr>
              <w:spacing w:line="240" w:lineRule="auto"/>
              <w:rPr>
                <w:rFonts w:ascii="Times New Roman" w:eastAsia="Times New Roman" w:hAnsi="Times New Roman" w:cs="Times New Roman"/>
                <w:sz w:val="24"/>
                <w:szCs w:val="24"/>
                <w:lang w:eastAsia="bg-BG"/>
              </w:rPr>
            </w:pPr>
            <w:r>
              <w:t>Респираторни, гръдни и медиастинални нарушения</w:t>
            </w:r>
          </w:p>
        </w:tc>
        <w:tc>
          <w:tcPr>
            <w:tcW w:w="3167" w:type="dxa"/>
          </w:tcPr>
          <w:p w14:paraId="6C8410EF" w14:textId="1FFFFB7C" w:rsidR="00410CAF" w:rsidRDefault="00410CAF" w:rsidP="00410CAF">
            <w:pPr>
              <w:spacing w:line="240" w:lineRule="auto"/>
              <w:rPr>
                <w:rFonts w:ascii="Times New Roman" w:eastAsia="Times New Roman" w:hAnsi="Times New Roman" w:cs="Times New Roman"/>
                <w:sz w:val="24"/>
                <w:szCs w:val="24"/>
                <w:lang w:eastAsia="bg-BG"/>
              </w:rPr>
            </w:pPr>
            <w:r>
              <w:t>Нечести</w:t>
            </w:r>
          </w:p>
        </w:tc>
        <w:tc>
          <w:tcPr>
            <w:tcW w:w="3167" w:type="dxa"/>
          </w:tcPr>
          <w:p w14:paraId="218A9C62" w14:textId="3A5F7533" w:rsidR="00410CAF" w:rsidRDefault="00410CAF" w:rsidP="00410CAF">
            <w:pPr>
              <w:spacing w:line="240" w:lineRule="auto"/>
              <w:rPr>
                <w:rFonts w:ascii="Times New Roman" w:eastAsia="Times New Roman" w:hAnsi="Times New Roman" w:cs="Times New Roman"/>
                <w:sz w:val="24"/>
                <w:szCs w:val="24"/>
                <w:lang w:eastAsia="bg-BG"/>
              </w:rPr>
            </w:pPr>
            <w:r>
              <w:t>Диспнея</w:t>
            </w:r>
          </w:p>
        </w:tc>
      </w:tr>
      <w:tr w:rsidR="00410CAF" w14:paraId="7092CFCD" w14:textId="77777777" w:rsidTr="00410CAF">
        <w:tc>
          <w:tcPr>
            <w:tcW w:w="3166" w:type="dxa"/>
            <w:vMerge/>
          </w:tcPr>
          <w:p w14:paraId="16BD6106" w14:textId="77777777" w:rsidR="00410CAF" w:rsidRDefault="00410CAF" w:rsidP="00410CAF">
            <w:pPr>
              <w:spacing w:line="240" w:lineRule="auto"/>
              <w:rPr>
                <w:rFonts w:ascii="Times New Roman" w:eastAsia="Times New Roman" w:hAnsi="Times New Roman" w:cs="Times New Roman"/>
                <w:sz w:val="24"/>
                <w:szCs w:val="24"/>
                <w:lang w:eastAsia="bg-BG"/>
              </w:rPr>
            </w:pPr>
          </w:p>
        </w:tc>
        <w:tc>
          <w:tcPr>
            <w:tcW w:w="3167" w:type="dxa"/>
          </w:tcPr>
          <w:p w14:paraId="7A3FD60E" w14:textId="7B20055B" w:rsidR="00410CAF" w:rsidRDefault="00410CAF" w:rsidP="00410CAF">
            <w:pPr>
              <w:spacing w:line="240" w:lineRule="auto"/>
              <w:rPr>
                <w:rFonts w:ascii="Times New Roman" w:eastAsia="Times New Roman" w:hAnsi="Times New Roman" w:cs="Times New Roman"/>
                <w:sz w:val="24"/>
                <w:szCs w:val="24"/>
                <w:lang w:eastAsia="bg-BG"/>
              </w:rPr>
            </w:pPr>
            <w:r>
              <w:t>Редки</w:t>
            </w:r>
          </w:p>
        </w:tc>
        <w:tc>
          <w:tcPr>
            <w:tcW w:w="3167" w:type="dxa"/>
          </w:tcPr>
          <w:p w14:paraId="7E03BDBC" w14:textId="167A807A" w:rsidR="00410CAF" w:rsidRDefault="00410CAF" w:rsidP="00410CAF">
            <w:pPr>
              <w:spacing w:line="240" w:lineRule="auto"/>
              <w:rPr>
                <w:rFonts w:ascii="Times New Roman" w:eastAsia="Times New Roman" w:hAnsi="Times New Roman" w:cs="Times New Roman"/>
                <w:sz w:val="24"/>
                <w:szCs w:val="24"/>
                <w:lang w:eastAsia="bg-BG"/>
              </w:rPr>
            </w:pPr>
            <w:r>
              <w:t>Респираторен дистрес (включително пневмонити и белодробен оток)</w:t>
            </w:r>
          </w:p>
        </w:tc>
      </w:tr>
      <w:tr w:rsidR="00410CAF" w14:paraId="05EDE640" w14:textId="77777777" w:rsidTr="00410CAF">
        <w:tc>
          <w:tcPr>
            <w:tcW w:w="3166" w:type="dxa"/>
            <w:vMerge w:val="restart"/>
          </w:tcPr>
          <w:p w14:paraId="4B3AEB13" w14:textId="749F8B14" w:rsidR="00410CAF" w:rsidRDefault="00410CAF" w:rsidP="00410CAF">
            <w:pPr>
              <w:spacing w:line="240" w:lineRule="auto"/>
              <w:rPr>
                <w:rFonts w:ascii="Times New Roman" w:eastAsia="Times New Roman" w:hAnsi="Times New Roman" w:cs="Times New Roman"/>
                <w:sz w:val="24"/>
                <w:szCs w:val="24"/>
                <w:lang w:eastAsia="bg-BG"/>
              </w:rPr>
            </w:pPr>
            <w:r>
              <w:t>Стомашно-чревни нарушения</w:t>
            </w:r>
          </w:p>
        </w:tc>
        <w:tc>
          <w:tcPr>
            <w:tcW w:w="3167" w:type="dxa"/>
          </w:tcPr>
          <w:p w14:paraId="2E591EA1" w14:textId="27A77867" w:rsidR="00410CAF" w:rsidRDefault="00410CAF" w:rsidP="00410CAF">
            <w:pPr>
              <w:spacing w:line="240" w:lineRule="auto"/>
              <w:rPr>
                <w:rFonts w:ascii="Times New Roman" w:eastAsia="Times New Roman" w:hAnsi="Times New Roman" w:cs="Times New Roman"/>
                <w:sz w:val="24"/>
                <w:szCs w:val="24"/>
                <w:lang w:eastAsia="bg-BG"/>
              </w:rPr>
            </w:pPr>
            <w:r>
              <w:t>Нечести</w:t>
            </w:r>
          </w:p>
        </w:tc>
        <w:tc>
          <w:tcPr>
            <w:tcW w:w="3167" w:type="dxa"/>
          </w:tcPr>
          <w:p w14:paraId="2BF8E174" w14:textId="5EC2BDE4" w:rsidR="00410CAF" w:rsidRDefault="00410CAF" w:rsidP="00410CAF">
            <w:pPr>
              <w:spacing w:line="240" w:lineRule="auto"/>
              <w:rPr>
                <w:rFonts w:ascii="Times New Roman" w:eastAsia="Times New Roman" w:hAnsi="Times New Roman" w:cs="Times New Roman"/>
                <w:sz w:val="24"/>
                <w:szCs w:val="24"/>
                <w:lang w:eastAsia="bg-BG"/>
              </w:rPr>
            </w:pPr>
            <w:r>
              <w:t>Диария, сухота в устата, флатуленция</w:t>
            </w:r>
          </w:p>
        </w:tc>
      </w:tr>
      <w:tr w:rsidR="00410CAF" w14:paraId="62973E5D" w14:textId="77777777" w:rsidTr="00410CAF">
        <w:tc>
          <w:tcPr>
            <w:tcW w:w="3166" w:type="dxa"/>
            <w:vMerge/>
          </w:tcPr>
          <w:p w14:paraId="12A6E731" w14:textId="77777777" w:rsidR="00410CAF" w:rsidRDefault="00410CAF" w:rsidP="00410CAF">
            <w:pPr>
              <w:spacing w:line="240" w:lineRule="auto"/>
              <w:rPr>
                <w:rFonts w:ascii="Times New Roman" w:eastAsia="Times New Roman" w:hAnsi="Times New Roman" w:cs="Times New Roman"/>
                <w:sz w:val="24"/>
                <w:szCs w:val="24"/>
                <w:lang w:eastAsia="bg-BG"/>
              </w:rPr>
            </w:pPr>
          </w:p>
        </w:tc>
        <w:tc>
          <w:tcPr>
            <w:tcW w:w="3167" w:type="dxa"/>
          </w:tcPr>
          <w:p w14:paraId="27FFF049" w14:textId="6FFBAFB0" w:rsidR="00410CAF" w:rsidRDefault="00410CAF" w:rsidP="00410CAF">
            <w:pPr>
              <w:spacing w:line="240" w:lineRule="auto"/>
              <w:rPr>
                <w:rFonts w:ascii="Times New Roman" w:eastAsia="Times New Roman" w:hAnsi="Times New Roman" w:cs="Times New Roman"/>
                <w:sz w:val="24"/>
                <w:szCs w:val="24"/>
                <w:lang w:eastAsia="bg-BG"/>
              </w:rPr>
            </w:pPr>
            <w:r>
              <w:t>Редки</w:t>
            </w:r>
          </w:p>
        </w:tc>
        <w:tc>
          <w:tcPr>
            <w:tcW w:w="3167" w:type="dxa"/>
          </w:tcPr>
          <w:p w14:paraId="20B1DDD0" w14:textId="258FE74E" w:rsidR="00410CAF" w:rsidRDefault="00410CAF" w:rsidP="00410CAF">
            <w:pPr>
              <w:spacing w:line="240" w:lineRule="auto"/>
              <w:rPr>
                <w:rFonts w:ascii="Times New Roman" w:eastAsia="Times New Roman" w:hAnsi="Times New Roman" w:cs="Times New Roman"/>
                <w:sz w:val="24"/>
                <w:szCs w:val="24"/>
                <w:lang w:eastAsia="bg-BG"/>
              </w:rPr>
            </w:pPr>
            <w:r>
              <w:t>Абдоминална болка, запек, диспепсия, повръщане, гастрит</w:t>
            </w:r>
          </w:p>
        </w:tc>
      </w:tr>
      <w:tr w:rsidR="00410CAF" w14:paraId="1C52B8D3" w14:textId="77777777" w:rsidTr="00410CAF">
        <w:tc>
          <w:tcPr>
            <w:tcW w:w="3166" w:type="dxa"/>
          </w:tcPr>
          <w:p w14:paraId="5F4072C4" w14:textId="1CA95243" w:rsidR="00410CAF" w:rsidRDefault="00410CAF" w:rsidP="00410CAF">
            <w:pPr>
              <w:spacing w:line="240" w:lineRule="auto"/>
              <w:rPr>
                <w:rFonts w:ascii="Times New Roman" w:eastAsia="Times New Roman" w:hAnsi="Times New Roman" w:cs="Times New Roman"/>
                <w:sz w:val="24"/>
                <w:szCs w:val="24"/>
                <w:lang w:eastAsia="bg-BG"/>
              </w:rPr>
            </w:pPr>
            <w:r>
              <w:t>Хепато-билиарни нарушения</w:t>
            </w:r>
          </w:p>
        </w:tc>
        <w:tc>
          <w:tcPr>
            <w:tcW w:w="3167" w:type="dxa"/>
          </w:tcPr>
          <w:p w14:paraId="467FA225" w14:textId="26C58D4A" w:rsidR="00410CAF" w:rsidRDefault="00410CAF" w:rsidP="00410CAF">
            <w:pPr>
              <w:spacing w:line="240" w:lineRule="auto"/>
              <w:rPr>
                <w:rFonts w:ascii="Times New Roman" w:eastAsia="Times New Roman" w:hAnsi="Times New Roman" w:cs="Times New Roman"/>
                <w:sz w:val="24"/>
                <w:szCs w:val="24"/>
                <w:lang w:eastAsia="bg-BG"/>
              </w:rPr>
            </w:pPr>
            <w:r>
              <w:t>Редки</w:t>
            </w:r>
          </w:p>
        </w:tc>
        <w:tc>
          <w:tcPr>
            <w:tcW w:w="3167" w:type="dxa"/>
          </w:tcPr>
          <w:p w14:paraId="297C3039" w14:textId="03CA0529" w:rsidR="00410CAF" w:rsidRDefault="00410CAF" w:rsidP="00410CAF">
            <w:pPr>
              <w:spacing w:line="240" w:lineRule="auto"/>
              <w:rPr>
                <w:rFonts w:ascii="Times New Roman" w:eastAsia="Times New Roman" w:hAnsi="Times New Roman" w:cs="Times New Roman"/>
                <w:sz w:val="24"/>
                <w:szCs w:val="24"/>
                <w:lang w:eastAsia="bg-BG"/>
              </w:rPr>
            </w:pPr>
            <w:r>
              <w:t>Абнормна чернодробна функция/чернодробно нарушение</w:t>
            </w:r>
            <w:r>
              <w:rPr>
                <w:vertAlign w:val="superscript"/>
              </w:rPr>
              <w:t>2</w:t>
            </w:r>
          </w:p>
        </w:tc>
      </w:tr>
      <w:tr w:rsidR="00410CAF" w14:paraId="7680E277" w14:textId="77777777" w:rsidTr="00410CAF">
        <w:tc>
          <w:tcPr>
            <w:tcW w:w="3166" w:type="dxa"/>
          </w:tcPr>
          <w:p w14:paraId="2C894062" w14:textId="7834AEFD" w:rsidR="00410CAF" w:rsidRDefault="00410CAF" w:rsidP="00410CAF">
            <w:pPr>
              <w:spacing w:line="240" w:lineRule="auto"/>
              <w:rPr>
                <w:rFonts w:ascii="Times New Roman" w:eastAsia="Times New Roman" w:hAnsi="Times New Roman" w:cs="Times New Roman"/>
                <w:sz w:val="24"/>
                <w:szCs w:val="24"/>
                <w:lang w:eastAsia="bg-BG"/>
              </w:rPr>
            </w:pPr>
            <w:r>
              <w:t>Нарушения на кожата и подкожната тъкан</w:t>
            </w:r>
          </w:p>
        </w:tc>
        <w:tc>
          <w:tcPr>
            <w:tcW w:w="3167" w:type="dxa"/>
          </w:tcPr>
          <w:p w14:paraId="2877BF41" w14:textId="182A097D" w:rsidR="00410CAF" w:rsidRDefault="00410CAF" w:rsidP="00410CAF">
            <w:pPr>
              <w:spacing w:line="240" w:lineRule="auto"/>
              <w:rPr>
                <w:rFonts w:ascii="Times New Roman" w:eastAsia="Times New Roman" w:hAnsi="Times New Roman" w:cs="Times New Roman"/>
                <w:sz w:val="24"/>
                <w:szCs w:val="24"/>
                <w:lang w:eastAsia="bg-BG"/>
              </w:rPr>
            </w:pPr>
            <w:r>
              <w:t>Редки</w:t>
            </w:r>
          </w:p>
        </w:tc>
        <w:tc>
          <w:tcPr>
            <w:tcW w:w="3167" w:type="dxa"/>
          </w:tcPr>
          <w:p w14:paraId="1FBAB157" w14:textId="77777777" w:rsidR="00410CAF" w:rsidRDefault="00410CAF" w:rsidP="00410CAF">
            <w:r>
              <w:t>Ангиоедем (също и с фатален изход), еритема, пруритус, обрив, хиперхидроза,</w:t>
            </w:r>
          </w:p>
          <w:p w14:paraId="14F0D750" w14:textId="58322188" w:rsidR="00410CAF" w:rsidRDefault="00410CAF" w:rsidP="00410CAF">
            <w:pPr>
              <w:spacing w:line="240" w:lineRule="auto"/>
              <w:rPr>
                <w:rFonts w:ascii="Times New Roman" w:eastAsia="Times New Roman" w:hAnsi="Times New Roman" w:cs="Times New Roman"/>
                <w:sz w:val="24"/>
                <w:szCs w:val="24"/>
                <w:lang w:eastAsia="bg-BG"/>
              </w:rPr>
            </w:pPr>
            <w:r>
              <w:t>уртикария</w:t>
            </w:r>
          </w:p>
        </w:tc>
      </w:tr>
      <w:tr w:rsidR="00410CAF" w14:paraId="43E06F46" w14:textId="77777777" w:rsidTr="00410CAF">
        <w:tc>
          <w:tcPr>
            <w:tcW w:w="3166" w:type="dxa"/>
            <w:vMerge w:val="restart"/>
          </w:tcPr>
          <w:p w14:paraId="497CD73B" w14:textId="7E5EFC3A" w:rsidR="00410CAF" w:rsidRPr="00410CAF" w:rsidRDefault="00410CAF" w:rsidP="00410CAF">
            <w:pPr>
              <w:spacing w:line="240" w:lineRule="auto"/>
              <w:rPr>
                <w:rFonts w:ascii="Times New Roman" w:eastAsia="Times New Roman" w:hAnsi="Times New Roman" w:cs="Times New Roman"/>
                <w:lang w:eastAsia="bg-BG"/>
              </w:rPr>
            </w:pPr>
            <w:r w:rsidRPr="00410CAF">
              <w:t xml:space="preserve">Нарушения на мускулно- скелетната система и </w:t>
            </w:r>
            <w:r w:rsidRPr="00410CAF">
              <w:t>съединителната тъкан</w:t>
            </w:r>
          </w:p>
        </w:tc>
        <w:tc>
          <w:tcPr>
            <w:tcW w:w="3167" w:type="dxa"/>
          </w:tcPr>
          <w:p w14:paraId="5559D0C4" w14:textId="49527024" w:rsidR="00410CAF" w:rsidRDefault="00410CAF" w:rsidP="00410CAF">
            <w:pPr>
              <w:spacing w:line="240" w:lineRule="auto"/>
              <w:rPr>
                <w:rFonts w:ascii="Times New Roman" w:eastAsia="Times New Roman" w:hAnsi="Times New Roman" w:cs="Times New Roman"/>
                <w:sz w:val="24"/>
                <w:szCs w:val="24"/>
                <w:lang w:eastAsia="bg-BG"/>
              </w:rPr>
            </w:pPr>
            <w:r>
              <w:t>Нечести</w:t>
            </w:r>
          </w:p>
        </w:tc>
        <w:tc>
          <w:tcPr>
            <w:tcW w:w="3167" w:type="dxa"/>
          </w:tcPr>
          <w:p w14:paraId="7AA4E579" w14:textId="77777777" w:rsidR="00410CAF" w:rsidRDefault="00410CAF" w:rsidP="00410CAF">
            <w:r>
              <w:t>Болки в гърба, мускулни</w:t>
            </w:r>
          </w:p>
          <w:p w14:paraId="71AAE357" w14:textId="23044F57" w:rsidR="00410CAF" w:rsidRDefault="00410CAF" w:rsidP="00410CAF">
            <w:pPr>
              <w:spacing w:line="240" w:lineRule="auto"/>
              <w:rPr>
                <w:rFonts w:ascii="Times New Roman" w:eastAsia="Times New Roman" w:hAnsi="Times New Roman" w:cs="Times New Roman"/>
                <w:sz w:val="24"/>
                <w:szCs w:val="24"/>
                <w:lang w:eastAsia="bg-BG"/>
              </w:rPr>
            </w:pPr>
            <w:r>
              <w:t>спазми, миалгия</w:t>
            </w:r>
          </w:p>
        </w:tc>
      </w:tr>
      <w:tr w:rsidR="00410CAF" w14:paraId="3C18348D" w14:textId="77777777" w:rsidTr="00410CAF">
        <w:tc>
          <w:tcPr>
            <w:tcW w:w="3166" w:type="dxa"/>
            <w:vMerge/>
          </w:tcPr>
          <w:p w14:paraId="1419B536" w14:textId="77777777" w:rsidR="00410CAF" w:rsidRDefault="00410CAF" w:rsidP="00410CAF">
            <w:pPr>
              <w:spacing w:line="240" w:lineRule="auto"/>
              <w:rPr>
                <w:rFonts w:ascii="Times New Roman" w:eastAsia="Times New Roman" w:hAnsi="Times New Roman" w:cs="Times New Roman"/>
                <w:sz w:val="24"/>
                <w:szCs w:val="24"/>
                <w:lang w:eastAsia="bg-BG"/>
              </w:rPr>
            </w:pPr>
          </w:p>
        </w:tc>
        <w:tc>
          <w:tcPr>
            <w:tcW w:w="3167" w:type="dxa"/>
          </w:tcPr>
          <w:p w14:paraId="394997DB" w14:textId="4CBDD62E" w:rsidR="00410CAF" w:rsidRDefault="00410CAF" w:rsidP="00410CAF">
            <w:pPr>
              <w:rPr>
                <w:rFonts w:ascii="Times New Roman" w:eastAsia="Times New Roman" w:hAnsi="Times New Roman" w:cs="Times New Roman"/>
                <w:sz w:val="24"/>
                <w:szCs w:val="24"/>
                <w:lang w:eastAsia="bg-BG"/>
              </w:rPr>
            </w:pPr>
            <w:r>
              <w:t>Редки</w:t>
            </w:r>
          </w:p>
        </w:tc>
        <w:tc>
          <w:tcPr>
            <w:tcW w:w="3167" w:type="dxa"/>
          </w:tcPr>
          <w:p w14:paraId="57539216" w14:textId="29CE91D5" w:rsidR="00410CAF" w:rsidRDefault="00410CAF" w:rsidP="00410CAF">
            <w:pPr>
              <w:rPr>
                <w:rFonts w:ascii="Times New Roman" w:eastAsia="Times New Roman" w:hAnsi="Times New Roman" w:cs="Times New Roman"/>
                <w:sz w:val="24"/>
                <w:szCs w:val="24"/>
                <w:lang w:eastAsia="bg-BG"/>
              </w:rPr>
            </w:pPr>
            <w:r>
              <w:t>Артралгия, мускулни крампи, болка в крайник</w:t>
            </w:r>
          </w:p>
        </w:tc>
      </w:tr>
      <w:tr w:rsidR="00410CAF" w14:paraId="6A070ED6" w14:textId="77777777" w:rsidTr="00410CAF">
        <w:tc>
          <w:tcPr>
            <w:tcW w:w="3166" w:type="dxa"/>
          </w:tcPr>
          <w:p w14:paraId="07A4E7E8" w14:textId="348FDF79" w:rsidR="00410CAF" w:rsidRPr="00410CAF" w:rsidRDefault="00410CAF" w:rsidP="00410CAF">
            <w:pPr>
              <w:spacing w:line="240" w:lineRule="auto"/>
              <w:rPr>
                <w:rFonts w:ascii="Times New Roman" w:eastAsia="Times New Roman" w:hAnsi="Times New Roman" w:cs="Times New Roman"/>
                <w:lang w:eastAsia="bg-BG"/>
              </w:rPr>
            </w:pPr>
            <w:r w:rsidRPr="00410CAF">
              <w:t>Нарушения на възпроизводителната система и гърдата</w:t>
            </w:r>
          </w:p>
        </w:tc>
        <w:tc>
          <w:tcPr>
            <w:tcW w:w="3167" w:type="dxa"/>
          </w:tcPr>
          <w:p w14:paraId="5C616B39" w14:textId="0E7CEDA4" w:rsidR="00410CAF" w:rsidRPr="00410CAF" w:rsidRDefault="00410CAF" w:rsidP="00410CAF">
            <w:pPr>
              <w:spacing w:line="240" w:lineRule="auto"/>
              <w:rPr>
                <w:rFonts w:ascii="Times New Roman" w:eastAsia="Times New Roman" w:hAnsi="Times New Roman" w:cs="Times New Roman"/>
                <w:lang w:eastAsia="bg-BG"/>
              </w:rPr>
            </w:pPr>
            <w:r w:rsidRPr="00410CAF">
              <w:t>Нечести</w:t>
            </w:r>
          </w:p>
        </w:tc>
        <w:tc>
          <w:tcPr>
            <w:tcW w:w="3167" w:type="dxa"/>
          </w:tcPr>
          <w:p w14:paraId="205B4F89" w14:textId="69B56765" w:rsidR="00410CAF" w:rsidRPr="00410CAF" w:rsidRDefault="00410CAF" w:rsidP="00410CAF">
            <w:pPr>
              <w:spacing w:line="240" w:lineRule="auto"/>
              <w:rPr>
                <w:rFonts w:ascii="Times New Roman" w:eastAsia="Times New Roman" w:hAnsi="Times New Roman" w:cs="Times New Roman"/>
                <w:lang w:eastAsia="bg-BG"/>
              </w:rPr>
            </w:pPr>
            <w:r w:rsidRPr="00410CAF">
              <w:t>Еректилна дисфункция</w:t>
            </w:r>
          </w:p>
        </w:tc>
      </w:tr>
      <w:tr w:rsidR="00410CAF" w14:paraId="0C861EA6" w14:textId="77777777" w:rsidTr="00410CAF">
        <w:tc>
          <w:tcPr>
            <w:tcW w:w="3166" w:type="dxa"/>
            <w:vMerge w:val="restart"/>
          </w:tcPr>
          <w:p w14:paraId="2BD1204E" w14:textId="6F4C7E15" w:rsidR="00410CAF" w:rsidRPr="00410CAF" w:rsidRDefault="00410CAF" w:rsidP="00410CAF">
            <w:pPr>
              <w:spacing w:line="240" w:lineRule="auto"/>
              <w:rPr>
                <w:rFonts w:ascii="Times New Roman" w:eastAsia="Times New Roman" w:hAnsi="Times New Roman" w:cs="Times New Roman"/>
                <w:lang w:eastAsia="bg-BG"/>
              </w:rPr>
            </w:pPr>
            <w:r w:rsidRPr="00410CAF">
              <w:t>Общи нарушения и ефекти на мястото на приложение</w:t>
            </w:r>
          </w:p>
        </w:tc>
        <w:tc>
          <w:tcPr>
            <w:tcW w:w="3167" w:type="dxa"/>
          </w:tcPr>
          <w:p w14:paraId="10D10DC8" w14:textId="648DD726" w:rsidR="00410CAF" w:rsidRPr="00410CAF" w:rsidRDefault="00410CAF" w:rsidP="00410CAF">
            <w:pPr>
              <w:spacing w:line="240" w:lineRule="auto"/>
              <w:rPr>
                <w:rFonts w:ascii="Times New Roman" w:eastAsia="Times New Roman" w:hAnsi="Times New Roman" w:cs="Times New Roman"/>
                <w:lang w:eastAsia="bg-BG"/>
              </w:rPr>
            </w:pPr>
            <w:r w:rsidRPr="00410CAF">
              <w:t>Нечести</w:t>
            </w:r>
          </w:p>
        </w:tc>
        <w:tc>
          <w:tcPr>
            <w:tcW w:w="3167" w:type="dxa"/>
          </w:tcPr>
          <w:p w14:paraId="3F0A6309" w14:textId="3083BFD2" w:rsidR="00410CAF" w:rsidRPr="00410CAF" w:rsidRDefault="00410CAF" w:rsidP="00410CAF">
            <w:pPr>
              <w:spacing w:line="240" w:lineRule="auto"/>
              <w:rPr>
                <w:rFonts w:ascii="Times New Roman" w:eastAsia="Times New Roman" w:hAnsi="Times New Roman" w:cs="Times New Roman"/>
                <w:lang w:eastAsia="bg-BG"/>
              </w:rPr>
            </w:pPr>
            <w:r w:rsidRPr="00410CAF">
              <w:t>Болка в гръдния кош</w:t>
            </w:r>
          </w:p>
        </w:tc>
      </w:tr>
      <w:tr w:rsidR="00410CAF" w14:paraId="502D3C1A" w14:textId="77777777" w:rsidTr="00410CAF">
        <w:tc>
          <w:tcPr>
            <w:tcW w:w="3166" w:type="dxa"/>
            <w:vMerge/>
          </w:tcPr>
          <w:p w14:paraId="105279A2" w14:textId="77777777" w:rsidR="00410CAF" w:rsidRPr="00410CAF" w:rsidRDefault="00410CAF" w:rsidP="00410CAF">
            <w:pPr>
              <w:spacing w:line="240" w:lineRule="auto"/>
              <w:rPr>
                <w:rFonts w:ascii="Times New Roman" w:eastAsia="Times New Roman" w:hAnsi="Times New Roman" w:cs="Times New Roman"/>
                <w:lang w:eastAsia="bg-BG"/>
              </w:rPr>
            </w:pPr>
          </w:p>
        </w:tc>
        <w:tc>
          <w:tcPr>
            <w:tcW w:w="3167" w:type="dxa"/>
          </w:tcPr>
          <w:p w14:paraId="4710FF96" w14:textId="4962AE29" w:rsidR="00410CAF" w:rsidRPr="00410CAF" w:rsidRDefault="00410CAF" w:rsidP="00410CAF">
            <w:pPr>
              <w:spacing w:line="240" w:lineRule="auto"/>
              <w:rPr>
                <w:rFonts w:ascii="Times New Roman" w:eastAsia="Times New Roman" w:hAnsi="Times New Roman" w:cs="Times New Roman"/>
                <w:lang w:eastAsia="bg-BG"/>
              </w:rPr>
            </w:pPr>
            <w:r w:rsidRPr="00410CAF">
              <w:t>Редки</w:t>
            </w:r>
          </w:p>
        </w:tc>
        <w:tc>
          <w:tcPr>
            <w:tcW w:w="3167" w:type="dxa"/>
          </w:tcPr>
          <w:p w14:paraId="7229FF1F" w14:textId="69C030AF" w:rsidR="00410CAF" w:rsidRPr="00410CAF" w:rsidRDefault="00410CAF" w:rsidP="00410CAF">
            <w:pPr>
              <w:spacing w:line="240" w:lineRule="auto"/>
              <w:rPr>
                <w:rFonts w:ascii="Times New Roman" w:eastAsia="Times New Roman" w:hAnsi="Times New Roman" w:cs="Times New Roman"/>
                <w:lang w:eastAsia="bg-BG"/>
              </w:rPr>
            </w:pPr>
            <w:r w:rsidRPr="00410CAF">
              <w:t>Грипоподобно заболяване, болка</w:t>
            </w:r>
          </w:p>
        </w:tc>
      </w:tr>
      <w:tr w:rsidR="00410CAF" w14:paraId="00C7E91E" w14:textId="77777777" w:rsidTr="00410CAF">
        <w:tc>
          <w:tcPr>
            <w:tcW w:w="3166" w:type="dxa"/>
            <w:vMerge w:val="restart"/>
          </w:tcPr>
          <w:p w14:paraId="72678463" w14:textId="0D18A8F5" w:rsidR="00410CAF" w:rsidRPr="00410CAF" w:rsidRDefault="00410CAF" w:rsidP="00410CAF">
            <w:pPr>
              <w:spacing w:line="240" w:lineRule="auto"/>
              <w:rPr>
                <w:rFonts w:ascii="Times New Roman" w:eastAsia="Times New Roman" w:hAnsi="Times New Roman" w:cs="Times New Roman"/>
                <w:lang w:eastAsia="bg-BG"/>
              </w:rPr>
            </w:pPr>
            <w:r w:rsidRPr="00410CAF">
              <w:t>Изследвания</w:t>
            </w:r>
          </w:p>
        </w:tc>
        <w:tc>
          <w:tcPr>
            <w:tcW w:w="3167" w:type="dxa"/>
          </w:tcPr>
          <w:p w14:paraId="084ECD18" w14:textId="06166A64" w:rsidR="00410CAF" w:rsidRPr="00410CAF" w:rsidRDefault="00410CAF" w:rsidP="00410CAF">
            <w:pPr>
              <w:spacing w:line="240" w:lineRule="auto"/>
              <w:rPr>
                <w:rFonts w:ascii="Times New Roman" w:eastAsia="Times New Roman" w:hAnsi="Times New Roman" w:cs="Times New Roman"/>
                <w:lang w:eastAsia="bg-BG"/>
              </w:rPr>
            </w:pPr>
            <w:r w:rsidRPr="00410CAF">
              <w:t>Нечести</w:t>
            </w:r>
          </w:p>
        </w:tc>
        <w:tc>
          <w:tcPr>
            <w:tcW w:w="3167" w:type="dxa"/>
          </w:tcPr>
          <w:p w14:paraId="521EC066" w14:textId="24FC3853" w:rsidR="00410CAF" w:rsidRPr="00410CAF" w:rsidRDefault="00410CAF" w:rsidP="00410CAF">
            <w:pPr>
              <w:spacing w:line="240" w:lineRule="auto"/>
              <w:rPr>
                <w:rFonts w:ascii="Times New Roman" w:eastAsia="Times New Roman" w:hAnsi="Times New Roman" w:cs="Times New Roman"/>
                <w:lang w:eastAsia="bg-BG"/>
              </w:rPr>
            </w:pPr>
            <w:r w:rsidRPr="00410CAF">
              <w:t>Повишена пикочна киселина в кръвта</w:t>
            </w:r>
          </w:p>
        </w:tc>
      </w:tr>
      <w:tr w:rsidR="00410CAF" w14:paraId="1ECDBE6F" w14:textId="77777777" w:rsidTr="00410CAF">
        <w:tc>
          <w:tcPr>
            <w:tcW w:w="3166" w:type="dxa"/>
            <w:vMerge/>
          </w:tcPr>
          <w:p w14:paraId="1046D222" w14:textId="77777777" w:rsidR="00410CAF" w:rsidRPr="00410CAF" w:rsidRDefault="00410CAF" w:rsidP="00410CAF">
            <w:pPr>
              <w:spacing w:line="240" w:lineRule="auto"/>
              <w:rPr>
                <w:rFonts w:ascii="Times New Roman" w:eastAsia="Times New Roman" w:hAnsi="Times New Roman" w:cs="Times New Roman"/>
                <w:lang w:eastAsia="bg-BG"/>
              </w:rPr>
            </w:pPr>
          </w:p>
        </w:tc>
        <w:tc>
          <w:tcPr>
            <w:tcW w:w="3167" w:type="dxa"/>
          </w:tcPr>
          <w:p w14:paraId="07F8189B" w14:textId="7B099241" w:rsidR="00410CAF" w:rsidRPr="00410CAF" w:rsidRDefault="00410CAF" w:rsidP="00410CAF">
            <w:pPr>
              <w:spacing w:line="240" w:lineRule="auto"/>
              <w:rPr>
                <w:rFonts w:ascii="Times New Roman" w:eastAsia="Times New Roman" w:hAnsi="Times New Roman" w:cs="Times New Roman"/>
                <w:lang w:eastAsia="bg-BG"/>
              </w:rPr>
            </w:pPr>
            <w:r w:rsidRPr="00410CAF">
              <w:t>Редки</w:t>
            </w:r>
          </w:p>
        </w:tc>
        <w:tc>
          <w:tcPr>
            <w:tcW w:w="3167" w:type="dxa"/>
          </w:tcPr>
          <w:p w14:paraId="53D49E67" w14:textId="393CBA1B" w:rsidR="00410CAF" w:rsidRPr="00410CAF" w:rsidRDefault="00410CAF" w:rsidP="00410CAF">
            <w:pPr>
              <w:spacing w:line="240" w:lineRule="auto"/>
              <w:rPr>
                <w:rFonts w:ascii="Times New Roman" w:eastAsia="Times New Roman" w:hAnsi="Times New Roman" w:cs="Times New Roman"/>
                <w:lang w:eastAsia="bg-BG"/>
              </w:rPr>
            </w:pPr>
            <w:r w:rsidRPr="00410CAF">
              <w:t>Повишен креатинин в кръвта, повишена креатин фосфокиназа в кръвта, повишени чернодробни ензими</w:t>
            </w:r>
          </w:p>
        </w:tc>
      </w:tr>
    </w:tbl>
    <w:p w14:paraId="59EB60FD" w14:textId="22F1B152"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vertAlign w:val="superscript"/>
          <w:lang w:eastAsia="bg-BG"/>
        </w:rPr>
        <w:t>1</w:t>
      </w:r>
      <w:r w:rsidRPr="00410CAF">
        <w:rPr>
          <w:rFonts w:eastAsia="Times New Roman" w:cs="Arial"/>
          <w:color w:val="000000"/>
          <w:lang w:eastAsia="bg-BG"/>
        </w:rPr>
        <w:t>:на база на постмаркетинговия опит</w:t>
      </w:r>
    </w:p>
    <w:p w14:paraId="35F4BB6D" w14:textId="2D2C66F7"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vertAlign w:val="superscript"/>
          <w:lang w:eastAsia="bg-BG"/>
        </w:rPr>
        <w:t>2</w:t>
      </w:r>
      <w:r w:rsidRPr="00410CAF">
        <w:rPr>
          <w:rFonts w:eastAsia="Times New Roman" w:cs="Arial"/>
          <w:color w:val="000000"/>
          <w:lang w:eastAsia="bg-BG"/>
        </w:rPr>
        <w:t xml:space="preserve">:за допълнително описание, моля вижте подточка </w:t>
      </w:r>
      <w:r w:rsidRPr="00410CAF">
        <w:rPr>
          <w:rFonts w:eastAsia="Times New Roman" w:cs="Arial"/>
          <w:i/>
          <w:iCs/>
          <w:color w:val="000000"/>
          <w:lang w:eastAsia="bg-BG"/>
        </w:rPr>
        <w:t>Описание на избрани нежелани реакции</w:t>
      </w:r>
    </w:p>
    <w:p w14:paraId="34A7156C" w14:textId="77777777" w:rsidR="00410CAF" w:rsidRPr="00410CAF" w:rsidRDefault="00410CAF" w:rsidP="00410CAF">
      <w:pPr>
        <w:spacing w:line="240" w:lineRule="auto"/>
        <w:rPr>
          <w:rFonts w:eastAsia="Times New Roman" w:cs="Arial"/>
          <w:i/>
          <w:iCs/>
          <w:color w:val="000000"/>
          <w:lang w:eastAsia="bg-BG"/>
        </w:rPr>
      </w:pPr>
    </w:p>
    <w:p w14:paraId="08C7258F" w14:textId="015F009C" w:rsidR="00410CAF" w:rsidRPr="00410CAF" w:rsidRDefault="00410CAF" w:rsidP="00410CAF">
      <w:pPr>
        <w:spacing w:line="240" w:lineRule="auto"/>
        <w:rPr>
          <w:rFonts w:eastAsia="Times New Roman" w:cs="Arial"/>
          <w:sz w:val="28"/>
          <w:szCs w:val="28"/>
          <w:lang w:eastAsia="bg-BG"/>
        </w:rPr>
      </w:pPr>
      <w:r w:rsidRPr="00410CAF">
        <w:rPr>
          <w:rFonts w:eastAsia="Times New Roman" w:cs="Arial"/>
          <w:i/>
          <w:iCs/>
          <w:color w:val="000000"/>
          <w:lang w:eastAsia="bg-BG"/>
        </w:rPr>
        <w:t>Допълнителна информация за всеки от компонентите</w:t>
      </w:r>
    </w:p>
    <w:p w14:paraId="1FEA805B" w14:textId="77777777" w:rsidR="00410CAF" w:rsidRPr="00410CAF" w:rsidRDefault="00410CAF" w:rsidP="00410CAF">
      <w:pPr>
        <w:spacing w:line="240" w:lineRule="auto"/>
        <w:rPr>
          <w:rFonts w:eastAsia="Times New Roman" w:cs="Arial"/>
          <w:color w:val="000000"/>
          <w:lang w:eastAsia="bg-BG"/>
        </w:rPr>
      </w:pPr>
    </w:p>
    <w:p w14:paraId="5AF89412" w14:textId="08EDA548"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Нежеланите реакции, съобщавани преди това при самостоятелното използване на някой от компонентите, могат да възникнат и при използването на Тезео НСТ, дори да не са наблюдавани при клиничните проучвания на телмисартан/хидрохлоротиазид.</w:t>
      </w:r>
    </w:p>
    <w:p w14:paraId="0D7DD737" w14:textId="77777777" w:rsidR="00410CAF" w:rsidRPr="00410CAF" w:rsidRDefault="00410CAF" w:rsidP="00410CAF">
      <w:pPr>
        <w:spacing w:line="240" w:lineRule="auto"/>
        <w:rPr>
          <w:rFonts w:eastAsia="Times New Roman" w:cs="Arial"/>
          <w:color w:val="000000"/>
          <w:u w:val="single"/>
          <w:lang w:eastAsia="bg-BG"/>
        </w:rPr>
      </w:pPr>
    </w:p>
    <w:p w14:paraId="0D556E6E" w14:textId="024ADFF1"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u w:val="single"/>
          <w:lang w:eastAsia="bg-BG"/>
        </w:rPr>
        <w:t>Телмисартан</w:t>
      </w:r>
    </w:p>
    <w:p w14:paraId="217A170D" w14:textId="2FB60CB9"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Честотата на нежеланите лекарствени реакции при използването на телмисартан и плацебо е почти еднаква.</w:t>
      </w:r>
    </w:p>
    <w:p w14:paraId="48E1F711" w14:textId="77777777" w:rsidR="00410CAF" w:rsidRPr="00410CAF" w:rsidRDefault="00410CAF" w:rsidP="00410CAF">
      <w:pPr>
        <w:spacing w:line="240" w:lineRule="auto"/>
        <w:rPr>
          <w:rFonts w:eastAsia="Times New Roman" w:cs="Arial"/>
          <w:color w:val="000000"/>
          <w:lang w:eastAsia="bg-BG"/>
        </w:rPr>
      </w:pPr>
    </w:p>
    <w:p w14:paraId="63D32430" w14:textId="4CAAA0A7" w:rsidR="00410CAF" w:rsidRPr="00410CAF" w:rsidRDefault="00410CAF" w:rsidP="00410CAF">
      <w:pPr>
        <w:spacing w:line="240" w:lineRule="auto"/>
        <w:rPr>
          <w:rFonts w:eastAsia="Times New Roman" w:cs="Arial"/>
          <w:sz w:val="28"/>
          <w:szCs w:val="28"/>
          <w:lang w:eastAsia="bg-BG"/>
        </w:rPr>
      </w:pPr>
      <w:r w:rsidRPr="00410CAF">
        <w:rPr>
          <w:rFonts w:eastAsia="Times New Roman" w:cs="Arial"/>
          <w:color w:val="000000"/>
          <w:lang w:eastAsia="bg-BG"/>
        </w:rPr>
        <w:t>Честотата на нежеланите лекарствени реакции, съобщени при употреба на телмисартан (41,4%), е сравнима с плацебо (43,9%) при плацебо-контролирани проучвания. Представените по-долу нежелани реакции, отразяват резултатите от всички клинични проучвания при пациенти, лекувани с телмисартан за хипертония или при пациенти на 50 години, или по-възрастни с повишен риск от сърдечно-съдови инциденти.</w:t>
      </w:r>
    </w:p>
    <w:p w14:paraId="2DD0827B" w14:textId="1B76D2D9" w:rsidR="00410CAF" w:rsidRDefault="00410CAF" w:rsidP="00410CAF"/>
    <w:tbl>
      <w:tblPr>
        <w:tblStyle w:val="TableGrid"/>
        <w:tblW w:w="0" w:type="auto"/>
        <w:tblLook w:val="04A0" w:firstRow="1" w:lastRow="0" w:firstColumn="1" w:lastColumn="0" w:noHBand="0" w:noVBand="1"/>
      </w:tblPr>
      <w:tblGrid>
        <w:gridCol w:w="3119"/>
        <w:gridCol w:w="3090"/>
        <w:gridCol w:w="3141"/>
      </w:tblGrid>
      <w:tr w:rsidR="00AE5A68" w14:paraId="672A2FE7" w14:textId="77777777" w:rsidTr="00AE5A68">
        <w:trPr>
          <w:trHeight w:val="171"/>
        </w:trPr>
        <w:tc>
          <w:tcPr>
            <w:tcW w:w="3166" w:type="dxa"/>
          </w:tcPr>
          <w:p w14:paraId="55695A76" w14:textId="50BDE548" w:rsidR="00AE5A68" w:rsidRPr="00AE5A68" w:rsidRDefault="00AE5A68" w:rsidP="00AE5A68">
            <w:r w:rsidRPr="00AE5A68">
              <w:rPr>
                <w:b/>
                <w:bCs/>
              </w:rPr>
              <w:t>Системо-органен клас</w:t>
            </w:r>
          </w:p>
        </w:tc>
        <w:tc>
          <w:tcPr>
            <w:tcW w:w="3167" w:type="dxa"/>
          </w:tcPr>
          <w:p w14:paraId="45C0328A" w14:textId="2011D4D9" w:rsidR="00AE5A68" w:rsidRPr="00AE5A68" w:rsidRDefault="00AE5A68" w:rsidP="00AE5A68">
            <w:r w:rsidRPr="00AE5A68">
              <w:rPr>
                <w:b/>
                <w:bCs/>
              </w:rPr>
              <w:t>Честота</w:t>
            </w:r>
          </w:p>
        </w:tc>
        <w:tc>
          <w:tcPr>
            <w:tcW w:w="3167" w:type="dxa"/>
          </w:tcPr>
          <w:p w14:paraId="795FB185" w14:textId="671F4C91" w:rsidR="00AE5A68" w:rsidRPr="00AE5A68" w:rsidRDefault="00AE5A68" w:rsidP="00AE5A68">
            <w:r w:rsidRPr="00AE5A68">
              <w:rPr>
                <w:b/>
                <w:bCs/>
              </w:rPr>
              <w:t>Нежелани реакции</w:t>
            </w:r>
          </w:p>
        </w:tc>
      </w:tr>
      <w:tr w:rsidR="00AE5A68" w14:paraId="7F7F0315" w14:textId="77777777" w:rsidTr="00AE5A68">
        <w:tc>
          <w:tcPr>
            <w:tcW w:w="3166" w:type="dxa"/>
            <w:vMerge w:val="restart"/>
          </w:tcPr>
          <w:p w14:paraId="587CA308" w14:textId="36C9384F" w:rsidR="00AE5A68" w:rsidRPr="00AE5A68" w:rsidRDefault="00AE5A68" w:rsidP="00AE5A68">
            <w:r w:rsidRPr="00AE5A68">
              <w:t>Инфекции и инфестации</w:t>
            </w:r>
          </w:p>
        </w:tc>
        <w:tc>
          <w:tcPr>
            <w:tcW w:w="3167" w:type="dxa"/>
          </w:tcPr>
          <w:p w14:paraId="40875C3F" w14:textId="6081FC2C" w:rsidR="00AE5A68" w:rsidRPr="00AE5A68" w:rsidRDefault="00AE5A68" w:rsidP="00AE5A68">
            <w:r w:rsidRPr="00AE5A68">
              <w:t>Нечести</w:t>
            </w:r>
          </w:p>
        </w:tc>
        <w:tc>
          <w:tcPr>
            <w:tcW w:w="3167" w:type="dxa"/>
          </w:tcPr>
          <w:p w14:paraId="23EABDC5" w14:textId="75B41D24" w:rsidR="00AE5A68" w:rsidRPr="00AE5A68" w:rsidRDefault="00AE5A68" w:rsidP="00AE5A68">
            <w:r w:rsidRPr="00AE5A68">
              <w:t>Инфекция на горните дихателни пътища, инфекция на пикочните пътища включително цистит</w:t>
            </w:r>
          </w:p>
        </w:tc>
      </w:tr>
      <w:tr w:rsidR="00AE5A68" w14:paraId="6C16B272" w14:textId="77777777" w:rsidTr="00AE5A68">
        <w:tc>
          <w:tcPr>
            <w:tcW w:w="3166" w:type="dxa"/>
            <w:vMerge/>
          </w:tcPr>
          <w:p w14:paraId="46A638A3" w14:textId="77777777" w:rsidR="00AE5A68" w:rsidRPr="00AE5A68" w:rsidRDefault="00AE5A68" w:rsidP="00AE5A68"/>
        </w:tc>
        <w:tc>
          <w:tcPr>
            <w:tcW w:w="3167" w:type="dxa"/>
          </w:tcPr>
          <w:p w14:paraId="71D7905D" w14:textId="19CEE345" w:rsidR="00AE5A68" w:rsidRPr="00AE5A68" w:rsidRDefault="00AE5A68" w:rsidP="00AE5A68">
            <w:r w:rsidRPr="00AE5A68">
              <w:t>Редки</w:t>
            </w:r>
          </w:p>
        </w:tc>
        <w:tc>
          <w:tcPr>
            <w:tcW w:w="3167" w:type="dxa"/>
          </w:tcPr>
          <w:p w14:paraId="75CA471A" w14:textId="30F184D7" w:rsidR="00AE5A68" w:rsidRPr="00AE5A68" w:rsidRDefault="00AE5A68" w:rsidP="00AE5A68">
            <w:r w:rsidRPr="00AE5A68">
              <w:t>Сепсис включително с фатален изход</w:t>
            </w:r>
            <w:r w:rsidRPr="00AE5A68">
              <w:rPr>
                <w:vertAlign w:val="superscript"/>
              </w:rPr>
              <w:t>3</w:t>
            </w:r>
          </w:p>
        </w:tc>
      </w:tr>
      <w:tr w:rsidR="00AE5A68" w14:paraId="08543B2D" w14:textId="77777777" w:rsidTr="00AE5A68">
        <w:tc>
          <w:tcPr>
            <w:tcW w:w="3166" w:type="dxa"/>
            <w:vMerge w:val="restart"/>
          </w:tcPr>
          <w:p w14:paraId="3DC89EF3" w14:textId="3C81FD7A" w:rsidR="00AE5A68" w:rsidRPr="00AE5A68" w:rsidRDefault="00AE5A68" w:rsidP="00AE5A68">
            <w:r w:rsidRPr="00AE5A68">
              <w:t>Нарушения на кръвта и лимфната система</w:t>
            </w:r>
          </w:p>
        </w:tc>
        <w:tc>
          <w:tcPr>
            <w:tcW w:w="3167" w:type="dxa"/>
          </w:tcPr>
          <w:p w14:paraId="54869A88" w14:textId="61E61533" w:rsidR="00AE5A68" w:rsidRPr="00AE5A68" w:rsidRDefault="00AE5A68" w:rsidP="00AE5A68">
            <w:r w:rsidRPr="00AE5A68">
              <w:t>Нечести</w:t>
            </w:r>
          </w:p>
        </w:tc>
        <w:tc>
          <w:tcPr>
            <w:tcW w:w="3167" w:type="dxa"/>
          </w:tcPr>
          <w:p w14:paraId="4AE32D78" w14:textId="52C8243C" w:rsidR="00AE5A68" w:rsidRPr="00AE5A68" w:rsidRDefault="00AE5A68" w:rsidP="00AE5A68">
            <w:r w:rsidRPr="00AE5A68">
              <w:t>Анемия</w:t>
            </w:r>
          </w:p>
        </w:tc>
      </w:tr>
      <w:tr w:rsidR="00AE5A68" w14:paraId="1FEBE50D" w14:textId="77777777" w:rsidTr="00AE5A68">
        <w:tc>
          <w:tcPr>
            <w:tcW w:w="3166" w:type="dxa"/>
            <w:vMerge/>
          </w:tcPr>
          <w:p w14:paraId="226ED403" w14:textId="77777777" w:rsidR="00AE5A68" w:rsidRPr="00AE5A68" w:rsidRDefault="00AE5A68" w:rsidP="00AE5A68"/>
        </w:tc>
        <w:tc>
          <w:tcPr>
            <w:tcW w:w="3167" w:type="dxa"/>
          </w:tcPr>
          <w:p w14:paraId="10C84671" w14:textId="6323026A" w:rsidR="00AE5A68" w:rsidRPr="00AE5A68" w:rsidRDefault="00AE5A68" w:rsidP="00AE5A68">
            <w:r w:rsidRPr="00AE5A68">
              <w:t>Редки</w:t>
            </w:r>
          </w:p>
        </w:tc>
        <w:tc>
          <w:tcPr>
            <w:tcW w:w="3167" w:type="dxa"/>
          </w:tcPr>
          <w:p w14:paraId="6E431E3C" w14:textId="51207692" w:rsidR="00AE5A68" w:rsidRPr="00AE5A68" w:rsidRDefault="00AE5A68" w:rsidP="00AE5A68">
            <w:r w:rsidRPr="00AE5A68">
              <w:t>Еозинофилия, тромбоцитопения</w:t>
            </w:r>
          </w:p>
        </w:tc>
      </w:tr>
      <w:tr w:rsidR="00AE5A68" w14:paraId="78BD8A10" w14:textId="77777777" w:rsidTr="00AE5A68">
        <w:tc>
          <w:tcPr>
            <w:tcW w:w="3166" w:type="dxa"/>
          </w:tcPr>
          <w:p w14:paraId="37BEE3F0" w14:textId="6571A59D" w:rsidR="00AE5A68" w:rsidRPr="00AE5A68" w:rsidRDefault="00AE5A68" w:rsidP="00AE5A68">
            <w:r w:rsidRPr="00AE5A68">
              <w:t>Нарушения на имунната система</w:t>
            </w:r>
          </w:p>
        </w:tc>
        <w:tc>
          <w:tcPr>
            <w:tcW w:w="3167" w:type="dxa"/>
          </w:tcPr>
          <w:p w14:paraId="313B3B37" w14:textId="53EB6B6D" w:rsidR="00AE5A68" w:rsidRPr="00AE5A68" w:rsidRDefault="00AE5A68" w:rsidP="00AE5A68">
            <w:r w:rsidRPr="00AE5A68">
              <w:t>Редки</w:t>
            </w:r>
          </w:p>
        </w:tc>
        <w:tc>
          <w:tcPr>
            <w:tcW w:w="3167" w:type="dxa"/>
          </w:tcPr>
          <w:p w14:paraId="485B7C54" w14:textId="098503F3" w:rsidR="00AE5A68" w:rsidRPr="00AE5A68" w:rsidRDefault="00AE5A68" w:rsidP="00AE5A68">
            <w:r w:rsidRPr="00AE5A68">
              <w:t>Свръхчувствителност анафилактична рекция</w:t>
            </w:r>
          </w:p>
        </w:tc>
      </w:tr>
      <w:tr w:rsidR="00AE5A68" w14:paraId="5C2FD068" w14:textId="77777777" w:rsidTr="00AE5A68">
        <w:tc>
          <w:tcPr>
            <w:tcW w:w="3166" w:type="dxa"/>
            <w:vMerge w:val="restart"/>
          </w:tcPr>
          <w:p w14:paraId="1A668911" w14:textId="4EF54277" w:rsidR="00AE5A68" w:rsidRPr="00AE5A68" w:rsidRDefault="00AE5A68" w:rsidP="00AE5A68">
            <w:r w:rsidRPr="00AE5A68">
              <w:t>Нарушения на метаболизма и храненето</w:t>
            </w:r>
          </w:p>
        </w:tc>
        <w:tc>
          <w:tcPr>
            <w:tcW w:w="3167" w:type="dxa"/>
          </w:tcPr>
          <w:p w14:paraId="6AA51163" w14:textId="3203AA1F" w:rsidR="00AE5A68" w:rsidRPr="00AE5A68" w:rsidRDefault="00AE5A68" w:rsidP="00AE5A68">
            <w:r w:rsidRPr="00AE5A68">
              <w:t>Нечести</w:t>
            </w:r>
          </w:p>
        </w:tc>
        <w:tc>
          <w:tcPr>
            <w:tcW w:w="3167" w:type="dxa"/>
          </w:tcPr>
          <w:p w14:paraId="5998F65A" w14:textId="51A22766" w:rsidR="00AE5A68" w:rsidRPr="00AE5A68" w:rsidRDefault="00AE5A68" w:rsidP="00AE5A68">
            <w:r w:rsidRPr="00AE5A68">
              <w:t>Хиперкалиемия</w:t>
            </w:r>
          </w:p>
        </w:tc>
      </w:tr>
      <w:tr w:rsidR="00AE5A68" w14:paraId="6442C6CF" w14:textId="77777777" w:rsidTr="00AE5A68">
        <w:tc>
          <w:tcPr>
            <w:tcW w:w="3166" w:type="dxa"/>
            <w:vMerge/>
          </w:tcPr>
          <w:p w14:paraId="315B0D55" w14:textId="77777777" w:rsidR="00AE5A68" w:rsidRPr="00AE5A68" w:rsidRDefault="00AE5A68" w:rsidP="00AE5A68"/>
        </w:tc>
        <w:tc>
          <w:tcPr>
            <w:tcW w:w="3167" w:type="dxa"/>
          </w:tcPr>
          <w:p w14:paraId="0D1B50C5" w14:textId="54CE607A" w:rsidR="00AE5A68" w:rsidRPr="00AE5A68" w:rsidRDefault="00AE5A68" w:rsidP="00AE5A68">
            <w:r w:rsidRPr="00AE5A68">
              <w:t>Редки</w:t>
            </w:r>
          </w:p>
        </w:tc>
        <w:tc>
          <w:tcPr>
            <w:tcW w:w="3167" w:type="dxa"/>
          </w:tcPr>
          <w:p w14:paraId="0C57FBCB" w14:textId="77777777" w:rsidR="00AE5A68" w:rsidRPr="00AE5A68" w:rsidRDefault="00AE5A68" w:rsidP="00AE5A68">
            <w:r w:rsidRPr="00AE5A68">
              <w:t>Хипогликемия (при пациенти</w:t>
            </w:r>
          </w:p>
          <w:p w14:paraId="6BF655B4" w14:textId="26635B90" w:rsidR="00AE5A68" w:rsidRPr="00AE5A68" w:rsidRDefault="00AE5A68" w:rsidP="00AE5A68">
            <w:r w:rsidRPr="00AE5A68">
              <w:t>болни от диабет)</w:t>
            </w:r>
          </w:p>
        </w:tc>
      </w:tr>
      <w:tr w:rsidR="00AE5A68" w14:paraId="6D4FE352" w14:textId="77777777" w:rsidTr="00AE5A68">
        <w:tc>
          <w:tcPr>
            <w:tcW w:w="3166" w:type="dxa"/>
          </w:tcPr>
          <w:p w14:paraId="70D1ED1B" w14:textId="6300E278" w:rsidR="00AE5A68" w:rsidRPr="00AE5A68" w:rsidRDefault="00AE5A68" w:rsidP="00AE5A68">
            <w:r w:rsidRPr="00AE5A68">
              <w:t>Сърдечни нарушения</w:t>
            </w:r>
          </w:p>
        </w:tc>
        <w:tc>
          <w:tcPr>
            <w:tcW w:w="3167" w:type="dxa"/>
          </w:tcPr>
          <w:p w14:paraId="408212F4" w14:textId="33FCEF22" w:rsidR="00AE5A68" w:rsidRPr="00AE5A68" w:rsidRDefault="00AE5A68" w:rsidP="00AE5A68">
            <w:r w:rsidRPr="00AE5A68">
              <w:t>Нечести</w:t>
            </w:r>
          </w:p>
        </w:tc>
        <w:tc>
          <w:tcPr>
            <w:tcW w:w="3167" w:type="dxa"/>
          </w:tcPr>
          <w:p w14:paraId="591DF514" w14:textId="096EC784" w:rsidR="00AE5A68" w:rsidRPr="00AE5A68" w:rsidRDefault="00AE5A68" w:rsidP="00AE5A68">
            <w:r w:rsidRPr="00AE5A68">
              <w:t>Брадикардия</w:t>
            </w:r>
          </w:p>
        </w:tc>
      </w:tr>
      <w:tr w:rsidR="00AE5A68" w14:paraId="75B42004" w14:textId="77777777" w:rsidTr="00AE5A68">
        <w:tc>
          <w:tcPr>
            <w:tcW w:w="3166" w:type="dxa"/>
          </w:tcPr>
          <w:p w14:paraId="2CD09F93" w14:textId="79E8D676" w:rsidR="00AE5A68" w:rsidRPr="00AE5A68" w:rsidRDefault="00AE5A68" w:rsidP="00AE5A68">
            <w:r w:rsidRPr="00AE5A68">
              <w:t>Нарушения на нервната система</w:t>
            </w:r>
          </w:p>
        </w:tc>
        <w:tc>
          <w:tcPr>
            <w:tcW w:w="3167" w:type="dxa"/>
          </w:tcPr>
          <w:p w14:paraId="5A869BB3" w14:textId="74785FF4" w:rsidR="00AE5A68" w:rsidRPr="00AE5A68" w:rsidRDefault="00AE5A68" w:rsidP="00AE5A68">
            <w:r w:rsidRPr="00AE5A68">
              <w:t>Редки</w:t>
            </w:r>
          </w:p>
        </w:tc>
        <w:tc>
          <w:tcPr>
            <w:tcW w:w="3167" w:type="dxa"/>
          </w:tcPr>
          <w:p w14:paraId="790FFEEF" w14:textId="490613D8" w:rsidR="00AE5A68" w:rsidRPr="00AE5A68" w:rsidRDefault="00AE5A68" w:rsidP="00AE5A68">
            <w:r w:rsidRPr="00AE5A68">
              <w:t>Сънливост</w:t>
            </w:r>
          </w:p>
        </w:tc>
      </w:tr>
      <w:tr w:rsidR="00AE5A68" w14:paraId="46F69AC9" w14:textId="77777777" w:rsidTr="00AE5A68">
        <w:tc>
          <w:tcPr>
            <w:tcW w:w="3166" w:type="dxa"/>
            <w:vMerge w:val="restart"/>
          </w:tcPr>
          <w:p w14:paraId="1A3D29C6" w14:textId="09341738" w:rsidR="00AE5A68" w:rsidRPr="00AE5A68" w:rsidRDefault="00AE5A68" w:rsidP="00AE5A68">
            <w:r w:rsidRPr="00AE5A68">
              <w:t>Респираторни, гръдни и медиастияални нарушения</w:t>
            </w:r>
          </w:p>
        </w:tc>
        <w:tc>
          <w:tcPr>
            <w:tcW w:w="3167" w:type="dxa"/>
          </w:tcPr>
          <w:p w14:paraId="37784F32" w14:textId="2E6B7957" w:rsidR="00AE5A68" w:rsidRPr="00AE5A68" w:rsidRDefault="00AE5A68" w:rsidP="00AE5A68">
            <w:r w:rsidRPr="00AE5A68">
              <w:t>Нечести</w:t>
            </w:r>
          </w:p>
        </w:tc>
        <w:tc>
          <w:tcPr>
            <w:tcW w:w="3167" w:type="dxa"/>
          </w:tcPr>
          <w:p w14:paraId="1D8308D5" w14:textId="6C1AC8B5" w:rsidR="00AE5A68" w:rsidRPr="00AE5A68" w:rsidRDefault="00AE5A68" w:rsidP="00AE5A68">
            <w:r w:rsidRPr="00AE5A68">
              <w:t>Кашлица</w:t>
            </w:r>
          </w:p>
        </w:tc>
      </w:tr>
      <w:tr w:rsidR="00AE5A68" w14:paraId="73DD2C83" w14:textId="77777777" w:rsidTr="00AE5A68">
        <w:tc>
          <w:tcPr>
            <w:tcW w:w="3166" w:type="dxa"/>
            <w:vMerge/>
          </w:tcPr>
          <w:p w14:paraId="7D9CEED4" w14:textId="77777777" w:rsidR="00AE5A68" w:rsidRPr="00AE5A68" w:rsidRDefault="00AE5A68" w:rsidP="00AE5A68"/>
        </w:tc>
        <w:tc>
          <w:tcPr>
            <w:tcW w:w="3167" w:type="dxa"/>
          </w:tcPr>
          <w:p w14:paraId="088324BE" w14:textId="5A92BA3E" w:rsidR="00AE5A68" w:rsidRPr="00AE5A68" w:rsidRDefault="00AE5A68" w:rsidP="00AE5A68">
            <w:r w:rsidRPr="00AE5A68">
              <w:t>Много редки</w:t>
            </w:r>
          </w:p>
        </w:tc>
        <w:tc>
          <w:tcPr>
            <w:tcW w:w="3167" w:type="dxa"/>
          </w:tcPr>
          <w:p w14:paraId="2A254BE4" w14:textId="49FFCB58" w:rsidR="00AE5A68" w:rsidRPr="00AE5A68" w:rsidRDefault="00AE5A68" w:rsidP="00AE5A68">
            <w:r w:rsidRPr="00AE5A68">
              <w:t>Интерстициална белодробна болест</w:t>
            </w:r>
            <w:r w:rsidRPr="00AE5A68">
              <w:rPr>
                <w:vertAlign w:val="superscript"/>
              </w:rPr>
              <w:t>3</w:t>
            </w:r>
          </w:p>
        </w:tc>
      </w:tr>
      <w:tr w:rsidR="00AE5A68" w14:paraId="7F34CF2C" w14:textId="77777777" w:rsidTr="00AE5A68">
        <w:tc>
          <w:tcPr>
            <w:tcW w:w="3166" w:type="dxa"/>
          </w:tcPr>
          <w:p w14:paraId="070190C2" w14:textId="7528BB3E" w:rsidR="00AE5A68" w:rsidRPr="00AE5A68" w:rsidRDefault="00AE5A68" w:rsidP="00AE5A68">
            <w:r w:rsidRPr="00AE5A68">
              <w:t>Стомашно-чревни нарушения</w:t>
            </w:r>
          </w:p>
        </w:tc>
        <w:tc>
          <w:tcPr>
            <w:tcW w:w="3167" w:type="dxa"/>
          </w:tcPr>
          <w:p w14:paraId="621B1CFE" w14:textId="36A43648" w:rsidR="00AE5A68" w:rsidRPr="00AE5A68" w:rsidRDefault="00AE5A68" w:rsidP="00AE5A68">
            <w:r w:rsidRPr="00AE5A68">
              <w:t>Редки</w:t>
            </w:r>
          </w:p>
        </w:tc>
        <w:tc>
          <w:tcPr>
            <w:tcW w:w="3167" w:type="dxa"/>
          </w:tcPr>
          <w:p w14:paraId="45343728" w14:textId="54C32C44" w:rsidR="00AE5A68" w:rsidRPr="00AE5A68" w:rsidRDefault="00AE5A68" w:rsidP="00AE5A68">
            <w:r w:rsidRPr="00AE5A68">
              <w:t>Стомашен дискомфорт</w:t>
            </w:r>
          </w:p>
        </w:tc>
      </w:tr>
      <w:tr w:rsidR="00AE5A68" w14:paraId="283DCF60" w14:textId="77777777" w:rsidTr="00AE5A68">
        <w:tc>
          <w:tcPr>
            <w:tcW w:w="3166" w:type="dxa"/>
          </w:tcPr>
          <w:p w14:paraId="27FCBC6D" w14:textId="5E860AD0" w:rsidR="00AE5A68" w:rsidRPr="00AE5A68" w:rsidRDefault="00AE5A68" w:rsidP="00AE5A68">
            <w:r w:rsidRPr="00AE5A68">
              <w:t>Нарушения на кожата и подкожната тъкан</w:t>
            </w:r>
          </w:p>
        </w:tc>
        <w:tc>
          <w:tcPr>
            <w:tcW w:w="3167" w:type="dxa"/>
          </w:tcPr>
          <w:p w14:paraId="25D57BBD" w14:textId="5759ACCC" w:rsidR="00AE5A68" w:rsidRPr="00AE5A68" w:rsidRDefault="00AE5A68" w:rsidP="00AE5A68">
            <w:r w:rsidRPr="00AE5A68">
              <w:t>Нечести</w:t>
            </w:r>
          </w:p>
        </w:tc>
        <w:tc>
          <w:tcPr>
            <w:tcW w:w="3167" w:type="dxa"/>
          </w:tcPr>
          <w:p w14:paraId="09F8C8D8" w14:textId="2646E2C8" w:rsidR="00AE5A68" w:rsidRPr="00AE5A68" w:rsidRDefault="00AE5A68" w:rsidP="00AE5A68">
            <w:r w:rsidRPr="00AE5A68">
              <w:t>Екзема, лекарствен обрив, токсичен кожен обрив</w:t>
            </w:r>
          </w:p>
        </w:tc>
      </w:tr>
      <w:tr w:rsidR="00AE5A68" w14:paraId="1F7A16CE" w14:textId="77777777" w:rsidTr="00AE5A68">
        <w:tc>
          <w:tcPr>
            <w:tcW w:w="3166" w:type="dxa"/>
          </w:tcPr>
          <w:p w14:paraId="66496599" w14:textId="0876CFE0" w:rsidR="00AE5A68" w:rsidRPr="00AE5A68" w:rsidRDefault="00AE5A68" w:rsidP="00AE5A68">
            <w:r w:rsidRPr="00AE5A68">
              <w:t>Нарушения на мускулно- скелетната система, съединителната тъкан и костите</w:t>
            </w:r>
          </w:p>
        </w:tc>
        <w:tc>
          <w:tcPr>
            <w:tcW w:w="3167" w:type="dxa"/>
          </w:tcPr>
          <w:p w14:paraId="28CB829D" w14:textId="51118736" w:rsidR="00AE5A68" w:rsidRPr="00AE5A68" w:rsidRDefault="00AE5A68" w:rsidP="00AE5A68">
            <w:r w:rsidRPr="00AE5A68">
              <w:t>Редки</w:t>
            </w:r>
          </w:p>
        </w:tc>
        <w:tc>
          <w:tcPr>
            <w:tcW w:w="3167" w:type="dxa"/>
          </w:tcPr>
          <w:p w14:paraId="225E8752" w14:textId="287CFD5B" w:rsidR="00AE5A68" w:rsidRPr="00AE5A68" w:rsidRDefault="00AE5A68" w:rsidP="00AE5A68">
            <w:r w:rsidRPr="00AE5A68">
              <w:t>Артроза, болки в сухожилията</w:t>
            </w:r>
          </w:p>
        </w:tc>
      </w:tr>
      <w:tr w:rsidR="00AE5A68" w14:paraId="7CAB9FCC" w14:textId="77777777" w:rsidTr="00AE5A68">
        <w:tc>
          <w:tcPr>
            <w:tcW w:w="3166" w:type="dxa"/>
          </w:tcPr>
          <w:p w14:paraId="29C9914A" w14:textId="5E10649F" w:rsidR="00AE5A68" w:rsidRPr="00AE5A68" w:rsidRDefault="00AE5A68" w:rsidP="00AE5A68">
            <w:r w:rsidRPr="00AE5A68">
              <w:t>Нарушения на бъбреците и пикочните пътища</w:t>
            </w:r>
          </w:p>
        </w:tc>
        <w:tc>
          <w:tcPr>
            <w:tcW w:w="3167" w:type="dxa"/>
          </w:tcPr>
          <w:p w14:paraId="34D77D0E" w14:textId="35F11C6D" w:rsidR="00AE5A68" w:rsidRPr="00AE5A68" w:rsidRDefault="00AE5A68" w:rsidP="00AE5A68">
            <w:r w:rsidRPr="00AE5A68">
              <w:t>Нечести</w:t>
            </w:r>
          </w:p>
        </w:tc>
        <w:tc>
          <w:tcPr>
            <w:tcW w:w="3167" w:type="dxa"/>
          </w:tcPr>
          <w:p w14:paraId="49E54C44" w14:textId="7DDC5451" w:rsidR="00AE5A68" w:rsidRPr="00AE5A68" w:rsidRDefault="00AE5A68" w:rsidP="00AE5A68">
            <w:r w:rsidRPr="00AE5A68">
              <w:t>Бъбречно увреждане (включително остра бъбречна недостатъчност)</w:t>
            </w:r>
          </w:p>
        </w:tc>
      </w:tr>
      <w:tr w:rsidR="00AE5A68" w14:paraId="42CD7BF8" w14:textId="77777777" w:rsidTr="00AE5A68">
        <w:tc>
          <w:tcPr>
            <w:tcW w:w="3166" w:type="dxa"/>
          </w:tcPr>
          <w:p w14:paraId="5F1E3FCE" w14:textId="089B95A6" w:rsidR="00AE5A68" w:rsidRPr="00AE5A68" w:rsidRDefault="00AE5A68" w:rsidP="00AE5A68">
            <w:r w:rsidRPr="00AE5A68">
              <w:t>Общи нарушения и ефекти на мястото на приложение</w:t>
            </w:r>
          </w:p>
        </w:tc>
        <w:tc>
          <w:tcPr>
            <w:tcW w:w="3167" w:type="dxa"/>
          </w:tcPr>
          <w:p w14:paraId="2682B4DA" w14:textId="53C8BC46" w:rsidR="00AE5A68" w:rsidRPr="00AE5A68" w:rsidRDefault="00AE5A68" w:rsidP="00AE5A68">
            <w:r w:rsidRPr="00AE5A68">
              <w:t>Нечести</w:t>
            </w:r>
          </w:p>
        </w:tc>
        <w:tc>
          <w:tcPr>
            <w:tcW w:w="3167" w:type="dxa"/>
          </w:tcPr>
          <w:p w14:paraId="7F60E210" w14:textId="56EBA165" w:rsidR="00AE5A68" w:rsidRPr="00AE5A68" w:rsidRDefault="00AE5A68" w:rsidP="00AE5A68">
            <w:r w:rsidRPr="00AE5A68">
              <w:t>Астения</w:t>
            </w:r>
          </w:p>
        </w:tc>
      </w:tr>
      <w:tr w:rsidR="00AE5A68" w14:paraId="587A503D" w14:textId="77777777" w:rsidTr="00AE5A68">
        <w:tc>
          <w:tcPr>
            <w:tcW w:w="3166" w:type="dxa"/>
          </w:tcPr>
          <w:p w14:paraId="6019B22F" w14:textId="289B82F9" w:rsidR="00AE5A68" w:rsidRPr="00AE5A68" w:rsidRDefault="00AE5A68" w:rsidP="00AE5A68">
            <w:r w:rsidRPr="00AE5A68">
              <w:t>Изследвания</w:t>
            </w:r>
          </w:p>
        </w:tc>
        <w:tc>
          <w:tcPr>
            <w:tcW w:w="3167" w:type="dxa"/>
          </w:tcPr>
          <w:p w14:paraId="54D58DCA" w14:textId="70FC57C8" w:rsidR="00AE5A68" w:rsidRPr="00AE5A68" w:rsidRDefault="00AE5A68" w:rsidP="00AE5A68">
            <w:r w:rsidRPr="00AE5A68">
              <w:t>Редки</w:t>
            </w:r>
          </w:p>
        </w:tc>
        <w:tc>
          <w:tcPr>
            <w:tcW w:w="3167" w:type="dxa"/>
          </w:tcPr>
          <w:p w14:paraId="1FAD5A9F" w14:textId="1BC07EE2" w:rsidR="00AE5A68" w:rsidRPr="00AE5A68" w:rsidRDefault="00AE5A68" w:rsidP="00AE5A68">
            <w:r w:rsidRPr="00AE5A68">
              <w:t>Понижен хемоглобин</w:t>
            </w:r>
          </w:p>
        </w:tc>
      </w:tr>
    </w:tbl>
    <w:p w14:paraId="6E7DE0FD"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vertAlign w:val="superscript"/>
          <w:lang w:eastAsia="bg-BG"/>
        </w:rPr>
        <w:lastRenderedPageBreak/>
        <w:t>3</w:t>
      </w:r>
      <w:r w:rsidRPr="00AE5A68">
        <w:rPr>
          <w:rFonts w:eastAsia="Times New Roman" w:cs="Arial"/>
          <w:color w:val="000000"/>
          <w:lang w:eastAsia="bg-BG"/>
        </w:rPr>
        <w:t xml:space="preserve">За допълнително описание, моля вижте подточка </w:t>
      </w:r>
      <w:r w:rsidRPr="00AE5A68">
        <w:rPr>
          <w:rFonts w:eastAsia="Times New Roman" w:cs="Arial"/>
          <w:i/>
          <w:iCs/>
          <w:color w:val="000000"/>
          <w:lang w:eastAsia="bg-BG"/>
        </w:rPr>
        <w:t>Описание на избрани нежелани реакции</w:t>
      </w:r>
    </w:p>
    <w:p w14:paraId="20CBEA34" w14:textId="77777777" w:rsidR="00AE5A68" w:rsidRPr="00AE5A68" w:rsidRDefault="00AE5A68" w:rsidP="00AE5A68">
      <w:pPr>
        <w:spacing w:line="240" w:lineRule="auto"/>
        <w:rPr>
          <w:rFonts w:eastAsia="Times New Roman" w:cs="Arial"/>
          <w:color w:val="000000"/>
          <w:u w:val="single"/>
          <w:lang w:eastAsia="bg-BG"/>
        </w:rPr>
      </w:pPr>
    </w:p>
    <w:p w14:paraId="6E2D4E62" w14:textId="6FF4E396"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u w:val="single"/>
          <w:lang w:eastAsia="bg-BG"/>
        </w:rPr>
        <w:t>Хидрохлоротиазид</w:t>
      </w:r>
    </w:p>
    <w:p w14:paraId="5B24E4D6"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Хидрохлоротиазид може да причини или обостри състояние на хиповолемия, което от своя страна може да доведе до електролитен дисбаланс (вж. точка 4.4).</w:t>
      </w:r>
    </w:p>
    <w:p w14:paraId="316BBA7D" w14:textId="2F0AAB6F" w:rsidR="00AE5A68" w:rsidRDefault="00AE5A68" w:rsidP="00AE5A68">
      <w:pPr>
        <w:spacing w:line="240" w:lineRule="auto"/>
        <w:rPr>
          <w:rFonts w:eastAsia="Times New Roman" w:cs="Arial"/>
          <w:color w:val="000000"/>
          <w:lang w:eastAsia="bg-BG"/>
        </w:rPr>
      </w:pPr>
      <w:r w:rsidRPr="00AE5A68">
        <w:rPr>
          <w:rFonts w:eastAsia="Times New Roman" w:cs="Arial"/>
          <w:color w:val="000000"/>
          <w:lang w:eastAsia="bg-BG"/>
        </w:rPr>
        <w:t>Нежеланите лекарствени реакции с неизвестна честота, съобщавани при самостоятелната употреба на хидрохлоротиазид, са:</w:t>
      </w:r>
    </w:p>
    <w:p w14:paraId="475F9ACA" w14:textId="39C20C94" w:rsidR="00AE5A68" w:rsidRDefault="00AE5A68" w:rsidP="00AE5A68">
      <w:pPr>
        <w:spacing w:line="240" w:lineRule="auto"/>
        <w:rPr>
          <w:rFonts w:eastAsia="Times New Roman" w:cs="Arial"/>
          <w:color w:val="000000"/>
          <w:lang w:eastAsia="bg-BG"/>
        </w:rPr>
      </w:pPr>
    </w:p>
    <w:tbl>
      <w:tblPr>
        <w:tblStyle w:val="TableGrid"/>
        <w:tblW w:w="0" w:type="auto"/>
        <w:tblLook w:val="04A0" w:firstRow="1" w:lastRow="0" w:firstColumn="1" w:lastColumn="0" w:noHBand="0" w:noVBand="1"/>
      </w:tblPr>
      <w:tblGrid>
        <w:gridCol w:w="3118"/>
        <w:gridCol w:w="3090"/>
        <w:gridCol w:w="3142"/>
      </w:tblGrid>
      <w:tr w:rsidR="00AE5A68" w14:paraId="564CEDEF" w14:textId="77777777" w:rsidTr="00AE5A68">
        <w:tc>
          <w:tcPr>
            <w:tcW w:w="3166" w:type="dxa"/>
          </w:tcPr>
          <w:p w14:paraId="51BB6083" w14:textId="1C48481E" w:rsidR="00AE5A68" w:rsidRPr="00AE5A68" w:rsidRDefault="00AE5A68" w:rsidP="00AE5A68">
            <w:pPr>
              <w:spacing w:line="240" w:lineRule="auto"/>
              <w:rPr>
                <w:rFonts w:ascii="Times New Roman" w:eastAsia="Times New Roman" w:hAnsi="Times New Roman" w:cs="Times New Roman"/>
                <w:lang w:eastAsia="bg-BG"/>
              </w:rPr>
            </w:pPr>
            <w:r w:rsidRPr="00AE5A68">
              <w:rPr>
                <w:b/>
                <w:bCs/>
              </w:rPr>
              <w:t>Системо-органен клас</w:t>
            </w:r>
          </w:p>
        </w:tc>
        <w:tc>
          <w:tcPr>
            <w:tcW w:w="3167" w:type="dxa"/>
          </w:tcPr>
          <w:p w14:paraId="1C726AB7" w14:textId="1C035E93" w:rsidR="00AE5A68" w:rsidRPr="00AE5A68" w:rsidRDefault="00AE5A68" w:rsidP="00AE5A68">
            <w:pPr>
              <w:spacing w:line="240" w:lineRule="auto"/>
              <w:rPr>
                <w:rFonts w:ascii="Times New Roman" w:eastAsia="Times New Roman" w:hAnsi="Times New Roman" w:cs="Times New Roman"/>
                <w:lang w:eastAsia="bg-BG"/>
              </w:rPr>
            </w:pPr>
            <w:r w:rsidRPr="00AE5A68">
              <w:rPr>
                <w:b/>
                <w:bCs/>
              </w:rPr>
              <w:t>Честота</w:t>
            </w:r>
          </w:p>
        </w:tc>
        <w:tc>
          <w:tcPr>
            <w:tcW w:w="3167" w:type="dxa"/>
          </w:tcPr>
          <w:p w14:paraId="6C74C23F" w14:textId="484FDF4E" w:rsidR="00AE5A68" w:rsidRPr="00AE5A68" w:rsidRDefault="00AE5A68" w:rsidP="00AE5A68">
            <w:pPr>
              <w:spacing w:line="240" w:lineRule="auto"/>
              <w:rPr>
                <w:rFonts w:ascii="Times New Roman" w:eastAsia="Times New Roman" w:hAnsi="Times New Roman" w:cs="Times New Roman"/>
                <w:lang w:eastAsia="bg-BG"/>
              </w:rPr>
            </w:pPr>
            <w:r w:rsidRPr="00AE5A68">
              <w:rPr>
                <w:b/>
                <w:bCs/>
              </w:rPr>
              <w:t>Нежелани реакции</w:t>
            </w:r>
          </w:p>
        </w:tc>
      </w:tr>
      <w:tr w:rsidR="00AE5A68" w14:paraId="1D42C5B4" w14:textId="77777777" w:rsidTr="00AE5A68">
        <w:tc>
          <w:tcPr>
            <w:tcW w:w="3166" w:type="dxa"/>
          </w:tcPr>
          <w:p w14:paraId="6050DE30" w14:textId="3B368C20" w:rsidR="00AE5A68" w:rsidRPr="00AE5A68" w:rsidRDefault="00AE5A68" w:rsidP="00AE5A68">
            <w:pPr>
              <w:spacing w:line="240" w:lineRule="auto"/>
              <w:rPr>
                <w:rFonts w:ascii="Times New Roman" w:eastAsia="Times New Roman" w:hAnsi="Times New Roman" w:cs="Times New Roman"/>
                <w:lang w:eastAsia="bg-BG"/>
              </w:rPr>
            </w:pPr>
            <w:r w:rsidRPr="00AE5A68">
              <w:t>Инфекции и инфестации</w:t>
            </w:r>
          </w:p>
        </w:tc>
        <w:tc>
          <w:tcPr>
            <w:tcW w:w="3167" w:type="dxa"/>
          </w:tcPr>
          <w:p w14:paraId="1968B4A7" w14:textId="36AA8AD5" w:rsidR="00AE5A68" w:rsidRPr="00AE5A68" w:rsidRDefault="00AE5A68" w:rsidP="00AE5A68">
            <w:pPr>
              <w:spacing w:line="240" w:lineRule="auto"/>
              <w:rPr>
                <w:rFonts w:ascii="Times New Roman" w:eastAsia="Times New Roman" w:hAnsi="Times New Roman" w:cs="Times New Roman"/>
                <w:lang w:eastAsia="bg-BG"/>
              </w:rPr>
            </w:pPr>
            <w:r w:rsidRPr="00AE5A68">
              <w:t>С неизвестна честота</w:t>
            </w:r>
          </w:p>
        </w:tc>
        <w:tc>
          <w:tcPr>
            <w:tcW w:w="3167" w:type="dxa"/>
          </w:tcPr>
          <w:p w14:paraId="60E71CA5" w14:textId="479CD3BD" w:rsidR="00AE5A68" w:rsidRPr="00AE5A68" w:rsidRDefault="00AE5A68" w:rsidP="00AE5A68">
            <w:pPr>
              <w:spacing w:line="240" w:lineRule="auto"/>
              <w:rPr>
                <w:rFonts w:ascii="Times New Roman" w:eastAsia="Times New Roman" w:hAnsi="Times New Roman" w:cs="Times New Roman"/>
                <w:lang w:eastAsia="bg-BG"/>
              </w:rPr>
            </w:pPr>
            <w:r w:rsidRPr="00AE5A68">
              <w:t>Сиалоаденит</w:t>
            </w:r>
          </w:p>
        </w:tc>
      </w:tr>
      <w:tr w:rsidR="00AE5A68" w14:paraId="079ECF22" w14:textId="77777777" w:rsidTr="008F43A0">
        <w:tc>
          <w:tcPr>
            <w:tcW w:w="3166" w:type="dxa"/>
            <w:vAlign w:val="bottom"/>
          </w:tcPr>
          <w:p w14:paraId="25A7431D" w14:textId="6673C2A3" w:rsidR="00AE5A68" w:rsidRPr="00AE5A68" w:rsidRDefault="00AE5A68" w:rsidP="00AE5A68">
            <w:pPr>
              <w:spacing w:line="240" w:lineRule="auto"/>
              <w:rPr>
                <w:rFonts w:ascii="Times New Roman" w:eastAsia="Times New Roman" w:hAnsi="Times New Roman" w:cs="Times New Roman"/>
                <w:lang w:eastAsia="bg-BG"/>
              </w:rPr>
            </w:pPr>
            <w:r w:rsidRPr="00AE5A68">
              <w:t>Неоплазми - доброкачествени, злокачествени и неопределени (вкл.кисти и полипи)</w:t>
            </w:r>
          </w:p>
        </w:tc>
        <w:tc>
          <w:tcPr>
            <w:tcW w:w="3167" w:type="dxa"/>
          </w:tcPr>
          <w:p w14:paraId="1CC67645" w14:textId="01FEE446" w:rsidR="00AE5A68" w:rsidRPr="00AE5A68" w:rsidRDefault="00AE5A68" w:rsidP="00AE5A68">
            <w:pPr>
              <w:spacing w:line="240" w:lineRule="auto"/>
              <w:rPr>
                <w:rFonts w:ascii="Times New Roman" w:eastAsia="Times New Roman" w:hAnsi="Times New Roman" w:cs="Times New Roman"/>
                <w:lang w:eastAsia="bg-BG"/>
              </w:rPr>
            </w:pPr>
            <w:r w:rsidRPr="00AE5A68">
              <w:t>С неизвестна честота</w:t>
            </w:r>
          </w:p>
        </w:tc>
        <w:tc>
          <w:tcPr>
            <w:tcW w:w="3167" w:type="dxa"/>
          </w:tcPr>
          <w:p w14:paraId="04B3FA87" w14:textId="2A880AFA" w:rsidR="00AE5A68" w:rsidRPr="00AE5A68" w:rsidRDefault="00AE5A68" w:rsidP="00AE5A68">
            <w:pPr>
              <w:spacing w:line="240" w:lineRule="auto"/>
              <w:rPr>
                <w:rFonts w:ascii="Times New Roman" w:eastAsia="Times New Roman" w:hAnsi="Times New Roman" w:cs="Times New Roman"/>
                <w:lang w:eastAsia="bg-BG"/>
              </w:rPr>
            </w:pPr>
            <w:r w:rsidRPr="00AE5A68">
              <w:t>Немеланомен рак на кожата (базалноклетъчен карцином и сквамозноклетъчен карцином)</w:t>
            </w:r>
          </w:p>
        </w:tc>
      </w:tr>
      <w:tr w:rsidR="00AE5A68" w14:paraId="10090B3D" w14:textId="77777777" w:rsidTr="00AE5A68">
        <w:tc>
          <w:tcPr>
            <w:tcW w:w="3166" w:type="dxa"/>
            <w:vMerge w:val="restart"/>
          </w:tcPr>
          <w:p w14:paraId="727D06C4" w14:textId="4019DF7B" w:rsidR="00AE5A68" w:rsidRPr="00AE5A68" w:rsidRDefault="00AE5A68" w:rsidP="00AE5A68">
            <w:pPr>
              <w:spacing w:line="240" w:lineRule="auto"/>
              <w:rPr>
                <w:rFonts w:ascii="Times New Roman" w:eastAsia="Times New Roman" w:hAnsi="Times New Roman" w:cs="Times New Roman"/>
                <w:lang w:eastAsia="bg-BG"/>
              </w:rPr>
            </w:pPr>
            <w:r w:rsidRPr="00AE5A68">
              <w:t>Нарушения на кръвта и лимфната система</w:t>
            </w:r>
          </w:p>
        </w:tc>
        <w:tc>
          <w:tcPr>
            <w:tcW w:w="3167" w:type="dxa"/>
          </w:tcPr>
          <w:p w14:paraId="41798EFB" w14:textId="3B9F472D" w:rsidR="00AE5A68" w:rsidRPr="00AE5A68" w:rsidRDefault="00AE5A68" w:rsidP="00AE5A68">
            <w:pPr>
              <w:spacing w:line="240" w:lineRule="auto"/>
              <w:rPr>
                <w:rFonts w:ascii="Times New Roman" w:eastAsia="Times New Roman" w:hAnsi="Times New Roman" w:cs="Times New Roman"/>
                <w:lang w:eastAsia="bg-BG"/>
              </w:rPr>
            </w:pPr>
            <w:r w:rsidRPr="00AE5A68">
              <w:t>Редки</w:t>
            </w:r>
          </w:p>
        </w:tc>
        <w:tc>
          <w:tcPr>
            <w:tcW w:w="3167" w:type="dxa"/>
          </w:tcPr>
          <w:p w14:paraId="6F6EFDBC" w14:textId="687A6CDA" w:rsidR="00AE5A68" w:rsidRPr="00AE5A68" w:rsidRDefault="00AE5A68" w:rsidP="00AE5A68">
            <w:pPr>
              <w:spacing w:line="240" w:lineRule="auto"/>
              <w:rPr>
                <w:rFonts w:ascii="Times New Roman" w:eastAsia="Times New Roman" w:hAnsi="Times New Roman" w:cs="Times New Roman"/>
                <w:lang w:eastAsia="bg-BG"/>
              </w:rPr>
            </w:pPr>
            <w:r w:rsidRPr="00AE5A68">
              <w:t>Тромбоцнтопения (понякога с пурпура)</w:t>
            </w:r>
          </w:p>
        </w:tc>
      </w:tr>
      <w:tr w:rsidR="00AE5A68" w14:paraId="49EABB0D" w14:textId="77777777" w:rsidTr="008F43A0">
        <w:tc>
          <w:tcPr>
            <w:tcW w:w="3166" w:type="dxa"/>
            <w:vMerge/>
          </w:tcPr>
          <w:p w14:paraId="4600D30A" w14:textId="77777777" w:rsidR="00AE5A68" w:rsidRPr="00AE5A68" w:rsidRDefault="00AE5A68" w:rsidP="00AE5A68">
            <w:pPr>
              <w:spacing w:line="240" w:lineRule="auto"/>
              <w:rPr>
                <w:rFonts w:ascii="Times New Roman" w:eastAsia="Times New Roman" w:hAnsi="Times New Roman" w:cs="Times New Roman"/>
                <w:lang w:eastAsia="bg-BG"/>
              </w:rPr>
            </w:pPr>
          </w:p>
        </w:tc>
        <w:tc>
          <w:tcPr>
            <w:tcW w:w="3167" w:type="dxa"/>
          </w:tcPr>
          <w:p w14:paraId="28AD0319" w14:textId="3BAEC96D" w:rsidR="00AE5A68" w:rsidRPr="00AE5A68" w:rsidRDefault="00AE5A68" w:rsidP="00AE5A68">
            <w:pPr>
              <w:spacing w:line="240" w:lineRule="auto"/>
              <w:rPr>
                <w:rFonts w:ascii="Times New Roman" w:eastAsia="Times New Roman" w:hAnsi="Times New Roman" w:cs="Times New Roman"/>
                <w:lang w:eastAsia="bg-BG"/>
              </w:rPr>
            </w:pPr>
            <w:r w:rsidRPr="00AE5A68">
              <w:t>С неизвестна честота</w:t>
            </w:r>
          </w:p>
        </w:tc>
        <w:tc>
          <w:tcPr>
            <w:tcW w:w="3167" w:type="dxa"/>
            <w:vAlign w:val="bottom"/>
          </w:tcPr>
          <w:p w14:paraId="105C8F1B" w14:textId="3B723975" w:rsidR="00AE5A68" w:rsidRPr="00AE5A68" w:rsidRDefault="00AE5A68" w:rsidP="00AE5A68">
            <w:pPr>
              <w:spacing w:line="240" w:lineRule="auto"/>
              <w:rPr>
                <w:rFonts w:ascii="Times New Roman" w:eastAsia="Times New Roman" w:hAnsi="Times New Roman" w:cs="Times New Roman"/>
                <w:lang w:eastAsia="bg-BG"/>
              </w:rPr>
            </w:pPr>
            <w:r w:rsidRPr="00AE5A68">
              <w:t>Апластична анемия, хемолитична анемия, потискане на костния мозък, левкопения, неутропения, агранулоцитоза</w:t>
            </w:r>
          </w:p>
        </w:tc>
      </w:tr>
      <w:tr w:rsidR="00AE5A68" w14:paraId="33CDA98B" w14:textId="77777777" w:rsidTr="00AE5A68">
        <w:tc>
          <w:tcPr>
            <w:tcW w:w="3166" w:type="dxa"/>
          </w:tcPr>
          <w:p w14:paraId="4D16BD0F" w14:textId="281315B2" w:rsidR="00AE5A68" w:rsidRPr="00AE5A68" w:rsidRDefault="00AE5A68" w:rsidP="00AE5A68">
            <w:pPr>
              <w:spacing w:line="240" w:lineRule="auto"/>
              <w:rPr>
                <w:rFonts w:ascii="Times New Roman" w:eastAsia="Times New Roman" w:hAnsi="Times New Roman" w:cs="Times New Roman"/>
                <w:lang w:eastAsia="bg-BG"/>
              </w:rPr>
            </w:pPr>
            <w:r w:rsidRPr="00AE5A68">
              <w:t>Нарушения на имунната система</w:t>
            </w:r>
          </w:p>
        </w:tc>
        <w:tc>
          <w:tcPr>
            <w:tcW w:w="3167" w:type="dxa"/>
          </w:tcPr>
          <w:p w14:paraId="7C5FD265" w14:textId="7F341F7B" w:rsidR="00AE5A68" w:rsidRPr="00AE5A68" w:rsidRDefault="00AE5A68" w:rsidP="00AE5A68">
            <w:pPr>
              <w:spacing w:line="240" w:lineRule="auto"/>
              <w:rPr>
                <w:rFonts w:ascii="Times New Roman" w:eastAsia="Times New Roman" w:hAnsi="Times New Roman" w:cs="Times New Roman"/>
                <w:lang w:eastAsia="bg-BG"/>
              </w:rPr>
            </w:pPr>
            <w:r w:rsidRPr="00AE5A68">
              <w:t>С неизвестна честота</w:t>
            </w:r>
          </w:p>
        </w:tc>
        <w:tc>
          <w:tcPr>
            <w:tcW w:w="3167" w:type="dxa"/>
          </w:tcPr>
          <w:p w14:paraId="031766C1" w14:textId="0DA8BF60" w:rsidR="00AE5A68" w:rsidRPr="00AE5A68" w:rsidRDefault="00AE5A68" w:rsidP="00AE5A68">
            <w:pPr>
              <w:spacing w:line="240" w:lineRule="auto"/>
              <w:rPr>
                <w:rFonts w:ascii="Times New Roman" w:eastAsia="Times New Roman" w:hAnsi="Times New Roman" w:cs="Times New Roman"/>
                <w:lang w:eastAsia="bg-BG"/>
              </w:rPr>
            </w:pPr>
            <w:r w:rsidRPr="00AE5A68">
              <w:t>Анафилактични реакции, свръхчувствителнност</w:t>
            </w:r>
          </w:p>
        </w:tc>
      </w:tr>
      <w:tr w:rsidR="00AE5A68" w14:paraId="2B00163A" w14:textId="77777777" w:rsidTr="008F43A0">
        <w:tc>
          <w:tcPr>
            <w:tcW w:w="3166" w:type="dxa"/>
            <w:vAlign w:val="bottom"/>
          </w:tcPr>
          <w:p w14:paraId="73EE1283" w14:textId="1DC28BEF" w:rsidR="00AE5A68" w:rsidRPr="00AE5A68" w:rsidRDefault="00AE5A68" w:rsidP="00AE5A68">
            <w:pPr>
              <w:spacing w:line="240" w:lineRule="auto"/>
              <w:rPr>
                <w:rFonts w:ascii="Times New Roman" w:eastAsia="Times New Roman" w:hAnsi="Times New Roman" w:cs="Times New Roman"/>
                <w:lang w:eastAsia="bg-BG"/>
              </w:rPr>
            </w:pPr>
            <w:r w:rsidRPr="00AE5A68">
              <w:t>Нарушения на ендокринната система</w:t>
            </w:r>
          </w:p>
        </w:tc>
        <w:tc>
          <w:tcPr>
            <w:tcW w:w="3167" w:type="dxa"/>
          </w:tcPr>
          <w:p w14:paraId="0F491458" w14:textId="4B7F234B" w:rsidR="00AE5A68" w:rsidRPr="00AE5A68" w:rsidRDefault="00AE5A68" w:rsidP="00AE5A68">
            <w:pPr>
              <w:spacing w:line="240" w:lineRule="auto"/>
              <w:rPr>
                <w:rFonts w:ascii="Times New Roman" w:eastAsia="Times New Roman" w:hAnsi="Times New Roman" w:cs="Times New Roman"/>
                <w:lang w:eastAsia="bg-BG"/>
              </w:rPr>
            </w:pPr>
            <w:r w:rsidRPr="00AE5A68">
              <w:t>С неизвестна честота</w:t>
            </w:r>
          </w:p>
        </w:tc>
        <w:tc>
          <w:tcPr>
            <w:tcW w:w="3167" w:type="dxa"/>
            <w:vAlign w:val="bottom"/>
          </w:tcPr>
          <w:p w14:paraId="019E250D" w14:textId="6779DB6C" w:rsidR="00AE5A68" w:rsidRPr="00AE5A68" w:rsidRDefault="00AE5A68" w:rsidP="00AE5A68">
            <w:pPr>
              <w:spacing w:line="240" w:lineRule="auto"/>
              <w:rPr>
                <w:rFonts w:ascii="Times New Roman" w:eastAsia="Times New Roman" w:hAnsi="Times New Roman" w:cs="Times New Roman"/>
                <w:lang w:eastAsia="bg-BG"/>
              </w:rPr>
            </w:pPr>
            <w:r w:rsidRPr="00AE5A68">
              <w:t>Недостатъчно контролиран захарен диабет</w:t>
            </w:r>
          </w:p>
        </w:tc>
      </w:tr>
      <w:tr w:rsidR="00AE5A68" w14:paraId="55A8E2D1" w14:textId="77777777" w:rsidTr="00AE5A68">
        <w:tc>
          <w:tcPr>
            <w:tcW w:w="3166" w:type="dxa"/>
            <w:vMerge w:val="restart"/>
          </w:tcPr>
          <w:p w14:paraId="3D6172E2" w14:textId="552B3548" w:rsidR="00AE5A68" w:rsidRPr="00AE5A68" w:rsidRDefault="00AE5A68" w:rsidP="00AE5A68">
            <w:r w:rsidRPr="00AE5A68">
              <w:t>Нарушения на метаболизма и</w:t>
            </w:r>
            <w:r>
              <w:t xml:space="preserve"> </w:t>
            </w:r>
            <w:r w:rsidRPr="00AE5A68">
              <w:t>храненето</w:t>
            </w:r>
          </w:p>
        </w:tc>
        <w:tc>
          <w:tcPr>
            <w:tcW w:w="3167" w:type="dxa"/>
          </w:tcPr>
          <w:p w14:paraId="5E8115D7" w14:textId="33C13620" w:rsidR="00AE5A68" w:rsidRPr="00AE5A68" w:rsidRDefault="00AE5A68" w:rsidP="00AE5A68">
            <w:pPr>
              <w:spacing w:line="240" w:lineRule="auto"/>
              <w:rPr>
                <w:rFonts w:ascii="Times New Roman" w:eastAsia="Times New Roman" w:hAnsi="Times New Roman" w:cs="Times New Roman"/>
                <w:lang w:eastAsia="bg-BG"/>
              </w:rPr>
            </w:pPr>
            <w:r w:rsidRPr="00AE5A68">
              <w:t>Чести</w:t>
            </w:r>
          </w:p>
        </w:tc>
        <w:tc>
          <w:tcPr>
            <w:tcW w:w="3167" w:type="dxa"/>
          </w:tcPr>
          <w:p w14:paraId="192FB113" w14:textId="16462858" w:rsidR="00AE5A68" w:rsidRPr="00AE5A68" w:rsidRDefault="00AE5A68" w:rsidP="00AE5A68">
            <w:pPr>
              <w:spacing w:line="240" w:lineRule="auto"/>
              <w:rPr>
                <w:rFonts w:ascii="Times New Roman" w:eastAsia="Times New Roman" w:hAnsi="Times New Roman" w:cs="Times New Roman"/>
                <w:lang w:eastAsia="bg-BG"/>
              </w:rPr>
            </w:pPr>
            <w:r w:rsidRPr="00AE5A68">
              <w:t>Хипомагнезимия</w:t>
            </w:r>
          </w:p>
        </w:tc>
      </w:tr>
      <w:tr w:rsidR="00AE5A68" w14:paraId="366DCE62" w14:textId="77777777" w:rsidTr="00AE5A68">
        <w:tc>
          <w:tcPr>
            <w:tcW w:w="3166" w:type="dxa"/>
            <w:vMerge/>
          </w:tcPr>
          <w:p w14:paraId="4B125F9D" w14:textId="77777777" w:rsidR="00AE5A68" w:rsidRDefault="00AE5A68" w:rsidP="00AE5A68">
            <w:pPr>
              <w:spacing w:line="240" w:lineRule="auto"/>
              <w:rPr>
                <w:rFonts w:ascii="Times New Roman" w:eastAsia="Times New Roman" w:hAnsi="Times New Roman" w:cs="Times New Roman"/>
                <w:sz w:val="24"/>
                <w:szCs w:val="24"/>
                <w:lang w:eastAsia="bg-BG"/>
              </w:rPr>
            </w:pPr>
          </w:p>
        </w:tc>
        <w:tc>
          <w:tcPr>
            <w:tcW w:w="3167" w:type="dxa"/>
          </w:tcPr>
          <w:p w14:paraId="1AEAF543" w14:textId="67195EEA" w:rsidR="00AE5A68" w:rsidRDefault="00AE5A68" w:rsidP="00AE5A68">
            <w:pPr>
              <w:rPr>
                <w:rFonts w:ascii="Times New Roman" w:eastAsia="Times New Roman" w:hAnsi="Times New Roman" w:cs="Times New Roman"/>
                <w:sz w:val="24"/>
                <w:szCs w:val="24"/>
                <w:lang w:eastAsia="bg-BG"/>
              </w:rPr>
            </w:pPr>
            <w:r>
              <w:t>Редки</w:t>
            </w:r>
          </w:p>
        </w:tc>
        <w:tc>
          <w:tcPr>
            <w:tcW w:w="3167" w:type="dxa"/>
          </w:tcPr>
          <w:p w14:paraId="42CFBC0B" w14:textId="535B151F" w:rsidR="00AE5A68" w:rsidRDefault="00AE5A68" w:rsidP="00AE5A68">
            <w:pPr>
              <w:rPr>
                <w:rFonts w:ascii="Times New Roman" w:eastAsia="Times New Roman" w:hAnsi="Times New Roman" w:cs="Times New Roman"/>
                <w:sz w:val="24"/>
                <w:szCs w:val="24"/>
                <w:lang w:eastAsia="bg-BG"/>
              </w:rPr>
            </w:pPr>
            <w:r>
              <w:t>Хиперкалциемия</w:t>
            </w:r>
          </w:p>
        </w:tc>
      </w:tr>
      <w:tr w:rsidR="00AE5A68" w14:paraId="14176CF5" w14:textId="77777777" w:rsidTr="00AE5A68">
        <w:tc>
          <w:tcPr>
            <w:tcW w:w="3166" w:type="dxa"/>
            <w:vMerge/>
          </w:tcPr>
          <w:p w14:paraId="2D935E05" w14:textId="77777777" w:rsidR="00AE5A68" w:rsidRDefault="00AE5A68" w:rsidP="00AE5A68">
            <w:pPr>
              <w:spacing w:line="240" w:lineRule="auto"/>
              <w:rPr>
                <w:rFonts w:ascii="Times New Roman" w:eastAsia="Times New Roman" w:hAnsi="Times New Roman" w:cs="Times New Roman"/>
                <w:sz w:val="24"/>
                <w:szCs w:val="24"/>
                <w:lang w:eastAsia="bg-BG"/>
              </w:rPr>
            </w:pPr>
          </w:p>
        </w:tc>
        <w:tc>
          <w:tcPr>
            <w:tcW w:w="3167" w:type="dxa"/>
          </w:tcPr>
          <w:p w14:paraId="098AA62F" w14:textId="68461622" w:rsidR="00AE5A68" w:rsidRDefault="00AE5A68" w:rsidP="00AE5A68">
            <w:pPr>
              <w:rPr>
                <w:rFonts w:ascii="Times New Roman" w:eastAsia="Times New Roman" w:hAnsi="Times New Roman" w:cs="Times New Roman"/>
                <w:sz w:val="24"/>
                <w:szCs w:val="24"/>
                <w:lang w:eastAsia="bg-BG"/>
              </w:rPr>
            </w:pPr>
            <w:r>
              <w:t>Много редки</w:t>
            </w:r>
          </w:p>
        </w:tc>
        <w:tc>
          <w:tcPr>
            <w:tcW w:w="3167" w:type="dxa"/>
          </w:tcPr>
          <w:p w14:paraId="27160DAD" w14:textId="63CC0851" w:rsidR="00AE5A68" w:rsidRDefault="00AE5A68" w:rsidP="00AE5A68">
            <w:pPr>
              <w:rPr>
                <w:rFonts w:ascii="Times New Roman" w:eastAsia="Times New Roman" w:hAnsi="Times New Roman" w:cs="Times New Roman"/>
                <w:sz w:val="24"/>
                <w:szCs w:val="24"/>
                <w:lang w:eastAsia="bg-BG"/>
              </w:rPr>
            </w:pPr>
            <w:r>
              <w:t>Хипохлоремична алкалоза</w:t>
            </w:r>
          </w:p>
        </w:tc>
      </w:tr>
      <w:tr w:rsidR="00AE5A68" w14:paraId="50D10B49" w14:textId="77777777" w:rsidTr="00AE5A68">
        <w:tc>
          <w:tcPr>
            <w:tcW w:w="3166" w:type="dxa"/>
            <w:vMerge/>
          </w:tcPr>
          <w:p w14:paraId="61BBB4F0" w14:textId="77777777" w:rsidR="00AE5A68" w:rsidRDefault="00AE5A68" w:rsidP="00AE5A68">
            <w:pPr>
              <w:spacing w:line="240" w:lineRule="auto"/>
              <w:rPr>
                <w:rFonts w:ascii="Times New Roman" w:eastAsia="Times New Roman" w:hAnsi="Times New Roman" w:cs="Times New Roman"/>
                <w:sz w:val="24"/>
                <w:szCs w:val="24"/>
                <w:lang w:eastAsia="bg-BG"/>
              </w:rPr>
            </w:pPr>
          </w:p>
        </w:tc>
        <w:tc>
          <w:tcPr>
            <w:tcW w:w="3167" w:type="dxa"/>
          </w:tcPr>
          <w:p w14:paraId="79195564" w14:textId="2567EFD5" w:rsidR="00AE5A68" w:rsidRDefault="00AE5A68" w:rsidP="00AE5A68">
            <w:pPr>
              <w:rPr>
                <w:rFonts w:ascii="Times New Roman" w:eastAsia="Times New Roman" w:hAnsi="Times New Roman" w:cs="Times New Roman"/>
                <w:sz w:val="24"/>
                <w:szCs w:val="24"/>
                <w:lang w:eastAsia="bg-BG"/>
              </w:rPr>
            </w:pPr>
            <w:r>
              <w:t>С неизвестна честота</w:t>
            </w:r>
          </w:p>
        </w:tc>
        <w:tc>
          <w:tcPr>
            <w:tcW w:w="3167" w:type="dxa"/>
          </w:tcPr>
          <w:p w14:paraId="5BEDE758" w14:textId="1F688124" w:rsidR="00AE5A68" w:rsidRDefault="00AE5A68" w:rsidP="00AE5A68">
            <w:pPr>
              <w:rPr>
                <w:rFonts w:ascii="Times New Roman" w:eastAsia="Times New Roman" w:hAnsi="Times New Roman" w:cs="Times New Roman"/>
                <w:sz w:val="24"/>
                <w:szCs w:val="24"/>
                <w:lang w:eastAsia="bg-BG"/>
              </w:rPr>
            </w:pPr>
            <w:r>
              <w:t>Анорексия, понижен апетит, електролитен дисбаланс, хиперхолестеролемия, хиперглицемия, хиповолемия</w:t>
            </w:r>
          </w:p>
        </w:tc>
      </w:tr>
      <w:tr w:rsidR="00AE5A68" w14:paraId="5B4AB756" w14:textId="77777777" w:rsidTr="00AE5A68">
        <w:tc>
          <w:tcPr>
            <w:tcW w:w="3166" w:type="dxa"/>
          </w:tcPr>
          <w:p w14:paraId="7EAAD412" w14:textId="214A1C9D" w:rsidR="00AE5A68" w:rsidRPr="00AE5A68" w:rsidRDefault="00AE5A68" w:rsidP="00AE5A68">
            <w:pPr>
              <w:spacing w:line="240" w:lineRule="auto"/>
              <w:rPr>
                <w:rFonts w:ascii="Times New Roman" w:eastAsia="Times New Roman" w:hAnsi="Times New Roman" w:cs="Times New Roman"/>
                <w:lang w:eastAsia="bg-BG"/>
              </w:rPr>
            </w:pPr>
            <w:r w:rsidRPr="00AE5A68">
              <w:t>Психични нарушения</w:t>
            </w:r>
          </w:p>
        </w:tc>
        <w:tc>
          <w:tcPr>
            <w:tcW w:w="3167" w:type="dxa"/>
          </w:tcPr>
          <w:p w14:paraId="7A96AD99" w14:textId="33386A8F" w:rsidR="00AE5A68" w:rsidRPr="00AE5A68" w:rsidRDefault="00AE5A68" w:rsidP="00AE5A68">
            <w:pPr>
              <w:spacing w:line="240" w:lineRule="auto"/>
              <w:rPr>
                <w:rFonts w:ascii="Times New Roman" w:eastAsia="Times New Roman" w:hAnsi="Times New Roman" w:cs="Times New Roman"/>
                <w:lang w:eastAsia="bg-BG"/>
              </w:rPr>
            </w:pPr>
            <w:r w:rsidRPr="00AE5A68">
              <w:t>С неизвестна честота</w:t>
            </w:r>
          </w:p>
        </w:tc>
        <w:tc>
          <w:tcPr>
            <w:tcW w:w="3167" w:type="dxa"/>
          </w:tcPr>
          <w:p w14:paraId="018EB88D" w14:textId="165CBA48" w:rsidR="00AE5A68" w:rsidRPr="00AE5A68" w:rsidRDefault="00AE5A68" w:rsidP="00AE5A68">
            <w:pPr>
              <w:spacing w:line="240" w:lineRule="auto"/>
              <w:rPr>
                <w:rFonts w:ascii="Times New Roman" w:eastAsia="Times New Roman" w:hAnsi="Times New Roman" w:cs="Times New Roman"/>
                <w:lang w:eastAsia="bg-BG"/>
              </w:rPr>
            </w:pPr>
            <w:r w:rsidRPr="00AE5A68">
              <w:t>Безпокойство</w:t>
            </w:r>
          </w:p>
        </w:tc>
      </w:tr>
      <w:tr w:rsidR="00AE5A68" w14:paraId="00F41182" w14:textId="77777777" w:rsidTr="00AE5A68">
        <w:tc>
          <w:tcPr>
            <w:tcW w:w="3166" w:type="dxa"/>
            <w:vMerge w:val="restart"/>
          </w:tcPr>
          <w:p w14:paraId="5C684E56" w14:textId="7E6316D2" w:rsidR="00AE5A68" w:rsidRPr="00AE5A68" w:rsidRDefault="00AE5A68" w:rsidP="00AE5A68">
            <w:pPr>
              <w:spacing w:line="240" w:lineRule="auto"/>
              <w:rPr>
                <w:rFonts w:ascii="Times New Roman" w:eastAsia="Times New Roman" w:hAnsi="Times New Roman" w:cs="Times New Roman"/>
                <w:lang w:eastAsia="bg-BG"/>
              </w:rPr>
            </w:pPr>
            <w:r w:rsidRPr="00AE5A68">
              <w:t>Нарушения на нервната система</w:t>
            </w:r>
          </w:p>
        </w:tc>
        <w:tc>
          <w:tcPr>
            <w:tcW w:w="3167" w:type="dxa"/>
          </w:tcPr>
          <w:p w14:paraId="2892145B" w14:textId="3A6F7F1C" w:rsidR="00AE5A68" w:rsidRPr="00AE5A68" w:rsidRDefault="00AE5A68" w:rsidP="00AE5A68">
            <w:pPr>
              <w:spacing w:line="240" w:lineRule="auto"/>
              <w:rPr>
                <w:rFonts w:ascii="Times New Roman" w:eastAsia="Times New Roman" w:hAnsi="Times New Roman" w:cs="Times New Roman"/>
                <w:lang w:eastAsia="bg-BG"/>
              </w:rPr>
            </w:pPr>
            <w:r w:rsidRPr="00AE5A68">
              <w:t>Редки</w:t>
            </w:r>
          </w:p>
        </w:tc>
        <w:tc>
          <w:tcPr>
            <w:tcW w:w="3167" w:type="dxa"/>
          </w:tcPr>
          <w:p w14:paraId="0723BC1B" w14:textId="626C22B9" w:rsidR="00AE5A68" w:rsidRPr="00AE5A68" w:rsidRDefault="00AE5A68" w:rsidP="00AE5A68">
            <w:pPr>
              <w:spacing w:line="240" w:lineRule="auto"/>
              <w:rPr>
                <w:rFonts w:ascii="Times New Roman" w:eastAsia="Times New Roman" w:hAnsi="Times New Roman" w:cs="Times New Roman"/>
                <w:lang w:eastAsia="bg-BG"/>
              </w:rPr>
            </w:pPr>
            <w:r w:rsidRPr="00AE5A68">
              <w:t>Главоболие</w:t>
            </w:r>
          </w:p>
        </w:tc>
      </w:tr>
      <w:tr w:rsidR="00AE5A68" w14:paraId="259AF41C" w14:textId="77777777" w:rsidTr="00AE5A68">
        <w:tc>
          <w:tcPr>
            <w:tcW w:w="3166" w:type="dxa"/>
            <w:vMerge/>
          </w:tcPr>
          <w:p w14:paraId="2E505675" w14:textId="77777777" w:rsidR="00AE5A68" w:rsidRPr="00AE5A68" w:rsidRDefault="00AE5A68" w:rsidP="00AE5A68">
            <w:pPr>
              <w:spacing w:line="240" w:lineRule="auto"/>
              <w:rPr>
                <w:rFonts w:ascii="Times New Roman" w:eastAsia="Times New Roman" w:hAnsi="Times New Roman" w:cs="Times New Roman"/>
                <w:lang w:eastAsia="bg-BG"/>
              </w:rPr>
            </w:pPr>
          </w:p>
        </w:tc>
        <w:tc>
          <w:tcPr>
            <w:tcW w:w="3167" w:type="dxa"/>
          </w:tcPr>
          <w:p w14:paraId="5B11A31D" w14:textId="697CECF8" w:rsidR="00AE5A68" w:rsidRPr="00AE5A68" w:rsidRDefault="00AE5A68" w:rsidP="00AE5A68">
            <w:pPr>
              <w:spacing w:line="240" w:lineRule="auto"/>
              <w:rPr>
                <w:rFonts w:ascii="Times New Roman" w:eastAsia="Times New Roman" w:hAnsi="Times New Roman" w:cs="Times New Roman"/>
                <w:lang w:eastAsia="bg-BG"/>
              </w:rPr>
            </w:pPr>
            <w:r w:rsidRPr="00AE5A68">
              <w:t>С неизвестна честота</w:t>
            </w:r>
          </w:p>
        </w:tc>
        <w:tc>
          <w:tcPr>
            <w:tcW w:w="3167" w:type="dxa"/>
          </w:tcPr>
          <w:p w14:paraId="4EAB885B" w14:textId="789BD728" w:rsidR="00AE5A68" w:rsidRPr="00AE5A68" w:rsidRDefault="00AE5A68" w:rsidP="00AE5A68">
            <w:pPr>
              <w:spacing w:line="240" w:lineRule="auto"/>
              <w:rPr>
                <w:rFonts w:ascii="Times New Roman" w:eastAsia="Times New Roman" w:hAnsi="Times New Roman" w:cs="Times New Roman"/>
                <w:lang w:eastAsia="bg-BG"/>
              </w:rPr>
            </w:pPr>
            <w:r w:rsidRPr="00AE5A68">
              <w:t>Прималяване</w:t>
            </w:r>
          </w:p>
        </w:tc>
      </w:tr>
      <w:tr w:rsidR="00AE5A68" w14:paraId="072C8075" w14:textId="77777777" w:rsidTr="00AE5A68">
        <w:tc>
          <w:tcPr>
            <w:tcW w:w="3166" w:type="dxa"/>
          </w:tcPr>
          <w:p w14:paraId="4493A2F9" w14:textId="0D9A1D69" w:rsidR="00AE5A68" w:rsidRPr="00AE5A68" w:rsidRDefault="00AE5A68" w:rsidP="00AE5A68">
            <w:pPr>
              <w:spacing w:line="240" w:lineRule="auto"/>
              <w:rPr>
                <w:rFonts w:ascii="Times New Roman" w:eastAsia="Times New Roman" w:hAnsi="Times New Roman" w:cs="Times New Roman"/>
                <w:lang w:eastAsia="bg-BG"/>
              </w:rPr>
            </w:pPr>
            <w:r w:rsidRPr="00AE5A68">
              <w:t>Нарушения на очите</w:t>
            </w:r>
          </w:p>
        </w:tc>
        <w:tc>
          <w:tcPr>
            <w:tcW w:w="3167" w:type="dxa"/>
          </w:tcPr>
          <w:p w14:paraId="6EE00B43" w14:textId="6C66ECA1" w:rsidR="00AE5A68" w:rsidRPr="00AE5A68" w:rsidRDefault="00AE5A68" w:rsidP="00AE5A68">
            <w:pPr>
              <w:spacing w:line="240" w:lineRule="auto"/>
              <w:rPr>
                <w:rFonts w:ascii="Times New Roman" w:eastAsia="Times New Roman" w:hAnsi="Times New Roman" w:cs="Times New Roman"/>
                <w:lang w:eastAsia="bg-BG"/>
              </w:rPr>
            </w:pPr>
            <w:r w:rsidRPr="00AE5A68">
              <w:t>С неизвестна честота</w:t>
            </w:r>
          </w:p>
        </w:tc>
        <w:tc>
          <w:tcPr>
            <w:tcW w:w="3167" w:type="dxa"/>
          </w:tcPr>
          <w:p w14:paraId="241CFD42" w14:textId="4390D220" w:rsidR="00AE5A68" w:rsidRPr="00AE5A68" w:rsidRDefault="00AE5A68" w:rsidP="00AE5A68">
            <w:pPr>
              <w:spacing w:line="240" w:lineRule="auto"/>
              <w:rPr>
                <w:rFonts w:ascii="Times New Roman" w:eastAsia="Times New Roman" w:hAnsi="Times New Roman" w:cs="Times New Roman"/>
                <w:lang w:eastAsia="bg-BG"/>
              </w:rPr>
            </w:pPr>
            <w:r w:rsidRPr="00AE5A68">
              <w:t>Ксантопсия, остра миопия, остра закритоъгълна глаукома, хороидален излив</w:t>
            </w:r>
          </w:p>
        </w:tc>
      </w:tr>
      <w:tr w:rsidR="00AE5A68" w14:paraId="0BD7D968" w14:textId="77777777" w:rsidTr="00AE5A68">
        <w:tc>
          <w:tcPr>
            <w:tcW w:w="3166" w:type="dxa"/>
          </w:tcPr>
          <w:p w14:paraId="5148B3D0" w14:textId="25D9F65C" w:rsidR="00AE5A68" w:rsidRPr="00AE5A68" w:rsidRDefault="00AE5A68" w:rsidP="00AE5A68">
            <w:pPr>
              <w:spacing w:line="240" w:lineRule="auto"/>
              <w:rPr>
                <w:rFonts w:ascii="Times New Roman" w:eastAsia="Times New Roman" w:hAnsi="Times New Roman" w:cs="Times New Roman"/>
                <w:lang w:eastAsia="bg-BG"/>
              </w:rPr>
            </w:pPr>
            <w:r w:rsidRPr="00AE5A68">
              <w:t>Съдови нарушения</w:t>
            </w:r>
          </w:p>
        </w:tc>
        <w:tc>
          <w:tcPr>
            <w:tcW w:w="3167" w:type="dxa"/>
          </w:tcPr>
          <w:p w14:paraId="6D270BF3" w14:textId="35CCEE01" w:rsidR="00AE5A68" w:rsidRPr="00AE5A68" w:rsidRDefault="00AE5A68" w:rsidP="00AE5A68">
            <w:pPr>
              <w:spacing w:line="240" w:lineRule="auto"/>
              <w:rPr>
                <w:rFonts w:ascii="Times New Roman" w:eastAsia="Times New Roman" w:hAnsi="Times New Roman" w:cs="Times New Roman"/>
                <w:lang w:eastAsia="bg-BG"/>
              </w:rPr>
            </w:pPr>
            <w:r w:rsidRPr="00AE5A68">
              <w:t>С неизвестна честота</w:t>
            </w:r>
          </w:p>
        </w:tc>
        <w:tc>
          <w:tcPr>
            <w:tcW w:w="3167" w:type="dxa"/>
          </w:tcPr>
          <w:p w14:paraId="0E025DDE" w14:textId="11D37A40" w:rsidR="00AE5A68" w:rsidRPr="00AE5A68" w:rsidRDefault="00AE5A68" w:rsidP="00AE5A68">
            <w:pPr>
              <w:spacing w:line="240" w:lineRule="auto"/>
              <w:rPr>
                <w:rFonts w:ascii="Times New Roman" w:eastAsia="Times New Roman" w:hAnsi="Times New Roman" w:cs="Times New Roman"/>
                <w:lang w:eastAsia="bg-BG"/>
              </w:rPr>
            </w:pPr>
            <w:r w:rsidRPr="00AE5A68">
              <w:t>Некротизиращ васкулит</w:t>
            </w:r>
          </w:p>
        </w:tc>
      </w:tr>
      <w:tr w:rsidR="00AE5A68" w14:paraId="31C04D40" w14:textId="77777777" w:rsidTr="00AE5A68">
        <w:tc>
          <w:tcPr>
            <w:tcW w:w="3166" w:type="dxa"/>
          </w:tcPr>
          <w:p w14:paraId="72BC1064" w14:textId="7905B393" w:rsidR="00AE5A68" w:rsidRPr="00AE5A68" w:rsidRDefault="00AE5A68" w:rsidP="00AE5A68">
            <w:pPr>
              <w:spacing w:line="240" w:lineRule="auto"/>
              <w:rPr>
                <w:rFonts w:ascii="Times New Roman" w:eastAsia="Times New Roman" w:hAnsi="Times New Roman" w:cs="Times New Roman"/>
                <w:lang w:eastAsia="bg-BG"/>
              </w:rPr>
            </w:pPr>
            <w:r w:rsidRPr="00AE5A68">
              <w:t>Респираторни, гръдни и медиастинални нарушения</w:t>
            </w:r>
          </w:p>
        </w:tc>
        <w:tc>
          <w:tcPr>
            <w:tcW w:w="3167" w:type="dxa"/>
          </w:tcPr>
          <w:p w14:paraId="33CDD393" w14:textId="6AC715CC" w:rsidR="00AE5A68" w:rsidRPr="00AE5A68" w:rsidRDefault="00AE5A68" w:rsidP="00AE5A68">
            <w:pPr>
              <w:spacing w:line="240" w:lineRule="auto"/>
              <w:rPr>
                <w:rFonts w:ascii="Times New Roman" w:eastAsia="Times New Roman" w:hAnsi="Times New Roman" w:cs="Times New Roman"/>
                <w:lang w:eastAsia="bg-BG"/>
              </w:rPr>
            </w:pPr>
            <w:r w:rsidRPr="00AE5A68">
              <w:t>Много редки</w:t>
            </w:r>
          </w:p>
        </w:tc>
        <w:tc>
          <w:tcPr>
            <w:tcW w:w="3167" w:type="dxa"/>
          </w:tcPr>
          <w:p w14:paraId="7A3A82FE" w14:textId="729C15A3" w:rsidR="00AE5A68" w:rsidRPr="00AE5A68" w:rsidRDefault="00AE5A68" w:rsidP="00AE5A68">
            <w:pPr>
              <w:spacing w:line="240" w:lineRule="auto"/>
              <w:rPr>
                <w:rFonts w:ascii="Times New Roman" w:eastAsia="Times New Roman" w:hAnsi="Times New Roman" w:cs="Times New Roman"/>
                <w:lang w:eastAsia="bg-BG"/>
              </w:rPr>
            </w:pPr>
            <w:r w:rsidRPr="00AE5A68">
              <w:t>Остър респираторен дистрес синдром (ОРДС) (вж. точка 4.4)</w:t>
            </w:r>
          </w:p>
        </w:tc>
      </w:tr>
      <w:tr w:rsidR="00AE5A68" w14:paraId="0DC752F5" w14:textId="77777777" w:rsidTr="00AE5A68">
        <w:tc>
          <w:tcPr>
            <w:tcW w:w="3166" w:type="dxa"/>
            <w:vMerge w:val="restart"/>
          </w:tcPr>
          <w:p w14:paraId="39605735" w14:textId="68F70905" w:rsidR="00AE5A68" w:rsidRPr="00AE5A68" w:rsidRDefault="00AE5A68" w:rsidP="00AE5A68">
            <w:pPr>
              <w:spacing w:line="240" w:lineRule="auto"/>
              <w:rPr>
                <w:rFonts w:ascii="Times New Roman" w:eastAsia="Times New Roman" w:hAnsi="Times New Roman" w:cs="Times New Roman"/>
                <w:lang w:eastAsia="bg-BG"/>
              </w:rPr>
            </w:pPr>
            <w:r w:rsidRPr="00AE5A68">
              <w:t>Стомашно-чревни нарушения</w:t>
            </w:r>
          </w:p>
        </w:tc>
        <w:tc>
          <w:tcPr>
            <w:tcW w:w="3167" w:type="dxa"/>
          </w:tcPr>
          <w:p w14:paraId="3FFE669E" w14:textId="6821F9ED" w:rsidR="00AE5A68" w:rsidRPr="00AE5A68" w:rsidRDefault="00AE5A68" w:rsidP="00AE5A68">
            <w:pPr>
              <w:spacing w:line="240" w:lineRule="auto"/>
              <w:rPr>
                <w:rFonts w:ascii="Times New Roman" w:eastAsia="Times New Roman" w:hAnsi="Times New Roman" w:cs="Times New Roman"/>
                <w:lang w:eastAsia="bg-BG"/>
              </w:rPr>
            </w:pPr>
            <w:r w:rsidRPr="00AE5A68">
              <w:t>Чести</w:t>
            </w:r>
          </w:p>
        </w:tc>
        <w:tc>
          <w:tcPr>
            <w:tcW w:w="3167" w:type="dxa"/>
          </w:tcPr>
          <w:p w14:paraId="1DB3977D" w14:textId="7A7DF5A0" w:rsidR="00AE5A68" w:rsidRPr="00AE5A68" w:rsidRDefault="00AE5A68" w:rsidP="00AE5A68">
            <w:pPr>
              <w:spacing w:line="240" w:lineRule="auto"/>
              <w:rPr>
                <w:rFonts w:ascii="Times New Roman" w:eastAsia="Times New Roman" w:hAnsi="Times New Roman" w:cs="Times New Roman"/>
                <w:lang w:eastAsia="bg-BG"/>
              </w:rPr>
            </w:pPr>
            <w:r w:rsidRPr="00AE5A68">
              <w:t>Гадене</w:t>
            </w:r>
          </w:p>
        </w:tc>
      </w:tr>
      <w:tr w:rsidR="00AE5A68" w14:paraId="26A7C1BF" w14:textId="77777777" w:rsidTr="00AE5A68">
        <w:tc>
          <w:tcPr>
            <w:tcW w:w="3166" w:type="dxa"/>
            <w:vMerge/>
          </w:tcPr>
          <w:p w14:paraId="32C62B7D" w14:textId="77777777" w:rsidR="00AE5A68" w:rsidRPr="00AE5A68" w:rsidRDefault="00AE5A68" w:rsidP="00AE5A68">
            <w:pPr>
              <w:spacing w:line="240" w:lineRule="auto"/>
              <w:rPr>
                <w:rFonts w:ascii="Times New Roman" w:eastAsia="Times New Roman" w:hAnsi="Times New Roman" w:cs="Times New Roman"/>
                <w:lang w:eastAsia="bg-BG"/>
              </w:rPr>
            </w:pPr>
          </w:p>
        </w:tc>
        <w:tc>
          <w:tcPr>
            <w:tcW w:w="3167" w:type="dxa"/>
          </w:tcPr>
          <w:p w14:paraId="777F33DF" w14:textId="4D44F6FB" w:rsidR="00AE5A68" w:rsidRPr="00AE5A68" w:rsidRDefault="00AE5A68" w:rsidP="00AE5A68">
            <w:pPr>
              <w:spacing w:line="240" w:lineRule="auto"/>
              <w:rPr>
                <w:rFonts w:ascii="Times New Roman" w:eastAsia="Times New Roman" w:hAnsi="Times New Roman" w:cs="Times New Roman"/>
                <w:lang w:eastAsia="bg-BG"/>
              </w:rPr>
            </w:pPr>
            <w:r w:rsidRPr="00AE5A68">
              <w:t>С неизвестна честота</w:t>
            </w:r>
          </w:p>
        </w:tc>
        <w:tc>
          <w:tcPr>
            <w:tcW w:w="3167" w:type="dxa"/>
          </w:tcPr>
          <w:p w14:paraId="65F5ED91" w14:textId="69C3DEC3" w:rsidR="00AE5A68" w:rsidRPr="00AE5A68" w:rsidRDefault="00AE5A68" w:rsidP="00AE5A68">
            <w:pPr>
              <w:spacing w:line="240" w:lineRule="auto"/>
              <w:rPr>
                <w:rFonts w:ascii="Times New Roman" w:eastAsia="Times New Roman" w:hAnsi="Times New Roman" w:cs="Times New Roman"/>
                <w:lang w:eastAsia="bg-BG"/>
              </w:rPr>
            </w:pPr>
            <w:r w:rsidRPr="00AE5A68">
              <w:t>Панкреатит, стомашен дискомфорт</w:t>
            </w:r>
          </w:p>
        </w:tc>
      </w:tr>
      <w:tr w:rsidR="00AE5A68" w14:paraId="762C3917" w14:textId="77777777" w:rsidTr="00AE5A68">
        <w:tc>
          <w:tcPr>
            <w:tcW w:w="3166" w:type="dxa"/>
          </w:tcPr>
          <w:p w14:paraId="0CC08FB6" w14:textId="31BBE503" w:rsidR="00AE5A68" w:rsidRPr="00AE5A68" w:rsidRDefault="00AE5A68" w:rsidP="00AE5A68">
            <w:pPr>
              <w:spacing w:line="240" w:lineRule="auto"/>
              <w:rPr>
                <w:rFonts w:ascii="Times New Roman" w:eastAsia="Times New Roman" w:hAnsi="Times New Roman" w:cs="Times New Roman"/>
                <w:lang w:eastAsia="bg-BG"/>
              </w:rPr>
            </w:pPr>
            <w:r w:rsidRPr="00AE5A68">
              <w:t xml:space="preserve">Хепато-билиарни </w:t>
            </w:r>
            <w:r w:rsidRPr="00AE5A68">
              <w:lastRenderedPageBreak/>
              <w:t>нарушения</w:t>
            </w:r>
          </w:p>
        </w:tc>
        <w:tc>
          <w:tcPr>
            <w:tcW w:w="3167" w:type="dxa"/>
          </w:tcPr>
          <w:p w14:paraId="5255EBFE" w14:textId="104D692D" w:rsidR="00AE5A68" w:rsidRPr="00AE5A68" w:rsidRDefault="00AE5A68" w:rsidP="00AE5A68">
            <w:pPr>
              <w:spacing w:line="240" w:lineRule="auto"/>
              <w:rPr>
                <w:rFonts w:ascii="Times New Roman" w:eastAsia="Times New Roman" w:hAnsi="Times New Roman" w:cs="Times New Roman"/>
                <w:lang w:eastAsia="bg-BG"/>
              </w:rPr>
            </w:pPr>
            <w:r w:rsidRPr="00AE5A68">
              <w:lastRenderedPageBreak/>
              <w:t>С неизвестна честота</w:t>
            </w:r>
          </w:p>
        </w:tc>
        <w:tc>
          <w:tcPr>
            <w:tcW w:w="3167" w:type="dxa"/>
          </w:tcPr>
          <w:p w14:paraId="454B55ED" w14:textId="04C8A8F6" w:rsidR="00AE5A68" w:rsidRPr="00AE5A68" w:rsidRDefault="00AE5A68" w:rsidP="00AE5A68">
            <w:pPr>
              <w:spacing w:line="240" w:lineRule="auto"/>
              <w:rPr>
                <w:rFonts w:ascii="Times New Roman" w:eastAsia="Times New Roman" w:hAnsi="Times New Roman" w:cs="Times New Roman"/>
                <w:lang w:eastAsia="bg-BG"/>
              </w:rPr>
            </w:pPr>
            <w:r w:rsidRPr="00AE5A68">
              <w:t xml:space="preserve">Хепатоцелуларна </w:t>
            </w:r>
            <w:r w:rsidRPr="00AE5A68">
              <w:lastRenderedPageBreak/>
              <w:t>жълтеница, холестатична жълтеница</w:t>
            </w:r>
          </w:p>
        </w:tc>
      </w:tr>
      <w:tr w:rsidR="00AE5A68" w14:paraId="38C4A1DB" w14:textId="77777777" w:rsidTr="00AE5A68">
        <w:tc>
          <w:tcPr>
            <w:tcW w:w="3166" w:type="dxa"/>
          </w:tcPr>
          <w:p w14:paraId="199718F3" w14:textId="21068F08" w:rsidR="00AE5A68" w:rsidRPr="00AE5A68" w:rsidRDefault="00AE5A68" w:rsidP="00AE5A68">
            <w:pPr>
              <w:spacing w:line="240" w:lineRule="auto"/>
              <w:rPr>
                <w:rFonts w:ascii="Times New Roman" w:eastAsia="Times New Roman" w:hAnsi="Times New Roman" w:cs="Times New Roman"/>
                <w:lang w:eastAsia="bg-BG"/>
              </w:rPr>
            </w:pPr>
            <w:r w:rsidRPr="00AE5A68">
              <w:lastRenderedPageBreak/>
              <w:t>Нарушения на кожата и подкожната тъкан</w:t>
            </w:r>
          </w:p>
        </w:tc>
        <w:tc>
          <w:tcPr>
            <w:tcW w:w="3167" w:type="dxa"/>
          </w:tcPr>
          <w:p w14:paraId="54A4E3D7" w14:textId="13A9D916" w:rsidR="00AE5A68" w:rsidRPr="00AE5A68" w:rsidRDefault="00AE5A68" w:rsidP="00AE5A68">
            <w:pPr>
              <w:spacing w:line="240" w:lineRule="auto"/>
              <w:rPr>
                <w:rFonts w:ascii="Times New Roman" w:eastAsia="Times New Roman" w:hAnsi="Times New Roman" w:cs="Times New Roman"/>
                <w:lang w:eastAsia="bg-BG"/>
              </w:rPr>
            </w:pPr>
            <w:r w:rsidRPr="00AE5A68">
              <w:t>С неизвестна честота</w:t>
            </w:r>
          </w:p>
        </w:tc>
        <w:tc>
          <w:tcPr>
            <w:tcW w:w="3167" w:type="dxa"/>
          </w:tcPr>
          <w:p w14:paraId="54C58679" w14:textId="75F9D6CA" w:rsidR="00AE5A68" w:rsidRPr="00AE5A68" w:rsidRDefault="00AE5A68" w:rsidP="00AE5A68">
            <w:pPr>
              <w:spacing w:line="240" w:lineRule="auto"/>
              <w:rPr>
                <w:rFonts w:ascii="Times New Roman" w:eastAsia="Times New Roman" w:hAnsi="Times New Roman" w:cs="Times New Roman"/>
                <w:lang w:eastAsia="bg-BG"/>
              </w:rPr>
            </w:pPr>
            <w:r w:rsidRPr="00AE5A68">
              <w:t>Лупус-подобен синдром, реакции на фоточувствителност, кожен васкулит, токсична епидермална некролиза, еритема мултиформе</w:t>
            </w:r>
          </w:p>
        </w:tc>
      </w:tr>
      <w:tr w:rsidR="00AE5A68" w14:paraId="1A1AD522" w14:textId="77777777" w:rsidTr="00AE5A68">
        <w:tc>
          <w:tcPr>
            <w:tcW w:w="3166" w:type="dxa"/>
          </w:tcPr>
          <w:p w14:paraId="6A82167D" w14:textId="0CB1ED43" w:rsidR="00AE5A68" w:rsidRPr="00AE5A68" w:rsidRDefault="00AE5A68" w:rsidP="00AE5A68">
            <w:pPr>
              <w:spacing w:line="240" w:lineRule="auto"/>
              <w:rPr>
                <w:rFonts w:ascii="Times New Roman" w:eastAsia="Times New Roman" w:hAnsi="Times New Roman" w:cs="Times New Roman"/>
                <w:lang w:eastAsia="bg-BG"/>
              </w:rPr>
            </w:pPr>
            <w:r w:rsidRPr="00AE5A68">
              <w:t>Нарушения на мускулно- скелетната система, съединителната тъкан и костите</w:t>
            </w:r>
          </w:p>
        </w:tc>
        <w:tc>
          <w:tcPr>
            <w:tcW w:w="3167" w:type="dxa"/>
          </w:tcPr>
          <w:p w14:paraId="1BA5A1A3" w14:textId="20E7C9C8" w:rsidR="00AE5A68" w:rsidRPr="00AE5A68" w:rsidRDefault="00AE5A68" w:rsidP="00AE5A68">
            <w:pPr>
              <w:spacing w:line="240" w:lineRule="auto"/>
              <w:rPr>
                <w:rFonts w:ascii="Times New Roman" w:eastAsia="Times New Roman" w:hAnsi="Times New Roman" w:cs="Times New Roman"/>
                <w:lang w:eastAsia="bg-BG"/>
              </w:rPr>
            </w:pPr>
            <w:r w:rsidRPr="00AE5A68">
              <w:t>С неизвестна честота</w:t>
            </w:r>
          </w:p>
        </w:tc>
        <w:tc>
          <w:tcPr>
            <w:tcW w:w="3167" w:type="dxa"/>
          </w:tcPr>
          <w:p w14:paraId="3C36B718" w14:textId="7734B819" w:rsidR="00AE5A68" w:rsidRPr="00AE5A68" w:rsidRDefault="00AE5A68" w:rsidP="00AE5A68">
            <w:pPr>
              <w:spacing w:line="240" w:lineRule="auto"/>
              <w:rPr>
                <w:rFonts w:ascii="Times New Roman" w:eastAsia="Times New Roman" w:hAnsi="Times New Roman" w:cs="Times New Roman"/>
                <w:lang w:eastAsia="bg-BG"/>
              </w:rPr>
            </w:pPr>
            <w:r w:rsidRPr="00AE5A68">
              <w:t>Слабост</w:t>
            </w:r>
          </w:p>
        </w:tc>
      </w:tr>
      <w:tr w:rsidR="00AE5A68" w14:paraId="36728727" w14:textId="77777777" w:rsidTr="00AE5A68">
        <w:tc>
          <w:tcPr>
            <w:tcW w:w="3166" w:type="dxa"/>
          </w:tcPr>
          <w:p w14:paraId="126F42C9" w14:textId="3C878AFF" w:rsidR="00AE5A68" w:rsidRPr="00AE5A68" w:rsidRDefault="00AE5A68" w:rsidP="00AE5A68">
            <w:pPr>
              <w:spacing w:line="240" w:lineRule="auto"/>
              <w:rPr>
                <w:rFonts w:ascii="Times New Roman" w:eastAsia="Times New Roman" w:hAnsi="Times New Roman" w:cs="Times New Roman"/>
                <w:lang w:eastAsia="bg-BG"/>
              </w:rPr>
            </w:pPr>
            <w:r w:rsidRPr="00AE5A68">
              <w:t>Нарушения на бъбреците и пикочните пътища</w:t>
            </w:r>
          </w:p>
        </w:tc>
        <w:tc>
          <w:tcPr>
            <w:tcW w:w="3167" w:type="dxa"/>
          </w:tcPr>
          <w:p w14:paraId="5161CCCB" w14:textId="36EC327A" w:rsidR="00AE5A68" w:rsidRPr="00AE5A68" w:rsidRDefault="00AE5A68" w:rsidP="00AE5A68">
            <w:pPr>
              <w:spacing w:line="240" w:lineRule="auto"/>
              <w:rPr>
                <w:rFonts w:ascii="Times New Roman" w:eastAsia="Times New Roman" w:hAnsi="Times New Roman" w:cs="Times New Roman"/>
                <w:lang w:eastAsia="bg-BG"/>
              </w:rPr>
            </w:pPr>
            <w:r w:rsidRPr="00AE5A68">
              <w:t>С неизвестна честота</w:t>
            </w:r>
          </w:p>
        </w:tc>
        <w:tc>
          <w:tcPr>
            <w:tcW w:w="3167" w:type="dxa"/>
          </w:tcPr>
          <w:p w14:paraId="2FFA754B" w14:textId="1E5943FF" w:rsidR="00AE5A68" w:rsidRPr="00AE5A68" w:rsidRDefault="00AE5A68" w:rsidP="00AE5A68">
            <w:pPr>
              <w:spacing w:line="240" w:lineRule="auto"/>
              <w:rPr>
                <w:rFonts w:ascii="Times New Roman" w:eastAsia="Times New Roman" w:hAnsi="Times New Roman" w:cs="Times New Roman"/>
                <w:lang w:eastAsia="bg-BG"/>
              </w:rPr>
            </w:pPr>
            <w:r w:rsidRPr="00AE5A68">
              <w:t>Интерстициален нефрит, бъбречна дисфункция, глюкозурия</w:t>
            </w:r>
          </w:p>
        </w:tc>
      </w:tr>
      <w:tr w:rsidR="00AE5A68" w14:paraId="72D53143" w14:textId="77777777" w:rsidTr="00AE5A68">
        <w:tc>
          <w:tcPr>
            <w:tcW w:w="3166" w:type="dxa"/>
          </w:tcPr>
          <w:p w14:paraId="62B7B2E4" w14:textId="619240A9" w:rsidR="00AE5A68" w:rsidRPr="00AE5A68" w:rsidRDefault="00AE5A68" w:rsidP="00AE5A68">
            <w:pPr>
              <w:spacing w:line="240" w:lineRule="auto"/>
              <w:rPr>
                <w:rFonts w:ascii="Times New Roman" w:eastAsia="Times New Roman" w:hAnsi="Times New Roman" w:cs="Times New Roman"/>
                <w:lang w:eastAsia="bg-BG"/>
              </w:rPr>
            </w:pPr>
            <w:r w:rsidRPr="00AE5A68">
              <w:t>Общи нарушения и ефекти на мястото на приложение</w:t>
            </w:r>
          </w:p>
        </w:tc>
        <w:tc>
          <w:tcPr>
            <w:tcW w:w="3167" w:type="dxa"/>
          </w:tcPr>
          <w:p w14:paraId="3C56B8DC" w14:textId="42C787FC" w:rsidR="00AE5A68" w:rsidRPr="00AE5A68" w:rsidRDefault="00AE5A68" w:rsidP="00AE5A68">
            <w:pPr>
              <w:spacing w:line="240" w:lineRule="auto"/>
              <w:rPr>
                <w:rFonts w:ascii="Times New Roman" w:eastAsia="Times New Roman" w:hAnsi="Times New Roman" w:cs="Times New Roman"/>
                <w:lang w:eastAsia="bg-BG"/>
              </w:rPr>
            </w:pPr>
            <w:r w:rsidRPr="00AE5A68">
              <w:t>С неизвестна честота</w:t>
            </w:r>
          </w:p>
        </w:tc>
        <w:tc>
          <w:tcPr>
            <w:tcW w:w="3167" w:type="dxa"/>
          </w:tcPr>
          <w:p w14:paraId="65FE9634" w14:textId="7BB89A4C" w:rsidR="00AE5A68" w:rsidRPr="00AE5A68" w:rsidRDefault="00AE5A68" w:rsidP="00AE5A68">
            <w:pPr>
              <w:spacing w:line="240" w:lineRule="auto"/>
              <w:rPr>
                <w:rFonts w:ascii="Times New Roman" w:eastAsia="Times New Roman" w:hAnsi="Times New Roman" w:cs="Times New Roman"/>
                <w:lang w:eastAsia="bg-BG"/>
              </w:rPr>
            </w:pPr>
            <w:r w:rsidRPr="00AE5A68">
              <w:t>Пирексия</w:t>
            </w:r>
          </w:p>
        </w:tc>
      </w:tr>
      <w:tr w:rsidR="00AE5A68" w14:paraId="6414FBE5" w14:textId="77777777" w:rsidTr="00AE5A68">
        <w:tc>
          <w:tcPr>
            <w:tcW w:w="3166" w:type="dxa"/>
          </w:tcPr>
          <w:p w14:paraId="77CFD883" w14:textId="740447F2" w:rsidR="00AE5A68" w:rsidRPr="00AE5A68" w:rsidRDefault="00AE5A68" w:rsidP="00AE5A68">
            <w:pPr>
              <w:spacing w:line="240" w:lineRule="auto"/>
              <w:rPr>
                <w:rFonts w:ascii="Times New Roman" w:eastAsia="Times New Roman" w:hAnsi="Times New Roman" w:cs="Times New Roman"/>
                <w:lang w:eastAsia="bg-BG"/>
              </w:rPr>
            </w:pPr>
            <w:r w:rsidRPr="00AE5A68">
              <w:t>Изследвания</w:t>
            </w:r>
          </w:p>
        </w:tc>
        <w:tc>
          <w:tcPr>
            <w:tcW w:w="3167" w:type="dxa"/>
          </w:tcPr>
          <w:p w14:paraId="7BB21F7C" w14:textId="6349164F" w:rsidR="00AE5A68" w:rsidRPr="00AE5A68" w:rsidRDefault="00AE5A68" w:rsidP="00AE5A68">
            <w:pPr>
              <w:spacing w:line="240" w:lineRule="auto"/>
              <w:rPr>
                <w:rFonts w:ascii="Times New Roman" w:eastAsia="Times New Roman" w:hAnsi="Times New Roman" w:cs="Times New Roman"/>
                <w:lang w:eastAsia="bg-BG"/>
              </w:rPr>
            </w:pPr>
            <w:r w:rsidRPr="00AE5A68">
              <w:t>С неизвестна честота</w:t>
            </w:r>
          </w:p>
        </w:tc>
        <w:tc>
          <w:tcPr>
            <w:tcW w:w="3167" w:type="dxa"/>
          </w:tcPr>
          <w:p w14:paraId="7B6EC8A9" w14:textId="05E9B73C" w:rsidR="00AE5A68" w:rsidRPr="00AE5A68" w:rsidRDefault="00AE5A68" w:rsidP="00AE5A68">
            <w:pPr>
              <w:spacing w:line="240" w:lineRule="auto"/>
              <w:rPr>
                <w:rFonts w:ascii="Times New Roman" w:eastAsia="Times New Roman" w:hAnsi="Times New Roman" w:cs="Times New Roman"/>
                <w:lang w:eastAsia="bg-BG"/>
              </w:rPr>
            </w:pPr>
            <w:r w:rsidRPr="00AE5A68">
              <w:t>Повишени нива на триглицериди</w:t>
            </w:r>
          </w:p>
        </w:tc>
      </w:tr>
    </w:tbl>
    <w:p w14:paraId="107F0FA8" w14:textId="77777777" w:rsidR="00AE5A68" w:rsidRDefault="00AE5A68" w:rsidP="00AE5A68">
      <w:pPr>
        <w:spacing w:line="240" w:lineRule="auto"/>
        <w:rPr>
          <w:rFonts w:ascii="Times New Roman" w:eastAsia="Times New Roman" w:hAnsi="Times New Roman" w:cs="Times New Roman"/>
          <w:i/>
          <w:iCs/>
          <w:color w:val="000000"/>
          <w:sz w:val="20"/>
          <w:szCs w:val="20"/>
          <w:lang w:eastAsia="bg-BG"/>
        </w:rPr>
      </w:pPr>
    </w:p>
    <w:p w14:paraId="2190E3B5" w14:textId="0240F18B" w:rsidR="00AE5A68" w:rsidRPr="00AE5A68" w:rsidRDefault="00AE5A68" w:rsidP="00AE5A68">
      <w:pPr>
        <w:spacing w:line="240" w:lineRule="auto"/>
        <w:rPr>
          <w:rFonts w:eastAsia="Times New Roman" w:cs="Arial"/>
          <w:lang w:eastAsia="bg-BG"/>
        </w:rPr>
      </w:pPr>
      <w:r w:rsidRPr="00AE5A68">
        <w:rPr>
          <w:rFonts w:eastAsia="Times New Roman" w:cs="Arial"/>
          <w:i/>
          <w:iCs/>
          <w:color w:val="000000"/>
          <w:lang w:eastAsia="bg-BG"/>
        </w:rPr>
        <w:t>Описание на избрани нежелани лекарствени реакции</w:t>
      </w:r>
    </w:p>
    <w:p w14:paraId="52DCF8C8" w14:textId="77777777" w:rsidR="00AE5A68" w:rsidRPr="00AE5A68" w:rsidRDefault="00AE5A68" w:rsidP="00AE5A68">
      <w:pPr>
        <w:spacing w:line="240" w:lineRule="auto"/>
        <w:rPr>
          <w:rFonts w:eastAsia="Times New Roman" w:cs="Arial"/>
          <w:color w:val="000000"/>
          <w:u w:val="single"/>
          <w:lang w:eastAsia="bg-BG"/>
        </w:rPr>
      </w:pPr>
    </w:p>
    <w:p w14:paraId="4E7C570B" w14:textId="4BF6B726" w:rsidR="00AE5A68" w:rsidRPr="00AE5A68" w:rsidRDefault="00AE5A68" w:rsidP="00AE5A68">
      <w:pPr>
        <w:spacing w:line="240" w:lineRule="auto"/>
        <w:rPr>
          <w:rFonts w:eastAsia="Times New Roman" w:cs="Arial"/>
          <w:lang w:eastAsia="bg-BG"/>
        </w:rPr>
      </w:pPr>
      <w:r w:rsidRPr="00AE5A68">
        <w:rPr>
          <w:rFonts w:eastAsia="Times New Roman" w:cs="Arial"/>
          <w:color w:val="000000"/>
          <w:u w:val="single"/>
          <w:lang w:eastAsia="bg-BG"/>
        </w:rPr>
        <w:t>Абнормна чернодробна функция / чернодробно нарушение</w:t>
      </w:r>
    </w:p>
    <w:p w14:paraId="1324207F" w14:textId="77777777"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Повечето случаи на абнормна чернодробна функция/ чернодробно нарушение от пост- маркетинговия опит с телмисартан настъпват при пациенти от японски произход. При пациенти от японски произход съществува по-голяма вероятност за развитие на тези нежелани реак</w:t>
      </w:r>
      <w:r w:rsidRPr="00AE5A68">
        <w:rPr>
          <w:rFonts w:eastAsia="Times New Roman" w:cs="Arial"/>
          <w:color w:val="000000"/>
          <w:u w:val="single"/>
          <w:lang w:eastAsia="bg-BG"/>
        </w:rPr>
        <w:t>ции.</w:t>
      </w:r>
    </w:p>
    <w:p w14:paraId="09579226" w14:textId="77777777" w:rsidR="00AE5A68" w:rsidRPr="00AE5A68" w:rsidRDefault="00AE5A68" w:rsidP="00AE5A68">
      <w:pPr>
        <w:spacing w:line="240" w:lineRule="auto"/>
        <w:rPr>
          <w:rFonts w:eastAsia="Times New Roman" w:cs="Arial"/>
          <w:color w:val="000000"/>
          <w:u w:val="single"/>
          <w:lang w:eastAsia="bg-BG"/>
        </w:rPr>
      </w:pPr>
    </w:p>
    <w:p w14:paraId="6BFF5BAF" w14:textId="75884F4F" w:rsidR="00AE5A68" w:rsidRPr="00AE5A68" w:rsidRDefault="00AE5A68" w:rsidP="00AE5A68">
      <w:pPr>
        <w:spacing w:line="240" w:lineRule="auto"/>
        <w:rPr>
          <w:rFonts w:eastAsia="Times New Roman" w:cs="Arial"/>
          <w:lang w:eastAsia="bg-BG"/>
        </w:rPr>
      </w:pPr>
      <w:r w:rsidRPr="00AE5A68">
        <w:rPr>
          <w:rFonts w:eastAsia="Times New Roman" w:cs="Arial"/>
          <w:color w:val="000000"/>
          <w:u w:val="single"/>
          <w:lang w:eastAsia="bg-BG"/>
        </w:rPr>
        <w:t>Сепсис</w:t>
      </w:r>
    </w:p>
    <w:p w14:paraId="2CBE1EE6" w14:textId="77777777"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 xml:space="preserve">В проучването </w:t>
      </w:r>
      <w:proofErr w:type="spellStart"/>
      <w:r w:rsidRPr="00AE5A68">
        <w:rPr>
          <w:rFonts w:eastAsia="Times New Roman" w:cs="Arial"/>
          <w:color w:val="000000"/>
          <w:lang w:val="en-US"/>
        </w:rPr>
        <w:t>PRoFESS</w:t>
      </w:r>
      <w:proofErr w:type="spellEnd"/>
      <w:r w:rsidRPr="00AE5A68">
        <w:rPr>
          <w:rFonts w:eastAsia="Times New Roman" w:cs="Arial"/>
          <w:color w:val="000000"/>
          <w:lang w:val="en-US"/>
        </w:rPr>
        <w:t xml:space="preserve"> </w:t>
      </w:r>
      <w:r w:rsidRPr="00AE5A68">
        <w:rPr>
          <w:rFonts w:eastAsia="Times New Roman" w:cs="Arial"/>
          <w:color w:val="000000"/>
          <w:lang w:eastAsia="bg-BG"/>
        </w:rPr>
        <w:t>е наблюдавана повишена честота на възникване на сепсис при телмисартан в сравнение с плацебо. Събитието може да е открито случайно или да е свързано с механизъм, който не е познат за момента (вж. точка 5.1).</w:t>
      </w:r>
    </w:p>
    <w:p w14:paraId="43FF2A68" w14:textId="77777777" w:rsidR="00AE5A68" w:rsidRPr="00AE5A68" w:rsidRDefault="00AE5A68" w:rsidP="00AE5A68">
      <w:pPr>
        <w:spacing w:line="240" w:lineRule="auto"/>
        <w:rPr>
          <w:rFonts w:eastAsia="Times New Roman" w:cs="Arial"/>
          <w:color w:val="000000"/>
          <w:u w:val="single"/>
          <w:lang w:eastAsia="bg-BG"/>
        </w:rPr>
      </w:pPr>
    </w:p>
    <w:p w14:paraId="14B41A40" w14:textId="0FFEFB66" w:rsidR="00AE5A68" w:rsidRPr="00AE5A68" w:rsidRDefault="00AE5A68" w:rsidP="00AE5A68">
      <w:pPr>
        <w:spacing w:line="240" w:lineRule="auto"/>
        <w:rPr>
          <w:rFonts w:eastAsia="Times New Roman" w:cs="Arial"/>
          <w:lang w:eastAsia="bg-BG"/>
        </w:rPr>
      </w:pPr>
      <w:r w:rsidRPr="00AE5A68">
        <w:rPr>
          <w:rFonts w:eastAsia="Times New Roman" w:cs="Arial"/>
          <w:color w:val="000000"/>
          <w:u w:val="single"/>
          <w:lang w:eastAsia="bg-BG"/>
        </w:rPr>
        <w:t>Интерстициална белодробна болест</w:t>
      </w:r>
    </w:p>
    <w:p w14:paraId="48A8EE4C" w14:textId="77777777" w:rsidR="00AE5A68" w:rsidRPr="00AE5A68" w:rsidRDefault="00AE5A68" w:rsidP="00AE5A68">
      <w:pPr>
        <w:spacing w:line="240" w:lineRule="auto"/>
        <w:rPr>
          <w:rFonts w:eastAsia="Times New Roman" w:cs="Arial"/>
          <w:color w:val="000000"/>
          <w:lang w:eastAsia="bg-BG"/>
        </w:rPr>
      </w:pPr>
      <w:r w:rsidRPr="00AE5A68">
        <w:rPr>
          <w:rFonts w:eastAsia="Times New Roman" w:cs="Arial"/>
          <w:color w:val="000000"/>
          <w:lang w:eastAsia="bg-BG"/>
        </w:rPr>
        <w:t xml:space="preserve">Случаи на интерстициална белодробна болест са докладвани от пост-маркетинговия опит, във връзка с </w:t>
      </w:r>
    </w:p>
    <w:p w14:paraId="5C5FC1AB" w14:textId="2F0AB405"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приема на телмисартан. Причинно-следственна връзка обаче не е установена.</w:t>
      </w:r>
    </w:p>
    <w:p w14:paraId="5FBDF231" w14:textId="77777777" w:rsidR="00AE5A68" w:rsidRPr="00AE5A68" w:rsidRDefault="00AE5A68" w:rsidP="00AE5A68">
      <w:pPr>
        <w:spacing w:line="240" w:lineRule="auto"/>
        <w:rPr>
          <w:rFonts w:eastAsia="Times New Roman" w:cs="Arial"/>
          <w:color w:val="000000"/>
          <w:u w:val="single"/>
          <w:lang w:eastAsia="bg-BG"/>
        </w:rPr>
      </w:pPr>
    </w:p>
    <w:p w14:paraId="6095B4B4" w14:textId="13CAA238" w:rsidR="00AE5A68" w:rsidRPr="00AE5A68" w:rsidRDefault="00AE5A68" w:rsidP="00AE5A68">
      <w:pPr>
        <w:spacing w:line="240" w:lineRule="auto"/>
        <w:rPr>
          <w:rFonts w:eastAsia="Times New Roman" w:cs="Arial"/>
          <w:lang w:eastAsia="bg-BG"/>
        </w:rPr>
      </w:pPr>
      <w:r w:rsidRPr="00AE5A68">
        <w:rPr>
          <w:rFonts w:eastAsia="Times New Roman" w:cs="Arial"/>
          <w:color w:val="000000"/>
          <w:u w:val="single"/>
          <w:lang w:eastAsia="bg-BG"/>
        </w:rPr>
        <w:t>Немеланомен пак на кожата;</w:t>
      </w:r>
    </w:p>
    <w:p w14:paraId="6A4259B2" w14:textId="77777777"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6A8D8635" w14:textId="77777777" w:rsidR="00AE5A68" w:rsidRPr="00AE5A68" w:rsidRDefault="00AE5A68" w:rsidP="00AE5A68">
      <w:pPr>
        <w:spacing w:line="240" w:lineRule="auto"/>
        <w:rPr>
          <w:rFonts w:eastAsia="Times New Roman" w:cs="Arial"/>
          <w:i/>
          <w:iCs/>
          <w:color w:val="000000"/>
          <w:lang w:eastAsia="bg-BG"/>
        </w:rPr>
      </w:pPr>
    </w:p>
    <w:p w14:paraId="0E77E89E" w14:textId="15013651" w:rsidR="00AE5A68" w:rsidRPr="00AE5A68" w:rsidRDefault="00AE5A68" w:rsidP="00AE5A68">
      <w:pPr>
        <w:spacing w:line="240" w:lineRule="auto"/>
        <w:rPr>
          <w:rFonts w:eastAsia="Times New Roman" w:cs="Arial"/>
          <w:lang w:eastAsia="bg-BG"/>
        </w:rPr>
      </w:pPr>
      <w:r w:rsidRPr="00AE5A68">
        <w:rPr>
          <w:rFonts w:eastAsia="Times New Roman" w:cs="Arial"/>
          <w:i/>
          <w:iCs/>
          <w:color w:val="000000"/>
          <w:lang w:eastAsia="bg-BG"/>
        </w:rPr>
        <w:t>Съобщаване на подозирани нежелани реакции</w:t>
      </w:r>
    </w:p>
    <w:p w14:paraId="2923BEE8" w14:textId="77777777"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 тел.: + 359 2 890 34 17, уебсайт: </w:t>
      </w:r>
      <w:r w:rsidRPr="00AE5A68">
        <w:rPr>
          <w:rFonts w:eastAsia="Times New Roman" w:cs="Arial"/>
          <w:lang w:eastAsia="bg-BG"/>
        </w:rPr>
        <w:fldChar w:fldCharType="begin"/>
      </w:r>
      <w:r w:rsidRPr="00AE5A68">
        <w:rPr>
          <w:rFonts w:eastAsia="Times New Roman" w:cs="Arial"/>
          <w:lang w:eastAsia="bg-BG"/>
        </w:rPr>
        <w:instrText xml:space="preserve"> HYPERLINK "http://www.bda.bg" </w:instrText>
      </w:r>
      <w:r w:rsidRPr="00AE5A68">
        <w:rPr>
          <w:rFonts w:eastAsia="Times New Roman" w:cs="Arial"/>
          <w:lang w:eastAsia="bg-BG"/>
        </w:rPr>
      </w:r>
      <w:r w:rsidRPr="00AE5A68">
        <w:rPr>
          <w:rFonts w:eastAsia="Times New Roman" w:cs="Arial"/>
          <w:lang w:eastAsia="bg-BG"/>
        </w:rPr>
        <w:fldChar w:fldCharType="separate"/>
      </w:r>
      <w:r w:rsidRPr="00AE5A68">
        <w:rPr>
          <w:rFonts w:eastAsia="Times New Roman" w:cs="Arial"/>
          <w:color w:val="000000"/>
          <w:lang w:val="en-US"/>
        </w:rPr>
        <w:t>www.bda.bg</w:t>
      </w:r>
      <w:r w:rsidRPr="00AE5A68">
        <w:rPr>
          <w:rFonts w:eastAsia="Times New Roman" w:cs="Arial"/>
          <w:lang w:eastAsia="bg-BG"/>
        </w:rPr>
        <w:fldChar w:fldCharType="end"/>
      </w:r>
      <w:r w:rsidRPr="00AE5A68">
        <w:rPr>
          <w:rFonts w:eastAsia="Times New Roman" w:cs="Arial"/>
          <w:color w:val="000000"/>
          <w:lang w:val="en-US"/>
        </w:rPr>
        <w:t>.</w:t>
      </w:r>
    </w:p>
    <w:p w14:paraId="25CC3414" w14:textId="77777777" w:rsidR="00AE5A68" w:rsidRPr="00AE5A68" w:rsidRDefault="00AE5A68" w:rsidP="00AE5A68">
      <w:pPr>
        <w:spacing w:line="240" w:lineRule="auto"/>
        <w:rPr>
          <w:rFonts w:ascii="Times New Roman" w:eastAsia="Times New Roman" w:hAnsi="Times New Roman" w:cs="Times New Roman"/>
          <w:sz w:val="24"/>
          <w:szCs w:val="24"/>
          <w:lang w:eastAsia="bg-BG"/>
        </w:rPr>
      </w:pPr>
    </w:p>
    <w:p w14:paraId="38837C64" w14:textId="77777777" w:rsidR="00410CAF" w:rsidRPr="00410CAF" w:rsidRDefault="00410CAF" w:rsidP="00410CAF"/>
    <w:p w14:paraId="4A5904B1" w14:textId="25F69F6F" w:rsidR="00EE6C97" w:rsidRDefault="002C50EE" w:rsidP="00A93499">
      <w:pPr>
        <w:pStyle w:val="Heading2"/>
      </w:pPr>
      <w:r>
        <w:t>4.9. Предозиране</w:t>
      </w:r>
    </w:p>
    <w:p w14:paraId="014F39B3" w14:textId="5765295F" w:rsidR="00AE5A68" w:rsidRDefault="00AE5A68" w:rsidP="00AE5A68"/>
    <w:p w14:paraId="0B3A1A1C"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Съществува ограничена информация по отношение на предозирането на телмисартан при хора. Не е установено до каква степен хидрохлоротиазид се отделя при хемодиализа.</w:t>
      </w:r>
    </w:p>
    <w:p w14:paraId="7220DD67" w14:textId="77777777" w:rsidR="00AE5A68" w:rsidRPr="00AE5A68" w:rsidRDefault="00AE5A68" w:rsidP="00AE5A68">
      <w:pPr>
        <w:spacing w:line="240" w:lineRule="auto"/>
        <w:rPr>
          <w:rFonts w:eastAsia="Times New Roman" w:cs="Arial"/>
          <w:color w:val="000000"/>
          <w:u w:val="single"/>
          <w:lang w:eastAsia="bg-BG"/>
        </w:rPr>
      </w:pPr>
    </w:p>
    <w:p w14:paraId="4F086A28" w14:textId="65D687B3" w:rsidR="00AE5A68" w:rsidRPr="00AE5A68" w:rsidRDefault="00AE5A68" w:rsidP="00AE5A68">
      <w:pPr>
        <w:pStyle w:val="Heading3"/>
        <w:rPr>
          <w:rFonts w:eastAsia="Times New Roman"/>
          <w:sz w:val="28"/>
          <w:szCs w:val="28"/>
          <w:u w:val="single"/>
          <w:lang w:eastAsia="bg-BG"/>
        </w:rPr>
      </w:pPr>
      <w:r w:rsidRPr="00AE5A68">
        <w:rPr>
          <w:rFonts w:eastAsia="Times New Roman"/>
          <w:u w:val="single"/>
          <w:lang w:eastAsia="bg-BG"/>
        </w:rPr>
        <w:t>Симптоми</w:t>
      </w:r>
    </w:p>
    <w:p w14:paraId="10DD4D09"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Най-изявените прояви на предозиране с телмисартан са хипотония и тахикардия, а също се съобщават и брадикардия, замаяност, повишаване на серумния креатинин и остра бъбречна недостатъчност. Предозирането с хидрохлоротиазид се свързва с намаляване на електролитите (хипокалиемия, хипохлоремия) и хиповолемия, дължаща се на ексцесивната диуреза. Най- честите симптоми на предозиране са гадене и сомнолентност, Хипокалиемията може да доведе до мускулни спазми и/или акцентуирана аритмия, свързани с едновременната употреба на дигиталисови гликозиди или определени антиаритмични лекарствени продукти.</w:t>
      </w:r>
    </w:p>
    <w:p w14:paraId="6DB30B79" w14:textId="77777777" w:rsidR="00AE5A68" w:rsidRPr="00AE5A68" w:rsidRDefault="00AE5A68" w:rsidP="00AE5A68">
      <w:pPr>
        <w:spacing w:line="240" w:lineRule="auto"/>
        <w:rPr>
          <w:rFonts w:eastAsia="Times New Roman" w:cs="Arial"/>
          <w:color w:val="000000"/>
          <w:u w:val="single"/>
          <w:lang w:eastAsia="bg-BG"/>
        </w:rPr>
      </w:pPr>
    </w:p>
    <w:p w14:paraId="14E11735" w14:textId="71DAB086" w:rsidR="00AE5A68" w:rsidRPr="00AE5A68" w:rsidRDefault="00AE5A68" w:rsidP="00AE5A68">
      <w:pPr>
        <w:pStyle w:val="Heading3"/>
        <w:rPr>
          <w:rFonts w:eastAsia="Times New Roman"/>
          <w:sz w:val="28"/>
          <w:szCs w:val="28"/>
          <w:u w:val="single"/>
          <w:lang w:eastAsia="bg-BG"/>
        </w:rPr>
      </w:pPr>
      <w:r w:rsidRPr="00AE5A68">
        <w:rPr>
          <w:rFonts w:eastAsia="Times New Roman"/>
          <w:u w:val="single"/>
          <w:lang w:eastAsia="bg-BG"/>
        </w:rPr>
        <w:t>Лечение</w:t>
      </w:r>
    </w:p>
    <w:p w14:paraId="1A4403EE"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Телмисартан не се отделя при хемодиализа. Пациентът трябва да бъде внимателно наблюдаван и лечението трябва да бъде симптоматично и поддържащо. Овладяването зависи от времето на приемане на продукта и тежестта на симптомите. Препоръчителните мерки включват предизвикване на повръщане и/или стомашна промивка. Прилагането на активен въглен може да допринесе при лечение на предозирането. Необходимо е често проследяване на серумните електролити и креатинин. При поява на хипотония, пациентът трябва да бъде поставен в легнало положение по гръб и бързо да се приложат солеви и обемни заместители.</w:t>
      </w:r>
    </w:p>
    <w:p w14:paraId="5EF0F4D5" w14:textId="77777777" w:rsidR="00AE5A68" w:rsidRPr="00AE5A68" w:rsidRDefault="00AE5A68" w:rsidP="00AE5A68"/>
    <w:p w14:paraId="02081B24" w14:textId="36FE76F4" w:rsidR="00395555" w:rsidRPr="00395555" w:rsidRDefault="002C50EE" w:rsidP="008A6AF2">
      <w:pPr>
        <w:pStyle w:val="Heading1"/>
      </w:pPr>
      <w:r>
        <w:t>5. ФАРМАКОЛОГИЧНИ СВОЙСТВА</w:t>
      </w:r>
    </w:p>
    <w:p w14:paraId="3B9FA2B5" w14:textId="62BFD7B8" w:rsidR="00EE6C97" w:rsidRDefault="002C50EE" w:rsidP="00A93499">
      <w:pPr>
        <w:pStyle w:val="Heading2"/>
      </w:pPr>
      <w:r>
        <w:t>5.1. Фармакодинамични свойства</w:t>
      </w:r>
    </w:p>
    <w:p w14:paraId="74C399F6" w14:textId="0EF676B2" w:rsidR="00AE5A68" w:rsidRDefault="00AE5A68" w:rsidP="00AE5A68"/>
    <w:p w14:paraId="008005A9" w14:textId="77777777"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 xml:space="preserve">Фармакотерапевтична група: Средства, действащи върху системата ренин-ангиотензин, ангиотензин II антагонисти и диуретици, АТС код: </w:t>
      </w:r>
      <w:r w:rsidRPr="00AE5A68">
        <w:rPr>
          <w:rFonts w:eastAsia="Times New Roman" w:cs="Arial"/>
          <w:color w:val="000000"/>
          <w:lang w:val="en-US"/>
        </w:rPr>
        <w:t>C09DA07</w:t>
      </w:r>
    </w:p>
    <w:p w14:paraId="4A7A8E0D" w14:textId="77777777" w:rsidR="00AE5A68" w:rsidRPr="00AE5A68" w:rsidRDefault="00AE5A68" w:rsidP="00AE5A68">
      <w:pPr>
        <w:spacing w:line="240" w:lineRule="auto"/>
        <w:rPr>
          <w:rFonts w:eastAsia="Times New Roman" w:cs="Arial"/>
          <w:color w:val="000000"/>
          <w:lang w:eastAsia="bg-BG"/>
        </w:rPr>
      </w:pPr>
    </w:p>
    <w:p w14:paraId="4A65CEBB" w14:textId="03A0CA39"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Тезео НСТ е комбинация от ангиотензин II рецепторен антагонист (А</w:t>
      </w:r>
      <w:r w:rsidRPr="00AE5A68">
        <w:rPr>
          <w:rFonts w:eastAsia="Times New Roman" w:cs="Arial"/>
          <w:color w:val="000000"/>
          <w:lang w:val="en-US"/>
        </w:rPr>
        <w:t>II</w:t>
      </w:r>
      <w:r w:rsidRPr="00AE5A68">
        <w:rPr>
          <w:rFonts w:eastAsia="Times New Roman" w:cs="Arial"/>
          <w:color w:val="000000"/>
          <w:lang w:eastAsia="bg-BG"/>
        </w:rPr>
        <w:t>РА), телмисартан, и тиазиден диуретик, хидрохлоротиазид. При комбинирането им тези съставки имат адитивен антихипертензивен ефект, което води до по-голямо намаляване на кръвното налягане отколкото, ако са приложени поотделно. Тезео НСТ, приеман веднъж дневно в терапевтични дози, води до ефективна и плавна редукция на кръвното налягане.</w:t>
      </w:r>
    </w:p>
    <w:p w14:paraId="07DFEB3D" w14:textId="77777777" w:rsidR="00AE5A68" w:rsidRPr="00AE5A68" w:rsidRDefault="00AE5A68" w:rsidP="00AE5A68">
      <w:pPr>
        <w:spacing w:line="240" w:lineRule="auto"/>
        <w:rPr>
          <w:rFonts w:eastAsia="Times New Roman" w:cs="Arial"/>
          <w:color w:val="000000"/>
          <w:u w:val="single"/>
          <w:lang w:eastAsia="bg-BG"/>
        </w:rPr>
      </w:pPr>
    </w:p>
    <w:p w14:paraId="3EB8B2F6" w14:textId="5AA85C0B" w:rsidR="00AE5A68" w:rsidRPr="00AE5A68" w:rsidRDefault="00AE5A68" w:rsidP="00AE5A68">
      <w:pPr>
        <w:spacing w:line="240" w:lineRule="auto"/>
        <w:rPr>
          <w:rFonts w:eastAsia="Times New Roman" w:cs="Arial"/>
          <w:lang w:eastAsia="bg-BG"/>
        </w:rPr>
      </w:pPr>
      <w:r w:rsidRPr="00AE5A68">
        <w:rPr>
          <w:rFonts w:eastAsia="Times New Roman" w:cs="Arial"/>
          <w:color w:val="000000"/>
          <w:u w:val="single"/>
          <w:lang w:eastAsia="bg-BG"/>
        </w:rPr>
        <w:t>Механизъм на действие</w:t>
      </w:r>
    </w:p>
    <w:p w14:paraId="34AB0A90" w14:textId="77777777"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Телмисартан е перорално ефективен и специфичен ангиотензин II рецепторен антагонист (тип АТ</w:t>
      </w:r>
      <w:r w:rsidRPr="00AE5A68">
        <w:rPr>
          <w:rFonts w:eastAsia="Times New Roman" w:cs="Arial"/>
          <w:color w:val="000000"/>
          <w:vertAlign w:val="subscript"/>
          <w:lang w:eastAsia="bg-BG"/>
        </w:rPr>
        <w:t>1</w:t>
      </w:r>
      <w:r w:rsidRPr="00AE5A68">
        <w:rPr>
          <w:rFonts w:eastAsia="Times New Roman" w:cs="Arial"/>
          <w:color w:val="000000"/>
          <w:lang w:eastAsia="bg-BG"/>
        </w:rPr>
        <w:t>). Той измества с много висок афинитет ангиотензин II от неговото място на свързване в АТ</w:t>
      </w:r>
      <w:r w:rsidRPr="00AE5A68">
        <w:rPr>
          <w:rFonts w:eastAsia="Times New Roman" w:cs="Arial"/>
          <w:color w:val="000000"/>
          <w:vertAlign w:val="subscript"/>
          <w:lang w:eastAsia="bg-BG"/>
        </w:rPr>
        <w:t>1</w:t>
      </w:r>
      <w:r w:rsidRPr="00AE5A68">
        <w:rPr>
          <w:rFonts w:eastAsia="Times New Roman" w:cs="Arial"/>
          <w:color w:val="000000"/>
          <w:lang w:eastAsia="bg-BG"/>
        </w:rPr>
        <w:t xml:space="preserve"> рецепторния подтип, който е отговорен за известните действия на ангиотензин II. Телмисартан няма дори и частична агонистична активност спрямо </w:t>
      </w:r>
      <w:r w:rsidRPr="00AE5A68">
        <w:rPr>
          <w:rFonts w:eastAsia="Times New Roman" w:cs="Arial"/>
          <w:color w:val="000000"/>
          <w:lang w:val="en-US"/>
        </w:rPr>
        <w:t>AT</w:t>
      </w:r>
      <w:r w:rsidRPr="00AE5A68">
        <w:rPr>
          <w:rFonts w:eastAsia="Times New Roman" w:cs="Arial"/>
          <w:color w:val="000000"/>
          <w:vertAlign w:val="subscript"/>
          <w:lang w:val="en-US"/>
        </w:rPr>
        <w:t>1</w:t>
      </w:r>
      <w:r w:rsidRPr="00AE5A68">
        <w:rPr>
          <w:rFonts w:eastAsia="Times New Roman" w:cs="Arial"/>
          <w:color w:val="000000"/>
          <w:lang w:val="en-US"/>
        </w:rPr>
        <w:t xml:space="preserve"> </w:t>
      </w:r>
      <w:r w:rsidRPr="00AE5A68">
        <w:rPr>
          <w:rFonts w:eastAsia="Times New Roman" w:cs="Arial"/>
          <w:color w:val="000000"/>
          <w:lang w:eastAsia="bg-BG"/>
        </w:rPr>
        <w:t>рецептора, Телмисартан се свързва селективно с АТ</w:t>
      </w:r>
      <w:r w:rsidRPr="00AE5A68">
        <w:rPr>
          <w:rFonts w:eastAsia="Times New Roman" w:cs="Arial"/>
          <w:color w:val="000000"/>
          <w:vertAlign w:val="subscript"/>
          <w:lang w:eastAsia="bg-BG"/>
        </w:rPr>
        <w:t>1</w:t>
      </w:r>
      <w:r w:rsidRPr="00AE5A68">
        <w:rPr>
          <w:rFonts w:eastAsia="Times New Roman" w:cs="Arial"/>
          <w:color w:val="000000"/>
          <w:lang w:eastAsia="bg-BG"/>
        </w:rPr>
        <w:t xml:space="preserve"> рецептора. Свързването е продължително. Телмисартан не показва афинитет към други рецептори, включително АТ</w:t>
      </w:r>
      <w:r w:rsidRPr="00AE5A68">
        <w:rPr>
          <w:rFonts w:eastAsia="Times New Roman" w:cs="Arial"/>
          <w:color w:val="000000"/>
          <w:vertAlign w:val="subscript"/>
          <w:lang w:eastAsia="bg-BG"/>
        </w:rPr>
        <w:t>2</w:t>
      </w:r>
      <w:r w:rsidRPr="00AE5A68">
        <w:rPr>
          <w:rFonts w:eastAsia="Times New Roman" w:cs="Arial"/>
          <w:color w:val="000000"/>
          <w:lang w:eastAsia="bg-BG"/>
        </w:rPr>
        <w:t xml:space="preserve"> и други по-слабо характеризирани АТ- рецептори. Функционалната роля на тези рецептори не е известна, не е известен и ефектът на тяхната възможна свръхстимулация </w:t>
      </w:r>
      <w:r w:rsidRPr="00AE5A68">
        <w:rPr>
          <w:rFonts w:eastAsia="Times New Roman" w:cs="Arial"/>
          <w:color w:val="000000"/>
          <w:lang w:eastAsia="bg-BG"/>
        </w:rPr>
        <w:lastRenderedPageBreak/>
        <w:t xml:space="preserve">от ангиотензин </w:t>
      </w:r>
      <w:r w:rsidRPr="00AE5A68">
        <w:rPr>
          <w:rFonts w:eastAsia="Times New Roman" w:cs="Arial"/>
          <w:color w:val="000000"/>
          <w:lang w:val="en-US"/>
        </w:rPr>
        <w:t>II</w:t>
      </w:r>
      <w:r w:rsidRPr="00AE5A68">
        <w:rPr>
          <w:rFonts w:eastAsia="Times New Roman" w:cs="Arial"/>
          <w:color w:val="000000"/>
          <w:lang w:eastAsia="bg-BG"/>
        </w:rPr>
        <w:t>, чийто нива са повишени от телмисартан. Нивата на плазмения алдостерон са понижени от телмисартан. Телмисартан не инхибира човешкия плазмен ренин и не блокира йонните канали. Телмисартан не инхибира ангиотензин конвертиращия ензим (кининаза II), ензимът, който също разгражда брадикинина. Поради това не се очаква да потенцира брадикинин-медиираните нежелани лекарствени реакции.</w:t>
      </w:r>
    </w:p>
    <w:p w14:paraId="20C0FF25" w14:textId="77777777"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 xml:space="preserve">При хора дозата от 80 </w:t>
      </w:r>
      <w:r w:rsidRPr="00AE5A68">
        <w:rPr>
          <w:rFonts w:eastAsia="Times New Roman" w:cs="Arial"/>
          <w:color w:val="000000"/>
          <w:lang w:val="en-US"/>
        </w:rPr>
        <w:t xml:space="preserve">mg </w:t>
      </w:r>
      <w:r w:rsidRPr="00AE5A68">
        <w:rPr>
          <w:rFonts w:eastAsia="Times New Roman" w:cs="Arial"/>
          <w:color w:val="000000"/>
          <w:lang w:eastAsia="bg-BG"/>
        </w:rPr>
        <w:t>телмисартан почти изцяло инхибира предизвиканото от ангиотензин II повишаване на кръвното налягане. Инхибиторният ефект се поддържа над 24 часа, като все още може да бъде установен до 48 часа.</w:t>
      </w:r>
    </w:p>
    <w:p w14:paraId="7728A547" w14:textId="77777777" w:rsidR="00AE5A68" w:rsidRPr="00AE5A68" w:rsidRDefault="00AE5A68" w:rsidP="00AE5A68">
      <w:pPr>
        <w:spacing w:line="240" w:lineRule="auto"/>
        <w:rPr>
          <w:rFonts w:eastAsia="Times New Roman" w:cs="Arial"/>
          <w:color w:val="000000"/>
          <w:lang w:eastAsia="bg-BG"/>
        </w:rPr>
      </w:pPr>
    </w:p>
    <w:p w14:paraId="2708F733" w14:textId="53336EA6"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Хидрохлоротназид е тиазиден диуретик, Механизмът, по който тиазидните диуретици постигат антихипертензивния си ефект, не е напълно изяснен. Тиазидите оказват въздействие върху механизмите на реабсорбция на електролити в бъбречните тубули, като директно повишават екскрецията на натрий и хлор в приблизително еквивалентни количества. Диуретичното действие на хидрохлоротиазид намалява плазмения обем, повишава активността на ренин в плазмата, увеличава екскрецията на алдостерон с последващо увеличение на калия в урината и загуба на бикарбонати, и намалява нивата на калииЙ в серума. Счита се, че едновременното приложение на телмисартан, блокирането на системата ренин-ангиотензин-алдостерон, води до обратен ефект по отношение на загубата на калий, която се дължи на тези диуретици. При прилагане на хидрохлоротиазид началото на диурезата е след 2 часа, като пик на ефекта се наблюдава след около 4 часа и персистира в продължение на приблизително 6-12 часа.</w:t>
      </w:r>
    </w:p>
    <w:p w14:paraId="1F42FD25" w14:textId="77777777" w:rsidR="00AE5A68" w:rsidRPr="00AE5A68" w:rsidRDefault="00AE5A68" w:rsidP="00AE5A68">
      <w:pPr>
        <w:spacing w:line="240" w:lineRule="auto"/>
        <w:rPr>
          <w:rFonts w:eastAsia="Times New Roman" w:cs="Arial"/>
          <w:color w:val="000000"/>
          <w:u w:val="single"/>
          <w:lang w:eastAsia="bg-BG"/>
        </w:rPr>
      </w:pPr>
    </w:p>
    <w:p w14:paraId="1E002151" w14:textId="6D598B54" w:rsidR="00AE5A68" w:rsidRPr="00AE5A68" w:rsidRDefault="00AE5A68" w:rsidP="00AE5A68">
      <w:pPr>
        <w:spacing w:line="240" w:lineRule="auto"/>
        <w:rPr>
          <w:rFonts w:eastAsia="Times New Roman" w:cs="Arial"/>
          <w:lang w:eastAsia="bg-BG"/>
        </w:rPr>
      </w:pPr>
      <w:r w:rsidRPr="00AE5A68">
        <w:rPr>
          <w:rFonts w:eastAsia="Times New Roman" w:cs="Arial"/>
          <w:color w:val="000000"/>
          <w:u w:val="single"/>
          <w:lang w:eastAsia="bg-BG"/>
        </w:rPr>
        <w:t>Фармакодинамични ефекти</w:t>
      </w:r>
    </w:p>
    <w:p w14:paraId="060AE656" w14:textId="77777777" w:rsidR="00AE5A68" w:rsidRPr="00AE5A68" w:rsidRDefault="00AE5A68" w:rsidP="00AE5A68">
      <w:pPr>
        <w:spacing w:line="240" w:lineRule="auto"/>
        <w:rPr>
          <w:rFonts w:eastAsia="Times New Roman" w:cs="Arial"/>
          <w:lang w:eastAsia="bg-BG"/>
        </w:rPr>
      </w:pPr>
      <w:r w:rsidRPr="00AE5A68">
        <w:rPr>
          <w:rFonts w:eastAsia="Times New Roman" w:cs="Arial"/>
          <w:i/>
          <w:iCs/>
          <w:color w:val="000000"/>
          <w:lang w:eastAsia="bg-BG"/>
        </w:rPr>
        <w:t>Лечение на есенциална хипертония</w:t>
      </w:r>
    </w:p>
    <w:p w14:paraId="6B3336C6" w14:textId="77777777"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 xml:space="preserve">След прилагане на първата доза телмисартан се наблюдава постепенно поява на антихипертензивна активност в рамките на 3 часа. Максималната редукция на кръвното налягане се достига напълно в рамките на 4-8 седмици след началото на лечението и се поддържа чрез продължителна терапия. След приемане на дозата антихипертензивният ефект персистира повече от 24 часа, като включва и последните 4 часа преди следващото приложение, както показват амбулаторните измервания на кръвното налягане. Това е потвърдено и от измерванията в момента на максималния ефект и непосредствено преди приема на следващата доза (съотношението минимални към максимални концентрации, което е постоянно над 80% след прием на дози от 40 и 80 </w:t>
      </w:r>
      <w:r w:rsidRPr="00AE5A68">
        <w:rPr>
          <w:rFonts w:eastAsia="Times New Roman" w:cs="Arial"/>
          <w:color w:val="000000"/>
          <w:lang w:val="en-US"/>
        </w:rPr>
        <w:t xml:space="preserve">mg </w:t>
      </w:r>
      <w:r w:rsidRPr="00AE5A68">
        <w:rPr>
          <w:rFonts w:eastAsia="Times New Roman" w:cs="Arial"/>
          <w:color w:val="000000"/>
          <w:lang w:eastAsia="bg-BG"/>
        </w:rPr>
        <w:t>телмисартан при плацебо контролирани клинични проучвания).</w:t>
      </w:r>
    </w:p>
    <w:p w14:paraId="6A9CA613" w14:textId="77777777" w:rsidR="00AE5A68" w:rsidRPr="00AE5A68" w:rsidRDefault="00AE5A68" w:rsidP="00AE5A68">
      <w:pPr>
        <w:spacing w:line="240" w:lineRule="auto"/>
        <w:rPr>
          <w:rFonts w:eastAsia="Times New Roman" w:cs="Arial"/>
          <w:color w:val="000000"/>
          <w:lang w:eastAsia="bg-BG"/>
        </w:rPr>
      </w:pPr>
    </w:p>
    <w:p w14:paraId="26C9395A" w14:textId="67F63002"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При пациенти с хипертония телмисартан редуцира и систолното и диастолното кръвно налягане без да повлиява пулсовата честота. Антихипертензивната ефикасност на телмисартан е сравнима с тази на продукти, представители на други класове антихипертензивни лекарствени продукти (установена при клинични изпитвания, сравняващи телмисартан с амлодипин, атенолол, еналаприл, хидрохлоротиазид и лизиноприл).</w:t>
      </w:r>
    </w:p>
    <w:p w14:paraId="7C0E7116" w14:textId="77777777" w:rsidR="00AE5A68" w:rsidRPr="00AE5A68" w:rsidRDefault="00AE5A68" w:rsidP="00AE5A68">
      <w:pPr>
        <w:spacing w:line="240" w:lineRule="auto"/>
        <w:rPr>
          <w:rFonts w:eastAsia="Times New Roman" w:cs="Arial"/>
          <w:color w:val="000000"/>
          <w:lang w:eastAsia="bg-BG"/>
        </w:rPr>
      </w:pPr>
    </w:p>
    <w:p w14:paraId="10A9E912" w14:textId="169C0F94"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При внезапно прекъсване на лечението с телмисартан кръвното налягане постепенно се връща до стойностите преди лечението, за период от няколко дни без данни за ребаунд хипертоничен ефект.</w:t>
      </w:r>
    </w:p>
    <w:p w14:paraId="615F13EE" w14:textId="77777777"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Случаите на суха кашлица са значително по-малко при пациенти, третирани с телмисартан, отколкото при такива, на които са давани инхибитори на ангиотензин конвертиращия ензим в клинични проучвания, директно сравняващи двете антихипертензивни лечения.</w:t>
      </w:r>
    </w:p>
    <w:p w14:paraId="396DB789" w14:textId="77777777" w:rsidR="00AE5A68" w:rsidRPr="00AE5A68" w:rsidRDefault="00AE5A68" w:rsidP="00AE5A68">
      <w:pPr>
        <w:spacing w:line="240" w:lineRule="auto"/>
        <w:rPr>
          <w:rFonts w:eastAsia="Times New Roman" w:cs="Arial"/>
          <w:color w:val="000000"/>
          <w:u w:val="single"/>
          <w:lang w:eastAsia="bg-BG"/>
        </w:rPr>
      </w:pPr>
    </w:p>
    <w:p w14:paraId="178C7ABD" w14:textId="51154E67" w:rsidR="00AE5A68" w:rsidRPr="00AE5A68" w:rsidRDefault="00AE5A68" w:rsidP="00AE5A68">
      <w:pPr>
        <w:spacing w:line="240" w:lineRule="auto"/>
        <w:rPr>
          <w:rFonts w:eastAsia="Times New Roman" w:cs="Arial"/>
          <w:lang w:eastAsia="bg-BG"/>
        </w:rPr>
      </w:pPr>
      <w:r w:rsidRPr="00AE5A68">
        <w:rPr>
          <w:rFonts w:eastAsia="Times New Roman" w:cs="Arial"/>
          <w:color w:val="000000"/>
          <w:u w:val="single"/>
          <w:lang w:eastAsia="bg-BG"/>
        </w:rPr>
        <w:t>Клинична ефикасност и безопасност</w:t>
      </w:r>
    </w:p>
    <w:p w14:paraId="034D6002" w14:textId="77777777" w:rsidR="00AE5A68" w:rsidRPr="00AE5A68" w:rsidRDefault="00AE5A68" w:rsidP="00AE5A68">
      <w:pPr>
        <w:spacing w:line="240" w:lineRule="auto"/>
        <w:rPr>
          <w:rFonts w:eastAsia="Times New Roman" w:cs="Arial"/>
          <w:lang w:eastAsia="bg-BG"/>
        </w:rPr>
      </w:pPr>
      <w:r w:rsidRPr="00AE5A68">
        <w:rPr>
          <w:rFonts w:eastAsia="Times New Roman" w:cs="Arial"/>
          <w:i/>
          <w:iCs/>
          <w:color w:val="000000"/>
          <w:lang w:eastAsia="bg-BG"/>
        </w:rPr>
        <w:lastRenderedPageBreak/>
        <w:t>Профилактика на сърдечно-съдови инциденти</w:t>
      </w:r>
    </w:p>
    <w:p w14:paraId="75139427" w14:textId="77777777" w:rsidR="00AE5A68" w:rsidRPr="00AE5A68" w:rsidRDefault="00AE5A68" w:rsidP="00AE5A68">
      <w:pPr>
        <w:rPr>
          <w:rFonts w:eastAsia="Times New Roman" w:cs="Arial"/>
          <w:lang w:eastAsia="bg-BG"/>
        </w:rPr>
      </w:pPr>
      <w:r w:rsidRPr="00AE5A68">
        <w:rPr>
          <w:rFonts w:eastAsia="Times New Roman" w:cs="Arial"/>
          <w:color w:val="000000"/>
          <w:lang w:val="en-US"/>
        </w:rPr>
        <w:t>ONTARGET (</w:t>
      </w:r>
      <w:proofErr w:type="spellStart"/>
      <w:r w:rsidRPr="00AE5A68">
        <w:rPr>
          <w:rFonts w:eastAsia="Times New Roman" w:cs="Arial"/>
          <w:color w:val="000000"/>
          <w:lang w:val="en-US"/>
        </w:rPr>
        <w:t>ONgoing</w:t>
      </w:r>
      <w:proofErr w:type="spellEnd"/>
      <w:r w:rsidRPr="00AE5A68">
        <w:rPr>
          <w:rFonts w:eastAsia="Times New Roman" w:cs="Arial"/>
          <w:color w:val="000000"/>
          <w:lang w:val="en-US"/>
        </w:rPr>
        <w:t xml:space="preserve"> Telmisartan Alone and in Combination with Ramipril Global</w:t>
      </w:r>
      <w:r w:rsidRPr="00AE5A68">
        <w:rPr>
          <w:rFonts w:eastAsia="Times New Roman" w:cs="Arial"/>
          <w:color w:val="000000"/>
          <w:lang w:eastAsia="bg-BG"/>
        </w:rPr>
        <w:t xml:space="preserve"> Endpoint Trial)</w:t>
      </w:r>
      <w:r w:rsidRPr="00AE5A68">
        <w:rPr>
          <w:rFonts w:eastAsia="Times New Roman" w:cs="Arial"/>
          <w:color w:val="000000"/>
          <w:lang w:eastAsia="bg-BG"/>
        </w:rPr>
        <w:t xml:space="preserve"> </w:t>
      </w:r>
      <w:r w:rsidRPr="00AE5A68">
        <w:rPr>
          <w:rFonts w:eastAsia="Times New Roman" w:cs="Arial"/>
          <w:color w:val="000000"/>
          <w:lang w:eastAsia="bg-BG"/>
        </w:rPr>
        <w:t>сравнява ефектите от приложението на телмисартан, рамиприл и комбинацията от телмисартан и рамиприл върху резултатите по отношение на сърдечно-съдовата система, при 25 620 пациенти на възраст ≥55 години, с анамнеза за коронарна артериална болест, мозъчен инсулт, преходно нарушение на мозъчното кръвообращение, увреждане на периферни артерии или захарен диабет тип 2, съпътстван с данни за увреждане на прицелните органи (като ретинопатия, левокамерна хипертрофия, макро- или микроалбуминурия), които са популация с риск от настъпване на сърдечно-съдови инциденти.</w:t>
      </w:r>
    </w:p>
    <w:p w14:paraId="0B2792EF" w14:textId="77777777"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 xml:space="preserve">Пациентите са рандомизирани в една от следните три групи за лечение: телмисартан 80 </w:t>
      </w:r>
      <w:r w:rsidRPr="00AE5A68">
        <w:rPr>
          <w:rFonts w:eastAsia="Times New Roman" w:cs="Arial"/>
          <w:color w:val="000000"/>
          <w:lang w:val="en-US"/>
        </w:rPr>
        <w:t xml:space="preserve">mg </w:t>
      </w:r>
      <w:r w:rsidRPr="00AE5A68">
        <w:rPr>
          <w:rFonts w:eastAsia="Times New Roman" w:cs="Arial"/>
          <w:color w:val="000000"/>
          <w:lang w:eastAsia="bg-BG"/>
        </w:rPr>
        <w:t>(</w:t>
      </w:r>
      <w:r w:rsidRPr="00AE5A68">
        <w:rPr>
          <w:rFonts w:eastAsia="Times New Roman" w:cs="Arial"/>
          <w:color w:val="000000"/>
          <w:lang w:val="en-US"/>
        </w:rPr>
        <w:t>n</w:t>
      </w:r>
      <w:r w:rsidRPr="00AE5A68">
        <w:rPr>
          <w:rFonts w:eastAsia="Times New Roman" w:cs="Arial"/>
          <w:color w:val="000000"/>
          <w:lang w:eastAsia="bg-BG"/>
        </w:rPr>
        <w:t xml:space="preserve">=8542); рамиприл 10 </w:t>
      </w:r>
      <w:r w:rsidRPr="00AE5A68">
        <w:rPr>
          <w:rFonts w:eastAsia="Times New Roman" w:cs="Arial"/>
          <w:color w:val="000000"/>
          <w:lang w:val="en-US"/>
        </w:rPr>
        <w:t xml:space="preserve">mg </w:t>
      </w:r>
      <w:r w:rsidRPr="00AE5A68">
        <w:rPr>
          <w:rFonts w:eastAsia="Times New Roman" w:cs="Arial"/>
          <w:color w:val="000000"/>
          <w:lang w:eastAsia="bg-BG"/>
        </w:rPr>
        <w:t>(</w:t>
      </w:r>
      <w:r w:rsidRPr="00AE5A68">
        <w:rPr>
          <w:rFonts w:eastAsia="Times New Roman" w:cs="Arial"/>
          <w:color w:val="000000"/>
          <w:lang w:val="en-US"/>
        </w:rPr>
        <w:t>n</w:t>
      </w:r>
      <w:r w:rsidRPr="00AE5A68">
        <w:rPr>
          <w:rFonts w:eastAsia="Times New Roman" w:cs="Arial"/>
          <w:color w:val="000000"/>
          <w:lang w:eastAsia="bg-BG"/>
        </w:rPr>
        <w:t xml:space="preserve">=8576) или комбинация от телмисартан 80 </w:t>
      </w:r>
      <w:r w:rsidRPr="00AE5A68">
        <w:rPr>
          <w:rFonts w:eastAsia="Times New Roman" w:cs="Arial"/>
          <w:color w:val="000000"/>
          <w:lang w:val="en-US"/>
        </w:rPr>
        <w:t xml:space="preserve">mg </w:t>
      </w:r>
      <w:r w:rsidRPr="00AE5A68">
        <w:rPr>
          <w:rFonts w:eastAsia="Times New Roman" w:cs="Arial"/>
          <w:color w:val="000000"/>
          <w:lang w:eastAsia="bg-BG"/>
        </w:rPr>
        <w:t xml:space="preserve">и рамиприл 10 </w:t>
      </w:r>
      <w:r w:rsidRPr="00AE5A68">
        <w:rPr>
          <w:rFonts w:eastAsia="Times New Roman" w:cs="Arial"/>
          <w:color w:val="000000"/>
          <w:lang w:val="en-US"/>
        </w:rPr>
        <w:t xml:space="preserve">mg </w:t>
      </w:r>
      <w:r w:rsidRPr="00AE5A68">
        <w:rPr>
          <w:rFonts w:eastAsia="Times New Roman" w:cs="Arial"/>
          <w:color w:val="000000"/>
          <w:lang w:eastAsia="bg-BG"/>
        </w:rPr>
        <w:t>(</w:t>
      </w:r>
      <w:r w:rsidRPr="00AE5A68">
        <w:rPr>
          <w:rFonts w:eastAsia="Times New Roman" w:cs="Arial"/>
          <w:color w:val="000000"/>
          <w:lang w:val="en-US"/>
        </w:rPr>
        <w:t>n</w:t>
      </w:r>
      <w:r w:rsidRPr="00AE5A68">
        <w:rPr>
          <w:rFonts w:eastAsia="Times New Roman" w:cs="Arial"/>
          <w:color w:val="000000"/>
          <w:lang w:eastAsia="bg-BG"/>
        </w:rPr>
        <w:t>=8502), последвано от проследяване със средна продължителност от 4,5 години,</w:t>
      </w:r>
    </w:p>
    <w:p w14:paraId="572ADAAC" w14:textId="77777777" w:rsidR="00AE5A68" w:rsidRPr="00AE5A68" w:rsidRDefault="00AE5A68" w:rsidP="00AE5A68">
      <w:pPr>
        <w:spacing w:line="240" w:lineRule="auto"/>
        <w:rPr>
          <w:rFonts w:eastAsia="Times New Roman" w:cs="Arial"/>
          <w:color w:val="000000"/>
          <w:lang w:eastAsia="bg-BG"/>
        </w:rPr>
      </w:pPr>
    </w:p>
    <w:p w14:paraId="083C8A8F" w14:textId="45EE0461"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 xml:space="preserve">Телмисартан показва сходен ефект с рамиприл по отношение намаляване на първичната съставна крайна точка от сърдечно-съдова смърт, нефатален инфаркт на миокарда, нефатален мозъчен инсулт или хоспитализация поради застойна сърдечна недостатъчност. Честотата на първичната крайна точка е сходна в групите на телмисартан (16,7%) и рамиприл (16,5%). Коефициентът на риск при телмисартан спрямо рамиприл е 1,01 (97,5% </w:t>
      </w:r>
      <w:r w:rsidRPr="00AE5A68">
        <w:rPr>
          <w:rFonts w:eastAsia="Times New Roman" w:cs="Arial"/>
          <w:color w:val="000000"/>
          <w:lang w:val="en-US"/>
        </w:rPr>
        <w:t xml:space="preserve">CI </w:t>
      </w:r>
      <w:r w:rsidRPr="00AE5A68">
        <w:rPr>
          <w:rFonts w:eastAsia="Times New Roman" w:cs="Arial"/>
          <w:color w:val="000000"/>
          <w:lang w:eastAsia="bg-BG"/>
        </w:rPr>
        <w:t>0,93 -1,10; р (не по- малка ефикасност) = 0,0019 при марж от 1,13). Процентът на случаите на смърт по всяка причина е съответно 11,6% и 11,8% при пациентите, лекувани с телмисартан и рамиприл.</w:t>
      </w:r>
    </w:p>
    <w:p w14:paraId="70610A53" w14:textId="77777777" w:rsidR="00AE5A68" w:rsidRPr="00AE5A68" w:rsidRDefault="00AE5A68" w:rsidP="00AE5A68">
      <w:pPr>
        <w:spacing w:line="240" w:lineRule="auto"/>
        <w:rPr>
          <w:rFonts w:eastAsia="Times New Roman" w:cs="Arial"/>
          <w:color w:val="000000"/>
          <w:lang w:eastAsia="bg-BG"/>
        </w:rPr>
      </w:pPr>
    </w:p>
    <w:p w14:paraId="159C381D" w14:textId="2213E5BB"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 xml:space="preserve">Установено е, че ефективността на телмисартан е сходна с тази на рамиприл при предварително определената вторична крайна цел от сърдечно-съдова смърт, нефатален инфаркт на миокарда и нефатален мозъчен инсулт [0,99 (97,5% </w:t>
      </w:r>
      <w:r w:rsidRPr="00AE5A68">
        <w:rPr>
          <w:rFonts w:eastAsia="Times New Roman" w:cs="Arial"/>
          <w:color w:val="000000"/>
          <w:lang w:val="en-US"/>
        </w:rPr>
        <w:t xml:space="preserve">CI </w:t>
      </w:r>
      <w:r w:rsidRPr="00AE5A68">
        <w:rPr>
          <w:rFonts w:eastAsia="Times New Roman" w:cs="Arial"/>
          <w:color w:val="000000"/>
          <w:lang w:eastAsia="bg-BG"/>
        </w:rPr>
        <w:t xml:space="preserve">0,90 -1,08; р (не по-малка ефикасност) = 0,0004)], първична крайна цел в референтното проучване </w:t>
      </w:r>
      <w:r w:rsidRPr="00AE5A68">
        <w:rPr>
          <w:rFonts w:eastAsia="Times New Roman" w:cs="Arial"/>
          <w:color w:val="000000"/>
          <w:lang w:val="en-US"/>
        </w:rPr>
        <w:t xml:space="preserve">HOPE (The Heart Outcomes Prevention Evaluation Study), </w:t>
      </w:r>
      <w:r w:rsidRPr="00AE5A68">
        <w:rPr>
          <w:rFonts w:eastAsia="Times New Roman" w:cs="Arial"/>
          <w:color w:val="000000"/>
          <w:lang w:eastAsia="bg-BG"/>
        </w:rPr>
        <w:t>което изследва ефекта на рамиприл спрямо плацебо.</w:t>
      </w:r>
    </w:p>
    <w:p w14:paraId="117F53BE" w14:textId="77777777" w:rsidR="00AE5A68" w:rsidRPr="00AE5A68" w:rsidRDefault="00AE5A68" w:rsidP="00AE5A68">
      <w:pPr>
        <w:spacing w:line="240" w:lineRule="auto"/>
        <w:rPr>
          <w:rFonts w:eastAsia="Times New Roman" w:cs="Arial"/>
          <w:color w:val="000000"/>
          <w:lang w:eastAsia="bg-BG"/>
        </w:rPr>
      </w:pPr>
    </w:p>
    <w:p w14:paraId="252171CD" w14:textId="55D618B9"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 xml:space="preserve">В проучването </w:t>
      </w:r>
      <w:r w:rsidRPr="00AE5A68">
        <w:rPr>
          <w:rFonts w:eastAsia="Times New Roman" w:cs="Arial"/>
          <w:color w:val="000000"/>
          <w:lang w:val="en-US"/>
        </w:rPr>
        <w:t xml:space="preserve">TRANSCEND </w:t>
      </w:r>
      <w:r w:rsidRPr="00AE5A68">
        <w:rPr>
          <w:rFonts w:eastAsia="Times New Roman" w:cs="Arial"/>
          <w:color w:val="000000"/>
          <w:lang w:eastAsia="bg-BG"/>
        </w:rPr>
        <w:t xml:space="preserve">са рандомизирани пациенти с непоносимост към </w:t>
      </w:r>
      <w:r w:rsidRPr="00AE5A68">
        <w:rPr>
          <w:rFonts w:eastAsia="Times New Roman" w:cs="Arial"/>
          <w:color w:val="000000"/>
          <w:lang w:val="en-US"/>
        </w:rPr>
        <w:t xml:space="preserve">ACE-I </w:t>
      </w:r>
      <w:r w:rsidRPr="00AE5A68">
        <w:rPr>
          <w:rFonts w:eastAsia="Times New Roman" w:cs="Arial"/>
          <w:color w:val="000000"/>
          <w:lang w:eastAsia="bg-BG"/>
        </w:rPr>
        <w:t xml:space="preserve">инхибитори, но иначе със сходни критерии за включване както в проучването </w:t>
      </w:r>
      <w:r w:rsidRPr="00AE5A68">
        <w:rPr>
          <w:rFonts w:eastAsia="Times New Roman" w:cs="Arial"/>
          <w:color w:val="000000"/>
          <w:lang w:val="en-US"/>
        </w:rPr>
        <w:t xml:space="preserve">ONTARGET </w:t>
      </w:r>
      <w:r w:rsidRPr="00AE5A68">
        <w:rPr>
          <w:rFonts w:eastAsia="Times New Roman" w:cs="Arial"/>
          <w:color w:val="000000"/>
          <w:lang w:eastAsia="bg-BG"/>
        </w:rPr>
        <w:t xml:space="preserve">в група, приемаща телмисартан 80 </w:t>
      </w:r>
      <w:r w:rsidRPr="00AE5A68">
        <w:rPr>
          <w:rFonts w:eastAsia="Times New Roman" w:cs="Arial"/>
          <w:color w:val="000000"/>
          <w:lang w:val="en-US"/>
        </w:rPr>
        <w:t xml:space="preserve">mg </w:t>
      </w:r>
      <w:r w:rsidRPr="00AE5A68">
        <w:rPr>
          <w:rFonts w:eastAsia="Times New Roman" w:cs="Arial"/>
          <w:color w:val="000000"/>
          <w:lang w:eastAsia="bg-BG"/>
        </w:rPr>
        <w:t>(</w:t>
      </w:r>
      <w:r w:rsidRPr="00AE5A68">
        <w:rPr>
          <w:rFonts w:eastAsia="Times New Roman" w:cs="Arial"/>
          <w:color w:val="000000"/>
          <w:lang w:val="en-US"/>
        </w:rPr>
        <w:t>n</w:t>
      </w:r>
      <w:r w:rsidRPr="00AE5A68">
        <w:rPr>
          <w:rFonts w:eastAsia="Times New Roman" w:cs="Arial"/>
          <w:color w:val="000000"/>
          <w:lang w:eastAsia="bg-BG"/>
        </w:rPr>
        <w:t>=2 954) или плацебо (</w:t>
      </w:r>
      <w:r w:rsidRPr="00AE5A68">
        <w:rPr>
          <w:rFonts w:eastAsia="Times New Roman" w:cs="Arial"/>
          <w:color w:val="000000"/>
          <w:lang w:val="en-US"/>
        </w:rPr>
        <w:t>n</w:t>
      </w:r>
      <w:r w:rsidRPr="00AE5A68">
        <w:rPr>
          <w:rFonts w:eastAsia="Times New Roman" w:cs="Arial"/>
          <w:color w:val="000000"/>
          <w:lang w:eastAsia="bg-BG"/>
        </w:rPr>
        <w:t xml:space="preserve">=2 972), като и двата продукта се прилагат в допълнение към стандартното лечение. Средната продължителност на проследяване е 4 години и 8 месеца. Не се установява статистически значима разлика в честотата на първичната съставна крайна точка (сърдечно-съдова смърт, нефатален инфаркт на миокарда, нефатален мозъчен инсулт или хоспитализация поради застойна сърдечна недостатъчност) [15,7% в групата на телмисартан и 17,0% в групата на плацебо, с коефициент на риск 0,92 (95 % </w:t>
      </w:r>
      <w:r w:rsidRPr="00AE5A68">
        <w:rPr>
          <w:rFonts w:eastAsia="Times New Roman" w:cs="Arial"/>
          <w:color w:val="000000"/>
          <w:lang w:val="en-US"/>
        </w:rPr>
        <w:t xml:space="preserve">CI </w:t>
      </w:r>
      <w:r w:rsidRPr="00AE5A68">
        <w:rPr>
          <w:rFonts w:eastAsia="Times New Roman" w:cs="Arial"/>
          <w:color w:val="000000"/>
          <w:lang w:eastAsia="bg-BG"/>
        </w:rPr>
        <w:t xml:space="preserve">0,81 -1,05; р = 0,22)]. Има данни за ползата от телмисартан в сравнение с плацебо по отношение на предварително определената вторична съставна крайна точка от сърдечно-съдова смърт, нефатален инфаркт на миокарда и нефатален мозъчен инсулт [0,87 (95% </w:t>
      </w:r>
      <w:r w:rsidRPr="00AE5A68">
        <w:rPr>
          <w:rFonts w:eastAsia="Times New Roman" w:cs="Arial"/>
          <w:color w:val="000000"/>
          <w:lang w:val="en-US"/>
        </w:rPr>
        <w:t xml:space="preserve">CI </w:t>
      </w:r>
      <w:r w:rsidRPr="00AE5A68">
        <w:rPr>
          <w:rFonts w:eastAsia="Times New Roman" w:cs="Arial"/>
          <w:color w:val="000000"/>
          <w:lang w:eastAsia="bg-BG"/>
        </w:rPr>
        <w:t>0,76 -1,00; р = 0,048). Няма данни за полза по отношение на намаляване на сърдечно-съдовата смъртност (коефициент на риск 1,03, 95% доверителен интервал 0,85 -1,24).</w:t>
      </w:r>
    </w:p>
    <w:p w14:paraId="3F0A509D" w14:textId="77777777" w:rsidR="00AE5A68" w:rsidRPr="00AE5A68" w:rsidRDefault="00AE5A68" w:rsidP="00AE5A68">
      <w:pPr>
        <w:spacing w:line="240" w:lineRule="auto"/>
        <w:rPr>
          <w:rFonts w:eastAsia="Times New Roman" w:cs="Arial"/>
          <w:color w:val="000000"/>
          <w:lang w:eastAsia="bg-BG"/>
        </w:rPr>
      </w:pPr>
    </w:p>
    <w:p w14:paraId="0F1780F8" w14:textId="5CBC4E07"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Кашлица и ангиоедем се съобщават по-рядко при пациенти, лекувани с телмисартан, отколкото при пациенти, лекувани с рамиприл, докато при терапия с телмисартан по-често се съобщава за случаи на хипотония.</w:t>
      </w:r>
    </w:p>
    <w:p w14:paraId="28D3FE4D" w14:textId="77777777" w:rsidR="00AE5A68" w:rsidRPr="00AE5A68" w:rsidRDefault="00AE5A68" w:rsidP="00AE5A68">
      <w:pPr>
        <w:spacing w:line="240" w:lineRule="auto"/>
        <w:rPr>
          <w:rFonts w:eastAsia="Times New Roman" w:cs="Arial"/>
          <w:color w:val="000000"/>
          <w:lang w:eastAsia="bg-BG"/>
        </w:rPr>
      </w:pPr>
    </w:p>
    <w:p w14:paraId="13BB661D" w14:textId="09C36A5C"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lastRenderedPageBreak/>
        <w:t>Комбинирането на телмисартан с рамиприл не дава допълнителна полза спрямо самостоятелната терапия с рамиприл или телмисартан. Сърдечно-съдовата смъртност и смъртността по всяка причина, като числено изражение, са по-високи при комбинираното лечение. Освен това, има значимо по-висока честота на хиперкалиемия, бъбречна недостатъчност, хипотония и синкоп в рамото с пациенти на комбинирано лечение. Поради тази причина, едновременната употреба на телмисартан и рамиприл не се препоръчва при тази популация.</w:t>
      </w:r>
    </w:p>
    <w:p w14:paraId="20DE2E56" w14:textId="77777777" w:rsidR="00AE5A68" w:rsidRPr="00AE5A68" w:rsidRDefault="00AE5A68" w:rsidP="00AE5A68">
      <w:pPr>
        <w:spacing w:line="240" w:lineRule="auto"/>
        <w:rPr>
          <w:rFonts w:eastAsia="Times New Roman" w:cs="Arial"/>
          <w:color w:val="000000"/>
          <w:lang w:eastAsia="bg-BG"/>
        </w:rPr>
      </w:pPr>
    </w:p>
    <w:p w14:paraId="1E6AAE4D" w14:textId="77777777" w:rsidR="00AE5A68" w:rsidRPr="00AE5A68" w:rsidRDefault="00AE5A68" w:rsidP="00AE5A68">
      <w:pPr>
        <w:rPr>
          <w:rFonts w:eastAsia="Times New Roman" w:cs="Arial"/>
          <w:lang w:eastAsia="bg-BG"/>
        </w:rPr>
      </w:pPr>
      <w:r w:rsidRPr="00AE5A68">
        <w:rPr>
          <w:rFonts w:eastAsia="Times New Roman" w:cs="Arial"/>
          <w:color w:val="000000"/>
          <w:lang w:eastAsia="bg-BG"/>
        </w:rPr>
        <w:t xml:space="preserve">В проучването “Профилактичен режим за ефективно предпазване от повторен мозъчен инсулт” </w:t>
      </w:r>
      <w:r w:rsidRPr="00AE5A68">
        <w:rPr>
          <w:rFonts w:eastAsia="Times New Roman" w:cs="Arial"/>
          <w:color w:val="000000"/>
          <w:lang w:val="en-US"/>
        </w:rPr>
        <w:t>("Prevention Regimen For Effectively avoiding Second Strokes” (</w:t>
      </w:r>
      <w:proofErr w:type="spellStart"/>
      <w:r w:rsidRPr="00AE5A68">
        <w:rPr>
          <w:rFonts w:eastAsia="Times New Roman" w:cs="Arial"/>
          <w:color w:val="000000"/>
          <w:lang w:val="en-US"/>
        </w:rPr>
        <w:t>PRoFESS</w:t>
      </w:r>
      <w:proofErr w:type="spellEnd"/>
      <w:r w:rsidRPr="00AE5A68">
        <w:rPr>
          <w:rFonts w:eastAsia="Times New Roman" w:cs="Arial"/>
          <w:color w:val="000000"/>
          <w:lang w:val="en-US"/>
        </w:rPr>
        <w:t xml:space="preserve">)) </w:t>
      </w:r>
      <w:r w:rsidRPr="00AE5A68">
        <w:rPr>
          <w:rFonts w:eastAsia="Times New Roman" w:cs="Arial"/>
          <w:color w:val="000000"/>
          <w:lang w:eastAsia="bg-BG"/>
        </w:rPr>
        <w:t xml:space="preserve">при пациенти на </w:t>
      </w:r>
      <w:r w:rsidRPr="00AE5A68">
        <w:rPr>
          <w:rFonts w:eastAsia="Times New Roman" w:cs="Arial"/>
          <w:color w:val="000000"/>
          <w:lang w:val="en-US"/>
        </w:rPr>
        <w:t xml:space="preserve">50 </w:t>
      </w:r>
      <w:r w:rsidRPr="00AE5A68">
        <w:rPr>
          <w:rFonts w:eastAsia="Times New Roman" w:cs="Arial"/>
          <w:color w:val="000000"/>
          <w:lang w:eastAsia="bg-BG"/>
        </w:rPr>
        <w:t>години или по-възрастни, които наскоро са получили мозъчен инсулт се забелязва</w:t>
      </w:r>
      <w:r w:rsidRPr="00AE5A68">
        <w:rPr>
          <w:rFonts w:eastAsia="Times New Roman" w:cs="Arial"/>
          <w:color w:val="000000"/>
          <w:lang w:val="en-US"/>
        </w:rPr>
        <w:t xml:space="preserve"> </w:t>
      </w:r>
      <w:r w:rsidRPr="00AE5A68">
        <w:rPr>
          <w:rFonts w:eastAsia="Times New Roman" w:cs="Arial"/>
          <w:color w:val="000000"/>
          <w:lang w:eastAsia="bg-BG"/>
        </w:rPr>
        <w:t>повишена</w:t>
      </w:r>
      <w:r w:rsidRPr="00AE5A68">
        <w:rPr>
          <w:rFonts w:eastAsia="Times New Roman" w:cs="Arial"/>
          <w:smallCaps/>
          <w:color w:val="000000"/>
          <w:lang w:eastAsia="bg-BG"/>
        </w:rPr>
        <w:t xml:space="preserve"> </w:t>
      </w:r>
      <w:r w:rsidRPr="00AE5A68">
        <w:rPr>
          <w:rFonts w:eastAsia="Times New Roman" w:cs="Arial"/>
          <w:color w:val="000000"/>
          <w:lang w:eastAsia="bg-BG"/>
        </w:rPr>
        <w:t xml:space="preserve">честота на възникване на сепсис при телмисартан в сравнение с плацебо, 0,70% спрямо 0,49% </w:t>
      </w:r>
      <w:r w:rsidRPr="00AE5A68">
        <w:rPr>
          <w:rFonts w:eastAsia="Times New Roman" w:cs="Arial"/>
          <w:color w:val="000000"/>
          <w:lang w:val="en-US"/>
        </w:rPr>
        <w:t xml:space="preserve">[RR </w:t>
      </w:r>
      <w:r w:rsidRPr="00AE5A68">
        <w:rPr>
          <w:rFonts w:eastAsia="Times New Roman" w:cs="Arial"/>
          <w:color w:val="000000"/>
          <w:lang w:eastAsia="bg-BG"/>
        </w:rPr>
        <w:t>1,43 (95 % доверителен интервал 1,00 - 2,06)]; честотата на възникване на сепсис с фатален</w:t>
      </w:r>
      <w:r w:rsidRPr="00AE5A68">
        <w:rPr>
          <w:rFonts w:eastAsia="Times New Roman" w:cs="Arial"/>
          <w:color w:val="000000"/>
          <w:vertAlign w:val="subscript"/>
          <w:lang w:eastAsia="bg-BG"/>
        </w:rPr>
        <w:t xml:space="preserve"> </w:t>
      </w:r>
      <w:r w:rsidRPr="00AE5A68">
        <w:rPr>
          <w:rFonts w:eastAsia="Times New Roman" w:cs="Arial"/>
          <w:color w:val="000000"/>
          <w:lang w:eastAsia="bg-BG"/>
        </w:rPr>
        <w:t>изход е повишена при пациентите, приемащи телмисартан (0,33 %) спрямо пациентите на</w:t>
      </w:r>
      <w:r w:rsidRPr="00AE5A68">
        <w:rPr>
          <w:rFonts w:eastAsia="Times New Roman" w:cs="Arial"/>
          <w:color w:val="000000"/>
          <w:lang w:eastAsia="bg-BG"/>
        </w:rPr>
        <w:t xml:space="preserve"> </w:t>
      </w:r>
      <w:r w:rsidRPr="00AE5A68">
        <w:rPr>
          <w:rFonts w:eastAsia="Times New Roman" w:cs="Arial"/>
          <w:color w:val="000000"/>
          <w:lang w:eastAsia="bg-BG"/>
        </w:rPr>
        <w:t xml:space="preserve">плацебо (0,16 %) </w:t>
      </w:r>
      <w:r w:rsidRPr="00AE5A68">
        <w:rPr>
          <w:rFonts w:eastAsia="Times New Roman" w:cs="Arial"/>
          <w:color w:val="000000"/>
          <w:lang w:val="en-US"/>
        </w:rPr>
        <w:t xml:space="preserve">[RR </w:t>
      </w:r>
      <w:r w:rsidRPr="00AE5A68">
        <w:rPr>
          <w:rFonts w:eastAsia="Times New Roman" w:cs="Arial"/>
          <w:color w:val="000000"/>
          <w:lang w:eastAsia="bg-BG"/>
        </w:rPr>
        <w:t>2,07 (95 % доверителен интервал 1,14 - 3,76)]. Наблюдаваната повишена честота на възникване на сепсис, свързана с употребата на телмисартан може да е случайно открита или да е свързана с механизъм, който е непознат за момента.</w:t>
      </w:r>
    </w:p>
    <w:p w14:paraId="20BC8C66" w14:textId="77777777" w:rsidR="00AE5A68" w:rsidRPr="00AE5A68" w:rsidRDefault="00AE5A68" w:rsidP="00AE5A68">
      <w:pPr>
        <w:spacing w:line="240" w:lineRule="auto"/>
        <w:rPr>
          <w:rFonts w:eastAsia="Times New Roman" w:cs="Arial"/>
          <w:color w:val="000000"/>
          <w:lang w:eastAsia="bg-BG"/>
        </w:rPr>
      </w:pPr>
    </w:p>
    <w:p w14:paraId="7DAD7698" w14:textId="1C9BD163"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 xml:space="preserve">Две големи рандомизирани контролирани проучвания - </w:t>
      </w:r>
      <w:r w:rsidRPr="00AE5A68">
        <w:rPr>
          <w:rFonts w:eastAsia="Times New Roman" w:cs="Arial"/>
          <w:color w:val="000000"/>
          <w:lang w:val="en-US"/>
        </w:rPr>
        <w:t>ONTARGET (</w:t>
      </w:r>
      <w:proofErr w:type="spellStart"/>
      <w:r w:rsidRPr="00AE5A68">
        <w:rPr>
          <w:rFonts w:eastAsia="Times New Roman" w:cs="Arial"/>
          <w:color w:val="000000"/>
          <w:lang w:val="en-US"/>
        </w:rPr>
        <w:t>ONgoing</w:t>
      </w:r>
      <w:proofErr w:type="spellEnd"/>
      <w:r w:rsidRPr="00AE5A68">
        <w:rPr>
          <w:rFonts w:eastAsia="Times New Roman" w:cs="Arial"/>
          <w:color w:val="000000"/>
          <w:lang w:val="en-US"/>
        </w:rPr>
        <w:t xml:space="preserve"> Telmisartan Alone and in combination with Ramipril Global Endpoint Trial - </w:t>
      </w:r>
      <w:r w:rsidRPr="00AE5A68">
        <w:rPr>
          <w:rFonts w:eastAsia="Times New Roman" w:cs="Arial"/>
          <w:color w:val="000000"/>
          <w:lang w:eastAsia="bg-BG"/>
        </w:rPr>
        <w:t xml:space="preserve">текущо глобално изпитване за 19 крайни точки на телмисартан, самостоятелно и в комбинация с рамиприл) и </w:t>
      </w:r>
      <w:r w:rsidRPr="00AE5A68">
        <w:rPr>
          <w:rFonts w:eastAsia="Times New Roman" w:cs="Arial"/>
          <w:color w:val="000000"/>
          <w:lang w:val="en-US"/>
        </w:rPr>
        <w:t xml:space="preserve">VA NEPHRON-D </w:t>
      </w:r>
      <w:r w:rsidRPr="00AE5A68">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AE5A68">
        <w:rPr>
          <w:rFonts w:eastAsia="Times New Roman" w:cs="Arial"/>
          <w:color w:val="000000"/>
          <w:lang w:val="en-US"/>
        </w:rPr>
        <w:t>II</w:t>
      </w:r>
      <w:r w:rsidRPr="00AE5A68">
        <w:rPr>
          <w:rFonts w:eastAsia="Times New Roman" w:cs="Arial"/>
          <w:color w:val="000000"/>
          <w:lang w:eastAsia="bg-BG"/>
        </w:rPr>
        <w:t>-рецепторен блокер.</w:t>
      </w:r>
    </w:p>
    <w:p w14:paraId="02AB8F06" w14:textId="77777777" w:rsidR="00AE5A68" w:rsidRPr="00AE5A68" w:rsidRDefault="00AE5A68" w:rsidP="00AE5A68">
      <w:pPr>
        <w:spacing w:line="240" w:lineRule="auto"/>
        <w:rPr>
          <w:rFonts w:eastAsia="Times New Roman" w:cs="Arial"/>
          <w:lang w:eastAsia="bg-BG"/>
        </w:rPr>
      </w:pPr>
      <w:r w:rsidRPr="00AE5A68">
        <w:rPr>
          <w:rFonts w:eastAsia="Times New Roman" w:cs="Arial"/>
          <w:color w:val="000000"/>
          <w:lang w:val="en-US"/>
        </w:rPr>
        <w:t xml:space="preserve">ONTARGET </w:t>
      </w:r>
      <w:r w:rsidRPr="00AE5A68">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Вижте също информацията озаглавена “Профилактика на сърдечно-съдови инциденти“. </w:t>
      </w:r>
      <w:r w:rsidRPr="00AE5A68">
        <w:rPr>
          <w:rFonts w:eastAsia="Times New Roman" w:cs="Arial"/>
          <w:color w:val="000000"/>
          <w:lang w:val="en-US"/>
        </w:rPr>
        <w:t xml:space="preserve">VA NEPHRON-D </w:t>
      </w:r>
      <w:r w:rsidRPr="00AE5A68">
        <w:rPr>
          <w:rFonts w:eastAsia="Times New Roman" w:cs="Arial"/>
          <w:color w:val="000000"/>
          <w:lang w:eastAsia="bg-BG"/>
        </w:rPr>
        <w:t>е проучване при пациенти със захарен диабет тип 2 и диабетна нефропатия.</w:t>
      </w:r>
    </w:p>
    <w:p w14:paraId="0A9A7894" w14:textId="77777777"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Тези проучвания не показват значим благоприятен ефект върху бъбречните и/или сърдечно</w:t>
      </w:r>
      <w:r w:rsidRPr="00AE5A68">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w:t>
      </w:r>
      <w:r w:rsidRPr="00AE5A68">
        <w:rPr>
          <w:rFonts w:eastAsia="Times New Roman" w:cs="Arial"/>
          <w:i/>
          <w:iCs/>
          <w:color w:val="000000"/>
          <w:lang w:eastAsia="bg-BG"/>
        </w:rPr>
        <w:t>и</w:t>
      </w:r>
      <w:r w:rsidRPr="00AE5A68">
        <w:rPr>
          <w:rFonts w:eastAsia="Times New Roman" w:cs="Arial"/>
          <w:color w:val="000000"/>
          <w:lang w:eastAsia="bg-BG"/>
        </w:rPr>
        <w:t xml:space="preserve"> ангиотензин </w:t>
      </w:r>
      <w:r w:rsidRPr="00AE5A68">
        <w:rPr>
          <w:rFonts w:eastAsia="Times New Roman" w:cs="Arial"/>
          <w:color w:val="000000"/>
          <w:lang w:val="en-US"/>
        </w:rPr>
        <w:t>II</w:t>
      </w:r>
      <w:r w:rsidRPr="00AE5A68">
        <w:rPr>
          <w:rFonts w:eastAsia="Times New Roman" w:cs="Arial"/>
          <w:color w:val="000000"/>
          <w:lang w:eastAsia="bg-BG"/>
        </w:rPr>
        <w:t>-рецепторни блокери.</w:t>
      </w:r>
    </w:p>
    <w:p w14:paraId="63107D5D" w14:textId="77777777"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 xml:space="preserve">АСЕ инхибитори и ангиотензин </w:t>
      </w:r>
      <w:r w:rsidRPr="00AE5A68">
        <w:rPr>
          <w:rFonts w:eastAsia="Times New Roman" w:cs="Arial"/>
          <w:color w:val="000000"/>
          <w:lang w:val="en-US"/>
        </w:rPr>
        <w:t>II</w:t>
      </w:r>
      <w:r w:rsidRPr="00AE5A68">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77252A8F" w14:textId="77777777" w:rsidR="00AE5A68" w:rsidRPr="00AE5A68" w:rsidRDefault="00AE5A68" w:rsidP="00AE5A68">
      <w:pPr>
        <w:spacing w:line="240" w:lineRule="auto"/>
        <w:rPr>
          <w:rFonts w:eastAsia="Times New Roman" w:cs="Arial"/>
          <w:color w:val="000000"/>
          <w:lang w:val="en-US"/>
        </w:rPr>
      </w:pPr>
    </w:p>
    <w:p w14:paraId="0AA64114" w14:textId="7C62D8D4" w:rsidR="00AE5A68" w:rsidRPr="00AE5A68" w:rsidRDefault="00AE5A68" w:rsidP="00AE5A68">
      <w:pPr>
        <w:spacing w:line="240" w:lineRule="auto"/>
        <w:rPr>
          <w:rFonts w:eastAsia="Times New Roman" w:cs="Arial"/>
          <w:lang w:eastAsia="bg-BG"/>
        </w:rPr>
      </w:pPr>
      <w:r w:rsidRPr="00AE5A68">
        <w:rPr>
          <w:rFonts w:eastAsia="Times New Roman" w:cs="Arial"/>
          <w:color w:val="000000"/>
          <w:lang w:val="en-US"/>
        </w:rPr>
        <w:t xml:space="preserve">ALTITUDE </w:t>
      </w:r>
      <w:r w:rsidRPr="00AE5A68">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AE5A68">
        <w:rPr>
          <w:rFonts w:eastAsia="Times New Roman" w:cs="Arial"/>
          <w:color w:val="000000"/>
          <w:lang w:val="en-US"/>
        </w:rPr>
        <w:t>II</w:t>
      </w:r>
      <w:r w:rsidRPr="00AE5A68">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6294B6E2" w14:textId="77777777" w:rsidR="00AE5A68" w:rsidRPr="00AE5A68" w:rsidRDefault="00AE5A68" w:rsidP="00AE5A68">
      <w:pPr>
        <w:spacing w:line="240" w:lineRule="auto"/>
        <w:rPr>
          <w:rFonts w:eastAsia="Times New Roman" w:cs="Arial"/>
          <w:color w:val="000000"/>
          <w:lang w:eastAsia="bg-BG"/>
        </w:rPr>
      </w:pPr>
    </w:p>
    <w:p w14:paraId="271B60D4" w14:textId="67DE9F5E"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lastRenderedPageBreak/>
        <w:t>Епидемиологичните проучвания показват, че дългосрочното лечение с хидрохлоротиазид намалява риска от сърдечно-съдова заболеваемост и от смъртност в резултат на сърдечно</w:t>
      </w:r>
      <w:r w:rsidRPr="00AE5A68">
        <w:rPr>
          <w:rFonts w:eastAsia="Times New Roman" w:cs="Arial"/>
          <w:color w:val="000000"/>
          <w:lang w:eastAsia="bg-BG"/>
        </w:rPr>
        <w:softHyphen/>
        <w:t>съдови болести.</w:t>
      </w:r>
    </w:p>
    <w:p w14:paraId="66CA60D5" w14:textId="77777777" w:rsidR="00AE5A68" w:rsidRPr="00AE5A68" w:rsidRDefault="00AE5A68" w:rsidP="00AE5A68">
      <w:pPr>
        <w:spacing w:line="240" w:lineRule="auto"/>
        <w:rPr>
          <w:rFonts w:eastAsia="Times New Roman" w:cs="Arial"/>
          <w:color w:val="000000"/>
          <w:lang w:eastAsia="bg-BG"/>
        </w:rPr>
      </w:pPr>
    </w:p>
    <w:p w14:paraId="605E6035" w14:textId="7E38DEDB"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Към момента ефектите на фиксираната дозова комбинация телмисартан/хидрохлоротиазид върху смъртността и сърдечно-съдовата заболеваемост не са известни.</w:t>
      </w:r>
    </w:p>
    <w:p w14:paraId="5E8CD94E" w14:textId="77777777" w:rsidR="00AE5A68" w:rsidRPr="00AE5A68" w:rsidRDefault="00AE5A68" w:rsidP="00AE5A68">
      <w:pPr>
        <w:spacing w:line="240" w:lineRule="auto"/>
        <w:rPr>
          <w:rFonts w:eastAsia="Times New Roman" w:cs="Arial"/>
          <w:color w:val="000000"/>
          <w:lang w:eastAsia="bg-BG"/>
        </w:rPr>
      </w:pPr>
    </w:p>
    <w:p w14:paraId="1F9DBE21" w14:textId="7CF1AD28" w:rsidR="00AE5A68" w:rsidRPr="00AE5A68" w:rsidRDefault="00AE5A68" w:rsidP="00AE5A68">
      <w:pPr>
        <w:spacing w:line="240" w:lineRule="auto"/>
        <w:rPr>
          <w:rFonts w:eastAsia="Times New Roman" w:cs="Arial"/>
          <w:lang w:eastAsia="bg-BG"/>
        </w:rPr>
      </w:pPr>
      <w:r w:rsidRPr="00AE5A68">
        <w:rPr>
          <w:rFonts w:eastAsia="Times New Roman" w:cs="Arial"/>
          <w:color w:val="000000"/>
          <w:lang w:eastAsia="bg-BG"/>
        </w:rPr>
        <w:t xml:space="preserve">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r w:rsidRPr="00AE5A68">
        <w:rPr>
          <w:rFonts w:eastAsia="Times New Roman" w:cs="Arial"/>
          <w:color w:val="000000"/>
          <w:lang w:val="en-US"/>
        </w:rPr>
        <w:t xml:space="preserve">mg) </w:t>
      </w:r>
      <w:r w:rsidRPr="00AE5A68">
        <w:rPr>
          <w:rFonts w:eastAsia="Times New Roman" w:cs="Arial"/>
          <w:color w:val="000000"/>
          <w:lang w:eastAsia="bg-BG"/>
        </w:rPr>
        <w:t xml:space="preserve">е свързана с коригиран </w:t>
      </w:r>
      <w:r w:rsidRPr="00AE5A68">
        <w:rPr>
          <w:rFonts w:eastAsia="Times New Roman" w:cs="Arial"/>
          <w:color w:val="000000"/>
          <w:lang w:val="en-US"/>
        </w:rPr>
        <w:t xml:space="preserve">OR </w:t>
      </w:r>
      <w:r w:rsidRPr="00AE5A68">
        <w:rPr>
          <w:rFonts w:eastAsia="Times New Roman" w:cs="Arial"/>
          <w:color w:val="000000"/>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AE5A68">
        <w:rPr>
          <w:rFonts w:eastAsia="Times New Roman" w:cs="Arial"/>
          <w:color w:val="000000"/>
          <w:lang w:val="en-US"/>
        </w:rPr>
        <w:t xml:space="preserve">OR </w:t>
      </w:r>
      <w:r w:rsidRPr="00AE5A68">
        <w:rPr>
          <w:rFonts w:eastAsia="Times New Roman" w:cs="Arial"/>
          <w:color w:val="000000"/>
          <w:lang w:eastAsia="bg-BG"/>
        </w:rPr>
        <w:t xml:space="preserve">2,1 (95% ДИ: 1,7-2,6), нарастващ до </w:t>
      </w:r>
      <w:r w:rsidRPr="00AE5A68">
        <w:rPr>
          <w:rFonts w:eastAsia="Times New Roman" w:cs="Arial"/>
          <w:color w:val="000000"/>
          <w:lang w:val="en-US"/>
        </w:rPr>
        <w:t xml:space="preserve">OR </w:t>
      </w:r>
      <w:r w:rsidRPr="00AE5A68">
        <w:rPr>
          <w:rFonts w:eastAsia="Times New Roman" w:cs="Arial"/>
          <w:color w:val="000000"/>
          <w:lang w:eastAsia="bg-BG"/>
        </w:rPr>
        <w:t>3,9 (3,0-4,9) за висока употреба (</w:t>
      </w:r>
      <w:r w:rsidRPr="00AE5A68">
        <w:rPr>
          <w:rFonts w:ascii="Tahoma" w:eastAsia="Times New Roman" w:hAnsi="Tahoma" w:cs="Tahoma"/>
          <w:color w:val="000000"/>
          <w:lang w:eastAsia="bg-BG"/>
        </w:rPr>
        <w:t>⁓</w:t>
      </w:r>
      <w:r w:rsidRPr="00AE5A68">
        <w:rPr>
          <w:rFonts w:eastAsia="Times New Roman" w:cs="Arial"/>
          <w:color w:val="000000"/>
          <w:lang w:eastAsia="bg-BG"/>
        </w:rPr>
        <w:t xml:space="preserve"> 25 000 </w:t>
      </w:r>
      <w:r w:rsidRPr="00AE5A68">
        <w:rPr>
          <w:rFonts w:eastAsia="Times New Roman" w:cs="Arial"/>
          <w:color w:val="000000"/>
          <w:lang w:val="en-US"/>
        </w:rPr>
        <w:t xml:space="preserve">mg) </w:t>
      </w:r>
      <w:r w:rsidRPr="00AE5A68">
        <w:rPr>
          <w:rFonts w:eastAsia="Times New Roman" w:cs="Arial"/>
          <w:color w:val="000000"/>
          <w:lang w:eastAsia="bg-BG"/>
        </w:rPr>
        <w:t xml:space="preserve">и </w:t>
      </w:r>
      <w:r w:rsidRPr="00AE5A68">
        <w:rPr>
          <w:rFonts w:eastAsia="Times New Roman" w:cs="Arial"/>
          <w:color w:val="000000"/>
          <w:lang w:val="en-US"/>
        </w:rPr>
        <w:t xml:space="preserve">OR </w:t>
      </w:r>
      <w:r w:rsidRPr="00AE5A68">
        <w:rPr>
          <w:rFonts w:eastAsia="Times New Roman" w:cs="Arial"/>
          <w:color w:val="000000"/>
          <w:lang w:eastAsia="bg-BG"/>
        </w:rPr>
        <w:t xml:space="preserve">7,7 (5,7-10,5) за най- високата кумулативна доза (~ 100 000 </w:t>
      </w:r>
      <w:r w:rsidRPr="00AE5A68">
        <w:rPr>
          <w:rFonts w:eastAsia="Times New Roman" w:cs="Arial"/>
          <w:color w:val="000000"/>
          <w:lang w:val="en-US"/>
        </w:rPr>
        <w:t xml:space="preserve">mg) </w:t>
      </w:r>
      <w:r w:rsidRPr="00AE5A68">
        <w:rPr>
          <w:rFonts w:eastAsia="Times New Roman" w:cs="Arial"/>
          <w:color w:val="000000"/>
          <w:lang w:eastAsia="bg-BG"/>
        </w:rPr>
        <w:t>(вж. също точка 4.4).</w:t>
      </w:r>
    </w:p>
    <w:p w14:paraId="3ABA6B30" w14:textId="77777777" w:rsidR="00AE5A68" w:rsidRPr="00AE5A68" w:rsidRDefault="00AE5A68" w:rsidP="00AE5A68">
      <w:pPr>
        <w:spacing w:line="240" w:lineRule="auto"/>
        <w:rPr>
          <w:rFonts w:eastAsia="Times New Roman" w:cs="Arial"/>
          <w:color w:val="000000"/>
          <w:u w:val="single"/>
          <w:lang w:eastAsia="bg-BG"/>
        </w:rPr>
      </w:pPr>
    </w:p>
    <w:p w14:paraId="0193A88C" w14:textId="5C797640" w:rsidR="00AE5A68" w:rsidRPr="00AE5A68" w:rsidRDefault="00AE5A68" w:rsidP="00AE5A68">
      <w:pPr>
        <w:spacing w:line="240" w:lineRule="auto"/>
        <w:rPr>
          <w:rFonts w:eastAsia="Times New Roman" w:cs="Arial"/>
          <w:lang w:eastAsia="bg-BG"/>
        </w:rPr>
      </w:pPr>
      <w:r w:rsidRPr="00AE5A68">
        <w:rPr>
          <w:rFonts w:eastAsia="Times New Roman" w:cs="Arial"/>
          <w:color w:val="000000"/>
          <w:u w:val="single"/>
          <w:lang w:eastAsia="bg-BG"/>
        </w:rPr>
        <w:t>Педиатрична популация</w:t>
      </w:r>
    </w:p>
    <w:p w14:paraId="7A90E5D1" w14:textId="77777777" w:rsidR="00AE5A68" w:rsidRPr="00AE5A68" w:rsidRDefault="00AE5A68" w:rsidP="00AE5A68">
      <w:pPr>
        <w:rPr>
          <w:rFonts w:eastAsia="Times New Roman" w:cs="Arial"/>
          <w:lang w:eastAsia="bg-BG"/>
        </w:rPr>
      </w:pPr>
      <w:r w:rsidRPr="00AE5A68">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телмисартан/хидрохлоротиазид във всички подгрупи на</w:t>
      </w:r>
      <w:r w:rsidRPr="00AE5A68">
        <w:rPr>
          <w:rFonts w:eastAsia="Times New Roman" w:cs="Arial"/>
          <w:color w:val="000000"/>
          <w:lang w:eastAsia="bg-BG"/>
        </w:rPr>
        <w:t xml:space="preserve"> </w:t>
      </w:r>
      <w:r w:rsidRPr="00AE5A68">
        <w:rPr>
          <w:rFonts w:eastAsia="Times New Roman" w:cs="Arial"/>
          <w:color w:val="000000"/>
          <w:lang w:eastAsia="bg-BG"/>
        </w:rPr>
        <w:t>педиатричната популация при хипертония (вж. точка 4,2 за информация относно употреба в педиатрията).</w:t>
      </w:r>
    </w:p>
    <w:p w14:paraId="5031A1A0" w14:textId="77777777" w:rsidR="00AE5A68" w:rsidRPr="00AE5A68" w:rsidRDefault="00AE5A68" w:rsidP="00AE5A68"/>
    <w:p w14:paraId="173D7F1D" w14:textId="1B12681F" w:rsidR="00EE6C97" w:rsidRDefault="002C50EE" w:rsidP="00A93499">
      <w:pPr>
        <w:pStyle w:val="Heading2"/>
      </w:pPr>
      <w:r>
        <w:t>5.2. Фармакокинетични свойства</w:t>
      </w:r>
    </w:p>
    <w:p w14:paraId="2C311D71" w14:textId="73434A05" w:rsidR="00AE5A68" w:rsidRDefault="00AE5A68" w:rsidP="00AE5A68"/>
    <w:p w14:paraId="56E3FE2F"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 xml:space="preserve">Едновременното приложение на хидрохлоротиазид и телмисартан </w:t>
      </w:r>
      <w:r w:rsidRPr="00AE5A68">
        <w:rPr>
          <w:rFonts w:eastAsia="Times New Roman" w:cs="Arial"/>
          <w:i/>
          <w:iCs/>
          <w:color w:val="000000"/>
          <w:lang w:eastAsia="bg-BG"/>
        </w:rPr>
        <w:t>при</w:t>
      </w:r>
      <w:r w:rsidRPr="00AE5A68">
        <w:rPr>
          <w:rFonts w:eastAsia="Times New Roman" w:cs="Arial"/>
          <w:color w:val="000000"/>
          <w:lang w:eastAsia="bg-BG"/>
        </w:rPr>
        <w:t xml:space="preserve"> здрави субекти не променя фармакокинетиката на която и да е от съставките.</w:t>
      </w:r>
    </w:p>
    <w:p w14:paraId="06C87479" w14:textId="77777777" w:rsidR="00AE5A68" w:rsidRPr="00AE5A68" w:rsidRDefault="00AE5A68" w:rsidP="00AE5A68">
      <w:pPr>
        <w:spacing w:line="240" w:lineRule="auto"/>
        <w:rPr>
          <w:rFonts w:eastAsia="Times New Roman" w:cs="Arial"/>
          <w:color w:val="000000"/>
          <w:u w:val="single"/>
          <w:lang w:eastAsia="bg-BG"/>
        </w:rPr>
      </w:pPr>
    </w:p>
    <w:p w14:paraId="039B24D9" w14:textId="0773F69C"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u w:val="single"/>
          <w:lang w:eastAsia="bg-BG"/>
        </w:rPr>
        <w:t>Абсорбция</w:t>
      </w:r>
    </w:p>
    <w:p w14:paraId="71E14F27"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 xml:space="preserve">Телмисартан; Пиковите концентрации на телмисартан се постигат в рамките на 0,5 - 1,5 часа след перорален прием. Абсолютната бионаличност на телмисартан в дози 40 </w:t>
      </w:r>
      <w:r w:rsidRPr="00AE5A68">
        <w:rPr>
          <w:rFonts w:eastAsia="Times New Roman" w:cs="Arial"/>
          <w:color w:val="000000"/>
          <w:lang w:val="en-US"/>
        </w:rPr>
        <w:t xml:space="preserve">mg </w:t>
      </w:r>
      <w:r w:rsidRPr="00AE5A68">
        <w:rPr>
          <w:rFonts w:eastAsia="Times New Roman" w:cs="Arial"/>
          <w:color w:val="000000"/>
          <w:lang w:eastAsia="bg-BG"/>
        </w:rPr>
        <w:t xml:space="preserve">и 160 </w:t>
      </w:r>
      <w:r w:rsidRPr="00AE5A68">
        <w:rPr>
          <w:rFonts w:eastAsia="Times New Roman" w:cs="Arial"/>
          <w:color w:val="000000"/>
          <w:lang w:val="en-US"/>
        </w:rPr>
        <w:t xml:space="preserve">mg </w:t>
      </w:r>
      <w:r w:rsidRPr="00AE5A68">
        <w:rPr>
          <w:rFonts w:eastAsia="Times New Roman" w:cs="Arial"/>
          <w:color w:val="000000"/>
          <w:lang w:eastAsia="bg-BG"/>
        </w:rPr>
        <w:t xml:space="preserve">е съответно 42% и 58%. Храната леко снижава бионаличността на телмисартан като редукцията на областта под кривата плазмена концентрация-време </w:t>
      </w:r>
      <w:r w:rsidRPr="00AE5A68">
        <w:rPr>
          <w:rFonts w:eastAsia="Times New Roman" w:cs="Arial"/>
          <w:color w:val="000000"/>
          <w:lang w:val="en-US"/>
        </w:rPr>
        <w:t xml:space="preserve">(AUC) </w:t>
      </w:r>
      <w:r w:rsidRPr="00AE5A68">
        <w:rPr>
          <w:rFonts w:eastAsia="Times New Roman" w:cs="Arial"/>
          <w:color w:val="000000"/>
          <w:lang w:eastAsia="bg-BG"/>
        </w:rPr>
        <w:t xml:space="preserve">на телмисартан е от около 6% при 40 </w:t>
      </w:r>
      <w:r w:rsidRPr="00AE5A68">
        <w:rPr>
          <w:rFonts w:eastAsia="Times New Roman" w:cs="Arial"/>
          <w:color w:val="000000"/>
          <w:lang w:val="en-US"/>
        </w:rPr>
        <w:t xml:space="preserve">mg </w:t>
      </w:r>
      <w:r w:rsidRPr="00AE5A68">
        <w:rPr>
          <w:rFonts w:eastAsia="Times New Roman" w:cs="Arial"/>
          <w:color w:val="000000"/>
          <w:lang w:eastAsia="bg-BG"/>
        </w:rPr>
        <w:t xml:space="preserve">доза и около 19% при 160 </w:t>
      </w:r>
      <w:r w:rsidRPr="00AE5A68">
        <w:rPr>
          <w:rFonts w:eastAsia="Times New Roman" w:cs="Arial"/>
          <w:color w:val="000000"/>
          <w:lang w:val="en-US"/>
        </w:rPr>
        <w:t xml:space="preserve">mg </w:t>
      </w:r>
      <w:r w:rsidRPr="00AE5A68">
        <w:rPr>
          <w:rFonts w:eastAsia="Times New Roman" w:cs="Arial"/>
          <w:color w:val="000000"/>
          <w:lang w:eastAsia="bg-BG"/>
        </w:rPr>
        <w:t xml:space="preserve">доза. Три часа след приложение плазмените концентрации са подобни, независимо дали телмисартан е приложен на гладно или с храна. Не се очаква слабата редукция в </w:t>
      </w:r>
      <w:r w:rsidRPr="00AE5A68">
        <w:rPr>
          <w:rFonts w:eastAsia="Times New Roman" w:cs="Arial"/>
          <w:color w:val="000000"/>
          <w:lang w:val="en-US"/>
        </w:rPr>
        <w:t xml:space="preserve">AUC </w:t>
      </w:r>
      <w:r w:rsidRPr="00AE5A68">
        <w:rPr>
          <w:rFonts w:eastAsia="Times New Roman" w:cs="Arial"/>
          <w:color w:val="000000"/>
          <w:lang w:eastAsia="bg-BG"/>
        </w:rPr>
        <w:t>да предизвика редукция в терапевтичната ефикасност.</w:t>
      </w:r>
    </w:p>
    <w:p w14:paraId="6BA67F74"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Телмисартан не кумулира значително в плазмата при повторно приложение.</w:t>
      </w:r>
    </w:p>
    <w:p w14:paraId="6D7481BE"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Хидрохлоротиазид: Пиковите концентрации на хидрохлоротиазид се постигат в рамките на приблизително 1,0 - 3,0 часа след перорален прием на Тезео НСТ. Абсолютната бионаличност, базирана на кумулативната ренална екскреция на хидрохлоротиазид, е около 60%.</w:t>
      </w:r>
    </w:p>
    <w:p w14:paraId="685D0D51" w14:textId="77777777" w:rsidR="00AE5A68" w:rsidRPr="00AE5A68" w:rsidRDefault="00AE5A68" w:rsidP="00AE5A68">
      <w:pPr>
        <w:spacing w:line="240" w:lineRule="auto"/>
        <w:rPr>
          <w:rFonts w:eastAsia="Times New Roman" w:cs="Arial"/>
          <w:color w:val="000000"/>
          <w:u w:val="single"/>
          <w:lang w:eastAsia="bg-BG"/>
        </w:rPr>
      </w:pPr>
    </w:p>
    <w:p w14:paraId="29A258ED" w14:textId="532909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u w:val="single"/>
          <w:lang w:eastAsia="bg-BG"/>
        </w:rPr>
        <w:t>Разпределение</w:t>
      </w:r>
    </w:p>
    <w:p w14:paraId="543A3C29"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lastRenderedPageBreak/>
        <w:t xml:space="preserve">Телмисартан се свързва в голяма степен с плазмените протеини (&gt; 99,5%), главно с албумин и алфа-1 кисел глюкопротеин. Средният привиден обем на разпределение е около 500 1. Хидрохлоротиазид се свързва в </w:t>
      </w:r>
      <w:r w:rsidRPr="00AE5A68">
        <w:rPr>
          <w:rFonts w:eastAsia="Times New Roman" w:cs="Arial"/>
          <w:i/>
          <w:iCs/>
          <w:color w:val="000000"/>
          <w:lang w:eastAsia="bg-BG"/>
        </w:rPr>
        <w:t>68% с</w:t>
      </w:r>
      <w:r w:rsidRPr="00AE5A68">
        <w:rPr>
          <w:rFonts w:eastAsia="Times New Roman" w:cs="Arial"/>
          <w:color w:val="000000"/>
          <w:lang w:eastAsia="bg-BG"/>
        </w:rPr>
        <w:t xml:space="preserve"> плазмените протеини и привидният му обем на разпределение е 0,83 - 1,14 </w:t>
      </w:r>
      <w:r w:rsidRPr="00AE5A68">
        <w:rPr>
          <w:rFonts w:eastAsia="Times New Roman" w:cs="Arial"/>
          <w:color w:val="000000"/>
          <w:lang w:val="en-US"/>
        </w:rPr>
        <w:t>1/kg.</w:t>
      </w:r>
    </w:p>
    <w:p w14:paraId="0520DE2A" w14:textId="77777777" w:rsidR="00AE5A68" w:rsidRPr="00AE5A68" w:rsidRDefault="00AE5A68" w:rsidP="00AE5A68">
      <w:pPr>
        <w:spacing w:line="240" w:lineRule="auto"/>
        <w:rPr>
          <w:rFonts w:eastAsia="Times New Roman" w:cs="Arial"/>
          <w:color w:val="000000"/>
          <w:u w:val="single"/>
          <w:lang w:eastAsia="bg-BG"/>
        </w:rPr>
      </w:pPr>
    </w:p>
    <w:p w14:paraId="5922D659" w14:textId="54D4DCA1"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u w:val="single"/>
          <w:lang w:eastAsia="bg-BG"/>
        </w:rPr>
        <w:t>Биотрансформация</w:t>
      </w:r>
    </w:p>
    <w:p w14:paraId="2885EBED"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 xml:space="preserve">Телмисартан се метаболизира чрез конюгация като образува фармакологично неактивен ацилглюкорунид. Глюкорунидът на основното вещество е единственият метаболит, идентифициран при човека. След еднократна доза белязан с радиоактивен въглерод </w:t>
      </w:r>
      <w:r w:rsidRPr="00AE5A68">
        <w:rPr>
          <w:rFonts w:eastAsia="Times New Roman" w:cs="Arial"/>
          <w:color w:val="000000"/>
          <w:vertAlign w:val="superscript"/>
          <w:lang w:eastAsia="bg-BG"/>
        </w:rPr>
        <w:t>14</w:t>
      </w:r>
      <w:r w:rsidRPr="00AE5A68">
        <w:rPr>
          <w:rFonts w:eastAsia="Times New Roman" w:cs="Arial"/>
          <w:color w:val="000000"/>
          <w:lang w:eastAsia="bg-BG"/>
        </w:rPr>
        <w:t>С телмисартан глюкорунидът представлява приблизително 11 % от измерената радиоактивност в плазмата. Изоензимите на цитохром Р450 нямат участие в метаболизма на телмисартан. Хидрохлоротиазид не се метаболизира при хора.</w:t>
      </w:r>
    </w:p>
    <w:p w14:paraId="2F6652BF" w14:textId="77777777" w:rsidR="00AE5A68" w:rsidRPr="00AE5A68" w:rsidRDefault="00AE5A68" w:rsidP="00AE5A68">
      <w:pPr>
        <w:spacing w:line="240" w:lineRule="auto"/>
        <w:rPr>
          <w:rFonts w:eastAsia="Times New Roman" w:cs="Arial"/>
          <w:color w:val="000000"/>
          <w:u w:val="single"/>
          <w:lang w:eastAsia="bg-BG"/>
        </w:rPr>
      </w:pPr>
    </w:p>
    <w:p w14:paraId="34B8A389" w14:textId="58F7A448"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u w:val="single"/>
          <w:lang w:eastAsia="bg-BG"/>
        </w:rPr>
        <w:t>Елиминиране</w:t>
      </w:r>
    </w:p>
    <w:p w14:paraId="2A66A0B4"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 xml:space="preserve">Телмисартан: Както след ингравенозно, така и след перорално приложение на </w:t>
      </w:r>
      <w:r w:rsidRPr="00AE5A68">
        <w:rPr>
          <w:rFonts w:eastAsia="Times New Roman" w:cs="Arial"/>
          <w:color w:val="000000"/>
          <w:vertAlign w:val="superscript"/>
          <w:lang w:eastAsia="bg-BG"/>
        </w:rPr>
        <w:t>14</w:t>
      </w:r>
      <w:r w:rsidRPr="00AE5A68">
        <w:rPr>
          <w:rFonts w:eastAsia="Times New Roman" w:cs="Arial"/>
          <w:color w:val="000000"/>
          <w:lang w:eastAsia="bg-BG"/>
        </w:rPr>
        <w:t>С белязан телмисартан, по-голямата част от приетата доза (&gt; 97%) се елиминира с изпражненията чрез билиарна екскреция. В урината се откриват само незначителни количества.</w:t>
      </w:r>
    </w:p>
    <w:p w14:paraId="3E2FDC61"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 xml:space="preserve">Тоталния плазмен клирънс на телмисартан след перорално приложение е &gt; 1 500 </w:t>
      </w:r>
      <w:r w:rsidRPr="00AE5A68">
        <w:rPr>
          <w:rFonts w:eastAsia="Times New Roman" w:cs="Arial"/>
          <w:color w:val="000000"/>
          <w:lang w:val="en-US"/>
        </w:rPr>
        <w:t xml:space="preserve">ml/min. </w:t>
      </w:r>
      <w:r w:rsidRPr="00AE5A68">
        <w:rPr>
          <w:rFonts w:eastAsia="Times New Roman" w:cs="Arial"/>
          <w:color w:val="000000"/>
          <w:lang w:eastAsia="bg-BG"/>
        </w:rPr>
        <w:t>Терминалният полуживот на елиминиране е повече от 20 часа.</w:t>
      </w:r>
    </w:p>
    <w:p w14:paraId="4D26378D"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 xml:space="preserve">Хидрохлоротиазид се екскретира изцяло непроменен с урината. Около 60% от пероралната доза се елиминира непроменена до 48 часа. Бъбречният клирънс е около 250 - 300 </w:t>
      </w:r>
      <w:r w:rsidRPr="00AE5A68">
        <w:rPr>
          <w:rFonts w:eastAsia="Times New Roman" w:cs="Arial"/>
          <w:color w:val="000000"/>
          <w:lang w:val="en-US"/>
        </w:rPr>
        <w:t xml:space="preserve">ml/min. </w:t>
      </w:r>
      <w:r w:rsidRPr="00AE5A68">
        <w:rPr>
          <w:rFonts w:eastAsia="Times New Roman" w:cs="Arial"/>
          <w:color w:val="000000"/>
          <w:lang w:eastAsia="bg-BG"/>
        </w:rPr>
        <w:t>Терминалният елиминационен полуживот е 10 - 15 часа.</w:t>
      </w:r>
    </w:p>
    <w:p w14:paraId="0EE0720F" w14:textId="77777777" w:rsidR="00AE5A68" w:rsidRPr="00AE5A68" w:rsidRDefault="00AE5A68" w:rsidP="00AE5A68">
      <w:pPr>
        <w:spacing w:line="240" w:lineRule="auto"/>
        <w:rPr>
          <w:rFonts w:eastAsia="Times New Roman" w:cs="Arial"/>
          <w:color w:val="000000"/>
          <w:u w:val="single"/>
          <w:lang w:eastAsia="bg-BG"/>
        </w:rPr>
      </w:pPr>
    </w:p>
    <w:p w14:paraId="4E2DEC8C" w14:textId="03813525"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u w:val="single"/>
          <w:lang w:eastAsia="bg-BG"/>
        </w:rPr>
        <w:t>Линейност/нелинейност</w:t>
      </w:r>
    </w:p>
    <w:p w14:paraId="52D885E8"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 xml:space="preserve">Телмисартан: фармакокинетиката на перорално приложения телмисартан с дози от 20-160 </w:t>
      </w:r>
      <w:r w:rsidRPr="00AE5A68">
        <w:rPr>
          <w:rFonts w:eastAsia="Times New Roman" w:cs="Arial"/>
          <w:color w:val="000000"/>
          <w:lang w:val="en-US"/>
        </w:rPr>
        <w:t xml:space="preserve">mg </w:t>
      </w:r>
      <w:r w:rsidRPr="00AE5A68">
        <w:rPr>
          <w:rFonts w:eastAsia="Times New Roman" w:cs="Arial"/>
          <w:color w:val="000000"/>
          <w:lang w:eastAsia="bg-BG"/>
        </w:rPr>
        <w:t>е нелинейна, като се наблюдава непропорционално повишение на плазмените концентрации (С</w:t>
      </w:r>
      <w:r w:rsidRPr="00AE5A68">
        <w:rPr>
          <w:rFonts w:eastAsia="Times New Roman" w:cs="Arial"/>
          <w:color w:val="000000"/>
          <w:vertAlign w:val="subscript"/>
          <w:lang w:val="en-US"/>
        </w:rPr>
        <w:t>max</w:t>
      </w:r>
      <w:r w:rsidRPr="00AE5A68">
        <w:rPr>
          <w:rFonts w:eastAsia="Times New Roman" w:cs="Arial"/>
          <w:color w:val="000000"/>
          <w:lang w:eastAsia="bg-BG"/>
        </w:rPr>
        <w:t xml:space="preserve"> и </w:t>
      </w:r>
      <w:r w:rsidRPr="00AE5A68">
        <w:rPr>
          <w:rFonts w:eastAsia="Times New Roman" w:cs="Arial"/>
          <w:color w:val="000000"/>
          <w:lang w:val="en-US"/>
        </w:rPr>
        <w:t xml:space="preserve">AUC) </w:t>
      </w:r>
      <w:r w:rsidRPr="00AE5A68">
        <w:rPr>
          <w:rFonts w:eastAsia="Times New Roman" w:cs="Arial"/>
          <w:color w:val="000000"/>
          <w:lang w:eastAsia="bg-BG"/>
        </w:rPr>
        <w:t>с повишаване на дозата.</w:t>
      </w:r>
    </w:p>
    <w:p w14:paraId="57960752"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Хидрохлоротиазид показва линейна фармакокинетика.</w:t>
      </w:r>
    </w:p>
    <w:p w14:paraId="18FBF59E" w14:textId="77777777" w:rsidR="00AE5A68" w:rsidRPr="00AE5A68" w:rsidRDefault="00AE5A68" w:rsidP="00AE5A68">
      <w:pPr>
        <w:spacing w:line="240" w:lineRule="auto"/>
        <w:rPr>
          <w:rFonts w:eastAsia="Times New Roman" w:cs="Arial"/>
          <w:color w:val="000000"/>
          <w:u w:val="single"/>
          <w:lang w:eastAsia="bg-BG"/>
        </w:rPr>
      </w:pPr>
    </w:p>
    <w:p w14:paraId="31A3C02A" w14:textId="538463F8"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u w:val="single"/>
          <w:lang w:eastAsia="bg-BG"/>
        </w:rPr>
        <w:t>Старческа възраст</w:t>
      </w:r>
    </w:p>
    <w:p w14:paraId="720FC9E5"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Фармакокинетиката на телмисартан не се различава между пациенти в старческа възраст</w:t>
      </w:r>
      <w:r w:rsidRPr="00AE5A68">
        <w:rPr>
          <w:rFonts w:eastAsia="Times New Roman" w:cs="Arial"/>
          <w:color w:val="000000"/>
          <w:lang w:val="en-US"/>
        </w:rPr>
        <w:t xml:space="preserve"> </w:t>
      </w:r>
      <w:r w:rsidRPr="00AE5A68">
        <w:rPr>
          <w:rFonts w:eastAsia="Times New Roman" w:cs="Arial"/>
          <w:color w:val="000000"/>
          <w:lang w:eastAsia="bg-BG"/>
        </w:rPr>
        <w:t>и тези, по-млади от 65 години.</w:t>
      </w:r>
    </w:p>
    <w:p w14:paraId="49B8A74A" w14:textId="77777777" w:rsidR="00AE5A68" w:rsidRPr="00AE5A68" w:rsidRDefault="00AE5A68" w:rsidP="00AE5A68">
      <w:pPr>
        <w:spacing w:line="240" w:lineRule="auto"/>
        <w:rPr>
          <w:rFonts w:eastAsia="Times New Roman" w:cs="Arial"/>
          <w:color w:val="000000"/>
          <w:u w:val="single"/>
          <w:lang w:eastAsia="bg-BG"/>
        </w:rPr>
      </w:pPr>
    </w:p>
    <w:p w14:paraId="62C150B3" w14:textId="150A5DAE"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u w:val="single"/>
          <w:lang w:eastAsia="bg-BG"/>
        </w:rPr>
        <w:t>Пол</w:t>
      </w:r>
    </w:p>
    <w:p w14:paraId="35C6D606"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При жени плазмените концентрации на телмисартан обичайно са 2 -3 пъти по-високи, отколкото при мъже. В клиничните проучвания, обаче, при жени не се наблюдават значимо увеличен отговор на кръвното налягане или честотата на ортостатична хипотония. Не се налага прецизиране на дозата. При жени има тенденция към по-високи плазмени нива на хидрохлоротиазид, отколкото при мъже. Това обаче няма клинична значимост.</w:t>
      </w:r>
    </w:p>
    <w:p w14:paraId="5B5F28DA" w14:textId="77777777" w:rsidR="00AE5A68" w:rsidRPr="00AE5A68" w:rsidRDefault="00AE5A68" w:rsidP="00AE5A68">
      <w:pPr>
        <w:spacing w:line="240" w:lineRule="auto"/>
        <w:rPr>
          <w:rFonts w:eastAsia="Times New Roman" w:cs="Arial"/>
          <w:color w:val="000000"/>
          <w:u w:val="single"/>
          <w:lang w:eastAsia="bg-BG"/>
        </w:rPr>
      </w:pPr>
    </w:p>
    <w:p w14:paraId="280D824B" w14:textId="65B7E87E"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u w:val="single"/>
          <w:lang w:eastAsia="bg-BG"/>
        </w:rPr>
        <w:t>Бъбречни увреждания</w:t>
      </w:r>
    </w:p>
    <w:p w14:paraId="294C301E"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 xml:space="preserve">Бъбречната екскреция не допринася за клирънса на телмисартан. Според ограничения опит при пациенти с леко до средно и тежко бъбречно увреждане (креатининов клирънс 30-60 </w:t>
      </w:r>
      <w:r w:rsidRPr="00AE5A68">
        <w:rPr>
          <w:rFonts w:eastAsia="Times New Roman" w:cs="Arial"/>
          <w:color w:val="000000"/>
          <w:lang w:val="en-US"/>
        </w:rPr>
        <w:t xml:space="preserve">ml/min, </w:t>
      </w:r>
      <w:r w:rsidRPr="00AE5A68">
        <w:rPr>
          <w:rFonts w:eastAsia="Times New Roman" w:cs="Arial"/>
          <w:color w:val="000000"/>
          <w:lang w:eastAsia="bg-BG"/>
        </w:rPr>
        <w:t xml:space="preserve">средно около 50 </w:t>
      </w:r>
      <w:r w:rsidRPr="00AE5A68">
        <w:rPr>
          <w:rFonts w:eastAsia="Times New Roman" w:cs="Arial"/>
          <w:color w:val="000000"/>
          <w:lang w:val="en-US"/>
        </w:rPr>
        <w:t xml:space="preserve">ml/min), </w:t>
      </w:r>
      <w:r w:rsidRPr="00AE5A68">
        <w:rPr>
          <w:rFonts w:eastAsia="Times New Roman" w:cs="Arial"/>
          <w:color w:val="000000"/>
          <w:lang w:eastAsia="bg-BG"/>
        </w:rPr>
        <w:t xml:space="preserve">не се налага коригиране на дозата при пациенти с намалена бъбречна функция. Телмисартан не може да бъде отделен при хемодиализа, При пациенти с нарушени бъбречни функции степента на елиминиране на хидрохлоротиазид е редуцирана, В едно типично проучване, включващо пациенти със среден креатининов клирънс 90 </w:t>
      </w:r>
      <w:r w:rsidRPr="00AE5A68">
        <w:rPr>
          <w:rFonts w:eastAsia="Times New Roman" w:cs="Arial"/>
          <w:color w:val="000000"/>
          <w:lang w:val="en-US"/>
        </w:rPr>
        <w:t xml:space="preserve">ml/min, </w:t>
      </w:r>
      <w:r w:rsidRPr="00AE5A68">
        <w:rPr>
          <w:rFonts w:eastAsia="Times New Roman" w:cs="Arial"/>
          <w:color w:val="000000"/>
          <w:lang w:eastAsia="bg-BG"/>
        </w:rPr>
        <w:t xml:space="preserve">полуживота на елиминиране на хидрохлоротиазид </w:t>
      </w:r>
      <w:r w:rsidRPr="00AE5A68">
        <w:rPr>
          <w:rFonts w:eastAsia="Times New Roman" w:cs="Arial"/>
          <w:color w:val="000000"/>
          <w:lang w:eastAsia="bg-BG"/>
        </w:rPr>
        <w:lastRenderedPageBreak/>
        <w:t>се увеличава. При функционално анефрични пациенти елиминационния полуживот е около 34 часа.</w:t>
      </w:r>
    </w:p>
    <w:p w14:paraId="12EFDFCE" w14:textId="77777777" w:rsidR="00AE5A68" w:rsidRPr="00AE5A68" w:rsidRDefault="00AE5A68" w:rsidP="00AE5A68">
      <w:pPr>
        <w:spacing w:line="240" w:lineRule="auto"/>
        <w:rPr>
          <w:rFonts w:eastAsia="Times New Roman" w:cs="Arial"/>
          <w:color w:val="000000"/>
          <w:u w:val="single"/>
          <w:lang w:eastAsia="bg-BG"/>
        </w:rPr>
      </w:pPr>
    </w:p>
    <w:p w14:paraId="6ADEC391" w14:textId="6CAF0F6E"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u w:val="single"/>
          <w:lang w:eastAsia="bg-BG"/>
        </w:rPr>
        <w:t>Чернодробни увреждания</w:t>
      </w:r>
    </w:p>
    <w:p w14:paraId="7F017541" w14:textId="77777777" w:rsidR="00AE5A68" w:rsidRPr="00AE5A68" w:rsidRDefault="00AE5A68" w:rsidP="00AE5A68">
      <w:pPr>
        <w:spacing w:line="240" w:lineRule="auto"/>
        <w:rPr>
          <w:rFonts w:eastAsia="Times New Roman" w:cs="Arial"/>
          <w:sz w:val="28"/>
          <w:szCs w:val="28"/>
          <w:lang w:eastAsia="bg-BG"/>
        </w:rPr>
      </w:pPr>
      <w:r w:rsidRPr="00AE5A68">
        <w:rPr>
          <w:rFonts w:eastAsia="Times New Roman" w:cs="Arial"/>
          <w:color w:val="000000"/>
          <w:lang w:eastAsia="bg-BG"/>
        </w:rPr>
        <w:t>Фармакокинетичните проучвания при пациенти с чернодробни увреждания показват повишаване на абсолютната бионаличност до около 100%. При пациенти с чернодробни увреждания елиминационният полуживот не е променен.</w:t>
      </w:r>
    </w:p>
    <w:p w14:paraId="4EC6999F" w14:textId="77777777" w:rsidR="00AE5A68" w:rsidRPr="00AE5A68" w:rsidRDefault="00AE5A68" w:rsidP="00AE5A68"/>
    <w:p w14:paraId="0CC65FE3" w14:textId="7BA8543D" w:rsidR="00EE6C97" w:rsidRDefault="002C50EE" w:rsidP="00A93499">
      <w:pPr>
        <w:pStyle w:val="Heading2"/>
      </w:pPr>
      <w:r>
        <w:t>5.3. Предклинични данни за безопасност</w:t>
      </w:r>
    </w:p>
    <w:p w14:paraId="03B4AD63" w14:textId="456C60F1" w:rsidR="00AE5A68" w:rsidRDefault="00AE5A68" w:rsidP="00AE5A68"/>
    <w:p w14:paraId="221FB7F7" w14:textId="77777777" w:rsidR="00AE5A68" w:rsidRPr="00AE5A68" w:rsidRDefault="00AE5A68" w:rsidP="00AE5A68">
      <w:pPr>
        <w:rPr>
          <w:sz w:val="24"/>
          <w:szCs w:val="24"/>
          <w:lang w:eastAsia="bg-BG"/>
        </w:rPr>
      </w:pPr>
      <w:r w:rsidRPr="00AE5A68">
        <w:rPr>
          <w:lang w:eastAsia="bg-BG"/>
        </w:rPr>
        <w:t>При предклинични проучвания за безопасност с едновременно приложение на телмисартан и хидрохлоротиазид при нормотензивни плъхове и кучета, дози, сравними с тези в клиничния терапевтичен диапазон не предизвикват ефекти, различни от наблюдаваните при самостоятелното приложение на двете вещества. Наблюдаваните токсикологични промени нямат отношение към използването за терапевтични цели при човека.</w:t>
      </w:r>
    </w:p>
    <w:p w14:paraId="12DF4617" w14:textId="77777777" w:rsidR="00AE5A68" w:rsidRDefault="00AE5A68" w:rsidP="00AE5A68">
      <w:pPr>
        <w:rPr>
          <w:lang w:eastAsia="bg-BG"/>
        </w:rPr>
      </w:pPr>
    </w:p>
    <w:p w14:paraId="35E14923" w14:textId="09CCDA4C" w:rsidR="00AE5A68" w:rsidRPr="00AE5A68" w:rsidRDefault="00AE5A68" w:rsidP="00AE5A68">
      <w:pPr>
        <w:rPr>
          <w:sz w:val="24"/>
          <w:szCs w:val="24"/>
          <w:lang w:eastAsia="bg-BG"/>
        </w:rPr>
      </w:pPr>
      <w:r w:rsidRPr="00AE5A68">
        <w:rPr>
          <w:lang w:eastAsia="bg-BG"/>
        </w:rPr>
        <w:t>Токсикологичните находки, добре познати от пред клиничните проучвания на инхибитори на ангиотензин конвертиращия ензим и антагонисти на ангиотензин II рецепторите са: намаляване на параметрите на червените кръвни клетки (еритроцити, хемоглобин, хематокрит), промени в бъбречната хемодинамика (повишено ниво на азот в кръвта и креатинин), повишена активност на плазмения ренин, хипертрофия/хиперплазия на юкстагломеруларните клетки и увреждане на стомашната лигавица. Стомашните лезии могат да бъдат предотвратени/ограничени чрез перорално добавяне на физиологичен разтвор и групови жилища за животните. При кучета са наблюдавани бъбречна тубуларна дилатация и атрофия. Счита се, че тези находки се дължат на фармакологичната активност на телмисартан.</w:t>
      </w:r>
    </w:p>
    <w:p w14:paraId="3A83A185" w14:textId="77777777" w:rsidR="00AE5A68" w:rsidRDefault="00AE5A68" w:rsidP="00AE5A68">
      <w:pPr>
        <w:rPr>
          <w:lang w:eastAsia="bg-BG"/>
        </w:rPr>
      </w:pPr>
    </w:p>
    <w:p w14:paraId="1EBF855B" w14:textId="1A90A7D7" w:rsidR="00AE5A68" w:rsidRPr="00AE5A68" w:rsidRDefault="00AE5A68" w:rsidP="00AE5A68">
      <w:pPr>
        <w:rPr>
          <w:sz w:val="24"/>
          <w:szCs w:val="24"/>
          <w:lang w:eastAsia="bg-BG"/>
        </w:rPr>
      </w:pPr>
      <w:r w:rsidRPr="00AE5A68">
        <w:rPr>
          <w:lang w:eastAsia="bg-BG"/>
        </w:rPr>
        <w:t>Няма ясни данни за тератогенен ефект, въпреки това при токсични дозови нива на телмисартан е наблюдаван ефект върху постнаталното развитие на потомството, като по-ниско телесно тегло и забавено отваряне на очите.</w:t>
      </w:r>
    </w:p>
    <w:p w14:paraId="346BAC08" w14:textId="77777777" w:rsidR="00AE5A68" w:rsidRPr="00AE5A68" w:rsidRDefault="00AE5A68" w:rsidP="00AE5A68">
      <w:pPr>
        <w:rPr>
          <w:sz w:val="24"/>
          <w:szCs w:val="24"/>
          <w:lang w:eastAsia="bg-BG"/>
        </w:rPr>
      </w:pPr>
      <w:r w:rsidRPr="00AE5A68">
        <w:rPr>
          <w:lang w:eastAsia="bg-BG"/>
        </w:rPr>
        <w:t xml:space="preserve">Няма доказателства за мутагенност и съответна кластогенна активност на телмисартан при изпитвания </w:t>
      </w:r>
      <w:r w:rsidRPr="00AE5A68">
        <w:rPr>
          <w:lang w:val="en-US"/>
        </w:rPr>
        <w:t xml:space="preserve">in vitro </w:t>
      </w:r>
      <w:r w:rsidRPr="00AE5A68">
        <w:rPr>
          <w:lang w:eastAsia="bg-BG"/>
        </w:rPr>
        <w:t>и карциногенност при плъхове и мишки. Проучванията с хидрохлоротиазид дават несигурни данни за генотоксичност или карциногенни ефекти при някои експериментални модели. Въпреки това, натрупания опит от използването на хидрохлоротиазид при човека не дава доказателства за връзка между употребата му и повишена честота на неоплазмите.</w:t>
      </w:r>
    </w:p>
    <w:p w14:paraId="69CFDD4F" w14:textId="21B37CAF" w:rsidR="00AE5A68" w:rsidRPr="00AE5A68" w:rsidRDefault="00AE5A68" w:rsidP="00AE5A68">
      <w:r w:rsidRPr="00AE5A68">
        <w:rPr>
          <w:lang w:eastAsia="bg-BG"/>
        </w:rPr>
        <w:t>За фетотоксичния потенциал на комбинацията телмисартан/хидрохлоротиазид вижте точка 4.6.</w:t>
      </w:r>
    </w:p>
    <w:p w14:paraId="357049A8" w14:textId="496D775E" w:rsidR="00BB22B4" w:rsidRDefault="002C50EE" w:rsidP="00471F10">
      <w:pPr>
        <w:pStyle w:val="Heading1"/>
      </w:pPr>
      <w:r>
        <w:t>7. ПРИТЕЖАТЕЛ НА РАЗРЕШЕНИЕТО ЗА УПОТРЕБА</w:t>
      </w:r>
    </w:p>
    <w:p w14:paraId="07893376" w14:textId="3587DA6F" w:rsidR="00AE5A68" w:rsidRDefault="00AE5A68" w:rsidP="00AE5A68"/>
    <w:p w14:paraId="52CE26C3" w14:textId="77777777" w:rsidR="00AE5A68" w:rsidRDefault="00AE5A68" w:rsidP="00AE5A68">
      <w:r>
        <w:t xml:space="preserve">Zentiva, k. s., </w:t>
      </w:r>
    </w:p>
    <w:p w14:paraId="4BC559B0" w14:textId="77777777" w:rsidR="00AE5A68" w:rsidRDefault="00AE5A68" w:rsidP="00AE5A68">
      <w:pPr>
        <w:rPr>
          <w:lang w:eastAsia="bg-BG"/>
        </w:rPr>
      </w:pPr>
      <w:r>
        <w:t xml:space="preserve">U kabelovny </w:t>
      </w:r>
      <w:r>
        <w:rPr>
          <w:lang w:eastAsia="bg-BG"/>
        </w:rPr>
        <w:t xml:space="preserve">130 </w:t>
      </w:r>
    </w:p>
    <w:p w14:paraId="632932B9" w14:textId="77777777" w:rsidR="00AE5A68" w:rsidRDefault="00AE5A68" w:rsidP="00AE5A68">
      <w:r>
        <w:rPr>
          <w:lang w:eastAsia="bg-BG"/>
        </w:rPr>
        <w:t xml:space="preserve">102 37 </w:t>
      </w:r>
      <w:r>
        <w:t xml:space="preserve">Prague 10, </w:t>
      </w:r>
    </w:p>
    <w:p w14:paraId="37D3A061" w14:textId="6D0E92F8" w:rsidR="00AE5A68" w:rsidRPr="00AE5A68" w:rsidRDefault="00AE5A68" w:rsidP="00AE5A68">
      <w:r>
        <w:rPr>
          <w:lang w:eastAsia="bg-BG"/>
        </w:rPr>
        <w:t>Чешка република</w:t>
      </w:r>
    </w:p>
    <w:p w14:paraId="0A53321D" w14:textId="2C5248AD" w:rsidR="00EE6C97" w:rsidRDefault="00936AD0" w:rsidP="00A93499">
      <w:pPr>
        <w:pStyle w:val="Heading1"/>
      </w:pPr>
      <w:r>
        <w:lastRenderedPageBreak/>
        <w:t>8.</w:t>
      </w:r>
      <w:r w:rsidR="002C50EE">
        <w:t>НОМЕР НА РАЗРЕШЕНИЕТО ЗА УПОТРЕБА</w:t>
      </w:r>
    </w:p>
    <w:p w14:paraId="6BBAD655" w14:textId="79BD71A3" w:rsidR="00AE5A68" w:rsidRDefault="00AE5A68" w:rsidP="00AE5A68"/>
    <w:p w14:paraId="73BD76AB" w14:textId="60E68D5D" w:rsidR="00AE5A68" w:rsidRPr="00AE5A68" w:rsidRDefault="00AE5A68" w:rsidP="00AE5A68">
      <w:r>
        <w:rPr>
          <w:lang w:val="en-US"/>
        </w:rPr>
        <w:t xml:space="preserve">Per. </w:t>
      </w:r>
      <w:r>
        <w:t>№20130334</w:t>
      </w:r>
    </w:p>
    <w:p w14:paraId="3715C10B" w14:textId="4C6294B2" w:rsidR="00BB22B4" w:rsidRDefault="002C50EE" w:rsidP="00471F10">
      <w:pPr>
        <w:pStyle w:val="Heading1"/>
      </w:pPr>
      <w:r>
        <w:t>9. ДАТА НА ПЪРВО РАЗРЕШАВАНЕ/ПОДНОВЯВАНЕ НА РАЗРЕШЕНИЕТО ЗА УПОТРЕБА</w:t>
      </w:r>
    </w:p>
    <w:p w14:paraId="7CEF524B" w14:textId="0434FB17" w:rsidR="00AE5A68" w:rsidRDefault="00AE5A68" w:rsidP="00AE5A68"/>
    <w:p w14:paraId="3A7D71F0" w14:textId="77777777" w:rsidR="00AE5A68" w:rsidRPr="00AE5A68" w:rsidRDefault="00AE5A68" w:rsidP="00AE5A68">
      <w:pPr>
        <w:rPr>
          <w:sz w:val="24"/>
          <w:szCs w:val="24"/>
          <w:lang w:eastAsia="bg-BG"/>
        </w:rPr>
      </w:pPr>
      <w:r w:rsidRPr="00AE5A68">
        <w:rPr>
          <w:lang w:eastAsia="bg-BG"/>
        </w:rPr>
        <w:t>Дата на първо разрешаване: 14.10.2013 г.</w:t>
      </w:r>
    </w:p>
    <w:p w14:paraId="7F914DEF" w14:textId="7988D1CF" w:rsidR="00AE5A68" w:rsidRPr="00AE5A68" w:rsidRDefault="00AE5A68" w:rsidP="00AE5A68">
      <w:r w:rsidRPr="00AE5A68">
        <w:rPr>
          <w:lang w:eastAsia="bg-BG"/>
        </w:rPr>
        <w:t>Дата на последно подновяване: 09.04.2019</w:t>
      </w:r>
    </w:p>
    <w:p w14:paraId="43FB38A2" w14:textId="0C18A683" w:rsidR="007C605B" w:rsidRDefault="002C50EE" w:rsidP="005726E3">
      <w:pPr>
        <w:pStyle w:val="Heading1"/>
      </w:pPr>
      <w:r>
        <w:t>10. ДАТА НА АКТУАЛИЗИРАНЕ НА ТЕКСТА</w:t>
      </w:r>
      <w:bookmarkEnd w:id="0"/>
    </w:p>
    <w:p w14:paraId="472617BD" w14:textId="499B0340" w:rsidR="00BB22B4" w:rsidRPr="00BB22B4" w:rsidRDefault="00AE5A68" w:rsidP="00AE5A68">
      <w:r>
        <w:t>16.02.2022 г.</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524DF"/>
    <w:multiLevelType w:val="hybridMultilevel"/>
    <w:tmpl w:val="90081D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105C4"/>
    <w:multiLevelType w:val="hybridMultilevel"/>
    <w:tmpl w:val="FB3CF582"/>
    <w:lvl w:ilvl="0" w:tplc="3C10B5BE">
      <w:start w:val="4"/>
      <w:numFmt w:val="bullet"/>
      <w:lvlText w:val="-"/>
      <w:lvlJc w:val="left"/>
      <w:pPr>
        <w:ind w:left="720" w:hanging="360"/>
      </w:pPr>
      <w:rPr>
        <w:rFonts w:ascii="Times New Roman" w:eastAsia="Times New Roman" w:hAnsi="Times New Roman" w:cs="Times New Roman" w:hint="default"/>
        <w:color w:val="000000"/>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6"/>
  </w:num>
  <w:num w:numId="4" w16cid:durableId="2135319613">
    <w:abstractNumId w:val="3"/>
  </w:num>
  <w:num w:numId="5" w16cid:durableId="740105516">
    <w:abstractNumId w:val="1"/>
  </w:num>
  <w:num w:numId="6" w16cid:durableId="1668363208">
    <w:abstractNumId w:val="20"/>
  </w:num>
  <w:num w:numId="7" w16cid:durableId="1241988161">
    <w:abstractNumId w:val="13"/>
  </w:num>
  <w:num w:numId="8" w16cid:durableId="2102022361">
    <w:abstractNumId w:val="19"/>
  </w:num>
  <w:num w:numId="9" w16cid:durableId="1154613663">
    <w:abstractNumId w:val="2"/>
  </w:num>
  <w:num w:numId="10" w16cid:durableId="1733848127">
    <w:abstractNumId w:val="4"/>
  </w:num>
  <w:num w:numId="11" w16cid:durableId="1861704680">
    <w:abstractNumId w:val="35"/>
  </w:num>
  <w:num w:numId="12" w16cid:durableId="1434934028">
    <w:abstractNumId w:val="17"/>
  </w:num>
  <w:num w:numId="13" w16cid:durableId="479157895">
    <w:abstractNumId w:val="23"/>
  </w:num>
  <w:num w:numId="14" w16cid:durableId="1670476636">
    <w:abstractNumId w:val="15"/>
  </w:num>
  <w:num w:numId="15" w16cid:durableId="1000155783">
    <w:abstractNumId w:val="34"/>
  </w:num>
  <w:num w:numId="16" w16cid:durableId="2056420707">
    <w:abstractNumId w:val="12"/>
  </w:num>
  <w:num w:numId="17" w16cid:durableId="1787119182">
    <w:abstractNumId w:val="28"/>
  </w:num>
  <w:num w:numId="18" w16cid:durableId="722945139">
    <w:abstractNumId w:val="9"/>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10"/>
  </w:num>
  <w:num w:numId="25" w16cid:durableId="50930855">
    <w:abstractNumId w:val="26"/>
  </w:num>
  <w:num w:numId="26" w16cid:durableId="176701536">
    <w:abstractNumId w:val="25"/>
  </w:num>
  <w:num w:numId="27" w16cid:durableId="2050564750">
    <w:abstractNumId w:val="36"/>
  </w:num>
  <w:num w:numId="28" w16cid:durableId="1820733422">
    <w:abstractNumId w:val="7"/>
  </w:num>
  <w:num w:numId="29" w16cid:durableId="973678124">
    <w:abstractNumId w:val="24"/>
  </w:num>
  <w:num w:numId="30" w16cid:durableId="154884452">
    <w:abstractNumId w:val="40"/>
  </w:num>
  <w:num w:numId="31" w16cid:durableId="1053964910">
    <w:abstractNumId w:val="5"/>
  </w:num>
  <w:num w:numId="32" w16cid:durableId="2073575793">
    <w:abstractNumId w:val="38"/>
  </w:num>
  <w:num w:numId="33" w16cid:durableId="1566643170">
    <w:abstractNumId w:val="32"/>
  </w:num>
  <w:num w:numId="34" w16cid:durableId="2060787732">
    <w:abstractNumId w:val="37"/>
  </w:num>
  <w:num w:numId="35" w16cid:durableId="34161354">
    <w:abstractNumId w:val="8"/>
  </w:num>
  <w:num w:numId="36" w16cid:durableId="1976908676">
    <w:abstractNumId w:val="11"/>
  </w:num>
  <w:num w:numId="37" w16cid:durableId="758528303">
    <w:abstractNumId w:val="18"/>
  </w:num>
  <w:num w:numId="38" w16cid:durableId="178396561">
    <w:abstractNumId w:val="39"/>
  </w:num>
  <w:num w:numId="39" w16cid:durableId="934825996">
    <w:abstractNumId w:val="14"/>
  </w:num>
  <w:num w:numId="40" w16cid:durableId="1940068190">
    <w:abstractNumId w:val="33"/>
  </w:num>
  <w:num w:numId="41" w16cid:durableId="1115254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B3C38"/>
    <w:rsid w:val="002B4DBB"/>
    <w:rsid w:val="002C50EE"/>
    <w:rsid w:val="00340A0A"/>
    <w:rsid w:val="003765DC"/>
    <w:rsid w:val="00395555"/>
    <w:rsid w:val="003E3126"/>
    <w:rsid w:val="00410CAF"/>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54129"/>
    <w:rsid w:val="009773E4"/>
    <w:rsid w:val="009B171C"/>
    <w:rsid w:val="009F1313"/>
    <w:rsid w:val="00A20351"/>
    <w:rsid w:val="00A65A81"/>
    <w:rsid w:val="00A71DCF"/>
    <w:rsid w:val="00A93499"/>
    <w:rsid w:val="00AA23EC"/>
    <w:rsid w:val="00AC63CE"/>
    <w:rsid w:val="00AE2107"/>
    <w:rsid w:val="00AE5A68"/>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8458</Words>
  <Characters>48211</Characters>
  <Application>Microsoft Office Word</Application>
  <DocSecurity>0</DocSecurity>
  <Lines>401</Lines>
  <Paragraphs>113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2023-01-17T11:38:00Z</dcterms:created>
  <dcterms:modified xsi:type="dcterms:W3CDTF">2023-01-17T11:38:00Z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