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6D1125F6" w:rsidR="00AA23EC" w:rsidRDefault="00DD466D" w:rsidP="00DD466D">
      <w:pPr>
        <w:pStyle w:val="Heading1"/>
      </w:pPr>
      <w:r>
        <w:t>1.ИМЕ НА ЛЕКАРСТВЕНИЯ ПРОДУКТ</w:t>
      </w:r>
    </w:p>
    <w:p w14:paraId="45EA51CB" w14:textId="4950A34D" w:rsidR="0080636D" w:rsidRDefault="0080636D" w:rsidP="0080636D"/>
    <w:p w14:paraId="211DF56E" w14:textId="77777777" w:rsidR="0080636D" w:rsidRPr="0080636D" w:rsidRDefault="0080636D" w:rsidP="0080636D">
      <w:pPr>
        <w:spacing w:line="240" w:lineRule="auto"/>
        <w:rPr>
          <w:rFonts w:eastAsia="Times New Roman" w:cs="Arial"/>
          <w:color w:val="000000"/>
          <w:lang w:eastAsia="bg-BG"/>
        </w:rPr>
      </w:pPr>
      <w:r w:rsidRPr="0080636D">
        <w:rPr>
          <w:rFonts w:eastAsia="Times New Roman" w:cs="Arial"/>
          <w:color w:val="000000"/>
          <w:lang w:eastAsia="bg-BG"/>
        </w:rPr>
        <w:t xml:space="preserve">Тиогамма Турбо-Сет 600 </w:t>
      </w:r>
      <w:r w:rsidRPr="0080636D">
        <w:rPr>
          <w:rFonts w:eastAsia="Times New Roman" w:cs="Arial"/>
          <w:color w:val="000000"/>
          <w:lang w:val="en-US"/>
        </w:rPr>
        <w:t>mg</w:t>
      </w:r>
      <w:r w:rsidRPr="0080636D">
        <w:rPr>
          <w:rFonts w:eastAsia="Times New Roman" w:cs="Arial"/>
          <w:color w:val="000000"/>
        </w:rPr>
        <w:t xml:space="preserve">/50 </w:t>
      </w:r>
      <w:r w:rsidRPr="0080636D">
        <w:rPr>
          <w:rFonts w:eastAsia="Times New Roman" w:cs="Arial"/>
          <w:color w:val="000000"/>
          <w:lang w:val="en-US"/>
        </w:rPr>
        <w:t>ml</w:t>
      </w:r>
      <w:r w:rsidRPr="0080636D">
        <w:rPr>
          <w:rFonts w:eastAsia="Times New Roman" w:cs="Arial"/>
          <w:color w:val="000000"/>
        </w:rPr>
        <w:t xml:space="preserve"> </w:t>
      </w:r>
      <w:r w:rsidRPr="0080636D">
        <w:rPr>
          <w:rFonts w:eastAsia="Times New Roman" w:cs="Arial"/>
          <w:color w:val="000000"/>
          <w:lang w:eastAsia="bg-BG"/>
        </w:rPr>
        <w:t xml:space="preserve">инжекционен разтвор </w:t>
      </w:r>
    </w:p>
    <w:p w14:paraId="0373E3BA" w14:textId="0FF41032" w:rsidR="0080636D" w:rsidRPr="0080636D" w:rsidRDefault="0080636D" w:rsidP="0080636D">
      <w:pPr>
        <w:spacing w:line="240" w:lineRule="auto"/>
        <w:rPr>
          <w:rFonts w:eastAsia="Times New Roman" w:cs="Arial"/>
          <w:sz w:val="24"/>
          <w:szCs w:val="24"/>
        </w:rPr>
      </w:pPr>
      <w:proofErr w:type="spellStart"/>
      <w:r w:rsidRPr="0080636D">
        <w:rPr>
          <w:rFonts w:eastAsia="Times New Roman" w:cs="Arial"/>
          <w:color w:val="000000"/>
          <w:lang w:val="en-US"/>
        </w:rPr>
        <w:t>Thiogamma</w:t>
      </w:r>
      <w:proofErr w:type="spellEnd"/>
      <w:r w:rsidRPr="0080636D">
        <w:rPr>
          <w:rFonts w:eastAsia="Times New Roman" w:cs="Arial"/>
          <w:color w:val="000000"/>
        </w:rPr>
        <w:t xml:space="preserve"> </w:t>
      </w:r>
      <w:r w:rsidRPr="0080636D">
        <w:rPr>
          <w:rFonts w:eastAsia="Times New Roman" w:cs="Arial"/>
          <w:color w:val="000000"/>
          <w:lang w:val="en-US"/>
        </w:rPr>
        <w:t>Turbo</w:t>
      </w:r>
      <w:r w:rsidRPr="0080636D">
        <w:rPr>
          <w:rFonts w:eastAsia="Times New Roman" w:cs="Arial"/>
          <w:color w:val="000000"/>
        </w:rPr>
        <w:t>-</w:t>
      </w:r>
      <w:r w:rsidRPr="0080636D">
        <w:rPr>
          <w:rFonts w:eastAsia="Times New Roman" w:cs="Arial"/>
          <w:color w:val="000000"/>
          <w:lang w:val="en-US"/>
        </w:rPr>
        <w:t>Set</w:t>
      </w:r>
      <w:r w:rsidRPr="0080636D">
        <w:rPr>
          <w:rFonts w:eastAsia="Times New Roman" w:cs="Arial"/>
          <w:color w:val="000000"/>
        </w:rPr>
        <w:t xml:space="preserve"> </w:t>
      </w:r>
      <w:r w:rsidRPr="0080636D">
        <w:rPr>
          <w:rFonts w:eastAsia="Times New Roman" w:cs="Arial"/>
          <w:color w:val="000000"/>
          <w:lang w:eastAsia="bg-BG"/>
        </w:rPr>
        <w:t xml:space="preserve">600 </w:t>
      </w:r>
      <w:r w:rsidRPr="0080636D">
        <w:rPr>
          <w:rFonts w:eastAsia="Times New Roman" w:cs="Arial"/>
          <w:color w:val="000000"/>
          <w:lang w:val="en-US"/>
        </w:rPr>
        <w:t>mg</w:t>
      </w:r>
      <w:r w:rsidRPr="0080636D">
        <w:rPr>
          <w:rFonts w:eastAsia="Times New Roman" w:cs="Arial"/>
          <w:color w:val="000000"/>
        </w:rPr>
        <w:t xml:space="preserve">/50 </w:t>
      </w:r>
      <w:r w:rsidRPr="0080636D">
        <w:rPr>
          <w:rFonts w:eastAsia="Times New Roman" w:cs="Arial"/>
          <w:color w:val="000000"/>
          <w:lang w:val="en-US"/>
        </w:rPr>
        <w:t>ml</w:t>
      </w:r>
      <w:r w:rsidRPr="0080636D">
        <w:rPr>
          <w:rFonts w:eastAsia="Times New Roman" w:cs="Arial"/>
          <w:color w:val="000000"/>
        </w:rPr>
        <w:t xml:space="preserve"> </w:t>
      </w:r>
      <w:r w:rsidRPr="0080636D">
        <w:rPr>
          <w:rFonts w:eastAsia="Times New Roman" w:cs="Arial"/>
          <w:color w:val="000000"/>
          <w:lang w:val="en-US"/>
        </w:rPr>
        <w:t>solution</w:t>
      </w:r>
      <w:r w:rsidRPr="0080636D">
        <w:rPr>
          <w:rFonts w:eastAsia="Times New Roman" w:cs="Arial"/>
          <w:color w:val="000000"/>
        </w:rPr>
        <w:t xml:space="preserve"> </w:t>
      </w:r>
      <w:r w:rsidRPr="0080636D">
        <w:rPr>
          <w:rFonts w:eastAsia="Times New Roman" w:cs="Arial"/>
          <w:color w:val="000000"/>
          <w:lang w:val="en-US"/>
        </w:rPr>
        <w:t>for</w:t>
      </w:r>
      <w:r w:rsidRPr="0080636D">
        <w:rPr>
          <w:rFonts w:eastAsia="Times New Roman" w:cs="Arial"/>
          <w:color w:val="000000"/>
        </w:rPr>
        <w:t xml:space="preserve"> </w:t>
      </w:r>
      <w:r w:rsidRPr="0080636D">
        <w:rPr>
          <w:rFonts w:eastAsia="Times New Roman" w:cs="Arial"/>
          <w:color w:val="000000"/>
          <w:lang w:val="en-US"/>
        </w:rPr>
        <w:t>injection</w:t>
      </w:r>
    </w:p>
    <w:p w14:paraId="3595908C" w14:textId="77777777" w:rsidR="0080636D" w:rsidRPr="0080636D" w:rsidRDefault="0080636D" w:rsidP="0080636D"/>
    <w:p w14:paraId="0A368469" w14:textId="75141815" w:rsidR="00C0049F" w:rsidRDefault="00DD466D" w:rsidP="009F1313">
      <w:pPr>
        <w:pStyle w:val="Heading1"/>
      </w:pPr>
      <w:r>
        <w:t>2. КАЧЕСТВЕН И КОЛИЧЕСТВЕН СЪСТАВ</w:t>
      </w:r>
    </w:p>
    <w:p w14:paraId="1EECD165" w14:textId="7E29DB97" w:rsidR="0080636D" w:rsidRDefault="0080636D" w:rsidP="0080636D"/>
    <w:p w14:paraId="5E1E0B40"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Активно вещество:</w:t>
      </w:r>
    </w:p>
    <w:p w14:paraId="41A27423"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50 </w:t>
      </w:r>
      <w:r w:rsidRPr="0080636D">
        <w:rPr>
          <w:rFonts w:eastAsia="Times New Roman" w:cs="Arial"/>
          <w:color w:val="000000"/>
          <w:lang w:val="en-US"/>
        </w:rPr>
        <w:t>ml</w:t>
      </w:r>
      <w:r w:rsidRPr="0080636D">
        <w:rPr>
          <w:rFonts w:eastAsia="Times New Roman" w:cs="Arial"/>
          <w:color w:val="000000"/>
          <w:lang w:val="ru-RU"/>
        </w:rPr>
        <w:t xml:space="preserve"> </w:t>
      </w:r>
      <w:r w:rsidRPr="0080636D">
        <w:rPr>
          <w:rFonts w:eastAsia="Times New Roman" w:cs="Arial"/>
          <w:color w:val="000000"/>
          <w:lang w:eastAsia="bg-BG"/>
        </w:rPr>
        <w:t xml:space="preserve">инжекционен разтвор, съдържащ 1167,70 </w:t>
      </w:r>
      <w:r w:rsidRPr="0080636D">
        <w:rPr>
          <w:rFonts w:eastAsia="Times New Roman" w:cs="Arial"/>
          <w:color w:val="000000"/>
          <w:lang w:val="en-US"/>
        </w:rPr>
        <w:t>mg</w:t>
      </w:r>
      <w:r w:rsidRPr="0080636D">
        <w:rPr>
          <w:rFonts w:eastAsia="Times New Roman" w:cs="Arial"/>
          <w:color w:val="000000"/>
          <w:lang w:val="ru-RU"/>
        </w:rPr>
        <w:t xml:space="preserve"> </w:t>
      </w:r>
      <w:r w:rsidRPr="0080636D">
        <w:rPr>
          <w:rFonts w:eastAsia="Times New Roman" w:cs="Arial"/>
          <w:color w:val="000000"/>
          <w:lang w:eastAsia="bg-BG"/>
        </w:rPr>
        <w:t xml:space="preserve">меглуминова сол на тиоктовата киселина, съответстващи на 600 </w:t>
      </w:r>
      <w:r w:rsidRPr="0080636D">
        <w:rPr>
          <w:rFonts w:eastAsia="Times New Roman" w:cs="Arial"/>
          <w:color w:val="000000"/>
          <w:lang w:val="en-US"/>
        </w:rPr>
        <w:t>mg</w:t>
      </w:r>
      <w:r w:rsidRPr="0080636D">
        <w:rPr>
          <w:rFonts w:eastAsia="Times New Roman" w:cs="Arial"/>
          <w:color w:val="000000"/>
          <w:lang w:val="ru-RU"/>
        </w:rPr>
        <w:t xml:space="preserve"> </w:t>
      </w:r>
      <w:r w:rsidRPr="0080636D">
        <w:rPr>
          <w:rFonts w:eastAsia="Times New Roman" w:cs="Arial"/>
          <w:color w:val="000000"/>
          <w:lang w:eastAsia="bg-BG"/>
        </w:rPr>
        <w:t xml:space="preserve">тиоктова (алфа-липоева) киселина </w:t>
      </w:r>
      <w:r w:rsidRPr="0080636D">
        <w:rPr>
          <w:rFonts w:eastAsia="Times New Roman" w:cs="Arial"/>
          <w:i/>
          <w:iCs/>
          <w:color w:val="000000"/>
          <w:lang w:val="ru-RU"/>
        </w:rPr>
        <w:t>(</w:t>
      </w:r>
      <w:proofErr w:type="spellStart"/>
      <w:r w:rsidRPr="0080636D">
        <w:rPr>
          <w:rFonts w:eastAsia="Times New Roman" w:cs="Arial"/>
          <w:i/>
          <w:iCs/>
          <w:color w:val="000000"/>
          <w:lang w:val="en-US"/>
        </w:rPr>
        <w:t>Thioctic</w:t>
      </w:r>
      <w:proofErr w:type="spellEnd"/>
      <w:r w:rsidRPr="0080636D">
        <w:rPr>
          <w:rFonts w:eastAsia="Times New Roman" w:cs="Arial"/>
          <w:i/>
          <w:iCs/>
          <w:color w:val="000000"/>
          <w:lang w:val="ru-RU"/>
        </w:rPr>
        <w:t xml:space="preserve"> </w:t>
      </w:r>
      <w:r w:rsidRPr="0080636D">
        <w:rPr>
          <w:rFonts w:eastAsia="Times New Roman" w:cs="Arial"/>
          <w:i/>
          <w:iCs/>
          <w:color w:val="000000"/>
          <w:lang w:val="en-US"/>
        </w:rPr>
        <w:t>acid</w:t>
      </w:r>
      <w:r w:rsidRPr="0080636D">
        <w:rPr>
          <w:rFonts w:eastAsia="Times New Roman" w:cs="Arial"/>
          <w:i/>
          <w:iCs/>
          <w:color w:val="000000"/>
          <w:lang w:val="ru-RU"/>
        </w:rPr>
        <w:t>).</w:t>
      </w:r>
    </w:p>
    <w:p w14:paraId="26DA3022" w14:textId="77777777" w:rsidR="0080636D" w:rsidRPr="0080636D" w:rsidRDefault="0080636D" w:rsidP="0080636D"/>
    <w:p w14:paraId="614984C4" w14:textId="2EF94F00" w:rsidR="008A6AF2" w:rsidRDefault="00DD466D" w:rsidP="002C50EE">
      <w:pPr>
        <w:pStyle w:val="Heading1"/>
      </w:pPr>
      <w:r>
        <w:t>3. ЛЕКАРСТВЕНА ФОРМА</w:t>
      </w:r>
    </w:p>
    <w:p w14:paraId="2D588067" w14:textId="3742BB3F" w:rsidR="0080636D" w:rsidRDefault="0080636D" w:rsidP="0080636D"/>
    <w:p w14:paraId="161632D6" w14:textId="0850D992" w:rsidR="0080636D" w:rsidRDefault="0080636D" w:rsidP="0080636D">
      <w:pPr>
        <w:rPr>
          <w:lang w:eastAsia="bg-BG"/>
        </w:rPr>
      </w:pPr>
      <w:r w:rsidRPr="0080636D">
        <w:rPr>
          <w:lang w:eastAsia="bg-BG"/>
        </w:rPr>
        <w:t>Инжекционен разтвор</w:t>
      </w:r>
    </w:p>
    <w:p w14:paraId="20B778F4" w14:textId="77777777" w:rsidR="0080636D" w:rsidRPr="0080636D" w:rsidRDefault="0080636D" w:rsidP="0080636D">
      <w:pPr>
        <w:rPr>
          <w:sz w:val="24"/>
          <w:szCs w:val="24"/>
        </w:rPr>
      </w:pP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39A7E3FC" w:rsidR="00395555" w:rsidRDefault="00395555" w:rsidP="00395555"/>
    <w:p w14:paraId="78E20EFD" w14:textId="74DE291B" w:rsidR="0080636D" w:rsidRDefault="0080636D" w:rsidP="0080636D">
      <w:pPr>
        <w:rPr>
          <w:lang w:eastAsia="bg-BG"/>
        </w:rPr>
      </w:pPr>
      <w:r w:rsidRPr="0080636D">
        <w:rPr>
          <w:lang w:eastAsia="bg-BG"/>
        </w:rPr>
        <w:t>Сетивни наруше</w:t>
      </w:r>
      <w:r>
        <w:rPr>
          <w:lang w:eastAsia="bg-BG"/>
        </w:rPr>
        <w:t>ния при диабетна полиневропатия.</w:t>
      </w:r>
    </w:p>
    <w:p w14:paraId="09DBDD62" w14:textId="77777777" w:rsidR="0080636D" w:rsidRPr="0080636D" w:rsidRDefault="0080636D" w:rsidP="0080636D">
      <w:pPr>
        <w:rPr>
          <w:sz w:val="24"/>
          <w:szCs w:val="24"/>
        </w:rPr>
      </w:pPr>
    </w:p>
    <w:p w14:paraId="7C0CA5EB" w14:textId="580E07F0" w:rsidR="00C0049F" w:rsidRDefault="002C50EE" w:rsidP="009F1313">
      <w:pPr>
        <w:pStyle w:val="Heading2"/>
      </w:pPr>
      <w:r>
        <w:t>4.2. Дозировка и начин на приложение</w:t>
      </w:r>
    </w:p>
    <w:p w14:paraId="2D536F36" w14:textId="52C8B3B8" w:rsidR="0080636D" w:rsidRDefault="0080636D" w:rsidP="0080636D"/>
    <w:p w14:paraId="49EAB255"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u w:val="single"/>
          <w:lang w:eastAsia="bg-BG"/>
        </w:rPr>
        <w:t>Индивидуални и дневни дози</w:t>
      </w:r>
    </w:p>
    <w:p w14:paraId="4BC84E34"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При силно изразени парестезии (сетивни нарушения) при възрастни с диабетна полиневропатия се препоръчва интравенозно приложение на доза от 600 </w:t>
      </w:r>
      <w:r w:rsidRPr="0080636D">
        <w:rPr>
          <w:rFonts w:eastAsia="Times New Roman" w:cs="Arial"/>
          <w:color w:val="000000"/>
          <w:lang w:val="en-US"/>
        </w:rPr>
        <w:t>mg</w:t>
      </w:r>
      <w:r w:rsidRPr="0080636D">
        <w:rPr>
          <w:rFonts w:eastAsia="Times New Roman" w:cs="Arial"/>
          <w:color w:val="000000"/>
          <w:lang w:val="ru-RU"/>
        </w:rPr>
        <w:t xml:space="preserve"> </w:t>
      </w:r>
      <w:r w:rsidRPr="0080636D">
        <w:rPr>
          <w:rFonts w:eastAsia="Times New Roman" w:cs="Arial"/>
          <w:color w:val="000000"/>
          <w:lang w:eastAsia="bg-BG"/>
        </w:rPr>
        <w:t xml:space="preserve">тиоктова киселина дневно (еквивалентни на 1 флакон </w:t>
      </w:r>
      <w:r w:rsidRPr="0080636D">
        <w:rPr>
          <w:rFonts w:eastAsia="Times New Roman" w:cs="Arial"/>
          <w:b/>
          <w:bCs/>
          <w:color w:val="000000"/>
          <w:lang w:eastAsia="bg-BG"/>
        </w:rPr>
        <w:t>Тиогамма Турбо-Сет).</w:t>
      </w:r>
    </w:p>
    <w:p w14:paraId="78619A65" w14:textId="77777777" w:rsidR="0080636D" w:rsidRPr="0080636D" w:rsidRDefault="0080636D" w:rsidP="0080636D">
      <w:pPr>
        <w:spacing w:line="240" w:lineRule="auto"/>
        <w:rPr>
          <w:rFonts w:eastAsia="Times New Roman" w:cs="Arial"/>
          <w:color w:val="000000"/>
          <w:u w:val="single"/>
          <w:lang w:eastAsia="bg-BG"/>
        </w:rPr>
      </w:pPr>
    </w:p>
    <w:p w14:paraId="5E6D0D3C" w14:textId="1125F62B" w:rsidR="0080636D" w:rsidRPr="0080636D" w:rsidRDefault="0080636D" w:rsidP="0080636D">
      <w:pPr>
        <w:spacing w:line="240" w:lineRule="auto"/>
        <w:rPr>
          <w:rFonts w:eastAsia="Times New Roman" w:cs="Arial"/>
          <w:sz w:val="24"/>
          <w:szCs w:val="24"/>
        </w:rPr>
      </w:pPr>
      <w:r w:rsidRPr="0080636D">
        <w:rPr>
          <w:rFonts w:eastAsia="Times New Roman" w:cs="Arial"/>
          <w:color w:val="000000"/>
          <w:u w:val="single"/>
          <w:lang w:eastAsia="bg-BG"/>
        </w:rPr>
        <w:t>Начин и продължителност на приложението</w:t>
      </w:r>
    </w:p>
    <w:p w14:paraId="18A1A9AA"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Инжекционният разтвор се прилага интравенозно за период от 2 до 4 седмици в началната фаза на лечението.</w:t>
      </w:r>
    </w:p>
    <w:p w14:paraId="0CF6A3B2"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Интравенозното въвеждане трябва да се извършва бавно, при което съдържанието трябва да се въведе за минимум тридесет минути като кратка инфузия. Инфузията се извършва директно от флакона, като се използва стандартна система за венозна инфузия и приложеното светлозащитно пликче. Поради светлочувствителността на лекарственото вещество, флаконът трябва да се изважда от картонената кутия само непосредствено преди приложението му. Трябва със сигурност да се установи, че е осигурена минимална продължителност на инфузията 30 минути.</w:t>
      </w:r>
    </w:p>
    <w:p w14:paraId="6CF29B55"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Терапията трябва да продължи с прием на 300 </w:t>
      </w:r>
      <w:r w:rsidRPr="0080636D">
        <w:rPr>
          <w:rFonts w:eastAsia="Times New Roman" w:cs="Arial"/>
          <w:color w:val="000000"/>
          <w:lang w:val="en-US"/>
        </w:rPr>
        <w:t>mg</w:t>
      </w:r>
      <w:r w:rsidRPr="0080636D">
        <w:rPr>
          <w:rFonts w:eastAsia="Times New Roman" w:cs="Arial"/>
          <w:color w:val="000000"/>
          <w:lang w:val="ru-RU"/>
        </w:rPr>
        <w:t xml:space="preserve"> </w:t>
      </w:r>
      <w:r w:rsidRPr="0080636D">
        <w:rPr>
          <w:rFonts w:eastAsia="Times New Roman" w:cs="Arial"/>
          <w:color w:val="000000"/>
          <w:lang w:eastAsia="bg-BG"/>
        </w:rPr>
        <w:t xml:space="preserve">до 600 </w:t>
      </w:r>
      <w:r w:rsidRPr="0080636D">
        <w:rPr>
          <w:rFonts w:eastAsia="Times New Roman" w:cs="Arial"/>
          <w:color w:val="000000"/>
          <w:lang w:val="en-US"/>
        </w:rPr>
        <w:t>mg</w:t>
      </w:r>
      <w:r w:rsidRPr="0080636D">
        <w:rPr>
          <w:rFonts w:eastAsia="Times New Roman" w:cs="Arial"/>
          <w:color w:val="000000"/>
          <w:lang w:val="ru-RU"/>
        </w:rPr>
        <w:t xml:space="preserve"> </w:t>
      </w:r>
      <w:r w:rsidRPr="0080636D">
        <w:rPr>
          <w:rFonts w:eastAsia="Times New Roman" w:cs="Arial"/>
          <w:color w:val="000000"/>
          <w:lang w:eastAsia="bg-BG"/>
        </w:rPr>
        <w:t>тиоктова (алфа-липоева) киселина във фармацевтични форми, подходящи за перорално приложение.</w:t>
      </w:r>
    </w:p>
    <w:p w14:paraId="323E0A82"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lastRenderedPageBreak/>
        <w:t>Важно изискване при терапията на диабетната полиневропатия е оптималният контрол над диабета.</w:t>
      </w:r>
    </w:p>
    <w:p w14:paraId="78A37FBE" w14:textId="77777777" w:rsidR="0080636D" w:rsidRPr="0080636D" w:rsidRDefault="0080636D" w:rsidP="0080636D"/>
    <w:p w14:paraId="62B13D0B" w14:textId="576E4741" w:rsidR="00395555" w:rsidRDefault="002C50EE" w:rsidP="008A6AF2">
      <w:pPr>
        <w:pStyle w:val="Heading2"/>
      </w:pPr>
      <w:r>
        <w:t>4.3. Противопоказания</w:t>
      </w:r>
    </w:p>
    <w:p w14:paraId="3CB06D18" w14:textId="5755FB72" w:rsidR="0080636D" w:rsidRDefault="0080636D" w:rsidP="0080636D"/>
    <w:p w14:paraId="21B55E80" w14:textId="77777777" w:rsidR="0080636D" w:rsidRPr="0080636D" w:rsidRDefault="0080636D" w:rsidP="0080636D">
      <w:pPr>
        <w:spacing w:line="240" w:lineRule="auto"/>
        <w:rPr>
          <w:rFonts w:eastAsia="Times New Roman" w:cs="Arial"/>
          <w:sz w:val="24"/>
          <w:szCs w:val="24"/>
        </w:rPr>
      </w:pPr>
      <w:r w:rsidRPr="0080636D">
        <w:rPr>
          <w:rFonts w:eastAsia="Times New Roman" w:cs="Arial"/>
          <w:b/>
          <w:bCs/>
          <w:color w:val="000000"/>
          <w:lang w:eastAsia="bg-BG"/>
        </w:rPr>
        <w:t xml:space="preserve">Тиогамма Турбо-Сет </w:t>
      </w:r>
      <w:r w:rsidRPr="0080636D">
        <w:rPr>
          <w:rFonts w:eastAsia="Times New Roman" w:cs="Arial"/>
          <w:color w:val="000000"/>
          <w:lang w:eastAsia="bg-BG"/>
        </w:rPr>
        <w:t>е абсолютно противопоказана при пациенти с известна свръхчувствителност към тиоктова (алфа-липоева) киселина или към някое помощните вещества.</w:t>
      </w:r>
    </w:p>
    <w:p w14:paraId="14696B6C" w14:textId="77777777" w:rsidR="0080636D" w:rsidRPr="0080636D" w:rsidRDefault="0080636D" w:rsidP="0080636D">
      <w:pPr>
        <w:rPr>
          <w:rFonts w:eastAsia="Times New Roman" w:cs="Arial"/>
          <w:b/>
          <w:bCs/>
          <w:i/>
          <w:iCs/>
          <w:color w:val="000000"/>
          <w:lang w:eastAsia="bg-BG"/>
        </w:rPr>
      </w:pPr>
    </w:p>
    <w:p w14:paraId="189C3A6E" w14:textId="2B4ADDA9" w:rsidR="0080636D" w:rsidRPr="0080636D" w:rsidRDefault="0080636D" w:rsidP="0080636D">
      <w:pPr>
        <w:rPr>
          <w:rFonts w:eastAsia="Times New Roman" w:cs="Arial"/>
          <w:b/>
          <w:bCs/>
          <w:i/>
          <w:iCs/>
          <w:color w:val="000000"/>
          <w:lang w:eastAsia="bg-BG"/>
        </w:rPr>
      </w:pPr>
      <w:r w:rsidRPr="0080636D">
        <w:rPr>
          <w:rFonts w:eastAsia="Times New Roman" w:cs="Arial"/>
          <w:b/>
          <w:bCs/>
          <w:i/>
          <w:iCs/>
          <w:color w:val="000000"/>
          <w:lang w:eastAsia="bg-BG"/>
        </w:rPr>
        <w:t>Указание:</w:t>
      </w:r>
    </w:p>
    <w:p w14:paraId="41EA092A"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При деца и младежи не трябва да се провежда лечение с </w:t>
      </w:r>
      <w:r w:rsidRPr="0080636D">
        <w:rPr>
          <w:rFonts w:eastAsia="Times New Roman" w:cs="Arial"/>
          <w:b/>
          <w:bCs/>
          <w:color w:val="000000"/>
          <w:lang w:eastAsia="bg-BG"/>
        </w:rPr>
        <w:t xml:space="preserve">Тиогамма Турбо-Сет, </w:t>
      </w:r>
      <w:r w:rsidRPr="0080636D">
        <w:rPr>
          <w:rFonts w:eastAsia="Times New Roman" w:cs="Arial"/>
          <w:color w:val="000000"/>
          <w:lang w:eastAsia="bg-BG"/>
        </w:rPr>
        <w:t>поради липса на клиничен опит в тази възрастова група.</w:t>
      </w:r>
    </w:p>
    <w:p w14:paraId="7226648C" w14:textId="77777777" w:rsidR="0080636D" w:rsidRPr="0080636D" w:rsidRDefault="0080636D" w:rsidP="0080636D"/>
    <w:p w14:paraId="5A4AC413" w14:textId="2B62BE06" w:rsidR="00395555" w:rsidRDefault="002C50EE" w:rsidP="008A6AF2">
      <w:pPr>
        <w:pStyle w:val="Heading2"/>
      </w:pPr>
      <w:r>
        <w:t>4.4. Специални предупреждения и предпазни мерки при употреба</w:t>
      </w:r>
    </w:p>
    <w:p w14:paraId="0620BB62" w14:textId="30C151DB" w:rsidR="0080636D" w:rsidRDefault="0080636D" w:rsidP="0080636D"/>
    <w:p w14:paraId="5C1800CB"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Докладвани са реакции на свръхчувствителност, включващи анафилактичен шок, по време на парентералното прилагане на </w:t>
      </w:r>
      <w:r w:rsidRPr="0080636D">
        <w:rPr>
          <w:rFonts w:eastAsia="Times New Roman" w:cs="Arial"/>
          <w:b/>
          <w:bCs/>
          <w:color w:val="000000"/>
          <w:lang w:eastAsia="bg-BG"/>
        </w:rPr>
        <w:t xml:space="preserve">Тиогамма Турбо-Сет </w:t>
      </w:r>
      <w:r w:rsidRPr="0080636D">
        <w:rPr>
          <w:rFonts w:eastAsia="Times New Roman" w:cs="Arial"/>
          <w:color w:val="000000"/>
          <w:lang w:eastAsia="bg-BG"/>
        </w:rPr>
        <w:t>(вж. т. 4.8). Следователно, пациентите трябва да бъдат мониторирани внимателно. В случай на поява на ранни симптоми (напр. сърбеж, гадене, безпокойство и др.), терапията трябва да бъде преустановена незабавно и ако е необходимо да бъдат взети съответните мерки.</w:t>
      </w:r>
    </w:p>
    <w:p w14:paraId="4CAFB962" w14:textId="77777777" w:rsidR="0080636D" w:rsidRPr="0080636D" w:rsidRDefault="0080636D" w:rsidP="0080636D">
      <w:pPr>
        <w:spacing w:line="240" w:lineRule="auto"/>
        <w:rPr>
          <w:rFonts w:eastAsia="Times New Roman" w:cs="Arial"/>
          <w:color w:val="000000"/>
          <w:lang w:eastAsia="bg-BG"/>
        </w:rPr>
      </w:pPr>
    </w:p>
    <w:p w14:paraId="03546378" w14:textId="5778B474" w:rsidR="0080636D" w:rsidRPr="0080636D" w:rsidRDefault="0080636D" w:rsidP="0080636D">
      <w:pPr>
        <w:spacing w:line="240" w:lineRule="auto"/>
        <w:rPr>
          <w:rFonts w:eastAsia="Times New Roman" w:cs="Arial"/>
          <w:color w:val="000000"/>
          <w:lang w:eastAsia="bg-BG"/>
        </w:rPr>
      </w:pPr>
      <w:r w:rsidRPr="0080636D">
        <w:rPr>
          <w:rFonts w:eastAsia="Times New Roman" w:cs="Arial"/>
          <w:color w:val="000000"/>
          <w:lang w:eastAsia="bg-BG"/>
        </w:rPr>
        <w:t xml:space="preserve">В отделни случаи, пациенти с декомпенсиран или неподходящо контролиран диабет и влошено общо състояние могат да развият тежки анафилактични реакции, свързани с употребата на </w:t>
      </w:r>
    </w:p>
    <w:p w14:paraId="1FE343B7" w14:textId="3C361F1D" w:rsidR="0080636D" w:rsidRPr="0080636D" w:rsidRDefault="0080636D" w:rsidP="0080636D">
      <w:pPr>
        <w:spacing w:line="240" w:lineRule="auto"/>
        <w:rPr>
          <w:rFonts w:eastAsia="Times New Roman" w:cs="Arial"/>
          <w:sz w:val="24"/>
          <w:szCs w:val="24"/>
        </w:rPr>
      </w:pPr>
      <w:r w:rsidRPr="0080636D">
        <w:rPr>
          <w:rFonts w:eastAsia="Times New Roman" w:cs="Arial"/>
          <w:b/>
          <w:bCs/>
          <w:color w:val="000000"/>
          <w:lang w:eastAsia="bg-BG"/>
        </w:rPr>
        <w:t xml:space="preserve">Тиогамма Турбо-Сет </w:t>
      </w:r>
      <w:r w:rsidRPr="0080636D">
        <w:rPr>
          <w:rFonts w:eastAsia="Times New Roman" w:cs="Arial"/>
          <w:color w:val="000000"/>
          <w:lang w:eastAsia="bg-BG"/>
        </w:rPr>
        <w:t>(вж. т. 6.2).</w:t>
      </w:r>
    </w:p>
    <w:p w14:paraId="168660A4" w14:textId="77777777" w:rsidR="0080636D" w:rsidRPr="0080636D" w:rsidRDefault="0080636D" w:rsidP="0080636D">
      <w:pPr>
        <w:spacing w:line="240" w:lineRule="auto"/>
        <w:rPr>
          <w:rFonts w:eastAsia="Times New Roman" w:cs="Arial"/>
          <w:color w:val="000000"/>
          <w:lang w:eastAsia="bg-BG"/>
        </w:rPr>
      </w:pPr>
    </w:p>
    <w:p w14:paraId="6CA98065" w14:textId="1B75F00A"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Случаи на инсулинов автоимунен синдром </w:t>
      </w:r>
      <w:r w:rsidRPr="0080636D">
        <w:rPr>
          <w:rFonts w:eastAsia="Times New Roman" w:cs="Arial"/>
          <w:color w:val="000000"/>
          <w:lang w:val="ru-RU"/>
        </w:rPr>
        <w:t>(</w:t>
      </w:r>
      <w:r w:rsidRPr="0080636D">
        <w:rPr>
          <w:rFonts w:eastAsia="Times New Roman" w:cs="Arial"/>
          <w:color w:val="000000"/>
          <w:lang w:val="en-US"/>
        </w:rPr>
        <w:t>IAS</w:t>
      </w:r>
      <w:r w:rsidRPr="0080636D">
        <w:rPr>
          <w:rFonts w:eastAsia="Times New Roman" w:cs="Arial"/>
          <w:color w:val="000000"/>
          <w:lang w:val="ru-RU"/>
        </w:rPr>
        <w:t xml:space="preserve">) </w:t>
      </w:r>
      <w:r w:rsidRPr="0080636D">
        <w:rPr>
          <w:rFonts w:eastAsia="Times New Roman" w:cs="Arial"/>
          <w:color w:val="000000"/>
          <w:lang w:eastAsia="bg-BG"/>
        </w:rPr>
        <w:t xml:space="preserve">са съобщавани по време на лечение с тиоктова киселина. Пациенти с генотип на човешки левкоцитен антиген като </w:t>
      </w:r>
      <w:r w:rsidRPr="0080636D">
        <w:rPr>
          <w:rFonts w:eastAsia="Times New Roman" w:cs="Arial"/>
          <w:color w:val="000000"/>
          <w:lang w:val="en-US"/>
        </w:rPr>
        <w:t>HLA</w:t>
      </w:r>
      <w:r w:rsidRPr="0080636D">
        <w:rPr>
          <w:rFonts w:eastAsia="Times New Roman" w:cs="Arial"/>
          <w:color w:val="000000"/>
          <w:lang w:val="ru-RU"/>
        </w:rPr>
        <w:t>-</w:t>
      </w:r>
      <w:r w:rsidRPr="0080636D">
        <w:rPr>
          <w:rFonts w:eastAsia="Times New Roman" w:cs="Arial"/>
          <w:color w:val="000000"/>
          <w:lang w:val="en-US"/>
        </w:rPr>
        <w:t>DRB</w:t>
      </w:r>
      <w:r w:rsidRPr="0080636D">
        <w:rPr>
          <w:rFonts w:eastAsia="Times New Roman" w:cs="Arial"/>
          <w:color w:val="000000"/>
          <w:lang w:val="ru-RU"/>
        </w:rPr>
        <w:t xml:space="preserve">1 </w:t>
      </w:r>
      <w:r w:rsidRPr="0080636D">
        <w:rPr>
          <w:rFonts w:eastAsia="Times New Roman" w:cs="Arial"/>
          <w:color w:val="000000"/>
          <w:lang w:eastAsia="bg-BG"/>
        </w:rPr>
        <w:t xml:space="preserve">*04:06 и </w:t>
      </w:r>
      <w:r w:rsidRPr="0080636D">
        <w:rPr>
          <w:rFonts w:eastAsia="Times New Roman" w:cs="Arial"/>
          <w:color w:val="000000"/>
          <w:lang w:val="en-US"/>
        </w:rPr>
        <w:t>HLA</w:t>
      </w:r>
      <w:r w:rsidRPr="0080636D">
        <w:rPr>
          <w:rFonts w:eastAsia="Times New Roman" w:cs="Arial"/>
          <w:color w:val="000000"/>
          <w:lang w:val="ru-RU"/>
        </w:rPr>
        <w:t xml:space="preserve">- </w:t>
      </w:r>
      <w:r w:rsidRPr="0080636D">
        <w:rPr>
          <w:rFonts w:eastAsia="Times New Roman" w:cs="Arial"/>
          <w:color w:val="000000"/>
          <w:lang w:val="en-US"/>
        </w:rPr>
        <w:t>DRB</w:t>
      </w:r>
      <w:r w:rsidRPr="0080636D">
        <w:rPr>
          <w:rFonts w:eastAsia="Times New Roman" w:cs="Arial"/>
          <w:color w:val="000000"/>
          <w:lang w:eastAsia="bg-BG"/>
        </w:rPr>
        <w:t xml:space="preserve">1 *04:03 алели са по-податливи към развитие на </w:t>
      </w:r>
      <w:r w:rsidRPr="0080636D">
        <w:rPr>
          <w:rFonts w:eastAsia="Times New Roman" w:cs="Arial"/>
          <w:color w:val="000000"/>
          <w:lang w:val="en-US"/>
        </w:rPr>
        <w:t>IAS</w:t>
      </w:r>
      <w:r w:rsidRPr="0080636D">
        <w:rPr>
          <w:rFonts w:eastAsia="Times New Roman" w:cs="Arial"/>
          <w:color w:val="000000"/>
          <w:lang w:val="ru-RU"/>
        </w:rPr>
        <w:t xml:space="preserve"> </w:t>
      </w:r>
      <w:r w:rsidRPr="0080636D">
        <w:rPr>
          <w:rFonts w:eastAsia="Times New Roman" w:cs="Arial"/>
          <w:color w:val="000000"/>
          <w:lang w:eastAsia="bg-BG"/>
        </w:rPr>
        <w:t>при лечение с тиоктова киселина.</w:t>
      </w:r>
    </w:p>
    <w:p w14:paraId="3DAF9662"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val="en-US"/>
        </w:rPr>
        <w:t>HLA</w:t>
      </w:r>
      <w:r w:rsidRPr="0080636D">
        <w:rPr>
          <w:rFonts w:eastAsia="Times New Roman" w:cs="Arial"/>
          <w:color w:val="000000"/>
          <w:lang w:val="ru-RU"/>
        </w:rPr>
        <w:t>-</w:t>
      </w:r>
      <w:r w:rsidRPr="0080636D">
        <w:rPr>
          <w:rFonts w:eastAsia="Times New Roman" w:cs="Arial"/>
          <w:color w:val="000000"/>
          <w:lang w:val="en-US"/>
        </w:rPr>
        <w:t>DRB</w:t>
      </w:r>
      <w:r w:rsidRPr="0080636D">
        <w:rPr>
          <w:rFonts w:eastAsia="Times New Roman" w:cs="Arial"/>
          <w:color w:val="000000"/>
          <w:lang w:val="ru-RU"/>
        </w:rPr>
        <w:t xml:space="preserve">1* </w:t>
      </w:r>
      <w:r w:rsidRPr="0080636D">
        <w:rPr>
          <w:rFonts w:eastAsia="Times New Roman" w:cs="Arial"/>
          <w:color w:val="000000"/>
          <w:lang w:eastAsia="bg-BG"/>
        </w:rPr>
        <w:t xml:space="preserve">04:03 алел (Отношение на вероятностите относно чувствителност към </w:t>
      </w:r>
      <w:r w:rsidRPr="0080636D">
        <w:rPr>
          <w:rFonts w:eastAsia="Times New Roman" w:cs="Arial"/>
          <w:color w:val="000000"/>
          <w:lang w:val="en-US"/>
        </w:rPr>
        <w:t>IAS</w:t>
      </w:r>
      <w:r w:rsidRPr="0080636D">
        <w:rPr>
          <w:rFonts w:eastAsia="Times New Roman" w:cs="Arial"/>
          <w:color w:val="000000"/>
          <w:lang w:val="ru-RU"/>
        </w:rPr>
        <w:t xml:space="preserve">: </w:t>
      </w:r>
      <w:r w:rsidRPr="0080636D">
        <w:rPr>
          <w:rFonts w:eastAsia="Times New Roman" w:cs="Arial"/>
          <w:color w:val="000000"/>
          <w:lang w:eastAsia="bg-BG"/>
        </w:rPr>
        <w:t>1</w:t>
      </w:r>
      <w:proofErr w:type="gramStart"/>
      <w:r w:rsidRPr="0080636D">
        <w:rPr>
          <w:rFonts w:eastAsia="Times New Roman" w:cs="Arial"/>
          <w:color w:val="000000"/>
          <w:lang w:eastAsia="bg-BG"/>
        </w:rPr>
        <w:t>,6</w:t>
      </w:r>
      <w:proofErr w:type="gramEnd"/>
      <w:r w:rsidRPr="0080636D">
        <w:rPr>
          <w:rFonts w:eastAsia="Times New Roman" w:cs="Arial"/>
          <w:color w:val="000000"/>
          <w:lang w:eastAsia="bg-BG"/>
        </w:rPr>
        <w:t xml:space="preserve">) се открива основно в бялата раса, с по-високо разпространение в Южна, отколкото в Северна Европа и </w:t>
      </w:r>
      <w:r w:rsidRPr="0080636D">
        <w:rPr>
          <w:rFonts w:eastAsia="Times New Roman" w:cs="Arial"/>
          <w:color w:val="000000"/>
          <w:lang w:val="en-US"/>
        </w:rPr>
        <w:t>HLA</w:t>
      </w:r>
      <w:r w:rsidRPr="0080636D">
        <w:rPr>
          <w:rFonts w:eastAsia="Times New Roman" w:cs="Arial"/>
          <w:color w:val="000000"/>
          <w:lang w:val="ru-RU"/>
        </w:rPr>
        <w:t>-</w:t>
      </w:r>
      <w:r w:rsidRPr="0080636D">
        <w:rPr>
          <w:rFonts w:eastAsia="Times New Roman" w:cs="Arial"/>
          <w:color w:val="000000"/>
          <w:lang w:val="en-US"/>
        </w:rPr>
        <w:t>DRB</w:t>
      </w:r>
      <w:r w:rsidRPr="0080636D">
        <w:rPr>
          <w:rFonts w:eastAsia="Times New Roman" w:cs="Arial"/>
          <w:color w:val="000000"/>
          <w:lang w:val="ru-RU"/>
        </w:rPr>
        <w:t>1</w:t>
      </w:r>
      <w:r w:rsidRPr="0080636D">
        <w:rPr>
          <w:rFonts w:eastAsia="Times New Roman" w:cs="Arial"/>
          <w:color w:val="000000"/>
          <w:lang w:eastAsia="bg-BG"/>
        </w:rPr>
        <w:t xml:space="preserve">*04:06 алел (Отношение на вероятностите относно чувствителност към </w:t>
      </w:r>
      <w:r w:rsidRPr="0080636D">
        <w:rPr>
          <w:rFonts w:eastAsia="Times New Roman" w:cs="Arial"/>
          <w:color w:val="000000"/>
          <w:lang w:val="en-US"/>
        </w:rPr>
        <w:t>IAS</w:t>
      </w:r>
      <w:r w:rsidRPr="0080636D">
        <w:rPr>
          <w:rFonts w:eastAsia="Times New Roman" w:cs="Arial"/>
          <w:color w:val="000000"/>
          <w:lang w:val="ru-RU"/>
        </w:rPr>
        <w:t xml:space="preserve">: </w:t>
      </w:r>
      <w:r w:rsidRPr="0080636D">
        <w:rPr>
          <w:rFonts w:eastAsia="Times New Roman" w:cs="Arial"/>
          <w:color w:val="000000"/>
          <w:lang w:eastAsia="bg-BG"/>
        </w:rPr>
        <w:t>56,6) се открива основно в японските и корейските пациенти.</w:t>
      </w:r>
    </w:p>
    <w:p w14:paraId="19D50037" w14:textId="77777777" w:rsidR="0080636D" w:rsidRPr="0080636D" w:rsidRDefault="0080636D" w:rsidP="0080636D">
      <w:pPr>
        <w:spacing w:line="240" w:lineRule="auto"/>
        <w:rPr>
          <w:rFonts w:eastAsia="Times New Roman" w:cs="Arial"/>
          <w:color w:val="000000"/>
          <w:lang w:val="en-US"/>
        </w:rPr>
      </w:pPr>
    </w:p>
    <w:p w14:paraId="1428F277" w14:textId="01EA6FF0"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val="en-US"/>
        </w:rPr>
        <w:t>IAS</w:t>
      </w:r>
      <w:r w:rsidRPr="0080636D">
        <w:rPr>
          <w:rFonts w:eastAsia="Times New Roman" w:cs="Arial"/>
          <w:color w:val="000000"/>
          <w:lang w:val="ru-RU"/>
        </w:rPr>
        <w:t xml:space="preserve"> </w:t>
      </w:r>
      <w:r w:rsidRPr="0080636D">
        <w:rPr>
          <w:rFonts w:eastAsia="Times New Roman" w:cs="Arial"/>
          <w:color w:val="000000"/>
          <w:lang w:eastAsia="bg-BG"/>
        </w:rPr>
        <w:t>трябва да се има предвид при диференциалната диагностика на спонтанна хипогликемия при пациенти, използващи тиоктова киселина (вж, точка 4.8).</w:t>
      </w:r>
    </w:p>
    <w:p w14:paraId="036DFB54" w14:textId="77777777" w:rsidR="0080636D" w:rsidRPr="0080636D" w:rsidRDefault="0080636D" w:rsidP="0080636D"/>
    <w:p w14:paraId="1244F76A" w14:textId="1F565AF2" w:rsidR="00395555" w:rsidRDefault="002C50EE" w:rsidP="008A6AF2">
      <w:pPr>
        <w:pStyle w:val="Heading2"/>
      </w:pPr>
      <w:r>
        <w:t>4.5. Взаимодействие с други лекарствени продукти и други форми на взаимодействие</w:t>
      </w:r>
    </w:p>
    <w:p w14:paraId="4EEBC0B1" w14:textId="454C2AC8" w:rsidR="0080636D" w:rsidRDefault="0080636D" w:rsidP="0080636D"/>
    <w:p w14:paraId="08CF5B3E"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Едновременната употреба на </w:t>
      </w:r>
      <w:r w:rsidRPr="0080636D">
        <w:rPr>
          <w:rFonts w:eastAsia="Times New Roman" w:cs="Arial"/>
          <w:b/>
          <w:bCs/>
          <w:color w:val="000000"/>
          <w:lang w:eastAsia="bg-BG"/>
        </w:rPr>
        <w:t xml:space="preserve">Тиогамма Турбо-Сет </w:t>
      </w:r>
      <w:r w:rsidRPr="0080636D">
        <w:rPr>
          <w:rFonts w:eastAsia="Times New Roman" w:cs="Arial"/>
          <w:color w:val="000000"/>
          <w:lang w:eastAsia="bg-BG"/>
        </w:rPr>
        <w:t>води до намаляване ефекта на цисплатината.</w:t>
      </w:r>
    </w:p>
    <w:p w14:paraId="15EC073C"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Хипогликемичното действие на инсулина, респ. оралните антидиабетни средства може да се засили. Затова, особено в началния етап на лечение с тиоктова киселина, трябва системно да се контролира нивото на кръвната захар. За да се избегнат симптомите на хипогликемия, в отделни случаи може да се наложи намаляване на инсулиновите дози, респ. дозите на оралното антидиабетно средство.</w:t>
      </w:r>
    </w:p>
    <w:p w14:paraId="11ADDE36" w14:textId="77777777" w:rsidR="0080636D" w:rsidRPr="0080636D" w:rsidRDefault="0080636D" w:rsidP="0080636D">
      <w:pPr>
        <w:spacing w:line="240" w:lineRule="auto"/>
        <w:rPr>
          <w:rFonts w:eastAsia="Times New Roman" w:cs="Arial"/>
          <w:color w:val="000000"/>
          <w:u w:val="single"/>
          <w:lang w:eastAsia="bg-BG"/>
        </w:rPr>
      </w:pPr>
    </w:p>
    <w:p w14:paraId="1ADE34A2" w14:textId="20E5244A" w:rsidR="0080636D" w:rsidRPr="0080636D" w:rsidRDefault="0080636D" w:rsidP="0080636D">
      <w:pPr>
        <w:spacing w:line="240" w:lineRule="auto"/>
        <w:rPr>
          <w:rFonts w:eastAsia="Times New Roman" w:cs="Arial"/>
          <w:sz w:val="24"/>
          <w:szCs w:val="24"/>
        </w:rPr>
      </w:pPr>
      <w:r w:rsidRPr="0080636D">
        <w:rPr>
          <w:rFonts w:eastAsia="Times New Roman" w:cs="Arial"/>
          <w:color w:val="000000"/>
          <w:u w:val="single"/>
          <w:lang w:eastAsia="bg-BG"/>
        </w:rPr>
        <w:lastRenderedPageBreak/>
        <w:t>Указание:</w:t>
      </w:r>
    </w:p>
    <w:p w14:paraId="5995E84B"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Редовната употреба на алкохол представлява значителен рисков фактор за развитието и прогресията на невропатичната клинична картина и следователно може да компрометира успеха на терапията с </w:t>
      </w:r>
      <w:r w:rsidRPr="0080636D">
        <w:rPr>
          <w:rFonts w:eastAsia="Times New Roman" w:cs="Arial"/>
          <w:b/>
          <w:bCs/>
          <w:color w:val="000000"/>
          <w:lang w:eastAsia="bg-BG"/>
        </w:rPr>
        <w:t>Тиогамма Турбо-Сет.</w:t>
      </w:r>
    </w:p>
    <w:p w14:paraId="66FD5CFC"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Пациентите с диабетна полиневропатия са съветвани принципно да избягват употребата на алкохол. Това се отнася и за периода, в който не се прилага терапия.</w:t>
      </w:r>
    </w:p>
    <w:p w14:paraId="16120463" w14:textId="77777777" w:rsidR="0080636D" w:rsidRPr="0080636D" w:rsidRDefault="0080636D" w:rsidP="0080636D"/>
    <w:p w14:paraId="6EADE4D6" w14:textId="5859DA5D" w:rsidR="00395555" w:rsidRDefault="002C50EE" w:rsidP="008A6AF2">
      <w:pPr>
        <w:pStyle w:val="Heading2"/>
      </w:pPr>
      <w:r>
        <w:t>4.6. Фертилитет, бременност и кърмене</w:t>
      </w:r>
    </w:p>
    <w:p w14:paraId="0A1AFEED" w14:textId="48B2751B" w:rsidR="0080636D" w:rsidRDefault="0080636D" w:rsidP="0080636D"/>
    <w:p w14:paraId="72ED6742" w14:textId="77777777" w:rsidR="0080636D" w:rsidRPr="0080636D" w:rsidRDefault="0080636D" w:rsidP="0080636D">
      <w:pPr>
        <w:rPr>
          <w:sz w:val="24"/>
          <w:szCs w:val="24"/>
        </w:rPr>
      </w:pPr>
      <w:r w:rsidRPr="0080636D">
        <w:rPr>
          <w:lang w:eastAsia="bg-BG"/>
        </w:rPr>
        <w:t>Основен принцип на фармакотерапията е, че през периодите на бременност и кърмене, лекарствените продукти се употребяват едва след внимателна оценка на рисковете и ползите от лечението.</w:t>
      </w:r>
    </w:p>
    <w:p w14:paraId="189F442B" w14:textId="77777777" w:rsidR="0080636D" w:rsidRPr="0080636D" w:rsidRDefault="0080636D" w:rsidP="0080636D">
      <w:pPr>
        <w:rPr>
          <w:sz w:val="24"/>
          <w:szCs w:val="24"/>
        </w:rPr>
      </w:pPr>
      <w:r w:rsidRPr="0080636D">
        <w:rPr>
          <w:lang w:eastAsia="bg-BG"/>
        </w:rPr>
        <w:t>Следователно, бременни и кърмачки трябва да се подложат на терапия с тиоктова киселина, само ако лекарят прецени, че е строго необходимо. Тези ограничения се препоръчват независимо от факта, че данните от репродуктивните токсикологични проучвания сочат, че фертилитетът и развитието на ембриона са неповлияни и лекарственият продукт не показва ембриотоксични свойства.</w:t>
      </w:r>
    </w:p>
    <w:p w14:paraId="014370B1" w14:textId="6F41E010" w:rsidR="0080636D" w:rsidRDefault="0080636D" w:rsidP="0080636D">
      <w:pPr>
        <w:rPr>
          <w:lang w:eastAsia="bg-BG"/>
        </w:rPr>
      </w:pPr>
      <w:r w:rsidRPr="0080636D">
        <w:rPr>
          <w:lang w:eastAsia="bg-BG"/>
        </w:rPr>
        <w:t>Не е известно тиоктовата киселина да преминава в майчиното мляко. Употребата по време на кърмене по принцип трябва да бъде избегната.</w:t>
      </w:r>
    </w:p>
    <w:p w14:paraId="4D3DA9B1" w14:textId="77777777" w:rsidR="0080636D" w:rsidRPr="0080636D" w:rsidRDefault="0080636D" w:rsidP="0080636D"/>
    <w:p w14:paraId="5766770B" w14:textId="51A3CA16" w:rsidR="00395555" w:rsidRDefault="002C50EE" w:rsidP="008A6AF2">
      <w:pPr>
        <w:pStyle w:val="Heading2"/>
      </w:pPr>
      <w:r>
        <w:t>4.7. Ефекти върху способността за шофиране и работа с машини</w:t>
      </w:r>
    </w:p>
    <w:p w14:paraId="138C7F38" w14:textId="0FF936ED" w:rsidR="0080636D" w:rsidRDefault="0080636D" w:rsidP="0080636D"/>
    <w:p w14:paraId="66BCE2AF" w14:textId="4F22E734" w:rsidR="0080636D" w:rsidRDefault="0080636D" w:rsidP="0080636D">
      <w:r>
        <w:t>Не се налагат специални предпазни мерки.</w:t>
      </w:r>
    </w:p>
    <w:p w14:paraId="090C9461" w14:textId="77777777" w:rsidR="0080636D" w:rsidRPr="0080636D" w:rsidRDefault="0080636D" w:rsidP="0080636D"/>
    <w:p w14:paraId="4FE16E21" w14:textId="42A50296" w:rsidR="00395555" w:rsidRDefault="002C50EE" w:rsidP="008A6AF2">
      <w:pPr>
        <w:pStyle w:val="Heading2"/>
      </w:pPr>
      <w:r>
        <w:t>4.8. Нежелани лекарствени реакции</w:t>
      </w:r>
    </w:p>
    <w:p w14:paraId="4F611AEB" w14:textId="5B528ED3" w:rsidR="0080636D" w:rsidRDefault="0080636D" w:rsidP="0080636D"/>
    <w:p w14:paraId="2505049F"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При оценяването на нежеланите лекарствени реакции са използвани следните данни за честотата на тяхното проявление:</w:t>
      </w:r>
    </w:p>
    <w:p w14:paraId="4C8F20B3"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Много чести: (</w:t>
      </w:r>
      <w:r w:rsidRPr="0080636D">
        <w:rPr>
          <w:rFonts w:eastAsia="Times New Roman" w:cs="Arial"/>
          <w:color w:val="000000"/>
          <w:lang w:val="ru-RU"/>
        </w:rPr>
        <w:t>≥</w:t>
      </w:r>
      <w:r w:rsidRPr="0080636D">
        <w:rPr>
          <w:rFonts w:eastAsia="Times New Roman" w:cs="Arial"/>
          <w:color w:val="000000"/>
          <w:lang w:eastAsia="bg-BG"/>
        </w:rPr>
        <w:t>1/10)</w:t>
      </w:r>
    </w:p>
    <w:p w14:paraId="29E6642C"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Чести: (</w:t>
      </w:r>
      <w:r w:rsidRPr="0080636D">
        <w:rPr>
          <w:rFonts w:eastAsia="Times New Roman" w:cs="Arial"/>
          <w:color w:val="000000"/>
          <w:lang w:val="ru-RU"/>
        </w:rPr>
        <w:t>≥</w:t>
      </w:r>
      <w:r w:rsidRPr="0080636D">
        <w:rPr>
          <w:rFonts w:eastAsia="Times New Roman" w:cs="Arial"/>
          <w:color w:val="000000"/>
          <w:lang w:eastAsia="bg-BG"/>
        </w:rPr>
        <w:t>1/100 до &lt;1/10)</w:t>
      </w:r>
    </w:p>
    <w:p w14:paraId="069DAA1B"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Нечести: (</w:t>
      </w:r>
      <w:r w:rsidRPr="0080636D">
        <w:rPr>
          <w:rFonts w:eastAsia="Times New Roman" w:cs="Arial"/>
          <w:color w:val="000000"/>
          <w:lang w:val="ru-RU"/>
        </w:rPr>
        <w:t>≥</w:t>
      </w:r>
      <w:r w:rsidRPr="0080636D">
        <w:rPr>
          <w:rFonts w:eastAsia="Times New Roman" w:cs="Arial"/>
          <w:color w:val="000000"/>
          <w:lang w:eastAsia="bg-BG"/>
        </w:rPr>
        <w:t>1/1,000 до &lt;1/100)</w:t>
      </w:r>
    </w:p>
    <w:p w14:paraId="6993712C"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Редки: (</w:t>
      </w:r>
      <w:r w:rsidRPr="0080636D">
        <w:rPr>
          <w:rFonts w:eastAsia="Times New Roman" w:cs="Arial"/>
          <w:color w:val="000000"/>
          <w:lang w:val="ru-RU"/>
        </w:rPr>
        <w:t>≥</w:t>
      </w:r>
      <w:r w:rsidRPr="0080636D">
        <w:rPr>
          <w:rFonts w:eastAsia="Times New Roman" w:cs="Arial"/>
          <w:color w:val="000000"/>
          <w:lang w:eastAsia="bg-BG"/>
        </w:rPr>
        <w:t>1/10,000 до &lt;1/1,000)</w:t>
      </w:r>
    </w:p>
    <w:p w14:paraId="58699AFF"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Много редки: (&lt;1/10,000), включително единични случаи</w:t>
      </w:r>
    </w:p>
    <w:p w14:paraId="666C05B2"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С неизвестна честота: (от наличните данни не може да бъде направена оценка).</w:t>
      </w:r>
    </w:p>
    <w:p w14:paraId="04C30A02" w14:textId="77777777" w:rsidR="0080636D" w:rsidRPr="0080636D" w:rsidRDefault="0080636D" w:rsidP="0080636D">
      <w:pPr>
        <w:spacing w:line="240" w:lineRule="auto"/>
        <w:rPr>
          <w:rFonts w:eastAsia="Times New Roman" w:cs="Arial"/>
          <w:b/>
          <w:bCs/>
          <w:color w:val="000000"/>
          <w:lang w:eastAsia="bg-BG"/>
        </w:rPr>
      </w:pPr>
      <w:bookmarkStart w:id="1" w:name="bookmark0"/>
    </w:p>
    <w:p w14:paraId="59236E6E" w14:textId="4DFD2D63" w:rsidR="0080636D" w:rsidRPr="0080636D" w:rsidRDefault="0080636D" w:rsidP="0080636D">
      <w:pPr>
        <w:spacing w:line="240" w:lineRule="auto"/>
        <w:rPr>
          <w:rFonts w:eastAsia="Times New Roman" w:cs="Arial"/>
          <w:sz w:val="24"/>
          <w:szCs w:val="24"/>
        </w:rPr>
      </w:pPr>
      <w:r w:rsidRPr="0080636D">
        <w:rPr>
          <w:rFonts w:eastAsia="Times New Roman" w:cs="Arial"/>
          <w:b/>
          <w:bCs/>
          <w:color w:val="000000"/>
          <w:lang w:eastAsia="bg-BG"/>
        </w:rPr>
        <w:t>Общи нарушения и ефекти на мястото на приложение</w:t>
      </w:r>
      <w:bookmarkEnd w:id="1"/>
    </w:p>
    <w:p w14:paraId="3F5059F6"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Докладвани са отделни случаи на нежелани лекарствени реакции на мястото на приложение.</w:t>
      </w:r>
    </w:p>
    <w:p w14:paraId="35A675AD" w14:textId="77777777" w:rsidR="0080636D" w:rsidRPr="0080636D" w:rsidRDefault="0080636D" w:rsidP="0080636D">
      <w:pPr>
        <w:spacing w:line="240" w:lineRule="auto"/>
        <w:rPr>
          <w:rFonts w:eastAsia="Times New Roman" w:cs="Arial"/>
          <w:b/>
          <w:bCs/>
          <w:color w:val="000000"/>
          <w:lang w:eastAsia="bg-BG"/>
        </w:rPr>
      </w:pPr>
      <w:bookmarkStart w:id="2" w:name="bookmark2"/>
    </w:p>
    <w:p w14:paraId="089810B5" w14:textId="2BFA1FE6" w:rsidR="0080636D" w:rsidRPr="0080636D" w:rsidRDefault="0080636D" w:rsidP="0080636D">
      <w:pPr>
        <w:spacing w:line="240" w:lineRule="auto"/>
        <w:rPr>
          <w:rFonts w:eastAsia="Times New Roman" w:cs="Arial"/>
          <w:sz w:val="24"/>
          <w:szCs w:val="24"/>
        </w:rPr>
      </w:pPr>
      <w:r w:rsidRPr="0080636D">
        <w:rPr>
          <w:rFonts w:eastAsia="Times New Roman" w:cs="Arial"/>
          <w:b/>
          <w:bCs/>
          <w:color w:val="000000"/>
          <w:lang w:eastAsia="bg-BG"/>
        </w:rPr>
        <w:t>Реакции на свръхчувствителност</w:t>
      </w:r>
      <w:bookmarkEnd w:id="2"/>
    </w:p>
    <w:p w14:paraId="4CC5972A"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Възможна е появата на алергични реакции на кожата като уртикария, сърбеж, екзема и кожен обрив, както и системни реакции, включително шок.</w:t>
      </w:r>
    </w:p>
    <w:p w14:paraId="7D43C56F" w14:textId="77777777" w:rsidR="0080636D" w:rsidRPr="0080636D" w:rsidRDefault="0080636D" w:rsidP="0080636D">
      <w:pPr>
        <w:spacing w:line="240" w:lineRule="auto"/>
        <w:rPr>
          <w:rFonts w:eastAsia="Times New Roman" w:cs="Arial"/>
          <w:b/>
          <w:bCs/>
          <w:color w:val="000000"/>
          <w:lang w:eastAsia="bg-BG"/>
        </w:rPr>
      </w:pPr>
      <w:bookmarkStart w:id="3" w:name="bookmark4"/>
    </w:p>
    <w:p w14:paraId="534514ED" w14:textId="6D309EAA" w:rsidR="0080636D" w:rsidRPr="0080636D" w:rsidRDefault="0080636D" w:rsidP="0080636D">
      <w:pPr>
        <w:spacing w:line="240" w:lineRule="auto"/>
        <w:rPr>
          <w:rFonts w:eastAsia="Times New Roman" w:cs="Arial"/>
          <w:sz w:val="24"/>
          <w:szCs w:val="24"/>
        </w:rPr>
      </w:pPr>
      <w:r w:rsidRPr="0080636D">
        <w:rPr>
          <w:rFonts w:eastAsia="Times New Roman" w:cs="Arial"/>
          <w:b/>
          <w:bCs/>
          <w:color w:val="000000"/>
          <w:lang w:eastAsia="bg-BG"/>
        </w:rPr>
        <w:t>Нарушения на нервната система</w:t>
      </w:r>
      <w:bookmarkEnd w:id="3"/>
    </w:p>
    <w:p w14:paraId="1C40ACCE"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Много редки: промени или нарушения във вкусовата сетивност.</w:t>
      </w:r>
    </w:p>
    <w:p w14:paraId="7832131B"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След интравенозно прилагане на алфа-липоева киселина са наблюдавани отделни случаи на пристъпи и двойно виждане.</w:t>
      </w:r>
    </w:p>
    <w:p w14:paraId="1056CE2F" w14:textId="77777777" w:rsidR="0080636D" w:rsidRPr="0080636D" w:rsidRDefault="0080636D" w:rsidP="0080636D">
      <w:pPr>
        <w:spacing w:line="240" w:lineRule="auto"/>
        <w:rPr>
          <w:rFonts w:eastAsia="Times New Roman" w:cs="Arial"/>
          <w:b/>
          <w:bCs/>
          <w:color w:val="000000"/>
          <w:lang w:eastAsia="bg-BG"/>
        </w:rPr>
      </w:pPr>
      <w:bookmarkStart w:id="4" w:name="bookmark6"/>
    </w:p>
    <w:p w14:paraId="3413DC75" w14:textId="1126960B" w:rsidR="0080636D" w:rsidRPr="0080636D" w:rsidRDefault="0080636D" w:rsidP="0080636D">
      <w:pPr>
        <w:spacing w:line="240" w:lineRule="auto"/>
        <w:rPr>
          <w:rFonts w:eastAsia="Times New Roman" w:cs="Arial"/>
          <w:sz w:val="24"/>
          <w:szCs w:val="24"/>
        </w:rPr>
      </w:pPr>
      <w:r w:rsidRPr="0080636D">
        <w:rPr>
          <w:rFonts w:eastAsia="Times New Roman" w:cs="Arial"/>
          <w:b/>
          <w:bCs/>
          <w:color w:val="000000"/>
          <w:lang w:eastAsia="bg-BG"/>
        </w:rPr>
        <w:lastRenderedPageBreak/>
        <w:t>Нарушения на кръвта и лимфната система</w:t>
      </w:r>
      <w:bookmarkEnd w:id="4"/>
    </w:p>
    <w:p w14:paraId="78FD52D6"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След интравенозно прилагане на алфа-липоева киселина са наблюдавани отделни случаи на пурпура и тромбопатия.</w:t>
      </w:r>
    </w:p>
    <w:p w14:paraId="7D4D14DE" w14:textId="77777777" w:rsidR="0080636D" w:rsidRPr="0080636D" w:rsidRDefault="0080636D" w:rsidP="0080636D">
      <w:pPr>
        <w:spacing w:line="240" w:lineRule="auto"/>
        <w:rPr>
          <w:rFonts w:eastAsia="Times New Roman" w:cs="Arial"/>
          <w:b/>
          <w:bCs/>
          <w:color w:val="000000"/>
          <w:lang w:eastAsia="bg-BG"/>
        </w:rPr>
      </w:pPr>
      <w:bookmarkStart w:id="5" w:name="bookmark8"/>
    </w:p>
    <w:p w14:paraId="295FCFE2" w14:textId="76FDAFC5" w:rsidR="0080636D" w:rsidRPr="0080636D" w:rsidRDefault="0080636D" w:rsidP="0080636D">
      <w:pPr>
        <w:spacing w:line="240" w:lineRule="auto"/>
        <w:rPr>
          <w:rFonts w:eastAsia="Times New Roman" w:cs="Arial"/>
          <w:sz w:val="24"/>
          <w:szCs w:val="24"/>
        </w:rPr>
      </w:pPr>
      <w:r w:rsidRPr="0080636D">
        <w:rPr>
          <w:rFonts w:eastAsia="Times New Roman" w:cs="Arial"/>
          <w:b/>
          <w:bCs/>
          <w:color w:val="000000"/>
          <w:lang w:eastAsia="bg-BG"/>
        </w:rPr>
        <w:t>Общи нарушения и ефекти на мястото на приложение</w:t>
      </w:r>
      <w:bookmarkEnd w:id="5"/>
    </w:p>
    <w:p w14:paraId="5BB6D98E"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След бързо интравенозно инжектиране може да се появи чувство за напрежение в главата и затруднено дишане, които отзвучават спонтанно.</w:t>
      </w:r>
    </w:p>
    <w:p w14:paraId="10C50F3B"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Благодарение на подобреното усвояване на глюкозата, в единични случаи може да се снижи нивото на кръвната захар, като са описани симптоми наподобяващи хипогликемия: виене на свят, изпотяване, главоболие и нарушено зрение.</w:t>
      </w:r>
    </w:p>
    <w:p w14:paraId="3E91B5F1" w14:textId="77777777" w:rsidR="0080636D" w:rsidRPr="0080636D" w:rsidRDefault="0080636D" w:rsidP="0080636D">
      <w:pPr>
        <w:spacing w:line="240" w:lineRule="auto"/>
        <w:rPr>
          <w:rFonts w:eastAsia="Times New Roman" w:cs="Arial"/>
          <w:color w:val="000000"/>
          <w:u w:val="single"/>
          <w:lang w:eastAsia="bg-BG"/>
        </w:rPr>
      </w:pPr>
    </w:p>
    <w:p w14:paraId="72E5FA76" w14:textId="3E077148" w:rsidR="0080636D" w:rsidRPr="0080636D" w:rsidRDefault="0080636D" w:rsidP="0080636D">
      <w:pPr>
        <w:spacing w:line="240" w:lineRule="auto"/>
        <w:rPr>
          <w:rFonts w:eastAsia="Times New Roman" w:cs="Arial"/>
          <w:sz w:val="24"/>
          <w:szCs w:val="24"/>
        </w:rPr>
      </w:pPr>
      <w:r w:rsidRPr="0080636D">
        <w:rPr>
          <w:rFonts w:eastAsia="Times New Roman" w:cs="Arial"/>
          <w:color w:val="000000"/>
          <w:u w:val="single"/>
          <w:lang w:eastAsia="bg-BG"/>
        </w:rPr>
        <w:t>Допълнителни данни:</w:t>
      </w:r>
    </w:p>
    <w:p w14:paraId="7BC66B43"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Локална поносимост: В плацебо-контролирано проучване е демонстрирано че 50 </w:t>
      </w:r>
      <w:r w:rsidRPr="0080636D">
        <w:rPr>
          <w:rFonts w:eastAsia="Times New Roman" w:cs="Arial"/>
          <w:color w:val="000000"/>
          <w:lang w:val="en-US"/>
        </w:rPr>
        <w:t>ml</w:t>
      </w:r>
      <w:r w:rsidRPr="0080636D">
        <w:rPr>
          <w:rFonts w:eastAsia="Times New Roman" w:cs="Arial"/>
          <w:color w:val="000000"/>
          <w:lang w:val="ru-RU"/>
        </w:rPr>
        <w:t xml:space="preserve"> </w:t>
      </w:r>
      <w:r w:rsidRPr="0080636D">
        <w:rPr>
          <w:rFonts w:eastAsia="Times New Roman" w:cs="Arial"/>
          <w:color w:val="000000"/>
          <w:lang w:eastAsia="bg-BG"/>
        </w:rPr>
        <w:t xml:space="preserve">инжекционен разтвор съдържащ се в една ампула </w:t>
      </w:r>
      <w:r w:rsidRPr="0080636D">
        <w:rPr>
          <w:rFonts w:eastAsia="Times New Roman" w:cs="Arial"/>
          <w:b/>
          <w:bCs/>
          <w:color w:val="000000"/>
          <w:lang w:eastAsia="bg-BG"/>
        </w:rPr>
        <w:t xml:space="preserve">Тиогамма 600 Инжект </w:t>
      </w:r>
      <w:r w:rsidRPr="0080636D">
        <w:rPr>
          <w:rFonts w:eastAsia="Times New Roman" w:cs="Arial"/>
          <w:color w:val="000000"/>
          <w:lang w:eastAsia="bg-BG"/>
        </w:rPr>
        <w:t xml:space="preserve">(1167,7 </w:t>
      </w:r>
      <w:r w:rsidRPr="0080636D">
        <w:rPr>
          <w:rFonts w:eastAsia="Times New Roman" w:cs="Arial"/>
          <w:color w:val="000000"/>
          <w:lang w:val="en-US"/>
        </w:rPr>
        <w:t>mg</w:t>
      </w:r>
      <w:r w:rsidRPr="0080636D">
        <w:rPr>
          <w:rFonts w:eastAsia="Times New Roman" w:cs="Arial"/>
          <w:color w:val="000000"/>
          <w:lang w:val="ru-RU"/>
        </w:rPr>
        <w:t xml:space="preserve"> </w:t>
      </w:r>
      <w:r w:rsidRPr="0080636D">
        <w:rPr>
          <w:rFonts w:eastAsia="Times New Roman" w:cs="Arial"/>
          <w:color w:val="000000"/>
          <w:lang w:eastAsia="bg-BG"/>
        </w:rPr>
        <w:t xml:space="preserve">меглуминова сол на тиоктова киселина, макрогол, вода за инжекции) и 30 </w:t>
      </w:r>
      <w:r w:rsidRPr="0080636D">
        <w:rPr>
          <w:rFonts w:eastAsia="Times New Roman" w:cs="Arial"/>
          <w:color w:val="000000"/>
          <w:lang w:val="en-US"/>
        </w:rPr>
        <w:t>ml</w:t>
      </w:r>
      <w:r w:rsidRPr="0080636D">
        <w:rPr>
          <w:rFonts w:eastAsia="Times New Roman" w:cs="Arial"/>
          <w:color w:val="000000"/>
          <w:lang w:val="ru-RU"/>
        </w:rPr>
        <w:t xml:space="preserve"> </w:t>
      </w:r>
      <w:r w:rsidRPr="0080636D">
        <w:rPr>
          <w:rFonts w:eastAsia="Times New Roman" w:cs="Arial"/>
          <w:color w:val="000000"/>
          <w:lang w:eastAsia="bg-BG"/>
        </w:rPr>
        <w:t xml:space="preserve">0,9 % стандартен физиологичен разтвор въведен под форма на кратка инфузия за 30 минути е понесен много добре локално. Следователно може да се направи заключение, че </w:t>
      </w:r>
      <w:r w:rsidRPr="0080636D">
        <w:rPr>
          <w:rFonts w:eastAsia="Times New Roman" w:cs="Arial"/>
          <w:b/>
          <w:bCs/>
          <w:color w:val="000000"/>
          <w:lang w:eastAsia="bg-BG"/>
        </w:rPr>
        <w:t xml:space="preserve">Тиогамма Турбо-Сет </w:t>
      </w:r>
      <w:r w:rsidRPr="0080636D">
        <w:rPr>
          <w:rFonts w:eastAsia="Times New Roman" w:cs="Arial"/>
          <w:color w:val="000000"/>
          <w:lang w:eastAsia="bg-BG"/>
        </w:rPr>
        <w:t>също има много добра локална поносимост.</w:t>
      </w:r>
    </w:p>
    <w:p w14:paraId="158C2F83" w14:textId="77777777" w:rsidR="0080636D" w:rsidRPr="0080636D" w:rsidRDefault="0080636D" w:rsidP="0080636D">
      <w:pPr>
        <w:spacing w:line="240" w:lineRule="auto"/>
        <w:rPr>
          <w:rFonts w:eastAsia="Times New Roman" w:cs="Arial"/>
          <w:b/>
          <w:bCs/>
          <w:color w:val="000000"/>
          <w:lang w:eastAsia="bg-BG"/>
        </w:rPr>
      </w:pPr>
      <w:bookmarkStart w:id="6" w:name="bookmark10"/>
    </w:p>
    <w:p w14:paraId="060DE6D9" w14:textId="431EF43A" w:rsidR="0080636D" w:rsidRPr="0080636D" w:rsidRDefault="0080636D" w:rsidP="0080636D">
      <w:pPr>
        <w:spacing w:line="240" w:lineRule="auto"/>
        <w:rPr>
          <w:rFonts w:eastAsia="Times New Roman" w:cs="Arial"/>
          <w:sz w:val="24"/>
          <w:szCs w:val="24"/>
        </w:rPr>
      </w:pPr>
      <w:r w:rsidRPr="0080636D">
        <w:rPr>
          <w:rFonts w:eastAsia="Times New Roman" w:cs="Arial"/>
          <w:b/>
          <w:bCs/>
          <w:color w:val="000000"/>
          <w:lang w:eastAsia="bg-BG"/>
        </w:rPr>
        <w:t>Нарушения на имунната система</w:t>
      </w:r>
      <w:bookmarkEnd w:id="6"/>
    </w:p>
    <w:p w14:paraId="5E5DCFE6"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u w:val="single"/>
          <w:lang w:eastAsia="bg-BG"/>
        </w:rPr>
        <w:t>С неизвестна честота: инсулинов автоимунен синдром (вж. точка 4.4)</w:t>
      </w:r>
    </w:p>
    <w:p w14:paraId="5648D4F7" w14:textId="77777777" w:rsidR="0080636D" w:rsidRPr="0080636D" w:rsidRDefault="0080636D" w:rsidP="0080636D">
      <w:pPr>
        <w:spacing w:line="240" w:lineRule="auto"/>
        <w:rPr>
          <w:rFonts w:eastAsia="Times New Roman" w:cs="Arial"/>
          <w:b/>
          <w:bCs/>
          <w:color w:val="000000"/>
          <w:u w:val="single"/>
          <w:lang w:eastAsia="bg-BG"/>
        </w:rPr>
      </w:pPr>
      <w:bookmarkStart w:id="7" w:name="bookmark12"/>
    </w:p>
    <w:p w14:paraId="4FFD85D1" w14:textId="3BF8E3D2" w:rsidR="0080636D" w:rsidRPr="0080636D" w:rsidRDefault="0080636D" w:rsidP="0080636D">
      <w:pPr>
        <w:spacing w:line="240" w:lineRule="auto"/>
        <w:rPr>
          <w:rFonts w:eastAsia="Times New Roman" w:cs="Arial"/>
          <w:sz w:val="24"/>
          <w:szCs w:val="24"/>
        </w:rPr>
      </w:pPr>
      <w:r w:rsidRPr="0080636D">
        <w:rPr>
          <w:rFonts w:eastAsia="Times New Roman" w:cs="Arial"/>
          <w:b/>
          <w:bCs/>
          <w:color w:val="000000"/>
          <w:u w:val="single"/>
          <w:lang w:eastAsia="bg-BG"/>
        </w:rPr>
        <w:t>Съобщаване на подозирани нежелани реакции</w:t>
      </w:r>
      <w:bookmarkEnd w:id="7"/>
    </w:p>
    <w:p w14:paraId="4C0385E8"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19DC8577" w14:textId="77777777" w:rsidR="0080636D" w:rsidRPr="0080636D" w:rsidRDefault="0080636D" w:rsidP="0080636D">
      <w:pPr>
        <w:spacing w:line="240" w:lineRule="auto"/>
        <w:rPr>
          <w:rFonts w:eastAsia="Times New Roman" w:cs="Arial"/>
          <w:b/>
          <w:bCs/>
          <w:color w:val="000000"/>
          <w:lang w:eastAsia="bg-BG"/>
        </w:rPr>
      </w:pPr>
      <w:bookmarkStart w:id="8" w:name="bookmark14"/>
    </w:p>
    <w:p w14:paraId="3E34ED19" w14:textId="0BA025F3" w:rsidR="0080636D" w:rsidRPr="0080636D" w:rsidRDefault="0080636D" w:rsidP="0080636D">
      <w:pPr>
        <w:spacing w:line="240" w:lineRule="auto"/>
        <w:rPr>
          <w:rFonts w:eastAsia="Times New Roman" w:cs="Arial"/>
          <w:sz w:val="24"/>
          <w:szCs w:val="24"/>
        </w:rPr>
      </w:pPr>
      <w:r w:rsidRPr="0080636D">
        <w:rPr>
          <w:rFonts w:eastAsia="Times New Roman" w:cs="Arial"/>
          <w:b/>
          <w:bCs/>
          <w:color w:val="000000"/>
          <w:lang w:eastAsia="bg-BG"/>
        </w:rPr>
        <w:t>България</w:t>
      </w:r>
      <w:bookmarkEnd w:id="8"/>
    </w:p>
    <w:p w14:paraId="065B26B5" w14:textId="77777777" w:rsidR="0080636D" w:rsidRDefault="0080636D" w:rsidP="0080636D">
      <w:pPr>
        <w:spacing w:line="240" w:lineRule="auto"/>
        <w:rPr>
          <w:rFonts w:eastAsia="Times New Roman" w:cs="Arial"/>
          <w:color w:val="000000"/>
          <w:lang w:eastAsia="bg-BG"/>
        </w:rPr>
      </w:pPr>
      <w:r w:rsidRPr="0080636D">
        <w:rPr>
          <w:rFonts w:eastAsia="Times New Roman" w:cs="Arial"/>
          <w:color w:val="000000"/>
          <w:lang w:eastAsia="bg-BG"/>
        </w:rPr>
        <w:t xml:space="preserve">Изпълнителна агенция по лекарствата </w:t>
      </w:r>
    </w:p>
    <w:p w14:paraId="0F78AD6E" w14:textId="50CA924B"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ул. „Дамян Груев" № 8</w:t>
      </w:r>
    </w:p>
    <w:p w14:paraId="23A2042B" w14:textId="71E8B0F6" w:rsidR="0080636D" w:rsidRDefault="0080636D" w:rsidP="0080636D">
      <w:pPr>
        <w:spacing w:line="240" w:lineRule="auto"/>
        <w:rPr>
          <w:rFonts w:eastAsia="Times New Roman" w:cs="Arial"/>
          <w:color w:val="000000"/>
          <w:lang w:eastAsia="bg-BG"/>
        </w:rPr>
      </w:pPr>
      <w:r w:rsidRPr="0080636D">
        <w:rPr>
          <w:rFonts w:eastAsia="Times New Roman" w:cs="Arial"/>
          <w:color w:val="000000"/>
          <w:lang w:eastAsia="bg-BG"/>
        </w:rPr>
        <w:t>1303 София</w:t>
      </w:r>
    </w:p>
    <w:p w14:paraId="6846FCC6" w14:textId="77777777" w:rsidR="0080636D" w:rsidRPr="0080636D" w:rsidRDefault="0080636D" w:rsidP="0080636D">
      <w:pPr>
        <w:spacing w:line="240" w:lineRule="auto"/>
        <w:rPr>
          <w:rFonts w:eastAsia="Times New Roman" w:cs="Arial"/>
          <w:color w:val="000000"/>
          <w:lang w:val="en-US"/>
        </w:rPr>
      </w:pPr>
      <w:r w:rsidRPr="0080636D">
        <w:rPr>
          <w:rFonts w:eastAsia="Times New Roman" w:cs="Arial"/>
          <w:color w:val="000000"/>
          <w:lang w:eastAsia="bg-BG"/>
        </w:rPr>
        <w:t>Тел.:</w:t>
      </w:r>
      <w:r w:rsidRPr="0080636D">
        <w:rPr>
          <w:rFonts w:eastAsia="Times New Roman" w:cs="Arial"/>
          <w:color w:val="000000"/>
          <w:lang w:val="en-US"/>
        </w:rPr>
        <w:t xml:space="preserve">+35 928903417 </w:t>
      </w:r>
    </w:p>
    <w:p w14:paraId="4A8B146D" w14:textId="549B638D" w:rsidR="0080636D" w:rsidRPr="0080636D" w:rsidRDefault="0080636D" w:rsidP="0080636D">
      <w:pPr>
        <w:spacing w:line="240" w:lineRule="auto"/>
        <w:rPr>
          <w:rFonts w:eastAsia="Times New Roman" w:cs="Arial"/>
          <w:lang w:val="en-US"/>
        </w:rPr>
      </w:pPr>
      <w:r w:rsidRPr="0080636D">
        <w:rPr>
          <w:rFonts w:eastAsia="Times New Roman" w:cs="Arial"/>
          <w:color w:val="000000"/>
          <w:lang w:eastAsia="bg-BG"/>
        </w:rPr>
        <w:t xml:space="preserve">уебсайт: </w:t>
      </w:r>
      <w:r w:rsidRPr="0080636D">
        <w:rPr>
          <w:rFonts w:eastAsia="Times New Roman" w:cs="Arial"/>
          <w:lang w:val="en-US"/>
        </w:rPr>
        <w:fldChar w:fldCharType="begin"/>
      </w:r>
      <w:r w:rsidRPr="0080636D">
        <w:rPr>
          <w:rFonts w:eastAsia="Times New Roman" w:cs="Arial"/>
          <w:lang w:val="en-US"/>
        </w:rPr>
        <w:instrText xml:space="preserve"> HYPERLINK "http://www.bda.bg" </w:instrText>
      </w:r>
      <w:r w:rsidRPr="0080636D">
        <w:rPr>
          <w:rFonts w:eastAsia="Times New Roman" w:cs="Arial"/>
          <w:lang w:val="en-US"/>
        </w:rPr>
      </w:r>
      <w:r w:rsidRPr="0080636D">
        <w:rPr>
          <w:rFonts w:eastAsia="Times New Roman" w:cs="Arial"/>
          <w:lang w:val="en-US"/>
        </w:rPr>
        <w:fldChar w:fldCharType="separate"/>
      </w:r>
      <w:r w:rsidRPr="0080636D">
        <w:rPr>
          <w:rFonts w:eastAsia="Times New Roman" w:cs="Arial"/>
          <w:color w:val="000000"/>
          <w:u w:val="single"/>
          <w:lang w:val="en-US"/>
        </w:rPr>
        <w:t>www.bda.bg</w:t>
      </w:r>
      <w:r w:rsidRPr="0080636D">
        <w:rPr>
          <w:rFonts w:eastAsia="Times New Roman" w:cs="Arial"/>
          <w:lang w:val="en-US"/>
        </w:rPr>
        <w:fldChar w:fldCharType="end"/>
      </w:r>
    </w:p>
    <w:p w14:paraId="093E0C3F" w14:textId="75762C08" w:rsidR="0080636D" w:rsidRPr="0080636D" w:rsidRDefault="0080636D" w:rsidP="0080636D"/>
    <w:p w14:paraId="4ED30546" w14:textId="523690B9" w:rsidR="007C605B" w:rsidRDefault="002C50EE" w:rsidP="009F1313">
      <w:pPr>
        <w:pStyle w:val="Heading2"/>
      </w:pPr>
      <w:r>
        <w:t>4.9. Предозиране</w:t>
      </w:r>
    </w:p>
    <w:p w14:paraId="125ADD94" w14:textId="42F33E79" w:rsidR="0080636D" w:rsidRDefault="0080636D" w:rsidP="0080636D"/>
    <w:p w14:paraId="64BB7875"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В случаи на предозиране, при пациентите могат да се </w:t>
      </w:r>
      <w:r w:rsidRPr="0080636D">
        <w:rPr>
          <w:rFonts w:eastAsia="Times New Roman" w:cs="Arial"/>
          <w:i/>
          <w:iCs/>
          <w:color w:val="000000"/>
          <w:lang w:eastAsia="bg-BG"/>
        </w:rPr>
        <w:t>проявят гадене, повръщане</w:t>
      </w:r>
      <w:r w:rsidRPr="0080636D">
        <w:rPr>
          <w:rFonts w:eastAsia="Times New Roman" w:cs="Arial"/>
          <w:color w:val="000000"/>
          <w:lang w:eastAsia="bg-BG"/>
        </w:rPr>
        <w:t xml:space="preserve"> и главоболие. След случаен или умишлен (самоубийствен) прием на тиоктова киселина в перорална доза между 10 и 40 </w:t>
      </w:r>
      <w:r w:rsidRPr="0080636D">
        <w:rPr>
          <w:rFonts w:eastAsia="Times New Roman" w:cs="Arial"/>
          <w:color w:val="000000"/>
          <w:lang w:val="en-US"/>
        </w:rPr>
        <w:t>g</w:t>
      </w:r>
      <w:r w:rsidRPr="0080636D">
        <w:rPr>
          <w:rFonts w:eastAsia="Times New Roman" w:cs="Arial"/>
          <w:color w:val="000000"/>
          <w:lang w:val="ru-RU"/>
        </w:rPr>
        <w:t xml:space="preserve">, </w:t>
      </w:r>
      <w:r w:rsidRPr="0080636D">
        <w:rPr>
          <w:rFonts w:eastAsia="Times New Roman" w:cs="Arial"/>
          <w:color w:val="000000"/>
          <w:lang w:eastAsia="bg-BG"/>
        </w:rPr>
        <w:t>в комбинация с алкохол, са наблюдавани тежки интоксикации, някои от които и с летален изход. Клинико-токсикологичният профил може да се манифестира първоначално с психомоторно безпокойство или замъгляване на съзнанието, което е и типично, в съчетание с генерализирани припадъци и поява на лактатна ацидоза. Като последствие от прием на високи дози тиоктова киселина са описани и хипогликемии, шок, рабдомиолиза, хемолиза и дисеминирана интерваскуларна коагулация (ДИК), супресия на костния мозък и мултиорганна недостатъчност.</w:t>
      </w:r>
    </w:p>
    <w:p w14:paraId="1E2BB94C" w14:textId="77777777" w:rsidR="0080636D" w:rsidRPr="0080636D" w:rsidRDefault="0080636D" w:rsidP="0080636D">
      <w:pPr>
        <w:spacing w:line="240" w:lineRule="auto"/>
        <w:rPr>
          <w:rFonts w:eastAsia="Times New Roman" w:cs="Arial"/>
          <w:color w:val="000000"/>
          <w:u w:val="single"/>
          <w:lang w:eastAsia="bg-BG"/>
        </w:rPr>
      </w:pPr>
    </w:p>
    <w:p w14:paraId="070909DB" w14:textId="274BB356" w:rsidR="0080636D" w:rsidRPr="0080636D" w:rsidRDefault="0080636D" w:rsidP="0080636D">
      <w:pPr>
        <w:spacing w:line="240" w:lineRule="auto"/>
        <w:rPr>
          <w:rFonts w:eastAsia="Times New Roman" w:cs="Arial"/>
          <w:sz w:val="24"/>
          <w:szCs w:val="24"/>
        </w:rPr>
      </w:pPr>
      <w:r w:rsidRPr="0080636D">
        <w:rPr>
          <w:rFonts w:eastAsia="Times New Roman" w:cs="Arial"/>
          <w:color w:val="000000"/>
          <w:u w:val="single"/>
          <w:lang w:eastAsia="bg-BG"/>
        </w:rPr>
        <w:t>Терапевтични мерки в случай на интоксикация:</w:t>
      </w:r>
    </w:p>
    <w:p w14:paraId="00CBD8E0"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lastRenderedPageBreak/>
        <w:t xml:space="preserve">В случай, дори само на съмнение за интоксикация с тиоктова киселина (например &gt;10 таблетки от 600 </w:t>
      </w:r>
      <w:r w:rsidRPr="0080636D">
        <w:rPr>
          <w:rFonts w:eastAsia="Times New Roman" w:cs="Arial"/>
          <w:color w:val="000000"/>
          <w:lang w:val="en-US"/>
        </w:rPr>
        <w:t>mg</w:t>
      </w:r>
      <w:r w:rsidRPr="0080636D">
        <w:rPr>
          <w:rFonts w:eastAsia="Times New Roman" w:cs="Arial"/>
          <w:color w:val="000000"/>
          <w:lang w:val="ru-RU"/>
        </w:rPr>
        <w:t xml:space="preserve"> </w:t>
      </w:r>
      <w:r w:rsidRPr="0080636D">
        <w:rPr>
          <w:rFonts w:eastAsia="Times New Roman" w:cs="Arial"/>
          <w:color w:val="000000"/>
          <w:lang w:eastAsia="bg-BG"/>
        </w:rPr>
        <w:t xml:space="preserve">при възрастни и &gt; 50 </w:t>
      </w:r>
      <w:r w:rsidRPr="0080636D">
        <w:rPr>
          <w:rFonts w:eastAsia="Times New Roman" w:cs="Arial"/>
          <w:color w:val="000000"/>
          <w:lang w:val="en-US"/>
        </w:rPr>
        <w:t>mg</w:t>
      </w:r>
      <w:r w:rsidRPr="0080636D">
        <w:rPr>
          <w:rFonts w:eastAsia="Times New Roman" w:cs="Arial"/>
          <w:color w:val="000000"/>
          <w:lang w:val="ru-RU"/>
        </w:rPr>
        <w:t>/</w:t>
      </w:r>
      <w:r w:rsidRPr="0080636D">
        <w:rPr>
          <w:rFonts w:eastAsia="Times New Roman" w:cs="Arial"/>
          <w:color w:val="000000"/>
          <w:lang w:val="en-US"/>
        </w:rPr>
        <w:t>kg</w:t>
      </w:r>
      <w:r w:rsidRPr="0080636D">
        <w:rPr>
          <w:rFonts w:eastAsia="Times New Roman" w:cs="Arial"/>
          <w:color w:val="000000"/>
          <w:lang w:val="ru-RU"/>
        </w:rPr>
        <w:t xml:space="preserve"> </w:t>
      </w:r>
      <w:r w:rsidRPr="0080636D">
        <w:rPr>
          <w:rFonts w:eastAsia="Times New Roman" w:cs="Arial"/>
          <w:color w:val="000000"/>
          <w:lang w:eastAsia="bg-BG"/>
        </w:rPr>
        <w:t>телесно тегло при деца) пациентът трябва да бъде приет в клиника незабавно и да бъде започнато общо лечение на отравянето (например; предизвикване на повръщане, стомашни промивки, активен въглен и др.). Лечението на генерализираните припадъци, лактатната ацидоза и другите животозастрашаващи последици от интоксикацията трябва да бъде изпълнено съгласно принципите на съвременната спешна помощ и в зависимост от симптоматиката. Ползата от провеждане на хемодиализа, хемоперфузия и филтрационни техники за елиминиране на тиоктовата киселина не е категорично потвърдена (демонстрирана).</w:t>
      </w:r>
    </w:p>
    <w:p w14:paraId="08B07B48" w14:textId="77777777" w:rsidR="0080636D" w:rsidRPr="0080636D" w:rsidRDefault="0080636D" w:rsidP="0080636D"/>
    <w:p w14:paraId="02081B24" w14:textId="1F46E296" w:rsidR="00395555" w:rsidRPr="00395555" w:rsidRDefault="002C50EE" w:rsidP="008A6AF2">
      <w:pPr>
        <w:pStyle w:val="Heading1"/>
      </w:pPr>
      <w:r>
        <w:t>5. ФАРМАКОЛОГИЧНИ СВОЙСТВА</w:t>
      </w:r>
    </w:p>
    <w:p w14:paraId="5350637D" w14:textId="4B11692C" w:rsidR="00395555" w:rsidRDefault="002C50EE" w:rsidP="008A6AF2">
      <w:pPr>
        <w:pStyle w:val="Heading2"/>
      </w:pPr>
      <w:r>
        <w:t>5.1. Фармакодинамични свойства</w:t>
      </w:r>
    </w:p>
    <w:p w14:paraId="75FC95FF" w14:textId="76134FBE" w:rsidR="0080636D" w:rsidRDefault="0080636D" w:rsidP="0080636D"/>
    <w:p w14:paraId="54382176"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Фармакотерапевтична група: лекарствен продукт за лечение на невропатии</w:t>
      </w:r>
    </w:p>
    <w:p w14:paraId="08688DF4"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АТС код: А 16 АХ 01</w:t>
      </w:r>
    </w:p>
    <w:p w14:paraId="64024DCB" w14:textId="77777777" w:rsidR="0080636D" w:rsidRPr="0080636D" w:rsidRDefault="0080636D" w:rsidP="0080636D">
      <w:pPr>
        <w:spacing w:line="240" w:lineRule="auto"/>
        <w:rPr>
          <w:rFonts w:eastAsia="Times New Roman" w:cs="Arial"/>
          <w:color w:val="000000"/>
          <w:lang w:eastAsia="bg-BG"/>
        </w:rPr>
      </w:pPr>
    </w:p>
    <w:p w14:paraId="2E1A7434" w14:textId="009EB7EA"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Тиоктовата киселина е витаминоподобна, ендогенно образувана субстанция с коензимна функция при окислителното декарбоксилиране на алфа-кетоновите киселини.</w:t>
      </w:r>
    </w:p>
    <w:p w14:paraId="47E8A8F6"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В резултат на хипергликемията, предизвикана от захарния диабет, върху матрикса на белтъците на кръвоносните съдове се натрупва глюкоза и се формират така наречените “крайни продукти на гликирането”. Този процес води до редукция на ендоневралния кръвен приток и ендоневрална хипоксия/исхемия. Това е свързано с увеличено производство на свободни кислородни радикали, които увреждат периферния нерв. Също така е на лице изчерпване на антиоксидантите (напр. глутатиона),</w:t>
      </w:r>
    </w:p>
    <w:p w14:paraId="43A6B671"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В проучвания с плъхове е установено, че тиоктовата киселина въздейства върху биохимичните процеси, отключени от стрептозоцин-индуциран диабет чрез: намаляване образуването на </w:t>
      </w:r>
      <w:r w:rsidRPr="0080636D">
        <w:rPr>
          <w:rFonts w:eastAsia="Times New Roman" w:cs="Arial"/>
          <w:i/>
          <w:iCs/>
          <w:color w:val="000000"/>
          <w:lang w:eastAsia="bg-BG"/>
        </w:rPr>
        <w:t>крайните продукти на гликиране,</w:t>
      </w:r>
      <w:r w:rsidRPr="0080636D">
        <w:rPr>
          <w:rFonts w:eastAsia="Times New Roman" w:cs="Arial"/>
          <w:color w:val="000000"/>
          <w:lang w:eastAsia="bg-BG"/>
        </w:rPr>
        <w:t xml:space="preserve"> подобряване на ендотелния кръвоток, увеличаване физиологичните нива на антиоксиданта глутатион, и антиоксидантно действие върху свободните кислородни радикали в диабетния нерв.</w:t>
      </w:r>
    </w:p>
    <w:p w14:paraId="6DB1D50E"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Тези ефекти, наблюдавани при експериментално предизвикани състояния сочат, че функционалността на нерва може да се подобри при лечение с тиоктова киселина. Това се отнася до сетивните нарушения при диабетна полиневропатия, които се манифестират с дизестезия и парестезия, като чувство за парене, болка, изтръпване и мравучкане.</w:t>
      </w:r>
    </w:p>
    <w:p w14:paraId="5A476947"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Като допълнение към предишни клинични открития, свързани свързани със симптоматичното лечение на диабетната полиневропатия с тиоктова киселина, в едно мултицентрово плацебо- контролирано проучване през 1995 тиоктовата киселина е доказала, че има благоприятни ефекти върху изследваните симптоми: парене, парестезии, изтръпване и болка.</w:t>
      </w:r>
    </w:p>
    <w:p w14:paraId="5DE732D1" w14:textId="77777777" w:rsidR="0080636D" w:rsidRPr="0080636D" w:rsidRDefault="0080636D" w:rsidP="0080636D"/>
    <w:p w14:paraId="26535098" w14:textId="26ACFBF7" w:rsidR="00395555" w:rsidRDefault="002C50EE" w:rsidP="008A6AF2">
      <w:pPr>
        <w:pStyle w:val="Heading2"/>
      </w:pPr>
      <w:r>
        <w:t>5.2. Фармакокинетични свойства</w:t>
      </w:r>
    </w:p>
    <w:p w14:paraId="554AFFAE" w14:textId="393FA4F5" w:rsidR="0080636D" w:rsidRDefault="0080636D" w:rsidP="0080636D"/>
    <w:p w14:paraId="55C2F2E7" w14:textId="77777777" w:rsidR="0080636D" w:rsidRPr="0080636D" w:rsidRDefault="0080636D" w:rsidP="0080636D">
      <w:pPr>
        <w:rPr>
          <w:sz w:val="24"/>
          <w:szCs w:val="24"/>
        </w:rPr>
      </w:pPr>
      <w:r w:rsidRPr="0080636D">
        <w:rPr>
          <w:lang w:eastAsia="bg-BG"/>
        </w:rPr>
        <w:t>Тиоктовата киселина претърпява ефекта на първо преминаване през черния дроб. Системната бионаличност на тиоктовата киселина показва значителна вариабилност при различните индивиди. Биотрансформирана чрез окисление на страничната верига и конюгация, тиоктовата киселина се елиминира предимно през бъбреците.</w:t>
      </w:r>
    </w:p>
    <w:p w14:paraId="32ED72FE" w14:textId="77777777" w:rsidR="0080636D" w:rsidRPr="0080636D" w:rsidRDefault="0080636D" w:rsidP="0080636D">
      <w:pPr>
        <w:rPr>
          <w:sz w:val="24"/>
          <w:szCs w:val="24"/>
        </w:rPr>
      </w:pPr>
      <w:r w:rsidRPr="0080636D">
        <w:rPr>
          <w:lang w:eastAsia="bg-BG"/>
        </w:rPr>
        <w:t xml:space="preserve">Плазменият полуживот на тиоктовата киселина у човека е приблизително 25 минути, докато тоталния плазмен клирънс е 10-15 </w:t>
      </w:r>
      <w:r w:rsidRPr="0080636D">
        <w:rPr>
          <w:lang w:val="en-US"/>
        </w:rPr>
        <w:t>ml</w:t>
      </w:r>
      <w:r w:rsidRPr="0080636D">
        <w:rPr>
          <w:lang w:val="ru-RU"/>
        </w:rPr>
        <w:t>/</w:t>
      </w:r>
      <w:r w:rsidRPr="0080636D">
        <w:rPr>
          <w:lang w:val="en-US"/>
        </w:rPr>
        <w:t>min</w:t>
      </w:r>
      <w:r w:rsidRPr="0080636D">
        <w:rPr>
          <w:lang w:val="ru-RU"/>
        </w:rPr>
        <w:t>/</w:t>
      </w:r>
      <w:r w:rsidRPr="0080636D">
        <w:rPr>
          <w:lang w:val="en-US"/>
        </w:rPr>
        <w:t>kg</w:t>
      </w:r>
      <w:r w:rsidRPr="0080636D">
        <w:rPr>
          <w:lang w:val="ru-RU"/>
        </w:rPr>
        <w:t xml:space="preserve">. </w:t>
      </w:r>
      <w:r w:rsidRPr="0080636D">
        <w:rPr>
          <w:lang w:eastAsia="bg-BG"/>
        </w:rPr>
        <w:t xml:space="preserve">В края на една 30-минутна инфузия на 600 </w:t>
      </w:r>
      <w:r w:rsidRPr="0080636D">
        <w:rPr>
          <w:lang w:val="en-US"/>
        </w:rPr>
        <w:t>mg</w:t>
      </w:r>
      <w:r w:rsidRPr="0080636D">
        <w:rPr>
          <w:lang w:val="ru-RU"/>
        </w:rPr>
        <w:t xml:space="preserve"> </w:t>
      </w:r>
      <w:r w:rsidRPr="0080636D">
        <w:rPr>
          <w:lang w:eastAsia="bg-BG"/>
        </w:rPr>
        <w:t xml:space="preserve">тиоктова киселина плазмените нива са приблизително 20 </w:t>
      </w:r>
      <w:proofErr w:type="spellStart"/>
      <w:r w:rsidRPr="0080636D">
        <w:rPr>
          <w:lang w:val="en-US"/>
        </w:rPr>
        <w:t>μg</w:t>
      </w:r>
      <w:proofErr w:type="spellEnd"/>
      <w:r w:rsidRPr="0080636D">
        <w:rPr>
          <w:lang w:val="ru-RU"/>
        </w:rPr>
        <w:t>/</w:t>
      </w:r>
      <w:r w:rsidRPr="0080636D">
        <w:rPr>
          <w:lang w:val="en-US"/>
        </w:rPr>
        <w:t>ml</w:t>
      </w:r>
      <w:r w:rsidRPr="0080636D">
        <w:rPr>
          <w:lang w:val="ru-RU"/>
        </w:rPr>
        <w:t xml:space="preserve">. </w:t>
      </w:r>
      <w:r w:rsidRPr="0080636D">
        <w:rPr>
          <w:lang w:eastAsia="bg-BG"/>
        </w:rPr>
        <w:t xml:space="preserve">Чрез </w:t>
      </w:r>
      <w:r w:rsidRPr="0080636D">
        <w:rPr>
          <w:lang w:eastAsia="bg-BG"/>
        </w:rPr>
        <w:lastRenderedPageBreak/>
        <w:t xml:space="preserve">използването на радиоактивни маркери в експерименти с животни (плъхове и кучета) е показано, че пътя на екскрецията е предимно чрез бъбреците (80-90 %), под формата на метаболити. При хора, малко количество се екскретира непроменено чрез урината. Биотрансформацията се извършва предимно чрез скъсяване на страничната окислителна верига (р-окисление) и/или </w:t>
      </w:r>
      <w:r w:rsidRPr="0080636D">
        <w:rPr>
          <w:lang w:val="en-US"/>
        </w:rPr>
        <w:t>S</w:t>
      </w:r>
      <w:r w:rsidRPr="0080636D">
        <w:rPr>
          <w:lang w:eastAsia="bg-BG"/>
        </w:rPr>
        <w:t>-метилиране на кореспондиращите тиоли.</w:t>
      </w:r>
    </w:p>
    <w:p w14:paraId="5A614367" w14:textId="77777777" w:rsidR="0080636D" w:rsidRPr="0080636D" w:rsidRDefault="0080636D" w:rsidP="0080636D">
      <w:pPr>
        <w:rPr>
          <w:sz w:val="24"/>
          <w:szCs w:val="24"/>
        </w:rPr>
      </w:pPr>
      <w:r w:rsidRPr="0080636D">
        <w:rPr>
          <w:lang w:eastAsia="bg-BG"/>
        </w:rPr>
        <w:t xml:space="preserve">Тиоктовата киселина </w:t>
      </w:r>
      <w:r w:rsidRPr="0080636D">
        <w:rPr>
          <w:i/>
          <w:iCs/>
          <w:lang w:val="en-US"/>
        </w:rPr>
        <w:t>in</w:t>
      </w:r>
      <w:r w:rsidRPr="0080636D">
        <w:rPr>
          <w:i/>
          <w:iCs/>
          <w:lang w:val="ru-RU"/>
        </w:rPr>
        <w:t xml:space="preserve"> </w:t>
      </w:r>
      <w:r w:rsidRPr="0080636D">
        <w:rPr>
          <w:i/>
          <w:iCs/>
          <w:lang w:val="en-US"/>
        </w:rPr>
        <w:t>vitro</w:t>
      </w:r>
      <w:r w:rsidRPr="0080636D">
        <w:rPr>
          <w:lang w:val="ru-RU"/>
        </w:rPr>
        <w:t xml:space="preserve"> </w:t>
      </w:r>
      <w:r w:rsidRPr="0080636D">
        <w:rPr>
          <w:lang w:eastAsia="bg-BG"/>
        </w:rPr>
        <w:t>реагира с метални йонни комплексни съединения (например цисплатина). Тя формира трудноразтворими комплексни съединения със захарни молекули.</w:t>
      </w:r>
    </w:p>
    <w:p w14:paraId="59A81050" w14:textId="77777777" w:rsidR="0080636D" w:rsidRPr="0080636D" w:rsidRDefault="0080636D" w:rsidP="0080636D"/>
    <w:p w14:paraId="028E658A" w14:textId="6063AB0C" w:rsidR="00395555" w:rsidRDefault="002C50EE" w:rsidP="008A6AF2">
      <w:pPr>
        <w:pStyle w:val="Heading2"/>
      </w:pPr>
      <w:r>
        <w:t>5.3. Предклинични данни за безопасност</w:t>
      </w:r>
    </w:p>
    <w:p w14:paraId="413811F8" w14:textId="77777777" w:rsidR="0080636D" w:rsidRDefault="0080636D" w:rsidP="0080636D">
      <w:pPr>
        <w:spacing w:line="240" w:lineRule="auto"/>
      </w:pPr>
    </w:p>
    <w:p w14:paraId="332BFDCE" w14:textId="77777777" w:rsidR="0080636D" w:rsidRDefault="0080636D" w:rsidP="0080636D">
      <w:pPr>
        <w:spacing w:line="240" w:lineRule="auto"/>
      </w:pPr>
    </w:p>
    <w:p w14:paraId="2BD44490" w14:textId="76E6ED70" w:rsidR="0080636D" w:rsidRPr="0080636D" w:rsidRDefault="0080636D" w:rsidP="0080636D">
      <w:pPr>
        <w:spacing w:line="240" w:lineRule="auto"/>
        <w:rPr>
          <w:rFonts w:eastAsia="Times New Roman" w:cs="Arial"/>
          <w:b/>
          <w:bCs/>
          <w:i/>
          <w:iCs/>
          <w:color w:val="000000"/>
          <w:lang w:eastAsia="bg-BG"/>
        </w:rPr>
      </w:pPr>
      <w:r w:rsidRPr="0080636D">
        <w:rPr>
          <w:b/>
          <w:i/>
        </w:rPr>
        <w:t xml:space="preserve">А) </w:t>
      </w:r>
      <w:r w:rsidRPr="0080636D">
        <w:rPr>
          <w:rFonts w:eastAsia="Times New Roman" w:cs="Arial"/>
          <w:b/>
          <w:bCs/>
          <w:i/>
          <w:iCs/>
          <w:color w:val="000000"/>
          <w:lang w:eastAsia="bg-BG"/>
        </w:rPr>
        <w:t>Остра и хронична токсичност</w:t>
      </w:r>
    </w:p>
    <w:p w14:paraId="0D072168" w14:textId="65995C0F" w:rsidR="0080636D" w:rsidRDefault="0080636D" w:rsidP="0080636D">
      <w:pPr>
        <w:spacing w:line="240" w:lineRule="auto"/>
        <w:rPr>
          <w:rFonts w:eastAsia="Times New Roman" w:cs="Arial"/>
          <w:color w:val="000000"/>
          <w:lang w:eastAsia="bg-BG"/>
        </w:rPr>
      </w:pPr>
      <w:r w:rsidRPr="0080636D">
        <w:rPr>
          <w:rFonts w:eastAsia="Times New Roman" w:cs="Arial"/>
          <w:color w:val="000000"/>
          <w:lang w:eastAsia="bg-BG"/>
        </w:rPr>
        <w:t>Токсичният профил се характеризира със симптоми, които повлияват вегетативната и централната нервна система. След повторно приложение, другите таргетни органи на токсичните дози са черния дроб и бъбреците.</w:t>
      </w:r>
    </w:p>
    <w:p w14:paraId="476D9E04" w14:textId="77777777" w:rsidR="0080636D" w:rsidRDefault="0080636D" w:rsidP="0080636D">
      <w:pPr>
        <w:spacing w:line="240" w:lineRule="auto"/>
        <w:rPr>
          <w:rFonts w:eastAsia="Times New Roman" w:cs="Arial"/>
          <w:color w:val="000000"/>
          <w:lang w:eastAsia="bg-BG"/>
        </w:rPr>
      </w:pPr>
    </w:p>
    <w:p w14:paraId="6D7B72B6" w14:textId="21C0F1A4" w:rsidR="0080636D" w:rsidRPr="0080636D" w:rsidRDefault="0080636D" w:rsidP="0080636D">
      <w:pPr>
        <w:spacing w:line="240" w:lineRule="auto"/>
        <w:rPr>
          <w:rFonts w:eastAsia="Times New Roman" w:cs="Arial"/>
          <w:color w:val="000000"/>
          <w:lang w:eastAsia="bg-BG"/>
        </w:rPr>
      </w:pPr>
      <w:r>
        <w:rPr>
          <w:rFonts w:eastAsia="Times New Roman" w:cs="Arial"/>
          <w:b/>
          <w:bCs/>
          <w:i/>
          <w:iCs/>
          <w:color w:val="000000"/>
          <w:lang w:eastAsia="bg-BG"/>
        </w:rPr>
        <w:t xml:space="preserve">Б) </w:t>
      </w:r>
      <w:r w:rsidRPr="0080636D">
        <w:rPr>
          <w:rFonts w:eastAsia="Times New Roman" w:cs="Arial"/>
          <w:b/>
          <w:bCs/>
          <w:i/>
          <w:iCs/>
          <w:color w:val="000000"/>
          <w:lang w:eastAsia="bg-BG"/>
        </w:rPr>
        <w:t>Мутагенен и карциногенен потенциал</w:t>
      </w:r>
    </w:p>
    <w:p w14:paraId="33EC9712" w14:textId="7439FCA6" w:rsidR="0080636D" w:rsidRPr="0080636D" w:rsidRDefault="0080636D" w:rsidP="0080636D">
      <w:pPr>
        <w:spacing w:line="240" w:lineRule="auto"/>
        <w:rPr>
          <w:rFonts w:eastAsia="Times New Roman" w:cs="Arial"/>
          <w:color w:val="000000"/>
          <w:lang w:eastAsia="bg-BG"/>
        </w:rPr>
      </w:pPr>
      <w:r w:rsidRPr="0080636D">
        <w:rPr>
          <w:rFonts w:eastAsia="Times New Roman" w:cs="Arial"/>
          <w:color w:val="000000"/>
          <w:lang w:eastAsia="bg-BG"/>
        </w:rPr>
        <w:t xml:space="preserve">Изследвания върху мутагенния потенциал не са показали индикации за генни или хромозомни мутации. Проучването за карциногенност не е демонстрирало индикации за тумор-продуциращ потенциал след орален прием на тиоктова киселина от плъхове. Проучване за тумор- потенциращ ефект при тиоктова киселина с карциногенната субстанция </w:t>
      </w:r>
      <w:r w:rsidRPr="0080636D">
        <w:rPr>
          <w:rFonts w:eastAsia="Times New Roman" w:cs="Arial"/>
          <w:i/>
          <w:iCs/>
          <w:color w:val="000000"/>
          <w:lang w:val="en-US"/>
        </w:rPr>
        <w:t>N</w:t>
      </w:r>
      <w:r w:rsidRPr="0080636D">
        <w:rPr>
          <w:rFonts w:eastAsia="Times New Roman" w:cs="Arial"/>
          <w:i/>
          <w:iCs/>
          <w:color w:val="000000"/>
          <w:lang w:val="ru-RU"/>
        </w:rPr>
        <w:t>-</w:t>
      </w:r>
      <w:proofErr w:type="spellStart"/>
      <w:r w:rsidRPr="0080636D">
        <w:rPr>
          <w:rFonts w:eastAsia="Times New Roman" w:cs="Arial"/>
          <w:i/>
          <w:iCs/>
          <w:color w:val="000000"/>
          <w:lang w:val="en-US"/>
        </w:rPr>
        <w:t>nitroso</w:t>
      </w:r>
      <w:proofErr w:type="spellEnd"/>
      <w:r w:rsidRPr="0080636D">
        <w:rPr>
          <w:rFonts w:eastAsia="Times New Roman" w:cs="Arial"/>
          <w:i/>
          <w:iCs/>
          <w:color w:val="000000"/>
          <w:lang w:val="ru-RU"/>
        </w:rPr>
        <w:t>-</w:t>
      </w:r>
      <w:r w:rsidRPr="0080636D">
        <w:rPr>
          <w:rFonts w:eastAsia="Times New Roman" w:cs="Arial"/>
          <w:i/>
          <w:iCs/>
          <w:color w:val="000000"/>
          <w:lang w:val="en-US"/>
        </w:rPr>
        <w:t>dimethyl</w:t>
      </w:r>
      <w:r w:rsidRPr="0080636D">
        <w:rPr>
          <w:rFonts w:eastAsia="Times New Roman" w:cs="Arial"/>
          <w:i/>
          <w:iCs/>
          <w:color w:val="000000"/>
          <w:lang w:val="ru-RU"/>
        </w:rPr>
        <w:t xml:space="preserve"> </w:t>
      </w:r>
      <w:r w:rsidRPr="0080636D">
        <w:rPr>
          <w:rFonts w:eastAsia="Times New Roman" w:cs="Arial"/>
          <w:i/>
          <w:iCs/>
          <w:color w:val="000000"/>
          <w:lang w:val="en-US"/>
        </w:rPr>
        <w:t>amine</w:t>
      </w:r>
      <w:r w:rsidRPr="0080636D">
        <w:rPr>
          <w:rFonts w:eastAsia="Times New Roman" w:cs="Arial"/>
          <w:i/>
          <w:iCs/>
          <w:color w:val="000000"/>
          <w:lang w:val="ru-RU"/>
        </w:rPr>
        <w:t xml:space="preserve"> (</w:t>
      </w:r>
      <w:r w:rsidRPr="0080636D">
        <w:rPr>
          <w:rFonts w:eastAsia="Times New Roman" w:cs="Arial"/>
          <w:i/>
          <w:iCs/>
          <w:color w:val="000000"/>
          <w:lang w:val="en-US"/>
        </w:rPr>
        <w:t>NDEA</w:t>
      </w:r>
      <w:r w:rsidRPr="0080636D">
        <w:rPr>
          <w:rFonts w:eastAsia="Times New Roman" w:cs="Arial"/>
          <w:i/>
          <w:iCs/>
          <w:color w:val="000000"/>
          <w:lang w:val="ru-RU"/>
        </w:rPr>
        <w:t>)</w:t>
      </w:r>
      <w:r w:rsidRPr="0080636D">
        <w:rPr>
          <w:rFonts w:eastAsia="Times New Roman" w:cs="Arial"/>
          <w:color w:val="000000"/>
          <w:lang w:val="ru-RU"/>
        </w:rPr>
        <w:t xml:space="preserve"> </w:t>
      </w:r>
      <w:r w:rsidRPr="0080636D">
        <w:rPr>
          <w:rFonts w:eastAsia="Times New Roman" w:cs="Arial"/>
          <w:color w:val="000000"/>
          <w:lang w:eastAsia="bg-BG"/>
        </w:rPr>
        <w:t>е дало отрицателни резултати.</w:t>
      </w:r>
    </w:p>
    <w:p w14:paraId="6F9E5CB2" w14:textId="77777777" w:rsidR="0080636D" w:rsidRPr="0080636D" w:rsidRDefault="0080636D" w:rsidP="0080636D">
      <w:pPr>
        <w:spacing w:line="240" w:lineRule="auto"/>
        <w:rPr>
          <w:rFonts w:eastAsia="Times New Roman" w:cs="Arial"/>
          <w:sz w:val="24"/>
          <w:szCs w:val="24"/>
        </w:rPr>
      </w:pPr>
    </w:p>
    <w:p w14:paraId="166C5732" w14:textId="33A76896" w:rsidR="0080636D" w:rsidRPr="0080636D" w:rsidRDefault="0080636D" w:rsidP="0080636D">
      <w:pPr>
        <w:spacing w:line="240" w:lineRule="auto"/>
        <w:rPr>
          <w:rFonts w:eastAsia="Times New Roman" w:cs="Arial"/>
          <w:b/>
          <w:bCs/>
          <w:i/>
          <w:iCs/>
          <w:color w:val="000000"/>
          <w:lang w:eastAsia="bg-BG"/>
        </w:rPr>
      </w:pPr>
      <w:r>
        <w:rPr>
          <w:rFonts w:eastAsia="Times New Roman" w:cs="Arial"/>
          <w:b/>
          <w:bCs/>
          <w:i/>
          <w:iCs/>
          <w:color w:val="000000"/>
          <w:lang w:eastAsia="bg-BG"/>
        </w:rPr>
        <w:t xml:space="preserve">В) </w:t>
      </w:r>
      <w:r w:rsidRPr="0080636D">
        <w:rPr>
          <w:rFonts w:eastAsia="Times New Roman" w:cs="Arial"/>
          <w:b/>
          <w:bCs/>
          <w:i/>
          <w:iCs/>
          <w:color w:val="000000"/>
          <w:lang w:eastAsia="bg-BG"/>
        </w:rPr>
        <w:t>Репродуктивна токсичност</w:t>
      </w:r>
    </w:p>
    <w:p w14:paraId="5559E1D8" w14:textId="77777777" w:rsidR="0080636D" w:rsidRPr="0080636D" w:rsidRDefault="0080636D" w:rsidP="0080636D">
      <w:pPr>
        <w:spacing w:line="240" w:lineRule="auto"/>
        <w:rPr>
          <w:rFonts w:eastAsia="Times New Roman" w:cs="Arial"/>
          <w:sz w:val="24"/>
          <w:szCs w:val="24"/>
        </w:rPr>
      </w:pPr>
      <w:r w:rsidRPr="0080636D">
        <w:rPr>
          <w:rFonts w:eastAsia="Times New Roman" w:cs="Arial"/>
          <w:color w:val="000000"/>
          <w:lang w:eastAsia="bg-BG"/>
        </w:rPr>
        <w:t xml:space="preserve">Тиоктовата киселина, до максимална изследвана перорална доза от 68,1 </w:t>
      </w:r>
      <w:r w:rsidRPr="0080636D">
        <w:rPr>
          <w:rFonts w:eastAsia="Times New Roman" w:cs="Arial"/>
          <w:color w:val="000000"/>
          <w:lang w:val="en-US"/>
        </w:rPr>
        <w:t>mg</w:t>
      </w:r>
      <w:r w:rsidRPr="0080636D">
        <w:rPr>
          <w:rFonts w:eastAsia="Times New Roman" w:cs="Arial"/>
          <w:color w:val="000000"/>
          <w:lang w:val="ru-RU"/>
        </w:rPr>
        <w:t>/</w:t>
      </w:r>
      <w:r w:rsidRPr="0080636D">
        <w:rPr>
          <w:rFonts w:eastAsia="Times New Roman" w:cs="Arial"/>
          <w:color w:val="000000"/>
          <w:lang w:val="en-US"/>
        </w:rPr>
        <w:t>kg</w:t>
      </w:r>
      <w:r w:rsidRPr="0080636D">
        <w:rPr>
          <w:rFonts w:eastAsia="Times New Roman" w:cs="Arial"/>
          <w:color w:val="000000"/>
          <w:lang w:val="ru-RU"/>
        </w:rPr>
        <w:t xml:space="preserve">, </w:t>
      </w:r>
      <w:r w:rsidRPr="0080636D">
        <w:rPr>
          <w:rFonts w:eastAsia="Times New Roman" w:cs="Arial"/>
          <w:color w:val="000000"/>
          <w:lang w:eastAsia="bg-BG"/>
        </w:rPr>
        <w:t>няма какъвто и да е ефект върху фертилитета или върху ранното развитие на ембриона при плъхове. При зайци, след венозно инжектиране до дози в рамките на токсичните за майката, не са наблюдавани деформиращи ефекти.</w:t>
      </w:r>
    </w:p>
    <w:p w14:paraId="16A60A17" w14:textId="77777777" w:rsidR="0080636D" w:rsidRPr="0080636D" w:rsidRDefault="0080636D" w:rsidP="0080636D"/>
    <w:p w14:paraId="6A7820AB" w14:textId="38642420" w:rsidR="008A6AF2" w:rsidRDefault="002C50EE" w:rsidP="00395555">
      <w:pPr>
        <w:pStyle w:val="Heading1"/>
      </w:pPr>
      <w:r>
        <w:t>7. ПРИТЕЖАТЕЛ НА РАЗРЕШЕНИЕТО ЗА УПОТРЕБА</w:t>
      </w:r>
    </w:p>
    <w:p w14:paraId="74CAAD19" w14:textId="1E5F913E" w:rsidR="0080636D" w:rsidRDefault="0080636D" w:rsidP="0080636D"/>
    <w:p w14:paraId="67A0A413" w14:textId="77777777" w:rsidR="0080636D" w:rsidRPr="0080636D" w:rsidRDefault="0080636D" w:rsidP="0080636D">
      <w:pPr>
        <w:rPr>
          <w:sz w:val="24"/>
          <w:szCs w:val="24"/>
          <w:lang w:val="en-US"/>
        </w:rPr>
      </w:pPr>
      <w:r w:rsidRPr="0080636D">
        <w:rPr>
          <w:lang w:val="en-US"/>
        </w:rPr>
        <w:t xml:space="preserve">WORWAG PHARMA GmbH </w:t>
      </w:r>
      <w:r w:rsidRPr="0080636D">
        <w:rPr>
          <w:lang w:eastAsia="bg-BG"/>
        </w:rPr>
        <w:t xml:space="preserve">&amp; </w:t>
      </w:r>
      <w:r w:rsidRPr="0080636D">
        <w:rPr>
          <w:lang w:val="en-US"/>
        </w:rPr>
        <w:t>Co. KG</w:t>
      </w:r>
    </w:p>
    <w:p w14:paraId="18C367B6" w14:textId="77777777" w:rsidR="0080636D" w:rsidRPr="0080636D" w:rsidRDefault="0080636D" w:rsidP="0080636D">
      <w:pPr>
        <w:rPr>
          <w:sz w:val="24"/>
          <w:szCs w:val="24"/>
          <w:lang w:val="en-US"/>
        </w:rPr>
      </w:pPr>
      <w:proofErr w:type="spellStart"/>
      <w:r w:rsidRPr="0080636D">
        <w:rPr>
          <w:lang w:val="en-US"/>
        </w:rPr>
        <w:t>Calwer</w:t>
      </w:r>
      <w:proofErr w:type="spellEnd"/>
      <w:r w:rsidRPr="0080636D">
        <w:rPr>
          <w:lang w:val="en-US"/>
        </w:rPr>
        <w:t xml:space="preserve"> </w:t>
      </w:r>
      <w:proofErr w:type="spellStart"/>
      <w:r w:rsidRPr="0080636D">
        <w:rPr>
          <w:lang w:val="en-US"/>
        </w:rPr>
        <w:t>StraBe</w:t>
      </w:r>
      <w:proofErr w:type="spellEnd"/>
      <w:r w:rsidRPr="0080636D">
        <w:rPr>
          <w:lang w:val="en-US"/>
        </w:rPr>
        <w:t xml:space="preserve"> 7</w:t>
      </w:r>
    </w:p>
    <w:p w14:paraId="1B6E7FCB" w14:textId="77777777" w:rsidR="0080636D" w:rsidRPr="0080636D" w:rsidRDefault="0080636D" w:rsidP="0080636D">
      <w:pPr>
        <w:rPr>
          <w:sz w:val="24"/>
          <w:szCs w:val="24"/>
          <w:lang w:val="ru-RU"/>
        </w:rPr>
      </w:pPr>
      <w:r w:rsidRPr="0080636D">
        <w:rPr>
          <w:lang w:val="ru-RU"/>
        </w:rPr>
        <w:t xml:space="preserve">71034 </w:t>
      </w:r>
      <w:proofErr w:type="spellStart"/>
      <w:r w:rsidRPr="0080636D">
        <w:rPr>
          <w:lang w:val="en-US"/>
        </w:rPr>
        <w:t>Boblingen</w:t>
      </w:r>
      <w:proofErr w:type="spellEnd"/>
    </w:p>
    <w:p w14:paraId="79295DF1" w14:textId="77777777" w:rsidR="0080636D" w:rsidRPr="0080636D" w:rsidRDefault="0080636D" w:rsidP="0080636D">
      <w:pPr>
        <w:rPr>
          <w:sz w:val="24"/>
          <w:szCs w:val="24"/>
          <w:lang w:val="ru-RU"/>
        </w:rPr>
      </w:pPr>
      <w:r w:rsidRPr="0080636D">
        <w:rPr>
          <w:lang w:eastAsia="bg-BG"/>
        </w:rPr>
        <w:t>Германия</w:t>
      </w:r>
    </w:p>
    <w:p w14:paraId="4305E687" w14:textId="77777777" w:rsidR="0080636D" w:rsidRPr="0080636D" w:rsidRDefault="0080636D" w:rsidP="0080636D">
      <w:pPr>
        <w:rPr>
          <w:sz w:val="24"/>
          <w:szCs w:val="24"/>
          <w:lang w:val="ru-RU"/>
        </w:rPr>
      </w:pPr>
      <w:r w:rsidRPr="0080636D">
        <w:rPr>
          <w:lang w:eastAsia="bg-BG"/>
        </w:rPr>
        <w:t>Тел.:</w:t>
      </w:r>
      <w:r w:rsidRPr="0080636D">
        <w:rPr>
          <w:lang w:val="ru-RU"/>
        </w:rPr>
        <w:t>+49 (0)7031-6204 0</w:t>
      </w:r>
    </w:p>
    <w:p w14:paraId="5353C66C" w14:textId="5469AC2C" w:rsidR="0080636D" w:rsidRPr="0080636D" w:rsidRDefault="0080636D" w:rsidP="0080636D">
      <w:pPr>
        <w:rPr>
          <w:lang w:val="ru-RU"/>
        </w:rPr>
      </w:pPr>
      <w:r w:rsidRPr="0080636D">
        <w:rPr>
          <w:lang w:eastAsia="bg-BG"/>
        </w:rPr>
        <w:t xml:space="preserve">Факс: </w:t>
      </w:r>
      <w:r w:rsidRPr="0080636D">
        <w:rPr>
          <w:lang w:val="ru-RU"/>
        </w:rPr>
        <w:t>+49 (0)7031-6204 31</w:t>
      </w:r>
    </w:p>
    <w:p w14:paraId="04840D59" w14:textId="74FEF9BC" w:rsidR="002C50EE" w:rsidRDefault="002C50EE" w:rsidP="00395555">
      <w:pPr>
        <w:pStyle w:val="Heading1"/>
      </w:pPr>
      <w:r>
        <w:t>8. НОМЕР НА РАЗРЕШЕНИЕТО ЗА УПОТРЕБА</w:t>
      </w:r>
    </w:p>
    <w:p w14:paraId="74BF94C2" w14:textId="74BAD33B" w:rsidR="0080636D" w:rsidRDefault="0080636D" w:rsidP="0080636D"/>
    <w:p w14:paraId="3E4668E8" w14:textId="00634AE4" w:rsidR="0080636D" w:rsidRPr="0080636D" w:rsidRDefault="0080636D" w:rsidP="0080636D">
      <w:r>
        <w:t>20020638</w:t>
      </w:r>
    </w:p>
    <w:p w14:paraId="2CCB5832" w14:textId="7C3CB62F" w:rsidR="007C605B" w:rsidRDefault="002C50EE" w:rsidP="007C605B">
      <w:pPr>
        <w:pStyle w:val="Heading1"/>
      </w:pPr>
      <w:r>
        <w:t>9. ДАТА НА ПЪРВО РАЗРЕШАВАНЕ/ПОДНОВЯВАНЕ НА РАЗРЕШЕНИЕТО ЗА УПОТРЕБА</w:t>
      </w:r>
    </w:p>
    <w:p w14:paraId="40263378" w14:textId="14915757" w:rsidR="0080636D" w:rsidRDefault="0080636D" w:rsidP="0080636D"/>
    <w:p w14:paraId="46009389" w14:textId="77777777" w:rsidR="0080636D" w:rsidRPr="0080636D" w:rsidRDefault="0080636D" w:rsidP="0080636D">
      <w:pPr>
        <w:rPr>
          <w:sz w:val="24"/>
          <w:szCs w:val="24"/>
        </w:rPr>
      </w:pPr>
      <w:r w:rsidRPr="0080636D">
        <w:rPr>
          <w:lang w:eastAsia="bg-BG"/>
        </w:rPr>
        <w:lastRenderedPageBreak/>
        <w:t>Дата на първо разрешаване: 26 Юли 2002 г.</w:t>
      </w:r>
    </w:p>
    <w:p w14:paraId="26D068CB" w14:textId="1F28BEDF" w:rsidR="0080636D" w:rsidRPr="0080636D" w:rsidRDefault="0080636D" w:rsidP="0080636D">
      <w:r w:rsidRPr="0080636D">
        <w:rPr>
          <w:lang w:eastAsia="bg-BG"/>
        </w:rPr>
        <w:t>Дата на последно подновяване: 08 Октомври 2007 г.</w:t>
      </w:r>
    </w:p>
    <w:p w14:paraId="0E9D0119" w14:textId="0245C6D7" w:rsidR="002C50EE" w:rsidRDefault="002C50EE" w:rsidP="002C50EE">
      <w:pPr>
        <w:pStyle w:val="Heading1"/>
      </w:pPr>
      <w:r>
        <w:t>10. ДАТА НА АКТУАЛИЗИРАНЕ НА ТЕКСТА</w:t>
      </w:r>
    </w:p>
    <w:bookmarkEnd w:id="0"/>
    <w:p w14:paraId="43FB38A2" w14:textId="2A19A2F4" w:rsidR="007C605B" w:rsidRPr="003E3126" w:rsidRDefault="0080636D" w:rsidP="0080636D">
      <w:r>
        <w:t>07/2019</w:t>
      </w:r>
      <w:bookmarkStart w:id="9" w:name="_GoBack"/>
      <w:bookmarkEnd w:id="9"/>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5194F"/>
    <w:multiLevelType w:val="hybridMultilevel"/>
    <w:tmpl w:val="62FA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8"/>
  </w:num>
  <w:num w:numId="12">
    <w:abstractNumId w:val="13"/>
  </w:num>
  <w:num w:numId="13">
    <w:abstractNumId w:val="18"/>
  </w:num>
  <w:num w:numId="14">
    <w:abstractNumId w:val="11"/>
  </w:num>
  <w:num w:numId="15">
    <w:abstractNumId w:val="27"/>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1"/>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0636D"/>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11640</Characters>
  <Application>Microsoft Office Word</Application>
  <DocSecurity>0</DocSecurity>
  <Lines>97</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2021-12-01T11:54:00Z</dcterms:created>
  <dcterms:modified xsi:type="dcterms:W3CDTF">2021-12-01T11:54:00Z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