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7B7F9CBA" w:rsidR="0091385D" w:rsidRDefault="0091385D" w:rsidP="0091385D"/>
    <w:p w14:paraId="3AC71013" w14:textId="77777777" w:rsidR="00996156" w:rsidRPr="00996156" w:rsidRDefault="00996156" w:rsidP="00996156">
      <w:pPr>
        <w:spacing w:line="240" w:lineRule="auto"/>
        <w:rPr>
          <w:rFonts w:eastAsia="Times New Roman" w:cs="Arial"/>
          <w:sz w:val="24"/>
          <w:szCs w:val="24"/>
          <w:lang w:val="en-US" w:eastAsia="bg-BG"/>
        </w:rPr>
      </w:pPr>
      <w:r w:rsidRPr="00996156">
        <w:rPr>
          <w:rFonts w:eastAsia="Times New Roman" w:cs="Arial"/>
          <w:color w:val="000000"/>
          <w:lang w:eastAsia="bg-BG"/>
        </w:rPr>
        <w:t xml:space="preserve">Тиаприд </w:t>
      </w:r>
      <w:r w:rsidRPr="00996156">
        <w:rPr>
          <w:rFonts w:eastAsia="Times New Roman" w:cs="Arial"/>
          <w:color w:val="000000"/>
          <w:lang w:val="en-US"/>
        </w:rPr>
        <w:t xml:space="preserve">G.L. </w:t>
      </w:r>
      <w:r w:rsidRPr="00996156">
        <w:rPr>
          <w:rFonts w:eastAsia="Times New Roman" w:cs="Arial"/>
          <w:color w:val="000000"/>
          <w:lang w:eastAsia="bg-BG"/>
        </w:rPr>
        <w:t xml:space="preserve">100 </w:t>
      </w:r>
      <w:r w:rsidRPr="00996156">
        <w:rPr>
          <w:rFonts w:eastAsia="Times New Roman" w:cs="Arial"/>
          <w:color w:val="000000"/>
          <w:lang w:val="en-US"/>
        </w:rPr>
        <w:t xml:space="preserve">mg </w:t>
      </w:r>
      <w:r w:rsidRPr="00996156">
        <w:rPr>
          <w:rFonts w:eastAsia="Times New Roman" w:cs="Arial"/>
          <w:color w:val="000000"/>
          <w:lang w:eastAsia="bg-BG"/>
        </w:rPr>
        <w:t>таблетки</w:t>
      </w:r>
    </w:p>
    <w:p w14:paraId="69AC8148" w14:textId="01C083F2" w:rsidR="00EC41ED" w:rsidRPr="002A72CB" w:rsidRDefault="00996156" w:rsidP="00996156">
      <w:pPr>
        <w:rPr>
          <w:rFonts w:cs="Arial"/>
        </w:rPr>
      </w:pPr>
      <w:proofErr w:type="spellStart"/>
      <w:r w:rsidRPr="002A72CB">
        <w:rPr>
          <w:rFonts w:eastAsia="Times New Roman" w:cs="Arial"/>
          <w:color w:val="000000"/>
          <w:lang w:val="en-US"/>
        </w:rPr>
        <w:t>Tiapride</w:t>
      </w:r>
      <w:proofErr w:type="spellEnd"/>
      <w:r w:rsidRPr="002A72CB">
        <w:rPr>
          <w:rFonts w:eastAsia="Times New Roman" w:cs="Arial"/>
          <w:color w:val="000000"/>
          <w:lang w:val="en-US"/>
        </w:rPr>
        <w:t xml:space="preserve"> G.L. </w:t>
      </w:r>
      <w:r w:rsidRPr="002A72CB">
        <w:rPr>
          <w:rFonts w:eastAsia="Times New Roman" w:cs="Arial"/>
          <w:color w:val="000000"/>
          <w:lang w:eastAsia="bg-BG"/>
        </w:rPr>
        <w:t xml:space="preserve">100 </w:t>
      </w:r>
      <w:r w:rsidRPr="002A72CB">
        <w:rPr>
          <w:rFonts w:eastAsia="Times New Roman" w:cs="Arial"/>
          <w:color w:val="000000"/>
          <w:lang w:val="en-US"/>
        </w:rPr>
        <w:t>mg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478BAC70" w:rsidR="0091385D" w:rsidRDefault="0091385D" w:rsidP="0091385D"/>
    <w:p w14:paraId="4B58C6CD" w14:textId="77777777" w:rsidR="00996156" w:rsidRPr="00996156" w:rsidRDefault="00996156" w:rsidP="00996156">
      <w:pPr>
        <w:spacing w:line="240" w:lineRule="auto"/>
        <w:rPr>
          <w:rFonts w:eastAsia="Times New Roman" w:cs="Arial"/>
          <w:sz w:val="24"/>
          <w:szCs w:val="24"/>
          <w:lang w:eastAsia="bg-BG"/>
        </w:rPr>
      </w:pPr>
      <w:r w:rsidRPr="00996156">
        <w:rPr>
          <w:rFonts w:eastAsia="Times New Roman" w:cs="Arial"/>
          <w:color w:val="000000"/>
          <w:lang w:eastAsia="bg-BG"/>
        </w:rPr>
        <w:t xml:space="preserve">1 таблетка съдържа 111,1 </w:t>
      </w:r>
      <w:r w:rsidRPr="00996156">
        <w:rPr>
          <w:rFonts w:eastAsia="Times New Roman" w:cs="Arial"/>
          <w:color w:val="000000"/>
          <w:lang w:val="en-US"/>
        </w:rPr>
        <w:t xml:space="preserve">mg </w:t>
      </w:r>
      <w:r w:rsidRPr="00996156">
        <w:rPr>
          <w:rFonts w:eastAsia="Times New Roman" w:cs="Arial"/>
          <w:color w:val="000000"/>
          <w:lang w:eastAsia="bg-BG"/>
        </w:rPr>
        <w:t xml:space="preserve">тиапридов хидрохлорид </w:t>
      </w:r>
      <w:r w:rsidRPr="00996156">
        <w:rPr>
          <w:rFonts w:eastAsia="Times New Roman" w:cs="Arial"/>
          <w:i/>
          <w:iCs/>
          <w:color w:val="000000"/>
          <w:lang w:val="en-US"/>
        </w:rPr>
        <w:t>(</w:t>
      </w:r>
      <w:proofErr w:type="spellStart"/>
      <w:r w:rsidRPr="00996156">
        <w:rPr>
          <w:rFonts w:eastAsia="Times New Roman" w:cs="Arial"/>
          <w:i/>
          <w:iCs/>
          <w:color w:val="000000"/>
          <w:lang w:val="en-US"/>
        </w:rPr>
        <w:t>tiapride</w:t>
      </w:r>
      <w:proofErr w:type="spellEnd"/>
      <w:r w:rsidRPr="00996156">
        <w:rPr>
          <w:rFonts w:eastAsia="Times New Roman" w:cs="Arial"/>
          <w:i/>
          <w:iCs/>
          <w:color w:val="000000"/>
          <w:lang w:val="en-US"/>
        </w:rPr>
        <w:t xml:space="preserve"> hydrochloride),</w:t>
      </w:r>
      <w:r w:rsidRPr="00996156">
        <w:rPr>
          <w:rFonts w:eastAsia="Times New Roman" w:cs="Arial"/>
          <w:color w:val="000000"/>
          <w:lang w:val="en-US"/>
        </w:rPr>
        <w:t xml:space="preserve"> </w:t>
      </w:r>
      <w:r w:rsidRPr="00996156">
        <w:rPr>
          <w:rFonts w:eastAsia="Times New Roman" w:cs="Arial"/>
          <w:color w:val="000000"/>
          <w:lang w:eastAsia="bg-BG"/>
        </w:rPr>
        <w:t xml:space="preserve">съответстващи на 100 </w:t>
      </w:r>
      <w:r w:rsidRPr="00996156">
        <w:rPr>
          <w:rFonts w:eastAsia="Times New Roman" w:cs="Arial"/>
          <w:color w:val="000000"/>
          <w:lang w:val="en-US"/>
        </w:rPr>
        <w:t xml:space="preserve">mg </w:t>
      </w:r>
      <w:r w:rsidRPr="00996156">
        <w:rPr>
          <w:rFonts w:eastAsia="Times New Roman" w:cs="Arial"/>
          <w:color w:val="000000"/>
          <w:lang w:eastAsia="bg-BG"/>
        </w:rPr>
        <w:t xml:space="preserve">тиаприд </w:t>
      </w:r>
      <w:r w:rsidRPr="00996156">
        <w:rPr>
          <w:rFonts w:eastAsia="Times New Roman" w:cs="Arial"/>
          <w:i/>
          <w:iCs/>
          <w:color w:val="000000"/>
          <w:lang w:val="en-US"/>
        </w:rPr>
        <w:t>(</w:t>
      </w:r>
      <w:proofErr w:type="spellStart"/>
      <w:r w:rsidRPr="00996156">
        <w:rPr>
          <w:rFonts w:eastAsia="Times New Roman" w:cs="Arial"/>
          <w:i/>
          <w:iCs/>
          <w:color w:val="000000"/>
          <w:lang w:val="en-US"/>
        </w:rPr>
        <w:t>tiapride</w:t>
      </w:r>
      <w:proofErr w:type="spellEnd"/>
      <w:r w:rsidRPr="00996156">
        <w:rPr>
          <w:rFonts w:eastAsia="Times New Roman" w:cs="Arial"/>
          <w:i/>
          <w:iCs/>
          <w:color w:val="000000"/>
          <w:lang w:val="en-US"/>
        </w:rPr>
        <w:t>).</w:t>
      </w:r>
    </w:p>
    <w:p w14:paraId="0D6812FE" w14:textId="77777777" w:rsidR="00996156" w:rsidRPr="002A72CB" w:rsidRDefault="00996156" w:rsidP="00996156">
      <w:pPr>
        <w:rPr>
          <w:rFonts w:eastAsia="Times New Roman" w:cs="Arial"/>
          <w:color w:val="000000"/>
          <w:lang w:eastAsia="bg-BG"/>
        </w:rPr>
      </w:pPr>
    </w:p>
    <w:p w14:paraId="54632B43" w14:textId="7BF5526D" w:rsidR="00EC41ED" w:rsidRPr="002A72CB" w:rsidRDefault="00996156" w:rsidP="00996156">
      <w:pPr>
        <w:rPr>
          <w:rFonts w:cs="Arial"/>
        </w:rPr>
      </w:pPr>
      <w:r w:rsidRPr="002A72CB">
        <w:rPr>
          <w:rFonts w:eastAsia="Times New Roman" w:cs="Arial"/>
          <w:color w:val="000000"/>
          <w:lang w:eastAsia="bg-BG"/>
        </w:rPr>
        <w:t>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w:t>
      </w:r>
      <w:bookmarkStart w:id="1" w:name="_GoBack"/>
      <w:bookmarkEnd w:id="1"/>
      <w:r>
        <w:t>АРСТВЕНА ФОРМА</w:t>
      </w:r>
    </w:p>
    <w:p w14:paraId="1004E96C" w14:textId="67F9C61D" w:rsidR="0091385D" w:rsidRDefault="0091385D" w:rsidP="0091385D"/>
    <w:p w14:paraId="77EEA72C" w14:textId="77777777" w:rsidR="00996156" w:rsidRPr="00996156" w:rsidRDefault="00996156" w:rsidP="00996156">
      <w:pPr>
        <w:spacing w:line="240" w:lineRule="auto"/>
        <w:rPr>
          <w:rFonts w:eastAsia="Times New Roman" w:cs="Arial"/>
          <w:sz w:val="24"/>
          <w:szCs w:val="24"/>
          <w:lang w:eastAsia="bg-BG"/>
        </w:rPr>
      </w:pPr>
      <w:r w:rsidRPr="00996156">
        <w:rPr>
          <w:rFonts w:eastAsia="Times New Roman" w:cs="Arial"/>
          <w:color w:val="000000"/>
          <w:lang w:eastAsia="bg-BG"/>
        </w:rPr>
        <w:t>Таблетка</w:t>
      </w:r>
    </w:p>
    <w:p w14:paraId="5EB2C68E" w14:textId="77777777" w:rsidR="00996156" w:rsidRPr="002A72CB" w:rsidRDefault="00996156" w:rsidP="00996156">
      <w:pPr>
        <w:spacing w:line="240" w:lineRule="auto"/>
        <w:rPr>
          <w:rFonts w:eastAsia="Times New Roman" w:cs="Arial"/>
          <w:color w:val="000000"/>
          <w:lang w:eastAsia="bg-BG"/>
        </w:rPr>
      </w:pPr>
    </w:p>
    <w:p w14:paraId="199028F7" w14:textId="7B8955F0" w:rsidR="00996156" w:rsidRPr="00996156" w:rsidRDefault="00996156" w:rsidP="00996156">
      <w:pPr>
        <w:spacing w:line="240" w:lineRule="auto"/>
        <w:rPr>
          <w:rFonts w:eastAsia="Times New Roman" w:cs="Arial"/>
          <w:sz w:val="24"/>
          <w:szCs w:val="24"/>
          <w:lang w:eastAsia="bg-BG"/>
        </w:rPr>
      </w:pPr>
      <w:r w:rsidRPr="00996156">
        <w:rPr>
          <w:rFonts w:eastAsia="Times New Roman" w:cs="Arial"/>
          <w:color w:val="000000"/>
          <w:lang w:eastAsia="bg-BG"/>
        </w:rPr>
        <w:t>Бели, кръгли таблетки със скосени ръбове и две делителни черти на кръст от двете страни.</w:t>
      </w:r>
    </w:p>
    <w:p w14:paraId="16FCCE76" w14:textId="77777777" w:rsidR="00996156" w:rsidRPr="002A72CB" w:rsidRDefault="00996156" w:rsidP="00996156">
      <w:pPr>
        <w:rPr>
          <w:rFonts w:eastAsia="Times New Roman" w:cs="Arial"/>
          <w:color w:val="000000"/>
          <w:lang w:eastAsia="bg-BG"/>
        </w:rPr>
      </w:pPr>
    </w:p>
    <w:p w14:paraId="743244F0" w14:textId="3641D7B3" w:rsidR="00EC41ED" w:rsidRPr="002A72CB" w:rsidRDefault="00996156" w:rsidP="00996156">
      <w:pPr>
        <w:rPr>
          <w:rFonts w:cs="Arial"/>
        </w:rPr>
      </w:pPr>
      <w:r w:rsidRPr="002A72CB">
        <w:rPr>
          <w:rFonts w:eastAsia="Times New Roman" w:cs="Arial"/>
          <w:color w:val="000000"/>
          <w:lang w:eastAsia="bg-BG"/>
        </w:rPr>
        <w:t>Таблетките могат да се разделят на равни дози.</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4C46A568" w14:textId="77777777" w:rsidR="00996156" w:rsidRPr="00996156" w:rsidRDefault="00996156" w:rsidP="00996156">
      <w:pPr>
        <w:spacing w:line="240" w:lineRule="auto"/>
        <w:rPr>
          <w:rFonts w:eastAsia="Times New Roman" w:cs="Arial"/>
          <w:sz w:val="24"/>
          <w:szCs w:val="24"/>
          <w:lang w:eastAsia="bg-BG"/>
        </w:rPr>
      </w:pPr>
      <w:r w:rsidRPr="00996156">
        <w:rPr>
          <w:rFonts w:eastAsia="Times New Roman" w:cs="Arial"/>
          <w:color w:val="000000"/>
          <w:lang w:eastAsia="bg-BG"/>
        </w:rPr>
        <w:t>Възрастни</w:t>
      </w:r>
    </w:p>
    <w:p w14:paraId="4D4451B6" w14:textId="77777777" w:rsidR="00996156" w:rsidRPr="002A72CB" w:rsidRDefault="00996156" w:rsidP="00996156">
      <w:pPr>
        <w:pStyle w:val="ListParagraph"/>
        <w:numPr>
          <w:ilvl w:val="0"/>
          <w:numId w:val="36"/>
        </w:numPr>
        <w:spacing w:line="240" w:lineRule="auto"/>
        <w:rPr>
          <w:rFonts w:eastAsia="Times New Roman" w:cs="Arial"/>
          <w:color w:val="000000"/>
          <w:lang w:eastAsia="bg-BG"/>
        </w:rPr>
      </w:pPr>
      <w:r w:rsidRPr="002A72CB">
        <w:rPr>
          <w:rFonts w:eastAsia="Times New Roman" w:cs="Arial"/>
          <w:color w:val="000000"/>
          <w:lang w:eastAsia="bg-BG"/>
        </w:rPr>
        <w:t>Лечение на ажитирани и агресивни състояния, особено при симптоми на алкохолна абстиненция и при пациенти в старческа възраст</w:t>
      </w:r>
    </w:p>
    <w:p w14:paraId="6DC1B2ED" w14:textId="77777777" w:rsidR="00996156" w:rsidRPr="002A72CB" w:rsidRDefault="00996156" w:rsidP="00996156">
      <w:pPr>
        <w:spacing w:line="240" w:lineRule="auto"/>
        <w:rPr>
          <w:rFonts w:eastAsia="Times New Roman" w:cs="Arial"/>
          <w:color w:val="000000"/>
          <w:lang w:eastAsia="bg-BG"/>
        </w:rPr>
      </w:pPr>
    </w:p>
    <w:p w14:paraId="50FF7F2B" w14:textId="603509B1" w:rsidR="00996156" w:rsidRPr="00996156" w:rsidRDefault="00996156" w:rsidP="00996156">
      <w:pPr>
        <w:spacing w:line="240" w:lineRule="auto"/>
        <w:rPr>
          <w:rFonts w:eastAsia="Times New Roman" w:cs="Arial"/>
          <w:sz w:val="24"/>
          <w:szCs w:val="24"/>
          <w:lang w:eastAsia="bg-BG"/>
        </w:rPr>
      </w:pPr>
      <w:r w:rsidRPr="00996156">
        <w:rPr>
          <w:rFonts w:eastAsia="Times New Roman" w:cs="Arial"/>
          <w:color w:val="000000"/>
          <w:lang w:eastAsia="bg-BG"/>
        </w:rPr>
        <w:t>Възрастни и деца над 6 години</w:t>
      </w:r>
    </w:p>
    <w:p w14:paraId="74BE7C78" w14:textId="77777777" w:rsidR="00996156" w:rsidRPr="002A72CB" w:rsidRDefault="00996156" w:rsidP="00996156">
      <w:pPr>
        <w:pStyle w:val="ListParagraph"/>
        <w:numPr>
          <w:ilvl w:val="0"/>
          <w:numId w:val="36"/>
        </w:numPr>
        <w:spacing w:line="240" w:lineRule="auto"/>
        <w:rPr>
          <w:rFonts w:eastAsia="Times New Roman" w:cs="Arial"/>
          <w:color w:val="000000"/>
          <w:lang w:eastAsia="bg-BG"/>
        </w:rPr>
      </w:pPr>
      <w:r w:rsidRPr="002A72CB">
        <w:rPr>
          <w:rFonts w:eastAsia="Times New Roman" w:cs="Arial"/>
          <w:color w:val="000000"/>
          <w:lang w:eastAsia="bg-BG"/>
        </w:rPr>
        <w:t xml:space="preserve">Хорея, тикове при синдром на </w:t>
      </w:r>
      <w:r w:rsidRPr="002A72CB">
        <w:rPr>
          <w:rFonts w:eastAsia="Times New Roman" w:cs="Arial"/>
          <w:color w:val="000000"/>
          <w:lang w:val="en-US"/>
        </w:rPr>
        <w:t>Gilles de la Tourette</w:t>
      </w:r>
    </w:p>
    <w:p w14:paraId="2642E62C" w14:textId="77777777" w:rsidR="00996156" w:rsidRPr="002A72CB" w:rsidRDefault="00996156" w:rsidP="00996156">
      <w:pPr>
        <w:spacing w:line="240" w:lineRule="auto"/>
        <w:rPr>
          <w:rFonts w:eastAsia="Times New Roman" w:cs="Arial"/>
          <w:color w:val="000000"/>
          <w:lang w:eastAsia="bg-BG"/>
        </w:rPr>
      </w:pPr>
    </w:p>
    <w:p w14:paraId="4AB9FE5B" w14:textId="3AFA0FF4" w:rsidR="00996156" w:rsidRPr="00996156" w:rsidRDefault="00996156" w:rsidP="00996156">
      <w:pPr>
        <w:spacing w:line="240" w:lineRule="auto"/>
        <w:rPr>
          <w:rFonts w:eastAsia="Times New Roman" w:cs="Arial"/>
          <w:sz w:val="24"/>
          <w:szCs w:val="24"/>
          <w:lang w:eastAsia="bg-BG"/>
        </w:rPr>
      </w:pPr>
      <w:r w:rsidRPr="00996156">
        <w:rPr>
          <w:rFonts w:eastAsia="Times New Roman" w:cs="Arial"/>
          <w:color w:val="000000"/>
          <w:lang w:eastAsia="bg-BG"/>
        </w:rPr>
        <w:t>Деца над 6 години</w:t>
      </w:r>
    </w:p>
    <w:p w14:paraId="6DFA4B9D" w14:textId="5C5FBF26" w:rsidR="0091385D" w:rsidRPr="002A72CB" w:rsidRDefault="00996156" w:rsidP="00996156">
      <w:pPr>
        <w:pStyle w:val="ListParagraph"/>
        <w:numPr>
          <w:ilvl w:val="0"/>
          <w:numId w:val="36"/>
        </w:numPr>
        <w:rPr>
          <w:rFonts w:cs="Arial"/>
        </w:rPr>
      </w:pPr>
      <w:r w:rsidRPr="002A72CB">
        <w:rPr>
          <w:rFonts w:eastAsia="Times New Roman" w:cs="Arial"/>
          <w:color w:val="000000"/>
          <w:lang w:eastAsia="bg-BG"/>
        </w:rPr>
        <w:t>Разстройства на поведението, свързани с ажитация и агресия</w:t>
      </w:r>
    </w:p>
    <w:p w14:paraId="642F56D9" w14:textId="77777777" w:rsidR="00EC41ED" w:rsidRPr="0091385D" w:rsidRDefault="00EC41ED" w:rsidP="0091385D"/>
    <w:p w14:paraId="30BE2C7B" w14:textId="3633C1E4" w:rsidR="008134C8" w:rsidRDefault="002C50EE" w:rsidP="004A448E">
      <w:pPr>
        <w:pStyle w:val="Heading2"/>
      </w:pPr>
      <w:r>
        <w:t>4.2. Дозировка и начин на приложение</w:t>
      </w:r>
    </w:p>
    <w:p w14:paraId="7AA22B68" w14:textId="0723B40D" w:rsidR="0091385D" w:rsidRDefault="0091385D" w:rsidP="0091385D"/>
    <w:p w14:paraId="738B71DA" w14:textId="77777777" w:rsidR="00996156" w:rsidRPr="002A72CB" w:rsidRDefault="00996156" w:rsidP="002A72CB">
      <w:pPr>
        <w:pStyle w:val="Heading3"/>
        <w:rPr>
          <w:rFonts w:eastAsia="Times New Roman"/>
          <w:u w:val="single"/>
          <w:lang w:eastAsia="bg-BG"/>
        </w:rPr>
      </w:pPr>
      <w:r w:rsidRPr="002A72CB">
        <w:rPr>
          <w:rFonts w:eastAsia="Times New Roman"/>
          <w:u w:val="single"/>
          <w:lang w:eastAsia="bg-BG"/>
        </w:rPr>
        <w:t>Дозировка</w:t>
      </w:r>
    </w:p>
    <w:p w14:paraId="77984B7B" w14:textId="77777777" w:rsidR="00996156" w:rsidRPr="002A72CB" w:rsidRDefault="00996156" w:rsidP="00996156">
      <w:pPr>
        <w:spacing w:line="240" w:lineRule="auto"/>
        <w:rPr>
          <w:rFonts w:eastAsia="Times New Roman" w:cs="Arial"/>
          <w:color w:val="000000"/>
          <w:lang w:eastAsia="bg-BG"/>
        </w:rPr>
      </w:pPr>
    </w:p>
    <w:p w14:paraId="479BAFC8" w14:textId="0FF65144" w:rsidR="00996156" w:rsidRPr="00996156" w:rsidRDefault="00996156" w:rsidP="00996156">
      <w:pPr>
        <w:spacing w:line="240" w:lineRule="auto"/>
        <w:rPr>
          <w:rFonts w:eastAsia="Times New Roman" w:cs="Arial"/>
          <w:lang w:eastAsia="bg-BG"/>
        </w:rPr>
      </w:pPr>
      <w:r w:rsidRPr="00996156">
        <w:rPr>
          <w:rFonts w:eastAsia="Times New Roman" w:cs="Arial"/>
          <w:color w:val="000000"/>
          <w:lang w:eastAsia="bg-BG"/>
        </w:rPr>
        <w:lastRenderedPageBreak/>
        <w:t>Дозата трябва да се адаптира индивидуално. Дневната доза се прилага в 3 отделни дози.</w:t>
      </w:r>
    </w:p>
    <w:p w14:paraId="3AB3619A" w14:textId="77777777" w:rsidR="00996156" w:rsidRPr="00996156" w:rsidRDefault="00996156" w:rsidP="00996156">
      <w:pPr>
        <w:spacing w:line="240" w:lineRule="auto"/>
        <w:rPr>
          <w:rFonts w:eastAsia="Times New Roman" w:cs="Arial"/>
          <w:lang w:eastAsia="bg-BG"/>
        </w:rPr>
      </w:pPr>
      <w:r w:rsidRPr="00996156">
        <w:rPr>
          <w:rFonts w:eastAsia="Times New Roman" w:cs="Arial"/>
          <w:i/>
          <w:iCs/>
          <w:color w:val="000000"/>
          <w:lang w:eastAsia="bg-BG"/>
        </w:rPr>
        <w:t>Възрастни и юноши</w:t>
      </w:r>
      <w:r w:rsidRPr="00996156">
        <w:rPr>
          <w:rFonts w:eastAsia="Times New Roman" w:cs="Arial"/>
          <w:b/>
          <w:bCs/>
          <w:color w:val="000000"/>
          <w:lang w:eastAsia="bg-BG"/>
        </w:rPr>
        <w:t xml:space="preserve"> ≥ 6 </w:t>
      </w:r>
      <w:r w:rsidRPr="00996156">
        <w:rPr>
          <w:rFonts w:eastAsia="Times New Roman" w:cs="Arial"/>
          <w:i/>
          <w:iCs/>
          <w:color w:val="000000"/>
          <w:lang w:eastAsia="bg-BG"/>
        </w:rPr>
        <w:t>години</w:t>
      </w:r>
    </w:p>
    <w:p w14:paraId="0EB41189" w14:textId="77777777" w:rsidR="00996156" w:rsidRPr="00996156" w:rsidRDefault="00996156" w:rsidP="00996156">
      <w:pPr>
        <w:spacing w:line="240" w:lineRule="auto"/>
        <w:rPr>
          <w:rFonts w:eastAsia="Times New Roman" w:cs="Arial"/>
          <w:lang w:eastAsia="bg-BG"/>
        </w:rPr>
      </w:pPr>
      <w:r w:rsidRPr="00996156">
        <w:rPr>
          <w:rFonts w:eastAsia="Times New Roman" w:cs="Arial"/>
          <w:i/>
          <w:iCs/>
          <w:color w:val="000000"/>
          <w:lang w:eastAsia="bg-BG"/>
        </w:rPr>
        <w:t>Дискинезия и двигателни нарушения</w:t>
      </w:r>
    </w:p>
    <w:p w14:paraId="2D117E47" w14:textId="77777777" w:rsidR="00996156" w:rsidRPr="00996156" w:rsidRDefault="00996156" w:rsidP="00996156">
      <w:pPr>
        <w:numPr>
          <w:ilvl w:val="0"/>
          <w:numId w:val="2"/>
        </w:numPr>
        <w:spacing w:line="240" w:lineRule="auto"/>
        <w:rPr>
          <w:rFonts w:eastAsia="Times New Roman" w:cs="Arial"/>
          <w:color w:val="000000"/>
          <w:lang w:eastAsia="bg-BG"/>
        </w:rPr>
      </w:pPr>
      <w:r w:rsidRPr="00996156">
        <w:rPr>
          <w:rFonts w:eastAsia="Times New Roman" w:cs="Arial"/>
          <w:color w:val="000000"/>
          <w:lang w:eastAsia="bg-BG"/>
        </w:rPr>
        <w:t>Ранна дискинезия:</w:t>
      </w:r>
      <w:r w:rsidRPr="00996156">
        <w:rPr>
          <w:rFonts w:eastAsia="Times New Roman" w:cs="Arial"/>
          <w:color w:val="000000"/>
          <w:lang w:eastAsia="bg-BG"/>
        </w:rPr>
        <w:tab/>
        <w:t xml:space="preserve">150 - 400 </w:t>
      </w:r>
      <w:r w:rsidRPr="00996156">
        <w:rPr>
          <w:rFonts w:eastAsia="Times New Roman" w:cs="Arial"/>
          <w:color w:val="000000"/>
          <w:lang w:val="en-US"/>
        </w:rPr>
        <w:t xml:space="preserve">mg </w:t>
      </w:r>
      <w:r w:rsidRPr="00996156">
        <w:rPr>
          <w:rFonts w:eastAsia="Times New Roman" w:cs="Arial"/>
          <w:color w:val="000000"/>
          <w:lang w:eastAsia="bg-BG"/>
        </w:rPr>
        <w:t>дневно</w:t>
      </w:r>
    </w:p>
    <w:p w14:paraId="1326248A" w14:textId="77777777" w:rsidR="00996156" w:rsidRPr="00996156" w:rsidRDefault="00996156" w:rsidP="00996156">
      <w:pPr>
        <w:numPr>
          <w:ilvl w:val="0"/>
          <w:numId w:val="2"/>
        </w:numPr>
        <w:spacing w:line="240" w:lineRule="auto"/>
        <w:rPr>
          <w:rFonts w:eastAsia="Times New Roman" w:cs="Arial"/>
          <w:color w:val="000000"/>
          <w:lang w:eastAsia="bg-BG"/>
        </w:rPr>
      </w:pPr>
      <w:r w:rsidRPr="00996156">
        <w:rPr>
          <w:rFonts w:eastAsia="Times New Roman" w:cs="Arial"/>
          <w:color w:val="000000"/>
          <w:lang w:eastAsia="bg-BG"/>
        </w:rPr>
        <w:t>Късна дискинезия:</w:t>
      </w:r>
      <w:r w:rsidRPr="00996156">
        <w:rPr>
          <w:rFonts w:eastAsia="Times New Roman" w:cs="Arial"/>
          <w:color w:val="000000"/>
          <w:lang w:eastAsia="bg-BG"/>
        </w:rPr>
        <w:tab/>
        <w:t xml:space="preserve">300 - 800 </w:t>
      </w:r>
      <w:r w:rsidRPr="00996156">
        <w:rPr>
          <w:rFonts w:eastAsia="Times New Roman" w:cs="Arial"/>
          <w:color w:val="000000"/>
          <w:lang w:val="en-US"/>
        </w:rPr>
        <w:t xml:space="preserve">mg </w:t>
      </w:r>
      <w:r w:rsidRPr="00996156">
        <w:rPr>
          <w:rFonts w:eastAsia="Times New Roman" w:cs="Arial"/>
          <w:color w:val="000000"/>
          <w:lang w:eastAsia="bg-BG"/>
        </w:rPr>
        <w:t>дневно</w:t>
      </w:r>
    </w:p>
    <w:p w14:paraId="39548532" w14:textId="77777777" w:rsidR="00996156" w:rsidRPr="00996156" w:rsidRDefault="00996156" w:rsidP="00996156">
      <w:pPr>
        <w:numPr>
          <w:ilvl w:val="0"/>
          <w:numId w:val="2"/>
        </w:numPr>
        <w:spacing w:line="240" w:lineRule="auto"/>
        <w:rPr>
          <w:rFonts w:eastAsia="Times New Roman" w:cs="Arial"/>
          <w:color w:val="000000"/>
          <w:lang w:eastAsia="bg-BG"/>
        </w:rPr>
      </w:pPr>
      <w:r w:rsidRPr="00996156">
        <w:rPr>
          <w:rFonts w:eastAsia="Times New Roman" w:cs="Arial"/>
          <w:color w:val="000000"/>
          <w:lang w:eastAsia="bg-BG"/>
        </w:rPr>
        <w:t xml:space="preserve">Болест на </w:t>
      </w:r>
      <w:r w:rsidRPr="00996156">
        <w:rPr>
          <w:rFonts w:eastAsia="Times New Roman" w:cs="Arial"/>
          <w:color w:val="000000"/>
          <w:lang w:val="en-US"/>
        </w:rPr>
        <w:t xml:space="preserve">Huntington:     </w:t>
      </w:r>
      <w:r w:rsidRPr="00996156">
        <w:rPr>
          <w:rFonts w:eastAsia="Times New Roman" w:cs="Arial"/>
          <w:color w:val="000000"/>
          <w:lang w:eastAsia="bg-BG"/>
        </w:rPr>
        <w:t xml:space="preserve">300 - 1200 </w:t>
      </w:r>
      <w:r w:rsidRPr="00996156">
        <w:rPr>
          <w:rFonts w:eastAsia="Times New Roman" w:cs="Arial"/>
          <w:color w:val="000000"/>
          <w:lang w:val="en-US"/>
        </w:rPr>
        <w:t xml:space="preserve">mg </w:t>
      </w:r>
      <w:r w:rsidRPr="00996156">
        <w:rPr>
          <w:rFonts w:eastAsia="Times New Roman" w:cs="Arial"/>
          <w:color w:val="000000"/>
          <w:lang w:eastAsia="bg-BG"/>
        </w:rPr>
        <w:t>дневно (разделени в 3-5 дози, в зависимост от общата доза)</w:t>
      </w:r>
    </w:p>
    <w:p w14:paraId="71DB952A" w14:textId="77777777" w:rsidR="00996156" w:rsidRPr="002A72CB" w:rsidRDefault="00996156" w:rsidP="00996156">
      <w:pPr>
        <w:spacing w:line="240" w:lineRule="auto"/>
        <w:rPr>
          <w:rFonts w:eastAsia="Times New Roman" w:cs="Arial"/>
          <w:i/>
          <w:iCs/>
          <w:color w:val="000000"/>
          <w:lang w:eastAsia="bg-BG"/>
        </w:rPr>
      </w:pPr>
    </w:p>
    <w:p w14:paraId="7A869871" w14:textId="08C7BE48" w:rsidR="00996156" w:rsidRPr="00996156" w:rsidRDefault="00996156" w:rsidP="00996156">
      <w:pPr>
        <w:spacing w:line="240" w:lineRule="auto"/>
        <w:rPr>
          <w:rFonts w:eastAsia="Times New Roman" w:cs="Arial"/>
          <w:lang w:eastAsia="bg-BG"/>
        </w:rPr>
      </w:pPr>
      <w:r w:rsidRPr="00996156">
        <w:rPr>
          <w:rFonts w:eastAsia="Times New Roman" w:cs="Arial"/>
          <w:i/>
          <w:iCs/>
          <w:color w:val="000000"/>
          <w:lang w:eastAsia="bg-BG"/>
        </w:rPr>
        <w:t>Психомоторни нарушения в старческа възраст</w:t>
      </w:r>
    </w:p>
    <w:p w14:paraId="1893199E" w14:textId="77777777" w:rsidR="00996156" w:rsidRPr="00996156" w:rsidRDefault="00996156" w:rsidP="00996156">
      <w:pPr>
        <w:spacing w:line="240" w:lineRule="auto"/>
        <w:rPr>
          <w:rFonts w:eastAsia="Times New Roman" w:cs="Arial"/>
          <w:lang w:eastAsia="bg-BG"/>
        </w:rPr>
      </w:pPr>
      <w:r w:rsidRPr="00996156">
        <w:rPr>
          <w:rFonts w:eastAsia="Times New Roman" w:cs="Arial"/>
          <w:color w:val="000000"/>
          <w:lang w:eastAsia="bg-BG"/>
        </w:rPr>
        <w:t xml:space="preserve">200 - 400 </w:t>
      </w:r>
      <w:r w:rsidRPr="00996156">
        <w:rPr>
          <w:rFonts w:eastAsia="Times New Roman" w:cs="Arial"/>
          <w:color w:val="000000"/>
          <w:lang w:val="en-US"/>
        </w:rPr>
        <w:t xml:space="preserve">mg </w:t>
      </w:r>
      <w:r w:rsidRPr="00996156">
        <w:rPr>
          <w:rFonts w:eastAsia="Times New Roman" w:cs="Arial"/>
          <w:color w:val="000000"/>
          <w:lang w:eastAsia="bg-BG"/>
        </w:rPr>
        <w:t>дневно</w:t>
      </w:r>
      <w:bookmarkStart w:id="2" w:name="bookmark0"/>
      <w:bookmarkEnd w:id="2"/>
    </w:p>
    <w:p w14:paraId="5E4A91E5" w14:textId="77777777" w:rsidR="00996156" w:rsidRPr="00996156" w:rsidRDefault="00996156" w:rsidP="00996156">
      <w:pPr>
        <w:spacing w:line="240" w:lineRule="auto"/>
        <w:rPr>
          <w:rFonts w:eastAsia="Times New Roman" w:cs="Arial"/>
          <w:lang w:eastAsia="bg-BG"/>
        </w:rPr>
      </w:pPr>
    </w:p>
    <w:p w14:paraId="44502CDB" w14:textId="6B892E72" w:rsidR="00996156" w:rsidRPr="00996156" w:rsidRDefault="00996156" w:rsidP="00996156">
      <w:pPr>
        <w:spacing w:line="240" w:lineRule="auto"/>
        <w:rPr>
          <w:rFonts w:eastAsia="Times New Roman" w:cs="Arial"/>
          <w:lang w:eastAsia="bg-BG"/>
        </w:rPr>
      </w:pPr>
      <w:r w:rsidRPr="00996156">
        <w:rPr>
          <w:rFonts w:eastAsia="Times New Roman" w:cs="Arial"/>
          <w:i/>
          <w:iCs/>
          <w:color w:val="000000"/>
          <w:lang w:eastAsia="bg-BG"/>
        </w:rPr>
        <w:t>Психомоторни нарушения при хроничен алкохолизъм</w:t>
      </w:r>
    </w:p>
    <w:p w14:paraId="7FBF1BCE" w14:textId="52D5B4E2" w:rsidR="00EC41ED" w:rsidRPr="002A72CB" w:rsidRDefault="00996156" w:rsidP="00996156">
      <w:pPr>
        <w:rPr>
          <w:rFonts w:cs="Arial"/>
        </w:rPr>
      </w:pPr>
      <w:r w:rsidRPr="002A72CB">
        <w:rPr>
          <w:rFonts w:eastAsia="Times New Roman" w:cs="Arial"/>
          <w:color w:val="000000"/>
          <w:lang w:eastAsia="bg-BG"/>
        </w:rPr>
        <w:t xml:space="preserve">300 - 400 </w:t>
      </w:r>
      <w:r w:rsidRPr="002A72CB">
        <w:rPr>
          <w:rFonts w:eastAsia="Times New Roman" w:cs="Arial"/>
          <w:color w:val="000000"/>
          <w:lang w:val="en-US"/>
        </w:rPr>
        <w:t xml:space="preserve">mg </w:t>
      </w:r>
      <w:r w:rsidRPr="002A72CB">
        <w:rPr>
          <w:rFonts w:eastAsia="Times New Roman" w:cs="Arial"/>
          <w:color w:val="000000"/>
          <w:lang w:eastAsia="bg-BG"/>
        </w:rPr>
        <w:t>дневно</w:t>
      </w:r>
    </w:p>
    <w:p w14:paraId="132F3111" w14:textId="29A3D06D" w:rsidR="005B0F27" w:rsidRPr="002A72CB" w:rsidRDefault="005B0F27" w:rsidP="0091385D">
      <w:pPr>
        <w:rPr>
          <w:rFonts w:cs="Arial"/>
        </w:rPr>
      </w:pPr>
    </w:p>
    <w:p w14:paraId="2BEA0261" w14:textId="77777777" w:rsidR="00996156" w:rsidRPr="00996156" w:rsidRDefault="00996156" w:rsidP="00996156">
      <w:pPr>
        <w:spacing w:line="240" w:lineRule="auto"/>
        <w:rPr>
          <w:rFonts w:eastAsia="Times New Roman" w:cs="Arial"/>
          <w:lang w:eastAsia="bg-BG"/>
        </w:rPr>
      </w:pPr>
      <w:r w:rsidRPr="00996156">
        <w:rPr>
          <w:rFonts w:eastAsia="Times New Roman" w:cs="Arial"/>
          <w:i/>
          <w:iCs/>
          <w:color w:val="000000"/>
          <w:lang w:eastAsia="bg-BG"/>
        </w:rPr>
        <w:t>Дозиране при нарушение на бъбречната функция</w:t>
      </w:r>
    </w:p>
    <w:p w14:paraId="0C7FA8D0" w14:textId="3DB43EED" w:rsidR="00996156" w:rsidRPr="002A72CB" w:rsidRDefault="00996156" w:rsidP="00996156">
      <w:pPr>
        <w:rPr>
          <w:rFonts w:eastAsia="Times New Roman" w:cs="Arial"/>
          <w:color w:val="000000"/>
          <w:lang w:eastAsia="bg-BG"/>
        </w:rPr>
      </w:pPr>
      <w:r w:rsidRPr="002A72CB">
        <w:rPr>
          <w:rFonts w:eastAsia="Times New Roman" w:cs="Arial"/>
          <w:color w:val="000000"/>
          <w:lang w:eastAsia="bg-BG"/>
        </w:rPr>
        <w:t>При пациенти с бъбречна недостатъчност се изисква намаляване на дозата в зависимост от креатининовия клирънс, както следва:</w:t>
      </w:r>
    </w:p>
    <w:p w14:paraId="46DED8D9" w14:textId="6E31D2FF" w:rsidR="00996156" w:rsidRPr="002A72CB" w:rsidRDefault="00996156" w:rsidP="00996156">
      <w:pPr>
        <w:rPr>
          <w:rFonts w:eastAsia="Times New Roman" w:cs="Arial"/>
          <w:color w:val="000000"/>
          <w:lang w:eastAsia="bg-BG"/>
        </w:rPr>
      </w:pPr>
    </w:p>
    <w:tbl>
      <w:tblPr>
        <w:tblStyle w:val="TableGrid"/>
        <w:tblW w:w="0" w:type="auto"/>
        <w:tblLook w:val="04A0" w:firstRow="1" w:lastRow="0" w:firstColumn="1" w:lastColumn="0" w:noHBand="0" w:noVBand="1"/>
      </w:tblPr>
      <w:tblGrid>
        <w:gridCol w:w="4675"/>
        <w:gridCol w:w="4675"/>
      </w:tblGrid>
      <w:tr w:rsidR="00996156" w:rsidRPr="002A72CB" w14:paraId="692E7B0B" w14:textId="77777777" w:rsidTr="00996156">
        <w:tc>
          <w:tcPr>
            <w:tcW w:w="4675" w:type="dxa"/>
          </w:tcPr>
          <w:p w14:paraId="0918AAC4" w14:textId="795D9100" w:rsidR="00996156" w:rsidRPr="002A72CB" w:rsidRDefault="00996156" w:rsidP="00996156">
            <w:pPr>
              <w:rPr>
                <w:rFonts w:cs="Arial"/>
              </w:rPr>
            </w:pPr>
            <w:r w:rsidRPr="002A72CB">
              <w:rPr>
                <w:rFonts w:cs="Arial"/>
                <w:b/>
                <w:bCs/>
              </w:rPr>
              <w:t>Креатннинов клирънс</w:t>
            </w:r>
          </w:p>
        </w:tc>
        <w:tc>
          <w:tcPr>
            <w:tcW w:w="4675" w:type="dxa"/>
          </w:tcPr>
          <w:p w14:paraId="125BDCB3" w14:textId="1590AACF" w:rsidR="00996156" w:rsidRPr="002A72CB" w:rsidRDefault="00996156" w:rsidP="00996156">
            <w:pPr>
              <w:rPr>
                <w:rFonts w:cs="Arial"/>
              </w:rPr>
            </w:pPr>
            <w:r w:rsidRPr="002A72CB">
              <w:rPr>
                <w:rFonts w:cs="Arial"/>
                <w:b/>
                <w:bCs/>
              </w:rPr>
              <w:t>Препоръчителна доза</w:t>
            </w:r>
          </w:p>
        </w:tc>
      </w:tr>
      <w:tr w:rsidR="00996156" w:rsidRPr="002A72CB" w14:paraId="11D8F73D" w14:textId="77777777" w:rsidTr="00996156">
        <w:tc>
          <w:tcPr>
            <w:tcW w:w="4675" w:type="dxa"/>
          </w:tcPr>
          <w:p w14:paraId="373341CB" w14:textId="69F579C6" w:rsidR="00996156" w:rsidRPr="002A72CB" w:rsidRDefault="00996156" w:rsidP="00996156">
            <w:pPr>
              <w:rPr>
                <w:rFonts w:cs="Arial"/>
              </w:rPr>
            </w:pPr>
            <w:r w:rsidRPr="002A72CB">
              <w:rPr>
                <w:rFonts w:cs="Arial"/>
              </w:rPr>
              <w:t xml:space="preserve">30-60 </w:t>
            </w:r>
            <w:r w:rsidRPr="002A72CB">
              <w:rPr>
                <w:rFonts w:cs="Arial"/>
                <w:lang w:val="en-US"/>
              </w:rPr>
              <w:t>ml/min</w:t>
            </w:r>
          </w:p>
        </w:tc>
        <w:tc>
          <w:tcPr>
            <w:tcW w:w="4675" w:type="dxa"/>
          </w:tcPr>
          <w:p w14:paraId="446FD8B2" w14:textId="094D9213" w:rsidR="00996156" w:rsidRPr="002A72CB" w:rsidRDefault="00996156" w:rsidP="00996156">
            <w:pPr>
              <w:rPr>
                <w:rFonts w:cs="Arial"/>
              </w:rPr>
            </w:pPr>
            <w:r w:rsidRPr="002A72CB">
              <w:rPr>
                <w:rFonts w:cs="Arial"/>
              </w:rPr>
              <w:t>75 % от нормалната дневна доза</w:t>
            </w:r>
          </w:p>
        </w:tc>
      </w:tr>
      <w:tr w:rsidR="00996156" w:rsidRPr="002A72CB" w14:paraId="46A79874" w14:textId="77777777" w:rsidTr="00996156">
        <w:tc>
          <w:tcPr>
            <w:tcW w:w="4675" w:type="dxa"/>
          </w:tcPr>
          <w:p w14:paraId="4B919914" w14:textId="7FE9A104" w:rsidR="00996156" w:rsidRPr="002A72CB" w:rsidRDefault="00996156" w:rsidP="00996156">
            <w:pPr>
              <w:rPr>
                <w:rFonts w:cs="Arial"/>
              </w:rPr>
            </w:pPr>
            <w:r w:rsidRPr="002A72CB">
              <w:rPr>
                <w:rFonts w:cs="Arial"/>
              </w:rPr>
              <w:t xml:space="preserve">10-30 </w:t>
            </w:r>
            <w:r w:rsidRPr="002A72CB">
              <w:rPr>
                <w:rFonts w:cs="Arial"/>
                <w:lang w:val="en-US"/>
              </w:rPr>
              <w:t>ml/min</w:t>
            </w:r>
          </w:p>
        </w:tc>
        <w:tc>
          <w:tcPr>
            <w:tcW w:w="4675" w:type="dxa"/>
          </w:tcPr>
          <w:p w14:paraId="2BAA7DC4" w14:textId="40D3068C" w:rsidR="00996156" w:rsidRPr="002A72CB" w:rsidRDefault="00996156" w:rsidP="00996156">
            <w:pPr>
              <w:rPr>
                <w:rFonts w:cs="Arial"/>
              </w:rPr>
            </w:pPr>
            <w:r w:rsidRPr="002A72CB">
              <w:rPr>
                <w:rFonts w:cs="Arial"/>
              </w:rPr>
              <w:t>50% от нормалната дневна доза</w:t>
            </w:r>
          </w:p>
        </w:tc>
      </w:tr>
      <w:tr w:rsidR="00996156" w:rsidRPr="002A72CB" w14:paraId="1AF4E3DD" w14:textId="77777777" w:rsidTr="00996156">
        <w:tc>
          <w:tcPr>
            <w:tcW w:w="4675" w:type="dxa"/>
          </w:tcPr>
          <w:p w14:paraId="26906239" w14:textId="7AAEF881" w:rsidR="00996156" w:rsidRPr="002A72CB" w:rsidRDefault="00996156" w:rsidP="00996156">
            <w:pPr>
              <w:rPr>
                <w:rFonts w:cs="Arial"/>
              </w:rPr>
            </w:pPr>
            <w:r w:rsidRPr="002A72CB">
              <w:rPr>
                <w:rFonts w:cs="Arial"/>
              </w:rPr>
              <w:t xml:space="preserve">по-малко от 10 </w:t>
            </w:r>
            <w:r w:rsidRPr="002A72CB">
              <w:rPr>
                <w:rFonts w:cs="Arial"/>
                <w:lang w:val="en-US"/>
              </w:rPr>
              <w:t>ml/min</w:t>
            </w:r>
          </w:p>
        </w:tc>
        <w:tc>
          <w:tcPr>
            <w:tcW w:w="4675" w:type="dxa"/>
          </w:tcPr>
          <w:p w14:paraId="0C14F482" w14:textId="2580704A" w:rsidR="00996156" w:rsidRPr="002A72CB" w:rsidRDefault="00996156" w:rsidP="00996156">
            <w:pPr>
              <w:rPr>
                <w:rFonts w:cs="Arial"/>
              </w:rPr>
            </w:pPr>
            <w:r w:rsidRPr="002A72CB">
              <w:rPr>
                <w:rFonts w:cs="Arial"/>
              </w:rPr>
              <w:t>25% от нормалната дневна доза</w:t>
            </w:r>
          </w:p>
        </w:tc>
      </w:tr>
    </w:tbl>
    <w:p w14:paraId="08787C7F" w14:textId="4B609170" w:rsidR="00996156" w:rsidRPr="002A72CB" w:rsidRDefault="00996156" w:rsidP="00996156">
      <w:pPr>
        <w:rPr>
          <w:rFonts w:cs="Arial"/>
        </w:rPr>
      </w:pPr>
    </w:p>
    <w:p w14:paraId="6C42F77D" w14:textId="77777777" w:rsidR="00996156" w:rsidRPr="00996156" w:rsidRDefault="00996156" w:rsidP="00996156">
      <w:pPr>
        <w:spacing w:line="240" w:lineRule="auto"/>
        <w:rPr>
          <w:rFonts w:eastAsia="Times New Roman" w:cs="Arial"/>
          <w:lang w:eastAsia="bg-BG"/>
        </w:rPr>
      </w:pPr>
      <w:r w:rsidRPr="00996156">
        <w:rPr>
          <w:rFonts w:eastAsia="Times New Roman" w:cs="Arial"/>
          <w:i/>
          <w:iCs/>
          <w:color w:val="000000"/>
          <w:lang w:eastAsia="bg-BG"/>
        </w:rPr>
        <w:t>Дозиране при нарушение на чернодробната функция</w:t>
      </w:r>
    </w:p>
    <w:p w14:paraId="601D5771" w14:textId="77777777" w:rsidR="00996156" w:rsidRPr="00996156" w:rsidRDefault="00996156" w:rsidP="00996156">
      <w:pPr>
        <w:spacing w:line="240" w:lineRule="auto"/>
        <w:rPr>
          <w:rFonts w:eastAsia="Times New Roman" w:cs="Arial"/>
          <w:lang w:eastAsia="bg-BG"/>
        </w:rPr>
      </w:pPr>
      <w:r w:rsidRPr="00996156">
        <w:rPr>
          <w:rFonts w:eastAsia="Times New Roman" w:cs="Arial"/>
          <w:color w:val="000000"/>
          <w:lang w:eastAsia="bg-BG"/>
        </w:rPr>
        <w:t>При пациенти с нарушена чернодробна функция не е необходимо коригиране на дозата.</w:t>
      </w:r>
    </w:p>
    <w:p w14:paraId="3A433DD6" w14:textId="77777777" w:rsidR="00996156" w:rsidRPr="002A72CB" w:rsidRDefault="00996156" w:rsidP="00996156">
      <w:pPr>
        <w:spacing w:line="240" w:lineRule="auto"/>
        <w:rPr>
          <w:rFonts w:eastAsia="Times New Roman" w:cs="Arial"/>
          <w:i/>
          <w:iCs/>
          <w:color w:val="000000"/>
          <w:lang w:eastAsia="bg-BG"/>
        </w:rPr>
      </w:pPr>
    </w:p>
    <w:p w14:paraId="60B06C94" w14:textId="3AA3D586" w:rsidR="00996156" w:rsidRPr="00996156" w:rsidRDefault="00996156" w:rsidP="00996156">
      <w:pPr>
        <w:spacing w:line="240" w:lineRule="auto"/>
        <w:rPr>
          <w:rFonts w:eastAsia="Times New Roman" w:cs="Arial"/>
          <w:lang w:eastAsia="bg-BG"/>
        </w:rPr>
      </w:pPr>
      <w:r w:rsidRPr="00996156">
        <w:rPr>
          <w:rFonts w:eastAsia="Times New Roman" w:cs="Arial"/>
          <w:i/>
          <w:iCs/>
          <w:color w:val="000000"/>
          <w:lang w:eastAsia="bg-BG"/>
        </w:rPr>
        <w:t>Деца &lt; 6 години</w:t>
      </w:r>
    </w:p>
    <w:p w14:paraId="6B42647F" w14:textId="77777777" w:rsidR="00996156" w:rsidRPr="00996156" w:rsidRDefault="00996156" w:rsidP="00996156">
      <w:pPr>
        <w:spacing w:line="240" w:lineRule="auto"/>
        <w:rPr>
          <w:rFonts w:eastAsia="Times New Roman" w:cs="Arial"/>
          <w:lang w:eastAsia="bg-BG"/>
        </w:rPr>
      </w:pPr>
      <w:r w:rsidRPr="00996156">
        <w:rPr>
          <w:rFonts w:eastAsia="Times New Roman" w:cs="Arial"/>
          <w:color w:val="000000"/>
          <w:lang w:eastAsia="bg-BG"/>
        </w:rPr>
        <w:t xml:space="preserve">Безопасността и ефикасността на Тиаприд </w:t>
      </w:r>
      <w:r w:rsidRPr="00996156">
        <w:rPr>
          <w:rFonts w:eastAsia="Times New Roman" w:cs="Arial"/>
          <w:color w:val="000000"/>
          <w:lang w:val="en-US"/>
        </w:rPr>
        <w:t xml:space="preserve">G.L. </w:t>
      </w:r>
      <w:r w:rsidRPr="00996156">
        <w:rPr>
          <w:rFonts w:eastAsia="Times New Roman" w:cs="Arial"/>
          <w:color w:val="000000"/>
          <w:lang w:eastAsia="bg-BG"/>
        </w:rPr>
        <w:t>при деца под 6 години все още не е достатъчно установена. Поради това не може да се направи препоръка по отношение на дозировката.</w:t>
      </w:r>
    </w:p>
    <w:p w14:paraId="0AB48F1B" w14:textId="77777777" w:rsidR="00996156" w:rsidRPr="002A72CB" w:rsidRDefault="00996156" w:rsidP="00996156">
      <w:pPr>
        <w:spacing w:line="240" w:lineRule="auto"/>
        <w:rPr>
          <w:rFonts w:eastAsia="Times New Roman" w:cs="Arial"/>
          <w:color w:val="000000"/>
          <w:u w:val="single"/>
          <w:lang w:eastAsia="bg-BG"/>
        </w:rPr>
      </w:pPr>
    </w:p>
    <w:p w14:paraId="6D164A34" w14:textId="40A81182" w:rsidR="00996156" w:rsidRPr="00996156" w:rsidRDefault="00996156" w:rsidP="00996156">
      <w:pPr>
        <w:spacing w:line="240" w:lineRule="auto"/>
        <w:rPr>
          <w:rFonts w:eastAsia="Times New Roman" w:cs="Arial"/>
          <w:lang w:eastAsia="bg-BG"/>
        </w:rPr>
      </w:pPr>
      <w:r w:rsidRPr="00996156">
        <w:rPr>
          <w:rFonts w:eastAsia="Times New Roman" w:cs="Arial"/>
          <w:color w:val="000000"/>
          <w:u w:val="single"/>
          <w:lang w:eastAsia="bg-BG"/>
        </w:rPr>
        <w:t>Продължителност на приложение</w:t>
      </w:r>
    </w:p>
    <w:p w14:paraId="0B29A6A7" w14:textId="77777777" w:rsidR="00996156" w:rsidRPr="00996156" w:rsidRDefault="00996156" w:rsidP="00996156">
      <w:pPr>
        <w:spacing w:line="240" w:lineRule="auto"/>
        <w:rPr>
          <w:rFonts w:eastAsia="Times New Roman" w:cs="Arial"/>
          <w:lang w:eastAsia="bg-BG"/>
        </w:rPr>
      </w:pPr>
      <w:r w:rsidRPr="00996156">
        <w:rPr>
          <w:rFonts w:eastAsia="Times New Roman" w:cs="Arial"/>
          <w:color w:val="000000"/>
          <w:lang w:eastAsia="bg-BG"/>
        </w:rPr>
        <w:t>Продължителността на лечението зависи от клиничното състояние.</w:t>
      </w:r>
    </w:p>
    <w:p w14:paraId="55203232" w14:textId="77777777" w:rsidR="00996156" w:rsidRPr="002A72CB" w:rsidRDefault="00996156" w:rsidP="00996156">
      <w:pPr>
        <w:spacing w:line="240" w:lineRule="auto"/>
        <w:rPr>
          <w:rFonts w:eastAsia="Times New Roman" w:cs="Arial"/>
          <w:color w:val="000000"/>
          <w:u w:val="single"/>
          <w:lang w:eastAsia="bg-BG"/>
        </w:rPr>
      </w:pPr>
    </w:p>
    <w:p w14:paraId="57EB0E96" w14:textId="4BE2C158" w:rsidR="00996156" w:rsidRPr="002A72CB" w:rsidRDefault="00996156" w:rsidP="002A72CB">
      <w:pPr>
        <w:pStyle w:val="Heading3"/>
        <w:rPr>
          <w:rFonts w:eastAsia="Times New Roman"/>
          <w:u w:val="single"/>
          <w:lang w:eastAsia="bg-BG"/>
        </w:rPr>
      </w:pPr>
      <w:r w:rsidRPr="002A72CB">
        <w:rPr>
          <w:rFonts w:eastAsia="Times New Roman"/>
          <w:u w:val="single"/>
          <w:lang w:eastAsia="bg-BG"/>
        </w:rPr>
        <w:t>Начин на приложение</w:t>
      </w:r>
    </w:p>
    <w:p w14:paraId="52B84543" w14:textId="6F9B79FD" w:rsidR="00996156" w:rsidRPr="002A72CB" w:rsidRDefault="00996156" w:rsidP="00996156">
      <w:pPr>
        <w:rPr>
          <w:rFonts w:cs="Arial"/>
        </w:rPr>
      </w:pPr>
      <w:r w:rsidRPr="002A72CB">
        <w:rPr>
          <w:rFonts w:eastAsia="Times New Roman" w:cs="Arial"/>
          <w:color w:val="000000"/>
          <w:lang w:eastAsia="bg-BG"/>
        </w:rPr>
        <w:t>Таблетките трябва да се приемат цели с достатъчно количество течност, препоръчително с храна.</w:t>
      </w:r>
    </w:p>
    <w:p w14:paraId="63F6A0D4" w14:textId="77777777" w:rsidR="00996156" w:rsidRPr="0091385D" w:rsidRDefault="00996156" w:rsidP="0091385D"/>
    <w:p w14:paraId="28C984E8" w14:textId="4CFA03D6" w:rsidR="008134C8" w:rsidRDefault="002C50EE" w:rsidP="004A448E">
      <w:pPr>
        <w:pStyle w:val="Heading2"/>
      </w:pPr>
      <w:r>
        <w:t>4.3. Противопоказания</w:t>
      </w:r>
    </w:p>
    <w:p w14:paraId="2E71FB64" w14:textId="77777777" w:rsidR="002A72CB" w:rsidRPr="002A72CB" w:rsidRDefault="002A72CB" w:rsidP="002A72CB"/>
    <w:p w14:paraId="36FD0CE0" w14:textId="77777777" w:rsidR="00B26D4A" w:rsidRPr="002A72CB" w:rsidRDefault="00996156" w:rsidP="00996156">
      <w:pPr>
        <w:pStyle w:val="ListParagraph"/>
        <w:numPr>
          <w:ilvl w:val="0"/>
          <w:numId w:val="36"/>
        </w:numPr>
        <w:spacing w:line="240" w:lineRule="auto"/>
        <w:rPr>
          <w:rFonts w:eastAsia="Times New Roman" w:cs="Arial"/>
          <w:sz w:val="24"/>
          <w:szCs w:val="24"/>
          <w:lang w:eastAsia="bg-BG"/>
        </w:rPr>
      </w:pPr>
      <w:r w:rsidRPr="002A72CB">
        <w:rPr>
          <w:rFonts w:eastAsia="Times New Roman" w:cs="Arial"/>
          <w:color w:val="000000"/>
          <w:lang w:eastAsia="bg-BG"/>
        </w:rPr>
        <w:t>Свръхчувствителност към активното вещество или към някое от помощните вещества, изброени в точка 6.1.</w:t>
      </w:r>
    </w:p>
    <w:p w14:paraId="7BC34669" w14:textId="77777777" w:rsidR="00B26D4A" w:rsidRPr="002A72CB" w:rsidRDefault="00996156" w:rsidP="00B26D4A">
      <w:pPr>
        <w:pStyle w:val="ListParagraph"/>
        <w:numPr>
          <w:ilvl w:val="0"/>
          <w:numId w:val="36"/>
        </w:numPr>
        <w:spacing w:line="240" w:lineRule="auto"/>
        <w:rPr>
          <w:rFonts w:eastAsia="Times New Roman" w:cs="Arial"/>
          <w:sz w:val="24"/>
          <w:szCs w:val="24"/>
          <w:lang w:eastAsia="bg-BG"/>
        </w:rPr>
      </w:pPr>
      <w:r w:rsidRPr="002A72CB">
        <w:rPr>
          <w:rFonts w:eastAsia="Times New Roman" w:cs="Arial"/>
          <w:color w:val="000000"/>
          <w:lang w:eastAsia="bg-BG"/>
        </w:rPr>
        <w:t>Известни или суспектни съпътстващи пролактин-зависими тумори, напр. пролактином на хипофизата, рак на гърдата.</w:t>
      </w:r>
    </w:p>
    <w:p w14:paraId="66DA1669" w14:textId="622D253E" w:rsidR="00B26D4A" w:rsidRPr="002A72CB" w:rsidRDefault="00996156" w:rsidP="00B26D4A">
      <w:pPr>
        <w:pStyle w:val="ListParagraph"/>
        <w:numPr>
          <w:ilvl w:val="0"/>
          <w:numId w:val="2"/>
        </w:numPr>
        <w:spacing w:line="240" w:lineRule="auto"/>
        <w:rPr>
          <w:rFonts w:eastAsia="Times New Roman" w:cs="Arial"/>
          <w:sz w:val="24"/>
          <w:szCs w:val="24"/>
          <w:lang w:eastAsia="bg-BG"/>
        </w:rPr>
      </w:pPr>
      <w:r w:rsidRPr="002A72CB">
        <w:rPr>
          <w:rFonts w:eastAsia="Times New Roman" w:cs="Arial"/>
          <w:color w:val="000000"/>
          <w:lang w:eastAsia="bg-BG"/>
        </w:rPr>
        <w:t xml:space="preserve">В случай на известен или суспектен феохромоцитом, Тиаприд </w:t>
      </w:r>
      <w:r w:rsidRPr="002A72CB">
        <w:rPr>
          <w:rFonts w:eastAsia="Times New Roman" w:cs="Arial"/>
          <w:color w:val="000000"/>
          <w:lang w:val="en-US"/>
        </w:rPr>
        <w:t xml:space="preserve">G.L. </w:t>
      </w:r>
      <w:r w:rsidRPr="002A72CB">
        <w:rPr>
          <w:rFonts w:eastAsia="Times New Roman" w:cs="Arial"/>
          <w:color w:val="000000"/>
          <w:lang w:eastAsia="bg-BG"/>
        </w:rPr>
        <w:t>не трябва да се прилага, тъй като е докладван случай на тежка хипертонична криза от вещества от същата химична група.</w:t>
      </w:r>
    </w:p>
    <w:p w14:paraId="030B6A4D" w14:textId="6B062C30" w:rsidR="00EC41ED" w:rsidRPr="002A72CB" w:rsidRDefault="00996156" w:rsidP="00996156">
      <w:pPr>
        <w:pStyle w:val="ListParagraph"/>
        <w:numPr>
          <w:ilvl w:val="0"/>
          <w:numId w:val="36"/>
        </w:numPr>
        <w:spacing w:line="240" w:lineRule="auto"/>
        <w:rPr>
          <w:rFonts w:eastAsia="Times New Roman" w:cs="Arial"/>
          <w:sz w:val="24"/>
          <w:szCs w:val="24"/>
          <w:lang w:eastAsia="bg-BG"/>
        </w:rPr>
      </w:pPr>
      <w:r w:rsidRPr="002A72CB">
        <w:rPr>
          <w:rFonts w:eastAsia="Times New Roman" w:cs="Arial"/>
          <w:color w:val="000000"/>
          <w:lang w:eastAsia="bg-BG"/>
        </w:rPr>
        <w:lastRenderedPageBreak/>
        <w:t>Едновременна употреба с леводопа и други допаминергични лекарства (вж. точка 4.5).</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1E0703C7" w:rsidR="0091385D" w:rsidRDefault="0091385D" w:rsidP="0091385D"/>
    <w:p w14:paraId="2765B669" w14:textId="77777777" w:rsidR="00B26D4A" w:rsidRPr="00B26D4A" w:rsidRDefault="00B26D4A" w:rsidP="00B26D4A">
      <w:pPr>
        <w:spacing w:line="240" w:lineRule="auto"/>
        <w:rPr>
          <w:rFonts w:eastAsia="Times New Roman" w:cs="Arial"/>
          <w:sz w:val="24"/>
          <w:szCs w:val="24"/>
          <w:lang w:eastAsia="bg-BG"/>
        </w:rPr>
      </w:pPr>
      <w:r w:rsidRPr="00B26D4A">
        <w:rPr>
          <w:rFonts w:eastAsia="Times New Roman" w:cs="Arial"/>
          <w:i/>
          <w:iCs/>
          <w:color w:val="000000"/>
          <w:lang w:eastAsia="bg-BG"/>
        </w:rPr>
        <w:t>Необходими са специални предпазни мерки при</w:t>
      </w:r>
    </w:p>
    <w:p w14:paraId="1277DB27" w14:textId="77777777" w:rsidR="00B26D4A" w:rsidRPr="002A72CB" w:rsidRDefault="00B26D4A" w:rsidP="00B26D4A">
      <w:pPr>
        <w:pStyle w:val="ListParagraph"/>
        <w:numPr>
          <w:ilvl w:val="0"/>
          <w:numId w:val="36"/>
        </w:numPr>
        <w:spacing w:line="240" w:lineRule="auto"/>
        <w:rPr>
          <w:rFonts w:eastAsia="Times New Roman" w:cs="Arial"/>
          <w:sz w:val="24"/>
          <w:szCs w:val="24"/>
          <w:lang w:eastAsia="bg-BG"/>
        </w:rPr>
      </w:pPr>
      <w:r w:rsidRPr="002A72CB">
        <w:rPr>
          <w:rFonts w:eastAsia="Times New Roman" w:cs="Arial"/>
          <w:color w:val="000000"/>
          <w:lang w:eastAsia="bg-BG"/>
        </w:rPr>
        <w:t xml:space="preserve">-пациенти в старческа възраст: тъй като Тиаприд </w:t>
      </w:r>
      <w:r w:rsidRPr="002A72CB">
        <w:rPr>
          <w:rFonts w:eastAsia="Times New Roman" w:cs="Arial"/>
          <w:color w:val="000000"/>
          <w:lang w:val="en-US"/>
        </w:rPr>
        <w:t xml:space="preserve">G.L. </w:t>
      </w:r>
      <w:r w:rsidRPr="002A72CB">
        <w:rPr>
          <w:rFonts w:eastAsia="Times New Roman" w:cs="Arial"/>
          <w:color w:val="000000"/>
          <w:lang w:eastAsia="bg-BG"/>
        </w:rPr>
        <w:t>може да има засилен седативен ефект при възрастни пациенти, необходимо е да се подхожда предпазливо;</w:t>
      </w:r>
    </w:p>
    <w:p w14:paraId="62B79075" w14:textId="77777777" w:rsidR="00B26D4A" w:rsidRPr="002A72CB" w:rsidRDefault="00B26D4A" w:rsidP="00B26D4A">
      <w:pPr>
        <w:pStyle w:val="ListParagraph"/>
        <w:numPr>
          <w:ilvl w:val="0"/>
          <w:numId w:val="36"/>
        </w:numPr>
        <w:spacing w:line="240" w:lineRule="auto"/>
        <w:rPr>
          <w:rFonts w:eastAsia="Times New Roman" w:cs="Arial"/>
          <w:sz w:val="24"/>
          <w:szCs w:val="24"/>
          <w:lang w:eastAsia="bg-BG"/>
        </w:rPr>
      </w:pPr>
      <w:r w:rsidRPr="002A72CB">
        <w:rPr>
          <w:rFonts w:eastAsia="Times New Roman" w:cs="Arial"/>
          <w:color w:val="000000"/>
          <w:lang w:eastAsia="bg-BG"/>
        </w:rPr>
        <w:t>тежки сърдечно-съдови нарушения (поради възможни хемодинамични нежелани реакции, особено хипотония);</w:t>
      </w:r>
    </w:p>
    <w:p w14:paraId="3ED863D5" w14:textId="77777777" w:rsidR="00B26D4A" w:rsidRPr="002A72CB" w:rsidRDefault="00B26D4A" w:rsidP="00B26D4A">
      <w:pPr>
        <w:pStyle w:val="ListParagraph"/>
        <w:numPr>
          <w:ilvl w:val="0"/>
          <w:numId w:val="36"/>
        </w:numPr>
        <w:spacing w:line="240" w:lineRule="auto"/>
        <w:rPr>
          <w:rFonts w:eastAsia="Times New Roman" w:cs="Arial"/>
          <w:sz w:val="24"/>
          <w:szCs w:val="24"/>
          <w:lang w:eastAsia="bg-BG"/>
        </w:rPr>
      </w:pPr>
      <w:r w:rsidRPr="002A72CB">
        <w:rPr>
          <w:rFonts w:eastAsia="Times New Roman" w:cs="Arial"/>
          <w:color w:val="000000"/>
          <w:lang w:eastAsia="bg-BG"/>
        </w:rPr>
        <w:t>при пациенти с бъбречно увреждане, дозата трябва да се редуцира (вж. точка 4.2);</w:t>
      </w:r>
    </w:p>
    <w:p w14:paraId="5A87985F" w14:textId="77777777" w:rsidR="00B26D4A" w:rsidRPr="002A72CB" w:rsidRDefault="00B26D4A" w:rsidP="00B26D4A">
      <w:pPr>
        <w:pStyle w:val="ListParagraph"/>
        <w:numPr>
          <w:ilvl w:val="0"/>
          <w:numId w:val="36"/>
        </w:numPr>
        <w:spacing w:line="240" w:lineRule="auto"/>
        <w:rPr>
          <w:rFonts w:eastAsia="Times New Roman" w:cs="Arial"/>
          <w:sz w:val="24"/>
          <w:szCs w:val="24"/>
          <w:lang w:eastAsia="bg-BG"/>
        </w:rPr>
      </w:pPr>
      <w:r w:rsidRPr="002A72CB">
        <w:rPr>
          <w:rFonts w:eastAsia="Times New Roman" w:cs="Arial"/>
          <w:color w:val="000000"/>
          <w:lang w:eastAsia="bg-BG"/>
        </w:rPr>
        <w:t xml:space="preserve">Тиаприд </w:t>
      </w:r>
      <w:r w:rsidRPr="002A72CB">
        <w:rPr>
          <w:rFonts w:eastAsia="Times New Roman" w:cs="Arial"/>
          <w:color w:val="000000"/>
          <w:lang w:val="en-US"/>
        </w:rPr>
        <w:t xml:space="preserve">G.L. </w:t>
      </w:r>
      <w:r w:rsidRPr="002A72CB">
        <w:rPr>
          <w:rFonts w:eastAsia="Times New Roman" w:cs="Arial"/>
          <w:color w:val="000000"/>
          <w:lang w:eastAsia="bg-BG"/>
        </w:rPr>
        <w:t>не трябва да се изоползва при пациенти с болест на Паркинсон, освен при специални условия;</w:t>
      </w:r>
    </w:p>
    <w:p w14:paraId="550EDED4" w14:textId="72C3BF1C" w:rsidR="00B26D4A" w:rsidRPr="002A72CB" w:rsidRDefault="00B26D4A" w:rsidP="00B26D4A">
      <w:pPr>
        <w:pStyle w:val="ListParagraph"/>
        <w:numPr>
          <w:ilvl w:val="0"/>
          <w:numId w:val="36"/>
        </w:numPr>
        <w:spacing w:line="240" w:lineRule="auto"/>
        <w:rPr>
          <w:rFonts w:eastAsia="Times New Roman" w:cs="Arial"/>
          <w:sz w:val="24"/>
          <w:szCs w:val="24"/>
          <w:lang w:eastAsia="bg-BG"/>
        </w:rPr>
      </w:pPr>
      <w:r w:rsidRPr="002A72CB">
        <w:rPr>
          <w:rFonts w:eastAsia="Times New Roman" w:cs="Arial"/>
          <w:color w:val="000000"/>
          <w:lang w:eastAsia="bg-BG"/>
        </w:rPr>
        <w:t xml:space="preserve"> пациенти с анамнеза за епилепсия: антипсихотиците могат да понижат епилептичния праг, въпреки че това не е оценено при Тиаприд </w:t>
      </w:r>
      <w:r w:rsidRPr="002A72CB">
        <w:rPr>
          <w:rFonts w:eastAsia="Times New Roman" w:cs="Arial"/>
          <w:color w:val="000000"/>
          <w:lang w:val="en-US"/>
        </w:rPr>
        <w:t xml:space="preserve">G.L. </w:t>
      </w:r>
      <w:r w:rsidRPr="002A72CB">
        <w:rPr>
          <w:rFonts w:eastAsia="Times New Roman" w:cs="Arial"/>
          <w:color w:val="000000"/>
          <w:lang w:eastAsia="bg-BG"/>
        </w:rPr>
        <w:t>Затова, пациентите с анамнеза</w:t>
      </w:r>
      <w:r w:rsidRPr="002A72CB">
        <w:rPr>
          <w:rFonts w:eastAsia="Times New Roman" w:cs="Arial"/>
          <w:color w:val="000000"/>
          <w:lang w:val="en-US"/>
        </w:rPr>
        <w:t xml:space="preserve"> </w:t>
      </w:r>
      <w:r w:rsidRPr="002A72CB">
        <w:rPr>
          <w:rFonts w:eastAsia="Times New Roman" w:cs="Arial"/>
          <w:color w:val="000000"/>
          <w:lang w:eastAsia="bg-BG"/>
        </w:rPr>
        <w:t xml:space="preserve">за епилепсия трябва да бъдат внимателно проследявани по време на лечението с Типрид </w:t>
      </w:r>
      <w:r w:rsidRPr="002A72CB">
        <w:rPr>
          <w:rFonts w:eastAsia="Times New Roman" w:cs="Arial"/>
          <w:color w:val="000000"/>
          <w:lang w:val="en-US"/>
        </w:rPr>
        <w:t>G.L.</w:t>
      </w:r>
    </w:p>
    <w:p w14:paraId="386E389C" w14:textId="77777777" w:rsidR="00B26D4A" w:rsidRPr="002A72CB" w:rsidRDefault="00B26D4A" w:rsidP="00B26D4A">
      <w:pPr>
        <w:spacing w:line="240" w:lineRule="auto"/>
        <w:rPr>
          <w:rFonts w:eastAsia="Times New Roman" w:cs="Arial"/>
          <w:i/>
          <w:iCs/>
          <w:color w:val="000000"/>
          <w:lang w:eastAsia="bg-BG"/>
        </w:rPr>
      </w:pPr>
    </w:p>
    <w:p w14:paraId="36875ACF" w14:textId="5F75774A" w:rsidR="00B26D4A" w:rsidRPr="00B26D4A" w:rsidRDefault="00B26D4A" w:rsidP="00B26D4A">
      <w:pPr>
        <w:spacing w:line="240" w:lineRule="auto"/>
        <w:rPr>
          <w:rFonts w:eastAsia="Times New Roman" w:cs="Arial"/>
          <w:sz w:val="24"/>
          <w:szCs w:val="24"/>
          <w:lang w:eastAsia="bg-BG"/>
        </w:rPr>
      </w:pPr>
      <w:r w:rsidRPr="00B26D4A">
        <w:rPr>
          <w:rFonts w:eastAsia="Times New Roman" w:cs="Arial"/>
          <w:i/>
          <w:iCs/>
          <w:color w:val="000000"/>
          <w:lang w:eastAsia="bg-BG"/>
        </w:rPr>
        <w:t>Невролептичен малигнен синдром</w:t>
      </w:r>
    </w:p>
    <w:p w14:paraId="01B39158" w14:textId="77777777" w:rsidR="00B26D4A" w:rsidRPr="00B26D4A" w:rsidRDefault="00B26D4A" w:rsidP="00B26D4A">
      <w:pPr>
        <w:spacing w:line="240" w:lineRule="auto"/>
        <w:rPr>
          <w:rFonts w:eastAsia="Times New Roman" w:cs="Arial"/>
          <w:sz w:val="24"/>
          <w:szCs w:val="24"/>
          <w:lang w:eastAsia="bg-BG"/>
        </w:rPr>
      </w:pPr>
      <w:r w:rsidRPr="00B26D4A">
        <w:rPr>
          <w:rFonts w:eastAsia="Times New Roman" w:cs="Arial"/>
          <w:color w:val="000000"/>
          <w:lang w:eastAsia="bg-BG"/>
        </w:rPr>
        <w:t>Както при другите невролептици, може се появи невролептичен малигнен синдром,</w:t>
      </w:r>
    </w:p>
    <w:p w14:paraId="11D90B85" w14:textId="034199EC" w:rsidR="00B26D4A" w:rsidRPr="00B26D4A" w:rsidRDefault="00B26D4A" w:rsidP="002A72CB">
      <w:pPr>
        <w:rPr>
          <w:rFonts w:cs="Arial"/>
        </w:rPr>
      </w:pPr>
      <w:r w:rsidRPr="002A72CB">
        <w:rPr>
          <w:rFonts w:eastAsia="Times New Roman" w:cs="Arial"/>
          <w:color w:val="000000"/>
          <w:lang w:eastAsia="bg-BG"/>
        </w:rPr>
        <w:t xml:space="preserve">потенциално фатално усложнение, което се характерезира с хипертермия, мускулна ригидност </w:t>
      </w:r>
      <w:r w:rsidRPr="00B26D4A">
        <w:rPr>
          <w:rFonts w:eastAsia="Times New Roman" w:cs="Arial"/>
          <w:color w:val="000000"/>
          <w:lang w:eastAsia="bg-BG"/>
        </w:rPr>
        <w:t xml:space="preserve">и автономна дисфункция. Наблюдавани са случаи с атипични прояви, като липса на мускулна ригидност или хипертония, и с по-слабо изразена хипертермия. В случай на хипертермия с недиагностициран произход, приемът на Тиаприд </w:t>
      </w:r>
      <w:r w:rsidRPr="00B26D4A">
        <w:rPr>
          <w:rFonts w:eastAsia="Times New Roman" w:cs="Arial"/>
          <w:color w:val="000000"/>
          <w:lang w:val="en-US"/>
        </w:rPr>
        <w:t xml:space="preserve">G.L. </w:t>
      </w:r>
      <w:r w:rsidRPr="00B26D4A">
        <w:rPr>
          <w:rFonts w:eastAsia="Times New Roman" w:cs="Arial"/>
          <w:color w:val="000000"/>
          <w:lang w:eastAsia="bg-BG"/>
        </w:rPr>
        <w:t>трябва да се преустанови незабавно. Посъветвайте Вашите пациенти да се свържат незабавно с Вас или със спешно отделение, ако се появят неизяснен фебрилитет, бледност, прекомерно изпотяване, промени в кръвното налягане, объркване, мускулна ригидност.</w:t>
      </w:r>
    </w:p>
    <w:p w14:paraId="4E9BAD74" w14:textId="77777777" w:rsidR="00B26D4A" w:rsidRPr="002A72CB" w:rsidRDefault="00B26D4A" w:rsidP="00B26D4A">
      <w:pPr>
        <w:spacing w:line="240" w:lineRule="auto"/>
        <w:rPr>
          <w:rFonts w:eastAsia="Times New Roman" w:cs="Arial"/>
          <w:i/>
          <w:iCs/>
          <w:color w:val="000000"/>
          <w:lang w:eastAsia="bg-BG"/>
        </w:rPr>
      </w:pPr>
    </w:p>
    <w:p w14:paraId="455A2790" w14:textId="77777777" w:rsidR="00B26D4A" w:rsidRPr="00B26D4A" w:rsidRDefault="00B26D4A" w:rsidP="00B26D4A">
      <w:pPr>
        <w:spacing w:line="240" w:lineRule="auto"/>
        <w:rPr>
          <w:rFonts w:eastAsia="Times New Roman" w:cs="Arial"/>
          <w:sz w:val="24"/>
          <w:szCs w:val="24"/>
          <w:lang w:eastAsia="bg-BG"/>
        </w:rPr>
      </w:pPr>
      <w:r w:rsidRPr="00B26D4A">
        <w:rPr>
          <w:rFonts w:eastAsia="Times New Roman" w:cs="Arial"/>
          <w:i/>
          <w:iCs/>
          <w:color w:val="000000"/>
          <w:lang w:eastAsia="bg-BG"/>
        </w:rPr>
        <w:t xml:space="preserve">Удължаване на </w:t>
      </w:r>
      <w:r w:rsidRPr="00B26D4A">
        <w:rPr>
          <w:rFonts w:eastAsia="Times New Roman" w:cs="Arial"/>
          <w:i/>
          <w:iCs/>
          <w:color w:val="000000"/>
          <w:lang w:val="en-US"/>
        </w:rPr>
        <w:t xml:space="preserve">QT </w:t>
      </w:r>
      <w:r w:rsidRPr="00B26D4A">
        <w:rPr>
          <w:rFonts w:eastAsia="Times New Roman" w:cs="Arial"/>
          <w:i/>
          <w:iCs/>
          <w:color w:val="000000"/>
          <w:lang w:eastAsia="bg-BG"/>
        </w:rPr>
        <w:t>интервала</w:t>
      </w:r>
    </w:p>
    <w:p w14:paraId="2EAC92C9" w14:textId="77777777" w:rsidR="00B26D4A" w:rsidRPr="002A72CB" w:rsidRDefault="00B26D4A" w:rsidP="00B26D4A">
      <w:pPr>
        <w:spacing w:line="240" w:lineRule="auto"/>
        <w:rPr>
          <w:rFonts w:eastAsia="Times New Roman" w:cs="Arial"/>
          <w:color w:val="000000"/>
          <w:lang w:eastAsia="bg-BG"/>
        </w:rPr>
      </w:pPr>
    </w:p>
    <w:p w14:paraId="2D87E9D5" w14:textId="77777777" w:rsidR="00B26D4A" w:rsidRPr="00B26D4A" w:rsidRDefault="00B26D4A" w:rsidP="00B26D4A">
      <w:pPr>
        <w:spacing w:line="240" w:lineRule="auto"/>
        <w:rPr>
          <w:rFonts w:eastAsia="Times New Roman" w:cs="Arial"/>
          <w:sz w:val="24"/>
          <w:szCs w:val="24"/>
          <w:lang w:eastAsia="bg-BG"/>
        </w:rPr>
      </w:pPr>
      <w:r w:rsidRPr="00B26D4A">
        <w:rPr>
          <w:rFonts w:eastAsia="Times New Roman" w:cs="Arial"/>
          <w:color w:val="000000"/>
          <w:lang w:eastAsia="bg-BG"/>
        </w:rPr>
        <w:t xml:space="preserve">Тиаприд </w:t>
      </w:r>
      <w:r w:rsidRPr="00B26D4A">
        <w:rPr>
          <w:rFonts w:eastAsia="Times New Roman" w:cs="Arial"/>
          <w:color w:val="000000"/>
          <w:lang w:val="en-US"/>
        </w:rPr>
        <w:t xml:space="preserve">G.L. </w:t>
      </w:r>
      <w:r w:rsidRPr="00B26D4A">
        <w:rPr>
          <w:rFonts w:eastAsia="Times New Roman" w:cs="Arial"/>
          <w:color w:val="000000"/>
          <w:lang w:eastAsia="bg-BG"/>
        </w:rPr>
        <w:t xml:space="preserve">може да индуцира удължаване на </w:t>
      </w:r>
      <w:r w:rsidRPr="00B26D4A">
        <w:rPr>
          <w:rFonts w:eastAsia="Times New Roman" w:cs="Arial"/>
          <w:color w:val="000000"/>
          <w:lang w:val="en-US"/>
        </w:rPr>
        <w:t xml:space="preserve">QT </w:t>
      </w:r>
      <w:r w:rsidRPr="00B26D4A">
        <w:rPr>
          <w:rFonts w:eastAsia="Times New Roman" w:cs="Arial"/>
          <w:color w:val="000000"/>
          <w:lang w:eastAsia="bg-BG"/>
        </w:rPr>
        <w:t xml:space="preserve">интервала. Този ефект може да потенцира риска от сериозни венгрикуларни аритмии, като </w:t>
      </w:r>
      <w:proofErr w:type="spellStart"/>
      <w:r w:rsidRPr="00B26D4A">
        <w:rPr>
          <w:rFonts w:eastAsia="Times New Roman" w:cs="Arial"/>
          <w:color w:val="000000"/>
          <w:lang w:val="en-US"/>
        </w:rPr>
        <w:t>torsades</w:t>
      </w:r>
      <w:proofErr w:type="spellEnd"/>
      <w:r w:rsidRPr="00B26D4A">
        <w:rPr>
          <w:rFonts w:eastAsia="Times New Roman" w:cs="Arial"/>
          <w:color w:val="000000"/>
          <w:lang w:val="en-US"/>
        </w:rPr>
        <w:t xml:space="preserve"> de pointes </w:t>
      </w:r>
      <w:r w:rsidRPr="00B26D4A">
        <w:rPr>
          <w:rFonts w:eastAsia="Times New Roman" w:cs="Arial"/>
          <w:color w:val="000000"/>
          <w:lang w:eastAsia="bg-BG"/>
        </w:rPr>
        <w:t xml:space="preserve">(вж. точка 4.8). Преди започване на терапия с Тиаприд </w:t>
      </w:r>
      <w:r w:rsidRPr="00B26D4A">
        <w:rPr>
          <w:rFonts w:eastAsia="Times New Roman" w:cs="Arial"/>
          <w:color w:val="000000"/>
          <w:lang w:val="en-US"/>
        </w:rPr>
        <w:t xml:space="preserve">G.L. </w:t>
      </w:r>
      <w:r w:rsidRPr="00B26D4A">
        <w:rPr>
          <w:rFonts w:eastAsia="Times New Roman" w:cs="Arial"/>
          <w:color w:val="000000"/>
          <w:lang w:eastAsia="bg-BG"/>
        </w:rPr>
        <w:t>и ако клиничният статус на пациента позволява, се препоръчва проследяване на факторите, които могат да улеснят появата на това ритьмно нарушение, като например:</w:t>
      </w:r>
    </w:p>
    <w:p w14:paraId="52226ECA" w14:textId="77777777" w:rsidR="00B26D4A" w:rsidRPr="00B26D4A" w:rsidRDefault="00B26D4A" w:rsidP="00B26D4A">
      <w:pPr>
        <w:numPr>
          <w:ilvl w:val="0"/>
          <w:numId w:val="2"/>
        </w:numPr>
        <w:spacing w:line="240" w:lineRule="auto"/>
        <w:rPr>
          <w:rFonts w:eastAsia="Times New Roman" w:cs="Arial"/>
          <w:color w:val="000000"/>
          <w:lang w:eastAsia="bg-BG"/>
        </w:rPr>
      </w:pPr>
      <w:r w:rsidRPr="00B26D4A">
        <w:rPr>
          <w:rFonts w:eastAsia="Times New Roman" w:cs="Arial"/>
          <w:color w:val="000000"/>
          <w:lang w:eastAsia="bg-BG"/>
        </w:rPr>
        <w:t>брадикардия под 55 удара в минута,</w:t>
      </w:r>
    </w:p>
    <w:p w14:paraId="0E011021" w14:textId="77777777" w:rsidR="00B26D4A" w:rsidRPr="00B26D4A" w:rsidRDefault="00B26D4A" w:rsidP="00B26D4A">
      <w:pPr>
        <w:numPr>
          <w:ilvl w:val="0"/>
          <w:numId w:val="2"/>
        </w:numPr>
        <w:spacing w:line="240" w:lineRule="auto"/>
        <w:rPr>
          <w:rFonts w:eastAsia="Times New Roman" w:cs="Arial"/>
          <w:color w:val="000000"/>
          <w:lang w:eastAsia="bg-BG"/>
        </w:rPr>
      </w:pPr>
      <w:r w:rsidRPr="00B26D4A">
        <w:rPr>
          <w:rFonts w:eastAsia="Times New Roman" w:cs="Arial"/>
          <w:color w:val="000000"/>
          <w:lang w:eastAsia="bg-BG"/>
        </w:rPr>
        <w:t>електролитен дисбаланс, особено хипокалиемия,</w:t>
      </w:r>
    </w:p>
    <w:p w14:paraId="59D4862C" w14:textId="77777777" w:rsidR="00B26D4A" w:rsidRPr="00B26D4A" w:rsidRDefault="00B26D4A" w:rsidP="00B26D4A">
      <w:pPr>
        <w:numPr>
          <w:ilvl w:val="0"/>
          <w:numId w:val="2"/>
        </w:numPr>
        <w:spacing w:line="240" w:lineRule="auto"/>
        <w:rPr>
          <w:rFonts w:eastAsia="Times New Roman" w:cs="Arial"/>
          <w:color w:val="000000"/>
          <w:lang w:eastAsia="bg-BG"/>
        </w:rPr>
      </w:pPr>
      <w:r w:rsidRPr="00B26D4A">
        <w:rPr>
          <w:rFonts w:eastAsia="Times New Roman" w:cs="Arial"/>
          <w:color w:val="000000"/>
          <w:lang w:eastAsia="bg-BG"/>
        </w:rPr>
        <w:t xml:space="preserve">вродено удължаване на </w:t>
      </w:r>
      <w:r w:rsidRPr="00B26D4A">
        <w:rPr>
          <w:rFonts w:eastAsia="Times New Roman" w:cs="Arial"/>
          <w:color w:val="000000"/>
          <w:lang w:val="en-US"/>
        </w:rPr>
        <w:t xml:space="preserve">QT </w:t>
      </w:r>
      <w:r w:rsidRPr="00B26D4A">
        <w:rPr>
          <w:rFonts w:eastAsia="Times New Roman" w:cs="Arial"/>
          <w:color w:val="000000"/>
          <w:lang w:eastAsia="bg-BG"/>
        </w:rPr>
        <w:t>интервала,</w:t>
      </w:r>
    </w:p>
    <w:p w14:paraId="492C2B10" w14:textId="77777777" w:rsidR="00B26D4A" w:rsidRPr="00B26D4A" w:rsidRDefault="00B26D4A" w:rsidP="00B26D4A">
      <w:pPr>
        <w:numPr>
          <w:ilvl w:val="0"/>
          <w:numId w:val="2"/>
        </w:numPr>
        <w:spacing w:line="240" w:lineRule="auto"/>
        <w:rPr>
          <w:rFonts w:eastAsia="Times New Roman" w:cs="Arial"/>
          <w:color w:val="000000"/>
          <w:lang w:eastAsia="bg-BG"/>
        </w:rPr>
      </w:pPr>
      <w:r w:rsidRPr="00B26D4A">
        <w:rPr>
          <w:rFonts w:eastAsia="Times New Roman" w:cs="Arial"/>
          <w:color w:val="000000"/>
          <w:lang w:eastAsia="bg-BG"/>
        </w:rPr>
        <w:t xml:space="preserve">провеждане на лечение с лекарство, което вероятно води до изразена брадикардия (&lt;55 удара в минута), електролитен дисбаланс, намалена интракардиална проводимост или удължаване на </w:t>
      </w:r>
      <w:r w:rsidRPr="00B26D4A">
        <w:rPr>
          <w:rFonts w:eastAsia="Times New Roman" w:cs="Arial"/>
          <w:color w:val="000000"/>
          <w:lang w:val="en-US"/>
        </w:rPr>
        <w:t xml:space="preserve">QT </w:t>
      </w:r>
      <w:r w:rsidRPr="00B26D4A">
        <w:rPr>
          <w:rFonts w:eastAsia="Times New Roman" w:cs="Arial"/>
          <w:color w:val="000000"/>
          <w:lang w:eastAsia="bg-BG"/>
        </w:rPr>
        <w:t>интервала (вж. точка 4.5).</w:t>
      </w:r>
    </w:p>
    <w:p w14:paraId="3E7CDFED" w14:textId="77777777" w:rsidR="00B26D4A" w:rsidRPr="00B26D4A" w:rsidRDefault="00B26D4A" w:rsidP="00B26D4A">
      <w:pPr>
        <w:spacing w:line="240" w:lineRule="auto"/>
        <w:rPr>
          <w:rFonts w:eastAsia="Times New Roman" w:cs="Arial"/>
          <w:sz w:val="24"/>
          <w:szCs w:val="24"/>
          <w:lang w:eastAsia="bg-BG"/>
        </w:rPr>
      </w:pPr>
      <w:r w:rsidRPr="00B26D4A">
        <w:rPr>
          <w:rFonts w:eastAsia="Times New Roman" w:cs="Arial"/>
          <w:color w:val="000000"/>
          <w:lang w:eastAsia="bg-BG"/>
        </w:rPr>
        <w:t xml:space="preserve">Тиаприд </w:t>
      </w:r>
      <w:r w:rsidRPr="00B26D4A">
        <w:rPr>
          <w:rFonts w:eastAsia="Times New Roman" w:cs="Arial"/>
          <w:color w:val="000000"/>
          <w:lang w:val="en-US"/>
        </w:rPr>
        <w:t xml:space="preserve">G.L. </w:t>
      </w:r>
      <w:r w:rsidRPr="00B26D4A">
        <w:rPr>
          <w:rFonts w:eastAsia="Times New Roman" w:cs="Arial"/>
          <w:color w:val="000000"/>
          <w:lang w:eastAsia="bg-BG"/>
        </w:rPr>
        <w:t xml:space="preserve">трябва да се предписва внимателно при пациенти с рискови фактори, предразполагащи към удължаване на </w:t>
      </w:r>
      <w:r w:rsidRPr="00B26D4A">
        <w:rPr>
          <w:rFonts w:eastAsia="Times New Roman" w:cs="Arial"/>
          <w:color w:val="000000"/>
          <w:lang w:val="en-US"/>
        </w:rPr>
        <w:t xml:space="preserve">QT </w:t>
      </w:r>
      <w:r w:rsidRPr="00B26D4A">
        <w:rPr>
          <w:rFonts w:eastAsia="Times New Roman" w:cs="Arial"/>
          <w:color w:val="000000"/>
          <w:lang w:eastAsia="bg-BG"/>
        </w:rPr>
        <w:t>интервала.</w:t>
      </w:r>
    </w:p>
    <w:p w14:paraId="57A75C24" w14:textId="77777777" w:rsidR="00B26D4A" w:rsidRPr="002A72CB" w:rsidRDefault="00B26D4A" w:rsidP="00B26D4A">
      <w:pPr>
        <w:spacing w:line="240" w:lineRule="auto"/>
        <w:rPr>
          <w:rFonts w:eastAsia="Times New Roman" w:cs="Arial"/>
          <w:i/>
          <w:iCs/>
          <w:color w:val="000000"/>
          <w:lang w:eastAsia="bg-BG"/>
        </w:rPr>
      </w:pPr>
    </w:p>
    <w:p w14:paraId="4A86B123" w14:textId="77777777" w:rsidR="00B26D4A" w:rsidRPr="00B26D4A" w:rsidRDefault="00B26D4A" w:rsidP="00B26D4A">
      <w:pPr>
        <w:spacing w:line="240" w:lineRule="auto"/>
        <w:rPr>
          <w:rFonts w:eastAsia="Times New Roman" w:cs="Arial"/>
          <w:sz w:val="24"/>
          <w:szCs w:val="24"/>
          <w:lang w:eastAsia="bg-BG"/>
        </w:rPr>
      </w:pPr>
      <w:r w:rsidRPr="00B26D4A">
        <w:rPr>
          <w:rFonts w:eastAsia="Times New Roman" w:cs="Arial"/>
          <w:i/>
          <w:iCs/>
          <w:color w:val="000000"/>
          <w:lang w:eastAsia="bg-BG"/>
        </w:rPr>
        <w:t>Венозен тромбоемболизъм</w:t>
      </w:r>
    </w:p>
    <w:p w14:paraId="2C46604F" w14:textId="77777777" w:rsidR="00B26D4A" w:rsidRPr="00B26D4A" w:rsidRDefault="00B26D4A" w:rsidP="00B26D4A">
      <w:pPr>
        <w:spacing w:line="240" w:lineRule="auto"/>
        <w:rPr>
          <w:rFonts w:eastAsia="Times New Roman" w:cs="Arial"/>
          <w:sz w:val="24"/>
          <w:szCs w:val="24"/>
          <w:lang w:eastAsia="bg-BG"/>
        </w:rPr>
      </w:pPr>
      <w:r w:rsidRPr="00B26D4A">
        <w:rPr>
          <w:rFonts w:eastAsia="Times New Roman" w:cs="Arial"/>
          <w:color w:val="000000"/>
          <w:lang w:eastAsia="bg-BG"/>
        </w:rPr>
        <w:t xml:space="preserve">Има съобщения за случаи на венозен тромбоемболизъм (ВТЕ) при употреба на антипсихотични лекарства. Тъй като при лекуваните с антипсихотици пациенти често има </w:t>
      </w:r>
      <w:r w:rsidRPr="00B26D4A">
        <w:rPr>
          <w:rFonts w:eastAsia="Times New Roman" w:cs="Arial"/>
          <w:color w:val="000000"/>
          <w:lang w:eastAsia="bg-BG"/>
        </w:rPr>
        <w:lastRenderedPageBreak/>
        <w:t xml:space="preserve">придобити рискови фактори за ВТЕ, преди и по време на лечението с Тиаприд </w:t>
      </w:r>
      <w:r w:rsidRPr="00B26D4A">
        <w:rPr>
          <w:rFonts w:eastAsia="Times New Roman" w:cs="Arial"/>
          <w:color w:val="000000"/>
          <w:lang w:val="en-US"/>
        </w:rPr>
        <w:t xml:space="preserve">G.L. </w:t>
      </w:r>
      <w:r w:rsidRPr="00B26D4A">
        <w:rPr>
          <w:rFonts w:eastAsia="Times New Roman" w:cs="Arial"/>
          <w:color w:val="000000"/>
          <w:lang w:eastAsia="bg-BG"/>
        </w:rPr>
        <w:t>трябва да се установят всички възможни рискови фактори за ВТЕ и да се вземат превантивни мерки.</w:t>
      </w:r>
    </w:p>
    <w:p w14:paraId="22E99350" w14:textId="77777777" w:rsidR="00B26D4A" w:rsidRPr="002A72CB" w:rsidRDefault="00B26D4A" w:rsidP="00B26D4A">
      <w:pPr>
        <w:spacing w:line="240" w:lineRule="auto"/>
        <w:rPr>
          <w:rFonts w:eastAsia="Times New Roman" w:cs="Arial"/>
          <w:i/>
          <w:iCs/>
          <w:color w:val="000000"/>
          <w:lang w:eastAsia="bg-BG"/>
        </w:rPr>
      </w:pPr>
    </w:p>
    <w:p w14:paraId="75C52B04" w14:textId="77777777" w:rsidR="00B26D4A" w:rsidRPr="00B26D4A" w:rsidRDefault="00B26D4A" w:rsidP="00B26D4A">
      <w:pPr>
        <w:spacing w:line="240" w:lineRule="auto"/>
        <w:rPr>
          <w:rFonts w:eastAsia="Times New Roman" w:cs="Arial"/>
          <w:sz w:val="24"/>
          <w:szCs w:val="24"/>
          <w:lang w:eastAsia="bg-BG"/>
        </w:rPr>
      </w:pPr>
      <w:r w:rsidRPr="00B26D4A">
        <w:rPr>
          <w:rFonts w:eastAsia="Times New Roman" w:cs="Arial"/>
          <w:i/>
          <w:iCs/>
          <w:color w:val="000000"/>
          <w:lang w:eastAsia="bg-BG"/>
        </w:rPr>
        <w:t>Повишена смъртност при хора в старческа възраст с деменция</w:t>
      </w:r>
    </w:p>
    <w:p w14:paraId="2810392F" w14:textId="77777777" w:rsidR="00B26D4A" w:rsidRPr="00B26D4A" w:rsidRDefault="00B26D4A" w:rsidP="00B26D4A">
      <w:pPr>
        <w:spacing w:line="240" w:lineRule="auto"/>
        <w:rPr>
          <w:rFonts w:eastAsia="Times New Roman" w:cs="Arial"/>
          <w:sz w:val="24"/>
          <w:szCs w:val="24"/>
          <w:lang w:eastAsia="bg-BG"/>
        </w:rPr>
      </w:pPr>
      <w:r w:rsidRPr="00B26D4A">
        <w:rPr>
          <w:rFonts w:eastAsia="Times New Roman" w:cs="Arial"/>
          <w:color w:val="000000"/>
          <w:lang w:eastAsia="bg-BG"/>
        </w:rPr>
        <w:t>Пациентите в старческа възраст със свързана с деменция психоза, лекувани с антипсихотични лекарства са с повишен риск от смърт. Анализите на седемнадесет плацебо-конгролирани изпитвания (модална продължителност - 10 седмици), предимно при пациенти приемащи атипични антипсихотични лекарства, показват между 1,6 и 1,7 пъти по-висок риск от смърт при третираните с лекарства пациенти от риска при пациентите третирани с плацебо. В хода на типично 10-седмично контролирано изпитване, честотата на смъртността при третираните с лекарства пациенти е била около 4,5% в сравнение с приблизително 2,6% при групата на лечение с плацебо. Въпреки че причините за смъртността при клиничните изпитвания с атипични антипсихотици са различни, повечето смъртни случаи се дължат на сърдечносъдови (напр. сърдечна недостатъчност, внезапна смърт) или инфекциозни (напр. пневмония) фактори. Обзервационните проучвания предполагат, че подобно на атипичните антипсихотични лекарства, лечението с конвенционални антипсихотични лекарства може да повиши смъртността.</w:t>
      </w:r>
    </w:p>
    <w:p w14:paraId="116E75F3" w14:textId="77777777" w:rsidR="00B26D4A" w:rsidRPr="00B26D4A" w:rsidRDefault="00B26D4A" w:rsidP="00B26D4A">
      <w:pPr>
        <w:spacing w:line="240" w:lineRule="auto"/>
        <w:rPr>
          <w:rFonts w:eastAsia="Times New Roman" w:cs="Arial"/>
          <w:sz w:val="24"/>
          <w:szCs w:val="24"/>
          <w:lang w:eastAsia="bg-BG"/>
        </w:rPr>
      </w:pPr>
      <w:r w:rsidRPr="00B26D4A">
        <w:rPr>
          <w:rFonts w:eastAsia="Times New Roman" w:cs="Arial"/>
          <w:color w:val="000000"/>
          <w:lang w:eastAsia="bg-BG"/>
        </w:rPr>
        <w:t>Не е изяснена степента, до която случаите на увеличена смъртност при обзервационните проучвания могат да бъдат свързани с антипсихотичните лекарства, а не с някоя(и) характеристика(и) на пациентите.</w:t>
      </w:r>
    </w:p>
    <w:p w14:paraId="55AFB5C1" w14:textId="77777777" w:rsidR="00B26D4A" w:rsidRPr="002A72CB" w:rsidRDefault="00B26D4A" w:rsidP="00B26D4A">
      <w:pPr>
        <w:spacing w:line="240" w:lineRule="auto"/>
        <w:rPr>
          <w:rFonts w:eastAsia="Times New Roman" w:cs="Arial"/>
          <w:i/>
          <w:iCs/>
          <w:color w:val="000000"/>
          <w:lang w:eastAsia="bg-BG"/>
        </w:rPr>
      </w:pPr>
    </w:p>
    <w:p w14:paraId="50DC9C15" w14:textId="77777777" w:rsidR="00B26D4A" w:rsidRPr="00B26D4A" w:rsidRDefault="00B26D4A" w:rsidP="00B26D4A">
      <w:pPr>
        <w:spacing w:line="240" w:lineRule="auto"/>
        <w:rPr>
          <w:rFonts w:eastAsia="Times New Roman" w:cs="Arial"/>
          <w:sz w:val="24"/>
          <w:szCs w:val="24"/>
          <w:lang w:eastAsia="bg-BG"/>
        </w:rPr>
      </w:pPr>
      <w:r w:rsidRPr="00B26D4A">
        <w:rPr>
          <w:rFonts w:eastAsia="Times New Roman" w:cs="Arial"/>
          <w:i/>
          <w:iCs/>
          <w:color w:val="000000"/>
          <w:lang w:eastAsia="bg-BG"/>
        </w:rPr>
        <w:t>Мозъчен инсулт</w:t>
      </w:r>
    </w:p>
    <w:p w14:paraId="0116D78D" w14:textId="74D0A4DF" w:rsidR="00B26D4A" w:rsidRPr="002A72CB" w:rsidRDefault="00B26D4A" w:rsidP="002A72CB">
      <w:pPr>
        <w:spacing w:line="240" w:lineRule="auto"/>
        <w:rPr>
          <w:rFonts w:eastAsia="Times New Roman" w:cs="Arial"/>
          <w:sz w:val="24"/>
          <w:szCs w:val="24"/>
          <w:lang w:eastAsia="bg-BG"/>
        </w:rPr>
      </w:pPr>
      <w:r w:rsidRPr="00B26D4A">
        <w:rPr>
          <w:rFonts w:eastAsia="Times New Roman" w:cs="Arial"/>
          <w:color w:val="000000"/>
          <w:lang w:eastAsia="bg-BG"/>
        </w:rPr>
        <w:t>При рандомизирани клинични изпитвания спрямо плацебо, проведени при популация пациенти с деменция, лекувани с някои атипични антипсихотични лекарства, е наблюдаван 3 пъти по- висок риск от нежелани мозъчно-съдови събития. Механизмът на повишаване на подобен риск</w:t>
      </w:r>
      <w:r w:rsidR="002A72CB">
        <w:rPr>
          <w:rFonts w:eastAsia="Times New Roman" w:cs="Arial"/>
          <w:sz w:val="24"/>
          <w:szCs w:val="24"/>
          <w:lang w:eastAsia="bg-BG"/>
        </w:rPr>
        <w:t xml:space="preserve"> </w:t>
      </w:r>
      <w:r w:rsidRPr="00B26D4A">
        <w:rPr>
          <w:rFonts w:eastAsia="Times New Roman" w:cs="Arial"/>
          <w:color w:val="000000"/>
          <w:lang w:eastAsia="bg-BG"/>
        </w:rPr>
        <w:t>е неизвестен. Не може да се изключи повишаване на риска при прием на други антипсихотични</w:t>
      </w:r>
      <w:r w:rsidR="002A72CB">
        <w:rPr>
          <w:rFonts w:eastAsia="Times New Roman" w:cs="Arial"/>
          <w:sz w:val="24"/>
          <w:szCs w:val="24"/>
          <w:lang w:eastAsia="bg-BG"/>
        </w:rPr>
        <w:t xml:space="preserve"> </w:t>
      </w:r>
      <w:r w:rsidRPr="002A72CB">
        <w:rPr>
          <w:rFonts w:eastAsia="Times New Roman" w:cs="Arial"/>
          <w:color w:val="000000"/>
          <w:lang w:eastAsia="bg-BG"/>
        </w:rPr>
        <w:t xml:space="preserve">лекарства или при други популации пациенти. Тиаприд </w:t>
      </w:r>
      <w:r w:rsidRPr="002A72CB">
        <w:rPr>
          <w:rFonts w:eastAsia="Times New Roman" w:cs="Arial"/>
          <w:color w:val="000000"/>
          <w:lang w:val="en-US"/>
        </w:rPr>
        <w:t xml:space="preserve">G.L. </w:t>
      </w:r>
      <w:r w:rsidRPr="002A72CB">
        <w:rPr>
          <w:rFonts w:eastAsia="Times New Roman" w:cs="Arial"/>
          <w:color w:val="000000"/>
          <w:lang w:eastAsia="bg-BG"/>
        </w:rPr>
        <w:t>трябва да се използва внимателно при пациенти с рискови фактори за мозъчен инсулт.</w:t>
      </w:r>
    </w:p>
    <w:p w14:paraId="24E3E82F" w14:textId="5E0507F8" w:rsidR="0091385D" w:rsidRPr="002A72CB" w:rsidRDefault="0091385D" w:rsidP="0091385D">
      <w:pPr>
        <w:rPr>
          <w:rFonts w:cs="Arial"/>
        </w:rPr>
      </w:pPr>
    </w:p>
    <w:p w14:paraId="7069E252" w14:textId="77777777" w:rsidR="00B26D4A" w:rsidRPr="00B26D4A" w:rsidRDefault="00B26D4A" w:rsidP="00B26D4A">
      <w:pPr>
        <w:spacing w:line="240" w:lineRule="auto"/>
        <w:rPr>
          <w:rFonts w:eastAsia="Times New Roman" w:cs="Arial"/>
          <w:sz w:val="24"/>
          <w:szCs w:val="24"/>
          <w:lang w:eastAsia="bg-BG"/>
        </w:rPr>
      </w:pPr>
      <w:r w:rsidRPr="00B26D4A">
        <w:rPr>
          <w:rFonts w:eastAsia="Times New Roman" w:cs="Arial"/>
          <w:i/>
          <w:iCs/>
          <w:color w:val="000000"/>
          <w:lang w:eastAsia="bg-BG"/>
        </w:rPr>
        <w:t>Педиатрична популация</w:t>
      </w:r>
    </w:p>
    <w:p w14:paraId="291C5169" w14:textId="77777777" w:rsidR="00B26D4A" w:rsidRPr="00B26D4A" w:rsidRDefault="00B26D4A" w:rsidP="00B26D4A">
      <w:pPr>
        <w:spacing w:line="240" w:lineRule="auto"/>
        <w:rPr>
          <w:rFonts w:eastAsia="Times New Roman" w:cs="Arial"/>
          <w:sz w:val="24"/>
          <w:szCs w:val="24"/>
          <w:lang w:eastAsia="bg-BG"/>
        </w:rPr>
      </w:pPr>
      <w:r w:rsidRPr="00B26D4A">
        <w:rPr>
          <w:rFonts w:eastAsia="Times New Roman" w:cs="Arial"/>
          <w:i/>
          <w:iCs/>
          <w:color w:val="000000"/>
          <w:lang w:eastAsia="bg-BG"/>
        </w:rPr>
        <w:t>Деца под 6 години</w:t>
      </w:r>
    </w:p>
    <w:p w14:paraId="3E6BF918" w14:textId="77777777" w:rsidR="00B26D4A" w:rsidRPr="00B26D4A" w:rsidRDefault="00B26D4A" w:rsidP="00B26D4A">
      <w:pPr>
        <w:spacing w:line="240" w:lineRule="auto"/>
        <w:rPr>
          <w:rFonts w:eastAsia="Times New Roman" w:cs="Arial"/>
          <w:sz w:val="24"/>
          <w:szCs w:val="24"/>
          <w:lang w:eastAsia="bg-BG"/>
        </w:rPr>
      </w:pPr>
      <w:r w:rsidRPr="00B26D4A">
        <w:rPr>
          <w:rFonts w:eastAsia="Times New Roman" w:cs="Arial"/>
          <w:color w:val="000000"/>
          <w:lang w:eastAsia="bg-BG"/>
        </w:rPr>
        <w:t xml:space="preserve">Тиаприд </w:t>
      </w:r>
      <w:r w:rsidRPr="00B26D4A">
        <w:rPr>
          <w:rFonts w:eastAsia="Times New Roman" w:cs="Arial"/>
          <w:color w:val="000000"/>
          <w:lang w:val="en-US"/>
        </w:rPr>
        <w:t xml:space="preserve">G.L. </w:t>
      </w:r>
      <w:r w:rsidRPr="00B26D4A">
        <w:rPr>
          <w:rFonts w:eastAsia="Times New Roman" w:cs="Arial"/>
          <w:color w:val="000000"/>
          <w:lang w:eastAsia="bg-BG"/>
        </w:rPr>
        <w:t>не е проучен напълно при деца. Затова, когато се предписва на деца, се изисква повишено внимание. (вж. точка 4.2).</w:t>
      </w:r>
    </w:p>
    <w:p w14:paraId="4F3FE04A" w14:textId="77777777" w:rsidR="00B26D4A" w:rsidRPr="002A72CB" w:rsidRDefault="00B26D4A" w:rsidP="00B26D4A">
      <w:pPr>
        <w:rPr>
          <w:rFonts w:eastAsia="Times New Roman" w:cs="Arial"/>
          <w:color w:val="000000"/>
          <w:lang w:eastAsia="bg-BG"/>
        </w:rPr>
      </w:pPr>
    </w:p>
    <w:p w14:paraId="608C572A" w14:textId="77777777" w:rsidR="00B26D4A" w:rsidRPr="002A72CB" w:rsidRDefault="00B26D4A" w:rsidP="00B26D4A">
      <w:pPr>
        <w:rPr>
          <w:rFonts w:cs="Arial"/>
        </w:rPr>
      </w:pPr>
      <w:r w:rsidRPr="002A72CB">
        <w:rPr>
          <w:rFonts w:eastAsia="Times New Roman" w:cs="Arial"/>
          <w:color w:val="000000"/>
          <w:lang w:eastAsia="bg-BG"/>
        </w:rPr>
        <w:t>Възможна е поява на левкопения, неутропения и агранулоцитоза.</w:t>
      </w:r>
    </w:p>
    <w:p w14:paraId="706867FA" w14:textId="02F8CFC3" w:rsidR="00B26D4A" w:rsidRPr="0091385D" w:rsidRDefault="00B26D4A"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1E4715BA" w:rsidR="0091385D" w:rsidRDefault="0091385D" w:rsidP="0091385D"/>
    <w:p w14:paraId="21063FCD" w14:textId="77777777" w:rsidR="00B26D4A" w:rsidRPr="00B26D4A" w:rsidRDefault="00B26D4A" w:rsidP="00B26D4A">
      <w:pPr>
        <w:spacing w:line="240" w:lineRule="auto"/>
        <w:rPr>
          <w:rFonts w:eastAsia="Times New Roman" w:cs="Arial"/>
          <w:sz w:val="24"/>
          <w:szCs w:val="24"/>
          <w:lang w:eastAsia="bg-BG"/>
        </w:rPr>
      </w:pPr>
      <w:r w:rsidRPr="00B26D4A">
        <w:rPr>
          <w:rFonts w:eastAsia="Times New Roman" w:cs="Arial"/>
          <w:i/>
          <w:iCs/>
          <w:color w:val="000000"/>
          <w:lang w:eastAsia="bg-BG"/>
        </w:rPr>
        <w:t>Комбинации, които са противопоказани</w:t>
      </w:r>
    </w:p>
    <w:p w14:paraId="07CA56E5" w14:textId="77777777" w:rsidR="00B26D4A" w:rsidRPr="00B26D4A" w:rsidRDefault="00B26D4A" w:rsidP="00B26D4A">
      <w:pPr>
        <w:spacing w:line="240" w:lineRule="auto"/>
        <w:rPr>
          <w:rFonts w:eastAsia="Times New Roman" w:cs="Arial"/>
          <w:sz w:val="24"/>
          <w:szCs w:val="24"/>
          <w:lang w:eastAsia="bg-BG"/>
        </w:rPr>
      </w:pPr>
      <w:r w:rsidRPr="00B26D4A">
        <w:rPr>
          <w:rFonts w:eastAsia="Times New Roman" w:cs="Arial"/>
          <w:color w:val="000000"/>
          <w:lang w:eastAsia="bg-BG"/>
        </w:rPr>
        <w:t>Едновременното прилагане с допаминергични агонисти, с изключение на лекарствата за лечение на болест на Паркинсон (каберголин, квинаголид), трябва да се избягва, тъй като има реципрочен антагонизъм между допаминергичните агонисти и невролептиците.</w:t>
      </w:r>
    </w:p>
    <w:p w14:paraId="2DBFF609" w14:textId="77777777" w:rsidR="00B26D4A" w:rsidRPr="002A72CB" w:rsidRDefault="00B26D4A" w:rsidP="00B26D4A">
      <w:pPr>
        <w:spacing w:line="240" w:lineRule="auto"/>
        <w:rPr>
          <w:rFonts w:eastAsia="Times New Roman" w:cs="Arial"/>
          <w:color w:val="000000"/>
          <w:lang w:eastAsia="bg-BG"/>
        </w:rPr>
      </w:pPr>
    </w:p>
    <w:p w14:paraId="7874443D" w14:textId="56F27003" w:rsidR="00B26D4A" w:rsidRPr="00B26D4A" w:rsidRDefault="00B26D4A" w:rsidP="00B26D4A">
      <w:pPr>
        <w:spacing w:line="240" w:lineRule="auto"/>
        <w:rPr>
          <w:rFonts w:eastAsia="Times New Roman" w:cs="Arial"/>
          <w:sz w:val="24"/>
          <w:szCs w:val="24"/>
          <w:lang w:eastAsia="bg-BG"/>
        </w:rPr>
      </w:pPr>
      <w:r w:rsidRPr="00B26D4A">
        <w:rPr>
          <w:rFonts w:eastAsia="Times New Roman" w:cs="Arial"/>
          <w:color w:val="000000"/>
          <w:lang w:eastAsia="bg-BG"/>
        </w:rPr>
        <w:t xml:space="preserve">Тиаприд </w:t>
      </w:r>
      <w:r w:rsidRPr="00B26D4A">
        <w:rPr>
          <w:rFonts w:eastAsia="Times New Roman" w:cs="Arial"/>
          <w:color w:val="000000"/>
          <w:lang w:val="en-US"/>
        </w:rPr>
        <w:t xml:space="preserve">G.L. </w:t>
      </w:r>
      <w:r w:rsidRPr="00B26D4A">
        <w:rPr>
          <w:rFonts w:eastAsia="Times New Roman" w:cs="Arial"/>
          <w:color w:val="000000"/>
          <w:lang w:eastAsia="bg-BG"/>
        </w:rPr>
        <w:t xml:space="preserve">не трябва да се комбинира с лекарствени продукти, които могат да удължат </w:t>
      </w:r>
      <w:r w:rsidRPr="00B26D4A">
        <w:rPr>
          <w:rFonts w:eastAsia="Times New Roman" w:cs="Arial"/>
          <w:color w:val="000000"/>
          <w:lang w:val="en-US"/>
        </w:rPr>
        <w:t xml:space="preserve">QT </w:t>
      </w:r>
      <w:r w:rsidRPr="00B26D4A">
        <w:rPr>
          <w:rFonts w:eastAsia="Times New Roman" w:cs="Arial"/>
          <w:color w:val="000000"/>
          <w:lang w:eastAsia="bg-BG"/>
        </w:rPr>
        <w:t xml:space="preserve">интервала, и с лекарствени продукти, които могат да предизвикат тежки аритмии </w:t>
      </w:r>
      <w:r w:rsidRPr="00B26D4A">
        <w:rPr>
          <w:rFonts w:eastAsia="Times New Roman" w:cs="Arial"/>
          <w:color w:val="000000"/>
          <w:lang w:val="en-US"/>
        </w:rPr>
        <w:t>(</w:t>
      </w:r>
      <w:proofErr w:type="spellStart"/>
      <w:r w:rsidRPr="00B26D4A">
        <w:rPr>
          <w:rFonts w:eastAsia="Times New Roman" w:cs="Arial"/>
          <w:color w:val="000000"/>
          <w:lang w:val="en-US"/>
        </w:rPr>
        <w:t>T</w:t>
      </w:r>
      <w:r w:rsidRPr="00B26D4A">
        <w:rPr>
          <w:rFonts w:eastAsia="Times New Roman" w:cs="Arial"/>
          <w:color w:val="000000"/>
          <w:u w:val="single"/>
          <w:lang w:val="en-US"/>
        </w:rPr>
        <w:t>orsades</w:t>
      </w:r>
      <w:proofErr w:type="spellEnd"/>
      <w:r w:rsidRPr="00B26D4A">
        <w:rPr>
          <w:rFonts w:eastAsia="Times New Roman" w:cs="Arial"/>
          <w:color w:val="000000"/>
          <w:u w:val="single"/>
          <w:lang w:val="en-US"/>
        </w:rPr>
        <w:t xml:space="preserve"> de pointes)</w:t>
      </w:r>
      <w:r w:rsidRPr="00B26D4A">
        <w:rPr>
          <w:rFonts w:eastAsia="Times New Roman" w:cs="Arial"/>
          <w:color w:val="000000"/>
          <w:lang w:val="en-US"/>
        </w:rPr>
        <w:t>:</w:t>
      </w:r>
    </w:p>
    <w:p w14:paraId="5B4F9C62" w14:textId="77777777" w:rsidR="00B26D4A" w:rsidRPr="002A72CB" w:rsidRDefault="00B26D4A" w:rsidP="00B26D4A">
      <w:pPr>
        <w:pStyle w:val="ListParagraph"/>
        <w:numPr>
          <w:ilvl w:val="0"/>
          <w:numId w:val="37"/>
        </w:numPr>
        <w:spacing w:line="240" w:lineRule="auto"/>
        <w:rPr>
          <w:rFonts w:eastAsia="Times New Roman" w:cs="Arial"/>
          <w:sz w:val="24"/>
          <w:szCs w:val="24"/>
          <w:lang w:eastAsia="bg-BG"/>
        </w:rPr>
      </w:pPr>
      <w:r w:rsidRPr="002A72CB">
        <w:rPr>
          <w:rFonts w:eastAsia="Times New Roman" w:cs="Arial"/>
          <w:color w:val="000000"/>
          <w:lang w:eastAsia="bg-BG"/>
        </w:rPr>
        <w:lastRenderedPageBreak/>
        <w:t xml:space="preserve">антиаритмични средства клас </w:t>
      </w:r>
      <w:r w:rsidRPr="002A72CB">
        <w:rPr>
          <w:rFonts w:eastAsia="Times New Roman" w:cs="Arial"/>
          <w:color w:val="000000"/>
          <w:lang w:val="en-US"/>
        </w:rPr>
        <w:t>I</w:t>
      </w:r>
      <w:r w:rsidRPr="002A72CB">
        <w:rPr>
          <w:rFonts w:eastAsia="Times New Roman" w:cs="Arial"/>
          <w:color w:val="000000"/>
          <w:lang w:eastAsia="bg-BG"/>
        </w:rPr>
        <w:t xml:space="preserve">а (квинидин, хидроквинидин, дизопирамид); </w:t>
      </w:r>
    </w:p>
    <w:p w14:paraId="58641B99" w14:textId="77777777" w:rsidR="00B26D4A" w:rsidRPr="002A72CB" w:rsidRDefault="00B26D4A" w:rsidP="00B26D4A">
      <w:pPr>
        <w:pStyle w:val="ListParagraph"/>
        <w:numPr>
          <w:ilvl w:val="0"/>
          <w:numId w:val="37"/>
        </w:numPr>
        <w:spacing w:line="240" w:lineRule="auto"/>
        <w:rPr>
          <w:rFonts w:eastAsia="Times New Roman" w:cs="Arial"/>
          <w:sz w:val="24"/>
          <w:szCs w:val="24"/>
          <w:lang w:eastAsia="bg-BG"/>
        </w:rPr>
      </w:pPr>
      <w:r w:rsidRPr="002A72CB">
        <w:rPr>
          <w:rFonts w:eastAsia="Times New Roman" w:cs="Arial"/>
          <w:color w:val="000000"/>
          <w:lang w:eastAsia="bg-BG"/>
        </w:rPr>
        <w:t xml:space="preserve">антиаритмични средства клас </w:t>
      </w:r>
      <w:r w:rsidRPr="002A72CB">
        <w:rPr>
          <w:rFonts w:eastAsia="Times New Roman" w:cs="Arial"/>
          <w:color w:val="000000"/>
          <w:lang w:val="en-US"/>
        </w:rPr>
        <w:t>III</w:t>
      </w:r>
      <w:r w:rsidRPr="002A72CB">
        <w:rPr>
          <w:rFonts w:eastAsia="Times New Roman" w:cs="Arial"/>
          <w:color w:val="000000"/>
          <w:lang w:eastAsia="bg-BG"/>
        </w:rPr>
        <w:t xml:space="preserve"> (амиодарон, соталол, дофетилид и бутилид);</w:t>
      </w:r>
    </w:p>
    <w:p w14:paraId="4A3AFD73" w14:textId="77777777" w:rsidR="00B26D4A" w:rsidRPr="002A72CB" w:rsidRDefault="00B26D4A" w:rsidP="00B26D4A">
      <w:pPr>
        <w:pStyle w:val="ListParagraph"/>
        <w:numPr>
          <w:ilvl w:val="0"/>
          <w:numId w:val="37"/>
        </w:numPr>
        <w:spacing w:line="240" w:lineRule="auto"/>
        <w:rPr>
          <w:rFonts w:eastAsia="Times New Roman" w:cs="Arial"/>
          <w:sz w:val="24"/>
          <w:szCs w:val="24"/>
          <w:lang w:eastAsia="bg-BG"/>
        </w:rPr>
      </w:pPr>
      <w:r w:rsidRPr="002A72CB">
        <w:rPr>
          <w:rFonts w:eastAsia="Times New Roman" w:cs="Arial"/>
          <w:color w:val="000000"/>
          <w:lang w:eastAsia="bg-BG"/>
        </w:rPr>
        <w:t>някои невролептици (султоприд, пипотиазид, сертиндол, вералипид, хлорпромазин, левомепромазин, трифлурперазин, циамемазин, сулпиридин, пимозид, халоперидол, дроперидол, флуфеназин, пипамперон, флупентиксол, зуклопентиксол);</w:t>
      </w:r>
    </w:p>
    <w:p w14:paraId="5C7F1AAF" w14:textId="77777777" w:rsidR="00B26D4A" w:rsidRPr="002A72CB" w:rsidRDefault="00B26D4A" w:rsidP="00B26D4A">
      <w:pPr>
        <w:pStyle w:val="ListParagraph"/>
        <w:numPr>
          <w:ilvl w:val="0"/>
          <w:numId w:val="37"/>
        </w:numPr>
        <w:spacing w:line="240" w:lineRule="auto"/>
        <w:rPr>
          <w:rFonts w:eastAsia="Times New Roman" w:cs="Arial"/>
          <w:sz w:val="24"/>
          <w:szCs w:val="24"/>
          <w:lang w:eastAsia="bg-BG"/>
        </w:rPr>
      </w:pPr>
      <w:r w:rsidRPr="002A72CB">
        <w:rPr>
          <w:rFonts w:eastAsia="Times New Roman" w:cs="Arial"/>
          <w:color w:val="000000"/>
          <w:lang w:eastAsia="bg-BG"/>
        </w:rPr>
        <w:t>някои антипаразитни лекарства (халофантрин, лумефрантин, пентамидин);</w:t>
      </w:r>
    </w:p>
    <w:p w14:paraId="6A699DF1" w14:textId="443265FB" w:rsidR="00B26D4A" w:rsidRPr="002A72CB" w:rsidRDefault="00B26D4A" w:rsidP="00B26D4A">
      <w:pPr>
        <w:pStyle w:val="ListParagraph"/>
        <w:numPr>
          <w:ilvl w:val="0"/>
          <w:numId w:val="37"/>
        </w:numPr>
        <w:spacing w:line="240" w:lineRule="auto"/>
        <w:rPr>
          <w:rFonts w:eastAsia="Times New Roman" w:cs="Arial"/>
          <w:sz w:val="24"/>
          <w:szCs w:val="24"/>
          <w:lang w:eastAsia="bg-BG"/>
        </w:rPr>
      </w:pPr>
      <w:r w:rsidRPr="002A72CB">
        <w:rPr>
          <w:rFonts w:eastAsia="Times New Roman" w:cs="Arial"/>
          <w:color w:val="000000"/>
          <w:lang w:eastAsia="bg-BG"/>
        </w:rPr>
        <w:t xml:space="preserve">други лекарствени продукти (еритромицин </w:t>
      </w:r>
      <w:proofErr w:type="spellStart"/>
      <w:r w:rsidRPr="002A72CB">
        <w:rPr>
          <w:rFonts w:eastAsia="Times New Roman" w:cs="Arial"/>
          <w:i/>
          <w:iCs/>
          <w:color w:val="000000"/>
          <w:lang w:val="en-US"/>
        </w:rPr>
        <w:t>i.v.</w:t>
      </w:r>
      <w:proofErr w:type="spellEnd"/>
      <w:r w:rsidRPr="002A72CB">
        <w:rPr>
          <w:rFonts w:eastAsia="Times New Roman" w:cs="Arial"/>
          <w:i/>
          <w:iCs/>
          <w:color w:val="000000"/>
          <w:lang w:val="en-US"/>
        </w:rPr>
        <w:t>,</w:t>
      </w:r>
      <w:r w:rsidRPr="002A72CB">
        <w:rPr>
          <w:rFonts w:eastAsia="Times New Roman" w:cs="Arial"/>
          <w:color w:val="000000"/>
          <w:lang w:val="en-US"/>
        </w:rPr>
        <w:t xml:space="preserve"> </w:t>
      </w:r>
      <w:r w:rsidRPr="002A72CB">
        <w:rPr>
          <w:rFonts w:eastAsia="Times New Roman" w:cs="Arial"/>
          <w:color w:val="000000"/>
          <w:lang w:eastAsia="bg-BG"/>
        </w:rPr>
        <w:t xml:space="preserve">спирамицин </w:t>
      </w:r>
      <w:proofErr w:type="spellStart"/>
      <w:r w:rsidRPr="002A72CB">
        <w:rPr>
          <w:rFonts w:eastAsia="Times New Roman" w:cs="Arial"/>
          <w:i/>
          <w:iCs/>
          <w:color w:val="000000"/>
          <w:lang w:val="en-US"/>
        </w:rPr>
        <w:t>i.v</w:t>
      </w:r>
      <w:proofErr w:type="spellEnd"/>
      <w:r w:rsidRPr="002A72CB">
        <w:rPr>
          <w:rFonts w:eastAsia="Times New Roman" w:cs="Arial"/>
          <w:i/>
          <w:iCs/>
          <w:color w:val="000000"/>
          <w:lang w:val="en-US"/>
        </w:rPr>
        <w:t>,</w:t>
      </w:r>
      <w:r w:rsidRPr="002A72CB">
        <w:rPr>
          <w:rFonts w:eastAsia="Times New Roman" w:cs="Arial"/>
          <w:color w:val="000000"/>
          <w:lang w:val="en-US"/>
        </w:rPr>
        <w:t xml:space="preserve"> </w:t>
      </w:r>
      <w:r w:rsidRPr="002A72CB">
        <w:rPr>
          <w:rFonts w:eastAsia="Times New Roman" w:cs="Arial"/>
          <w:color w:val="000000"/>
          <w:lang w:eastAsia="bg-BG"/>
        </w:rPr>
        <w:t>моксифлоксацин, бепридил, цизаприд, дифеманил, мизоластин)</w:t>
      </w:r>
    </w:p>
    <w:p w14:paraId="70DD0E8C" w14:textId="77777777" w:rsidR="00B26D4A" w:rsidRPr="002A72CB" w:rsidRDefault="00B26D4A" w:rsidP="00B26D4A">
      <w:pPr>
        <w:pStyle w:val="ListParagraph"/>
        <w:numPr>
          <w:ilvl w:val="0"/>
          <w:numId w:val="37"/>
        </w:numPr>
        <w:spacing w:line="240" w:lineRule="auto"/>
        <w:rPr>
          <w:rFonts w:eastAsia="Times New Roman" w:cs="Arial"/>
          <w:sz w:val="24"/>
          <w:szCs w:val="24"/>
          <w:lang w:eastAsia="bg-BG"/>
        </w:rPr>
      </w:pPr>
      <w:r w:rsidRPr="002A72CB">
        <w:rPr>
          <w:rFonts w:eastAsia="Times New Roman" w:cs="Arial"/>
          <w:color w:val="000000"/>
          <w:lang w:eastAsia="bg-BG"/>
        </w:rPr>
        <w:t>Леводопа (използван за лечение на болест на Паркинсон) - лекарят трябва да предпише комбинацията от двете лекарства с най-ниска ефективна доза.</w:t>
      </w:r>
    </w:p>
    <w:p w14:paraId="4528A5EA" w14:textId="320FE90F" w:rsidR="00B26D4A" w:rsidRPr="002A72CB" w:rsidRDefault="00B26D4A" w:rsidP="00B26D4A">
      <w:pPr>
        <w:pStyle w:val="ListParagraph"/>
        <w:numPr>
          <w:ilvl w:val="0"/>
          <w:numId w:val="39"/>
        </w:numPr>
        <w:spacing w:line="240" w:lineRule="auto"/>
        <w:rPr>
          <w:rFonts w:eastAsia="Times New Roman" w:cs="Arial"/>
          <w:sz w:val="24"/>
          <w:szCs w:val="24"/>
          <w:lang w:eastAsia="bg-BG"/>
        </w:rPr>
      </w:pPr>
      <w:r w:rsidRPr="002A72CB">
        <w:rPr>
          <w:rFonts w:eastAsia="Times New Roman" w:cs="Arial"/>
          <w:color w:val="000000"/>
          <w:lang w:eastAsia="bg-BG"/>
        </w:rPr>
        <w:t xml:space="preserve">Ако страдате от болест на Паркинсон и се лекувате с допаминергични агонисти, с изключение на леводопа (амантадин, апоморфин, бромокриптин, ентакапон, лизурид, перголид, пирибедил, прамипексол, ропинирол, селегилин); при пациенти с болест на Паркинсон и необходимост от лечение с Тиаприд </w:t>
      </w:r>
      <w:r w:rsidRPr="002A72CB">
        <w:rPr>
          <w:rFonts w:eastAsia="Times New Roman" w:cs="Arial"/>
          <w:color w:val="000000"/>
          <w:lang w:val="en-US"/>
        </w:rPr>
        <w:t xml:space="preserve">G.L., </w:t>
      </w:r>
      <w:r w:rsidRPr="002A72CB">
        <w:rPr>
          <w:rFonts w:eastAsia="Times New Roman" w:cs="Arial"/>
          <w:color w:val="000000"/>
          <w:lang w:eastAsia="bg-BG"/>
        </w:rPr>
        <w:t>дозата на допаминергичните агонисти трябва да се редуцира постепенно и да се преустанови прилагането им; допаминергичните агонисти могат да предизвикат или да засилят психотичните нарушения.</w:t>
      </w:r>
    </w:p>
    <w:p w14:paraId="5CF5219A" w14:textId="77777777" w:rsidR="00B26D4A" w:rsidRPr="002A72CB" w:rsidRDefault="00B26D4A" w:rsidP="00B26D4A">
      <w:pPr>
        <w:pStyle w:val="ListParagraph"/>
        <w:numPr>
          <w:ilvl w:val="0"/>
          <w:numId w:val="38"/>
        </w:numPr>
        <w:spacing w:line="240" w:lineRule="auto"/>
        <w:rPr>
          <w:rFonts w:eastAsia="Times New Roman" w:cs="Arial"/>
          <w:sz w:val="24"/>
          <w:szCs w:val="24"/>
          <w:lang w:eastAsia="bg-BG"/>
        </w:rPr>
      </w:pPr>
      <w:r w:rsidRPr="002A72CB">
        <w:rPr>
          <w:rFonts w:eastAsia="Times New Roman" w:cs="Arial"/>
          <w:color w:val="000000"/>
          <w:lang w:eastAsia="bg-BG"/>
        </w:rPr>
        <w:t>Метадон.</w:t>
      </w:r>
    </w:p>
    <w:p w14:paraId="249273D3" w14:textId="4C686B9C" w:rsidR="00B26D4A" w:rsidRPr="002A72CB" w:rsidRDefault="00B26D4A" w:rsidP="00B26D4A">
      <w:pPr>
        <w:pStyle w:val="ListParagraph"/>
        <w:numPr>
          <w:ilvl w:val="0"/>
          <w:numId w:val="38"/>
        </w:numPr>
        <w:spacing w:line="240" w:lineRule="auto"/>
        <w:rPr>
          <w:rFonts w:eastAsia="Times New Roman" w:cs="Arial"/>
          <w:sz w:val="24"/>
          <w:szCs w:val="24"/>
          <w:lang w:eastAsia="bg-BG"/>
        </w:rPr>
      </w:pPr>
      <w:r w:rsidRPr="002A72CB">
        <w:rPr>
          <w:rFonts w:eastAsia="Times New Roman" w:cs="Arial"/>
          <w:color w:val="000000"/>
          <w:lang w:eastAsia="bg-BG"/>
        </w:rPr>
        <w:t>Лекарствени продукти, съдържащи алкохол, тъй като алкохолът засилва седативния ефект.</w:t>
      </w:r>
    </w:p>
    <w:p w14:paraId="78A7C30B" w14:textId="77777777" w:rsidR="00B26D4A" w:rsidRPr="002A72CB" w:rsidRDefault="00B26D4A" w:rsidP="00B26D4A">
      <w:pPr>
        <w:spacing w:line="240" w:lineRule="auto"/>
        <w:rPr>
          <w:rFonts w:eastAsia="Times New Roman" w:cs="Arial"/>
          <w:b/>
          <w:bCs/>
          <w:color w:val="000000"/>
          <w:lang w:eastAsia="bg-BG"/>
        </w:rPr>
      </w:pPr>
    </w:p>
    <w:p w14:paraId="217226D8" w14:textId="7CDB004F" w:rsidR="00B26D4A" w:rsidRPr="00B26D4A" w:rsidRDefault="00B26D4A" w:rsidP="00B26D4A">
      <w:pPr>
        <w:spacing w:line="240" w:lineRule="auto"/>
        <w:rPr>
          <w:rFonts w:eastAsia="Times New Roman" w:cs="Arial"/>
          <w:sz w:val="24"/>
          <w:szCs w:val="24"/>
          <w:lang w:eastAsia="bg-BG"/>
        </w:rPr>
      </w:pPr>
      <w:r w:rsidRPr="00B26D4A">
        <w:rPr>
          <w:rFonts w:eastAsia="Times New Roman" w:cs="Arial"/>
          <w:b/>
          <w:bCs/>
          <w:color w:val="000000"/>
          <w:lang w:eastAsia="bg-BG"/>
        </w:rPr>
        <w:t>Комбинации, които изискват повишено внимание при употреба:</w:t>
      </w:r>
    </w:p>
    <w:p w14:paraId="7991DB7E" w14:textId="77777777" w:rsidR="00B26D4A" w:rsidRPr="002A72CB" w:rsidRDefault="00B26D4A" w:rsidP="00B26D4A">
      <w:pPr>
        <w:pStyle w:val="ListParagraph"/>
        <w:numPr>
          <w:ilvl w:val="0"/>
          <w:numId w:val="40"/>
        </w:numPr>
        <w:spacing w:line="240" w:lineRule="auto"/>
        <w:rPr>
          <w:rFonts w:eastAsia="Times New Roman" w:cs="Arial"/>
          <w:sz w:val="24"/>
          <w:szCs w:val="24"/>
          <w:lang w:eastAsia="bg-BG"/>
        </w:rPr>
      </w:pPr>
      <w:r w:rsidRPr="002A72CB">
        <w:rPr>
          <w:rFonts w:eastAsia="Times New Roman" w:cs="Arial"/>
          <w:color w:val="000000"/>
          <w:lang w:eastAsia="bg-BG"/>
        </w:rPr>
        <w:t xml:space="preserve">лекарства, предизвикващи брадикардия (антиаритмични средства клас </w:t>
      </w:r>
      <w:r w:rsidRPr="002A72CB">
        <w:rPr>
          <w:rFonts w:eastAsia="Times New Roman" w:cs="Arial"/>
          <w:color w:val="000000"/>
          <w:lang w:val="en-US"/>
        </w:rPr>
        <w:t>I</w:t>
      </w:r>
      <w:r w:rsidRPr="002A72CB">
        <w:rPr>
          <w:rFonts w:eastAsia="Times New Roman" w:cs="Arial"/>
          <w:color w:val="000000"/>
          <w:lang w:eastAsia="bg-BG"/>
        </w:rPr>
        <w:t xml:space="preserve">а, бета-блокери, някои антиаритмични средства клас </w:t>
      </w:r>
      <w:r w:rsidRPr="002A72CB">
        <w:rPr>
          <w:rFonts w:eastAsia="Times New Roman" w:cs="Arial"/>
          <w:color w:val="000000"/>
          <w:lang w:val="en-US"/>
        </w:rPr>
        <w:t>II</w:t>
      </w:r>
      <w:r w:rsidRPr="002A72CB">
        <w:rPr>
          <w:rFonts w:eastAsia="Times New Roman" w:cs="Arial"/>
          <w:color w:val="000000"/>
          <w:lang w:eastAsia="bg-BG"/>
        </w:rPr>
        <w:t>, някои калциеви антагонисти, сърдечни гликозиди, пилокарпин, холинестеразни инхибитори);</w:t>
      </w:r>
    </w:p>
    <w:p w14:paraId="0DEC56C7" w14:textId="7108CC48" w:rsidR="00B26D4A" w:rsidRPr="002A72CB" w:rsidRDefault="00B26D4A" w:rsidP="00B26D4A">
      <w:pPr>
        <w:pStyle w:val="ListParagraph"/>
        <w:numPr>
          <w:ilvl w:val="0"/>
          <w:numId w:val="40"/>
        </w:numPr>
        <w:spacing w:line="240" w:lineRule="auto"/>
        <w:rPr>
          <w:rFonts w:eastAsia="Times New Roman" w:cs="Arial"/>
          <w:sz w:val="24"/>
          <w:szCs w:val="24"/>
          <w:lang w:eastAsia="bg-BG"/>
        </w:rPr>
      </w:pPr>
      <w:r w:rsidRPr="002A72CB">
        <w:rPr>
          <w:rFonts w:eastAsia="Times New Roman" w:cs="Arial"/>
          <w:color w:val="000000"/>
          <w:lang w:eastAsia="bg-BG"/>
        </w:rPr>
        <w:t>бета-блокери, използвани при сърдечна недостатъчност (бизопролол, карведилол, метопролол, небиволол);</w:t>
      </w:r>
    </w:p>
    <w:p w14:paraId="3EC9D65A" w14:textId="77777777" w:rsidR="00B26D4A" w:rsidRPr="00B26D4A" w:rsidRDefault="00B26D4A" w:rsidP="00B26D4A">
      <w:pPr>
        <w:spacing w:line="240" w:lineRule="auto"/>
        <w:rPr>
          <w:rFonts w:eastAsia="Times New Roman" w:cs="Arial"/>
          <w:sz w:val="24"/>
          <w:szCs w:val="24"/>
          <w:lang w:eastAsia="bg-BG"/>
        </w:rPr>
      </w:pPr>
      <w:r w:rsidRPr="00B26D4A">
        <w:rPr>
          <w:rFonts w:eastAsia="Times New Roman" w:cs="Arial"/>
          <w:color w:val="000000"/>
          <w:lang w:eastAsia="bg-BG"/>
        </w:rPr>
        <w:t xml:space="preserve">хипокалиемични средства (хипокалиемични диуретици, лаксативи стимуланти, </w:t>
      </w:r>
      <w:proofErr w:type="spellStart"/>
      <w:r w:rsidRPr="00B26D4A">
        <w:rPr>
          <w:rFonts w:eastAsia="Times New Roman" w:cs="Arial"/>
          <w:i/>
          <w:iCs/>
          <w:color w:val="000000"/>
          <w:lang w:val="en-US"/>
        </w:rPr>
        <w:t>i.v</w:t>
      </w:r>
      <w:proofErr w:type="spellEnd"/>
      <w:r w:rsidRPr="00B26D4A">
        <w:rPr>
          <w:rFonts w:eastAsia="Times New Roman" w:cs="Arial"/>
          <w:i/>
          <w:iCs/>
          <w:color w:val="000000"/>
          <w:lang w:val="en-US"/>
        </w:rPr>
        <w:t xml:space="preserve"> </w:t>
      </w:r>
      <w:r w:rsidRPr="00B26D4A">
        <w:rPr>
          <w:rFonts w:eastAsia="Times New Roman" w:cs="Arial"/>
          <w:color w:val="000000"/>
          <w:lang w:eastAsia="bg-BG"/>
        </w:rPr>
        <w:t>амфотерицин В, глюкокортикоиди, козинтропин).</w:t>
      </w:r>
    </w:p>
    <w:p w14:paraId="7EA2F4A8" w14:textId="77777777" w:rsidR="00B26D4A" w:rsidRPr="002A72CB" w:rsidRDefault="00B26D4A" w:rsidP="00B26D4A">
      <w:pPr>
        <w:spacing w:line="240" w:lineRule="auto"/>
        <w:rPr>
          <w:rFonts w:eastAsia="Times New Roman" w:cs="Arial"/>
          <w:b/>
          <w:bCs/>
          <w:color w:val="000000"/>
          <w:lang w:eastAsia="bg-BG"/>
        </w:rPr>
      </w:pPr>
      <w:bookmarkStart w:id="3" w:name="bookmark2"/>
    </w:p>
    <w:p w14:paraId="60310E2A" w14:textId="74551210" w:rsidR="00B26D4A" w:rsidRPr="00B26D4A" w:rsidRDefault="00B26D4A" w:rsidP="00B26D4A">
      <w:pPr>
        <w:spacing w:line="240" w:lineRule="auto"/>
        <w:rPr>
          <w:rFonts w:eastAsia="Times New Roman" w:cs="Arial"/>
          <w:sz w:val="24"/>
          <w:szCs w:val="24"/>
          <w:lang w:eastAsia="bg-BG"/>
        </w:rPr>
      </w:pPr>
      <w:r w:rsidRPr="00B26D4A">
        <w:rPr>
          <w:rFonts w:eastAsia="Times New Roman" w:cs="Arial"/>
          <w:b/>
          <w:bCs/>
          <w:color w:val="000000"/>
          <w:lang w:eastAsia="bg-BG"/>
        </w:rPr>
        <w:t xml:space="preserve">Лекарства, чието взаимодействие с Тиаприд </w:t>
      </w:r>
      <w:r w:rsidRPr="00B26D4A">
        <w:rPr>
          <w:rFonts w:eastAsia="Times New Roman" w:cs="Arial"/>
          <w:b/>
          <w:bCs/>
          <w:color w:val="000000"/>
          <w:lang w:val="en-US"/>
        </w:rPr>
        <w:t xml:space="preserve">G.L. </w:t>
      </w:r>
      <w:r w:rsidRPr="00B26D4A">
        <w:rPr>
          <w:rFonts w:eastAsia="Times New Roman" w:cs="Arial"/>
          <w:b/>
          <w:bCs/>
          <w:color w:val="000000"/>
          <w:lang w:eastAsia="bg-BG"/>
        </w:rPr>
        <w:t>следва да бъде взето предвид:</w:t>
      </w:r>
      <w:bookmarkEnd w:id="3"/>
    </w:p>
    <w:p w14:paraId="1C0C512C" w14:textId="77777777" w:rsidR="00B26D4A" w:rsidRPr="002A72CB" w:rsidRDefault="00B26D4A" w:rsidP="00B26D4A">
      <w:pPr>
        <w:pStyle w:val="ListParagraph"/>
        <w:numPr>
          <w:ilvl w:val="0"/>
          <w:numId w:val="41"/>
        </w:numPr>
        <w:spacing w:line="240" w:lineRule="auto"/>
        <w:rPr>
          <w:rFonts w:eastAsia="Times New Roman" w:cs="Arial"/>
          <w:sz w:val="24"/>
          <w:szCs w:val="24"/>
          <w:lang w:eastAsia="bg-BG"/>
        </w:rPr>
      </w:pPr>
      <w:r w:rsidRPr="002A72CB">
        <w:rPr>
          <w:rFonts w:eastAsia="Times New Roman" w:cs="Arial"/>
          <w:color w:val="000000"/>
          <w:lang w:eastAsia="bg-BG"/>
        </w:rPr>
        <w:t>Антихипертензивни средства (адитивен антихипертензивен ефект и повишен риск от ортостатична хипотония;</w:t>
      </w:r>
    </w:p>
    <w:p w14:paraId="158135BC" w14:textId="4D95669E" w:rsidR="00B26D4A" w:rsidRPr="002A72CB" w:rsidRDefault="00B26D4A" w:rsidP="00B26D4A">
      <w:pPr>
        <w:pStyle w:val="ListParagraph"/>
        <w:numPr>
          <w:ilvl w:val="0"/>
          <w:numId w:val="41"/>
        </w:numPr>
        <w:spacing w:line="240" w:lineRule="auto"/>
        <w:rPr>
          <w:rFonts w:eastAsia="Times New Roman" w:cs="Arial"/>
          <w:sz w:val="24"/>
          <w:szCs w:val="24"/>
          <w:lang w:eastAsia="bg-BG"/>
        </w:rPr>
      </w:pPr>
      <w:r w:rsidRPr="002A72CB">
        <w:rPr>
          <w:rFonts w:eastAsia="Times New Roman" w:cs="Arial"/>
          <w:color w:val="000000"/>
          <w:lang w:eastAsia="bg-BG"/>
        </w:rPr>
        <w:t>Депресанти на централната нервна система: наркотици (аналгетици,</w:t>
      </w:r>
      <w:r w:rsidRPr="002A72CB">
        <w:rPr>
          <w:rFonts w:eastAsia="Times New Roman" w:cs="Arial"/>
          <w:color w:val="000000"/>
          <w:lang w:val="en-US"/>
        </w:rPr>
        <w:t xml:space="preserve"> </w:t>
      </w:r>
      <w:r w:rsidRPr="002A72CB">
        <w:rPr>
          <w:rFonts w:eastAsia="Times New Roman" w:cs="Arial"/>
          <w:color w:val="000000"/>
          <w:lang w:eastAsia="bg-BG"/>
        </w:rPr>
        <w:t>антитусивни средства и заместителна опиоидна терапия); барбитурати; бензодиазепини; небензодиазепинови анксиолитици; хипотоници; невролептици; антидепресанти със седативен ефект (амитриптилин, доксепин, миансерин, миртазапин, тримипрамин):</w:t>
      </w:r>
      <w:r w:rsidRPr="002A72CB">
        <w:rPr>
          <w:rFonts w:eastAsia="Times New Roman" w:cs="Arial"/>
          <w:color w:val="000000"/>
          <w:lang w:val="en-US"/>
        </w:rPr>
        <w:t xml:space="preserve"> H1 </w:t>
      </w:r>
      <w:r w:rsidRPr="002A72CB">
        <w:rPr>
          <w:rFonts w:eastAsia="Times New Roman" w:cs="Arial"/>
          <w:color w:val="000000"/>
          <w:lang w:eastAsia="bg-BG"/>
        </w:rPr>
        <w:t>антихистамини със седативен ефект; антихипертензивни средства с централно</w:t>
      </w:r>
      <w:r w:rsidR="002A72CB">
        <w:rPr>
          <w:rFonts w:eastAsia="Times New Roman" w:cs="Arial"/>
          <w:color w:val="000000"/>
          <w:lang w:eastAsia="bg-BG"/>
        </w:rPr>
        <w:t xml:space="preserve"> </w:t>
      </w:r>
      <w:r w:rsidRPr="002A72CB">
        <w:rPr>
          <w:rFonts w:eastAsia="Times New Roman" w:cs="Arial"/>
          <w:color w:val="000000"/>
          <w:lang w:eastAsia="bg-BG"/>
        </w:rPr>
        <w:t xml:space="preserve">действие; други лекарства (баклофен, талидомид, пизотифен); </w:t>
      </w:r>
      <w:r w:rsidRPr="002A72CB">
        <w:rPr>
          <w:rFonts w:cs="Arial"/>
        </w:rPr>
        <w:t>бета-блокери (освен есмолол, соталол и бета-блокери, използвани при сърдечна недостатъчност) (вазодилаторен ефект и риск от хипотония, по-конкретно постурална хипотония);</w:t>
      </w:r>
      <w:r w:rsidR="002A72CB">
        <w:rPr>
          <w:rFonts w:cs="Arial"/>
        </w:rPr>
        <w:t xml:space="preserve"> </w:t>
      </w:r>
      <w:r w:rsidRPr="002A72CB">
        <w:rPr>
          <w:rFonts w:cs="Arial"/>
        </w:rPr>
        <w:t>нитратни производни и свързани съединения.</w:t>
      </w:r>
    </w:p>
    <w:p w14:paraId="5AC63C48" w14:textId="77777777" w:rsidR="00B26D4A" w:rsidRDefault="00B26D4A" w:rsidP="00B26D4A">
      <w:pPr>
        <w:rPr>
          <w:i/>
          <w:iCs/>
          <w:u w:val="single"/>
        </w:rPr>
      </w:pPr>
    </w:p>
    <w:p w14:paraId="18F73CF3" w14:textId="040BFBC4" w:rsidR="00B26D4A" w:rsidRDefault="00B26D4A" w:rsidP="00B26D4A">
      <w:r>
        <w:rPr>
          <w:i/>
          <w:iCs/>
          <w:u w:val="single"/>
        </w:rPr>
        <w:t>Алкохол</w:t>
      </w:r>
    </w:p>
    <w:p w14:paraId="5FE9ECF9" w14:textId="77777777" w:rsidR="00B26D4A" w:rsidRDefault="00B26D4A" w:rsidP="00B26D4A">
      <w:r>
        <w:t>Алкохолът може да засили седативния ефект на антипсихотиците. Шофирането или работата с машини може да бъдат опасни поради промяната в концентрацията на вниманието. Употребата на алкохол и лекарства, съдържащи алкохол, трябва да се избягва.</w:t>
      </w:r>
    </w:p>
    <w:p w14:paraId="25F00567" w14:textId="77777777" w:rsidR="00B26D4A" w:rsidRDefault="00B26D4A" w:rsidP="00B26D4A">
      <w:pPr>
        <w:rPr>
          <w:i/>
          <w:iCs/>
          <w:u w:val="single"/>
        </w:rPr>
      </w:pPr>
    </w:p>
    <w:p w14:paraId="2C34FD3A" w14:textId="12C18AA1" w:rsidR="00B26D4A" w:rsidRDefault="00B26D4A" w:rsidP="00B26D4A">
      <w:r>
        <w:rPr>
          <w:i/>
          <w:iCs/>
          <w:u w:val="single"/>
        </w:rPr>
        <w:t>Леводопа</w:t>
      </w:r>
    </w:p>
    <w:p w14:paraId="07E35BB6" w14:textId="77777777" w:rsidR="00B26D4A" w:rsidRDefault="00B26D4A" w:rsidP="00B26D4A">
      <w:r>
        <w:t>Реципрочен антагонизъм на ефектите на леводопа и невролептиците. При пациенти с болест на Паркинсон трябва да се използват минимални ефективни дози от двете лекарства.</w:t>
      </w:r>
    </w:p>
    <w:p w14:paraId="5CCF2B6B" w14:textId="77777777" w:rsidR="00B26D4A" w:rsidRDefault="00B26D4A" w:rsidP="00B26D4A">
      <w:pPr>
        <w:rPr>
          <w:i/>
          <w:iCs/>
          <w:u w:val="single"/>
        </w:rPr>
      </w:pPr>
    </w:p>
    <w:p w14:paraId="38420D17" w14:textId="7816321F" w:rsidR="00B26D4A" w:rsidRDefault="00B26D4A" w:rsidP="00B26D4A">
      <w:r>
        <w:rPr>
          <w:i/>
          <w:iCs/>
          <w:u w:val="single"/>
        </w:rPr>
        <w:t>Д</w:t>
      </w:r>
      <w:r>
        <w:rPr>
          <w:i/>
          <w:iCs/>
          <w:u w:val="single"/>
        </w:rPr>
        <w:t>опаминергични агонисти с изключение на леводопа</w:t>
      </w:r>
    </w:p>
    <w:p w14:paraId="58FCF921" w14:textId="77777777" w:rsidR="00B26D4A" w:rsidRDefault="00B26D4A" w:rsidP="00B26D4A">
      <w:r>
        <w:t>(амантадин, апоморфин, бромокриптин, ентакапон, лизурид, перголид, пирибедил, прамипексол, ропинирол, селегилин)</w:t>
      </w:r>
    </w:p>
    <w:p w14:paraId="7BEE55A7" w14:textId="77777777" w:rsidR="00B26D4A" w:rsidRDefault="00B26D4A" w:rsidP="00B26D4A">
      <w:r>
        <w:t>При пациенти с болест на Паркинсон: Реципрочен антагонизъм на ефектите на допаминергичните агонисти и невролептиците. Допаминергичните агонисти могат да индуцират или да засилят проявата на психични нарушения. При невъзможност да се избегне невролептична терапия при пациенти с болест на Паркинсон, лекувани с допаминергични агонисти, тези средства трябва постепенно да се намалят и да се спрат (внезапното преустановяване на приема на допаминергичните агонисти може да предизвика невролептичен малигнен синдром).</w:t>
      </w:r>
    </w:p>
    <w:p w14:paraId="5CFFCC5D" w14:textId="77777777" w:rsidR="00B26D4A" w:rsidRDefault="00B26D4A" w:rsidP="00B26D4A">
      <w:pPr>
        <w:rPr>
          <w:i/>
          <w:iCs/>
          <w:u w:val="single"/>
        </w:rPr>
      </w:pPr>
    </w:p>
    <w:p w14:paraId="0158F2BD" w14:textId="02038B33" w:rsidR="00B26D4A" w:rsidRDefault="00B26D4A" w:rsidP="00B26D4A">
      <w:r>
        <w:rPr>
          <w:i/>
          <w:iCs/>
          <w:u w:val="single"/>
        </w:rPr>
        <w:t>Метадон</w:t>
      </w:r>
    </w:p>
    <w:p w14:paraId="4C64F4EE" w14:textId="77777777" w:rsidR="00B26D4A" w:rsidRDefault="00B26D4A" w:rsidP="00B26D4A">
      <w:r>
        <w:t xml:space="preserve">Повишен риск от вентрикуларна аритмия, особено </w:t>
      </w:r>
      <w:proofErr w:type="spellStart"/>
      <w:r>
        <w:rPr>
          <w:lang w:val="en-US"/>
        </w:rPr>
        <w:t>torsades</w:t>
      </w:r>
      <w:proofErr w:type="spellEnd"/>
      <w:r>
        <w:rPr>
          <w:lang w:val="en-US"/>
        </w:rPr>
        <w:t xml:space="preserve"> de pointes.</w:t>
      </w:r>
    </w:p>
    <w:p w14:paraId="18487C40" w14:textId="77777777" w:rsidR="00B26D4A" w:rsidRDefault="00B26D4A" w:rsidP="00B26D4A">
      <w:pPr>
        <w:rPr>
          <w:b/>
          <w:bCs/>
        </w:rPr>
      </w:pPr>
    </w:p>
    <w:p w14:paraId="5815381C" w14:textId="4FEB7DDE" w:rsidR="00B26D4A" w:rsidRDefault="00B26D4A" w:rsidP="00B26D4A">
      <w:r>
        <w:rPr>
          <w:b/>
          <w:bCs/>
        </w:rPr>
        <w:t>Комбинации, които изискват предпазни мерки при употреба</w:t>
      </w:r>
    </w:p>
    <w:p w14:paraId="411673D2" w14:textId="77777777" w:rsidR="00B26D4A" w:rsidRDefault="00B26D4A" w:rsidP="00B26D4A">
      <w:r>
        <w:rPr>
          <w:i/>
          <w:iCs/>
        </w:rPr>
        <w:t>Брадикардия-индуциращи средства</w:t>
      </w:r>
    </w:p>
    <w:p w14:paraId="15661D7A" w14:textId="77777777" w:rsidR="00B26D4A" w:rsidRDefault="00B26D4A" w:rsidP="00B26D4A">
      <w:r>
        <w:t xml:space="preserve">(особено антиаритмични средства клас </w:t>
      </w:r>
      <w:r>
        <w:rPr>
          <w:lang w:val="en-US"/>
        </w:rPr>
        <w:t>I</w:t>
      </w:r>
      <w:r>
        <w:t xml:space="preserve">а, бета-блокери, някои антиаритмични средства клас </w:t>
      </w:r>
      <w:r>
        <w:rPr>
          <w:lang w:val="en-US"/>
        </w:rPr>
        <w:t>II</w:t>
      </w:r>
      <w:r>
        <w:t xml:space="preserve">, някои калциеви антагонисти, сърдечни гликозиди, пилокарпин, холинестеразни инхибитори): товишен риск от вентрикуларни аритмии, особено </w:t>
      </w:r>
      <w:proofErr w:type="spellStart"/>
      <w:r>
        <w:rPr>
          <w:lang w:val="en-US"/>
        </w:rPr>
        <w:t>torsades</w:t>
      </w:r>
      <w:proofErr w:type="spellEnd"/>
      <w:r>
        <w:rPr>
          <w:lang w:val="en-US"/>
        </w:rPr>
        <w:t xml:space="preserve"> de pointes. </w:t>
      </w:r>
      <w:r>
        <w:t>Необходимо е клинично и електрокардиографско проследяване.</w:t>
      </w:r>
    </w:p>
    <w:p w14:paraId="7C85DBB0" w14:textId="77777777" w:rsidR="00B26D4A" w:rsidRDefault="00B26D4A" w:rsidP="00B26D4A">
      <w:pPr>
        <w:rPr>
          <w:i/>
          <w:iCs/>
        </w:rPr>
      </w:pPr>
    </w:p>
    <w:p w14:paraId="0985912A" w14:textId="4E8C6EDC" w:rsidR="00B26D4A" w:rsidRDefault="00B26D4A" w:rsidP="00B26D4A">
      <w:r>
        <w:rPr>
          <w:i/>
          <w:iCs/>
        </w:rPr>
        <w:t>Бета-блокери при сърдечна недостатъчност</w:t>
      </w:r>
    </w:p>
    <w:p w14:paraId="641EA271" w14:textId="77777777" w:rsidR="00B26D4A" w:rsidRDefault="00B26D4A" w:rsidP="00B26D4A">
      <w:r>
        <w:t>(бисопролол, карведилол, метопролол, небиволол)</w:t>
      </w:r>
    </w:p>
    <w:p w14:paraId="064AAD02" w14:textId="77777777" w:rsidR="00B26D4A" w:rsidRDefault="00B26D4A" w:rsidP="00B26D4A">
      <w:r>
        <w:t xml:space="preserve">Повишен риск от вентрикуларна аритмия, особено </w:t>
      </w:r>
      <w:proofErr w:type="spellStart"/>
      <w:r>
        <w:rPr>
          <w:lang w:val="en-US"/>
        </w:rPr>
        <w:t>torsades</w:t>
      </w:r>
      <w:proofErr w:type="spellEnd"/>
      <w:r>
        <w:rPr>
          <w:lang w:val="en-US"/>
        </w:rPr>
        <w:t xml:space="preserve"> de pointes. </w:t>
      </w:r>
      <w:r>
        <w:t>Необходими са клинично проследяване и ЕКГ мониторинг.</w:t>
      </w:r>
    </w:p>
    <w:p w14:paraId="4E0062E5" w14:textId="77777777" w:rsidR="00B26D4A" w:rsidRDefault="00B26D4A" w:rsidP="00B26D4A">
      <w:pPr>
        <w:rPr>
          <w:i/>
          <w:iCs/>
        </w:rPr>
      </w:pPr>
    </w:p>
    <w:p w14:paraId="79DBE50A" w14:textId="3649F31D" w:rsidR="00B26D4A" w:rsidRDefault="00B26D4A" w:rsidP="00B26D4A">
      <w:r>
        <w:rPr>
          <w:i/>
          <w:iCs/>
        </w:rPr>
        <w:t>Хипокалиемични средства</w:t>
      </w:r>
    </w:p>
    <w:p w14:paraId="03EE9D22" w14:textId="77777777" w:rsidR="00B26D4A" w:rsidRDefault="00B26D4A" w:rsidP="00B26D4A">
      <w:r>
        <w:t xml:space="preserve">(хипокалиемични диуретици, лаксативи стимуланти, </w:t>
      </w:r>
      <w:proofErr w:type="spellStart"/>
      <w:r>
        <w:rPr>
          <w:lang w:val="en-US"/>
        </w:rPr>
        <w:t>i.v</w:t>
      </w:r>
      <w:proofErr w:type="spellEnd"/>
      <w:r>
        <w:rPr>
          <w:lang w:val="en-US"/>
        </w:rPr>
        <w:t xml:space="preserve"> </w:t>
      </w:r>
      <w:r>
        <w:t>амфотерицин В, глюкокортикоиди, козинтропин)</w:t>
      </w:r>
    </w:p>
    <w:p w14:paraId="740ED56D" w14:textId="77777777" w:rsidR="00B26D4A" w:rsidRDefault="00B26D4A" w:rsidP="00B26D4A">
      <w:r>
        <w:t xml:space="preserve">Повишен риск от вентрикуларни аритмии, особено </w:t>
      </w:r>
      <w:proofErr w:type="spellStart"/>
      <w:r>
        <w:rPr>
          <w:lang w:val="en-US"/>
        </w:rPr>
        <w:t>torsades</w:t>
      </w:r>
      <w:proofErr w:type="spellEnd"/>
      <w:r>
        <w:rPr>
          <w:lang w:val="en-US"/>
        </w:rPr>
        <w:t xml:space="preserve"> de pointes. </w:t>
      </w:r>
      <w:r>
        <w:t xml:space="preserve">Коригирайте хипокалиемията, преди да започнете лечението с Тиаприд </w:t>
      </w:r>
      <w:r>
        <w:rPr>
          <w:lang w:val="en-US"/>
        </w:rPr>
        <w:t xml:space="preserve">G.L. </w:t>
      </w:r>
      <w:r>
        <w:t>и осигурете клинично проследяване, проследяване на електролитите и електрокардиографско проследяване.</w:t>
      </w:r>
    </w:p>
    <w:p w14:paraId="1A1C6F6E" w14:textId="77777777" w:rsidR="00B26D4A" w:rsidRDefault="00B26D4A" w:rsidP="00B26D4A">
      <w:pPr>
        <w:rPr>
          <w:b/>
          <w:bCs/>
        </w:rPr>
      </w:pPr>
    </w:p>
    <w:p w14:paraId="781E99A6" w14:textId="40BFD35D" w:rsidR="00B26D4A" w:rsidRDefault="00B26D4A" w:rsidP="00B26D4A">
      <w:r>
        <w:rPr>
          <w:b/>
          <w:bCs/>
        </w:rPr>
        <w:t>Комбинации, които трябва да се проследяват:</w:t>
      </w:r>
    </w:p>
    <w:p w14:paraId="48F97A9A" w14:textId="77777777" w:rsidR="00B26D4A" w:rsidRDefault="00B26D4A" w:rsidP="00B26D4A">
      <w:r>
        <w:rPr>
          <w:i/>
          <w:iCs/>
        </w:rPr>
        <w:t>Антихипертензивни средства (всички):</w:t>
      </w:r>
    </w:p>
    <w:p w14:paraId="25E1452E" w14:textId="77777777" w:rsidR="00B26D4A" w:rsidRDefault="00B26D4A" w:rsidP="00B26D4A">
      <w:r>
        <w:t>Антихипертензивен ефект и повишен риск от ортостатична хипотония (адитивен ефект).</w:t>
      </w:r>
    </w:p>
    <w:p w14:paraId="4E27CA61" w14:textId="77777777" w:rsidR="00B26D4A" w:rsidRDefault="00B26D4A" w:rsidP="00B26D4A">
      <w:r>
        <w:rPr>
          <w:i/>
          <w:iCs/>
        </w:rPr>
        <w:t>Други депресанти на централната нервна система:</w:t>
      </w:r>
    </w:p>
    <w:p w14:paraId="281948A8" w14:textId="67B49DB8" w:rsidR="00B26D4A" w:rsidRDefault="00B26D4A" w:rsidP="00B26D4A">
      <w:r>
        <w:t>Наркотици (аналгетици, антитусивни средства и заместителна опиоидна терапия):</w:t>
      </w:r>
      <w:r>
        <w:rPr>
          <w:lang w:val="en-US"/>
        </w:rPr>
        <w:t xml:space="preserve"> </w:t>
      </w:r>
      <w:r>
        <w:t>барбитурати, бензодиазепини; други, небензодиазепинови анксиолигици; хипнотици; антипсихотици;</w:t>
      </w:r>
      <w:r>
        <w:t xml:space="preserve"> </w:t>
      </w:r>
      <w:r>
        <w:t xml:space="preserve">антидепресанти със седативен ефект (амитриптилин, доксепин, миансерин, миртазапин, тримипрамин); Н1 антихистамини със седативен ефект; </w:t>
      </w:r>
      <w:r>
        <w:lastRenderedPageBreak/>
        <w:t>антихипертензивни средста с централно действие; други лекарства: баклофен, талидомид, пизотифен.</w:t>
      </w:r>
    </w:p>
    <w:p w14:paraId="0395BD2E" w14:textId="1713833F" w:rsidR="007A2185" w:rsidRDefault="007A2185" w:rsidP="0091385D"/>
    <w:p w14:paraId="42939C26" w14:textId="77777777" w:rsidR="00B26D4A" w:rsidRPr="00B26D4A" w:rsidRDefault="00B26D4A" w:rsidP="00B26D4A">
      <w:pPr>
        <w:spacing w:line="240" w:lineRule="auto"/>
        <w:rPr>
          <w:rFonts w:eastAsia="Times New Roman" w:cs="Arial"/>
          <w:sz w:val="24"/>
          <w:szCs w:val="24"/>
          <w:lang w:eastAsia="bg-BG"/>
        </w:rPr>
      </w:pPr>
      <w:r w:rsidRPr="00B26D4A">
        <w:rPr>
          <w:rFonts w:eastAsia="Times New Roman" w:cs="Arial"/>
          <w:color w:val="000000"/>
          <w:lang w:eastAsia="bg-BG"/>
        </w:rPr>
        <w:t>Усилване на ефекта на депресантите с централно действие. Нарушената будност може да направи опасни шофирането и работата с машини (вж. точка 4.7).</w:t>
      </w:r>
    </w:p>
    <w:p w14:paraId="42F05713" w14:textId="77777777" w:rsidR="00B26D4A" w:rsidRPr="002A72CB" w:rsidRDefault="00B26D4A" w:rsidP="00B26D4A">
      <w:pPr>
        <w:spacing w:line="240" w:lineRule="auto"/>
        <w:rPr>
          <w:rFonts w:eastAsia="Times New Roman" w:cs="Arial"/>
          <w:i/>
          <w:iCs/>
          <w:color w:val="000000"/>
          <w:lang w:eastAsia="bg-BG"/>
        </w:rPr>
      </w:pPr>
    </w:p>
    <w:p w14:paraId="33DA237D" w14:textId="09FCD126" w:rsidR="00B26D4A" w:rsidRPr="00B26D4A" w:rsidRDefault="00B26D4A" w:rsidP="00B26D4A">
      <w:pPr>
        <w:spacing w:line="240" w:lineRule="auto"/>
        <w:rPr>
          <w:rFonts w:eastAsia="Times New Roman" w:cs="Arial"/>
          <w:sz w:val="24"/>
          <w:szCs w:val="24"/>
          <w:lang w:eastAsia="bg-BG"/>
        </w:rPr>
      </w:pPr>
      <w:r w:rsidRPr="00B26D4A">
        <w:rPr>
          <w:rFonts w:eastAsia="Times New Roman" w:cs="Arial"/>
          <w:i/>
          <w:iCs/>
          <w:color w:val="000000"/>
          <w:lang w:eastAsia="bg-BG"/>
        </w:rPr>
        <w:t>Бета-блокери (с изключение на есмолол, соталол и бета-блокери, използвани при сърдечна недостатъчност)</w:t>
      </w:r>
    </w:p>
    <w:p w14:paraId="52904967" w14:textId="77777777" w:rsidR="00B26D4A" w:rsidRPr="00B26D4A" w:rsidRDefault="00B26D4A" w:rsidP="00B26D4A">
      <w:pPr>
        <w:spacing w:line="240" w:lineRule="auto"/>
        <w:rPr>
          <w:rFonts w:eastAsia="Times New Roman" w:cs="Arial"/>
          <w:sz w:val="24"/>
          <w:szCs w:val="24"/>
          <w:lang w:eastAsia="bg-BG"/>
        </w:rPr>
      </w:pPr>
      <w:r w:rsidRPr="00B26D4A">
        <w:rPr>
          <w:rFonts w:eastAsia="Times New Roman" w:cs="Arial"/>
          <w:color w:val="000000"/>
          <w:lang w:eastAsia="bg-BG"/>
        </w:rPr>
        <w:t>Съдоразширяващ ефект и риск от хипотония, особено постурална хипотония (адитивен ефект).</w:t>
      </w:r>
    </w:p>
    <w:p w14:paraId="2E96C869" w14:textId="77777777" w:rsidR="00B26D4A" w:rsidRPr="002A72CB" w:rsidRDefault="00B26D4A" w:rsidP="00B26D4A">
      <w:pPr>
        <w:spacing w:line="240" w:lineRule="auto"/>
        <w:rPr>
          <w:rFonts w:eastAsia="Times New Roman" w:cs="Arial"/>
          <w:i/>
          <w:iCs/>
          <w:color w:val="000000"/>
          <w:lang w:eastAsia="bg-BG"/>
        </w:rPr>
      </w:pPr>
    </w:p>
    <w:p w14:paraId="045CC9D7" w14:textId="19495D8E" w:rsidR="00B26D4A" w:rsidRPr="00B26D4A" w:rsidRDefault="00B26D4A" w:rsidP="00B26D4A">
      <w:pPr>
        <w:spacing w:line="240" w:lineRule="auto"/>
        <w:rPr>
          <w:rFonts w:eastAsia="Times New Roman" w:cs="Arial"/>
          <w:sz w:val="24"/>
          <w:szCs w:val="24"/>
          <w:lang w:eastAsia="bg-BG"/>
        </w:rPr>
      </w:pPr>
      <w:r w:rsidRPr="00B26D4A">
        <w:rPr>
          <w:rFonts w:eastAsia="Times New Roman" w:cs="Arial"/>
          <w:i/>
          <w:iCs/>
          <w:color w:val="000000"/>
          <w:lang w:eastAsia="bg-BG"/>
        </w:rPr>
        <w:t>Нитратни производни и свързани с тях съединения</w:t>
      </w:r>
    </w:p>
    <w:p w14:paraId="629ED4D6" w14:textId="76B7F347" w:rsidR="00B26D4A" w:rsidRPr="002A72CB" w:rsidRDefault="00B26D4A" w:rsidP="00B26D4A">
      <w:pPr>
        <w:rPr>
          <w:rFonts w:cs="Arial"/>
        </w:rPr>
      </w:pPr>
      <w:r w:rsidRPr="002A72CB">
        <w:rPr>
          <w:rFonts w:eastAsia="Times New Roman" w:cs="Arial"/>
          <w:color w:val="000000"/>
          <w:lang w:eastAsia="bg-BG"/>
        </w:rPr>
        <w:t>Увеличен риск от хипотония, включително постурална хипотония.</w:t>
      </w:r>
    </w:p>
    <w:p w14:paraId="05B0F4B9" w14:textId="77777777" w:rsidR="00B26D4A" w:rsidRPr="0091385D" w:rsidRDefault="00B26D4A" w:rsidP="0091385D"/>
    <w:p w14:paraId="394A7584" w14:textId="10DEA5B3" w:rsidR="004F498A" w:rsidRDefault="002C50EE" w:rsidP="004A448E">
      <w:pPr>
        <w:pStyle w:val="Heading2"/>
      </w:pPr>
      <w:r>
        <w:t>4.6. Фертилитет, бременност и кърмене</w:t>
      </w:r>
    </w:p>
    <w:p w14:paraId="4887836B" w14:textId="0528FAED" w:rsidR="0091385D" w:rsidRDefault="0091385D" w:rsidP="0091385D"/>
    <w:p w14:paraId="1D806D4E" w14:textId="77777777" w:rsidR="00B26D4A" w:rsidRPr="002A72CB" w:rsidRDefault="00B26D4A" w:rsidP="002A72CB">
      <w:pPr>
        <w:pStyle w:val="Heading3"/>
        <w:rPr>
          <w:rFonts w:eastAsia="Times New Roman"/>
          <w:b/>
          <w:i/>
          <w:u w:val="single"/>
          <w:lang w:eastAsia="bg-BG"/>
        </w:rPr>
      </w:pPr>
      <w:r w:rsidRPr="002A72CB">
        <w:rPr>
          <w:rFonts w:eastAsia="Times New Roman"/>
          <w:b/>
          <w:i/>
          <w:u w:val="single"/>
          <w:lang w:eastAsia="bg-BG"/>
        </w:rPr>
        <w:t>Бременност</w:t>
      </w:r>
    </w:p>
    <w:p w14:paraId="62EE092C" w14:textId="77777777" w:rsidR="00B26D4A" w:rsidRPr="00B26D4A" w:rsidRDefault="00B26D4A" w:rsidP="00B26D4A">
      <w:pPr>
        <w:spacing w:line="240" w:lineRule="auto"/>
        <w:rPr>
          <w:rFonts w:eastAsia="Times New Roman" w:cs="Arial"/>
          <w:sz w:val="24"/>
          <w:szCs w:val="24"/>
          <w:lang w:eastAsia="bg-BG"/>
        </w:rPr>
      </w:pPr>
      <w:r w:rsidRPr="00B26D4A">
        <w:rPr>
          <w:rFonts w:eastAsia="Times New Roman" w:cs="Arial"/>
          <w:color w:val="000000"/>
          <w:lang w:eastAsia="bg-BG"/>
        </w:rPr>
        <w:t>При необходимост от лекарствена терапия за поддържане на добър ментален баланс и за предотвратяване на декомпенсация, трябва да се назначи или да се продължи лечението с ефективна доза по време на цялата бременност. Ако е възможно, дозата на ангипсихотичното лекарство трябва да се намали към края на бременността.</w:t>
      </w:r>
    </w:p>
    <w:p w14:paraId="157BD39F" w14:textId="77777777" w:rsidR="00B26D4A" w:rsidRPr="002A72CB" w:rsidRDefault="00B26D4A" w:rsidP="00B26D4A">
      <w:pPr>
        <w:spacing w:line="240" w:lineRule="auto"/>
        <w:rPr>
          <w:rFonts w:eastAsia="Times New Roman" w:cs="Arial"/>
          <w:color w:val="000000"/>
          <w:lang w:eastAsia="bg-BG"/>
        </w:rPr>
      </w:pPr>
    </w:p>
    <w:p w14:paraId="60E2D3E5" w14:textId="75A6A7AF" w:rsidR="00B26D4A" w:rsidRPr="00B26D4A" w:rsidRDefault="00B26D4A" w:rsidP="00B26D4A">
      <w:pPr>
        <w:spacing w:line="240" w:lineRule="auto"/>
        <w:rPr>
          <w:rFonts w:eastAsia="Times New Roman" w:cs="Arial"/>
          <w:sz w:val="24"/>
          <w:szCs w:val="24"/>
          <w:lang w:eastAsia="bg-BG"/>
        </w:rPr>
      </w:pPr>
      <w:r w:rsidRPr="00B26D4A">
        <w:rPr>
          <w:rFonts w:eastAsia="Times New Roman" w:cs="Arial"/>
          <w:color w:val="000000"/>
          <w:lang w:eastAsia="bg-BG"/>
        </w:rPr>
        <w:t xml:space="preserve">Има ограничени данни от употребата на Тиаприд </w:t>
      </w:r>
      <w:r w:rsidRPr="00B26D4A">
        <w:rPr>
          <w:rFonts w:eastAsia="Times New Roman" w:cs="Arial"/>
          <w:color w:val="000000"/>
          <w:lang w:val="en-US"/>
        </w:rPr>
        <w:t xml:space="preserve">G.L. </w:t>
      </w:r>
      <w:r w:rsidRPr="00B26D4A">
        <w:rPr>
          <w:rFonts w:eastAsia="Times New Roman" w:cs="Arial"/>
          <w:color w:val="000000"/>
          <w:lang w:eastAsia="bg-BG"/>
        </w:rPr>
        <w:t>при бременни жени. Проучванията при животни не показват преки или непреки вредни ефекти, свързани с бременността, ембрионалното/феталното развитие, раждането или постнаталното развитие. Инжекционните невролептици, използвани за спешни случаи може да причинят хипотония при майката.</w:t>
      </w:r>
    </w:p>
    <w:p w14:paraId="46F665A8" w14:textId="77777777" w:rsidR="00B26D4A" w:rsidRPr="002A72CB" w:rsidRDefault="00B26D4A" w:rsidP="00B26D4A">
      <w:pPr>
        <w:spacing w:line="240" w:lineRule="auto"/>
        <w:rPr>
          <w:rFonts w:eastAsia="Times New Roman" w:cs="Arial"/>
          <w:color w:val="000000"/>
          <w:lang w:eastAsia="bg-BG"/>
        </w:rPr>
      </w:pPr>
    </w:p>
    <w:p w14:paraId="78E7DC25" w14:textId="74359733" w:rsidR="00B26D4A" w:rsidRPr="00B26D4A" w:rsidRDefault="00B26D4A" w:rsidP="00B26D4A">
      <w:pPr>
        <w:spacing w:line="240" w:lineRule="auto"/>
        <w:rPr>
          <w:rFonts w:eastAsia="Times New Roman" w:cs="Arial"/>
          <w:sz w:val="24"/>
          <w:szCs w:val="24"/>
          <w:lang w:eastAsia="bg-BG"/>
        </w:rPr>
      </w:pPr>
      <w:r w:rsidRPr="00B26D4A">
        <w:rPr>
          <w:rFonts w:eastAsia="Times New Roman" w:cs="Arial"/>
          <w:color w:val="000000"/>
          <w:lang w:eastAsia="bg-BG"/>
        </w:rPr>
        <w:t xml:space="preserve">Тиаприд </w:t>
      </w:r>
      <w:r w:rsidRPr="00B26D4A">
        <w:rPr>
          <w:rFonts w:eastAsia="Times New Roman" w:cs="Arial"/>
          <w:color w:val="000000"/>
          <w:lang w:val="en-US"/>
        </w:rPr>
        <w:t xml:space="preserve">G.L., </w:t>
      </w:r>
      <w:r w:rsidRPr="00B26D4A">
        <w:rPr>
          <w:rFonts w:eastAsia="Times New Roman" w:cs="Arial"/>
          <w:color w:val="000000"/>
          <w:lang w:eastAsia="bg-BG"/>
        </w:rPr>
        <w:t>използван по време на късна бременност, теоретично може да предизвика, особено във високи дози: атропинови ефекти като тахикардия, хипервъзбудимост, абдоминална дистензия, забавено отделяне на мекониум и седация, които може да се задълбочат при едновременна употреба на антипаркинсонови лекарства.</w:t>
      </w:r>
    </w:p>
    <w:p w14:paraId="30F08477" w14:textId="77777777" w:rsidR="00B26D4A" w:rsidRPr="002A72CB" w:rsidRDefault="00B26D4A" w:rsidP="00B26D4A">
      <w:pPr>
        <w:spacing w:line="240" w:lineRule="auto"/>
        <w:rPr>
          <w:rFonts w:eastAsia="Times New Roman" w:cs="Arial"/>
          <w:color w:val="000000"/>
          <w:lang w:eastAsia="bg-BG"/>
        </w:rPr>
      </w:pPr>
      <w:r w:rsidRPr="00B26D4A">
        <w:rPr>
          <w:rFonts w:eastAsia="Times New Roman" w:cs="Arial"/>
          <w:color w:val="000000"/>
          <w:lang w:eastAsia="bg-BG"/>
        </w:rPr>
        <w:t xml:space="preserve">След раждането, при новородените, които са били изложени на въздействието на антипсихотици (включително Тиаприд </w:t>
      </w:r>
      <w:r w:rsidRPr="00B26D4A">
        <w:rPr>
          <w:rFonts w:eastAsia="Times New Roman" w:cs="Arial"/>
          <w:color w:val="000000"/>
          <w:lang w:val="en-US"/>
        </w:rPr>
        <w:t xml:space="preserve">G.L.) </w:t>
      </w:r>
      <w:r w:rsidRPr="00B26D4A">
        <w:rPr>
          <w:rFonts w:eastAsia="Times New Roman" w:cs="Arial"/>
          <w:color w:val="000000"/>
          <w:lang w:eastAsia="bg-BG"/>
        </w:rPr>
        <w:t xml:space="preserve">по време на третия триместър от бременността има риск от нежелани реакции, включително екстрапирамидни симптоми и/или симптоми на отнемане с различна тежест и продължителност. Има съобщения за ажитация, абнормен мускулен тонус (хипертония или хипотония), тремор, сомноленгност, респираторен дистрес или хранително нарушение. </w:t>
      </w:r>
    </w:p>
    <w:p w14:paraId="71F55D1E" w14:textId="025C7B3D" w:rsidR="00B26D4A" w:rsidRPr="00B26D4A" w:rsidRDefault="00B26D4A" w:rsidP="00B26D4A">
      <w:pPr>
        <w:spacing w:line="240" w:lineRule="auto"/>
        <w:rPr>
          <w:rFonts w:eastAsia="Times New Roman" w:cs="Arial"/>
          <w:sz w:val="24"/>
          <w:szCs w:val="24"/>
          <w:lang w:eastAsia="bg-BG"/>
        </w:rPr>
      </w:pPr>
      <w:r w:rsidRPr="00B26D4A">
        <w:rPr>
          <w:rFonts w:eastAsia="Times New Roman" w:cs="Arial"/>
          <w:color w:val="000000"/>
          <w:lang w:eastAsia="bg-BG"/>
        </w:rPr>
        <w:t>Следователно новородените трябва да бъдат внимателно проследявани.</w:t>
      </w:r>
    </w:p>
    <w:p w14:paraId="7AB7B206" w14:textId="77777777" w:rsidR="00B26D4A" w:rsidRPr="002A72CB" w:rsidRDefault="00B26D4A" w:rsidP="00B26D4A">
      <w:pPr>
        <w:spacing w:line="240" w:lineRule="auto"/>
        <w:rPr>
          <w:rFonts w:eastAsia="Times New Roman" w:cs="Arial"/>
          <w:color w:val="000000"/>
          <w:lang w:eastAsia="bg-BG"/>
        </w:rPr>
      </w:pPr>
    </w:p>
    <w:p w14:paraId="6D023478" w14:textId="161690A4" w:rsidR="00B26D4A" w:rsidRPr="00B26D4A" w:rsidRDefault="00B26D4A" w:rsidP="00B26D4A">
      <w:pPr>
        <w:spacing w:line="240" w:lineRule="auto"/>
        <w:rPr>
          <w:rFonts w:eastAsia="Times New Roman" w:cs="Arial"/>
          <w:sz w:val="24"/>
          <w:szCs w:val="24"/>
          <w:lang w:eastAsia="bg-BG"/>
        </w:rPr>
      </w:pPr>
      <w:r w:rsidRPr="00B26D4A">
        <w:rPr>
          <w:rFonts w:eastAsia="Times New Roman" w:cs="Arial"/>
          <w:color w:val="000000"/>
          <w:lang w:eastAsia="bg-BG"/>
        </w:rPr>
        <w:t xml:space="preserve">Съобразно това, употребата на Тиаприд </w:t>
      </w:r>
      <w:r w:rsidRPr="00B26D4A">
        <w:rPr>
          <w:rFonts w:eastAsia="Times New Roman" w:cs="Arial"/>
          <w:color w:val="000000"/>
          <w:lang w:val="en-US"/>
        </w:rPr>
        <w:t xml:space="preserve">G.L. </w:t>
      </w:r>
      <w:r w:rsidRPr="00B26D4A">
        <w:rPr>
          <w:rFonts w:eastAsia="Times New Roman" w:cs="Arial"/>
          <w:color w:val="000000"/>
          <w:lang w:eastAsia="bg-BG"/>
        </w:rPr>
        <w:t>трябва да се обсъди, независимо от периода на бременността. При проследяване на новороденото трябва да се имат предвид посочените по- горе ефекти.</w:t>
      </w:r>
    </w:p>
    <w:p w14:paraId="409E1F12" w14:textId="77777777" w:rsidR="00B26D4A" w:rsidRPr="002A72CB" w:rsidRDefault="00B26D4A" w:rsidP="00B26D4A">
      <w:pPr>
        <w:spacing w:line="240" w:lineRule="auto"/>
        <w:rPr>
          <w:rFonts w:eastAsia="Times New Roman" w:cs="Arial"/>
          <w:i/>
          <w:iCs/>
          <w:color w:val="000000"/>
          <w:lang w:eastAsia="bg-BG"/>
        </w:rPr>
      </w:pPr>
    </w:p>
    <w:p w14:paraId="08A3C114" w14:textId="59A240D5" w:rsidR="00B26D4A" w:rsidRPr="002A72CB" w:rsidRDefault="00B26D4A" w:rsidP="002A72CB">
      <w:pPr>
        <w:pStyle w:val="Heading3"/>
        <w:rPr>
          <w:rFonts w:eastAsia="Times New Roman"/>
          <w:b/>
          <w:i/>
          <w:u w:val="single"/>
          <w:lang w:eastAsia="bg-BG"/>
        </w:rPr>
      </w:pPr>
      <w:r w:rsidRPr="002A72CB">
        <w:rPr>
          <w:rFonts w:eastAsia="Times New Roman"/>
          <w:b/>
          <w:i/>
          <w:u w:val="single"/>
          <w:lang w:eastAsia="bg-BG"/>
        </w:rPr>
        <w:t>Кърмене</w:t>
      </w:r>
    </w:p>
    <w:p w14:paraId="0D32DBE2" w14:textId="77777777" w:rsidR="00B26D4A" w:rsidRPr="00B26D4A" w:rsidRDefault="00B26D4A" w:rsidP="00B26D4A">
      <w:pPr>
        <w:spacing w:line="240" w:lineRule="auto"/>
        <w:rPr>
          <w:rFonts w:eastAsia="Times New Roman" w:cs="Arial"/>
          <w:sz w:val="24"/>
          <w:szCs w:val="24"/>
          <w:lang w:eastAsia="bg-BG"/>
        </w:rPr>
      </w:pPr>
      <w:r w:rsidRPr="00B26D4A">
        <w:rPr>
          <w:rFonts w:eastAsia="Times New Roman" w:cs="Arial"/>
          <w:color w:val="000000"/>
          <w:lang w:eastAsia="bg-BG"/>
        </w:rPr>
        <w:t xml:space="preserve">При проучвания върху животни е установено, че Тиаприд </w:t>
      </w:r>
      <w:r w:rsidRPr="00B26D4A">
        <w:rPr>
          <w:rFonts w:eastAsia="Times New Roman" w:cs="Arial"/>
          <w:color w:val="000000"/>
          <w:lang w:val="en-US"/>
        </w:rPr>
        <w:t xml:space="preserve">G.L. </w:t>
      </w:r>
      <w:r w:rsidRPr="00B26D4A">
        <w:rPr>
          <w:rFonts w:eastAsia="Times New Roman" w:cs="Arial"/>
          <w:color w:val="000000"/>
          <w:lang w:eastAsia="bg-BG"/>
        </w:rPr>
        <w:t xml:space="preserve">се екскретира в кърмата. Няма данни за екскрецията на Тиаприд </w:t>
      </w:r>
      <w:r w:rsidRPr="00B26D4A">
        <w:rPr>
          <w:rFonts w:eastAsia="Times New Roman" w:cs="Arial"/>
          <w:color w:val="000000"/>
          <w:lang w:val="en-US"/>
        </w:rPr>
        <w:t xml:space="preserve">G.L. </w:t>
      </w:r>
      <w:r w:rsidRPr="00B26D4A">
        <w:rPr>
          <w:rFonts w:eastAsia="Times New Roman" w:cs="Arial"/>
          <w:color w:val="000000"/>
          <w:lang w:eastAsia="bg-BG"/>
        </w:rPr>
        <w:t xml:space="preserve">в кърмата при хора, затова Тиаприд </w:t>
      </w:r>
      <w:r w:rsidRPr="00B26D4A">
        <w:rPr>
          <w:rFonts w:eastAsia="Times New Roman" w:cs="Arial"/>
          <w:color w:val="000000"/>
          <w:lang w:val="en-US"/>
        </w:rPr>
        <w:t xml:space="preserve">G.L. </w:t>
      </w:r>
      <w:r w:rsidRPr="00B26D4A">
        <w:rPr>
          <w:rFonts w:eastAsia="Times New Roman" w:cs="Arial"/>
          <w:color w:val="000000"/>
          <w:lang w:eastAsia="bg-BG"/>
        </w:rPr>
        <w:t>не трябва да се прилага в периода на кърмене.</w:t>
      </w:r>
    </w:p>
    <w:p w14:paraId="1A841EE7" w14:textId="77777777" w:rsidR="00B26D4A" w:rsidRPr="002A72CB" w:rsidRDefault="00B26D4A" w:rsidP="00B26D4A">
      <w:pPr>
        <w:spacing w:line="240" w:lineRule="auto"/>
        <w:rPr>
          <w:rFonts w:eastAsia="Times New Roman" w:cs="Arial"/>
          <w:i/>
          <w:iCs/>
          <w:color w:val="000000"/>
          <w:lang w:eastAsia="bg-BG"/>
        </w:rPr>
      </w:pPr>
    </w:p>
    <w:p w14:paraId="732A28BE" w14:textId="4A7235BB" w:rsidR="00B26D4A" w:rsidRPr="002A72CB" w:rsidRDefault="00B26D4A" w:rsidP="002A72CB">
      <w:pPr>
        <w:pStyle w:val="Heading3"/>
        <w:rPr>
          <w:rFonts w:eastAsia="Times New Roman"/>
          <w:b/>
          <w:i/>
          <w:u w:val="single"/>
          <w:lang w:eastAsia="bg-BG"/>
        </w:rPr>
      </w:pPr>
      <w:r w:rsidRPr="002A72CB">
        <w:rPr>
          <w:rFonts w:eastAsia="Times New Roman"/>
          <w:b/>
          <w:i/>
          <w:u w:val="single"/>
          <w:lang w:eastAsia="bg-BG"/>
        </w:rPr>
        <w:lastRenderedPageBreak/>
        <w:t>Фертилитет</w:t>
      </w:r>
    </w:p>
    <w:p w14:paraId="102F0D07" w14:textId="3369F158" w:rsidR="007A2185" w:rsidRPr="002A72CB" w:rsidRDefault="00B26D4A" w:rsidP="00B26D4A">
      <w:pPr>
        <w:rPr>
          <w:rFonts w:cs="Arial"/>
        </w:rPr>
      </w:pPr>
      <w:r w:rsidRPr="002A72CB">
        <w:rPr>
          <w:rFonts w:eastAsia="Times New Roman" w:cs="Arial"/>
          <w:color w:val="000000"/>
          <w:lang w:eastAsia="bg-BG"/>
        </w:rPr>
        <w:t xml:space="preserve">Наблюдавано е понижаване на фертилитета при животни, лекувани с Тиаприд </w:t>
      </w:r>
      <w:r w:rsidRPr="002A72CB">
        <w:rPr>
          <w:rFonts w:eastAsia="Times New Roman" w:cs="Arial"/>
          <w:color w:val="000000"/>
          <w:lang w:val="en-US"/>
        </w:rPr>
        <w:t xml:space="preserve">G.L. </w:t>
      </w:r>
      <w:r w:rsidRPr="002A72CB">
        <w:rPr>
          <w:rFonts w:eastAsia="Times New Roman" w:cs="Arial"/>
          <w:color w:val="000000"/>
          <w:lang w:eastAsia="bg-BG"/>
        </w:rPr>
        <w:t xml:space="preserve">При хора, поради взаимодействието с допаминовите рецептори, Тиаприд </w:t>
      </w:r>
      <w:r w:rsidRPr="002A72CB">
        <w:rPr>
          <w:rFonts w:eastAsia="Times New Roman" w:cs="Arial"/>
          <w:color w:val="000000"/>
          <w:lang w:val="en-US"/>
        </w:rPr>
        <w:t xml:space="preserve">G.L. </w:t>
      </w:r>
      <w:r w:rsidRPr="002A72CB">
        <w:rPr>
          <w:rFonts w:eastAsia="Times New Roman" w:cs="Arial"/>
          <w:color w:val="000000"/>
          <w:lang w:eastAsia="bg-BG"/>
        </w:rPr>
        <w:t>може да причини хиперпролактинемия, която може да е свързана с аменорея, ановулация и нарушен фертилитет.</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78136F1E" w:rsidR="0091385D" w:rsidRDefault="0091385D" w:rsidP="0091385D"/>
    <w:p w14:paraId="1C9ABB96" w14:textId="1FBD4761" w:rsidR="007A2185" w:rsidRDefault="00B26D4A" w:rsidP="0091385D">
      <w:r>
        <w:t xml:space="preserve">Дори когато се употребява в препоръчителна доза, Тиаприд </w:t>
      </w:r>
      <w:r>
        <w:rPr>
          <w:lang w:val="en-US"/>
        </w:rPr>
        <w:t xml:space="preserve">G.L. </w:t>
      </w:r>
      <w:r>
        <w:t>може да причини седация, така че способността за активно участие в трафика или за работа с машини може да бъде нарушена (вж. точка 4.8).</w:t>
      </w:r>
    </w:p>
    <w:p w14:paraId="35801A15" w14:textId="77777777" w:rsidR="0091385D" w:rsidRPr="0091385D" w:rsidRDefault="0091385D" w:rsidP="0091385D"/>
    <w:p w14:paraId="4838F52A" w14:textId="058F0B9C" w:rsidR="0091385D" w:rsidRDefault="002C50EE" w:rsidP="007A2185">
      <w:pPr>
        <w:pStyle w:val="Heading2"/>
      </w:pPr>
      <w:r>
        <w:t>4.8. Нежелани лекарствени реакции</w:t>
      </w:r>
    </w:p>
    <w:p w14:paraId="76E0B7A2" w14:textId="5BBD2581" w:rsidR="005B0F27" w:rsidRDefault="005B0F27" w:rsidP="0091385D"/>
    <w:p w14:paraId="623B9A5E" w14:textId="77777777" w:rsidR="00B26D4A" w:rsidRPr="002A72CB" w:rsidRDefault="00B26D4A" w:rsidP="00B26D4A">
      <w:pPr>
        <w:spacing w:line="240" w:lineRule="auto"/>
        <w:rPr>
          <w:rFonts w:eastAsia="Times New Roman" w:cs="Arial"/>
          <w:lang w:eastAsia="bg-BG"/>
        </w:rPr>
      </w:pPr>
      <w:r w:rsidRPr="00B26D4A">
        <w:rPr>
          <w:rFonts w:eastAsia="Times New Roman" w:cs="Arial"/>
          <w:color w:val="000000"/>
          <w:lang w:eastAsia="bg-BG"/>
        </w:rPr>
        <w:t xml:space="preserve">Както всички лекарства, Тиаприд </w:t>
      </w:r>
      <w:r w:rsidRPr="00B26D4A">
        <w:rPr>
          <w:rFonts w:eastAsia="Times New Roman" w:cs="Arial"/>
          <w:color w:val="000000"/>
          <w:lang w:val="en-US"/>
        </w:rPr>
        <w:t xml:space="preserve">G.L. </w:t>
      </w:r>
      <w:r w:rsidRPr="00B26D4A">
        <w:rPr>
          <w:rFonts w:eastAsia="Times New Roman" w:cs="Arial"/>
          <w:color w:val="000000"/>
          <w:lang w:eastAsia="bg-BG"/>
        </w:rPr>
        <w:t>може да има странични ефекти, въпреки че не всеки ги получава.</w:t>
      </w:r>
    </w:p>
    <w:p w14:paraId="7E071525" w14:textId="77777777" w:rsidR="00B26D4A" w:rsidRPr="002A72CB" w:rsidRDefault="00B26D4A" w:rsidP="00B26D4A">
      <w:pPr>
        <w:spacing w:line="240" w:lineRule="auto"/>
        <w:rPr>
          <w:rFonts w:eastAsia="Times New Roman" w:cs="Arial"/>
          <w:lang w:eastAsia="bg-BG"/>
        </w:rPr>
      </w:pPr>
    </w:p>
    <w:p w14:paraId="6093E47A" w14:textId="239DF685" w:rsidR="00B26D4A" w:rsidRPr="00B26D4A" w:rsidRDefault="00B26D4A" w:rsidP="00B26D4A">
      <w:pPr>
        <w:spacing w:line="240" w:lineRule="auto"/>
        <w:rPr>
          <w:rFonts w:eastAsia="Times New Roman" w:cs="Arial"/>
          <w:lang w:eastAsia="bg-BG"/>
        </w:rPr>
      </w:pPr>
      <w:r w:rsidRPr="00B26D4A">
        <w:rPr>
          <w:rFonts w:eastAsia="Times New Roman" w:cs="Arial"/>
          <w:color w:val="000000"/>
          <w:lang w:eastAsia="bg-BG"/>
        </w:rPr>
        <w:t>Нежеланите реакции са класифицирани според тяхната тежест и честота:</w:t>
      </w:r>
    </w:p>
    <w:p w14:paraId="24B0F569" w14:textId="77777777" w:rsidR="00B26D4A" w:rsidRPr="00B26D4A" w:rsidRDefault="00B26D4A" w:rsidP="00B26D4A">
      <w:pPr>
        <w:spacing w:line="240" w:lineRule="auto"/>
        <w:rPr>
          <w:rFonts w:eastAsia="Times New Roman" w:cs="Arial"/>
          <w:lang w:eastAsia="bg-BG"/>
        </w:rPr>
      </w:pPr>
      <w:r w:rsidRPr="00B26D4A">
        <w:rPr>
          <w:rFonts w:eastAsia="Times New Roman" w:cs="Arial"/>
          <w:color w:val="000000"/>
          <w:lang w:eastAsia="bg-BG"/>
        </w:rPr>
        <w:t>Много чести (≥1/10)</w:t>
      </w:r>
    </w:p>
    <w:p w14:paraId="33C395DC" w14:textId="77777777" w:rsidR="00B26D4A" w:rsidRPr="00B26D4A" w:rsidRDefault="00B26D4A" w:rsidP="00B26D4A">
      <w:pPr>
        <w:spacing w:line="240" w:lineRule="auto"/>
        <w:rPr>
          <w:rFonts w:eastAsia="Times New Roman" w:cs="Arial"/>
          <w:lang w:eastAsia="bg-BG"/>
        </w:rPr>
      </w:pPr>
      <w:r w:rsidRPr="00B26D4A">
        <w:rPr>
          <w:rFonts w:eastAsia="Times New Roman" w:cs="Arial"/>
          <w:color w:val="000000"/>
          <w:lang w:eastAsia="bg-BG"/>
        </w:rPr>
        <w:t>Чести (≥1/100 до &lt;1/10)</w:t>
      </w:r>
    </w:p>
    <w:p w14:paraId="7158F528" w14:textId="77777777" w:rsidR="00B26D4A" w:rsidRPr="00B26D4A" w:rsidRDefault="00B26D4A" w:rsidP="00B26D4A">
      <w:pPr>
        <w:spacing w:line="240" w:lineRule="auto"/>
        <w:rPr>
          <w:rFonts w:eastAsia="Times New Roman" w:cs="Arial"/>
          <w:lang w:eastAsia="bg-BG"/>
        </w:rPr>
      </w:pPr>
      <w:r w:rsidRPr="00B26D4A">
        <w:rPr>
          <w:rFonts w:eastAsia="Times New Roman" w:cs="Arial"/>
          <w:color w:val="000000"/>
          <w:lang w:eastAsia="bg-BG"/>
        </w:rPr>
        <w:t>Нечести (≥1/1 000 до &lt;1/100)</w:t>
      </w:r>
    </w:p>
    <w:p w14:paraId="7CC1F05F" w14:textId="77777777" w:rsidR="00B26D4A" w:rsidRPr="00B26D4A" w:rsidRDefault="00B26D4A" w:rsidP="00B26D4A">
      <w:pPr>
        <w:spacing w:line="240" w:lineRule="auto"/>
        <w:rPr>
          <w:rFonts w:eastAsia="Times New Roman" w:cs="Arial"/>
          <w:lang w:eastAsia="bg-BG"/>
        </w:rPr>
      </w:pPr>
      <w:r w:rsidRPr="00B26D4A">
        <w:rPr>
          <w:rFonts w:eastAsia="Times New Roman" w:cs="Arial"/>
          <w:color w:val="000000"/>
          <w:lang w:eastAsia="bg-BG"/>
        </w:rPr>
        <w:t>Редки (≥1/10 000 до &lt;1/1 000)</w:t>
      </w:r>
    </w:p>
    <w:p w14:paraId="372F5BA2" w14:textId="77777777" w:rsidR="00B26D4A" w:rsidRPr="00B26D4A" w:rsidRDefault="00B26D4A" w:rsidP="00B26D4A">
      <w:pPr>
        <w:spacing w:line="240" w:lineRule="auto"/>
        <w:rPr>
          <w:rFonts w:eastAsia="Times New Roman" w:cs="Arial"/>
          <w:lang w:eastAsia="bg-BG"/>
        </w:rPr>
      </w:pPr>
      <w:r w:rsidRPr="00B26D4A">
        <w:rPr>
          <w:rFonts w:eastAsia="Times New Roman" w:cs="Arial"/>
          <w:color w:val="000000"/>
          <w:lang w:eastAsia="bg-BG"/>
        </w:rPr>
        <w:t>Много редки (&lt;1/10 000), с неизвестна честота (от наличните данни не може да бъде направена оценка).</w:t>
      </w:r>
    </w:p>
    <w:p w14:paraId="0F4F7D53" w14:textId="77777777" w:rsidR="00B26D4A" w:rsidRPr="002A72CB" w:rsidRDefault="00B26D4A" w:rsidP="00B26D4A">
      <w:pPr>
        <w:spacing w:line="240" w:lineRule="auto"/>
        <w:rPr>
          <w:rFonts w:eastAsia="Times New Roman" w:cs="Arial"/>
          <w:color w:val="000000"/>
          <w:lang w:eastAsia="bg-BG"/>
        </w:rPr>
      </w:pPr>
    </w:p>
    <w:p w14:paraId="2EDB17B7" w14:textId="3E9FB0D4" w:rsidR="00B26D4A" w:rsidRPr="00B26D4A" w:rsidRDefault="00B26D4A" w:rsidP="00B26D4A">
      <w:pPr>
        <w:spacing w:line="240" w:lineRule="auto"/>
        <w:rPr>
          <w:rFonts w:eastAsia="Times New Roman" w:cs="Arial"/>
          <w:lang w:eastAsia="bg-BG"/>
        </w:rPr>
      </w:pPr>
      <w:r w:rsidRPr="00B26D4A">
        <w:rPr>
          <w:rFonts w:eastAsia="Times New Roman" w:cs="Arial"/>
          <w:color w:val="000000"/>
          <w:lang w:eastAsia="bg-BG"/>
        </w:rPr>
        <w:t>В рамките на всяка група на честота, страничните ефекти се класифицират според тяхната тежест.</w:t>
      </w:r>
    </w:p>
    <w:p w14:paraId="27CB9B69" w14:textId="77777777" w:rsidR="00B26D4A" w:rsidRPr="002A72CB" w:rsidRDefault="00B26D4A" w:rsidP="00B26D4A">
      <w:pPr>
        <w:spacing w:line="240" w:lineRule="auto"/>
        <w:rPr>
          <w:rFonts w:eastAsia="Times New Roman" w:cs="Arial"/>
          <w:color w:val="000000"/>
          <w:lang w:eastAsia="bg-BG"/>
        </w:rPr>
      </w:pPr>
    </w:p>
    <w:p w14:paraId="2629945C" w14:textId="7787977D" w:rsidR="00B26D4A" w:rsidRPr="00B26D4A" w:rsidRDefault="00B26D4A" w:rsidP="00B26D4A">
      <w:pPr>
        <w:spacing w:line="240" w:lineRule="auto"/>
        <w:rPr>
          <w:rFonts w:eastAsia="Times New Roman" w:cs="Arial"/>
          <w:lang w:eastAsia="bg-BG"/>
        </w:rPr>
      </w:pPr>
      <w:r w:rsidRPr="00B26D4A">
        <w:rPr>
          <w:rFonts w:eastAsia="Times New Roman" w:cs="Arial"/>
          <w:color w:val="000000"/>
          <w:lang w:eastAsia="bg-BG"/>
        </w:rPr>
        <w:t>Трябва да се има предвид, че в някои случаи разграничаването на нежеланите реакции от подлежащото заболяване може да е трудно.</w:t>
      </w:r>
    </w:p>
    <w:p w14:paraId="64A01004" w14:textId="77777777" w:rsidR="00B26D4A" w:rsidRPr="002A72CB" w:rsidRDefault="00B26D4A" w:rsidP="00B26D4A">
      <w:pPr>
        <w:spacing w:line="240" w:lineRule="auto"/>
        <w:rPr>
          <w:rFonts w:eastAsia="Times New Roman" w:cs="Arial"/>
          <w:b/>
          <w:bCs/>
          <w:color w:val="000000"/>
          <w:lang w:eastAsia="bg-BG"/>
        </w:rPr>
      </w:pPr>
    </w:p>
    <w:p w14:paraId="242D4ED6" w14:textId="4915CE81" w:rsidR="00B26D4A" w:rsidRPr="00B26D4A" w:rsidRDefault="00B26D4A" w:rsidP="00B26D4A">
      <w:pPr>
        <w:spacing w:line="240" w:lineRule="auto"/>
        <w:rPr>
          <w:rFonts w:eastAsia="Times New Roman" w:cs="Arial"/>
          <w:lang w:eastAsia="bg-BG"/>
        </w:rPr>
      </w:pPr>
      <w:r w:rsidRPr="00B26D4A">
        <w:rPr>
          <w:rFonts w:eastAsia="Times New Roman" w:cs="Arial"/>
          <w:b/>
          <w:bCs/>
          <w:color w:val="000000"/>
          <w:lang w:eastAsia="bg-BG"/>
        </w:rPr>
        <w:t>По време на клиничните изпитвания са наблюдавани следните нежелани ефекти:</w:t>
      </w:r>
    </w:p>
    <w:p w14:paraId="11E14D02" w14:textId="77777777" w:rsidR="00B26D4A" w:rsidRPr="002A72CB" w:rsidRDefault="00B26D4A" w:rsidP="00B26D4A">
      <w:pPr>
        <w:spacing w:line="240" w:lineRule="auto"/>
        <w:rPr>
          <w:rFonts w:eastAsia="Times New Roman" w:cs="Arial"/>
          <w:i/>
          <w:iCs/>
          <w:color w:val="000000"/>
          <w:u w:val="single"/>
          <w:lang w:eastAsia="bg-BG"/>
        </w:rPr>
      </w:pPr>
    </w:p>
    <w:p w14:paraId="7936312B" w14:textId="3E3EFF9F" w:rsidR="00B26D4A" w:rsidRPr="00B26D4A" w:rsidRDefault="00B26D4A" w:rsidP="00B26D4A">
      <w:pPr>
        <w:spacing w:line="240" w:lineRule="auto"/>
        <w:rPr>
          <w:rFonts w:eastAsia="Times New Roman" w:cs="Arial"/>
          <w:lang w:eastAsia="bg-BG"/>
        </w:rPr>
      </w:pPr>
      <w:r w:rsidRPr="00B26D4A">
        <w:rPr>
          <w:rFonts w:eastAsia="Times New Roman" w:cs="Arial"/>
          <w:i/>
          <w:iCs/>
          <w:color w:val="000000"/>
          <w:u w:val="single"/>
          <w:lang w:eastAsia="bg-BG"/>
        </w:rPr>
        <w:t>Ендокринни нарушения</w:t>
      </w:r>
    </w:p>
    <w:p w14:paraId="2F093F20" w14:textId="77777777" w:rsidR="00B26D4A" w:rsidRPr="00B26D4A" w:rsidRDefault="00B26D4A" w:rsidP="00B26D4A">
      <w:pPr>
        <w:spacing w:line="240" w:lineRule="auto"/>
        <w:rPr>
          <w:rFonts w:eastAsia="Times New Roman" w:cs="Arial"/>
          <w:lang w:eastAsia="bg-BG"/>
        </w:rPr>
      </w:pPr>
      <w:r w:rsidRPr="00B26D4A">
        <w:rPr>
          <w:rFonts w:eastAsia="Times New Roman" w:cs="Arial"/>
          <w:color w:val="000000"/>
          <w:lang w:eastAsia="bg-BG"/>
        </w:rPr>
        <w:t>Чести: хиперпролактинемия.</w:t>
      </w:r>
    </w:p>
    <w:p w14:paraId="10C775E3" w14:textId="5FCCC7D0" w:rsidR="00B26D4A" w:rsidRPr="00B26D4A" w:rsidRDefault="00B26D4A" w:rsidP="00B26D4A">
      <w:pPr>
        <w:spacing w:line="240" w:lineRule="auto"/>
        <w:rPr>
          <w:rFonts w:eastAsia="Times New Roman" w:cs="Arial"/>
          <w:color w:val="000000"/>
          <w:lang w:eastAsia="bg-BG"/>
        </w:rPr>
      </w:pPr>
      <w:r w:rsidRPr="00B26D4A">
        <w:rPr>
          <w:rFonts w:eastAsia="Times New Roman" w:cs="Arial"/>
          <w:color w:val="000000"/>
          <w:lang w:eastAsia="bg-BG"/>
        </w:rPr>
        <w:t>В някои случаи може да предизвика галакторея, аменорея, гинекомастия, менструални нарушения или еректилна дисфункция.</w:t>
      </w:r>
    </w:p>
    <w:p w14:paraId="67623959" w14:textId="77777777" w:rsidR="00B26D4A" w:rsidRPr="002A72CB" w:rsidRDefault="00B26D4A" w:rsidP="00B26D4A">
      <w:pPr>
        <w:spacing w:line="240" w:lineRule="auto"/>
        <w:rPr>
          <w:rFonts w:eastAsia="Times New Roman" w:cs="Arial"/>
          <w:i/>
          <w:iCs/>
          <w:color w:val="000000"/>
          <w:u w:val="single"/>
          <w:lang w:eastAsia="bg-BG"/>
        </w:rPr>
      </w:pPr>
    </w:p>
    <w:p w14:paraId="4F022EF9" w14:textId="4E1A70B2" w:rsidR="00B26D4A" w:rsidRPr="00B26D4A" w:rsidRDefault="00B26D4A" w:rsidP="00B26D4A">
      <w:pPr>
        <w:spacing w:line="240" w:lineRule="auto"/>
        <w:rPr>
          <w:rFonts w:eastAsia="Times New Roman" w:cs="Arial"/>
          <w:lang w:eastAsia="bg-BG"/>
        </w:rPr>
      </w:pPr>
      <w:r w:rsidRPr="00B26D4A">
        <w:rPr>
          <w:rFonts w:eastAsia="Times New Roman" w:cs="Arial"/>
          <w:i/>
          <w:iCs/>
          <w:color w:val="000000"/>
          <w:u w:val="single"/>
          <w:lang w:eastAsia="bg-BG"/>
        </w:rPr>
        <w:t>Психични нарушения</w:t>
      </w:r>
    </w:p>
    <w:p w14:paraId="21D0F86D" w14:textId="77777777" w:rsidR="00B26D4A" w:rsidRPr="00B26D4A" w:rsidRDefault="00B26D4A" w:rsidP="00B26D4A">
      <w:pPr>
        <w:spacing w:line="240" w:lineRule="auto"/>
        <w:rPr>
          <w:rFonts w:eastAsia="Times New Roman" w:cs="Arial"/>
          <w:lang w:eastAsia="bg-BG"/>
        </w:rPr>
      </w:pPr>
      <w:r w:rsidRPr="00B26D4A">
        <w:rPr>
          <w:rFonts w:eastAsia="Times New Roman" w:cs="Arial"/>
          <w:color w:val="000000"/>
          <w:lang w:eastAsia="bg-BG"/>
        </w:rPr>
        <w:t>Чести: умора/замаяност/отпадналост, сънливост, безсъние, седация, безпокойство, апатия.</w:t>
      </w:r>
    </w:p>
    <w:p w14:paraId="61F0593B" w14:textId="77777777" w:rsidR="00B26D4A" w:rsidRPr="002A72CB" w:rsidRDefault="00B26D4A" w:rsidP="00B26D4A">
      <w:pPr>
        <w:spacing w:line="240" w:lineRule="auto"/>
        <w:rPr>
          <w:rFonts w:eastAsia="Times New Roman" w:cs="Arial"/>
          <w:i/>
          <w:iCs/>
          <w:color w:val="000000"/>
          <w:u w:val="single"/>
          <w:lang w:eastAsia="bg-BG"/>
        </w:rPr>
      </w:pPr>
    </w:p>
    <w:p w14:paraId="68D72BA3" w14:textId="27898642" w:rsidR="00B26D4A" w:rsidRPr="00B26D4A" w:rsidRDefault="00B26D4A" w:rsidP="00B26D4A">
      <w:pPr>
        <w:spacing w:line="240" w:lineRule="auto"/>
        <w:rPr>
          <w:rFonts w:eastAsia="Times New Roman" w:cs="Arial"/>
          <w:lang w:eastAsia="bg-BG"/>
        </w:rPr>
      </w:pPr>
      <w:r w:rsidRPr="00B26D4A">
        <w:rPr>
          <w:rFonts w:eastAsia="Times New Roman" w:cs="Arial"/>
          <w:i/>
          <w:iCs/>
          <w:color w:val="000000"/>
          <w:u w:val="single"/>
          <w:lang w:eastAsia="bg-BG"/>
        </w:rPr>
        <w:t>Нарушения на нервната система</w:t>
      </w:r>
    </w:p>
    <w:p w14:paraId="21B1F557" w14:textId="77777777" w:rsidR="00B26D4A" w:rsidRPr="00B26D4A" w:rsidRDefault="00B26D4A" w:rsidP="00B26D4A">
      <w:pPr>
        <w:spacing w:line="240" w:lineRule="auto"/>
        <w:rPr>
          <w:rFonts w:eastAsia="Times New Roman" w:cs="Arial"/>
          <w:lang w:eastAsia="bg-BG"/>
        </w:rPr>
      </w:pPr>
      <w:r w:rsidRPr="00B26D4A">
        <w:rPr>
          <w:rFonts w:eastAsia="Times New Roman" w:cs="Arial"/>
          <w:color w:val="000000"/>
          <w:lang w:eastAsia="bg-BG"/>
        </w:rPr>
        <w:t>Чести: замаяност/световъртеж, главоболие, паркинсонизъм и паркинсоноподобни симптоми като тремор, хипертония, хипокинезия и хиперсаливация. Тези симптоми обикновено са обратими при приложение на антипаркинсонови лекарства.</w:t>
      </w:r>
    </w:p>
    <w:p w14:paraId="431DDE60" w14:textId="77777777" w:rsidR="00B26D4A" w:rsidRPr="00B26D4A" w:rsidRDefault="00B26D4A" w:rsidP="00B26D4A">
      <w:pPr>
        <w:spacing w:line="240" w:lineRule="auto"/>
        <w:rPr>
          <w:rFonts w:eastAsia="Times New Roman" w:cs="Arial"/>
          <w:lang w:eastAsia="bg-BG"/>
        </w:rPr>
      </w:pPr>
      <w:r w:rsidRPr="00B26D4A">
        <w:rPr>
          <w:rFonts w:eastAsia="Times New Roman" w:cs="Arial"/>
          <w:color w:val="000000"/>
          <w:lang w:eastAsia="bg-BG"/>
        </w:rPr>
        <w:t>Нечести: акатизия, дистония (като спазъм, окулогирични кризи, тризмус). Тези симптоми обикновено са обратими при приложение на антипаркинсонови лекарства.</w:t>
      </w:r>
    </w:p>
    <w:p w14:paraId="6BE8E58F" w14:textId="77777777" w:rsidR="00B26D4A" w:rsidRPr="00B26D4A" w:rsidRDefault="00B26D4A" w:rsidP="00B26D4A">
      <w:pPr>
        <w:spacing w:line="240" w:lineRule="auto"/>
        <w:rPr>
          <w:rFonts w:eastAsia="Times New Roman" w:cs="Arial"/>
          <w:lang w:eastAsia="bg-BG"/>
        </w:rPr>
      </w:pPr>
      <w:r w:rsidRPr="00B26D4A">
        <w:rPr>
          <w:rFonts w:eastAsia="Times New Roman" w:cs="Arial"/>
          <w:color w:val="000000"/>
          <w:lang w:eastAsia="bg-BG"/>
        </w:rPr>
        <w:t>Редки: тежка дискинезия.</w:t>
      </w:r>
    </w:p>
    <w:p w14:paraId="60BB933C" w14:textId="77777777" w:rsidR="00B26D4A" w:rsidRPr="00B26D4A" w:rsidRDefault="00B26D4A" w:rsidP="00B26D4A">
      <w:pPr>
        <w:spacing w:line="240" w:lineRule="auto"/>
        <w:rPr>
          <w:rFonts w:eastAsia="Times New Roman" w:cs="Arial"/>
          <w:lang w:eastAsia="bg-BG"/>
        </w:rPr>
      </w:pPr>
      <w:r w:rsidRPr="00B26D4A">
        <w:rPr>
          <w:rFonts w:eastAsia="Times New Roman" w:cs="Arial"/>
          <w:color w:val="000000"/>
          <w:lang w:eastAsia="bg-BG"/>
        </w:rPr>
        <w:lastRenderedPageBreak/>
        <w:t>Тези симптоми обикновено са обратими при приложение на антипаркинсонови лекарства.</w:t>
      </w:r>
    </w:p>
    <w:p w14:paraId="376E8FA5" w14:textId="77777777" w:rsidR="00B26D4A" w:rsidRPr="002A72CB" w:rsidRDefault="00B26D4A" w:rsidP="00B26D4A">
      <w:pPr>
        <w:spacing w:line="240" w:lineRule="auto"/>
        <w:rPr>
          <w:rFonts w:eastAsia="Times New Roman" w:cs="Arial"/>
          <w:i/>
          <w:iCs/>
          <w:color w:val="000000"/>
          <w:u w:val="single"/>
          <w:lang w:eastAsia="bg-BG"/>
        </w:rPr>
      </w:pPr>
    </w:p>
    <w:p w14:paraId="170C6168" w14:textId="1A39D35E" w:rsidR="00B26D4A" w:rsidRPr="00B26D4A" w:rsidRDefault="00B26D4A" w:rsidP="00B26D4A">
      <w:pPr>
        <w:spacing w:line="240" w:lineRule="auto"/>
        <w:rPr>
          <w:rFonts w:eastAsia="Times New Roman" w:cs="Arial"/>
          <w:lang w:eastAsia="bg-BG"/>
        </w:rPr>
      </w:pPr>
      <w:r w:rsidRPr="00B26D4A">
        <w:rPr>
          <w:rFonts w:eastAsia="Times New Roman" w:cs="Arial"/>
          <w:i/>
          <w:iCs/>
          <w:color w:val="000000"/>
          <w:u w:val="single"/>
          <w:lang w:eastAsia="bg-BG"/>
        </w:rPr>
        <w:t>Нарушения на възпроизводителната система и гърдата</w:t>
      </w:r>
    </w:p>
    <w:p w14:paraId="510188E1" w14:textId="77777777" w:rsidR="00B26D4A" w:rsidRPr="00B26D4A" w:rsidRDefault="00B26D4A" w:rsidP="00B26D4A">
      <w:pPr>
        <w:spacing w:line="240" w:lineRule="auto"/>
        <w:rPr>
          <w:rFonts w:eastAsia="Times New Roman" w:cs="Arial"/>
          <w:lang w:eastAsia="bg-BG"/>
        </w:rPr>
      </w:pPr>
      <w:r w:rsidRPr="00B26D4A">
        <w:rPr>
          <w:rFonts w:eastAsia="Times New Roman" w:cs="Arial"/>
          <w:color w:val="000000"/>
          <w:lang w:eastAsia="bg-BG"/>
        </w:rPr>
        <w:t>Нечести: галакторея, аменорея, уголемяване на гърдите, болка в гърдите, импотентност.</w:t>
      </w:r>
    </w:p>
    <w:p w14:paraId="7DBEC288" w14:textId="77777777" w:rsidR="00B26D4A" w:rsidRPr="002A72CB" w:rsidRDefault="00B26D4A" w:rsidP="00B26D4A">
      <w:pPr>
        <w:spacing w:line="240" w:lineRule="auto"/>
        <w:rPr>
          <w:rFonts w:eastAsia="Times New Roman" w:cs="Arial"/>
          <w:i/>
          <w:iCs/>
          <w:color w:val="000000"/>
          <w:u w:val="single"/>
          <w:lang w:eastAsia="bg-BG"/>
        </w:rPr>
      </w:pPr>
    </w:p>
    <w:p w14:paraId="42ECFF1F" w14:textId="216D6B6C" w:rsidR="00B26D4A" w:rsidRPr="00B26D4A" w:rsidRDefault="00B26D4A" w:rsidP="00B26D4A">
      <w:pPr>
        <w:spacing w:line="240" w:lineRule="auto"/>
        <w:rPr>
          <w:rFonts w:eastAsia="Times New Roman" w:cs="Arial"/>
          <w:lang w:eastAsia="bg-BG"/>
        </w:rPr>
      </w:pPr>
      <w:r w:rsidRPr="00B26D4A">
        <w:rPr>
          <w:rFonts w:eastAsia="Times New Roman" w:cs="Arial"/>
          <w:i/>
          <w:iCs/>
          <w:color w:val="000000"/>
          <w:u w:val="single"/>
          <w:lang w:eastAsia="bg-BG"/>
        </w:rPr>
        <w:t>Обши нарушения и ефекти на мястото на приложение</w:t>
      </w:r>
    </w:p>
    <w:p w14:paraId="19042ADF" w14:textId="77777777" w:rsidR="00B26D4A" w:rsidRPr="00B26D4A" w:rsidRDefault="00B26D4A" w:rsidP="00B26D4A">
      <w:pPr>
        <w:spacing w:line="240" w:lineRule="auto"/>
        <w:rPr>
          <w:rFonts w:eastAsia="Times New Roman" w:cs="Arial"/>
          <w:lang w:eastAsia="bg-BG"/>
        </w:rPr>
      </w:pPr>
      <w:r w:rsidRPr="00B26D4A">
        <w:rPr>
          <w:rFonts w:eastAsia="Times New Roman" w:cs="Arial"/>
          <w:color w:val="000000"/>
          <w:lang w:eastAsia="bg-BG"/>
        </w:rPr>
        <w:t>Чести: астения, умора</w:t>
      </w:r>
    </w:p>
    <w:p w14:paraId="4FED61FC" w14:textId="77777777" w:rsidR="00B26D4A" w:rsidRPr="00B26D4A" w:rsidRDefault="00B26D4A" w:rsidP="00B26D4A">
      <w:pPr>
        <w:spacing w:line="240" w:lineRule="auto"/>
        <w:rPr>
          <w:rFonts w:eastAsia="Times New Roman" w:cs="Arial"/>
          <w:lang w:eastAsia="bg-BG"/>
        </w:rPr>
      </w:pPr>
      <w:r w:rsidRPr="00B26D4A">
        <w:rPr>
          <w:rFonts w:eastAsia="Times New Roman" w:cs="Arial"/>
          <w:color w:val="000000"/>
          <w:lang w:eastAsia="bg-BG"/>
        </w:rPr>
        <w:t>Нечести: увеличаване на теглото</w:t>
      </w:r>
    </w:p>
    <w:p w14:paraId="60D4EA7E" w14:textId="77777777" w:rsidR="00B26D4A" w:rsidRPr="00B26D4A" w:rsidRDefault="00B26D4A" w:rsidP="00B26D4A">
      <w:pPr>
        <w:spacing w:line="240" w:lineRule="auto"/>
        <w:rPr>
          <w:rFonts w:eastAsia="Times New Roman" w:cs="Arial"/>
          <w:lang w:eastAsia="bg-BG"/>
        </w:rPr>
      </w:pPr>
      <w:r w:rsidRPr="00B26D4A">
        <w:rPr>
          <w:rFonts w:eastAsia="Times New Roman" w:cs="Arial"/>
          <w:color w:val="000000"/>
          <w:lang w:eastAsia="bg-BG"/>
        </w:rPr>
        <w:t>Освен това са докладвани и случаи на проява на постурална хипотония.</w:t>
      </w:r>
    </w:p>
    <w:p w14:paraId="62D506A9" w14:textId="77777777" w:rsidR="00B26D4A" w:rsidRPr="002A72CB" w:rsidRDefault="00B26D4A" w:rsidP="00B26D4A">
      <w:pPr>
        <w:spacing w:line="240" w:lineRule="auto"/>
        <w:rPr>
          <w:rFonts w:eastAsia="Times New Roman" w:cs="Arial"/>
          <w:b/>
          <w:bCs/>
          <w:color w:val="000000"/>
          <w:lang w:eastAsia="bg-BG"/>
        </w:rPr>
      </w:pPr>
    </w:p>
    <w:p w14:paraId="6334DDD4" w14:textId="20150E5F" w:rsidR="00B26D4A" w:rsidRPr="00B26D4A" w:rsidRDefault="00B26D4A" w:rsidP="00B26D4A">
      <w:pPr>
        <w:spacing w:line="240" w:lineRule="auto"/>
        <w:rPr>
          <w:rFonts w:eastAsia="Times New Roman" w:cs="Arial"/>
          <w:lang w:eastAsia="bg-BG"/>
        </w:rPr>
      </w:pPr>
      <w:r w:rsidRPr="00B26D4A">
        <w:rPr>
          <w:rFonts w:eastAsia="Times New Roman" w:cs="Arial"/>
          <w:b/>
          <w:bCs/>
          <w:color w:val="000000"/>
          <w:lang w:eastAsia="bg-BG"/>
        </w:rPr>
        <w:t>Спонтанни съобщения за нежелани реакции в постмаркетинговия нериод</w:t>
      </w:r>
    </w:p>
    <w:p w14:paraId="0B2EDE5B" w14:textId="77777777" w:rsidR="00B26D4A" w:rsidRPr="002A72CB" w:rsidRDefault="00B26D4A" w:rsidP="00B26D4A">
      <w:pPr>
        <w:spacing w:line="240" w:lineRule="auto"/>
        <w:rPr>
          <w:rFonts w:eastAsia="Times New Roman" w:cs="Arial"/>
          <w:i/>
          <w:iCs/>
          <w:color w:val="000000"/>
          <w:u w:val="single"/>
          <w:lang w:eastAsia="bg-BG"/>
        </w:rPr>
      </w:pPr>
    </w:p>
    <w:p w14:paraId="7E2F0A18" w14:textId="486FFC4C" w:rsidR="00B26D4A" w:rsidRPr="00B26D4A" w:rsidRDefault="00B26D4A" w:rsidP="00B26D4A">
      <w:pPr>
        <w:spacing w:line="240" w:lineRule="auto"/>
        <w:rPr>
          <w:rFonts w:eastAsia="Times New Roman" w:cs="Arial"/>
          <w:lang w:eastAsia="bg-BG"/>
        </w:rPr>
      </w:pPr>
      <w:r w:rsidRPr="00B26D4A">
        <w:rPr>
          <w:rFonts w:eastAsia="Times New Roman" w:cs="Arial"/>
          <w:i/>
          <w:iCs/>
          <w:color w:val="000000"/>
          <w:u w:val="single"/>
          <w:lang w:eastAsia="bg-BG"/>
        </w:rPr>
        <w:t>Нарушения на кръвта и лимфната система</w:t>
      </w:r>
    </w:p>
    <w:p w14:paraId="6DA33320" w14:textId="77777777" w:rsidR="00B26D4A" w:rsidRPr="00B26D4A" w:rsidRDefault="00B26D4A" w:rsidP="00B26D4A">
      <w:pPr>
        <w:spacing w:line="240" w:lineRule="auto"/>
        <w:rPr>
          <w:rFonts w:eastAsia="Times New Roman" w:cs="Arial"/>
          <w:lang w:eastAsia="bg-BG"/>
        </w:rPr>
      </w:pPr>
      <w:r w:rsidRPr="00B26D4A">
        <w:rPr>
          <w:rFonts w:eastAsia="Times New Roman" w:cs="Arial"/>
          <w:color w:val="000000"/>
          <w:lang w:eastAsia="bg-BG"/>
        </w:rPr>
        <w:t>С неизвестна честота: Левкопения, неутропения и агранулоцитоза.</w:t>
      </w:r>
    </w:p>
    <w:p w14:paraId="0805252E" w14:textId="77777777" w:rsidR="00B26D4A" w:rsidRPr="002A72CB" w:rsidRDefault="00B26D4A" w:rsidP="00B26D4A">
      <w:pPr>
        <w:spacing w:line="240" w:lineRule="auto"/>
        <w:rPr>
          <w:rFonts w:eastAsia="Times New Roman" w:cs="Arial"/>
          <w:i/>
          <w:iCs/>
          <w:color w:val="000000"/>
          <w:u w:val="single"/>
          <w:lang w:eastAsia="bg-BG"/>
        </w:rPr>
      </w:pPr>
    </w:p>
    <w:p w14:paraId="28ED4EEF" w14:textId="70C31B8F" w:rsidR="00B26D4A" w:rsidRPr="00B26D4A" w:rsidRDefault="00B26D4A" w:rsidP="00B26D4A">
      <w:pPr>
        <w:spacing w:line="240" w:lineRule="auto"/>
        <w:rPr>
          <w:rFonts w:eastAsia="Times New Roman" w:cs="Arial"/>
          <w:lang w:eastAsia="bg-BG"/>
        </w:rPr>
      </w:pPr>
      <w:r w:rsidRPr="00B26D4A">
        <w:rPr>
          <w:rFonts w:eastAsia="Times New Roman" w:cs="Arial"/>
          <w:i/>
          <w:iCs/>
          <w:color w:val="000000"/>
          <w:u w:val="single"/>
          <w:lang w:eastAsia="bg-BG"/>
        </w:rPr>
        <w:t>Нарушения на метаболизма и храненето</w:t>
      </w:r>
    </w:p>
    <w:p w14:paraId="32F9E77D" w14:textId="77777777" w:rsidR="00B26D4A" w:rsidRPr="00B26D4A" w:rsidRDefault="00B26D4A" w:rsidP="00B26D4A">
      <w:pPr>
        <w:spacing w:line="240" w:lineRule="auto"/>
        <w:rPr>
          <w:rFonts w:eastAsia="Times New Roman" w:cs="Arial"/>
          <w:lang w:eastAsia="bg-BG"/>
        </w:rPr>
      </w:pPr>
      <w:r w:rsidRPr="00B26D4A">
        <w:rPr>
          <w:rFonts w:eastAsia="Times New Roman" w:cs="Arial"/>
          <w:color w:val="000000"/>
          <w:lang w:eastAsia="bg-BG"/>
        </w:rPr>
        <w:t>С неизвестна честота: хипонатриемия, синдром на неадекватна секреция на антидиуретичен</w:t>
      </w:r>
    </w:p>
    <w:p w14:paraId="383276E2" w14:textId="77777777" w:rsidR="00B26D4A" w:rsidRPr="00B26D4A" w:rsidRDefault="00B26D4A" w:rsidP="00B26D4A">
      <w:pPr>
        <w:spacing w:line="240" w:lineRule="auto"/>
        <w:rPr>
          <w:rFonts w:eastAsia="Times New Roman" w:cs="Arial"/>
          <w:lang w:eastAsia="bg-BG"/>
        </w:rPr>
      </w:pPr>
      <w:r w:rsidRPr="00B26D4A">
        <w:rPr>
          <w:rFonts w:eastAsia="Times New Roman" w:cs="Arial"/>
          <w:color w:val="000000"/>
          <w:lang w:eastAsia="bg-BG"/>
        </w:rPr>
        <w:t>хормон</w:t>
      </w:r>
    </w:p>
    <w:p w14:paraId="03079917" w14:textId="77777777" w:rsidR="00B26D4A" w:rsidRPr="00B26D4A" w:rsidRDefault="00B26D4A" w:rsidP="00B26D4A">
      <w:pPr>
        <w:spacing w:line="240" w:lineRule="auto"/>
        <w:rPr>
          <w:rFonts w:eastAsia="Times New Roman" w:cs="Arial"/>
          <w:lang w:eastAsia="bg-BG"/>
        </w:rPr>
      </w:pPr>
    </w:p>
    <w:p w14:paraId="5588CACA" w14:textId="77777777" w:rsidR="00B26D4A" w:rsidRPr="00B26D4A" w:rsidRDefault="00B26D4A" w:rsidP="00B26D4A">
      <w:pPr>
        <w:spacing w:line="240" w:lineRule="auto"/>
        <w:rPr>
          <w:rFonts w:eastAsia="Times New Roman" w:cs="Arial"/>
          <w:lang w:eastAsia="bg-BG"/>
        </w:rPr>
      </w:pPr>
      <w:r w:rsidRPr="00B26D4A">
        <w:rPr>
          <w:rFonts w:eastAsia="Times New Roman" w:cs="Arial"/>
          <w:i/>
          <w:iCs/>
          <w:color w:val="000000"/>
          <w:u w:val="single"/>
          <w:lang w:eastAsia="bg-BG"/>
        </w:rPr>
        <w:t>Психични нарушения</w:t>
      </w:r>
    </w:p>
    <w:p w14:paraId="0254AACC" w14:textId="7BD89381" w:rsidR="007A2185" w:rsidRPr="002A72CB" w:rsidRDefault="00B26D4A" w:rsidP="00B26D4A">
      <w:pPr>
        <w:rPr>
          <w:rFonts w:cs="Arial"/>
        </w:rPr>
      </w:pPr>
      <w:r w:rsidRPr="002A72CB">
        <w:rPr>
          <w:rFonts w:eastAsia="Times New Roman" w:cs="Arial"/>
          <w:color w:val="000000"/>
          <w:lang w:eastAsia="bg-BG"/>
        </w:rPr>
        <w:t>С неизвестна честота: обърканост, халюцинации</w:t>
      </w:r>
    </w:p>
    <w:p w14:paraId="443BC107" w14:textId="31A42011" w:rsidR="005B0F27" w:rsidRPr="002A72CB" w:rsidRDefault="005B0F27" w:rsidP="0091385D">
      <w:pPr>
        <w:rPr>
          <w:rFonts w:cs="Arial"/>
        </w:rPr>
      </w:pPr>
    </w:p>
    <w:p w14:paraId="550F357E" w14:textId="77777777" w:rsidR="002A72CB" w:rsidRPr="002A72CB" w:rsidRDefault="002A72CB" w:rsidP="002A72CB">
      <w:pPr>
        <w:spacing w:line="240" w:lineRule="auto"/>
        <w:rPr>
          <w:rFonts w:eastAsia="Times New Roman" w:cs="Arial"/>
          <w:lang w:eastAsia="bg-BG"/>
        </w:rPr>
      </w:pPr>
      <w:r w:rsidRPr="002A72CB">
        <w:rPr>
          <w:rFonts w:eastAsia="Times New Roman" w:cs="Arial"/>
          <w:i/>
          <w:iCs/>
          <w:color w:val="000000"/>
          <w:u w:val="single"/>
          <w:lang w:eastAsia="bg-BG"/>
        </w:rPr>
        <w:t>Нарушения на нервната система</w:t>
      </w:r>
    </w:p>
    <w:p w14:paraId="4383F891" w14:textId="77777777" w:rsidR="002A72CB" w:rsidRPr="002A72CB" w:rsidRDefault="002A72CB" w:rsidP="002A72CB">
      <w:pPr>
        <w:spacing w:line="240" w:lineRule="auto"/>
        <w:rPr>
          <w:rFonts w:eastAsia="Times New Roman" w:cs="Arial"/>
          <w:lang w:eastAsia="bg-BG"/>
        </w:rPr>
      </w:pPr>
      <w:r w:rsidRPr="002A72CB">
        <w:rPr>
          <w:rFonts w:eastAsia="Times New Roman" w:cs="Arial"/>
          <w:color w:val="000000"/>
          <w:lang w:eastAsia="bg-BG"/>
        </w:rPr>
        <w:t>С неизвестна честота: загуба на съзнание/синкоп, конвулсии.</w:t>
      </w:r>
    </w:p>
    <w:p w14:paraId="38E3ABB1" w14:textId="77777777" w:rsidR="002A72CB" w:rsidRPr="002A72CB" w:rsidRDefault="002A72CB" w:rsidP="002A72CB">
      <w:pPr>
        <w:spacing w:line="240" w:lineRule="auto"/>
        <w:rPr>
          <w:rFonts w:eastAsia="Times New Roman" w:cs="Arial"/>
          <w:lang w:eastAsia="bg-BG"/>
        </w:rPr>
      </w:pPr>
      <w:r w:rsidRPr="002A72CB">
        <w:rPr>
          <w:rFonts w:eastAsia="Times New Roman" w:cs="Arial"/>
          <w:color w:val="000000"/>
          <w:lang w:eastAsia="bg-BG"/>
        </w:rPr>
        <w:t>Както при всички невролептици, прилагани повече от 3 месеца, има съобщения за тардивна дискинезия (характеризираща се с ритмични, неволеви движения, предимно на езика и/или лицето). Антипаркинсоновото лечение е неефективно и дори може да доведе до влошаване на симптомите.</w:t>
      </w:r>
    </w:p>
    <w:p w14:paraId="113E770D" w14:textId="77777777" w:rsidR="002A72CB" w:rsidRPr="002A72CB" w:rsidRDefault="002A72CB" w:rsidP="002A72CB">
      <w:pPr>
        <w:spacing w:line="240" w:lineRule="auto"/>
        <w:rPr>
          <w:rFonts w:eastAsia="Times New Roman" w:cs="Arial"/>
          <w:lang w:eastAsia="bg-BG"/>
        </w:rPr>
      </w:pPr>
      <w:r w:rsidRPr="002A72CB">
        <w:rPr>
          <w:rFonts w:eastAsia="Times New Roman" w:cs="Arial"/>
          <w:color w:val="000000"/>
          <w:lang w:eastAsia="bg-BG"/>
        </w:rPr>
        <w:t>Както при всички невролептици, може да се появи невролептичен малигнен синдром (вж. точка 4.4) - усложнение с потенциално фатален изход.</w:t>
      </w:r>
    </w:p>
    <w:p w14:paraId="426F3F11" w14:textId="77777777" w:rsidR="002A72CB" w:rsidRPr="002A72CB" w:rsidRDefault="002A72CB" w:rsidP="002A72CB">
      <w:pPr>
        <w:spacing w:line="240" w:lineRule="auto"/>
        <w:rPr>
          <w:rFonts w:eastAsia="Times New Roman" w:cs="Arial"/>
          <w:i/>
          <w:iCs/>
          <w:color w:val="000000"/>
          <w:u w:val="single"/>
          <w:lang w:eastAsia="bg-BG"/>
        </w:rPr>
      </w:pPr>
    </w:p>
    <w:p w14:paraId="2469E7B8" w14:textId="301F78EF" w:rsidR="002A72CB" w:rsidRPr="002A72CB" w:rsidRDefault="002A72CB" w:rsidP="002A72CB">
      <w:pPr>
        <w:spacing w:line="240" w:lineRule="auto"/>
        <w:rPr>
          <w:rFonts w:eastAsia="Times New Roman" w:cs="Arial"/>
          <w:lang w:eastAsia="bg-BG"/>
        </w:rPr>
      </w:pPr>
      <w:r w:rsidRPr="002A72CB">
        <w:rPr>
          <w:rFonts w:eastAsia="Times New Roman" w:cs="Arial"/>
          <w:i/>
          <w:iCs/>
          <w:color w:val="000000"/>
          <w:u w:val="single"/>
          <w:lang w:eastAsia="bg-BG"/>
        </w:rPr>
        <w:t>Сърдечни нарушения</w:t>
      </w:r>
    </w:p>
    <w:p w14:paraId="0DEB47F4" w14:textId="77777777" w:rsidR="002A72CB" w:rsidRPr="002A72CB" w:rsidRDefault="002A72CB" w:rsidP="002A72CB">
      <w:pPr>
        <w:spacing w:line="240" w:lineRule="auto"/>
        <w:rPr>
          <w:rFonts w:eastAsia="Times New Roman" w:cs="Arial"/>
          <w:lang w:eastAsia="bg-BG"/>
        </w:rPr>
      </w:pPr>
      <w:r w:rsidRPr="002A72CB">
        <w:rPr>
          <w:rFonts w:eastAsia="Times New Roman" w:cs="Arial"/>
          <w:color w:val="000000"/>
          <w:lang w:eastAsia="bg-BG"/>
        </w:rPr>
        <w:t xml:space="preserve">С неизвестна честота: удължаване на </w:t>
      </w:r>
      <w:r w:rsidRPr="002A72CB">
        <w:rPr>
          <w:rFonts w:eastAsia="Times New Roman" w:cs="Arial"/>
          <w:color w:val="000000"/>
          <w:lang w:val="en-US"/>
        </w:rPr>
        <w:t xml:space="preserve">QT </w:t>
      </w:r>
      <w:r w:rsidRPr="002A72CB">
        <w:rPr>
          <w:rFonts w:eastAsia="Times New Roman" w:cs="Arial"/>
          <w:color w:val="000000"/>
          <w:lang w:eastAsia="bg-BG"/>
        </w:rPr>
        <w:t xml:space="preserve">интервала, вентрикуларни аритмии като </w:t>
      </w:r>
      <w:proofErr w:type="spellStart"/>
      <w:r w:rsidRPr="002A72CB">
        <w:rPr>
          <w:rFonts w:eastAsia="Times New Roman" w:cs="Arial"/>
          <w:color w:val="000000"/>
          <w:lang w:val="en-US"/>
        </w:rPr>
        <w:t>torsades</w:t>
      </w:r>
      <w:proofErr w:type="spellEnd"/>
      <w:r w:rsidRPr="002A72CB">
        <w:rPr>
          <w:rFonts w:eastAsia="Times New Roman" w:cs="Arial"/>
          <w:color w:val="000000"/>
          <w:lang w:val="en-US"/>
        </w:rPr>
        <w:t xml:space="preserve"> de pointes, </w:t>
      </w:r>
      <w:r w:rsidRPr="002A72CB">
        <w:rPr>
          <w:rFonts w:eastAsia="Times New Roman" w:cs="Arial"/>
          <w:color w:val="000000"/>
          <w:lang w:eastAsia="bg-BG"/>
        </w:rPr>
        <w:t>вентрикуларна тахикардия, която може да доведе до вентрикуларна фибрилация или сърдечен арест и внезапна смърт (вж. точка 4.4).</w:t>
      </w:r>
    </w:p>
    <w:p w14:paraId="74EC810B" w14:textId="77777777" w:rsidR="002A72CB" w:rsidRPr="002A72CB" w:rsidRDefault="002A72CB" w:rsidP="002A72CB">
      <w:pPr>
        <w:spacing w:line="240" w:lineRule="auto"/>
        <w:rPr>
          <w:rFonts w:eastAsia="Times New Roman" w:cs="Arial"/>
          <w:i/>
          <w:iCs/>
          <w:color w:val="000000"/>
          <w:u w:val="single"/>
          <w:lang w:eastAsia="bg-BG"/>
        </w:rPr>
      </w:pPr>
    </w:p>
    <w:p w14:paraId="16340168" w14:textId="62626C95" w:rsidR="002A72CB" w:rsidRPr="002A72CB" w:rsidRDefault="002A72CB" w:rsidP="002A72CB">
      <w:pPr>
        <w:spacing w:line="240" w:lineRule="auto"/>
        <w:rPr>
          <w:rFonts w:eastAsia="Times New Roman" w:cs="Arial"/>
          <w:lang w:eastAsia="bg-BG"/>
        </w:rPr>
      </w:pPr>
      <w:r w:rsidRPr="002A72CB">
        <w:rPr>
          <w:rFonts w:eastAsia="Times New Roman" w:cs="Arial"/>
          <w:i/>
          <w:iCs/>
          <w:color w:val="000000"/>
          <w:u w:val="single"/>
          <w:lang w:eastAsia="bg-BG"/>
        </w:rPr>
        <w:t>Съдови нарушения</w:t>
      </w:r>
    </w:p>
    <w:p w14:paraId="6426BB3C" w14:textId="77777777" w:rsidR="002A72CB" w:rsidRPr="002A72CB" w:rsidRDefault="002A72CB" w:rsidP="002A72CB">
      <w:pPr>
        <w:spacing w:line="240" w:lineRule="auto"/>
        <w:rPr>
          <w:rFonts w:eastAsia="Times New Roman" w:cs="Arial"/>
          <w:lang w:eastAsia="bg-BG"/>
        </w:rPr>
      </w:pPr>
      <w:r w:rsidRPr="002A72CB">
        <w:rPr>
          <w:rFonts w:eastAsia="Times New Roman" w:cs="Arial"/>
          <w:color w:val="000000"/>
          <w:lang w:eastAsia="bg-BG"/>
        </w:rPr>
        <w:t>С неизвестна честота: венозен тромбоемболизъм (включително случаи на белодробен емболизъм и на дълбока венозна тромбоза), хипотония, обикновено ортостатична.</w:t>
      </w:r>
    </w:p>
    <w:p w14:paraId="7EE2EB1B" w14:textId="77777777" w:rsidR="002A72CB" w:rsidRPr="002A72CB" w:rsidRDefault="002A72CB" w:rsidP="002A72CB">
      <w:pPr>
        <w:spacing w:line="240" w:lineRule="auto"/>
        <w:rPr>
          <w:rFonts w:eastAsia="Times New Roman" w:cs="Arial"/>
          <w:i/>
          <w:iCs/>
          <w:color w:val="000000"/>
          <w:u w:val="single"/>
          <w:lang w:eastAsia="bg-BG"/>
        </w:rPr>
      </w:pPr>
    </w:p>
    <w:p w14:paraId="3CE9DF70" w14:textId="40B87164" w:rsidR="002A72CB" w:rsidRPr="002A72CB" w:rsidRDefault="002A72CB" w:rsidP="002A72CB">
      <w:pPr>
        <w:spacing w:line="240" w:lineRule="auto"/>
        <w:rPr>
          <w:rFonts w:eastAsia="Times New Roman" w:cs="Arial"/>
          <w:lang w:eastAsia="bg-BG"/>
        </w:rPr>
      </w:pPr>
      <w:r w:rsidRPr="002A72CB">
        <w:rPr>
          <w:rFonts w:eastAsia="Times New Roman" w:cs="Arial"/>
          <w:i/>
          <w:iCs/>
          <w:color w:val="000000"/>
          <w:u w:val="single"/>
          <w:lang w:eastAsia="bg-BG"/>
        </w:rPr>
        <w:t>Респираторни, гръдни и медиастинални нарушения</w:t>
      </w:r>
    </w:p>
    <w:p w14:paraId="732DA214" w14:textId="77777777" w:rsidR="002A72CB" w:rsidRPr="002A72CB" w:rsidRDefault="002A72CB" w:rsidP="002A72CB">
      <w:pPr>
        <w:spacing w:line="240" w:lineRule="auto"/>
        <w:rPr>
          <w:rFonts w:eastAsia="Times New Roman" w:cs="Arial"/>
          <w:lang w:eastAsia="bg-BG"/>
        </w:rPr>
      </w:pPr>
      <w:r w:rsidRPr="002A72CB">
        <w:rPr>
          <w:rFonts w:eastAsia="Times New Roman" w:cs="Arial"/>
          <w:color w:val="000000"/>
          <w:lang w:eastAsia="bg-BG"/>
        </w:rPr>
        <w:t>Редки: аспирационна пневмония, респираторна депресия при взаимодействие с други депресанти на централната нервна система.</w:t>
      </w:r>
    </w:p>
    <w:p w14:paraId="514B0786" w14:textId="77777777" w:rsidR="002A72CB" w:rsidRPr="002A72CB" w:rsidRDefault="002A72CB" w:rsidP="002A72CB">
      <w:pPr>
        <w:spacing w:line="240" w:lineRule="auto"/>
        <w:rPr>
          <w:rFonts w:eastAsia="Times New Roman" w:cs="Arial"/>
          <w:i/>
          <w:iCs/>
          <w:color w:val="000000"/>
          <w:u w:val="single"/>
          <w:lang w:eastAsia="bg-BG"/>
        </w:rPr>
      </w:pPr>
    </w:p>
    <w:p w14:paraId="38AFC3AA" w14:textId="6DEA51A5" w:rsidR="002A72CB" w:rsidRPr="002A72CB" w:rsidRDefault="002A72CB" w:rsidP="002A72CB">
      <w:pPr>
        <w:spacing w:line="240" w:lineRule="auto"/>
        <w:rPr>
          <w:rFonts w:eastAsia="Times New Roman" w:cs="Arial"/>
          <w:lang w:eastAsia="bg-BG"/>
        </w:rPr>
      </w:pPr>
      <w:r w:rsidRPr="002A72CB">
        <w:rPr>
          <w:rFonts w:eastAsia="Times New Roman" w:cs="Arial"/>
          <w:i/>
          <w:iCs/>
          <w:color w:val="000000"/>
          <w:u w:val="single"/>
          <w:lang w:eastAsia="bg-BG"/>
        </w:rPr>
        <w:t>Стомашно-чревни нарушения</w:t>
      </w:r>
    </w:p>
    <w:p w14:paraId="49F227E6" w14:textId="77777777" w:rsidR="002A72CB" w:rsidRPr="002A72CB" w:rsidRDefault="002A72CB" w:rsidP="002A72CB">
      <w:pPr>
        <w:spacing w:line="240" w:lineRule="auto"/>
        <w:rPr>
          <w:rFonts w:eastAsia="Times New Roman" w:cs="Arial"/>
          <w:lang w:eastAsia="bg-BG"/>
        </w:rPr>
      </w:pPr>
      <w:r w:rsidRPr="002A72CB">
        <w:rPr>
          <w:rFonts w:eastAsia="Times New Roman" w:cs="Arial"/>
          <w:color w:val="000000"/>
          <w:lang w:eastAsia="bg-BG"/>
        </w:rPr>
        <w:t>С неизвестна честота: констипация, чревна обструкция, илеус.</w:t>
      </w:r>
    </w:p>
    <w:p w14:paraId="6A08C7EA" w14:textId="77777777" w:rsidR="002A72CB" w:rsidRPr="002A72CB" w:rsidRDefault="002A72CB" w:rsidP="002A72CB">
      <w:pPr>
        <w:spacing w:line="240" w:lineRule="auto"/>
        <w:rPr>
          <w:rFonts w:eastAsia="Times New Roman" w:cs="Arial"/>
          <w:i/>
          <w:iCs/>
          <w:color w:val="000000"/>
          <w:u w:val="single"/>
          <w:lang w:eastAsia="bg-BG"/>
        </w:rPr>
      </w:pPr>
    </w:p>
    <w:p w14:paraId="69F185E8" w14:textId="69F7FF44" w:rsidR="002A72CB" w:rsidRPr="002A72CB" w:rsidRDefault="002A72CB" w:rsidP="002A72CB">
      <w:pPr>
        <w:spacing w:line="240" w:lineRule="auto"/>
        <w:rPr>
          <w:rFonts w:eastAsia="Times New Roman" w:cs="Arial"/>
          <w:lang w:eastAsia="bg-BG"/>
        </w:rPr>
      </w:pPr>
      <w:r w:rsidRPr="002A72CB">
        <w:rPr>
          <w:rFonts w:eastAsia="Times New Roman" w:cs="Arial"/>
          <w:i/>
          <w:iCs/>
          <w:color w:val="000000"/>
          <w:u w:val="single"/>
          <w:lang w:eastAsia="bg-BG"/>
        </w:rPr>
        <w:t>Хепатобилиарни нарушения</w:t>
      </w:r>
    </w:p>
    <w:p w14:paraId="71AB0FF0" w14:textId="77777777" w:rsidR="002A72CB" w:rsidRPr="002A72CB" w:rsidRDefault="002A72CB" w:rsidP="002A72CB">
      <w:pPr>
        <w:spacing w:line="240" w:lineRule="auto"/>
        <w:rPr>
          <w:rFonts w:eastAsia="Times New Roman" w:cs="Arial"/>
          <w:lang w:eastAsia="bg-BG"/>
        </w:rPr>
      </w:pPr>
      <w:r w:rsidRPr="002A72CB">
        <w:rPr>
          <w:rFonts w:eastAsia="Times New Roman" w:cs="Arial"/>
          <w:i/>
          <w:iCs/>
          <w:color w:val="000000"/>
          <w:lang w:eastAsia="bg-BG"/>
        </w:rPr>
        <w:t>С</w:t>
      </w:r>
      <w:r w:rsidRPr="002A72CB">
        <w:rPr>
          <w:rFonts w:eastAsia="Times New Roman" w:cs="Arial"/>
          <w:color w:val="000000"/>
          <w:lang w:eastAsia="bg-BG"/>
        </w:rPr>
        <w:t xml:space="preserve"> неизвестна честота: повишени стойности на чернодробните ензими.</w:t>
      </w:r>
    </w:p>
    <w:p w14:paraId="4B47EBEF" w14:textId="77777777" w:rsidR="002A72CB" w:rsidRPr="002A72CB" w:rsidRDefault="002A72CB" w:rsidP="002A72CB">
      <w:pPr>
        <w:spacing w:line="240" w:lineRule="auto"/>
        <w:rPr>
          <w:rFonts w:eastAsia="Times New Roman" w:cs="Arial"/>
          <w:i/>
          <w:iCs/>
          <w:color w:val="000000"/>
          <w:u w:val="single"/>
          <w:lang w:eastAsia="bg-BG"/>
        </w:rPr>
      </w:pPr>
    </w:p>
    <w:p w14:paraId="4A8F514A" w14:textId="466C7EC3" w:rsidR="002A72CB" w:rsidRPr="002A72CB" w:rsidRDefault="002A72CB" w:rsidP="002A72CB">
      <w:pPr>
        <w:spacing w:line="240" w:lineRule="auto"/>
        <w:rPr>
          <w:rFonts w:eastAsia="Times New Roman" w:cs="Arial"/>
          <w:lang w:eastAsia="bg-BG"/>
        </w:rPr>
      </w:pPr>
      <w:r w:rsidRPr="002A72CB">
        <w:rPr>
          <w:rFonts w:eastAsia="Times New Roman" w:cs="Arial"/>
          <w:i/>
          <w:iCs/>
          <w:color w:val="000000"/>
          <w:u w:val="single"/>
          <w:lang w:eastAsia="bg-BG"/>
        </w:rPr>
        <w:lastRenderedPageBreak/>
        <w:t>Нарушения на кожата и подкожната тъкан</w:t>
      </w:r>
    </w:p>
    <w:p w14:paraId="772E5B52" w14:textId="21331BA6" w:rsidR="002A72CB" w:rsidRPr="002A72CB" w:rsidRDefault="002A72CB" w:rsidP="002A72CB">
      <w:pPr>
        <w:spacing w:line="240" w:lineRule="auto"/>
        <w:rPr>
          <w:rFonts w:eastAsia="Times New Roman" w:cs="Arial"/>
          <w:lang w:eastAsia="bg-BG"/>
        </w:rPr>
      </w:pPr>
      <w:r w:rsidRPr="002A72CB">
        <w:rPr>
          <w:rFonts w:eastAsia="Times New Roman" w:cs="Arial"/>
          <w:color w:val="000000"/>
          <w:lang w:eastAsia="bg-BG"/>
        </w:rPr>
        <w:t>С неизвестна честота: обрив, включително еритематозен; макулопапуларен обрив и уртикария.</w:t>
      </w:r>
    </w:p>
    <w:p w14:paraId="1C00DCDC" w14:textId="77777777" w:rsidR="002A72CB" w:rsidRPr="002A72CB" w:rsidRDefault="002A72CB" w:rsidP="002A72CB">
      <w:pPr>
        <w:spacing w:line="240" w:lineRule="auto"/>
        <w:rPr>
          <w:rFonts w:eastAsia="Times New Roman" w:cs="Arial"/>
          <w:i/>
          <w:iCs/>
          <w:color w:val="000000"/>
          <w:u w:val="single"/>
          <w:lang w:eastAsia="bg-BG"/>
        </w:rPr>
      </w:pPr>
    </w:p>
    <w:p w14:paraId="48725804" w14:textId="4347291C" w:rsidR="002A72CB" w:rsidRPr="002A72CB" w:rsidRDefault="002A72CB" w:rsidP="002A72CB">
      <w:pPr>
        <w:spacing w:line="240" w:lineRule="auto"/>
        <w:rPr>
          <w:rFonts w:eastAsia="Times New Roman" w:cs="Arial"/>
          <w:lang w:eastAsia="bg-BG"/>
        </w:rPr>
      </w:pPr>
      <w:r w:rsidRPr="002A72CB">
        <w:rPr>
          <w:rFonts w:eastAsia="Times New Roman" w:cs="Arial"/>
          <w:i/>
          <w:iCs/>
          <w:color w:val="000000"/>
          <w:u w:val="single"/>
          <w:lang w:eastAsia="bg-BG"/>
        </w:rPr>
        <w:t>Нарушения на мускулно-скелетната система и съединителната тъкан</w:t>
      </w:r>
    </w:p>
    <w:p w14:paraId="65A77BC6" w14:textId="77777777" w:rsidR="002A72CB" w:rsidRPr="002A72CB" w:rsidRDefault="002A72CB" w:rsidP="002A72CB">
      <w:pPr>
        <w:spacing w:line="240" w:lineRule="auto"/>
        <w:rPr>
          <w:rFonts w:eastAsia="Times New Roman" w:cs="Arial"/>
          <w:lang w:eastAsia="bg-BG"/>
        </w:rPr>
      </w:pPr>
      <w:r w:rsidRPr="002A72CB">
        <w:rPr>
          <w:rFonts w:eastAsia="Times New Roman" w:cs="Arial"/>
          <w:color w:val="000000"/>
          <w:lang w:eastAsia="bg-BG"/>
        </w:rPr>
        <w:t>С неизвестна честота: повишени стойности на креатинфосфокиназата в кръвта, рабдомиолиза.</w:t>
      </w:r>
    </w:p>
    <w:p w14:paraId="04C0BAA5" w14:textId="77777777" w:rsidR="002A72CB" w:rsidRPr="002A72CB" w:rsidRDefault="002A72CB" w:rsidP="002A72CB">
      <w:pPr>
        <w:spacing w:line="240" w:lineRule="auto"/>
        <w:rPr>
          <w:rFonts w:eastAsia="Times New Roman" w:cs="Arial"/>
          <w:i/>
          <w:iCs/>
          <w:color w:val="000000"/>
          <w:u w:val="single"/>
          <w:lang w:eastAsia="bg-BG"/>
        </w:rPr>
      </w:pPr>
    </w:p>
    <w:p w14:paraId="65445177" w14:textId="6825948C" w:rsidR="002A72CB" w:rsidRPr="002A72CB" w:rsidRDefault="002A72CB" w:rsidP="002A72CB">
      <w:pPr>
        <w:spacing w:line="240" w:lineRule="auto"/>
        <w:rPr>
          <w:rFonts w:eastAsia="Times New Roman" w:cs="Arial"/>
          <w:lang w:eastAsia="bg-BG"/>
        </w:rPr>
      </w:pPr>
      <w:r w:rsidRPr="002A72CB">
        <w:rPr>
          <w:rFonts w:eastAsia="Times New Roman" w:cs="Arial"/>
          <w:i/>
          <w:iCs/>
          <w:color w:val="000000"/>
          <w:u w:val="single"/>
          <w:lang w:eastAsia="bg-BG"/>
        </w:rPr>
        <w:t xml:space="preserve">Нараняване, отравяне и усложнения по време на процедури </w:t>
      </w:r>
      <w:r w:rsidRPr="002A72CB">
        <w:rPr>
          <w:rFonts w:eastAsia="Times New Roman" w:cs="Arial"/>
          <w:color w:val="000000"/>
          <w:lang w:eastAsia="bg-BG"/>
        </w:rPr>
        <w:t>С неизвестна честота: падане.</w:t>
      </w:r>
    </w:p>
    <w:p w14:paraId="50EEF8E3" w14:textId="77777777" w:rsidR="002A72CB" w:rsidRPr="002A72CB" w:rsidRDefault="002A72CB" w:rsidP="002A72CB">
      <w:pPr>
        <w:spacing w:line="240" w:lineRule="auto"/>
        <w:rPr>
          <w:rFonts w:eastAsia="Times New Roman" w:cs="Arial"/>
          <w:b/>
          <w:bCs/>
          <w:color w:val="000000"/>
          <w:lang w:eastAsia="bg-BG"/>
        </w:rPr>
      </w:pPr>
    </w:p>
    <w:p w14:paraId="08F629B6" w14:textId="70C5021D" w:rsidR="002A72CB" w:rsidRPr="002A72CB" w:rsidRDefault="002A72CB" w:rsidP="002A72CB">
      <w:pPr>
        <w:spacing w:line="240" w:lineRule="auto"/>
        <w:rPr>
          <w:rFonts w:eastAsia="Times New Roman" w:cs="Arial"/>
          <w:lang w:eastAsia="bg-BG"/>
        </w:rPr>
      </w:pPr>
      <w:r w:rsidRPr="002A72CB">
        <w:rPr>
          <w:rFonts w:eastAsia="Times New Roman" w:cs="Arial"/>
          <w:b/>
          <w:bCs/>
          <w:color w:val="000000"/>
          <w:lang w:eastAsia="bg-BG"/>
        </w:rPr>
        <w:t>Съобщаване на подозирани нежелани реакции</w:t>
      </w:r>
    </w:p>
    <w:p w14:paraId="006F0006" w14:textId="66AAD8AC" w:rsidR="002A72CB" w:rsidRDefault="002A72CB" w:rsidP="002A72CB">
      <w:r w:rsidRPr="002A72CB">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ул.„Дамян Груев”№ 8, 1303 София, Тел.: +35928903417, уебсайт: </w:t>
      </w:r>
      <w:r w:rsidRPr="002A72CB">
        <w:rPr>
          <w:rFonts w:eastAsia="Times New Roman" w:cs="Arial"/>
          <w:lang w:eastAsia="bg-BG"/>
        </w:rPr>
        <w:fldChar w:fldCharType="begin"/>
      </w:r>
      <w:r w:rsidRPr="002A72CB">
        <w:rPr>
          <w:rFonts w:eastAsia="Times New Roman" w:cs="Arial"/>
          <w:lang w:eastAsia="bg-BG"/>
        </w:rPr>
        <w:instrText xml:space="preserve"> HYPERLINK "http://www.bda.bg" </w:instrText>
      </w:r>
      <w:r w:rsidRPr="002A72CB">
        <w:rPr>
          <w:rFonts w:eastAsia="Times New Roman" w:cs="Arial"/>
          <w:lang w:eastAsia="bg-BG"/>
        </w:rPr>
      </w:r>
      <w:r w:rsidRPr="002A72CB">
        <w:rPr>
          <w:rFonts w:eastAsia="Times New Roman" w:cs="Arial"/>
          <w:lang w:eastAsia="bg-BG"/>
        </w:rPr>
        <w:fldChar w:fldCharType="separate"/>
      </w:r>
      <w:r w:rsidRPr="002A72CB">
        <w:rPr>
          <w:rFonts w:eastAsia="Times New Roman" w:cs="Arial"/>
          <w:color w:val="000000"/>
          <w:u w:val="single"/>
          <w:lang w:val="en-US"/>
        </w:rPr>
        <w:t>www.bda.bg</w:t>
      </w:r>
      <w:r w:rsidRPr="002A72CB">
        <w:rPr>
          <w:rFonts w:eastAsia="Times New Roman" w:cs="Arial"/>
          <w:lang w:eastAsia="bg-BG"/>
        </w:rPr>
        <w:fldChar w:fldCharType="end"/>
      </w:r>
    </w:p>
    <w:p w14:paraId="3F6C22C3" w14:textId="77777777" w:rsidR="002A72CB" w:rsidRPr="0091385D" w:rsidRDefault="002A72CB" w:rsidP="0091385D"/>
    <w:p w14:paraId="0A023CE0" w14:textId="13F87CFD" w:rsidR="00CF77F7" w:rsidRDefault="002C50EE" w:rsidP="004A448E">
      <w:pPr>
        <w:pStyle w:val="Heading2"/>
      </w:pPr>
      <w:r>
        <w:t>4.9. Предозиране</w:t>
      </w:r>
    </w:p>
    <w:p w14:paraId="3EDFC3FC" w14:textId="771B3817" w:rsidR="0091385D" w:rsidRDefault="0091385D" w:rsidP="0091385D"/>
    <w:p w14:paraId="3F77C274" w14:textId="77777777" w:rsidR="002A72CB" w:rsidRPr="002A72CB" w:rsidRDefault="002A72CB" w:rsidP="002A72CB">
      <w:pPr>
        <w:pStyle w:val="Heading3"/>
        <w:rPr>
          <w:rFonts w:eastAsia="Times New Roman"/>
          <w:u w:val="single"/>
          <w:lang w:eastAsia="bg-BG"/>
        </w:rPr>
      </w:pPr>
      <w:r w:rsidRPr="002A72CB">
        <w:rPr>
          <w:rFonts w:eastAsia="Times New Roman"/>
          <w:u w:val="single"/>
          <w:lang w:eastAsia="bg-BG"/>
        </w:rPr>
        <w:t>Симптоми</w:t>
      </w:r>
    </w:p>
    <w:p w14:paraId="706BB4C7" w14:textId="77777777" w:rsidR="002A72CB" w:rsidRPr="002A72CB" w:rsidRDefault="002A72CB" w:rsidP="002A72CB">
      <w:pPr>
        <w:spacing w:line="240" w:lineRule="auto"/>
        <w:rPr>
          <w:rFonts w:eastAsia="Times New Roman" w:cs="Arial"/>
          <w:sz w:val="24"/>
          <w:szCs w:val="24"/>
          <w:lang w:eastAsia="bg-BG"/>
        </w:rPr>
      </w:pPr>
      <w:r w:rsidRPr="002A72CB">
        <w:rPr>
          <w:rFonts w:eastAsia="Times New Roman" w:cs="Arial"/>
          <w:color w:val="000000"/>
          <w:lang w:eastAsia="bg-BG"/>
        </w:rPr>
        <w:t xml:space="preserve">Опитът от предозиране на Тиаприд </w:t>
      </w:r>
      <w:r w:rsidRPr="002A72CB">
        <w:rPr>
          <w:rFonts w:eastAsia="Times New Roman" w:cs="Arial"/>
          <w:color w:val="000000"/>
          <w:lang w:val="en-US"/>
        </w:rPr>
        <w:t xml:space="preserve">G.L. </w:t>
      </w:r>
      <w:r w:rsidRPr="002A72CB">
        <w:rPr>
          <w:rFonts w:eastAsia="Times New Roman" w:cs="Arial"/>
          <w:color w:val="000000"/>
          <w:lang w:eastAsia="bg-BG"/>
        </w:rPr>
        <w:t>е ограничен. Може да се наблюдават сънливост, седация, кома и екстрапирамидни симптоми.</w:t>
      </w:r>
    </w:p>
    <w:p w14:paraId="6F0331EC" w14:textId="77777777" w:rsidR="002A72CB" w:rsidRPr="002A72CB" w:rsidRDefault="002A72CB" w:rsidP="002A72CB">
      <w:pPr>
        <w:spacing w:line="240" w:lineRule="auto"/>
        <w:rPr>
          <w:rFonts w:eastAsia="Times New Roman" w:cs="Arial"/>
          <w:sz w:val="24"/>
          <w:szCs w:val="24"/>
          <w:lang w:eastAsia="bg-BG"/>
        </w:rPr>
      </w:pPr>
      <w:r w:rsidRPr="002A72CB">
        <w:rPr>
          <w:rFonts w:eastAsia="Times New Roman" w:cs="Arial"/>
          <w:color w:val="000000"/>
          <w:lang w:eastAsia="bg-BG"/>
        </w:rPr>
        <w:t>В случаи на тежко предозиране, трябва да се има предвид възможния прием на различни лекарства.</w:t>
      </w:r>
    </w:p>
    <w:p w14:paraId="7D69DBC7" w14:textId="77777777" w:rsidR="002A72CB" w:rsidRPr="002A72CB" w:rsidRDefault="002A72CB" w:rsidP="002A72CB">
      <w:pPr>
        <w:spacing w:line="240" w:lineRule="auto"/>
        <w:rPr>
          <w:rFonts w:eastAsia="Times New Roman" w:cs="Arial"/>
          <w:color w:val="000000"/>
          <w:lang w:eastAsia="bg-BG"/>
        </w:rPr>
      </w:pPr>
    </w:p>
    <w:p w14:paraId="64CC9E2B" w14:textId="3907DB03" w:rsidR="002A72CB" w:rsidRPr="002A72CB" w:rsidRDefault="002A72CB" w:rsidP="002A72CB">
      <w:pPr>
        <w:pStyle w:val="Heading3"/>
        <w:rPr>
          <w:rFonts w:eastAsia="Times New Roman"/>
          <w:u w:val="single"/>
          <w:lang w:eastAsia="bg-BG"/>
        </w:rPr>
      </w:pPr>
      <w:r w:rsidRPr="002A72CB">
        <w:rPr>
          <w:rFonts w:eastAsia="Times New Roman"/>
          <w:u w:val="single"/>
          <w:lang w:eastAsia="bg-BG"/>
        </w:rPr>
        <w:t>Лечение</w:t>
      </w:r>
    </w:p>
    <w:p w14:paraId="6A43B8F3" w14:textId="1820DF0F" w:rsidR="007A2185" w:rsidRPr="002A72CB" w:rsidRDefault="002A72CB" w:rsidP="002A72CB">
      <w:pPr>
        <w:spacing w:line="240" w:lineRule="auto"/>
        <w:rPr>
          <w:rFonts w:eastAsia="Times New Roman" w:cs="Arial"/>
          <w:sz w:val="24"/>
          <w:szCs w:val="24"/>
          <w:lang w:eastAsia="bg-BG"/>
        </w:rPr>
      </w:pPr>
      <w:r w:rsidRPr="002A72CB">
        <w:rPr>
          <w:rFonts w:eastAsia="Times New Roman" w:cs="Arial"/>
          <w:color w:val="000000"/>
          <w:lang w:eastAsia="bg-BG"/>
        </w:rPr>
        <w:t>Не трябва да се използва хемодиализа за отстраняване на активното вещество, защото Тиаприд</w:t>
      </w:r>
      <w:r>
        <w:rPr>
          <w:rFonts w:eastAsia="Times New Roman" w:cs="Arial"/>
          <w:sz w:val="24"/>
          <w:szCs w:val="24"/>
          <w:lang w:eastAsia="bg-BG"/>
        </w:rPr>
        <w:t xml:space="preserve"> </w:t>
      </w:r>
      <w:r w:rsidRPr="002A72CB">
        <w:rPr>
          <w:rFonts w:eastAsia="Times New Roman" w:cs="Arial"/>
          <w:color w:val="000000"/>
          <w:lang w:val="en-US"/>
        </w:rPr>
        <w:t xml:space="preserve">G.L. </w:t>
      </w:r>
      <w:r w:rsidRPr="002A72CB">
        <w:rPr>
          <w:rFonts w:eastAsia="Times New Roman" w:cs="Arial"/>
          <w:color w:val="000000"/>
          <w:lang w:eastAsia="bg-BG"/>
        </w:rPr>
        <w:t>се диализира в умерена степен.</w:t>
      </w:r>
    </w:p>
    <w:p w14:paraId="48FF1584" w14:textId="63A1D6D7" w:rsidR="0091385D" w:rsidRPr="002A72CB" w:rsidRDefault="0091385D" w:rsidP="0091385D">
      <w:pPr>
        <w:rPr>
          <w:rFonts w:cs="Arial"/>
        </w:rPr>
      </w:pPr>
    </w:p>
    <w:p w14:paraId="544B0F68" w14:textId="77777777" w:rsidR="002A72CB" w:rsidRPr="002A72CB" w:rsidRDefault="002A72CB" w:rsidP="002A72CB">
      <w:pPr>
        <w:spacing w:line="240" w:lineRule="auto"/>
        <w:rPr>
          <w:rFonts w:eastAsia="Times New Roman" w:cs="Arial"/>
          <w:sz w:val="24"/>
          <w:szCs w:val="24"/>
          <w:lang w:eastAsia="bg-BG"/>
        </w:rPr>
      </w:pPr>
      <w:r w:rsidRPr="002A72CB">
        <w:rPr>
          <w:rFonts w:eastAsia="Times New Roman" w:cs="Arial"/>
          <w:color w:val="000000"/>
          <w:lang w:eastAsia="bg-BG"/>
        </w:rPr>
        <w:t xml:space="preserve">Няма специфичен антидот на Тиаприд </w:t>
      </w:r>
      <w:r w:rsidRPr="002A72CB">
        <w:rPr>
          <w:rFonts w:eastAsia="Times New Roman" w:cs="Arial"/>
          <w:color w:val="000000"/>
          <w:lang w:val="en-US"/>
        </w:rPr>
        <w:t xml:space="preserve">G.L, </w:t>
      </w:r>
      <w:r w:rsidRPr="002A72CB">
        <w:rPr>
          <w:rFonts w:eastAsia="Times New Roman" w:cs="Arial"/>
          <w:color w:val="000000"/>
          <w:lang w:eastAsia="bg-BG"/>
        </w:rPr>
        <w:t xml:space="preserve">Затова лечението трябва да бъде симптоматично. До възстановяването на пациента е важно да се проведе симптоматично интензивно лечение с мониториране на сърдечните функции (риск от удължаване на </w:t>
      </w:r>
      <w:r w:rsidRPr="002A72CB">
        <w:rPr>
          <w:rFonts w:eastAsia="Times New Roman" w:cs="Arial"/>
          <w:color w:val="000000"/>
          <w:lang w:val="en-US"/>
        </w:rPr>
        <w:t xml:space="preserve">QT </w:t>
      </w:r>
      <w:r w:rsidRPr="002A72CB">
        <w:rPr>
          <w:rFonts w:eastAsia="Times New Roman" w:cs="Arial"/>
          <w:color w:val="000000"/>
          <w:lang w:eastAsia="bg-BG"/>
        </w:rPr>
        <w:t>интервала и последващи вентрикуларни аритмии), както и стриктно проследяване на жизнените функции.</w:t>
      </w:r>
    </w:p>
    <w:p w14:paraId="52BBEF44" w14:textId="5E9AEBF3" w:rsidR="002A72CB" w:rsidRPr="002A72CB" w:rsidRDefault="002A72CB" w:rsidP="002A72CB">
      <w:pPr>
        <w:rPr>
          <w:rFonts w:cs="Arial"/>
        </w:rPr>
      </w:pPr>
      <w:r w:rsidRPr="002A72CB">
        <w:rPr>
          <w:rFonts w:eastAsia="Times New Roman" w:cs="Arial"/>
          <w:color w:val="000000"/>
          <w:lang w:eastAsia="bg-BG"/>
        </w:rPr>
        <w:t>В случаи на остри екстрапирамидни симптоми, трябва да се приложат антихолинергични лекарства.</w:t>
      </w:r>
    </w:p>
    <w:p w14:paraId="55561CF5" w14:textId="77777777" w:rsidR="002A72CB" w:rsidRPr="0091385D" w:rsidRDefault="002A72CB"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73F11A6B" w:rsidR="0091385D" w:rsidRDefault="0091385D" w:rsidP="0091385D"/>
    <w:p w14:paraId="7E0A6F3F" w14:textId="77777777" w:rsidR="002A72CB" w:rsidRPr="002A72CB" w:rsidRDefault="002A72CB" w:rsidP="002A72CB">
      <w:pPr>
        <w:spacing w:line="240" w:lineRule="auto"/>
        <w:rPr>
          <w:rFonts w:eastAsia="Times New Roman" w:cs="Arial"/>
          <w:sz w:val="24"/>
          <w:szCs w:val="24"/>
          <w:lang w:eastAsia="bg-BG"/>
        </w:rPr>
      </w:pPr>
      <w:r w:rsidRPr="002A72CB">
        <w:rPr>
          <w:rFonts w:eastAsia="Times New Roman" w:cs="Arial"/>
          <w:color w:val="000000"/>
          <w:lang w:eastAsia="bg-BG"/>
        </w:rPr>
        <w:t>Фармакотерапевтична група: Психолептици, бензамиди</w:t>
      </w:r>
    </w:p>
    <w:p w14:paraId="715AD1A6" w14:textId="77777777" w:rsidR="002A72CB" w:rsidRPr="002A72CB" w:rsidRDefault="002A72CB" w:rsidP="002A72CB">
      <w:pPr>
        <w:spacing w:line="240" w:lineRule="auto"/>
        <w:rPr>
          <w:rFonts w:eastAsia="Times New Roman" w:cs="Arial"/>
          <w:sz w:val="24"/>
          <w:szCs w:val="24"/>
          <w:lang w:eastAsia="bg-BG"/>
        </w:rPr>
      </w:pPr>
      <w:r w:rsidRPr="002A72CB">
        <w:rPr>
          <w:rFonts w:eastAsia="Times New Roman" w:cs="Arial"/>
          <w:color w:val="000000"/>
          <w:lang w:eastAsia="bg-BG"/>
        </w:rPr>
        <w:t xml:space="preserve">АТС код: </w:t>
      </w:r>
      <w:r w:rsidRPr="002A72CB">
        <w:rPr>
          <w:rFonts w:eastAsia="Times New Roman" w:cs="Arial"/>
          <w:color w:val="000000"/>
          <w:lang w:val="en-US"/>
        </w:rPr>
        <w:t>N05AL03</w:t>
      </w:r>
    </w:p>
    <w:p w14:paraId="2C274C2C" w14:textId="77777777" w:rsidR="002A72CB" w:rsidRPr="002A72CB" w:rsidRDefault="002A72CB" w:rsidP="002A72CB">
      <w:pPr>
        <w:spacing w:line="240" w:lineRule="auto"/>
        <w:rPr>
          <w:rFonts w:eastAsia="Times New Roman" w:cs="Arial"/>
          <w:color w:val="000000"/>
          <w:lang w:eastAsia="bg-BG"/>
        </w:rPr>
      </w:pPr>
    </w:p>
    <w:p w14:paraId="4429C09F" w14:textId="3D4571B0" w:rsidR="002A72CB" w:rsidRPr="002A72CB" w:rsidRDefault="002A72CB" w:rsidP="002A72CB">
      <w:pPr>
        <w:spacing w:line="240" w:lineRule="auto"/>
        <w:rPr>
          <w:rFonts w:eastAsia="Times New Roman" w:cs="Arial"/>
          <w:sz w:val="24"/>
          <w:szCs w:val="24"/>
          <w:lang w:eastAsia="bg-BG"/>
        </w:rPr>
      </w:pPr>
      <w:r w:rsidRPr="002A72CB">
        <w:rPr>
          <w:rFonts w:eastAsia="Times New Roman" w:cs="Arial"/>
          <w:color w:val="000000"/>
          <w:lang w:eastAsia="bg-BG"/>
        </w:rPr>
        <w:lastRenderedPageBreak/>
        <w:t xml:space="preserve">Тиаприд </w:t>
      </w:r>
      <w:r w:rsidRPr="002A72CB">
        <w:rPr>
          <w:rFonts w:eastAsia="Times New Roman" w:cs="Arial"/>
          <w:color w:val="000000"/>
          <w:lang w:val="en-US"/>
        </w:rPr>
        <w:t xml:space="preserve">G.L. </w:t>
      </w:r>
      <w:r w:rsidRPr="002A72CB">
        <w:rPr>
          <w:rFonts w:eastAsia="Times New Roman" w:cs="Arial"/>
          <w:color w:val="000000"/>
          <w:lang w:eastAsia="bg-BG"/>
        </w:rPr>
        <w:t>принадлежи към орто-метокси-субституираните бензамиди (ортопрамиди), група вещества с централно действие.</w:t>
      </w:r>
    </w:p>
    <w:p w14:paraId="10CF5C38" w14:textId="77777777" w:rsidR="002A72CB" w:rsidRPr="002A72CB" w:rsidRDefault="002A72CB" w:rsidP="002A72CB">
      <w:pPr>
        <w:spacing w:line="240" w:lineRule="auto"/>
        <w:rPr>
          <w:rFonts w:eastAsia="Times New Roman" w:cs="Arial"/>
          <w:sz w:val="24"/>
          <w:szCs w:val="24"/>
          <w:lang w:eastAsia="bg-BG"/>
        </w:rPr>
      </w:pPr>
      <w:r w:rsidRPr="002A72CB">
        <w:rPr>
          <w:rFonts w:eastAsia="Times New Roman" w:cs="Arial"/>
          <w:color w:val="000000"/>
          <w:lang w:eastAsia="bg-BG"/>
        </w:rPr>
        <w:t xml:space="preserve">Във фармакологично отношение Тиаприд </w:t>
      </w:r>
      <w:r w:rsidRPr="002A72CB">
        <w:rPr>
          <w:rFonts w:eastAsia="Times New Roman" w:cs="Arial"/>
          <w:color w:val="000000"/>
          <w:lang w:val="en-US"/>
        </w:rPr>
        <w:t xml:space="preserve">G.L. </w:t>
      </w:r>
      <w:r w:rsidRPr="002A72CB">
        <w:rPr>
          <w:rFonts w:eastAsia="Times New Roman" w:cs="Arial"/>
          <w:color w:val="000000"/>
          <w:lang w:eastAsia="bg-BG"/>
        </w:rPr>
        <w:t xml:space="preserve">се характеризира с изразен афинитет към централните допаминергични рецептори, особено предварително сенсибилизирани с допамин. Веществото е с антидопаминергично действие, предимно върху </w:t>
      </w:r>
      <w:r w:rsidRPr="002A72CB">
        <w:rPr>
          <w:rFonts w:eastAsia="Times New Roman" w:cs="Arial"/>
          <w:color w:val="000000"/>
          <w:lang w:val="en-US"/>
        </w:rPr>
        <w:t>D</w:t>
      </w:r>
      <w:r w:rsidRPr="002A72CB">
        <w:rPr>
          <w:rFonts w:eastAsia="Times New Roman" w:cs="Arial"/>
          <w:color w:val="000000"/>
          <w:vertAlign w:val="subscript"/>
          <w:lang w:val="en-US"/>
        </w:rPr>
        <w:t>2</w:t>
      </w:r>
      <w:r w:rsidRPr="002A72CB">
        <w:rPr>
          <w:rFonts w:eastAsia="Times New Roman" w:cs="Arial"/>
          <w:color w:val="000000"/>
          <w:lang w:eastAsia="bg-BG"/>
        </w:rPr>
        <w:t>-допаминовите рецептори, което обуславя неговия антидискинетичен потенциал.</w:t>
      </w:r>
    </w:p>
    <w:p w14:paraId="7E119C9E" w14:textId="77777777" w:rsidR="002A72CB" w:rsidRPr="002A72CB" w:rsidRDefault="002A72CB" w:rsidP="002A72CB">
      <w:pPr>
        <w:spacing w:line="240" w:lineRule="auto"/>
        <w:rPr>
          <w:rFonts w:eastAsia="Times New Roman" w:cs="Arial"/>
          <w:sz w:val="24"/>
          <w:szCs w:val="24"/>
          <w:lang w:eastAsia="bg-BG"/>
        </w:rPr>
      </w:pPr>
      <w:r w:rsidRPr="002A72CB">
        <w:rPr>
          <w:rFonts w:eastAsia="Times New Roman" w:cs="Arial"/>
          <w:color w:val="000000"/>
          <w:lang w:eastAsia="bg-BG"/>
        </w:rPr>
        <w:t xml:space="preserve">За разлика от конвенционалните антипсихотици, Тиаприд </w:t>
      </w:r>
      <w:r w:rsidRPr="002A72CB">
        <w:rPr>
          <w:rFonts w:eastAsia="Times New Roman" w:cs="Arial"/>
          <w:color w:val="000000"/>
          <w:lang w:val="en-US"/>
        </w:rPr>
        <w:t xml:space="preserve">G.L. </w:t>
      </w:r>
      <w:r w:rsidRPr="002A72CB">
        <w:rPr>
          <w:rFonts w:eastAsia="Times New Roman" w:cs="Arial"/>
          <w:color w:val="000000"/>
          <w:lang w:eastAsia="bg-BG"/>
        </w:rPr>
        <w:t>почти не притежава никакво каталептично действие.</w:t>
      </w:r>
    </w:p>
    <w:p w14:paraId="04B25628" w14:textId="77777777" w:rsidR="002A72CB" w:rsidRPr="002A72CB" w:rsidRDefault="002A72CB" w:rsidP="002A72CB">
      <w:pPr>
        <w:spacing w:line="240" w:lineRule="auto"/>
        <w:rPr>
          <w:rFonts w:eastAsia="Times New Roman" w:cs="Arial"/>
          <w:sz w:val="24"/>
          <w:szCs w:val="24"/>
          <w:lang w:eastAsia="bg-BG"/>
        </w:rPr>
      </w:pPr>
      <w:r w:rsidRPr="002A72CB">
        <w:rPr>
          <w:rFonts w:eastAsia="Times New Roman" w:cs="Arial"/>
          <w:color w:val="000000"/>
          <w:lang w:eastAsia="bg-BG"/>
        </w:rPr>
        <w:t xml:space="preserve">Поради тези свойства, Тиаприд </w:t>
      </w:r>
      <w:r w:rsidRPr="002A72CB">
        <w:rPr>
          <w:rFonts w:eastAsia="Times New Roman" w:cs="Arial"/>
          <w:color w:val="000000"/>
          <w:lang w:val="en-US"/>
        </w:rPr>
        <w:t xml:space="preserve">G.L. </w:t>
      </w:r>
      <w:r w:rsidRPr="002A72CB">
        <w:rPr>
          <w:rFonts w:eastAsia="Times New Roman" w:cs="Arial"/>
          <w:color w:val="000000"/>
          <w:lang w:eastAsia="bg-BG"/>
        </w:rPr>
        <w:t>е подходящ за лечение на централно обусловени двигателни нарушения.</w:t>
      </w:r>
    </w:p>
    <w:p w14:paraId="038F692B" w14:textId="48A000A4" w:rsidR="007A2185" w:rsidRPr="002A72CB" w:rsidRDefault="002A72CB" w:rsidP="002A72CB">
      <w:pPr>
        <w:rPr>
          <w:rFonts w:cs="Arial"/>
        </w:rPr>
      </w:pPr>
      <w:r w:rsidRPr="002A72CB">
        <w:rPr>
          <w:rFonts w:eastAsia="Times New Roman" w:cs="Arial"/>
          <w:color w:val="000000"/>
          <w:lang w:eastAsia="bg-BG"/>
        </w:rPr>
        <w:t xml:space="preserve">Фармакологичните и клиничните проучвания показват, че Тиаприд </w:t>
      </w:r>
      <w:r w:rsidRPr="002A72CB">
        <w:rPr>
          <w:rFonts w:eastAsia="Times New Roman" w:cs="Arial"/>
          <w:color w:val="000000"/>
          <w:lang w:val="en-US"/>
        </w:rPr>
        <w:t xml:space="preserve">G.L. </w:t>
      </w:r>
      <w:r w:rsidRPr="002A72CB">
        <w:rPr>
          <w:rFonts w:eastAsia="Times New Roman" w:cs="Arial"/>
          <w:color w:val="000000"/>
          <w:lang w:eastAsia="bg-BG"/>
        </w:rPr>
        <w:t>притежава антиеметични свойства.</w:t>
      </w:r>
    </w:p>
    <w:p w14:paraId="36152471" w14:textId="77777777" w:rsidR="0091385D" w:rsidRPr="0091385D" w:rsidRDefault="0091385D" w:rsidP="0091385D"/>
    <w:p w14:paraId="5031193D" w14:textId="408B9A83" w:rsidR="0091385D" w:rsidRDefault="002C50EE" w:rsidP="007A2185">
      <w:pPr>
        <w:pStyle w:val="Heading2"/>
      </w:pPr>
      <w:r>
        <w:t>5.2. Фармакокинетични свойства</w:t>
      </w:r>
    </w:p>
    <w:p w14:paraId="46B35D05" w14:textId="6A0462F4" w:rsidR="007A2185" w:rsidRDefault="007A2185" w:rsidP="007A2185"/>
    <w:p w14:paraId="4866F91B" w14:textId="77777777" w:rsidR="002A72CB" w:rsidRPr="002A72CB" w:rsidRDefault="002A72CB" w:rsidP="002A72CB">
      <w:pPr>
        <w:pStyle w:val="Heading3"/>
        <w:rPr>
          <w:rFonts w:eastAsia="Times New Roman"/>
          <w:i/>
          <w:u w:val="single"/>
          <w:lang w:eastAsia="bg-BG"/>
        </w:rPr>
      </w:pPr>
      <w:r w:rsidRPr="002A72CB">
        <w:rPr>
          <w:rFonts w:eastAsia="Times New Roman"/>
          <w:i/>
          <w:u w:val="single"/>
          <w:lang w:eastAsia="bg-BG"/>
        </w:rPr>
        <w:t>Абсорбиия</w:t>
      </w:r>
    </w:p>
    <w:p w14:paraId="316F6C55" w14:textId="77777777" w:rsidR="002A72CB" w:rsidRPr="002A72CB" w:rsidRDefault="002A72CB" w:rsidP="002A72CB">
      <w:pPr>
        <w:spacing w:line="240" w:lineRule="auto"/>
        <w:rPr>
          <w:rFonts w:eastAsia="Times New Roman" w:cs="Arial"/>
          <w:sz w:val="24"/>
          <w:szCs w:val="24"/>
          <w:lang w:eastAsia="bg-BG"/>
        </w:rPr>
      </w:pPr>
      <w:r w:rsidRPr="002A72CB">
        <w:rPr>
          <w:rFonts w:eastAsia="Times New Roman" w:cs="Arial"/>
          <w:color w:val="000000"/>
          <w:lang w:eastAsia="bg-BG"/>
        </w:rPr>
        <w:t xml:space="preserve">След перорално приложение на 200 </w:t>
      </w:r>
      <w:r w:rsidRPr="002A72CB">
        <w:rPr>
          <w:rFonts w:eastAsia="Times New Roman" w:cs="Arial"/>
          <w:color w:val="000000"/>
          <w:lang w:val="en-US"/>
        </w:rPr>
        <w:t xml:space="preserve">mg </w:t>
      </w:r>
      <w:r w:rsidRPr="002A72CB">
        <w:rPr>
          <w:rFonts w:eastAsia="Times New Roman" w:cs="Arial"/>
          <w:color w:val="000000"/>
          <w:lang w:eastAsia="bg-BG"/>
        </w:rPr>
        <w:t xml:space="preserve">Тиаприд </w:t>
      </w:r>
      <w:r w:rsidRPr="002A72CB">
        <w:rPr>
          <w:rFonts w:eastAsia="Times New Roman" w:cs="Arial"/>
          <w:color w:val="000000"/>
          <w:lang w:val="en-US"/>
        </w:rPr>
        <w:t xml:space="preserve">G.L., </w:t>
      </w:r>
      <w:r w:rsidRPr="002A72CB">
        <w:rPr>
          <w:rFonts w:eastAsia="Times New Roman" w:cs="Arial"/>
          <w:color w:val="000000"/>
          <w:lang w:eastAsia="bg-BG"/>
        </w:rPr>
        <w:t>максимални плазмени концентрации от</w:t>
      </w:r>
    </w:p>
    <w:p w14:paraId="1A9BC575" w14:textId="77777777" w:rsidR="002A72CB" w:rsidRPr="002A72CB" w:rsidRDefault="002A72CB" w:rsidP="002A72CB">
      <w:pPr>
        <w:spacing w:line="240" w:lineRule="auto"/>
        <w:rPr>
          <w:rFonts w:eastAsia="Times New Roman" w:cs="Arial"/>
          <w:sz w:val="24"/>
          <w:szCs w:val="24"/>
          <w:lang w:eastAsia="bg-BG"/>
        </w:rPr>
      </w:pPr>
      <w:r w:rsidRPr="002A72CB">
        <w:rPr>
          <w:rFonts w:eastAsia="Times New Roman" w:cs="Arial"/>
          <w:color w:val="000000"/>
          <w:lang w:eastAsia="bg-BG"/>
        </w:rPr>
        <w:t>1,3 μ</w:t>
      </w:r>
      <w:r w:rsidRPr="002A72CB">
        <w:rPr>
          <w:rFonts w:eastAsia="Times New Roman" w:cs="Arial"/>
          <w:color w:val="000000"/>
          <w:lang w:val="en-US"/>
        </w:rPr>
        <w:t xml:space="preserve">g/ml </w:t>
      </w:r>
      <w:r w:rsidRPr="002A72CB">
        <w:rPr>
          <w:rFonts w:eastAsia="Times New Roman" w:cs="Arial"/>
          <w:color w:val="000000"/>
          <w:lang w:eastAsia="bg-BG"/>
        </w:rPr>
        <w:t xml:space="preserve">се постигат в рамките на 1 час. Абсолютната бионаличност на Тиаприд </w:t>
      </w:r>
      <w:r w:rsidRPr="002A72CB">
        <w:rPr>
          <w:rFonts w:eastAsia="Times New Roman" w:cs="Arial"/>
          <w:color w:val="000000"/>
          <w:lang w:val="en-US"/>
        </w:rPr>
        <w:t xml:space="preserve">G.L. </w:t>
      </w:r>
      <w:r w:rsidRPr="002A72CB">
        <w:rPr>
          <w:rFonts w:eastAsia="Times New Roman" w:cs="Arial"/>
          <w:color w:val="000000"/>
          <w:lang w:eastAsia="bg-BG"/>
        </w:rPr>
        <w:t>е 75%. С</w:t>
      </w:r>
      <w:r w:rsidRPr="002A72CB">
        <w:rPr>
          <w:rFonts w:eastAsia="Times New Roman" w:cs="Arial"/>
          <w:color w:val="000000"/>
          <w:lang w:val="en-US"/>
        </w:rPr>
        <w:t>m</w:t>
      </w:r>
      <w:r w:rsidRPr="002A72CB">
        <w:rPr>
          <w:rFonts w:eastAsia="Times New Roman" w:cs="Arial"/>
          <w:color w:val="000000"/>
          <w:lang w:eastAsia="bg-BG"/>
        </w:rPr>
        <w:t>ах се увеличава с 40% след едновременен прием на храна.</w:t>
      </w:r>
    </w:p>
    <w:p w14:paraId="64F2E568" w14:textId="77777777" w:rsidR="002A72CB" w:rsidRPr="002A72CB" w:rsidRDefault="002A72CB" w:rsidP="002A72CB">
      <w:pPr>
        <w:spacing w:line="240" w:lineRule="auto"/>
        <w:rPr>
          <w:rFonts w:eastAsia="Times New Roman" w:cs="Arial"/>
          <w:sz w:val="24"/>
          <w:szCs w:val="24"/>
          <w:lang w:eastAsia="bg-BG"/>
        </w:rPr>
      </w:pPr>
      <w:r w:rsidRPr="002A72CB">
        <w:rPr>
          <w:rFonts w:eastAsia="Times New Roman" w:cs="Arial"/>
          <w:color w:val="000000"/>
          <w:lang w:eastAsia="bg-BG"/>
        </w:rPr>
        <w:t>Абсорбцията е забавена при хора в старческа възраст.</w:t>
      </w:r>
    </w:p>
    <w:p w14:paraId="3A50D638" w14:textId="77777777" w:rsidR="002A72CB" w:rsidRPr="002A72CB" w:rsidRDefault="002A72CB" w:rsidP="002A72CB">
      <w:pPr>
        <w:spacing w:line="240" w:lineRule="auto"/>
        <w:rPr>
          <w:rFonts w:eastAsia="Times New Roman" w:cs="Arial"/>
          <w:i/>
          <w:iCs/>
          <w:color w:val="000000"/>
          <w:u w:val="single"/>
          <w:lang w:eastAsia="bg-BG"/>
        </w:rPr>
      </w:pPr>
    </w:p>
    <w:p w14:paraId="5557A0B2" w14:textId="7641185E" w:rsidR="002A72CB" w:rsidRPr="002A72CB" w:rsidRDefault="002A72CB" w:rsidP="002A72CB">
      <w:pPr>
        <w:pStyle w:val="Heading3"/>
        <w:rPr>
          <w:rFonts w:eastAsia="Times New Roman"/>
          <w:i/>
          <w:u w:val="single"/>
          <w:lang w:eastAsia="bg-BG"/>
        </w:rPr>
      </w:pPr>
      <w:r w:rsidRPr="002A72CB">
        <w:rPr>
          <w:rFonts w:eastAsia="Times New Roman"/>
          <w:i/>
          <w:u w:val="single"/>
          <w:lang w:eastAsia="bg-BG"/>
        </w:rPr>
        <w:t>Разпределение</w:t>
      </w:r>
    </w:p>
    <w:p w14:paraId="1DBCA54F" w14:textId="77777777" w:rsidR="002A72CB" w:rsidRPr="002A72CB" w:rsidRDefault="002A72CB" w:rsidP="002A72CB">
      <w:pPr>
        <w:spacing w:line="240" w:lineRule="auto"/>
        <w:rPr>
          <w:rFonts w:eastAsia="Times New Roman" w:cs="Arial"/>
          <w:sz w:val="24"/>
          <w:szCs w:val="24"/>
          <w:lang w:eastAsia="bg-BG"/>
        </w:rPr>
      </w:pPr>
      <w:r w:rsidRPr="002A72CB">
        <w:rPr>
          <w:rFonts w:eastAsia="Times New Roman" w:cs="Arial"/>
          <w:color w:val="000000"/>
          <w:lang w:eastAsia="bg-BG"/>
        </w:rPr>
        <w:t xml:space="preserve">Тиаприд </w:t>
      </w:r>
      <w:r w:rsidRPr="002A72CB">
        <w:rPr>
          <w:rFonts w:eastAsia="Times New Roman" w:cs="Arial"/>
          <w:color w:val="000000"/>
          <w:lang w:val="en-US"/>
        </w:rPr>
        <w:t xml:space="preserve">G.L. </w:t>
      </w:r>
      <w:r w:rsidRPr="002A72CB">
        <w:rPr>
          <w:rFonts w:eastAsia="Times New Roman" w:cs="Arial"/>
          <w:color w:val="000000"/>
          <w:lang w:eastAsia="bg-BG"/>
        </w:rPr>
        <w:t xml:space="preserve">се разпределя бързо в цялото тяло. Тиаприд </w:t>
      </w:r>
      <w:r w:rsidRPr="002A72CB">
        <w:rPr>
          <w:rFonts w:eastAsia="Times New Roman" w:cs="Arial"/>
          <w:color w:val="000000"/>
          <w:lang w:val="en-US"/>
        </w:rPr>
        <w:t xml:space="preserve">G.L. </w:t>
      </w:r>
      <w:r w:rsidRPr="002A72CB">
        <w:rPr>
          <w:rFonts w:eastAsia="Times New Roman" w:cs="Arial"/>
          <w:color w:val="000000"/>
          <w:lang w:eastAsia="bg-BG"/>
        </w:rPr>
        <w:t xml:space="preserve">преминава през кръвно- мозъчната и плацентарната бариера, без да акумулира. Установена е екскреция в млякото и при животни. Тиаприд </w:t>
      </w:r>
      <w:r w:rsidRPr="002A72CB">
        <w:rPr>
          <w:rFonts w:eastAsia="Times New Roman" w:cs="Arial"/>
          <w:color w:val="000000"/>
          <w:lang w:val="en-US"/>
        </w:rPr>
        <w:t xml:space="preserve">G.L. </w:t>
      </w:r>
      <w:r w:rsidRPr="002A72CB">
        <w:rPr>
          <w:rFonts w:eastAsia="Times New Roman" w:cs="Arial"/>
          <w:color w:val="000000"/>
          <w:lang w:eastAsia="bg-BG"/>
        </w:rPr>
        <w:t>не се свързва с плазмените протеини, но се свързва в малка степен с еритроцитите.</w:t>
      </w:r>
    </w:p>
    <w:p w14:paraId="5592A7ED" w14:textId="77777777" w:rsidR="002A72CB" w:rsidRPr="002A72CB" w:rsidRDefault="002A72CB" w:rsidP="002A72CB">
      <w:pPr>
        <w:spacing w:line="240" w:lineRule="auto"/>
        <w:rPr>
          <w:rFonts w:eastAsia="Times New Roman" w:cs="Arial"/>
          <w:i/>
          <w:iCs/>
          <w:color w:val="000000"/>
          <w:u w:val="single"/>
          <w:lang w:eastAsia="bg-BG"/>
        </w:rPr>
      </w:pPr>
    </w:p>
    <w:p w14:paraId="691E769A" w14:textId="0CE8AF1D" w:rsidR="002A72CB" w:rsidRPr="002A72CB" w:rsidRDefault="002A72CB" w:rsidP="002A72CB">
      <w:pPr>
        <w:pStyle w:val="Heading3"/>
        <w:rPr>
          <w:rFonts w:eastAsia="Times New Roman"/>
          <w:i/>
          <w:u w:val="single"/>
          <w:lang w:eastAsia="bg-BG"/>
        </w:rPr>
      </w:pPr>
      <w:r w:rsidRPr="002A72CB">
        <w:rPr>
          <w:rFonts w:eastAsia="Times New Roman"/>
          <w:i/>
          <w:u w:val="single"/>
          <w:lang w:eastAsia="bg-BG"/>
        </w:rPr>
        <w:t>Елиминиране</w:t>
      </w:r>
    </w:p>
    <w:p w14:paraId="50B8E6E8" w14:textId="77777777" w:rsidR="002A72CB" w:rsidRPr="002A72CB" w:rsidRDefault="002A72CB" w:rsidP="002A72CB">
      <w:pPr>
        <w:spacing w:line="240" w:lineRule="auto"/>
        <w:rPr>
          <w:rFonts w:eastAsia="Times New Roman" w:cs="Arial"/>
          <w:sz w:val="24"/>
          <w:szCs w:val="24"/>
          <w:lang w:eastAsia="bg-BG"/>
        </w:rPr>
      </w:pPr>
      <w:r w:rsidRPr="002A72CB">
        <w:rPr>
          <w:rFonts w:eastAsia="Times New Roman" w:cs="Arial"/>
          <w:color w:val="000000"/>
          <w:lang w:eastAsia="bg-BG"/>
        </w:rPr>
        <w:t xml:space="preserve">Плазменият полуживот на елиминиране е 5,3 часа. 70% от приложената доза се екскретира в непроменен вид в урината (бъбречен клирънс 330 </w:t>
      </w:r>
      <w:r w:rsidRPr="002A72CB">
        <w:rPr>
          <w:rFonts w:eastAsia="Times New Roman" w:cs="Arial"/>
          <w:color w:val="000000"/>
          <w:lang w:val="en-US"/>
        </w:rPr>
        <w:t xml:space="preserve">ml/min) </w:t>
      </w:r>
      <w:r w:rsidRPr="002A72CB">
        <w:rPr>
          <w:rFonts w:eastAsia="Times New Roman" w:cs="Arial"/>
          <w:color w:val="000000"/>
          <w:lang w:eastAsia="bg-BG"/>
        </w:rPr>
        <w:t>и елиминирането корелира с креатининовия клирънс.</w:t>
      </w:r>
    </w:p>
    <w:p w14:paraId="45551830" w14:textId="607F40E0" w:rsidR="007A2185" w:rsidRPr="002A72CB" w:rsidRDefault="002A72CB" w:rsidP="002A72CB">
      <w:pPr>
        <w:rPr>
          <w:rFonts w:cs="Arial"/>
        </w:rPr>
      </w:pPr>
      <w:r w:rsidRPr="002A72CB">
        <w:rPr>
          <w:rFonts w:eastAsia="Times New Roman" w:cs="Arial"/>
          <w:color w:val="000000"/>
          <w:lang w:eastAsia="bg-BG"/>
        </w:rPr>
        <w:t>При пациенти с бъбречно увреждане дозата трябва да се адаптира според степента на увреждане (вж. точка 4.4).</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20E967BE" w14:textId="751DCF54" w:rsidR="0091385D" w:rsidRDefault="0091385D" w:rsidP="0091385D"/>
    <w:p w14:paraId="5D38995F" w14:textId="77777777" w:rsidR="002A72CB" w:rsidRPr="002A72CB" w:rsidRDefault="002A72CB" w:rsidP="002A72CB">
      <w:pPr>
        <w:spacing w:line="240" w:lineRule="auto"/>
        <w:rPr>
          <w:rFonts w:eastAsia="Times New Roman" w:cs="Arial"/>
          <w:sz w:val="24"/>
          <w:szCs w:val="24"/>
          <w:lang w:eastAsia="bg-BG"/>
        </w:rPr>
      </w:pPr>
      <w:r w:rsidRPr="002A72CB">
        <w:rPr>
          <w:rFonts w:eastAsia="Times New Roman" w:cs="Arial"/>
          <w:color w:val="000000"/>
          <w:lang w:eastAsia="bg-BG"/>
        </w:rPr>
        <w:t xml:space="preserve">Потенциалът за остра интоксикация на Тиаприд </w:t>
      </w:r>
      <w:r w:rsidRPr="002A72CB">
        <w:rPr>
          <w:rFonts w:eastAsia="Times New Roman" w:cs="Arial"/>
          <w:color w:val="000000"/>
          <w:lang w:val="en-US"/>
        </w:rPr>
        <w:t xml:space="preserve">G.L. </w:t>
      </w:r>
      <w:r w:rsidRPr="002A72CB">
        <w:rPr>
          <w:rFonts w:eastAsia="Times New Roman" w:cs="Arial"/>
          <w:color w:val="000000"/>
          <w:lang w:eastAsia="bg-BG"/>
        </w:rPr>
        <w:t xml:space="preserve">е нисък. Наблюдавани са конвулси след приложение на многократни дози при кучета и гонадни изменения при кучета и плъхове, които се приписват на допамин-антагонистичния ефект на Тиаприд </w:t>
      </w:r>
      <w:r w:rsidRPr="002A72CB">
        <w:rPr>
          <w:rFonts w:eastAsia="Times New Roman" w:cs="Arial"/>
          <w:color w:val="000000"/>
          <w:lang w:val="en-US"/>
        </w:rPr>
        <w:t xml:space="preserve">G.L. </w:t>
      </w:r>
      <w:r w:rsidRPr="002A72CB">
        <w:rPr>
          <w:rFonts w:eastAsia="Times New Roman" w:cs="Arial"/>
          <w:color w:val="000000"/>
          <w:lang w:eastAsia="bg-BG"/>
        </w:rPr>
        <w:t xml:space="preserve">Не са открити доказателства за тератогенен ефект на Тиаприд </w:t>
      </w:r>
      <w:r w:rsidRPr="002A72CB">
        <w:rPr>
          <w:rFonts w:eastAsia="Times New Roman" w:cs="Arial"/>
          <w:color w:val="000000"/>
          <w:lang w:val="en-US"/>
        </w:rPr>
        <w:t xml:space="preserve">G.L. </w:t>
      </w:r>
      <w:r w:rsidRPr="002A72CB">
        <w:rPr>
          <w:rFonts w:eastAsia="Times New Roman" w:cs="Arial"/>
          <w:color w:val="000000"/>
          <w:lang w:eastAsia="bg-BG"/>
        </w:rPr>
        <w:t>при мишки, плъхове и зайци.</w:t>
      </w:r>
    </w:p>
    <w:p w14:paraId="5F60B697" w14:textId="77777777" w:rsidR="002A72CB" w:rsidRPr="002A72CB" w:rsidRDefault="002A72CB" w:rsidP="002A72CB">
      <w:pPr>
        <w:spacing w:line="240" w:lineRule="auto"/>
        <w:rPr>
          <w:rFonts w:eastAsia="Times New Roman" w:cs="Arial"/>
          <w:sz w:val="24"/>
          <w:szCs w:val="24"/>
          <w:lang w:eastAsia="bg-BG"/>
        </w:rPr>
      </w:pPr>
    </w:p>
    <w:p w14:paraId="20312102" w14:textId="77777777" w:rsidR="002A72CB" w:rsidRPr="002A72CB" w:rsidRDefault="002A72CB" w:rsidP="002A72CB">
      <w:pPr>
        <w:rPr>
          <w:rFonts w:eastAsia="Times New Roman" w:cs="Arial"/>
          <w:sz w:val="24"/>
          <w:szCs w:val="24"/>
          <w:lang w:eastAsia="bg-BG"/>
        </w:rPr>
      </w:pPr>
      <w:r w:rsidRPr="002A72CB">
        <w:rPr>
          <w:rFonts w:eastAsia="Times New Roman" w:cs="Arial"/>
          <w:color w:val="000000"/>
          <w:lang w:eastAsia="bg-BG"/>
        </w:rPr>
        <w:t xml:space="preserve">Стандартните тестове за мутагенност са безрезултатни. При няколко проучвания за канцерогенност при плъхове Тиаприд </w:t>
      </w:r>
      <w:r w:rsidRPr="002A72CB">
        <w:rPr>
          <w:rFonts w:eastAsia="Times New Roman" w:cs="Arial"/>
          <w:color w:val="000000"/>
          <w:lang w:val="en-US"/>
        </w:rPr>
        <w:t xml:space="preserve">G.L. </w:t>
      </w:r>
      <w:r w:rsidRPr="002A72CB">
        <w:rPr>
          <w:rFonts w:eastAsia="Times New Roman" w:cs="Arial"/>
          <w:color w:val="000000"/>
          <w:lang w:eastAsia="bg-BG"/>
        </w:rPr>
        <w:t xml:space="preserve">увеличава честотата на карцином на млечната жлеза. Този ефект може да бъде обяснен с по-високите серумни нива на пролактин по време на лечението с Тиаприд </w:t>
      </w:r>
      <w:r w:rsidRPr="002A72CB">
        <w:rPr>
          <w:rFonts w:eastAsia="Times New Roman" w:cs="Arial"/>
          <w:color w:val="000000"/>
          <w:lang w:val="en-US"/>
        </w:rPr>
        <w:t xml:space="preserve">G.L. </w:t>
      </w:r>
      <w:r w:rsidRPr="002A72CB">
        <w:rPr>
          <w:rFonts w:eastAsia="Times New Roman" w:cs="Arial"/>
          <w:color w:val="000000"/>
          <w:lang w:eastAsia="bg-BG"/>
        </w:rPr>
        <w:t xml:space="preserve">При изследваните животни е наблюдавано </w:t>
      </w:r>
      <w:r w:rsidRPr="002A72CB">
        <w:rPr>
          <w:rFonts w:eastAsia="Times New Roman" w:cs="Arial"/>
          <w:color w:val="000000"/>
          <w:lang w:eastAsia="bg-BG"/>
        </w:rPr>
        <w:lastRenderedPageBreak/>
        <w:t>намаляване на фертилитета в резултат на фармакологичния ефект на активното вещество (пролактин- медииран ефект).</w:t>
      </w:r>
    </w:p>
    <w:p w14:paraId="13A7B62A" w14:textId="17CC00E0" w:rsidR="007A2185" w:rsidRPr="002A72CB" w:rsidRDefault="002A72CB" w:rsidP="002A72CB">
      <w:pPr>
        <w:rPr>
          <w:rFonts w:cs="Arial"/>
        </w:rPr>
      </w:pPr>
      <w:r w:rsidRPr="002A72CB">
        <w:rPr>
          <w:rFonts w:eastAsia="Times New Roman" w:cs="Arial"/>
          <w:color w:val="000000"/>
          <w:lang w:eastAsia="bg-BG"/>
        </w:rPr>
        <w:t>От неклиничните данни не са открити доказателства за тератогенност на тиаприд. Няма данни също и за директни или индиректни увреждащи ефекти на веществото върху бременността, ембрионалното/фетално развитие, раждането или постнаталното развитие.</w:t>
      </w:r>
    </w:p>
    <w:p w14:paraId="12FFA9B2" w14:textId="77777777" w:rsidR="007A2185" w:rsidRPr="0091385D" w:rsidRDefault="007A2185" w:rsidP="0091385D"/>
    <w:p w14:paraId="6A7820AB" w14:textId="353DB6D2" w:rsidR="008A6AF2" w:rsidRDefault="002C50EE" w:rsidP="00395555">
      <w:pPr>
        <w:pStyle w:val="Heading1"/>
      </w:pPr>
      <w:r>
        <w:t>7. ПРИТЕЖАТЕЛ НА РАЗРЕШЕНИЕТО ЗА УПОТРЕБА</w:t>
      </w:r>
    </w:p>
    <w:p w14:paraId="1B9B651E" w14:textId="24042B6C" w:rsidR="0091385D" w:rsidRDefault="0091385D" w:rsidP="0091385D"/>
    <w:p w14:paraId="577BA74D" w14:textId="77777777" w:rsidR="002A72CB" w:rsidRPr="002A72CB" w:rsidRDefault="002A72CB" w:rsidP="002A72CB">
      <w:pPr>
        <w:spacing w:line="240" w:lineRule="auto"/>
        <w:rPr>
          <w:rFonts w:eastAsia="Times New Roman" w:cs="Arial"/>
          <w:sz w:val="24"/>
          <w:szCs w:val="24"/>
          <w:lang w:val="en-US" w:eastAsia="bg-BG"/>
        </w:rPr>
      </w:pPr>
      <w:r w:rsidRPr="002A72CB">
        <w:rPr>
          <w:rFonts w:eastAsia="Times New Roman" w:cs="Arial"/>
          <w:color w:val="000000"/>
          <w:lang w:val="en-US"/>
        </w:rPr>
        <w:t>G.L. Pharma GmbH</w:t>
      </w:r>
    </w:p>
    <w:p w14:paraId="3DCE27B0" w14:textId="77777777" w:rsidR="002A72CB" w:rsidRPr="002A72CB" w:rsidRDefault="002A72CB" w:rsidP="002A72CB">
      <w:pPr>
        <w:spacing w:line="240" w:lineRule="auto"/>
        <w:rPr>
          <w:rFonts w:eastAsia="Times New Roman" w:cs="Arial"/>
          <w:sz w:val="24"/>
          <w:szCs w:val="24"/>
          <w:lang w:val="en-US" w:eastAsia="bg-BG"/>
        </w:rPr>
      </w:pPr>
      <w:proofErr w:type="spellStart"/>
      <w:r w:rsidRPr="002A72CB">
        <w:rPr>
          <w:rFonts w:eastAsia="Times New Roman" w:cs="Arial"/>
          <w:color w:val="000000"/>
          <w:lang w:val="en-US"/>
        </w:rPr>
        <w:t>Schlossplatz</w:t>
      </w:r>
      <w:proofErr w:type="spellEnd"/>
      <w:r w:rsidRPr="002A72CB">
        <w:rPr>
          <w:rFonts w:eastAsia="Times New Roman" w:cs="Arial"/>
          <w:color w:val="000000"/>
          <w:lang w:val="en-US"/>
        </w:rPr>
        <w:t xml:space="preserve"> </w:t>
      </w:r>
      <w:r w:rsidRPr="002A72CB">
        <w:rPr>
          <w:rFonts w:eastAsia="Times New Roman" w:cs="Arial"/>
          <w:color w:val="000000"/>
          <w:lang w:eastAsia="bg-BG"/>
        </w:rPr>
        <w:t>1</w:t>
      </w:r>
    </w:p>
    <w:p w14:paraId="28D5684D" w14:textId="77777777" w:rsidR="002A72CB" w:rsidRPr="002A72CB" w:rsidRDefault="002A72CB" w:rsidP="002A72CB">
      <w:pPr>
        <w:spacing w:line="240" w:lineRule="auto"/>
        <w:rPr>
          <w:rFonts w:eastAsia="Times New Roman" w:cs="Arial"/>
          <w:sz w:val="24"/>
          <w:szCs w:val="24"/>
          <w:lang w:val="en-US" w:eastAsia="bg-BG"/>
        </w:rPr>
      </w:pPr>
      <w:r w:rsidRPr="002A72CB">
        <w:rPr>
          <w:rFonts w:eastAsia="Times New Roman" w:cs="Arial"/>
          <w:color w:val="000000"/>
          <w:lang w:eastAsia="bg-BG"/>
        </w:rPr>
        <w:t xml:space="preserve">8502 </w:t>
      </w:r>
      <w:proofErr w:type="spellStart"/>
      <w:r w:rsidRPr="002A72CB">
        <w:rPr>
          <w:rFonts w:eastAsia="Times New Roman" w:cs="Arial"/>
          <w:color w:val="000000"/>
          <w:lang w:val="en-US"/>
        </w:rPr>
        <w:t>Lannach</w:t>
      </w:r>
      <w:proofErr w:type="spellEnd"/>
    </w:p>
    <w:p w14:paraId="4F02909F" w14:textId="1E0F11E4" w:rsidR="007A2185" w:rsidRPr="002A72CB" w:rsidRDefault="002A72CB" w:rsidP="002A72CB">
      <w:pPr>
        <w:rPr>
          <w:rFonts w:cs="Arial"/>
        </w:rPr>
      </w:pPr>
      <w:r w:rsidRPr="002A72CB">
        <w:rPr>
          <w:rFonts w:eastAsia="Times New Roman" w:cs="Arial"/>
          <w:color w:val="000000"/>
          <w:lang w:eastAsia="bg-BG"/>
        </w:rPr>
        <w:t>Австрия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3072FB0E" w:rsidR="0091385D" w:rsidRDefault="0091385D" w:rsidP="0091385D"/>
    <w:p w14:paraId="46161304" w14:textId="3137322B" w:rsidR="007A2185" w:rsidRPr="002A72CB" w:rsidRDefault="002A72CB" w:rsidP="0091385D">
      <w:pPr>
        <w:rPr>
          <w:rFonts w:cs="Arial"/>
        </w:rPr>
      </w:pPr>
      <w:proofErr w:type="spellStart"/>
      <w:r w:rsidRPr="002A72CB">
        <w:rPr>
          <w:rFonts w:cs="Arial"/>
          <w:lang w:val="en-US"/>
        </w:rPr>
        <w:t>Pe</w:t>
      </w:r>
      <w:proofErr w:type="spellEnd"/>
      <w:r w:rsidRPr="002A72CB">
        <w:rPr>
          <w:rFonts w:cs="Arial"/>
        </w:rPr>
        <w:t>г.</w:t>
      </w:r>
      <w:r w:rsidRPr="002A72CB">
        <w:rPr>
          <w:rFonts w:cs="Arial"/>
          <w:lang w:val="en-US"/>
        </w:rPr>
        <w:t xml:space="preserve"> </w:t>
      </w:r>
      <w:r w:rsidRPr="002A72CB">
        <w:rPr>
          <w:rFonts w:cs="Arial"/>
        </w:rPr>
        <w:t>№: 20160066</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57E44C81" w:rsidR="0091385D" w:rsidRDefault="0091385D" w:rsidP="0091385D"/>
    <w:p w14:paraId="6F9024A4" w14:textId="77777777" w:rsidR="002A72CB" w:rsidRPr="002A72CB" w:rsidRDefault="002A72CB" w:rsidP="002A72CB">
      <w:pPr>
        <w:spacing w:line="240" w:lineRule="auto"/>
        <w:rPr>
          <w:rFonts w:eastAsia="Times New Roman" w:cs="Arial"/>
          <w:sz w:val="24"/>
          <w:szCs w:val="24"/>
          <w:lang w:eastAsia="bg-BG"/>
        </w:rPr>
      </w:pPr>
      <w:r w:rsidRPr="002A72CB">
        <w:rPr>
          <w:rFonts w:eastAsia="Times New Roman" w:cs="Arial"/>
          <w:color w:val="000000"/>
          <w:lang w:eastAsia="bg-BG"/>
        </w:rPr>
        <w:t>Дата на първо разрешаване: 15 февруари 2016</w:t>
      </w:r>
    </w:p>
    <w:p w14:paraId="5039E821" w14:textId="77777777" w:rsidR="002A72CB" w:rsidRPr="002A72CB" w:rsidRDefault="002A72CB" w:rsidP="002A72CB">
      <w:pPr>
        <w:rPr>
          <w:rFonts w:eastAsia="Times New Roman" w:cs="Arial"/>
          <w:color w:val="000000"/>
          <w:lang w:eastAsia="bg-BG"/>
        </w:rPr>
      </w:pPr>
    </w:p>
    <w:p w14:paraId="6C57D8B6" w14:textId="186405A9" w:rsidR="007A2185" w:rsidRPr="002A72CB" w:rsidRDefault="002A72CB" w:rsidP="002A72CB">
      <w:pPr>
        <w:rPr>
          <w:rFonts w:cs="Arial"/>
        </w:rPr>
      </w:pPr>
      <w:r w:rsidRPr="002A72CB">
        <w:rPr>
          <w:rFonts w:eastAsia="Times New Roman" w:cs="Arial"/>
          <w:color w:val="000000"/>
          <w:lang w:eastAsia="bg-BG"/>
        </w:rPr>
        <w:t>Дата на последно подновяване:</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0121B4E2" w:rsidR="0091385D" w:rsidRDefault="0091385D" w:rsidP="0091385D"/>
    <w:p w14:paraId="0524F1D6" w14:textId="043559A0" w:rsidR="007A2185" w:rsidRPr="002A72CB" w:rsidRDefault="002A72CB" w:rsidP="0091385D">
      <w:pPr>
        <w:rPr>
          <w:rFonts w:cs="Arial"/>
        </w:rPr>
      </w:pPr>
      <w:r w:rsidRPr="002A72CB">
        <w:rPr>
          <w:rFonts w:cs="Arial"/>
        </w:rPr>
        <w:t>Януари/2021</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76C102E"/>
    <w:multiLevelType w:val="hybridMultilevel"/>
    <w:tmpl w:val="EC98080E"/>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9433BC7"/>
    <w:multiLevelType w:val="hybridMultilevel"/>
    <w:tmpl w:val="647A2BD6"/>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3A6795"/>
    <w:multiLevelType w:val="hybridMultilevel"/>
    <w:tmpl w:val="0540A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526630"/>
    <w:multiLevelType w:val="hybridMultilevel"/>
    <w:tmpl w:val="9BE2DE78"/>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3710376"/>
    <w:multiLevelType w:val="hybridMultilevel"/>
    <w:tmpl w:val="C82E3524"/>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286167"/>
    <w:multiLevelType w:val="hybridMultilevel"/>
    <w:tmpl w:val="F412F002"/>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E65539"/>
    <w:multiLevelType w:val="hybridMultilevel"/>
    <w:tmpl w:val="89CAA4A8"/>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1"/>
  </w:num>
  <w:num w:numId="2">
    <w:abstractNumId w:val="0"/>
  </w:num>
  <w:num w:numId="3">
    <w:abstractNumId w:val="14"/>
  </w:num>
  <w:num w:numId="4">
    <w:abstractNumId w:val="3"/>
  </w:num>
  <w:num w:numId="5">
    <w:abstractNumId w:val="1"/>
  </w:num>
  <w:num w:numId="6">
    <w:abstractNumId w:val="18"/>
  </w:num>
  <w:num w:numId="7">
    <w:abstractNumId w:val="10"/>
  </w:num>
  <w:num w:numId="8">
    <w:abstractNumId w:val="17"/>
  </w:num>
  <w:num w:numId="9">
    <w:abstractNumId w:val="2"/>
  </w:num>
  <w:num w:numId="10">
    <w:abstractNumId w:val="4"/>
  </w:num>
  <w:num w:numId="11">
    <w:abstractNumId w:val="35"/>
  </w:num>
  <w:num w:numId="12">
    <w:abstractNumId w:val="16"/>
  </w:num>
  <w:num w:numId="13">
    <w:abstractNumId w:val="23"/>
  </w:num>
  <w:num w:numId="14">
    <w:abstractNumId w:val="13"/>
  </w:num>
  <w:num w:numId="15">
    <w:abstractNumId w:val="34"/>
  </w:num>
  <w:num w:numId="16">
    <w:abstractNumId w:val="9"/>
  </w:num>
  <w:num w:numId="17">
    <w:abstractNumId w:val="28"/>
  </w:num>
  <w:num w:numId="18">
    <w:abstractNumId w:val="7"/>
  </w:num>
  <w:num w:numId="19">
    <w:abstractNumId w:val="30"/>
  </w:num>
  <w:num w:numId="20">
    <w:abstractNumId w:val="27"/>
  </w:num>
  <w:num w:numId="21">
    <w:abstractNumId w:val="19"/>
  </w:num>
  <w:num w:numId="22">
    <w:abstractNumId w:val="29"/>
  </w:num>
  <w:num w:numId="23">
    <w:abstractNumId w:val="20"/>
  </w:num>
  <w:num w:numId="24">
    <w:abstractNumId w:val="8"/>
  </w:num>
  <w:num w:numId="25">
    <w:abstractNumId w:val="26"/>
  </w:num>
  <w:num w:numId="26">
    <w:abstractNumId w:val="25"/>
  </w:num>
  <w:num w:numId="27">
    <w:abstractNumId w:val="37"/>
  </w:num>
  <w:num w:numId="28">
    <w:abstractNumId w:val="6"/>
  </w:num>
  <w:num w:numId="29">
    <w:abstractNumId w:val="24"/>
  </w:num>
  <w:num w:numId="30">
    <w:abstractNumId w:val="40"/>
  </w:num>
  <w:num w:numId="31">
    <w:abstractNumId w:val="5"/>
  </w:num>
  <w:num w:numId="32">
    <w:abstractNumId w:val="39"/>
  </w:num>
  <w:num w:numId="33">
    <w:abstractNumId w:val="32"/>
  </w:num>
  <w:num w:numId="34">
    <w:abstractNumId w:val="38"/>
  </w:num>
  <w:num w:numId="35">
    <w:abstractNumId w:val="15"/>
  </w:num>
  <w:num w:numId="36">
    <w:abstractNumId w:val="21"/>
  </w:num>
  <w:num w:numId="37">
    <w:abstractNumId w:val="12"/>
  </w:num>
  <w:num w:numId="38">
    <w:abstractNumId w:val="22"/>
  </w:num>
  <w:num w:numId="39">
    <w:abstractNumId w:val="11"/>
  </w:num>
  <w:num w:numId="40">
    <w:abstractNumId w:val="3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A72CB"/>
    <w:rsid w:val="002B3C38"/>
    <w:rsid w:val="002B4DBB"/>
    <w:rsid w:val="002C50EE"/>
    <w:rsid w:val="00340A0A"/>
    <w:rsid w:val="00347569"/>
    <w:rsid w:val="003765DC"/>
    <w:rsid w:val="00395555"/>
    <w:rsid w:val="003E3126"/>
    <w:rsid w:val="00426E5F"/>
    <w:rsid w:val="004A448E"/>
    <w:rsid w:val="004D4D6B"/>
    <w:rsid w:val="004F1CE7"/>
    <w:rsid w:val="004F498A"/>
    <w:rsid w:val="00517A5B"/>
    <w:rsid w:val="00593A00"/>
    <w:rsid w:val="005A66D9"/>
    <w:rsid w:val="005B0F27"/>
    <w:rsid w:val="00605BCA"/>
    <w:rsid w:val="006158A1"/>
    <w:rsid w:val="00617B1F"/>
    <w:rsid w:val="00672487"/>
    <w:rsid w:val="00672600"/>
    <w:rsid w:val="00681D4A"/>
    <w:rsid w:val="00682341"/>
    <w:rsid w:val="00685882"/>
    <w:rsid w:val="0075649D"/>
    <w:rsid w:val="007A2185"/>
    <w:rsid w:val="007C605B"/>
    <w:rsid w:val="008134C8"/>
    <w:rsid w:val="00814073"/>
    <w:rsid w:val="00826F0D"/>
    <w:rsid w:val="00893B92"/>
    <w:rsid w:val="008A6AF2"/>
    <w:rsid w:val="008C70A2"/>
    <w:rsid w:val="008F1AF3"/>
    <w:rsid w:val="0091385D"/>
    <w:rsid w:val="009773E4"/>
    <w:rsid w:val="00996156"/>
    <w:rsid w:val="009B171C"/>
    <w:rsid w:val="009F1313"/>
    <w:rsid w:val="00A20351"/>
    <w:rsid w:val="00A65A81"/>
    <w:rsid w:val="00A73575"/>
    <w:rsid w:val="00AA23EC"/>
    <w:rsid w:val="00AC63CE"/>
    <w:rsid w:val="00AE2107"/>
    <w:rsid w:val="00B26D4A"/>
    <w:rsid w:val="00B275A8"/>
    <w:rsid w:val="00BB3B9C"/>
    <w:rsid w:val="00BF2600"/>
    <w:rsid w:val="00C0049F"/>
    <w:rsid w:val="00C07B84"/>
    <w:rsid w:val="00C33464"/>
    <w:rsid w:val="00C40420"/>
    <w:rsid w:val="00C809A7"/>
    <w:rsid w:val="00C83063"/>
    <w:rsid w:val="00C87E90"/>
    <w:rsid w:val="00CA1B57"/>
    <w:rsid w:val="00CF77F7"/>
    <w:rsid w:val="00D86297"/>
    <w:rsid w:val="00DD466D"/>
    <w:rsid w:val="00EB6364"/>
    <w:rsid w:val="00EC41ED"/>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3682</Words>
  <Characters>20989</Characters>
  <Application>Microsoft Office Word</Application>
  <DocSecurity>0</DocSecurity>
  <Lines>174</Lines>
  <Paragraphs>49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2023-06-02T01:33:00Z</dcterms:created>
  <dcterms:modified xsi:type="dcterms:W3CDTF">2023-06-02T01:33:00Z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