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73AB317F" w:rsidR="00C40420" w:rsidRDefault="00DD466D" w:rsidP="004A448E">
      <w:pPr>
        <w:pStyle w:val="Heading1"/>
      </w:pPr>
      <w:r>
        <w:t>1.ИМЕ НА ЛЕКАРСТВЕНИЯ ПРОДУКТ</w:t>
      </w:r>
    </w:p>
    <w:p w14:paraId="0996BF2A" w14:textId="773062A1" w:rsidR="00010512" w:rsidRDefault="00010512" w:rsidP="00010512"/>
    <w:p w14:paraId="39131361" w14:textId="77777777" w:rsidR="00010512" w:rsidRPr="00010512" w:rsidRDefault="00010512" w:rsidP="00010512">
      <w:pPr>
        <w:rPr>
          <w:sz w:val="24"/>
          <w:szCs w:val="24"/>
          <w:lang w:val="ru-RU"/>
        </w:rPr>
      </w:pPr>
      <w:r w:rsidRPr="00010512">
        <w:rPr>
          <w:lang w:eastAsia="bg-BG"/>
        </w:rPr>
        <w:t xml:space="preserve">ТИЕНАМ 500 </w:t>
      </w:r>
      <w:r w:rsidRPr="00010512">
        <w:rPr>
          <w:lang w:val="en-US"/>
        </w:rPr>
        <w:t>mg</w:t>
      </w:r>
      <w:r w:rsidRPr="00010512">
        <w:rPr>
          <w:lang w:val="ru-RU"/>
        </w:rPr>
        <w:t xml:space="preserve">/500 </w:t>
      </w:r>
      <w:r w:rsidRPr="00010512">
        <w:rPr>
          <w:lang w:val="en-US"/>
        </w:rPr>
        <w:t>mg</w:t>
      </w:r>
      <w:r w:rsidRPr="00010512">
        <w:rPr>
          <w:lang w:val="ru-RU"/>
        </w:rPr>
        <w:t xml:space="preserve"> </w:t>
      </w:r>
      <w:r w:rsidRPr="00010512">
        <w:rPr>
          <w:lang w:eastAsia="bg-BG"/>
        </w:rPr>
        <w:t>прах за инфузионен разтвор</w:t>
      </w:r>
    </w:p>
    <w:p w14:paraId="2BDB4B47" w14:textId="77777777" w:rsidR="00010512" w:rsidRPr="00010512" w:rsidRDefault="00010512" w:rsidP="00010512">
      <w:pPr>
        <w:rPr>
          <w:sz w:val="24"/>
          <w:szCs w:val="24"/>
          <w:lang w:val="en-US"/>
        </w:rPr>
      </w:pPr>
      <w:r w:rsidRPr="00010512">
        <w:rPr>
          <w:lang w:val="en-US"/>
        </w:rPr>
        <w:t xml:space="preserve">TIENAM </w:t>
      </w:r>
      <w:r w:rsidRPr="00010512">
        <w:rPr>
          <w:lang w:eastAsia="bg-BG"/>
        </w:rPr>
        <w:t xml:space="preserve">500 </w:t>
      </w:r>
      <w:r w:rsidRPr="00010512">
        <w:rPr>
          <w:lang w:val="en-US"/>
        </w:rPr>
        <w:t>mg/500 mg powder for solution for infusion</w:t>
      </w:r>
    </w:p>
    <w:p w14:paraId="1644B96B" w14:textId="77777777" w:rsidR="00010512" w:rsidRPr="00010512" w:rsidRDefault="00010512" w:rsidP="00010512">
      <w:pPr>
        <w:rPr>
          <w:lang w:val="en-US"/>
        </w:rPr>
      </w:pPr>
    </w:p>
    <w:p w14:paraId="6920A680" w14:textId="16E3B0DF" w:rsidR="00C40420" w:rsidRDefault="00DD466D" w:rsidP="004A448E">
      <w:pPr>
        <w:pStyle w:val="Heading1"/>
      </w:pPr>
      <w:r>
        <w:t>2. КАЧЕСТВЕН И КОЛИЧЕСТВЕН СЪСТАВ</w:t>
      </w:r>
    </w:p>
    <w:p w14:paraId="380518D4" w14:textId="3696513C" w:rsidR="00010512" w:rsidRDefault="00010512" w:rsidP="00010512"/>
    <w:p w14:paraId="2CE0AEEF" w14:textId="77777777" w:rsidR="00010512" w:rsidRPr="00010512" w:rsidRDefault="00010512" w:rsidP="00010512">
      <w:pPr>
        <w:rPr>
          <w:sz w:val="24"/>
          <w:szCs w:val="24"/>
        </w:rPr>
      </w:pPr>
      <w:r w:rsidRPr="00010512">
        <w:rPr>
          <w:lang w:eastAsia="bg-BG"/>
        </w:rPr>
        <w:t xml:space="preserve">Всеки флакон съдържа имипенем монохидрат </w:t>
      </w:r>
      <w:r w:rsidRPr="00010512">
        <w:t>(</w:t>
      </w:r>
      <w:proofErr w:type="spellStart"/>
      <w:r w:rsidRPr="00010512">
        <w:rPr>
          <w:lang w:val="en-US"/>
        </w:rPr>
        <w:t>imipenem</w:t>
      </w:r>
      <w:proofErr w:type="spellEnd"/>
      <w:r w:rsidRPr="00010512">
        <w:t xml:space="preserve"> </w:t>
      </w:r>
      <w:r w:rsidRPr="00010512">
        <w:rPr>
          <w:lang w:val="en-US"/>
        </w:rPr>
        <w:t>monohydrate</w:t>
      </w:r>
      <w:r w:rsidRPr="00010512">
        <w:t xml:space="preserve">), </w:t>
      </w:r>
      <w:r w:rsidRPr="00010512">
        <w:rPr>
          <w:lang w:eastAsia="bg-BG"/>
        </w:rPr>
        <w:t xml:space="preserve">еквивалентен на 500 </w:t>
      </w:r>
      <w:r w:rsidRPr="00010512">
        <w:rPr>
          <w:lang w:val="en-US"/>
        </w:rPr>
        <w:t>mg</w:t>
      </w:r>
      <w:r w:rsidRPr="00010512">
        <w:t xml:space="preserve"> </w:t>
      </w:r>
      <w:r w:rsidRPr="00010512">
        <w:rPr>
          <w:lang w:eastAsia="bg-BG"/>
        </w:rPr>
        <w:t xml:space="preserve">имипснсм, безводен, и циластатин натрий </w:t>
      </w:r>
      <w:r w:rsidRPr="00010512">
        <w:t>(</w:t>
      </w:r>
      <w:proofErr w:type="spellStart"/>
      <w:r w:rsidRPr="00010512">
        <w:rPr>
          <w:lang w:val="en-US"/>
        </w:rPr>
        <w:t>cilastatin</w:t>
      </w:r>
      <w:proofErr w:type="spellEnd"/>
      <w:r w:rsidRPr="00010512">
        <w:t xml:space="preserve"> </w:t>
      </w:r>
      <w:r w:rsidRPr="00010512">
        <w:rPr>
          <w:lang w:val="en-US"/>
        </w:rPr>
        <w:t>sodium</w:t>
      </w:r>
      <w:r w:rsidRPr="00010512">
        <w:t xml:space="preserve">), </w:t>
      </w:r>
      <w:r w:rsidRPr="00010512">
        <w:rPr>
          <w:lang w:eastAsia="bg-BG"/>
        </w:rPr>
        <w:t xml:space="preserve">еквивалентен на 500 </w:t>
      </w:r>
      <w:r w:rsidRPr="00010512">
        <w:rPr>
          <w:lang w:val="en-US"/>
        </w:rPr>
        <w:t>mg</w:t>
      </w:r>
      <w:r w:rsidRPr="00010512">
        <w:t xml:space="preserve"> </w:t>
      </w:r>
      <w:r w:rsidRPr="00010512">
        <w:rPr>
          <w:lang w:eastAsia="bg-BG"/>
        </w:rPr>
        <w:t>циластатин.</w:t>
      </w:r>
    </w:p>
    <w:p w14:paraId="0172CB33" w14:textId="77777777" w:rsidR="00010512" w:rsidRDefault="00010512" w:rsidP="00010512">
      <w:pPr>
        <w:rPr>
          <w:u w:val="single"/>
          <w:lang w:eastAsia="bg-BG"/>
        </w:rPr>
      </w:pPr>
    </w:p>
    <w:p w14:paraId="42A3C7A3" w14:textId="36554CDF" w:rsidR="00010512" w:rsidRPr="00010512" w:rsidRDefault="00010512" w:rsidP="00010512">
      <w:pPr>
        <w:rPr>
          <w:sz w:val="24"/>
          <w:szCs w:val="24"/>
        </w:rPr>
      </w:pPr>
      <w:r w:rsidRPr="00010512">
        <w:rPr>
          <w:u w:val="single"/>
          <w:lang w:eastAsia="bg-BG"/>
        </w:rPr>
        <w:t>Помощно вещество с известно действие:</w:t>
      </w:r>
    </w:p>
    <w:p w14:paraId="202E96A0" w14:textId="77777777" w:rsidR="00010512" w:rsidRPr="00010512" w:rsidRDefault="00010512" w:rsidP="00010512">
      <w:pPr>
        <w:rPr>
          <w:sz w:val="24"/>
          <w:szCs w:val="24"/>
        </w:rPr>
      </w:pPr>
      <w:r w:rsidRPr="00010512">
        <w:rPr>
          <w:lang w:eastAsia="bg-BG"/>
        </w:rPr>
        <w:t xml:space="preserve">Всеки флакон съдържа 37,6 </w:t>
      </w:r>
      <w:r w:rsidRPr="00010512">
        <w:rPr>
          <w:lang w:val="en-US"/>
        </w:rPr>
        <w:t>mg</w:t>
      </w:r>
      <w:r w:rsidRPr="00010512">
        <w:rPr>
          <w:lang w:val="ru-RU"/>
        </w:rPr>
        <w:t xml:space="preserve"> </w:t>
      </w:r>
      <w:r w:rsidRPr="00010512">
        <w:rPr>
          <w:lang w:eastAsia="bg-BG"/>
        </w:rPr>
        <w:t xml:space="preserve">(1,6 </w:t>
      </w:r>
      <w:proofErr w:type="spellStart"/>
      <w:r w:rsidRPr="00010512">
        <w:rPr>
          <w:lang w:val="en-US"/>
        </w:rPr>
        <w:t>mmol</w:t>
      </w:r>
      <w:proofErr w:type="spellEnd"/>
      <w:r w:rsidRPr="00010512">
        <w:rPr>
          <w:lang w:val="ru-RU"/>
        </w:rPr>
        <w:t xml:space="preserve">) </w:t>
      </w:r>
      <w:r w:rsidRPr="00010512">
        <w:rPr>
          <w:lang w:eastAsia="bg-BG"/>
        </w:rPr>
        <w:t>натрий (като бикарбонат).</w:t>
      </w:r>
    </w:p>
    <w:p w14:paraId="3FB74AEE" w14:textId="77777777" w:rsidR="00010512" w:rsidRPr="00010512" w:rsidRDefault="00010512" w:rsidP="00010512"/>
    <w:p w14:paraId="614984C4" w14:textId="2BEA223E" w:rsidR="008A6AF2" w:rsidRDefault="00DD466D" w:rsidP="002C50EE">
      <w:pPr>
        <w:pStyle w:val="Heading1"/>
      </w:pPr>
      <w:r>
        <w:t>3. ЛЕКАРСТВЕНА ФОРМА</w:t>
      </w:r>
    </w:p>
    <w:p w14:paraId="50307FA3" w14:textId="6F9D70C2" w:rsidR="00010512" w:rsidRDefault="00010512" w:rsidP="00010512"/>
    <w:p w14:paraId="06742BE6" w14:textId="77777777" w:rsidR="00010512" w:rsidRPr="00010512" w:rsidRDefault="00010512" w:rsidP="00010512">
      <w:pPr>
        <w:rPr>
          <w:sz w:val="24"/>
          <w:szCs w:val="24"/>
        </w:rPr>
      </w:pPr>
      <w:r w:rsidRPr="00010512">
        <w:rPr>
          <w:lang w:eastAsia="bg-BG"/>
        </w:rPr>
        <w:t>Прах за инфузионен разтвор.</w:t>
      </w:r>
    </w:p>
    <w:p w14:paraId="7EAB7B88" w14:textId="77777777" w:rsidR="00010512" w:rsidRDefault="00010512" w:rsidP="00010512">
      <w:pPr>
        <w:rPr>
          <w:lang w:eastAsia="bg-BG"/>
        </w:rPr>
      </w:pPr>
    </w:p>
    <w:p w14:paraId="05FBB139" w14:textId="66845B32" w:rsidR="00010512" w:rsidRPr="00010512" w:rsidRDefault="00010512" w:rsidP="00010512">
      <w:r w:rsidRPr="00010512">
        <w:rPr>
          <w:lang w:eastAsia="bg-BG"/>
        </w:rPr>
        <w:t>Бял до светложълт прах.</w:t>
      </w:r>
    </w:p>
    <w:p w14:paraId="490FC2C4" w14:textId="32682B15" w:rsidR="002C50EE" w:rsidRDefault="002C50EE" w:rsidP="002C50EE">
      <w:pPr>
        <w:pStyle w:val="Heading1"/>
      </w:pPr>
      <w:r>
        <w:t>4. КЛИНИЧНИ ДАННИ</w:t>
      </w:r>
    </w:p>
    <w:p w14:paraId="0C8E6903" w14:textId="13AEFF9A" w:rsidR="008134C8" w:rsidRDefault="002C50EE" w:rsidP="004A448E">
      <w:pPr>
        <w:pStyle w:val="Heading2"/>
      </w:pPr>
      <w:r>
        <w:t>4.1. Терапевтични показания</w:t>
      </w:r>
    </w:p>
    <w:p w14:paraId="3B907FB4" w14:textId="317FDE2E" w:rsidR="00010512" w:rsidRDefault="00010512" w:rsidP="00010512"/>
    <w:p w14:paraId="704BD798"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ТИЕНАМ е показан за лечение на следните инфекции при възрастни и деца на възраст 1 година и по-големи (вж. точки 4.4 и 5.1):</w:t>
      </w:r>
    </w:p>
    <w:p w14:paraId="25C4CF25" w14:textId="77777777" w:rsidR="00010512" w:rsidRPr="00010512" w:rsidRDefault="00010512" w:rsidP="00010512">
      <w:pPr>
        <w:pStyle w:val="ListParagraph"/>
        <w:numPr>
          <w:ilvl w:val="0"/>
          <w:numId w:val="35"/>
        </w:numPr>
        <w:spacing w:line="240" w:lineRule="auto"/>
        <w:rPr>
          <w:rFonts w:eastAsia="Times New Roman" w:cs="Arial"/>
          <w:color w:val="000000"/>
          <w:szCs w:val="20"/>
          <w:lang w:eastAsia="bg-BG"/>
        </w:rPr>
      </w:pPr>
      <w:r w:rsidRPr="00010512">
        <w:rPr>
          <w:rFonts w:eastAsia="Times New Roman" w:cs="Arial"/>
          <w:color w:val="000000"/>
          <w:szCs w:val="20"/>
          <w:lang w:eastAsia="bg-BG"/>
        </w:rPr>
        <w:t>усложнени интра-абдоминални инфекции;</w:t>
      </w:r>
    </w:p>
    <w:p w14:paraId="124A7DCA" w14:textId="77777777" w:rsidR="00010512" w:rsidRPr="00010512" w:rsidRDefault="00010512" w:rsidP="00010512">
      <w:pPr>
        <w:pStyle w:val="ListParagraph"/>
        <w:numPr>
          <w:ilvl w:val="0"/>
          <w:numId w:val="35"/>
        </w:numPr>
        <w:spacing w:line="240" w:lineRule="auto"/>
        <w:rPr>
          <w:rFonts w:eastAsia="Times New Roman" w:cs="Arial"/>
          <w:color w:val="000000"/>
          <w:szCs w:val="20"/>
          <w:lang w:eastAsia="bg-BG"/>
        </w:rPr>
      </w:pPr>
      <w:r w:rsidRPr="00010512">
        <w:rPr>
          <w:rFonts w:eastAsia="Times New Roman" w:cs="Arial"/>
          <w:color w:val="000000"/>
          <w:szCs w:val="20"/>
          <w:lang w:eastAsia="bg-BG"/>
        </w:rPr>
        <w:t>тежки пневмонии, включително нозокомиална пневмония и пневмония при апаратна вентилация;</w:t>
      </w:r>
    </w:p>
    <w:p w14:paraId="534A440C" w14:textId="77777777" w:rsidR="00010512" w:rsidRPr="00010512" w:rsidRDefault="00010512" w:rsidP="00010512">
      <w:pPr>
        <w:pStyle w:val="ListParagraph"/>
        <w:numPr>
          <w:ilvl w:val="0"/>
          <w:numId w:val="35"/>
        </w:numPr>
        <w:spacing w:line="240" w:lineRule="auto"/>
        <w:rPr>
          <w:rFonts w:eastAsia="Times New Roman" w:cs="Arial"/>
          <w:color w:val="000000"/>
          <w:szCs w:val="20"/>
          <w:lang w:eastAsia="bg-BG"/>
        </w:rPr>
      </w:pPr>
      <w:r w:rsidRPr="00010512">
        <w:rPr>
          <w:rFonts w:eastAsia="Times New Roman" w:cs="Arial"/>
          <w:color w:val="000000"/>
          <w:szCs w:val="20"/>
          <w:lang w:eastAsia="bg-BG"/>
        </w:rPr>
        <w:t>инфекции по време на и след раждане;</w:t>
      </w:r>
    </w:p>
    <w:p w14:paraId="37A7741C" w14:textId="77777777" w:rsidR="00010512" w:rsidRPr="00010512" w:rsidRDefault="00010512" w:rsidP="00010512">
      <w:pPr>
        <w:pStyle w:val="ListParagraph"/>
        <w:numPr>
          <w:ilvl w:val="0"/>
          <w:numId w:val="35"/>
        </w:numPr>
        <w:spacing w:line="240" w:lineRule="auto"/>
        <w:rPr>
          <w:rFonts w:eastAsia="Times New Roman" w:cs="Arial"/>
          <w:color w:val="000000"/>
          <w:szCs w:val="20"/>
          <w:lang w:eastAsia="bg-BG"/>
        </w:rPr>
      </w:pPr>
      <w:r w:rsidRPr="00010512">
        <w:rPr>
          <w:rFonts w:eastAsia="Times New Roman" w:cs="Arial"/>
          <w:color w:val="000000"/>
          <w:szCs w:val="20"/>
          <w:lang w:eastAsia="bg-BG"/>
        </w:rPr>
        <w:t>усложнени инфекции на пикочните пътища;</w:t>
      </w:r>
    </w:p>
    <w:p w14:paraId="37E820AF" w14:textId="1A11CB0D" w:rsidR="00010512" w:rsidRPr="00010512" w:rsidRDefault="00010512" w:rsidP="00010512">
      <w:pPr>
        <w:pStyle w:val="ListParagraph"/>
        <w:numPr>
          <w:ilvl w:val="0"/>
          <w:numId w:val="35"/>
        </w:numPr>
        <w:spacing w:line="240" w:lineRule="auto"/>
        <w:rPr>
          <w:rFonts w:eastAsia="Times New Roman" w:cs="Arial"/>
          <w:color w:val="000000"/>
          <w:szCs w:val="20"/>
          <w:lang w:eastAsia="bg-BG"/>
        </w:rPr>
      </w:pPr>
      <w:r w:rsidRPr="00010512">
        <w:rPr>
          <w:rFonts w:eastAsia="Times New Roman" w:cs="Arial"/>
          <w:color w:val="000000"/>
          <w:szCs w:val="20"/>
          <w:lang w:eastAsia="bg-BG"/>
        </w:rPr>
        <w:t>усложнени инфекции на кожата и меките тъкани.</w:t>
      </w:r>
    </w:p>
    <w:p w14:paraId="08A060D6" w14:textId="77777777" w:rsidR="00010512" w:rsidRPr="00010512" w:rsidRDefault="00010512" w:rsidP="00010512">
      <w:pPr>
        <w:spacing w:line="240" w:lineRule="auto"/>
        <w:rPr>
          <w:rFonts w:eastAsia="Times New Roman" w:cs="Arial"/>
          <w:color w:val="000000"/>
          <w:szCs w:val="20"/>
          <w:lang w:eastAsia="bg-BG"/>
        </w:rPr>
      </w:pPr>
    </w:p>
    <w:p w14:paraId="5F3AB55C" w14:textId="15B62B1B"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ТИЕНАМ може да се използва в лечението на пациенти с неутропения и фебрилитет, за които се подозира, че се дължат на бактериална инфекция.</w:t>
      </w:r>
    </w:p>
    <w:p w14:paraId="5882319D" w14:textId="77777777" w:rsidR="00010512" w:rsidRPr="00010512" w:rsidRDefault="00010512" w:rsidP="00010512">
      <w:pPr>
        <w:spacing w:line="240" w:lineRule="auto"/>
        <w:rPr>
          <w:rFonts w:eastAsia="Times New Roman" w:cs="Arial"/>
          <w:color w:val="000000"/>
          <w:szCs w:val="20"/>
          <w:lang w:eastAsia="bg-BG"/>
        </w:rPr>
      </w:pPr>
    </w:p>
    <w:p w14:paraId="6A4C77D1" w14:textId="58E4B1B4"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Лечение на пациенти с бактериемия, развила се във връзка с или за която се се предполага, че е свързана с всяка от изброените по-горе инфекции.</w:t>
      </w:r>
    </w:p>
    <w:p w14:paraId="3C064DD5" w14:textId="77777777" w:rsidR="00010512" w:rsidRPr="00010512" w:rsidRDefault="00010512" w:rsidP="00010512">
      <w:pPr>
        <w:spacing w:line="240" w:lineRule="auto"/>
        <w:rPr>
          <w:rFonts w:eastAsia="Times New Roman" w:cs="Arial"/>
          <w:color w:val="000000"/>
          <w:szCs w:val="20"/>
          <w:lang w:eastAsia="bg-BG"/>
        </w:rPr>
      </w:pPr>
    </w:p>
    <w:p w14:paraId="129D6E43" w14:textId="3C9BB1F1"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Трябва да се вземат предвид официалните препоръки за правилна употреба на антибактериапни средства.</w:t>
      </w:r>
    </w:p>
    <w:p w14:paraId="117B509F" w14:textId="77777777" w:rsidR="00010512" w:rsidRPr="00010512" w:rsidRDefault="00010512" w:rsidP="00010512"/>
    <w:p w14:paraId="30BE2C7B" w14:textId="54CE1B9A" w:rsidR="008134C8" w:rsidRDefault="002C50EE" w:rsidP="004A448E">
      <w:pPr>
        <w:pStyle w:val="Heading2"/>
      </w:pPr>
      <w:r>
        <w:lastRenderedPageBreak/>
        <w:t>4.2. Дозировка и начин на приложение</w:t>
      </w:r>
    </w:p>
    <w:p w14:paraId="0205B8F8" w14:textId="3095A34A" w:rsidR="00010512" w:rsidRDefault="00010512" w:rsidP="00010512"/>
    <w:p w14:paraId="5416949A" w14:textId="77777777" w:rsidR="00010512" w:rsidRPr="00010512" w:rsidRDefault="00010512" w:rsidP="00010512">
      <w:pPr>
        <w:pStyle w:val="Heading3"/>
        <w:rPr>
          <w:rFonts w:eastAsia="Times New Roman"/>
          <w:sz w:val="28"/>
          <w:u w:val="single"/>
        </w:rPr>
      </w:pPr>
      <w:r w:rsidRPr="00010512">
        <w:rPr>
          <w:rFonts w:eastAsia="Times New Roman"/>
          <w:u w:val="single"/>
          <w:lang w:eastAsia="bg-BG"/>
        </w:rPr>
        <w:t>Дозировка</w:t>
      </w:r>
    </w:p>
    <w:p w14:paraId="014FC1F9"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Препоръките за дозировката на ТИЕНАМ са за количеството имипенем/циластатин, което следва да се приложи.</w:t>
      </w:r>
    </w:p>
    <w:p w14:paraId="7F0962EC" w14:textId="77777777" w:rsidR="00010512" w:rsidRPr="00010512" w:rsidRDefault="00010512" w:rsidP="00010512">
      <w:pPr>
        <w:spacing w:line="240" w:lineRule="auto"/>
        <w:rPr>
          <w:rFonts w:eastAsia="Times New Roman" w:cs="Arial"/>
          <w:color w:val="000000"/>
          <w:szCs w:val="20"/>
          <w:lang w:eastAsia="bg-BG"/>
        </w:rPr>
      </w:pPr>
    </w:p>
    <w:p w14:paraId="6BD121C1" w14:textId="6D3400A3"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Дневната доза ТИЕНАМ трябва да се определя в зависимост от типа на инфекцията и да се прилага разделена на равни дози в зависимост от степента на чувствителност на патогенните) и бъбречната функция на пациента (вж. също точки 4.4 и 5.1).</w:t>
      </w:r>
    </w:p>
    <w:p w14:paraId="75596C23" w14:textId="77777777" w:rsidR="00010512" w:rsidRPr="00010512" w:rsidRDefault="00010512" w:rsidP="00010512">
      <w:pPr>
        <w:spacing w:line="240" w:lineRule="auto"/>
        <w:rPr>
          <w:rFonts w:eastAsia="Times New Roman" w:cs="Arial"/>
          <w:color w:val="000000"/>
          <w:szCs w:val="20"/>
          <w:u w:val="single"/>
          <w:lang w:eastAsia="bg-BG"/>
        </w:rPr>
      </w:pPr>
    </w:p>
    <w:p w14:paraId="5108E113" w14:textId="262505BA"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Възрастни и юноши</w:t>
      </w:r>
    </w:p>
    <w:p w14:paraId="5CAF73F0"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При пациенти с нормална бъбречна функция (креатининов клирънс ≥90 </w:t>
      </w:r>
      <w:r w:rsidRPr="00010512">
        <w:rPr>
          <w:rFonts w:eastAsia="Times New Roman" w:cs="Arial"/>
          <w:color w:val="000000"/>
          <w:szCs w:val="20"/>
          <w:lang w:val="en-US"/>
        </w:rPr>
        <w:t>ml</w:t>
      </w:r>
      <w:r w:rsidRPr="00010512">
        <w:rPr>
          <w:rFonts w:eastAsia="Times New Roman" w:cs="Arial"/>
          <w:color w:val="000000"/>
          <w:szCs w:val="20"/>
          <w:lang w:val="ru-RU"/>
        </w:rPr>
        <w:t>/</w:t>
      </w:r>
      <w:r w:rsidRPr="00010512">
        <w:rPr>
          <w:rFonts w:eastAsia="Times New Roman" w:cs="Arial"/>
          <w:color w:val="000000"/>
          <w:szCs w:val="20"/>
          <w:lang w:val="en-US"/>
        </w:rPr>
        <w:t>min</w:t>
      </w:r>
      <w:r w:rsidRPr="00010512">
        <w:rPr>
          <w:rFonts w:eastAsia="Times New Roman" w:cs="Arial"/>
          <w:color w:val="000000"/>
          <w:szCs w:val="20"/>
          <w:lang w:val="ru-RU"/>
        </w:rPr>
        <w:t xml:space="preserve">) </w:t>
      </w:r>
      <w:r w:rsidRPr="00010512">
        <w:rPr>
          <w:rFonts w:eastAsia="Times New Roman" w:cs="Arial"/>
          <w:color w:val="000000"/>
          <w:szCs w:val="20"/>
          <w:lang w:eastAsia="bg-BG"/>
        </w:rPr>
        <w:t>препоръчителните схеми на прилагане са:</w:t>
      </w:r>
    </w:p>
    <w:p w14:paraId="5E89A2A3" w14:textId="77777777" w:rsidR="00010512" w:rsidRPr="00010512" w:rsidRDefault="00010512" w:rsidP="00010512">
      <w:pPr>
        <w:spacing w:line="240" w:lineRule="auto"/>
        <w:rPr>
          <w:rFonts w:eastAsia="Times New Roman" w:cs="Arial"/>
          <w:color w:val="000000"/>
          <w:szCs w:val="20"/>
          <w:lang w:eastAsia="bg-BG"/>
        </w:rPr>
      </w:pPr>
    </w:p>
    <w:p w14:paraId="51FF9674" w14:textId="02966411"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500 </w:t>
      </w:r>
      <w:r w:rsidRPr="00010512">
        <w:rPr>
          <w:rFonts w:eastAsia="Times New Roman" w:cs="Arial"/>
          <w:color w:val="000000"/>
          <w:szCs w:val="20"/>
          <w:lang w:val="en-US"/>
        </w:rPr>
        <w:t>mg</w:t>
      </w:r>
      <w:r w:rsidRPr="00010512">
        <w:rPr>
          <w:rFonts w:eastAsia="Times New Roman" w:cs="Arial"/>
          <w:color w:val="000000"/>
          <w:szCs w:val="20"/>
          <w:lang w:val="ru-RU"/>
        </w:rPr>
        <w:t xml:space="preserve">/500 </w:t>
      </w:r>
      <w:r w:rsidRPr="00010512">
        <w:rPr>
          <w:rFonts w:eastAsia="Times New Roman" w:cs="Arial"/>
          <w:color w:val="000000"/>
          <w:szCs w:val="20"/>
          <w:lang w:val="en-US"/>
        </w:rPr>
        <w:t>mg</w:t>
      </w:r>
      <w:r w:rsidRPr="00010512">
        <w:rPr>
          <w:rFonts w:eastAsia="Times New Roman" w:cs="Arial"/>
          <w:color w:val="000000"/>
          <w:szCs w:val="20"/>
          <w:lang w:val="ru-RU"/>
        </w:rPr>
        <w:t xml:space="preserve"> </w:t>
      </w:r>
      <w:r w:rsidRPr="00010512">
        <w:rPr>
          <w:rFonts w:eastAsia="Times New Roman" w:cs="Arial"/>
          <w:color w:val="000000"/>
          <w:szCs w:val="20"/>
          <w:lang w:eastAsia="bg-BG"/>
        </w:rPr>
        <w:t>на всеки 6 часа ИЛИ</w:t>
      </w:r>
    </w:p>
    <w:p w14:paraId="553BB8EE"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1 000 /1 000 </w:t>
      </w:r>
      <w:r w:rsidRPr="00010512">
        <w:rPr>
          <w:rFonts w:eastAsia="Times New Roman" w:cs="Arial"/>
          <w:color w:val="000000"/>
          <w:szCs w:val="20"/>
          <w:lang w:val="en-US"/>
        </w:rPr>
        <w:t>mg</w:t>
      </w:r>
      <w:r w:rsidRPr="00010512">
        <w:rPr>
          <w:rFonts w:eastAsia="Times New Roman" w:cs="Arial"/>
          <w:color w:val="000000"/>
          <w:szCs w:val="20"/>
          <w:lang w:val="ru-RU"/>
        </w:rPr>
        <w:t xml:space="preserve"> </w:t>
      </w:r>
      <w:r w:rsidRPr="00010512">
        <w:rPr>
          <w:rFonts w:eastAsia="Times New Roman" w:cs="Arial"/>
          <w:color w:val="000000"/>
          <w:szCs w:val="20"/>
          <w:lang w:eastAsia="bg-BG"/>
        </w:rPr>
        <w:t>на всеки 8 часа ИЛИ на всеки 6 часа</w:t>
      </w:r>
    </w:p>
    <w:p w14:paraId="35779722" w14:textId="77777777" w:rsidR="00010512" w:rsidRPr="00010512" w:rsidRDefault="00010512" w:rsidP="00010512">
      <w:pPr>
        <w:spacing w:line="240" w:lineRule="auto"/>
        <w:rPr>
          <w:rFonts w:eastAsia="Times New Roman" w:cs="Arial"/>
          <w:color w:val="000000"/>
          <w:szCs w:val="20"/>
          <w:lang w:eastAsia="bg-BG"/>
        </w:rPr>
      </w:pPr>
    </w:p>
    <w:p w14:paraId="6F3265AA" w14:textId="6131257A"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Препоръчително е инфекции, за които се подозира или е доказано, че се дължат на по-малко чувствителни щамове (като </w:t>
      </w:r>
      <w:r w:rsidRPr="00010512">
        <w:rPr>
          <w:rFonts w:eastAsia="Times New Roman" w:cs="Arial"/>
          <w:i/>
          <w:iCs/>
          <w:color w:val="000000"/>
          <w:szCs w:val="20"/>
          <w:lang w:val="en-US"/>
        </w:rPr>
        <w:t>Pseudomonas</w:t>
      </w:r>
      <w:r w:rsidRPr="00010512">
        <w:rPr>
          <w:rFonts w:eastAsia="Times New Roman" w:cs="Arial"/>
          <w:i/>
          <w:iCs/>
          <w:color w:val="000000"/>
          <w:szCs w:val="20"/>
          <w:lang w:val="ru-RU"/>
        </w:rPr>
        <w:t xml:space="preserve"> </w:t>
      </w:r>
      <w:r w:rsidRPr="00010512">
        <w:rPr>
          <w:rFonts w:eastAsia="Times New Roman" w:cs="Arial"/>
          <w:i/>
          <w:iCs/>
          <w:color w:val="000000"/>
          <w:szCs w:val="20"/>
          <w:lang w:val="en-US"/>
        </w:rPr>
        <w:t>aeruginosa</w:t>
      </w:r>
      <w:r w:rsidRPr="00010512">
        <w:rPr>
          <w:rFonts w:eastAsia="Times New Roman" w:cs="Arial"/>
          <w:i/>
          <w:iCs/>
          <w:color w:val="000000"/>
          <w:szCs w:val="20"/>
          <w:lang w:val="ru-RU"/>
        </w:rPr>
        <w:t>)</w:t>
      </w:r>
      <w:r w:rsidRPr="00010512">
        <w:rPr>
          <w:rFonts w:eastAsia="Times New Roman" w:cs="Arial"/>
          <w:color w:val="000000"/>
          <w:szCs w:val="20"/>
          <w:lang w:val="ru-RU"/>
        </w:rPr>
        <w:t xml:space="preserve"> </w:t>
      </w:r>
      <w:r w:rsidRPr="00010512">
        <w:rPr>
          <w:rFonts w:eastAsia="Times New Roman" w:cs="Arial"/>
          <w:color w:val="000000"/>
          <w:szCs w:val="20"/>
          <w:lang w:eastAsia="bg-BG"/>
        </w:rPr>
        <w:t xml:space="preserve">и много тежки инфекции (напр. при пациенти с неутропения и повишена температура) да се лекуват с 1 000 </w:t>
      </w:r>
      <w:r w:rsidRPr="00010512">
        <w:rPr>
          <w:rFonts w:eastAsia="Times New Roman" w:cs="Arial"/>
          <w:color w:val="000000"/>
          <w:szCs w:val="20"/>
          <w:lang w:val="en-US"/>
        </w:rPr>
        <w:t>mg</w:t>
      </w:r>
      <w:r w:rsidRPr="00010512">
        <w:rPr>
          <w:rFonts w:eastAsia="Times New Roman" w:cs="Arial"/>
          <w:color w:val="000000"/>
          <w:szCs w:val="20"/>
          <w:lang w:val="ru-RU"/>
        </w:rPr>
        <w:t xml:space="preserve">/1 </w:t>
      </w:r>
      <w:r w:rsidRPr="00010512">
        <w:rPr>
          <w:rFonts w:eastAsia="Times New Roman" w:cs="Arial"/>
          <w:color w:val="000000"/>
          <w:szCs w:val="20"/>
          <w:lang w:eastAsia="bg-BG"/>
        </w:rPr>
        <w:t xml:space="preserve">000 </w:t>
      </w:r>
      <w:r w:rsidRPr="00010512">
        <w:rPr>
          <w:rFonts w:eastAsia="Times New Roman" w:cs="Arial"/>
          <w:color w:val="000000"/>
          <w:szCs w:val="20"/>
          <w:lang w:val="en-US"/>
        </w:rPr>
        <w:t>mg</w:t>
      </w:r>
      <w:r w:rsidRPr="00010512">
        <w:rPr>
          <w:rFonts w:eastAsia="Times New Roman" w:cs="Arial"/>
          <w:color w:val="000000"/>
          <w:szCs w:val="20"/>
          <w:lang w:val="ru-RU"/>
        </w:rPr>
        <w:t xml:space="preserve">, </w:t>
      </w:r>
      <w:r w:rsidRPr="00010512">
        <w:rPr>
          <w:rFonts w:eastAsia="Times New Roman" w:cs="Arial"/>
          <w:color w:val="000000"/>
          <w:szCs w:val="20"/>
          <w:lang w:eastAsia="bg-BG"/>
        </w:rPr>
        <w:t>прилагани на всеки 6 часа.</w:t>
      </w:r>
    </w:p>
    <w:p w14:paraId="05874946" w14:textId="77777777" w:rsidR="00010512" w:rsidRPr="00010512" w:rsidRDefault="00010512" w:rsidP="00010512">
      <w:pPr>
        <w:spacing w:line="240" w:lineRule="auto"/>
        <w:rPr>
          <w:rFonts w:eastAsia="Times New Roman" w:cs="Arial"/>
          <w:color w:val="000000"/>
          <w:szCs w:val="20"/>
          <w:lang w:eastAsia="bg-BG"/>
        </w:rPr>
      </w:pPr>
    </w:p>
    <w:p w14:paraId="7B73177A" w14:textId="47EDB6B6"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Намаляване на дозата е необходимо, когато креатининовият клирънс е &lt; 90 </w:t>
      </w:r>
      <w:r w:rsidRPr="00010512">
        <w:rPr>
          <w:rFonts w:eastAsia="Times New Roman" w:cs="Arial"/>
          <w:color w:val="000000"/>
          <w:szCs w:val="20"/>
          <w:lang w:val="en-US"/>
        </w:rPr>
        <w:t>ml</w:t>
      </w:r>
      <w:r w:rsidRPr="00010512">
        <w:rPr>
          <w:rFonts w:eastAsia="Times New Roman" w:cs="Arial"/>
          <w:color w:val="000000"/>
          <w:szCs w:val="20"/>
          <w:lang w:val="ru-RU"/>
        </w:rPr>
        <w:t>/</w:t>
      </w:r>
      <w:r w:rsidRPr="00010512">
        <w:rPr>
          <w:rFonts w:eastAsia="Times New Roman" w:cs="Arial"/>
          <w:color w:val="000000"/>
          <w:szCs w:val="20"/>
          <w:lang w:val="en-US"/>
        </w:rPr>
        <w:t>min</w:t>
      </w:r>
      <w:r w:rsidRPr="00010512">
        <w:rPr>
          <w:rFonts w:eastAsia="Times New Roman" w:cs="Arial"/>
          <w:color w:val="000000"/>
          <w:szCs w:val="20"/>
          <w:lang w:val="ru-RU"/>
        </w:rPr>
        <w:t xml:space="preserve"> </w:t>
      </w:r>
      <w:r w:rsidRPr="00010512">
        <w:rPr>
          <w:rFonts w:eastAsia="Times New Roman" w:cs="Arial"/>
          <w:color w:val="000000"/>
          <w:szCs w:val="20"/>
          <w:lang w:eastAsia="bg-BG"/>
        </w:rPr>
        <w:t>(вж.</w:t>
      </w:r>
    </w:p>
    <w:p w14:paraId="095892BE"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Таблица 1)</w:t>
      </w:r>
    </w:p>
    <w:p w14:paraId="141588BB" w14:textId="77777777" w:rsidR="00010512" w:rsidRPr="00010512" w:rsidRDefault="00010512" w:rsidP="00010512">
      <w:pPr>
        <w:spacing w:line="240" w:lineRule="auto"/>
        <w:rPr>
          <w:rFonts w:eastAsia="Times New Roman" w:cs="Arial"/>
          <w:color w:val="000000"/>
          <w:szCs w:val="20"/>
          <w:lang w:eastAsia="bg-BG"/>
        </w:rPr>
      </w:pPr>
    </w:p>
    <w:p w14:paraId="26023A66" w14:textId="3212BE26"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Максималната дневна доза не трябва да надвишава 4 000 </w:t>
      </w:r>
      <w:r w:rsidRPr="00010512">
        <w:rPr>
          <w:rFonts w:eastAsia="Times New Roman" w:cs="Arial"/>
          <w:color w:val="000000"/>
          <w:szCs w:val="20"/>
          <w:lang w:val="en-US"/>
        </w:rPr>
        <w:t>mg</w:t>
      </w:r>
      <w:r w:rsidRPr="00010512">
        <w:rPr>
          <w:rFonts w:eastAsia="Times New Roman" w:cs="Arial"/>
          <w:color w:val="000000"/>
          <w:szCs w:val="20"/>
          <w:lang w:val="ru-RU"/>
        </w:rPr>
        <w:t xml:space="preserve">/4 </w:t>
      </w:r>
      <w:r w:rsidRPr="00010512">
        <w:rPr>
          <w:rFonts w:eastAsia="Times New Roman" w:cs="Arial"/>
          <w:color w:val="000000"/>
          <w:szCs w:val="20"/>
          <w:lang w:eastAsia="bg-BG"/>
        </w:rPr>
        <w:t xml:space="preserve">000 </w:t>
      </w:r>
      <w:r w:rsidRPr="00010512">
        <w:rPr>
          <w:rFonts w:eastAsia="Times New Roman" w:cs="Arial"/>
          <w:color w:val="000000"/>
          <w:szCs w:val="20"/>
          <w:lang w:val="en-US"/>
        </w:rPr>
        <w:t>mg</w:t>
      </w:r>
      <w:r w:rsidRPr="00010512">
        <w:rPr>
          <w:rFonts w:eastAsia="Times New Roman" w:cs="Arial"/>
          <w:color w:val="000000"/>
          <w:szCs w:val="20"/>
          <w:lang w:val="ru-RU"/>
        </w:rPr>
        <w:t xml:space="preserve"> </w:t>
      </w:r>
      <w:r w:rsidRPr="00010512">
        <w:rPr>
          <w:rFonts w:eastAsia="Times New Roman" w:cs="Arial"/>
          <w:color w:val="000000"/>
          <w:szCs w:val="20"/>
          <w:lang w:eastAsia="bg-BG"/>
        </w:rPr>
        <w:t>за ден.</w:t>
      </w:r>
    </w:p>
    <w:p w14:paraId="27AA7F70" w14:textId="77777777" w:rsidR="00010512" w:rsidRPr="00010512" w:rsidRDefault="00010512" w:rsidP="00010512">
      <w:pPr>
        <w:spacing w:line="240" w:lineRule="auto"/>
        <w:rPr>
          <w:rFonts w:eastAsia="Times New Roman" w:cs="Arial"/>
          <w:color w:val="000000"/>
          <w:szCs w:val="20"/>
          <w:u w:val="single"/>
          <w:lang w:eastAsia="bg-BG"/>
        </w:rPr>
      </w:pPr>
    </w:p>
    <w:p w14:paraId="3E871773" w14:textId="192B2801"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Бъбречно увреждане</w:t>
      </w:r>
    </w:p>
    <w:p w14:paraId="5F9B59B0"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За да се определи намалената доза при възрастни с увредена бъбречна функция:</w:t>
      </w:r>
    </w:p>
    <w:p w14:paraId="1DE57C7F" w14:textId="77777777" w:rsidR="00010512" w:rsidRPr="00010512" w:rsidRDefault="00010512" w:rsidP="00010512">
      <w:pPr>
        <w:spacing w:line="240" w:lineRule="auto"/>
        <w:rPr>
          <w:rFonts w:eastAsia="Times New Roman" w:cs="Arial"/>
          <w:color w:val="000000"/>
          <w:szCs w:val="20"/>
          <w:lang w:eastAsia="bg-BG"/>
        </w:rPr>
      </w:pPr>
    </w:p>
    <w:p w14:paraId="65CC96A4" w14:textId="52E7B3B1"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1. Трябва да се избере общата дневна доза (напр. 2 000/2 000,3 000/3 000 или 4 000/4 000 </w:t>
      </w:r>
      <w:r w:rsidRPr="00010512">
        <w:rPr>
          <w:rFonts w:eastAsia="Times New Roman" w:cs="Arial"/>
          <w:color w:val="000000"/>
          <w:szCs w:val="20"/>
          <w:lang w:val="en-US"/>
        </w:rPr>
        <w:t>mg</w:t>
      </w:r>
      <w:r w:rsidRPr="00010512">
        <w:rPr>
          <w:rFonts w:eastAsia="Times New Roman" w:cs="Arial"/>
          <w:color w:val="000000"/>
          <w:szCs w:val="20"/>
          <w:lang w:val="ru-RU"/>
        </w:rPr>
        <w:t xml:space="preserve">), </w:t>
      </w:r>
      <w:r w:rsidRPr="00010512">
        <w:rPr>
          <w:rFonts w:eastAsia="Times New Roman" w:cs="Arial"/>
          <w:color w:val="000000"/>
          <w:szCs w:val="20"/>
          <w:lang w:eastAsia="bg-BG"/>
        </w:rPr>
        <w:t>която обикновено е приложима при пациенти с нормална бъбречна функция.</w:t>
      </w:r>
    </w:p>
    <w:p w14:paraId="1857FEFB" w14:textId="77777777" w:rsidR="00010512" w:rsidRPr="00010512" w:rsidRDefault="00010512" w:rsidP="00010512">
      <w:pPr>
        <w:spacing w:line="240" w:lineRule="auto"/>
        <w:rPr>
          <w:rFonts w:eastAsia="Times New Roman" w:cs="Arial"/>
          <w:color w:val="000000"/>
          <w:szCs w:val="20"/>
          <w:lang w:eastAsia="bg-BG"/>
        </w:rPr>
      </w:pPr>
    </w:p>
    <w:p w14:paraId="74BC0C62" w14:textId="07E5DCE5"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2. От таблица 1 се определя съответната намалена схема на дозиране въз основа на креагининовия клирънс на пациента. За продължителността на инфузията вижте </w:t>
      </w:r>
      <w:r w:rsidRPr="00010512">
        <w:rPr>
          <w:rFonts w:eastAsia="Times New Roman" w:cs="Arial"/>
          <w:color w:val="000000"/>
          <w:szCs w:val="20"/>
          <w:u w:val="single"/>
          <w:lang w:eastAsia="bg-BG"/>
        </w:rPr>
        <w:t>Начин на приложение)</w:t>
      </w:r>
      <w:r w:rsidRPr="00010512">
        <w:rPr>
          <w:rFonts w:eastAsia="Times New Roman" w:cs="Arial"/>
          <w:color w:val="000000"/>
          <w:szCs w:val="20"/>
          <w:lang w:eastAsia="bg-BG"/>
        </w:rPr>
        <w:t>.</w:t>
      </w:r>
    </w:p>
    <w:p w14:paraId="77A61344" w14:textId="02DDA919" w:rsidR="00010512" w:rsidRPr="00010512" w:rsidRDefault="00010512" w:rsidP="00010512">
      <w:pPr>
        <w:rPr>
          <w:rFonts w:cs="Arial"/>
          <w:sz w:val="24"/>
        </w:rPr>
      </w:pPr>
    </w:p>
    <w:p w14:paraId="0CACC341" w14:textId="01B63326" w:rsidR="00010512" w:rsidRDefault="00010512" w:rsidP="00010512">
      <w:pPr>
        <w:rPr>
          <w:rFonts w:cs="Arial"/>
          <w:i/>
          <w:iCs/>
          <w:szCs w:val="20"/>
          <w:u w:val="single"/>
        </w:rPr>
      </w:pPr>
      <w:r w:rsidRPr="00010512">
        <w:rPr>
          <w:rFonts w:cs="Arial"/>
          <w:i/>
          <w:iCs/>
          <w:szCs w:val="20"/>
          <w:u w:val="single"/>
        </w:rPr>
        <w:t>Таблица 1</w:t>
      </w:r>
    </w:p>
    <w:tbl>
      <w:tblPr>
        <w:tblStyle w:val="TableGrid"/>
        <w:tblW w:w="0" w:type="auto"/>
        <w:tblLook w:val="04A0" w:firstRow="1" w:lastRow="0" w:firstColumn="1" w:lastColumn="0" w:noHBand="0" w:noVBand="1"/>
      </w:tblPr>
      <w:tblGrid>
        <w:gridCol w:w="2010"/>
        <w:gridCol w:w="2686"/>
        <w:gridCol w:w="2671"/>
        <w:gridCol w:w="1983"/>
      </w:tblGrid>
      <w:tr w:rsidR="00010512" w14:paraId="75412353" w14:textId="77777777" w:rsidTr="00010512">
        <w:tc>
          <w:tcPr>
            <w:tcW w:w="2010" w:type="dxa"/>
            <w:vMerge w:val="restart"/>
          </w:tcPr>
          <w:p w14:paraId="0F7E473A" w14:textId="3D518EF6" w:rsidR="00010512" w:rsidRDefault="00010512" w:rsidP="00010512">
            <w:pPr>
              <w:rPr>
                <w:rFonts w:cs="Arial"/>
                <w:sz w:val="24"/>
              </w:rPr>
            </w:pPr>
            <w:r w:rsidRPr="00010512">
              <w:rPr>
                <w:b/>
                <w:bCs/>
                <w:szCs w:val="18"/>
              </w:rPr>
              <w:t xml:space="preserve">Креатнннновият клирънс </w:t>
            </w:r>
            <w:r w:rsidRPr="00010512">
              <w:rPr>
                <w:b/>
                <w:bCs/>
                <w:szCs w:val="18"/>
                <w:lang w:val="ru-RU"/>
              </w:rPr>
              <w:t>(</w:t>
            </w:r>
            <w:r w:rsidRPr="00010512">
              <w:rPr>
                <w:b/>
                <w:bCs/>
                <w:szCs w:val="18"/>
                <w:lang w:val="en-US"/>
              </w:rPr>
              <w:t>ml</w:t>
            </w:r>
            <w:r w:rsidRPr="00010512">
              <w:rPr>
                <w:b/>
                <w:bCs/>
                <w:szCs w:val="18"/>
                <w:lang w:val="ru-RU"/>
              </w:rPr>
              <w:t xml:space="preserve">/ </w:t>
            </w:r>
            <w:r w:rsidRPr="00010512">
              <w:rPr>
                <w:b/>
                <w:bCs/>
                <w:szCs w:val="18"/>
                <w:lang w:val="en-US"/>
              </w:rPr>
              <w:t>min</w:t>
            </w:r>
            <w:r w:rsidRPr="00010512">
              <w:rPr>
                <w:b/>
                <w:bCs/>
                <w:szCs w:val="18"/>
                <w:lang w:val="ru-RU"/>
              </w:rPr>
              <w:t xml:space="preserve">) </w:t>
            </w:r>
            <w:r w:rsidRPr="00010512">
              <w:rPr>
                <w:b/>
                <w:bCs/>
                <w:szCs w:val="18"/>
              </w:rPr>
              <w:t>е:</w:t>
            </w:r>
          </w:p>
        </w:tc>
        <w:tc>
          <w:tcPr>
            <w:tcW w:w="2776" w:type="dxa"/>
          </w:tcPr>
          <w:p w14:paraId="7A7F2D4C" w14:textId="0CC9A3AF" w:rsidR="00010512" w:rsidRPr="00010512" w:rsidRDefault="00010512" w:rsidP="00010512">
            <w:pPr>
              <w:rPr>
                <w:rFonts w:cs="Arial"/>
              </w:rPr>
            </w:pPr>
            <w:r w:rsidRPr="00010512">
              <w:rPr>
                <w:b/>
                <w:bCs/>
                <w:szCs w:val="18"/>
              </w:rPr>
              <w:t xml:space="preserve">Ако ОБЩАТА ДНЕВНА ДОЗА е: 2 000 </w:t>
            </w:r>
            <w:r w:rsidRPr="00010512">
              <w:rPr>
                <w:b/>
                <w:bCs/>
                <w:szCs w:val="18"/>
                <w:lang w:val="en-US"/>
              </w:rPr>
              <w:t>mg</w:t>
            </w:r>
            <w:r w:rsidRPr="00010512">
              <w:rPr>
                <w:b/>
                <w:bCs/>
                <w:szCs w:val="18"/>
              </w:rPr>
              <w:t>/ден</w:t>
            </w:r>
          </w:p>
        </w:tc>
        <w:tc>
          <w:tcPr>
            <w:tcW w:w="2760" w:type="dxa"/>
          </w:tcPr>
          <w:p w14:paraId="7BF9A368" w14:textId="2E991A9C" w:rsidR="00010512" w:rsidRPr="00010512" w:rsidRDefault="00010512" w:rsidP="00010512">
            <w:pPr>
              <w:rPr>
                <w:rFonts w:cs="Arial"/>
              </w:rPr>
            </w:pPr>
            <w:r w:rsidRPr="00010512">
              <w:rPr>
                <w:b/>
                <w:bCs/>
                <w:szCs w:val="18"/>
              </w:rPr>
              <w:t xml:space="preserve">Ако ОБЩАТА ДНЕВНА ДОЗА е: 3 000 </w:t>
            </w:r>
            <w:r w:rsidRPr="00010512">
              <w:rPr>
                <w:b/>
                <w:bCs/>
                <w:szCs w:val="18"/>
                <w:lang w:val="en-US"/>
              </w:rPr>
              <w:t>mg</w:t>
            </w:r>
            <w:r w:rsidRPr="00010512">
              <w:rPr>
                <w:b/>
                <w:bCs/>
                <w:szCs w:val="18"/>
              </w:rPr>
              <w:t>/ден</w:t>
            </w:r>
          </w:p>
        </w:tc>
        <w:tc>
          <w:tcPr>
            <w:tcW w:w="2030" w:type="dxa"/>
          </w:tcPr>
          <w:p w14:paraId="32FED514" w14:textId="429EA8B1" w:rsidR="00010512" w:rsidRPr="00010512" w:rsidRDefault="00010512" w:rsidP="00010512">
            <w:pPr>
              <w:rPr>
                <w:rFonts w:cs="Arial"/>
              </w:rPr>
            </w:pPr>
            <w:r w:rsidRPr="00010512">
              <w:rPr>
                <w:b/>
                <w:bCs/>
                <w:szCs w:val="18"/>
              </w:rPr>
              <w:t xml:space="preserve">Ако ОБЩАТА ДНЕВНА ДОЗА е: 4 000 </w:t>
            </w:r>
            <w:r w:rsidRPr="00010512">
              <w:rPr>
                <w:b/>
                <w:bCs/>
                <w:szCs w:val="18"/>
                <w:lang w:val="en-US"/>
              </w:rPr>
              <w:t>mg</w:t>
            </w:r>
            <w:r w:rsidRPr="00010512">
              <w:rPr>
                <w:b/>
                <w:bCs/>
                <w:szCs w:val="18"/>
              </w:rPr>
              <w:t>/ден</w:t>
            </w:r>
          </w:p>
        </w:tc>
      </w:tr>
      <w:tr w:rsidR="00010512" w14:paraId="37F38097" w14:textId="77777777" w:rsidTr="00010512">
        <w:tc>
          <w:tcPr>
            <w:tcW w:w="2010" w:type="dxa"/>
            <w:vMerge/>
          </w:tcPr>
          <w:p w14:paraId="5EF516CB" w14:textId="77777777" w:rsidR="00010512" w:rsidRDefault="00010512" w:rsidP="00010512">
            <w:pPr>
              <w:rPr>
                <w:rFonts w:cs="Arial"/>
                <w:sz w:val="24"/>
              </w:rPr>
            </w:pPr>
          </w:p>
        </w:tc>
        <w:tc>
          <w:tcPr>
            <w:tcW w:w="2776" w:type="dxa"/>
          </w:tcPr>
          <w:p w14:paraId="7B785C75" w14:textId="77777777" w:rsidR="00010512" w:rsidRDefault="00010512" w:rsidP="00010512">
            <w:pPr>
              <w:rPr>
                <w:rFonts w:cs="Arial"/>
                <w:sz w:val="24"/>
              </w:rPr>
            </w:pPr>
          </w:p>
        </w:tc>
        <w:tc>
          <w:tcPr>
            <w:tcW w:w="2760" w:type="dxa"/>
          </w:tcPr>
          <w:p w14:paraId="537FF83A" w14:textId="77777777" w:rsidR="00010512" w:rsidRDefault="00010512" w:rsidP="00010512">
            <w:pPr>
              <w:rPr>
                <w:rFonts w:cs="Arial"/>
                <w:sz w:val="24"/>
              </w:rPr>
            </w:pPr>
          </w:p>
        </w:tc>
        <w:tc>
          <w:tcPr>
            <w:tcW w:w="2030" w:type="dxa"/>
          </w:tcPr>
          <w:p w14:paraId="6F62AF7F" w14:textId="77777777" w:rsidR="00010512" w:rsidRDefault="00010512" w:rsidP="00010512">
            <w:pPr>
              <w:rPr>
                <w:rFonts w:cs="Arial"/>
                <w:sz w:val="24"/>
              </w:rPr>
            </w:pPr>
          </w:p>
        </w:tc>
      </w:tr>
      <w:tr w:rsidR="00010512" w14:paraId="52C1E98E" w14:textId="77777777" w:rsidTr="00010512">
        <w:tc>
          <w:tcPr>
            <w:tcW w:w="2010" w:type="dxa"/>
          </w:tcPr>
          <w:p w14:paraId="1398F899" w14:textId="302DAAAC" w:rsidR="00010512" w:rsidRDefault="00010512" w:rsidP="00010512">
            <w:pPr>
              <w:rPr>
                <w:rFonts w:cs="Arial"/>
                <w:sz w:val="24"/>
              </w:rPr>
            </w:pPr>
            <w:r>
              <w:t>≥90 (нормален)</w:t>
            </w:r>
          </w:p>
        </w:tc>
        <w:tc>
          <w:tcPr>
            <w:tcW w:w="2776" w:type="dxa"/>
          </w:tcPr>
          <w:p w14:paraId="6E85D3F4" w14:textId="62F960D3" w:rsidR="00010512" w:rsidRDefault="00010512" w:rsidP="00010512">
            <w:pPr>
              <w:rPr>
                <w:rFonts w:cs="Arial"/>
                <w:sz w:val="24"/>
              </w:rPr>
            </w:pPr>
            <w:r>
              <w:t xml:space="preserve">500 </w:t>
            </w:r>
            <w:r>
              <w:rPr>
                <w:lang w:val="en-US"/>
              </w:rPr>
              <w:t>q6h</w:t>
            </w:r>
          </w:p>
        </w:tc>
        <w:tc>
          <w:tcPr>
            <w:tcW w:w="2760" w:type="dxa"/>
          </w:tcPr>
          <w:p w14:paraId="1F2137B2" w14:textId="14045E6A" w:rsidR="00010512" w:rsidRDefault="00010512" w:rsidP="00010512">
            <w:pPr>
              <w:rPr>
                <w:rFonts w:cs="Arial"/>
                <w:sz w:val="24"/>
              </w:rPr>
            </w:pPr>
            <w:r>
              <w:t xml:space="preserve">1 000 </w:t>
            </w:r>
            <w:r>
              <w:rPr>
                <w:lang w:val="en-US"/>
              </w:rPr>
              <w:t>q8h</w:t>
            </w:r>
          </w:p>
        </w:tc>
        <w:tc>
          <w:tcPr>
            <w:tcW w:w="2030" w:type="dxa"/>
          </w:tcPr>
          <w:p w14:paraId="58626B79" w14:textId="06A6C13B" w:rsidR="00010512" w:rsidRDefault="00010512" w:rsidP="00010512">
            <w:pPr>
              <w:rPr>
                <w:rFonts w:cs="Arial"/>
                <w:sz w:val="24"/>
              </w:rPr>
            </w:pPr>
            <w:r>
              <w:t xml:space="preserve">1000 </w:t>
            </w:r>
            <w:r>
              <w:rPr>
                <w:lang w:val="en-US"/>
              </w:rPr>
              <w:t>q6h</w:t>
            </w:r>
          </w:p>
        </w:tc>
      </w:tr>
      <w:tr w:rsidR="00010512" w14:paraId="6D67A436" w14:textId="77777777" w:rsidTr="00010512">
        <w:tc>
          <w:tcPr>
            <w:tcW w:w="9576" w:type="dxa"/>
            <w:gridSpan w:val="4"/>
          </w:tcPr>
          <w:p w14:paraId="28EB7EAE" w14:textId="59D913F3" w:rsidR="00010512" w:rsidRDefault="00010512" w:rsidP="00010512">
            <w:pPr>
              <w:jc w:val="center"/>
              <w:rPr>
                <w:rFonts w:cs="Arial"/>
                <w:sz w:val="24"/>
              </w:rPr>
            </w:pPr>
            <w:r w:rsidRPr="00010512">
              <w:rPr>
                <w:b/>
                <w:bCs/>
                <w:szCs w:val="18"/>
              </w:rPr>
              <w:t xml:space="preserve">намалена доза </w:t>
            </w:r>
            <w:r w:rsidRPr="00010512">
              <w:rPr>
                <w:b/>
                <w:bCs/>
                <w:szCs w:val="18"/>
                <w:lang w:val="ru-RU"/>
              </w:rPr>
              <w:t>(</w:t>
            </w:r>
            <w:r w:rsidRPr="00010512">
              <w:rPr>
                <w:b/>
                <w:bCs/>
                <w:szCs w:val="18"/>
                <w:lang w:val="en-US"/>
              </w:rPr>
              <w:t>mg</w:t>
            </w:r>
            <w:r w:rsidRPr="00010512">
              <w:rPr>
                <w:b/>
                <w:bCs/>
                <w:szCs w:val="18"/>
                <w:lang w:val="ru-RU"/>
              </w:rPr>
              <w:t xml:space="preserve">) </w:t>
            </w:r>
            <w:r w:rsidRPr="00010512">
              <w:rPr>
                <w:b/>
                <w:bCs/>
                <w:szCs w:val="18"/>
              </w:rPr>
              <w:t>за пациенти с бъбречно увреждане:</w:t>
            </w:r>
          </w:p>
        </w:tc>
      </w:tr>
      <w:tr w:rsidR="00010512" w14:paraId="4E988490" w14:textId="77777777" w:rsidTr="00010512">
        <w:tc>
          <w:tcPr>
            <w:tcW w:w="2010" w:type="dxa"/>
          </w:tcPr>
          <w:p w14:paraId="3C13A500" w14:textId="755957A7" w:rsidR="00010512" w:rsidRDefault="00010512" w:rsidP="00010512">
            <w:pPr>
              <w:rPr>
                <w:rFonts w:cs="Arial"/>
                <w:sz w:val="24"/>
              </w:rPr>
            </w:pPr>
            <w:r>
              <w:t>&lt;90-≥60</w:t>
            </w:r>
          </w:p>
        </w:tc>
        <w:tc>
          <w:tcPr>
            <w:tcW w:w="2776" w:type="dxa"/>
          </w:tcPr>
          <w:p w14:paraId="44C5CA8E" w14:textId="77777777" w:rsidR="00010512" w:rsidRDefault="00010512" w:rsidP="00010512">
            <w:r>
              <w:t xml:space="preserve">400 </w:t>
            </w:r>
          </w:p>
          <w:p w14:paraId="58ADD4BA" w14:textId="7A5FB593" w:rsidR="00010512" w:rsidRDefault="00010512" w:rsidP="00010512">
            <w:pPr>
              <w:rPr>
                <w:rFonts w:cs="Arial"/>
                <w:sz w:val="24"/>
              </w:rPr>
            </w:pPr>
            <w:r>
              <w:rPr>
                <w:lang w:val="en-US"/>
              </w:rPr>
              <w:t>q6h</w:t>
            </w:r>
          </w:p>
        </w:tc>
        <w:tc>
          <w:tcPr>
            <w:tcW w:w="2760" w:type="dxa"/>
          </w:tcPr>
          <w:p w14:paraId="45592376" w14:textId="77777777" w:rsidR="00010512" w:rsidRDefault="00010512" w:rsidP="00010512">
            <w:r>
              <w:t>500</w:t>
            </w:r>
          </w:p>
          <w:p w14:paraId="1FC6DAB5" w14:textId="5DE9616A" w:rsidR="00010512" w:rsidRPr="00010512" w:rsidRDefault="00010512" w:rsidP="00010512">
            <w:pPr>
              <w:rPr>
                <w:lang w:val="en-US"/>
              </w:rPr>
            </w:pPr>
            <w:r>
              <w:rPr>
                <w:lang w:val="en-US"/>
              </w:rPr>
              <w:t>q6h</w:t>
            </w:r>
          </w:p>
        </w:tc>
        <w:tc>
          <w:tcPr>
            <w:tcW w:w="2030" w:type="dxa"/>
          </w:tcPr>
          <w:p w14:paraId="216EEFF2" w14:textId="77777777" w:rsidR="00010512" w:rsidRDefault="00010512" w:rsidP="00010512">
            <w:r>
              <w:t xml:space="preserve">750 </w:t>
            </w:r>
          </w:p>
          <w:p w14:paraId="2AC12440" w14:textId="5D4B00EA" w:rsidR="00010512" w:rsidRDefault="00010512" w:rsidP="00010512">
            <w:pPr>
              <w:rPr>
                <w:rFonts w:cs="Arial"/>
                <w:sz w:val="24"/>
              </w:rPr>
            </w:pPr>
            <w:r>
              <w:rPr>
                <w:lang w:val="en-US"/>
              </w:rPr>
              <w:t>q8h</w:t>
            </w:r>
          </w:p>
        </w:tc>
      </w:tr>
      <w:tr w:rsidR="00010512" w14:paraId="74223AF3" w14:textId="77777777" w:rsidTr="00010512">
        <w:tc>
          <w:tcPr>
            <w:tcW w:w="2010" w:type="dxa"/>
          </w:tcPr>
          <w:p w14:paraId="4C2275EF" w14:textId="5F1003A6" w:rsidR="00010512" w:rsidRDefault="00010512" w:rsidP="00010512">
            <w:pPr>
              <w:rPr>
                <w:rFonts w:cs="Arial"/>
                <w:sz w:val="24"/>
              </w:rPr>
            </w:pPr>
            <w:r>
              <w:t>&lt; 60 - ≥30</w:t>
            </w:r>
          </w:p>
        </w:tc>
        <w:tc>
          <w:tcPr>
            <w:tcW w:w="2776" w:type="dxa"/>
          </w:tcPr>
          <w:p w14:paraId="0468D7BE" w14:textId="77777777" w:rsidR="00010512" w:rsidRDefault="00010512" w:rsidP="00010512">
            <w:r>
              <w:t>300</w:t>
            </w:r>
          </w:p>
          <w:p w14:paraId="611321B2" w14:textId="45293EBC" w:rsidR="00010512" w:rsidRDefault="00010512" w:rsidP="00010512">
            <w:pPr>
              <w:rPr>
                <w:rFonts w:cs="Arial"/>
                <w:sz w:val="24"/>
              </w:rPr>
            </w:pPr>
            <w:r>
              <w:rPr>
                <w:lang w:val="en-US"/>
              </w:rPr>
              <w:t>q6h</w:t>
            </w:r>
          </w:p>
        </w:tc>
        <w:tc>
          <w:tcPr>
            <w:tcW w:w="2760" w:type="dxa"/>
          </w:tcPr>
          <w:p w14:paraId="40081E9A" w14:textId="77777777" w:rsidR="00010512" w:rsidRDefault="00010512" w:rsidP="00010512">
            <w:r>
              <w:t xml:space="preserve">500 </w:t>
            </w:r>
          </w:p>
          <w:p w14:paraId="36009BA2" w14:textId="72F870B1" w:rsidR="00010512" w:rsidRDefault="00010512" w:rsidP="00010512">
            <w:pPr>
              <w:rPr>
                <w:rFonts w:cs="Arial"/>
                <w:sz w:val="24"/>
              </w:rPr>
            </w:pPr>
            <w:r>
              <w:rPr>
                <w:lang w:val="en-US"/>
              </w:rPr>
              <w:t>q8h</w:t>
            </w:r>
          </w:p>
        </w:tc>
        <w:tc>
          <w:tcPr>
            <w:tcW w:w="2030" w:type="dxa"/>
          </w:tcPr>
          <w:p w14:paraId="38E846D2" w14:textId="77777777" w:rsidR="00010512" w:rsidRDefault="00010512" w:rsidP="00010512">
            <w:r>
              <w:t xml:space="preserve">500 </w:t>
            </w:r>
          </w:p>
          <w:p w14:paraId="505F53E4" w14:textId="37F7CFB6" w:rsidR="00010512" w:rsidRDefault="00010512" w:rsidP="00010512">
            <w:pPr>
              <w:rPr>
                <w:rFonts w:cs="Arial"/>
                <w:sz w:val="24"/>
              </w:rPr>
            </w:pPr>
            <w:r>
              <w:rPr>
                <w:lang w:val="en-US"/>
              </w:rPr>
              <w:t>q6h</w:t>
            </w:r>
          </w:p>
        </w:tc>
      </w:tr>
      <w:tr w:rsidR="00010512" w14:paraId="4A5FE7B5" w14:textId="77777777" w:rsidTr="00010512">
        <w:tc>
          <w:tcPr>
            <w:tcW w:w="2010" w:type="dxa"/>
          </w:tcPr>
          <w:p w14:paraId="603C7669" w14:textId="5C76F960" w:rsidR="00010512" w:rsidRDefault="00010512" w:rsidP="00010512">
            <w:pPr>
              <w:rPr>
                <w:rFonts w:cs="Arial"/>
                <w:sz w:val="24"/>
              </w:rPr>
            </w:pPr>
            <w:r>
              <w:t>&lt;30-≥15</w:t>
            </w:r>
          </w:p>
        </w:tc>
        <w:tc>
          <w:tcPr>
            <w:tcW w:w="2776" w:type="dxa"/>
          </w:tcPr>
          <w:p w14:paraId="5B49C006" w14:textId="77777777" w:rsidR="00010512" w:rsidRDefault="00010512" w:rsidP="00010512">
            <w:r>
              <w:t>200</w:t>
            </w:r>
          </w:p>
          <w:p w14:paraId="0A9776FC" w14:textId="37589274" w:rsidR="00010512" w:rsidRDefault="00010512" w:rsidP="00010512">
            <w:pPr>
              <w:rPr>
                <w:rFonts w:cs="Arial"/>
                <w:sz w:val="24"/>
              </w:rPr>
            </w:pPr>
            <w:r>
              <w:rPr>
                <w:lang w:val="en-US"/>
              </w:rPr>
              <w:lastRenderedPageBreak/>
              <w:t>q6h</w:t>
            </w:r>
          </w:p>
        </w:tc>
        <w:tc>
          <w:tcPr>
            <w:tcW w:w="2760" w:type="dxa"/>
          </w:tcPr>
          <w:p w14:paraId="2EB85217" w14:textId="77777777" w:rsidR="00010512" w:rsidRDefault="00010512" w:rsidP="00010512">
            <w:r>
              <w:lastRenderedPageBreak/>
              <w:t xml:space="preserve">500 </w:t>
            </w:r>
          </w:p>
          <w:p w14:paraId="6FBC570B" w14:textId="2563B978" w:rsidR="00010512" w:rsidRDefault="00010512" w:rsidP="00010512">
            <w:pPr>
              <w:rPr>
                <w:rFonts w:cs="Arial"/>
                <w:sz w:val="24"/>
              </w:rPr>
            </w:pPr>
            <w:r>
              <w:rPr>
                <w:lang w:val="en-US"/>
              </w:rPr>
              <w:lastRenderedPageBreak/>
              <w:t>q12h</w:t>
            </w:r>
          </w:p>
        </w:tc>
        <w:tc>
          <w:tcPr>
            <w:tcW w:w="2030" w:type="dxa"/>
          </w:tcPr>
          <w:p w14:paraId="6EB88DF2" w14:textId="77777777" w:rsidR="00010512" w:rsidRDefault="00010512" w:rsidP="00010512">
            <w:r>
              <w:lastRenderedPageBreak/>
              <w:t xml:space="preserve">500 </w:t>
            </w:r>
          </w:p>
          <w:p w14:paraId="2764355D" w14:textId="58350D6F" w:rsidR="00010512" w:rsidRDefault="00010512" w:rsidP="00010512">
            <w:pPr>
              <w:rPr>
                <w:rFonts w:cs="Arial"/>
                <w:sz w:val="24"/>
              </w:rPr>
            </w:pPr>
            <w:r>
              <w:rPr>
                <w:lang w:val="en-US"/>
              </w:rPr>
              <w:lastRenderedPageBreak/>
              <w:t>q12h</w:t>
            </w:r>
          </w:p>
        </w:tc>
      </w:tr>
    </w:tbl>
    <w:p w14:paraId="45D4F785" w14:textId="0651322C" w:rsidR="00010512" w:rsidRDefault="00010512" w:rsidP="00010512">
      <w:pPr>
        <w:rPr>
          <w:rFonts w:cs="Arial"/>
          <w:sz w:val="24"/>
        </w:rPr>
      </w:pPr>
    </w:p>
    <w:p w14:paraId="31E1E6C4"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 xml:space="preserve">Пациентите с креатининов клирънс &lt;15 </w:t>
      </w:r>
      <w:r w:rsidRPr="00010512">
        <w:rPr>
          <w:rFonts w:eastAsia="Times New Roman" w:cs="Arial"/>
          <w:color w:val="000000"/>
          <w:szCs w:val="20"/>
          <w:u w:val="single"/>
          <w:lang w:val="en-US"/>
        </w:rPr>
        <w:t>ml</w:t>
      </w:r>
      <w:r w:rsidRPr="00010512">
        <w:rPr>
          <w:rFonts w:eastAsia="Times New Roman" w:cs="Arial"/>
          <w:color w:val="000000"/>
          <w:szCs w:val="20"/>
          <w:u w:val="single"/>
          <w:lang w:val="ru-RU"/>
        </w:rPr>
        <w:t>/</w:t>
      </w:r>
      <w:r w:rsidRPr="00010512">
        <w:rPr>
          <w:rFonts w:eastAsia="Times New Roman" w:cs="Arial"/>
          <w:color w:val="000000"/>
          <w:szCs w:val="20"/>
          <w:u w:val="single"/>
          <w:lang w:val="en-US"/>
        </w:rPr>
        <w:t>min</w:t>
      </w:r>
    </w:p>
    <w:p w14:paraId="425EAF4A"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Тези пациенти не трябва да получават ТИЕНАМ, освен ако през следващите 48 часа не бъдат включени на хемодиализа.</w:t>
      </w:r>
    </w:p>
    <w:p w14:paraId="567EA80A" w14:textId="77777777" w:rsidR="00010512" w:rsidRPr="00010512" w:rsidRDefault="00010512" w:rsidP="00010512">
      <w:pPr>
        <w:spacing w:line="240" w:lineRule="auto"/>
        <w:rPr>
          <w:rFonts w:eastAsia="Times New Roman" w:cs="Arial"/>
          <w:color w:val="000000"/>
          <w:szCs w:val="20"/>
          <w:u w:val="single"/>
          <w:lang w:eastAsia="bg-BG"/>
        </w:rPr>
      </w:pPr>
    </w:p>
    <w:p w14:paraId="45778BAA" w14:textId="3974F242"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Пациенти на хемодиализа</w:t>
      </w:r>
    </w:p>
    <w:p w14:paraId="1635D42C"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При лечение на пациенти с креатининов клирънс &lt;15 </w:t>
      </w:r>
      <w:r w:rsidRPr="00010512">
        <w:rPr>
          <w:rFonts w:eastAsia="Times New Roman" w:cs="Arial"/>
          <w:color w:val="000000"/>
          <w:szCs w:val="20"/>
          <w:lang w:val="en-US"/>
        </w:rPr>
        <w:t>ml</w:t>
      </w:r>
      <w:r w:rsidRPr="00010512">
        <w:rPr>
          <w:rFonts w:eastAsia="Times New Roman" w:cs="Arial"/>
          <w:color w:val="000000"/>
          <w:szCs w:val="20"/>
          <w:lang w:val="ru-RU"/>
        </w:rPr>
        <w:t>/</w:t>
      </w:r>
      <w:r w:rsidRPr="00010512">
        <w:rPr>
          <w:rFonts w:eastAsia="Times New Roman" w:cs="Arial"/>
          <w:color w:val="000000"/>
          <w:szCs w:val="20"/>
          <w:lang w:val="en-US"/>
        </w:rPr>
        <w:t>min</w:t>
      </w:r>
      <w:r w:rsidRPr="00010512">
        <w:rPr>
          <w:rFonts w:eastAsia="Times New Roman" w:cs="Arial"/>
          <w:color w:val="000000"/>
          <w:szCs w:val="20"/>
          <w:lang w:val="ru-RU"/>
        </w:rPr>
        <w:t xml:space="preserve">, </w:t>
      </w:r>
      <w:r w:rsidRPr="00010512">
        <w:rPr>
          <w:rFonts w:eastAsia="Times New Roman" w:cs="Arial"/>
          <w:color w:val="000000"/>
          <w:szCs w:val="20"/>
          <w:lang w:eastAsia="bg-BG"/>
        </w:rPr>
        <w:t xml:space="preserve">които са на хемодиализа, използвайте дозата, препоръчителна за пациенти с креатининов клирънс от 15 до 29 </w:t>
      </w:r>
      <w:r w:rsidRPr="00010512">
        <w:rPr>
          <w:rFonts w:eastAsia="Times New Roman" w:cs="Arial"/>
          <w:color w:val="000000"/>
          <w:szCs w:val="20"/>
          <w:lang w:val="en-US"/>
        </w:rPr>
        <w:t>ml</w:t>
      </w:r>
      <w:r w:rsidRPr="00010512">
        <w:rPr>
          <w:rFonts w:eastAsia="Times New Roman" w:cs="Arial"/>
          <w:color w:val="000000"/>
          <w:szCs w:val="20"/>
          <w:lang w:val="ru-RU"/>
        </w:rPr>
        <w:t>/</w:t>
      </w:r>
      <w:r w:rsidRPr="00010512">
        <w:rPr>
          <w:rFonts w:eastAsia="Times New Roman" w:cs="Arial"/>
          <w:color w:val="000000"/>
          <w:szCs w:val="20"/>
          <w:lang w:val="en-US"/>
        </w:rPr>
        <w:t>min</w:t>
      </w:r>
      <w:r w:rsidRPr="00010512">
        <w:rPr>
          <w:rFonts w:eastAsia="Times New Roman" w:cs="Arial"/>
          <w:color w:val="000000"/>
          <w:szCs w:val="20"/>
          <w:lang w:val="ru-RU"/>
        </w:rPr>
        <w:t xml:space="preserve"> </w:t>
      </w:r>
      <w:r w:rsidRPr="00010512">
        <w:rPr>
          <w:rFonts w:eastAsia="Times New Roman" w:cs="Arial"/>
          <w:color w:val="000000"/>
          <w:szCs w:val="20"/>
          <w:lang w:eastAsia="bg-BG"/>
        </w:rPr>
        <w:t>(вж. таблица 1).</w:t>
      </w:r>
    </w:p>
    <w:p w14:paraId="2C120D18" w14:textId="77777777" w:rsidR="00010512" w:rsidRPr="00010512" w:rsidRDefault="00010512" w:rsidP="00010512">
      <w:pPr>
        <w:spacing w:line="240" w:lineRule="auto"/>
        <w:rPr>
          <w:rFonts w:eastAsia="Times New Roman" w:cs="Arial"/>
          <w:color w:val="000000"/>
          <w:szCs w:val="20"/>
          <w:lang w:eastAsia="bg-BG"/>
        </w:rPr>
      </w:pPr>
    </w:p>
    <w:p w14:paraId="1A03F257" w14:textId="2474B35F" w:rsidR="00010512" w:rsidRPr="00010512" w:rsidRDefault="00010512" w:rsidP="00010512">
      <w:pPr>
        <w:spacing w:line="240" w:lineRule="auto"/>
        <w:rPr>
          <w:rFonts w:eastAsia="Times New Roman" w:cs="Arial"/>
          <w:color w:val="000000"/>
          <w:szCs w:val="20"/>
          <w:lang w:eastAsia="bg-BG"/>
        </w:rPr>
      </w:pPr>
      <w:r w:rsidRPr="00010512">
        <w:rPr>
          <w:rFonts w:eastAsia="Times New Roman" w:cs="Arial"/>
          <w:color w:val="000000"/>
          <w:szCs w:val="20"/>
          <w:lang w:eastAsia="bg-BG"/>
        </w:rPr>
        <w:t xml:space="preserve">И имипенем, и циластатин се отстраняват от кръвообръщението при хемодиализа. ТИЕНАМ трябва да се </w:t>
      </w:r>
    </w:p>
    <w:p w14:paraId="2A19668A" w14:textId="06F90365"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прилага след хемодиализата и на интервали от 12 часа след края на хемодиализата. Пациентите на хемодиализа, особено тези с анамнеза за заболявания на централната нервна система (ЦНС), трябва да са под строг контрол; приложението на ТИЕНАМ при пациенти на хемодиализа се препоръчва само тогава, когато ползата надвишава потенциалния риск за развитие на гърчове (вж. точка 4.4).</w:t>
      </w:r>
    </w:p>
    <w:p w14:paraId="57F9031B" w14:textId="77777777" w:rsidR="00010512" w:rsidRPr="00010512" w:rsidRDefault="00010512" w:rsidP="00010512">
      <w:pPr>
        <w:spacing w:line="240" w:lineRule="auto"/>
        <w:rPr>
          <w:rFonts w:eastAsia="Times New Roman" w:cs="Arial"/>
          <w:color w:val="000000"/>
          <w:szCs w:val="20"/>
          <w:lang w:eastAsia="bg-BG"/>
        </w:rPr>
      </w:pPr>
    </w:p>
    <w:p w14:paraId="2B7F8BB5" w14:textId="54017BD8"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Понастоящем наличните данни са недостатъчни, за да се направят препоръки за употребата на ТИЕНАМ при пациенти на перитонеална диализа.</w:t>
      </w:r>
    </w:p>
    <w:p w14:paraId="7E2F4843" w14:textId="77777777" w:rsidR="00010512" w:rsidRPr="00010512" w:rsidRDefault="00010512" w:rsidP="00010512">
      <w:pPr>
        <w:spacing w:line="240" w:lineRule="auto"/>
        <w:rPr>
          <w:rFonts w:eastAsia="Times New Roman" w:cs="Arial"/>
          <w:color w:val="000000"/>
          <w:szCs w:val="20"/>
          <w:u w:val="single"/>
          <w:lang w:eastAsia="bg-BG"/>
        </w:rPr>
      </w:pPr>
    </w:p>
    <w:p w14:paraId="571F74D8" w14:textId="4B8D136E"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Чернодробно увреждане</w:t>
      </w:r>
    </w:p>
    <w:p w14:paraId="6CD2775B"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При пациенти с увредена чернодробна функция не е необходима корекция на дозата (вж. точка 5.2).</w:t>
      </w:r>
    </w:p>
    <w:p w14:paraId="0ED6EC2E" w14:textId="77777777" w:rsidR="00010512" w:rsidRPr="00010512" w:rsidRDefault="00010512" w:rsidP="00010512">
      <w:pPr>
        <w:spacing w:line="240" w:lineRule="auto"/>
        <w:rPr>
          <w:rFonts w:eastAsia="Times New Roman" w:cs="Arial"/>
          <w:color w:val="000000"/>
          <w:szCs w:val="20"/>
          <w:u w:val="single"/>
          <w:lang w:eastAsia="bg-BG"/>
        </w:rPr>
      </w:pPr>
    </w:p>
    <w:p w14:paraId="6139C5AF" w14:textId="76F4225B"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Пациенти в старческа възраст</w:t>
      </w:r>
    </w:p>
    <w:p w14:paraId="0061AC82"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При пациенти в старческа възраст с нормална бъбречна функция не е необходима корекция на дозата (вж. точка 5.2).</w:t>
      </w:r>
    </w:p>
    <w:p w14:paraId="42E56E47" w14:textId="77777777" w:rsidR="00010512" w:rsidRPr="00010512" w:rsidRDefault="00010512" w:rsidP="00010512">
      <w:pPr>
        <w:spacing w:line="240" w:lineRule="auto"/>
        <w:rPr>
          <w:rFonts w:eastAsia="Times New Roman" w:cs="Arial"/>
          <w:color w:val="000000"/>
          <w:szCs w:val="20"/>
          <w:u w:val="single"/>
          <w:lang w:eastAsia="bg-BG"/>
        </w:rPr>
      </w:pPr>
    </w:p>
    <w:p w14:paraId="3E23BA37" w14:textId="662F6292"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Педиатрична популация н</w:t>
      </w:r>
      <w:r w:rsidRPr="00010512">
        <w:rPr>
          <w:rFonts w:eastAsia="Times New Roman" w:cs="Arial"/>
          <w:color w:val="000000"/>
          <w:szCs w:val="20"/>
          <w:lang w:eastAsia="bg-BG"/>
        </w:rPr>
        <w:t>а възпаст ≥ 1 година</w:t>
      </w:r>
    </w:p>
    <w:p w14:paraId="7BAB924A"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При педиатрични пациенти на възраст ≥ 1 година препоръчителната доза е 15/15 или 25/25 </w:t>
      </w:r>
      <w:r w:rsidRPr="00010512">
        <w:rPr>
          <w:rFonts w:eastAsia="Times New Roman" w:cs="Arial"/>
          <w:color w:val="000000"/>
          <w:szCs w:val="20"/>
          <w:lang w:val="en-US"/>
        </w:rPr>
        <w:t>mg</w:t>
      </w:r>
      <w:r w:rsidRPr="00010512">
        <w:rPr>
          <w:rFonts w:eastAsia="Times New Roman" w:cs="Arial"/>
          <w:color w:val="000000"/>
          <w:szCs w:val="20"/>
          <w:lang w:val="ru-RU"/>
        </w:rPr>
        <w:t>/</w:t>
      </w:r>
      <w:r w:rsidRPr="00010512">
        <w:rPr>
          <w:rFonts w:eastAsia="Times New Roman" w:cs="Arial"/>
          <w:color w:val="000000"/>
          <w:szCs w:val="20"/>
          <w:lang w:val="en-US"/>
        </w:rPr>
        <w:t>kg</w:t>
      </w:r>
      <w:r w:rsidRPr="00010512">
        <w:rPr>
          <w:rFonts w:eastAsia="Times New Roman" w:cs="Arial"/>
          <w:color w:val="000000"/>
          <w:szCs w:val="20"/>
          <w:lang w:eastAsia="bg-BG"/>
        </w:rPr>
        <w:t>/доза, прилагана на всеки 6 часа.</w:t>
      </w:r>
    </w:p>
    <w:p w14:paraId="6BAB8777" w14:textId="77777777" w:rsidR="00010512" w:rsidRPr="00010512" w:rsidRDefault="00010512" w:rsidP="00010512">
      <w:pPr>
        <w:rPr>
          <w:rFonts w:eastAsia="Times New Roman" w:cs="Arial"/>
          <w:color w:val="000000"/>
          <w:szCs w:val="20"/>
          <w:lang w:eastAsia="bg-BG"/>
        </w:rPr>
      </w:pPr>
    </w:p>
    <w:p w14:paraId="4E655334" w14:textId="77777777" w:rsidR="00010512" w:rsidRPr="00010512" w:rsidRDefault="00010512" w:rsidP="00010512">
      <w:pPr>
        <w:rPr>
          <w:rFonts w:eastAsia="Times New Roman" w:cs="Arial"/>
          <w:sz w:val="28"/>
          <w:szCs w:val="24"/>
        </w:rPr>
      </w:pPr>
      <w:r w:rsidRPr="00010512">
        <w:rPr>
          <w:rFonts w:eastAsia="Times New Roman" w:cs="Arial"/>
          <w:color w:val="000000"/>
          <w:szCs w:val="20"/>
          <w:lang w:eastAsia="bg-BG"/>
        </w:rPr>
        <w:t xml:space="preserve">Препоръчително е инфекции, за които се подозира или е доказано, че се дължат на по-малко чувствителни щамове (като </w:t>
      </w:r>
      <w:r w:rsidRPr="00010512">
        <w:rPr>
          <w:rFonts w:eastAsia="Times New Roman" w:cs="Arial"/>
          <w:i/>
          <w:iCs/>
          <w:color w:val="000000"/>
          <w:szCs w:val="20"/>
          <w:lang w:val="en-US"/>
        </w:rPr>
        <w:t>Pseudomonas</w:t>
      </w:r>
      <w:r w:rsidRPr="00010512">
        <w:rPr>
          <w:rFonts w:eastAsia="Times New Roman" w:cs="Arial"/>
          <w:i/>
          <w:iCs/>
          <w:color w:val="000000"/>
          <w:szCs w:val="20"/>
          <w:lang w:val="ru-RU"/>
        </w:rPr>
        <w:t xml:space="preserve"> </w:t>
      </w:r>
      <w:r w:rsidRPr="00010512">
        <w:rPr>
          <w:rFonts w:eastAsia="Times New Roman" w:cs="Arial"/>
          <w:i/>
          <w:iCs/>
          <w:color w:val="000000"/>
          <w:szCs w:val="20"/>
          <w:lang w:val="en-US"/>
        </w:rPr>
        <w:t>aeruginosa</w:t>
      </w:r>
      <w:r w:rsidRPr="00010512">
        <w:rPr>
          <w:rFonts w:eastAsia="Times New Roman" w:cs="Arial"/>
          <w:i/>
          <w:iCs/>
          <w:color w:val="000000"/>
          <w:szCs w:val="20"/>
          <w:lang w:val="ru-RU"/>
        </w:rPr>
        <w:t>)</w:t>
      </w:r>
      <w:r w:rsidRPr="00010512">
        <w:rPr>
          <w:rFonts w:eastAsia="Times New Roman" w:cs="Arial"/>
          <w:color w:val="000000"/>
          <w:szCs w:val="20"/>
          <w:lang w:val="ru-RU"/>
        </w:rPr>
        <w:t xml:space="preserve"> </w:t>
      </w:r>
      <w:r w:rsidRPr="00010512">
        <w:rPr>
          <w:rFonts w:eastAsia="Times New Roman" w:cs="Arial"/>
          <w:color w:val="000000"/>
          <w:szCs w:val="20"/>
          <w:lang w:eastAsia="bg-BG"/>
        </w:rPr>
        <w:t>и много тежки инфекции (напр. При</w:t>
      </w:r>
      <w:r w:rsidRPr="00010512">
        <w:rPr>
          <w:rFonts w:eastAsia="Times New Roman" w:cs="Arial"/>
          <w:color w:val="000000"/>
          <w:szCs w:val="20"/>
          <w:lang w:val="ru-RU" w:eastAsia="bg-BG"/>
        </w:rPr>
        <w:t xml:space="preserve"> </w:t>
      </w:r>
      <w:r w:rsidRPr="00010512">
        <w:rPr>
          <w:rFonts w:eastAsia="Times New Roman" w:cs="Arial"/>
          <w:color w:val="000000"/>
          <w:szCs w:val="20"/>
          <w:lang w:eastAsia="bg-BG"/>
        </w:rPr>
        <w:t xml:space="preserve">пациенти с неутропения и повишена температура) да се лекуват с 25/25 </w:t>
      </w:r>
      <w:r w:rsidRPr="00010512">
        <w:rPr>
          <w:rFonts w:eastAsia="Times New Roman" w:cs="Arial"/>
          <w:color w:val="000000"/>
          <w:szCs w:val="20"/>
          <w:lang w:val="en-US"/>
        </w:rPr>
        <w:t>mg</w:t>
      </w:r>
      <w:r w:rsidRPr="00010512">
        <w:rPr>
          <w:rFonts w:eastAsia="Times New Roman" w:cs="Arial"/>
          <w:color w:val="000000"/>
          <w:szCs w:val="20"/>
          <w:lang w:val="ru-RU"/>
        </w:rPr>
        <w:t>/</w:t>
      </w:r>
      <w:r w:rsidRPr="00010512">
        <w:rPr>
          <w:rFonts w:eastAsia="Times New Roman" w:cs="Arial"/>
          <w:color w:val="000000"/>
          <w:szCs w:val="20"/>
          <w:lang w:val="en-US"/>
        </w:rPr>
        <w:t>kg</w:t>
      </w:r>
      <w:r w:rsidRPr="00010512">
        <w:rPr>
          <w:rFonts w:eastAsia="Times New Roman" w:cs="Arial"/>
          <w:color w:val="000000"/>
          <w:szCs w:val="20"/>
          <w:lang w:val="ru-RU"/>
        </w:rPr>
        <w:t xml:space="preserve">, </w:t>
      </w:r>
      <w:r w:rsidRPr="00010512">
        <w:rPr>
          <w:rFonts w:eastAsia="Times New Roman" w:cs="Arial"/>
          <w:color w:val="000000"/>
          <w:szCs w:val="20"/>
          <w:lang w:eastAsia="bg-BG"/>
        </w:rPr>
        <w:t>прилагани на всеки 6 часа.</w:t>
      </w:r>
    </w:p>
    <w:p w14:paraId="60A65AE9" w14:textId="77777777" w:rsidR="00010512" w:rsidRPr="00010512" w:rsidRDefault="00010512" w:rsidP="00010512">
      <w:pPr>
        <w:spacing w:line="240" w:lineRule="auto"/>
        <w:rPr>
          <w:rFonts w:eastAsia="Times New Roman" w:cs="Arial"/>
          <w:color w:val="000000"/>
          <w:szCs w:val="20"/>
          <w:u w:val="single"/>
          <w:lang w:eastAsia="bg-BG"/>
        </w:rPr>
      </w:pPr>
    </w:p>
    <w:p w14:paraId="2035BF12" w14:textId="3E04FE8E"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Педиатрична популация</w:t>
      </w:r>
      <w:r w:rsidRPr="00010512">
        <w:rPr>
          <w:rFonts w:eastAsia="Times New Roman" w:cs="Arial"/>
          <w:color w:val="000000"/>
          <w:szCs w:val="20"/>
          <w:lang w:eastAsia="bg-BG"/>
        </w:rPr>
        <w:t xml:space="preserve"> на възраст &lt; 1 година</w:t>
      </w:r>
    </w:p>
    <w:p w14:paraId="48EFCC76"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Клиничните данни са недостатъчни, за да се дадат препоръки за прилагане при деца на възраст под 1 година.</w:t>
      </w:r>
    </w:p>
    <w:p w14:paraId="518387FE" w14:textId="77777777" w:rsidR="00010512" w:rsidRPr="00010512" w:rsidRDefault="00010512" w:rsidP="00010512">
      <w:pPr>
        <w:spacing w:line="240" w:lineRule="auto"/>
        <w:rPr>
          <w:rFonts w:eastAsia="Times New Roman" w:cs="Arial"/>
          <w:color w:val="000000"/>
          <w:szCs w:val="20"/>
          <w:u w:val="single"/>
          <w:lang w:eastAsia="bg-BG"/>
        </w:rPr>
      </w:pPr>
    </w:p>
    <w:p w14:paraId="3283AA2D" w14:textId="10B381B4"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Педиатрична популапия с бъбречно увреждане</w:t>
      </w:r>
    </w:p>
    <w:p w14:paraId="00245BFD"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Клиничните данни са недостатъчни, за са се дадат препоръки за прилагане при пациенти с увредена бъбречна функция (серумен креатинин &gt; 2 </w:t>
      </w:r>
      <w:r w:rsidRPr="00010512">
        <w:rPr>
          <w:rFonts w:eastAsia="Times New Roman" w:cs="Arial"/>
          <w:color w:val="000000"/>
          <w:szCs w:val="20"/>
          <w:lang w:val="en-US"/>
        </w:rPr>
        <w:t>mg</w:t>
      </w:r>
      <w:r w:rsidRPr="00010512">
        <w:rPr>
          <w:rFonts w:eastAsia="Times New Roman" w:cs="Arial"/>
          <w:color w:val="000000"/>
          <w:szCs w:val="20"/>
          <w:lang w:val="ru-RU"/>
        </w:rPr>
        <w:t>/</w:t>
      </w:r>
      <w:r w:rsidRPr="00010512">
        <w:rPr>
          <w:rFonts w:eastAsia="Times New Roman" w:cs="Arial"/>
          <w:color w:val="000000"/>
          <w:szCs w:val="20"/>
          <w:lang w:val="en-US"/>
        </w:rPr>
        <w:t>dl</w:t>
      </w:r>
      <w:r w:rsidRPr="00010512">
        <w:rPr>
          <w:rFonts w:eastAsia="Times New Roman" w:cs="Arial"/>
          <w:color w:val="000000"/>
          <w:szCs w:val="20"/>
          <w:lang w:val="ru-RU"/>
        </w:rPr>
        <w:t xml:space="preserve">). </w:t>
      </w:r>
      <w:r w:rsidRPr="00010512">
        <w:rPr>
          <w:rFonts w:eastAsia="Times New Roman" w:cs="Arial"/>
          <w:color w:val="000000"/>
          <w:szCs w:val="20"/>
          <w:lang w:eastAsia="bg-BG"/>
        </w:rPr>
        <w:t>Вижте точка 4.4.</w:t>
      </w:r>
    </w:p>
    <w:p w14:paraId="5D869FF6" w14:textId="77777777" w:rsidR="00010512" w:rsidRPr="00010512" w:rsidRDefault="00010512" w:rsidP="00010512">
      <w:pPr>
        <w:spacing w:line="240" w:lineRule="auto"/>
        <w:rPr>
          <w:rFonts w:eastAsia="Times New Roman" w:cs="Arial"/>
          <w:color w:val="000000"/>
          <w:szCs w:val="20"/>
          <w:u w:val="single"/>
          <w:lang w:eastAsia="bg-BG"/>
        </w:rPr>
      </w:pPr>
    </w:p>
    <w:p w14:paraId="0DE9B202" w14:textId="221011C6" w:rsidR="00010512" w:rsidRPr="00010512" w:rsidRDefault="00010512" w:rsidP="00010512">
      <w:pPr>
        <w:pStyle w:val="Heading3"/>
        <w:rPr>
          <w:rFonts w:eastAsia="Times New Roman"/>
          <w:sz w:val="28"/>
          <w:u w:val="single"/>
        </w:rPr>
      </w:pPr>
      <w:r w:rsidRPr="00010512">
        <w:rPr>
          <w:rFonts w:eastAsia="Times New Roman"/>
          <w:u w:val="single"/>
          <w:lang w:eastAsia="bg-BG"/>
        </w:rPr>
        <w:t>Начин на приложение</w:t>
      </w:r>
    </w:p>
    <w:p w14:paraId="595EB9F0"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ТИЕНАМ трябва да се разтвори и след това да се разреди (вж. точки 6.2,6.3 и 6.6) преди приложение. Всяка доза от ≤ 500 </w:t>
      </w:r>
      <w:r w:rsidRPr="00010512">
        <w:rPr>
          <w:rFonts w:eastAsia="Times New Roman" w:cs="Arial"/>
          <w:color w:val="000000"/>
          <w:szCs w:val="20"/>
          <w:lang w:val="en-US"/>
        </w:rPr>
        <w:t>mg</w:t>
      </w:r>
      <w:r w:rsidRPr="00010512">
        <w:rPr>
          <w:rFonts w:eastAsia="Times New Roman" w:cs="Arial"/>
          <w:color w:val="000000"/>
          <w:szCs w:val="20"/>
          <w:lang w:val="ru-RU"/>
        </w:rPr>
        <w:t xml:space="preserve">/500 </w:t>
      </w:r>
      <w:r w:rsidRPr="00010512">
        <w:rPr>
          <w:rFonts w:eastAsia="Times New Roman" w:cs="Arial"/>
          <w:color w:val="000000"/>
          <w:szCs w:val="20"/>
          <w:lang w:val="en-US"/>
        </w:rPr>
        <w:t>mg</w:t>
      </w:r>
      <w:r w:rsidRPr="00010512">
        <w:rPr>
          <w:rFonts w:eastAsia="Times New Roman" w:cs="Arial"/>
          <w:color w:val="000000"/>
          <w:szCs w:val="20"/>
          <w:lang w:val="ru-RU"/>
        </w:rPr>
        <w:t xml:space="preserve"> </w:t>
      </w:r>
      <w:r w:rsidRPr="00010512">
        <w:rPr>
          <w:rFonts w:eastAsia="Times New Roman" w:cs="Arial"/>
          <w:color w:val="000000"/>
          <w:szCs w:val="20"/>
          <w:lang w:eastAsia="bg-BG"/>
        </w:rPr>
        <w:t xml:space="preserve">трябва да се прилага като интравенозна </w:t>
      </w:r>
      <w:r w:rsidRPr="00010512">
        <w:rPr>
          <w:rFonts w:eastAsia="Times New Roman" w:cs="Arial"/>
          <w:color w:val="000000"/>
          <w:szCs w:val="20"/>
          <w:lang w:eastAsia="bg-BG"/>
        </w:rPr>
        <w:lastRenderedPageBreak/>
        <w:t xml:space="preserve">инфузия с продължителност 20 до 30 минути. Всяка доза &gt; 500 </w:t>
      </w:r>
      <w:r w:rsidRPr="00010512">
        <w:rPr>
          <w:rFonts w:eastAsia="Times New Roman" w:cs="Arial"/>
          <w:color w:val="000000"/>
          <w:szCs w:val="20"/>
          <w:lang w:val="en-US"/>
        </w:rPr>
        <w:t>mg</w:t>
      </w:r>
      <w:r w:rsidRPr="00010512">
        <w:rPr>
          <w:rFonts w:eastAsia="Times New Roman" w:cs="Arial"/>
          <w:color w:val="000000"/>
          <w:szCs w:val="20"/>
          <w:lang w:val="ru-RU"/>
        </w:rPr>
        <w:t xml:space="preserve">/500 </w:t>
      </w:r>
      <w:r w:rsidRPr="00010512">
        <w:rPr>
          <w:rFonts w:eastAsia="Times New Roman" w:cs="Arial"/>
          <w:color w:val="000000"/>
          <w:szCs w:val="20"/>
          <w:lang w:val="en-US"/>
        </w:rPr>
        <w:t>mg</w:t>
      </w:r>
      <w:r w:rsidRPr="00010512">
        <w:rPr>
          <w:rFonts w:eastAsia="Times New Roman" w:cs="Arial"/>
          <w:color w:val="000000"/>
          <w:szCs w:val="20"/>
          <w:lang w:val="ru-RU"/>
        </w:rPr>
        <w:t xml:space="preserve"> </w:t>
      </w:r>
      <w:r w:rsidRPr="00010512">
        <w:rPr>
          <w:rFonts w:eastAsia="Times New Roman" w:cs="Arial"/>
          <w:color w:val="000000"/>
          <w:szCs w:val="20"/>
          <w:lang w:eastAsia="bg-BG"/>
        </w:rPr>
        <w:t>трябва да се влива в продължение на 40 до 60 минути. При пациенти, при които по време на инфузията се появи гадене, скоростта на вливане може да се намали.</w:t>
      </w:r>
    </w:p>
    <w:p w14:paraId="2CFD8D63" w14:textId="675C3E75" w:rsidR="00010512" w:rsidRPr="00010512" w:rsidRDefault="00010512" w:rsidP="00010512">
      <w:pPr>
        <w:rPr>
          <w:rFonts w:cs="Arial"/>
          <w:sz w:val="24"/>
        </w:rPr>
      </w:pPr>
    </w:p>
    <w:p w14:paraId="28C984E8" w14:textId="49C0FB7C" w:rsidR="008134C8" w:rsidRDefault="002C50EE" w:rsidP="004A448E">
      <w:pPr>
        <w:pStyle w:val="Heading2"/>
      </w:pPr>
      <w:r>
        <w:t>4.3. Противопоказания</w:t>
      </w:r>
    </w:p>
    <w:p w14:paraId="0B7CA1DC" w14:textId="475A3848" w:rsidR="00010512" w:rsidRDefault="00010512" w:rsidP="00010512"/>
    <w:p w14:paraId="4AF6EC52" w14:textId="286EE93F" w:rsidR="00010512" w:rsidRPr="00010512" w:rsidRDefault="00010512" w:rsidP="00010512">
      <w:pPr>
        <w:pStyle w:val="ListParagraph"/>
        <w:numPr>
          <w:ilvl w:val="0"/>
          <w:numId w:val="36"/>
        </w:numPr>
        <w:rPr>
          <w:lang w:eastAsia="bg-BG"/>
        </w:rPr>
      </w:pPr>
      <w:r w:rsidRPr="00010512">
        <w:rPr>
          <w:lang w:eastAsia="bg-BG"/>
        </w:rPr>
        <w:t>Свръхчувствителност към активните вещества или към някое от помощните вещества,</w:t>
      </w:r>
      <w:r w:rsidRPr="00010512">
        <w:rPr>
          <w:lang w:val="ru-RU" w:eastAsia="bg-BG"/>
        </w:rPr>
        <w:t xml:space="preserve"> </w:t>
      </w:r>
      <w:r w:rsidRPr="00010512">
        <w:rPr>
          <w:lang w:eastAsia="bg-BG"/>
        </w:rPr>
        <w:t>изброени в точка 6.1</w:t>
      </w:r>
    </w:p>
    <w:p w14:paraId="7DD4F308" w14:textId="77777777" w:rsidR="00010512" w:rsidRPr="00010512" w:rsidRDefault="00010512" w:rsidP="00010512">
      <w:pPr>
        <w:pStyle w:val="ListParagraph"/>
        <w:numPr>
          <w:ilvl w:val="0"/>
          <w:numId w:val="36"/>
        </w:numPr>
        <w:rPr>
          <w:lang w:eastAsia="bg-BG"/>
        </w:rPr>
      </w:pPr>
      <w:r w:rsidRPr="00010512">
        <w:rPr>
          <w:lang w:eastAsia="bg-BG"/>
        </w:rPr>
        <w:t>Свръхчувствителност към друго карбапенемово антибактериално средство</w:t>
      </w:r>
    </w:p>
    <w:p w14:paraId="6D7C73AA" w14:textId="77777777" w:rsidR="00010512" w:rsidRPr="00010512" w:rsidRDefault="00010512" w:rsidP="00010512">
      <w:pPr>
        <w:pStyle w:val="ListParagraph"/>
        <w:numPr>
          <w:ilvl w:val="0"/>
          <w:numId w:val="36"/>
        </w:numPr>
        <w:rPr>
          <w:lang w:eastAsia="bg-BG"/>
        </w:rPr>
      </w:pPr>
      <w:r w:rsidRPr="00010512">
        <w:rPr>
          <w:lang w:eastAsia="bg-BG"/>
        </w:rPr>
        <w:t>Тежка свръхчувствителност (напр. анафилактична реакция, тежка кожна реакция) към друго тип бета-лактамно антибактериално средство (напр. пеницилини или цефалоспорини).</w:t>
      </w:r>
    </w:p>
    <w:p w14:paraId="6B2E074F" w14:textId="77777777" w:rsidR="00010512" w:rsidRPr="00010512" w:rsidRDefault="00010512" w:rsidP="00010512"/>
    <w:p w14:paraId="212F509C" w14:textId="41F6D593" w:rsidR="004F498A" w:rsidRDefault="002C50EE" w:rsidP="004A448E">
      <w:pPr>
        <w:pStyle w:val="Heading2"/>
      </w:pPr>
      <w:r>
        <w:t>4.4. Специални предупреждения и предпазни мерки при употреба</w:t>
      </w:r>
    </w:p>
    <w:p w14:paraId="356C5161" w14:textId="177ABC13" w:rsidR="00010512" w:rsidRDefault="00010512" w:rsidP="00010512"/>
    <w:p w14:paraId="248C6C4A" w14:textId="77777777" w:rsidR="00010512" w:rsidRPr="00010512" w:rsidRDefault="00010512" w:rsidP="00010512">
      <w:pPr>
        <w:spacing w:line="240" w:lineRule="auto"/>
        <w:rPr>
          <w:rFonts w:eastAsia="Times New Roman" w:cs="Arial"/>
        </w:rPr>
      </w:pPr>
      <w:r w:rsidRPr="00010512">
        <w:rPr>
          <w:rFonts w:eastAsia="Times New Roman" w:cs="Arial"/>
          <w:color w:val="000000"/>
          <w:u w:val="single"/>
          <w:lang w:eastAsia="bg-BG"/>
        </w:rPr>
        <w:t>Общи</w:t>
      </w:r>
    </w:p>
    <w:p w14:paraId="3A230696"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При избора на имипенем/циластатин за лечение на даден пациент трябва да се взема под внимание уместността на използването на карбапенемово антибактериално средство, което зависи от фактори като тежест на инфекцията, честота на резистентност към други подходящи антибактериални средства и риск за селектиране на бактерии, резистентни към карбапенеми.</w:t>
      </w:r>
    </w:p>
    <w:p w14:paraId="3954F78B" w14:textId="77777777" w:rsidR="00010512" w:rsidRPr="00010512" w:rsidRDefault="00010512" w:rsidP="00010512">
      <w:pPr>
        <w:spacing w:line="240" w:lineRule="auto"/>
        <w:rPr>
          <w:rFonts w:eastAsia="Times New Roman" w:cs="Arial"/>
          <w:color w:val="000000"/>
          <w:u w:val="single"/>
          <w:lang w:eastAsia="bg-BG"/>
        </w:rPr>
      </w:pPr>
    </w:p>
    <w:p w14:paraId="6CC068B4" w14:textId="352075D3" w:rsidR="00010512" w:rsidRPr="00010512" w:rsidRDefault="00010512" w:rsidP="00010512">
      <w:pPr>
        <w:spacing w:line="240" w:lineRule="auto"/>
        <w:rPr>
          <w:rFonts w:eastAsia="Times New Roman" w:cs="Arial"/>
        </w:rPr>
      </w:pPr>
      <w:r w:rsidRPr="00010512">
        <w:rPr>
          <w:rFonts w:eastAsia="Times New Roman" w:cs="Arial"/>
          <w:color w:val="000000"/>
          <w:u w:val="single"/>
          <w:lang w:eastAsia="bg-BG"/>
        </w:rPr>
        <w:t>Свръхчувствителност</w:t>
      </w:r>
    </w:p>
    <w:p w14:paraId="2C7DB4C8"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 xml:space="preserve">Съобщени са сериозни и понякога фатални реакции на свръхчувствителност (анафилактични) при пациенти на лечение с бета-лактами. По-голяма е вероятността за развитие на такива реакции при пациенти с анамнеза за чувствителност към множество алергени. Преди започване на лечение с ТИЕНАМ трябва внимателно да се проучат данните за реакции на свръхчувствителност в миналото към карбапенеми, пеницилини, цефалоспорини, други бета-лактами и други алергени (вж. точка 4.3). Ако се развие алергична реакция към ТИЕНАМ, лечението трябва незабавно да се преустанови. </w:t>
      </w:r>
      <w:r w:rsidRPr="00010512">
        <w:rPr>
          <w:rFonts w:eastAsia="Times New Roman" w:cs="Arial"/>
          <w:b/>
          <w:bCs/>
          <w:color w:val="000000"/>
          <w:lang w:eastAsia="bg-BG"/>
        </w:rPr>
        <w:t>Тежките анафилактични реакции изискват незабавно спешно лечение.</w:t>
      </w:r>
    </w:p>
    <w:p w14:paraId="1581F1A8" w14:textId="77777777" w:rsidR="00010512" w:rsidRPr="00010512" w:rsidRDefault="00010512" w:rsidP="00010512">
      <w:pPr>
        <w:spacing w:line="240" w:lineRule="auto"/>
        <w:rPr>
          <w:rFonts w:eastAsia="Times New Roman" w:cs="Arial"/>
          <w:color w:val="000000"/>
          <w:u w:val="single"/>
          <w:lang w:eastAsia="bg-BG"/>
        </w:rPr>
      </w:pPr>
    </w:p>
    <w:p w14:paraId="6D8D2C01" w14:textId="5D79676F" w:rsidR="00010512" w:rsidRPr="00010512" w:rsidRDefault="00010512" w:rsidP="00010512">
      <w:pPr>
        <w:spacing w:line="240" w:lineRule="auto"/>
        <w:rPr>
          <w:rFonts w:eastAsia="Times New Roman" w:cs="Arial"/>
        </w:rPr>
      </w:pPr>
      <w:r w:rsidRPr="00010512">
        <w:rPr>
          <w:rFonts w:eastAsia="Times New Roman" w:cs="Arial"/>
          <w:color w:val="000000"/>
          <w:u w:val="single"/>
          <w:lang w:eastAsia="bg-BG"/>
        </w:rPr>
        <w:t>Чернодробни</w:t>
      </w:r>
    </w:p>
    <w:p w14:paraId="5BDE09EA"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По време на лечението с имипенем/циластатин чернодробната функция трябва да се следи внимателно, поради риск от развитие на хепатотоксичност (като повишаване на трансаминазите, чернодробна недостатъчност и фулминантен хепатит).</w:t>
      </w:r>
    </w:p>
    <w:p w14:paraId="7D99B5A5" w14:textId="77777777" w:rsidR="00010512" w:rsidRPr="00010512" w:rsidRDefault="00010512" w:rsidP="00010512">
      <w:pPr>
        <w:rPr>
          <w:rFonts w:eastAsia="Times New Roman" w:cs="Arial"/>
          <w:color w:val="000000"/>
          <w:lang w:eastAsia="bg-BG"/>
        </w:rPr>
      </w:pPr>
    </w:p>
    <w:p w14:paraId="5A8DE377" w14:textId="0CDA65CB" w:rsidR="00010512" w:rsidRPr="00010512" w:rsidRDefault="00010512" w:rsidP="00010512">
      <w:pPr>
        <w:rPr>
          <w:rFonts w:eastAsia="Times New Roman" w:cs="Arial"/>
          <w:color w:val="000000"/>
          <w:lang w:eastAsia="bg-BG"/>
        </w:rPr>
      </w:pPr>
      <w:r w:rsidRPr="00010512">
        <w:rPr>
          <w:rFonts w:eastAsia="Times New Roman" w:cs="Arial"/>
          <w:color w:val="000000"/>
          <w:lang w:eastAsia="bg-BG"/>
        </w:rPr>
        <w:t>Употреба при пациенти с чернодробно заболяване: при пациенти с предшестващо чернодробно</w:t>
      </w:r>
      <w:r w:rsidRPr="00010512">
        <w:rPr>
          <w:rFonts w:eastAsia="Times New Roman" w:cs="Arial"/>
          <w:color w:val="000000"/>
          <w:u w:val="single"/>
          <w:lang w:eastAsia="bg-BG"/>
        </w:rPr>
        <w:t xml:space="preserve"> </w:t>
      </w:r>
      <w:r w:rsidRPr="00010512">
        <w:rPr>
          <w:rFonts w:eastAsia="Times New Roman" w:cs="Arial"/>
          <w:color w:val="000000"/>
          <w:lang w:eastAsia="bg-BG"/>
        </w:rPr>
        <w:t>заболяване, чернодробната функция трябва да се следи внимателно по време на лечение с имипенем/циластатин. Не е необходима корекция на дозата (вж. точка 4.2).</w:t>
      </w:r>
    </w:p>
    <w:p w14:paraId="317FD11F" w14:textId="0F866AD5" w:rsidR="00010512" w:rsidRPr="00010512" w:rsidRDefault="00010512" w:rsidP="00010512">
      <w:pPr>
        <w:rPr>
          <w:rFonts w:eastAsia="Times New Roman" w:cs="Arial"/>
          <w:color w:val="000000"/>
          <w:lang w:eastAsia="bg-BG"/>
        </w:rPr>
      </w:pPr>
    </w:p>
    <w:p w14:paraId="7091AE81" w14:textId="77777777" w:rsidR="00010512" w:rsidRPr="00010512" w:rsidRDefault="00010512" w:rsidP="00010512">
      <w:pPr>
        <w:spacing w:line="240" w:lineRule="auto"/>
        <w:rPr>
          <w:rFonts w:eastAsia="Times New Roman" w:cs="Arial"/>
        </w:rPr>
      </w:pPr>
      <w:r w:rsidRPr="00010512">
        <w:rPr>
          <w:rFonts w:eastAsia="Times New Roman" w:cs="Arial"/>
          <w:color w:val="000000"/>
          <w:u w:val="single"/>
          <w:lang w:eastAsia="bg-BG"/>
        </w:rPr>
        <w:t>Хематология</w:t>
      </w:r>
    </w:p>
    <w:p w14:paraId="1FE08FDD"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 xml:space="preserve">По време на лечение с имипенем/циластатин може да се развие положителен директен или индиректен тест на </w:t>
      </w:r>
      <w:r w:rsidRPr="00010512">
        <w:rPr>
          <w:rFonts w:eastAsia="Times New Roman" w:cs="Arial"/>
          <w:color w:val="000000"/>
          <w:lang w:val="en-US"/>
        </w:rPr>
        <w:t>Coombs</w:t>
      </w:r>
      <w:r w:rsidRPr="00010512">
        <w:rPr>
          <w:rFonts w:eastAsia="Times New Roman" w:cs="Arial"/>
          <w:color w:val="000000"/>
          <w:lang w:val="ru-RU"/>
        </w:rPr>
        <w:t>.</w:t>
      </w:r>
    </w:p>
    <w:p w14:paraId="24E17D29" w14:textId="77777777" w:rsidR="00010512" w:rsidRPr="00010512" w:rsidRDefault="00010512" w:rsidP="00010512">
      <w:pPr>
        <w:spacing w:line="240" w:lineRule="auto"/>
        <w:rPr>
          <w:rFonts w:eastAsia="Times New Roman" w:cs="Arial"/>
          <w:color w:val="000000"/>
          <w:u w:val="single"/>
          <w:lang w:eastAsia="bg-BG"/>
        </w:rPr>
      </w:pPr>
    </w:p>
    <w:p w14:paraId="04FBD4A6" w14:textId="194C72EC" w:rsidR="00010512" w:rsidRPr="00010512" w:rsidRDefault="00010512" w:rsidP="00010512">
      <w:pPr>
        <w:spacing w:line="240" w:lineRule="auto"/>
        <w:rPr>
          <w:rFonts w:eastAsia="Times New Roman" w:cs="Arial"/>
        </w:rPr>
      </w:pPr>
      <w:r w:rsidRPr="00010512">
        <w:rPr>
          <w:rFonts w:eastAsia="Times New Roman" w:cs="Arial"/>
          <w:color w:val="000000"/>
          <w:u w:val="single"/>
          <w:lang w:eastAsia="bg-BG"/>
        </w:rPr>
        <w:t>Антибактериален спектър</w:t>
      </w:r>
    </w:p>
    <w:p w14:paraId="4C19A318"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lastRenderedPageBreak/>
        <w:t xml:space="preserve">Преди да се започне емпирично лечение, особено при животозастрашаващи състояния, трябва да се вземе предвид антибактериалният спектър на имипенем/циластатин. В допълнение, поради ограничената чувствителност към имипенем/циластатин на специфични патогени, свързани с развитието на т.нар. бактериални инфекции на кожата и меките тъкани, в тези случаи трябва да се подхожда с повишено внимание. Употребата на имипенем/циластатин не е удачна при лечението на този тип инфекции, освен ако патогенът вече не е установен и се знае, че е чувствителен, или съществува силно съмнение, че най-вероятният(те) </w:t>
      </w:r>
      <w:r w:rsidRPr="00010512">
        <w:rPr>
          <w:rFonts w:eastAsia="Times New Roman" w:cs="Arial"/>
          <w:i/>
          <w:iCs/>
          <w:color w:val="000000"/>
          <w:lang w:eastAsia="bg-BG"/>
        </w:rPr>
        <w:t xml:space="preserve">патоген(и) е (са) </w:t>
      </w:r>
      <w:r w:rsidRPr="00010512">
        <w:rPr>
          <w:rFonts w:eastAsia="Times New Roman" w:cs="Arial"/>
          <w:color w:val="000000"/>
          <w:lang w:eastAsia="bg-BG"/>
        </w:rPr>
        <w:t xml:space="preserve">чувствителни към лечението. Едновременното приложение с подходящо средство срещу </w:t>
      </w:r>
      <w:r w:rsidRPr="00010512">
        <w:rPr>
          <w:rFonts w:eastAsia="Times New Roman" w:cs="Arial"/>
          <w:color w:val="000000"/>
          <w:lang w:val="en-US"/>
        </w:rPr>
        <w:t>MRSA</w:t>
      </w:r>
      <w:r w:rsidRPr="00010512">
        <w:rPr>
          <w:rFonts w:eastAsia="Times New Roman" w:cs="Arial"/>
          <w:color w:val="000000"/>
          <w:lang w:val="ru-RU"/>
        </w:rPr>
        <w:t xml:space="preserve"> </w:t>
      </w:r>
      <w:r w:rsidRPr="00010512">
        <w:rPr>
          <w:rFonts w:eastAsia="Times New Roman" w:cs="Arial"/>
          <w:color w:val="000000"/>
          <w:lang w:eastAsia="bg-BG"/>
        </w:rPr>
        <w:t xml:space="preserve">може да е показано, когато </w:t>
      </w:r>
      <w:r w:rsidRPr="00010512">
        <w:rPr>
          <w:rFonts w:eastAsia="Times New Roman" w:cs="Arial"/>
          <w:color w:val="000000"/>
          <w:lang w:val="en-US"/>
        </w:rPr>
        <w:t>MRS</w:t>
      </w:r>
      <w:r w:rsidRPr="00010512">
        <w:rPr>
          <w:rFonts w:eastAsia="Times New Roman" w:cs="Arial"/>
          <w:color w:val="000000"/>
          <w:lang w:eastAsia="bg-BG"/>
        </w:rPr>
        <w:t xml:space="preserve">А инфекцията е подозирана или доказана да присъства в одобрената индикация. Едновременното приложение с аминогликозид може да е показано, когато инфекцията, причинена от </w:t>
      </w:r>
      <w:r w:rsidRPr="00010512">
        <w:rPr>
          <w:rFonts w:eastAsia="Times New Roman" w:cs="Arial"/>
          <w:i/>
          <w:iCs/>
          <w:color w:val="000000"/>
          <w:lang w:val="en-US"/>
        </w:rPr>
        <w:t>Pseudomonas</w:t>
      </w:r>
      <w:r w:rsidRPr="00010512">
        <w:rPr>
          <w:rFonts w:eastAsia="Times New Roman" w:cs="Arial"/>
          <w:i/>
          <w:iCs/>
          <w:color w:val="000000"/>
          <w:lang w:val="ru-RU"/>
        </w:rPr>
        <w:t xml:space="preserve"> </w:t>
      </w:r>
      <w:r w:rsidRPr="00010512">
        <w:rPr>
          <w:rFonts w:eastAsia="Times New Roman" w:cs="Arial"/>
          <w:i/>
          <w:iCs/>
          <w:color w:val="000000"/>
          <w:lang w:val="en-US"/>
        </w:rPr>
        <w:t>aeruginosa</w:t>
      </w:r>
      <w:r w:rsidRPr="00010512">
        <w:rPr>
          <w:rFonts w:eastAsia="Times New Roman" w:cs="Arial"/>
          <w:color w:val="000000"/>
          <w:lang w:val="ru-RU"/>
        </w:rPr>
        <w:t xml:space="preserve"> </w:t>
      </w:r>
      <w:r w:rsidRPr="00010512">
        <w:rPr>
          <w:rFonts w:eastAsia="Times New Roman" w:cs="Arial"/>
          <w:color w:val="000000"/>
          <w:lang w:eastAsia="bg-BG"/>
        </w:rPr>
        <w:t>е подозирана или доказано присъства в одобрената индикация (вж. точка 4.1).</w:t>
      </w:r>
    </w:p>
    <w:p w14:paraId="7145E96D" w14:textId="77777777" w:rsidR="00010512" w:rsidRPr="00010512" w:rsidRDefault="00010512" w:rsidP="00010512">
      <w:pPr>
        <w:spacing w:line="240" w:lineRule="auto"/>
        <w:rPr>
          <w:rFonts w:eastAsia="Times New Roman" w:cs="Arial"/>
          <w:color w:val="000000"/>
          <w:u w:val="single"/>
          <w:lang w:eastAsia="bg-BG"/>
        </w:rPr>
      </w:pPr>
    </w:p>
    <w:p w14:paraId="0E92B1CE" w14:textId="798B54EC" w:rsidR="00010512" w:rsidRPr="00010512" w:rsidRDefault="00010512" w:rsidP="00010512">
      <w:pPr>
        <w:spacing w:line="240" w:lineRule="auto"/>
        <w:rPr>
          <w:rFonts w:eastAsia="Times New Roman" w:cs="Arial"/>
        </w:rPr>
      </w:pPr>
      <w:r w:rsidRPr="00010512">
        <w:rPr>
          <w:rFonts w:eastAsia="Times New Roman" w:cs="Arial"/>
          <w:color w:val="000000"/>
          <w:u w:val="single"/>
          <w:lang w:eastAsia="bg-BG"/>
        </w:rPr>
        <w:t>Взаимодействие с валпроева киселина</w:t>
      </w:r>
    </w:p>
    <w:p w14:paraId="2CBBD666"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Не се препоръчва едновременното приложение на имипенем/циластатин и валпроева киселина/натриев валпроат (вж. точка 4.5).</w:t>
      </w:r>
    </w:p>
    <w:p w14:paraId="33155F53" w14:textId="77777777" w:rsidR="00010512" w:rsidRPr="00010512" w:rsidRDefault="00010512" w:rsidP="00010512">
      <w:pPr>
        <w:spacing w:line="240" w:lineRule="auto"/>
        <w:rPr>
          <w:rFonts w:eastAsia="Times New Roman" w:cs="Arial"/>
          <w:color w:val="000000"/>
          <w:u w:val="single"/>
          <w:lang w:val="en-US"/>
        </w:rPr>
      </w:pPr>
    </w:p>
    <w:p w14:paraId="3D1CC120" w14:textId="2218F901" w:rsidR="00010512" w:rsidRPr="00010512" w:rsidRDefault="00010512" w:rsidP="00010512">
      <w:pPr>
        <w:spacing w:line="240" w:lineRule="auto"/>
        <w:rPr>
          <w:rFonts w:eastAsia="Times New Roman" w:cs="Arial"/>
        </w:rPr>
      </w:pPr>
      <w:proofErr w:type="spellStart"/>
      <w:r w:rsidRPr="00010512">
        <w:rPr>
          <w:rFonts w:eastAsia="Times New Roman" w:cs="Arial"/>
          <w:color w:val="000000"/>
          <w:u w:val="single"/>
          <w:lang w:val="en-US"/>
        </w:rPr>
        <w:t>Clostridioides</w:t>
      </w:r>
      <w:proofErr w:type="spellEnd"/>
      <w:r w:rsidRPr="00010512">
        <w:rPr>
          <w:rFonts w:eastAsia="Times New Roman" w:cs="Arial"/>
          <w:color w:val="000000"/>
          <w:u w:val="single"/>
          <w:lang w:val="ru-RU"/>
        </w:rPr>
        <w:t xml:space="preserve"> </w:t>
      </w:r>
      <w:r w:rsidRPr="00010512">
        <w:rPr>
          <w:rFonts w:eastAsia="Times New Roman" w:cs="Arial"/>
          <w:color w:val="000000"/>
          <w:u w:val="single"/>
          <w:lang w:val="en-US"/>
        </w:rPr>
        <w:t>difficile</w:t>
      </w:r>
    </w:p>
    <w:p w14:paraId="1329B9B3"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 xml:space="preserve">При приложение на имипенем/циластатин, както и при приложение на почти всички антибактериални средства, има съобщения за развитие на колит, свързан с приложението на антибиотици и псевдомембранозен колит, който по тежест може да варира от лек до животозастрашаващ. Важно е тази диагноза да се има предвид при пациенти, развиващи диария по време на или след приложение на имипенем/циластатин (вж. точка 4.8). Трябва да се обмисли преустановяване на лечението с имипенем/циластатин и започване на специфично лечение за </w:t>
      </w:r>
      <w:proofErr w:type="spellStart"/>
      <w:r w:rsidRPr="00010512">
        <w:rPr>
          <w:rFonts w:eastAsia="Times New Roman" w:cs="Arial"/>
          <w:i/>
          <w:iCs/>
          <w:color w:val="000000"/>
          <w:lang w:val="en-US"/>
        </w:rPr>
        <w:t>Clostridioides</w:t>
      </w:r>
      <w:proofErr w:type="spellEnd"/>
      <w:r w:rsidRPr="00010512">
        <w:rPr>
          <w:rFonts w:eastAsia="Times New Roman" w:cs="Arial"/>
          <w:i/>
          <w:iCs/>
          <w:color w:val="000000"/>
          <w:lang w:val="ru-RU"/>
        </w:rPr>
        <w:t xml:space="preserve"> </w:t>
      </w:r>
      <w:r w:rsidRPr="00010512">
        <w:rPr>
          <w:rFonts w:eastAsia="Times New Roman" w:cs="Arial"/>
          <w:i/>
          <w:iCs/>
          <w:color w:val="000000"/>
          <w:lang w:val="en-US"/>
        </w:rPr>
        <w:t>difficile</w:t>
      </w:r>
      <w:r w:rsidRPr="00010512">
        <w:rPr>
          <w:rFonts w:eastAsia="Times New Roman" w:cs="Arial"/>
          <w:i/>
          <w:iCs/>
          <w:color w:val="000000"/>
          <w:lang w:val="ru-RU"/>
        </w:rPr>
        <w:t>.</w:t>
      </w:r>
      <w:r w:rsidRPr="00010512">
        <w:rPr>
          <w:rFonts w:eastAsia="Times New Roman" w:cs="Arial"/>
          <w:color w:val="000000"/>
          <w:lang w:val="ru-RU"/>
        </w:rPr>
        <w:t xml:space="preserve"> </w:t>
      </w:r>
      <w:r w:rsidRPr="00010512">
        <w:rPr>
          <w:rFonts w:eastAsia="Times New Roman" w:cs="Arial"/>
          <w:color w:val="000000"/>
          <w:lang w:eastAsia="bg-BG"/>
        </w:rPr>
        <w:t>Не трябва да се прилагат лекарствени продукти, потискащи перисталтиката.</w:t>
      </w:r>
    </w:p>
    <w:p w14:paraId="76B02EA0" w14:textId="77777777" w:rsidR="00010512" w:rsidRPr="00010512" w:rsidRDefault="00010512" w:rsidP="00010512">
      <w:pPr>
        <w:spacing w:line="240" w:lineRule="auto"/>
        <w:rPr>
          <w:rFonts w:eastAsia="Times New Roman" w:cs="Arial"/>
          <w:color w:val="000000"/>
          <w:u w:val="single"/>
          <w:lang w:eastAsia="bg-BG"/>
        </w:rPr>
      </w:pPr>
    </w:p>
    <w:p w14:paraId="42C5D009" w14:textId="55F6C353" w:rsidR="00010512" w:rsidRPr="00010512" w:rsidRDefault="00010512" w:rsidP="00010512">
      <w:pPr>
        <w:spacing w:line="240" w:lineRule="auto"/>
        <w:rPr>
          <w:rFonts w:eastAsia="Times New Roman" w:cs="Arial"/>
        </w:rPr>
      </w:pPr>
      <w:r w:rsidRPr="00010512">
        <w:rPr>
          <w:rFonts w:eastAsia="Times New Roman" w:cs="Arial"/>
          <w:color w:val="000000"/>
          <w:u w:val="single"/>
          <w:lang w:eastAsia="bg-BG"/>
        </w:rPr>
        <w:t>Менингит</w:t>
      </w:r>
    </w:p>
    <w:p w14:paraId="39CAB21A"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ТИЕНАМ не се препоръчва за лечение на менингит.</w:t>
      </w:r>
    </w:p>
    <w:p w14:paraId="080B4268" w14:textId="77777777" w:rsidR="00010512" w:rsidRPr="00010512" w:rsidRDefault="00010512" w:rsidP="00010512">
      <w:pPr>
        <w:spacing w:line="240" w:lineRule="auto"/>
        <w:rPr>
          <w:rFonts w:eastAsia="Times New Roman" w:cs="Arial"/>
          <w:color w:val="000000"/>
          <w:u w:val="single"/>
          <w:lang w:eastAsia="bg-BG"/>
        </w:rPr>
      </w:pPr>
    </w:p>
    <w:p w14:paraId="301F5834" w14:textId="5FF9AA68" w:rsidR="00010512" w:rsidRPr="00010512" w:rsidRDefault="00010512" w:rsidP="00010512">
      <w:pPr>
        <w:spacing w:line="240" w:lineRule="auto"/>
        <w:rPr>
          <w:rFonts w:eastAsia="Times New Roman" w:cs="Arial"/>
        </w:rPr>
      </w:pPr>
      <w:r w:rsidRPr="00010512">
        <w:rPr>
          <w:rFonts w:eastAsia="Times New Roman" w:cs="Arial"/>
          <w:color w:val="000000"/>
          <w:u w:val="single"/>
          <w:lang w:eastAsia="bg-BG"/>
        </w:rPr>
        <w:t>Бъбречно увреждане</w:t>
      </w:r>
    </w:p>
    <w:p w14:paraId="3D8784AE"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Имипенем-циластатин кумулира при пациенти с намалена бъбречна функция. Ако дозата не е адаптирана към бъбречната функция, може да се появят нежелани реакции, свързани с ЦНС, вижте точки 4.2 и 4.4 ,Дентрална нервна система“ в тази точка.</w:t>
      </w:r>
    </w:p>
    <w:p w14:paraId="087E8D3A" w14:textId="77777777" w:rsidR="00010512" w:rsidRPr="00010512" w:rsidRDefault="00010512" w:rsidP="00010512">
      <w:pPr>
        <w:spacing w:line="240" w:lineRule="auto"/>
        <w:rPr>
          <w:rFonts w:eastAsia="Times New Roman" w:cs="Arial"/>
          <w:color w:val="000000"/>
          <w:u w:val="single"/>
          <w:lang w:eastAsia="bg-BG"/>
        </w:rPr>
      </w:pPr>
    </w:p>
    <w:p w14:paraId="12F9CD1F" w14:textId="32FF5577" w:rsidR="00010512" w:rsidRPr="00010512" w:rsidRDefault="00010512" w:rsidP="00010512">
      <w:pPr>
        <w:spacing w:line="240" w:lineRule="auto"/>
        <w:rPr>
          <w:rFonts w:eastAsia="Times New Roman" w:cs="Arial"/>
        </w:rPr>
      </w:pPr>
      <w:r w:rsidRPr="00010512">
        <w:rPr>
          <w:rFonts w:eastAsia="Times New Roman" w:cs="Arial"/>
          <w:color w:val="000000"/>
          <w:u w:val="single"/>
          <w:lang w:eastAsia="bg-BG"/>
        </w:rPr>
        <w:t>Централна нервна система</w:t>
      </w:r>
    </w:p>
    <w:p w14:paraId="143EE3CC"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Има съобщения за нежелани реакции, свързани с ЦНС, като миоклонична активност, състояния на объркване или гърчове, особено при превишаване на препоръчаната доза, съобразена с телесното тегло и бъбречната функция. Съобщенията за подобни реакции са най-вече при пациенти с увреждания на ЦНС (напр. мозъчни лезии или анамнеза за гърчове) и/или компрометирана бъбречна функция, при които може да настъпи кумулиране на прилаганите количества. Ето защо, особено при такива пациенти, е необходимо стриктно придържане към препоръчителните схеми на дозиране (вж. точка 4.2). При пациентите с известно нарушение, свързано с гърчове трябва да се продължи антиконвулсивната терапия.</w:t>
      </w:r>
    </w:p>
    <w:p w14:paraId="6A8B3D29" w14:textId="77777777" w:rsidR="00010512" w:rsidRPr="00010512" w:rsidRDefault="00010512" w:rsidP="00010512">
      <w:pPr>
        <w:spacing w:line="240" w:lineRule="auto"/>
        <w:rPr>
          <w:rFonts w:eastAsia="Times New Roman" w:cs="Arial"/>
          <w:color w:val="000000"/>
          <w:lang w:eastAsia="bg-BG"/>
        </w:rPr>
      </w:pPr>
    </w:p>
    <w:p w14:paraId="4BB5D22A" w14:textId="7AB63451" w:rsidR="00010512" w:rsidRPr="00010512" w:rsidRDefault="00010512" w:rsidP="00010512">
      <w:pPr>
        <w:spacing w:line="240" w:lineRule="auto"/>
        <w:rPr>
          <w:rFonts w:eastAsia="Times New Roman" w:cs="Arial"/>
          <w:color w:val="000000"/>
          <w:lang w:eastAsia="bg-BG"/>
        </w:rPr>
      </w:pPr>
      <w:r w:rsidRPr="00010512">
        <w:rPr>
          <w:rFonts w:eastAsia="Times New Roman" w:cs="Arial"/>
          <w:color w:val="000000"/>
          <w:lang w:eastAsia="bg-BG"/>
        </w:rPr>
        <w:t xml:space="preserve">Особено внимателно трябва да се подхожда към неврологични симптоми или конвулсии </w:t>
      </w:r>
      <w:r w:rsidRPr="00010512">
        <w:rPr>
          <w:rFonts w:eastAsia="Times New Roman" w:cs="Arial"/>
          <w:color w:val="000000"/>
          <w:u w:val="single"/>
          <w:lang w:eastAsia="bg-BG"/>
        </w:rPr>
        <w:t xml:space="preserve">при </w:t>
      </w:r>
      <w:r w:rsidRPr="00010512">
        <w:rPr>
          <w:rFonts w:eastAsia="Times New Roman" w:cs="Arial"/>
          <w:color w:val="000000"/>
          <w:lang w:eastAsia="bg-BG"/>
        </w:rPr>
        <w:t>деца с известни рискови фактори за гърчове, както и при такива на съпътстващо лечение с лекарствени продукти, понижаващи прага за гърчове.</w:t>
      </w:r>
    </w:p>
    <w:p w14:paraId="3B02133E" w14:textId="59A90943" w:rsidR="00010512" w:rsidRPr="00010512" w:rsidRDefault="00010512" w:rsidP="00010512">
      <w:pPr>
        <w:spacing w:line="240" w:lineRule="auto"/>
        <w:rPr>
          <w:rFonts w:eastAsia="Times New Roman" w:cs="Arial"/>
          <w:color w:val="000000"/>
          <w:lang w:eastAsia="bg-BG"/>
        </w:rPr>
      </w:pPr>
    </w:p>
    <w:p w14:paraId="3D6D2792"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lastRenderedPageBreak/>
        <w:t>Ако се появят фокален тремор, миоклонус или гърчове, трябва да се преоцени неврологичният статус на пациента и да се започне антиконвулсивна терапия, ако не е започната такава. Ако симптомите, свързани с ЦНС продължат, дозата на ТИЕНАМ трябва да се намали или да се преустанови лечението.</w:t>
      </w:r>
    </w:p>
    <w:p w14:paraId="12B15C0D" w14:textId="77777777" w:rsidR="00010512" w:rsidRPr="00010512" w:rsidRDefault="00010512" w:rsidP="00010512">
      <w:pPr>
        <w:spacing w:line="240" w:lineRule="auto"/>
        <w:rPr>
          <w:rFonts w:eastAsia="Times New Roman" w:cs="Arial"/>
          <w:color w:val="000000"/>
          <w:lang w:eastAsia="bg-BG"/>
        </w:rPr>
      </w:pPr>
    </w:p>
    <w:p w14:paraId="1F93EDF9" w14:textId="212B3C34" w:rsidR="00010512" w:rsidRPr="00010512" w:rsidRDefault="00010512" w:rsidP="00010512">
      <w:pPr>
        <w:spacing w:line="240" w:lineRule="auto"/>
        <w:rPr>
          <w:rFonts w:eastAsia="Times New Roman" w:cs="Arial"/>
        </w:rPr>
      </w:pPr>
      <w:r w:rsidRPr="00010512">
        <w:rPr>
          <w:rFonts w:eastAsia="Times New Roman" w:cs="Arial"/>
          <w:color w:val="000000"/>
          <w:lang w:eastAsia="bg-BG"/>
        </w:rPr>
        <w:t xml:space="preserve">Пациентите с креатининов клирънс &lt; 15 </w:t>
      </w:r>
      <w:r w:rsidRPr="00010512">
        <w:rPr>
          <w:rFonts w:eastAsia="Times New Roman" w:cs="Arial"/>
          <w:color w:val="000000"/>
          <w:lang w:val="en-US"/>
        </w:rPr>
        <w:t>ml</w:t>
      </w:r>
      <w:r w:rsidRPr="00010512">
        <w:rPr>
          <w:rFonts w:eastAsia="Times New Roman" w:cs="Arial"/>
          <w:color w:val="000000"/>
          <w:lang w:val="ru-RU"/>
        </w:rPr>
        <w:t>/</w:t>
      </w:r>
      <w:r w:rsidRPr="00010512">
        <w:rPr>
          <w:rFonts w:eastAsia="Times New Roman" w:cs="Arial"/>
          <w:color w:val="000000"/>
          <w:lang w:val="en-US"/>
        </w:rPr>
        <w:t>min</w:t>
      </w:r>
      <w:r w:rsidRPr="00010512">
        <w:rPr>
          <w:rFonts w:eastAsia="Times New Roman" w:cs="Arial"/>
          <w:color w:val="000000"/>
          <w:lang w:val="ru-RU"/>
        </w:rPr>
        <w:t xml:space="preserve"> </w:t>
      </w:r>
      <w:r w:rsidRPr="00010512">
        <w:rPr>
          <w:rFonts w:eastAsia="Times New Roman" w:cs="Arial"/>
          <w:color w:val="000000"/>
          <w:lang w:eastAsia="bg-BG"/>
        </w:rPr>
        <w:t>не трябва да получават ТИЕНАМ, освен ако през следващите 48 часа не са на хемодиализа. Приложението на ТИЕНАМ при пациенти на хемодиализа се препоръчва само тогава, когато ползата надвишава потенциалния риск от развитие на гърчове (вж. точка 4.2).</w:t>
      </w:r>
    </w:p>
    <w:p w14:paraId="61FAF4E0" w14:textId="77777777" w:rsidR="00010512" w:rsidRPr="00010512" w:rsidRDefault="00010512" w:rsidP="00010512">
      <w:pPr>
        <w:spacing w:line="240" w:lineRule="auto"/>
        <w:rPr>
          <w:rFonts w:eastAsia="Times New Roman" w:cs="Arial"/>
          <w:color w:val="000000"/>
          <w:u w:val="single"/>
          <w:lang w:eastAsia="bg-BG"/>
        </w:rPr>
      </w:pPr>
    </w:p>
    <w:p w14:paraId="091D2C72" w14:textId="39252B4D" w:rsidR="00010512" w:rsidRPr="00010512" w:rsidRDefault="00010512" w:rsidP="00010512">
      <w:pPr>
        <w:spacing w:line="240" w:lineRule="auto"/>
        <w:rPr>
          <w:rFonts w:eastAsia="Times New Roman" w:cs="Arial"/>
        </w:rPr>
      </w:pPr>
      <w:r w:rsidRPr="00010512">
        <w:rPr>
          <w:rFonts w:eastAsia="Times New Roman" w:cs="Arial"/>
          <w:color w:val="000000"/>
          <w:u w:val="single"/>
          <w:lang w:eastAsia="bg-BG"/>
        </w:rPr>
        <w:t>Педиатрична популапия</w:t>
      </w:r>
    </w:p>
    <w:p w14:paraId="3F3ED3BA"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 xml:space="preserve">Клиничните данни са недостатъчни, за да се препоръча употребата на ТИЕНАМ при деца на възраст под 1 година или педиатрични пациенти с увредена бъбречна функция (серумен креатинин &gt; 2 </w:t>
      </w:r>
      <w:r w:rsidRPr="00010512">
        <w:rPr>
          <w:rFonts w:eastAsia="Times New Roman" w:cs="Arial"/>
          <w:color w:val="000000"/>
          <w:lang w:val="en-US"/>
        </w:rPr>
        <w:t>mg</w:t>
      </w:r>
      <w:r w:rsidRPr="00010512">
        <w:rPr>
          <w:rFonts w:eastAsia="Times New Roman" w:cs="Arial"/>
          <w:color w:val="000000"/>
          <w:lang w:val="ru-RU"/>
        </w:rPr>
        <w:t>/</w:t>
      </w:r>
      <w:r w:rsidRPr="00010512">
        <w:rPr>
          <w:rFonts w:eastAsia="Times New Roman" w:cs="Arial"/>
          <w:color w:val="000000"/>
          <w:lang w:val="en-US"/>
        </w:rPr>
        <w:t>dl</w:t>
      </w:r>
      <w:r w:rsidRPr="00010512">
        <w:rPr>
          <w:rFonts w:eastAsia="Times New Roman" w:cs="Arial"/>
          <w:color w:val="000000"/>
          <w:lang w:val="ru-RU"/>
        </w:rPr>
        <w:t xml:space="preserve"> </w:t>
      </w:r>
      <w:r w:rsidRPr="00010512">
        <w:rPr>
          <w:rFonts w:eastAsia="Times New Roman" w:cs="Arial"/>
          <w:color w:val="000000"/>
          <w:lang w:eastAsia="bg-BG"/>
        </w:rPr>
        <w:t>(вж. точка 4.4). Вижте също и .</w:t>
      </w:r>
      <w:r w:rsidRPr="00010512">
        <w:rPr>
          <w:rFonts w:eastAsia="Times New Roman" w:cs="Arial"/>
          <w:color w:val="000000"/>
          <w:u w:val="single"/>
          <w:lang w:eastAsia="bg-BG"/>
        </w:rPr>
        <w:t>Централна нервна система</w:t>
      </w:r>
      <w:r w:rsidRPr="00010512">
        <w:rPr>
          <w:rFonts w:eastAsia="Times New Roman" w:cs="Arial"/>
          <w:color w:val="000000"/>
          <w:lang w:eastAsia="bg-BG"/>
        </w:rPr>
        <w:t>” по-горе.</w:t>
      </w:r>
    </w:p>
    <w:p w14:paraId="1F046286" w14:textId="77777777" w:rsidR="00010512" w:rsidRPr="00010512" w:rsidRDefault="00010512" w:rsidP="00010512">
      <w:pPr>
        <w:spacing w:line="240" w:lineRule="auto"/>
        <w:rPr>
          <w:rFonts w:eastAsia="Times New Roman" w:cs="Arial"/>
          <w:color w:val="000000"/>
          <w:u w:val="single"/>
          <w:lang w:eastAsia="bg-BG"/>
        </w:rPr>
      </w:pPr>
    </w:p>
    <w:p w14:paraId="684D56E4" w14:textId="73910F49" w:rsidR="00010512" w:rsidRPr="00010512" w:rsidRDefault="00010512" w:rsidP="00010512">
      <w:pPr>
        <w:spacing w:line="240" w:lineRule="auto"/>
        <w:rPr>
          <w:rFonts w:eastAsia="Times New Roman" w:cs="Arial"/>
        </w:rPr>
      </w:pPr>
      <w:r w:rsidRPr="00010512">
        <w:rPr>
          <w:rFonts w:eastAsia="Times New Roman" w:cs="Arial"/>
          <w:color w:val="000000"/>
          <w:u w:val="single"/>
          <w:lang w:eastAsia="bg-BG"/>
        </w:rPr>
        <w:t>Натрий</w:t>
      </w:r>
    </w:p>
    <w:p w14:paraId="7A0B5E3D"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 xml:space="preserve">Този лекарствен продукт съдържа 37,6 </w:t>
      </w:r>
      <w:r w:rsidRPr="00010512">
        <w:rPr>
          <w:rFonts w:eastAsia="Times New Roman" w:cs="Arial"/>
          <w:color w:val="000000"/>
          <w:lang w:val="en-US"/>
        </w:rPr>
        <w:t>mg</w:t>
      </w:r>
      <w:r w:rsidRPr="00010512">
        <w:rPr>
          <w:rFonts w:eastAsia="Times New Roman" w:cs="Arial"/>
          <w:color w:val="000000"/>
          <w:lang w:val="ru-RU"/>
        </w:rPr>
        <w:t xml:space="preserve"> </w:t>
      </w:r>
      <w:r w:rsidRPr="00010512">
        <w:rPr>
          <w:rFonts w:eastAsia="Times New Roman" w:cs="Arial"/>
          <w:color w:val="000000"/>
          <w:lang w:eastAsia="bg-BG"/>
        </w:rPr>
        <w:t xml:space="preserve">натрий (1,6 </w:t>
      </w:r>
      <w:proofErr w:type="spellStart"/>
      <w:r w:rsidRPr="00010512">
        <w:rPr>
          <w:rFonts w:eastAsia="Times New Roman" w:cs="Arial"/>
          <w:color w:val="000000"/>
          <w:lang w:val="en-US"/>
        </w:rPr>
        <w:t>mmol</w:t>
      </w:r>
      <w:proofErr w:type="spellEnd"/>
      <w:r w:rsidRPr="00010512">
        <w:rPr>
          <w:rFonts w:eastAsia="Times New Roman" w:cs="Arial"/>
          <w:color w:val="000000"/>
          <w:lang w:val="ru-RU"/>
        </w:rPr>
        <w:t xml:space="preserve">) </w:t>
      </w:r>
      <w:r w:rsidRPr="00010512">
        <w:rPr>
          <w:rFonts w:eastAsia="Times New Roman" w:cs="Arial"/>
          <w:color w:val="000000"/>
          <w:lang w:eastAsia="bg-BG"/>
        </w:rPr>
        <w:t xml:space="preserve">на флакон, които са еквивалентни на 1,9 % от препоръчителния максимален дневен прием от 2 </w:t>
      </w:r>
      <w:r w:rsidRPr="00010512">
        <w:rPr>
          <w:rFonts w:eastAsia="Times New Roman" w:cs="Arial"/>
          <w:color w:val="000000"/>
          <w:lang w:val="en-US"/>
        </w:rPr>
        <w:t>g</w:t>
      </w:r>
      <w:r w:rsidRPr="00010512">
        <w:rPr>
          <w:rFonts w:eastAsia="Times New Roman" w:cs="Arial"/>
          <w:color w:val="000000"/>
          <w:lang w:val="ru-RU"/>
        </w:rPr>
        <w:t xml:space="preserve"> </w:t>
      </w:r>
      <w:r w:rsidRPr="00010512">
        <w:rPr>
          <w:rFonts w:eastAsia="Times New Roman" w:cs="Arial"/>
          <w:color w:val="000000"/>
          <w:lang w:eastAsia="bg-BG"/>
        </w:rPr>
        <w:t>натрий за възрастен на СЗО. Това трябва да се има предвид при пациенти на диета с контролиран прием на натрий.</w:t>
      </w:r>
    </w:p>
    <w:p w14:paraId="32BD1551" w14:textId="0EA2CC25" w:rsidR="00010512" w:rsidRPr="00010512" w:rsidRDefault="00010512" w:rsidP="00010512"/>
    <w:p w14:paraId="1E98E3FB" w14:textId="2D305CFB" w:rsidR="00010512" w:rsidRDefault="002C50EE" w:rsidP="00010512">
      <w:pPr>
        <w:pStyle w:val="Heading2"/>
      </w:pPr>
      <w:r>
        <w:t xml:space="preserve">4.5. Взаимодействие с други лекарствени продукти и други форми на </w:t>
      </w:r>
      <w:r w:rsidR="00010512">
        <w:t>взаимодействие</w:t>
      </w:r>
    </w:p>
    <w:p w14:paraId="336BD995" w14:textId="4B86FF25" w:rsidR="00010512" w:rsidRDefault="00010512" w:rsidP="00010512"/>
    <w:p w14:paraId="2CDACDDF"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Има съобщения за развитие на генерализирани гърчове при пациенти, получавали ганцикловир и ТИЕНАМ. Тези лекарствени продукти не трябва да се използват едновременно, освен ако потенциалната полза не на</w:t>
      </w:r>
      <w:r w:rsidRPr="00010512">
        <w:rPr>
          <w:rFonts w:eastAsia="Times New Roman" w:cs="Arial"/>
          <w:color w:val="000000"/>
          <w:szCs w:val="20"/>
          <w:u w:val="single"/>
          <w:lang w:eastAsia="bg-BG"/>
        </w:rPr>
        <w:t>двишав</w:t>
      </w:r>
      <w:r w:rsidRPr="00010512">
        <w:rPr>
          <w:rFonts w:eastAsia="Times New Roman" w:cs="Arial"/>
          <w:color w:val="000000"/>
          <w:szCs w:val="20"/>
          <w:lang w:eastAsia="bg-BG"/>
        </w:rPr>
        <w:t>а риска.</w:t>
      </w:r>
    </w:p>
    <w:p w14:paraId="08028770" w14:textId="77777777" w:rsidR="00010512" w:rsidRPr="00010512" w:rsidRDefault="00010512" w:rsidP="00010512">
      <w:pPr>
        <w:spacing w:line="240" w:lineRule="auto"/>
        <w:rPr>
          <w:rFonts w:eastAsia="Times New Roman" w:cs="Arial"/>
          <w:color w:val="000000"/>
          <w:szCs w:val="20"/>
          <w:lang w:eastAsia="bg-BG"/>
        </w:rPr>
      </w:pPr>
    </w:p>
    <w:p w14:paraId="6118B2C2" w14:textId="5D00EFF6"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При приложение на валпроева киселина с карбапенемови средства има съобщения за намаление на нивата на валпроевата киселина, които може да паднат под терапевтичните стойности. Намалените нива на валпроевата киселина могат да доведат до недостатъчен контрол на гърчовете; ето защо не се препоръчва едновременното приложение на имипенем с валпроева киселина/натриев валпроат, а трябва да се обмисли употребата на алтернативна антибактериална или антиконвулсивна терапия (вж. точка 4.4).</w:t>
      </w:r>
    </w:p>
    <w:p w14:paraId="64EC6C3B" w14:textId="77777777" w:rsidR="00010512" w:rsidRPr="00010512" w:rsidRDefault="00010512" w:rsidP="00010512">
      <w:pPr>
        <w:spacing w:line="240" w:lineRule="auto"/>
        <w:rPr>
          <w:rFonts w:eastAsia="Times New Roman" w:cs="Arial"/>
          <w:color w:val="000000"/>
          <w:szCs w:val="20"/>
          <w:lang w:eastAsia="bg-BG"/>
        </w:rPr>
      </w:pPr>
    </w:p>
    <w:p w14:paraId="0B8EB903" w14:textId="09B0F67A"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Перорал ни антикоагуланти</w:t>
      </w:r>
    </w:p>
    <w:p w14:paraId="7D5C5737"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Едновременното приложение на антибиотици с варфарин може да потенцира неговите антикоагулантните ефекти.</w:t>
      </w:r>
    </w:p>
    <w:p w14:paraId="5A8AE2D9"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Има много съобщения за потенциране на ефектите на пероралните антикоагуланти, включително и на варфарин, при пациенти на едновременно лечение с антибактериални средства. Рискът може да варира в зависимост от подлежащата инфекция, възрастта и общото състояние на пациента, така че е трудно да се прецени до каква степен антибиотикът допринася за повишаването на </w:t>
      </w:r>
      <w:r w:rsidRPr="00010512">
        <w:rPr>
          <w:rFonts w:eastAsia="Times New Roman" w:cs="Arial"/>
          <w:color w:val="000000"/>
          <w:szCs w:val="20"/>
          <w:lang w:val="en-US"/>
        </w:rPr>
        <w:t>INR</w:t>
      </w:r>
      <w:r w:rsidRPr="00010512">
        <w:rPr>
          <w:rFonts w:eastAsia="Times New Roman" w:cs="Arial"/>
          <w:color w:val="000000"/>
          <w:szCs w:val="20"/>
          <w:lang w:val="ru-RU"/>
        </w:rPr>
        <w:t xml:space="preserve"> </w:t>
      </w:r>
      <w:r w:rsidRPr="00010512">
        <w:rPr>
          <w:rFonts w:eastAsia="Times New Roman" w:cs="Arial"/>
          <w:color w:val="000000"/>
          <w:szCs w:val="20"/>
          <w:lang w:eastAsia="bg-BG"/>
        </w:rPr>
        <w:t xml:space="preserve">(международно нормализирано съотношение). Препоръчва се по време на и за кратък период след едновременното приложение на антибиотици и перорални антикоагуланти </w:t>
      </w:r>
      <w:r w:rsidRPr="00010512">
        <w:rPr>
          <w:rFonts w:eastAsia="Times New Roman" w:cs="Arial"/>
          <w:color w:val="000000"/>
          <w:szCs w:val="20"/>
          <w:lang w:val="en-US"/>
        </w:rPr>
        <w:t>INR</w:t>
      </w:r>
      <w:r w:rsidRPr="00010512">
        <w:rPr>
          <w:rFonts w:eastAsia="Times New Roman" w:cs="Arial"/>
          <w:color w:val="000000"/>
          <w:szCs w:val="20"/>
          <w:lang w:val="ru-RU"/>
        </w:rPr>
        <w:t xml:space="preserve"> </w:t>
      </w:r>
      <w:r w:rsidRPr="00010512">
        <w:rPr>
          <w:rFonts w:eastAsia="Times New Roman" w:cs="Arial"/>
          <w:color w:val="000000"/>
          <w:szCs w:val="20"/>
          <w:lang w:eastAsia="bg-BG"/>
        </w:rPr>
        <w:t>да се контролира често.</w:t>
      </w:r>
    </w:p>
    <w:p w14:paraId="03525C70" w14:textId="77777777" w:rsidR="00010512" w:rsidRPr="00010512" w:rsidRDefault="00010512" w:rsidP="00010512">
      <w:pPr>
        <w:spacing w:line="240" w:lineRule="auto"/>
        <w:rPr>
          <w:rFonts w:eastAsia="Times New Roman" w:cs="Arial"/>
          <w:color w:val="000000"/>
          <w:szCs w:val="20"/>
          <w:lang w:eastAsia="bg-BG"/>
        </w:rPr>
      </w:pPr>
    </w:p>
    <w:p w14:paraId="1D2D8111" w14:textId="11018B86"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Едновременното приложение на ТИЕНАМ и пробенецид води до минимално повишаване на плазмената концентрация и плазмения полуживот на имипенем. При едновременно </w:t>
      </w:r>
      <w:r w:rsidRPr="00010512">
        <w:rPr>
          <w:rFonts w:eastAsia="Times New Roman" w:cs="Arial"/>
          <w:color w:val="000000"/>
          <w:szCs w:val="20"/>
          <w:lang w:eastAsia="bg-BG"/>
        </w:rPr>
        <w:lastRenderedPageBreak/>
        <w:t>приложение с пробенецид излъчването на активния (неметаболизиран) имипенем в урината се понижава до приблизително 60 % от приложената доза. Едновременното приложение на ТИЕНАМ и пробенецид води до удвояване на плазмената концентрация и полуживота на циластатин, но няма ефект върху излъчването на циластатин в урината.</w:t>
      </w:r>
    </w:p>
    <w:p w14:paraId="2FE22065" w14:textId="77777777" w:rsidR="00010512" w:rsidRPr="00010512" w:rsidRDefault="00010512" w:rsidP="00010512">
      <w:pPr>
        <w:spacing w:line="240" w:lineRule="auto"/>
        <w:rPr>
          <w:rFonts w:eastAsia="Times New Roman" w:cs="Arial"/>
          <w:color w:val="000000"/>
          <w:szCs w:val="20"/>
          <w:u w:val="single"/>
          <w:lang w:eastAsia="bg-BG"/>
        </w:rPr>
      </w:pPr>
    </w:p>
    <w:p w14:paraId="75BD21AB" w14:textId="657E0DBE"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Педиатрична популация</w:t>
      </w:r>
    </w:p>
    <w:p w14:paraId="14F71C5D" w14:textId="13732889" w:rsidR="00010512" w:rsidRDefault="00010512" w:rsidP="00010512">
      <w:pPr>
        <w:rPr>
          <w:rFonts w:eastAsia="Times New Roman" w:cs="Arial"/>
          <w:color w:val="000000"/>
          <w:szCs w:val="20"/>
          <w:lang w:eastAsia="bg-BG"/>
        </w:rPr>
      </w:pPr>
      <w:r w:rsidRPr="00010512">
        <w:rPr>
          <w:rFonts w:eastAsia="Times New Roman" w:cs="Arial"/>
          <w:color w:val="000000"/>
          <w:szCs w:val="20"/>
          <w:lang w:eastAsia="bg-BG"/>
        </w:rPr>
        <w:t>Проучвания за взаимодействията са провеждани само при възрастни.</w:t>
      </w:r>
    </w:p>
    <w:p w14:paraId="43E6D1B5" w14:textId="77777777" w:rsidR="00010512" w:rsidRPr="00010512" w:rsidRDefault="00010512" w:rsidP="00010512">
      <w:pPr>
        <w:rPr>
          <w:rFonts w:cs="Arial"/>
          <w:sz w:val="24"/>
        </w:rPr>
      </w:pPr>
    </w:p>
    <w:p w14:paraId="394A7584" w14:textId="0907E09A" w:rsidR="004F498A" w:rsidRDefault="002C50EE" w:rsidP="004A448E">
      <w:pPr>
        <w:pStyle w:val="Heading2"/>
      </w:pPr>
      <w:r>
        <w:t>4.6. Фертилитет, бременност и кърмене</w:t>
      </w:r>
    </w:p>
    <w:p w14:paraId="0E40313D" w14:textId="4FADBAF7" w:rsidR="00010512" w:rsidRDefault="00010512" w:rsidP="00010512"/>
    <w:p w14:paraId="63FC46A1" w14:textId="77777777" w:rsidR="00010512" w:rsidRPr="00010512" w:rsidRDefault="00010512" w:rsidP="00010512">
      <w:pPr>
        <w:pStyle w:val="Heading3"/>
        <w:rPr>
          <w:rFonts w:eastAsia="Times New Roman"/>
          <w:u w:val="single"/>
        </w:rPr>
      </w:pPr>
      <w:r w:rsidRPr="00010512">
        <w:rPr>
          <w:rFonts w:eastAsia="Times New Roman"/>
          <w:u w:val="single"/>
          <w:lang w:eastAsia="bg-BG"/>
        </w:rPr>
        <w:t>Бременност</w:t>
      </w:r>
    </w:p>
    <w:p w14:paraId="602E7477"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Липсват адекватни и добре контролирани проучвания за употребата на имипенем/циластатин при бременни жени.</w:t>
      </w:r>
    </w:p>
    <w:p w14:paraId="448316AB" w14:textId="77777777" w:rsidR="00010512" w:rsidRPr="00010512" w:rsidRDefault="00010512" w:rsidP="00010512">
      <w:pPr>
        <w:spacing w:line="240" w:lineRule="auto"/>
        <w:rPr>
          <w:rFonts w:eastAsia="Times New Roman" w:cs="Arial"/>
          <w:color w:val="000000"/>
          <w:lang w:eastAsia="bg-BG"/>
        </w:rPr>
      </w:pPr>
    </w:p>
    <w:p w14:paraId="7136DB3C" w14:textId="53CEEDBC" w:rsidR="00010512" w:rsidRPr="00010512" w:rsidRDefault="00010512" w:rsidP="00010512">
      <w:pPr>
        <w:spacing w:line="240" w:lineRule="auto"/>
        <w:rPr>
          <w:rFonts w:eastAsia="Times New Roman" w:cs="Arial"/>
        </w:rPr>
      </w:pPr>
      <w:r w:rsidRPr="00010512">
        <w:rPr>
          <w:rFonts w:eastAsia="Times New Roman" w:cs="Arial"/>
          <w:color w:val="000000"/>
          <w:lang w:eastAsia="bg-BG"/>
        </w:rPr>
        <w:t>Проучванията при бременни маймуни показват репродуктивна токсичност (вж. точка 5.3). Потенциалният риск за хора не е известен.</w:t>
      </w:r>
    </w:p>
    <w:p w14:paraId="60857D1D"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По време на бременност ТИЕНАМ трябва да се използва само тогава, котата потенциалната полза оправдава потенциалния риск за фетуса.</w:t>
      </w:r>
    </w:p>
    <w:p w14:paraId="0B86F76E" w14:textId="77777777" w:rsidR="00010512" w:rsidRPr="00010512" w:rsidRDefault="00010512" w:rsidP="00010512">
      <w:pPr>
        <w:spacing w:line="240" w:lineRule="auto"/>
        <w:rPr>
          <w:rFonts w:eastAsia="Times New Roman" w:cs="Arial"/>
          <w:color w:val="000000"/>
          <w:u w:val="single"/>
          <w:lang w:eastAsia="bg-BG"/>
        </w:rPr>
      </w:pPr>
    </w:p>
    <w:p w14:paraId="7C1DA629" w14:textId="374FCD62" w:rsidR="00010512" w:rsidRPr="00010512" w:rsidRDefault="00010512" w:rsidP="00010512">
      <w:pPr>
        <w:pStyle w:val="Heading3"/>
        <w:rPr>
          <w:rFonts w:eastAsia="Times New Roman"/>
          <w:u w:val="single"/>
        </w:rPr>
      </w:pPr>
      <w:r w:rsidRPr="00010512">
        <w:rPr>
          <w:rFonts w:eastAsia="Times New Roman"/>
          <w:u w:val="single"/>
          <w:lang w:eastAsia="bg-BG"/>
        </w:rPr>
        <w:t>Кърмене</w:t>
      </w:r>
    </w:p>
    <w:p w14:paraId="187C70ED"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Имипенем и циластатин се екскретират в кърмата в малки количества. При перорално приложение резорбцията и на двете вещества е ниска. Поради това е малко вероятно кърмачето да е експонирано на значими количества. Ако се прецени, че употребата на ТИЕНАМ е необходима, трябва да се вземе предвид дали ползата от кърменето на детето надвишава потенциалните рискове.</w:t>
      </w:r>
    </w:p>
    <w:p w14:paraId="3E434F8E" w14:textId="77777777" w:rsidR="00010512" w:rsidRPr="00010512" w:rsidRDefault="00010512" w:rsidP="00010512">
      <w:pPr>
        <w:spacing w:line="240" w:lineRule="auto"/>
        <w:rPr>
          <w:rFonts w:eastAsia="Times New Roman" w:cs="Arial"/>
          <w:color w:val="000000"/>
          <w:u w:val="single"/>
          <w:lang w:eastAsia="bg-BG"/>
        </w:rPr>
      </w:pPr>
    </w:p>
    <w:p w14:paraId="7904FBA7" w14:textId="1109C124" w:rsidR="00010512" w:rsidRPr="00010512" w:rsidRDefault="00010512" w:rsidP="00010512">
      <w:pPr>
        <w:pStyle w:val="Heading3"/>
        <w:rPr>
          <w:rFonts w:eastAsia="Times New Roman"/>
          <w:u w:val="single"/>
        </w:rPr>
      </w:pPr>
      <w:r w:rsidRPr="00010512">
        <w:rPr>
          <w:rFonts w:eastAsia="Times New Roman"/>
          <w:u w:val="single"/>
          <w:lang w:eastAsia="bg-BG"/>
        </w:rPr>
        <w:t>Фертилитет</w:t>
      </w:r>
    </w:p>
    <w:p w14:paraId="4F37216A"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Липсват данни за потенциалния ефект на лечението с имипенем/циластатин върху фертилитета при мъже и жени.</w:t>
      </w:r>
    </w:p>
    <w:p w14:paraId="56EA6C59" w14:textId="77777777" w:rsidR="00010512" w:rsidRPr="00010512" w:rsidRDefault="00010512" w:rsidP="00010512"/>
    <w:p w14:paraId="064DF1DE" w14:textId="7639C85E" w:rsidR="00CF77F7" w:rsidRDefault="002C50EE" w:rsidP="004A448E">
      <w:pPr>
        <w:pStyle w:val="Heading2"/>
      </w:pPr>
      <w:r>
        <w:t>4.7. Ефекти върху способността за шофиране и работа с машини</w:t>
      </w:r>
    </w:p>
    <w:p w14:paraId="21C8BE94" w14:textId="2D43F421" w:rsidR="00010512" w:rsidRDefault="00010512" w:rsidP="00010512"/>
    <w:p w14:paraId="22F970F4" w14:textId="5793411B" w:rsidR="00010512" w:rsidRDefault="00010512" w:rsidP="00010512">
      <w:r>
        <w:t>Не са провеждани проучвания за ефектите върху способността за шофиране и работа с машини. Все пак някои от нежеланите реакции (като халюцинации, замайване, сънливост и световъртеж), свързани с приложението на този продукт, могат да нарушат способността на пациента за шофиране или работа с машини (вж. точка 4.8).</w:t>
      </w:r>
    </w:p>
    <w:p w14:paraId="473593CE" w14:textId="77777777" w:rsidR="00010512" w:rsidRPr="00010512" w:rsidRDefault="00010512" w:rsidP="00010512"/>
    <w:p w14:paraId="37A3FD9F" w14:textId="6E751AB0" w:rsidR="00CF77F7" w:rsidRDefault="002C50EE" w:rsidP="004A448E">
      <w:pPr>
        <w:pStyle w:val="Heading2"/>
      </w:pPr>
      <w:r>
        <w:t>4.8. Нежелани лекарствени реакции</w:t>
      </w:r>
    </w:p>
    <w:p w14:paraId="1D8DBD16" w14:textId="619BC53D" w:rsidR="00010512" w:rsidRDefault="00010512" w:rsidP="00010512"/>
    <w:p w14:paraId="44280760"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В клинични изпитвания, включващи 1 723 пациенти, лекувани с имипенем/циластатин интравенозно, най-често съобщаваните системни нежелани реакции, докладвани като възможно свързани с лечението, са гадене (2,0 %), диария (1,8 %), повръщане (1,5 %), обрив (0,9 %), треска (0,5 %), хипотония (0,4 %), гърчове (0,4 %) (вж. точка 4.4), замайване (03 %), пруритус (0,3 %), уртикария (0,2 %), сънливост (0,2 %). Също така, най-често съобщаваните локални нежелани реакции са флебит/тромбофлебит (3,1 %), болка на мястото на инжектиране (0,7 %), еритем на мястото на инжектиране (0,4 %) и индурация на вените (0,2 %). Чести са съобщенията и за повишаване на серумните концентрации на трансаминазите и алкалната фосфатаза.</w:t>
      </w:r>
    </w:p>
    <w:p w14:paraId="57AC9763" w14:textId="77777777" w:rsidR="00010512" w:rsidRPr="00010512" w:rsidRDefault="00010512" w:rsidP="00010512">
      <w:pPr>
        <w:spacing w:line="240" w:lineRule="auto"/>
        <w:rPr>
          <w:rFonts w:eastAsia="Times New Roman" w:cs="Arial"/>
          <w:color w:val="000000"/>
          <w:szCs w:val="20"/>
          <w:lang w:eastAsia="bg-BG"/>
        </w:rPr>
      </w:pPr>
    </w:p>
    <w:p w14:paraId="4EAFD86C" w14:textId="42F1F764"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От клиничните проучвания или постмаркетинговия опит има съобщения за изброените по-долу нежелани реакции.</w:t>
      </w:r>
    </w:p>
    <w:p w14:paraId="7A689B8F" w14:textId="77777777" w:rsidR="00010512" w:rsidRPr="00010512" w:rsidRDefault="00010512" w:rsidP="00010512">
      <w:pPr>
        <w:spacing w:line="240" w:lineRule="auto"/>
        <w:rPr>
          <w:rFonts w:eastAsia="Times New Roman" w:cs="Arial"/>
          <w:color w:val="000000"/>
          <w:szCs w:val="20"/>
          <w:lang w:eastAsia="bg-BG"/>
        </w:rPr>
      </w:pPr>
    </w:p>
    <w:p w14:paraId="4B0E8C50" w14:textId="13388590"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Всички нежелани реакции са изброени по системо-органен клас и честота: много чести (≥ 1/10), чести (≥ 1/100 до &lt; 1/10), нечести (≥1/1 000 до &lt; 1/100), редки (≥ 1/10 000 до &lt;1/1 000), много редки (&lt; 1/10 000) и с неизвестна честота (от наличните данни не може да бъде направена оценка).</w:t>
      </w:r>
    </w:p>
    <w:p w14:paraId="0BA4F382" w14:textId="77777777" w:rsidR="00010512" w:rsidRPr="00010512" w:rsidRDefault="00010512" w:rsidP="00010512">
      <w:pPr>
        <w:spacing w:line="240" w:lineRule="auto"/>
        <w:rPr>
          <w:rFonts w:eastAsia="Times New Roman" w:cs="Arial"/>
          <w:color w:val="000000"/>
          <w:szCs w:val="20"/>
          <w:lang w:eastAsia="bg-BG"/>
        </w:rPr>
      </w:pPr>
    </w:p>
    <w:p w14:paraId="0829B42E" w14:textId="1A24AA46" w:rsidR="00010512" w:rsidRPr="00010512" w:rsidRDefault="00010512" w:rsidP="00010512">
      <w:pPr>
        <w:spacing w:line="240" w:lineRule="auto"/>
        <w:rPr>
          <w:rFonts w:ascii="Times New Roman" w:eastAsia="Times New Roman" w:hAnsi="Times New Roman" w:cs="Times New Roman"/>
          <w:sz w:val="24"/>
          <w:szCs w:val="24"/>
        </w:rPr>
      </w:pPr>
      <w:r w:rsidRPr="00010512">
        <w:rPr>
          <w:rFonts w:eastAsia="Times New Roman" w:cs="Arial"/>
          <w:color w:val="000000"/>
          <w:szCs w:val="20"/>
          <w:lang w:eastAsia="bg-BG"/>
        </w:rPr>
        <w:t>Във всяко групиране по честота, нежеланите реакции се подреждат в низходящ ред на сериозност.</w:t>
      </w:r>
    </w:p>
    <w:tbl>
      <w:tblPr>
        <w:tblStyle w:val="TableGrid"/>
        <w:tblW w:w="0" w:type="auto"/>
        <w:tblLook w:val="04A0" w:firstRow="1" w:lastRow="0" w:firstColumn="1" w:lastColumn="0" w:noHBand="0" w:noVBand="1"/>
      </w:tblPr>
      <w:tblGrid>
        <w:gridCol w:w="3144"/>
        <w:gridCol w:w="3072"/>
        <w:gridCol w:w="3134"/>
      </w:tblGrid>
      <w:tr w:rsidR="00010512" w14:paraId="5967316B" w14:textId="77777777" w:rsidTr="00010512">
        <w:tc>
          <w:tcPr>
            <w:tcW w:w="3192" w:type="dxa"/>
            <w:vAlign w:val="bottom"/>
          </w:tcPr>
          <w:p w14:paraId="3B4A76B7" w14:textId="6AD8323E" w:rsidR="00010512" w:rsidRPr="00010512" w:rsidRDefault="00010512" w:rsidP="00010512">
            <w:r w:rsidRPr="00010512">
              <w:rPr>
                <w:b/>
                <w:bCs/>
                <w:szCs w:val="20"/>
              </w:rPr>
              <w:t>Системо-органен клас</w:t>
            </w:r>
          </w:p>
        </w:tc>
        <w:tc>
          <w:tcPr>
            <w:tcW w:w="3192" w:type="dxa"/>
            <w:vAlign w:val="bottom"/>
          </w:tcPr>
          <w:p w14:paraId="32B913C3" w14:textId="030C75C7" w:rsidR="00010512" w:rsidRPr="00010512" w:rsidRDefault="00010512" w:rsidP="00010512">
            <w:r w:rsidRPr="00010512">
              <w:rPr>
                <w:b/>
                <w:bCs/>
                <w:szCs w:val="20"/>
              </w:rPr>
              <w:t>Честота</w:t>
            </w:r>
          </w:p>
        </w:tc>
        <w:tc>
          <w:tcPr>
            <w:tcW w:w="3192" w:type="dxa"/>
            <w:vAlign w:val="bottom"/>
          </w:tcPr>
          <w:p w14:paraId="0137EC0C" w14:textId="100F1383" w:rsidR="00010512" w:rsidRPr="00010512" w:rsidRDefault="00010512" w:rsidP="00010512">
            <w:r w:rsidRPr="00010512">
              <w:rPr>
                <w:b/>
                <w:bCs/>
                <w:szCs w:val="20"/>
              </w:rPr>
              <w:t>Събитие</w:t>
            </w:r>
          </w:p>
        </w:tc>
      </w:tr>
      <w:tr w:rsidR="00010512" w14:paraId="6B2F9B63" w14:textId="77777777" w:rsidTr="00010512">
        <w:tc>
          <w:tcPr>
            <w:tcW w:w="3192" w:type="dxa"/>
            <w:vMerge w:val="restart"/>
          </w:tcPr>
          <w:p w14:paraId="66DFC464" w14:textId="2D6C2F42" w:rsidR="00010512" w:rsidRPr="00010512" w:rsidRDefault="00010512" w:rsidP="00010512">
            <w:r w:rsidRPr="00010512">
              <w:rPr>
                <w:szCs w:val="20"/>
              </w:rPr>
              <w:t>Инфекции и инфестации</w:t>
            </w:r>
          </w:p>
        </w:tc>
        <w:tc>
          <w:tcPr>
            <w:tcW w:w="3192" w:type="dxa"/>
          </w:tcPr>
          <w:p w14:paraId="317E128F" w14:textId="2A5DB6F8" w:rsidR="00010512" w:rsidRPr="00010512" w:rsidRDefault="00010512" w:rsidP="00010512">
            <w:r w:rsidRPr="00010512">
              <w:rPr>
                <w:szCs w:val="20"/>
              </w:rPr>
              <w:t>Редки</w:t>
            </w:r>
          </w:p>
        </w:tc>
        <w:tc>
          <w:tcPr>
            <w:tcW w:w="3192" w:type="dxa"/>
          </w:tcPr>
          <w:p w14:paraId="4C9AD6CF" w14:textId="68410037" w:rsidR="00010512" w:rsidRPr="00010512" w:rsidRDefault="00010512" w:rsidP="00010512">
            <w:r w:rsidRPr="00010512">
              <w:rPr>
                <w:szCs w:val="20"/>
              </w:rPr>
              <w:t>псевдомембранозен колит, кандидоза</w:t>
            </w:r>
          </w:p>
        </w:tc>
      </w:tr>
      <w:tr w:rsidR="00010512" w14:paraId="4ED007BE" w14:textId="77777777" w:rsidTr="00010512">
        <w:tc>
          <w:tcPr>
            <w:tcW w:w="3192" w:type="dxa"/>
            <w:vMerge/>
          </w:tcPr>
          <w:p w14:paraId="1C691D27" w14:textId="77777777" w:rsidR="00010512" w:rsidRPr="00010512" w:rsidRDefault="00010512" w:rsidP="00010512"/>
        </w:tc>
        <w:tc>
          <w:tcPr>
            <w:tcW w:w="3192" w:type="dxa"/>
            <w:vAlign w:val="bottom"/>
          </w:tcPr>
          <w:p w14:paraId="07902222" w14:textId="6CD621D4" w:rsidR="00010512" w:rsidRPr="00010512" w:rsidRDefault="00010512" w:rsidP="00010512">
            <w:r w:rsidRPr="00010512">
              <w:rPr>
                <w:szCs w:val="20"/>
              </w:rPr>
              <w:t>Много редки</w:t>
            </w:r>
          </w:p>
        </w:tc>
        <w:tc>
          <w:tcPr>
            <w:tcW w:w="3192" w:type="dxa"/>
            <w:vAlign w:val="bottom"/>
          </w:tcPr>
          <w:p w14:paraId="3F7A3856" w14:textId="6DDCA512" w:rsidR="00010512" w:rsidRPr="00010512" w:rsidRDefault="00010512" w:rsidP="00010512">
            <w:r w:rsidRPr="00010512">
              <w:rPr>
                <w:szCs w:val="20"/>
              </w:rPr>
              <w:t>гастроентерит</w:t>
            </w:r>
          </w:p>
        </w:tc>
      </w:tr>
      <w:tr w:rsidR="00010512" w14:paraId="39FB3829" w14:textId="77777777" w:rsidTr="00010512">
        <w:tc>
          <w:tcPr>
            <w:tcW w:w="3192" w:type="dxa"/>
            <w:vMerge w:val="restart"/>
          </w:tcPr>
          <w:p w14:paraId="1DC5EF53" w14:textId="4F6A9D25" w:rsidR="00010512" w:rsidRPr="00010512" w:rsidRDefault="00010512" w:rsidP="00010512">
            <w:r w:rsidRPr="00010512">
              <w:rPr>
                <w:szCs w:val="20"/>
              </w:rPr>
              <w:t>Нарушения на кръвта и лимфната система</w:t>
            </w:r>
          </w:p>
        </w:tc>
        <w:tc>
          <w:tcPr>
            <w:tcW w:w="3192" w:type="dxa"/>
          </w:tcPr>
          <w:p w14:paraId="4D7AFAD3" w14:textId="481B832F" w:rsidR="00010512" w:rsidRPr="00010512" w:rsidRDefault="00010512" w:rsidP="00010512">
            <w:r w:rsidRPr="00010512">
              <w:rPr>
                <w:szCs w:val="20"/>
              </w:rPr>
              <w:t>Чести</w:t>
            </w:r>
          </w:p>
        </w:tc>
        <w:tc>
          <w:tcPr>
            <w:tcW w:w="3192" w:type="dxa"/>
          </w:tcPr>
          <w:p w14:paraId="01F548EC" w14:textId="62848DBF" w:rsidR="00010512" w:rsidRPr="00010512" w:rsidRDefault="00010512" w:rsidP="00010512">
            <w:r w:rsidRPr="00010512">
              <w:rPr>
                <w:szCs w:val="20"/>
              </w:rPr>
              <w:t>еозинофилия</w:t>
            </w:r>
          </w:p>
        </w:tc>
      </w:tr>
      <w:tr w:rsidR="00010512" w14:paraId="3DDDB2CB" w14:textId="77777777" w:rsidTr="00010512">
        <w:tc>
          <w:tcPr>
            <w:tcW w:w="3192" w:type="dxa"/>
            <w:vMerge/>
          </w:tcPr>
          <w:p w14:paraId="75A66019" w14:textId="77777777" w:rsidR="00010512" w:rsidRPr="00010512" w:rsidRDefault="00010512" w:rsidP="00010512"/>
        </w:tc>
        <w:tc>
          <w:tcPr>
            <w:tcW w:w="3192" w:type="dxa"/>
          </w:tcPr>
          <w:p w14:paraId="0AC1A2CF" w14:textId="123EB2E7" w:rsidR="00010512" w:rsidRPr="00010512" w:rsidRDefault="00010512" w:rsidP="00010512">
            <w:r w:rsidRPr="00010512">
              <w:rPr>
                <w:szCs w:val="20"/>
              </w:rPr>
              <w:t>Нечести</w:t>
            </w:r>
          </w:p>
        </w:tc>
        <w:tc>
          <w:tcPr>
            <w:tcW w:w="3192" w:type="dxa"/>
            <w:vAlign w:val="bottom"/>
          </w:tcPr>
          <w:p w14:paraId="418F9F43" w14:textId="0A620B95" w:rsidR="00010512" w:rsidRPr="00010512" w:rsidRDefault="00010512" w:rsidP="00010512">
            <w:r w:rsidRPr="00010512">
              <w:rPr>
                <w:szCs w:val="20"/>
              </w:rPr>
              <w:t>панцитопения, неутропения, левкопения, тромбоцитопения, тромбоцитоза</w:t>
            </w:r>
          </w:p>
        </w:tc>
      </w:tr>
      <w:tr w:rsidR="00010512" w14:paraId="20AFB386" w14:textId="77777777" w:rsidTr="00010512">
        <w:tc>
          <w:tcPr>
            <w:tcW w:w="3192" w:type="dxa"/>
            <w:vMerge/>
          </w:tcPr>
          <w:p w14:paraId="7D20ED55" w14:textId="77777777" w:rsidR="00010512" w:rsidRPr="00010512" w:rsidRDefault="00010512" w:rsidP="00010512"/>
        </w:tc>
        <w:tc>
          <w:tcPr>
            <w:tcW w:w="3192" w:type="dxa"/>
            <w:vAlign w:val="bottom"/>
          </w:tcPr>
          <w:p w14:paraId="733DE30A" w14:textId="6E63076D" w:rsidR="00010512" w:rsidRPr="00010512" w:rsidRDefault="00010512" w:rsidP="00010512">
            <w:r w:rsidRPr="00010512">
              <w:rPr>
                <w:szCs w:val="20"/>
              </w:rPr>
              <w:t>Редки</w:t>
            </w:r>
          </w:p>
        </w:tc>
        <w:tc>
          <w:tcPr>
            <w:tcW w:w="3192" w:type="dxa"/>
            <w:vAlign w:val="bottom"/>
          </w:tcPr>
          <w:p w14:paraId="283BFEEE" w14:textId="6820D88E" w:rsidR="00010512" w:rsidRPr="00010512" w:rsidRDefault="00010512" w:rsidP="00010512">
            <w:r w:rsidRPr="00010512">
              <w:rPr>
                <w:szCs w:val="20"/>
              </w:rPr>
              <w:t>агранулоцигоза</w:t>
            </w:r>
          </w:p>
        </w:tc>
      </w:tr>
      <w:tr w:rsidR="00010512" w14:paraId="535DB263" w14:textId="77777777" w:rsidTr="00010512">
        <w:tc>
          <w:tcPr>
            <w:tcW w:w="3192" w:type="dxa"/>
            <w:vMerge/>
          </w:tcPr>
          <w:p w14:paraId="0F86E4F6" w14:textId="77777777" w:rsidR="00010512" w:rsidRPr="00010512" w:rsidRDefault="00010512" w:rsidP="00010512"/>
        </w:tc>
        <w:tc>
          <w:tcPr>
            <w:tcW w:w="3192" w:type="dxa"/>
          </w:tcPr>
          <w:p w14:paraId="450A7D92" w14:textId="4F20B872" w:rsidR="00010512" w:rsidRPr="00010512" w:rsidRDefault="00010512" w:rsidP="00010512">
            <w:r w:rsidRPr="00010512">
              <w:rPr>
                <w:szCs w:val="20"/>
              </w:rPr>
              <w:t>Много редки</w:t>
            </w:r>
          </w:p>
        </w:tc>
        <w:tc>
          <w:tcPr>
            <w:tcW w:w="3192" w:type="dxa"/>
            <w:vAlign w:val="bottom"/>
          </w:tcPr>
          <w:p w14:paraId="3E801977" w14:textId="3550C6BB" w:rsidR="00010512" w:rsidRPr="00010512" w:rsidRDefault="00010512" w:rsidP="00010512">
            <w:r w:rsidRPr="00010512">
              <w:rPr>
                <w:szCs w:val="20"/>
              </w:rPr>
              <w:t>хемолитична анемия, костно-мозъчна супресия</w:t>
            </w:r>
          </w:p>
        </w:tc>
      </w:tr>
      <w:tr w:rsidR="00010512" w14:paraId="08BE1450" w14:textId="77777777" w:rsidTr="00010512">
        <w:tc>
          <w:tcPr>
            <w:tcW w:w="3192" w:type="dxa"/>
          </w:tcPr>
          <w:p w14:paraId="4C9156BB" w14:textId="76E4BB30" w:rsidR="00010512" w:rsidRPr="00010512" w:rsidRDefault="00010512" w:rsidP="00010512">
            <w:r w:rsidRPr="00010512">
              <w:rPr>
                <w:szCs w:val="20"/>
              </w:rPr>
              <w:t>Нарушения на имунната система</w:t>
            </w:r>
          </w:p>
        </w:tc>
        <w:tc>
          <w:tcPr>
            <w:tcW w:w="3192" w:type="dxa"/>
          </w:tcPr>
          <w:p w14:paraId="7EB92ACE" w14:textId="3FEE16AD" w:rsidR="00010512" w:rsidRPr="00010512" w:rsidRDefault="00010512" w:rsidP="00010512">
            <w:r w:rsidRPr="00010512">
              <w:rPr>
                <w:szCs w:val="20"/>
              </w:rPr>
              <w:t>Редки</w:t>
            </w:r>
          </w:p>
        </w:tc>
        <w:tc>
          <w:tcPr>
            <w:tcW w:w="3192" w:type="dxa"/>
          </w:tcPr>
          <w:p w14:paraId="20AC301A" w14:textId="2BE8B69A" w:rsidR="00010512" w:rsidRPr="00010512" w:rsidRDefault="00010512" w:rsidP="00010512">
            <w:r w:rsidRPr="00010512">
              <w:rPr>
                <w:szCs w:val="20"/>
              </w:rPr>
              <w:t>анафилактични реакции</w:t>
            </w:r>
          </w:p>
        </w:tc>
      </w:tr>
      <w:tr w:rsidR="00010512" w14:paraId="5C134B54" w14:textId="77777777" w:rsidTr="00010512">
        <w:tc>
          <w:tcPr>
            <w:tcW w:w="3192" w:type="dxa"/>
          </w:tcPr>
          <w:p w14:paraId="7F1E03BF" w14:textId="19B1FDED" w:rsidR="00010512" w:rsidRPr="00010512" w:rsidRDefault="00010512" w:rsidP="00010512">
            <w:r w:rsidRPr="00010512">
              <w:rPr>
                <w:szCs w:val="20"/>
              </w:rPr>
              <w:t>Психични нарушения</w:t>
            </w:r>
          </w:p>
        </w:tc>
        <w:tc>
          <w:tcPr>
            <w:tcW w:w="3192" w:type="dxa"/>
          </w:tcPr>
          <w:p w14:paraId="3D82A98D" w14:textId="5C67279E" w:rsidR="00010512" w:rsidRPr="00010512" w:rsidRDefault="00010512" w:rsidP="00010512">
            <w:r w:rsidRPr="00010512">
              <w:rPr>
                <w:szCs w:val="20"/>
              </w:rPr>
              <w:t>Нечести</w:t>
            </w:r>
          </w:p>
        </w:tc>
        <w:tc>
          <w:tcPr>
            <w:tcW w:w="3192" w:type="dxa"/>
            <w:vAlign w:val="bottom"/>
          </w:tcPr>
          <w:p w14:paraId="58AF671B" w14:textId="7C67ACEA" w:rsidR="00010512" w:rsidRPr="00010512" w:rsidRDefault="00010512" w:rsidP="00010512">
            <w:r w:rsidRPr="00010512">
              <w:rPr>
                <w:szCs w:val="20"/>
              </w:rPr>
              <w:t>психични нарушения, включително халюцинации и състояния на обърканост</w:t>
            </w:r>
          </w:p>
        </w:tc>
      </w:tr>
      <w:tr w:rsidR="00010512" w14:paraId="32B5F4C4" w14:textId="77777777" w:rsidTr="00010512">
        <w:tc>
          <w:tcPr>
            <w:tcW w:w="3192" w:type="dxa"/>
            <w:vMerge w:val="restart"/>
          </w:tcPr>
          <w:p w14:paraId="6B3DAB28" w14:textId="30618904" w:rsidR="00010512" w:rsidRPr="00010512" w:rsidRDefault="00010512" w:rsidP="00010512">
            <w:r w:rsidRPr="00010512">
              <w:rPr>
                <w:szCs w:val="20"/>
              </w:rPr>
              <w:t>Нарушения на нервната система</w:t>
            </w:r>
          </w:p>
        </w:tc>
        <w:tc>
          <w:tcPr>
            <w:tcW w:w="3192" w:type="dxa"/>
          </w:tcPr>
          <w:p w14:paraId="37DC0EF9" w14:textId="28D2299C" w:rsidR="00010512" w:rsidRPr="00010512" w:rsidRDefault="00010512" w:rsidP="00010512">
            <w:r w:rsidRPr="00010512">
              <w:rPr>
                <w:szCs w:val="20"/>
              </w:rPr>
              <w:t>Нечести</w:t>
            </w:r>
          </w:p>
        </w:tc>
        <w:tc>
          <w:tcPr>
            <w:tcW w:w="3192" w:type="dxa"/>
          </w:tcPr>
          <w:p w14:paraId="10374099" w14:textId="21930045" w:rsidR="00010512" w:rsidRPr="00010512" w:rsidRDefault="00010512" w:rsidP="00010512">
            <w:r w:rsidRPr="00010512">
              <w:rPr>
                <w:szCs w:val="20"/>
              </w:rPr>
              <w:t>гърчове, миоклонална активност, замайване, сомнолентност</w:t>
            </w:r>
          </w:p>
        </w:tc>
      </w:tr>
      <w:tr w:rsidR="00010512" w14:paraId="14FB5711" w14:textId="77777777" w:rsidTr="00010512">
        <w:tc>
          <w:tcPr>
            <w:tcW w:w="3192" w:type="dxa"/>
            <w:vMerge/>
          </w:tcPr>
          <w:p w14:paraId="097BCC1D" w14:textId="77777777" w:rsidR="00010512" w:rsidRPr="00010512" w:rsidRDefault="00010512" w:rsidP="00010512"/>
        </w:tc>
        <w:tc>
          <w:tcPr>
            <w:tcW w:w="3192" w:type="dxa"/>
          </w:tcPr>
          <w:p w14:paraId="6D521DE5" w14:textId="1F7E0C31" w:rsidR="00010512" w:rsidRPr="00010512" w:rsidRDefault="00010512" w:rsidP="00010512">
            <w:r w:rsidRPr="00010512">
              <w:rPr>
                <w:szCs w:val="20"/>
              </w:rPr>
              <w:t>Редки</w:t>
            </w:r>
          </w:p>
        </w:tc>
        <w:tc>
          <w:tcPr>
            <w:tcW w:w="3192" w:type="dxa"/>
            <w:vAlign w:val="bottom"/>
          </w:tcPr>
          <w:p w14:paraId="0251BE3A" w14:textId="41A68553" w:rsidR="00010512" w:rsidRPr="00010512" w:rsidRDefault="00010512" w:rsidP="00010512">
            <w:r w:rsidRPr="00010512">
              <w:rPr>
                <w:szCs w:val="20"/>
              </w:rPr>
              <w:t>енцефалопатия, паресгезии, фокален тремор, извратен вкус</w:t>
            </w:r>
          </w:p>
        </w:tc>
      </w:tr>
      <w:tr w:rsidR="00010512" w14:paraId="240ADF7E" w14:textId="77777777" w:rsidTr="00010512">
        <w:tc>
          <w:tcPr>
            <w:tcW w:w="3192" w:type="dxa"/>
            <w:vMerge/>
          </w:tcPr>
          <w:p w14:paraId="0947F029" w14:textId="77777777" w:rsidR="00010512" w:rsidRPr="00010512" w:rsidRDefault="00010512" w:rsidP="00010512"/>
        </w:tc>
        <w:tc>
          <w:tcPr>
            <w:tcW w:w="3192" w:type="dxa"/>
          </w:tcPr>
          <w:p w14:paraId="27D51C3A" w14:textId="2C558C9B" w:rsidR="00010512" w:rsidRPr="00010512" w:rsidRDefault="00010512" w:rsidP="00010512">
            <w:r w:rsidRPr="00010512">
              <w:rPr>
                <w:szCs w:val="20"/>
              </w:rPr>
              <w:t>Много редки</w:t>
            </w:r>
          </w:p>
        </w:tc>
        <w:tc>
          <w:tcPr>
            <w:tcW w:w="3192" w:type="dxa"/>
            <w:vAlign w:val="bottom"/>
          </w:tcPr>
          <w:p w14:paraId="35A8B3EA" w14:textId="68FFECC6" w:rsidR="00010512" w:rsidRPr="00010512" w:rsidRDefault="00010512" w:rsidP="00010512">
            <w:r w:rsidRPr="00010512">
              <w:rPr>
                <w:szCs w:val="20"/>
              </w:rPr>
              <w:t>влошаване на миастения гравис, главоболие</w:t>
            </w:r>
          </w:p>
        </w:tc>
      </w:tr>
      <w:tr w:rsidR="00010512" w14:paraId="1C43F275" w14:textId="77777777" w:rsidTr="00010512">
        <w:tc>
          <w:tcPr>
            <w:tcW w:w="3192" w:type="dxa"/>
            <w:vMerge/>
          </w:tcPr>
          <w:p w14:paraId="502CA330" w14:textId="77777777" w:rsidR="00010512" w:rsidRPr="00010512" w:rsidRDefault="00010512" w:rsidP="00010512"/>
        </w:tc>
        <w:tc>
          <w:tcPr>
            <w:tcW w:w="3192" w:type="dxa"/>
          </w:tcPr>
          <w:p w14:paraId="5B7D4E0A" w14:textId="3D2B594C" w:rsidR="00010512" w:rsidRPr="00010512" w:rsidRDefault="00010512" w:rsidP="00010512">
            <w:r w:rsidRPr="00010512">
              <w:rPr>
                <w:szCs w:val="20"/>
              </w:rPr>
              <w:t>С неизвестна честота</w:t>
            </w:r>
          </w:p>
        </w:tc>
        <w:tc>
          <w:tcPr>
            <w:tcW w:w="3192" w:type="dxa"/>
          </w:tcPr>
          <w:p w14:paraId="7127BB28" w14:textId="430D8BA1" w:rsidR="00010512" w:rsidRPr="00010512" w:rsidRDefault="00010512" w:rsidP="00010512">
            <w:r w:rsidRPr="00010512">
              <w:rPr>
                <w:szCs w:val="20"/>
              </w:rPr>
              <w:t>възбуда, дискинезия</w:t>
            </w:r>
          </w:p>
        </w:tc>
      </w:tr>
      <w:tr w:rsidR="00010512" w14:paraId="66236993" w14:textId="77777777" w:rsidTr="00010512">
        <w:tc>
          <w:tcPr>
            <w:tcW w:w="3192" w:type="dxa"/>
            <w:vMerge w:val="restart"/>
            <w:vAlign w:val="bottom"/>
          </w:tcPr>
          <w:p w14:paraId="75B92EF8" w14:textId="6B5E053B" w:rsidR="00010512" w:rsidRPr="00010512" w:rsidRDefault="00010512" w:rsidP="00010512">
            <w:r w:rsidRPr="00010512">
              <w:rPr>
                <w:szCs w:val="20"/>
              </w:rPr>
              <w:t>Нарушения на ухото и лабиринта</w:t>
            </w:r>
          </w:p>
        </w:tc>
        <w:tc>
          <w:tcPr>
            <w:tcW w:w="3192" w:type="dxa"/>
          </w:tcPr>
          <w:p w14:paraId="5C4BD056" w14:textId="10FBABF0" w:rsidR="00010512" w:rsidRPr="00010512" w:rsidRDefault="00010512" w:rsidP="00010512">
            <w:r w:rsidRPr="00010512">
              <w:rPr>
                <w:szCs w:val="20"/>
              </w:rPr>
              <w:t>Редки</w:t>
            </w:r>
          </w:p>
        </w:tc>
        <w:tc>
          <w:tcPr>
            <w:tcW w:w="3192" w:type="dxa"/>
          </w:tcPr>
          <w:p w14:paraId="638450FA" w14:textId="21FFC146" w:rsidR="00010512" w:rsidRPr="00010512" w:rsidRDefault="00010512" w:rsidP="00010512">
            <w:r w:rsidRPr="00010512">
              <w:rPr>
                <w:szCs w:val="20"/>
              </w:rPr>
              <w:t>загуба на слуха</w:t>
            </w:r>
          </w:p>
        </w:tc>
      </w:tr>
      <w:tr w:rsidR="00010512" w14:paraId="157E5495" w14:textId="77777777" w:rsidTr="00010512">
        <w:tc>
          <w:tcPr>
            <w:tcW w:w="3192" w:type="dxa"/>
            <w:vMerge/>
          </w:tcPr>
          <w:p w14:paraId="779615AC" w14:textId="77777777" w:rsidR="00010512" w:rsidRPr="00010512" w:rsidRDefault="00010512" w:rsidP="00010512"/>
        </w:tc>
        <w:tc>
          <w:tcPr>
            <w:tcW w:w="3192" w:type="dxa"/>
            <w:vAlign w:val="bottom"/>
          </w:tcPr>
          <w:p w14:paraId="53CA6F8E" w14:textId="6BA65EE9" w:rsidR="00010512" w:rsidRPr="00010512" w:rsidRDefault="00010512" w:rsidP="00010512">
            <w:r w:rsidRPr="00010512">
              <w:rPr>
                <w:szCs w:val="20"/>
              </w:rPr>
              <w:t>Много редки</w:t>
            </w:r>
          </w:p>
        </w:tc>
        <w:tc>
          <w:tcPr>
            <w:tcW w:w="3192" w:type="dxa"/>
            <w:vAlign w:val="bottom"/>
          </w:tcPr>
          <w:p w14:paraId="18266F08" w14:textId="68941198" w:rsidR="00010512" w:rsidRPr="00010512" w:rsidRDefault="00010512" w:rsidP="00010512">
            <w:r w:rsidRPr="00010512">
              <w:rPr>
                <w:szCs w:val="20"/>
              </w:rPr>
              <w:t>световъртеж, тинитус</w:t>
            </w:r>
          </w:p>
        </w:tc>
      </w:tr>
      <w:tr w:rsidR="00010512" w14:paraId="68C8F8B9" w14:textId="77777777" w:rsidTr="00010512">
        <w:tc>
          <w:tcPr>
            <w:tcW w:w="3192" w:type="dxa"/>
            <w:vAlign w:val="bottom"/>
          </w:tcPr>
          <w:p w14:paraId="2A7FA754" w14:textId="1373E54A" w:rsidR="00010512" w:rsidRPr="00010512" w:rsidRDefault="00010512" w:rsidP="00010512">
            <w:r w:rsidRPr="00010512">
              <w:rPr>
                <w:szCs w:val="20"/>
              </w:rPr>
              <w:t>Сърдечни нарушения</w:t>
            </w:r>
          </w:p>
        </w:tc>
        <w:tc>
          <w:tcPr>
            <w:tcW w:w="3192" w:type="dxa"/>
            <w:vAlign w:val="bottom"/>
          </w:tcPr>
          <w:p w14:paraId="7E431B20" w14:textId="602FFF07" w:rsidR="00010512" w:rsidRPr="00010512" w:rsidRDefault="00010512" w:rsidP="00010512">
            <w:r w:rsidRPr="00010512">
              <w:rPr>
                <w:szCs w:val="20"/>
              </w:rPr>
              <w:t>Много редки</w:t>
            </w:r>
          </w:p>
        </w:tc>
        <w:tc>
          <w:tcPr>
            <w:tcW w:w="3192" w:type="dxa"/>
            <w:vAlign w:val="bottom"/>
          </w:tcPr>
          <w:p w14:paraId="6F74A41E" w14:textId="2C57A3C2" w:rsidR="00010512" w:rsidRPr="00010512" w:rsidRDefault="00010512" w:rsidP="00010512">
            <w:r w:rsidRPr="00010512">
              <w:rPr>
                <w:szCs w:val="20"/>
              </w:rPr>
              <w:t>цианоза, тахикардия, палпитации</w:t>
            </w:r>
          </w:p>
        </w:tc>
      </w:tr>
      <w:tr w:rsidR="00010512" w14:paraId="599096BE" w14:textId="77777777" w:rsidTr="00010512">
        <w:tc>
          <w:tcPr>
            <w:tcW w:w="3192" w:type="dxa"/>
            <w:vMerge w:val="restart"/>
            <w:vAlign w:val="bottom"/>
          </w:tcPr>
          <w:p w14:paraId="00FACBB8" w14:textId="393218C0" w:rsidR="00010512" w:rsidRPr="00010512" w:rsidRDefault="00010512" w:rsidP="00010512">
            <w:r w:rsidRPr="00010512">
              <w:rPr>
                <w:szCs w:val="20"/>
              </w:rPr>
              <w:t>Съдови нарушения</w:t>
            </w:r>
          </w:p>
        </w:tc>
        <w:tc>
          <w:tcPr>
            <w:tcW w:w="3192" w:type="dxa"/>
            <w:vAlign w:val="bottom"/>
          </w:tcPr>
          <w:p w14:paraId="306604A5" w14:textId="51EC5E55" w:rsidR="00010512" w:rsidRPr="00010512" w:rsidRDefault="00010512" w:rsidP="00010512">
            <w:r w:rsidRPr="00010512">
              <w:rPr>
                <w:szCs w:val="20"/>
              </w:rPr>
              <w:t>Чести</w:t>
            </w:r>
          </w:p>
        </w:tc>
        <w:tc>
          <w:tcPr>
            <w:tcW w:w="3192" w:type="dxa"/>
            <w:vAlign w:val="bottom"/>
          </w:tcPr>
          <w:p w14:paraId="54CD0DA0" w14:textId="73EBC1E3" w:rsidR="00010512" w:rsidRPr="00010512" w:rsidRDefault="00010512" w:rsidP="00010512">
            <w:r w:rsidRPr="00010512">
              <w:rPr>
                <w:szCs w:val="20"/>
              </w:rPr>
              <w:t>тромбофлебит</w:t>
            </w:r>
          </w:p>
        </w:tc>
      </w:tr>
      <w:tr w:rsidR="00010512" w14:paraId="49C666E7" w14:textId="77777777" w:rsidTr="00010512">
        <w:tc>
          <w:tcPr>
            <w:tcW w:w="3192" w:type="dxa"/>
            <w:vMerge/>
          </w:tcPr>
          <w:p w14:paraId="1AF3D07E" w14:textId="77777777" w:rsidR="00010512" w:rsidRPr="00010512" w:rsidRDefault="00010512" w:rsidP="00010512"/>
        </w:tc>
        <w:tc>
          <w:tcPr>
            <w:tcW w:w="3192" w:type="dxa"/>
          </w:tcPr>
          <w:p w14:paraId="1692209B" w14:textId="367A0798" w:rsidR="00010512" w:rsidRPr="00010512" w:rsidRDefault="00010512" w:rsidP="00010512">
            <w:r w:rsidRPr="00010512">
              <w:rPr>
                <w:szCs w:val="20"/>
              </w:rPr>
              <w:t>Нечести</w:t>
            </w:r>
          </w:p>
        </w:tc>
        <w:tc>
          <w:tcPr>
            <w:tcW w:w="3192" w:type="dxa"/>
          </w:tcPr>
          <w:p w14:paraId="7EF9A1F0" w14:textId="02821BE1" w:rsidR="00010512" w:rsidRPr="00010512" w:rsidRDefault="00010512" w:rsidP="00010512">
            <w:r w:rsidRPr="00010512">
              <w:rPr>
                <w:szCs w:val="20"/>
              </w:rPr>
              <w:t>хипотония</w:t>
            </w:r>
          </w:p>
        </w:tc>
      </w:tr>
      <w:tr w:rsidR="00010512" w14:paraId="2CE27220" w14:textId="77777777" w:rsidTr="00010512">
        <w:tc>
          <w:tcPr>
            <w:tcW w:w="3192" w:type="dxa"/>
            <w:vMerge/>
          </w:tcPr>
          <w:p w14:paraId="5B66895A" w14:textId="77777777" w:rsidR="00010512" w:rsidRPr="00010512" w:rsidRDefault="00010512" w:rsidP="00010512"/>
        </w:tc>
        <w:tc>
          <w:tcPr>
            <w:tcW w:w="3192" w:type="dxa"/>
            <w:vAlign w:val="bottom"/>
          </w:tcPr>
          <w:p w14:paraId="07B02EF2" w14:textId="5474290E" w:rsidR="00010512" w:rsidRPr="00010512" w:rsidRDefault="00010512" w:rsidP="00010512">
            <w:r w:rsidRPr="00010512">
              <w:rPr>
                <w:szCs w:val="20"/>
              </w:rPr>
              <w:t>Много редки</w:t>
            </w:r>
          </w:p>
        </w:tc>
        <w:tc>
          <w:tcPr>
            <w:tcW w:w="3192" w:type="dxa"/>
            <w:vAlign w:val="bottom"/>
          </w:tcPr>
          <w:p w14:paraId="0D05A6F3" w14:textId="0757DF46" w:rsidR="00010512" w:rsidRPr="00010512" w:rsidRDefault="00010512" w:rsidP="00010512">
            <w:r w:rsidRPr="00010512">
              <w:rPr>
                <w:szCs w:val="20"/>
              </w:rPr>
              <w:t>зачервяване</w:t>
            </w:r>
          </w:p>
        </w:tc>
      </w:tr>
      <w:tr w:rsidR="00010512" w14:paraId="029070A2" w14:textId="77777777" w:rsidTr="00010512">
        <w:tc>
          <w:tcPr>
            <w:tcW w:w="3192" w:type="dxa"/>
          </w:tcPr>
          <w:p w14:paraId="0640F1CC" w14:textId="511D3B19" w:rsidR="00010512" w:rsidRPr="00010512" w:rsidRDefault="00010512" w:rsidP="00010512">
            <w:r w:rsidRPr="00010512">
              <w:rPr>
                <w:szCs w:val="20"/>
              </w:rPr>
              <w:t>Респираторни, гръдни и медиастинални нарушения</w:t>
            </w:r>
          </w:p>
        </w:tc>
        <w:tc>
          <w:tcPr>
            <w:tcW w:w="3192" w:type="dxa"/>
          </w:tcPr>
          <w:p w14:paraId="0488CD1F" w14:textId="69711089" w:rsidR="00010512" w:rsidRPr="00010512" w:rsidRDefault="00010512" w:rsidP="00010512">
            <w:r w:rsidRPr="00010512">
              <w:rPr>
                <w:szCs w:val="20"/>
              </w:rPr>
              <w:t>Много редки</w:t>
            </w:r>
          </w:p>
        </w:tc>
        <w:tc>
          <w:tcPr>
            <w:tcW w:w="3192" w:type="dxa"/>
          </w:tcPr>
          <w:p w14:paraId="0F31BF9C" w14:textId="31944B89" w:rsidR="00010512" w:rsidRPr="00010512" w:rsidRDefault="00010512" w:rsidP="00010512">
            <w:r w:rsidRPr="00010512">
              <w:rPr>
                <w:szCs w:val="20"/>
              </w:rPr>
              <w:t>диспнея, хипервентилация, болка във фаринкса</w:t>
            </w:r>
          </w:p>
        </w:tc>
      </w:tr>
      <w:tr w:rsidR="00010512" w14:paraId="22C205CA" w14:textId="77777777" w:rsidTr="00010512">
        <w:tc>
          <w:tcPr>
            <w:tcW w:w="3192" w:type="dxa"/>
            <w:vMerge w:val="restart"/>
          </w:tcPr>
          <w:p w14:paraId="7A3DA9BA" w14:textId="21229299" w:rsidR="00010512" w:rsidRPr="00010512" w:rsidRDefault="00010512" w:rsidP="00010512">
            <w:r w:rsidRPr="00010512">
              <w:rPr>
                <w:szCs w:val="20"/>
              </w:rPr>
              <w:t>Стомашно-чревни нарушения</w:t>
            </w:r>
          </w:p>
        </w:tc>
        <w:tc>
          <w:tcPr>
            <w:tcW w:w="3192" w:type="dxa"/>
          </w:tcPr>
          <w:p w14:paraId="2AA52B3A" w14:textId="465ECA87" w:rsidR="00010512" w:rsidRPr="00010512" w:rsidRDefault="00010512" w:rsidP="00010512">
            <w:r w:rsidRPr="00010512">
              <w:rPr>
                <w:szCs w:val="20"/>
              </w:rPr>
              <w:t>Чести</w:t>
            </w:r>
          </w:p>
        </w:tc>
        <w:tc>
          <w:tcPr>
            <w:tcW w:w="3192" w:type="dxa"/>
            <w:vAlign w:val="bottom"/>
          </w:tcPr>
          <w:p w14:paraId="3D8C79CE" w14:textId="77777777" w:rsidR="00010512" w:rsidRPr="00010512" w:rsidRDefault="00010512" w:rsidP="00010512">
            <w:r w:rsidRPr="00010512">
              <w:rPr>
                <w:szCs w:val="20"/>
              </w:rPr>
              <w:t>диария, повръщане, гадене</w:t>
            </w:r>
          </w:p>
          <w:p w14:paraId="1D7814C8" w14:textId="5129A8BB" w:rsidR="00010512" w:rsidRPr="00010512" w:rsidRDefault="00010512" w:rsidP="00010512">
            <w:r w:rsidRPr="00010512">
              <w:rPr>
                <w:szCs w:val="20"/>
              </w:rPr>
              <w:lastRenderedPageBreak/>
              <w:t>Свързаните с приложение на лекарствени продукти гадене и/или повръщане изглежда се наблюдават по-често при пациенти с гранулоцитопения, лекувани с ТИЕНАМ, отколкото при такива без гранулоцитопения</w:t>
            </w:r>
          </w:p>
        </w:tc>
      </w:tr>
      <w:tr w:rsidR="00010512" w14:paraId="491A2A18" w14:textId="77777777" w:rsidTr="00010512">
        <w:tc>
          <w:tcPr>
            <w:tcW w:w="3192" w:type="dxa"/>
            <w:vMerge/>
          </w:tcPr>
          <w:p w14:paraId="0864D4A7" w14:textId="77777777" w:rsidR="00010512" w:rsidRPr="00010512" w:rsidRDefault="00010512" w:rsidP="00010512"/>
        </w:tc>
        <w:tc>
          <w:tcPr>
            <w:tcW w:w="3192" w:type="dxa"/>
            <w:vAlign w:val="bottom"/>
          </w:tcPr>
          <w:p w14:paraId="1F3EBBF9" w14:textId="463AE00E" w:rsidR="00010512" w:rsidRPr="00010512" w:rsidRDefault="00010512" w:rsidP="00010512">
            <w:r w:rsidRPr="00010512">
              <w:rPr>
                <w:szCs w:val="20"/>
              </w:rPr>
              <w:t>Редки</w:t>
            </w:r>
          </w:p>
        </w:tc>
        <w:tc>
          <w:tcPr>
            <w:tcW w:w="3192" w:type="dxa"/>
            <w:vAlign w:val="bottom"/>
          </w:tcPr>
          <w:p w14:paraId="44BE06DD" w14:textId="5BB255EC" w:rsidR="00010512" w:rsidRPr="00010512" w:rsidRDefault="00010512" w:rsidP="00010512">
            <w:r w:rsidRPr="00010512">
              <w:rPr>
                <w:szCs w:val="20"/>
              </w:rPr>
              <w:t>оцветяване на зъбите и/или езика</w:t>
            </w:r>
          </w:p>
        </w:tc>
      </w:tr>
      <w:tr w:rsidR="00010512" w14:paraId="0750E575" w14:textId="77777777" w:rsidTr="00010512">
        <w:tc>
          <w:tcPr>
            <w:tcW w:w="3192" w:type="dxa"/>
            <w:vMerge/>
          </w:tcPr>
          <w:p w14:paraId="0BCDC472" w14:textId="77777777" w:rsidR="00010512" w:rsidRPr="00010512" w:rsidRDefault="00010512" w:rsidP="00010512"/>
        </w:tc>
        <w:tc>
          <w:tcPr>
            <w:tcW w:w="3192" w:type="dxa"/>
          </w:tcPr>
          <w:p w14:paraId="6FF60834" w14:textId="63971A98" w:rsidR="00010512" w:rsidRPr="00010512" w:rsidRDefault="00010512" w:rsidP="00010512">
            <w:r w:rsidRPr="00010512">
              <w:rPr>
                <w:szCs w:val="20"/>
              </w:rPr>
              <w:t>Много редки</w:t>
            </w:r>
          </w:p>
        </w:tc>
        <w:tc>
          <w:tcPr>
            <w:tcW w:w="3192" w:type="dxa"/>
            <w:vAlign w:val="bottom"/>
          </w:tcPr>
          <w:p w14:paraId="4CA594F9" w14:textId="36E42D95" w:rsidR="00010512" w:rsidRPr="00010512" w:rsidRDefault="00010512" w:rsidP="00010512">
            <w:r w:rsidRPr="00010512">
              <w:rPr>
                <w:szCs w:val="20"/>
              </w:rPr>
              <w:t>хеморагичен колит, болка в корема, парене зад гръдната кост, глосит, хипертрофия на палилите на езика, повишено слюноотделяне</w:t>
            </w:r>
          </w:p>
        </w:tc>
      </w:tr>
      <w:tr w:rsidR="00010512" w14:paraId="2AA42934" w14:textId="77777777" w:rsidTr="00010512">
        <w:tc>
          <w:tcPr>
            <w:tcW w:w="3192" w:type="dxa"/>
            <w:vMerge w:val="restart"/>
            <w:vAlign w:val="bottom"/>
          </w:tcPr>
          <w:p w14:paraId="457F7A8B" w14:textId="30F2F7A7" w:rsidR="00010512" w:rsidRPr="00010512" w:rsidRDefault="00010512" w:rsidP="00010512">
            <w:r w:rsidRPr="00010512">
              <w:rPr>
                <w:szCs w:val="20"/>
              </w:rPr>
              <w:t>Хепатобилиарни нарушения</w:t>
            </w:r>
          </w:p>
        </w:tc>
        <w:tc>
          <w:tcPr>
            <w:tcW w:w="3192" w:type="dxa"/>
            <w:vAlign w:val="bottom"/>
          </w:tcPr>
          <w:p w14:paraId="468CF373" w14:textId="74139D9A" w:rsidR="00010512" w:rsidRPr="00010512" w:rsidRDefault="00010512" w:rsidP="00010512">
            <w:r w:rsidRPr="00010512">
              <w:rPr>
                <w:szCs w:val="20"/>
              </w:rPr>
              <w:t>Редки</w:t>
            </w:r>
          </w:p>
        </w:tc>
        <w:tc>
          <w:tcPr>
            <w:tcW w:w="3192" w:type="dxa"/>
            <w:vAlign w:val="bottom"/>
          </w:tcPr>
          <w:p w14:paraId="28644B29" w14:textId="2F921847" w:rsidR="00010512" w:rsidRPr="00010512" w:rsidRDefault="00010512" w:rsidP="00010512">
            <w:r w:rsidRPr="00010512">
              <w:rPr>
                <w:szCs w:val="20"/>
              </w:rPr>
              <w:t>чернодробна недостатъчност, хепатит</w:t>
            </w:r>
          </w:p>
        </w:tc>
      </w:tr>
      <w:tr w:rsidR="00010512" w14:paraId="229DB5F3" w14:textId="77777777" w:rsidTr="00010512">
        <w:tc>
          <w:tcPr>
            <w:tcW w:w="3192" w:type="dxa"/>
            <w:vMerge/>
          </w:tcPr>
          <w:p w14:paraId="76CD8A67" w14:textId="77777777" w:rsidR="00010512" w:rsidRPr="00010512" w:rsidRDefault="00010512" w:rsidP="00010512"/>
        </w:tc>
        <w:tc>
          <w:tcPr>
            <w:tcW w:w="3192" w:type="dxa"/>
            <w:vAlign w:val="bottom"/>
          </w:tcPr>
          <w:p w14:paraId="46437B71" w14:textId="12BA3509" w:rsidR="00010512" w:rsidRPr="00010512" w:rsidRDefault="00010512" w:rsidP="00010512">
            <w:r w:rsidRPr="00010512">
              <w:rPr>
                <w:szCs w:val="20"/>
              </w:rPr>
              <w:t>Много редки</w:t>
            </w:r>
          </w:p>
        </w:tc>
        <w:tc>
          <w:tcPr>
            <w:tcW w:w="3192" w:type="dxa"/>
            <w:vAlign w:val="bottom"/>
          </w:tcPr>
          <w:p w14:paraId="25E378CA" w14:textId="0C915A90" w:rsidR="00010512" w:rsidRPr="00010512" w:rsidRDefault="00010512" w:rsidP="00010512">
            <w:r w:rsidRPr="00010512">
              <w:rPr>
                <w:szCs w:val="20"/>
              </w:rPr>
              <w:t>фулминантен хепатит</w:t>
            </w:r>
          </w:p>
        </w:tc>
      </w:tr>
      <w:tr w:rsidR="00010512" w14:paraId="42C08609" w14:textId="77777777" w:rsidTr="00010512">
        <w:tc>
          <w:tcPr>
            <w:tcW w:w="3192" w:type="dxa"/>
            <w:vMerge w:val="restart"/>
          </w:tcPr>
          <w:p w14:paraId="1759F995" w14:textId="3F4BF3F2" w:rsidR="00010512" w:rsidRPr="00010512" w:rsidRDefault="00010512" w:rsidP="00010512">
            <w:r w:rsidRPr="00010512">
              <w:rPr>
                <w:szCs w:val="20"/>
              </w:rPr>
              <w:t>Нарушения на кожата и подкожната тъкан</w:t>
            </w:r>
          </w:p>
        </w:tc>
        <w:tc>
          <w:tcPr>
            <w:tcW w:w="3192" w:type="dxa"/>
          </w:tcPr>
          <w:p w14:paraId="71C8757C" w14:textId="5FDA5624" w:rsidR="00010512" w:rsidRPr="00010512" w:rsidRDefault="00010512" w:rsidP="00010512">
            <w:r w:rsidRPr="00010512">
              <w:rPr>
                <w:szCs w:val="20"/>
              </w:rPr>
              <w:t>Чести</w:t>
            </w:r>
          </w:p>
        </w:tc>
        <w:tc>
          <w:tcPr>
            <w:tcW w:w="3192" w:type="dxa"/>
          </w:tcPr>
          <w:p w14:paraId="32500444" w14:textId="56278B01" w:rsidR="00010512" w:rsidRPr="00010512" w:rsidRDefault="00010512" w:rsidP="00010512">
            <w:r w:rsidRPr="00010512">
              <w:rPr>
                <w:szCs w:val="20"/>
              </w:rPr>
              <w:t>обрив (напр. екзантемен)</w:t>
            </w:r>
          </w:p>
        </w:tc>
      </w:tr>
      <w:tr w:rsidR="00010512" w14:paraId="481C8BF3" w14:textId="77777777" w:rsidTr="00010512">
        <w:tc>
          <w:tcPr>
            <w:tcW w:w="3192" w:type="dxa"/>
            <w:vMerge/>
          </w:tcPr>
          <w:p w14:paraId="6EE2DF3C" w14:textId="77777777" w:rsidR="00010512" w:rsidRPr="00010512" w:rsidRDefault="00010512" w:rsidP="00010512"/>
        </w:tc>
        <w:tc>
          <w:tcPr>
            <w:tcW w:w="3192" w:type="dxa"/>
            <w:vAlign w:val="bottom"/>
          </w:tcPr>
          <w:p w14:paraId="109AE415" w14:textId="460C7CBB" w:rsidR="00010512" w:rsidRPr="00010512" w:rsidRDefault="00010512" w:rsidP="00010512">
            <w:r w:rsidRPr="00010512">
              <w:rPr>
                <w:szCs w:val="20"/>
              </w:rPr>
              <w:t>Нечести</w:t>
            </w:r>
          </w:p>
        </w:tc>
        <w:tc>
          <w:tcPr>
            <w:tcW w:w="3192" w:type="dxa"/>
            <w:vAlign w:val="bottom"/>
          </w:tcPr>
          <w:p w14:paraId="212CA0AB" w14:textId="6819E3D4" w:rsidR="00010512" w:rsidRPr="00010512" w:rsidRDefault="00010512" w:rsidP="00010512">
            <w:r w:rsidRPr="00010512">
              <w:rPr>
                <w:szCs w:val="20"/>
              </w:rPr>
              <w:t>уртикария, пруритус</w:t>
            </w:r>
          </w:p>
        </w:tc>
      </w:tr>
      <w:tr w:rsidR="00010512" w14:paraId="73E2A887" w14:textId="77777777" w:rsidTr="00010512">
        <w:tc>
          <w:tcPr>
            <w:tcW w:w="3192" w:type="dxa"/>
            <w:vMerge/>
          </w:tcPr>
          <w:p w14:paraId="0A31BC3A" w14:textId="77777777" w:rsidR="00010512" w:rsidRPr="00010512" w:rsidRDefault="00010512" w:rsidP="00010512"/>
        </w:tc>
        <w:tc>
          <w:tcPr>
            <w:tcW w:w="3192" w:type="dxa"/>
          </w:tcPr>
          <w:p w14:paraId="310EB378" w14:textId="44462A4F" w:rsidR="00010512" w:rsidRPr="00010512" w:rsidRDefault="00010512" w:rsidP="00010512">
            <w:r w:rsidRPr="00010512">
              <w:rPr>
                <w:szCs w:val="20"/>
              </w:rPr>
              <w:t>Редки</w:t>
            </w:r>
          </w:p>
        </w:tc>
        <w:tc>
          <w:tcPr>
            <w:tcW w:w="3192" w:type="dxa"/>
            <w:vAlign w:val="bottom"/>
          </w:tcPr>
          <w:p w14:paraId="1C07D77D" w14:textId="52D200EC" w:rsidR="00010512" w:rsidRPr="00010512" w:rsidRDefault="00010512" w:rsidP="00010512">
            <w:r w:rsidRPr="00010512">
              <w:rPr>
                <w:szCs w:val="20"/>
              </w:rPr>
              <w:t xml:space="preserve">токсична епидермална некролиза, ангиоедем, синдром на </w:t>
            </w:r>
            <w:r w:rsidRPr="00010512">
              <w:rPr>
                <w:szCs w:val="20"/>
                <w:lang w:val="en-US"/>
              </w:rPr>
              <w:t>Stevens</w:t>
            </w:r>
            <w:r w:rsidRPr="00010512">
              <w:rPr>
                <w:szCs w:val="20"/>
              </w:rPr>
              <w:t>-</w:t>
            </w:r>
            <w:r w:rsidRPr="00010512">
              <w:rPr>
                <w:szCs w:val="20"/>
                <w:lang w:val="en-US"/>
              </w:rPr>
              <w:t>Johnson</w:t>
            </w:r>
            <w:r w:rsidRPr="00010512">
              <w:rPr>
                <w:szCs w:val="20"/>
              </w:rPr>
              <w:t>, еритема мултиформе, ексфолиативен дерматит</w:t>
            </w:r>
          </w:p>
        </w:tc>
      </w:tr>
      <w:tr w:rsidR="00010512" w14:paraId="5CDFB5D5" w14:textId="77777777" w:rsidTr="00010512">
        <w:tc>
          <w:tcPr>
            <w:tcW w:w="3192" w:type="dxa"/>
            <w:vMerge/>
          </w:tcPr>
          <w:p w14:paraId="5968463E" w14:textId="77777777" w:rsidR="00010512" w:rsidRPr="00010512" w:rsidRDefault="00010512" w:rsidP="00010512"/>
        </w:tc>
        <w:tc>
          <w:tcPr>
            <w:tcW w:w="3192" w:type="dxa"/>
          </w:tcPr>
          <w:p w14:paraId="105B9477" w14:textId="5D7A50F9" w:rsidR="00010512" w:rsidRPr="00010512" w:rsidRDefault="00010512" w:rsidP="00010512">
            <w:r w:rsidRPr="00010512">
              <w:rPr>
                <w:szCs w:val="20"/>
              </w:rPr>
              <w:t>Много редки</w:t>
            </w:r>
          </w:p>
        </w:tc>
        <w:tc>
          <w:tcPr>
            <w:tcW w:w="3192" w:type="dxa"/>
            <w:vAlign w:val="bottom"/>
          </w:tcPr>
          <w:p w14:paraId="3881483C" w14:textId="77777777" w:rsidR="00010512" w:rsidRPr="00010512" w:rsidRDefault="00010512" w:rsidP="00010512">
            <w:r w:rsidRPr="00010512">
              <w:rPr>
                <w:szCs w:val="20"/>
              </w:rPr>
              <w:t>хиперхидроза, промяна на структурата на</w:t>
            </w:r>
          </w:p>
          <w:p w14:paraId="245B47D6" w14:textId="52BCEF3A" w:rsidR="00010512" w:rsidRPr="00010512" w:rsidRDefault="00010512" w:rsidP="00010512">
            <w:r w:rsidRPr="00010512">
              <w:rPr>
                <w:szCs w:val="20"/>
              </w:rPr>
              <w:t>кожата</w:t>
            </w:r>
          </w:p>
        </w:tc>
      </w:tr>
      <w:tr w:rsidR="00010512" w14:paraId="4845E7A7" w14:textId="77777777" w:rsidTr="00010512">
        <w:tc>
          <w:tcPr>
            <w:tcW w:w="3192" w:type="dxa"/>
            <w:vAlign w:val="bottom"/>
          </w:tcPr>
          <w:p w14:paraId="0D4F8519" w14:textId="2662D8E7" w:rsidR="00010512" w:rsidRPr="00010512" w:rsidRDefault="00010512" w:rsidP="00010512">
            <w:r w:rsidRPr="00010512">
              <w:rPr>
                <w:szCs w:val="20"/>
              </w:rPr>
              <w:t>Нарушения на мускулно-скелетната система и съединителната тъкан</w:t>
            </w:r>
          </w:p>
        </w:tc>
        <w:tc>
          <w:tcPr>
            <w:tcW w:w="3192" w:type="dxa"/>
          </w:tcPr>
          <w:p w14:paraId="3EB1C5F5" w14:textId="3927ED0F" w:rsidR="00010512" w:rsidRPr="00010512" w:rsidRDefault="00010512" w:rsidP="00010512">
            <w:r w:rsidRPr="00010512">
              <w:rPr>
                <w:szCs w:val="20"/>
              </w:rPr>
              <w:t>Много редки</w:t>
            </w:r>
          </w:p>
        </w:tc>
        <w:tc>
          <w:tcPr>
            <w:tcW w:w="3192" w:type="dxa"/>
          </w:tcPr>
          <w:p w14:paraId="4504127C" w14:textId="4BBE3BCE" w:rsidR="00010512" w:rsidRPr="00010512" w:rsidRDefault="00010512" w:rsidP="00010512">
            <w:r w:rsidRPr="00010512">
              <w:rPr>
                <w:szCs w:val="20"/>
              </w:rPr>
              <w:t>полиартралгии, болки в торакалната част на гръбначния стълб</w:t>
            </w:r>
          </w:p>
        </w:tc>
      </w:tr>
      <w:tr w:rsidR="00010512" w14:paraId="29F65628" w14:textId="77777777" w:rsidTr="00010512">
        <w:tc>
          <w:tcPr>
            <w:tcW w:w="3192" w:type="dxa"/>
          </w:tcPr>
          <w:p w14:paraId="3CD4CBE2" w14:textId="5C092221" w:rsidR="00010512" w:rsidRPr="00010512" w:rsidRDefault="00010512" w:rsidP="00010512">
            <w:r w:rsidRPr="00010512">
              <w:rPr>
                <w:szCs w:val="20"/>
              </w:rPr>
              <w:t>Нарушения на бъбреците и пикочните пътища</w:t>
            </w:r>
          </w:p>
        </w:tc>
        <w:tc>
          <w:tcPr>
            <w:tcW w:w="3192" w:type="dxa"/>
          </w:tcPr>
          <w:p w14:paraId="4A9E6B40" w14:textId="656F3316" w:rsidR="00010512" w:rsidRPr="00010512" w:rsidRDefault="00010512" w:rsidP="00010512">
            <w:r w:rsidRPr="00010512">
              <w:rPr>
                <w:szCs w:val="20"/>
              </w:rPr>
              <w:t>Редки</w:t>
            </w:r>
          </w:p>
        </w:tc>
        <w:tc>
          <w:tcPr>
            <w:tcW w:w="3192" w:type="dxa"/>
            <w:vAlign w:val="bottom"/>
          </w:tcPr>
          <w:p w14:paraId="7607D0CB" w14:textId="77777777" w:rsidR="00010512" w:rsidRPr="00010512" w:rsidRDefault="00010512" w:rsidP="00010512">
            <w:r w:rsidRPr="00010512">
              <w:rPr>
                <w:szCs w:val="20"/>
              </w:rPr>
              <w:t>остра бъбречна недостатъчност, олигурия/анурия, полиурия, промяна в цвета на урината (безвредна и не трябва да се бърка в с хематурия)</w:t>
            </w:r>
          </w:p>
          <w:p w14:paraId="3A856166" w14:textId="24E1FAFA" w:rsidR="00010512" w:rsidRPr="00010512" w:rsidRDefault="00010512" w:rsidP="00010512">
            <w:r w:rsidRPr="00010512">
              <w:rPr>
                <w:szCs w:val="20"/>
              </w:rPr>
              <w:t xml:space="preserve">Трудно е да се оцени ролята на ТИЕНАМ в развитието на нарушения на бъбречната функция, тъй като обикновено са налице фактори, предразполагащи към </w:t>
            </w:r>
            <w:r w:rsidRPr="00010512">
              <w:rPr>
                <w:szCs w:val="20"/>
              </w:rPr>
              <w:lastRenderedPageBreak/>
              <w:t>развитие на пре-ренална азотемия или нарушения на бъбречната функция</w:t>
            </w:r>
          </w:p>
        </w:tc>
      </w:tr>
      <w:tr w:rsidR="00010512" w14:paraId="0C805DB0" w14:textId="77777777" w:rsidTr="00010512">
        <w:tc>
          <w:tcPr>
            <w:tcW w:w="3192" w:type="dxa"/>
          </w:tcPr>
          <w:p w14:paraId="6A53F6AC" w14:textId="0C660CC9" w:rsidR="00010512" w:rsidRPr="00010512" w:rsidRDefault="00010512" w:rsidP="00010512">
            <w:r w:rsidRPr="00010512">
              <w:rPr>
                <w:szCs w:val="20"/>
              </w:rPr>
              <w:lastRenderedPageBreak/>
              <w:t>Нарушения на възпроизводителната система и гърдата</w:t>
            </w:r>
          </w:p>
        </w:tc>
        <w:tc>
          <w:tcPr>
            <w:tcW w:w="3192" w:type="dxa"/>
          </w:tcPr>
          <w:p w14:paraId="322B22E4" w14:textId="420524D4" w:rsidR="00010512" w:rsidRPr="00010512" w:rsidRDefault="00010512" w:rsidP="00010512">
            <w:r w:rsidRPr="00010512">
              <w:rPr>
                <w:szCs w:val="20"/>
              </w:rPr>
              <w:t>Много редки</w:t>
            </w:r>
          </w:p>
        </w:tc>
        <w:tc>
          <w:tcPr>
            <w:tcW w:w="3192" w:type="dxa"/>
          </w:tcPr>
          <w:p w14:paraId="3BE648B7" w14:textId="5A62C07E" w:rsidR="00010512" w:rsidRPr="00010512" w:rsidRDefault="00010512" w:rsidP="00010512">
            <w:r w:rsidRPr="00010512">
              <w:rPr>
                <w:szCs w:val="20"/>
              </w:rPr>
              <w:t>вагинален сърбеж</w:t>
            </w:r>
          </w:p>
        </w:tc>
      </w:tr>
      <w:tr w:rsidR="00010512" w14:paraId="655699B9" w14:textId="77777777" w:rsidTr="00010512">
        <w:tc>
          <w:tcPr>
            <w:tcW w:w="3192" w:type="dxa"/>
            <w:vMerge w:val="restart"/>
          </w:tcPr>
          <w:p w14:paraId="3396EE2C" w14:textId="197F75B2" w:rsidR="00010512" w:rsidRPr="00010512" w:rsidRDefault="00010512" w:rsidP="00010512">
            <w:r w:rsidRPr="00010512">
              <w:rPr>
                <w:szCs w:val="20"/>
              </w:rPr>
              <w:t>Общи нарушения и ефекти на мястото на приложение</w:t>
            </w:r>
          </w:p>
        </w:tc>
        <w:tc>
          <w:tcPr>
            <w:tcW w:w="3192" w:type="dxa"/>
          </w:tcPr>
          <w:p w14:paraId="403BE188" w14:textId="49D2F1EC" w:rsidR="00010512" w:rsidRPr="00010512" w:rsidRDefault="00010512" w:rsidP="00010512">
            <w:r w:rsidRPr="00010512">
              <w:rPr>
                <w:szCs w:val="20"/>
              </w:rPr>
              <w:t>Нечести</w:t>
            </w:r>
          </w:p>
        </w:tc>
        <w:tc>
          <w:tcPr>
            <w:tcW w:w="3192" w:type="dxa"/>
            <w:vAlign w:val="bottom"/>
          </w:tcPr>
          <w:p w14:paraId="5447E630" w14:textId="3C97D6C8" w:rsidR="00010512" w:rsidRPr="00010512" w:rsidRDefault="00010512" w:rsidP="00010512">
            <w:r w:rsidRPr="00010512">
              <w:rPr>
                <w:szCs w:val="20"/>
              </w:rPr>
              <w:t>треска, локална болка и индурация на мястото на инжектиране, ернгем на мястото на инжектиране</w:t>
            </w:r>
          </w:p>
        </w:tc>
      </w:tr>
      <w:tr w:rsidR="00010512" w14:paraId="4FD80EE0" w14:textId="77777777" w:rsidTr="00010512">
        <w:tc>
          <w:tcPr>
            <w:tcW w:w="3192" w:type="dxa"/>
            <w:vMerge/>
          </w:tcPr>
          <w:p w14:paraId="465449B0" w14:textId="77777777" w:rsidR="00010512" w:rsidRPr="00010512" w:rsidRDefault="00010512" w:rsidP="00010512"/>
        </w:tc>
        <w:tc>
          <w:tcPr>
            <w:tcW w:w="3192" w:type="dxa"/>
          </w:tcPr>
          <w:p w14:paraId="2A9BCBF7" w14:textId="28178DA6" w:rsidR="00010512" w:rsidRPr="00010512" w:rsidRDefault="00010512" w:rsidP="00010512">
            <w:r w:rsidRPr="00010512">
              <w:rPr>
                <w:szCs w:val="20"/>
              </w:rPr>
              <w:t>Много редки</w:t>
            </w:r>
          </w:p>
        </w:tc>
        <w:tc>
          <w:tcPr>
            <w:tcW w:w="3192" w:type="dxa"/>
            <w:vAlign w:val="bottom"/>
          </w:tcPr>
          <w:p w14:paraId="35EC9334" w14:textId="2AA1EEB9" w:rsidR="00010512" w:rsidRPr="00010512" w:rsidRDefault="00010512" w:rsidP="00010512">
            <w:r w:rsidRPr="00010512">
              <w:rPr>
                <w:szCs w:val="20"/>
              </w:rPr>
              <w:t>чувство на дискомфорт в гърдите, астения/слабост</w:t>
            </w:r>
          </w:p>
        </w:tc>
      </w:tr>
      <w:tr w:rsidR="00010512" w14:paraId="2FB174DD" w14:textId="77777777" w:rsidTr="00010512">
        <w:tc>
          <w:tcPr>
            <w:tcW w:w="3192" w:type="dxa"/>
            <w:vMerge w:val="restart"/>
          </w:tcPr>
          <w:p w14:paraId="2EBF912D" w14:textId="21500BBF" w:rsidR="00010512" w:rsidRPr="00010512" w:rsidRDefault="00010512" w:rsidP="00010512">
            <w:r w:rsidRPr="00010512">
              <w:rPr>
                <w:szCs w:val="20"/>
              </w:rPr>
              <w:t>Изследвания</w:t>
            </w:r>
          </w:p>
        </w:tc>
        <w:tc>
          <w:tcPr>
            <w:tcW w:w="3192" w:type="dxa"/>
          </w:tcPr>
          <w:p w14:paraId="0631311C" w14:textId="16DF5E61" w:rsidR="00010512" w:rsidRPr="00010512" w:rsidRDefault="00010512" w:rsidP="00010512">
            <w:r w:rsidRPr="00010512">
              <w:rPr>
                <w:szCs w:val="20"/>
              </w:rPr>
              <w:t>Чести</w:t>
            </w:r>
          </w:p>
        </w:tc>
        <w:tc>
          <w:tcPr>
            <w:tcW w:w="3192" w:type="dxa"/>
            <w:vAlign w:val="bottom"/>
          </w:tcPr>
          <w:p w14:paraId="2835B6C5" w14:textId="1234675D" w:rsidR="00010512" w:rsidRPr="00010512" w:rsidRDefault="00010512" w:rsidP="00010512">
            <w:r w:rsidRPr="00010512">
              <w:rPr>
                <w:szCs w:val="20"/>
              </w:rPr>
              <w:t>повишаване на серумните трансаминази, повишаване на серумната алкална фосфатаза</w:t>
            </w:r>
          </w:p>
        </w:tc>
      </w:tr>
      <w:tr w:rsidR="00010512" w14:paraId="2710A08A" w14:textId="77777777" w:rsidTr="00010512">
        <w:tc>
          <w:tcPr>
            <w:tcW w:w="3192" w:type="dxa"/>
            <w:vMerge/>
          </w:tcPr>
          <w:p w14:paraId="45DD1F32" w14:textId="77777777" w:rsidR="00010512" w:rsidRPr="00010512" w:rsidRDefault="00010512" w:rsidP="00010512"/>
        </w:tc>
        <w:tc>
          <w:tcPr>
            <w:tcW w:w="3192" w:type="dxa"/>
          </w:tcPr>
          <w:p w14:paraId="4F02A3FE" w14:textId="7F6E1021" w:rsidR="00010512" w:rsidRPr="00010512" w:rsidRDefault="00010512" w:rsidP="00010512">
            <w:r w:rsidRPr="00010512">
              <w:rPr>
                <w:szCs w:val="20"/>
              </w:rPr>
              <w:t>Нечести</w:t>
            </w:r>
          </w:p>
        </w:tc>
        <w:tc>
          <w:tcPr>
            <w:tcW w:w="3192" w:type="dxa"/>
            <w:vAlign w:val="bottom"/>
          </w:tcPr>
          <w:p w14:paraId="335A3784" w14:textId="3C6DCEC7" w:rsidR="00010512" w:rsidRPr="00010512" w:rsidRDefault="00010512" w:rsidP="00010512">
            <w:r w:rsidRPr="00010512">
              <w:rPr>
                <w:szCs w:val="20"/>
              </w:rPr>
              <w:t xml:space="preserve">положителен директен тест на </w:t>
            </w:r>
            <w:r w:rsidRPr="00010512">
              <w:rPr>
                <w:szCs w:val="20"/>
                <w:lang w:val="en-US"/>
              </w:rPr>
              <w:t>Coombs</w:t>
            </w:r>
            <w:r w:rsidRPr="00010512">
              <w:rPr>
                <w:szCs w:val="20"/>
                <w:lang w:val="ru-RU"/>
              </w:rPr>
              <w:t xml:space="preserve">, </w:t>
            </w:r>
            <w:r w:rsidRPr="00010512">
              <w:rPr>
                <w:szCs w:val="20"/>
              </w:rPr>
              <w:t>удължаване на протромбиновото време, увеличение на концентрацията на хемоглобина, повишаване на серумния билирубин, увеличение на серумния креатинин, повишени нива на урея в кръвта</w:t>
            </w:r>
          </w:p>
        </w:tc>
      </w:tr>
    </w:tbl>
    <w:p w14:paraId="38C7AD9F" w14:textId="77777777" w:rsidR="00010512" w:rsidRPr="00010512" w:rsidRDefault="00010512" w:rsidP="00010512">
      <w:pPr>
        <w:spacing w:line="240" w:lineRule="auto"/>
        <w:rPr>
          <w:rFonts w:eastAsia="Times New Roman" w:cs="Arial"/>
        </w:rPr>
      </w:pPr>
      <w:r w:rsidRPr="00010512">
        <w:rPr>
          <w:rFonts w:eastAsia="Times New Roman" w:cs="Arial"/>
          <w:i/>
          <w:iCs/>
          <w:color w:val="000000"/>
          <w:lang w:eastAsia="bg-BG"/>
        </w:rPr>
        <w:t>Педиатрична популация</w:t>
      </w:r>
      <w:r w:rsidRPr="00010512">
        <w:rPr>
          <w:rFonts w:eastAsia="Times New Roman" w:cs="Arial"/>
          <w:color w:val="000000"/>
          <w:lang w:eastAsia="bg-BG"/>
        </w:rPr>
        <w:t xml:space="preserve"> (на възраст ≥ 3 месеца,)</w:t>
      </w:r>
    </w:p>
    <w:p w14:paraId="5F5C8F71" w14:textId="77777777" w:rsidR="00010512" w:rsidRPr="00010512" w:rsidRDefault="00010512" w:rsidP="00010512">
      <w:pPr>
        <w:spacing w:line="240" w:lineRule="auto"/>
        <w:rPr>
          <w:rFonts w:eastAsia="Times New Roman" w:cs="Arial"/>
        </w:rPr>
      </w:pPr>
      <w:r w:rsidRPr="00010512">
        <w:rPr>
          <w:rFonts w:eastAsia="Times New Roman" w:cs="Arial"/>
          <w:color w:val="000000"/>
          <w:lang w:eastAsia="bg-BG"/>
        </w:rPr>
        <w:t>Нежеланите реакции, за които има съобщения от проучвания при 178 педиатрични пациенти на възраст &gt;3 месеца, са сходни с нежеланите реакции, съобщавани при възрастни.</w:t>
      </w:r>
    </w:p>
    <w:p w14:paraId="536C4DD6" w14:textId="77777777" w:rsidR="00010512" w:rsidRPr="00010512" w:rsidRDefault="00010512" w:rsidP="00010512">
      <w:pPr>
        <w:spacing w:line="240" w:lineRule="auto"/>
        <w:rPr>
          <w:rFonts w:eastAsia="Times New Roman" w:cs="Arial"/>
          <w:color w:val="000000"/>
          <w:u w:val="single"/>
          <w:lang w:eastAsia="bg-BG"/>
        </w:rPr>
      </w:pPr>
    </w:p>
    <w:p w14:paraId="7CF7C45A" w14:textId="2A3F249C" w:rsidR="00010512" w:rsidRPr="00010512" w:rsidRDefault="00010512" w:rsidP="00010512">
      <w:pPr>
        <w:spacing w:line="240" w:lineRule="auto"/>
        <w:rPr>
          <w:rFonts w:eastAsia="Times New Roman" w:cs="Arial"/>
        </w:rPr>
      </w:pPr>
      <w:r w:rsidRPr="00010512">
        <w:rPr>
          <w:rFonts w:eastAsia="Times New Roman" w:cs="Arial"/>
          <w:color w:val="000000"/>
          <w:u w:val="single"/>
          <w:lang w:eastAsia="bg-BG"/>
        </w:rPr>
        <w:t>Съобщаване на подозирани нежелани реакции</w:t>
      </w:r>
    </w:p>
    <w:p w14:paraId="76C4315C" w14:textId="4834BCE3" w:rsidR="00010512" w:rsidRPr="00010512" w:rsidRDefault="00010512" w:rsidP="00010512">
      <w:pPr>
        <w:spacing w:line="240" w:lineRule="auto"/>
        <w:rPr>
          <w:rFonts w:eastAsia="Times New Roman" w:cs="Arial"/>
          <w:lang w:val="ru-RU"/>
        </w:rPr>
      </w:pPr>
      <w:r w:rsidRPr="00010512">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8,1303 София, тел.: +359 2 8903417, уебсайт: </w:t>
      </w:r>
      <w:r w:rsidRPr="00010512">
        <w:rPr>
          <w:rFonts w:eastAsia="Times New Roman" w:cs="Arial"/>
        </w:rPr>
        <w:fldChar w:fldCharType="begin"/>
      </w:r>
      <w:r w:rsidRPr="00010512">
        <w:rPr>
          <w:rFonts w:eastAsia="Times New Roman" w:cs="Arial"/>
        </w:rPr>
        <w:instrText xml:space="preserve"> HYPERLINK "http://www.bda.bg" </w:instrText>
      </w:r>
      <w:r w:rsidRPr="00010512">
        <w:rPr>
          <w:rFonts w:eastAsia="Times New Roman" w:cs="Arial"/>
        </w:rPr>
      </w:r>
      <w:r w:rsidRPr="00010512">
        <w:rPr>
          <w:rFonts w:eastAsia="Times New Roman" w:cs="Arial"/>
        </w:rPr>
        <w:fldChar w:fldCharType="separate"/>
      </w:r>
      <w:r w:rsidRPr="00010512">
        <w:rPr>
          <w:rFonts w:eastAsia="Times New Roman" w:cs="Arial"/>
          <w:color w:val="000000"/>
          <w:lang w:val="en-US"/>
        </w:rPr>
        <w:t>www</w:t>
      </w:r>
      <w:r w:rsidRPr="00010512">
        <w:rPr>
          <w:rFonts w:eastAsia="Times New Roman" w:cs="Arial"/>
          <w:color w:val="000000"/>
          <w:lang w:val="ru-RU"/>
        </w:rPr>
        <w:t>.</w:t>
      </w:r>
      <w:proofErr w:type="spellStart"/>
      <w:r w:rsidRPr="00010512">
        <w:rPr>
          <w:rFonts w:eastAsia="Times New Roman" w:cs="Arial"/>
          <w:color w:val="000000"/>
          <w:lang w:val="en-US"/>
        </w:rPr>
        <w:t>bda</w:t>
      </w:r>
      <w:proofErr w:type="spellEnd"/>
      <w:r w:rsidRPr="00010512">
        <w:rPr>
          <w:rFonts w:eastAsia="Times New Roman" w:cs="Arial"/>
          <w:color w:val="000000"/>
          <w:lang w:val="ru-RU"/>
        </w:rPr>
        <w:t>.</w:t>
      </w:r>
      <w:proofErr w:type="spellStart"/>
      <w:r w:rsidRPr="00010512">
        <w:rPr>
          <w:rFonts w:eastAsia="Times New Roman" w:cs="Arial"/>
          <w:color w:val="000000"/>
          <w:lang w:val="en-US"/>
        </w:rPr>
        <w:t>bg</w:t>
      </w:r>
      <w:proofErr w:type="spellEnd"/>
      <w:r w:rsidRPr="00010512">
        <w:rPr>
          <w:rFonts w:eastAsia="Times New Roman" w:cs="Arial"/>
        </w:rPr>
        <w:fldChar w:fldCharType="end"/>
      </w:r>
      <w:r w:rsidRPr="00010512">
        <w:rPr>
          <w:rFonts w:eastAsia="Times New Roman" w:cs="Arial"/>
          <w:color w:val="000000"/>
          <w:lang w:val="ru-RU"/>
        </w:rPr>
        <w:t>.</w:t>
      </w:r>
    </w:p>
    <w:p w14:paraId="4E86E467" w14:textId="36BA7E20" w:rsidR="00010512" w:rsidRPr="00010512" w:rsidRDefault="00010512" w:rsidP="00010512"/>
    <w:p w14:paraId="0A023CE0" w14:textId="2B8561BA" w:rsidR="00CF77F7" w:rsidRDefault="002C50EE" w:rsidP="004A448E">
      <w:pPr>
        <w:pStyle w:val="Heading2"/>
      </w:pPr>
      <w:r>
        <w:t>4.9. Предозиране</w:t>
      </w:r>
    </w:p>
    <w:p w14:paraId="3702D6B7" w14:textId="02F40286" w:rsidR="00010512" w:rsidRDefault="00010512" w:rsidP="00010512"/>
    <w:p w14:paraId="598F9BFF" w14:textId="77777777" w:rsidR="00010512" w:rsidRPr="00010512" w:rsidRDefault="00010512" w:rsidP="00010512">
      <w:pPr>
        <w:rPr>
          <w:sz w:val="24"/>
          <w:szCs w:val="24"/>
        </w:rPr>
      </w:pPr>
      <w:r w:rsidRPr="00010512">
        <w:rPr>
          <w:lang w:eastAsia="bg-BG"/>
        </w:rPr>
        <w:t>Симптомите, които могат да се развият при предозиране, са сходни с профила на нежеланите реакции; могат да включват гърчове, объркване, тремор, гадене, повръщане, хилотония, брадикардия. Няма налична специфична информация за лечение на предозирането на ТИЕНАМ. Имипенем/циластатин натрий се диализира. Въпреки това, ползата от тази процедура в условията на предозиране не е известна.</w:t>
      </w:r>
    </w:p>
    <w:p w14:paraId="66119290" w14:textId="77777777" w:rsidR="00010512" w:rsidRPr="00010512" w:rsidRDefault="00010512" w:rsidP="00010512"/>
    <w:p w14:paraId="02081B24" w14:textId="1F46E296" w:rsidR="00395555" w:rsidRPr="00395555" w:rsidRDefault="002C50EE" w:rsidP="008A6AF2">
      <w:pPr>
        <w:pStyle w:val="Heading1"/>
      </w:pPr>
      <w:r>
        <w:lastRenderedPageBreak/>
        <w:t>5. ФАРМАКОЛОГИЧНИ СВОЙСТВА</w:t>
      </w:r>
    </w:p>
    <w:p w14:paraId="32B6DE66" w14:textId="756074AD" w:rsidR="00CF77F7" w:rsidRDefault="002C50EE" w:rsidP="004A448E">
      <w:pPr>
        <w:pStyle w:val="Heading2"/>
      </w:pPr>
      <w:r>
        <w:t>5.1. Фармакодинамични свойства</w:t>
      </w:r>
    </w:p>
    <w:p w14:paraId="10691865" w14:textId="2AD9A4CC" w:rsidR="00010512" w:rsidRDefault="00010512" w:rsidP="00010512"/>
    <w:p w14:paraId="774628E6"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Фармакотерапевтична група: Антибактериални средства за системно приложение, карбапенеми, АТС код: </w:t>
      </w:r>
      <w:r w:rsidRPr="00010512">
        <w:rPr>
          <w:rFonts w:eastAsia="Times New Roman" w:cs="Arial"/>
          <w:color w:val="000000"/>
          <w:szCs w:val="20"/>
          <w:lang w:val="en-US"/>
        </w:rPr>
        <w:t>J</w:t>
      </w:r>
      <w:r w:rsidRPr="00010512">
        <w:rPr>
          <w:rFonts w:eastAsia="Times New Roman" w:cs="Arial"/>
          <w:color w:val="000000"/>
          <w:szCs w:val="20"/>
          <w:lang w:val="ru-RU"/>
        </w:rPr>
        <w:t>01</w:t>
      </w:r>
      <w:r w:rsidRPr="00010512">
        <w:rPr>
          <w:rFonts w:eastAsia="Times New Roman" w:cs="Arial"/>
          <w:color w:val="000000"/>
          <w:szCs w:val="20"/>
          <w:lang w:val="en-US"/>
        </w:rPr>
        <w:t>D</w:t>
      </w:r>
      <w:r w:rsidRPr="00010512">
        <w:rPr>
          <w:rFonts w:eastAsia="Times New Roman" w:cs="Arial"/>
          <w:color w:val="000000"/>
          <w:szCs w:val="20"/>
          <w:lang w:val="ru-RU"/>
        </w:rPr>
        <w:t xml:space="preserve"> </w:t>
      </w:r>
      <w:r w:rsidRPr="00010512">
        <w:rPr>
          <w:rFonts w:eastAsia="Times New Roman" w:cs="Arial"/>
          <w:color w:val="000000"/>
          <w:szCs w:val="20"/>
          <w:lang w:eastAsia="bg-BG"/>
        </w:rPr>
        <w:t>Н51</w:t>
      </w:r>
    </w:p>
    <w:p w14:paraId="5357C046" w14:textId="77777777" w:rsidR="00010512" w:rsidRPr="00010512" w:rsidRDefault="00010512" w:rsidP="00010512">
      <w:pPr>
        <w:spacing w:line="240" w:lineRule="auto"/>
        <w:rPr>
          <w:rFonts w:eastAsia="Times New Roman" w:cs="Arial"/>
          <w:color w:val="000000"/>
          <w:szCs w:val="20"/>
          <w:u w:val="single"/>
          <w:lang w:eastAsia="bg-BG"/>
        </w:rPr>
      </w:pPr>
    </w:p>
    <w:p w14:paraId="599BFDF5" w14:textId="49A4D3A2"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Механизъм на действие</w:t>
      </w:r>
    </w:p>
    <w:p w14:paraId="506A8A54"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ТИЕНАМ се състои от два компонента: имипенем и циластатин натрий в тегловно съотношение 1:1.</w:t>
      </w:r>
    </w:p>
    <w:p w14:paraId="610210AB" w14:textId="77777777" w:rsidR="00010512" w:rsidRPr="00010512" w:rsidRDefault="00010512" w:rsidP="00010512">
      <w:pPr>
        <w:spacing w:line="240" w:lineRule="auto"/>
        <w:rPr>
          <w:rFonts w:eastAsia="Times New Roman" w:cs="Arial"/>
          <w:color w:val="000000"/>
          <w:szCs w:val="20"/>
          <w:lang w:eastAsia="bg-BG"/>
        </w:rPr>
      </w:pPr>
    </w:p>
    <w:p w14:paraId="224988B1" w14:textId="68780FC6"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Имипенем, също известен като </w:t>
      </w:r>
      <w:r w:rsidRPr="00010512">
        <w:rPr>
          <w:rFonts w:eastAsia="Times New Roman" w:cs="Arial"/>
          <w:color w:val="000000"/>
          <w:szCs w:val="20"/>
          <w:lang w:val="en-US"/>
        </w:rPr>
        <w:t>N</w:t>
      </w:r>
      <w:r w:rsidRPr="00010512">
        <w:rPr>
          <w:rFonts w:eastAsia="Times New Roman" w:cs="Arial"/>
          <w:color w:val="000000"/>
          <w:szCs w:val="20"/>
          <w:lang w:eastAsia="bg-BG"/>
        </w:rPr>
        <w:t xml:space="preserve">-формимидоил тиенамицин, е полусинтетично производно на тиенамицин, изходно съединение, произведено от филаментозна бактерия </w:t>
      </w:r>
      <w:r w:rsidRPr="00010512">
        <w:rPr>
          <w:rFonts w:eastAsia="Times New Roman" w:cs="Arial"/>
          <w:i/>
          <w:iCs/>
          <w:color w:val="000000"/>
          <w:szCs w:val="20"/>
          <w:lang w:val="en-US"/>
        </w:rPr>
        <w:t>Streptomyces</w:t>
      </w:r>
      <w:r w:rsidRPr="00010512">
        <w:rPr>
          <w:rFonts w:eastAsia="Times New Roman" w:cs="Arial"/>
          <w:i/>
          <w:iCs/>
          <w:color w:val="000000"/>
          <w:szCs w:val="20"/>
          <w:lang w:val="ru-RU"/>
        </w:rPr>
        <w:t xml:space="preserve"> </w:t>
      </w:r>
      <w:proofErr w:type="spellStart"/>
      <w:r w:rsidRPr="00010512">
        <w:rPr>
          <w:rFonts w:eastAsia="Times New Roman" w:cs="Arial"/>
          <w:i/>
          <w:iCs/>
          <w:color w:val="000000"/>
          <w:szCs w:val="20"/>
          <w:lang w:val="en-US"/>
        </w:rPr>
        <w:t>cattleya</w:t>
      </w:r>
      <w:proofErr w:type="spellEnd"/>
      <w:r w:rsidRPr="00010512">
        <w:rPr>
          <w:rFonts w:eastAsia="Times New Roman" w:cs="Arial"/>
          <w:i/>
          <w:iCs/>
          <w:color w:val="000000"/>
          <w:szCs w:val="20"/>
          <w:lang w:val="ru-RU"/>
        </w:rPr>
        <w:t>.</w:t>
      </w:r>
    </w:p>
    <w:p w14:paraId="52C343AC" w14:textId="77777777" w:rsidR="00010512" w:rsidRPr="00010512" w:rsidRDefault="00010512" w:rsidP="00010512">
      <w:pPr>
        <w:spacing w:line="240" w:lineRule="auto"/>
        <w:rPr>
          <w:rFonts w:eastAsia="Times New Roman" w:cs="Arial"/>
          <w:color w:val="000000"/>
          <w:szCs w:val="20"/>
          <w:lang w:eastAsia="bg-BG"/>
        </w:rPr>
      </w:pPr>
    </w:p>
    <w:p w14:paraId="7A0DAF69" w14:textId="274665FC"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Имипенем осъществява бактерицидната си активност чрез инхибиране на синтеза на бактериалната клетъчна стена на Грам-положителните и Грам-отрицателните бактерии, като се свързва с пеницилин-свързващите протеини </w:t>
      </w:r>
      <w:r w:rsidRPr="00010512">
        <w:rPr>
          <w:rFonts w:eastAsia="Times New Roman" w:cs="Arial"/>
          <w:color w:val="000000"/>
          <w:szCs w:val="20"/>
          <w:lang w:val="ru-RU"/>
        </w:rPr>
        <w:t>(</w:t>
      </w:r>
      <w:r w:rsidRPr="00010512">
        <w:rPr>
          <w:rFonts w:eastAsia="Times New Roman" w:cs="Arial"/>
          <w:color w:val="000000"/>
          <w:szCs w:val="20"/>
          <w:lang w:val="en-US"/>
        </w:rPr>
        <w:t>PBPs</w:t>
      </w:r>
      <w:r w:rsidRPr="00010512">
        <w:rPr>
          <w:rFonts w:eastAsia="Times New Roman" w:cs="Arial"/>
          <w:color w:val="000000"/>
          <w:szCs w:val="20"/>
          <w:lang w:val="ru-RU"/>
        </w:rPr>
        <w:t>).</w:t>
      </w:r>
    </w:p>
    <w:p w14:paraId="5394093D" w14:textId="77777777" w:rsidR="00010512" w:rsidRPr="00010512" w:rsidRDefault="00010512" w:rsidP="00010512">
      <w:pPr>
        <w:spacing w:line="240" w:lineRule="auto"/>
        <w:rPr>
          <w:rFonts w:eastAsia="Times New Roman" w:cs="Arial"/>
          <w:color w:val="000000"/>
          <w:szCs w:val="20"/>
          <w:lang w:eastAsia="bg-BG"/>
        </w:rPr>
      </w:pPr>
    </w:p>
    <w:p w14:paraId="7A0F496D" w14:textId="2807F022"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Циластатин-натрий е конкурентен, обратим и специфичен инхибитор на дехидропептидаза-</w:t>
      </w:r>
      <w:r w:rsidRPr="00010512">
        <w:rPr>
          <w:rFonts w:eastAsia="Times New Roman" w:cs="Arial"/>
          <w:color w:val="000000"/>
          <w:szCs w:val="20"/>
          <w:lang w:val="en-US"/>
        </w:rPr>
        <w:t>I</w:t>
      </w:r>
      <w:r w:rsidRPr="00010512">
        <w:rPr>
          <w:rFonts w:eastAsia="Times New Roman" w:cs="Arial"/>
          <w:color w:val="000000"/>
          <w:szCs w:val="20"/>
          <w:lang w:eastAsia="bg-BG"/>
        </w:rPr>
        <w:t>, бъбречният ензим, който метаболизира и инактивира имипенем. Той е лишен от собствена антибактериална активност и не засяга антибактериалната активност на имипенем.</w:t>
      </w:r>
    </w:p>
    <w:p w14:paraId="5858D4C1" w14:textId="77777777" w:rsidR="00010512" w:rsidRPr="00010512" w:rsidRDefault="00010512" w:rsidP="00010512">
      <w:pPr>
        <w:spacing w:line="240" w:lineRule="auto"/>
        <w:rPr>
          <w:rFonts w:eastAsia="Times New Roman" w:cs="Arial"/>
          <w:color w:val="000000"/>
          <w:szCs w:val="20"/>
          <w:u w:val="single"/>
          <w:lang w:eastAsia="bg-BG"/>
        </w:rPr>
      </w:pPr>
    </w:p>
    <w:p w14:paraId="3780C539" w14:textId="71334E89"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 xml:space="preserve">Фармакокинетично/фармакодинамична </w:t>
      </w:r>
      <w:r w:rsidRPr="00010512">
        <w:rPr>
          <w:rFonts w:eastAsia="Times New Roman" w:cs="Arial"/>
          <w:color w:val="000000"/>
          <w:szCs w:val="20"/>
          <w:u w:val="single"/>
          <w:lang w:val="ru-RU"/>
        </w:rPr>
        <w:t>(</w:t>
      </w:r>
      <w:r w:rsidRPr="00010512">
        <w:rPr>
          <w:rFonts w:eastAsia="Times New Roman" w:cs="Arial"/>
          <w:color w:val="000000"/>
          <w:szCs w:val="20"/>
          <w:u w:val="single"/>
          <w:lang w:val="en-US"/>
        </w:rPr>
        <w:t>PK</w:t>
      </w:r>
      <w:r w:rsidRPr="00010512">
        <w:rPr>
          <w:rFonts w:eastAsia="Times New Roman" w:cs="Arial"/>
          <w:color w:val="000000"/>
          <w:szCs w:val="20"/>
          <w:u w:val="single"/>
          <w:lang w:val="ru-RU"/>
        </w:rPr>
        <w:t>/</w:t>
      </w:r>
      <w:r w:rsidRPr="00010512">
        <w:rPr>
          <w:rFonts w:eastAsia="Times New Roman" w:cs="Arial"/>
          <w:color w:val="000000"/>
          <w:szCs w:val="20"/>
          <w:u w:val="single"/>
          <w:lang w:val="en-US"/>
        </w:rPr>
        <w:t>PD</w:t>
      </w:r>
      <w:r w:rsidRPr="00010512">
        <w:rPr>
          <w:rFonts w:eastAsia="Times New Roman" w:cs="Arial"/>
          <w:color w:val="000000"/>
          <w:szCs w:val="20"/>
          <w:u w:val="single"/>
          <w:lang w:val="ru-RU"/>
        </w:rPr>
        <w:t xml:space="preserve">) </w:t>
      </w:r>
      <w:r w:rsidRPr="00010512">
        <w:rPr>
          <w:rFonts w:eastAsia="Times New Roman" w:cs="Arial"/>
          <w:color w:val="000000"/>
          <w:szCs w:val="20"/>
          <w:u w:val="single"/>
          <w:lang w:eastAsia="bg-BG"/>
        </w:rPr>
        <w:t>зависимост</w:t>
      </w:r>
    </w:p>
    <w:p w14:paraId="621AE177"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 xml:space="preserve">Подобно на останалите бета-лактамни антибактериални средства, най-добра корелация с ефекта на имипенем показва времето, през което концентрацията му надвишава </w:t>
      </w:r>
      <w:r w:rsidRPr="00010512">
        <w:rPr>
          <w:rFonts w:eastAsia="Times New Roman" w:cs="Arial"/>
          <w:color w:val="000000"/>
          <w:szCs w:val="20"/>
          <w:lang w:val="en-US"/>
        </w:rPr>
        <w:t>MIC</w:t>
      </w:r>
      <w:r w:rsidRPr="00010512">
        <w:rPr>
          <w:rFonts w:eastAsia="Times New Roman" w:cs="Arial"/>
          <w:color w:val="000000"/>
          <w:szCs w:val="20"/>
          <w:lang w:val="ru-RU"/>
        </w:rPr>
        <w:t xml:space="preserve"> </w:t>
      </w:r>
      <w:r w:rsidRPr="00010512">
        <w:rPr>
          <w:rFonts w:eastAsia="Times New Roman" w:cs="Arial"/>
          <w:color w:val="000000"/>
          <w:szCs w:val="20"/>
          <w:lang w:eastAsia="bg-BG"/>
        </w:rPr>
        <w:t>(Т&gt;М1С).</w:t>
      </w:r>
    </w:p>
    <w:p w14:paraId="4D6DC9D3" w14:textId="77777777" w:rsidR="00010512" w:rsidRPr="00010512" w:rsidRDefault="00010512" w:rsidP="00010512">
      <w:pPr>
        <w:spacing w:line="240" w:lineRule="auto"/>
        <w:rPr>
          <w:rFonts w:eastAsia="Times New Roman" w:cs="Arial"/>
          <w:color w:val="000000"/>
          <w:szCs w:val="20"/>
          <w:u w:val="single"/>
          <w:lang w:eastAsia="bg-BG"/>
        </w:rPr>
      </w:pPr>
    </w:p>
    <w:p w14:paraId="3C487031" w14:textId="62E6DB09"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Механизъм на резистентност</w:t>
      </w:r>
    </w:p>
    <w:p w14:paraId="4204D919" w14:textId="7777777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lang w:eastAsia="bg-BG"/>
        </w:rPr>
        <w:t>Резистентността към имипенем може да се дължи на:</w:t>
      </w:r>
    </w:p>
    <w:p w14:paraId="2140BE6B" w14:textId="77777777" w:rsidR="00010512" w:rsidRPr="00010512" w:rsidRDefault="00010512" w:rsidP="00010512">
      <w:pPr>
        <w:pStyle w:val="ListParagraph"/>
        <w:numPr>
          <w:ilvl w:val="0"/>
          <w:numId w:val="37"/>
        </w:numPr>
        <w:spacing w:line="240" w:lineRule="auto"/>
        <w:rPr>
          <w:rFonts w:eastAsia="Times New Roman" w:cs="Arial"/>
          <w:color w:val="000000"/>
          <w:szCs w:val="20"/>
          <w:lang w:eastAsia="bg-BG"/>
        </w:rPr>
      </w:pPr>
      <w:r w:rsidRPr="00010512">
        <w:rPr>
          <w:rFonts w:eastAsia="Times New Roman" w:cs="Arial"/>
          <w:color w:val="000000"/>
          <w:szCs w:val="20"/>
          <w:lang w:eastAsia="bg-BG"/>
        </w:rPr>
        <w:t>Понижена пропускливост на външната мембрана на Грам-отрицателните бактерии (поради намалена продукция на порини)</w:t>
      </w:r>
    </w:p>
    <w:p w14:paraId="79FC5FDE" w14:textId="77777777" w:rsidR="00010512" w:rsidRPr="00010512" w:rsidRDefault="00010512" w:rsidP="00010512">
      <w:pPr>
        <w:pStyle w:val="ListParagraph"/>
        <w:numPr>
          <w:ilvl w:val="0"/>
          <w:numId w:val="37"/>
        </w:numPr>
        <w:spacing w:line="240" w:lineRule="auto"/>
        <w:rPr>
          <w:rFonts w:eastAsia="Times New Roman" w:cs="Arial"/>
          <w:color w:val="000000"/>
          <w:szCs w:val="20"/>
          <w:lang w:eastAsia="bg-BG"/>
        </w:rPr>
      </w:pPr>
      <w:r w:rsidRPr="00010512">
        <w:rPr>
          <w:rFonts w:eastAsia="Times New Roman" w:cs="Arial"/>
          <w:color w:val="000000"/>
          <w:szCs w:val="20"/>
          <w:lang w:eastAsia="bg-BG"/>
        </w:rPr>
        <w:t>Имипенем може да се извежда активно от клетката посредством еферентна помпа</w:t>
      </w:r>
    </w:p>
    <w:p w14:paraId="38E852CD" w14:textId="77777777" w:rsidR="00010512" w:rsidRPr="00010512" w:rsidRDefault="00010512" w:rsidP="00010512">
      <w:pPr>
        <w:pStyle w:val="ListParagraph"/>
        <w:numPr>
          <w:ilvl w:val="0"/>
          <w:numId w:val="37"/>
        </w:numPr>
        <w:spacing w:line="240" w:lineRule="auto"/>
        <w:rPr>
          <w:rFonts w:eastAsia="Times New Roman" w:cs="Arial"/>
          <w:color w:val="000000"/>
          <w:szCs w:val="20"/>
          <w:lang w:eastAsia="bg-BG"/>
        </w:rPr>
      </w:pPr>
      <w:r w:rsidRPr="00010512">
        <w:rPr>
          <w:rFonts w:eastAsia="Times New Roman" w:cs="Arial"/>
          <w:color w:val="000000"/>
          <w:szCs w:val="20"/>
          <w:lang w:eastAsia="bg-BG"/>
        </w:rPr>
        <w:t xml:space="preserve">Намален афинитет на </w:t>
      </w:r>
      <w:r w:rsidRPr="00010512">
        <w:rPr>
          <w:rFonts w:eastAsia="Times New Roman" w:cs="Arial"/>
          <w:color w:val="000000"/>
          <w:szCs w:val="20"/>
          <w:lang w:val="en-US"/>
        </w:rPr>
        <w:t>PBPs</w:t>
      </w:r>
      <w:r w:rsidRPr="00010512">
        <w:rPr>
          <w:rFonts w:eastAsia="Times New Roman" w:cs="Arial"/>
          <w:color w:val="000000"/>
          <w:szCs w:val="20"/>
          <w:lang w:val="ru-RU"/>
        </w:rPr>
        <w:t xml:space="preserve"> </w:t>
      </w:r>
      <w:r w:rsidRPr="00010512">
        <w:rPr>
          <w:rFonts w:eastAsia="Times New Roman" w:cs="Arial"/>
          <w:color w:val="000000"/>
          <w:szCs w:val="20"/>
          <w:lang w:eastAsia="bg-BG"/>
        </w:rPr>
        <w:t>към имипенем</w:t>
      </w:r>
    </w:p>
    <w:p w14:paraId="55837E7F" w14:textId="1B5221D3" w:rsidR="00010512" w:rsidRPr="00010512" w:rsidRDefault="00010512" w:rsidP="00010512">
      <w:pPr>
        <w:pStyle w:val="ListParagraph"/>
        <w:numPr>
          <w:ilvl w:val="0"/>
          <w:numId w:val="37"/>
        </w:numPr>
        <w:spacing w:line="240" w:lineRule="auto"/>
        <w:rPr>
          <w:rFonts w:eastAsia="Times New Roman" w:cs="Arial"/>
          <w:color w:val="000000"/>
          <w:szCs w:val="20"/>
          <w:lang w:eastAsia="bg-BG"/>
        </w:rPr>
      </w:pPr>
      <w:r w:rsidRPr="00010512">
        <w:rPr>
          <w:rFonts w:eastAsia="Times New Roman" w:cs="Arial"/>
          <w:color w:val="000000"/>
          <w:szCs w:val="20"/>
          <w:lang w:eastAsia="bg-BG"/>
        </w:rPr>
        <w:t>Имипенем е устойчив на хидролиза от повечето бета-лактамази, включително и от пеницилинази и цефалоспоринази, продуцирани от Грам-положителни и Грам-отрицателни бактерии, с изключение на относително редките карбапенем-хидролизиращи бета-лактамази. Щамовете, резистентни на други карбапенеми, като цяло са резистентни и на имипенем. Не съществува специфична кръстосана резистентност между имипенем и хинолонови, аминогликозидни, макролидни и тетрациклинови средства.</w:t>
      </w:r>
    </w:p>
    <w:p w14:paraId="66893B98" w14:textId="77777777" w:rsidR="00010512" w:rsidRPr="00010512" w:rsidRDefault="00010512" w:rsidP="00010512">
      <w:pPr>
        <w:spacing w:line="240" w:lineRule="auto"/>
        <w:rPr>
          <w:rFonts w:eastAsia="Times New Roman" w:cs="Arial"/>
          <w:color w:val="000000"/>
          <w:szCs w:val="20"/>
          <w:u w:val="single"/>
          <w:lang w:eastAsia="bg-BG"/>
        </w:rPr>
      </w:pPr>
    </w:p>
    <w:p w14:paraId="3098BFA8" w14:textId="07E49087" w:rsidR="00010512" w:rsidRPr="00010512" w:rsidRDefault="00010512" w:rsidP="00010512">
      <w:pPr>
        <w:spacing w:line="240" w:lineRule="auto"/>
        <w:rPr>
          <w:rFonts w:eastAsia="Times New Roman" w:cs="Arial"/>
          <w:sz w:val="28"/>
          <w:szCs w:val="24"/>
        </w:rPr>
      </w:pPr>
      <w:r w:rsidRPr="00010512">
        <w:rPr>
          <w:rFonts w:eastAsia="Times New Roman" w:cs="Arial"/>
          <w:color w:val="000000"/>
          <w:szCs w:val="20"/>
          <w:u w:val="single"/>
          <w:lang w:eastAsia="bg-BG"/>
        </w:rPr>
        <w:t>Гранични стойности</w:t>
      </w:r>
    </w:p>
    <w:p w14:paraId="7A93F23C" w14:textId="2B8A40F9" w:rsidR="00010512" w:rsidRDefault="00010512" w:rsidP="00010512">
      <w:pPr>
        <w:spacing w:line="240" w:lineRule="auto"/>
        <w:rPr>
          <w:rFonts w:eastAsia="Times New Roman" w:cs="Arial"/>
          <w:color w:val="000000"/>
          <w:szCs w:val="20"/>
          <w:lang w:eastAsia="bg-BG"/>
        </w:rPr>
      </w:pPr>
      <w:r w:rsidRPr="00010512">
        <w:rPr>
          <w:rFonts w:eastAsia="Times New Roman" w:cs="Arial"/>
          <w:color w:val="000000"/>
          <w:szCs w:val="20"/>
          <w:lang w:eastAsia="bg-BG"/>
        </w:rPr>
        <w:t xml:space="preserve">Граничните стойности на </w:t>
      </w:r>
      <w:r w:rsidRPr="00010512">
        <w:rPr>
          <w:rFonts w:eastAsia="Times New Roman" w:cs="Arial"/>
          <w:color w:val="000000"/>
          <w:szCs w:val="20"/>
          <w:lang w:val="en-US"/>
        </w:rPr>
        <w:t>EUCAST</w:t>
      </w:r>
      <w:r w:rsidRPr="00010512">
        <w:rPr>
          <w:rFonts w:eastAsia="Times New Roman" w:cs="Arial"/>
          <w:color w:val="000000"/>
          <w:szCs w:val="20"/>
          <w:lang w:val="ru-RU"/>
        </w:rPr>
        <w:t xml:space="preserve"> </w:t>
      </w:r>
      <w:r w:rsidRPr="00010512">
        <w:rPr>
          <w:rFonts w:eastAsia="Times New Roman" w:cs="Arial"/>
          <w:color w:val="000000"/>
          <w:szCs w:val="20"/>
          <w:lang w:eastAsia="bg-BG"/>
        </w:rPr>
        <w:t xml:space="preserve">за </w:t>
      </w:r>
      <w:r w:rsidRPr="00010512">
        <w:rPr>
          <w:rFonts w:eastAsia="Times New Roman" w:cs="Arial"/>
          <w:color w:val="000000"/>
          <w:szCs w:val="20"/>
          <w:lang w:val="en-US"/>
        </w:rPr>
        <w:t>MIC</w:t>
      </w:r>
      <w:r w:rsidRPr="00010512">
        <w:rPr>
          <w:rFonts w:eastAsia="Times New Roman" w:cs="Arial"/>
          <w:color w:val="000000"/>
          <w:szCs w:val="20"/>
          <w:lang w:val="ru-RU"/>
        </w:rPr>
        <w:t xml:space="preserve"> </w:t>
      </w:r>
      <w:r w:rsidRPr="00010512">
        <w:rPr>
          <w:rFonts w:eastAsia="Times New Roman" w:cs="Arial"/>
          <w:color w:val="000000"/>
          <w:szCs w:val="20"/>
          <w:lang w:eastAsia="bg-BG"/>
        </w:rPr>
        <w:t xml:space="preserve">на имипенем са както следва </w:t>
      </w:r>
      <w:r w:rsidRPr="00010512">
        <w:rPr>
          <w:rFonts w:eastAsia="Times New Roman" w:cs="Arial"/>
          <w:color w:val="000000"/>
          <w:szCs w:val="20"/>
          <w:lang w:val="ru-RU"/>
        </w:rPr>
        <w:t>(</w:t>
      </w:r>
      <w:r w:rsidRPr="00010512">
        <w:rPr>
          <w:rFonts w:eastAsia="Times New Roman" w:cs="Arial"/>
          <w:color w:val="000000"/>
          <w:szCs w:val="20"/>
          <w:lang w:val="en-US"/>
        </w:rPr>
        <w:t>v</w:t>
      </w:r>
      <w:r w:rsidRPr="00010512">
        <w:rPr>
          <w:rFonts w:eastAsia="Times New Roman" w:cs="Arial"/>
          <w:color w:val="000000"/>
          <w:szCs w:val="20"/>
          <w:lang w:val="ru-RU"/>
        </w:rPr>
        <w:t xml:space="preserve"> </w:t>
      </w:r>
      <w:r w:rsidRPr="00010512">
        <w:rPr>
          <w:rFonts w:eastAsia="Times New Roman" w:cs="Arial"/>
          <w:color w:val="000000"/>
          <w:szCs w:val="20"/>
          <w:lang w:eastAsia="bg-BG"/>
        </w:rPr>
        <w:t>10,0 валидна от 2010-01-01):</w:t>
      </w:r>
    </w:p>
    <w:tbl>
      <w:tblPr>
        <w:tblStyle w:val="TableGrid"/>
        <w:tblW w:w="0" w:type="auto"/>
        <w:tblLook w:val="04A0" w:firstRow="1" w:lastRow="0" w:firstColumn="1" w:lastColumn="0" w:noHBand="0" w:noVBand="1"/>
      </w:tblPr>
      <w:tblGrid>
        <w:gridCol w:w="3127"/>
        <w:gridCol w:w="3116"/>
        <w:gridCol w:w="3107"/>
      </w:tblGrid>
      <w:tr w:rsidR="00010512" w14:paraId="58CADF9A" w14:textId="77777777" w:rsidTr="00010512">
        <w:tc>
          <w:tcPr>
            <w:tcW w:w="3192" w:type="dxa"/>
            <w:vMerge w:val="restart"/>
          </w:tcPr>
          <w:p w14:paraId="38BD656F" w14:textId="01CBA53C" w:rsidR="00010512" w:rsidRPr="00010512" w:rsidRDefault="00010512" w:rsidP="00010512">
            <w:pPr>
              <w:spacing w:line="240" w:lineRule="auto"/>
              <w:rPr>
                <w:rFonts w:eastAsia="Times New Roman" w:cs="Arial"/>
                <w:szCs w:val="24"/>
              </w:rPr>
            </w:pPr>
            <w:r w:rsidRPr="00010512">
              <w:rPr>
                <w:rFonts w:cs="Arial"/>
                <w:b/>
                <w:bCs/>
                <w:szCs w:val="20"/>
              </w:rPr>
              <w:t>Група организми</w:t>
            </w:r>
          </w:p>
        </w:tc>
        <w:tc>
          <w:tcPr>
            <w:tcW w:w="6384" w:type="dxa"/>
            <w:gridSpan w:val="2"/>
          </w:tcPr>
          <w:p w14:paraId="11006FBA" w14:textId="6F6BC482" w:rsidR="00010512" w:rsidRPr="00010512" w:rsidRDefault="00010512" w:rsidP="00010512">
            <w:pPr>
              <w:spacing w:line="240" w:lineRule="auto"/>
              <w:rPr>
                <w:rFonts w:eastAsia="Times New Roman" w:cs="Arial"/>
                <w:szCs w:val="24"/>
              </w:rPr>
            </w:pPr>
            <w:r w:rsidRPr="00010512">
              <w:rPr>
                <w:rFonts w:eastAsia="Times New Roman" w:cs="Arial"/>
                <w:b/>
                <w:bCs/>
                <w:color w:val="000000"/>
                <w:szCs w:val="20"/>
                <w:lang w:eastAsia="bg-BG"/>
              </w:rPr>
              <w:t xml:space="preserve">Минимални инхибиращи концентрации </w:t>
            </w:r>
            <w:r w:rsidRPr="00010512">
              <w:rPr>
                <w:rFonts w:eastAsia="Times New Roman" w:cs="Arial"/>
                <w:b/>
                <w:bCs/>
                <w:color w:val="000000"/>
                <w:szCs w:val="20"/>
                <w:lang w:val="en-US"/>
              </w:rPr>
              <w:t>(mg/1)</w:t>
            </w:r>
          </w:p>
        </w:tc>
      </w:tr>
      <w:tr w:rsidR="00010512" w14:paraId="6E0378A1" w14:textId="77777777" w:rsidTr="00010512">
        <w:tc>
          <w:tcPr>
            <w:tcW w:w="3192" w:type="dxa"/>
            <w:vMerge/>
          </w:tcPr>
          <w:p w14:paraId="79F0F726" w14:textId="77777777" w:rsidR="00010512" w:rsidRPr="00010512" w:rsidRDefault="00010512" w:rsidP="00010512">
            <w:pPr>
              <w:spacing w:line="240" w:lineRule="auto"/>
              <w:rPr>
                <w:rFonts w:eastAsia="Times New Roman" w:cs="Arial"/>
                <w:szCs w:val="24"/>
              </w:rPr>
            </w:pPr>
          </w:p>
        </w:tc>
        <w:tc>
          <w:tcPr>
            <w:tcW w:w="3192" w:type="dxa"/>
          </w:tcPr>
          <w:p w14:paraId="2C4675B3" w14:textId="06DD93C8" w:rsidR="00010512" w:rsidRPr="00010512" w:rsidRDefault="00010512" w:rsidP="00010512">
            <w:pPr>
              <w:spacing w:line="240" w:lineRule="auto"/>
              <w:rPr>
                <w:rFonts w:eastAsia="Times New Roman" w:cs="Arial"/>
                <w:szCs w:val="24"/>
              </w:rPr>
            </w:pPr>
            <w:r w:rsidRPr="00010512">
              <w:rPr>
                <w:rFonts w:cs="Arial"/>
                <w:b/>
                <w:bCs/>
                <w:szCs w:val="20"/>
              </w:rPr>
              <w:t xml:space="preserve">Чувствителни </w:t>
            </w:r>
            <w:r w:rsidRPr="00010512">
              <w:rPr>
                <w:rFonts w:cs="Arial"/>
                <w:szCs w:val="20"/>
              </w:rPr>
              <w:t>≤</w:t>
            </w:r>
          </w:p>
        </w:tc>
        <w:tc>
          <w:tcPr>
            <w:tcW w:w="3192" w:type="dxa"/>
          </w:tcPr>
          <w:p w14:paraId="261E2879" w14:textId="7D7B209E" w:rsidR="00010512" w:rsidRPr="00010512" w:rsidRDefault="00010512" w:rsidP="00010512">
            <w:pPr>
              <w:spacing w:line="240" w:lineRule="auto"/>
              <w:rPr>
                <w:rFonts w:eastAsia="Times New Roman" w:cs="Arial"/>
                <w:szCs w:val="24"/>
              </w:rPr>
            </w:pPr>
            <w:r w:rsidRPr="00010512">
              <w:rPr>
                <w:rFonts w:cs="Arial"/>
                <w:b/>
                <w:bCs/>
                <w:szCs w:val="20"/>
              </w:rPr>
              <w:t>Резистентни &gt;</w:t>
            </w:r>
          </w:p>
        </w:tc>
      </w:tr>
      <w:tr w:rsidR="00010512" w14:paraId="6D630C27" w14:textId="77777777" w:rsidTr="00010512">
        <w:tc>
          <w:tcPr>
            <w:tcW w:w="3192" w:type="dxa"/>
          </w:tcPr>
          <w:p w14:paraId="1637AE0E" w14:textId="2CEF7252" w:rsidR="00010512" w:rsidRPr="00010512" w:rsidRDefault="00010512" w:rsidP="00010512">
            <w:pPr>
              <w:spacing w:line="240" w:lineRule="auto"/>
              <w:rPr>
                <w:rFonts w:eastAsia="Times New Roman" w:cs="Arial"/>
                <w:szCs w:val="24"/>
              </w:rPr>
            </w:pPr>
            <w:r w:rsidRPr="00010512">
              <w:rPr>
                <w:i/>
                <w:iCs/>
                <w:szCs w:val="20"/>
              </w:rPr>
              <w:t>Enterobacterales</w:t>
            </w:r>
          </w:p>
        </w:tc>
        <w:tc>
          <w:tcPr>
            <w:tcW w:w="3192" w:type="dxa"/>
          </w:tcPr>
          <w:p w14:paraId="711D0269" w14:textId="79018250" w:rsidR="00010512" w:rsidRPr="00010512" w:rsidRDefault="00010512" w:rsidP="00010512">
            <w:pPr>
              <w:spacing w:line="240" w:lineRule="auto"/>
              <w:rPr>
                <w:rFonts w:eastAsia="Times New Roman" w:cs="Arial"/>
                <w:szCs w:val="24"/>
              </w:rPr>
            </w:pPr>
            <w:r w:rsidRPr="00010512">
              <w:rPr>
                <w:szCs w:val="20"/>
              </w:rPr>
              <w:t>2</w:t>
            </w:r>
          </w:p>
        </w:tc>
        <w:tc>
          <w:tcPr>
            <w:tcW w:w="3192" w:type="dxa"/>
          </w:tcPr>
          <w:p w14:paraId="00F2603F" w14:textId="49F11EB0" w:rsidR="00010512" w:rsidRPr="00010512" w:rsidRDefault="00010512" w:rsidP="00010512">
            <w:pPr>
              <w:spacing w:line="240" w:lineRule="auto"/>
              <w:rPr>
                <w:rFonts w:eastAsia="Times New Roman" w:cs="Arial"/>
                <w:szCs w:val="24"/>
              </w:rPr>
            </w:pPr>
            <w:r w:rsidRPr="00010512">
              <w:rPr>
                <w:bCs/>
                <w:szCs w:val="20"/>
                <w:lang w:eastAsia="bg-BG"/>
              </w:rPr>
              <w:t>4</w:t>
            </w:r>
          </w:p>
        </w:tc>
      </w:tr>
      <w:tr w:rsidR="00010512" w14:paraId="3EBF7B29" w14:textId="77777777" w:rsidTr="00010512">
        <w:tc>
          <w:tcPr>
            <w:tcW w:w="3192" w:type="dxa"/>
          </w:tcPr>
          <w:p w14:paraId="0BD62803" w14:textId="423327DE" w:rsidR="00010512" w:rsidRPr="00010512" w:rsidRDefault="00010512" w:rsidP="00010512">
            <w:pPr>
              <w:spacing w:line="240" w:lineRule="auto"/>
              <w:rPr>
                <w:rFonts w:eastAsia="Times New Roman" w:cs="Arial"/>
                <w:szCs w:val="24"/>
              </w:rPr>
            </w:pPr>
            <w:r w:rsidRPr="00010512">
              <w:rPr>
                <w:i/>
                <w:iCs/>
                <w:szCs w:val="20"/>
              </w:rPr>
              <w:lastRenderedPageBreak/>
              <w:t>Enterobacterales</w:t>
            </w:r>
            <w:r w:rsidRPr="00010512">
              <w:rPr>
                <w:i/>
                <w:iCs/>
                <w:szCs w:val="20"/>
                <w:vertAlign w:val="superscript"/>
              </w:rPr>
              <w:t>1</w:t>
            </w:r>
            <w:r w:rsidRPr="00010512">
              <w:rPr>
                <w:i/>
                <w:iCs/>
                <w:szCs w:val="20"/>
              </w:rPr>
              <w:t xml:space="preserve"> (Morganella morganii, Proteus</w:t>
            </w:r>
            <w:r w:rsidRPr="00010512">
              <w:rPr>
                <w:szCs w:val="20"/>
              </w:rPr>
              <w:t xml:space="preserve"> spp, </w:t>
            </w:r>
            <w:r w:rsidRPr="00010512">
              <w:rPr>
                <w:szCs w:val="20"/>
                <w:lang w:eastAsia="bg-BG"/>
              </w:rPr>
              <w:t xml:space="preserve">и </w:t>
            </w:r>
            <w:r w:rsidRPr="00010512">
              <w:rPr>
                <w:i/>
                <w:iCs/>
                <w:szCs w:val="20"/>
              </w:rPr>
              <w:t>Providencia</w:t>
            </w:r>
            <w:r w:rsidRPr="00010512">
              <w:rPr>
                <w:szCs w:val="20"/>
              </w:rPr>
              <w:t xml:space="preserve"> spp.)</w:t>
            </w:r>
          </w:p>
        </w:tc>
        <w:tc>
          <w:tcPr>
            <w:tcW w:w="3192" w:type="dxa"/>
          </w:tcPr>
          <w:p w14:paraId="31C9B310" w14:textId="3F8D58FF" w:rsidR="00010512" w:rsidRPr="00010512" w:rsidRDefault="00010512" w:rsidP="00010512">
            <w:pPr>
              <w:spacing w:line="240" w:lineRule="auto"/>
              <w:rPr>
                <w:rFonts w:eastAsia="Times New Roman" w:cs="Arial"/>
                <w:szCs w:val="24"/>
              </w:rPr>
            </w:pPr>
            <w:r w:rsidRPr="00010512">
              <w:rPr>
                <w:szCs w:val="20"/>
              </w:rPr>
              <w:t>0,001</w:t>
            </w:r>
          </w:p>
        </w:tc>
        <w:tc>
          <w:tcPr>
            <w:tcW w:w="3192" w:type="dxa"/>
          </w:tcPr>
          <w:p w14:paraId="21E73A97" w14:textId="2C9C1750" w:rsidR="00010512" w:rsidRPr="00010512" w:rsidRDefault="00010512" w:rsidP="00010512">
            <w:pPr>
              <w:spacing w:line="240" w:lineRule="auto"/>
              <w:rPr>
                <w:rFonts w:eastAsia="Times New Roman" w:cs="Arial"/>
                <w:szCs w:val="24"/>
              </w:rPr>
            </w:pPr>
            <w:r w:rsidRPr="00010512">
              <w:rPr>
                <w:bCs/>
                <w:szCs w:val="20"/>
                <w:lang w:eastAsia="bg-BG"/>
              </w:rPr>
              <w:t>4</w:t>
            </w:r>
          </w:p>
        </w:tc>
      </w:tr>
      <w:tr w:rsidR="00010512" w14:paraId="7C8CEDAB" w14:textId="77777777" w:rsidTr="00010512">
        <w:tc>
          <w:tcPr>
            <w:tcW w:w="3192" w:type="dxa"/>
          </w:tcPr>
          <w:p w14:paraId="52E4B899" w14:textId="7B372862" w:rsidR="00010512" w:rsidRPr="00010512" w:rsidRDefault="00010512" w:rsidP="00010512">
            <w:pPr>
              <w:spacing w:line="240" w:lineRule="auto"/>
              <w:rPr>
                <w:rFonts w:eastAsia="Times New Roman" w:cs="Arial"/>
                <w:szCs w:val="24"/>
              </w:rPr>
            </w:pPr>
            <w:r w:rsidRPr="00010512">
              <w:rPr>
                <w:i/>
                <w:iCs/>
                <w:szCs w:val="20"/>
              </w:rPr>
              <w:t>Pseudomonas</w:t>
            </w:r>
            <w:r w:rsidRPr="00010512">
              <w:rPr>
                <w:szCs w:val="20"/>
              </w:rPr>
              <w:t xml:space="preserve"> spp.</w:t>
            </w:r>
          </w:p>
        </w:tc>
        <w:tc>
          <w:tcPr>
            <w:tcW w:w="3192" w:type="dxa"/>
          </w:tcPr>
          <w:p w14:paraId="2B8AA438" w14:textId="0E152D04" w:rsidR="00010512" w:rsidRPr="00010512" w:rsidRDefault="00010512" w:rsidP="00010512">
            <w:pPr>
              <w:spacing w:line="240" w:lineRule="auto"/>
              <w:rPr>
                <w:rFonts w:eastAsia="Times New Roman" w:cs="Arial"/>
                <w:szCs w:val="24"/>
              </w:rPr>
            </w:pPr>
            <w:r w:rsidRPr="00010512">
              <w:rPr>
                <w:szCs w:val="20"/>
              </w:rPr>
              <w:t>0,001</w:t>
            </w:r>
          </w:p>
        </w:tc>
        <w:tc>
          <w:tcPr>
            <w:tcW w:w="3192" w:type="dxa"/>
          </w:tcPr>
          <w:p w14:paraId="00CABBA2" w14:textId="5D6CBE34" w:rsidR="00010512" w:rsidRPr="00010512" w:rsidRDefault="00010512" w:rsidP="00010512">
            <w:pPr>
              <w:spacing w:line="240" w:lineRule="auto"/>
              <w:rPr>
                <w:rFonts w:eastAsia="Times New Roman" w:cs="Arial"/>
                <w:szCs w:val="24"/>
              </w:rPr>
            </w:pPr>
            <w:r w:rsidRPr="00010512">
              <w:rPr>
                <w:bCs/>
                <w:szCs w:val="20"/>
                <w:lang w:eastAsia="bg-BG"/>
              </w:rPr>
              <w:t>4</w:t>
            </w:r>
          </w:p>
        </w:tc>
      </w:tr>
      <w:tr w:rsidR="00010512" w14:paraId="0C8C16D8" w14:textId="77777777" w:rsidTr="00010512">
        <w:tc>
          <w:tcPr>
            <w:tcW w:w="3192" w:type="dxa"/>
          </w:tcPr>
          <w:p w14:paraId="4586C5B0" w14:textId="2FC9C33C" w:rsidR="00010512" w:rsidRPr="00010512" w:rsidRDefault="00010512" w:rsidP="00010512">
            <w:pPr>
              <w:spacing w:line="240" w:lineRule="auto"/>
              <w:rPr>
                <w:rFonts w:eastAsia="Times New Roman" w:cs="Arial"/>
                <w:i/>
                <w:szCs w:val="24"/>
              </w:rPr>
            </w:pPr>
            <w:r w:rsidRPr="00010512">
              <w:rPr>
                <w:i/>
                <w:iCs/>
                <w:szCs w:val="20"/>
              </w:rPr>
              <w:t>Acinetobacter</w:t>
            </w:r>
            <w:r w:rsidRPr="00010512">
              <w:rPr>
                <w:i/>
                <w:szCs w:val="20"/>
              </w:rPr>
              <w:t xml:space="preserve"> spp.</w:t>
            </w:r>
          </w:p>
        </w:tc>
        <w:tc>
          <w:tcPr>
            <w:tcW w:w="3192" w:type="dxa"/>
          </w:tcPr>
          <w:p w14:paraId="5E5ACD06" w14:textId="6A538F50" w:rsidR="00010512" w:rsidRPr="00010512" w:rsidRDefault="00010512" w:rsidP="00010512">
            <w:pPr>
              <w:spacing w:line="240" w:lineRule="auto"/>
              <w:rPr>
                <w:rFonts w:eastAsia="Times New Roman" w:cs="Arial"/>
                <w:szCs w:val="24"/>
              </w:rPr>
            </w:pPr>
            <w:r w:rsidRPr="00010512">
              <w:rPr>
                <w:szCs w:val="20"/>
              </w:rPr>
              <w:t>2</w:t>
            </w:r>
          </w:p>
        </w:tc>
        <w:tc>
          <w:tcPr>
            <w:tcW w:w="3192" w:type="dxa"/>
          </w:tcPr>
          <w:p w14:paraId="5C784215" w14:textId="22ADEAF2" w:rsidR="00010512" w:rsidRPr="00010512" w:rsidRDefault="00010512" w:rsidP="00010512">
            <w:pPr>
              <w:spacing w:line="240" w:lineRule="auto"/>
              <w:rPr>
                <w:rFonts w:eastAsia="Times New Roman" w:cs="Arial"/>
                <w:szCs w:val="24"/>
              </w:rPr>
            </w:pPr>
            <w:r w:rsidRPr="00010512">
              <w:rPr>
                <w:bCs/>
                <w:szCs w:val="20"/>
                <w:lang w:eastAsia="bg-BG"/>
              </w:rPr>
              <w:t>4</w:t>
            </w:r>
          </w:p>
        </w:tc>
      </w:tr>
      <w:tr w:rsidR="00010512" w14:paraId="0146EA30" w14:textId="77777777" w:rsidTr="00010512">
        <w:tc>
          <w:tcPr>
            <w:tcW w:w="3192" w:type="dxa"/>
          </w:tcPr>
          <w:p w14:paraId="75550F91" w14:textId="6F7B2DA6" w:rsidR="00010512" w:rsidRPr="00010512" w:rsidRDefault="00010512" w:rsidP="00010512">
            <w:pPr>
              <w:rPr>
                <w:rFonts w:eastAsia="Times New Roman" w:cs="Arial"/>
                <w:i/>
                <w:sz w:val="28"/>
                <w:szCs w:val="24"/>
              </w:rPr>
            </w:pPr>
            <w:r w:rsidRPr="00010512">
              <w:rPr>
                <w:i/>
                <w:lang w:val="en-US"/>
              </w:rPr>
              <w:t>Staphylococcus spp.</w:t>
            </w:r>
          </w:p>
        </w:tc>
        <w:tc>
          <w:tcPr>
            <w:tcW w:w="6384" w:type="dxa"/>
            <w:gridSpan w:val="2"/>
          </w:tcPr>
          <w:p w14:paraId="3A91AA81" w14:textId="63931F5B" w:rsidR="00010512" w:rsidRDefault="00010512" w:rsidP="00010512">
            <w:pPr>
              <w:rPr>
                <w:rFonts w:eastAsia="Times New Roman" w:cs="Arial"/>
                <w:sz w:val="28"/>
                <w:szCs w:val="24"/>
              </w:rPr>
            </w:pPr>
            <w:r>
              <w:t>В зависимост от чувствителността към цефокситин</w:t>
            </w:r>
          </w:p>
        </w:tc>
      </w:tr>
      <w:tr w:rsidR="00010512" w14:paraId="47A748BC" w14:textId="77777777" w:rsidTr="00010512">
        <w:tc>
          <w:tcPr>
            <w:tcW w:w="3192" w:type="dxa"/>
          </w:tcPr>
          <w:p w14:paraId="1892E651" w14:textId="7EE223C7" w:rsidR="00010512" w:rsidRPr="00010512" w:rsidRDefault="00010512" w:rsidP="00010512">
            <w:pPr>
              <w:rPr>
                <w:rFonts w:eastAsia="Times New Roman" w:cs="Arial"/>
                <w:i/>
                <w:sz w:val="28"/>
                <w:szCs w:val="24"/>
              </w:rPr>
            </w:pPr>
            <w:r w:rsidRPr="00010512">
              <w:rPr>
                <w:i/>
              </w:rPr>
              <w:t>Enterococcus spp.</w:t>
            </w:r>
          </w:p>
        </w:tc>
        <w:tc>
          <w:tcPr>
            <w:tcW w:w="3192" w:type="dxa"/>
          </w:tcPr>
          <w:p w14:paraId="569A71B7" w14:textId="448376EA" w:rsidR="00010512" w:rsidRDefault="00010512" w:rsidP="00010512">
            <w:pPr>
              <w:rPr>
                <w:rFonts w:eastAsia="Times New Roman" w:cs="Arial"/>
                <w:sz w:val="28"/>
                <w:szCs w:val="24"/>
              </w:rPr>
            </w:pPr>
            <w:r>
              <w:rPr>
                <w:lang w:eastAsia="bg-BG"/>
              </w:rPr>
              <w:t>0,001</w:t>
            </w:r>
          </w:p>
        </w:tc>
        <w:tc>
          <w:tcPr>
            <w:tcW w:w="3192" w:type="dxa"/>
          </w:tcPr>
          <w:p w14:paraId="7E0958F9" w14:textId="0275BEF6" w:rsidR="00010512" w:rsidRDefault="00010512" w:rsidP="00010512">
            <w:pPr>
              <w:rPr>
                <w:rFonts w:eastAsia="Times New Roman" w:cs="Arial"/>
                <w:sz w:val="28"/>
                <w:szCs w:val="24"/>
              </w:rPr>
            </w:pPr>
            <w:r>
              <w:rPr>
                <w:lang w:eastAsia="bg-BG"/>
              </w:rPr>
              <w:t>4</w:t>
            </w:r>
          </w:p>
        </w:tc>
      </w:tr>
      <w:tr w:rsidR="00010512" w14:paraId="366936C8" w14:textId="77777777" w:rsidTr="00010512">
        <w:tc>
          <w:tcPr>
            <w:tcW w:w="3192" w:type="dxa"/>
          </w:tcPr>
          <w:p w14:paraId="779E2CEF" w14:textId="206C44C1" w:rsidR="00010512" w:rsidRPr="00010512" w:rsidRDefault="00010512" w:rsidP="00010512">
            <w:pPr>
              <w:spacing w:line="240" w:lineRule="auto"/>
              <w:rPr>
                <w:rFonts w:eastAsia="Times New Roman" w:cs="Arial"/>
                <w:szCs w:val="24"/>
              </w:rPr>
            </w:pPr>
            <w:r w:rsidRPr="00010512">
              <w:rPr>
                <w:i/>
                <w:iCs/>
                <w:szCs w:val="20"/>
                <w:lang w:val="en-US"/>
              </w:rPr>
              <w:t>Streptococcus</w:t>
            </w:r>
            <w:r w:rsidRPr="00010512">
              <w:rPr>
                <w:szCs w:val="20"/>
                <w:lang w:val="en-US"/>
              </w:rPr>
              <w:t xml:space="preserve"> </w:t>
            </w:r>
            <w:r w:rsidRPr="00010512">
              <w:rPr>
                <w:szCs w:val="20"/>
              </w:rPr>
              <w:t xml:space="preserve">А, В, </w:t>
            </w:r>
            <w:r w:rsidRPr="00010512">
              <w:rPr>
                <w:szCs w:val="20"/>
                <w:lang w:val="en-US"/>
              </w:rPr>
              <w:t>C, G</w:t>
            </w:r>
          </w:p>
        </w:tc>
        <w:tc>
          <w:tcPr>
            <w:tcW w:w="6384" w:type="dxa"/>
            <w:gridSpan w:val="2"/>
          </w:tcPr>
          <w:p w14:paraId="3FCCFF41" w14:textId="749661AC" w:rsidR="00010512" w:rsidRPr="00010512" w:rsidRDefault="00010512" w:rsidP="00010512">
            <w:pPr>
              <w:spacing w:line="240" w:lineRule="auto"/>
              <w:rPr>
                <w:rFonts w:eastAsia="Times New Roman" w:cs="Arial"/>
                <w:szCs w:val="24"/>
              </w:rPr>
            </w:pPr>
            <w:r w:rsidRPr="00010512">
              <w:rPr>
                <w:szCs w:val="20"/>
              </w:rPr>
              <w:t>В зависимост от чувствителността към бензилпеницилин</w:t>
            </w:r>
          </w:p>
        </w:tc>
      </w:tr>
      <w:tr w:rsidR="00010512" w14:paraId="06787A53" w14:textId="77777777" w:rsidTr="00010512">
        <w:tc>
          <w:tcPr>
            <w:tcW w:w="3192" w:type="dxa"/>
          </w:tcPr>
          <w:p w14:paraId="7D676C25" w14:textId="11FF76A7" w:rsidR="00010512" w:rsidRPr="00010512" w:rsidRDefault="00010512" w:rsidP="00010512">
            <w:pPr>
              <w:spacing w:line="240" w:lineRule="auto"/>
              <w:rPr>
                <w:rFonts w:eastAsia="Times New Roman" w:cs="Arial"/>
              </w:rPr>
            </w:pPr>
            <w:r w:rsidRPr="00010512">
              <w:rPr>
                <w:i/>
                <w:iCs/>
                <w:lang w:val="en-US"/>
              </w:rPr>
              <w:t xml:space="preserve">Streptococcus </w:t>
            </w:r>
            <w:proofErr w:type="spellStart"/>
            <w:r w:rsidRPr="00010512">
              <w:rPr>
                <w:i/>
                <w:iCs/>
                <w:lang w:val="en-US"/>
              </w:rPr>
              <w:t>pneumoniae</w:t>
            </w:r>
            <w:proofErr w:type="spellEnd"/>
          </w:p>
        </w:tc>
        <w:tc>
          <w:tcPr>
            <w:tcW w:w="3192" w:type="dxa"/>
          </w:tcPr>
          <w:p w14:paraId="03ACD150" w14:textId="10778EA2" w:rsidR="00010512" w:rsidRPr="00010512" w:rsidRDefault="00010512" w:rsidP="00010512">
            <w:pPr>
              <w:spacing w:line="240" w:lineRule="auto"/>
              <w:rPr>
                <w:rFonts w:eastAsia="Times New Roman" w:cs="Arial"/>
              </w:rPr>
            </w:pPr>
            <w:r w:rsidRPr="00010512">
              <w:t>2</w:t>
            </w:r>
          </w:p>
        </w:tc>
        <w:tc>
          <w:tcPr>
            <w:tcW w:w="3192" w:type="dxa"/>
          </w:tcPr>
          <w:p w14:paraId="17E6A5EF" w14:textId="55A78589" w:rsidR="00010512" w:rsidRPr="00010512" w:rsidRDefault="00010512" w:rsidP="00010512">
            <w:pPr>
              <w:spacing w:line="240" w:lineRule="auto"/>
              <w:rPr>
                <w:rFonts w:eastAsia="Times New Roman" w:cs="Arial"/>
              </w:rPr>
            </w:pPr>
            <w:r w:rsidRPr="00010512">
              <w:t>2</w:t>
            </w:r>
          </w:p>
        </w:tc>
      </w:tr>
      <w:tr w:rsidR="00010512" w14:paraId="24166B49" w14:textId="77777777" w:rsidTr="00010512">
        <w:tc>
          <w:tcPr>
            <w:tcW w:w="3192" w:type="dxa"/>
          </w:tcPr>
          <w:p w14:paraId="56F973FB" w14:textId="16BACAD0" w:rsidR="00010512" w:rsidRPr="00010512" w:rsidRDefault="00010512" w:rsidP="00010512">
            <w:pPr>
              <w:spacing w:line="240" w:lineRule="auto"/>
              <w:rPr>
                <w:rFonts w:eastAsia="Times New Roman" w:cs="Arial"/>
              </w:rPr>
            </w:pPr>
            <w:r w:rsidRPr="00010512">
              <w:t xml:space="preserve">Стрептококи от групата </w:t>
            </w:r>
            <w:proofErr w:type="spellStart"/>
            <w:r w:rsidRPr="00010512">
              <w:rPr>
                <w:lang w:val="en-US"/>
              </w:rPr>
              <w:t>Viridans</w:t>
            </w:r>
            <w:proofErr w:type="spellEnd"/>
          </w:p>
        </w:tc>
        <w:tc>
          <w:tcPr>
            <w:tcW w:w="3192" w:type="dxa"/>
          </w:tcPr>
          <w:p w14:paraId="3AE33602" w14:textId="17035293" w:rsidR="00010512" w:rsidRPr="00010512" w:rsidRDefault="00010512" w:rsidP="00010512">
            <w:pPr>
              <w:spacing w:line="240" w:lineRule="auto"/>
              <w:rPr>
                <w:rFonts w:eastAsia="Times New Roman" w:cs="Arial"/>
              </w:rPr>
            </w:pPr>
            <w:r w:rsidRPr="00010512">
              <w:t>2</w:t>
            </w:r>
          </w:p>
        </w:tc>
        <w:tc>
          <w:tcPr>
            <w:tcW w:w="3192" w:type="dxa"/>
          </w:tcPr>
          <w:p w14:paraId="399BABB1" w14:textId="7583900A" w:rsidR="00010512" w:rsidRPr="00010512" w:rsidRDefault="00010512" w:rsidP="00010512">
            <w:pPr>
              <w:spacing w:line="240" w:lineRule="auto"/>
              <w:rPr>
                <w:rFonts w:eastAsia="Times New Roman" w:cs="Arial"/>
              </w:rPr>
            </w:pPr>
            <w:r w:rsidRPr="00010512">
              <w:t>2</w:t>
            </w:r>
          </w:p>
        </w:tc>
      </w:tr>
      <w:tr w:rsidR="00010512" w14:paraId="1DDAA64F" w14:textId="77777777" w:rsidTr="00010512">
        <w:tc>
          <w:tcPr>
            <w:tcW w:w="3192" w:type="dxa"/>
          </w:tcPr>
          <w:p w14:paraId="0B1E9C06" w14:textId="5339CA24" w:rsidR="00010512" w:rsidRPr="00010512" w:rsidRDefault="00010512" w:rsidP="00010512">
            <w:pPr>
              <w:spacing w:line="240" w:lineRule="auto"/>
              <w:rPr>
                <w:rFonts w:eastAsia="Times New Roman" w:cs="Arial"/>
              </w:rPr>
            </w:pPr>
            <w:proofErr w:type="spellStart"/>
            <w:r w:rsidRPr="00010512">
              <w:rPr>
                <w:i/>
                <w:iCs/>
                <w:lang w:val="en-US"/>
              </w:rPr>
              <w:t>Haemophilus</w:t>
            </w:r>
            <w:proofErr w:type="spellEnd"/>
            <w:r w:rsidRPr="00010512">
              <w:rPr>
                <w:i/>
                <w:iCs/>
                <w:lang w:val="en-US"/>
              </w:rPr>
              <w:t xml:space="preserve"> </w:t>
            </w:r>
            <w:proofErr w:type="spellStart"/>
            <w:r w:rsidRPr="00010512">
              <w:rPr>
                <w:i/>
                <w:iCs/>
                <w:lang w:val="en-US"/>
              </w:rPr>
              <w:t>influenzae</w:t>
            </w:r>
            <w:proofErr w:type="spellEnd"/>
          </w:p>
        </w:tc>
        <w:tc>
          <w:tcPr>
            <w:tcW w:w="3192" w:type="dxa"/>
          </w:tcPr>
          <w:p w14:paraId="3054571D" w14:textId="6B0CA051" w:rsidR="00010512" w:rsidRPr="00010512" w:rsidRDefault="00010512" w:rsidP="00010512">
            <w:pPr>
              <w:spacing w:line="240" w:lineRule="auto"/>
              <w:rPr>
                <w:rFonts w:eastAsia="Times New Roman" w:cs="Arial"/>
              </w:rPr>
            </w:pPr>
            <w:r w:rsidRPr="00010512">
              <w:t>2</w:t>
            </w:r>
          </w:p>
        </w:tc>
        <w:tc>
          <w:tcPr>
            <w:tcW w:w="3192" w:type="dxa"/>
          </w:tcPr>
          <w:p w14:paraId="2E9ED192" w14:textId="5E6F2A13" w:rsidR="00010512" w:rsidRPr="00010512" w:rsidRDefault="00010512" w:rsidP="00010512">
            <w:pPr>
              <w:spacing w:line="240" w:lineRule="auto"/>
              <w:rPr>
                <w:rFonts w:eastAsia="Times New Roman" w:cs="Arial"/>
              </w:rPr>
            </w:pPr>
            <w:r w:rsidRPr="00010512">
              <w:t>2</w:t>
            </w:r>
          </w:p>
        </w:tc>
      </w:tr>
      <w:tr w:rsidR="00010512" w14:paraId="72D139A3" w14:textId="77777777" w:rsidTr="00010512">
        <w:tc>
          <w:tcPr>
            <w:tcW w:w="3192" w:type="dxa"/>
          </w:tcPr>
          <w:p w14:paraId="682AD720" w14:textId="69AE1568" w:rsidR="00010512" w:rsidRPr="00010512" w:rsidRDefault="00010512" w:rsidP="00010512">
            <w:pPr>
              <w:spacing w:line="240" w:lineRule="auto"/>
              <w:rPr>
                <w:rFonts w:eastAsia="Times New Roman" w:cs="Arial"/>
              </w:rPr>
            </w:pPr>
            <w:proofErr w:type="spellStart"/>
            <w:r w:rsidRPr="00010512">
              <w:rPr>
                <w:i/>
                <w:iCs/>
                <w:lang w:val="en-US"/>
              </w:rPr>
              <w:t>Moraxalla</w:t>
            </w:r>
            <w:proofErr w:type="spellEnd"/>
            <w:r w:rsidRPr="00010512">
              <w:rPr>
                <w:i/>
                <w:iCs/>
                <w:lang w:val="en-US"/>
              </w:rPr>
              <w:t xml:space="preserve"> catarrhalis</w:t>
            </w:r>
            <w:r w:rsidRPr="00010512">
              <w:rPr>
                <w:i/>
                <w:iCs/>
                <w:vertAlign w:val="superscript"/>
                <w:lang w:val="en-US"/>
              </w:rPr>
              <w:t>2</w:t>
            </w:r>
          </w:p>
        </w:tc>
        <w:tc>
          <w:tcPr>
            <w:tcW w:w="3192" w:type="dxa"/>
          </w:tcPr>
          <w:p w14:paraId="4E8BC9D4" w14:textId="5678364F" w:rsidR="00010512" w:rsidRPr="00010512" w:rsidRDefault="00010512" w:rsidP="00010512">
            <w:pPr>
              <w:spacing w:line="240" w:lineRule="auto"/>
              <w:rPr>
                <w:rFonts w:eastAsia="Times New Roman" w:cs="Arial"/>
              </w:rPr>
            </w:pPr>
            <w:r w:rsidRPr="00010512">
              <w:t>2</w:t>
            </w:r>
          </w:p>
        </w:tc>
        <w:tc>
          <w:tcPr>
            <w:tcW w:w="3192" w:type="dxa"/>
          </w:tcPr>
          <w:p w14:paraId="63CAB6BC" w14:textId="5CC85462" w:rsidR="00010512" w:rsidRPr="00010512" w:rsidRDefault="00010512" w:rsidP="00010512">
            <w:pPr>
              <w:spacing w:line="240" w:lineRule="auto"/>
              <w:rPr>
                <w:rFonts w:eastAsia="Times New Roman" w:cs="Arial"/>
              </w:rPr>
            </w:pPr>
            <w:r w:rsidRPr="00010512">
              <w:t>2</w:t>
            </w:r>
          </w:p>
        </w:tc>
      </w:tr>
      <w:tr w:rsidR="00010512" w14:paraId="3D14C111" w14:textId="77777777" w:rsidTr="00010512">
        <w:tc>
          <w:tcPr>
            <w:tcW w:w="3192" w:type="dxa"/>
          </w:tcPr>
          <w:p w14:paraId="5F9D1F45" w14:textId="0C5A0BB9" w:rsidR="00010512" w:rsidRPr="00010512" w:rsidRDefault="00010512" w:rsidP="00010512">
            <w:pPr>
              <w:spacing w:line="240" w:lineRule="auto"/>
              <w:rPr>
                <w:rFonts w:eastAsia="Times New Roman" w:cs="Arial"/>
              </w:rPr>
            </w:pPr>
            <w:r w:rsidRPr="00010512">
              <w:t xml:space="preserve">Грам-положителни анаероби, </w:t>
            </w:r>
            <w:r w:rsidRPr="00010512">
              <w:rPr>
                <w:lang w:val="en-US"/>
              </w:rPr>
              <w:t>c</w:t>
            </w:r>
            <w:r w:rsidRPr="00010512">
              <w:rPr>
                <w:lang w:val="ru-RU"/>
              </w:rPr>
              <w:t xml:space="preserve"> </w:t>
            </w:r>
            <w:r w:rsidRPr="00010512">
              <w:t xml:space="preserve">изключение на </w:t>
            </w:r>
            <w:proofErr w:type="spellStart"/>
            <w:r w:rsidRPr="00010512">
              <w:rPr>
                <w:i/>
                <w:iCs/>
                <w:lang w:val="en-US"/>
              </w:rPr>
              <w:t>Clostridioides</w:t>
            </w:r>
            <w:proofErr w:type="spellEnd"/>
            <w:r w:rsidRPr="00010512">
              <w:rPr>
                <w:i/>
                <w:iCs/>
                <w:lang w:val="ru-RU"/>
              </w:rPr>
              <w:t xml:space="preserve"> </w:t>
            </w:r>
            <w:r w:rsidRPr="00010512">
              <w:rPr>
                <w:i/>
                <w:iCs/>
                <w:lang w:val="en-US"/>
              </w:rPr>
              <w:t>difficile</w:t>
            </w:r>
          </w:p>
        </w:tc>
        <w:tc>
          <w:tcPr>
            <w:tcW w:w="3192" w:type="dxa"/>
          </w:tcPr>
          <w:p w14:paraId="29C57A0D" w14:textId="75805CB2" w:rsidR="00010512" w:rsidRPr="00010512" w:rsidRDefault="00010512" w:rsidP="00010512">
            <w:pPr>
              <w:spacing w:line="240" w:lineRule="auto"/>
              <w:rPr>
                <w:rFonts w:eastAsia="Times New Roman" w:cs="Arial"/>
              </w:rPr>
            </w:pPr>
            <w:r w:rsidRPr="00010512">
              <w:t>2</w:t>
            </w:r>
          </w:p>
        </w:tc>
        <w:tc>
          <w:tcPr>
            <w:tcW w:w="3192" w:type="dxa"/>
          </w:tcPr>
          <w:p w14:paraId="17E8125A" w14:textId="5871041C" w:rsidR="00010512" w:rsidRPr="00010512" w:rsidRDefault="00010512" w:rsidP="00010512">
            <w:pPr>
              <w:spacing w:line="240" w:lineRule="auto"/>
              <w:rPr>
                <w:rFonts w:eastAsia="Times New Roman" w:cs="Arial"/>
              </w:rPr>
            </w:pPr>
            <w:r w:rsidRPr="00010512">
              <w:t>4</w:t>
            </w:r>
          </w:p>
        </w:tc>
      </w:tr>
      <w:tr w:rsidR="00010512" w14:paraId="32756692" w14:textId="77777777" w:rsidTr="00010512">
        <w:tc>
          <w:tcPr>
            <w:tcW w:w="3192" w:type="dxa"/>
          </w:tcPr>
          <w:p w14:paraId="603F6FC2" w14:textId="02B7924C" w:rsidR="00010512" w:rsidRPr="00010512" w:rsidRDefault="00010512" w:rsidP="00010512">
            <w:pPr>
              <w:spacing w:line="240" w:lineRule="auto"/>
              <w:rPr>
                <w:rFonts w:eastAsia="Times New Roman" w:cs="Arial"/>
              </w:rPr>
            </w:pPr>
            <w:r w:rsidRPr="00010512">
              <w:t>Грам-отрицателни анаероби</w:t>
            </w:r>
          </w:p>
        </w:tc>
        <w:tc>
          <w:tcPr>
            <w:tcW w:w="3192" w:type="dxa"/>
          </w:tcPr>
          <w:p w14:paraId="7CAF435C" w14:textId="57742534" w:rsidR="00010512" w:rsidRPr="00010512" w:rsidRDefault="00010512" w:rsidP="00010512">
            <w:pPr>
              <w:spacing w:line="240" w:lineRule="auto"/>
              <w:rPr>
                <w:rFonts w:eastAsia="Times New Roman" w:cs="Arial"/>
              </w:rPr>
            </w:pPr>
            <w:r w:rsidRPr="00010512">
              <w:t>2</w:t>
            </w:r>
          </w:p>
        </w:tc>
        <w:tc>
          <w:tcPr>
            <w:tcW w:w="3192" w:type="dxa"/>
          </w:tcPr>
          <w:p w14:paraId="6AB8111D" w14:textId="1DC4338E" w:rsidR="00010512" w:rsidRPr="00010512" w:rsidRDefault="00010512" w:rsidP="00010512">
            <w:pPr>
              <w:spacing w:line="240" w:lineRule="auto"/>
              <w:rPr>
                <w:rFonts w:eastAsia="Times New Roman" w:cs="Arial"/>
              </w:rPr>
            </w:pPr>
            <w:r w:rsidRPr="00010512">
              <w:t>4</w:t>
            </w:r>
          </w:p>
        </w:tc>
      </w:tr>
      <w:tr w:rsidR="00010512" w14:paraId="23D78F80" w14:textId="77777777" w:rsidTr="00010512">
        <w:tc>
          <w:tcPr>
            <w:tcW w:w="3192" w:type="dxa"/>
          </w:tcPr>
          <w:p w14:paraId="5CECAB21" w14:textId="0AFA9C24" w:rsidR="00010512" w:rsidRPr="00010512" w:rsidRDefault="00010512" w:rsidP="00010512">
            <w:pPr>
              <w:spacing w:line="240" w:lineRule="auto"/>
              <w:rPr>
                <w:rFonts w:eastAsia="Times New Roman" w:cs="Arial"/>
              </w:rPr>
            </w:pPr>
            <w:proofErr w:type="spellStart"/>
            <w:r w:rsidRPr="00010512">
              <w:rPr>
                <w:i/>
                <w:iCs/>
                <w:lang w:val="en-US"/>
              </w:rPr>
              <w:t>Burkholderia</w:t>
            </w:r>
            <w:proofErr w:type="spellEnd"/>
            <w:r w:rsidRPr="00010512">
              <w:rPr>
                <w:i/>
                <w:iCs/>
                <w:lang w:val="en-US"/>
              </w:rPr>
              <w:t xml:space="preserve"> </w:t>
            </w:r>
            <w:proofErr w:type="spellStart"/>
            <w:r w:rsidRPr="00010512">
              <w:rPr>
                <w:i/>
                <w:iCs/>
                <w:lang w:val="en-US"/>
              </w:rPr>
              <w:t>pseudomallei</w:t>
            </w:r>
            <w:proofErr w:type="spellEnd"/>
          </w:p>
        </w:tc>
        <w:tc>
          <w:tcPr>
            <w:tcW w:w="3192" w:type="dxa"/>
          </w:tcPr>
          <w:p w14:paraId="7E6E04C0" w14:textId="4B44C47B" w:rsidR="00010512" w:rsidRPr="00010512" w:rsidRDefault="00010512" w:rsidP="00010512">
            <w:pPr>
              <w:spacing w:line="240" w:lineRule="auto"/>
              <w:rPr>
                <w:rFonts w:eastAsia="Times New Roman" w:cs="Arial"/>
              </w:rPr>
            </w:pPr>
            <w:r w:rsidRPr="00010512">
              <w:t>2</w:t>
            </w:r>
          </w:p>
        </w:tc>
        <w:tc>
          <w:tcPr>
            <w:tcW w:w="3192" w:type="dxa"/>
          </w:tcPr>
          <w:p w14:paraId="5DB92BF0" w14:textId="28326D64" w:rsidR="00010512" w:rsidRPr="00010512" w:rsidRDefault="00010512" w:rsidP="00010512">
            <w:pPr>
              <w:spacing w:line="240" w:lineRule="auto"/>
              <w:rPr>
                <w:rFonts w:eastAsia="Times New Roman" w:cs="Arial"/>
              </w:rPr>
            </w:pPr>
            <w:r w:rsidRPr="00010512">
              <w:t>2</w:t>
            </w:r>
          </w:p>
        </w:tc>
      </w:tr>
      <w:tr w:rsidR="00010512" w14:paraId="1D8AEC65" w14:textId="77777777" w:rsidTr="00010512">
        <w:tc>
          <w:tcPr>
            <w:tcW w:w="3192" w:type="dxa"/>
          </w:tcPr>
          <w:p w14:paraId="1FA8D7E6" w14:textId="319B4C7A" w:rsidR="00010512" w:rsidRPr="00010512" w:rsidRDefault="00010512" w:rsidP="00010512">
            <w:pPr>
              <w:spacing w:line="240" w:lineRule="auto"/>
              <w:rPr>
                <w:rFonts w:eastAsia="Times New Roman" w:cs="Arial"/>
              </w:rPr>
            </w:pPr>
            <w:r w:rsidRPr="00010512">
              <w:t>Неспецифично свързани гранични стойности</w:t>
            </w:r>
            <w:r w:rsidRPr="00010512">
              <w:rPr>
                <w:vertAlign w:val="superscript"/>
              </w:rPr>
              <w:t>3</w:t>
            </w:r>
          </w:p>
        </w:tc>
        <w:tc>
          <w:tcPr>
            <w:tcW w:w="3192" w:type="dxa"/>
          </w:tcPr>
          <w:p w14:paraId="2B6F6773" w14:textId="2DD1B22C" w:rsidR="00010512" w:rsidRPr="00010512" w:rsidRDefault="00010512" w:rsidP="00010512">
            <w:pPr>
              <w:spacing w:line="240" w:lineRule="auto"/>
              <w:rPr>
                <w:rFonts w:eastAsia="Times New Roman" w:cs="Arial"/>
              </w:rPr>
            </w:pPr>
            <w:r w:rsidRPr="00010512">
              <w:t>2</w:t>
            </w:r>
          </w:p>
        </w:tc>
        <w:tc>
          <w:tcPr>
            <w:tcW w:w="3192" w:type="dxa"/>
          </w:tcPr>
          <w:p w14:paraId="6BE078E5" w14:textId="60AD1142" w:rsidR="00010512" w:rsidRPr="00010512" w:rsidRDefault="00010512" w:rsidP="00010512">
            <w:pPr>
              <w:spacing w:line="240" w:lineRule="auto"/>
              <w:rPr>
                <w:rFonts w:eastAsia="Times New Roman" w:cs="Arial"/>
              </w:rPr>
            </w:pPr>
            <w:r w:rsidRPr="00010512">
              <w:t>4</w:t>
            </w:r>
          </w:p>
        </w:tc>
      </w:tr>
    </w:tbl>
    <w:p w14:paraId="0F1E3816" w14:textId="67BA05C7" w:rsidR="00010512" w:rsidRPr="00010512" w:rsidRDefault="00010512" w:rsidP="00010512">
      <w:pPr>
        <w:rPr>
          <w:lang w:eastAsia="bg-BG"/>
        </w:rPr>
      </w:pPr>
      <w:r w:rsidRPr="00010512">
        <w:rPr>
          <w:vertAlign w:val="superscript"/>
          <w:lang w:eastAsia="bg-BG"/>
        </w:rPr>
        <w:t>1</w:t>
      </w:r>
      <w:r w:rsidRPr="00010512">
        <w:rPr>
          <w:lang w:eastAsia="bg-BG"/>
        </w:rPr>
        <w:t xml:space="preserve">Характерната ниска активност на имипенем срещу </w:t>
      </w:r>
      <w:proofErr w:type="spellStart"/>
      <w:r w:rsidRPr="00010512">
        <w:rPr>
          <w:i/>
          <w:iCs/>
          <w:lang w:val="en-US"/>
        </w:rPr>
        <w:t>Morganella</w:t>
      </w:r>
      <w:proofErr w:type="spellEnd"/>
      <w:r w:rsidRPr="00010512">
        <w:rPr>
          <w:i/>
          <w:iCs/>
        </w:rPr>
        <w:t xml:space="preserve"> </w:t>
      </w:r>
      <w:proofErr w:type="spellStart"/>
      <w:r w:rsidRPr="00010512">
        <w:rPr>
          <w:i/>
          <w:iCs/>
          <w:lang w:val="en-US"/>
        </w:rPr>
        <w:t>morganii</w:t>
      </w:r>
      <w:proofErr w:type="spellEnd"/>
      <w:r w:rsidRPr="00010512">
        <w:rPr>
          <w:i/>
          <w:iCs/>
        </w:rPr>
        <w:t xml:space="preserve">, </w:t>
      </w:r>
      <w:r w:rsidRPr="00010512">
        <w:rPr>
          <w:i/>
          <w:iCs/>
          <w:lang w:val="en-US"/>
        </w:rPr>
        <w:t>Proteus</w:t>
      </w:r>
      <w:r w:rsidRPr="00010512">
        <w:t xml:space="preserve"> </w:t>
      </w:r>
      <w:proofErr w:type="spellStart"/>
      <w:r w:rsidRPr="00010512">
        <w:rPr>
          <w:lang w:val="en-US"/>
        </w:rPr>
        <w:t>spp</w:t>
      </w:r>
      <w:proofErr w:type="spellEnd"/>
      <w:r w:rsidRPr="00010512">
        <w:t xml:space="preserve">. </w:t>
      </w:r>
      <w:r w:rsidRPr="00010512">
        <w:rPr>
          <w:lang w:eastAsia="bg-BG"/>
        </w:rPr>
        <w:t xml:space="preserve">и </w:t>
      </w:r>
      <w:proofErr w:type="spellStart"/>
      <w:r w:rsidRPr="00010512">
        <w:rPr>
          <w:i/>
          <w:iCs/>
          <w:lang w:val="en-US"/>
        </w:rPr>
        <w:t>Providencia</w:t>
      </w:r>
      <w:proofErr w:type="spellEnd"/>
      <w:r w:rsidRPr="00010512">
        <w:t xml:space="preserve"> </w:t>
      </w:r>
      <w:proofErr w:type="spellStart"/>
      <w:r w:rsidRPr="00010512">
        <w:rPr>
          <w:lang w:val="en-US"/>
        </w:rPr>
        <w:t>spp</w:t>
      </w:r>
      <w:proofErr w:type="spellEnd"/>
      <w:r w:rsidRPr="00010512">
        <w:t xml:space="preserve">. </w:t>
      </w:r>
      <w:r w:rsidRPr="00010512">
        <w:rPr>
          <w:lang w:eastAsia="bg-BG"/>
        </w:rPr>
        <w:t>изисква висока експозиция на имипенем.</w:t>
      </w:r>
    </w:p>
    <w:p w14:paraId="155A701F" w14:textId="667C9E19" w:rsidR="00010512" w:rsidRPr="00010512" w:rsidRDefault="00010512" w:rsidP="00010512">
      <w:pPr>
        <w:rPr>
          <w:lang w:eastAsia="bg-BG"/>
        </w:rPr>
      </w:pPr>
      <w:r w:rsidRPr="00010512">
        <w:rPr>
          <w:vertAlign w:val="superscript"/>
          <w:lang w:eastAsia="bg-BG"/>
        </w:rPr>
        <w:t>2</w:t>
      </w:r>
      <w:r w:rsidRPr="00010512">
        <w:rPr>
          <w:lang w:eastAsia="bg-BG"/>
        </w:rPr>
        <w:t>Нечувствителните изплати са редки или все още не са съобщени. Идентифицирането и резултатът от изпитването за антимикробна чувствителност на всеки такъв изолат трябва да бъдат потвърдени и изолатът да бъде изпратен в референтна лаборатория.</w:t>
      </w:r>
    </w:p>
    <w:p w14:paraId="498C1DB8" w14:textId="55CA1A1E" w:rsidR="00010512" w:rsidRPr="00010512" w:rsidRDefault="00010512" w:rsidP="00010512">
      <w:pPr>
        <w:rPr>
          <w:lang w:eastAsia="bg-BG"/>
        </w:rPr>
      </w:pPr>
      <w:r w:rsidRPr="00010512">
        <w:rPr>
          <w:vertAlign w:val="superscript"/>
          <w:lang w:eastAsia="bg-BG"/>
        </w:rPr>
        <w:t>3</w:t>
      </w:r>
      <w:r w:rsidRPr="00010512">
        <w:rPr>
          <w:lang w:eastAsia="bg-BG"/>
        </w:rPr>
        <w:t xml:space="preserve">Не-свързаните с вида гранични стойности се определят главно въз основа на </w:t>
      </w:r>
      <w:r w:rsidRPr="00010512">
        <w:rPr>
          <w:lang w:val="en-US"/>
        </w:rPr>
        <w:t>PK</w:t>
      </w:r>
      <w:r w:rsidRPr="00010512">
        <w:rPr>
          <w:lang w:val="ru-RU"/>
        </w:rPr>
        <w:t>/</w:t>
      </w:r>
      <w:r w:rsidRPr="00010512">
        <w:rPr>
          <w:lang w:val="en-US"/>
        </w:rPr>
        <w:t>PD</w:t>
      </w:r>
      <w:r w:rsidRPr="00010512">
        <w:rPr>
          <w:lang w:val="ru-RU"/>
        </w:rPr>
        <w:t xml:space="preserve"> </w:t>
      </w:r>
      <w:r w:rsidRPr="00010512">
        <w:rPr>
          <w:lang w:eastAsia="bg-BG"/>
        </w:rPr>
        <w:t xml:space="preserve">данни и не зависят от разпределението на </w:t>
      </w:r>
      <w:r w:rsidRPr="00010512">
        <w:rPr>
          <w:lang w:val="en-US"/>
        </w:rPr>
        <w:t>MIC</w:t>
      </w:r>
      <w:r w:rsidRPr="00010512">
        <w:rPr>
          <w:lang w:val="ru-RU"/>
        </w:rPr>
        <w:t xml:space="preserve"> </w:t>
      </w:r>
      <w:r w:rsidRPr="00010512">
        <w:rPr>
          <w:lang w:eastAsia="bg-BG"/>
        </w:rPr>
        <w:t>на определен вид. Те са предназначени за използване само при видове, които не са посочени във видово-специфичните гранични стойности или бележките под линия.</w:t>
      </w:r>
    </w:p>
    <w:p w14:paraId="71370B51" w14:textId="77777777" w:rsidR="00010512" w:rsidRDefault="00010512" w:rsidP="00010512">
      <w:pPr>
        <w:rPr>
          <w:u w:val="single"/>
          <w:lang w:eastAsia="bg-BG"/>
        </w:rPr>
      </w:pPr>
    </w:p>
    <w:p w14:paraId="1F5CE820" w14:textId="57FBC811" w:rsidR="00010512" w:rsidRPr="00010512" w:rsidRDefault="00010512" w:rsidP="00010512">
      <w:pPr>
        <w:rPr>
          <w:sz w:val="24"/>
          <w:szCs w:val="24"/>
        </w:rPr>
      </w:pPr>
      <w:r w:rsidRPr="00010512">
        <w:rPr>
          <w:u w:val="single"/>
          <w:lang w:eastAsia="bg-BG"/>
        </w:rPr>
        <w:t>Чувствителност</w:t>
      </w:r>
    </w:p>
    <w:p w14:paraId="4A41C3A7" w14:textId="77777777" w:rsidR="00010512" w:rsidRPr="00010512" w:rsidRDefault="00010512" w:rsidP="00010512">
      <w:pPr>
        <w:rPr>
          <w:sz w:val="24"/>
          <w:szCs w:val="24"/>
        </w:rPr>
      </w:pPr>
      <w:r w:rsidRPr="00010512">
        <w:rPr>
          <w:lang w:eastAsia="bg-BG"/>
        </w:rPr>
        <w:t>При определени видове честотата на придобитата резистентност може да варира според географското местоположение и времето на изолиране, като е желателно получаването на информация за локалната резистентност, особено при лекуване на тежки инфекции. При нужда трябва да се търси съвет от специалист, ако локалната честота на резистентност е такава, че поне при определени инфекции ползата от средството е съмнителна.</w:t>
      </w:r>
    </w:p>
    <w:p w14:paraId="71EB5A09" w14:textId="4558E676" w:rsidR="00010512" w:rsidRDefault="00010512" w:rsidP="00010512">
      <w:pPr>
        <w:spacing w:line="240" w:lineRule="auto"/>
        <w:rPr>
          <w:rFonts w:eastAsia="Times New Roman" w:cs="Arial"/>
          <w:sz w:val="28"/>
          <w:szCs w:val="24"/>
        </w:rPr>
      </w:pPr>
    </w:p>
    <w:tbl>
      <w:tblPr>
        <w:tblStyle w:val="TableGrid"/>
        <w:tblW w:w="0" w:type="auto"/>
        <w:tblLook w:val="04A0" w:firstRow="1" w:lastRow="0" w:firstColumn="1" w:lastColumn="0" w:noHBand="0" w:noVBand="1"/>
      </w:tblPr>
      <w:tblGrid>
        <w:gridCol w:w="9350"/>
      </w:tblGrid>
      <w:tr w:rsidR="00010512" w14:paraId="0B9F01ED" w14:textId="77777777" w:rsidTr="00010512">
        <w:tc>
          <w:tcPr>
            <w:tcW w:w="9576" w:type="dxa"/>
            <w:vAlign w:val="bottom"/>
          </w:tcPr>
          <w:p w14:paraId="6DC72338" w14:textId="5F78EFF5" w:rsidR="00010512" w:rsidRPr="00010512" w:rsidRDefault="00010512" w:rsidP="00010512">
            <w:pPr>
              <w:spacing w:line="240" w:lineRule="auto"/>
              <w:rPr>
                <w:rFonts w:eastAsia="Times New Roman" w:cs="Arial"/>
              </w:rPr>
            </w:pPr>
            <w:r w:rsidRPr="00010512">
              <w:rPr>
                <w:b/>
                <w:bCs/>
                <w:lang w:eastAsia="bg-BG"/>
              </w:rPr>
              <w:t>Обичайно чувствителни видове:</w:t>
            </w:r>
          </w:p>
        </w:tc>
      </w:tr>
      <w:tr w:rsidR="00010512" w14:paraId="647CF30F" w14:textId="77777777" w:rsidTr="00010512">
        <w:tc>
          <w:tcPr>
            <w:tcW w:w="9576" w:type="dxa"/>
            <w:vAlign w:val="bottom"/>
          </w:tcPr>
          <w:p w14:paraId="3D9A80FE" w14:textId="77777777" w:rsidR="00010512" w:rsidRPr="00010512" w:rsidRDefault="00010512" w:rsidP="00010512">
            <w:r w:rsidRPr="00010512">
              <w:rPr>
                <w:b/>
                <w:bCs/>
                <w:lang w:eastAsia="bg-BG"/>
              </w:rPr>
              <w:t>Грам-положителни аеробн:</w:t>
            </w:r>
          </w:p>
          <w:p w14:paraId="6B5354D5" w14:textId="77777777" w:rsidR="00010512" w:rsidRPr="00010512" w:rsidRDefault="00010512" w:rsidP="00010512">
            <w:r w:rsidRPr="00010512">
              <w:rPr>
                <w:i/>
                <w:iCs/>
              </w:rPr>
              <w:t>Enterococcus faecalis</w:t>
            </w:r>
          </w:p>
          <w:p w14:paraId="76EA50EF" w14:textId="77777777" w:rsidR="00010512" w:rsidRPr="00010512" w:rsidRDefault="00010512" w:rsidP="00010512">
            <w:r w:rsidRPr="00010512">
              <w:rPr>
                <w:i/>
                <w:iCs/>
              </w:rPr>
              <w:t>Staphylococcus aureus</w:t>
            </w:r>
            <w:r w:rsidRPr="00010512">
              <w:t xml:space="preserve"> </w:t>
            </w:r>
            <w:r w:rsidRPr="00010512">
              <w:rPr>
                <w:lang w:eastAsia="bg-BG"/>
              </w:rPr>
              <w:t>(метицилин-чувствителни)*</w:t>
            </w:r>
          </w:p>
          <w:p w14:paraId="162FCDD9" w14:textId="77777777" w:rsidR="00010512" w:rsidRPr="00010512" w:rsidRDefault="00010512" w:rsidP="00010512">
            <w:r w:rsidRPr="00010512">
              <w:rPr>
                <w:lang w:eastAsia="bg-BG"/>
              </w:rPr>
              <w:t xml:space="preserve">Коагулазо-отрицателни </w:t>
            </w:r>
            <w:r w:rsidRPr="00010512">
              <w:rPr>
                <w:i/>
                <w:iCs/>
              </w:rPr>
              <w:t>Staphylococcus</w:t>
            </w:r>
            <w:r w:rsidRPr="00010512">
              <w:t xml:space="preserve"> </w:t>
            </w:r>
            <w:r w:rsidRPr="00010512">
              <w:rPr>
                <w:lang w:eastAsia="bg-BG"/>
              </w:rPr>
              <w:t>(метицилин-чувствителни)</w:t>
            </w:r>
          </w:p>
          <w:p w14:paraId="42F8BC66" w14:textId="77777777" w:rsidR="00010512" w:rsidRPr="00010512" w:rsidRDefault="00010512" w:rsidP="00010512">
            <w:r w:rsidRPr="00010512">
              <w:rPr>
                <w:i/>
                <w:iCs/>
              </w:rPr>
              <w:t>Streptococcus agalactiae</w:t>
            </w:r>
          </w:p>
          <w:p w14:paraId="5B60623B" w14:textId="77777777" w:rsidR="00010512" w:rsidRPr="00010512" w:rsidRDefault="00010512" w:rsidP="00010512">
            <w:r w:rsidRPr="00010512">
              <w:rPr>
                <w:i/>
                <w:iCs/>
              </w:rPr>
              <w:t>Streptococcus pneumoniae</w:t>
            </w:r>
          </w:p>
          <w:p w14:paraId="1BA54EB9" w14:textId="77777777" w:rsidR="00010512" w:rsidRPr="00010512" w:rsidRDefault="00010512" w:rsidP="00010512">
            <w:r w:rsidRPr="00010512">
              <w:rPr>
                <w:i/>
                <w:iCs/>
              </w:rPr>
              <w:t>Streptococcus pyogenes</w:t>
            </w:r>
          </w:p>
          <w:p w14:paraId="6E1987D5" w14:textId="2FC9C827" w:rsidR="00010512" w:rsidRPr="00010512" w:rsidRDefault="00010512" w:rsidP="00010512">
            <w:pPr>
              <w:spacing w:line="240" w:lineRule="auto"/>
              <w:rPr>
                <w:rFonts w:eastAsia="Times New Roman" w:cs="Arial"/>
              </w:rPr>
            </w:pPr>
            <w:r w:rsidRPr="00010512">
              <w:rPr>
                <w:lang w:eastAsia="bg-BG"/>
              </w:rPr>
              <w:lastRenderedPageBreak/>
              <w:t xml:space="preserve">Групата на </w:t>
            </w:r>
            <w:r w:rsidRPr="00010512">
              <w:rPr>
                <w:i/>
                <w:iCs/>
              </w:rPr>
              <w:t>Streptococcus viridans</w:t>
            </w:r>
          </w:p>
        </w:tc>
      </w:tr>
      <w:tr w:rsidR="00010512" w14:paraId="213BB801" w14:textId="77777777" w:rsidTr="00010512">
        <w:tc>
          <w:tcPr>
            <w:tcW w:w="9576" w:type="dxa"/>
          </w:tcPr>
          <w:p w14:paraId="6B105BCE" w14:textId="77777777" w:rsidR="00010512" w:rsidRPr="00010512" w:rsidRDefault="00010512" w:rsidP="00010512">
            <w:r w:rsidRPr="00010512">
              <w:rPr>
                <w:b/>
                <w:bCs/>
                <w:lang w:eastAsia="bg-BG"/>
              </w:rPr>
              <w:lastRenderedPageBreak/>
              <w:t>Грам-отрицателни аеробн:</w:t>
            </w:r>
          </w:p>
          <w:p w14:paraId="6D9ECD4B" w14:textId="77777777" w:rsidR="00010512" w:rsidRPr="00010512" w:rsidRDefault="00010512" w:rsidP="00010512">
            <w:r w:rsidRPr="00010512">
              <w:rPr>
                <w:i/>
                <w:iCs/>
              </w:rPr>
              <w:t>Citrobacter freundii</w:t>
            </w:r>
          </w:p>
          <w:p w14:paraId="6FB417A8" w14:textId="77777777" w:rsidR="00010512" w:rsidRDefault="00010512" w:rsidP="00010512">
            <w:pPr>
              <w:rPr>
                <w:i/>
                <w:iCs/>
              </w:rPr>
            </w:pPr>
            <w:r w:rsidRPr="00010512">
              <w:rPr>
                <w:i/>
                <w:iCs/>
              </w:rPr>
              <w:t xml:space="preserve">Enterobacter aerogenes </w:t>
            </w:r>
          </w:p>
          <w:p w14:paraId="72B5F221" w14:textId="77777777" w:rsidR="00010512" w:rsidRDefault="00010512" w:rsidP="00010512">
            <w:pPr>
              <w:rPr>
                <w:i/>
                <w:iCs/>
              </w:rPr>
            </w:pPr>
            <w:r w:rsidRPr="00010512">
              <w:rPr>
                <w:i/>
                <w:iCs/>
              </w:rPr>
              <w:t xml:space="preserve">Enterobacter cloacae </w:t>
            </w:r>
          </w:p>
          <w:p w14:paraId="00369FF9" w14:textId="6AFC78DF" w:rsidR="00010512" w:rsidRPr="00010512" w:rsidRDefault="00010512" w:rsidP="00010512">
            <w:r w:rsidRPr="00010512">
              <w:rPr>
                <w:i/>
                <w:iCs/>
              </w:rPr>
              <w:t>Escherichia coli</w:t>
            </w:r>
          </w:p>
          <w:p w14:paraId="09723EEF" w14:textId="77777777" w:rsidR="00010512" w:rsidRDefault="00010512" w:rsidP="00010512">
            <w:pPr>
              <w:spacing w:line="240" w:lineRule="auto"/>
              <w:rPr>
                <w:i/>
                <w:iCs/>
              </w:rPr>
            </w:pPr>
            <w:r w:rsidRPr="00010512">
              <w:rPr>
                <w:i/>
                <w:iCs/>
              </w:rPr>
              <w:t xml:space="preserve">Haemophilus influenzae </w:t>
            </w:r>
          </w:p>
          <w:p w14:paraId="36EAF990" w14:textId="77777777" w:rsidR="00010512" w:rsidRDefault="00010512" w:rsidP="00010512">
            <w:pPr>
              <w:spacing w:line="240" w:lineRule="auto"/>
              <w:rPr>
                <w:i/>
                <w:iCs/>
              </w:rPr>
            </w:pPr>
            <w:r w:rsidRPr="00010512">
              <w:rPr>
                <w:i/>
                <w:iCs/>
              </w:rPr>
              <w:t xml:space="preserve">Klebsiella oxytoca </w:t>
            </w:r>
          </w:p>
          <w:p w14:paraId="7257DF8B" w14:textId="77777777" w:rsidR="00010512" w:rsidRDefault="00010512" w:rsidP="00010512">
            <w:pPr>
              <w:spacing w:line="240" w:lineRule="auto"/>
              <w:rPr>
                <w:i/>
                <w:iCs/>
              </w:rPr>
            </w:pPr>
            <w:r w:rsidRPr="00010512">
              <w:rPr>
                <w:i/>
                <w:iCs/>
              </w:rPr>
              <w:t xml:space="preserve">Klebsiella pneumoniae </w:t>
            </w:r>
          </w:p>
          <w:p w14:paraId="030C4578" w14:textId="77777777" w:rsidR="00010512" w:rsidRDefault="00010512" w:rsidP="00010512">
            <w:pPr>
              <w:spacing w:line="240" w:lineRule="auto"/>
              <w:rPr>
                <w:i/>
                <w:iCs/>
              </w:rPr>
            </w:pPr>
            <w:r w:rsidRPr="00010512">
              <w:rPr>
                <w:i/>
                <w:iCs/>
              </w:rPr>
              <w:t xml:space="preserve">Moraxella catarrhalis </w:t>
            </w:r>
          </w:p>
          <w:p w14:paraId="288569E1" w14:textId="3027D467" w:rsidR="00010512" w:rsidRPr="00010512" w:rsidRDefault="00010512" w:rsidP="00010512">
            <w:pPr>
              <w:spacing w:line="240" w:lineRule="auto"/>
              <w:rPr>
                <w:rFonts w:eastAsia="Times New Roman" w:cs="Arial"/>
              </w:rPr>
            </w:pPr>
            <w:r w:rsidRPr="00010512">
              <w:rPr>
                <w:i/>
                <w:iCs/>
              </w:rPr>
              <w:t>Serratia marcescens</w:t>
            </w:r>
          </w:p>
        </w:tc>
      </w:tr>
      <w:tr w:rsidR="00010512" w14:paraId="4F280700" w14:textId="77777777" w:rsidTr="00010512">
        <w:tc>
          <w:tcPr>
            <w:tcW w:w="9576" w:type="dxa"/>
            <w:vAlign w:val="bottom"/>
          </w:tcPr>
          <w:p w14:paraId="09C87CD8" w14:textId="77777777" w:rsidR="00010512" w:rsidRPr="00010512" w:rsidRDefault="00010512" w:rsidP="00010512">
            <w:r w:rsidRPr="00010512">
              <w:rPr>
                <w:b/>
                <w:bCs/>
                <w:lang w:eastAsia="bg-BG"/>
              </w:rPr>
              <w:t>Грам-положителни анаероби:</w:t>
            </w:r>
          </w:p>
          <w:p w14:paraId="629243E9" w14:textId="77777777" w:rsidR="00010512" w:rsidRDefault="00010512" w:rsidP="00010512">
            <w:pPr>
              <w:spacing w:line="240" w:lineRule="auto"/>
              <w:rPr>
                <w:i/>
                <w:iCs/>
              </w:rPr>
            </w:pPr>
            <w:r w:rsidRPr="00010512">
              <w:rPr>
                <w:i/>
                <w:iCs/>
              </w:rPr>
              <w:t xml:space="preserve">Clostridium perfringens** </w:t>
            </w:r>
          </w:p>
          <w:p w14:paraId="0B0EBAFC" w14:textId="187884FB" w:rsidR="00010512" w:rsidRPr="00010512" w:rsidRDefault="00010512" w:rsidP="00010512">
            <w:pPr>
              <w:spacing w:line="240" w:lineRule="auto"/>
              <w:rPr>
                <w:rFonts w:eastAsia="Times New Roman" w:cs="Arial"/>
              </w:rPr>
            </w:pPr>
            <w:r w:rsidRPr="00010512">
              <w:rPr>
                <w:i/>
                <w:iCs/>
              </w:rPr>
              <w:t>Peptostreptococcus</w:t>
            </w:r>
            <w:r w:rsidRPr="00010512">
              <w:t xml:space="preserve"> spp.**</w:t>
            </w:r>
          </w:p>
        </w:tc>
      </w:tr>
      <w:tr w:rsidR="00010512" w14:paraId="42F9E589" w14:textId="77777777" w:rsidTr="00010512">
        <w:tc>
          <w:tcPr>
            <w:tcW w:w="9576" w:type="dxa"/>
          </w:tcPr>
          <w:p w14:paraId="613F5C42" w14:textId="77777777" w:rsidR="00010512" w:rsidRPr="00010512" w:rsidRDefault="00010512" w:rsidP="00010512">
            <w:r w:rsidRPr="00010512">
              <w:rPr>
                <w:b/>
                <w:bCs/>
                <w:lang w:eastAsia="bg-BG"/>
              </w:rPr>
              <w:t>Грам-отрицателни анаероби:</w:t>
            </w:r>
          </w:p>
          <w:p w14:paraId="7129EB11" w14:textId="77777777" w:rsidR="00010512" w:rsidRDefault="00010512" w:rsidP="00010512">
            <w:pPr>
              <w:spacing w:line="240" w:lineRule="auto"/>
              <w:rPr>
                <w:i/>
                <w:iCs/>
              </w:rPr>
            </w:pPr>
            <w:r w:rsidRPr="00010512">
              <w:rPr>
                <w:i/>
                <w:iCs/>
              </w:rPr>
              <w:t>Bacteroides fragilis</w:t>
            </w:r>
          </w:p>
          <w:p w14:paraId="04D1E384" w14:textId="77777777" w:rsidR="00010512" w:rsidRDefault="00010512" w:rsidP="00010512">
            <w:pPr>
              <w:spacing w:line="240" w:lineRule="auto"/>
              <w:rPr>
                <w:rFonts w:eastAsia="Times New Roman" w:cs="Arial"/>
                <w:i/>
                <w:iCs/>
                <w:color w:val="000000"/>
                <w:szCs w:val="20"/>
                <w:lang w:val="en-US"/>
              </w:rPr>
            </w:pPr>
            <w:r w:rsidRPr="00010512">
              <w:rPr>
                <w:rFonts w:eastAsia="Times New Roman" w:cs="Arial"/>
                <w:color w:val="000000"/>
                <w:szCs w:val="20"/>
                <w:lang w:eastAsia="bg-BG"/>
              </w:rPr>
              <w:t xml:space="preserve">Грулата на </w:t>
            </w:r>
            <w:proofErr w:type="spellStart"/>
            <w:r w:rsidRPr="00010512">
              <w:rPr>
                <w:rFonts w:eastAsia="Times New Roman" w:cs="Arial"/>
                <w:i/>
                <w:iCs/>
                <w:color w:val="000000"/>
                <w:szCs w:val="20"/>
                <w:lang w:val="en-US"/>
              </w:rPr>
              <w:t>Bacteraides</w:t>
            </w:r>
            <w:proofErr w:type="spellEnd"/>
            <w:r w:rsidRPr="00010512">
              <w:rPr>
                <w:rFonts w:eastAsia="Times New Roman" w:cs="Arial"/>
                <w:i/>
                <w:iCs/>
                <w:color w:val="000000"/>
                <w:szCs w:val="20"/>
                <w:lang w:val="en-US"/>
              </w:rPr>
              <w:t xml:space="preserve"> </w:t>
            </w:r>
            <w:proofErr w:type="spellStart"/>
            <w:r w:rsidRPr="00010512">
              <w:rPr>
                <w:rFonts w:eastAsia="Times New Roman" w:cs="Arial"/>
                <w:i/>
                <w:iCs/>
                <w:color w:val="000000"/>
                <w:szCs w:val="20"/>
                <w:lang w:val="en-US"/>
              </w:rPr>
              <w:t>fragilis</w:t>
            </w:r>
            <w:proofErr w:type="spellEnd"/>
            <w:r w:rsidRPr="00010512">
              <w:rPr>
                <w:rFonts w:eastAsia="Times New Roman" w:cs="Arial"/>
                <w:i/>
                <w:iCs/>
                <w:color w:val="000000"/>
                <w:szCs w:val="20"/>
                <w:lang w:val="en-US"/>
              </w:rPr>
              <w:t xml:space="preserve"> </w:t>
            </w:r>
          </w:p>
          <w:p w14:paraId="59CC94F7" w14:textId="251A80F4" w:rsidR="00010512" w:rsidRPr="00010512" w:rsidRDefault="00010512" w:rsidP="00010512">
            <w:pPr>
              <w:spacing w:line="240" w:lineRule="auto"/>
              <w:rPr>
                <w:rFonts w:eastAsia="Times New Roman" w:cs="Arial"/>
                <w:sz w:val="28"/>
                <w:szCs w:val="24"/>
                <w:lang w:val="en-US"/>
              </w:rPr>
            </w:pPr>
            <w:proofErr w:type="spellStart"/>
            <w:r w:rsidRPr="00010512">
              <w:rPr>
                <w:rFonts w:eastAsia="Times New Roman" w:cs="Arial"/>
                <w:i/>
                <w:iCs/>
                <w:color w:val="000000"/>
                <w:szCs w:val="20"/>
                <w:lang w:val="en-US"/>
              </w:rPr>
              <w:t>Fusobacterium</w:t>
            </w:r>
            <w:proofErr w:type="spellEnd"/>
            <w:r w:rsidRPr="00010512">
              <w:rPr>
                <w:rFonts w:eastAsia="Times New Roman" w:cs="Arial"/>
                <w:color w:val="000000"/>
                <w:szCs w:val="20"/>
                <w:lang w:val="en-US"/>
              </w:rPr>
              <w:t xml:space="preserve"> spp.</w:t>
            </w:r>
          </w:p>
          <w:p w14:paraId="61F2FE9D" w14:textId="77777777" w:rsidR="00010512" w:rsidRDefault="00010512" w:rsidP="00010512">
            <w:pPr>
              <w:spacing w:line="240" w:lineRule="auto"/>
              <w:rPr>
                <w:rFonts w:eastAsia="Times New Roman" w:cs="Arial"/>
                <w:i/>
                <w:iCs/>
                <w:color w:val="000000"/>
                <w:szCs w:val="20"/>
                <w:lang w:val="en-US"/>
              </w:rPr>
            </w:pPr>
            <w:proofErr w:type="spellStart"/>
            <w:r w:rsidRPr="00010512">
              <w:rPr>
                <w:rFonts w:eastAsia="Times New Roman" w:cs="Arial"/>
                <w:i/>
                <w:iCs/>
                <w:color w:val="000000"/>
                <w:szCs w:val="20"/>
                <w:lang w:val="en-US"/>
              </w:rPr>
              <w:t>Porphyromonas</w:t>
            </w:r>
            <w:proofErr w:type="spellEnd"/>
            <w:r w:rsidRPr="00010512">
              <w:rPr>
                <w:rFonts w:eastAsia="Times New Roman" w:cs="Arial"/>
                <w:i/>
                <w:iCs/>
                <w:color w:val="000000"/>
                <w:szCs w:val="20"/>
                <w:lang w:val="en-US"/>
              </w:rPr>
              <w:t xml:space="preserve"> </w:t>
            </w:r>
            <w:proofErr w:type="spellStart"/>
            <w:r w:rsidRPr="00010512">
              <w:rPr>
                <w:rFonts w:eastAsia="Times New Roman" w:cs="Arial"/>
                <w:i/>
                <w:iCs/>
                <w:color w:val="000000"/>
                <w:szCs w:val="20"/>
                <w:lang w:val="en-US"/>
              </w:rPr>
              <w:t>asaccharofytica</w:t>
            </w:r>
            <w:proofErr w:type="spellEnd"/>
            <w:r w:rsidRPr="00010512">
              <w:rPr>
                <w:rFonts w:eastAsia="Times New Roman" w:cs="Arial"/>
                <w:i/>
                <w:iCs/>
                <w:color w:val="000000"/>
                <w:szCs w:val="20"/>
                <w:lang w:val="en-US"/>
              </w:rPr>
              <w:t xml:space="preserve"> </w:t>
            </w:r>
          </w:p>
          <w:p w14:paraId="187BA9F7" w14:textId="0311EE63" w:rsidR="00010512" w:rsidRPr="00010512" w:rsidRDefault="00010512" w:rsidP="00010512">
            <w:pPr>
              <w:spacing w:line="240" w:lineRule="auto"/>
              <w:rPr>
                <w:rFonts w:eastAsia="Times New Roman" w:cs="Arial"/>
                <w:sz w:val="28"/>
                <w:szCs w:val="24"/>
                <w:lang w:val="en-US"/>
              </w:rPr>
            </w:pPr>
            <w:proofErr w:type="spellStart"/>
            <w:r w:rsidRPr="00010512">
              <w:rPr>
                <w:rFonts w:eastAsia="Times New Roman" w:cs="Arial"/>
                <w:i/>
                <w:iCs/>
                <w:color w:val="000000"/>
                <w:szCs w:val="20"/>
                <w:lang w:val="en-US"/>
              </w:rPr>
              <w:t>Prevotella</w:t>
            </w:r>
            <w:proofErr w:type="spellEnd"/>
            <w:r w:rsidRPr="00010512">
              <w:rPr>
                <w:rFonts w:eastAsia="Times New Roman" w:cs="Arial"/>
                <w:color w:val="000000"/>
                <w:szCs w:val="20"/>
                <w:lang w:val="en-US"/>
              </w:rPr>
              <w:t xml:space="preserve"> spp.</w:t>
            </w:r>
          </w:p>
          <w:p w14:paraId="4DA16058" w14:textId="5B34213A" w:rsidR="00010512" w:rsidRPr="00010512" w:rsidRDefault="00010512" w:rsidP="00010512">
            <w:pPr>
              <w:spacing w:line="240" w:lineRule="auto"/>
              <w:rPr>
                <w:rFonts w:eastAsia="Times New Roman" w:cs="Arial"/>
              </w:rPr>
            </w:pPr>
            <w:proofErr w:type="spellStart"/>
            <w:r w:rsidRPr="00010512">
              <w:rPr>
                <w:rFonts w:eastAsia="Times New Roman" w:cs="Arial"/>
                <w:i/>
                <w:iCs/>
                <w:color w:val="000000"/>
                <w:szCs w:val="20"/>
                <w:lang w:val="en-US"/>
              </w:rPr>
              <w:t>Veillonella</w:t>
            </w:r>
            <w:proofErr w:type="spellEnd"/>
            <w:r w:rsidRPr="00010512">
              <w:rPr>
                <w:rFonts w:eastAsia="Times New Roman" w:cs="Arial"/>
                <w:color w:val="000000"/>
                <w:szCs w:val="20"/>
                <w:lang w:val="en-US"/>
              </w:rPr>
              <w:t xml:space="preserve"> spp.</w:t>
            </w:r>
          </w:p>
        </w:tc>
      </w:tr>
      <w:tr w:rsidR="00010512" w14:paraId="5C6E5FA2" w14:textId="77777777" w:rsidTr="00010512">
        <w:tc>
          <w:tcPr>
            <w:tcW w:w="9576" w:type="dxa"/>
          </w:tcPr>
          <w:p w14:paraId="07E7A33F" w14:textId="69DAB3BA" w:rsidR="00010512" w:rsidRPr="00010512" w:rsidRDefault="00010512" w:rsidP="00010512">
            <w:pPr>
              <w:spacing w:line="240" w:lineRule="auto"/>
              <w:rPr>
                <w:rFonts w:eastAsia="Times New Roman" w:cs="Arial"/>
              </w:rPr>
            </w:pPr>
            <w:r w:rsidRPr="00010512">
              <w:rPr>
                <w:b/>
                <w:bCs/>
              </w:rPr>
              <w:t>Видове, при които придобитата резистентност може да предс</w:t>
            </w:r>
            <w:r>
              <w:rPr>
                <w:b/>
                <w:bCs/>
              </w:rPr>
              <w:t>тавлява проблем:</w:t>
            </w:r>
          </w:p>
        </w:tc>
      </w:tr>
      <w:tr w:rsidR="00010512" w14:paraId="6AFE85A9" w14:textId="77777777" w:rsidTr="00010512">
        <w:tc>
          <w:tcPr>
            <w:tcW w:w="9576" w:type="dxa"/>
          </w:tcPr>
          <w:p w14:paraId="39BBA9AE" w14:textId="77777777" w:rsidR="00010512" w:rsidRPr="00010512" w:rsidRDefault="00010512" w:rsidP="00010512">
            <w:r w:rsidRPr="00010512">
              <w:rPr>
                <w:b/>
                <w:bCs/>
              </w:rPr>
              <w:t>Грам-отрицателни аеробн:</w:t>
            </w:r>
          </w:p>
          <w:p w14:paraId="6F695472" w14:textId="77777777" w:rsidR="00010512" w:rsidRPr="00010512" w:rsidRDefault="00010512" w:rsidP="00010512">
            <w:proofErr w:type="spellStart"/>
            <w:r w:rsidRPr="00010512">
              <w:rPr>
                <w:i/>
                <w:iCs/>
                <w:lang w:val="en-US"/>
              </w:rPr>
              <w:t>Acinetobacter</w:t>
            </w:r>
            <w:proofErr w:type="spellEnd"/>
            <w:r w:rsidRPr="00010512">
              <w:rPr>
                <w:i/>
                <w:iCs/>
              </w:rPr>
              <w:t xml:space="preserve"> </w:t>
            </w:r>
            <w:proofErr w:type="spellStart"/>
            <w:r w:rsidRPr="00010512">
              <w:rPr>
                <w:i/>
                <w:iCs/>
                <w:lang w:val="en-US"/>
              </w:rPr>
              <w:t>calcoaceticus</w:t>
            </w:r>
            <w:proofErr w:type="spellEnd"/>
            <w:r w:rsidRPr="00010512">
              <w:rPr>
                <w:i/>
                <w:iCs/>
              </w:rPr>
              <w:t xml:space="preserve"> </w:t>
            </w:r>
            <w:proofErr w:type="spellStart"/>
            <w:r w:rsidRPr="00010512">
              <w:rPr>
                <w:i/>
                <w:iCs/>
                <w:lang w:val="en-US"/>
              </w:rPr>
              <w:t>baumannii</w:t>
            </w:r>
            <w:proofErr w:type="spellEnd"/>
            <w:r w:rsidRPr="00010512">
              <w:t xml:space="preserve"> комплекс</w:t>
            </w:r>
          </w:p>
          <w:p w14:paraId="1157A917" w14:textId="36D98A42" w:rsidR="00010512" w:rsidRPr="00010512" w:rsidRDefault="00010512" w:rsidP="00010512">
            <w:pPr>
              <w:spacing w:line="240" w:lineRule="auto"/>
              <w:rPr>
                <w:rFonts w:eastAsia="Times New Roman" w:cs="Arial"/>
              </w:rPr>
            </w:pPr>
            <w:r w:rsidRPr="00010512">
              <w:rPr>
                <w:i/>
                <w:iCs/>
                <w:lang w:val="en-US"/>
              </w:rPr>
              <w:t>Pseudomonas aeruginosa</w:t>
            </w:r>
          </w:p>
        </w:tc>
      </w:tr>
      <w:tr w:rsidR="00010512" w14:paraId="491F44BB" w14:textId="77777777" w:rsidTr="00010512">
        <w:tc>
          <w:tcPr>
            <w:tcW w:w="9576" w:type="dxa"/>
          </w:tcPr>
          <w:p w14:paraId="415A87F9" w14:textId="5299CEBB" w:rsidR="00010512" w:rsidRPr="00010512" w:rsidRDefault="00010512" w:rsidP="00010512">
            <w:pPr>
              <w:spacing w:line="240" w:lineRule="auto"/>
              <w:rPr>
                <w:rFonts w:eastAsia="Times New Roman" w:cs="Arial"/>
              </w:rPr>
            </w:pPr>
            <w:r w:rsidRPr="00010512">
              <w:rPr>
                <w:b/>
                <w:bCs/>
              </w:rPr>
              <w:t xml:space="preserve">Видове </w:t>
            </w:r>
            <w:r w:rsidRPr="00010512">
              <w:rPr>
                <w:b/>
                <w:bCs/>
                <w:lang w:val="en-US"/>
              </w:rPr>
              <w:t xml:space="preserve">c </w:t>
            </w:r>
            <w:r w:rsidRPr="00010512">
              <w:rPr>
                <w:b/>
                <w:bCs/>
              </w:rPr>
              <w:t>присъща резистентност:</w:t>
            </w:r>
          </w:p>
        </w:tc>
      </w:tr>
      <w:tr w:rsidR="00010512" w14:paraId="460BB706" w14:textId="77777777" w:rsidTr="00010512">
        <w:tc>
          <w:tcPr>
            <w:tcW w:w="9576" w:type="dxa"/>
          </w:tcPr>
          <w:p w14:paraId="719CC415" w14:textId="77777777" w:rsidR="00010512" w:rsidRPr="00010512" w:rsidRDefault="00010512" w:rsidP="00010512">
            <w:r w:rsidRPr="00010512">
              <w:rPr>
                <w:b/>
                <w:bCs/>
              </w:rPr>
              <w:t>Грам-положителни аеробн:</w:t>
            </w:r>
          </w:p>
          <w:p w14:paraId="4F9C9BA4" w14:textId="261B45E7" w:rsidR="00010512" w:rsidRPr="00010512" w:rsidRDefault="00010512" w:rsidP="00010512">
            <w:pPr>
              <w:spacing w:line="240" w:lineRule="auto"/>
              <w:rPr>
                <w:rFonts w:eastAsia="Times New Roman" w:cs="Arial"/>
              </w:rPr>
            </w:pPr>
            <w:r w:rsidRPr="00010512">
              <w:rPr>
                <w:i/>
                <w:iCs/>
                <w:lang w:val="en-US"/>
              </w:rPr>
              <w:t>Enterococcus</w:t>
            </w:r>
            <w:r w:rsidRPr="00010512">
              <w:rPr>
                <w:i/>
                <w:iCs/>
              </w:rPr>
              <w:t xml:space="preserve"> </w:t>
            </w:r>
            <w:proofErr w:type="spellStart"/>
            <w:r w:rsidRPr="00010512">
              <w:rPr>
                <w:i/>
                <w:iCs/>
                <w:lang w:val="en-US"/>
              </w:rPr>
              <w:t>faecium</w:t>
            </w:r>
            <w:proofErr w:type="spellEnd"/>
          </w:p>
        </w:tc>
      </w:tr>
      <w:tr w:rsidR="00010512" w14:paraId="262DB3C2" w14:textId="77777777" w:rsidTr="00010512">
        <w:tc>
          <w:tcPr>
            <w:tcW w:w="9576" w:type="dxa"/>
          </w:tcPr>
          <w:p w14:paraId="7F557486" w14:textId="77777777" w:rsidR="00010512" w:rsidRPr="00010512" w:rsidRDefault="00010512" w:rsidP="00010512">
            <w:r w:rsidRPr="00010512">
              <w:rPr>
                <w:b/>
                <w:bCs/>
              </w:rPr>
              <w:t>Грам-отрицателни аеробн:</w:t>
            </w:r>
          </w:p>
          <w:p w14:paraId="0C642F12" w14:textId="77777777" w:rsidR="00010512" w:rsidRPr="00010512" w:rsidRDefault="00010512" w:rsidP="00010512">
            <w:r w:rsidRPr="00010512">
              <w:t xml:space="preserve">Някои щамове </w:t>
            </w:r>
            <w:proofErr w:type="spellStart"/>
            <w:r w:rsidRPr="00010512">
              <w:rPr>
                <w:i/>
                <w:iCs/>
                <w:lang w:val="en-US"/>
              </w:rPr>
              <w:t>Burkholderia</w:t>
            </w:r>
            <w:proofErr w:type="spellEnd"/>
            <w:r w:rsidRPr="00010512">
              <w:rPr>
                <w:i/>
                <w:iCs/>
              </w:rPr>
              <w:t xml:space="preserve"> </w:t>
            </w:r>
            <w:proofErr w:type="spellStart"/>
            <w:r w:rsidRPr="00010512">
              <w:rPr>
                <w:i/>
                <w:iCs/>
                <w:lang w:val="en-US"/>
              </w:rPr>
              <w:t>cepacia</w:t>
            </w:r>
            <w:proofErr w:type="spellEnd"/>
            <w:r w:rsidRPr="00010512">
              <w:t xml:space="preserve"> комплекс</w:t>
            </w:r>
          </w:p>
          <w:p w14:paraId="7A6E78B6" w14:textId="77777777" w:rsidR="00010512" w:rsidRPr="00010512" w:rsidRDefault="00010512" w:rsidP="00010512">
            <w:r w:rsidRPr="00010512">
              <w:rPr>
                <w:i/>
                <w:iCs/>
                <w:lang w:val="en-US"/>
              </w:rPr>
              <w:t>Legionella</w:t>
            </w:r>
            <w:r w:rsidRPr="00010512">
              <w:t xml:space="preserve"> </w:t>
            </w:r>
            <w:proofErr w:type="spellStart"/>
            <w:r w:rsidRPr="00010512">
              <w:rPr>
                <w:lang w:val="en-US"/>
              </w:rPr>
              <w:t>spp</w:t>
            </w:r>
            <w:proofErr w:type="spellEnd"/>
            <w:r w:rsidRPr="00010512">
              <w:t>.</w:t>
            </w:r>
          </w:p>
          <w:p w14:paraId="4A792FDB" w14:textId="7B19E0A4" w:rsidR="00010512" w:rsidRPr="00010512" w:rsidRDefault="00010512" w:rsidP="00010512">
            <w:pPr>
              <w:spacing w:line="240" w:lineRule="auto"/>
              <w:rPr>
                <w:rFonts w:eastAsia="Times New Roman" w:cs="Arial"/>
              </w:rPr>
            </w:pPr>
            <w:proofErr w:type="spellStart"/>
            <w:r w:rsidRPr="00010512">
              <w:rPr>
                <w:i/>
                <w:iCs/>
                <w:lang w:val="en-US"/>
              </w:rPr>
              <w:t>Stenotrophomonas</w:t>
            </w:r>
            <w:proofErr w:type="spellEnd"/>
            <w:r w:rsidRPr="00010512">
              <w:rPr>
                <w:i/>
                <w:iCs/>
              </w:rPr>
              <w:t xml:space="preserve"> </w:t>
            </w:r>
            <w:proofErr w:type="spellStart"/>
            <w:r w:rsidRPr="00010512">
              <w:rPr>
                <w:i/>
                <w:iCs/>
                <w:lang w:val="en-US"/>
              </w:rPr>
              <w:t>maltophilia</w:t>
            </w:r>
            <w:proofErr w:type="spellEnd"/>
            <w:r w:rsidRPr="00010512">
              <w:t xml:space="preserve"> (известен в миналото като </w:t>
            </w:r>
            <w:proofErr w:type="spellStart"/>
            <w:r w:rsidRPr="00010512">
              <w:rPr>
                <w:i/>
                <w:iCs/>
                <w:lang w:val="en-US"/>
              </w:rPr>
              <w:t>Xanthomonas</w:t>
            </w:r>
            <w:proofErr w:type="spellEnd"/>
            <w:r w:rsidRPr="00010512">
              <w:rPr>
                <w:i/>
                <w:iCs/>
              </w:rPr>
              <w:t xml:space="preserve"> </w:t>
            </w:r>
            <w:proofErr w:type="spellStart"/>
            <w:r w:rsidRPr="00010512">
              <w:rPr>
                <w:i/>
                <w:iCs/>
                <w:lang w:val="en-US"/>
              </w:rPr>
              <w:t>maltophilia</w:t>
            </w:r>
            <w:proofErr w:type="spellEnd"/>
            <w:r w:rsidRPr="00010512">
              <w:rPr>
                <w:i/>
                <w:iCs/>
              </w:rPr>
              <w:t>*</w:t>
            </w:r>
            <w:r w:rsidRPr="00010512">
              <w:t xml:space="preserve"> а преди това - като </w:t>
            </w:r>
            <w:r w:rsidRPr="00010512">
              <w:rPr>
                <w:i/>
                <w:iCs/>
                <w:lang w:val="en-US"/>
              </w:rPr>
              <w:t>Pseudomonas</w:t>
            </w:r>
            <w:r w:rsidRPr="00010512">
              <w:rPr>
                <w:i/>
                <w:iCs/>
              </w:rPr>
              <w:t xml:space="preserve"> </w:t>
            </w:r>
            <w:proofErr w:type="spellStart"/>
            <w:r w:rsidRPr="00010512">
              <w:rPr>
                <w:i/>
                <w:iCs/>
                <w:lang w:val="en-US"/>
              </w:rPr>
              <w:t>maltophilia</w:t>
            </w:r>
            <w:proofErr w:type="spellEnd"/>
            <w:r w:rsidRPr="00010512">
              <w:rPr>
                <w:i/>
                <w:iCs/>
              </w:rPr>
              <w:t>)</w:t>
            </w:r>
          </w:p>
        </w:tc>
      </w:tr>
      <w:tr w:rsidR="00010512" w14:paraId="765B9C7C" w14:textId="77777777" w:rsidTr="00010512">
        <w:tc>
          <w:tcPr>
            <w:tcW w:w="9576" w:type="dxa"/>
          </w:tcPr>
          <w:p w14:paraId="4255F317" w14:textId="2ACBDD9A" w:rsidR="00010512" w:rsidRPr="00010512" w:rsidRDefault="00010512" w:rsidP="00010512">
            <w:pPr>
              <w:spacing w:line="240" w:lineRule="auto"/>
              <w:rPr>
                <w:rFonts w:eastAsia="Times New Roman" w:cs="Arial"/>
              </w:rPr>
            </w:pPr>
            <w:r w:rsidRPr="00010512">
              <w:rPr>
                <w:b/>
                <w:bCs/>
              </w:rPr>
              <w:t>Други:</w:t>
            </w:r>
          </w:p>
        </w:tc>
      </w:tr>
      <w:tr w:rsidR="00010512" w14:paraId="15D053BA" w14:textId="77777777" w:rsidTr="00010512">
        <w:tc>
          <w:tcPr>
            <w:tcW w:w="9576" w:type="dxa"/>
          </w:tcPr>
          <w:p w14:paraId="6A0137AE" w14:textId="77777777" w:rsidR="00010512" w:rsidRPr="00010512" w:rsidRDefault="00010512" w:rsidP="00010512">
            <w:r w:rsidRPr="00010512">
              <w:rPr>
                <w:i/>
                <w:iCs/>
                <w:lang w:val="en-US"/>
              </w:rPr>
              <w:t>Chlamydia</w:t>
            </w:r>
            <w:r w:rsidRPr="00010512">
              <w:rPr>
                <w:lang w:val="en-US"/>
              </w:rPr>
              <w:t xml:space="preserve"> spp.</w:t>
            </w:r>
          </w:p>
          <w:p w14:paraId="4BC20D24" w14:textId="77777777" w:rsidR="00010512" w:rsidRPr="00010512" w:rsidRDefault="00010512" w:rsidP="00010512">
            <w:proofErr w:type="spellStart"/>
            <w:r w:rsidRPr="00010512">
              <w:rPr>
                <w:i/>
                <w:iCs/>
                <w:lang w:val="en-US"/>
              </w:rPr>
              <w:t>Chlamydophila</w:t>
            </w:r>
            <w:proofErr w:type="spellEnd"/>
            <w:r w:rsidRPr="00010512">
              <w:rPr>
                <w:lang w:val="en-US"/>
              </w:rPr>
              <w:t xml:space="preserve"> spp.</w:t>
            </w:r>
          </w:p>
          <w:p w14:paraId="0AE3BA5B" w14:textId="77777777" w:rsidR="00010512" w:rsidRDefault="00010512" w:rsidP="00010512">
            <w:pPr>
              <w:spacing w:line="240" w:lineRule="auto"/>
              <w:rPr>
                <w:lang w:val="en-US"/>
              </w:rPr>
            </w:pPr>
            <w:r w:rsidRPr="00010512">
              <w:rPr>
                <w:i/>
                <w:iCs/>
                <w:lang w:val="en-US"/>
              </w:rPr>
              <w:t>Mycoplasma</w:t>
            </w:r>
            <w:r w:rsidRPr="00010512">
              <w:rPr>
                <w:lang w:val="en-US"/>
              </w:rPr>
              <w:t xml:space="preserve"> spp.</w:t>
            </w:r>
          </w:p>
          <w:p w14:paraId="338F26CD" w14:textId="0630CDBE" w:rsidR="002D2643" w:rsidRPr="002D2643" w:rsidRDefault="002D2643" w:rsidP="002D2643">
            <w:pPr>
              <w:rPr>
                <w:rFonts w:eastAsia="Times New Roman" w:cs="Arial"/>
                <w:i/>
              </w:rPr>
            </w:pPr>
            <w:r w:rsidRPr="002D2643">
              <w:rPr>
                <w:i/>
              </w:rPr>
              <w:t>Ureoplasma urealyticum</w:t>
            </w:r>
          </w:p>
        </w:tc>
      </w:tr>
    </w:tbl>
    <w:p w14:paraId="70D6E2CA" w14:textId="1EE9E39B" w:rsidR="002D2643" w:rsidRPr="002D2643" w:rsidRDefault="002D2643" w:rsidP="002D2643">
      <w:pPr>
        <w:rPr>
          <w:sz w:val="24"/>
          <w:szCs w:val="24"/>
        </w:rPr>
      </w:pPr>
      <w:r>
        <w:rPr>
          <w:lang w:eastAsia="bg-BG"/>
        </w:rPr>
        <w:t>*</w:t>
      </w:r>
      <w:r w:rsidRPr="002D2643">
        <w:rPr>
          <w:lang w:eastAsia="bg-BG"/>
        </w:rPr>
        <w:t>Всички метицилин-резистентни стафилококи са резистентни на имипенем/циластатин.</w:t>
      </w:r>
    </w:p>
    <w:p w14:paraId="7EC76520" w14:textId="77777777" w:rsidR="002D2643" w:rsidRPr="002D2643" w:rsidRDefault="002D2643" w:rsidP="002D2643">
      <w:pPr>
        <w:rPr>
          <w:sz w:val="24"/>
          <w:szCs w:val="24"/>
        </w:rPr>
      </w:pPr>
      <w:r w:rsidRPr="002D2643">
        <w:rPr>
          <w:lang w:eastAsia="bg-BG"/>
        </w:rPr>
        <w:t xml:space="preserve">** Използват видово-неспецифичните гранични стойности на </w:t>
      </w:r>
      <w:r w:rsidRPr="002D2643">
        <w:rPr>
          <w:lang w:val="en-US"/>
        </w:rPr>
        <w:t>EUCAST</w:t>
      </w:r>
      <w:r w:rsidRPr="002D2643">
        <w:rPr>
          <w:lang w:val="ru-RU"/>
        </w:rPr>
        <w:t>.</w:t>
      </w:r>
    </w:p>
    <w:p w14:paraId="7E8E167A" w14:textId="77777777" w:rsidR="00010512" w:rsidRPr="00010512" w:rsidRDefault="00010512" w:rsidP="00010512">
      <w:pPr>
        <w:spacing w:line="240" w:lineRule="auto"/>
        <w:rPr>
          <w:rFonts w:eastAsia="Times New Roman" w:cs="Arial"/>
          <w:sz w:val="28"/>
          <w:szCs w:val="24"/>
        </w:rPr>
      </w:pPr>
    </w:p>
    <w:p w14:paraId="35F84B81" w14:textId="0DCD6516" w:rsidR="00CF77F7" w:rsidRDefault="002C50EE" w:rsidP="004A448E">
      <w:pPr>
        <w:pStyle w:val="Heading2"/>
      </w:pPr>
      <w:r>
        <w:t>5.2. Фармакокинетични свойства</w:t>
      </w:r>
    </w:p>
    <w:p w14:paraId="1BABC42D" w14:textId="2791BB41" w:rsidR="002D2643" w:rsidRDefault="002D2643" w:rsidP="002D2643"/>
    <w:p w14:paraId="204ACB88" w14:textId="77777777" w:rsidR="002D2643" w:rsidRPr="002D2643" w:rsidRDefault="002D2643" w:rsidP="002D2643">
      <w:pPr>
        <w:spacing w:line="240" w:lineRule="auto"/>
        <w:rPr>
          <w:rFonts w:eastAsia="Times New Roman" w:cs="Arial"/>
        </w:rPr>
      </w:pPr>
      <w:r w:rsidRPr="002D2643">
        <w:rPr>
          <w:rFonts w:eastAsia="Times New Roman" w:cs="Arial"/>
          <w:color w:val="000000"/>
          <w:u w:val="single"/>
          <w:lang w:eastAsia="bg-BG"/>
        </w:rPr>
        <w:t>Имипенем</w:t>
      </w:r>
    </w:p>
    <w:p w14:paraId="15FFED0E" w14:textId="77777777" w:rsidR="002D2643" w:rsidRPr="002D2643" w:rsidRDefault="002D2643" w:rsidP="002D2643">
      <w:pPr>
        <w:spacing w:line="240" w:lineRule="auto"/>
        <w:rPr>
          <w:rFonts w:eastAsia="Times New Roman" w:cs="Arial"/>
          <w:i/>
          <w:iCs/>
          <w:color w:val="000000"/>
          <w:lang w:eastAsia="bg-BG"/>
        </w:rPr>
      </w:pPr>
    </w:p>
    <w:p w14:paraId="706EDC32" w14:textId="3DA24A0F" w:rsidR="002D2643" w:rsidRPr="002D2643" w:rsidRDefault="002D2643" w:rsidP="002D2643">
      <w:pPr>
        <w:pStyle w:val="Heading3"/>
        <w:rPr>
          <w:rFonts w:eastAsia="Times New Roman"/>
          <w:i/>
        </w:rPr>
      </w:pPr>
      <w:r w:rsidRPr="002D2643">
        <w:rPr>
          <w:rFonts w:eastAsia="Times New Roman"/>
          <w:i/>
          <w:lang w:eastAsia="bg-BG"/>
        </w:rPr>
        <w:t>Абсорбция</w:t>
      </w:r>
    </w:p>
    <w:p w14:paraId="6802686B" w14:textId="77777777" w:rsidR="002D2643" w:rsidRPr="002D2643" w:rsidRDefault="002D2643" w:rsidP="002D2643">
      <w:pPr>
        <w:spacing w:line="240" w:lineRule="auto"/>
        <w:rPr>
          <w:rFonts w:eastAsia="Times New Roman" w:cs="Arial"/>
        </w:rPr>
      </w:pPr>
      <w:r w:rsidRPr="002D2643">
        <w:rPr>
          <w:rFonts w:eastAsia="Times New Roman" w:cs="Arial"/>
          <w:color w:val="000000"/>
          <w:lang w:eastAsia="bg-BG"/>
        </w:rPr>
        <w:t xml:space="preserve">При здрави доброволци интравенозната инфузия на ТИЕНАМ е продължителност 20 минути води до достигане на пикови плазмени концентрации на имипенем от 12 до 20 </w:t>
      </w:r>
      <w:r w:rsidRPr="002D2643">
        <w:rPr>
          <w:rFonts w:eastAsia="Times New Roman" w:cs="Arial"/>
          <w:color w:val="000000"/>
          <w:lang w:eastAsia="bg-BG"/>
        </w:rPr>
        <w:lastRenderedPageBreak/>
        <w:t>μ</w:t>
      </w:r>
      <w:r w:rsidRPr="002D2643">
        <w:rPr>
          <w:rFonts w:eastAsia="Times New Roman" w:cs="Arial"/>
          <w:color w:val="000000"/>
          <w:lang w:val="en-US"/>
        </w:rPr>
        <w:t>g</w:t>
      </w:r>
      <w:r w:rsidRPr="002D2643">
        <w:rPr>
          <w:rFonts w:eastAsia="Times New Roman" w:cs="Arial"/>
          <w:color w:val="000000"/>
          <w:lang w:val="ru-RU"/>
        </w:rPr>
        <w:t>/</w:t>
      </w:r>
      <w:r w:rsidRPr="002D2643">
        <w:rPr>
          <w:rFonts w:eastAsia="Times New Roman" w:cs="Arial"/>
          <w:color w:val="000000"/>
          <w:lang w:val="en-US"/>
        </w:rPr>
        <w:t>ml</w:t>
      </w:r>
      <w:r w:rsidRPr="002D2643">
        <w:rPr>
          <w:rFonts w:eastAsia="Times New Roman" w:cs="Arial"/>
          <w:color w:val="000000"/>
          <w:lang w:val="ru-RU"/>
        </w:rPr>
        <w:t xml:space="preserve"> </w:t>
      </w:r>
      <w:r w:rsidRPr="002D2643">
        <w:rPr>
          <w:rFonts w:eastAsia="Times New Roman" w:cs="Arial"/>
          <w:color w:val="000000"/>
          <w:lang w:eastAsia="bg-BG"/>
        </w:rPr>
        <w:t xml:space="preserve">при приложение на доза от 250 </w:t>
      </w:r>
      <w:r w:rsidRPr="002D2643">
        <w:rPr>
          <w:rFonts w:eastAsia="Times New Roman" w:cs="Arial"/>
          <w:color w:val="000000"/>
          <w:lang w:val="en-US"/>
        </w:rPr>
        <w:t>mg</w:t>
      </w:r>
      <w:r w:rsidRPr="002D2643">
        <w:rPr>
          <w:rFonts w:eastAsia="Times New Roman" w:cs="Arial"/>
          <w:color w:val="000000"/>
          <w:lang w:val="ru-RU"/>
        </w:rPr>
        <w:t xml:space="preserve">/250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от 21 до 58 μ</w:t>
      </w:r>
      <w:r w:rsidRPr="002D2643">
        <w:rPr>
          <w:rFonts w:eastAsia="Times New Roman" w:cs="Arial"/>
          <w:color w:val="000000"/>
          <w:lang w:val="en-US"/>
        </w:rPr>
        <w:t>g</w:t>
      </w:r>
      <w:r w:rsidRPr="002D2643">
        <w:rPr>
          <w:rFonts w:eastAsia="Times New Roman" w:cs="Arial"/>
          <w:color w:val="000000"/>
          <w:lang w:val="ru-RU"/>
        </w:rPr>
        <w:t>/</w:t>
      </w:r>
      <w:r w:rsidRPr="002D2643">
        <w:rPr>
          <w:rFonts w:eastAsia="Times New Roman" w:cs="Arial"/>
          <w:color w:val="000000"/>
          <w:lang w:val="en-US"/>
        </w:rPr>
        <w:t>ml</w:t>
      </w:r>
      <w:r w:rsidRPr="002D2643">
        <w:rPr>
          <w:rFonts w:eastAsia="Times New Roman" w:cs="Arial"/>
          <w:color w:val="000000"/>
          <w:lang w:val="ru-RU"/>
        </w:rPr>
        <w:t xml:space="preserve"> </w:t>
      </w:r>
      <w:r w:rsidRPr="002D2643">
        <w:rPr>
          <w:rFonts w:eastAsia="Times New Roman" w:cs="Arial"/>
          <w:color w:val="000000"/>
          <w:lang w:eastAsia="bg-BG"/>
        </w:rPr>
        <w:t xml:space="preserve">при приложение на доза от 500 </w:t>
      </w:r>
      <w:r w:rsidRPr="002D2643">
        <w:rPr>
          <w:rFonts w:eastAsia="Times New Roman" w:cs="Arial"/>
          <w:color w:val="000000"/>
          <w:lang w:val="en-US"/>
        </w:rPr>
        <w:t>mg</w:t>
      </w:r>
      <w:r w:rsidRPr="002D2643">
        <w:rPr>
          <w:rFonts w:eastAsia="Times New Roman" w:cs="Arial"/>
          <w:color w:val="000000"/>
          <w:lang w:val="ru-RU"/>
        </w:rPr>
        <w:t xml:space="preserve">/500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и от 41 до 83 μ</w:t>
      </w:r>
      <w:r w:rsidRPr="002D2643">
        <w:rPr>
          <w:rFonts w:eastAsia="Times New Roman" w:cs="Arial"/>
          <w:color w:val="000000"/>
          <w:lang w:val="en-US"/>
        </w:rPr>
        <w:t>g</w:t>
      </w:r>
      <w:r w:rsidRPr="002D2643">
        <w:rPr>
          <w:rFonts w:eastAsia="Times New Roman" w:cs="Arial"/>
          <w:color w:val="000000"/>
          <w:lang w:val="ru-RU"/>
        </w:rPr>
        <w:t>/</w:t>
      </w:r>
      <w:r w:rsidRPr="002D2643">
        <w:rPr>
          <w:rFonts w:eastAsia="Times New Roman" w:cs="Arial"/>
          <w:color w:val="000000"/>
          <w:lang w:val="en-US"/>
        </w:rPr>
        <w:t>ml</w:t>
      </w:r>
      <w:r w:rsidRPr="002D2643">
        <w:rPr>
          <w:rFonts w:eastAsia="Times New Roman" w:cs="Arial"/>
          <w:color w:val="000000"/>
          <w:lang w:val="ru-RU"/>
        </w:rPr>
        <w:t xml:space="preserve"> </w:t>
      </w:r>
      <w:r w:rsidRPr="002D2643">
        <w:rPr>
          <w:rFonts w:eastAsia="Times New Roman" w:cs="Arial"/>
          <w:color w:val="000000"/>
          <w:lang w:eastAsia="bg-BG"/>
        </w:rPr>
        <w:t xml:space="preserve">при приложение на доза то 1 000 </w:t>
      </w:r>
      <w:r w:rsidRPr="002D2643">
        <w:rPr>
          <w:rFonts w:eastAsia="Times New Roman" w:cs="Arial"/>
          <w:color w:val="000000"/>
          <w:lang w:val="en-US"/>
        </w:rPr>
        <w:t>mg</w:t>
      </w:r>
      <w:r w:rsidRPr="002D2643">
        <w:rPr>
          <w:rFonts w:eastAsia="Times New Roman" w:cs="Arial"/>
          <w:color w:val="000000"/>
          <w:lang w:val="ru-RU"/>
        </w:rPr>
        <w:t xml:space="preserve">/1 </w:t>
      </w:r>
      <w:r w:rsidRPr="002D2643">
        <w:rPr>
          <w:rFonts w:eastAsia="Times New Roman" w:cs="Arial"/>
          <w:color w:val="000000"/>
          <w:lang w:eastAsia="bg-BG"/>
        </w:rPr>
        <w:t xml:space="preserve">000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 xml:space="preserve">Средните пикови плазмени концентрации на имипенем след приложение на 250 </w:t>
      </w:r>
      <w:r w:rsidRPr="002D2643">
        <w:rPr>
          <w:rFonts w:eastAsia="Times New Roman" w:cs="Arial"/>
          <w:color w:val="000000"/>
          <w:lang w:val="en-US"/>
        </w:rPr>
        <w:t>mg</w:t>
      </w:r>
      <w:r w:rsidRPr="002D2643">
        <w:rPr>
          <w:rFonts w:eastAsia="Times New Roman" w:cs="Arial"/>
          <w:color w:val="000000"/>
          <w:lang w:val="ru-RU"/>
        </w:rPr>
        <w:t xml:space="preserve">/250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 xml:space="preserve">500 </w:t>
      </w:r>
      <w:r w:rsidRPr="002D2643">
        <w:rPr>
          <w:rFonts w:eastAsia="Times New Roman" w:cs="Arial"/>
          <w:color w:val="000000"/>
          <w:lang w:val="en-US"/>
        </w:rPr>
        <w:t>mg</w:t>
      </w:r>
      <w:r w:rsidRPr="002D2643">
        <w:rPr>
          <w:rFonts w:eastAsia="Times New Roman" w:cs="Arial"/>
          <w:color w:val="000000"/>
          <w:lang w:val="ru-RU"/>
        </w:rPr>
        <w:t xml:space="preserve">/500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 xml:space="preserve">и </w:t>
      </w:r>
      <w:r w:rsidRPr="002D2643">
        <w:rPr>
          <w:rFonts w:eastAsia="Times New Roman" w:cs="Arial"/>
          <w:color w:val="000000"/>
          <w:lang w:val="ru-RU"/>
        </w:rPr>
        <w:t xml:space="preserve">1 000 </w:t>
      </w:r>
      <w:r w:rsidRPr="002D2643">
        <w:rPr>
          <w:rFonts w:eastAsia="Times New Roman" w:cs="Arial"/>
          <w:color w:val="000000"/>
          <w:lang w:val="en-US"/>
        </w:rPr>
        <w:t>mg</w:t>
      </w:r>
      <w:r w:rsidRPr="002D2643">
        <w:rPr>
          <w:rFonts w:eastAsia="Times New Roman" w:cs="Arial"/>
          <w:color w:val="000000"/>
          <w:lang w:val="ru-RU"/>
        </w:rPr>
        <w:t xml:space="preserve">/1 000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 xml:space="preserve">са съответно </w:t>
      </w:r>
      <w:r w:rsidRPr="002D2643">
        <w:rPr>
          <w:rFonts w:eastAsia="Times New Roman" w:cs="Arial"/>
          <w:color w:val="000000"/>
          <w:lang w:val="ru-RU"/>
        </w:rPr>
        <w:t xml:space="preserve">17,39 </w:t>
      </w:r>
      <w:r w:rsidRPr="002D2643">
        <w:rPr>
          <w:rFonts w:eastAsia="Times New Roman" w:cs="Arial"/>
          <w:color w:val="000000"/>
          <w:lang w:eastAsia="bg-BG"/>
        </w:rPr>
        <w:t>и 66 μ</w:t>
      </w:r>
      <w:r w:rsidRPr="002D2643">
        <w:rPr>
          <w:rFonts w:eastAsia="Times New Roman" w:cs="Arial"/>
          <w:color w:val="000000"/>
          <w:lang w:val="en-US"/>
        </w:rPr>
        <w:t>g</w:t>
      </w:r>
      <w:r w:rsidRPr="002D2643">
        <w:rPr>
          <w:rFonts w:eastAsia="Times New Roman" w:cs="Arial"/>
          <w:color w:val="000000"/>
          <w:lang w:val="ru-RU"/>
        </w:rPr>
        <w:t>/</w:t>
      </w:r>
      <w:r w:rsidRPr="002D2643">
        <w:rPr>
          <w:rFonts w:eastAsia="Times New Roman" w:cs="Arial"/>
          <w:color w:val="000000"/>
          <w:lang w:val="en-US"/>
        </w:rPr>
        <w:t>ml</w:t>
      </w:r>
      <w:r w:rsidRPr="002D2643">
        <w:rPr>
          <w:rFonts w:eastAsia="Times New Roman" w:cs="Arial"/>
          <w:color w:val="000000"/>
          <w:lang w:val="ru-RU"/>
        </w:rPr>
        <w:t xml:space="preserve">. </w:t>
      </w:r>
      <w:r w:rsidRPr="002D2643">
        <w:rPr>
          <w:rFonts w:eastAsia="Times New Roman" w:cs="Arial"/>
          <w:color w:val="000000"/>
          <w:lang w:eastAsia="bg-BG"/>
        </w:rPr>
        <w:t>При тези дози плазмените нива на имипенем спадат до 1 μ</w:t>
      </w:r>
      <w:r w:rsidRPr="002D2643">
        <w:rPr>
          <w:rFonts w:eastAsia="Times New Roman" w:cs="Arial"/>
          <w:color w:val="000000"/>
          <w:lang w:val="en-US"/>
        </w:rPr>
        <w:t>g</w:t>
      </w:r>
      <w:r w:rsidRPr="002D2643">
        <w:rPr>
          <w:rFonts w:eastAsia="Times New Roman" w:cs="Arial"/>
          <w:color w:val="000000"/>
          <w:lang w:val="ru-RU"/>
        </w:rPr>
        <w:t>/</w:t>
      </w:r>
      <w:r w:rsidRPr="002D2643">
        <w:rPr>
          <w:rFonts w:eastAsia="Times New Roman" w:cs="Arial"/>
          <w:color w:val="000000"/>
          <w:lang w:val="en-US"/>
        </w:rPr>
        <w:t>ml</w:t>
      </w:r>
      <w:r w:rsidRPr="002D2643">
        <w:rPr>
          <w:rFonts w:eastAsia="Times New Roman" w:cs="Arial"/>
          <w:color w:val="000000"/>
          <w:lang w:val="ru-RU"/>
        </w:rPr>
        <w:t xml:space="preserve"> </w:t>
      </w:r>
      <w:r w:rsidRPr="002D2643">
        <w:rPr>
          <w:rFonts w:eastAsia="Times New Roman" w:cs="Arial"/>
          <w:color w:val="000000"/>
          <w:lang w:eastAsia="bg-BG"/>
        </w:rPr>
        <w:t>или по-малко за четири до шест часа.</w:t>
      </w:r>
    </w:p>
    <w:p w14:paraId="2E49E4C0" w14:textId="77777777" w:rsidR="002D2643" w:rsidRPr="002D2643" w:rsidRDefault="002D2643" w:rsidP="002D2643">
      <w:pPr>
        <w:spacing w:line="240" w:lineRule="auto"/>
        <w:rPr>
          <w:rFonts w:eastAsia="Times New Roman" w:cs="Arial"/>
          <w:i/>
          <w:iCs/>
          <w:color w:val="000000"/>
          <w:lang w:eastAsia="bg-BG"/>
        </w:rPr>
      </w:pPr>
    </w:p>
    <w:p w14:paraId="3F6CAD42" w14:textId="1635F021" w:rsidR="002D2643" w:rsidRPr="002D2643" w:rsidRDefault="002D2643" w:rsidP="002D2643">
      <w:pPr>
        <w:pStyle w:val="Heading3"/>
        <w:rPr>
          <w:rFonts w:eastAsia="Times New Roman"/>
          <w:i/>
        </w:rPr>
      </w:pPr>
      <w:r w:rsidRPr="002D2643">
        <w:rPr>
          <w:rFonts w:eastAsia="Times New Roman"/>
          <w:i/>
          <w:lang w:eastAsia="bg-BG"/>
        </w:rPr>
        <w:t>Разпределение</w:t>
      </w:r>
    </w:p>
    <w:p w14:paraId="473F9564" w14:textId="77777777" w:rsidR="002D2643" w:rsidRPr="002D2643" w:rsidRDefault="002D2643" w:rsidP="002D2643">
      <w:pPr>
        <w:spacing w:line="240" w:lineRule="auto"/>
        <w:rPr>
          <w:rFonts w:eastAsia="Times New Roman" w:cs="Arial"/>
        </w:rPr>
      </w:pPr>
      <w:r w:rsidRPr="002D2643">
        <w:rPr>
          <w:rFonts w:eastAsia="Times New Roman" w:cs="Arial"/>
          <w:color w:val="000000"/>
          <w:lang w:eastAsia="bg-BG"/>
        </w:rPr>
        <w:t>При хора свързването на имипенем със серумните протеини е приблизително 20 %.</w:t>
      </w:r>
    </w:p>
    <w:p w14:paraId="274B6401" w14:textId="77777777" w:rsidR="002D2643" w:rsidRPr="002D2643" w:rsidRDefault="002D2643" w:rsidP="002D2643">
      <w:pPr>
        <w:spacing w:line="240" w:lineRule="auto"/>
        <w:rPr>
          <w:rFonts w:eastAsia="Times New Roman" w:cs="Arial"/>
          <w:i/>
          <w:iCs/>
          <w:color w:val="000000"/>
          <w:lang w:eastAsia="bg-BG"/>
        </w:rPr>
      </w:pPr>
    </w:p>
    <w:p w14:paraId="6D53040D" w14:textId="63D96D85" w:rsidR="002D2643" w:rsidRPr="002D2643" w:rsidRDefault="002D2643" w:rsidP="002D2643">
      <w:pPr>
        <w:pStyle w:val="Heading3"/>
        <w:rPr>
          <w:rFonts w:eastAsia="Times New Roman"/>
          <w:i/>
        </w:rPr>
      </w:pPr>
      <w:r w:rsidRPr="002D2643">
        <w:rPr>
          <w:rFonts w:eastAsia="Times New Roman"/>
          <w:i/>
          <w:lang w:eastAsia="bg-BG"/>
        </w:rPr>
        <w:t>Биотрансформация</w:t>
      </w:r>
    </w:p>
    <w:p w14:paraId="24CF680D" w14:textId="77777777" w:rsidR="002D2643" w:rsidRPr="002D2643" w:rsidRDefault="002D2643" w:rsidP="002D2643">
      <w:pPr>
        <w:spacing w:line="240" w:lineRule="auto"/>
        <w:rPr>
          <w:rFonts w:eastAsia="Times New Roman" w:cs="Arial"/>
        </w:rPr>
      </w:pPr>
      <w:r w:rsidRPr="002D2643">
        <w:rPr>
          <w:rFonts w:eastAsia="Times New Roman" w:cs="Arial"/>
          <w:color w:val="000000"/>
          <w:lang w:eastAsia="bg-BG"/>
        </w:rPr>
        <w:t>При самостоятелно приложение, имипенем се метаболизира в бъбреците от дехидропептидаза</w:t>
      </w:r>
      <w:r w:rsidRPr="002D2643">
        <w:rPr>
          <w:rFonts w:eastAsia="Times New Roman" w:cs="Arial"/>
          <w:color w:val="000000"/>
          <w:lang w:val="ru-RU"/>
        </w:rPr>
        <w:t>-</w:t>
      </w:r>
      <w:r w:rsidRPr="002D2643">
        <w:rPr>
          <w:rFonts w:eastAsia="Times New Roman" w:cs="Arial"/>
          <w:color w:val="000000"/>
          <w:lang w:val="en-US"/>
        </w:rPr>
        <w:t>L</w:t>
      </w:r>
      <w:r w:rsidRPr="002D2643">
        <w:rPr>
          <w:rFonts w:eastAsia="Times New Roman" w:cs="Arial"/>
          <w:color w:val="000000"/>
          <w:lang w:val="ru-RU"/>
        </w:rPr>
        <w:t xml:space="preserve"> </w:t>
      </w:r>
      <w:r w:rsidRPr="002D2643">
        <w:rPr>
          <w:rFonts w:eastAsia="Times New Roman" w:cs="Arial"/>
          <w:color w:val="000000"/>
          <w:lang w:eastAsia="bg-BG"/>
        </w:rPr>
        <w:t>Процентът, който се открива в урината, е индивидуален и варира между 5 и 40 % от приложената доза, като в няколко проучвания средният процент е 15-20 %.</w:t>
      </w:r>
    </w:p>
    <w:p w14:paraId="7A0A151F" w14:textId="77777777" w:rsidR="002D2643" w:rsidRPr="002D2643" w:rsidRDefault="002D2643" w:rsidP="002D2643">
      <w:pPr>
        <w:rPr>
          <w:rFonts w:eastAsia="Times New Roman" w:cs="Arial"/>
          <w:color w:val="000000"/>
          <w:lang w:eastAsia="bg-BG"/>
        </w:rPr>
      </w:pPr>
    </w:p>
    <w:p w14:paraId="1CC97C57" w14:textId="6FD94915" w:rsidR="002D2643" w:rsidRPr="002D2643" w:rsidRDefault="002D2643" w:rsidP="002D2643">
      <w:pPr>
        <w:rPr>
          <w:rFonts w:eastAsia="Times New Roman" w:cs="Arial"/>
          <w:color w:val="000000"/>
          <w:lang w:eastAsia="bg-BG"/>
        </w:rPr>
      </w:pPr>
      <w:r w:rsidRPr="002D2643">
        <w:rPr>
          <w:rFonts w:eastAsia="Times New Roman" w:cs="Arial"/>
          <w:color w:val="000000"/>
          <w:lang w:eastAsia="bg-BG"/>
        </w:rPr>
        <w:t>Циластатин е специфичен инхибитор на дехидропептидаза</w:t>
      </w:r>
      <w:r w:rsidRPr="002D2643">
        <w:rPr>
          <w:rFonts w:eastAsia="Times New Roman" w:cs="Arial"/>
          <w:color w:val="000000"/>
          <w:lang w:val="ru-RU"/>
        </w:rPr>
        <w:t>-</w:t>
      </w:r>
      <w:r w:rsidRPr="002D2643">
        <w:rPr>
          <w:rFonts w:eastAsia="Times New Roman" w:cs="Arial"/>
          <w:color w:val="000000"/>
          <w:lang w:val="en-US"/>
        </w:rPr>
        <w:t>I</w:t>
      </w:r>
      <w:r w:rsidRPr="002D2643">
        <w:rPr>
          <w:rFonts w:eastAsia="Times New Roman" w:cs="Arial"/>
          <w:color w:val="000000"/>
          <w:lang w:val="ru-RU"/>
        </w:rPr>
        <w:t xml:space="preserve"> </w:t>
      </w:r>
      <w:r w:rsidRPr="002D2643">
        <w:rPr>
          <w:rFonts w:eastAsia="Times New Roman" w:cs="Arial"/>
          <w:color w:val="000000"/>
          <w:lang w:eastAsia="bg-BG"/>
        </w:rPr>
        <w:t>и инхибира ефикасно метаболизирането на имипенем, като по този начин едновременното приложение на имипенем и циластатин позволява достигането на терапевтични антибактериални нива на имипенем като в урината, така и в плазмата.</w:t>
      </w:r>
    </w:p>
    <w:p w14:paraId="7DD5B086" w14:textId="09E1F54D" w:rsidR="002D2643" w:rsidRPr="002D2643" w:rsidRDefault="002D2643" w:rsidP="002D2643">
      <w:pPr>
        <w:rPr>
          <w:rFonts w:eastAsia="Times New Roman" w:cs="Arial"/>
          <w:color w:val="000000"/>
          <w:lang w:eastAsia="bg-BG"/>
        </w:rPr>
      </w:pPr>
    </w:p>
    <w:p w14:paraId="504CF278" w14:textId="77777777" w:rsidR="002D2643" w:rsidRPr="002D2643" w:rsidRDefault="002D2643" w:rsidP="002D2643">
      <w:pPr>
        <w:pStyle w:val="Heading3"/>
        <w:rPr>
          <w:rFonts w:eastAsia="Times New Roman"/>
          <w:i/>
        </w:rPr>
      </w:pPr>
      <w:r w:rsidRPr="002D2643">
        <w:rPr>
          <w:rFonts w:eastAsia="Times New Roman"/>
          <w:i/>
          <w:lang w:eastAsia="bg-BG"/>
        </w:rPr>
        <w:t>Елиминиране</w:t>
      </w:r>
    </w:p>
    <w:p w14:paraId="32FEB4CB" w14:textId="77777777" w:rsidR="002D2643" w:rsidRPr="002D2643" w:rsidRDefault="002D2643" w:rsidP="002D2643">
      <w:pPr>
        <w:spacing w:line="240" w:lineRule="auto"/>
        <w:rPr>
          <w:rFonts w:eastAsia="Times New Roman" w:cs="Arial"/>
        </w:rPr>
      </w:pPr>
      <w:r w:rsidRPr="002D2643">
        <w:rPr>
          <w:rFonts w:eastAsia="Times New Roman" w:cs="Arial"/>
          <w:color w:val="000000"/>
          <w:lang w:eastAsia="bg-BG"/>
        </w:rPr>
        <w:t xml:space="preserve">Плазменият полуживот на имипенем е един час. Приблизително 70 % от приложения антибиотик се открива непроменен в урината до десет часа, като след този срок не се открива имипенем в измерима концентрация. При приложение на ТИЕНАМ в доза 500 </w:t>
      </w:r>
      <w:r w:rsidRPr="002D2643">
        <w:rPr>
          <w:rFonts w:eastAsia="Times New Roman" w:cs="Arial"/>
          <w:color w:val="000000"/>
          <w:lang w:val="en-US"/>
        </w:rPr>
        <w:t>mg</w:t>
      </w:r>
      <w:r w:rsidRPr="002D2643">
        <w:rPr>
          <w:rFonts w:eastAsia="Times New Roman" w:cs="Arial"/>
          <w:color w:val="000000"/>
          <w:lang w:val="ru-RU"/>
        </w:rPr>
        <w:t xml:space="preserve">/500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уринната концентрация на имипенем надвишава 10 μ</w:t>
      </w:r>
      <w:r w:rsidRPr="002D2643">
        <w:rPr>
          <w:rFonts w:eastAsia="Times New Roman" w:cs="Arial"/>
          <w:color w:val="000000"/>
          <w:lang w:val="en-US"/>
        </w:rPr>
        <w:t>g</w:t>
      </w:r>
      <w:r w:rsidRPr="002D2643">
        <w:rPr>
          <w:rFonts w:eastAsia="Times New Roman" w:cs="Arial"/>
          <w:color w:val="000000"/>
          <w:lang w:val="ru-RU"/>
        </w:rPr>
        <w:t>/</w:t>
      </w:r>
      <w:r w:rsidRPr="002D2643">
        <w:rPr>
          <w:rFonts w:eastAsia="Times New Roman" w:cs="Arial"/>
          <w:color w:val="000000"/>
          <w:lang w:val="en-US"/>
        </w:rPr>
        <w:t>ml</w:t>
      </w:r>
      <w:r w:rsidRPr="002D2643">
        <w:rPr>
          <w:rFonts w:eastAsia="Times New Roman" w:cs="Arial"/>
          <w:color w:val="000000"/>
          <w:lang w:val="ru-RU"/>
        </w:rPr>
        <w:t xml:space="preserve"> </w:t>
      </w:r>
      <w:r w:rsidRPr="002D2643">
        <w:rPr>
          <w:rFonts w:eastAsia="Times New Roman" w:cs="Arial"/>
          <w:color w:val="000000"/>
          <w:lang w:eastAsia="bg-BG"/>
        </w:rPr>
        <w:t>в продължение на до осем часа. Останалата част от приложената доза се открива в урината като метаболити без антибактериална активност, докато елиминирането на имипенем с изпражненията на практика е равно на нула.</w:t>
      </w:r>
    </w:p>
    <w:p w14:paraId="0C1288B0" w14:textId="77777777" w:rsidR="002D2643" w:rsidRPr="002D2643" w:rsidRDefault="002D2643" w:rsidP="002D2643">
      <w:pPr>
        <w:spacing w:line="240" w:lineRule="auto"/>
        <w:rPr>
          <w:rFonts w:eastAsia="Times New Roman" w:cs="Arial"/>
          <w:color w:val="000000"/>
          <w:lang w:eastAsia="bg-BG"/>
        </w:rPr>
      </w:pPr>
    </w:p>
    <w:p w14:paraId="706AA95C" w14:textId="0111345D" w:rsidR="002D2643" w:rsidRPr="002D2643" w:rsidRDefault="002D2643" w:rsidP="002D2643">
      <w:pPr>
        <w:spacing w:line="240" w:lineRule="auto"/>
        <w:rPr>
          <w:rFonts w:eastAsia="Times New Roman" w:cs="Arial"/>
        </w:rPr>
      </w:pPr>
      <w:r w:rsidRPr="002D2643">
        <w:rPr>
          <w:rFonts w:eastAsia="Times New Roman" w:cs="Arial"/>
          <w:color w:val="000000"/>
          <w:lang w:eastAsia="bg-BG"/>
        </w:rPr>
        <w:t>При приложение на ТИЕНАМ през шест часа, при пациенти с нормална бъбречна функция, не се установява кумулиране на имипенем в плазмата или урината.</w:t>
      </w:r>
    </w:p>
    <w:p w14:paraId="7B183B81" w14:textId="77777777" w:rsidR="002D2643" w:rsidRPr="002D2643" w:rsidRDefault="002D2643" w:rsidP="002D2643">
      <w:pPr>
        <w:spacing w:line="240" w:lineRule="auto"/>
        <w:rPr>
          <w:rFonts w:eastAsia="Times New Roman" w:cs="Arial"/>
          <w:color w:val="000000"/>
          <w:u w:val="single"/>
          <w:lang w:eastAsia="bg-BG"/>
        </w:rPr>
      </w:pPr>
    </w:p>
    <w:p w14:paraId="46F0118D" w14:textId="5EE7BBB0" w:rsidR="002D2643" w:rsidRPr="002D2643" w:rsidRDefault="002D2643" w:rsidP="002D2643">
      <w:pPr>
        <w:spacing w:line="240" w:lineRule="auto"/>
        <w:rPr>
          <w:rFonts w:eastAsia="Times New Roman" w:cs="Arial"/>
        </w:rPr>
      </w:pPr>
      <w:r w:rsidRPr="002D2643">
        <w:rPr>
          <w:rFonts w:eastAsia="Times New Roman" w:cs="Arial"/>
          <w:color w:val="000000"/>
          <w:u w:val="single"/>
          <w:lang w:eastAsia="bg-BG"/>
        </w:rPr>
        <w:t>Циластатин</w:t>
      </w:r>
    </w:p>
    <w:p w14:paraId="5223E4C9" w14:textId="77777777" w:rsidR="002D2643" w:rsidRPr="002D2643" w:rsidRDefault="002D2643" w:rsidP="002D2643">
      <w:pPr>
        <w:spacing w:line="240" w:lineRule="auto"/>
        <w:rPr>
          <w:rFonts w:eastAsia="Times New Roman" w:cs="Arial"/>
          <w:i/>
          <w:iCs/>
          <w:color w:val="000000"/>
          <w:lang w:eastAsia="bg-BG"/>
        </w:rPr>
      </w:pPr>
    </w:p>
    <w:p w14:paraId="02DE340E" w14:textId="6BAFCBA2" w:rsidR="002D2643" w:rsidRPr="002D2643" w:rsidRDefault="002D2643" w:rsidP="002D2643">
      <w:pPr>
        <w:pStyle w:val="Heading3"/>
        <w:rPr>
          <w:rFonts w:eastAsia="Times New Roman"/>
          <w:i/>
        </w:rPr>
      </w:pPr>
      <w:r w:rsidRPr="002D2643">
        <w:rPr>
          <w:rFonts w:eastAsia="Times New Roman"/>
          <w:i/>
          <w:lang w:eastAsia="bg-BG"/>
        </w:rPr>
        <w:t>Абсорбция</w:t>
      </w:r>
    </w:p>
    <w:p w14:paraId="217FAACB" w14:textId="77777777" w:rsidR="002D2643" w:rsidRPr="002D2643" w:rsidRDefault="002D2643" w:rsidP="002D2643">
      <w:pPr>
        <w:spacing w:line="240" w:lineRule="auto"/>
        <w:rPr>
          <w:rFonts w:eastAsia="Times New Roman" w:cs="Arial"/>
        </w:rPr>
      </w:pPr>
      <w:r w:rsidRPr="002D2643">
        <w:rPr>
          <w:rFonts w:eastAsia="Times New Roman" w:cs="Arial"/>
          <w:color w:val="000000"/>
          <w:lang w:eastAsia="bg-BG"/>
        </w:rPr>
        <w:t>Пиковите плазмени концентрации на циластатин след интравенозна инфузия на ТИЕНАМ с продължителност 20 минути варират от 21 до 26 μ</w:t>
      </w:r>
      <w:r w:rsidRPr="002D2643">
        <w:rPr>
          <w:rFonts w:eastAsia="Times New Roman" w:cs="Arial"/>
          <w:color w:val="000000"/>
          <w:lang w:val="en-US"/>
        </w:rPr>
        <w:t>g</w:t>
      </w:r>
      <w:r w:rsidRPr="002D2643">
        <w:rPr>
          <w:rFonts w:eastAsia="Times New Roman" w:cs="Arial"/>
          <w:color w:val="000000"/>
          <w:lang w:val="ru-RU"/>
        </w:rPr>
        <w:t>/</w:t>
      </w:r>
      <w:r w:rsidRPr="002D2643">
        <w:rPr>
          <w:rFonts w:eastAsia="Times New Roman" w:cs="Arial"/>
          <w:color w:val="000000"/>
          <w:lang w:val="en-US"/>
        </w:rPr>
        <w:t>ml</w:t>
      </w:r>
      <w:r w:rsidRPr="002D2643">
        <w:rPr>
          <w:rFonts w:eastAsia="Times New Roman" w:cs="Arial"/>
          <w:color w:val="000000"/>
          <w:lang w:val="ru-RU"/>
        </w:rPr>
        <w:t xml:space="preserve"> </w:t>
      </w:r>
      <w:r w:rsidRPr="002D2643">
        <w:rPr>
          <w:rFonts w:eastAsia="Times New Roman" w:cs="Arial"/>
          <w:color w:val="000000"/>
          <w:lang w:eastAsia="bg-BG"/>
        </w:rPr>
        <w:t xml:space="preserve">при приложение на доза от 250 </w:t>
      </w:r>
      <w:r w:rsidRPr="002D2643">
        <w:rPr>
          <w:rFonts w:eastAsia="Times New Roman" w:cs="Arial"/>
          <w:color w:val="000000"/>
          <w:lang w:val="en-US"/>
        </w:rPr>
        <w:t>mg</w:t>
      </w:r>
      <w:r w:rsidRPr="002D2643">
        <w:rPr>
          <w:rFonts w:eastAsia="Times New Roman" w:cs="Arial"/>
          <w:color w:val="000000"/>
          <w:lang w:val="ru-RU"/>
        </w:rPr>
        <w:t xml:space="preserve">/250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от 21 до 55 μ</w:t>
      </w:r>
      <w:r w:rsidRPr="002D2643">
        <w:rPr>
          <w:rFonts w:eastAsia="Times New Roman" w:cs="Arial"/>
          <w:color w:val="000000"/>
          <w:lang w:val="en-US"/>
        </w:rPr>
        <w:t>g</w:t>
      </w:r>
      <w:r w:rsidRPr="002D2643">
        <w:rPr>
          <w:rFonts w:eastAsia="Times New Roman" w:cs="Arial"/>
          <w:color w:val="000000"/>
          <w:lang w:val="ru-RU"/>
        </w:rPr>
        <w:t>/</w:t>
      </w:r>
      <w:r w:rsidRPr="002D2643">
        <w:rPr>
          <w:rFonts w:eastAsia="Times New Roman" w:cs="Arial"/>
          <w:color w:val="000000"/>
          <w:lang w:val="en-US"/>
        </w:rPr>
        <w:t>ml</w:t>
      </w:r>
      <w:r w:rsidRPr="002D2643">
        <w:rPr>
          <w:rFonts w:eastAsia="Times New Roman" w:cs="Arial"/>
          <w:color w:val="000000"/>
          <w:lang w:val="ru-RU"/>
        </w:rPr>
        <w:t xml:space="preserve"> </w:t>
      </w:r>
      <w:r w:rsidRPr="002D2643">
        <w:rPr>
          <w:rFonts w:eastAsia="Times New Roman" w:cs="Arial"/>
          <w:color w:val="000000"/>
          <w:lang w:eastAsia="bg-BG"/>
        </w:rPr>
        <w:t xml:space="preserve">при приложение на доза от 500 </w:t>
      </w:r>
      <w:r w:rsidRPr="002D2643">
        <w:rPr>
          <w:rFonts w:eastAsia="Times New Roman" w:cs="Arial"/>
          <w:color w:val="000000"/>
          <w:lang w:val="en-US"/>
        </w:rPr>
        <w:t>mg</w:t>
      </w:r>
      <w:r w:rsidRPr="002D2643">
        <w:rPr>
          <w:rFonts w:eastAsia="Times New Roman" w:cs="Arial"/>
          <w:color w:val="000000"/>
          <w:lang w:val="ru-RU"/>
        </w:rPr>
        <w:t xml:space="preserve">/500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и от 56 до 88 μ</w:t>
      </w:r>
      <w:r w:rsidRPr="002D2643">
        <w:rPr>
          <w:rFonts w:eastAsia="Times New Roman" w:cs="Arial"/>
          <w:color w:val="000000"/>
          <w:lang w:val="en-US"/>
        </w:rPr>
        <w:t>g</w:t>
      </w:r>
      <w:r w:rsidRPr="002D2643">
        <w:rPr>
          <w:rFonts w:eastAsia="Times New Roman" w:cs="Arial"/>
          <w:color w:val="000000"/>
          <w:lang w:val="ru-RU"/>
        </w:rPr>
        <w:t>/</w:t>
      </w:r>
      <w:r w:rsidRPr="002D2643">
        <w:rPr>
          <w:rFonts w:eastAsia="Times New Roman" w:cs="Arial"/>
          <w:color w:val="000000"/>
          <w:lang w:val="en-US"/>
        </w:rPr>
        <w:t>ml</w:t>
      </w:r>
      <w:r w:rsidRPr="002D2643">
        <w:rPr>
          <w:rFonts w:eastAsia="Times New Roman" w:cs="Arial"/>
          <w:color w:val="000000"/>
          <w:lang w:val="ru-RU"/>
        </w:rPr>
        <w:t xml:space="preserve"> </w:t>
      </w:r>
      <w:r w:rsidRPr="002D2643">
        <w:rPr>
          <w:rFonts w:eastAsia="Times New Roman" w:cs="Arial"/>
          <w:color w:val="000000"/>
          <w:lang w:eastAsia="bg-BG"/>
        </w:rPr>
        <w:t xml:space="preserve">при приложение на доза от 1 000 </w:t>
      </w:r>
      <w:r w:rsidRPr="002D2643">
        <w:rPr>
          <w:rFonts w:eastAsia="Times New Roman" w:cs="Arial"/>
          <w:color w:val="000000"/>
          <w:lang w:val="en-US"/>
        </w:rPr>
        <w:t>mg</w:t>
      </w:r>
      <w:r w:rsidRPr="002D2643">
        <w:rPr>
          <w:rFonts w:eastAsia="Times New Roman" w:cs="Arial"/>
          <w:color w:val="000000"/>
          <w:lang w:val="ru-RU"/>
        </w:rPr>
        <w:t xml:space="preserve">/1 </w:t>
      </w:r>
      <w:r w:rsidRPr="002D2643">
        <w:rPr>
          <w:rFonts w:eastAsia="Times New Roman" w:cs="Arial"/>
          <w:color w:val="000000"/>
          <w:lang w:eastAsia="bg-BG"/>
        </w:rPr>
        <w:t xml:space="preserve">000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 xml:space="preserve">Средните пикови плазмени концентрации на циластатин след приложение на дози от 250 </w:t>
      </w:r>
      <w:r w:rsidRPr="002D2643">
        <w:rPr>
          <w:rFonts w:eastAsia="Times New Roman" w:cs="Arial"/>
          <w:color w:val="000000"/>
          <w:lang w:val="en-US"/>
        </w:rPr>
        <w:t>mg</w:t>
      </w:r>
      <w:r w:rsidRPr="002D2643">
        <w:rPr>
          <w:rFonts w:eastAsia="Times New Roman" w:cs="Arial"/>
          <w:color w:val="000000"/>
          <w:lang w:val="ru-RU"/>
        </w:rPr>
        <w:t xml:space="preserve">/250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 xml:space="preserve">500 </w:t>
      </w:r>
      <w:r w:rsidRPr="002D2643">
        <w:rPr>
          <w:rFonts w:eastAsia="Times New Roman" w:cs="Arial"/>
          <w:color w:val="000000"/>
          <w:lang w:val="en-US"/>
        </w:rPr>
        <w:t>mg</w:t>
      </w:r>
      <w:r w:rsidRPr="002D2643">
        <w:rPr>
          <w:rFonts w:eastAsia="Times New Roman" w:cs="Arial"/>
          <w:color w:val="000000"/>
          <w:lang w:val="ru-RU"/>
        </w:rPr>
        <w:t xml:space="preserve">/500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 xml:space="preserve">и 1 </w:t>
      </w:r>
      <w:r w:rsidRPr="002D2643">
        <w:rPr>
          <w:rFonts w:eastAsia="Times New Roman" w:cs="Arial"/>
          <w:color w:val="000000"/>
          <w:lang w:val="ru-RU"/>
        </w:rPr>
        <w:t xml:space="preserve">000 </w:t>
      </w:r>
      <w:r w:rsidRPr="002D2643">
        <w:rPr>
          <w:rFonts w:eastAsia="Times New Roman" w:cs="Arial"/>
          <w:color w:val="000000"/>
          <w:lang w:val="en-US"/>
        </w:rPr>
        <w:t>mg</w:t>
      </w:r>
      <w:r w:rsidRPr="002D2643">
        <w:rPr>
          <w:rFonts w:eastAsia="Times New Roman" w:cs="Arial"/>
          <w:color w:val="000000"/>
          <w:lang w:val="ru-RU"/>
        </w:rPr>
        <w:t xml:space="preserve">/1 000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 xml:space="preserve">са съответно </w:t>
      </w:r>
      <w:r w:rsidRPr="002D2643">
        <w:rPr>
          <w:rFonts w:eastAsia="Times New Roman" w:cs="Arial"/>
          <w:color w:val="000000"/>
          <w:lang w:val="ru-RU"/>
        </w:rPr>
        <w:t xml:space="preserve">22,42 </w:t>
      </w:r>
      <w:r w:rsidRPr="002D2643">
        <w:rPr>
          <w:rFonts w:eastAsia="Times New Roman" w:cs="Arial"/>
          <w:color w:val="000000"/>
          <w:lang w:eastAsia="bg-BG"/>
        </w:rPr>
        <w:t>и 72 μ</w:t>
      </w:r>
      <w:r w:rsidRPr="002D2643">
        <w:rPr>
          <w:rFonts w:eastAsia="Times New Roman" w:cs="Arial"/>
          <w:color w:val="000000"/>
          <w:lang w:val="en-US"/>
        </w:rPr>
        <w:t>g</w:t>
      </w:r>
      <w:r w:rsidRPr="002D2643">
        <w:rPr>
          <w:rFonts w:eastAsia="Times New Roman" w:cs="Arial"/>
          <w:color w:val="000000"/>
          <w:lang w:val="ru-RU"/>
        </w:rPr>
        <w:t>/</w:t>
      </w:r>
      <w:r w:rsidRPr="002D2643">
        <w:rPr>
          <w:rFonts w:eastAsia="Times New Roman" w:cs="Arial"/>
          <w:color w:val="000000"/>
          <w:lang w:val="en-US"/>
        </w:rPr>
        <w:t>ml</w:t>
      </w:r>
      <w:r w:rsidRPr="002D2643">
        <w:rPr>
          <w:rFonts w:eastAsia="Times New Roman" w:cs="Arial"/>
          <w:color w:val="000000"/>
          <w:lang w:val="ru-RU"/>
        </w:rPr>
        <w:t>.</w:t>
      </w:r>
    </w:p>
    <w:p w14:paraId="74EADC48" w14:textId="77777777" w:rsidR="002D2643" w:rsidRPr="002D2643" w:rsidRDefault="002D2643" w:rsidP="002D2643">
      <w:pPr>
        <w:spacing w:line="240" w:lineRule="auto"/>
        <w:rPr>
          <w:rFonts w:eastAsia="Times New Roman" w:cs="Arial"/>
          <w:i/>
          <w:iCs/>
          <w:color w:val="000000"/>
          <w:lang w:eastAsia="bg-BG"/>
        </w:rPr>
      </w:pPr>
    </w:p>
    <w:p w14:paraId="39C7FFF2" w14:textId="460CD241" w:rsidR="002D2643" w:rsidRPr="002D2643" w:rsidRDefault="002D2643" w:rsidP="002D2643">
      <w:pPr>
        <w:pStyle w:val="Heading3"/>
        <w:rPr>
          <w:rFonts w:eastAsia="Times New Roman"/>
          <w:i/>
        </w:rPr>
      </w:pPr>
      <w:r w:rsidRPr="002D2643">
        <w:rPr>
          <w:rFonts w:eastAsia="Times New Roman"/>
          <w:i/>
          <w:lang w:eastAsia="bg-BG"/>
        </w:rPr>
        <w:t>Разпределение</w:t>
      </w:r>
    </w:p>
    <w:p w14:paraId="48B2BB5C" w14:textId="77777777" w:rsidR="002D2643" w:rsidRPr="002D2643" w:rsidRDefault="002D2643" w:rsidP="002D2643">
      <w:pPr>
        <w:spacing w:line="240" w:lineRule="auto"/>
        <w:rPr>
          <w:rFonts w:eastAsia="Times New Roman" w:cs="Arial"/>
        </w:rPr>
      </w:pPr>
      <w:r w:rsidRPr="002D2643">
        <w:rPr>
          <w:rFonts w:eastAsia="Times New Roman" w:cs="Arial"/>
          <w:color w:val="000000"/>
          <w:lang w:eastAsia="bg-BG"/>
        </w:rPr>
        <w:t>При хора свързването на циластатин със серумните протеини е приблизително 40 %.</w:t>
      </w:r>
    </w:p>
    <w:p w14:paraId="4B43AA92" w14:textId="77777777" w:rsidR="002D2643" w:rsidRPr="002D2643" w:rsidRDefault="002D2643" w:rsidP="002D2643">
      <w:pPr>
        <w:spacing w:line="240" w:lineRule="auto"/>
        <w:rPr>
          <w:rFonts w:eastAsia="Times New Roman" w:cs="Arial"/>
          <w:i/>
          <w:iCs/>
          <w:color w:val="000000"/>
          <w:lang w:eastAsia="bg-BG"/>
        </w:rPr>
      </w:pPr>
    </w:p>
    <w:p w14:paraId="0BCA871A" w14:textId="711199BC" w:rsidR="002D2643" w:rsidRPr="002D2643" w:rsidRDefault="002D2643" w:rsidP="002D2643">
      <w:pPr>
        <w:pStyle w:val="Heading3"/>
        <w:rPr>
          <w:rFonts w:eastAsia="Times New Roman"/>
          <w:i/>
        </w:rPr>
      </w:pPr>
      <w:r w:rsidRPr="002D2643">
        <w:rPr>
          <w:rFonts w:eastAsia="Times New Roman"/>
          <w:i/>
          <w:lang w:eastAsia="bg-BG"/>
        </w:rPr>
        <w:t>Биотрансформация и елиминиране</w:t>
      </w:r>
    </w:p>
    <w:p w14:paraId="73AD9947" w14:textId="77777777" w:rsidR="002D2643" w:rsidRPr="002D2643" w:rsidRDefault="002D2643" w:rsidP="002D2643">
      <w:pPr>
        <w:spacing w:line="240" w:lineRule="auto"/>
        <w:rPr>
          <w:rFonts w:eastAsia="Times New Roman" w:cs="Arial"/>
        </w:rPr>
      </w:pPr>
      <w:r w:rsidRPr="002D2643">
        <w:rPr>
          <w:rFonts w:eastAsia="Times New Roman" w:cs="Arial"/>
          <w:color w:val="000000"/>
          <w:lang w:eastAsia="bg-BG"/>
        </w:rPr>
        <w:t xml:space="preserve">Плазменият полуживот на циластатин е приблизително един час. Приблизително 70-80 % от приложената доза циластатин се открива непроменена в урината до 10 часа след </w:t>
      </w:r>
      <w:r w:rsidRPr="002D2643">
        <w:rPr>
          <w:rFonts w:eastAsia="Times New Roman" w:cs="Arial"/>
          <w:color w:val="000000"/>
          <w:lang w:eastAsia="bg-BG"/>
        </w:rPr>
        <w:lastRenderedPageBreak/>
        <w:t xml:space="preserve">приложението на ТИЕНАМ. След този срок не се открива циластатин. Приблизително 10 % се открива като </w:t>
      </w:r>
      <w:r w:rsidRPr="002D2643">
        <w:rPr>
          <w:rFonts w:eastAsia="Times New Roman" w:cs="Arial"/>
          <w:color w:val="000000"/>
          <w:lang w:val="en-US"/>
        </w:rPr>
        <w:t>N</w:t>
      </w:r>
      <w:r w:rsidRPr="002D2643">
        <w:rPr>
          <w:rFonts w:eastAsia="Times New Roman" w:cs="Arial"/>
          <w:color w:val="000000"/>
          <w:lang w:eastAsia="bg-BG"/>
        </w:rPr>
        <w:t>-ацетил метаболит, който проявява инхибиторна активност срещу дехидропептидазата сравнима с тази на циластатин. Активността на бъбречната дехидропептидаза-1 се възстановява скоро след елиминирането на циластатин от кръвообращението.</w:t>
      </w:r>
    </w:p>
    <w:p w14:paraId="5C8AA97D" w14:textId="77777777" w:rsidR="002D2643" w:rsidRPr="002D2643" w:rsidRDefault="002D2643" w:rsidP="002D2643">
      <w:pPr>
        <w:spacing w:line="240" w:lineRule="auto"/>
        <w:rPr>
          <w:rFonts w:eastAsia="Times New Roman" w:cs="Arial"/>
          <w:color w:val="000000"/>
          <w:lang w:eastAsia="bg-BG"/>
        </w:rPr>
      </w:pPr>
    </w:p>
    <w:p w14:paraId="65DE38C5" w14:textId="373A8EF2" w:rsidR="002D2643" w:rsidRPr="002D2643" w:rsidRDefault="002D2643" w:rsidP="002D2643">
      <w:pPr>
        <w:spacing w:line="240" w:lineRule="auto"/>
        <w:rPr>
          <w:rFonts w:eastAsia="Times New Roman" w:cs="Arial"/>
        </w:rPr>
      </w:pPr>
      <w:r w:rsidRPr="002D2643">
        <w:rPr>
          <w:rFonts w:eastAsia="Times New Roman" w:cs="Arial"/>
          <w:color w:val="000000"/>
          <w:lang w:eastAsia="bg-BG"/>
        </w:rPr>
        <w:t>Фармакокинетика при специални популации</w:t>
      </w:r>
    </w:p>
    <w:p w14:paraId="023B47B5" w14:textId="77777777" w:rsidR="002D2643" w:rsidRPr="002D2643" w:rsidRDefault="002D2643" w:rsidP="002D2643">
      <w:pPr>
        <w:spacing w:line="240" w:lineRule="auto"/>
        <w:rPr>
          <w:rFonts w:eastAsia="Times New Roman" w:cs="Arial"/>
          <w:color w:val="000000"/>
          <w:u w:val="single"/>
          <w:lang w:eastAsia="bg-BG"/>
        </w:rPr>
      </w:pPr>
    </w:p>
    <w:p w14:paraId="1934C0B3" w14:textId="7DF384D1" w:rsidR="002D2643" w:rsidRPr="002D2643" w:rsidRDefault="002D2643" w:rsidP="002D2643">
      <w:pPr>
        <w:spacing w:line="240" w:lineRule="auto"/>
        <w:rPr>
          <w:rFonts w:eastAsia="Times New Roman" w:cs="Arial"/>
        </w:rPr>
      </w:pPr>
      <w:r w:rsidRPr="002D2643">
        <w:rPr>
          <w:rFonts w:eastAsia="Times New Roman" w:cs="Arial"/>
          <w:color w:val="000000"/>
          <w:u w:val="single"/>
          <w:lang w:eastAsia="bg-BG"/>
        </w:rPr>
        <w:t>Бъбречна недостатъчност</w:t>
      </w:r>
    </w:p>
    <w:p w14:paraId="17D1526B" w14:textId="77777777" w:rsidR="002D2643" w:rsidRPr="002D2643" w:rsidRDefault="002D2643" w:rsidP="002D2643">
      <w:pPr>
        <w:spacing w:line="240" w:lineRule="auto"/>
        <w:rPr>
          <w:rFonts w:eastAsia="Times New Roman" w:cs="Arial"/>
        </w:rPr>
      </w:pPr>
      <w:r w:rsidRPr="002D2643">
        <w:rPr>
          <w:rFonts w:eastAsia="Times New Roman" w:cs="Arial"/>
          <w:color w:val="000000"/>
          <w:lang w:eastAsia="bg-BG"/>
        </w:rPr>
        <w:t xml:space="preserve">След интравенозно приложение на единична доза от 250 </w:t>
      </w:r>
      <w:r w:rsidRPr="002D2643">
        <w:rPr>
          <w:rFonts w:eastAsia="Times New Roman" w:cs="Arial"/>
          <w:color w:val="000000"/>
          <w:lang w:val="en-US"/>
        </w:rPr>
        <w:t>mg</w:t>
      </w:r>
      <w:r w:rsidRPr="002D2643">
        <w:rPr>
          <w:rFonts w:eastAsia="Times New Roman" w:cs="Arial"/>
          <w:color w:val="000000"/>
          <w:lang w:val="ru-RU"/>
        </w:rPr>
        <w:t xml:space="preserve">/250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 xml:space="preserve">ТИЕНАМ площта под кривата </w:t>
      </w:r>
      <w:r w:rsidRPr="002D2643">
        <w:rPr>
          <w:rFonts w:eastAsia="Times New Roman" w:cs="Arial"/>
          <w:color w:val="000000"/>
          <w:lang w:val="ru-RU"/>
        </w:rPr>
        <w:t>(</w:t>
      </w:r>
      <w:r w:rsidRPr="002D2643">
        <w:rPr>
          <w:rFonts w:eastAsia="Times New Roman" w:cs="Arial"/>
          <w:color w:val="000000"/>
          <w:lang w:val="en-US"/>
        </w:rPr>
        <w:t>AUC</w:t>
      </w:r>
      <w:r w:rsidRPr="002D2643">
        <w:rPr>
          <w:rFonts w:eastAsia="Times New Roman" w:cs="Arial"/>
          <w:color w:val="000000"/>
          <w:lang w:val="ru-RU"/>
        </w:rPr>
        <w:t xml:space="preserve">) </w:t>
      </w:r>
      <w:r w:rsidRPr="002D2643">
        <w:rPr>
          <w:rFonts w:eastAsia="Times New Roman" w:cs="Arial"/>
          <w:color w:val="000000"/>
          <w:lang w:eastAsia="bg-BG"/>
        </w:rPr>
        <w:t xml:space="preserve">на имипенем се увеличава съответно 1,1 пъти, 1,9 пъти и 2,7 пъти при индивиди с леко (креатининов клирънс </w:t>
      </w:r>
      <w:r w:rsidRPr="002D2643">
        <w:rPr>
          <w:rFonts w:eastAsia="Times New Roman" w:cs="Arial"/>
          <w:color w:val="000000"/>
          <w:lang w:val="ru-RU"/>
        </w:rPr>
        <w:t>(</w:t>
      </w:r>
      <w:proofErr w:type="spellStart"/>
      <w:r w:rsidRPr="002D2643">
        <w:rPr>
          <w:rFonts w:eastAsia="Times New Roman" w:cs="Arial"/>
          <w:color w:val="000000"/>
          <w:lang w:val="en-US"/>
        </w:rPr>
        <w:t>CrCL</w:t>
      </w:r>
      <w:proofErr w:type="spellEnd"/>
      <w:r w:rsidRPr="002D2643">
        <w:rPr>
          <w:rFonts w:eastAsia="Times New Roman" w:cs="Arial"/>
          <w:color w:val="000000"/>
          <w:lang w:val="ru-RU"/>
        </w:rPr>
        <w:t xml:space="preserve">) </w:t>
      </w:r>
      <w:r w:rsidRPr="002D2643">
        <w:rPr>
          <w:rFonts w:eastAsia="Times New Roman" w:cs="Arial"/>
          <w:color w:val="000000"/>
          <w:lang w:eastAsia="bg-BG"/>
        </w:rPr>
        <w:t xml:space="preserve">50-80 </w:t>
      </w:r>
      <w:r w:rsidRPr="002D2643">
        <w:rPr>
          <w:rFonts w:eastAsia="Times New Roman" w:cs="Arial"/>
          <w:color w:val="000000"/>
          <w:lang w:val="en-US"/>
        </w:rPr>
        <w:t>ml</w:t>
      </w:r>
      <w:r w:rsidRPr="002D2643">
        <w:rPr>
          <w:rFonts w:eastAsia="Times New Roman" w:cs="Arial"/>
          <w:color w:val="000000"/>
          <w:lang w:val="ru-RU"/>
        </w:rPr>
        <w:t>/</w:t>
      </w:r>
      <w:r w:rsidRPr="002D2643">
        <w:rPr>
          <w:rFonts w:eastAsia="Times New Roman" w:cs="Arial"/>
          <w:color w:val="000000"/>
          <w:lang w:val="en-US"/>
        </w:rPr>
        <w:t>min</w:t>
      </w:r>
      <w:r w:rsidRPr="002D2643">
        <w:rPr>
          <w:rFonts w:eastAsia="Times New Roman" w:cs="Arial"/>
          <w:color w:val="000000"/>
          <w:lang w:val="ru-RU"/>
        </w:rPr>
        <w:t xml:space="preserve">/1,73 </w:t>
      </w:r>
      <w:r w:rsidRPr="002D2643">
        <w:rPr>
          <w:rFonts w:eastAsia="Times New Roman" w:cs="Arial"/>
          <w:color w:val="000000"/>
          <w:lang w:val="en-US"/>
        </w:rPr>
        <w:t>m</w:t>
      </w:r>
      <w:r w:rsidRPr="002D2643">
        <w:rPr>
          <w:rFonts w:eastAsia="Times New Roman" w:cs="Arial"/>
          <w:color w:val="000000"/>
          <w:vertAlign w:val="superscript"/>
          <w:lang w:val="ru-RU"/>
        </w:rPr>
        <w:t>2</w:t>
      </w:r>
      <w:r w:rsidRPr="002D2643">
        <w:rPr>
          <w:rFonts w:eastAsia="Times New Roman" w:cs="Arial"/>
          <w:color w:val="000000"/>
          <w:lang w:val="ru-RU"/>
        </w:rPr>
        <w:t xml:space="preserve">), </w:t>
      </w:r>
      <w:r w:rsidRPr="002D2643">
        <w:rPr>
          <w:rFonts w:eastAsia="Times New Roman" w:cs="Arial"/>
          <w:color w:val="000000"/>
          <w:lang w:eastAsia="bg-BG"/>
        </w:rPr>
        <w:t xml:space="preserve">умерено </w:t>
      </w:r>
      <w:r w:rsidRPr="002D2643">
        <w:rPr>
          <w:rFonts w:eastAsia="Times New Roman" w:cs="Arial"/>
          <w:color w:val="000000"/>
          <w:lang w:val="ru-RU"/>
        </w:rPr>
        <w:t>(</w:t>
      </w:r>
      <w:proofErr w:type="spellStart"/>
      <w:r w:rsidRPr="002D2643">
        <w:rPr>
          <w:rFonts w:eastAsia="Times New Roman" w:cs="Arial"/>
          <w:color w:val="000000"/>
          <w:lang w:val="en-US"/>
        </w:rPr>
        <w:t>CrCL</w:t>
      </w:r>
      <w:proofErr w:type="spellEnd"/>
      <w:r w:rsidRPr="002D2643">
        <w:rPr>
          <w:rFonts w:eastAsia="Times New Roman" w:cs="Arial"/>
          <w:color w:val="000000"/>
          <w:lang w:val="ru-RU"/>
        </w:rPr>
        <w:t xml:space="preserve"> </w:t>
      </w:r>
      <w:r w:rsidRPr="002D2643">
        <w:rPr>
          <w:rFonts w:eastAsia="Times New Roman" w:cs="Arial"/>
          <w:color w:val="000000"/>
          <w:lang w:eastAsia="bg-BG"/>
        </w:rPr>
        <w:t xml:space="preserve">30-&lt; 50 </w:t>
      </w:r>
      <w:r w:rsidRPr="002D2643">
        <w:rPr>
          <w:rFonts w:eastAsia="Times New Roman" w:cs="Arial"/>
          <w:color w:val="000000"/>
          <w:lang w:val="en-US"/>
        </w:rPr>
        <w:t>ml</w:t>
      </w:r>
      <w:r w:rsidRPr="002D2643">
        <w:rPr>
          <w:rFonts w:eastAsia="Times New Roman" w:cs="Arial"/>
          <w:color w:val="000000"/>
          <w:lang w:val="ru-RU"/>
        </w:rPr>
        <w:t>/</w:t>
      </w:r>
      <w:r w:rsidRPr="002D2643">
        <w:rPr>
          <w:rFonts w:eastAsia="Times New Roman" w:cs="Arial"/>
          <w:color w:val="000000"/>
          <w:lang w:val="en-US"/>
        </w:rPr>
        <w:t>min</w:t>
      </w:r>
      <w:r w:rsidRPr="002D2643">
        <w:rPr>
          <w:rFonts w:eastAsia="Times New Roman" w:cs="Arial"/>
          <w:color w:val="000000"/>
          <w:lang w:val="ru-RU"/>
        </w:rPr>
        <w:t xml:space="preserve">/1,73 </w:t>
      </w:r>
      <w:r w:rsidRPr="002D2643">
        <w:rPr>
          <w:rFonts w:eastAsia="Times New Roman" w:cs="Arial"/>
          <w:color w:val="000000"/>
          <w:lang w:val="en-US"/>
        </w:rPr>
        <w:t>m</w:t>
      </w:r>
      <w:r w:rsidRPr="002D2643">
        <w:rPr>
          <w:rFonts w:eastAsia="Times New Roman" w:cs="Arial"/>
          <w:color w:val="000000"/>
          <w:vertAlign w:val="superscript"/>
          <w:lang w:val="ru-RU"/>
        </w:rPr>
        <w:t>2</w:t>
      </w:r>
      <w:r w:rsidRPr="002D2643">
        <w:rPr>
          <w:rFonts w:eastAsia="Times New Roman" w:cs="Arial"/>
          <w:color w:val="000000"/>
          <w:lang w:val="ru-RU"/>
        </w:rPr>
        <w:t xml:space="preserve">) </w:t>
      </w:r>
      <w:r w:rsidRPr="002D2643">
        <w:rPr>
          <w:rFonts w:eastAsia="Times New Roman" w:cs="Arial"/>
          <w:color w:val="000000"/>
          <w:lang w:eastAsia="bg-BG"/>
        </w:rPr>
        <w:t xml:space="preserve">и тежко </w:t>
      </w:r>
      <w:r w:rsidRPr="002D2643">
        <w:rPr>
          <w:rFonts w:eastAsia="Times New Roman" w:cs="Arial"/>
          <w:color w:val="000000"/>
          <w:lang w:val="ru-RU"/>
        </w:rPr>
        <w:t>(</w:t>
      </w:r>
      <w:proofErr w:type="spellStart"/>
      <w:r w:rsidRPr="002D2643">
        <w:rPr>
          <w:rFonts w:eastAsia="Times New Roman" w:cs="Arial"/>
          <w:color w:val="000000"/>
          <w:lang w:val="en-US"/>
        </w:rPr>
        <w:t>CrCL</w:t>
      </w:r>
      <w:proofErr w:type="spellEnd"/>
      <w:r w:rsidRPr="002D2643">
        <w:rPr>
          <w:rFonts w:eastAsia="Times New Roman" w:cs="Arial"/>
          <w:color w:val="000000"/>
          <w:lang w:val="ru-RU"/>
        </w:rPr>
        <w:t xml:space="preserve"> </w:t>
      </w:r>
      <w:r w:rsidRPr="002D2643">
        <w:rPr>
          <w:rFonts w:eastAsia="Times New Roman" w:cs="Arial"/>
          <w:color w:val="000000"/>
          <w:lang w:eastAsia="bg-BG"/>
        </w:rPr>
        <w:t xml:space="preserve">&lt;30 </w:t>
      </w:r>
      <w:r w:rsidRPr="002D2643">
        <w:rPr>
          <w:rFonts w:eastAsia="Times New Roman" w:cs="Arial"/>
          <w:color w:val="000000"/>
          <w:lang w:val="en-US"/>
        </w:rPr>
        <w:t>ml</w:t>
      </w:r>
      <w:r w:rsidRPr="002D2643">
        <w:rPr>
          <w:rFonts w:eastAsia="Times New Roman" w:cs="Arial"/>
          <w:color w:val="000000"/>
          <w:lang w:val="ru-RU"/>
        </w:rPr>
        <w:t>/</w:t>
      </w:r>
      <w:r w:rsidRPr="002D2643">
        <w:rPr>
          <w:rFonts w:eastAsia="Times New Roman" w:cs="Arial"/>
          <w:color w:val="000000"/>
          <w:lang w:val="en-US"/>
        </w:rPr>
        <w:t>min</w:t>
      </w:r>
      <w:r w:rsidRPr="002D2643">
        <w:rPr>
          <w:rFonts w:eastAsia="Times New Roman" w:cs="Arial"/>
          <w:color w:val="000000"/>
          <w:lang w:val="ru-RU"/>
        </w:rPr>
        <w:t xml:space="preserve">/1,73 </w:t>
      </w:r>
      <w:r w:rsidRPr="002D2643">
        <w:rPr>
          <w:rFonts w:eastAsia="Times New Roman" w:cs="Arial"/>
          <w:color w:val="000000"/>
          <w:lang w:val="en-US"/>
        </w:rPr>
        <w:t>m</w:t>
      </w:r>
      <w:r w:rsidRPr="002D2643">
        <w:rPr>
          <w:rFonts w:eastAsia="Times New Roman" w:cs="Arial"/>
          <w:color w:val="000000"/>
          <w:vertAlign w:val="superscript"/>
          <w:lang w:val="ru-RU"/>
        </w:rPr>
        <w:t>2</w:t>
      </w:r>
      <w:r w:rsidRPr="002D2643">
        <w:rPr>
          <w:rFonts w:eastAsia="Times New Roman" w:cs="Arial"/>
          <w:color w:val="000000"/>
          <w:lang w:val="ru-RU"/>
        </w:rPr>
        <w:t xml:space="preserve">) </w:t>
      </w:r>
      <w:r w:rsidRPr="002D2643">
        <w:rPr>
          <w:rFonts w:eastAsia="Times New Roman" w:cs="Arial"/>
          <w:color w:val="000000"/>
          <w:lang w:eastAsia="bg-BG"/>
        </w:rPr>
        <w:t xml:space="preserve">бъбречно увреждане, в сравнение с тази при хора с нормална бъбречна функция </w:t>
      </w:r>
      <w:r w:rsidRPr="002D2643">
        <w:rPr>
          <w:rFonts w:eastAsia="Times New Roman" w:cs="Arial"/>
          <w:color w:val="000000"/>
          <w:lang w:val="ru-RU"/>
        </w:rPr>
        <w:t>(</w:t>
      </w:r>
      <w:proofErr w:type="spellStart"/>
      <w:r w:rsidRPr="002D2643">
        <w:rPr>
          <w:rFonts w:eastAsia="Times New Roman" w:cs="Arial"/>
          <w:color w:val="000000"/>
          <w:lang w:val="en-US"/>
        </w:rPr>
        <w:t>CrCL</w:t>
      </w:r>
      <w:proofErr w:type="spellEnd"/>
      <w:r w:rsidRPr="002D2643">
        <w:rPr>
          <w:rFonts w:eastAsia="Times New Roman" w:cs="Arial"/>
          <w:color w:val="000000"/>
          <w:lang w:val="ru-RU"/>
        </w:rPr>
        <w:t xml:space="preserve"> </w:t>
      </w:r>
      <w:r w:rsidRPr="002D2643">
        <w:rPr>
          <w:rFonts w:eastAsia="Times New Roman" w:cs="Arial"/>
          <w:color w:val="000000"/>
          <w:lang w:eastAsia="bg-BG"/>
        </w:rPr>
        <w:t xml:space="preserve">&gt;80 </w:t>
      </w:r>
      <w:r w:rsidRPr="002D2643">
        <w:rPr>
          <w:rFonts w:eastAsia="Times New Roman" w:cs="Arial"/>
          <w:color w:val="000000"/>
          <w:lang w:val="en-US"/>
        </w:rPr>
        <w:t>ml</w:t>
      </w:r>
      <w:r w:rsidRPr="002D2643">
        <w:rPr>
          <w:rFonts w:eastAsia="Times New Roman" w:cs="Arial"/>
          <w:color w:val="000000"/>
          <w:lang w:val="ru-RU"/>
        </w:rPr>
        <w:t>/</w:t>
      </w:r>
      <w:r w:rsidRPr="002D2643">
        <w:rPr>
          <w:rFonts w:eastAsia="Times New Roman" w:cs="Arial"/>
          <w:color w:val="000000"/>
          <w:lang w:val="en-US"/>
        </w:rPr>
        <w:t>min</w:t>
      </w:r>
      <w:r w:rsidRPr="002D2643">
        <w:rPr>
          <w:rFonts w:eastAsia="Times New Roman" w:cs="Arial"/>
          <w:color w:val="000000"/>
          <w:lang w:val="ru-RU"/>
        </w:rPr>
        <w:t xml:space="preserve">/1,73 </w:t>
      </w:r>
      <w:r w:rsidRPr="002D2643">
        <w:rPr>
          <w:rFonts w:eastAsia="Times New Roman" w:cs="Arial"/>
          <w:color w:val="000000"/>
          <w:lang w:val="en-US"/>
        </w:rPr>
        <w:t>m</w:t>
      </w:r>
      <w:r w:rsidRPr="002D2643">
        <w:rPr>
          <w:rFonts w:eastAsia="Times New Roman" w:cs="Arial"/>
          <w:color w:val="000000"/>
          <w:vertAlign w:val="superscript"/>
          <w:lang w:val="ru-RU"/>
        </w:rPr>
        <w:t>2</w:t>
      </w:r>
      <w:r w:rsidRPr="002D2643">
        <w:rPr>
          <w:rFonts w:eastAsia="Times New Roman" w:cs="Arial"/>
          <w:color w:val="000000"/>
          <w:lang w:val="ru-RU"/>
        </w:rPr>
        <w:t xml:space="preserve">), </w:t>
      </w:r>
      <w:r w:rsidRPr="002D2643">
        <w:rPr>
          <w:rFonts w:eastAsia="Times New Roman" w:cs="Arial"/>
          <w:color w:val="000000"/>
          <w:lang w:val="en-US"/>
        </w:rPr>
        <w:t>a</w:t>
      </w:r>
      <w:r w:rsidRPr="002D2643">
        <w:rPr>
          <w:rFonts w:eastAsia="Times New Roman" w:cs="Arial"/>
          <w:color w:val="000000"/>
          <w:lang w:val="ru-RU"/>
        </w:rPr>
        <w:t xml:space="preserve"> </w:t>
      </w:r>
      <w:r w:rsidRPr="002D2643">
        <w:rPr>
          <w:rFonts w:eastAsia="Times New Roman" w:cs="Arial"/>
          <w:color w:val="000000"/>
          <w:lang w:val="en-US"/>
        </w:rPr>
        <w:t>AUC</w:t>
      </w:r>
      <w:r w:rsidRPr="002D2643">
        <w:rPr>
          <w:rFonts w:eastAsia="Times New Roman" w:cs="Arial"/>
          <w:color w:val="000000"/>
          <w:lang w:val="ru-RU"/>
        </w:rPr>
        <w:t xml:space="preserve"> </w:t>
      </w:r>
      <w:r w:rsidRPr="002D2643">
        <w:rPr>
          <w:rFonts w:eastAsia="Times New Roman" w:cs="Arial"/>
          <w:color w:val="000000"/>
          <w:lang w:eastAsia="bg-BG"/>
        </w:rPr>
        <w:t xml:space="preserve">на циластатин се увеличава съответно 1,6 пъти, 2,0 пъти и 6,2 пъти при индивиди с леко, умерено и тежко бъбречно увреждане в сравнение с тази при индивиди с нормална бъбречна функция. След еднократно интравенозно приложение на ТИЕНАМ 250 </w:t>
      </w:r>
      <w:r w:rsidRPr="002D2643">
        <w:rPr>
          <w:rFonts w:eastAsia="Times New Roman" w:cs="Arial"/>
          <w:color w:val="000000"/>
          <w:lang w:val="en-US"/>
        </w:rPr>
        <w:t>mg</w:t>
      </w:r>
      <w:r w:rsidRPr="002D2643">
        <w:rPr>
          <w:rFonts w:eastAsia="Times New Roman" w:cs="Arial"/>
          <w:color w:val="000000"/>
          <w:lang w:val="ru-RU"/>
        </w:rPr>
        <w:t xml:space="preserve">/250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 xml:space="preserve">24 часа след хемодиализа, </w:t>
      </w:r>
      <w:r w:rsidRPr="002D2643">
        <w:rPr>
          <w:rFonts w:eastAsia="Times New Roman" w:cs="Arial"/>
          <w:color w:val="000000"/>
          <w:lang w:val="en-US"/>
        </w:rPr>
        <w:t>AUC</w:t>
      </w:r>
      <w:r w:rsidRPr="002D2643">
        <w:rPr>
          <w:rFonts w:eastAsia="Times New Roman" w:cs="Arial"/>
          <w:color w:val="000000"/>
          <w:lang w:val="ru-RU"/>
        </w:rPr>
        <w:t xml:space="preserve"> </w:t>
      </w:r>
      <w:r w:rsidRPr="002D2643">
        <w:rPr>
          <w:rFonts w:eastAsia="Times New Roman" w:cs="Arial"/>
          <w:color w:val="000000"/>
          <w:lang w:eastAsia="bg-BG"/>
        </w:rPr>
        <w:t>на имипенем и циластатин са съответно 3,7 пъти и 16,4 пъти по-големи, в сравнение с тези при индивиди с нормална бъбречна функция. При интравенозно приложение на ТИЕНАМ излъчването на имипенем и циластатин в урината, бъбречният им клирънс и плазменият им клирънс намаляват с влошаване на бъбречната функция. При пациенти с увредена бъбречна функция е необходима корекция на дозата (вж. точка 4.2).</w:t>
      </w:r>
    </w:p>
    <w:p w14:paraId="4733F9AF" w14:textId="77777777" w:rsidR="002D2643" w:rsidRPr="002D2643" w:rsidRDefault="002D2643" w:rsidP="002D2643">
      <w:pPr>
        <w:spacing w:line="240" w:lineRule="auto"/>
        <w:rPr>
          <w:rFonts w:eastAsia="Times New Roman" w:cs="Arial"/>
          <w:color w:val="000000"/>
          <w:u w:val="single"/>
          <w:lang w:eastAsia="bg-BG"/>
        </w:rPr>
      </w:pPr>
    </w:p>
    <w:p w14:paraId="54539FF9" w14:textId="4E950D81" w:rsidR="002D2643" w:rsidRPr="002D2643" w:rsidRDefault="002D2643" w:rsidP="002D2643">
      <w:pPr>
        <w:spacing w:line="240" w:lineRule="auto"/>
        <w:rPr>
          <w:rFonts w:eastAsia="Times New Roman" w:cs="Arial"/>
        </w:rPr>
      </w:pPr>
      <w:r w:rsidRPr="002D2643">
        <w:rPr>
          <w:rFonts w:eastAsia="Times New Roman" w:cs="Arial"/>
          <w:color w:val="000000"/>
          <w:u w:val="single"/>
          <w:lang w:eastAsia="bg-BG"/>
        </w:rPr>
        <w:t>Чернодробна недостатъчност</w:t>
      </w:r>
    </w:p>
    <w:p w14:paraId="74B8D3D8" w14:textId="77777777" w:rsidR="002D2643" w:rsidRPr="002D2643" w:rsidRDefault="002D2643" w:rsidP="002D2643">
      <w:pPr>
        <w:rPr>
          <w:rFonts w:eastAsia="Times New Roman" w:cs="Arial"/>
        </w:rPr>
      </w:pPr>
      <w:r w:rsidRPr="002D2643">
        <w:rPr>
          <w:rFonts w:eastAsia="Times New Roman" w:cs="Arial"/>
          <w:color w:val="000000"/>
          <w:lang w:eastAsia="bg-BG"/>
        </w:rPr>
        <w:t>Фармакокинетиката на имипенем при пациенти с чернодробна недостатъчност не е установена. Поради ограниченото чернодробно метаболизиране на имипенем не се очаква чернодробната недостатъчност да оказва ефект върху фармакокинетиката на имипенем. Поради това при пациенти с чернодробно увреждане не е необходима корекция на дозата (вж. точка 4.2).</w:t>
      </w:r>
    </w:p>
    <w:p w14:paraId="041D556E" w14:textId="77777777" w:rsidR="002D2643" w:rsidRPr="002D2643" w:rsidRDefault="002D2643" w:rsidP="002D2643">
      <w:pPr>
        <w:spacing w:line="240" w:lineRule="auto"/>
        <w:rPr>
          <w:rFonts w:eastAsia="Times New Roman" w:cs="Arial"/>
          <w:color w:val="000000"/>
          <w:u w:val="single"/>
          <w:lang w:eastAsia="bg-BG"/>
        </w:rPr>
      </w:pPr>
    </w:p>
    <w:p w14:paraId="71A40D9C" w14:textId="516E00B1" w:rsidR="002D2643" w:rsidRPr="002D2643" w:rsidRDefault="002D2643" w:rsidP="002D2643">
      <w:pPr>
        <w:spacing w:line="240" w:lineRule="auto"/>
        <w:rPr>
          <w:rFonts w:eastAsia="Times New Roman" w:cs="Arial"/>
        </w:rPr>
      </w:pPr>
      <w:r w:rsidRPr="002D2643">
        <w:rPr>
          <w:rFonts w:eastAsia="Times New Roman" w:cs="Arial"/>
          <w:color w:val="000000"/>
          <w:u w:val="single"/>
          <w:lang w:eastAsia="bg-BG"/>
        </w:rPr>
        <w:t>Педиатрична популация</w:t>
      </w:r>
    </w:p>
    <w:p w14:paraId="3DAB1B86" w14:textId="56907CC0" w:rsidR="002D2643" w:rsidRPr="002D2643" w:rsidRDefault="002D2643" w:rsidP="002D2643">
      <w:pPr>
        <w:spacing w:line="240" w:lineRule="auto"/>
      </w:pPr>
      <w:r w:rsidRPr="002D2643">
        <w:rPr>
          <w:rFonts w:eastAsia="Times New Roman" w:cs="Arial"/>
          <w:color w:val="000000"/>
          <w:lang w:eastAsia="bg-BG"/>
        </w:rPr>
        <w:t xml:space="preserve">При педиатрични пациенти (на възраст от 3 месеца до 14 години) средният клирънс и обемът на разпределение </w:t>
      </w:r>
      <w:r w:rsidRPr="002D2643">
        <w:rPr>
          <w:rFonts w:eastAsia="Times New Roman" w:cs="Arial"/>
          <w:color w:val="000000"/>
          <w:lang w:val="ru-RU"/>
        </w:rPr>
        <w:t>(</w:t>
      </w:r>
      <w:proofErr w:type="spellStart"/>
      <w:r w:rsidRPr="002D2643">
        <w:rPr>
          <w:rFonts w:eastAsia="Times New Roman" w:cs="Arial"/>
          <w:color w:val="000000"/>
          <w:lang w:val="en-US"/>
        </w:rPr>
        <w:t>Vdss</w:t>
      </w:r>
      <w:proofErr w:type="spellEnd"/>
      <w:r w:rsidRPr="002D2643">
        <w:rPr>
          <w:rFonts w:eastAsia="Times New Roman" w:cs="Arial"/>
          <w:color w:val="000000"/>
          <w:lang w:val="ru-RU"/>
        </w:rPr>
        <w:t xml:space="preserve">) </w:t>
      </w:r>
      <w:r w:rsidRPr="002D2643">
        <w:rPr>
          <w:rFonts w:eastAsia="Times New Roman" w:cs="Arial"/>
          <w:color w:val="000000"/>
          <w:lang w:eastAsia="bg-BG"/>
        </w:rPr>
        <w:t xml:space="preserve">на имипенем са по-високи с приблизително 45 %, отколкото при възрастни. </w:t>
      </w:r>
      <w:r w:rsidRPr="002D2643">
        <w:rPr>
          <w:lang w:val="en-US"/>
        </w:rPr>
        <w:t>AUC</w:t>
      </w:r>
      <w:r>
        <w:t xml:space="preserve"> </w:t>
      </w:r>
      <w:r w:rsidRPr="002D2643">
        <w:rPr>
          <w:lang w:eastAsia="bg-BG"/>
        </w:rPr>
        <w:t xml:space="preserve">за </w:t>
      </w:r>
      <w:r w:rsidRPr="002D2643">
        <w:t xml:space="preserve"> </w:t>
      </w:r>
      <w:r w:rsidRPr="002D2643">
        <w:rPr>
          <w:lang w:eastAsia="bg-BG"/>
        </w:rPr>
        <w:t xml:space="preserve">имипенем след приложение на имипенем/циластатин при педиатрични пациенти в доза 15/15 </w:t>
      </w:r>
      <w:r w:rsidRPr="002D2643">
        <w:rPr>
          <w:lang w:val="en-US"/>
        </w:rPr>
        <w:t>mg</w:t>
      </w:r>
      <w:r w:rsidRPr="002D2643">
        <w:rPr>
          <w:lang w:val="ru-RU"/>
        </w:rPr>
        <w:t>/</w:t>
      </w:r>
      <w:r w:rsidRPr="002D2643">
        <w:rPr>
          <w:lang w:val="en-US"/>
        </w:rPr>
        <w:t>kg</w:t>
      </w:r>
      <w:r w:rsidRPr="002D2643">
        <w:rPr>
          <w:lang w:val="ru-RU"/>
        </w:rPr>
        <w:t xml:space="preserve"> </w:t>
      </w:r>
      <w:r w:rsidRPr="002D2643">
        <w:rPr>
          <w:lang w:eastAsia="bg-BG"/>
        </w:rPr>
        <w:t xml:space="preserve">телесно тегло е по-голяма приблизително с 30 %, отколкото при възрастни след приложение в доза 500 </w:t>
      </w:r>
      <w:r w:rsidRPr="002D2643">
        <w:rPr>
          <w:lang w:val="en-US"/>
        </w:rPr>
        <w:t>mg</w:t>
      </w:r>
      <w:r w:rsidRPr="002D2643">
        <w:rPr>
          <w:lang w:val="ru-RU"/>
        </w:rPr>
        <w:t xml:space="preserve">/500 </w:t>
      </w:r>
      <w:r w:rsidRPr="002D2643">
        <w:rPr>
          <w:lang w:val="en-US"/>
        </w:rPr>
        <w:t>mg</w:t>
      </w:r>
      <w:r w:rsidRPr="002D2643">
        <w:rPr>
          <w:lang w:val="ru-RU"/>
        </w:rPr>
        <w:t xml:space="preserve">. </w:t>
      </w:r>
      <w:r w:rsidRPr="002D2643">
        <w:rPr>
          <w:lang w:eastAsia="bg-BG"/>
        </w:rPr>
        <w:t xml:space="preserve">При деца експозицията след по-високата доза - 25/25 </w:t>
      </w:r>
      <w:r w:rsidRPr="002D2643">
        <w:rPr>
          <w:lang w:val="en-US"/>
        </w:rPr>
        <w:t>mg</w:t>
      </w:r>
      <w:r w:rsidRPr="002D2643">
        <w:rPr>
          <w:lang w:val="ru-RU"/>
        </w:rPr>
        <w:t>/</w:t>
      </w:r>
      <w:r w:rsidRPr="002D2643">
        <w:rPr>
          <w:lang w:val="en-US"/>
        </w:rPr>
        <w:t>kg</w:t>
      </w:r>
      <w:r w:rsidRPr="002D2643">
        <w:rPr>
          <w:lang w:val="ru-RU"/>
        </w:rPr>
        <w:t xml:space="preserve"> </w:t>
      </w:r>
      <w:r w:rsidRPr="002D2643">
        <w:rPr>
          <w:lang w:eastAsia="bg-BG"/>
        </w:rPr>
        <w:t xml:space="preserve">имипенем/циластатин, е с 9 % по-висока от експозицията при възрастни след приложение на доза от 1 000 </w:t>
      </w:r>
      <w:r w:rsidRPr="002D2643">
        <w:rPr>
          <w:lang w:val="en-US"/>
        </w:rPr>
        <w:t>mg</w:t>
      </w:r>
      <w:r w:rsidRPr="002D2643">
        <w:rPr>
          <w:lang w:val="ru-RU"/>
        </w:rPr>
        <w:t xml:space="preserve">/1 </w:t>
      </w:r>
      <w:r w:rsidRPr="002D2643">
        <w:rPr>
          <w:lang w:eastAsia="bg-BG"/>
        </w:rPr>
        <w:t xml:space="preserve">000 </w:t>
      </w:r>
      <w:r w:rsidRPr="002D2643">
        <w:rPr>
          <w:lang w:val="en-US"/>
        </w:rPr>
        <w:t>mg</w:t>
      </w:r>
      <w:r w:rsidRPr="002D2643">
        <w:rPr>
          <w:lang w:val="ru-RU"/>
        </w:rPr>
        <w:t>.</w:t>
      </w:r>
    </w:p>
    <w:p w14:paraId="118C60E6" w14:textId="77777777" w:rsidR="002D2643" w:rsidRPr="002D2643" w:rsidRDefault="002D2643" w:rsidP="002D2643">
      <w:pPr>
        <w:spacing w:line="240" w:lineRule="auto"/>
        <w:rPr>
          <w:rFonts w:eastAsia="Times New Roman" w:cs="Arial"/>
          <w:color w:val="000000"/>
          <w:u w:val="single"/>
          <w:lang w:eastAsia="bg-BG"/>
        </w:rPr>
      </w:pPr>
    </w:p>
    <w:p w14:paraId="684BB546" w14:textId="41310B54" w:rsidR="002D2643" w:rsidRPr="002D2643" w:rsidRDefault="002D2643" w:rsidP="002D2643">
      <w:pPr>
        <w:spacing w:line="240" w:lineRule="auto"/>
        <w:rPr>
          <w:rFonts w:eastAsia="Times New Roman" w:cs="Arial"/>
        </w:rPr>
      </w:pPr>
      <w:r w:rsidRPr="002D2643">
        <w:rPr>
          <w:rFonts w:eastAsia="Times New Roman" w:cs="Arial"/>
          <w:color w:val="000000"/>
          <w:u w:val="single"/>
          <w:lang w:eastAsia="bg-BG"/>
        </w:rPr>
        <w:t>Старческа възраст</w:t>
      </w:r>
    </w:p>
    <w:p w14:paraId="3B763737" w14:textId="77777777" w:rsidR="002D2643" w:rsidRPr="002D2643" w:rsidRDefault="002D2643" w:rsidP="002D2643">
      <w:pPr>
        <w:spacing w:line="240" w:lineRule="auto"/>
        <w:rPr>
          <w:rFonts w:eastAsia="Times New Roman" w:cs="Arial"/>
        </w:rPr>
      </w:pPr>
      <w:r w:rsidRPr="002D2643">
        <w:rPr>
          <w:rFonts w:eastAsia="Times New Roman" w:cs="Arial"/>
          <w:color w:val="000000"/>
          <w:lang w:eastAsia="bg-BG"/>
        </w:rPr>
        <w:t xml:space="preserve">При здрави доброволци в старческа възраст (65 до 75-годишна възраст с нормална за възрастта бъбречна функция) фармакокинетиката след еднократно интравенозно приложение на ТИЕНАМ в доза 500 </w:t>
      </w:r>
      <w:r w:rsidRPr="002D2643">
        <w:rPr>
          <w:rFonts w:eastAsia="Times New Roman" w:cs="Arial"/>
          <w:color w:val="000000"/>
          <w:lang w:val="en-US"/>
        </w:rPr>
        <w:t>mg</w:t>
      </w:r>
      <w:r w:rsidRPr="002D2643">
        <w:rPr>
          <w:rFonts w:eastAsia="Times New Roman" w:cs="Arial"/>
          <w:color w:val="000000"/>
          <w:lang w:val="ru-RU"/>
        </w:rPr>
        <w:t xml:space="preserve">/500 </w:t>
      </w:r>
      <w:r w:rsidRPr="002D2643">
        <w:rPr>
          <w:rFonts w:eastAsia="Times New Roman" w:cs="Arial"/>
          <w:color w:val="000000"/>
          <w:lang w:val="en-US"/>
        </w:rPr>
        <w:t>mg</w:t>
      </w:r>
      <w:r w:rsidRPr="002D2643">
        <w:rPr>
          <w:rFonts w:eastAsia="Times New Roman" w:cs="Arial"/>
          <w:color w:val="000000"/>
          <w:lang w:val="ru-RU"/>
        </w:rPr>
        <w:t xml:space="preserve"> </w:t>
      </w:r>
      <w:r w:rsidRPr="002D2643">
        <w:rPr>
          <w:rFonts w:eastAsia="Times New Roman" w:cs="Arial"/>
          <w:color w:val="000000"/>
          <w:lang w:eastAsia="bg-BG"/>
        </w:rPr>
        <w:t>с продължителност на инфузията 20 минути съответства на очакваната при пациенти с леко бъбречно увреждане, при които не се смята за необходимо да се коригира дозата. Средният плазмен полуживот на имипенем и циластатин е съответно 91 ± 7,0 минути и 69 ± 15 минути. Многократното прилагане не оказва ефект върху фармакокинетиката нито на имипенем, нито на циластатин, не се наблюдава и кумулиране на имипенем/циластатин (вж. точка 4.2).</w:t>
      </w:r>
    </w:p>
    <w:p w14:paraId="3C8C3EC0" w14:textId="481C92C8" w:rsidR="002D2643" w:rsidRPr="002D2643" w:rsidRDefault="002D2643" w:rsidP="002D2643"/>
    <w:p w14:paraId="648E39DA" w14:textId="000EA96C" w:rsidR="00CF77F7" w:rsidRDefault="002C50EE" w:rsidP="004A448E">
      <w:pPr>
        <w:pStyle w:val="Heading2"/>
      </w:pPr>
      <w:r>
        <w:lastRenderedPageBreak/>
        <w:t>5.3. Предклинични данни за безопасност</w:t>
      </w:r>
    </w:p>
    <w:p w14:paraId="4D863547" w14:textId="30B6C29B" w:rsidR="002D2643" w:rsidRDefault="002D2643" w:rsidP="002D2643"/>
    <w:p w14:paraId="190298BD" w14:textId="77777777" w:rsidR="002D2643" w:rsidRPr="002D2643" w:rsidRDefault="002D2643" w:rsidP="002D2643">
      <w:pPr>
        <w:rPr>
          <w:sz w:val="24"/>
          <w:szCs w:val="24"/>
        </w:rPr>
      </w:pPr>
      <w:r w:rsidRPr="002D2643">
        <w:rPr>
          <w:lang w:eastAsia="bg-BG"/>
        </w:rPr>
        <w:t>Неклиничните данни не показват особен риск за хора на базата на конвенционалните фармакологични проучвания за безопасност, проучвания за токсичност при многократно прилагане и генотоксичност.</w:t>
      </w:r>
    </w:p>
    <w:p w14:paraId="5395233F" w14:textId="77777777" w:rsidR="002D2643" w:rsidRDefault="002D2643" w:rsidP="002D2643">
      <w:pPr>
        <w:rPr>
          <w:lang w:eastAsia="bg-BG"/>
        </w:rPr>
      </w:pPr>
    </w:p>
    <w:p w14:paraId="13AA4F99" w14:textId="1459C988" w:rsidR="002D2643" w:rsidRPr="002D2643" w:rsidRDefault="002D2643" w:rsidP="002D2643">
      <w:pPr>
        <w:rPr>
          <w:sz w:val="24"/>
          <w:szCs w:val="24"/>
        </w:rPr>
      </w:pPr>
      <w:r w:rsidRPr="002D2643">
        <w:rPr>
          <w:lang w:eastAsia="bg-BG"/>
        </w:rPr>
        <w:t>Проучванията при животни показват, че токсичността на имипенем е ограничена в бъбреците. Едновременното приложение на имипенем и циластатин в съотношение 1:1 при зайци и маймуни предотвратява развитието на нефротоксичните ефекти на имипенем. Наличните данни говорят, че циластатин предотвратява развитието на нефротоксични ефекти на имипенем чрез блокиране на навлизането му в тубулните клетки.</w:t>
      </w:r>
    </w:p>
    <w:p w14:paraId="1C016DA8" w14:textId="77777777" w:rsidR="002D2643" w:rsidRDefault="002D2643" w:rsidP="002D2643">
      <w:pPr>
        <w:rPr>
          <w:lang w:eastAsia="bg-BG"/>
        </w:rPr>
      </w:pPr>
    </w:p>
    <w:p w14:paraId="07BC5842" w14:textId="1B76149C" w:rsidR="002D2643" w:rsidRPr="002D2643" w:rsidRDefault="002D2643" w:rsidP="002D2643">
      <w:pPr>
        <w:rPr>
          <w:sz w:val="24"/>
          <w:szCs w:val="24"/>
        </w:rPr>
      </w:pPr>
      <w:r w:rsidRPr="002D2643">
        <w:rPr>
          <w:lang w:eastAsia="bg-BG"/>
        </w:rPr>
        <w:t xml:space="preserve">Проучване за тератогенен ефект при бременни маймуни </w:t>
      </w:r>
      <w:proofErr w:type="spellStart"/>
      <w:r w:rsidRPr="002D2643">
        <w:rPr>
          <w:lang w:val="en-US"/>
        </w:rPr>
        <w:t>cynomologus</w:t>
      </w:r>
      <w:proofErr w:type="spellEnd"/>
      <w:r w:rsidRPr="002D2643">
        <w:rPr>
          <w:lang w:val="ru-RU"/>
        </w:rPr>
        <w:t xml:space="preserve">, </w:t>
      </w:r>
      <w:r w:rsidRPr="002D2643">
        <w:rPr>
          <w:lang w:eastAsia="bg-BG"/>
        </w:rPr>
        <w:t xml:space="preserve">на които е прилаган имипенем/циластатин натрий в доза 40/40 </w:t>
      </w:r>
      <w:r w:rsidRPr="002D2643">
        <w:rPr>
          <w:lang w:val="en-US"/>
        </w:rPr>
        <w:t>mg</w:t>
      </w:r>
      <w:r w:rsidRPr="002D2643">
        <w:rPr>
          <w:lang w:val="ru-RU"/>
        </w:rPr>
        <w:t>/</w:t>
      </w:r>
      <w:r w:rsidRPr="002D2643">
        <w:rPr>
          <w:lang w:val="en-US"/>
        </w:rPr>
        <w:t>kg</w:t>
      </w:r>
      <w:r w:rsidRPr="002D2643">
        <w:rPr>
          <w:lang w:val="ru-RU"/>
        </w:rPr>
        <w:t>/</w:t>
      </w:r>
      <w:r w:rsidRPr="002D2643">
        <w:rPr>
          <w:lang w:eastAsia="bg-BG"/>
        </w:rPr>
        <w:t xml:space="preserve">дневно (болус интравенозна инжекция), показва развитие на майчина токсичност, включваща повръщане, загуба на апетит, загуба на тегло, диария, аборт, а в някои случаи - и смърт. При приложение на имипенем/циластатин натрий (в доза приблизително 100/100 </w:t>
      </w:r>
      <w:r w:rsidRPr="002D2643">
        <w:rPr>
          <w:lang w:val="en-US"/>
        </w:rPr>
        <w:t>mg</w:t>
      </w:r>
      <w:r w:rsidRPr="002D2643">
        <w:rPr>
          <w:lang w:val="ru-RU"/>
        </w:rPr>
        <w:t>/</w:t>
      </w:r>
      <w:r w:rsidRPr="002D2643">
        <w:rPr>
          <w:lang w:val="en-US"/>
        </w:rPr>
        <w:t>kg</w:t>
      </w:r>
      <w:r w:rsidRPr="002D2643">
        <w:rPr>
          <w:lang w:eastAsia="bg-BG"/>
        </w:rPr>
        <w:t xml:space="preserve">/дневно или приблизително 3 пъти по-високи от обичайната препоръчителна дневна интравенозна доза за хора) на бременни маймуни </w:t>
      </w:r>
      <w:proofErr w:type="spellStart"/>
      <w:r w:rsidRPr="002D2643">
        <w:rPr>
          <w:lang w:val="en-US"/>
        </w:rPr>
        <w:t>cynomologus</w:t>
      </w:r>
      <w:proofErr w:type="spellEnd"/>
      <w:r w:rsidRPr="002D2643">
        <w:rPr>
          <w:lang w:val="ru-RU"/>
        </w:rPr>
        <w:t xml:space="preserve"> </w:t>
      </w:r>
      <w:r w:rsidRPr="002D2643">
        <w:rPr>
          <w:lang w:eastAsia="bg-BG"/>
        </w:rPr>
        <w:t>като интравенозна инфузия, със скорост съответстваща на клиничната употреба на продукта при хора, се установява минимална непоносимост от страна на майката (единични случаи на повръщане), без случаи на смърт на майката, без данни за тератогенен ефект, но с повишаване на честотата на загуба на ембриона в сравнение с тази в контролните групи (вж. точка 4.6).</w:t>
      </w:r>
    </w:p>
    <w:p w14:paraId="74418754" w14:textId="77777777" w:rsidR="002D2643" w:rsidRDefault="002D2643" w:rsidP="002D2643">
      <w:pPr>
        <w:rPr>
          <w:lang w:eastAsia="bg-BG"/>
        </w:rPr>
      </w:pPr>
    </w:p>
    <w:p w14:paraId="5F928DE1" w14:textId="7DD8765B" w:rsidR="002D2643" w:rsidRPr="002D2643" w:rsidRDefault="002D2643" w:rsidP="002D2643">
      <w:pPr>
        <w:rPr>
          <w:sz w:val="24"/>
          <w:szCs w:val="24"/>
        </w:rPr>
      </w:pPr>
      <w:r w:rsidRPr="002D2643">
        <w:rPr>
          <w:lang w:eastAsia="bg-BG"/>
        </w:rPr>
        <w:t>Не са провеждани дългосрочни проучвания при животни за оценка на карциногенния потенциал на имипенем/циластатин.</w:t>
      </w:r>
    </w:p>
    <w:p w14:paraId="6E54854E" w14:textId="77777777" w:rsidR="002D2643" w:rsidRPr="002D2643" w:rsidRDefault="002D2643" w:rsidP="002D2643"/>
    <w:p w14:paraId="6A7820AB" w14:textId="10F18E8A" w:rsidR="008A6AF2" w:rsidRDefault="002C50EE" w:rsidP="00395555">
      <w:pPr>
        <w:pStyle w:val="Heading1"/>
      </w:pPr>
      <w:r>
        <w:t>7. ПРИТЕЖАТЕЛ НА РАЗРЕШЕНИЕТО ЗА УПОТРЕБА</w:t>
      </w:r>
    </w:p>
    <w:p w14:paraId="1DF602B3" w14:textId="01D25A35" w:rsidR="002D2643" w:rsidRPr="002D2643" w:rsidRDefault="002D2643" w:rsidP="002D2643">
      <w:pPr>
        <w:rPr>
          <w:rFonts w:cs="Arial"/>
        </w:rPr>
      </w:pPr>
    </w:p>
    <w:p w14:paraId="7AD757C8" w14:textId="77777777" w:rsidR="002D2643" w:rsidRPr="002D2643" w:rsidRDefault="002D2643" w:rsidP="002D2643">
      <w:pPr>
        <w:rPr>
          <w:rFonts w:eastAsia="Times New Roman" w:cs="Arial"/>
        </w:rPr>
      </w:pPr>
      <w:r w:rsidRPr="002D2643">
        <w:rPr>
          <w:rFonts w:eastAsia="Times New Roman" w:cs="Arial"/>
          <w:color w:val="000000"/>
          <w:lang w:eastAsia="bg-BG"/>
        </w:rPr>
        <w:t>Мерк Шари и Доум България ЕООД</w:t>
      </w:r>
    </w:p>
    <w:p w14:paraId="324F96A2" w14:textId="77777777" w:rsidR="002D2643" w:rsidRPr="002D2643" w:rsidRDefault="002D2643" w:rsidP="002D2643">
      <w:pPr>
        <w:rPr>
          <w:rFonts w:eastAsia="Times New Roman" w:cs="Arial"/>
        </w:rPr>
      </w:pPr>
      <w:r w:rsidRPr="002D2643">
        <w:rPr>
          <w:rFonts w:eastAsia="Times New Roman" w:cs="Arial"/>
          <w:color w:val="000000"/>
          <w:lang w:eastAsia="bg-BG"/>
        </w:rPr>
        <w:t>Бул. "Никола Вапцаров" №55, ЕКСПО 2000, ет.1</w:t>
      </w:r>
    </w:p>
    <w:p w14:paraId="32528BCF" w14:textId="77777777" w:rsidR="002D2643" w:rsidRPr="002D2643" w:rsidRDefault="002D2643" w:rsidP="002D2643">
      <w:pPr>
        <w:rPr>
          <w:rFonts w:eastAsia="Times New Roman" w:cs="Arial"/>
        </w:rPr>
      </w:pPr>
      <w:r w:rsidRPr="002D2643">
        <w:rPr>
          <w:rFonts w:eastAsia="Times New Roman" w:cs="Arial"/>
          <w:color w:val="000000"/>
          <w:lang w:eastAsia="bg-BG"/>
        </w:rPr>
        <w:t>Източно крило, Сектори В1&amp;В2</w:t>
      </w:r>
    </w:p>
    <w:p w14:paraId="23CA5E91" w14:textId="77777777" w:rsidR="002D2643" w:rsidRPr="002D2643" w:rsidRDefault="002D2643" w:rsidP="002D2643">
      <w:pPr>
        <w:rPr>
          <w:rFonts w:eastAsia="Times New Roman" w:cs="Arial"/>
        </w:rPr>
      </w:pPr>
      <w:r w:rsidRPr="002D2643">
        <w:rPr>
          <w:rFonts w:eastAsia="Times New Roman" w:cs="Arial"/>
          <w:color w:val="000000"/>
          <w:lang w:eastAsia="bg-BG"/>
        </w:rPr>
        <w:t>район Лозенец</w:t>
      </w:r>
    </w:p>
    <w:p w14:paraId="259A9667" w14:textId="77777777" w:rsidR="002D2643" w:rsidRPr="002D2643" w:rsidRDefault="002D2643" w:rsidP="002D2643">
      <w:pPr>
        <w:rPr>
          <w:rFonts w:eastAsia="Times New Roman" w:cs="Arial"/>
        </w:rPr>
      </w:pPr>
      <w:r w:rsidRPr="002D2643">
        <w:rPr>
          <w:rFonts w:eastAsia="Times New Roman" w:cs="Arial"/>
          <w:color w:val="000000"/>
          <w:lang w:eastAsia="bg-BG"/>
        </w:rPr>
        <w:t>София 1407, България</w:t>
      </w:r>
    </w:p>
    <w:p w14:paraId="3688A9F6" w14:textId="77777777" w:rsidR="002D2643" w:rsidRPr="002D2643" w:rsidRDefault="002D2643" w:rsidP="002D2643">
      <w:pPr>
        <w:rPr>
          <w:rFonts w:eastAsia="Times New Roman" w:cs="Arial"/>
        </w:rPr>
      </w:pPr>
      <w:r w:rsidRPr="002D2643">
        <w:rPr>
          <w:rFonts w:eastAsia="Times New Roman" w:cs="Arial"/>
          <w:color w:val="000000"/>
          <w:lang w:eastAsia="bg-BG"/>
        </w:rPr>
        <w:t>тел.: 02/819 3737</w:t>
      </w:r>
    </w:p>
    <w:p w14:paraId="33ED1337" w14:textId="77777777" w:rsidR="002D2643" w:rsidRPr="002D2643" w:rsidRDefault="002D2643" w:rsidP="002D2643">
      <w:pPr>
        <w:rPr>
          <w:rFonts w:eastAsia="Times New Roman" w:cs="Arial"/>
        </w:rPr>
      </w:pPr>
      <w:r w:rsidRPr="002D2643">
        <w:rPr>
          <w:rFonts w:eastAsia="Times New Roman" w:cs="Arial"/>
          <w:color w:val="000000"/>
          <w:lang w:eastAsia="bg-BG"/>
        </w:rPr>
        <w:t>факс: 02/862 5196</w:t>
      </w:r>
    </w:p>
    <w:p w14:paraId="7DDB5A2C" w14:textId="2906FE72" w:rsidR="002D2643" w:rsidRPr="002D2643" w:rsidRDefault="002D2643" w:rsidP="002D2643">
      <w:pPr>
        <w:rPr>
          <w:rFonts w:cs="Arial"/>
        </w:rPr>
      </w:pPr>
      <w:r w:rsidRPr="002D2643">
        <w:rPr>
          <w:rFonts w:eastAsia="Times New Roman" w:cs="Arial"/>
          <w:color w:val="000000"/>
          <w:lang w:eastAsia="bg-BG"/>
        </w:rPr>
        <w:t xml:space="preserve">имейл: </w:t>
      </w:r>
      <w:hyperlink r:id="rId5" w:history="1">
        <w:r w:rsidRPr="002D2643">
          <w:rPr>
            <w:rFonts w:eastAsia="Times New Roman" w:cs="Arial"/>
            <w:color w:val="000000"/>
            <w:lang w:val="en-US"/>
          </w:rPr>
          <w:t>info</w:t>
        </w:r>
        <w:r w:rsidRPr="002D2643">
          <w:rPr>
            <w:rFonts w:eastAsia="Times New Roman" w:cs="Arial"/>
            <w:color w:val="000000"/>
            <w:lang w:val="ru-RU"/>
          </w:rPr>
          <w:t>-</w:t>
        </w:r>
        <w:r w:rsidRPr="002D2643">
          <w:rPr>
            <w:rFonts w:eastAsia="Times New Roman" w:cs="Arial"/>
            <w:color w:val="000000"/>
            <w:lang w:val="en-US"/>
          </w:rPr>
          <w:t>msdbg</w:t>
        </w:r>
        <w:r w:rsidRPr="002D2643">
          <w:rPr>
            <w:rFonts w:eastAsia="Times New Roman" w:cs="Arial"/>
            <w:color w:val="000000"/>
            <w:lang w:val="ru-RU"/>
          </w:rPr>
          <w:t>@</w:t>
        </w:r>
        <w:r w:rsidRPr="002D2643">
          <w:rPr>
            <w:rFonts w:eastAsia="Times New Roman" w:cs="Arial"/>
            <w:color w:val="000000"/>
            <w:lang w:val="en-US"/>
          </w:rPr>
          <w:t>merck</w:t>
        </w:r>
        <w:r w:rsidRPr="002D2643">
          <w:rPr>
            <w:rFonts w:eastAsia="Times New Roman" w:cs="Arial"/>
            <w:color w:val="000000"/>
            <w:lang w:val="ru-RU"/>
          </w:rPr>
          <w:t>.</w:t>
        </w:r>
        <w:r w:rsidRPr="002D2643">
          <w:rPr>
            <w:rFonts w:eastAsia="Times New Roman" w:cs="Arial"/>
            <w:color w:val="000000"/>
            <w:lang w:val="en-US"/>
          </w:rPr>
          <w:t>com</w:t>
        </w:r>
      </w:hyperlink>
    </w:p>
    <w:p w14:paraId="7BA1BA64" w14:textId="16B4C6E4" w:rsidR="00CF77F7" w:rsidRDefault="002C50EE" w:rsidP="004A448E">
      <w:pPr>
        <w:pStyle w:val="Heading1"/>
      </w:pPr>
      <w:r>
        <w:t>8. НОМЕР НА РАЗРЕШЕНИЕТО ЗА УПОТРЕБА</w:t>
      </w:r>
    </w:p>
    <w:p w14:paraId="303EC9FB" w14:textId="73D78204" w:rsidR="002D2643" w:rsidRDefault="002D2643" w:rsidP="002D2643"/>
    <w:p w14:paraId="2DA3B982" w14:textId="7A4F6212" w:rsidR="002D2643" w:rsidRPr="002D2643" w:rsidRDefault="002D2643" w:rsidP="002D2643">
      <w:r>
        <w:rPr>
          <w:lang w:val="en-US"/>
        </w:rPr>
        <w:t>Per</w:t>
      </w:r>
      <w:r w:rsidRPr="002D2643">
        <w:rPr>
          <w:lang w:val="ru-RU"/>
        </w:rPr>
        <w:t xml:space="preserve">. </w:t>
      </w:r>
      <w:r>
        <w:t>№20020312</w:t>
      </w:r>
    </w:p>
    <w:p w14:paraId="2CCB5832" w14:textId="52723ECE" w:rsidR="007C605B" w:rsidRDefault="002C50EE" w:rsidP="007C605B">
      <w:pPr>
        <w:pStyle w:val="Heading1"/>
      </w:pPr>
      <w:r>
        <w:lastRenderedPageBreak/>
        <w:t>9. ДАТА НА ПЪРВО РАЗРЕШАВАНЕ/ПОДНОВЯВАНЕ НА РАЗРЕШЕНИЕТО ЗА УПОТРЕБА</w:t>
      </w:r>
    </w:p>
    <w:p w14:paraId="03E03ED4" w14:textId="4CD70443" w:rsidR="002D2643" w:rsidRDefault="002D2643" w:rsidP="002D2643"/>
    <w:p w14:paraId="66762F1E" w14:textId="77777777" w:rsidR="002D2643" w:rsidRPr="002D2643" w:rsidRDefault="002D2643" w:rsidP="002D2643">
      <w:pPr>
        <w:rPr>
          <w:sz w:val="24"/>
          <w:szCs w:val="24"/>
        </w:rPr>
      </w:pPr>
      <w:bookmarkStart w:id="1" w:name="_GoBack"/>
      <w:r w:rsidRPr="002D2643">
        <w:rPr>
          <w:lang w:eastAsia="bg-BG"/>
        </w:rPr>
        <w:t>Дата на първо разрешаване: 03 април 2002 г.</w:t>
      </w:r>
    </w:p>
    <w:p w14:paraId="6FCB4F7C" w14:textId="5EFA8390" w:rsidR="002D2643" w:rsidRPr="002D2643" w:rsidRDefault="002D2643" w:rsidP="002D2643">
      <w:r w:rsidRPr="002D2643">
        <w:rPr>
          <w:lang w:eastAsia="bg-BG"/>
        </w:rPr>
        <w:t>Дата на последно подновяване: 12 юли 2013 г.</w:t>
      </w:r>
    </w:p>
    <w:bookmarkEnd w:id="1"/>
    <w:p w14:paraId="0E9D0119" w14:textId="0245C6D7" w:rsidR="002C50EE" w:rsidRDefault="002C50EE" w:rsidP="002C50EE">
      <w:pPr>
        <w:pStyle w:val="Heading1"/>
      </w:pPr>
      <w:r>
        <w:t>10. ДАТА НА АКТУАЛИЗИРАНЕ НА ТЕКСТА</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F6C2A"/>
    <w:multiLevelType w:val="hybridMultilevel"/>
    <w:tmpl w:val="BA8A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568F5"/>
    <w:multiLevelType w:val="hybridMultilevel"/>
    <w:tmpl w:val="7B32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D4DF5"/>
    <w:multiLevelType w:val="hybridMultilevel"/>
    <w:tmpl w:val="017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2"/>
  </w:num>
  <w:num w:numId="12">
    <w:abstractNumId w:val="14"/>
  </w:num>
  <w:num w:numId="13">
    <w:abstractNumId w:val="19"/>
  </w:num>
  <w:num w:numId="14">
    <w:abstractNumId w:val="12"/>
  </w:num>
  <w:num w:numId="15">
    <w:abstractNumId w:val="31"/>
  </w:num>
  <w:num w:numId="16">
    <w:abstractNumId w:val="10"/>
  </w:num>
  <w:num w:numId="17">
    <w:abstractNumId w:val="24"/>
  </w:num>
  <w:num w:numId="18">
    <w:abstractNumId w:val="8"/>
  </w:num>
  <w:num w:numId="19">
    <w:abstractNumId w:val="27"/>
  </w:num>
  <w:num w:numId="20">
    <w:abstractNumId w:val="23"/>
  </w:num>
  <w:num w:numId="21">
    <w:abstractNumId w:val="17"/>
  </w:num>
  <w:num w:numId="22">
    <w:abstractNumId w:val="26"/>
  </w:num>
  <w:num w:numId="23">
    <w:abstractNumId w:val="18"/>
  </w:num>
  <w:num w:numId="24">
    <w:abstractNumId w:val="9"/>
  </w:num>
  <w:num w:numId="25">
    <w:abstractNumId w:val="22"/>
  </w:num>
  <w:num w:numId="26">
    <w:abstractNumId w:val="21"/>
  </w:num>
  <w:num w:numId="27">
    <w:abstractNumId w:val="33"/>
  </w:num>
  <w:num w:numId="28">
    <w:abstractNumId w:val="7"/>
  </w:num>
  <w:num w:numId="29">
    <w:abstractNumId w:val="20"/>
  </w:num>
  <w:num w:numId="30">
    <w:abstractNumId w:val="36"/>
  </w:num>
  <w:num w:numId="31">
    <w:abstractNumId w:val="5"/>
  </w:num>
  <w:num w:numId="32">
    <w:abstractNumId w:val="35"/>
  </w:num>
  <w:num w:numId="33">
    <w:abstractNumId w:val="30"/>
  </w:num>
  <w:num w:numId="34">
    <w:abstractNumId w:val="34"/>
  </w:num>
  <w:num w:numId="35">
    <w:abstractNumId w:val="6"/>
  </w:num>
  <w:num w:numId="36">
    <w:abstractNumId w:val="2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10512"/>
    <w:rsid w:val="00185A46"/>
    <w:rsid w:val="001915B6"/>
    <w:rsid w:val="001D1B23"/>
    <w:rsid w:val="002B3C38"/>
    <w:rsid w:val="002B4DBB"/>
    <w:rsid w:val="002C50EE"/>
    <w:rsid w:val="002D2643"/>
    <w:rsid w:val="00340A0A"/>
    <w:rsid w:val="003765DC"/>
    <w:rsid w:val="00395555"/>
    <w:rsid w:val="003E3126"/>
    <w:rsid w:val="00426E5F"/>
    <w:rsid w:val="004A448E"/>
    <w:rsid w:val="004D4D6B"/>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sdbg@merck.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5073</Words>
  <Characters>28922</Characters>
  <Application>Microsoft Office Word</Application>
  <DocSecurity>0</DocSecurity>
  <Lines>241</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2022-02-24T10:24:00Z</dcterms:created>
  <dcterms:modified xsi:type="dcterms:W3CDTF">2022-02-24T10:24:00Z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