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09CEB67B" w:rsidR="002C50EE" w:rsidRPr="00927D7E" w:rsidRDefault="002C50EE" w:rsidP="002C50EE">
      <w:pPr>
        <w:pStyle w:val="Heading1"/>
        <w:jc w:val="center"/>
      </w:pPr>
      <w:bookmarkStart w:id="0" w:name="_Hlk63124480"/>
      <w:r w:rsidRPr="00927D7E">
        <w:t>КРАТКА ХАРАКТЕРИСТИКА НА ПРОДУКТА</w:t>
      </w:r>
    </w:p>
    <w:p w14:paraId="5A3B4435" w14:textId="77777777" w:rsidR="0091385D" w:rsidRPr="00927D7E" w:rsidRDefault="0091385D" w:rsidP="0091385D"/>
    <w:p w14:paraId="3320F4BE" w14:textId="2EB48694" w:rsidR="00C40420" w:rsidRPr="00927D7E" w:rsidRDefault="00DD466D" w:rsidP="004A448E">
      <w:pPr>
        <w:pStyle w:val="Heading1"/>
      </w:pPr>
      <w:r w:rsidRPr="00927D7E">
        <w:t>1.ИМЕ НА ЛЕКАРСТВЕНИЯ ПРОДУКТ</w:t>
      </w:r>
    </w:p>
    <w:p w14:paraId="5E9BA472" w14:textId="28012C85" w:rsidR="0091385D" w:rsidRPr="00927D7E" w:rsidRDefault="0091385D" w:rsidP="0091385D"/>
    <w:p w14:paraId="5CCD57AB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5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>/</w:t>
      </w:r>
      <w:r w:rsidRPr="00927D7E">
        <w:rPr>
          <w:rFonts w:eastAsia="Times New Roman" w:cs="Arial"/>
          <w:color w:val="000000"/>
          <w:lang w:eastAsia="bg-BG"/>
        </w:rPr>
        <w:t xml:space="preserve">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таблетки</w:t>
      </w:r>
    </w:p>
    <w:p w14:paraId="4CA935A1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</w:rPr>
        <w:t>Tintaros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</w:rPr>
        <w:t>Plus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5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</w:rPr>
        <w:t>tablets</w:t>
      </w:r>
      <w:proofErr w:type="spellEnd"/>
    </w:p>
    <w:p w14:paraId="1483379E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27B3AA8" w14:textId="04A6F7F5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</w:t>
      </w:r>
      <w:r w:rsidRPr="00927D7E">
        <w:rPr>
          <w:rFonts w:eastAsia="Times New Roman" w:cs="Arial"/>
          <w:color w:val="000000"/>
        </w:rPr>
        <w:t xml:space="preserve">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таблетки</w:t>
      </w:r>
    </w:p>
    <w:p w14:paraId="1C85F85B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</w:rPr>
        <w:t>Tintaros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</w:rPr>
        <w:t>Plus</w:t>
      </w:r>
      <w:proofErr w:type="spellEnd"/>
      <w:r w:rsidRPr="00927D7E">
        <w:rPr>
          <w:rFonts w:eastAsia="Times New Roman" w:cs="Arial"/>
          <w:color w:val="000000"/>
        </w:rPr>
        <w:t xml:space="preserve">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</w:rPr>
        <w:t>tablets</w:t>
      </w:r>
      <w:proofErr w:type="spellEnd"/>
    </w:p>
    <w:p w14:paraId="5FCDE2FD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A956CCF" w14:textId="08F95210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</w:t>
      </w:r>
      <w:r w:rsidRPr="00927D7E">
        <w:rPr>
          <w:rFonts w:eastAsia="Times New Roman" w:cs="Arial"/>
          <w:color w:val="000000"/>
        </w:rPr>
        <w:t xml:space="preserve">20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таблетки</w:t>
      </w:r>
    </w:p>
    <w:p w14:paraId="5015A1FD" w14:textId="317C326B" w:rsidR="00A73575" w:rsidRPr="00927D7E" w:rsidRDefault="00D6261D" w:rsidP="00D6261D">
      <w:pPr>
        <w:rPr>
          <w:rFonts w:cs="Arial"/>
        </w:rPr>
      </w:pPr>
      <w:proofErr w:type="spellStart"/>
      <w:r w:rsidRPr="00927D7E">
        <w:rPr>
          <w:rFonts w:eastAsia="Times New Roman" w:cs="Arial"/>
          <w:color w:val="000000"/>
        </w:rPr>
        <w:t>Tintaros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</w:rPr>
        <w:t>Plus</w:t>
      </w:r>
      <w:proofErr w:type="spellEnd"/>
      <w:r w:rsidRPr="00927D7E">
        <w:rPr>
          <w:rFonts w:eastAsia="Times New Roman" w:cs="Arial"/>
          <w:color w:val="000000"/>
        </w:rPr>
        <w:t xml:space="preserve"> 20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</w:rPr>
        <w:t>tablets</w:t>
      </w:r>
      <w:proofErr w:type="spellEnd"/>
    </w:p>
    <w:p w14:paraId="1E8447D1" w14:textId="77777777" w:rsidR="0091385D" w:rsidRPr="00927D7E" w:rsidRDefault="0091385D" w:rsidP="0091385D"/>
    <w:p w14:paraId="6920A680" w14:textId="53C3EFCC" w:rsidR="00C40420" w:rsidRPr="00927D7E" w:rsidRDefault="00DD466D" w:rsidP="004A448E">
      <w:pPr>
        <w:pStyle w:val="Heading1"/>
      </w:pPr>
      <w:r w:rsidRPr="00927D7E">
        <w:t>2. КАЧЕСТВЕН И КОЛИЧЕСТВЕН СЪСТАВ</w:t>
      </w:r>
    </w:p>
    <w:p w14:paraId="1ED33AE8" w14:textId="288788EF" w:rsidR="0091385D" w:rsidRPr="00927D7E" w:rsidRDefault="0091385D" w:rsidP="0091385D"/>
    <w:p w14:paraId="24D3B2B4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5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таблетки</w:t>
      </w:r>
    </w:p>
    <w:p w14:paraId="687B5EA8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Всяка таблетка съдържа 5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r w:rsidRPr="00927D7E">
        <w:rPr>
          <w:rFonts w:eastAsia="Times New Roman" w:cs="Arial"/>
          <w:i/>
          <w:iCs/>
          <w:color w:val="000000"/>
        </w:rPr>
        <w:t>(</w:t>
      </w:r>
      <w:proofErr w:type="spellStart"/>
      <w:r w:rsidRPr="00927D7E">
        <w:rPr>
          <w:rFonts w:eastAsia="Times New Roman" w:cs="Arial"/>
          <w:i/>
          <w:iCs/>
          <w:color w:val="000000"/>
        </w:rPr>
        <w:t>rosuvastatin</w:t>
      </w:r>
      <w:proofErr w:type="spellEnd"/>
      <w:r w:rsidRPr="00927D7E">
        <w:rPr>
          <w:rFonts w:eastAsia="Times New Roman" w:cs="Arial"/>
          <w:i/>
          <w:iCs/>
          <w:color w:val="000000"/>
        </w:rPr>
        <w:t>)</w:t>
      </w:r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(като калциева сол) и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r w:rsidRPr="00927D7E">
        <w:rPr>
          <w:rFonts w:eastAsia="Times New Roman" w:cs="Arial"/>
          <w:i/>
          <w:iCs/>
          <w:color w:val="000000"/>
        </w:rPr>
        <w:t>(</w:t>
      </w:r>
      <w:proofErr w:type="spellStart"/>
      <w:r w:rsidRPr="00927D7E">
        <w:rPr>
          <w:rFonts w:eastAsia="Times New Roman" w:cs="Arial"/>
          <w:i/>
          <w:iCs/>
          <w:color w:val="000000"/>
        </w:rPr>
        <w:t>ezetimibe</w:t>
      </w:r>
      <w:proofErr w:type="spellEnd"/>
      <w:r w:rsidRPr="00927D7E">
        <w:rPr>
          <w:rFonts w:eastAsia="Times New Roman" w:cs="Arial"/>
          <w:i/>
          <w:iCs/>
          <w:color w:val="000000"/>
        </w:rPr>
        <w:t>).</w:t>
      </w:r>
    </w:p>
    <w:p w14:paraId="00A71EBD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FEB46DE" w14:textId="3D870A68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Помощни вещества с известно действие: всяка таблетка съдържа 243,89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лактоза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монохидрат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0,243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натрий.</w:t>
      </w:r>
    </w:p>
    <w:p w14:paraId="53C72894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0AABCE" w14:textId="2652DBCE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таблетки</w:t>
      </w:r>
    </w:p>
    <w:p w14:paraId="146DF307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Всяка таблетка съдържа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r w:rsidRPr="00927D7E">
        <w:rPr>
          <w:rFonts w:eastAsia="Times New Roman" w:cs="Arial"/>
          <w:i/>
          <w:iCs/>
          <w:color w:val="000000"/>
        </w:rPr>
        <w:t>(</w:t>
      </w:r>
      <w:proofErr w:type="spellStart"/>
      <w:r w:rsidRPr="00927D7E">
        <w:rPr>
          <w:rFonts w:eastAsia="Times New Roman" w:cs="Arial"/>
          <w:i/>
          <w:iCs/>
          <w:color w:val="000000"/>
        </w:rPr>
        <w:t>rosuvastatin</w:t>
      </w:r>
      <w:proofErr w:type="spellEnd"/>
      <w:r w:rsidRPr="00927D7E">
        <w:rPr>
          <w:rFonts w:eastAsia="Times New Roman" w:cs="Arial"/>
          <w:i/>
          <w:iCs/>
          <w:color w:val="000000"/>
        </w:rPr>
        <w:t>)</w:t>
      </w:r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(като калциева сол) и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r w:rsidRPr="00927D7E">
        <w:rPr>
          <w:rFonts w:eastAsia="Times New Roman" w:cs="Arial"/>
          <w:i/>
          <w:iCs/>
          <w:color w:val="000000"/>
        </w:rPr>
        <w:t>(</w:t>
      </w:r>
      <w:proofErr w:type="spellStart"/>
      <w:r w:rsidRPr="00927D7E">
        <w:rPr>
          <w:rFonts w:eastAsia="Times New Roman" w:cs="Arial"/>
          <w:i/>
          <w:iCs/>
          <w:color w:val="000000"/>
        </w:rPr>
        <w:t>ezetimibe</w:t>
      </w:r>
      <w:proofErr w:type="spellEnd"/>
      <w:r w:rsidRPr="00927D7E">
        <w:rPr>
          <w:rFonts w:eastAsia="Times New Roman" w:cs="Arial"/>
          <w:i/>
          <w:iCs/>
          <w:color w:val="000000"/>
        </w:rPr>
        <w:t>).</w:t>
      </w:r>
    </w:p>
    <w:p w14:paraId="55DD2044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9110A50" w14:textId="1A6CAAB2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Помощни вещества с известно действие: всяка таблетка съдържа 238,69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лактоза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монохидрат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0,243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натрий.</w:t>
      </w:r>
    </w:p>
    <w:p w14:paraId="6AA497DF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DC596CB" w14:textId="1F2BB3FC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20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таблетки</w:t>
      </w:r>
    </w:p>
    <w:p w14:paraId="2036F3FE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Всяка таблетка съдържа 20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r w:rsidRPr="00927D7E">
        <w:rPr>
          <w:rFonts w:eastAsia="Times New Roman" w:cs="Arial"/>
          <w:i/>
          <w:iCs/>
          <w:color w:val="000000"/>
        </w:rPr>
        <w:t>(</w:t>
      </w:r>
      <w:proofErr w:type="spellStart"/>
      <w:r w:rsidRPr="00927D7E">
        <w:rPr>
          <w:rFonts w:eastAsia="Times New Roman" w:cs="Arial"/>
          <w:i/>
          <w:iCs/>
          <w:color w:val="000000"/>
        </w:rPr>
        <w:t>rosuvastatin</w:t>
      </w:r>
      <w:proofErr w:type="spellEnd"/>
      <w:r w:rsidRPr="00927D7E">
        <w:rPr>
          <w:rFonts w:eastAsia="Times New Roman" w:cs="Arial"/>
          <w:i/>
          <w:iCs/>
          <w:color w:val="000000"/>
        </w:rPr>
        <w:t>)</w:t>
      </w:r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(като калциева сол) и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r w:rsidRPr="00927D7E">
        <w:rPr>
          <w:rFonts w:eastAsia="Times New Roman" w:cs="Arial"/>
          <w:i/>
          <w:iCs/>
          <w:color w:val="000000"/>
        </w:rPr>
        <w:t>(</w:t>
      </w:r>
      <w:proofErr w:type="spellStart"/>
      <w:r w:rsidRPr="00927D7E">
        <w:rPr>
          <w:rFonts w:eastAsia="Times New Roman" w:cs="Arial"/>
          <w:i/>
          <w:iCs/>
          <w:color w:val="000000"/>
        </w:rPr>
        <w:t>ezetimibe</w:t>
      </w:r>
      <w:proofErr w:type="spellEnd"/>
      <w:r w:rsidRPr="00927D7E">
        <w:rPr>
          <w:rFonts w:eastAsia="Times New Roman" w:cs="Arial"/>
          <w:i/>
          <w:iCs/>
          <w:color w:val="000000"/>
        </w:rPr>
        <w:t>).</w:t>
      </w:r>
    </w:p>
    <w:p w14:paraId="4364A1DD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73B0FB1" w14:textId="4763313C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Помощни вещества с известно действие: всяка таблетка съдържа 228,29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лактоза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монохидрат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0,243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натрий.</w:t>
      </w:r>
    </w:p>
    <w:p w14:paraId="21D5D9E7" w14:textId="77777777" w:rsidR="00D6261D" w:rsidRPr="00927D7E" w:rsidRDefault="00D6261D" w:rsidP="00D6261D">
      <w:pPr>
        <w:rPr>
          <w:rFonts w:eastAsia="Times New Roman" w:cs="Arial"/>
          <w:color w:val="000000"/>
          <w:lang w:eastAsia="bg-BG"/>
        </w:rPr>
      </w:pPr>
    </w:p>
    <w:p w14:paraId="03110A50" w14:textId="06A277AD" w:rsidR="0091385D" w:rsidRPr="00927D7E" w:rsidRDefault="00D6261D" w:rsidP="00D6261D">
      <w:pPr>
        <w:rPr>
          <w:rFonts w:cs="Arial"/>
        </w:rPr>
      </w:pPr>
      <w:r w:rsidRPr="00927D7E">
        <w:rPr>
          <w:rFonts w:eastAsia="Times New Roman" w:cs="Arial"/>
          <w:color w:val="000000"/>
          <w:lang w:eastAsia="bg-BG"/>
        </w:rPr>
        <w:t>За пълния списък на помощните вещества вижте точка 6.1.</w:t>
      </w:r>
    </w:p>
    <w:p w14:paraId="3C47C299" w14:textId="77777777" w:rsidR="00A73575" w:rsidRPr="00927D7E" w:rsidRDefault="00A73575" w:rsidP="0091385D"/>
    <w:p w14:paraId="614984C4" w14:textId="3FC552C3" w:rsidR="008A6AF2" w:rsidRPr="00927D7E" w:rsidRDefault="00DD466D" w:rsidP="002C50EE">
      <w:pPr>
        <w:pStyle w:val="Heading1"/>
      </w:pPr>
      <w:r w:rsidRPr="00927D7E">
        <w:t>3. ЛЕКАРСТВЕНА ФОРМА</w:t>
      </w:r>
    </w:p>
    <w:p w14:paraId="1004E96C" w14:textId="277B91E7" w:rsidR="0091385D" w:rsidRPr="00927D7E" w:rsidRDefault="0091385D" w:rsidP="0091385D"/>
    <w:p w14:paraId="1D757085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>Таблетка</w:t>
      </w:r>
    </w:p>
    <w:p w14:paraId="2308DB1B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D6A576A" w14:textId="7ED3EBC5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lastRenderedPageBreak/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5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таблетки: бели до почти бели, кръгли, плоски,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необвити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таблетки, гравирани с Е2 от едната страна и с 2 от другата страна. Диаметърът на таблетката е 10 </w:t>
      </w:r>
      <w:r w:rsidRPr="00927D7E">
        <w:rPr>
          <w:rFonts w:eastAsia="Times New Roman" w:cs="Arial"/>
          <w:color w:val="000000"/>
        </w:rPr>
        <w:t>mm.</w:t>
      </w:r>
    </w:p>
    <w:p w14:paraId="5F3B0065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3A840B8" w14:textId="25CA5C13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таблетки: бели до почти бели, елипсовидни, двойноизпъкнали,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необвити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таблетки, гравирани с Е1 от едната страна и с 1 от другата страна. Размерите на таблетката са 15 </w:t>
      </w:r>
      <w:r w:rsidRPr="00927D7E">
        <w:rPr>
          <w:rFonts w:eastAsia="Times New Roman" w:cs="Arial"/>
          <w:color w:val="000000"/>
        </w:rPr>
        <w:t xml:space="preserve">mm </w:t>
      </w:r>
      <w:r w:rsidRPr="00927D7E">
        <w:rPr>
          <w:rFonts w:eastAsia="Times New Roman" w:cs="Arial"/>
          <w:color w:val="000000"/>
          <w:lang w:eastAsia="bg-BG"/>
        </w:rPr>
        <w:t xml:space="preserve">х 7 </w:t>
      </w:r>
      <w:r w:rsidRPr="00927D7E">
        <w:rPr>
          <w:rFonts w:eastAsia="Times New Roman" w:cs="Arial"/>
          <w:color w:val="000000"/>
        </w:rPr>
        <w:t>mm.</w:t>
      </w:r>
    </w:p>
    <w:p w14:paraId="714E7055" w14:textId="77777777" w:rsidR="00D6261D" w:rsidRPr="00927D7E" w:rsidRDefault="00D6261D" w:rsidP="00D6261D">
      <w:pPr>
        <w:rPr>
          <w:rFonts w:eastAsia="Times New Roman" w:cs="Arial"/>
          <w:color w:val="000000"/>
          <w:lang w:eastAsia="bg-BG"/>
        </w:rPr>
      </w:pPr>
    </w:p>
    <w:p w14:paraId="13BD114F" w14:textId="708AE0BF" w:rsidR="00D6261D" w:rsidRPr="00927D7E" w:rsidRDefault="00D6261D" w:rsidP="0091385D">
      <w:pPr>
        <w:rPr>
          <w:rFonts w:eastAsia="Times New Roman" w:cs="Arial"/>
          <w:color w:val="000000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20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таблетки: бели до почти бели, кръгли, двойноизпъкнали,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необвити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таблетки. Диаметърът на таблетката е 11 </w:t>
      </w:r>
      <w:r w:rsidRPr="00927D7E">
        <w:rPr>
          <w:rFonts w:eastAsia="Times New Roman" w:cs="Arial"/>
          <w:color w:val="000000"/>
        </w:rPr>
        <w:t>mm.</w:t>
      </w:r>
    </w:p>
    <w:p w14:paraId="1ADD0476" w14:textId="77777777" w:rsidR="00D6261D" w:rsidRPr="00927D7E" w:rsidRDefault="00D6261D" w:rsidP="0091385D"/>
    <w:p w14:paraId="490FC2C4" w14:textId="18BBD423" w:rsidR="002C50EE" w:rsidRPr="00927D7E" w:rsidRDefault="002C50EE" w:rsidP="002C50EE">
      <w:pPr>
        <w:pStyle w:val="Heading1"/>
      </w:pPr>
      <w:r w:rsidRPr="00927D7E">
        <w:t>4. КЛИНИЧНИ ДАННИ</w:t>
      </w:r>
    </w:p>
    <w:p w14:paraId="0C69CBC7" w14:textId="77777777" w:rsidR="0091385D" w:rsidRPr="00927D7E" w:rsidRDefault="0091385D" w:rsidP="0091385D"/>
    <w:p w14:paraId="0C8E6903" w14:textId="51BB3E2D" w:rsidR="008134C8" w:rsidRPr="00927D7E" w:rsidRDefault="002C50EE" w:rsidP="004A448E">
      <w:pPr>
        <w:pStyle w:val="Heading2"/>
      </w:pPr>
      <w:r w:rsidRPr="00927D7E">
        <w:t>4.1. Терапевтични показания</w:t>
      </w:r>
    </w:p>
    <w:p w14:paraId="174D169F" w14:textId="0369962D" w:rsidR="0091385D" w:rsidRPr="00927D7E" w:rsidRDefault="0091385D" w:rsidP="0091385D"/>
    <w:p w14:paraId="0186BC3C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 xml:space="preserve">Първична </w:t>
      </w:r>
      <w:proofErr w:type="spellStart"/>
      <w:r w:rsidRPr="00927D7E">
        <w:rPr>
          <w:rFonts w:eastAsia="Times New Roman" w:cs="Arial"/>
          <w:color w:val="000000"/>
          <w:u w:val="single"/>
          <w:lang w:eastAsia="bg-BG"/>
        </w:rPr>
        <w:t>хиперхолестеролемия</w:t>
      </w:r>
      <w:proofErr w:type="spellEnd"/>
    </w:p>
    <w:p w14:paraId="28EFF3AF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е показан за употреба като допълваща терапия към диетата за лечение на първична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като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заместителна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терапия при възрастни пациенти, които са се повлияли в достатъчна степен от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>. прилагани заедно в същите дози като във фиксираната комбинация, но като отделни продукти.</w:t>
      </w:r>
    </w:p>
    <w:p w14:paraId="45B60DCB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86448A9" w14:textId="04FF002A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Превенция на сърдечно-съдови инциденти</w:t>
      </w:r>
    </w:p>
    <w:p w14:paraId="04B2E99C" w14:textId="5A443055" w:rsidR="0091385D" w:rsidRPr="00927D7E" w:rsidRDefault="00D6261D" w:rsidP="00D6261D">
      <w:pPr>
        <w:rPr>
          <w:rFonts w:cs="Arial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е показан за намаляване на риска от сърдечно-съдови събития и като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заместителна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терапия при възрастни пациенти с исхемична болест на сърцето (ИБС) и анамнеза за остър коронарен синдром (ОКС), които са се повлияли в достатъчна степен от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>, прилагани заедно в същите дози като във фиксираната комбинация, но като отделни продукти.</w:t>
      </w:r>
    </w:p>
    <w:p w14:paraId="6DFA4B9D" w14:textId="77777777" w:rsidR="0091385D" w:rsidRPr="00927D7E" w:rsidRDefault="0091385D" w:rsidP="0091385D"/>
    <w:p w14:paraId="30BE2C7B" w14:textId="3633C1E4" w:rsidR="008134C8" w:rsidRPr="00927D7E" w:rsidRDefault="002C50EE" w:rsidP="004A448E">
      <w:pPr>
        <w:pStyle w:val="Heading2"/>
      </w:pPr>
      <w:r w:rsidRPr="00927D7E">
        <w:t>4.2. Дозировка и начин на приложение</w:t>
      </w:r>
    </w:p>
    <w:p w14:paraId="7AA22B68" w14:textId="3A681DFB" w:rsidR="0091385D" w:rsidRPr="00927D7E" w:rsidRDefault="0091385D" w:rsidP="0091385D"/>
    <w:p w14:paraId="44F8A281" w14:textId="77777777" w:rsidR="00D6261D" w:rsidRPr="00927D7E" w:rsidRDefault="00D6261D" w:rsidP="00D6261D">
      <w:pPr>
        <w:pStyle w:val="Heading3"/>
        <w:rPr>
          <w:rFonts w:eastAsia="Times New Roman"/>
          <w:u w:val="single"/>
          <w:lang w:eastAsia="bg-BG"/>
        </w:rPr>
      </w:pPr>
      <w:r w:rsidRPr="00927D7E">
        <w:rPr>
          <w:rFonts w:eastAsia="Times New Roman"/>
          <w:u w:val="single"/>
          <w:lang w:eastAsia="bg-BG"/>
        </w:rPr>
        <w:t>Дозировка</w:t>
      </w:r>
    </w:p>
    <w:p w14:paraId="117F10B9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е показан при възрастни пациенти, чиято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адекватно контролирана с отделно прилагани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 същите дози като във фиксираната комбинация.</w:t>
      </w:r>
    </w:p>
    <w:p w14:paraId="52B14539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Пациентът трябва да спазва подходяща диета за понижаване на липидите и трябва да продължи тази диета по време на лечение с таблетките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Плюс.</w:t>
      </w:r>
    </w:p>
    <w:p w14:paraId="6CD24B9C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5B98880" w14:textId="2F9B1DC8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>Препоръчителната дневна доза е една таблетка от назначената концентрация на активни вещества със или без храна.</w:t>
      </w:r>
    </w:p>
    <w:p w14:paraId="69B68CCF" w14:textId="704491D5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не е подходящ за първоначална терапия. При необходимост началото на лечението или адаптирането на дозата трябва да се извършват само с еднокомпонентни продукти и след определяне на подходящите дози е възможно преминаването към комбинацията с фиксирана доза с подходящата концентрация. Таблетките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5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, </w:t>
      </w:r>
      <w:r w:rsidRPr="00927D7E">
        <w:rPr>
          <w:rFonts w:eastAsia="Times New Roman" w:cs="Arial"/>
          <w:color w:val="000000"/>
          <w:lang w:eastAsia="bg-BG"/>
        </w:rPr>
        <w:t xml:space="preserve">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и </w:t>
      </w:r>
      <w:r w:rsidRPr="00927D7E">
        <w:rPr>
          <w:rFonts w:eastAsia="Times New Roman" w:cs="Arial"/>
          <w:color w:val="000000"/>
        </w:rPr>
        <w:t xml:space="preserve">20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не са подходящи за лечение на пациенти, при които се налага употреба на доза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от 40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>.</w:t>
      </w:r>
    </w:p>
    <w:p w14:paraId="18873170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B44DA36" w14:textId="30903164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lastRenderedPageBreak/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трябва да се приема или ≥ 2 часа преди или ≥ 4 часа след прилагането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секвестрант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 жлъчна киселина.</w:t>
      </w:r>
    </w:p>
    <w:p w14:paraId="4F0E237C" w14:textId="77777777" w:rsidR="00D6261D" w:rsidRPr="00927D7E" w:rsidRDefault="00D6261D" w:rsidP="00D626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B740A81" w14:textId="584AF7B8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6DC3DC3D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Безопасността и ефикасността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при деца на възраст под 18 години все още не са установени. Наличните понастоящем данни са описани в точки 4.8, 5.1 и 5.2, но препоръка за дозировка не може да се направи.</w:t>
      </w:r>
    </w:p>
    <w:p w14:paraId="4267BE66" w14:textId="77777777" w:rsidR="00D6261D" w:rsidRPr="00927D7E" w:rsidRDefault="00D6261D" w:rsidP="00D626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DE50726" w14:textId="6C743D7C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i/>
          <w:iCs/>
          <w:color w:val="000000"/>
          <w:lang w:eastAsia="bg-BG"/>
        </w:rPr>
        <w:t>Употреба в старческа възраст</w:t>
      </w:r>
    </w:p>
    <w:p w14:paraId="2650015E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 пациенти &gt; 70 години се препоръчва начална доза от 5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(вж. точка 4.4). Комбинацията не е подходяща за първоначална терапия. При необходимост началото на лечението или адаптирането на дозата трябва да се извършват само с еднокомпонентни продукти и след определяне на подходящите дози е възможно преминаването към комбинацията с фиксирана доза с подходящата концентрация на активните вещества.</w:t>
      </w:r>
    </w:p>
    <w:p w14:paraId="1F0DE0C7" w14:textId="77777777" w:rsidR="00D6261D" w:rsidRPr="00927D7E" w:rsidRDefault="00D6261D" w:rsidP="00D626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6512E57" w14:textId="21002EBE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i/>
          <w:iCs/>
          <w:color w:val="000000"/>
          <w:lang w:eastAsia="bg-BG"/>
        </w:rPr>
        <w:t>Дозировка при пациенти с бъбречна недостатъчност</w:t>
      </w:r>
    </w:p>
    <w:p w14:paraId="536BAC7A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>При пациенти с леко до умерено бъбречно увреждане не се налага адаптиране на дозата.</w:t>
      </w:r>
    </w:p>
    <w:p w14:paraId="64C49B3C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 пациенти с умерено изразено бъбречно увреждане, препоръчителната начална доза 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5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(</w:t>
      </w:r>
      <w:proofErr w:type="spellStart"/>
      <w:r w:rsidRPr="00927D7E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клирънс &lt; 60 </w:t>
      </w:r>
      <w:r w:rsidRPr="00927D7E">
        <w:rPr>
          <w:rFonts w:eastAsia="Times New Roman" w:cs="Arial"/>
          <w:color w:val="000000"/>
        </w:rPr>
        <w:t>ml/</w:t>
      </w:r>
      <w:proofErr w:type="spellStart"/>
      <w:r w:rsidRPr="00927D7E">
        <w:rPr>
          <w:rFonts w:eastAsia="Times New Roman" w:cs="Arial"/>
          <w:color w:val="000000"/>
        </w:rPr>
        <w:t>min</w:t>
      </w:r>
      <w:proofErr w:type="spellEnd"/>
      <w:r w:rsidRPr="00927D7E">
        <w:rPr>
          <w:rFonts w:eastAsia="Times New Roman" w:cs="Arial"/>
          <w:color w:val="000000"/>
        </w:rPr>
        <w:t xml:space="preserve">). </w:t>
      </w:r>
      <w:r w:rsidRPr="00927D7E">
        <w:rPr>
          <w:rFonts w:eastAsia="Times New Roman" w:cs="Arial"/>
          <w:color w:val="000000"/>
          <w:lang w:eastAsia="bg-BG"/>
        </w:rPr>
        <w:t>Комбинацията с фиксирани дози не е подходяща за първоначално лечение. В началото на лечението или при модифициране на дозата трябва да се използват еднокомпонентни продукти.</w:t>
      </w:r>
    </w:p>
    <w:p w14:paraId="08FCE327" w14:textId="77777777" w:rsidR="00D6261D" w:rsidRPr="00927D7E" w:rsidRDefault="00D6261D" w:rsidP="00D6261D">
      <w:pPr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 пациенти с тежко бъбречно увреждане, употребата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противопоказана за всички дози (вж. точки 4.3 и точка 5.2).</w:t>
      </w:r>
    </w:p>
    <w:p w14:paraId="4E60F488" w14:textId="77777777" w:rsidR="00D6261D" w:rsidRPr="00927D7E" w:rsidRDefault="00D6261D" w:rsidP="00D626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8A3050A" w14:textId="293E1965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i/>
          <w:iCs/>
          <w:color w:val="000000"/>
          <w:lang w:eastAsia="bg-BG"/>
        </w:rPr>
        <w:t>Дозировка при пациенти с чернодробно увреждане</w:t>
      </w:r>
    </w:p>
    <w:p w14:paraId="51054179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Не се налага адаптиране на дозата при пациенти със слабо изразена чернодробна недостатъчност (степен по </w:t>
      </w:r>
      <w:proofErr w:type="spellStart"/>
      <w:r w:rsidRPr="00927D7E">
        <w:rPr>
          <w:rFonts w:eastAsia="Times New Roman" w:cs="Arial"/>
          <w:color w:val="000000"/>
        </w:rPr>
        <w:t>Child-Pigh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5 до 6). При пациенти с умерено изразена (степен по </w:t>
      </w:r>
      <w:proofErr w:type="spellStart"/>
      <w:r w:rsidRPr="00927D7E">
        <w:rPr>
          <w:rFonts w:eastAsia="Times New Roman" w:cs="Arial"/>
          <w:color w:val="000000"/>
        </w:rPr>
        <w:t>Child-Pigh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7 до 9) или тежко изразена (степен по </w:t>
      </w:r>
      <w:proofErr w:type="spellStart"/>
      <w:r w:rsidRPr="00927D7E">
        <w:rPr>
          <w:rFonts w:eastAsia="Times New Roman" w:cs="Arial"/>
          <w:color w:val="000000"/>
        </w:rPr>
        <w:t>Child-Pigh</w:t>
      </w:r>
      <w:proofErr w:type="spellEnd"/>
      <w:r w:rsidRPr="00927D7E">
        <w:rPr>
          <w:rFonts w:eastAsia="Times New Roman" w:cs="Arial"/>
          <w:color w:val="000000"/>
        </w:rPr>
        <w:t xml:space="preserve">&gt;9) </w:t>
      </w:r>
      <w:r w:rsidRPr="00927D7E">
        <w:rPr>
          <w:rFonts w:eastAsia="Times New Roman" w:cs="Arial"/>
          <w:color w:val="000000"/>
          <w:lang w:eastAsia="bg-BG"/>
        </w:rPr>
        <w:t xml:space="preserve">чернодробна дисфункция не се препоръчва лечение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(вж. точки 4.4 и 5.2).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е противопоказан за употреба при пациенти с активно чернодробно заболяване (вж. точка 4.3).</w:t>
      </w:r>
    </w:p>
    <w:p w14:paraId="4F41C562" w14:textId="77777777" w:rsidR="00D6261D" w:rsidRPr="00927D7E" w:rsidRDefault="00D6261D" w:rsidP="00D626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1ADADED" w14:textId="48B7D3B6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i/>
          <w:iCs/>
          <w:color w:val="000000"/>
          <w:lang w:eastAsia="bg-BG"/>
        </w:rPr>
        <w:t>Раса</w:t>
      </w:r>
    </w:p>
    <w:p w14:paraId="0EF63751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 азиатци се наблюдава повишена системна експозиция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(вж. точки 4.4 и 5.2). Препоръчителната начална доза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при пациенти с азиатски произход е </w:t>
      </w:r>
      <w:r w:rsidRPr="00927D7E">
        <w:rPr>
          <w:rFonts w:eastAsia="Times New Roman" w:cs="Arial"/>
          <w:i/>
          <w:iCs/>
          <w:color w:val="000000"/>
          <w:lang w:eastAsia="bg-BG"/>
        </w:rPr>
        <w:t>5</w:t>
      </w:r>
      <w:r w:rsidRPr="00927D7E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. </w:t>
      </w:r>
      <w:r w:rsidRPr="00927D7E">
        <w:rPr>
          <w:rFonts w:eastAsia="Times New Roman" w:cs="Arial"/>
          <w:color w:val="000000"/>
          <w:lang w:eastAsia="bg-BG"/>
        </w:rPr>
        <w:t>Комбинацията с фиксирани дози не е подходяща за първоначално лечение. В началото на лечението или при модифициране на дозата трябва да се използват еднокомпонентни продукти.</w:t>
      </w:r>
    </w:p>
    <w:p w14:paraId="4EC07791" w14:textId="77777777" w:rsidR="00D6261D" w:rsidRPr="00927D7E" w:rsidRDefault="00D6261D" w:rsidP="00D626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6B4C637" w14:textId="7F67DE1A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i/>
          <w:iCs/>
          <w:color w:val="000000"/>
          <w:lang w:eastAsia="bg-BG"/>
        </w:rPr>
        <w:t>Генетичен полиморфизъм</w:t>
      </w:r>
    </w:p>
    <w:p w14:paraId="3024F0C4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Известни са определени видове генетичен полиморфизъм, които могат да доведат до повишена експозиция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</w:t>
      </w:r>
      <w:proofErr w:type="spellStart"/>
      <w:r w:rsidRPr="00927D7E">
        <w:rPr>
          <w:rFonts w:eastAsia="Times New Roman" w:cs="Arial"/>
          <w:color w:val="000000"/>
          <w:lang w:eastAsia="bg-BG"/>
        </w:rPr>
        <w:t>вж.точка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5.2). При пациенти, при които е установено, че притежават такива специфични видове полиморфизъм се препоръчва приложение на по-ниска дневна доза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Плюс.</w:t>
      </w:r>
    </w:p>
    <w:p w14:paraId="128124A7" w14:textId="77777777" w:rsidR="00D6261D" w:rsidRPr="00927D7E" w:rsidRDefault="00D6261D" w:rsidP="00D626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4355F4E" w14:textId="4E9057B2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i/>
          <w:iCs/>
          <w:color w:val="000000"/>
          <w:lang w:eastAsia="bg-BG"/>
        </w:rPr>
        <w:t xml:space="preserve">Дозировка при пациенти с фактори, които предразполагат към развитие на </w:t>
      </w: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При пациенти с предразполагащи фактори за развитие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препоръчителната начална доза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5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(вж. точка 4.4). Комбинацията с фиксирани дози не е подходяща за първоначално лечение. В началото на лечението или при модифициране на дозата трябва да се използват еднокомпонентни продукти.</w:t>
      </w:r>
    </w:p>
    <w:p w14:paraId="2CB59E8D" w14:textId="77777777" w:rsidR="00D6261D" w:rsidRPr="00927D7E" w:rsidRDefault="00D6261D" w:rsidP="00D626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E95ED7B" w14:textId="4BAC513E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i/>
          <w:iCs/>
          <w:color w:val="000000"/>
          <w:lang w:eastAsia="bg-BG"/>
        </w:rPr>
        <w:t>Съпътстваща терапия</w:t>
      </w:r>
    </w:p>
    <w:p w14:paraId="38C45FBA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субстрат на различни транспортни протеини (напр. ОАТР1В1 и </w:t>
      </w:r>
      <w:r w:rsidRPr="00927D7E">
        <w:rPr>
          <w:rFonts w:eastAsia="Times New Roman" w:cs="Arial"/>
          <w:color w:val="000000"/>
        </w:rPr>
        <w:t xml:space="preserve">BCRP). </w:t>
      </w:r>
      <w:r w:rsidRPr="00927D7E">
        <w:rPr>
          <w:rFonts w:eastAsia="Times New Roman" w:cs="Arial"/>
          <w:color w:val="000000"/>
          <w:lang w:eastAsia="bg-BG"/>
        </w:rPr>
        <w:t xml:space="preserve">Рискът от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(включително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) се повишава, когато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се прилага едновременно с определени лекарствени продукти, които могат да повишат плазмената концентрация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поради взаимодействие с тези транспортни протеини (напр. циклоспорин и определени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инхибитори, включително комбинации на ритонавир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атазанавир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лопинавир и/или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типранавир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(вж. точки 4.4 и 4.5).</w:t>
      </w:r>
    </w:p>
    <w:p w14:paraId="60992674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Когато е възможно, трябва да се има предвид употребата на алтернативни лекарства и ако е необходимо, да се обмисли временно прекъсване на терапията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Плюс. В случаи, при които не може да се избегне едновременното приложение на тези лекарствени продукти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Плюс, трябва внимателно да се обмислят ползата и риска от едновременната терапия и адаптиране на дозата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(вж. точка 4.5).</w:t>
      </w:r>
    </w:p>
    <w:p w14:paraId="2EE96AA0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E651FB5" w14:textId="2846604E" w:rsidR="00D6261D" w:rsidRPr="00927D7E" w:rsidRDefault="00D6261D" w:rsidP="00D6261D">
      <w:pPr>
        <w:pStyle w:val="Heading3"/>
        <w:rPr>
          <w:rFonts w:eastAsia="Times New Roman"/>
          <w:u w:val="single"/>
          <w:lang w:eastAsia="bg-BG"/>
        </w:rPr>
      </w:pPr>
      <w:r w:rsidRPr="00927D7E">
        <w:rPr>
          <w:rFonts w:eastAsia="Times New Roman"/>
          <w:u w:val="single"/>
          <w:lang w:eastAsia="bg-BG"/>
        </w:rPr>
        <w:t>Начин на приложение</w:t>
      </w:r>
    </w:p>
    <w:p w14:paraId="387E4E5A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>Перорално приложение</w:t>
      </w:r>
    </w:p>
    <w:p w14:paraId="475300EC" w14:textId="6090A63D" w:rsidR="0091385D" w:rsidRPr="00927D7E" w:rsidRDefault="00D6261D" w:rsidP="00D6261D">
      <w:pPr>
        <w:rPr>
          <w:rFonts w:cs="Arial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таблетки трябва да се приема всеки ден по едно и също време на деня със или без храна. Таблетката трябва да се поглъща цяла с вода.</w:t>
      </w:r>
    </w:p>
    <w:p w14:paraId="6ACAF645" w14:textId="77777777" w:rsidR="0091385D" w:rsidRPr="00927D7E" w:rsidRDefault="0091385D" w:rsidP="0091385D"/>
    <w:p w14:paraId="28C984E8" w14:textId="0756AE28" w:rsidR="008134C8" w:rsidRPr="00927D7E" w:rsidRDefault="002C50EE" w:rsidP="004A448E">
      <w:pPr>
        <w:pStyle w:val="Heading2"/>
      </w:pPr>
      <w:r w:rsidRPr="00927D7E">
        <w:t>4.3. Противопоказания</w:t>
      </w:r>
    </w:p>
    <w:p w14:paraId="2363D607" w14:textId="48168570" w:rsidR="0091385D" w:rsidRPr="00927D7E" w:rsidRDefault="0091385D" w:rsidP="0091385D"/>
    <w:p w14:paraId="6EC78E4F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е противопоказан:</w:t>
      </w:r>
    </w:p>
    <w:p w14:paraId="4DBA6085" w14:textId="77777777" w:rsidR="00D6261D" w:rsidRPr="00927D7E" w:rsidRDefault="00D6261D" w:rsidP="00D6261D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>при пациенти със свръхчувствителност към активните вещества (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>) или към някое от помощните вещества, изброени в точка 6.1;</w:t>
      </w:r>
    </w:p>
    <w:p w14:paraId="37665762" w14:textId="77777777" w:rsidR="00D6261D" w:rsidRPr="00927D7E" w:rsidRDefault="00D6261D" w:rsidP="00D6261D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 пациенти с активно чернодробно заболяване, включително неуточнено. продължително покачване на серумните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трансаминази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всяко покачване на серумна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трансаминаза</w:t>
      </w:r>
      <w:proofErr w:type="spellEnd"/>
      <w:r w:rsidRPr="00927D7E">
        <w:rPr>
          <w:rFonts w:eastAsia="Times New Roman" w:cs="Arial"/>
          <w:color w:val="000000"/>
          <w:lang w:eastAsia="bg-BG"/>
        </w:rPr>
        <w:t>, което надвишава три пъти горната граница на нормата (</w:t>
      </w:r>
      <w:r w:rsidRPr="00927D7E">
        <w:rPr>
          <w:rFonts w:eastAsia="Times New Roman" w:cs="Arial"/>
          <w:color w:val="000000"/>
        </w:rPr>
        <w:t>ULN),</w:t>
      </w:r>
    </w:p>
    <w:p w14:paraId="72A7C93D" w14:textId="77777777" w:rsidR="00D6261D" w:rsidRPr="00927D7E" w:rsidRDefault="00D6261D" w:rsidP="00D6261D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>по време на бременност и кърмене и при жени в детеродна възраст, които не използват подходящи контрацептивни мерки.</w:t>
      </w:r>
    </w:p>
    <w:p w14:paraId="7F41A938" w14:textId="77777777" w:rsidR="00D6261D" w:rsidRPr="00927D7E" w:rsidRDefault="00D6261D" w:rsidP="00D6261D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>при пациенти с тежко бъбречно увреждане (</w:t>
      </w:r>
      <w:proofErr w:type="spellStart"/>
      <w:r w:rsidRPr="00927D7E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клирънс &lt; 30 </w:t>
      </w:r>
      <w:r w:rsidRPr="00927D7E">
        <w:rPr>
          <w:rFonts w:eastAsia="Times New Roman" w:cs="Arial"/>
          <w:color w:val="000000"/>
        </w:rPr>
        <w:t xml:space="preserve">ml/mm), </w:t>
      </w:r>
    </w:p>
    <w:p w14:paraId="7D177A9D" w14:textId="05CF5D79" w:rsidR="00D6261D" w:rsidRPr="00927D7E" w:rsidRDefault="00D6261D" w:rsidP="00D6261D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 пациенти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color w:val="000000"/>
          <w:lang w:eastAsia="bg-BG"/>
        </w:rPr>
        <w:t>;</w:t>
      </w:r>
    </w:p>
    <w:p w14:paraId="2309EAB0" w14:textId="65AEC70F" w:rsidR="0091385D" w:rsidRPr="00927D7E" w:rsidRDefault="00D6261D" w:rsidP="00D6261D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>при пациенти, приемащи едновременно циклоспорин (вж. точки 4.4,4.5 и 5,2).</w:t>
      </w:r>
    </w:p>
    <w:p w14:paraId="31B39DC6" w14:textId="77777777" w:rsidR="0091385D" w:rsidRPr="00927D7E" w:rsidRDefault="0091385D" w:rsidP="0091385D"/>
    <w:p w14:paraId="212F509C" w14:textId="52B87D4F" w:rsidR="004F498A" w:rsidRPr="00927D7E" w:rsidRDefault="002C50EE" w:rsidP="004A448E">
      <w:pPr>
        <w:pStyle w:val="Heading2"/>
      </w:pPr>
      <w:r w:rsidRPr="00927D7E">
        <w:t>4.4. Специални предупреждения и предпазни мерки при употреба</w:t>
      </w:r>
    </w:p>
    <w:p w14:paraId="0AAC2B60" w14:textId="0A08B607" w:rsidR="0091385D" w:rsidRPr="00927D7E" w:rsidRDefault="0091385D" w:rsidP="0091385D"/>
    <w:p w14:paraId="5F96E1D6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Ефекти върху скелетната мускулатура</w:t>
      </w:r>
    </w:p>
    <w:p w14:paraId="3A62B445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 пациенти, лекувани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са съобщавани ефекти върху скелетната мускулатура (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миалгия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по-рядко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) с всички дози и особено при дози &gt; 20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. </w:t>
      </w:r>
      <w:r w:rsidRPr="00927D7E">
        <w:rPr>
          <w:rFonts w:eastAsia="Times New Roman" w:cs="Arial"/>
          <w:color w:val="000000"/>
          <w:lang w:eastAsia="bg-BG"/>
        </w:rPr>
        <w:t xml:space="preserve">От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постмаркетинговия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опит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са докладвани случаи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Въпреки това, 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съобщава много рядко при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монотерапия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много рядко при добавянето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към други средства, за които е известно, че са свързани с повишен риск от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Ако въз основа на мускулните симптоми има съмнения 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потвърдена чрез нива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креатин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фосфокиназата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употребата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на всеки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и на всяко друго средство, свързано с повишен риск от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което пациентът същевременно приема трябва веднага да се прекрати. Всички пациенти, които започват лечение, трябва </w:t>
      </w:r>
      <w:r w:rsidRPr="00927D7E">
        <w:rPr>
          <w:rFonts w:eastAsia="Times New Roman" w:cs="Arial"/>
          <w:color w:val="000000"/>
          <w:lang w:eastAsia="bg-BG"/>
        </w:rPr>
        <w:lastRenderedPageBreak/>
        <w:t>да бъдат информирани да съобщават веднага за всяка необяснима мускулна болка, болезненост или слабост (вж. точка 4.8).</w:t>
      </w:r>
    </w:p>
    <w:p w14:paraId="45E433FC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7AA999F" w14:textId="033FE942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 xml:space="preserve">Измерване на </w:t>
      </w:r>
      <w:proofErr w:type="spellStart"/>
      <w:r w:rsidRPr="00927D7E">
        <w:rPr>
          <w:rFonts w:eastAsia="Times New Roman" w:cs="Arial"/>
          <w:color w:val="000000"/>
          <w:u w:val="single"/>
          <w:lang w:eastAsia="bg-BG"/>
        </w:rPr>
        <w:t>креатинкиназата</w:t>
      </w:r>
      <w:proofErr w:type="spellEnd"/>
    </w:p>
    <w:p w14:paraId="66D471CE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Креатинкиназата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(СК) не трябва да се измерва след усилени упражнения или при наличието на друга възможна алтернатива за увеличение на СК, което може да обърка тълкуването на резултата.</w:t>
      </w:r>
    </w:p>
    <w:p w14:paraId="7F1ECE37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Ако нивата на СК са значително повишени на изходно ниво (&gt; 5 х </w:t>
      </w:r>
      <w:r w:rsidRPr="00927D7E">
        <w:rPr>
          <w:rFonts w:eastAsia="Times New Roman" w:cs="Arial"/>
          <w:color w:val="000000"/>
        </w:rPr>
        <w:t xml:space="preserve">ULN) </w:t>
      </w:r>
      <w:r w:rsidRPr="00927D7E">
        <w:rPr>
          <w:rFonts w:eastAsia="Times New Roman" w:cs="Arial"/>
          <w:color w:val="000000"/>
          <w:lang w:eastAsia="bg-BG"/>
        </w:rPr>
        <w:t xml:space="preserve">трябва да се направи тест за потвърждаване на резултата в рамките на 5 - 7 дни. Ако повторното изследване потвърди изходно ниво на СК &gt; 5 х </w:t>
      </w:r>
      <w:r w:rsidRPr="00927D7E">
        <w:rPr>
          <w:rFonts w:eastAsia="Times New Roman" w:cs="Arial"/>
          <w:color w:val="000000"/>
        </w:rPr>
        <w:t xml:space="preserve">ULN, </w:t>
      </w:r>
      <w:r w:rsidRPr="00927D7E">
        <w:rPr>
          <w:rFonts w:eastAsia="Times New Roman" w:cs="Arial"/>
          <w:color w:val="000000"/>
          <w:lang w:eastAsia="bg-BG"/>
        </w:rPr>
        <w:t>не трябва да се започва лечение.</w:t>
      </w:r>
    </w:p>
    <w:p w14:paraId="2AAE7EB7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BDA00C6" w14:textId="73C36960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Тежки кожни нежелани реакции</w:t>
      </w:r>
    </w:p>
    <w:p w14:paraId="555CA23E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 лечение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съобщава за тежки кожни нежелани реакции, включващи синдром на </w:t>
      </w:r>
      <w:proofErr w:type="spellStart"/>
      <w:r w:rsidRPr="00927D7E">
        <w:rPr>
          <w:rFonts w:eastAsia="Times New Roman" w:cs="Arial"/>
          <w:color w:val="000000"/>
        </w:rPr>
        <w:t>Stevens</w:t>
      </w:r>
      <w:proofErr w:type="spellEnd"/>
      <w:r w:rsidRPr="00927D7E">
        <w:rPr>
          <w:rFonts w:eastAsia="Times New Roman" w:cs="Arial"/>
          <w:color w:val="000000"/>
        </w:rPr>
        <w:t xml:space="preserve"> Johnson (SJS) </w:t>
      </w:r>
      <w:r w:rsidRPr="00927D7E">
        <w:rPr>
          <w:rFonts w:eastAsia="Times New Roman" w:cs="Arial"/>
          <w:color w:val="000000"/>
          <w:lang w:eastAsia="bg-BG"/>
        </w:rPr>
        <w:t xml:space="preserve">и лекарствена реакция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еозинофилия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системни симптоми </w:t>
      </w:r>
      <w:r w:rsidRPr="00927D7E">
        <w:rPr>
          <w:rFonts w:eastAsia="Times New Roman" w:cs="Arial"/>
          <w:color w:val="000000"/>
        </w:rPr>
        <w:t xml:space="preserve">(DRESS), </w:t>
      </w:r>
      <w:r w:rsidRPr="00927D7E">
        <w:rPr>
          <w:rFonts w:eastAsia="Times New Roman" w:cs="Arial"/>
          <w:color w:val="000000"/>
          <w:lang w:eastAsia="bg-BG"/>
        </w:rPr>
        <w:t xml:space="preserve">които може да са животозастрашаващи или с летален изход. При предписването на лекарствения продукт пациентите трябва да бъдат информирани за признаците и симптомите на тежки кожни реакции и да бъдат наблюдавани с повишено внимание. Ако се появят признаци и симптоми, показателни за тази реакция, приложението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трябва незабавно да се преустанови и да се обмисли алтернативно лечение.</w:t>
      </w:r>
    </w:p>
    <w:p w14:paraId="5DC8F718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Ако пациентът е развил сериозна реакция, като например </w:t>
      </w:r>
      <w:r w:rsidRPr="00927D7E">
        <w:rPr>
          <w:rFonts w:eastAsia="Times New Roman" w:cs="Arial"/>
          <w:color w:val="000000"/>
        </w:rPr>
        <w:t xml:space="preserve">SJS </w:t>
      </w:r>
      <w:r w:rsidRPr="00927D7E">
        <w:rPr>
          <w:rFonts w:eastAsia="Times New Roman" w:cs="Arial"/>
          <w:color w:val="000000"/>
          <w:lang w:eastAsia="bg-BG"/>
        </w:rPr>
        <w:t xml:space="preserve">или </w:t>
      </w:r>
      <w:r w:rsidRPr="00927D7E">
        <w:rPr>
          <w:rFonts w:eastAsia="Times New Roman" w:cs="Arial"/>
          <w:color w:val="000000"/>
        </w:rPr>
        <w:t xml:space="preserve">DRESS </w:t>
      </w:r>
      <w:r w:rsidRPr="00927D7E">
        <w:rPr>
          <w:rFonts w:eastAsia="Times New Roman" w:cs="Arial"/>
          <w:color w:val="000000"/>
          <w:lang w:eastAsia="bg-BG"/>
        </w:rPr>
        <w:t xml:space="preserve">при употребата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Плюс, лечението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не трябва никога да се подновява при този пациент.</w:t>
      </w:r>
    </w:p>
    <w:p w14:paraId="344C7223" w14:textId="77777777" w:rsidR="00D6261D" w:rsidRPr="00927D7E" w:rsidRDefault="00D6261D" w:rsidP="00D626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1BC3401" w14:textId="60F1B8D3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i/>
          <w:iCs/>
          <w:color w:val="000000"/>
          <w:lang w:eastAsia="bg-BG"/>
        </w:rPr>
        <w:t>Преди лечението</w:t>
      </w:r>
    </w:p>
    <w:p w14:paraId="2C23CD80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Както </w:t>
      </w:r>
      <w:r w:rsidRPr="00927D7E">
        <w:rPr>
          <w:rFonts w:eastAsia="Times New Roman" w:cs="Arial"/>
          <w:i/>
          <w:iCs/>
          <w:color w:val="000000"/>
          <w:lang w:eastAsia="bg-BG"/>
        </w:rPr>
        <w:t>и</w:t>
      </w:r>
      <w:r w:rsidRPr="00927D7E">
        <w:rPr>
          <w:rFonts w:eastAsia="Times New Roman" w:cs="Arial"/>
          <w:color w:val="000000"/>
          <w:lang w:eastAsia="bg-BG"/>
        </w:rPr>
        <w:t xml:space="preserve"> други инхибитори на </w:t>
      </w:r>
      <w:r w:rsidRPr="00927D7E">
        <w:rPr>
          <w:rFonts w:eastAsia="Times New Roman" w:cs="Arial"/>
          <w:color w:val="000000"/>
        </w:rPr>
        <w:t>HMG-</w:t>
      </w:r>
      <w:proofErr w:type="spellStart"/>
      <w:r w:rsidRPr="00927D7E">
        <w:rPr>
          <w:rFonts w:eastAsia="Times New Roman" w:cs="Arial"/>
          <w:color w:val="000000"/>
        </w:rPr>
        <w:t>CoA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трябва да се предписва с повишено внимание при пациенти с предразполагащи фактори за развитие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color w:val="000000"/>
          <w:lang w:eastAsia="bg-BG"/>
        </w:rPr>
        <w:t>/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927D7E">
        <w:rPr>
          <w:rFonts w:eastAsia="Times New Roman" w:cs="Arial"/>
          <w:color w:val="000000"/>
          <w:lang w:eastAsia="bg-BG"/>
        </w:rPr>
        <w:t>. Такива фактори са:</w:t>
      </w:r>
    </w:p>
    <w:p w14:paraId="02DCBBD5" w14:textId="77777777" w:rsidR="00D6261D" w:rsidRPr="00927D7E" w:rsidRDefault="00D6261D" w:rsidP="00D6261D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>бъбречно увреждане;</w:t>
      </w:r>
    </w:p>
    <w:p w14:paraId="077636E9" w14:textId="77777777" w:rsidR="00D6261D" w:rsidRPr="00927D7E" w:rsidRDefault="00D6261D" w:rsidP="00D6261D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хипотиреоидизъм</w:t>
      </w:r>
      <w:proofErr w:type="spellEnd"/>
      <w:r w:rsidRPr="00927D7E">
        <w:rPr>
          <w:rFonts w:eastAsia="Times New Roman" w:cs="Arial"/>
          <w:color w:val="000000"/>
          <w:lang w:eastAsia="bg-BG"/>
        </w:rPr>
        <w:t>;</w:t>
      </w:r>
    </w:p>
    <w:p w14:paraId="1EE50468" w14:textId="77777777" w:rsidR="00D6261D" w:rsidRPr="00927D7E" w:rsidRDefault="00D6261D" w:rsidP="00D6261D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>лична или фамилна анамнеза за наследствено мускулно заболяване;</w:t>
      </w:r>
    </w:p>
    <w:p w14:paraId="01077CA7" w14:textId="5EC0A0C8" w:rsidR="00D6261D" w:rsidRPr="00927D7E" w:rsidRDefault="00D6261D" w:rsidP="00D6261D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анамнеза за мускулна токсичност към други </w:t>
      </w:r>
      <w:r w:rsidRPr="00927D7E">
        <w:rPr>
          <w:rFonts w:eastAsia="Times New Roman" w:cs="Arial"/>
          <w:color w:val="000000"/>
        </w:rPr>
        <w:t>HMG-</w:t>
      </w:r>
      <w:proofErr w:type="spellStart"/>
      <w:r w:rsidRPr="00927D7E">
        <w:rPr>
          <w:rFonts w:eastAsia="Times New Roman" w:cs="Arial"/>
          <w:color w:val="000000"/>
        </w:rPr>
        <w:t>CoA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инхибитори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или</w:t>
      </w:r>
    </w:p>
    <w:p w14:paraId="36FC03A6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>фибрата;</w:t>
      </w:r>
    </w:p>
    <w:p w14:paraId="0F6ABE61" w14:textId="77777777" w:rsidR="00D6261D" w:rsidRPr="00927D7E" w:rsidRDefault="00D6261D" w:rsidP="00D6261D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>злоупотреба с алкохол;</w:t>
      </w:r>
    </w:p>
    <w:p w14:paraId="2FCA8DC4" w14:textId="77777777" w:rsidR="00D6261D" w:rsidRPr="00927D7E" w:rsidRDefault="00D6261D" w:rsidP="00D6261D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>възраст над 70 години;</w:t>
      </w:r>
    </w:p>
    <w:p w14:paraId="7F2D1997" w14:textId="77777777" w:rsidR="00D6261D" w:rsidRPr="00927D7E" w:rsidRDefault="00D6261D" w:rsidP="00D6261D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>ситуации, при които може да се наблюдава повишаване на плазмените нива (вж. точка 5.2);</w:t>
      </w:r>
    </w:p>
    <w:p w14:paraId="41568BAA" w14:textId="2D7BBDCC" w:rsidR="00D6261D" w:rsidRPr="00927D7E" w:rsidRDefault="00D6261D" w:rsidP="00D6261D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>едновременно приложение на фибрата.</w:t>
      </w:r>
      <w:bookmarkStart w:id="1" w:name="bookmark0"/>
      <w:bookmarkEnd w:id="1"/>
    </w:p>
    <w:p w14:paraId="3038BDFE" w14:textId="77777777" w:rsidR="00D6261D" w:rsidRPr="00927D7E" w:rsidRDefault="00D6261D" w:rsidP="00D6261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0B3BEE35" w14:textId="66D905C4" w:rsidR="0091385D" w:rsidRPr="00927D7E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 такива пациенти трябва да се предвиди съотношението риск/полза и </w:t>
      </w:r>
      <w:proofErr w:type="spellStart"/>
      <w:r w:rsidRPr="00927D7E">
        <w:rPr>
          <w:rFonts w:eastAsia="Times New Roman" w:cs="Arial"/>
          <w:color w:val="000000"/>
        </w:rPr>
        <w:t>ce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препоръчва те да бъдат поставени под клинично наблюдение. Ако изходните нива на СК са значително</w:t>
      </w:r>
      <w:r w:rsidRPr="00927D7E">
        <w:rPr>
          <w:rFonts w:eastAsia="Times New Roman" w:cs="Arial"/>
          <w:lang w:eastAsia="bg-BG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повишени (&gt;5 </w:t>
      </w:r>
      <w:proofErr w:type="spellStart"/>
      <w:r w:rsidRPr="00927D7E">
        <w:rPr>
          <w:rFonts w:eastAsia="Times New Roman" w:cs="Arial"/>
          <w:color w:val="000000"/>
        </w:rPr>
        <w:t>xULN</w:t>
      </w:r>
      <w:proofErr w:type="spellEnd"/>
      <w:r w:rsidRPr="00927D7E">
        <w:rPr>
          <w:rFonts w:eastAsia="Times New Roman" w:cs="Arial"/>
          <w:color w:val="000000"/>
        </w:rPr>
        <w:t xml:space="preserve">) </w:t>
      </w:r>
      <w:r w:rsidRPr="00927D7E">
        <w:rPr>
          <w:rFonts w:eastAsia="Times New Roman" w:cs="Arial"/>
          <w:color w:val="000000"/>
          <w:lang w:eastAsia="bg-BG"/>
        </w:rPr>
        <w:t>не трябва да се започва лечение.</w:t>
      </w:r>
    </w:p>
    <w:p w14:paraId="2EBF2FF5" w14:textId="779F983A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6F391F9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i/>
          <w:iCs/>
          <w:color w:val="000000"/>
          <w:lang w:eastAsia="bg-BG"/>
        </w:rPr>
        <w:t>По време на лечението</w:t>
      </w:r>
    </w:p>
    <w:p w14:paraId="3933C803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Пациентите трябва да бъдат помолени незабавно да съобщават за необяснима мускулна болка, усещане за слабост или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крампи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особено ако са свързани с неразположение или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фебрилитет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При тези пациенти трябва да се измерят нивата на СК. Терапията трябва да се прекрати, ако нивата на СК са значително повишени (≤ 5 </w:t>
      </w:r>
      <w:proofErr w:type="spellStart"/>
      <w:r w:rsidRPr="00927D7E">
        <w:rPr>
          <w:rFonts w:eastAsia="Times New Roman" w:cs="Arial"/>
          <w:color w:val="000000"/>
        </w:rPr>
        <w:t>xULN</w:t>
      </w:r>
      <w:proofErr w:type="spellEnd"/>
      <w:r w:rsidRPr="00927D7E">
        <w:rPr>
          <w:rFonts w:eastAsia="Times New Roman" w:cs="Arial"/>
          <w:color w:val="000000"/>
        </w:rPr>
        <w:t xml:space="preserve">) </w:t>
      </w:r>
      <w:r w:rsidRPr="00927D7E">
        <w:rPr>
          <w:rFonts w:eastAsia="Times New Roman" w:cs="Arial"/>
          <w:color w:val="000000"/>
          <w:lang w:eastAsia="bg-BG"/>
        </w:rPr>
        <w:t xml:space="preserve">или ако мускулните симптоми са тежки и причиняват ежедневен дискомфорт (дори нивата на СК да са ≤ 5 </w:t>
      </w:r>
      <w:proofErr w:type="spellStart"/>
      <w:r w:rsidRPr="00927D7E">
        <w:rPr>
          <w:rFonts w:eastAsia="Times New Roman" w:cs="Arial"/>
          <w:color w:val="000000"/>
        </w:rPr>
        <w:lastRenderedPageBreak/>
        <w:t>xULN</w:t>
      </w:r>
      <w:proofErr w:type="spellEnd"/>
      <w:r w:rsidRPr="00927D7E">
        <w:rPr>
          <w:rFonts w:eastAsia="Times New Roman" w:cs="Arial"/>
          <w:color w:val="000000"/>
        </w:rPr>
        <w:t xml:space="preserve">). </w:t>
      </w:r>
      <w:r w:rsidRPr="00927D7E">
        <w:rPr>
          <w:rFonts w:eastAsia="Times New Roman" w:cs="Arial"/>
          <w:color w:val="000000"/>
          <w:lang w:eastAsia="bg-BG"/>
        </w:rPr>
        <w:t>Рутинно наблюдение на нивото на СК при пациенти без симптоми не е основателно.</w:t>
      </w:r>
    </w:p>
    <w:p w14:paraId="128CEAAB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Има много редки съобщения 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имуномедиирана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некротизираща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(ИМНМ), по време на лечението или след спиране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статините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включително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ИМНМ клинично се характеризира с проксимална мускулна слабост и повишена серумна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креатин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киназа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която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персистира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въпреки спиране на лечението със статии.</w:t>
      </w:r>
    </w:p>
    <w:p w14:paraId="431351DA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 клиничните изпитвания не са наблюдавани данни за повишени ефекти върху скелетната мускулатура в малката група пациенти, при които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прилаган със съпътстващо лечение. Увеличение на честотата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миозит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наблюдавано обаче при пациенти, получаващи други инхибитори на </w:t>
      </w:r>
      <w:r w:rsidRPr="00927D7E">
        <w:rPr>
          <w:rFonts w:eastAsia="Times New Roman" w:cs="Arial"/>
          <w:color w:val="000000"/>
        </w:rPr>
        <w:t>HMG-</w:t>
      </w:r>
      <w:proofErr w:type="spellStart"/>
      <w:r w:rsidRPr="00927D7E">
        <w:rPr>
          <w:rFonts w:eastAsia="Times New Roman" w:cs="Arial"/>
          <w:color w:val="000000"/>
        </w:rPr>
        <w:t>CoA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редукгазата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заедно с производни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фибриновата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киселина, включително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циклоспорин, никотинова киселина,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азолови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антимикотици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инхибитори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макролидни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антибиотици.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повишава риска от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когато се приема едновременно с някои </w:t>
      </w:r>
      <w:r w:rsidRPr="00927D7E">
        <w:rPr>
          <w:rFonts w:eastAsia="Times New Roman" w:cs="Arial"/>
          <w:color w:val="000000"/>
        </w:rPr>
        <w:t>HMG-</w:t>
      </w:r>
      <w:proofErr w:type="spellStart"/>
      <w:r w:rsidRPr="00927D7E">
        <w:rPr>
          <w:rFonts w:eastAsia="Times New Roman" w:cs="Arial"/>
          <w:color w:val="000000"/>
        </w:rPr>
        <w:t>CoA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инхибитори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Поради това, комбинацията между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не се препоръчва. Ползата от допълнително понижаване на липидните нива, в резултат от комбинираното приемане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таблетки заедно с фибрата или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ниацин</w:t>
      </w:r>
      <w:proofErr w:type="spellEnd"/>
      <w:r w:rsidRPr="00927D7E">
        <w:rPr>
          <w:rFonts w:eastAsia="Times New Roman" w:cs="Arial"/>
          <w:color w:val="000000"/>
          <w:lang w:eastAsia="bg-BG"/>
        </w:rPr>
        <w:t>, трябва да бъде внимателно претеглена спрямо потенциалния риск от такива комбинации.</w:t>
      </w:r>
    </w:p>
    <w:p w14:paraId="3A067F6E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737E6B8" w14:textId="20B77B6B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таблетки не трябва да се употребяват при пациенти с остри сериозни състояния, при които има съмнения за наличие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или които предразполагат към развитието на бъбречна недостатъчност вследствие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(напр. сепсис, хипотония, голяма операция, травма, тежки метаболитни, ендокринни и електролитни нарушения или неконтролирани гърчове).</w:t>
      </w:r>
    </w:p>
    <w:p w14:paraId="2DBF589E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69B0879" w14:textId="65ACB59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Чернодробни ефекти</w:t>
      </w:r>
    </w:p>
    <w:p w14:paraId="54A0C573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В контролирани проучвания, при пациенти, които приемат едновременно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статии е наблюдавано последователно повишение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трансаминазите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(≥3 X над горната граница на нормата </w:t>
      </w:r>
      <w:r w:rsidRPr="00927D7E">
        <w:rPr>
          <w:rFonts w:eastAsia="Times New Roman" w:cs="Arial"/>
          <w:color w:val="000000"/>
        </w:rPr>
        <w:t>[ULN]).</w:t>
      </w:r>
    </w:p>
    <w:p w14:paraId="683D6573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6C3AF29" w14:textId="26536459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Препоръчително е да се извършат изследвания на чернодробната функция 3 месеца след началото на лечението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Употребата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трябва да се преустанови или дозата трябва да се понижи, ако нивото на серумните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трансаминази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надвишава три пъти горната граница на нормата.</w:t>
      </w:r>
    </w:p>
    <w:p w14:paraId="0C237E55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 пациенти с вторична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причинена от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хипотиреоидизъм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нефротичен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синдром, основното заболяване трябва да се лекува преди започване на лечение с таблетки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Плюс.</w:t>
      </w:r>
    </w:p>
    <w:p w14:paraId="48B22C77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Тъй като не са известни ефектите от повишената експозиция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при пациенти с умерена или тежка чернодробна недостатъчност, употребата на таблетки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не се препоръчва (вж. точка 5.2).</w:t>
      </w:r>
    </w:p>
    <w:p w14:paraId="74C4383F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660A3CC" w14:textId="1669D2AF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Бъбречни ефекти</w:t>
      </w:r>
    </w:p>
    <w:p w14:paraId="7478CFC1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 пациенти, лекувани с по-високи дози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а именно 40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, </w:t>
      </w:r>
      <w:r w:rsidRPr="00927D7E">
        <w:rPr>
          <w:rFonts w:eastAsia="Times New Roman" w:cs="Arial"/>
          <w:color w:val="000000"/>
          <w:lang w:eastAsia="bg-BG"/>
        </w:rPr>
        <w:t xml:space="preserve">е наблюдавана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протеинурия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установена при изследване с тест-ленти, с предимно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тубулен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произход и в повечето случаи с преходен или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интермитентен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характер. Не е доказано, че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протсинурията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прогнозира остро или прогресивно бъбречно заболяване (вж. точка 4.8).</w:t>
      </w:r>
    </w:p>
    <w:p w14:paraId="18A1FD7C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9C708B0" w14:textId="26AEBD54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927D7E">
        <w:rPr>
          <w:rFonts w:eastAsia="Times New Roman" w:cs="Arial"/>
          <w:color w:val="000000"/>
          <w:u w:val="single"/>
          <w:lang w:eastAsia="bg-BG"/>
        </w:rPr>
        <w:t>Фузидова</w:t>
      </w:r>
      <w:proofErr w:type="spellEnd"/>
      <w:r w:rsidRPr="00927D7E">
        <w:rPr>
          <w:rFonts w:eastAsia="Times New Roman" w:cs="Arial"/>
          <w:color w:val="000000"/>
          <w:u w:val="single"/>
          <w:lang w:eastAsia="bg-BG"/>
        </w:rPr>
        <w:t xml:space="preserve"> киселина</w:t>
      </w:r>
    </w:p>
    <w:p w14:paraId="43A51F3B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Таблетките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не трябва да се прилагат едновременно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киселина в лекарствени форми за системно приложение или в рамките на 7 дни след спиране на лечението</w:t>
      </w:r>
    </w:p>
    <w:p w14:paraId="332BF4C3" w14:textId="0787D3D8" w:rsidR="00D6261D" w:rsidRPr="00927D7E" w:rsidRDefault="00D6261D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lastRenderedPageBreak/>
        <w:t xml:space="preserve">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киселина. При пациенти, при които употребата на системна форма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="00DD4AAC" w:rsidRPr="00927D7E">
        <w:rPr>
          <w:rFonts w:eastAsia="Times New Roman" w:cs="Arial"/>
          <w:lang w:eastAsia="bg-BG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киселина се счита за необходима, лечението със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трябва да се преустанови през целия  период на лечение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киселина. При пациенти, които приемат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киселина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 комбинация, има съобщения 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(включително някои с летален изход) (вижте точка 4.5). Пациентът трябва да бъде предупреден веднага да потърси медицинска помощ, ако получи симптоми на слабост, болка или чувствителност в мускулите.</w:t>
      </w:r>
    </w:p>
    <w:p w14:paraId="3859B6AE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Лечението със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може да бъде възобновено седем дни след последната доза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киселина.</w:t>
      </w:r>
    </w:p>
    <w:p w14:paraId="64C202E1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 изключителни обстоятелства, когато е необходимо продължително системно лечение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киселина (например за лечение на тежки инфекции), необходимостта от едновременно приложение на таблетки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киселина може единствено да се разгледа за всеки случай поотделно и при строго медицинско наблюдение.</w:t>
      </w:r>
    </w:p>
    <w:p w14:paraId="6F6E50BD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1F5717F" w14:textId="12FF83C1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Раса</w:t>
      </w:r>
    </w:p>
    <w:p w14:paraId="400FBD00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Фармакокинетичните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проучвания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показват повишение на експозицията при пациентите от азиатската раса, в сравнение с тези от бялата раса (вж. точка 4.2 и 5.2).</w:t>
      </w:r>
    </w:p>
    <w:p w14:paraId="11BCCC8A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6D274C1" w14:textId="3BA3B0A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927D7E">
        <w:rPr>
          <w:rFonts w:eastAsia="Times New Roman" w:cs="Arial"/>
          <w:color w:val="000000"/>
          <w:u w:val="single"/>
          <w:lang w:eastAsia="bg-BG"/>
        </w:rPr>
        <w:t>Протеазни</w:t>
      </w:r>
      <w:proofErr w:type="spellEnd"/>
      <w:r w:rsidRPr="00927D7E">
        <w:rPr>
          <w:rFonts w:eastAsia="Times New Roman" w:cs="Arial"/>
          <w:color w:val="000000"/>
          <w:u w:val="single"/>
          <w:lang w:eastAsia="bg-BG"/>
        </w:rPr>
        <w:t xml:space="preserve"> инхибитори</w:t>
      </w:r>
    </w:p>
    <w:p w14:paraId="42D5F318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Повишена системна експозиция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наблюдавана при пациенти, приемащи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едновременно с различни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инхибитори в комбинация с ритонавир. Трябва да се обмислят както ползата от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липидопонижаване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чрез употреба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при пациенти с </w:t>
      </w:r>
      <w:r w:rsidRPr="00927D7E">
        <w:rPr>
          <w:rFonts w:eastAsia="Times New Roman" w:cs="Arial"/>
          <w:color w:val="000000"/>
        </w:rPr>
        <w:t xml:space="preserve">HIV, </w:t>
      </w:r>
      <w:r w:rsidRPr="00927D7E">
        <w:rPr>
          <w:rFonts w:eastAsia="Times New Roman" w:cs="Arial"/>
          <w:color w:val="000000"/>
          <w:lang w:eastAsia="bg-BG"/>
        </w:rPr>
        <w:t xml:space="preserve">които приемат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инхибитори, така и потенциалът за повишена плазмена концентрация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когато се започва терапията и се повишава дозата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при пациенти, лекувани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инхибитори. Не се препоръчва едновременното приложение с определени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инхибитори, освен ако дозата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не се адаптира (вж. точки 4.2 и 4.5).</w:t>
      </w:r>
    </w:p>
    <w:p w14:paraId="55C9D957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4DBB789" w14:textId="7B99C93B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927D7E">
        <w:rPr>
          <w:rFonts w:eastAsia="Times New Roman" w:cs="Arial"/>
          <w:color w:val="000000"/>
          <w:u w:val="single"/>
          <w:lang w:eastAsia="bg-BG"/>
        </w:rPr>
        <w:t>Интерстициална</w:t>
      </w:r>
      <w:proofErr w:type="spellEnd"/>
      <w:r w:rsidRPr="00927D7E">
        <w:rPr>
          <w:rFonts w:eastAsia="Times New Roman" w:cs="Arial"/>
          <w:color w:val="000000"/>
          <w:u w:val="single"/>
          <w:lang w:eastAsia="bg-BG"/>
        </w:rPr>
        <w:t xml:space="preserve"> белодробна болест</w:t>
      </w:r>
    </w:p>
    <w:p w14:paraId="1C1CD81E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Докладвани са изолирани случаи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интерстициална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белодробна болест при приложение на някои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особено при продължителна терапия (вж. точка 4.8). Клиничните прояви могат да включват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диспнея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непродуктивна кашлица и влошаване на общото състояние (умора, загуба на тегло и треска). Ако има подозрение, че пациентът е развил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интерстициална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белодробна болест, терапията със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трябва да бъде преустановена.</w:t>
      </w:r>
    </w:p>
    <w:p w14:paraId="25F67957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99BA61B" w14:textId="6660ADC0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Захарен диабет</w:t>
      </w:r>
    </w:p>
    <w:p w14:paraId="03401DEC" w14:textId="5D96C35D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Някои данни сочат, че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статините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като клас повишават кръвната захар и при някои пациенти с висок риск от развитие на диабет могат да предизвикат нива на хипергликемия, при които на практика е необходимо лечение за диабет. Този риск, обаче се компенсира от понижението на съдовия риск и следователно не трябва да бъде причина за спиране на лечението със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>. Пациентите с риск от хипергликемия (гл</w:t>
      </w:r>
      <w:r w:rsidR="00064AA0">
        <w:rPr>
          <w:rFonts w:eastAsia="Times New Roman" w:cs="Arial"/>
          <w:color w:val="000000"/>
          <w:lang w:eastAsia="bg-BG"/>
        </w:rPr>
        <w:t>юк</w:t>
      </w:r>
      <w:r w:rsidRPr="00927D7E">
        <w:rPr>
          <w:rFonts w:eastAsia="Times New Roman" w:cs="Arial"/>
          <w:color w:val="000000"/>
          <w:lang w:eastAsia="bg-BG"/>
        </w:rPr>
        <w:t xml:space="preserve">оза на гладно 5,6 до 6,9 ИТМ &gt; 30 </w:t>
      </w:r>
      <w:proofErr w:type="spellStart"/>
      <w:r w:rsidRPr="00927D7E">
        <w:rPr>
          <w:rFonts w:eastAsia="Times New Roman" w:cs="Arial"/>
          <w:color w:val="000000"/>
        </w:rPr>
        <w:t>kg</w:t>
      </w:r>
      <w:proofErr w:type="spellEnd"/>
      <w:r w:rsidRPr="00927D7E">
        <w:rPr>
          <w:rFonts w:eastAsia="Times New Roman" w:cs="Arial"/>
          <w:color w:val="000000"/>
        </w:rPr>
        <w:t>/m</w:t>
      </w:r>
      <w:r w:rsidRPr="00927D7E">
        <w:rPr>
          <w:rFonts w:eastAsia="Times New Roman" w:cs="Arial"/>
          <w:color w:val="000000"/>
          <w:vertAlign w:val="superscript"/>
        </w:rPr>
        <w:t>2</w:t>
      </w:r>
      <w:r w:rsidRPr="00927D7E">
        <w:rPr>
          <w:rFonts w:eastAsia="Times New Roman" w:cs="Arial"/>
          <w:color w:val="000000"/>
        </w:rPr>
        <w:t xml:space="preserve">, </w:t>
      </w:r>
      <w:r w:rsidRPr="00927D7E">
        <w:rPr>
          <w:rFonts w:eastAsia="Times New Roman" w:cs="Arial"/>
          <w:color w:val="000000"/>
          <w:lang w:eastAsia="bg-BG"/>
        </w:rPr>
        <w:t xml:space="preserve">повишени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триглицериди</w:t>
      </w:r>
      <w:proofErr w:type="spellEnd"/>
      <w:r w:rsidRPr="00927D7E">
        <w:rPr>
          <w:rFonts w:eastAsia="Times New Roman" w:cs="Arial"/>
          <w:color w:val="000000"/>
          <w:lang w:eastAsia="bg-BG"/>
        </w:rPr>
        <w:t>, хипертония) трябва да бъдат наблюдавани едновременно клинично и биохимично в съответствие с националните препоръки.</w:t>
      </w:r>
    </w:p>
    <w:p w14:paraId="4DC89E7B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В проучването </w:t>
      </w:r>
      <w:r w:rsidRPr="00927D7E">
        <w:rPr>
          <w:rFonts w:eastAsia="Times New Roman" w:cs="Arial"/>
          <w:color w:val="000000"/>
        </w:rPr>
        <w:t xml:space="preserve">JUPITER, </w:t>
      </w:r>
      <w:r w:rsidRPr="00927D7E">
        <w:rPr>
          <w:rFonts w:eastAsia="Times New Roman" w:cs="Arial"/>
          <w:color w:val="000000"/>
          <w:lang w:eastAsia="bg-BG"/>
        </w:rPr>
        <w:t xml:space="preserve">докладваната обща честота на диабет е била 2,8 % при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2,3 % при плацебо, предимно при пациенти с глюкоза на гладно от 5,6 до 6,9 </w:t>
      </w:r>
      <w:proofErr w:type="spellStart"/>
      <w:r w:rsidRPr="00927D7E">
        <w:rPr>
          <w:rFonts w:eastAsia="Times New Roman" w:cs="Arial"/>
          <w:color w:val="000000"/>
        </w:rPr>
        <w:t>mmol</w:t>
      </w:r>
      <w:proofErr w:type="spellEnd"/>
      <w:r w:rsidRPr="00927D7E">
        <w:rPr>
          <w:rFonts w:eastAsia="Times New Roman" w:cs="Arial"/>
          <w:color w:val="000000"/>
        </w:rPr>
        <w:t>/l.</w:t>
      </w:r>
    </w:p>
    <w:p w14:paraId="1871F214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474B3EC" w14:textId="2F743715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927D7E">
        <w:rPr>
          <w:rFonts w:eastAsia="Times New Roman" w:cs="Arial"/>
          <w:color w:val="000000"/>
          <w:u w:val="single"/>
          <w:lang w:eastAsia="bg-BG"/>
        </w:rPr>
        <w:lastRenderedPageBreak/>
        <w:t>Фибрати</w:t>
      </w:r>
      <w:proofErr w:type="spellEnd"/>
    </w:p>
    <w:p w14:paraId="2C272A0B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Безопасността и ефикасността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приложен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фибрати</w:t>
      </w:r>
      <w:proofErr w:type="spellEnd"/>
      <w:r w:rsidRPr="00927D7E">
        <w:rPr>
          <w:rFonts w:eastAsia="Times New Roman" w:cs="Arial"/>
          <w:color w:val="000000"/>
          <w:lang w:eastAsia="bg-BG"/>
        </w:rPr>
        <w:t>, не са установени.</w:t>
      </w:r>
    </w:p>
    <w:p w14:paraId="7584C282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Ако при пациенти, които приемат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фенофибрат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има съмнения 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холелитиаза</w:t>
      </w:r>
      <w:proofErr w:type="spellEnd"/>
      <w:r w:rsidRPr="00927D7E">
        <w:rPr>
          <w:rFonts w:eastAsia="Times New Roman" w:cs="Arial"/>
          <w:color w:val="000000"/>
          <w:lang w:eastAsia="bg-BG"/>
        </w:rPr>
        <w:t>, са показани изследвания на жлъчния мехур и тази терапия трябва да се прекрати (вж. точки 4.5 и 4.8).</w:t>
      </w:r>
    </w:p>
    <w:p w14:paraId="666AEF89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126DF41" w14:textId="227B11E9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Антикоагуланти</w:t>
      </w:r>
    </w:p>
    <w:p w14:paraId="4B4F74FD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Ако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се добави към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варфарин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към друг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кумаринов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антикоагулант или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флуиндион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международното нормализирано отношение </w:t>
      </w:r>
      <w:r w:rsidRPr="00927D7E">
        <w:rPr>
          <w:rFonts w:eastAsia="Times New Roman" w:cs="Arial"/>
          <w:color w:val="000000"/>
        </w:rPr>
        <w:t xml:space="preserve">(INR) </w:t>
      </w:r>
      <w:r w:rsidRPr="00927D7E">
        <w:rPr>
          <w:rFonts w:eastAsia="Times New Roman" w:cs="Arial"/>
          <w:color w:val="000000"/>
          <w:lang w:eastAsia="bg-BG"/>
        </w:rPr>
        <w:t>трябва да се проследява по</w:t>
      </w:r>
      <w:r w:rsidRPr="00927D7E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подходящ начин (вж. точка 4.5).</w:t>
      </w:r>
    </w:p>
    <w:p w14:paraId="73F4C7CD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247E67A" w14:textId="474E50B5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Циклоспорин:</w:t>
      </w:r>
      <w:r w:rsidRPr="00927D7E">
        <w:rPr>
          <w:rFonts w:eastAsia="Times New Roman" w:cs="Arial"/>
          <w:color w:val="000000"/>
          <w:lang w:eastAsia="bg-BG"/>
        </w:rPr>
        <w:t xml:space="preserve"> вж. точки 4.3 и 4.5.</w:t>
      </w:r>
    </w:p>
    <w:p w14:paraId="5B61B015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</w:p>
    <w:p w14:paraId="4DAD06B2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3D034A7E" w14:textId="77777777" w:rsidR="00D6261D" w:rsidRPr="00927D7E" w:rsidRDefault="00D6261D" w:rsidP="00D6261D">
      <w:pPr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Безопасността и ефикасността на приложението на таблетки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при деца на възраст под 18 години все още не са установени, поради което употребата им не се препоръчва в тази възрастова група.</w:t>
      </w:r>
    </w:p>
    <w:p w14:paraId="6BE49335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24DA09C" w14:textId="6F4602C1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Чернодробно заболяване и алкохол</w:t>
      </w:r>
    </w:p>
    <w:p w14:paraId="37175C89" w14:textId="77777777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трябва да се прилага с повишено внимание при пациенти, които консумират прекомерно големи количества алкохол и/или имат анамнеза за чернодробно заболяване.</w:t>
      </w:r>
    </w:p>
    <w:p w14:paraId="2E70756E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645C1C6" w14:textId="3AF04414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Лактоза</w:t>
      </w:r>
    </w:p>
    <w:p w14:paraId="0D277FC8" w14:textId="39AB8819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Таблетките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съдържат лактоза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монохидрат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Пациенти с редки наследствени проблеми на непоносимост към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галактоза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пълен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лактазен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дефицит или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гл</w:t>
      </w:r>
      <w:r w:rsidR="00FE6E29">
        <w:rPr>
          <w:rFonts w:eastAsia="Times New Roman" w:cs="Arial"/>
          <w:color w:val="000000"/>
          <w:lang w:eastAsia="bg-BG"/>
        </w:rPr>
        <w:t>юк</w:t>
      </w:r>
      <w:r w:rsidRPr="00927D7E">
        <w:rPr>
          <w:rFonts w:eastAsia="Times New Roman" w:cs="Arial"/>
          <w:color w:val="000000"/>
          <w:lang w:eastAsia="bg-BG"/>
        </w:rPr>
        <w:t>озо-галактозна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малабсорбция не трябва да приемат това лекарство.</w:t>
      </w:r>
    </w:p>
    <w:p w14:paraId="139A90A0" w14:textId="77777777" w:rsidR="00D6261D" w:rsidRPr="00927D7E" w:rsidRDefault="00D6261D" w:rsidP="00D626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F5DCDA2" w14:textId="2B55BF59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Натрий</w:t>
      </w:r>
    </w:p>
    <w:p w14:paraId="409FDB30" w14:textId="0CA69F9D" w:rsidR="00D6261D" w:rsidRPr="00927D7E" w:rsidRDefault="00D6261D" w:rsidP="00D6261D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Това лекарство съдържа по-малко от 1 </w:t>
      </w:r>
      <w:proofErr w:type="spellStart"/>
      <w:r w:rsidRPr="00927D7E">
        <w:rPr>
          <w:rFonts w:eastAsia="Times New Roman" w:cs="Arial"/>
          <w:color w:val="000000"/>
        </w:rPr>
        <w:t>mmol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натрий (23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) </w:t>
      </w:r>
      <w:r w:rsidRPr="00927D7E">
        <w:rPr>
          <w:rFonts w:eastAsia="Times New Roman" w:cs="Arial"/>
          <w:color w:val="000000"/>
          <w:lang w:eastAsia="bg-BG"/>
        </w:rPr>
        <w:t>на таблетка, т.е. може да се каже, че практически не съдържа натрий.</w:t>
      </w:r>
    </w:p>
    <w:p w14:paraId="24E3E82F" w14:textId="77777777" w:rsidR="0091385D" w:rsidRPr="00927D7E" w:rsidRDefault="0091385D" w:rsidP="0091385D"/>
    <w:p w14:paraId="619DED1E" w14:textId="564F257F" w:rsidR="004F498A" w:rsidRPr="00927D7E" w:rsidRDefault="002C50EE" w:rsidP="004A448E">
      <w:pPr>
        <w:pStyle w:val="Heading2"/>
      </w:pPr>
      <w:r w:rsidRPr="00927D7E">
        <w:t>4.5. Взаимодействие с други лекарствени продукти и други форми на</w:t>
      </w:r>
      <w:r w:rsidR="004F1CE7" w:rsidRPr="00927D7E">
        <w:t xml:space="preserve"> взаимодействие</w:t>
      </w:r>
      <w:r w:rsidRPr="00927D7E">
        <w:t xml:space="preserve"> </w:t>
      </w:r>
    </w:p>
    <w:p w14:paraId="355E4B7C" w14:textId="7D829F6C" w:rsidR="0091385D" w:rsidRPr="00927D7E" w:rsidRDefault="0091385D" w:rsidP="0091385D"/>
    <w:p w14:paraId="1FE98930" w14:textId="77777777" w:rsidR="004D0CE0" w:rsidRPr="00927D7E" w:rsidRDefault="004D0CE0" w:rsidP="004D0CE0">
      <w:r w:rsidRPr="00927D7E">
        <w:rPr>
          <w:u w:val="single"/>
        </w:rPr>
        <w:t>Противопоказани</w:t>
      </w:r>
    </w:p>
    <w:p w14:paraId="5D40BEAB" w14:textId="77777777" w:rsidR="004D0CE0" w:rsidRPr="00927D7E" w:rsidRDefault="004D0CE0" w:rsidP="004D0CE0">
      <w:r w:rsidRPr="00927D7E">
        <w:rPr>
          <w:i/>
          <w:iCs/>
        </w:rPr>
        <w:t>Циклоспорин:</w:t>
      </w:r>
      <w:r w:rsidRPr="00927D7E">
        <w:t xml:space="preserve"> При едновременното приложение на </w:t>
      </w:r>
      <w:proofErr w:type="spellStart"/>
      <w:r w:rsidRPr="00927D7E">
        <w:t>розувастатин</w:t>
      </w:r>
      <w:proofErr w:type="spellEnd"/>
      <w:r w:rsidRPr="00927D7E">
        <w:t xml:space="preserve"> с циклоспорин, стойностите на AUC на </w:t>
      </w:r>
      <w:proofErr w:type="spellStart"/>
      <w:r w:rsidRPr="00927D7E">
        <w:t>розувастатин</w:t>
      </w:r>
      <w:proofErr w:type="spellEnd"/>
      <w:r w:rsidRPr="00927D7E">
        <w:t xml:space="preserve"> са средно 7 пъти по високи от тези, наблюдавани при здрави доброволци (вж. точка 4.3). Едновременното приложение не повлиява плазмените концентрации на циклоспорин.</w:t>
      </w:r>
    </w:p>
    <w:p w14:paraId="17DF83DC" w14:textId="77777777" w:rsidR="004D0CE0" w:rsidRPr="00927D7E" w:rsidRDefault="004D0CE0" w:rsidP="004D0CE0">
      <w:r w:rsidRPr="00927D7E">
        <w:t xml:space="preserve">Едновременното приложение на </w:t>
      </w:r>
      <w:proofErr w:type="spellStart"/>
      <w:r w:rsidRPr="00927D7E">
        <w:t>Тинтарос</w:t>
      </w:r>
      <w:proofErr w:type="spellEnd"/>
      <w:r w:rsidRPr="00927D7E">
        <w:t xml:space="preserve"> Плюс с циклоспорин е противопоказано (вж. точка 4.3).</w:t>
      </w:r>
    </w:p>
    <w:p w14:paraId="74D24B50" w14:textId="77777777" w:rsidR="004D0CE0" w:rsidRPr="00927D7E" w:rsidRDefault="004D0CE0" w:rsidP="004D0CE0">
      <w:r w:rsidRPr="00927D7E">
        <w:t xml:space="preserve">При проучване на осем пациенти след бъбречна трансплантация и с </w:t>
      </w:r>
      <w:proofErr w:type="spellStart"/>
      <w:r w:rsidRPr="00927D7E">
        <w:t>креатининов</w:t>
      </w:r>
      <w:proofErr w:type="spellEnd"/>
      <w:r w:rsidRPr="00927D7E">
        <w:t xml:space="preserve"> клирънс</w:t>
      </w:r>
    </w:p>
    <w:p w14:paraId="42A02556" w14:textId="77777777" w:rsidR="004D0CE0" w:rsidRPr="00927D7E" w:rsidRDefault="004D0CE0" w:rsidP="004D0CE0">
      <w:r w:rsidRPr="00927D7E">
        <w:t>≥ 50 ml/</w:t>
      </w:r>
      <w:proofErr w:type="spellStart"/>
      <w:r w:rsidRPr="00927D7E">
        <w:t>min</w:t>
      </w:r>
      <w:proofErr w:type="spellEnd"/>
      <w:r w:rsidRPr="00927D7E">
        <w:t xml:space="preserve">, провеждащи лечение с постоянна доза циклоспорин, приложението на еднократна доза от 10 </w:t>
      </w:r>
      <w:proofErr w:type="spellStart"/>
      <w:r w:rsidRPr="00927D7E">
        <w:t>mg</w:t>
      </w:r>
      <w:proofErr w:type="spellEnd"/>
      <w:r w:rsidRPr="00927D7E">
        <w:t xml:space="preserve"> </w:t>
      </w:r>
      <w:proofErr w:type="spellStart"/>
      <w:r w:rsidRPr="00927D7E">
        <w:t>езетимиб</w:t>
      </w:r>
      <w:proofErr w:type="spellEnd"/>
      <w:r w:rsidRPr="00927D7E">
        <w:t xml:space="preserve"> води до увеличение от 3,4 пъти (от 2,3 до 7,9 пъти) на средната AUC за общия </w:t>
      </w:r>
      <w:proofErr w:type="spellStart"/>
      <w:r w:rsidRPr="00927D7E">
        <w:t>езетимиб</w:t>
      </w:r>
      <w:proofErr w:type="spellEnd"/>
      <w:r w:rsidRPr="00927D7E">
        <w:t xml:space="preserve"> в сравнение със здравата контролна популация, участвала в друго проучване (n = 17) и приемала само </w:t>
      </w:r>
      <w:proofErr w:type="spellStart"/>
      <w:r w:rsidRPr="00927D7E">
        <w:t>езетимиб</w:t>
      </w:r>
      <w:proofErr w:type="spellEnd"/>
      <w:r w:rsidRPr="00927D7E">
        <w:t xml:space="preserve">. В друго проучване при пациент с бъбречна трансплантация с тежка бъбречна недостатъчност, който е получавал циклоспорин и множество други лекарства се наблюдава 12 пъти по-голяма </w:t>
      </w:r>
      <w:r w:rsidRPr="00927D7E">
        <w:lastRenderedPageBreak/>
        <w:t xml:space="preserve">експозиция на общия </w:t>
      </w:r>
      <w:proofErr w:type="spellStart"/>
      <w:r w:rsidRPr="00927D7E">
        <w:t>езетимиб</w:t>
      </w:r>
      <w:proofErr w:type="spellEnd"/>
      <w:r w:rsidRPr="00927D7E">
        <w:t xml:space="preserve"> в сравнение с контроли, получаващи само </w:t>
      </w:r>
      <w:proofErr w:type="spellStart"/>
      <w:r w:rsidRPr="00927D7E">
        <w:t>езетимиб</w:t>
      </w:r>
      <w:proofErr w:type="spellEnd"/>
      <w:r w:rsidRPr="00927D7E">
        <w:t xml:space="preserve">. В кръстосано проучване с два периода при 12 здрави доброволци, ежедневното прилагане на 20 </w:t>
      </w:r>
      <w:proofErr w:type="spellStart"/>
      <w:r w:rsidRPr="00927D7E">
        <w:t>mg</w:t>
      </w:r>
      <w:proofErr w:type="spellEnd"/>
      <w:r w:rsidRPr="00927D7E">
        <w:t xml:space="preserve"> </w:t>
      </w:r>
      <w:proofErr w:type="spellStart"/>
      <w:r w:rsidRPr="00927D7E">
        <w:t>езетимиб</w:t>
      </w:r>
      <w:proofErr w:type="spellEnd"/>
      <w:r w:rsidRPr="00927D7E">
        <w:t xml:space="preserve"> в продължение на 8 дни с еднократна доза от 100 </w:t>
      </w:r>
      <w:proofErr w:type="spellStart"/>
      <w:r w:rsidRPr="00927D7E">
        <w:t>mg</w:t>
      </w:r>
      <w:proofErr w:type="spellEnd"/>
      <w:r w:rsidRPr="00927D7E">
        <w:t xml:space="preserve"> циклоспорин на ден 7 води до средно увеличение на AUC на циклоспорин с 15% (в диапазона от намаление с 10% до увеличение с 51%) в сравнение със самостоятелното приложение на еднократна доза от 100 </w:t>
      </w:r>
      <w:proofErr w:type="spellStart"/>
      <w:r w:rsidRPr="00927D7E">
        <w:t>mg</w:t>
      </w:r>
      <w:proofErr w:type="spellEnd"/>
      <w:r w:rsidRPr="00927D7E">
        <w:t xml:space="preserve"> циклоспорин. Контролирано проучване за ефекта от едновременно приложение на </w:t>
      </w:r>
      <w:proofErr w:type="spellStart"/>
      <w:r w:rsidRPr="00927D7E">
        <w:t>езетимиб</w:t>
      </w:r>
      <w:proofErr w:type="spellEnd"/>
      <w:r w:rsidRPr="00927D7E">
        <w:t xml:space="preserve"> върху експозицията на циклоспорин при пациенти с бъбречна трансплантация не е провеждано.</w:t>
      </w:r>
    </w:p>
    <w:p w14:paraId="0F5278F3" w14:textId="77777777" w:rsidR="004D0CE0" w:rsidRPr="00927D7E" w:rsidRDefault="004D0CE0" w:rsidP="004D0CE0">
      <w:pPr>
        <w:rPr>
          <w:u w:val="single"/>
        </w:rPr>
      </w:pPr>
    </w:p>
    <w:p w14:paraId="14C53607" w14:textId="75A3286B" w:rsidR="004D0CE0" w:rsidRPr="00927D7E" w:rsidRDefault="004D0CE0" w:rsidP="004D0CE0">
      <w:r w:rsidRPr="00927D7E">
        <w:rPr>
          <w:u w:val="single"/>
        </w:rPr>
        <w:t>Комбинации, които не се препоръчват</w:t>
      </w:r>
    </w:p>
    <w:p w14:paraId="6CB65F97" w14:textId="77777777" w:rsidR="004D0CE0" w:rsidRPr="00927D7E" w:rsidRDefault="004D0CE0" w:rsidP="004D0CE0">
      <w:proofErr w:type="spellStart"/>
      <w:r w:rsidRPr="00927D7E">
        <w:rPr>
          <w:i/>
          <w:iCs/>
          <w:u w:val="single"/>
        </w:rPr>
        <w:t>Протеазни</w:t>
      </w:r>
      <w:proofErr w:type="spellEnd"/>
      <w:r w:rsidRPr="00927D7E">
        <w:rPr>
          <w:i/>
          <w:iCs/>
          <w:u w:val="single"/>
        </w:rPr>
        <w:t xml:space="preserve"> инхибитори</w:t>
      </w:r>
      <w:r w:rsidRPr="00927D7E">
        <w:rPr>
          <w:i/>
          <w:iCs/>
        </w:rPr>
        <w:t>:</w:t>
      </w:r>
      <w:r w:rsidRPr="00927D7E">
        <w:t xml:space="preserve"> Въпреки, че точният механизъм на взаимодействие не е известен, едновременното приложение с </w:t>
      </w:r>
      <w:proofErr w:type="spellStart"/>
      <w:r w:rsidRPr="00927D7E">
        <w:t>протеазни</w:t>
      </w:r>
      <w:proofErr w:type="spellEnd"/>
      <w:r w:rsidRPr="00927D7E">
        <w:t xml:space="preserve"> инхибитори може рязко да повиши експозицията на </w:t>
      </w:r>
      <w:proofErr w:type="spellStart"/>
      <w:r w:rsidRPr="00927D7E">
        <w:t>розувастатин</w:t>
      </w:r>
      <w:proofErr w:type="spellEnd"/>
      <w:r w:rsidRPr="00927D7E">
        <w:t xml:space="preserve"> (вж. точка 4.5). Например във </w:t>
      </w:r>
      <w:proofErr w:type="spellStart"/>
      <w:r w:rsidRPr="00927D7E">
        <w:t>фармакокинетично</w:t>
      </w:r>
      <w:proofErr w:type="spellEnd"/>
      <w:r w:rsidRPr="00927D7E">
        <w:t xml:space="preserve"> проучване, едновременното приложение на 10 </w:t>
      </w:r>
      <w:proofErr w:type="spellStart"/>
      <w:r w:rsidRPr="00927D7E">
        <w:t>mg</w:t>
      </w:r>
      <w:proofErr w:type="spellEnd"/>
      <w:r w:rsidRPr="00927D7E">
        <w:t xml:space="preserve"> </w:t>
      </w:r>
      <w:proofErr w:type="spellStart"/>
      <w:r w:rsidRPr="00927D7E">
        <w:t>розувастатин</w:t>
      </w:r>
      <w:proofErr w:type="spellEnd"/>
      <w:r w:rsidRPr="00927D7E">
        <w:t xml:space="preserve"> и комбиниран продукт, състоящ се от два </w:t>
      </w:r>
      <w:proofErr w:type="spellStart"/>
      <w:r w:rsidRPr="00927D7E">
        <w:t>протеазни</w:t>
      </w:r>
      <w:proofErr w:type="spellEnd"/>
      <w:r w:rsidRPr="00927D7E">
        <w:t xml:space="preserve"> инхибитора (300 </w:t>
      </w:r>
      <w:proofErr w:type="spellStart"/>
      <w:r w:rsidRPr="00927D7E">
        <w:t>mg</w:t>
      </w:r>
      <w:proofErr w:type="spellEnd"/>
      <w:r w:rsidRPr="00927D7E">
        <w:t xml:space="preserve"> </w:t>
      </w:r>
      <w:proofErr w:type="spellStart"/>
      <w:r w:rsidRPr="00927D7E">
        <w:t>атазанавир</w:t>
      </w:r>
      <w:proofErr w:type="spellEnd"/>
      <w:r w:rsidRPr="00927D7E">
        <w:t xml:space="preserve">/100 </w:t>
      </w:r>
      <w:proofErr w:type="spellStart"/>
      <w:r w:rsidRPr="00927D7E">
        <w:t>mg</w:t>
      </w:r>
      <w:proofErr w:type="spellEnd"/>
      <w:r w:rsidRPr="00927D7E">
        <w:t xml:space="preserve"> ритонавир) при здрави доброволци се асоциира с приблизително трикратно и седемкратно нарастване съответно на AUC и </w:t>
      </w:r>
      <w:proofErr w:type="spellStart"/>
      <w:r w:rsidRPr="00927D7E">
        <w:t>Сmах</w:t>
      </w:r>
      <w:proofErr w:type="spellEnd"/>
      <w:r w:rsidRPr="00927D7E">
        <w:t xml:space="preserve"> на </w:t>
      </w:r>
      <w:proofErr w:type="spellStart"/>
      <w:r w:rsidRPr="00927D7E">
        <w:t>розувастатин</w:t>
      </w:r>
      <w:proofErr w:type="spellEnd"/>
      <w:r w:rsidRPr="00927D7E">
        <w:t xml:space="preserve">. Едновременното приложение на </w:t>
      </w:r>
      <w:proofErr w:type="spellStart"/>
      <w:r w:rsidRPr="00927D7E">
        <w:t>розувастатин</w:t>
      </w:r>
      <w:proofErr w:type="spellEnd"/>
      <w:r w:rsidRPr="00927D7E">
        <w:t xml:space="preserve"> и някои комбинации от </w:t>
      </w:r>
      <w:proofErr w:type="spellStart"/>
      <w:r w:rsidRPr="00927D7E">
        <w:t>протеазни</w:t>
      </w:r>
      <w:proofErr w:type="spellEnd"/>
      <w:r w:rsidRPr="00927D7E">
        <w:t xml:space="preserve"> инхибитори може да се има предвид след внимателно преценяване на корекциите на дозата на </w:t>
      </w:r>
      <w:proofErr w:type="spellStart"/>
      <w:r w:rsidRPr="00927D7E">
        <w:t>розувастатин</w:t>
      </w:r>
      <w:proofErr w:type="spellEnd"/>
      <w:r w:rsidRPr="00927D7E">
        <w:t xml:space="preserve"> на база очакваното повишение на експозицията на </w:t>
      </w:r>
      <w:proofErr w:type="spellStart"/>
      <w:r w:rsidRPr="00927D7E">
        <w:t>розувастатин</w:t>
      </w:r>
      <w:proofErr w:type="spellEnd"/>
      <w:r w:rsidRPr="00927D7E">
        <w:t xml:space="preserve"> (вж. точки 4.2, 4.4 и таблицата в 4.5). Комбинацията не е подходяща за първоначална терапия. При необходимост, началото на лечението или адаптирането на дозата трябва да се извършват само с </w:t>
      </w:r>
      <w:proofErr w:type="spellStart"/>
      <w:r w:rsidRPr="00927D7E">
        <w:t>монопрепарати</w:t>
      </w:r>
      <w:proofErr w:type="spellEnd"/>
      <w:r w:rsidRPr="00927D7E">
        <w:t xml:space="preserve"> и след определяне на подходящите дози е възможно преминаването към комбинация с фиксирана доза с подходяща концентрация.</w:t>
      </w:r>
    </w:p>
    <w:p w14:paraId="6E956DD3" w14:textId="77777777" w:rsidR="004D0CE0" w:rsidRPr="00927D7E" w:rsidRDefault="004D0CE0" w:rsidP="004D0CE0">
      <w:pPr>
        <w:rPr>
          <w:i/>
          <w:iCs/>
          <w:u w:val="single"/>
        </w:rPr>
      </w:pPr>
    </w:p>
    <w:p w14:paraId="77C65624" w14:textId="77777777" w:rsidR="004D0CE0" w:rsidRPr="00927D7E" w:rsidRDefault="004D0CE0" w:rsidP="004D0CE0">
      <w:pPr>
        <w:rPr>
          <w:rFonts w:eastAsia="Times New Roman" w:cs="Arial"/>
          <w:sz w:val="24"/>
          <w:szCs w:val="24"/>
          <w:lang w:eastAsia="bg-BG"/>
        </w:rPr>
      </w:pPr>
      <w:r w:rsidRPr="00927D7E">
        <w:rPr>
          <w:i/>
          <w:iCs/>
          <w:u w:val="single"/>
        </w:rPr>
        <w:t>Инхибитори на транспортните протеини</w:t>
      </w:r>
      <w:r w:rsidRPr="00927D7E">
        <w:rPr>
          <w:i/>
          <w:iCs/>
        </w:rPr>
        <w:t>:</w:t>
      </w:r>
      <w:r w:rsidRPr="00927D7E">
        <w:t xml:space="preserve"> </w:t>
      </w:r>
      <w:proofErr w:type="spellStart"/>
      <w:r w:rsidRPr="00927D7E">
        <w:t>Розувастатин</w:t>
      </w:r>
      <w:proofErr w:type="spellEnd"/>
      <w:r w:rsidRPr="00927D7E">
        <w:t xml:space="preserve"> е субстрат на определени транспортни протеини, включително чернодробния </w:t>
      </w:r>
      <w:proofErr w:type="spellStart"/>
      <w:r w:rsidRPr="00927D7E">
        <w:t>ъптейк</w:t>
      </w:r>
      <w:proofErr w:type="spellEnd"/>
      <w:r w:rsidRPr="00927D7E">
        <w:t xml:space="preserve"> </w:t>
      </w:r>
      <w:proofErr w:type="spellStart"/>
      <w:r w:rsidRPr="00927D7E">
        <w:t>транспортер</w:t>
      </w:r>
      <w:proofErr w:type="spellEnd"/>
      <w:r w:rsidRPr="00927D7E">
        <w:t xml:space="preserve"> OATP1B1 и </w:t>
      </w:r>
      <w:proofErr w:type="spellStart"/>
      <w:r w:rsidRPr="00927D7E">
        <w:t>ефлуксния</w:t>
      </w:r>
      <w:proofErr w:type="spellEnd"/>
      <w:r w:rsidRPr="00927D7E">
        <w:t xml:space="preserve"> </w:t>
      </w:r>
      <w:proofErr w:type="spellStart"/>
      <w:r w:rsidRPr="00927D7E">
        <w:t>транспортер</w:t>
      </w:r>
      <w:proofErr w:type="spellEnd"/>
      <w:r w:rsidRPr="00927D7E">
        <w:t xml:space="preserve"> BCRP. Едновременното приложение на </w:t>
      </w:r>
      <w:proofErr w:type="spellStart"/>
      <w:r w:rsidRPr="00927D7E">
        <w:t>Тинтарос</w:t>
      </w:r>
      <w:proofErr w:type="spellEnd"/>
      <w:r w:rsidRPr="00927D7E">
        <w:t xml:space="preserve"> Плюс с </w:t>
      </w:r>
      <w:r w:rsidRPr="00927D7E">
        <w:rPr>
          <w:rFonts w:cs="Arial"/>
        </w:rPr>
        <w:t xml:space="preserve">лекарствени продукти, </w:t>
      </w:r>
      <w:r w:rsidRPr="00927D7E">
        <w:rPr>
          <w:rFonts w:eastAsia="Times New Roman" w:cs="Arial"/>
          <w:color w:val="000000"/>
          <w:lang w:eastAsia="bg-BG"/>
        </w:rPr>
        <w:t xml:space="preserve">които са инхибитори на тези транспортни протеини, може да доведе до повишаване на плазмената концентрация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повишен риск от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(вж. точки 4.2,4.4 и таблицата в 4.5).</w:t>
      </w:r>
    </w:p>
    <w:p w14:paraId="6A4AAD7E" w14:textId="77777777" w:rsidR="004D0CE0" w:rsidRPr="00927D7E" w:rsidRDefault="004D0CE0" w:rsidP="004D0CE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EE39319" w14:textId="3BDEB821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Гемфиброзил</w:t>
      </w:r>
      <w:proofErr w:type="spellEnd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 xml:space="preserve"> и други </w:t>
      </w:r>
      <w:proofErr w:type="spellStart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липидопонижаваиш</w:t>
      </w:r>
      <w:proofErr w:type="spellEnd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 xml:space="preserve"> продукти:</w:t>
      </w:r>
      <w:r w:rsidRPr="00927D7E">
        <w:rPr>
          <w:rFonts w:eastAsia="Times New Roman" w:cs="Arial"/>
          <w:color w:val="000000"/>
          <w:lang w:eastAsia="bg-BG"/>
        </w:rPr>
        <w:t xml:space="preserve"> Едновременното приложение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довело до двукратно повишение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</w:t>
      </w:r>
      <w:r w:rsidRPr="00927D7E">
        <w:rPr>
          <w:rFonts w:eastAsia="Times New Roman" w:cs="Arial"/>
          <w:color w:val="000000"/>
          <w:vertAlign w:val="subscript"/>
        </w:rPr>
        <w:t>max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r w:rsidRPr="00927D7E">
        <w:rPr>
          <w:rFonts w:eastAsia="Times New Roman" w:cs="Arial"/>
          <w:color w:val="000000"/>
        </w:rPr>
        <w:t xml:space="preserve">AUC </w:t>
      </w:r>
      <w:r w:rsidRPr="00927D7E">
        <w:rPr>
          <w:rFonts w:eastAsia="Times New Roman" w:cs="Arial"/>
          <w:color w:val="000000"/>
          <w:lang w:eastAsia="bg-BG"/>
        </w:rPr>
        <w:t xml:space="preserve">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(вж. точка 4.4). Като се имат предвид данните от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фармакокинетичните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проучвания, изследващи лекарствените взаимодействия, не се очаква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фармакокинетично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значимо взаимодействие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фенофибрат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но все пак е възможна поява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фармакодинамично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взаимодействие.</w:t>
      </w:r>
    </w:p>
    <w:p w14:paraId="4B8EEED6" w14:textId="77777777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фенофибрат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други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фибрати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липидопонижаващи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дози (в дози ≥ </w:t>
      </w:r>
      <w:r w:rsidRPr="00927D7E">
        <w:rPr>
          <w:rFonts w:eastAsia="Times New Roman" w:cs="Arial"/>
          <w:color w:val="000000"/>
        </w:rPr>
        <w:t xml:space="preserve">1g </w:t>
      </w:r>
      <w:r w:rsidRPr="00927D7E">
        <w:rPr>
          <w:rFonts w:eastAsia="Times New Roman" w:cs="Arial"/>
          <w:color w:val="000000"/>
          <w:lang w:eastAsia="bg-BG"/>
        </w:rPr>
        <w:t xml:space="preserve">на ден)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ниацин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(никотинова киселина) повишават риска от поява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при комбиниране с инхибитори на </w:t>
      </w:r>
      <w:r w:rsidRPr="00927D7E">
        <w:rPr>
          <w:rFonts w:eastAsia="Times New Roman" w:cs="Arial"/>
          <w:color w:val="000000"/>
        </w:rPr>
        <w:t>HMG-</w:t>
      </w:r>
      <w:proofErr w:type="spellStart"/>
      <w:r w:rsidRPr="00927D7E">
        <w:rPr>
          <w:rFonts w:eastAsia="Times New Roman" w:cs="Arial"/>
          <w:color w:val="000000"/>
        </w:rPr>
        <w:t>CoA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най-вероятно поради факта, че последните могат да предизвикат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когато се прилагат самостоятелно.</w:t>
      </w:r>
    </w:p>
    <w:p w14:paraId="23C79CFF" w14:textId="77777777" w:rsidR="004D0CE0" w:rsidRPr="00927D7E" w:rsidRDefault="004D0CE0" w:rsidP="004D0CE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56D6FE4" w14:textId="718F5BF4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 пациенти, които приемат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фенофибрат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лекарите трябва да са наясно с възможния риск от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холелитиаза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заболяване на жлъчния мехур (вж. точки 4.4 и 4.8). Ако при пациенти, които приемат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фенофибрат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има съмнение 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холелитиаза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са показани изследвания на жлъчния мехур и тази терапия трябва да се преустанови (вж. точка 4.8). Едновременното приложение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фенофибрат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увеличава незначително общата концентрация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(приблизително с 1,5 и съответно 1,7 </w:t>
      </w:r>
      <w:r w:rsidRPr="00927D7E">
        <w:rPr>
          <w:rFonts w:eastAsia="Times New Roman" w:cs="Arial"/>
          <w:color w:val="000000"/>
          <w:lang w:eastAsia="bg-BG"/>
        </w:rPr>
        <w:lastRenderedPageBreak/>
        <w:t xml:space="preserve">пъти). Едновременното приложение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 други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фибрати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не е проучено.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Фибратите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могат да увеличат екскрецията на холестерол в жлъчката, което води до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холелитиаза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При проучвания върху животни,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понякога повишава холестерола в жлъчния сок на жлъчния мехур, но не при всички видове (вж. точка 5.3). Не може да се изключи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литогенен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риск, свързан с терапевтичната употреба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>.</w:t>
      </w:r>
    </w:p>
    <w:p w14:paraId="4C3A3EFD" w14:textId="77777777" w:rsidR="004D0CE0" w:rsidRPr="00927D7E" w:rsidRDefault="004D0CE0" w:rsidP="004D0CE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26A6A1A" w14:textId="52D4E3F6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Фузидова</w:t>
      </w:r>
      <w:proofErr w:type="spellEnd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 xml:space="preserve"> киселина</w:t>
      </w:r>
      <w:r w:rsidRPr="00927D7E">
        <w:rPr>
          <w:rFonts w:eastAsia="Times New Roman" w:cs="Arial"/>
          <w:i/>
          <w:iCs/>
          <w:color w:val="000000"/>
          <w:lang w:eastAsia="bg-BG"/>
        </w:rPr>
        <w:t>:</w:t>
      </w:r>
      <w:r w:rsidRPr="00927D7E">
        <w:rPr>
          <w:rFonts w:eastAsia="Times New Roman" w:cs="Arial"/>
          <w:color w:val="000000"/>
          <w:lang w:eastAsia="bg-BG"/>
        </w:rPr>
        <w:t xml:space="preserve"> Рискът от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включително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може да се увеличи при едновременното приложение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киселина в лекарствени форми за системно приложение със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Механизмът на това взаимодействие (независимо дали 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фармакодинамичен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фармакокинетичен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или и двете) е все още неизвестен. При пациенти, приемащи тази комбинация, има съобщения 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(включително с летален изход). Ако е необходимо системно лечение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киселина, лечението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трябва да се прекрати през целия период на лечение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фузидова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киселина. </w:t>
      </w:r>
      <w:r w:rsidRPr="00927D7E">
        <w:rPr>
          <w:rFonts w:eastAsia="Times New Roman" w:cs="Arial"/>
          <w:b/>
          <w:bCs/>
          <w:color w:val="000000"/>
          <w:lang w:eastAsia="bg-BG"/>
        </w:rPr>
        <w:t>Вижте също точка 4.4.</w:t>
      </w:r>
    </w:p>
    <w:p w14:paraId="7CA7F7A8" w14:textId="77777777" w:rsidR="004D0CE0" w:rsidRPr="00927D7E" w:rsidRDefault="004D0CE0" w:rsidP="004D0CE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7752CFB" w14:textId="4248C485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Други взаимодействия</w:t>
      </w:r>
    </w:p>
    <w:p w14:paraId="054B623E" w14:textId="77777777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Антиаииди</w:t>
      </w:r>
      <w:proofErr w:type="spellEnd"/>
      <w:r w:rsidRPr="00927D7E">
        <w:rPr>
          <w:rFonts w:eastAsia="Times New Roman" w:cs="Arial"/>
          <w:i/>
          <w:iCs/>
          <w:color w:val="000000"/>
          <w:lang w:eastAsia="bg-BG"/>
        </w:rPr>
        <w:t>:</w:t>
      </w:r>
      <w:r w:rsidRPr="00927D7E">
        <w:rPr>
          <w:rFonts w:eastAsia="Times New Roman" w:cs="Arial"/>
          <w:color w:val="000000"/>
          <w:lang w:eastAsia="bg-BG"/>
        </w:rPr>
        <w:t xml:space="preserve"> Едновременното приложение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антиацидна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суспензия, съдържаща алуминиев и магнезиев хидроксид, е довело до намаляване на плазмената концентрация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 приблизително 50%. Този ефект е бил отслабен, когато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антиацидите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са давани 2 часа след приема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>. Клиничното значение на това взаимодействие не е изследвано.</w:t>
      </w:r>
    </w:p>
    <w:p w14:paraId="38049BD2" w14:textId="77777777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Едновременното прилагане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антиацид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намалява скоростта на абсорбция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но не оказва ефект върху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бионаличностга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>. Това намаляване на скоростта на абсорбция не се счита за клинично значимо.</w:t>
      </w:r>
    </w:p>
    <w:p w14:paraId="2DE4EC44" w14:textId="77777777" w:rsidR="004D0CE0" w:rsidRPr="00927D7E" w:rsidRDefault="004D0CE0" w:rsidP="004D0CE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3DAA314" w14:textId="5CEDE7DD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Еритромицин</w:t>
      </w:r>
      <w:proofErr w:type="spellEnd"/>
      <w:r w:rsidRPr="00927D7E">
        <w:rPr>
          <w:rFonts w:eastAsia="Times New Roman" w:cs="Arial"/>
          <w:i/>
          <w:iCs/>
          <w:color w:val="000000"/>
          <w:lang w:eastAsia="bg-BG"/>
        </w:rPr>
        <w:t>:</w:t>
      </w:r>
      <w:r w:rsidRPr="00927D7E">
        <w:rPr>
          <w:rFonts w:eastAsia="Times New Roman" w:cs="Arial"/>
          <w:color w:val="000000"/>
          <w:lang w:eastAsia="bg-BG"/>
        </w:rPr>
        <w:t xml:space="preserve"> Едновременният прием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еритромицин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довел до 20% намаление на </w:t>
      </w:r>
      <w:r w:rsidRPr="00927D7E">
        <w:rPr>
          <w:rFonts w:eastAsia="Times New Roman" w:cs="Arial"/>
          <w:color w:val="000000"/>
        </w:rPr>
        <w:t>AUC</w:t>
      </w:r>
      <w:r w:rsidRPr="00927D7E">
        <w:rPr>
          <w:rFonts w:eastAsia="Times New Roman" w:cs="Arial"/>
          <w:color w:val="000000"/>
          <w:vertAlign w:val="subscript"/>
        </w:rPr>
        <w:t xml:space="preserve">(0-t) </w:t>
      </w:r>
      <w:r w:rsidRPr="00927D7E">
        <w:rPr>
          <w:rFonts w:eastAsia="Times New Roman" w:cs="Arial"/>
          <w:color w:val="000000"/>
          <w:lang w:eastAsia="bg-BG"/>
        </w:rPr>
        <w:t xml:space="preserve">и 30% намаление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</w:t>
      </w:r>
      <w:r w:rsidRPr="00927D7E">
        <w:rPr>
          <w:rFonts w:eastAsia="Times New Roman" w:cs="Arial"/>
          <w:color w:val="000000"/>
          <w:vertAlign w:val="subscript"/>
        </w:rPr>
        <w:t>max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Това взаимодействие може да е предизвикано от повишения чревен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мотилитет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вследствие на приемането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еритромицин</w:t>
      </w:r>
      <w:proofErr w:type="spellEnd"/>
      <w:r w:rsidRPr="00927D7E">
        <w:rPr>
          <w:rFonts w:eastAsia="Times New Roman" w:cs="Arial"/>
          <w:color w:val="000000"/>
          <w:lang w:eastAsia="bg-BG"/>
        </w:rPr>
        <w:t>.</w:t>
      </w:r>
    </w:p>
    <w:p w14:paraId="559C0162" w14:textId="77777777" w:rsidR="004D0CE0" w:rsidRPr="00927D7E" w:rsidRDefault="004D0CE0" w:rsidP="004D0CE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5AEFD4D" w14:textId="07474E85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 xml:space="preserve">Ензими от системата на </w:t>
      </w:r>
      <w:proofErr w:type="spellStart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иитохром</w:t>
      </w:r>
      <w:proofErr w:type="spellEnd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 xml:space="preserve"> Р450</w:t>
      </w:r>
      <w:r w:rsidRPr="00927D7E">
        <w:rPr>
          <w:rFonts w:eastAsia="Times New Roman" w:cs="Arial"/>
          <w:i/>
          <w:iCs/>
          <w:color w:val="000000"/>
          <w:lang w:eastAsia="bg-BG"/>
        </w:rPr>
        <w:t>:</w:t>
      </w:r>
      <w:r w:rsidRPr="00927D7E">
        <w:rPr>
          <w:rFonts w:eastAsia="Times New Roman" w:cs="Arial"/>
          <w:color w:val="000000"/>
          <w:lang w:eastAsia="bg-BG"/>
        </w:rPr>
        <w:t xml:space="preserve"> Данните от </w:t>
      </w:r>
      <w:proofErr w:type="spellStart"/>
      <w:r w:rsidRPr="00927D7E">
        <w:rPr>
          <w:rFonts w:eastAsia="Times New Roman" w:cs="Arial"/>
          <w:i/>
          <w:iCs/>
          <w:color w:val="000000"/>
        </w:rPr>
        <w:t>in</w:t>
      </w:r>
      <w:proofErr w:type="spellEnd"/>
      <w:r w:rsidRPr="00927D7E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927D7E">
        <w:rPr>
          <w:rFonts w:eastAsia="Times New Roman" w:cs="Arial"/>
          <w:i/>
          <w:iCs/>
          <w:color w:val="000000"/>
        </w:rPr>
        <w:t>vitro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927D7E">
        <w:rPr>
          <w:rFonts w:eastAsia="Times New Roman" w:cs="Arial"/>
          <w:i/>
          <w:iCs/>
          <w:color w:val="000000"/>
        </w:rPr>
        <w:t>in</w:t>
      </w:r>
      <w:proofErr w:type="spellEnd"/>
      <w:r w:rsidRPr="00927D7E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927D7E">
        <w:rPr>
          <w:rFonts w:eastAsia="Times New Roman" w:cs="Arial"/>
          <w:i/>
          <w:iCs/>
          <w:color w:val="000000"/>
        </w:rPr>
        <w:t>vivo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проучвания показват, че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не е нито инхибитор, нито индуктор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Р450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изоензимите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Освен това,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лош субстрат за тези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изоензими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Затова не се очакват лекарствени взаимодействия вследствие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Р450-медиирания метаболизъм. Не са наблюдавани  клинично значими взаимодействия между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флуконазол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(инхибитор на </w:t>
      </w:r>
      <w:r w:rsidRPr="00927D7E">
        <w:rPr>
          <w:rFonts w:eastAsia="Times New Roman" w:cs="Arial"/>
          <w:color w:val="000000"/>
        </w:rPr>
        <w:t xml:space="preserve">CYP2C9 </w:t>
      </w:r>
      <w:r w:rsidRPr="00927D7E">
        <w:rPr>
          <w:rFonts w:eastAsia="Times New Roman" w:cs="Arial"/>
          <w:color w:val="000000"/>
          <w:lang w:eastAsia="bg-BG"/>
        </w:rPr>
        <w:t xml:space="preserve">и </w:t>
      </w:r>
      <w:r w:rsidRPr="00927D7E">
        <w:rPr>
          <w:rFonts w:eastAsia="Times New Roman" w:cs="Arial"/>
          <w:color w:val="000000"/>
        </w:rPr>
        <w:t>CYP3</w:t>
      </w:r>
      <w:r w:rsidRPr="00927D7E">
        <w:rPr>
          <w:rFonts w:eastAsia="Times New Roman" w:cs="Arial"/>
          <w:color w:val="000000"/>
          <w:lang w:eastAsia="bg-BG"/>
        </w:rPr>
        <w:t xml:space="preserve">А4) или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кетоконазол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(инхибитор на </w:t>
      </w:r>
      <w:r w:rsidRPr="00927D7E">
        <w:rPr>
          <w:rFonts w:eastAsia="Times New Roman" w:cs="Arial"/>
          <w:color w:val="000000"/>
        </w:rPr>
        <w:t xml:space="preserve">CYP2A6 </w:t>
      </w:r>
      <w:r w:rsidRPr="00927D7E">
        <w:rPr>
          <w:rFonts w:eastAsia="Times New Roman" w:cs="Arial"/>
          <w:color w:val="000000"/>
          <w:lang w:eastAsia="bg-BG"/>
        </w:rPr>
        <w:t xml:space="preserve">и </w:t>
      </w:r>
      <w:r w:rsidRPr="00927D7E">
        <w:rPr>
          <w:rFonts w:eastAsia="Times New Roman" w:cs="Arial"/>
          <w:color w:val="000000"/>
        </w:rPr>
        <w:t>CYP3A4).</w:t>
      </w:r>
    </w:p>
    <w:p w14:paraId="058F7425" w14:textId="200E5BEE" w:rsidR="004D0CE0" w:rsidRPr="00927D7E" w:rsidRDefault="004D0CE0" w:rsidP="004D0CE0">
      <w:pPr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В предклинични проучвания е установено, че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не индуцира ензимите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927D7E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Р450, които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метаболизират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лекарствата. Не са наблюдавани клинично значими,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фармакокинетични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взаимодействия между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лекарства, за които е известно, че се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метаболизират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чрез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Р450 1А2, </w:t>
      </w:r>
      <w:r w:rsidRPr="00927D7E">
        <w:rPr>
          <w:rFonts w:eastAsia="Times New Roman" w:cs="Arial"/>
          <w:color w:val="000000"/>
        </w:rPr>
        <w:t>2D6,</w:t>
      </w:r>
      <w:r w:rsidRPr="00927D7E">
        <w:rPr>
          <w:rFonts w:eastAsia="Times New Roman" w:cs="Arial"/>
          <w:color w:val="000000"/>
          <w:lang w:eastAsia="bg-BG"/>
        </w:rPr>
        <w:t xml:space="preserve">2С8,2С9 и ЗА4 или </w:t>
      </w:r>
      <w:r w:rsidRPr="00927D7E">
        <w:rPr>
          <w:rFonts w:eastAsia="Times New Roman" w:cs="Arial"/>
          <w:color w:val="000000"/>
        </w:rPr>
        <w:t>N</w:t>
      </w:r>
      <w:r w:rsidRPr="00927D7E">
        <w:rPr>
          <w:rFonts w:eastAsia="Times New Roman" w:cs="Arial"/>
          <w:color w:val="000000"/>
          <w:lang w:eastAsia="bg-BG"/>
        </w:rPr>
        <w:t>-</w:t>
      </w:r>
      <w:proofErr w:type="spellStart"/>
      <w:r w:rsidRPr="00927D7E">
        <w:rPr>
          <w:rFonts w:eastAsia="Times New Roman" w:cs="Arial"/>
          <w:color w:val="000000"/>
          <w:lang w:eastAsia="bg-BG"/>
        </w:rPr>
        <w:t>ацетилтрансфераза</w:t>
      </w:r>
      <w:proofErr w:type="spellEnd"/>
      <w:r w:rsidRPr="00927D7E">
        <w:rPr>
          <w:rFonts w:eastAsia="Times New Roman" w:cs="Arial"/>
          <w:color w:val="000000"/>
          <w:lang w:eastAsia="bg-BG"/>
        </w:rPr>
        <w:t>.</w:t>
      </w:r>
    </w:p>
    <w:p w14:paraId="0525FF79" w14:textId="77777777" w:rsidR="004D0CE0" w:rsidRPr="00927D7E" w:rsidRDefault="004D0CE0" w:rsidP="004D0CE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B675042" w14:textId="50FC967C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Антагонисти на витамин К</w:t>
      </w:r>
      <w:r w:rsidRPr="00927D7E">
        <w:rPr>
          <w:rFonts w:eastAsia="Times New Roman" w:cs="Arial"/>
          <w:i/>
          <w:iCs/>
          <w:color w:val="000000"/>
          <w:lang w:eastAsia="bg-BG"/>
        </w:rPr>
        <w:t>:</w:t>
      </w:r>
      <w:r w:rsidRPr="00927D7E">
        <w:rPr>
          <w:rFonts w:eastAsia="Times New Roman" w:cs="Arial"/>
          <w:color w:val="000000"/>
          <w:lang w:eastAsia="bg-BG"/>
        </w:rPr>
        <w:t xml:space="preserve"> Подобно на други инхибитори на </w:t>
      </w:r>
      <w:r w:rsidRPr="00927D7E">
        <w:rPr>
          <w:rFonts w:eastAsia="Times New Roman" w:cs="Arial"/>
          <w:color w:val="000000"/>
        </w:rPr>
        <w:t>HMG-</w:t>
      </w:r>
      <w:proofErr w:type="spellStart"/>
      <w:r w:rsidRPr="00927D7E">
        <w:rPr>
          <w:rFonts w:eastAsia="Times New Roman" w:cs="Arial"/>
          <w:color w:val="000000"/>
        </w:rPr>
        <w:t>CoA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започването на лечение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или титрирането на дозата му при пациенти, приемащи антагонисти на витамин К (напр.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варфарин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или други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кумаринови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антикоагуланти) може да доведе до повишаване на международното нормализирано отношение </w:t>
      </w:r>
      <w:r w:rsidRPr="00927D7E">
        <w:rPr>
          <w:rFonts w:eastAsia="Times New Roman" w:cs="Arial"/>
          <w:color w:val="000000"/>
        </w:rPr>
        <w:t>(INR).</w:t>
      </w:r>
    </w:p>
    <w:p w14:paraId="757EE33E" w14:textId="77777777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Прекъсването на лечението или постепенното понижаване на дозата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може да доведе до намаление на </w:t>
      </w:r>
      <w:r w:rsidRPr="00927D7E">
        <w:rPr>
          <w:rFonts w:eastAsia="Times New Roman" w:cs="Arial"/>
          <w:color w:val="000000"/>
        </w:rPr>
        <w:t xml:space="preserve">INR. </w:t>
      </w:r>
      <w:r w:rsidRPr="00927D7E">
        <w:rPr>
          <w:rFonts w:eastAsia="Times New Roman" w:cs="Arial"/>
          <w:color w:val="000000"/>
          <w:lang w:eastAsia="bg-BG"/>
        </w:rPr>
        <w:t xml:space="preserve">При подобни ситуации се препоръчва </w:t>
      </w:r>
      <w:r w:rsidRPr="00927D7E">
        <w:rPr>
          <w:rFonts w:eastAsia="Times New Roman" w:cs="Arial"/>
          <w:color w:val="000000"/>
          <w:lang w:eastAsia="bg-BG"/>
        </w:rPr>
        <w:lastRenderedPageBreak/>
        <w:t xml:space="preserve">мониториране на </w:t>
      </w:r>
      <w:r w:rsidRPr="00927D7E">
        <w:rPr>
          <w:rFonts w:eastAsia="Times New Roman" w:cs="Arial"/>
          <w:color w:val="000000"/>
        </w:rPr>
        <w:t xml:space="preserve">INR. </w:t>
      </w:r>
      <w:r w:rsidRPr="00927D7E">
        <w:rPr>
          <w:rFonts w:eastAsia="Times New Roman" w:cs="Arial"/>
          <w:color w:val="000000"/>
          <w:lang w:eastAsia="bg-BG"/>
        </w:rPr>
        <w:t xml:space="preserve">Едновременното приложение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веднъж дневно) не оказва съществено влияние върху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бионаличностга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варфарин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протромбиновото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време в проучване, проведено при дванадесет здрави възрастни мъже. Въпреки това, има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постмаркетингови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съобщения за повишено международно нормализирано отношение </w:t>
      </w:r>
      <w:r w:rsidRPr="00927D7E">
        <w:rPr>
          <w:rFonts w:eastAsia="Times New Roman" w:cs="Arial"/>
          <w:color w:val="000000"/>
        </w:rPr>
        <w:t xml:space="preserve">(INR) </w:t>
      </w:r>
      <w:r w:rsidRPr="00927D7E">
        <w:rPr>
          <w:rFonts w:eastAsia="Times New Roman" w:cs="Arial"/>
          <w:color w:val="000000"/>
          <w:lang w:eastAsia="bg-BG"/>
        </w:rPr>
        <w:t xml:space="preserve">при пациенти, при които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добавян към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варфарин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флуиндион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Ако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се добавя към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варфарин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към друг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кумаринов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антикоагулант или към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флуицдион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r w:rsidRPr="00927D7E">
        <w:rPr>
          <w:rFonts w:eastAsia="Times New Roman" w:cs="Arial"/>
          <w:color w:val="000000"/>
        </w:rPr>
        <w:t xml:space="preserve">INR </w:t>
      </w:r>
      <w:r w:rsidRPr="00927D7E">
        <w:rPr>
          <w:rFonts w:eastAsia="Times New Roman" w:cs="Arial"/>
          <w:color w:val="000000"/>
          <w:lang w:eastAsia="bg-BG"/>
        </w:rPr>
        <w:t xml:space="preserve">трябва да се проследява по подходящ начин (вж. точка 4.4), </w:t>
      </w:r>
      <w:proofErr w:type="spellStart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Тикагрелор</w:t>
      </w:r>
      <w:proofErr w:type="spellEnd"/>
      <w:r w:rsidRPr="00927D7E">
        <w:rPr>
          <w:rFonts w:eastAsia="Times New Roman" w:cs="Arial"/>
          <w:i/>
          <w:iCs/>
          <w:color w:val="000000"/>
          <w:lang w:eastAsia="bg-BG"/>
        </w:rPr>
        <w:t>:</w:t>
      </w:r>
      <w:r w:rsidRPr="00927D7E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Тикагрелор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може да повлияе бъбречната екскреция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увеличавайки риска от кумулиране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Въпреки че точният механизъм не е известен, в някои случаи едновременното приложение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тикагрелор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води до намаляване на бъбречната функция, повишено ниво на СРК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927D7E">
        <w:rPr>
          <w:rFonts w:eastAsia="Times New Roman" w:cs="Arial"/>
          <w:color w:val="000000"/>
          <w:lang w:eastAsia="bg-BG"/>
        </w:rPr>
        <w:t>.</w:t>
      </w:r>
    </w:p>
    <w:p w14:paraId="3E800996" w14:textId="77777777" w:rsidR="004D0CE0" w:rsidRPr="00927D7E" w:rsidRDefault="004D0CE0" w:rsidP="004D0CE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FE0B7B0" w14:textId="01F56714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 xml:space="preserve">Перорални </w:t>
      </w:r>
      <w:proofErr w:type="spellStart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контраиептиви</w:t>
      </w:r>
      <w:proofErr w:type="spellEnd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/</w:t>
      </w:r>
      <w:proofErr w:type="spellStart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хормонозаместителна</w:t>
      </w:r>
      <w:proofErr w:type="spellEnd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 xml:space="preserve"> терапия (ХЗТ):</w:t>
      </w:r>
      <w:r w:rsidRPr="00927D7E">
        <w:rPr>
          <w:rFonts w:eastAsia="Times New Roman" w:cs="Arial"/>
          <w:color w:val="000000"/>
          <w:lang w:eastAsia="bg-BG"/>
        </w:rPr>
        <w:t xml:space="preserve"> Едновременният прием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перорални контрацептиви е довел до повишаване на </w:t>
      </w:r>
      <w:r w:rsidRPr="00927D7E">
        <w:rPr>
          <w:rFonts w:eastAsia="Times New Roman" w:cs="Arial"/>
          <w:color w:val="000000"/>
        </w:rPr>
        <w:t xml:space="preserve">AUC </w:t>
      </w:r>
      <w:r w:rsidRPr="00927D7E">
        <w:rPr>
          <w:rFonts w:eastAsia="Times New Roman" w:cs="Arial"/>
          <w:color w:val="000000"/>
          <w:lang w:eastAsia="bg-BG"/>
        </w:rPr>
        <w:t xml:space="preserve">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етинилестрадиол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норгестрел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съответно с 26% и 34%. Тези повишени плазмени концентрации трябва да се вземат под внимание, когато се определя дозировката на пероралните контрацептиви. Няма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фармакокинетични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данни за пациенти, които приемат едновременно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хормонозаместителна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терапия, ето защо, подобен ефект не трябва да бъде изключен като вероятен. Въпреки това, тази комбинация е била широко прилагана при жени в клинични изпитвания и е била понесена добре.</w:t>
      </w:r>
    </w:p>
    <w:p w14:paraId="0AF39FA6" w14:textId="77777777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В клинични проучвания за лекарствени взаимодействия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не оказва влияние върху фармакокинетиката на пероралните контрацептиви (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етинилестрадиол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левоноргестрел</w:t>
      </w:r>
      <w:proofErr w:type="spellEnd"/>
      <w:r w:rsidRPr="00927D7E">
        <w:rPr>
          <w:rFonts w:eastAsia="Times New Roman" w:cs="Arial"/>
          <w:color w:val="000000"/>
          <w:lang w:eastAsia="bg-BG"/>
        </w:rPr>
        <w:t>).</w:t>
      </w:r>
    </w:p>
    <w:p w14:paraId="5A01610F" w14:textId="77777777" w:rsidR="004D0CE0" w:rsidRPr="00927D7E" w:rsidRDefault="004D0CE0" w:rsidP="004D0CE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3F406C6F" w14:textId="735D3684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Колестирамин</w:t>
      </w:r>
      <w:proofErr w:type="spellEnd"/>
      <w:r w:rsidRPr="00927D7E">
        <w:rPr>
          <w:rFonts w:eastAsia="Times New Roman" w:cs="Arial"/>
          <w:i/>
          <w:iCs/>
          <w:color w:val="000000"/>
          <w:lang w:eastAsia="bg-BG"/>
        </w:rPr>
        <w:t>:</w:t>
      </w:r>
      <w:r w:rsidRPr="00927D7E">
        <w:rPr>
          <w:rFonts w:eastAsia="Times New Roman" w:cs="Arial"/>
          <w:color w:val="000000"/>
          <w:lang w:eastAsia="bg-BG"/>
        </w:rPr>
        <w:t xml:space="preserve"> Едновременното приложение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колестирамин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намалява средната площ под кривата </w:t>
      </w:r>
      <w:r w:rsidRPr="00927D7E">
        <w:rPr>
          <w:rFonts w:eastAsia="Times New Roman" w:cs="Arial"/>
          <w:color w:val="000000"/>
        </w:rPr>
        <w:t xml:space="preserve">(AUC) </w:t>
      </w:r>
      <w:r w:rsidRPr="00927D7E">
        <w:rPr>
          <w:rFonts w:eastAsia="Times New Roman" w:cs="Arial"/>
          <w:color w:val="000000"/>
          <w:lang w:eastAsia="bg-BG"/>
        </w:rPr>
        <w:t xml:space="preserve">на общия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+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глюкуронид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) приблизително с 55%. Редукцията на повишения </w:t>
      </w:r>
      <w:r w:rsidRPr="00927D7E">
        <w:rPr>
          <w:rFonts w:eastAsia="Times New Roman" w:cs="Arial"/>
          <w:color w:val="000000"/>
        </w:rPr>
        <w:t>LDL</w:t>
      </w:r>
      <w:r w:rsidRPr="00927D7E">
        <w:rPr>
          <w:rFonts w:eastAsia="Times New Roman" w:cs="Arial"/>
          <w:color w:val="000000"/>
          <w:lang w:eastAsia="bg-BG"/>
        </w:rPr>
        <w:t xml:space="preserve">-холестерол, предизвикана от добавянето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към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колестирамин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може да се намали чрез това взаимодействие (вж. точка 4.2).</w:t>
      </w:r>
    </w:p>
    <w:p w14:paraId="17C949BA" w14:textId="77777777" w:rsidR="004D0CE0" w:rsidRPr="00927D7E" w:rsidRDefault="004D0CE0" w:rsidP="004D0CE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58CC2F4" w14:textId="632183C7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Езетимиб</w:t>
      </w:r>
      <w:proofErr w:type="spellEnd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:</w:t>
      </w:r>
      <w:r w:rsidRPr="00927D7E">
        <w:rPr>
          <w:rFonts w:eastAsia="Times New Roman" w:cs="Arial"/>
          <w:color w:val="000000"/>
          <w:lang w:eastAsia="bg-BG"/>
        </w:rPr>
        <w:t xml:space="preserve"> При пациенти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едновременното приложение на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води до увеличение на </w:t>
      </w:r>
      <w:r w:rsidRPr="00927D7E">
        <w:rPr>
          <w:rFonts w:eastAsia="Times New Roman" w:cs="Arial"/>
          <w:color w:val="000000"/>
        </w:rPr>
        <w:t xml:space="preserve">AUC </w:t>
      </w:r>
      <w:r w:rsidRPr="00927D7E">
        <w:rPr>
          <w:rFonts w:eastAsia="Times New Roman" w:cs="Arial"/>
          <w:color w:val="000000"/>
          <w:lang w:eastAsia="bg-BG"/>
        </w:rPr>
        <w:t xml:space="preserve">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1,2 пъти (вж. таблицата по-долу). Не може да се изключи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фармакодинамично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взаимодействие между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по отношение на нежелани реакции (вж. точка 4.4). Поради това рискът от тези събития може да се увеличи при едновременната употреба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>. Препоръчва се подходящо клинично проследяване на тези пациенти.</w:t>
      </w:r>
    </w:p>
    <w:p w14:paraId="0DB13A98" w14:textId="77777777" w:rsidR="004D0CE0" w:rsidRPr="00927D7E" w:rsidRDefault="004D0CE0" w:rsidP="004D0CE0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41FE24F" w14:textId="07F2EE6B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Други лекарствени продукти</w:t>
      </w:r>
      <w:r w:rsidRPr="00927D7E">
        <w:rPr>
          <w:rFonts w:eastAsia="Times New Roman" w:cs="Arial"/>
          <w:i/>
          <w:iCs/>
          <w:color w:val="000000"/>
          <w:lang w:eastAsia="bg-BG"/>
        </w:rPr>
        <w:t>:</w:t>
      </w:r>
      <w:r w:rsidRPr="00927D7E">
        <w:rPr>
          <w:rFonts w:eastAsia="Times New Roman" w:cs="Arial"/>
          <w:color w:val="000000"/>
          <w:lang w:eastAsia="bg-BG"/>
        </w:rPr>
        <w:t xml:space="preserve"> Въз основа на данните от специфични проучвания за изследване на лекарствени взаимодействия, не се очаква клинично значимо взаимодействие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В клинични проучвания за взаимодействия,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няма ефект върху фармакокинетиката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дапсон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декстрометорфан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глипизид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толбутамид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или мидазолам, при едновременното им приложение.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Циметвдин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прилаган съвместно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няма ефект върху бионаличността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>.</w:t>
      </w:r>
    </w:p>
    <w:p w14:paraId="2B08B420" w14:textId="77777777" w:rsidR="004D0CE0" w:rsidRPr="00927D7E" w:rsidRDefault="004D0CE0" w:rsidP="004D0CE0">
      <w:pPr>
        <w:rPr>
          <w:rFonts w:eastAsia="Times New Roman" w:cs="Arial"/>
          <w:b/>
          <w:bCs/>
          <w:color w:val="000000"/>
          <w:lang w:eastAsia="bg-BG"/>
        </w:rPr>
      </w:pPr>
    </w:p>
    <w:p w14:paraId="13208738" w14:textId="77777777" w:rsidR="004D0CE0" w:rsidRPr="00927D7E" w:rsidRDefault="004D0CE0" w:rsidP="004D0CE0">
      <w:pPr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b/>
          <w:bCs/>
          <w:color w:val="000000"/>
          <w:lang w:eastAsia="bg-BG"/>
        </w:rPr>
        <w:t xml:space="preserve">Взаимодействия, които изискват адаптиране на дозата на </w:t>
      </w:r>
      <w:proofErr w:type="spellStart"/>
      <w:r w:rsidRPr="00927D7E">
        <w:rPr>
          <w:rFonts w:eastAsia="Times New Roman" w:cs="Arial"/>
          <w:b/>
          <w:bCs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b/>
          <w:bCs/>
          <w:color w:val="000000"/>
          <w:lang w:eastAsia="bg-BG"/>
        </w:rPr>
        <w:t xml:space="preserve"> (вж. също и таблицата по-долу): </w:t>
      </w:r>
      <w:r w:rsidRPr="00927D7E">
        <w:rPr>
          <w:rFonts w:eastAsia="Times New Roman" w:cs="Arial"/>
          <w:color w:val="000000"/>
          <w:lang w:eastAsia="bg-BG"/>
        </w:rPr>
        <w:t xml:space="preserve">Когато е необходимо да се прилага едновременно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с други лекарствени продукти, за които е известно, че повишават експозицията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дозите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трябва да се адаптират, Започва се с доза от 5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веднъж дневно. ако очакваното повишение на експозицията </w:t>
      </w:r>
      <w:r w:rsidRPr="00927D7E">
        <w:rPr>
          <w:rFonts w:eastAsia="Times New Roman" w:cs="Arial"/>
          <w:color w:val="000000"/>
        </w:rPr>
        <w:t xml:space="preserve">(AUC) </w:t>
      </w:r>
      <w:r w:rsidRPr="00927D7E">
        <w:rPr>
          <w:rFonts w:eastAsia="Times New Roman" w:cs="Arial"/>
          <w:color w:val="000000"/>
          <w:lang w:eastAsia="bg-BG"/>
        </w:rPr>
        <w:t xml:space="preserve">е приблизително двукратно или по-голямо. Максималната дневна доза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трябва да се коригира така, че очакваната експозиция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да не надвиши тази на </w:t>
      </w:r>
      <w:r w:rsidRPr="00927D7E">
        <w:rPr>
          <w:rFonts w:eastAsia="Times New Roman" w:cs="Arial"/>
          <w:color w:val="000000"/>
          <w:lang w:eastAsia="bg-BG"/>
        </w:rPr>
        <w:lastRenderedPageBreak/>
        <w:t xml:space="preserve">дневна доза от 40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приет без взаимодействащи лекарствени продукти, например доза от 20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гемфиброзил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(1,9 пъти повишение) и доза от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 комбинация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атазанавир</w:t>
      </w:r>
      <w:proofErr w:type="spellEnd"/>
      <w:r w:rsidRPr="00927D7E">
        <w:rPr>
          <w:rFonts w:eastAsia="Times New Roman" w:cs="Arial"/>
          <w:color w:val="000000"/>
          <w:lang w:eastAsia="bg-BG"/>
        </w:rPr>
        <w:t>/ритонавир (3,1 пъти повишение).</w:t>
      </w:r>
    </w:p>
    <w:p w14:paraId="1F395FBD" w14:textId="77777777" w:rsidR="004D0CE0" w:rsidRPr="00927D7E" w:rsidRDefault="004D0CE0" w:rsidP="004D0CE0">
      <w:pPr>
        <w:rPr>
          <w:rFonts w:eastAsia="Times New Roman" w:cs="Arial"/>
          <w:b/>
          <w:bCs/>
          <w:color w:val="000000"/>
          <w:lang w:eastAsia="bg-BG"/>
        </w:rPr>
      </w:pPr>
    </w:p>
    <w:p w14:paraId="172AE819" w14:textId="61E9836A" w:rsidR="0091385D" w:rsidRPr="00927D7E" w:rsidRDefault="004D0CE0" w:rsidP="004D0CE0">
      <w:pPr>
        <w:rPr>
          <w:rFonts w:eastAsia="Times New Roman" w:cs="Arial"/>
          <w:b/>
          <w:bCs/>
          <w:color w:val="000000"/>
          <w:lang w:eastAsia="bg-BG"/>
        </w:rPr>
      </w:pPr>
      <w:r w:rsidRPr="00927D7E">
        <w:rPr>
          <w:rFonts w:eastAsia="Times New Roman" w:cs="Arial"/>
          <w:b/>
          <w:bCs/>
          <w:color w:val="000000"/>
          <w:lang w:eastAsia="bg-BG"/>
        </w:rPr>
        <w:t xml:space="preserve">Ефект на едновременно прилаган лекарствен продукт върху експозицията на </w:t>
      </w:r>
      <w:proofErr w:type="spellStart"/>
      <w:r w:rsidRPr="00927D7E">
        <w:rPr>
          <w:rFonts w:eastAsia="Times New Roman" w:cs="Arial"/>
          <w:b/>
          <w:bCs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b/>
          <w:bCs/>
          <w:color w:val="000000"/>
          <w:lang w:eastAsia="bg-BG"/>
        </w:rPr>
        <w:t xml:space="preserve"> </w:t>
      </w:r>
      <w:r w:rsidRPr="00927D7E">
        <w:rPr>
          <w:rFonts w:eastAsia="Times New Roman" w:cs="Arial"/>
          <w:b/>
          <w:bCs/>
          <w:color w:val="000000"/>
        </w:rPr>
        <w:t xml:space="preserve">(AUC, </w:t>
      </w:r>
      <w:r w:rsidRPr="00927D7E">
        <w:rPr>
          <w:rFonts w:eastAsia="Times New Roman" w:cs="Arial"/>
          <w:b/>
          <w:bCs/>
          <w:color w:val="000000"/>
          <w:lang w:eastAsia="bg-BG"/>
        </w:rPr>
        <w:t>в низходящ ред) от публикувани клинични изпитвания</w:t>
      </w:r>
    </w:p>
    <w:p w14:paraId="56635E0F" w14:textId="3D1C5C83" w:rsidR="004D0CE0" w:rsidRPr="00927D7E" w:rsidRDefault="004D0CE0" w:rsidP="004D0CE0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9"/>
        <w:gridCol w:w="3101"/>
        <w:gridCol w:w="3110"/>
      </w:tblGrid>
      <w:tr w:rsidR="004D0CE0" w:rsidRPr="00927D7E" w14:paraId="68DAA4F8" w14:textId="77777777" w:rsidTr="004D0CE0">
        <w:tc>
          <w:tcPr>
            <w:tcW w:w="3171" w:type="dxa"/>
          </w:tcPr>
          <w:p w14:paraId="7B7F2C23" w14:textId="4166C128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rPr>
                <w:b/>
                <w:bCs/>
              </w:rPr>
              <w:t>Дозов</w:t>
            </w:r>
            <w:proofErr w:type="spellEnd"/>
            <w:r w:rsidRPr="00927D7E">
              <w:rPr>
                <w:b/>
                <w:bCs/>
              </w:rPr>
              <w:t xml:space="preserve"> режим на взаимодействащото лекарство</w:t>
            </w:r>
          </w:p>
        </w:tc>
        <w:tc>
          <w:tcPr>
            <w:tcW w:w="3167" w:type="dxa"/>
          </w:tcPr>
          <w:p w14:paraId="58CD3393" w14:textId="1E0CDFCB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rPr>
                <w:b/>
                <w:bCs/>
              </w:rPr>
              <w:t>Дозов</w:t>
            </w:r>
            <w:proofErr w:type="spellEnd"/>
            <w:r w:rsidRPr="00927D7E">
              <w:rPr>
                <w:b/>
                <w:bCs/>
              </w:rPr>
              <w:t xml:space="preserve"> режим на </w:t>
            </w:r>
            <w:proofErr w:type="spellStart"/>
            <w:r w:rsidRPr="00927D7E">
              <w:rPr>
                <w:b/>
                <w:bCs/>
              </w:rPr>
              <w:t>розувастатин</w:t>
            </w:r>
            <w:proofErr w:type="spellEnd"/>
          </w:p>
        </w:tc>
        <w:tc>
          <w:tcPr>
            <w:tcW w:w="3172" w:type="dxa"/>
          </w:tcPr>
          <w:p w14:paraId="534067CA" w14:textId="6EF2346D" w:rsidR="004D0CE0" w:rsidRPr="00927D7E" w:rsidRDefault="004D0CE0" w:rsidP="004D0CE0">
            <w:pPr>
              <w:rPr>
                <w:rFonts w:cs="Arial"/>
              </w:rPr>
            </w:pPr>
            <w:r w:rsidRPr="00927D7E">
              <w:rPr>
                <w:b/>
                <w:bCs/>
              </w:rPr>
              <w:t xml:space="preserve">Промяна в AUC на </w:t>
            </w:r>
            <w:proofErr w:type="spellStart"/>
            <w:r w:rsidRPr="00927D7E">
              <w:rPr>
                <w:b/>
                <w:bCs/>
              </w:rPr>
              <w:t>розувастатин</w:t>
            </w:r>
            <w:proofErr w:type="spellEnd"/>
            <w:r w:rsidRPr="00927D7E">
              <w:rPr>
                <w:b/>
                <w:bCs/>
              </w:rPr>
              <w:t>*</w:t>
            </w:r>
          </w:p>
        </w:tc>
      </w:tr>
      <w:tr w:rsidR="004D0CE0" w:rsidRPr="00927D7E" w14:paraId="22486CF7" w14:textId="77777777" w:rsidTr="004D0CE0">
        <w:tc>
          <w:tcPr>
            <w:tcW w:w="3171" w:type="dxa"/>
          </w:tcPr>
          <w:p w14:paraId="26F7B036" w14:textId="5CD236F4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Циклоспорин 75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2 пъти/ден до 200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2 пъти/ден, 6 месеца</w:t>
            </w:r>
          </w:p>
        </w:tc>
        <w:tc>
          <w:tcPr>
            <w:tcW w:w="3167" w:type="dxa"/>
          </w:tcPr>
          <w:p w14:paraId="072FD399" w14:textId="07930423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10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веднъж/ден, 10 дни</w:t>
            </w:r>
          </w:p>
        </w:tc>
        <w:tc>
          <w:tcPr>
            <w:tcW w:w="3172" w:type="dxa"/>
          </w:tcPr>
          <w:p w14:paraId="50D54F1A" w14:textId="2E126FDC" w:rsidR="004D0CE0" w:rsidRPr="00927D7E" w:rsidRDefault="004D0CE0" w:rsidP="004D0CE0">
            <w:pPr>
              <w:rPr>
                <w:rFonts w:cs="Arial"/>
              </w:rPr>
            </w:pPr>
            <w:r w:rsidRPr="00927D7E">
              <w:t>7,1 пъти ↑</w:t>
            </w:r>
          </w:p>
        </w:tc>
      </w:tr>
      <w:tr w:rsidR="004D0CE0" w:rsidRPr="00927D7E" w14:paraId="32794019" w14:textId="77777777" w:rsidTr="004D0CE0">
        <w:tc>
          <w:tcPr>
            <w:tcW w:w="3171" w:type="dxa"/>
          </w:tcPr>
          <w:p w14:paraId="4F89155F" w14:textId="145A06CB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Атазанавир</w:t>
            </w:r>
            <w:proofErr w:type="spellEnd"/>
            <w:r w:rsidRPr="00927D7E">
              <w:t xml:space="preserve"> 300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/ритонавир 100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веднъж/ден, 8 дни</w:t>
            </w:r>
          </w:p>
        </w:tc>
        <w:tc>
          <w:tcPr>
            <w:tcW w:w="3167" w:type="dxa"/>
          </w:tcPr>
          <w:p w14:paraId="5905CEF4" w14:textId="5CC3523E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10 </w:t>
            </w:r>
            <w:proofErr w:type="spellStart"/>
            <w:r w:rsidRPr="00927D7E">
              <w:t>mg</w:t>
            </w:r>
            <w:proofErr w:type="spellEnd"/>
            <w:r w:rsidRPr="00927D7E">
              <w:t>, единична доза</w:t>
            </w:r>
          </w:p>
        </w:tc>
        <w:tc>
          <w:tcPr>
            <w:tcW w:w="3172" w:type="dxa"/>
          </w:tcPr>
          <w:p w14:paraId="4EE140A1" w14:textId="4C36ECB7" w:rsidR="004D0CE0" w:rsidRPr="00927D7E" w:rsidRDefault="004D0CE0" w:rsidP="004D0CE0">
            <w:pPr>
              <w:rPr>
                <w:rFonts w:cs="Arial"/>
              </w:rPr>
            </w:pPr>
            <w:r w:rsidRPr="00927D7E">
              <w:t>3,1 пъти ↑</w:t>
            </w:r>
          </w:p>
        </w:tc>
      </w:tr>
      <w:tr w:rsidR="004D0CE0" w:rsidRPr="00927D7E" w14:paraId="6EAB406D" w14:textId="77777777" w:rsidTr="004D0CE0">
        <w:tc>
          <w:tcPr>
            <w:tcW w:w="3171" w:type="dxa"/>
          </w:tcPr>
          <w:p w14:paraId="709CD03A" w14:textId="7223FA4D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Регорафениб</w:t>
            </w:r>
            <w:proofErr w:type="spellEnd"/>
            <w:r w:rsidRPr="00927D7E">
              <w:t xml:space="preserve"> 160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веднъж дневно, 14 дни</w:t>
            </w:r>
          </w:p>
        </w:tc>
        <w:tc>
          <w:tcPr>
            <w:tcW w:w="3167" w:type="dxa"/>
          </w:tcPr>
          <w:p w14:paraId="4AED3668" w14:textId="6946434C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5 </w:t>
            </w:r>
            <w:proofErr w:type="spellStart"/>
            <w:r w:rsidRPr="00927D7E">
              <w:t>mg</w:t>
            </w:r>
            <w:proofErr w:type="spellEnd"/>
            <w:r w:rsidRPr="00927D7E">
              <w:t>, единична доза</w:t>
            </w:r>
          </w:p>
        </w:tc>
        <w:tc>
          <w:tcPr>
            <w:tcW w:w="3172" w:type="dxa"/>
          </w:tcPr>
          <w:p w14:paraId="094D1F02" w14:textId="4790A708" w:rsidR="004D0CE0" w:rsidRPr="00927D7E" w:rsidRDefault="004D0CE0" w:rsidP="004D0CE0">
            <w:pPr>
              <w:rPr>
                <w:rFonts w:cs="Arial"/>
              </w:rPr>
            </w:pPr>
            <w:r w:rsidRPr="00927D7E">
              <w:t>3,8 пъти ↑</w:t>
            </w:r>
          </w:p>
        </w:tc>
      </w:tr>
      <w:tr w:rsidR="004D0CE0" w:rsidRPr="00927D7E" w14:paraId="3BB76164" w14:textId="77777777" w:rsidTr="004D0CE0">
        <w:tc>
          <w:tcPr>
            <w:tcW w:w="3171" w:type="dxa"/>
          </w:tcPr>
          <w:p w14:paraId="3AD39859" w14:textId="1364B161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Велпатасвир</w:t>
            </w:r>
            <w:proofErr w:type="spellEnd"/>
            <w:r w:rsidRPr="00927D7E">
              <w:t xml:space="preserve"> 100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веднъж дневно</w:t>
            </w:r>
          </w:p>
        </w:tc>
        <w:tc>
          <w:tcPr>
            <w:tcW w:w="3167" w:type="dxa"/>
          </w:tcPr>
          <w:p w14:paraId="628866D2" w14:textId="18F5970E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10 </w:t>
            </w:r>
            <w:proofErr w:type="spellStart"/>
            <w:r w:rsidRPr="00927D7E">
              <w:t>mg</w:t>
            </w:r>
            <w:proofErr w:type="spellEnd"/>
            <w:r w:rsidRPr="00927D7E">
              <w:t>, единична доза</w:t>
            </w:r>
          </w:p>
        </w:tc>
        <w:tc>
          <w:tcPr>
            <w:tcW w:w="3172" w:type="dxa"/>
          </w:tcPr>
          <w:p w14:paraId="25DD73FC" w14:textId="20B0AC22" w:rsidR="004D0CE0" w:rsidRPr="00927D7E" w:rsidRDefault="004D0CE0" w:rsidP="004D0CE0">
            <w:pPr>
              <w:rPr>
                <w:rFonts w:cs="Arial"/>
              </w:rPr>
            </w:pPr>
            <w:r w:rsidRPr="00927D7E">
              <w:t>2,7-пъти ↑</w:t>
            </w:r>
          </w:p>
        </w:tc>
      </w:tr>
      <w:tr w:rsidR="004D0CE0" w:rsidRPr="00927D7E" w14:paraId="272F71C4" w14:textId="77777777" w:rsidTr="004D0CE0">
        <w:tc>
          <w:tcPr>
            <w:tcW w:w="3171" w:type="dxa"/>
          </w:tcPr>
          <w:p w14:paraId="34C86919" w14:textId="77777777" w:rsidR="004D0CE0" w:rsidRPr="00927D7E" w:rsidRDefault="004D0CE0" w:rsidP="004D0CE0">
            <w:proofErr w:type="spellStart"/>
            <w:r w:rsidRPr="00927D7E">
              <w:t>Омбитасвир</w:t>
            </w:r>
            <w:proofErr w:type="spellEnd"/>
          </w:p>
          <w:p w14:paraId="052000D0" w14:textId="0774A845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25 </w:t>
            </w:r>
            <w:proofErr w:type="spellStart"/>
            <w:r w:rsidRPr="00927D7E">
              <w:t>mg</w:t>
            </w:r>
            <w:proofErr w:type="spellEnd"/>
            <w:r w:rsidRPr="00927D7E">
              <w:t>/</w:t>
            </w:r>
            <w:proofErr w:type="spellStart"/>
            <w:r w:rsidRPr="00927D7E">
              <w:t>паритапревир</w:t>
            </w:r>
            <w:proofErr w:type="spellEnd"/>
            <w:r w:rsidRPr="00927D7E">
              <w:t xml:space="preserve"> l50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/ Ритонавир 100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веднъж дневно / </w:t>
            </w:r>
            <w:proofErr w:type="spellStart"/>
            <w:r w:rsidRPr="00927D7E">
              <w:t>дазабувир</w:t>
            </w:r>
            <w:proofErr w:type="spellEnd"/>
            <w:r w:rsidRPr="00927D7E">
              <w:t xml:space="preserve"> 400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два пъти дневно, 14 дни</w:t>
            </w:r>
          </w:p>
        </w:tc>
        <w:tc>
          <w:tcPr>
            <w:tcW w:w="3167" w:type="dxa"/>
          </w:tcPr>
          <w:p w14:paraId="37CBE9FB" w14:textId="21681DC9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5 </w:t>
            </w:r>
            <w:proofErr w:type="spellStart"/>
            <w:r w:rsidRPr="00927D7E">
              <w:t>mg</w:t>
            </w:r>
            <w:proofErr w:type="spellEnd"/>
            <w:r w:rsidRPr="00927D7E">
              <w:t>, единична доза</w:t>
            </w:r>
          </w:p>
        </w:tc>
        <w:tc>
          <w:tcPr>
            <w:tcW w:w="3172" w:type="dxa"/>
          </w:tcPr>
          <w:p w14:paraId="24DC016D" w14:textId="324B5CC5" w:rsidR="004D0CE0" w:rsidRPr="00927D7E" w:rsidRDefault="004D0CE0" w:rsidP="004D0CE0">
            <w:pPr>
              <w:rPr>
                <w:rFonts w:cs="Arial"/>
              </w:rPr>
            </w:pPr>
            <w:r w:rsidRPr="00927D7E">
              <w:t>2,6- пъти ↑</w:t>
            </w:r>
          </w:p>
        </w:tc>
      </w:tr>
      <w:tr w:rsidR="004D0CE0" w:rsidRPr="00927D7E" w14:paraId="4DFB86C6" w14:textId="77777777" w:rsidTr="004D0CE0">
        <w:tc>
          <w:tcPr>
            <w:tcW w:w="3171" w:type="dxa"/>
          </w:tcPr>
          <w:p w14:paraId="622C2466" w14:textId="1032C69D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Гразопревир</w:t>
            </w:r>
            <w:proofErr w:type="spellEnd"/>
            <w:r w:rsidRPr="00927D7E">
              <w:t xml:space="preserve"> 200 </w:t>
            </w:r>
            <w:proofErr w:type="spellStart"/>
            <w:r w:rsidRPr="00927D7E">
              <w:t>mg</w:t>
            </w:r>
            <w:proofErr w:type="spellEnd"/>
            <w:r w:rsidRPr="00927D7E">
              <w:t>/</w:t>
            </w:r>
            <w:proofErr w:type="spellStart"/>
            <w:r w:rsidRPr="00927D7E">
              <w:t>елбасвир</w:t>
            </w:r>
            <w:proofErr w:type="spellEnd"/>
            <w:r w:rsidRPr="00927D7E">
              <w:t xml:space="preserve"> 50mg веднъж дневно, 11 дни</w:t>
            </w:r>
          </w:p>
        </w:tc>
        <w:tc>
          <w:tcPr>
            <w:tcW w:w="3167" w:type="dxa"/>
          </w:tcPr>
          <w:p w14:paraId="527D3FBC" w14:textId="06FA2EBC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10 </w:t>
            </w:r>
            <w:proofErr w:type="spellStart"/>
            <w:r w:rsidRPr="00927D7E">
              <w:t>mg</w:t>
            </w:r>
            <w:proofErr w:type="spellEnd"/>
            <w:r w:rsidRPr="00927D7E">
              <w:t>, единична доза</w:t>
            </w:r>
          </w:p>
        </w:tc>
        <w:tc>
          <w:tcPr>
            <w:tcW w:w="3172" w:type="dxa"/>
          </w:tcPr>
          <w:p w14:paraId="2A02F19B" w14:textId="46DF9087" w:rsidR="004D0CE0" w:rsidRPr="00927D7E" w:rsidRDefault="004D0CE0" w:rsidP="004D0CE0">
            <w:pPr>
              <w:rPr>
                <w:rFonts w:cs="Arial"/>
              </w:rPr>
            </w:pPr>
            <w:r w:rsidRPr="00927D7E">
              <w:t>2,3- пъти ↑</w:t>
            </w:r>
          </w:p>
        </w:tc>
      </w:tr>
      <w:tr w:rsidR="004D0CE0" w:rsidRPr="00927D7E" w14:paraId="333106D6" w14:textId="77777777" w:rsidTr="004D0CE0">
        <w:tc>
          <w:tcPr>
            <w:tcW w:w="3171" w:type="dxa"/>
          </w:tcPr>
          <w:p w14:paraId="456E2E00" w14:textId="357EA518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Глекапревир</w:t>
            </w:r>
            <w:proofErr w:type="spellEnd"/>
            <w:r w:rsidRPr="00927D7E">
              <w:t xml:space="preserve"> 400 </w:t>
            </w:r>
            <w:proofErr w:type="spellStart"/>
            <w:r w:rsidRPr="00927D7E">
              <w:t>mg</w:t>
            </w:r>
            <w:proofErr w:type="spellEnd"/>
            <w:r w:rsidRPr="00927D7E">
              <w:t>/</w:t>
            </w:r>
            <w:proofErr w:type="spellStart"/>
            <w:r w:rsidRPr="00927D7E">
              <w:t>пибрентасвир</w:t>
            </w:r>
            <w:proofErr w:type="spellEnd"/>
            <w:r w:rsidRPr="00927D7E">
              <w:t xml:space="preserve"> 120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веднъж дневно, 7 дни</w:t>
            </w:r>
          </w:p>
        </w:tc>
        <w:tc>
          <w:tcPr>
            <w:tcW w:w="3167" w:type="dxa"/>
          </w:tcPr>
          <w:p w14:paraId="2EE78833" w14:textId="56905B51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5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веднъж дневно, 7 дни</w:t>
            </w:r>
          </w:p>
        </w:tc>
        <w:tc>
          <w:tcPr>
            <w:tcW w:w="3172" w:type="dxa"/>
          </w:tcPr>
          <w:p w14:paraId="0360C9F9" w14:textId="7B0C04D8" w:rsidR="004D0CE0" w:rsidRPr="00927D7E" w:rsidRDefault="004D0CE0" w:rsidP="004D0CE0">
            <w:pPr>
              <w:rPr>
                <w:rFonts w:cs="Arial"/>
              </w:rPr>
            </w:pPr>
            <w:r w:rsidRPr="00927D7E">
              <w:t>2,2- пъти ↑</w:t>
            </w:r>
          </w:p>
        </w:tc>
      </w:tr>
      <w:tr w:rsidR="004D0CE0" w:rsidRPr="00927D7E" w14:paraId="69C0145B" w14:textId="77777777" w:rsidTr="004D0CE0">
        <w:tc>
          <w:tcPr>
            <w:tcW w:w="3171" w:type="dxa"/>
          </w:tcPr>
          <w:p w14:paraId="7AE00E1D" w14:textId="1722CB2E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Симепревир</w:t>
            </w:r>
            <w:proofErr w:type="spellEnd"/>
            <w:r w:rsidRPr="00927D7E">
              <w:t xml:space="preserve"> 150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веднъж дневно, 7 дни</w:t>
            </w:r>
          </w:p>
        </w:tc>
        <w:tc>
          <w:tcPr>
            <w:tcW w:w="3167" w:type="dxa"/>
          </w:tcPr>
          <w:p w14:paraId="008A6E98" w14:textId="2CD96F2A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10 </w:t>
            </w:r>
            <w:proofErr w:type="spellStart"/>
            <w:r w:rsidRPr="00927D7E">
              <w:t>mg</w:t>
            </w:r>
            <w:proofErr w:type="spellEnd"/>
            <w:r w:rsidRPr="00927D7E">
              <w:t>, единична доза</w:t>
            </w:r>
          </w:p>
        </w:tc>
        <w:tc>
          <w:tcPr>
            <w:tcW w:w="3172" w:type="dxa"/>
          </w:tcPr>
          <w:p w14:paraId="59C15AAA" w14:textId="2C8A74BA" w:rsidR="004D0CE0" w:rsidRPr="00927D7E" w:rsidRDefault="004D0CE0" w:rsidP="004D0CE0">
            <w:pPr>
              <w:rPr>
                <w:rFonts w:cs="Arial"/>
              </w:rPr>
            </w:pPr>
            <w:r w:rsidRPr="00927D7E">
              <w:t>2,8 пъти ↑</w:t>
            </w:r>
          </w:p>
        </w:tc>
      </w:tr>
      <w:tr w:rsidR="004D0CE0" w:rsidRPr="00927D7E" w14:paraId="225B1A53" w14:textId="77777777" w:rsidTr="004D0CE0">
        <w:tc>
          <w:tcPr>
            <w:tcW w:w="3171" w:type="dxa"/>
          </w:tcPr>
          <w:p w14:paraId="08D9E23F" w14:textId="56ACCE93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Лопинавир 400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/ритонавир 100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2 пъти/ден, 17 дни</w:t>
            </w:r>
          </w:p>
        </w:tc>
        <w:tc>
          <w:tcPr>
            <w:tcW w:w="3167" w:type="dxa"/>
          </w:tcPr>
          <w:p w14:paraId="29C92FAE" w14:textId="3E7DB06C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20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веднъж/ден, 7 дни</w:t>
            </w:r>
          </w:p>
        </w:tc>
        <w:tc>
          <w:tcPr>
            <w:tcW w:w="3172" w:type="dxa"/>
          </w:tcPr>
          <w:p w14:paraId="2636E0CF" w14:textId="76E602F6" w:rsidR="004D0CE0" w:rsidRPr="00927D7E" w:rsidRDefault="004D0CE0" w:rsidP="004D0CE0">
            <w:pPr>
              <w:rPr>
                <w:rFonts w:cs="Arial"/>
              </w:rPr>
            </w:pPr>
            <w:r w:rsidRPr="00927D7E">
              <w:t>2,1 пъти ↑</w:t>
            </w:r>
          </w:p>
        </w:tc>
      </w:tr>
      <w:tr w:rsidR="004D0CE0" w:rsidRPr="00927D7E" w14:paraId="0993910F" w14:textId="77777777" w:rsidTr="004D0CE0">
        <w:tc>
          <w:tcPr>
            <w:tcW w:w="3171" w:type="dxa"/>
          </w:tcPr>
          <w:p w14:paraId="1C0DB3AD" w14:textId="710C8E80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Клопидогрел</w:t>
            </w:r>
            <w:proofErr w:type="spellEnd"/>
            <w:r w:rsidRPr="00927D7E">
              <w:t xml:space="preserve"> натоварване с 300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, последвано от 75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на 24 часа</w:t>
            </w:r>
          </w:p>
        </w:tc>
        <w:tc>
          <w:tcPr>
            <w:tcW w:w="3167" w:type="dxa"/>
          </w:tcPr>
          <w:p w14:paraId="54B2BF4D" w14:textId="09C3BD83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20 </w:t>
            </w:r>
            <w:proofErr w:type="spellStart"/>
            <w:r w:rsidRPr="00927D7E">
              <w:t>mg</w:t>
            </w:r>
            <w:proofErr w:type="spellEnd"/>
            <w:r w:rsidRPr="00927D7E">
              <w:t>, единична доза</w:t>
            </w:r>
          </w:p>
        </w:tc>
        <w:tc>
          <w:tcPr>
            <w:tcW w:w="3172" w:type="dxa"/>
          </w:tcPr>
          <w:p w14:paraId="6861C370" w14:textId="354A0B8E" w:rsidR="004D0CE0" w:rsidRPr="00927D7E" w:rsidRDefault="004D0CE0" w:rsidP="004D0CE0">
            <w:pPr>
              <w:rPr>
                <w:rFonts w:cs="Arial"/>
              </w:rPr>
            </w:pPr>
            <w:r w:rsidRPr="00927D7E">
              <w:t>2 пъти ↑</w:t>
            </w:r>
          </w:p>
        </w:tc>
      </w:tr>
      <w:tr w:rsidR="004D0CE0" w:rsidRPr="00927D7E" w14:paraId="054AE0A7" w14:textId="77777777" w:rsidTr="004D0CE0">
        <w:tc>
          <w:tcPr>
            <w:tcW w:w="3171" w:type="dxa"/>
          </w:tcPr>
          <w:p w14:paraId="7D30991A" w14:textId="74AA0C91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Гемфиброзил</w:t>
            </w:r>
            <w:proofErr w:type="spellEnd"/>
            <w:r w:rsidRPr="00927D7E">
              <w:t xml:space="preserve"> 600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2 пъти/ден, 7 дни</w:t>
            </w:r>
          </w:p>
        </w:tc>
        <w:tc>
          <w:tcPr>
            <w:tcW w:w="3167" w:type="dxa"/>
          </w:tcPr>
          <w:p w14:paraId="4C6E848A" w14:textId="3AB1098B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80 </w:t>
            </w:r>
            <w:proofErr w:type="spellStart"/>
            <w:r w:rsidRPr="00927D7E">
              <w:t>mg</w:t>
            </w:r>
            <w:proofErr w:type="spellEnd"/>
            <w:r w:rsidRPr="00927D7E">
              <w:t>, единична доза</w:t>
            </w:r>
          </w:p>
        </w:tc>
        <w:tc>
          <w:tcPr>
            <w:tcW w:w="3172" w:type="dxa"/>
          </w:tcPr>
          <w:p w14:paraId="46DF72FB" w14:textId="34C7DE82" w:rsidR="004D0CE0" w:rsidRPr="00927D7E" w:rsidRDefault="004D0CE0" w:rsidP="004D0CE0">
            <w:pPr>
              <w:rPr>
                <w:rFonts w:cs="Arial"/>
              </w:rPr>
            </w:pPr>
            <w:r w:rsidRPr="00927D7E">
              <w:t>1,9 пъти ↑</w:t>
            </w:r>
          </w:p>
        </w:tc>
      </w:tr>
      <w:tr w:rsidR="004D0CE0" w:rsidRPr="00927D7E" w14:paraId="259B39C1" w14:textId="77777777" w:rsidTr="004D0CE0">
        <w:tc>
          <w:tcPr>
            <w:tcW w:w="3171" w:type="dxa"/>
          </w:tcPr>
          <w:p w14:paraId="24991580" w14:textId="72AFDFDD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Елтромбопаг</w:t>
            </w:r>
            <w:proofErr w:type="spellEnd"/>
            <w:r w:rsidRPr="00927D7E">
              <w:t xml:space="preserve"> 75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веднъж/ден, 5 дни</w:t>
            </w:r>
          </w:p>
        </w:tc>
        <w:tc>
          <w:tcPr>
            <w:tcW w:w="3167" w:type="dxa"/>
          </w:tcPr>
          <w:p w14:paraId="1FDA9722" w14:textId="602C1BCB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10 </w:t>
            </w:r>
            <w:proofErr w:type="spellStart"/>
            <w:r w:rsidRPr="00927D7E">
              <w:t>mg</w:t>
            </w:r>
            <w:proofErr w:type="spellEnd"/>
            <w:r w:rsidRPr="00927D7E">
              <w:t>, единична доза</w:t>
            </w:r>
          </w:p>
        </w:tc>
        <w:tc>
          <w:tcPr>
            <w:tcW w:w="3172" w:type="dxa"/>
          </w:tcPr>
          <w:p w14:paraId="1FE4BFB5" w14:textId="173313FD" w:rsidR="004D0CE0" w:rsidRPr="00927D7E" w:rsidRDefault="004D0CE0" w:rsidP="004D0CE0">
            <w:pPr>
              <w:rPr>
                <w:rFonts w:cs="Arial"/>
              </w:rPr>
            </w:pPr>
            <w:r w:rsidRPr="00927D7E">
              <w:t>1,6 пъти ↑</w:t>
            </w:r>
          </w:p>
        </w:tc>
      </w:tr>
      <w:tr w:rsidR="004D0CE0" w:rsidRPr="00927D7E" w14:paraId="6B44DC35" w14:textId="77777777" w:rsidTr="004D0CE0">
        <w:tc>
          <w:tcPr>
            <w:tcW w:w="3171" w:type="dxa"/>
          </w:tcPr>
          <w:p w14:paraId="4F036107" w14:textId="1D929133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Дарунавир</w:t>
            </w:r>
            <w:proofErr w:type="spellEnd"/>
            <w:r w:rsidRPr="00927D7E">
              <w:t xml:space="preserve"> 600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/ритонавир 100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2 пъти/ден, 7 дни</w:t>
            </w:r>
          </w:p>
        </w:tc>
        <w:tc>
          <w:tcPr>
            <w:tcW w:w="3167" w:type="dxa"/>
          </w:tcPr>
          <w:p w14:paraId="4FAE210F" w14:textId="1AD92586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10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веднъж/ден, 7 дни</w:t>
            </w:r>
          </w:p>
        </w:tc>
        <w:tc>
          <w:tcPr>
            <w:tcW w:w="3172" w:type="dxa"/>
          </w:tcPr>
          <w:p w14:paraId="66371C48" w14:textId="178150E9" w:rsidR="004D0CE0" w:rsidRPr="00927D7E" w:rsidRDefault="004D0CE0" w:rsidP="004D0CE0">
            <w:pPr>
              <w:rPr>
                <w:rFonts w:cs="Arial"/>
              </w:rPr>
            </w:pPr>
            <w:r w:rsidRPr="00927D7E">
              <w:t>1,5 пъти ↑</w:t>
            </w:r>
          </w:p>
        </w:tc>
      </w:tr>
      <w:tr w:rsidR="004D0CE0" w:rsidRPr="00927D7E" w14:paraId="714141EA" w14:textId="77777777" w:rsidTr="004D0CE0">
        <w:tc>
          <w:tcPr>
            <w:tcW w:w="3171" w:type="dxa"/>
          </w:tcPr>
          <w:p w14:paraId="4BC0C63A" w14:textId="595445B5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lastRenderedPageBreak/>
              <w:t>Типранавир</w:t>
            </w:r>
            <w:proofErr w:type="spellEnd"/>
            <w:r w:rsidRPr="00927D7E">
              <w:t xml:space="preserve"> 500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/ритонавир 200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2 пъти/ден, 11 дни</w:t>
            </w:r>
          </w:p>
        </w:tc>
        <w:tc>
          <w:tcPr>
            <w:tcW w:w="3167" w:type="dxa"/>
          </w:tcPr>
          <w:p w14:paraId="3D818B58" w14:textId="11031C21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10 </w:t>
            </w:r>
            <w:proofErr w:type="spellStart"/>
            <w:r w:rsidRPr="00927D7E">
              <w:t>mg</w:t>
            </w:r>
            <w:proofErr w:type="spellEnd"/>
            <w:r w:rsidRPr="00927D7E">
              <w:t>, единична доза</w:t>
            </w:r>
          </w:p>
        </w:tc>
        <w:tc>
          <w:tcPr>
            <w:tcW w:w="3172" w:type="dxa"/>
          </w:tcPr>
          <w:p w14:paraId="2DCB7481" w14:textId="3F5ADCA1" w:rsidR="004D0CE0" w:rsidRPr="00927D7E" w:rsidRDefault="004D0CE0" w:rsidP="004D0CE0">
            <w:pPr>
              <w:rPr>
                <w:rFonts w:cs="Arial"/>
              </w:rPr>
            </w:pPr>
            <w:r w:rsidRPr="00927D7E">
              <w:t>1,4 пъти ↑</w:t>
            </w:r>
          </w:p>
        </w:tc>
      </w:tr>
      <w:tr w:rsidR="004D0CE0" w:rsidRPr="00927D7E" w14:paraId="7F4280A5" w14:textId="77777777" w:rsidTr="004D0CE0">
        <w:tc>
          <w:tcPr>
            <w:tcW w:w="3171" w:type="dxa"/>
          </w:tcPr>
          <w:p w14:paraId="6F8AB207" w14:textId="1BCEE0A3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Дронедарон</w:t>
            </w:r>
            <w:proofErr w:type="spellEnd"/>
            <w:r w:rsidRPr="00927D7E">
              <w:t xml:space="preserve"> 400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2 пъти/ден</w:t>
            </w:r>
          </w:p>
        </w:tc>
        <w:tc>
          <w:tcPr>
            <w:tcW w:w="3167" w:type="dxa"/>
          </w:tcPr>
          <w:p w14:paraId="36DCB8D8" w14:textId="6A8C8004" w:rsidR="004D0CE0" w:rsidRPr="00927D7E" w:rsidRDefault="004D0CE0" w:rsidP="004D0CE0">
            <w:pPr>
              <w:rPr>
                <w:rFonts w:cs="Arial"/>
              </w:rPr>
            </w:pPr>
            <w:r w:rsidRPr="00927D7E">
              <w:t>Не е налична</w:t>
            </w:r>
          </w:p>
        </w:tc>
        <w:tc>
          <w:tcPr>
            <w:tcW w:w="3172" w:type="dxa"/>
          </w:tcPr>
          <w:p w14:paraId="4CAC0B83" w14:textId="2B17F923" w:rsidR="004D0CE0" w:rsidRPr="00927D7E" w:rsidRDefault="004D0CE0" w:rsidP="004D0CE0">
            <w:pPr>
              <w:rPr>
                <w:rFonts w:cs="Arial"/>
              </w:rPr>
            </w:pPr>
            <w:r w:rsidRPr="00927D7E">
              <w:t>1,4 пъти ↑</w:t>
            </w:r>
          </w:p>
        </w:tc>
      </w:tr>
      <w:tr w:rsidR="004D0CE0" w:rsidRPr="00927D7E" w14:paraId="2E08C205" w14:textId="77777777" w:rsidTr="004D0CE0">
        <w:tc>
          <w:tcPr>
            <w:tcW w:w="3171" w:type="dxa"/>
          </w:tcPr>
          <w:p w14:paraId="354E34E6" w14:textId="51BD8BD4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Итраконазол</w:t>
            </w:r>
            <w:proofErr w:type="spellEnd"/>
            <w:r w:rsidRPr="00927D7E">
              <w:t xml:space="preserve"> 200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веднъж/ден, 5 дни</w:t>
            </w:r>
          </w:p>
        </w:tc>
        <w:tc>
          <w:tcPr>
            <w:tcW w:w="3167" w:type="dxa"/>
          </w:tcPr>
          <w:p w14:paraId="1450383E" w14:textId="6FAA353B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10 </w:t>
            </w:r>
            <w:proofErr w:type="spellStart"/>
            <w:r w:rsidRPr="00927D7E">
              <w:t>mg</w:t>
            </w:r>
            <w:proofErr w:type="spellEnd"/>
            <w:r w:rsidRPr="00927D7E">
              <w:t>, единична доза</w:t>
            </w:r>
          </w:p>
        </w:tc>
        <w:tc>
          <w:tcPr>
            <w:tcW w:w="3172" w:type="dxa"/>
          </w:tcPr>
          <w:p w14:paraId="648A7072" w14:textId="6FC903E1" w:rsidR="004D0CE0" w:rsidRPr="00927D7E" w:rsidRDefault="004D0CE0" w:rsidP="004D0CE0">
            <w:pPr>
              <w:rPr>
                <w:rFonts w:cs="Arial"/>
              </w:rPr>
            </w:pPr>
            <w:r w:rsidRPr="00927D7E">
              <w:t>1,4 пъти ↑**</w:t>
            </w:r>
          </w:p>
        </w:tc>
      </w:tr>
      <w:tr w:rsidR="004D0CE0" w:rsidRPr="00927D7E" w14:paraId="0723274C" w14:textId="77777777" w:rsidTr="004D0CE0">
        <w:tc>
          <w:tcPr>
            <w:tcW w:w="3171" w:type="dxa"/>
          </w:tcPr>
          <w:p w14:paraId="432101DB" w14:textId="719E715D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Фозампренавир</w:t>
            </w:r>
            <w:proofErr w:type="spellEnd"/>
            <w:r w:rsidRPr="00927D7E">
              <w:t xml:space="preserve"> 700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/ритонавир 100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2 пъти/ден, 8 дни</w:t>
            </w:r>
          </w:p>
        </w:tc>
        <w:tc>
          <w:tcPr>
            <w:tcW w:w="3167" w:type="dxa"/>
          </w:tcPr>
          <w:p w14:paraId="645111C3" w14:textId="666FFE85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10 </w:t>
            </w:r>
            <w:proofErr w:type="spellStart"/>
            <w:r w:rsidRPr="00927D7E">
              <w:t>mg</w:t>
            </w:r>
            <w:proofErr w:type="spellEnd"/>
            <w:r w:rsidRPr="00927D7E">
              <w:t>, единична доза</w:t>
            </w:r>
          </w:p>
        </w:tc>
        <w:tc>
          <w:tcPr>
            <w:tcW w:w="3172" w:type="dxa"/>
          </w:tcPr>
          <w:p w14:paraId="15235290" w14:textId="718434F7" w:rsidR="004D0CE0" w:rsidRPr="00927D7E" w:rsidRDefault="004D0CE0" w:rsidP="004D0CE0">
            <w:pPr>
              <w:rPr>
                <w:rFonts w:cs="Arial"/>
              </w:rPr>
            </w:pPr>
            <w:r w:rsidRPr="00927D7E">
              <w:t>↔</w:t>
            </w:r>
          </w:p>
        </w:tc>
      </w:tr>
      <w:tr w:rsidR="004D0CE0" w:rsidRPr="00927D7E" w14:paraId="0CAF8D84" w14:textId="77777777" w:rsidTr="004D0CE0">
        <w:tc>
          <w:tcPr>
            <w:tcW w:w="3171" w:type="dxa"/>
          </w:tcPr>
          <w:p w14:paraId="6AA73EF0" w14:textId="77F0E336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Алеглитазар</w:t>
            </w:r>
            <w:proofErr w:type="spellEnd"/>
            <w:r w:rsidRPr="00927D7E">
              <w:t xml:space="preserve"> 0,3 </w:t>
            </w:r>
            <w:proofErr w:type="spellStart"/>
            <w:r w:rsidRPr="00927D7E">
              <w:t>mg</w:t>
            </w:r>
            <w:proofErr w:type="spellEnd"/>
            <w:r w:rsidRPr="00927D7E">
              <w:t>, 7 дни</w:t>
            </w:r>
          </w:p>
        </w:tc>
        <w:tc>
          <w:tcPr>
            <w:tcW w:w="3167" w:type="dxa"/>
          </w:tcPr>
          <w:p w14:paraId="2D265D19" w14:textId="6F4975A4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40 </w:t>
            </w:r>
            <w:proofErr w:type="spellStart"/>
            <w:r w:rsidRPr="00927D7E">
              <w:t>mg</w:t>
            </w:r>
            <w:proofErr w:type="spellEnd"/>
            <w:r w:rsidRPr="00927D7E">
              <w:t>, 7 дни</w:t>
            </w:r>
          </w:p>
        </w:tc>
        <w:tc>
          <w:tcPr>
            <w:tcW w:w="3172" w:type="dxa"/>
          </w:tcPr>
          <w:p w14:paraId="33CE4EBE" w14:textId="77777777" w:rsidR="004D0CE0" w:rsidRPr="00927D7E" w:rsidRDefault="004D0CE0" w:rsidP="004D0CE0">
            <w:pPr>
              <w:rPr>
                <w:rFonts w:cs="Arial"/>
              </w:rPr>
            </w:pPr>
          </w:p>
        </w:tc>
      </w:tr>
      <w:tr w:rsidR="004D0CE0" w:rsidRPr="00927D7E" w14:paraId="777B0470" w14:textId="77777777" w:rsidTr="004D0CE0">
        <w:tc>
          <w:tcPr>
            <w:tcW w:w="3171" w:type="dxa"/>
          </w:tcPr>
          <w:p w14:paraId="45D4C729" w14:textId="70330B7D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Силимарин</w:t>
            </w:r>
            <w:proofErr w:type="spellEnd"/>
            <w:r w:rsidRPr="00927D7E">
              <w:t xml:space="preserve"> 140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3 пъти/ден, 5 дни</w:t>
            </w:r>
          </w:p>
        </w:tc>
        <w:tc>
          <w:tcPr>
            <w:tcW w:w="3167" w:type="dxa"/>
          </w:tcPr>
          <w:p w14:paraId="0EE9514E" w14:textId="714C9E70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10 </w:t>
            </w:r>
            <w:proofErr w:type="spellStart"/>
            <w:r w:rsidRPr="00927D7E">
              <w:t>mg</w:t>
            </w:r>
            <w:proofErr w:type="spellEnd"/>
            <w:r w:rsidRPr="00927D7E">
              <w:t>, единична доза</w:t>
            </w:r>
          </w:p>
        </w:tc>
        <w:tc>
          <w:tcPr>
            <w:tcW w:w="3172" w:type="dxa"/>
          </w:tcPr>
          <w:p w14:paraId="27E0D5E9" w14:textId="23671B69" w:rsidR="004D0CE0" w:rsidRPr="00927D7E" w:rsidRDefault="004D0CE0" w:rsidP="004D0CE0">
            <w:pPr>
              <w:rPr>
                <w:rFonts w:cs="Arial"/>
              </w:rPr>
            </w:pPr>
            <w:r w:rsidRPr="00927D7E">
              <w:t>↔</w:t>
            </w:r>
          </w:p>
        </w:tc>
      </w:tr>
      <w:tr w:rsidR="004D0CE0" w:rsidRPr="00927D7E" w14:paraId="48A63518" w14:textId="77777777" w:rsidTr="004D0CE0">
        <w:tc>
          <w:tcPr>
            <w:tcW w:w="3171" w:type="dxa"/>
          </w:tcPr>
          <w:p w14:paraId="456630C0" w14:textId="45935433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Фенофибрат</w:t>
            </w:r>
            <w:proofErr w:type="spellEnd"/>
            <w:r w:rsidRPr="00927D7E">
              <w:t xml:space="preserve"> 67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3 пъти/ден, 7 дни</w:t>
            </w:r>
          </w:p>
        </w:tc>
        <w:tc>
          <w:tcPr>
            <w:tcW w:w="3167" w:type="dxa"/>
          </w:tcPr>
          <w:p w14:paraId="7C691D86" w14:textId="40120630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10 </w:t>
            </w:r>
            <w:proofErr w:type="spellStart"/>
            <w:r w:rsidRPr="00927D7E">
              <w:t>mg</w:t>
            </w:r>
            <w:proofErr w:type="spellEnd"/>
            <w:r w:rsidRPr="00927D7E">
              <w:t>, 7 дни</w:t>
            </w:r>
          </w:p>
        </w:tc>
        <w:tc>
          <w:tcPr>
            <w:tcW w:w="3172" w:type="dxa"/>
          </w:tcPr>
          <w:p w14:paraId="679E8D78" w14:textId="0E843B3A" w:rsidR="004D0CE0" w:rsidRPr="00927D7E" w:rsidRDefault="004D0CE0" w:rsidP="004D0CE0">
            <w:pPr>
              <w:rPr>
                <w:rFonts w:cs="Arial"/>
              </w:rPr>
            </w:pPr>
            <w:r w:rsidRPr="00927D7E">
              <w:t>↔</w:t>
            </w:r>
          </w:p>
        </w:tc>
      </w:tr>
      <w:tr w:rsidR="004D0CE0" w:rsidRPr="00927D7E" w14:paraId="0946DAB9" w14:textId="77777777" w:rsidTr="004D0CE0">
        <w:tc>
          <w:tcPr>
            <w:tcW w:w="3171" w:type="dxa"/>
          </w:tcPr>
          <w:p w14:paraId="2B4FC744" w14:textId="01E0E71B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Рифампин</w:t>
            </w:r>
            <w:proofErr w:type="spellEnd"/>
            <w:r w:rsidRPr="00927D7E">
              <w:t xml:space="preserve"> 450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веднъж/ден, 7 дни</w:t>
            </w:r>
          </w:p>
        </w:tc>
        <w:tc>
          <w:tcPr>
            <w:tcW w:w="3167" w:type="dxa"/>
          </w:tcPr>
          <w:p w14:paraId="2E9C449C" w14:textId="2C0EB1C7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20 </w:t>
            </w:r>
            <w:proofErr w:type="spellStart"/>
            <w:r w:rsidRPr="00927D7E">
              <w:t>mg</w:t>
            </w:r>
            <w:proofErr w:type="spellEnd"/>
            <w:r w:rsidRPr="00927D7E">
              <w:t>, единична доза</w:t>
            </w:r>
          </w:p>
        </w:tc>
        <w:tc>
          <w:tcPr>
            <w:tcW w:w="3172" w:type="dxa"/>
          </w:tcPr>
          <w:p w14:paraId="3C00E465" w14:textId="4AC6F743" w:rsidR="004D0CE0" w:rsidRPr="00927D7E" w:rsidRDefault="004D0CE0" w:rsidP="004D0CE0">
            <w:pPr>
              <w:rPr>
                <w:rFonts w:cs="Arial"/>
              </w:rPr>
            </w:pPr>
            <w:r w:rsidRPr="00927D7E">
              <w:t>↔</w:t>
            </w:r>
          </w:p>
        </w:tc>
      </w:tr>
      <w:tr w:rsidR="004D0CE0" w:rsidRPr="00927D7E" w14:paraId="4B808FC8" w14:textId="77777777" w:rsidTr="004D0CE0">
        <w:tc>
          <w:tcPr>
            <w:tcW w:w="3171" w:type="dxa"/>
          </w:tcPr>
          <w:p w14:paraId="7E41B17C" w14:textId="4E089942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Кетоконазол</w:t>
            </w:r>
            <w:proofErr w:type="spellEnd"/>
            <w:r w:rsidRPr="00927D7E">
              <w:t xml:space="preserve"> 200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2 пъти/ден, 7 дни</w:t>
            </w:r>
          </w:p>
        </w:tc>
        <w:tc>
          <w:tcPr>
            <w:tcW w:w="3167" w:type="dxa"/>
          </w:tcPr>
          <w:p w14:paraId="3942F0C9" w14:textId="3AEC639A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80 </w:t>
            </w:r>
            <w:proofErr w:type="spellStart"/>
            <w:r w:rsidRPr="00927D7E">
              <w:t>mg</w:t>
            </w:r>
            <w:proofErr w:type="spellEnd"/>
            <w:r w:rsidRPr="00927D7E">
              <w:t>, единична доза</w:t>
            </w:r>
          </w:p>
        </w:tc>
        <w:tc>
          <w:tcPr>
            <w:tcW w:w="3172" w:type="dxa"/>
          </w:tcPr>
          <w:p w14:paraId="581C29E8" w14:textId="19B5D0A2" w:rsidR="004D0CE0" w:rsidRPr="00927D7E" w:rsidRDefault="004D0CE0" w:rsidP="004D0CE0">
            <w:pPr>
              <w:rPr>
                <w:rFonts w:cs="Arial"/>
              </w:rPr>
            </w:pPr>
            <w:r w:rsidRPr="00927D7E">
              <w:t>↔</w:t>
            </w:r>
          </w:p>
        </w:tc>
      </w:tr>
      <w:tr w:rsidR="004D0CE0" w:rsidRPr="00927D7E" w14:paraId="348F015E" w14:textId="77777777" w:rsidTr="004D0CE0">
        <w:tc>
          <w:tcPr>
            <w:tcW w:w="3171" w:type="dxa"/>
          </w:tcPr>
          <w:p w14:paraId="1E18D814" w14:textId="6F11877A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Флуконазол</w:t>
            </w:r>
            <w:proofErr w:type="spellEnd"/>
            <w:r w:rsidRPr="00927D7E">
              <w:t xml:space="preserve"> 200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веднъж/ден, 11 дни</w:t>
            </w:r>
          </w:p>
        </w:tc>
        <w:tc>
          <w:tcPr>
            <w:tcW w:w="3167" w:type="dxa"/>
          </w:tcPr>
          <w:p w14:paraId="3A264ABD" w14:textId="0E874F1B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80 </w:t>
            </w:r>
            <w:proofErr w:type="spellStart"/>
            <w:r w:rsidRPr="00927D7E">
              <w:t>mg</w:t>
            </w:r>
            <w:proofErr w:type="spellEnd"/>
            <w:r w:rsidRPr="00927D7E">
              <w:t>, единична доза</w:t>
            </w:r>
          </w:p>
        </w:tc>
        <w:tc>
          <w:tcPr>
            <w:tcW w:w="3172" w:type="dxa"/>
          </w:tcPr>
          <w:p w14:paraId="6A0DF579" w14:textId="77F274FB" w:rsidR="004D0CE0" w:rsidRPr="00927D7E" w:rsidRDefault="004D0CE0" w:rsidP="004D0CE0">
            <w:pPr>
              <w:rPr>
                <w:rFonts w:cs="Arial"/>
              </w:rPr>
            </w:pPr>
            <w:r w:rsidRPr="00927D7E">
              <w:t>↔</w:t>
            </w:r>
          </w:p>
        </w:tc>
      </w:tr>
      <w:tr w:rsidR="004D0CE0" w:rsidRPr="00927D7E" w14:paraId="449FD67F" w14:textId="77777777" w:rsidTr="004D0CE0">
        <w:tc>
          <w:tcPr>
            <w:tcW w:w="3171" w:type="dxa"/>
          </w:tcPr>
          <w:p w14:paraId="6D3447E4" w14:textId="2B7EA78A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Еритромицин</w:t>
            </w:r>
            <w:proofErr w:type="spellEnd"/>
            <w:r w:rsidRPr="00927D7E">
              <w:t xml:space="preserve"> 500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4 пъти/ден, 7 дни</w:t>
            </w:r>
          </w:p>
        </w:tc>
        <w:tc>
          <w:tcPr>
            <w:tcW w:w="3167" w:type="dxa"/>
          </w:tcPr>
          <w:p w14:paraId="09B6E061" w14:textId="34EE1168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80 </w:t>
            </w:r>
            <w:proofErr w:type="spellStart"/>
            <w:r w:rsidRPr="00927D7E">
              <w:t>mg</w:t>
            </w:r>
            <w:proofErr w:type="spellEnd"/>
            <w:r w:rsidRPr="00927D7E">
              <w:t>, единична доза</w:t>
            </w:r>
          </w:p>
        </w:tc>
        <w:tc>
          <w:tcPr>
            <w:tcW w:w="3172" w:type="dxa"/>
          </w:tcPr>
          <w:p w14:paraId="47CAA81A" w14:textId="2C1E8612" w:rsidR="004D0CE0" w:rsidRPr="00927D7E" w:rsidRDefault="004D0CE0" w:rsidP="004D0CE0">
            <w:pPr>
              <w:rPr>
                <w:rFonts w:cs="Arial"/>
              </w:rPr>
            </w:pPr>
            <w:r w:rsidRPr="00927D7E">
              <w:t>20% ↓</w:t>
            </w:r>
          </w:p>
        </w:tc>
      </w:tr>
      <w:tr w:rsidR="004D0CE0" w:rsidRPr="00927D7E" w14:paraId="171F2834" w14:textId="77777777" w:rsidTr="004D0CE0">
        <w:tc>
          <w:tcPr>
            <w:tcW w:w="3171" w:type="dxa"/>
          </w:tcPr>
          <w:p w14:paraId="42F492F0" w14:textId="2A0A185D" w:rsidR="004D0CE0" w:rsidRPr="00927D7E" w:rsidRDefault="004D0CE0" w:rsidP="004D0CE0">
            <w:pPr>
              <w:rPr>
                <w:rFonts w:cs="Arial"/>
              </w:rPr>
            </w:pPr>
            <w:proofErr w:type="spellStart"/>
            <w:r w:rsidRPr="00927D7E">
              <w:t>Баикалин</w:t>
            </w:r>
            <w:proofErr w:type="spellEnd"/>
            <w:r w:rsidRPr="00927D7E">
              <w:t xml:space="preserve"> 50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3 пъти/ден, 14 дни</w:t>
            </w:r>
          </w:p>
        </w:tc>
        <w:tc>
          <w:tcPr>
            <w:tcW w:w="3167" w:type="dxa"/>
          </w:tcPr>
          <w:p w14:paraId="3BB5E1FF" w14:textId="6055679F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20 </w:t>
            </w:r>
            <w:proofErr w:type="spellStart"/>
            <w:r w:rsidRPr="00927D7E">
              <w:t>mg</w:t>
            </w:r>
            <w:proofErr w:type="spellEnd"/>
            <w:r w:rsidRPr="00927D7E">
              <w:t>, единична доза</w:t>
            </w:r>
          </w:p>
        </w:tc>
        <w:tc>
          <w:tcPr>
            <w:tcW w:w="3172" w:type="dxa"/>
          </w:tcPr>
          <w:p w14:paraId="4BABC130" w14:textId="477535AC" w:rsidR="004D0CE0" w:rsidRPr="00927D7E" w:rsidRDefault="004D0CE0" w:rsidP="004D0CE0">
            <w:pPr>
              <w:rPr>
                <w:rFonts w:cs="Arial"/>
              </w:rPr>
            </w:pPr>
            <w:r w:rsidRPr="00927D7E">
              <w:t>47%  ↓</w:t>
            </w:r>
          </w:p>
        </w:tc>
      </w:tr>
      <w:tr w:rsidR="004D0CE0" w:rsidRPr="00927D7E" w14:paraId="57B7EA5E" w14:textId="77777777" w:rsidTr="004D0CE0">
        <w:tc>
          <w:tcPr>
            <w:tcW w:w="3171" w:type="dxa"/>
          </w:tcPr>
          <w:p w14:paraId="518F8499" w14:textId="77777777" w:rsidR="004D0CE0" w:rsidRPr="00927D7E" w:rsidRDefault="004D0CE0" w:rsidP="004D0CE0">
            <w:proofErr w:type="spellStart"/>
            <w:r w:rsidRPr="00927D7E">
              <w:t>Езетимиб</w:t>
            </w:r>
            <w:proofErr w:type="spellEnd"/>
            <w:r w:rsidRPr="00927D7E">
              <w:t xml:space="preserve"> 10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веднъж дневно, 14</w:t>
            </w:r>
          </w:p>
          <w:p w14:paraId="21561D99" w14:textId="09DEC6F7" w:rsidR="004D0CE0" w:rsidRPr="00927D7E" w:rsidRDefault="004D0CE0" w:rsidP="004D0CE0">
            <w:pPr>
              <w:rPr>
                <w:rFonts w:cs="Arial"/>
              </w:rPr>
            </w:pPr>
            <w:r w:rsidRPr="00927D7E">
              <w:t>ДНИ</w:t>
            </w:r>
          </w:p>
        </w:tc>
        <w:tc>
          <w:tcPr>
            <w:tcW w:w="3167" w:type="dxa"/>
          </w:tcPr>
          <w:p w14:paraId="7FBA2DBA" w14:textId="42839BFD" w:rsidR="004D0CE0" w:rsidRPr="00927D7E" w:rsidRDefault="004D0CE0" w:rsidP="004D0CE0">
            <w:pPr>
              <w:rPr>
                <w:rFonts w:cs="Arial"/>
              </w:rPr>
            </w:pPr>
            <w:r w:rsidRPr="00927D7E">
              <w:t xml:space="preserve">10 </w:t>
            </w:r>
            <w:proofErr w:type="spellStart"/>
            <w:r w:rsidRPr="00927D7E">
              <w:t>mg</w:t>
            </w:r>
            <w:proofErr w:type="spellEnd"/>
            <w:r w:rsidRPr="00927D7E">
              <w:t xml:space="preserve"> веднъж дневно, 14 дни</w:t>
            </w:r>
          </w:p>
        </w:tc>
        <w:tc>
          <w:tcPr>
            <w:tcW w:w="3172" w:type="dxa"/>
          </w:tcPr>
          <w:p w14:paraId="24792CC9" w14:textId="4E0423D5" w:rsidR="004D0CE0" w:rsidRPr="00927D7E" w:rsidRDefault="004D0CE0" w:rsidP="004D0CE0">
            <w:pPr>
              <w:rPr>
                <w:rFonts w:cs="Arial"/>
              </w:rPr>
            </w:pPr>
            <w:r w:rsidRPr="00927D7E">
              <w:t>1,2 пъти ↑**</w:t>
            </w:r>
          </w:p>
        </w:tc>
      </w:tr>
    </w:tbl>
    <w:p w14:paraId="0415D91F" w14:textId="77777777" w:rsidR="004D0CE0" w:rsidRPr="00927D7E" w:rsidRDefault="004D0CE0" w:rsidP="004D0CE0">
      <w:pPr>
        <w:rPr>
          <w:rFonts w:cs="Arial"/>
        </w:rPr>
      </w:pPr>
    </w:p>
    <w:p w14:paraId="0CA1BE0A" w14:textId="77777777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* Данните, дадени като х пъти промяна, представляват просто съотношение между едновременно приложение и самостоятелно приложение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Данните, дадени като % промяна представят % разлика отнесен към самостоятелното приложение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>.</w:t>
      </w:r>
    </w:p>
    <w:p w14:paraId="34044CAA" w14:textId="77777777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>Повишението е посочено като "</w:t>
      </w:r>
      <w:r w:rsidRPr="00927D7E">
        <w:rPr>
          <w:rFonts w:eastAsia="Times New Roman" w:cs="Arial"/>
          <w:color w:val="000000"/>
        </w:rPr>
        <w:t>↑</w:t>
      </w:r>
      <w:r w:rsidRPr="00927D7E">
        <w:rPr>
          <w:rFonts w:eastAsia="Times New Roman" w:cs="Arial"/>
          <w:color w:val="000000"/>
          <w:lang w:eastAsia="bg-BG"/>
        </w:rPr>
        <w:t>"</w:t>
      </w:r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без промяна като "</w:t>
      </w:r>
      <w:r w:rsidRPr="00927D7E">
        <w:rPr>
          <w:rFonts w:eastAsia="Times New Roman" w:cs="Arial"/>
          <w:color w:val="000000"/>
        </w:rPr>
        <w:t>↔</w:t>
      </w:r>
      <w:r w:rsidRPr="00927D7E">
        <w:rPr>
          <w:rFonts w:eastAsia="Times New Roman" w:cs="Arial"/>
          <w:color w:val="000000"/>
          <w:lang w:eastAsia="bg-BG"/>
        </w:rPr>
        <w:t>"</w:t>
      </w:r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понижението като “↓”.</w:t>
      </w:r>
    </w:p>
    <w:p w14:paraId="23FDF717" w14:textId="77777777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**Няколко проучвания за взаимодействия са проведени с различни дозировки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>, а таблицата представя най-значимото съотношение</w:t>
      </w:r>
    </w:p>
    <w:p w14:paraId="60FD0552" w14:textId="77777777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Комбинацията не е подходяща за първоначално лечение. При необходимост началото на лечението или адаптирането на дозата, трябва да се извършват само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монопрепарати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след определяне на подходящите дози е възможно преминаването към комбинацията с фиксирана доза с подходящата концентрация.</w:t>
      </w:r>
    </w:p>
    <w:p w14:paraId="2657444C" w14:textId="77777777" w:rsidR="004D0CE0" w:rsidRPr="00927D7E" w:rsidRDefault="004D0CE0" w:rsidP="004D0CE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5C1FE11" w14:textId="5C7F9A82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5B2761C5" w14:textId="5E3CC5DD" w:rsidR="0091385D" w:rsidRPr="00927D7E" w:rsidRDefault="004D0CE0" w:rsidP="004D0CE0">
      <w:pPr>
        <w:rPr>
          <w:rFonts w:cs="Arial"/>
        </w:rPr>
      </w:pPr>
      <w:r w:rsidRPr="00927D7E">
        <w:rPr>
          <w:rFonts w:eastAsia="Times New Roman" w:cs="Arial"/>
          <w:color w:val="000000"/>
          <w:lang w:eastAsia="bg-BG"/>
        </w:rPr>
        <w:t>Проучвания за взаимодействия са провеждани само при възрастни пациенти.</w:t>
      </w:r>
    </w:p>
    <w:p w14:paraId="4E4B812D" w14:textId="5197D4FA" w:rsidR="004D0CE0" w:rsidRPr="00927D7E" w:rsidRDefault="004D0CE0" w:rsidP="0091385D"/>
    <w:p w14:paraId="394A7584" w14:textId="10DEA5B3" w:rsidR="004F498A" w:rsidRPr="00927D7E" w:rsidRDefault="002C50EE" w:rsidP="004A448E">
      <w:pPr>
        <w:pStyle w:val="Heading2"/>
      </w:pPr>
      <w:r w:rsidRPr="00927D7E">
        <w:t>4.6. Фертилитет, бременност и кърмене</w:t>
      </w:r>
    </w:p>
    <w:p w14:paraId="4887836B" w14:textId="11C96CFA" w:rsidR="0091385D" w:rsidRPr="00927D7E" w:rsidRDefault="0091385D" w:rsidP="0091385D"/>
    <w:p w14:paraId="65624ADD" w14:textId="77777777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Употребата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е противопоказана по време на бременност и кърмене. Жени в детеродна възраст трябва да използват подходящи контрацептивни мерки.</w:t>
      </w:r>
    </w:p>
    <w:p w14:paraId="77886030" w14:textId="77777777" w:rsidR="004D0CE0" w:rsidRPr="00927D7E" w:rsidRDefault="004D0CE0" w:rsidP="004D0CE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6DEF687" w14:textId="6F5A5554" w:rsidR="004D0CE0" w:rsidRPr="00927D7E" w:rsidRDefault="004D0CE0" w:rsidP="004D0CE0">
      <w:pPr>
        <w:pStyle w:val="Heading3"/>
        <w:rPr>
          <w:rFonts w:eastAsia="Times New Roman"/>
          <w:u w:val="single"/>
          <w:lang w:eastAsia="bg-BG"/>
        </w:rPr>
      </w:pPr>
      <w:r w:rsidRPr="00927D7E">
        <w:rPr>
          <w:rFonts w:eastAsia="Times New Roman"/>
          <w:u w:val="single"/>
          <w:lang w:eastAsia="bg-BG"/>
        </w:rPr>
        <w:t>Бременност</w:t>
      </w:r>
    </w:p>
    <w:p w14:paraId="32A43E49" w14:textId="77777777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i/>
          <w:iCs/>
          <w:color w:val="000000"/>
          <w:lang w:eastAsia="bg-BG"/>
        </w:rPr>
        <w:t>:</w:t>
      </w:r>
    </w:p>
    <w:p w14:paraId="61F6348F" w14:textId="77777777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Тъй като холестеролът и други продукти на биосинтезата на холестерола са важни за развитието на плода, потенциалният риск от инхибиране на </w:t>
      </w:r>
      <w:r w:rsidRPr="00927D7E">
        <w:rPr>
          <w:rFonts w:eastAsia="Times New Roman" w:cs="Arial"/>
          <w:color w:val="000000"/>
        </w:rPr>
        <w:t>HMG-</w:t>
      </w:r>
      <w:proofErr w:type="spellStart"/>
      <w:r w:rsidRPr="00927D7E">
        <w:rPr>
          <w:rFonts w:eastAsia="Times New Roman" w:cs="Arial"/>
          <w:color w:val="000000"/>
        </w:rPr>
        <w:t>CoA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по-голям, в сравнение с ползата от лечението по време на бременност. Изследванията върху животни предоставят ограничени данни за репродуктивна токсичност (вж. точка 5.3). Ако пациентка забременее по време на лечение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лечението трябва да се прекрати незабавно. </w:t>
      </w: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i/>
          <w:iCs/>
          <w:color w:val="000000"/>
          <w:lang w:eastAsia="bg-BG"/>
        </w:rPr>
        <w:t>:</w:t>
      </w:r>
    </w:p>
    <w:p w14:paraId="3D4B3B13" w14:textId="77777777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Няма налични клинични данни за употребата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по време на бременност.</w:t>
      </w:r>
    </w:p>
    <w:p w14:paraId="0A261BAD" w14:textId="77777777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Проучванията върху животни при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монотерапия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не показват признаци на преки или непреки вредни ефекти по отношение на бременността,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ембриофеталното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развитие, раждането или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постнаталното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развитие (вж. точка 5.3).</w:t>
      </w:r>
    </w:p>
    <w:p w14:paraId="4CEB0637" w14:textId="77777777" w:rsidR="004D0CE0" w:rsidRPr="00927D7E" w:rsidRDefault="004D0CE0" w:rsidP="004D0CE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300722B" w14:textId="0E14BEDE" w:rsidR="004D0CE0" w:rsidRPr="00927D7E" w:rsidRDefault="004D0CE0" w:rsidP="004D0CE0">
      <w:pPr>
        <w:pStyle w:val="Heading3"/>
        <w:rPr>
          <w:rFonts w:eastAsia="Times New Roman"/>
          <w:u w:val="single"/>
          <w:lang w:eastAsia="bg-BG"/>
        </w:rPr>
      </w:pPr>
      <w:r w:rsidRPr="00927D7E">
        <w:rPr>
          <w:rFonts w:eastAsia="Times New Roman"/>
          <w:u w:val="single"/>
          <w:lang w:eastAsia="bg-BG"/>
        </w:rPr>
        <w:t>Кърмене</w:t>
      </w:r>
    </w:p>
    <w:p w14:paraId="7328CFE8" w14:textId="77777777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i/>
          <w:iCs/>
          <w:color w:val="000000"/>
          <w:lang w:eastAsia="bg-BG"/>
        </w:rPr>
        <w:t>:</w:t>
      </w:r>
    </w:p>
    <w:p w14:paraId="7FBCF3E2" w14:textId="77777777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отделя в млякото на плъхове. Няма данни относно неговата екскреция в човешкото мляко (вж. точка 4.3).</w:t>
      </w:r>
    </w:p>
    <w:p w14:paraId="0EE52801" w14:textId="77777777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i/>
          <w:iCs/>
          <w:color w:val="000000"/>
          <w:lang w:eastAsia="bg-BG"/>
        </w:rPr>
        <w:t>:</w:t>
      </w:r>
    </w:p>
    <w:p w14:paraId="083C6E6E" w14:textId="77777777" w:rsidR="004D0CE0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Проучвания върху плъхове показват, че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 кърмата. Не е известно дали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отделя в кърмата при хора.</w:t>
      </w:r>
    </w:p>
    <w:p w14:paraId="184A629F" w14:textId="77777777" w:rsidR="004D0CE0" w:rsidRPr="00927D7E" w:rsidRDefault="004D0CE0" w:rsidP="004D0CE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65310E" w14:textId="45DF0833" w:rsidR="004D0CE0" w:rsidRPr="00927D7E" w:rsidRDefault="004D0CE0" w:rsidP="004D0CE0">
      <w:pPr>
        <w:pStyle w:val="Heading3"/>
        <w:rPr>
          <w:rFonts w:eastAsia="Times New Roman"/>
          <w:u w:val="single"/>
          <w:lang w:eastAsia="bg-BG"/>
        </w:rPr>
      </w:pPr>
      <w:r w:rsidRPr="00927D7E">
        <w:rPr>
          <w:rFonts w:eastAsia="Times New Roman"/>
          <w:u w:val="single"/>
          <w:lang w:eastAsia="bg-BG"/>
        </w:rPr>
        <w:t>Фертилитет</w:t>
      </w:r>
    </w:p>
    <w:p w14:paraId="776662C5" w14:textId="72179750" w:rsidR="0091385D" w:rsidRPr="00927D7E" w:rsidRDefault="004D0CE0" w:rsidP="004D0CE0">
      <w:pPr>
        <w:rPr>
          <w:rFonts w:cs="Arial"/>
        </w:rPr>
      </w:pPr>
      <w:r w:rsidRPr="00927D7E">
        <w:rPr>
          <w:rFonts w:eastAsia="Times New Roman" w:cs="Arial"/>
          <w:color w:val="000000"/>
          <w:lang w:eastAsia="bg-BG"/>
        </w:rPr>
        <w:t xml:space="preserve">Няма данни от клинични проучвания за ефектите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върху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фертилитета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при хора.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не оказва влияние върху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фертилитета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 мъжки или женски плъхове (вж. точка 5.3).</w:t>
      </w:r>
    </w:p>
    <w:p w14:paraId="3E8789C3" w14:textId="77777777" w:rsidR="0091385D" w:rsidRPr="00927D7E" w:rsidRDefault="0091385D" w:rsidP="0091385D"/>
    <w:p w14:paraId="064DF1DE" w14:textId="70BCC16C" w:rsidR="00CF77F7" w:rsidRPr="00927D7E" w:rsidRDefault="002C50EE" w:rsidP="004A448E">
      <w:pPr>
        <w:pStyle w:val="Heading2"/>
      </w:pPr>
      <w:r w:rsidRPr="00927D7E">
        <w:t>4.7. Ефекти върху способността за шофиране и работа с машини</w:t>
      </w:r>
    </w:p>
    <w:p w14:paraId="1455464C" w14:textId="2676810A" w:rsidR="0091385D" w:rsidRPr="00927D7E" w:rsidRDefault="0091385D" w:rsidP="0091385D"/>
    <w:p w14:paraId="2B4135A6" w14:textId="0C2414C5" w:rsidR="0091385D" w:rsidRPr="00927D7E" w:rsidRDefault="004D0CE0" w:rsidP="004D0CE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не повлиява или повлиява в малка степен способността за шофиране и работата</w:t>
      </w:r>
      <w:r w:rsidRPr="00927D7E">
        <w:rPr>
          <w:rFonts w:eastAsia="Times New Roman" w:cs="Arial"/>
          <w:sz w:val="24"/>
          <w:szCs w:val="24"/>
          <w:lang w:eastAsia="bg-BG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с машини. Не са провеждани проучвания за установяване влиянието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>/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 върху способността за шофиране и работа с машини. Въпреки това, при шофиране или работа с машини трябва да се има предвид, че по време на лечението може да се появи световъртеж.</w:t>
      </w:r>
    </w:p>
    <w:p w14:paraId="35801A15" w14:textId="77777777" w:rsidR="0091385D" w:rsidRPr="00927D7E" w:rsidRDefault="0091385D" w:rsidP="0091385D"/>
    <w:p w14:paraId="37A3FD9F" w14:textId="0E7561E3" w:rsidR="00CF77F7" w:rsidRPr="00927D7E" w:rsidRDefault="002C50EE" w:rsidP="004A448E">
      <w:pPr>
        <w:pStyle w:val="Heading2"/>
      </w:pPr>
      <w:r w:rsidRPr="00927D7E">
        <w:t>4.8. Нежелани лекарствени реакции</w:t>
      </w:r>
    </w:p>
    <w:p w14:paraId="4838F52A" w14:textId="4C2232D6" w:rsidR="0091385D" w:rsidRPr="00927D7E" w:rsidRDefault="0091385D" w:rsidP="0091385D"/>
    <w:p w14:paraId="570508C4" w14:textId="2C7469DB" w:rsidR="0091385D" w:rsidRPr="00927D7E" w:rsidRDefault="004D0CE0" w:rsidP="0091385D">
      <w:pPr>
        <w:rPr>
          <w:rFonts w:cs="Arial"/>
        </w:rPr>
      </w:pPr>
      <w:r w:rsidRPr="00927D7E">
        <w:rPr>
          <w:rFonts w:cs="Arial"/>
          <w:u w:val="single"/>
        </w:rPr>
        <w:t>Обобщение на профила за безопасност</w:t>
      </w:r>
    </w:p>
    <w:p w14:paraId="05F51E76" w14:textId="77777777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Нежеланите лекарствени реакции, наблюдавани при употребата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обикновено са леки и преходни. При контролираните клинични изпитвания под 4% от пациентите, лекувани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>, са прекъснали лечението поради нежелани реакции.</w:t>
      </w:r>
    </w:p>
    <w:p w14:paraId="7229D5B8" w14:textId="77777777" w:rsidR="00466FDB" w:rsidRPr="00927D7E" w:rsidRDefault="00466FDB" w:rsidP="00466FD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79E40DA" w14:textId="07D78584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В клинични проучвания с продължителност до 112 седмици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 доза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дневно е прилаган самостоятелно при 2 396 пациенти, или със статии при 11 308 пациенти или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фенофибрат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при 185 пациенти. Нежеланите реакции обикновено са били леки и преходни. Общата честота на нежелани реакции е сходна между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r w:rsidRPr="00927D7E">
        <w:rPr>
          <w:rFonts w:eastAsia="Times New Roman" w:cs="Arial"/>
          <w:color w:val="000000"/>
          <w:lang w:eastAsia="bg-BG"/>
        </w:rPr>
        <w:lastRenderedPageBreak/>
        <w:t xml:space="preserve">плацебо. По същия начин, степента на прекратяване на лечението поради нежелани реакции е сравнима между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плацебо.</w:t>
      </w:r>
    </w:p>
    <w:p w14:paraId="6AC08FD5" w14:textId="77777777" w:rsidR="00466FDB" w:rsidRPr="00927D7E" w:rsidRDefault="00466FDB" w:rsidP="00466FD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D2AB692" w14:textId="49F8D999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Според наличните данни, 1 200 пациенти са приемали комбинация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 клинични проучвания. Както се съобщава в публикуваната литература, най-честите нежелани събития, свързани с комбинираното лечение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розувастатин-езетимиб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при пациенти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са повишени чернодробни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трансаминази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стомашно-чревни проблеми и мускулни болки. Това са установени нежелани реакции за активните вещества. Въпреки това не може да се изключи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фармакодинамично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взаимодействие между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по отношение на нежеланите реакции (вж. точка 5.2).</w:t>
      </w:r>
    </w:p>
    <w:p w14:paraId="4CE99C0A" w14:textId="77777777" w:rsidR="00466FDB" w:rsidRPr="00927D7E" w:rsidRDefault="00466FDB" w:rsidP="00466FD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AAAF4E6" w14:textId="785AC2A1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Табличен списък на нежеланите реакции</w:t>
      </w:r>
    </w:p>
    <w:p w14:paraId="43E3C48F" w14:textId="3B82111E" w:rsidR="0091385D" w:rsidRPr="00927D7E" w:rsidRDefault="00466FDB" w:rsidP="00466FDB">
      <w:pPr>
        <w:rPr>
          <w:rFonts w:cs="Arial"/>
        </w:rPr>
      </w:pPr>
      <w:r w:rsidRPr="00927D7E">
        <w:rPr>
          <w:rFonts w:eastAsia="Times New Roman" w:cs="Arial"/>
          <w:color w:val="000000"/>
          <w:lang w:eastAsia="bg-BG"/>
        </w:rPr>
        <w:t>Честотата на нежеланите събития е класифицирана както следва: чести (≥ 1/100 до &lt; 1/10); нечести (≥ 1/1 000 до &lt; 1/100); редки (≥ 1/10 000 до &lt; 1/1,000); много редки (&lt; 1/10 000), с неизвестна честота (не може да бъде оценена от наличните данни).</w:t>
      </w:r>
    </w:p>
    <w:p w14:paraId="59011B7E" w14:textId="391407B8" w:rsidR="00466FDB" w:rsidRPr="00927D7E" w:rsidRDefault="00466FDB" w:rsidP="009138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459"/>
        <w:gridCol w:w="1590"/>
        <w:gridCol w:w="1486"/>
        <w:gridCol w:w="1477"/>
        <w:gridCol w:w="1538"/>
      </w:tblGrid>
      <w:tr w:rsidR="00466FDB" w:rsidRPr="00927D7E" w14:paraId="6815CE8A" w14:textId="77777777" w:rsidTr="00466FDB">
        <w:tc>
          <w:tcPr>
            <w:tcW w:w="1720" w:type="dxa"/>
          </w:tcPr>
          <w:p w14:paraId="082EF4FF" w14:textId="0491C5CC" w:rsidR="00466FDB" w:rsidRPr="00927D7E" w:rsidRDefault="00466FDB" w:rsidP="00466FDB">
            <w:pPr>
              <w:rPr>
                <w:rFonts w:cs="Arial"/>
              </w:rPr>
            </w:pPr>
            <w:proofErr w:type="spellStart"/>
            <w:r w:rsidRPr="00927D7E">
              <w:rPr>
                <w:rFonts w:cs="Arial"/>
                <w:b/>
                <w:bCs/>
              </w:rPr>
              <w:t>Системо</w:t>
            </w:r>
            <w:proofErr w:type="spellEnd"/>
            <w:r w:rsidRPr="00927D7E">
              <w:rPr>
                <w:rFonts w:cs="Arial"/>
                <w:b/>
                <w:bCs/>
              </w:rPr>
              <w:t xml:space="preserve">-органен клас по </w:t>
            </w:r>
            <w:proofErr w:type="spellStart"/>
            <w:r w:rsidRPr="00927D7E">
              <w:rPr>
                <w:rFonts w:cs="Arial"/>
                <w:b/>
                <w:bCs/>
              </w:rPr>
              <w:t>MedDRA</w:t>
            </w:r>
            <w:proofErr w:type="spellEnd"/>
          </w:p>
        </w:tc>
        <w:tc>
          <w:tcPr>
            <w:tcW w:w="1571" w:type="dxa"/>
          </w:tcPr>
          <w:p w14:paraId="0C799994" w14:textId="675DD203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t>Чести</w:t>
            </w:r>
          </w:p>
        </w:tc>
        <w:tc>
          <w:tcPr>
            <w:tcW w:w="1577" w:type="dxa"/>
          </w:tcPr>
          <w:p w14:paraId="30058C6C" w14:textId="154EB20E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t>Нечести</w:t>
            </w:r>
          </w:p>
        </w:tc>
        <w:tc>
          <w:tcPr>
            <w:tcW w:w="1573" w:type="dxa"/>
          </w:tcPr>
          <w:p w14:paraId="5FE8D3EA" w14:textId="07118B52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t>Редки</w:t>
            </w:r>
          </w:p>
        </w:tc>
        <w:tc>
          <w:tcPr>
            <w:tcW w:w="1557" w:type="dxa"/>
          </w:tcPr>
          <w:p w14:paraId="02169932" w14:textId="471A8029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t>Много редки</w:t>
            </w:r>
          </w:p>
        </w:tc>
        <w:tc>
          <w:tcPr>
            <w:tcW w:w="1578" w:type="dxa"/>
          </w:tcPr>
          <w:p w14:paraId="37FFB6D5" w14:textId="5EB387A6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t>С неизвестна честота</w:t>
            </w:r>
          </w:p>
        </w:tc>
      </w:tr>
      <w:tr w:rsidR="00466FDB" w:rsidRPr="00927D7E" w14:paraId="69282995" w14:textId="77777777" w:rsidTr="00466FDB">
        <w:tc>
          <w:tcPr>
            <w:tcW w:w="1720" w:type="dxa"/>
          </w:tcPr>
          <w:p w14:paraId="27A167B7" w14:textId="2867D495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t>Нарушения на кръвта и лимфната система</w:t>
            </w:r>
          </w:p>
        </w:tc>
        <w:tc>
          <w:tcPr>
            <w:tcW w:w="1571" w:type="dxa"/>
          </w:tcPr>
          <w:p w14:paraId="76149A50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0F70F02B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3" w:type="dxa"/>
          </w:tcPr>
          <w:p w14:paraId="7ABA53E5" w14:textId="32531379" w:rsidR="00466FDB" w:rsidRPr="00927D7E" w:rsidRDefault="00466FDB" w:rsidP="00466FDB">
            <w:pPr>
              <w:rPr>
                <w:rFonts w:cs="Arial"/>
              </w:rPr>
            </w:pPr>
            <w:proofErr w:type="spellStart"/>
            <w:r w:rsidRPr="00927D7E">
              <w:rPr>
                <w:rFonts w:cs="Arial"/>
              </w:rPr>
              <w:t>Тромбоцито</w:t>
            </w:r>
            <w:proofErr w:type="spellEnd"/>
            <w:r w:rsidRPr="00927D7E">
              <w:rPr>
                <w:rFonts w:cs="Arial"/>
              </w:rPr>
              <w:t>- пения</w:t>
            </w:r>
            <w:r w:rsidRPr="00927D7E">
              <w:rPr>
                <w:rFonts w:cs="Arial"/>
                <w:vertAlign w:val="superscript"/>
              </w:rPr>
              <w:t>2</w:t>
            </w:r>
          </w:p>
        </w:tc>
        <w:tc>
          <w:tcPr>
            <w:tcW w:w="1557" w:type="dxa"/>
          </w:tcPr>
          <w:p w14:paraId="593173D2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59353467" w14:textId="77777777" w:rsidR="00466FDB" w:rsidRPr="00927D7E" w:rsidRDefault="00466FDB" w:rsidP="00466FDB">
            <w:pPr>
              <w:rPr>
                <w:rFonts w:cs="Arial"/>
              </w:rPr>
            </w:pPr>
          </w:p>
        </w:tc>
      </w:tr>
      <w:tr w:rsidR="00466FDB" w:rsidRPr="00927D7E" w14:paraId="65DA43D5" w14:textId="77777777" w:rsidTr="00466FDB">
        <w:tc>
          <w:tcPr>
            <w:tcW w:w="1720" w:type="dxa"/>
          </w:tcPr>
          <w:p w14:paraId="44D034FC" w14:textId="381EDD67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t>Нарушения на имунната система</w:t>
            </w:r>
          </w:p>
        </w:tc>
        <w:tc>
          <w:tcPr>
            <w:tcW w:w="1571" w:type="dxa"/>
          </w:tcPr>
          <w:p w14:paraId="028D8B0E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0B1C53F5" w14:textId="599A294A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3" w:type="dxa"/>
          </w:tcPr>
          <w:p w14:paraId="58CD9680" w14:textId="61EB72EB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Реакции на свръхчувстви</w:t>
            </w:r>
            <w:r w:rsidRPr="00927D7E">
              <w:rPr>
                <w:rFonts w:cs="Arial"/>
              </w:rPr>
              <w:softHyphen/>
              <w:t>телност, включително ангиоедем</w:t>
            </w:r>
            <w:r w:rsidRPr="00927D7E">
              <w:rPr>
                <w:rFonts w:cs="Arial"/>
                <w:vertAlign w:val="superscript"/>
              </w:rPr>
              <w:t>2</w:t>
            </w:r>
          </w:p>
        </w:tc>
        <w:tc>
          <w:tcPr>
            <w:tcW w:w="1557" w:type="dxa"/>
          </w:tcPr>
          <w:p w14:paraId="62139BAF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25486869" w14:textId="77777777" w:rsidR="00466FDB" w:rsidRPr="00927D7E" w:rsidRDefault="00466FDB" w:rsidP="00466FDB">
            <w:pPr>
              <w:rPr>
                <w:rFonts w:cs="Arial"/>
              </w:rPr>
            </w:pPr>
          </w:p>
        </w:tc>
      </w:tr>
      <w:tr w:rsidR="00466FDB" w:rsidRPr="00927D7E" w14:paraId="161D97AF" w14:textId="77777777" w:rsidTr="00466FDB">
        <w:tc>
          <w:tcPr>
            <w:tcW w:w="1720" w:type="dxa"/>
          </w:tcPr>
          <w:p w14:paraId="01692B5C" w14:textId="20A47AFD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t>Нарушения на ендокринната система</w:t>
            </w:r>
          </w:p>
        </w:tc>
        <w:tc>
          <w:tcPr>
            <w:tcW w:w="1571" w:type="dxa"/>
          </w:tcPr>
          <w:p w14:paraId="3AB107E4" w14:textId="610EF8AD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Захарен диабет</w:t>
            </w:r>
            <w:r w:rsidRPr="00927D7E">
              <w:rPr>
                <w:rFonts w:cs="Arial"/>
                <w:vertAlign w:val="superscript"/>
              </w:rPr>
              <w:t>1,2</w:t>
            </w:r>
          </w:p>
        </w:tc>
        <w:tc>
          <w:tcPr>
            <w:tcW w:w="1577" w:type="dxa"/>
          </w:tcPr>
          <w:p w14:paraId="34889AC2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3" w:type="dxa"/>
          </w:tcPr>
          <w:p w14:paraId="77A5DD1D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31209D2B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4B3A495F" w14:textId="77777777" w:rsidR="00466FDB" w:rsidRPr="00927D7E" w:rsidRDefault="00466FDB" w:rsidP="00466FDB">
            <w:pPr>
              <w:rPr>
                <w:rFonts w:cs="Arial"/>
              </w:rPr>
            </w:pPr>
          </w:p>
        </w:tc>
      </w:tr>
      <w:tr w:rsidR="00466FDB" w:rsidRPr="00927D7E" w14:paraId="064E988F" w14:textId="77777777" w:rsidTr="00466FDB">
        <w:tc>
          <w:tcPr>
            <w:tcW w:w="1720" w:type="dxa"/>
          </w:tcPr>
          <w:p w14:paraId="0850C3B5" w14:textId="1666EA9A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t>Нарушения на метаболизма и храненето</w:t>
            </w:r>
          </w:p>
        </w:tc>
        <w:tc>
          <w:tcPr>
            <w:tcW w:w="1571" w:type="dxa"/>
          </w:tcPr>
          <w:p w14:paraId="1D70B3E6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07B23A6D" w14:textId="0542E30D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Намален апетит</w:t>
            </w:r>
            <w:r w:rsidRPr="00927D7E">
              <w:rPr>
                <w:rFonts w:cs="Arial"/>
                <w:vertAlign w:val="superscript"/>
              </w:rPr>
              <w:t>3</w:t>
            </w:r>
          </w:p>
        </w:tc>
        <w:tc>
          <w:tcPr>
            <w:tcW w:w="1573" w:type="dxa"/>
          </w:tcPr>
          <w:p w14:paraId="5B782018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2A7410E9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41B98C77" w14:textId="77777777" w:rsidR="00466FDB" w:rsidRPr="00927D7E" w:rsidRDefault="00466FDB" w:rsidP="00466FDB">
            <w:pPr>
              <w:rPr>
                <w:rFonts w:cs="Arial"/>
              </w:rPr>
            </w:pPr>
          </w:p>
        </w:tc>
      </w:tr>
      <w:tr w:rsidR="00466FDB" w:rsidRPr="00927D7E" w14:paraId="4D51BA0A" w14:textId="77777777" w:rsidTr="00466FDB">
        <w:tc>
          <w:tcPr>
            <w:tcW w:w="1720" w:type="dxa"/>
          </w:tcPr>
          <w:p w14:paraId="103F6BEF" w14:textId="720D19AD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t>Психични нарушения</w:t>
            </w:r>
          </w:p>
        </w:tc>
        <w:tc>
          <w:tcPr>
            <w:tcW w:w="1571" w:type="dxa"/>
          </w:tcPr>
          <w:p w14:paraId="6C1C7C53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1BDA6774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3" w:type="dxa"/>
          </w:tcPr>
          <w:p w14:paraId="24BF84D0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6256F7D4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3D6E58CE" w14:textId="7B9EE546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Депресия</w:t>
            </w:r>
            <w:r w:rsidRPr="00927D7E">
              <w:rPr>
                <w:rFonts w:cs="Arial"/>
                <w:vertAlign w:val="superscript"/>
              </w:rPr>
              <w:t>2,5</w:t>
            </w:r>
          </w:p>
        </w:tc>
      </w:tr>
      <w:tr w:rsidR="00466FDB" w:rsidRPr="00927D7E" w14:paraId="1B0E09F1" w14:textId="77777777" w:rsidTr="00466FDB">
        <w:tc>
          <w:tcPr>
            <w:tcW w:w="1720" w:type="dxa"/>
          </w:tcPr>
          <w:p w14:paraId="535AFE5A" w14:textId="19CEB022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t xml:space="preserve">Нарушения </w:t>
            </w:r>
            <w:r w:rsidRPr="00927D7E">
              <w:rPr>
                <w:rFonts w:cs="Arial"/>
                <w:b/>
                <w:bCs/>
                <w:i/>
                <w:iCs/>
              </w:rPr>
              <w:t xml:space="preserve">на </w:t>
            </w:r>
            <w:r w:rsidRPr="00927D7E">
              <w:rPr>
                <w:rFonts w:cs="Arial"/>
                <w:b/>
                <w:bCs/>
              </w:rPr>
              <w:t>нервната система</w:t>
            </w:r>
          </w:p>
        </w:tc>
        <w:tc>
          <w:tcPr>
            <w:tcW w:w="1571" w:type="dxa"/>
          </w:tcPr>
          <w:p w14:paraId="64DCB209" w14:textId="2947CC03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Главоболие</w:t>
            </w:r>
            <w:r w:rsidRPr="00927D7E">
              <w:rPr>
                <w:rFonts w:cs="Arial"/>
                <w:vertAlign w:val="superscript"/>
              </w:rPr>
              <w:t>2,4</w:t>
            </w:r>
            <w:r w:rsidRPr="00927D7E">
              <w:rPr>
                <w:rFonts w:cs="Arial"/>
              </w:rPr>
              <w:t>, замайване</w:t>
            </w:r>
            <w:r w:rsidRPr="00927D7E">
              <w:rPr>
                <w:rFonts w:cs="Arial"/>
                <w:vertAlign w:val="superscript"/>
              </w:rPr>
              <w:t>2</w:t>
            </w:r>
          </w:p>
        </w:tc>
        <w:tc>
          <w:tcPr>
            <w:tcW w:w="1577" w:type="dxa"/>
          </w:tcPr>
          <w:p w14:paraId="01A70054" w14:textId="426A69C1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Парестезия</w:t>
            </w:r>
            <w:r w:rsidRPr="00927D7E">
              <w:rPr>
                <w:rFonts w:cs="Arial"/>
                <w:vertAlign w:val="superscript"/>
              </w:rPr>
              <w:t>4</w:t>
            </w:r>
          </w:p>
        </w:tc>
        <w:tc>
          <w:tcPr>
            <w:tcW w:w="1573" w:type="dxa"/>
          </w:tcPr>
          <w:p w14:paraId="7EC4500F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4C403C78" w14:textId="0767E2B7" w:rsidR="00466FDB" w:rsidRPr="00927D7E" w:rsidRDefault="00466FDB" w:rsidP="00466FDB">
            <w:pPr>
              <w:rPr>
                <w:rFonts w:cs="Arial"/>
              </w:rPr>
            </w:pPr>
            <w:proofErr w:type="spellStart"/>
            <w:r w:rsidRPr="00927D7E">
              <w:rPr>
                <w:rFonts w:cs="Arial"/>
              </w:rPr>
              <w:t>Полиневро</w:t>
            </w:r>
            <w:proofErr w:type="spellEnd"/>
            <w:r w:rsidRPr="00927D7E">
              <w:rPr>
                <w:rFonts w:cs="Arial"/>
              </w:rPr>
              <w:t>- патия</w:t>
            </w:r>
            <w:r w:rsidRPr="00927D7E">
              <w:rPr>
                <w:rFonts w:cs="Arial"/>
                <w:vertAlign w:val="superscript"/>
              </w:rPr>
              <w:t>2</w:t>
            </w:r>
            <w:r w:rsidRPr="00927D7E">
              <w:rPr>
                <w:rFonts w:cs="Arial"/>
              </w:rPr>
              <w:t>, загуба на памет</w:t>
            </w:r>
            <w:r w:rsidRPr="00927D7E">
              <w:rPr>
                <w:rFonts w:cs="Arial"/>
                <w:vertAlign w:val="superscript"/>
              </w:rPr>
              <w:t>2</w:t>
            </w:r>
          </w:p>
        </w:tc>
        <w:tc>
          <w:tcPr>
            <w:tcW w:w="1578" w:type="dxa"/>
          </w:tcPr>
          <w:p w14:paraId="575CB80F" w14:textId="3771328A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Периферна невропатия</w:t>
            </w:r>
            <w:r w:rsidRPr="00927D7E">
              <w:rPr>
                <w:rFonts w:cs="Arial"/>
                <w:vertAlign w:val="superscript"/>
              </w:rPr>
              <w:t>2</w:t>
            </w:r>
            <w:r w:rsidRPr="00927D7E">
              <w:rPr>
                <w:rFonts w:cs="Arial"/>
              </w:rPr>
              <w:t>, нарушения на съня (включително безсъние и кошмари)</w:t>
            </w:r>
            <w:r w:rsidRPr="00927D7E">
              <w:rPr>
                <w:rFonts w:cs="Arial"/>
                <w:vertAlign w:val="superscript"/>
              </w:rPr>
              <w:t>2</w:t>
            </w:r>
          </w:p>
        </w:tc>
      </w:tr>
      <w:tr w:rsidR="00466FDB" w:rsidRPr="00927D7E" w14:paraId="55B00A53" w14:textId="77777777" w:rsidTr="00466FDB">
        <w:tc>
          <w:tcPr>
            <w:tcW w:w="1720" w:type="dxa"/>
          </w:tcPr>
          <w:p w14:paraId="04A02B03" w14:textId="4DEFD011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t>Съдови нарушения</w:t>
            </w:r>
          </w:p>
        </w:tc>
        <w:tc>
          <w:tcPr>
            <w:tcW w:w="1571" w:type="dxa"/>
          </w:tcPr>
          <w:p w14:paraId="0F9EB802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5705D4C1" w14:textId="040E09E0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Топли вълни</w:t>
            </w:r>
            <w:r w:rsidRPr="00927D7E">
              <w:rPr>
                <w:rFonts w:cs="Arial"/>
                <w:vertAlign w:val="superscript"/>
              </w:rPr>
              <w:t>3</w:t>
            </w:r>
            <w:r w:rsidRPr="00927D7E">
              <w:rPr>
                <w:rFonts w:cs="Arial"/>
              </w:rPr>
              <w:t>, хипертония</w:t>
            </w:r>
            <w:r w:rsidRPr="00927D7E">
              <w:rPr>
                <w:rFonts w:cs="Arial"/>
                <w:vertAlign w:val="superscript"/>
              </w:rPr>
              <w:t>3</w:t>
            </w:r>
          </w:p>
        </w:tc>
        <w:tc>
          <w:tcPr>
            <w:tcW w:w="1573" w:type="dxa"/>
          </w:tcPr>
          <w:p w14:paraId="15BFDA84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7C2EAABA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2558AB4A" w14:textId="77777777" w:rsidR="00466FDB" w:rsidRPr="00927D7E" w:rsidRDefault="00466FDB" w:rsidP="00466FDB">
            <w:pPr>
              <w:rPr>
                <w:rFonts w:cs="Arial"/>
              </w:rPr>
            </w:pPr>
          </w:p>
        </w:tc>
      </w:tr>
      <w:tr w:rsidR="00466FDB" w:rsidRPr="00927D7E" w14:paraId="1752EC1F" w14:textId="77777777" w:rsidTr="00466FDB">
        <w:tc>
          <w:tcPr>
            <w:tcW w:w="1720" w:type="dxa"/>
          </w:tcPr>
          <w:p w14:paraId="5D890730" w14:textId="299D86DB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lastRenderedPageBreak/>
              <w:t xml:space="preserve">Респираторни, гръдни и </w:t>
            </w:r>
            <w:proofErr w:type="spellStart"/>
            <w:r w:rsidRPr="00927D7E">
              <w:rPr>
                <w:rFonts w:cs="Arial"/>
                <w:b/>
                <w:bCs/>
              </w:rPr>
              <w:t>медиастинални</w:t>
            </w:r>
            <w:proofErr w:type="spellEnd"/>
            <w:r w:rsidRPr="00927D7E">
              <w:rPr>
                <w:rFonts w:cs="Arial"/>
                <w:b/>
                <w:bCs/>
              </w:rPr>
              <w:t xml:space="preserve"> нарушения</w:t>
            </w:r>
          </w:p>
        </w:tc>
        <w:tc>
          <w:tcPr>
            <w:tcW w:w="1571" w:type="dxa"/>
          </w:tcPr>
          <w:p w14:paraId="6CE5B1FF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42EA839D" w14:textId="1B4B470B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Кашлица</w:t>
            </w:r>
            <w:r w:rsidRPr="00927D7E">
              <w:rPr>
                <w:rFonts w:cs="Arial"/>
                <w:vertAlign w:val="superscript"/>
              </w:rPr>
              <w:t>3</w:t>
            </w:r>
          </w:p>
        </w:tc>
        <w:tc>
          <w:tcPr>
            <w:tcW w:w="1573" w:type="dxa"/>
          </w:tcPr>
          <w:p w14:paraId="39C8012A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48E18E03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1011D632" w14:textId="31F12F6A" w:rsidR="00466FDB" w:rsidRPr="00927D7E" w:rsidRDefault="00466FDB" w:rsidP="00466FDB">
            <w:pPr>
              <w:rPr>
                <w:rFonts w:cs="Arial"/>
              </w:rPr>
            </w:pPr>
            <w:proofErr w:type="spellStart"/>
            <w:r w:rsidRPr="00927D7E">
              <w:rPr>
                <w:rFonts w:cs="Arial"/>
              </w:rPr>
              <w:t>Диспнея</w:t>
            </w:r>
            <w:proofErr w:type="spellEnd"/>
          </w:p>
        </w:tc>
      </w:tr>
      <w:tr w:rsidR="00466FDB" w:rsidRPr="00927D7E" w14:paraId="29D39258" w14:textId="77777777" w:rsidTr="00466FDB">
        <w:tc>
          <w:tcPr>
            <w:tcW w:w="1720" w:type="dxa"/>
          </w:tcPr>
          <w:p w14:paraId="63391E54" w14:textId="0CB4B4C0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t>Стомашно- чревни нарушения</w:t>
            </w:r>
          </w:p>
        </w:tc>
        <w:tc>
          <w:tcPr>
            <w:tcW w:w="1571" w:type="dxa"/>
          </w:tcPr>
          <w:p w14:paraId="214D57C8" w14:textId="0B86E8EB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Запек</w:t>
            </w:r>
            <w:r w:rsidRPr="00927D7E">
              <w:rPr>
                <w:rFonts w:cs="Arial"/>
                <w:vertAlign w:val="superscript"/>
              </w:rPr>
              <w:t>2</w:t>
            </w:r>
            <w:r w:rsidRPr="00927D7E">
              <w:rPr>
                <w:rFonts w:cs="Arial"/>
              </w:rPr>
              <w:t>, гадене</w:t>
            </w:r>
            <w:r w:rsidRPr="00927D7E">
              <w:rPr>
                <w:rFonts w:cs="Arial"/>
                <w:vertAlign w:val="superscript"/>
              </w:rPr>
              <w:t>2</w:t>
            </w:r>
            <w:r w:rsidRPr="00927D7E">
              <w:rPr>
                <w:rFonts w:cs="Arial"/>
              </w:rPr>
              <w:t>, болка в корема</w:t>
            </w:r>
            <w:r w:rsidRPr="00927D7E">
              <w:rPr>
                <w:rFonts w:cs="Arial"/>
                <w:vertAlign w:val="superscript"/>
              </w:rPr>
              <w:t>2,3</w:t>
            </w:r>
            <w:r w:rsidRPr="00927D7E">
              <w:rPr>
                <w:rFonts w:cs="Arial"/>
              </w:rPr>
              <w:t>, диария</w:t>
            </w:r>
            <w:r w:rsidRPr="00927D7E">
              <w:rPr>
                <w:rFonts w:cs="Arial"/>
                <w:vertAlign w:val="superscript"/>
              </w:rPr>
              <w:t>3</w:t>
            </w:r>
            <w:r w:rsidRPr="00927D7E">
              <w:rPr>
                <w:rFonts w:cs="Arial"/>
              </w:rPr>
              <w:t>,</w:t>
            </w:r>
          </w:p>
        </w:tc>
        <w:tc>
          <w:tcPr>
            <w:tcW w:w="1577" w:type="dxa"/>
          </w:tcPr>
          <w:p w14:paraId="2F2D5046" w14:textId="51A23791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Диспепсия</w:t>
            </w:r>
            <w:r w:rsidRPr="00927D7E">
              <w:rPr>
                <w:rFonts w:cs="Arial"/>
                <w:vertAlign w:val="superscript"/>
              </w:rPr>
              <w:t xml:space="preserve">3 </w:t>
            </w:r>
            <w:proofErr w:type="spellStart"/>
            <w:r w:rsidRPr="00927D7E">
              <w:rPr>
                <w:rFonts w:cs="Arial"/>
              </w:rPr>
              <w:t>гастроезофаге</w:t>
            </w:r>
            <w:proofErr w:type="spellEnd"/>
            <w:r w:rsidRPr="00927D7E">
              <w:rPr>
                <w:rFonts w:cs="Arial"/>
              </w:rPr>
              <w:t xml:space="preserve">- </w:t>
            </w:r>
            <w:proofErr w:type="spellStart"/>
            <w:r w:rsidRPr="00927D7E">
              <w:rPr>
                <w:rFonts w:cs="Arial"/>
              </w:rPr>
              <w:t>ална</w:t>
            </w:r>
            <w:proofErr w:type="spellEnd"/>
            <w:r w:rsidRPr="00927D7E">
              <w:rPr>
                <w:rFonts w:cs="Arial"/>
              </w:rPr>
              <w:t xml:space="preserve"> </w:t>
            </w:r>
            <w:proofErr w:type="spellStart"/>
            <w:r w:rsidRPr="00927D7E">
              <w:rPr>
                <w:rFonts w:cs="Arial"/>
              </w:rPr>
              <w:t>рефлуксна</w:t>
            </w:r>
            <w:proofErr w:type="spellEnd"/>
            <w:r w:rsidRPr="00927D7E">
              <w:rPr>
                <w:rFonts w:cs="Arial"/>
              </w:rPr>
              <w:t xml:space="preserve"> болест</w:t>
            </w:r>
            <w:r w:rsidRPr="00927D7E">
              <w:rPr>
                <w:rFonts w:cs="Arial"/>
                <w:vertAlign w:val="superscript"/>
              </w:rPr>
              <w:t>3</w:t>
            </w:r>
            <w:r w:rsidRPr="00927D7E">
              <w:rPr>
                <w:rFonts w:cs="Arial"/>
              </w:rPr>
              <w:t>; гадене</w:t>
            </w:r>
            <w:r w:rsidRPr="00927D7E">
              <w:rPr>
                <w:rFonts w:cs="Arial"/>
                <w:vertAlign w:val="superscript"/>
              </w:rPr>
              <w:t>3</w:t>
            </w:r>
            <w:r w:rsidRPr="00927D7E">
              <w:rPr>
                <w:rFonts w:cs="Arial"/>
              </w:rPr>
              <w:t>,</w:t>
            </w:r>
          </w:p>
        </w:tc>
        <w:tc>
          <w:tcPr>
            <w:tcW w:w="1573" w:type="dxa"/>
          </w:tcPr>
          <w:p w14:paraId="786D653E" w14:textId="573A985B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Панкреатит</w:t>
            </w:r>
            <w:r w:rsidRPr="00927D7E">
              <w:rPr>
                <w:rFonts w:cs="Arial"/>
                <w:vertAlign w:val="superscript"/>
              </w:rPr>
              <w:t>2</w:t>
            </w:r>
          </w:p>
        </w:tc>
        <w:tc>
          <w:tcPr>
            <w:tcW w:w="1557" w:type="dxa"/>
          </w:tcPr>
          <w:p w14:paraId="17D1F73C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6D066813" w14:textId="77777777" w:rsidR="00466FDB" w:rsidRPr="00927D7E" w:rsidRDefault="00466FDB" w:rsidP="00466FDB">
            <w:pPr>
              <w:rPr>
                <w:rFonts w:cs="Arial"/>
              </w:rPr>
            </w:pPr>
          </w:p>
        </w:tc>
      </w:tr>
      <w:tr w:rsidR="00466FDB" w:rsidRPr="00927D7E" w14:paraId="2A9D2814" w14:textId="77777777" w:rsidTr="00466FDB">
        <w:tc>
          <w:tcPr>
            <w:tcW w:w="1720" w:type="dxa"/>
          </w:tcPr>
          <w:p w14:paraId="34A2141C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1" w:type="dxa"/>
          </w:tcPr>
          <w:p w14:paraId="48EA3D5B" w14:textId="22B1108F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флатуленция</w:t>
            </w:r>
            <w:r w:rsidRPr="00927D7E">
              <w:rPr>
                <w:rFonts w:cs="Arial"/>
                <w:vertAlign w:val="superscript"/>
              </w:rPr>
              <w:t>3</w:t>
            </w:r>
          </w:p>
        </w:tc>
        <w:tc>
          <w:tcPr>
            <w:tcW w:w="1577" w:type="dxa"/>
          </w:tcPr>
          <w:p w14:paraId="5D4094F6" w14:textId="7DD50F18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сухота в устата</w:t>
            </w:r>
            <w:r w:rsidRPr="00927D7E">
              <w:rPr>
                <w:rFonts w:cs="Arial"/>
                <w:vertAlign w:val="superscript"/>
              </w:rPr>
              <w:t>4</w:t>
            </w:r>
            <w:r w:rsidRPr="00927D7E">
              <w:rPr>
                <w:rFonts w:cs="Arial"/>
              </w:rPr>
              <w:t>, гастрит</w:t>
            </w:r>
            <w:r w:rsidRPr="00927D7E">
              <w:rPr>
                <w:rFonts w:cs="Arial"/>
                <w:vertAlign w:val="superscript"/>
              </w:rPr>
              <w:t>4</w:t>
            </w:r>
          </w:p>
        </w:tc>
        <w:tc>
          <w:tcPr>
            <w:tcW w:w="1573" w:type="dxa"/>
          </w:tcPr>
          <w:p w14:paraId="119F9775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3282212C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453F5B44" w14:textId="77777777" w:rsidR="00466FDB" w:rsidRPr="00927D7E" w:rsidRDefault="00466FDB" w:rsidP="00466FDB">
            <w:pPr>
              <w:rPr>
                <w:rFonts w:cs="Arial"/>
              </w:rPr>
            </w:pPr>
          </w:p>
        </w:tc>
      </w:tr>
      <w:tr w:rsidR="00466FDB" w:rsidRPr="00927D7E" w14:paraId="2C5C9FC8" w14:textId="77777777" w:rsidTr="00466FDB">
        <w:tc>
          <w:tcPr>
            <w:tcW w:w="1720" w:type="dxa"/>
          </w:tcPr>
          <w:p w14:paraId="6A176214" w14:textId="71B1010E" w:rsidR="00466FDB" w:rsidRPr="00927D7E" w:rsidRDefault="00466FDB" w:rsidP="00466FDB">
            <w:pPr>
              <w:rPr>
                <w:rFonts w:cs="Arial"/>
              </w:rPr>
            </w:pPr>
            <w:proofErr w:type="spellStart"/>
            <w:r w:rsidRPr="00927D7E">
              <w:rPr>
                <w:rFonts w:cs="Arial"/>
                <w:b/>
                <w:bCs/>
              </w:rPr>
              <w:t>Хепатобилиарни</w:t>
            </w:r>
            <w:proofErr w:type="spellEnd"/>
            <w:r w:rsidRPr="00927D7E">
              <w:rPr>
                <w:rFonts w:cs="Arial"/>
                <w:b/>
                <w:bCs/>
              </w:rPr>
              <w:t xml:space="preserve"> нарушения</w:t>
            </w:r>
          </w:p>
        </w:tc>
        <w:tc>
          <w:tcPr>
            <w:tcW w:w="1571" w:type="dxa"/>
          </w:tcPr>
          <w:p w14:paraId="1E1A78CD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78991AA6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3" w:type="dxa"/>
          </w:tcPr>
          <w:p w14:paraId="24A04BC4" w14:textId="2E82614F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Повишени чернодробни трансаминази</w:t>
            </w:r>
            <w:r w:rsidRPr="00927D7E">
              <w:rPr>
                <w:rFonts w:cs="Arial"/>
                <w:vertAlign w:val="superscript"/>
              </w:rPr>
              <w:t>1 2 3 4 5</w:t>
            </w:r>
          </w:p>
        </w:tc>
        <w:tc>
          <w:tcPr>
            <w:tcW w:w="1557" w:type="dxa"/>
          </w:tcPr>
          <w:p w14:paraId="3487629D" w14:textId="5ADBEAD7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Жълтеница</w:t>
            </w:r>
            <w:r w:rsidRPr="00927D7E">
              <w:rPr>
                <w:rFonts w:cs="Arial"/>
                <w:vertAlign w:val="superscript"/>
              </w:rPr>
              <w:t xml:space="preserve">2 </w:t>
            </w:r>
            <w:r w:rsidRPr="00927D7E">
              <w:rPr>
                <w:rFonts w:cs="Arial"/>
              </w:rPr>
              <w:t>хепатит</w:t>
            </w:r>
            <w:r w:rsidRPr="00927D7E">
              <w:rPr>
                <w:rFonts w:cs="Arial"/>
                <w:vertAlign w:val="superscript"/>
              </w:rPr>
              <w:t>2</w:t>
            </w:r>
          </w:p>
        </w:tc>
        <w:tc>
          <w:tcPr>
            <w:tcW w:w="1578" w:type="dxa"/>
          </w:tcPr>
          <w:p w14:paraId="48DEF4A8" w14:textId="41CD1D76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Холелитиаза</w:t>
            </w:r>
            <w:r w:rsidRPr="00927D7E">
              <w:rPr>
                <w:rFonts w:cs="Arial"/>
                <w:vertAlign w:val="superscript"/>
              </w:rPr>
              <w:t xml:space="preserve">5 </w:t>
            </w:r>
            <w:r w:rsidRPr="00927D7E">
              <w:rPr>
                <w:rFonts w:cs="Arial"/>
              </w:rPr>
              <w:t>холецистит</w:t>
            </w:r>
            <w:r w:rsidRPr="00927D7E">
              <w:rPr>
                <w:rFonts w:cs="Arial"/>
                <w:vertAlign w:val="superscript"/>
              </w:rPr>
              <w:t>5</w:t>
            </w:r>
          </w:p>
        </w:tc>
      </w:tr>
      <w:tr w:rsidR="00466FDB" w:rsidRPr="00927D7E" w14:paraId="5E58C151" w14:textId="77777777" w:rsidTr="00466FDB">
        <w:tc>
          <w:tcPr>
            <w:tcW w:w="1720" w:type="dxa"/>
          </w:tcPr>
          <w:p w14:paraId="786A91D2" w14:textId="74F00C29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t>Нарушения на кожата и подкожната тъкан</w:t>
            </w:r>
          </w:p>
        </w:tc>
        <w:tc>
          <w:tcPr>
            <w:tcW w:w="1571" w:type="dxa"/>
          </w:tcPr>
          <w:p w14:paraId="2B692126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7B296C05" w14:textId="380F67FF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Сърбеж</w:t>
            </w:r>
            <w:r w:rsidRPr="00927D7E">
              <w:rPr>
                <w:rFonts w:cs="Arial"/>
                <w:vertAlign w:val="superscript"/>
              </w:rPr>
              <w:t>2,4</w:t>
            </w:r>
            <w:r w:rsidRPr="00927D7E">
              <w:rPr>
                <w:rFonts w:cs="Arial"/>
              </w:rPr>
              <w:t>, обрив</w:t>
            </w:r>
            <w:r w:rsidRPr="00927D7E">
              <w:rPr>
                <w:rFonts w:cs="Arial"/>
                <w:vertAlign w:val="superscript"/>
              </w:rPr>
              <w:t>2,4</w:t>
            </w:r>
            <w:r w:rsidRPr="00927D7E">
              <w:rPr>
                <w:rFonts w:cs="Arial"/>
              </w:rPr>
              <w:t>, уртикария</w:t>
            </w:r>
            <w:r w:rsidRPr="00927D7E">
              <w:rPr>
                <w:rFonts w:cs="Arial"/>
                <w:vertAlign w:val="superscript"/>
              </w:rPr>
              <w:t>2,4</w:t>
            </w:r>
          </w:p>
        </w:tc>
        <w:tc>
          <w:tcPr>
            <w:tcW w:w="1573" w:type="dxa"/>
          </w:tcPr>
          <w:p w14:paraId="7F21E503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525BA531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20DD2171" w14:textId="42157914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Синдром на Stevens-Johnson</w:t>
            </w:r>
            <w:r w:rsidRPr="00927D7E">
              <w:rPr>
                <w:rFonts w:cs="Arial"/>
                <w:vertAlign w:val="superscript"/>
              </w:rPr>
              <w:t>2</w:t>
            </w:r>
            <w:r w:rsidRPr="00927D7E">
              <w:rPr>
                <w:rFonts w:cs="Arial"/>
              </w:rPr>
              <w:t>, еритема мултиформе</w:t>
            </w:r>
            <w:r w:rsidRPr="00927D7E">
              <w:rPr>
                <w:rFonts w:cs="Arial"/>
                <w:vertAlign w:val="superscript"/>
              </w:rPr>
              <w:t>5</w:t>
            </w:r>
            <w:r w:rsidRPr="00927D7E">
              <w:rPr>
                <w:rFonts w:cs="Arial"/>
              </w:rPr>
              <w:t xml:space="preserve">, лекарствена реакция с </w:t>
            </w:r>
            <w:proofErr w:type="spellStart"/>
            <w:r w:rsidRPr="00927D7E">
              <w:rPr>
                <w:rFonts w:cs="Arial"/>
              </w:rPr>
              <w:t>еозинофилия</w:t>
            </w:r>
            <w:proofErr w:type="spellEnd"/>
            <w:r w:rsidRPr="00927D7E">
              <w:rPr>
                <w:rFonts w:cs="Arial"/>
              </w:rPr>
              <w:t xml:space="preserve"> и системни симптоми (DRESS)</w:t>
            </w:r>
          </w:p>
        </w:tc>
      </w:tr>
      <w:tr w:rsidR="00466FDB" w:rsidRPr="00927D7E" w14:paraId="0F8D90CE" w14:textId="77777777" w:rsidTr="00466FDB">
        <w:tc>
          <w:tcPr>
            <w:tcW w:w="1720" w:type="dxa"/>
          </w:tcPr>
          <w:p w14:paraId="0DFD3564" w14:textId="4CD2CD21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t>Нарушения на мускулно- скелетната система и съединителната тъкан</w:t>
            </w:r>
          </w:p>
        </w:tc>
        <w:tc>
          <w:tcPr>
            <w:tcW w:w="1571" w:type="dxa"/>
          </w:tcPr>
          <w:p w14:paraId="45F6058F" w14:textId="4E145529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Миалгия</w:t>
            </w:r>
            <w:r w:rsidRPr="00927D7E">
              <w:rPr>
                <w:rFonts w:cs="Arial"/>
                <w:vertAlign w:val="superscript"/>
              </w:rPr>
              <w:t>2,4</w:t>
            </w:r>
          </w:p>
        </w:tc>
        <w:tc>
          <w:tcPr>
            <w:tcW w:w="1577" w:type="dxa"/>
          </w:tcPr>
          <w:p w14:paraId="0A401CB0" w14:textId="7D13EE7E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Артралгия</w:t>
            </w:r>
            <w:r w:rsidRPr="00927D7E">
              <w:rPr>
                <w:rFonts w:cs="Arial"/>
                <w:vertAlign w:val="superscript"/>
              </w:rPr>
              <w:t>3</w:t>
            </w:r>
            <w:r w:rsidRPr="00927D7E">
              <w:rPr>
                <w:rFonts w:cs="Arial"/>
              </w:rPr>
              <w:t>, мускулни спазми</w:t>
            </w:r>
            <w:r w:rsidRPr="00927D7E">
              <w:rPr>
                <w:rFonts w:cs="Arial"/>
                <w:vertAlign w:val="superscript"/>
              </w:rPr>
              <w:t>3</w:t>
            </w:r>
            <w:r w:rsidRPr="00927D7E">
              <w:rPr>
                <w:rFonts w:cs="Arial"/>
              </w:rPr>
              <w:t>, болка във врата</w:t>
            </w:r>
            <w:r w:rsidRPr="00927D7E">
              <w:rPr>
                <w:rFonts w:cs="Arial"/>
                <w:vertAlign w:val="superscript"/>
              </w:rPr>
              <w:t>3</w:t>
            </w:r>
            <w:r w:rsidRPr="00927D7E">
              <w:rPr>
                <w:rFonts w:cs="Arial"/>
              </w:rPr>
              <w:t>, болка в гърба</w:t>
            </w:r>
            <w:r w:rsidRPr="00927D7E">
              <w:rPr>
                <w:rFonts w:cs="Arial"/>
                <w:vertAlign w:val="superscript"/>
              </w:rPr>
              <w:t>4</w:t>
            </w:r>
            <w:r w:rsidRPr="00927D7E">
              <w:rPr>
                <w:rFonts w:cs="Arial"/>
              </w:rPr>
              <w:t>, мускулна слабост</w:t>
            </w:r>
            <w:r w:rsidRPr="00927D7E">
              <w:rPr>
                <w:rFonts w:cs="Arial"/>
                <w:vertAlign w:val="superscript"/>
              </w:rPr>
              <w:t>4</w:t>
            </w:r>
            <w:r w:rsidRPr="00927D7E">
              <w:rPr>
                <w:rFonts w:cs="Arial"/>
              </w:rPr>
              <w:t>, болка в крайниците</w:t>
            </w:r>
            <w:r w:rsidRPr="00927D7E">
              <w:rPr>
                <w:rFonts w:cs="Arial"/>
                <w:vertAlign w:val="superscript"/>
              </w:rPr>
              <w:t>4</w:t>
            </w:r>
          </w:p>
        </w:tc>
        <w:tc>
          <w:tcPr>
            <w:tcW w:w="1573" w:type="dxa"/>
          </w:tcPr>
          <w:p w14:paraId="58994854" w14:textId="00B1477F" w:rsidR="00466FDB" w:rsidRPr="00927D7E" w:rsidRDefault="00466FDB" w:rsidP="00466FDB">
            <w:pPr>
              <w:rPr>
                <w:rFonts w:cs="Arial"/>
              </w:rPr>
            </w:pPr>
            <w:proofErr w:type="spellStart"/>
            <w:r w:rsidRPr="00927D7E">
              <w:rPr>
                <w:rFonts w:cs="Arial"/>
              </w:rPr>
              <w:t>Миопатия</w:t>
            </w:r>
            <w:proofErr w:type="spellEnd"/>
            <w:r w:rsidRPr="00927D7E">
              <w:rPr>
                <w:rFonts w:cs="Arial"/>
              </w:rPr>
              <w:t xml:space="preserve"> (включително </w:t>
            </w:r>
            <w:proofErr w:type="spellStart"/>
            <w:r w:rsidRPr="00927D7E">
              <w:rPr>
                <w:rFonts w:cs="Arial"/>
              </w:rPr>
              <w:t>миозит</w:t>
            </w:r>
            <w:proofErr w:type="spellEnd"/>
            <w:r w:rsidRPr="00927D7E">
              <w:rPr>
                <w:rFonts w:cs="Arial"/>
              </w:rPr>
              <w:t>)</w:t>
            </w:r>
            <w:r w:rsidRPr="00927D7E">
              <w:rPr>
                <w:rFonts w:cs="Arial"/>
                <w:vertAlign w:val="superscript"/>
              </w:rPr>
              <w:t>2</w:t>
            </w:r>
            <w:r w:rsidRPr="00927D7E">
              <w:rPr>
                <w:rFonts w:cs="Arial"/>
              </w:rPr>
              <w:t>, рабдомио</w:t>
            </w:r>
            <w:r w:rsidRPr="00927D7E">
              <w:rPr>
                <w:rFonts w:cs="Arial"/>
              </w:rPr>
              <w:softHyphen/>
              <w:t>лиза</w:t>
            </w:r>
            <w:r w:rsidRPr="00927D7E">
              <w:rPr>
                <w:rFonts w:cs="Arial"/>
                <w:vertAlign w:val="superscript"/>
              </w:rPr>
              <w:t>2</w:t>
            </w:r>
            <w:r w:rsidRPr="00927D7E">
              <w:rPr>
                <w:rFonts w:cs="Arial"/>
              </w:rPr>
              <w:t xml:space="preserve">, </w:t>
            </w:r>
            <w:proofErr w:type="spellStart"/>
            <w:r w:rsidRPr="00927D7E">
              <w:rPr>
                <w:rFonts w:cs="Arial"/>
              </w:rPr>
              <w:t>лупус</w:t>
            </w:r>
            <w:proofErr w:type="spellEnd"/>
            <w:r w:rsidRPr="00927D7E">
              <w:rPr>
                <w:rFonts w:cs="Arial"/>
              </w:rPr>
              <w:t>- подобен синдром</w:t>
            </w:r>
            <w:r w:rsidRPr="00927D7E">
              <w:rPr>
                <w:rFonts w:cs="Arial"/>
                <w:vertAlign w:val="superscript"/>
              </w:rPr>
              <w:t>2</w:t>
            </w:r>
            <w:r w:rsidRPr="00927D7E">
              <w:rPr>
                <w:rFonts w:cs="Arial"/>
              </w:rPr>
              <w:t>, разкъсване на мускулите</w:t>
            </w:r>
            <w:r w:rsidRPr="00927D7E">
              <w:rPr>
                <w:rFonts w:cs="Arial"/>
                <w:vertAlign w:val="superscript"/>
              </w:rPr>
              <w:t>2</w:t>
            </w:r>
          </w:p>
        </w:tc>
        <w:tc>
          <w:tcPr>
            <w:tcW w:w="1557" w:type="dxa"/>
          </w:tcPr>
          <w:p w14:paraId="0B78A7CB" w14:textId="2C108005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Артралгия</w:t>
            </w:r>
            <w:r w:rsidRPr="00927D7E">
              <w:rPr>
                <w:rFonts w:cs="Arial"/>
                <w:vertAlign w:val="superscript"/>
              </w:rPr>
              <w:t>2</w:t>
            </w:r>
          </w:p>
        </w:tc>
        <w:tc>
          <w:tcPr>
            <w:tcW w:w="1578" w:type="dxa"/>
          </w:tcPr>
          <w:p w14:paraId="2EC9D217" w14:textId="100C1218" w:rsidR="00466FDB" w:rsidRPr="00927D7E" w:rsidRDefault="00466FDB" w:rsidP="00466FDB">
            <w:pPr>
              <w:rPr>
                <w:rFonts w:cs="Arial"/>
              </w:rPr>
            </w:pPr>
            <w:proofErr w:type="spellStart"/>
            <w:r w:rsidRPr="00927D7E">
              <w:rPr>
                <w:rFonts w:cs="Arial"/>
              </w:rPr>
              <w:t>Имуно</w:t>
            </w:r>
            <w:proofErr w:type="spellEnd"/>
            <w:r w:rsidRPr="00927D7E">
              <w:rPr>
                <w:rFonts w:cs="Arial"/>
              </w:rPr>
              <w:t xml:space="preserve">- </w:t>
            </w:r>
            <w:proofErr w:type="spellStart"/>
            <w:r w:rsidRPr="00927D7E">
              <w:rPr>
                <w:rFonts w:cs="Arial"/>
              </w:rPr>
              <w:t>медиирана</w:t>
            </w:r>
            <w:proofErr w:type="spellEnd"/>
            <w:r w:rsidRPr="00927D7E">
              <w:rPr>
                <w:rFonts w:cs="Arial"/>
              </w:rPr>
              <w:t xml:space="preserve"> </w:t>
            </w:r>
            <w:proofErr w:type="spellStart"/>
            <w:r w:rsidRPr="00927D7E">
              <w:rPr>
                <w:rFonts w:cs="Arial"/>
              </w:rPr>
              <w:t>некротизираща</w:t>
            </w:r>
            <w:proofErr w:type="spellEnd"/>
            <w:r w:rsidRPr="00927D7E">
              <w:rPr>
                <w:rFonts w:cs="Arial"/>
              </w:rPr>
              <w:t xml:space="preserve"> миопатия</w:t>
            </w:r>
            <w:r w:rsidRPr="00927D7E">
              <w:rPr>
                <w:rFonts w:cs="Arial"/>
                <w:vertAlign w:val="superscript"/>
              </w:rPr>
              <w:t>2</w:t>
            </w:r>
            <w:r w:rsidRPr="00927D7E">
              <w:rPr>
                <w:rFonts w:cs="Arial"/>
              </w:rPr>
              <w:t>, нарушения на сухожилията, понякога усложнени от разкъсване</w:t>
            </w:r>
            <w:r w:rsidRPr="00927D7E">
              <w:rPr>
                <w:rFonts w:cs="Arial"/>
                <w:vertAlign w:val="superscript"/>
              </w:rPr>
              <w:t>2</w:t>
            </w:r>
          </w:p>
        </w:tc>
      </w:tr>
      <w:tr w:rsidR="00466FDB" w:rsidRPr="00927D7E" w14:paraId="3EC794CE" w14:textId="77777777" w:rsidTr="00466FDB">
        <w:tc>
          <w:tcPr>
            <w:tcW w:w="1720" w:type="dxa"/>
          </w:tcPr>
          <w:p w14:paraId="44F8D726" w14:textId="3A1ECC44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t xml:space="preserve">Нарушения </w:t>
            </w:r>
            <w:r w:rsidRPr="00927D7E">
              <w:rPr>
                <w:rFonts w:cs="Arial"/>
                <w:b/>
                <w:bCs/>
                <w:i/>
                <w:iCs/>
              </w:rPr>
              <w:t xml:space="preserve">на </w:t>
            </w:r>
            <w:r w:rsidRPr="00927D7E">
              <w:rPr>
                <w:rFonts w:cs="Arial"/>
                <w:b/>
                <w:bCs/>
              </w:rPr>
              <w:t>бъбреците и пикочните пътища</w:t>
            </w:r>
          </w:p>
        </w:tc>
        <w:tc>
          <w:tcPr>
            <w:tcW w:w="1571" w:type="dxa"/>
          </w:tcPr>
          <w:p w14:paraId="19629C02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7707ABF9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3" w:type="dxa"/>
          </w:tcPr>
          <w:p w14:paraId="7C5D78F2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28F5E81B" w14:textId="4A8F2EF9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Хематурия</w:t>
            </w:r>
            <w:r w:rsidRPr="00927D7E">
              <w:rPr>
                <w:rFonts w:cs="Arial"/>
                <w:vertAlign w:val="superscript"/>
              </w:rPr>
              <w:t>2</w:t>
            </w:r>
          </w:p>
        </w:tc>
        <w:tc>
          <w:tcPr>
            <w:tcW w:w="1578" w:type="dxa"/>
          </w:tcPr>
          <w:p w14:paraId="7CD627F3" w14:textId="77777777" w:rsidR="00466FDB" w:rsidRPr="00927D7E" w:rsidRDefault="00466FDB" w:rsidP="00466FDB">
            <w:pPr>
              <w:rPr>
                <w:rFonts w:cs="Arial"/>
              </w:rPr>
            </w:pPr>
          </w:p>
        </w:tc>
      </w:tr>
      <w:tr w:rsidR="00466FDB" w:rsidRPr="00927D7E" w14:paraId="5A8FB15E" w14:textId="77777777" w:rsidTr="00466FDB">
        <w:tc>
          <w:tcPr>
            <w:tcW w:w="1720" w:type="dxa"/>
          </w:tcPr>
          <w:p w14:paraId="09A482AC" w14:textId="1E827C85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lastRenderedPageBreak/>
              <w:t>Нарушения на репродуктивната система и гърдата</w:t>
            </w:r>
          </w:p>
        </w:tc>
        <w:tc>
          <w:tcPr>
            <w:tcW w:w="1571" w:type="dxa"/>
          </w:tcPr>
          <w:p w14:paraId="0735C02D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7" w:type="dxa"/>
          </w:tcPr>
          <w:p w14:paraId="341A40F6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3" w:type="dxa"/>
          </w:tcPr>
          <w:p w14:paraId="6E3AE333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642B0074" w14:textId="0EEFAE05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Гинекомастия</w:t>
            </w:r>
            <w:r w:rsidRPr="00927D7E">
              <w:rPr>
                <w:rFonts w:cs="Arial"/>
                <w:vertAlign w:val="superscript"/>
              </w:rPr>
              <w:t>2</w:t>
            </w:r>
          </w:p>
        </w:tc>
        <w:tc>
          <w:tcPr>
            <w:tcW w:w="1578" w:type="dxa"/>
          </w:tcPr>
          <w:p w14:paraId="60BD55C1" w14:textId="77777777" w:rsidR="00466FDB" w:rsidRPr="00927D7E" w:rsidRDefault="00466FDB" w:rsidP="00466FDB">
            <w:pPr>
              <w:rPr>
                <w:rFonts w:cs="Arial"/>
              </w:rPr>
            </w:pPr>
          </w:p>
        </w:tc>
      </w:tr>
      <w:tr w:rsidR="00466FDB" w:rsidRPr="00927D7E" w14:paraId="6BC10FBB" w14:textId="77777777" w:rsidTr="00466FDB">
        <w:tc>
          <w:tcPr>
            <w:tcW w:w="1720" w:type="dxa"/>
          </w:tcPr>
          <w:p w14:paraId="55943E56" w14:textId="1BF3B608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t>Общи нарушения и ефекти на мястото на приложение -</w:t>
            </w:r>
          </w:p>
        </w:tc>
        <w:tc>
          <w:tcPr>
            <w:tcW w:w="1571" w:type="dxa"/>
          </w:tcPr>
          <w:p w14:paraId="33284541" w14:textId="6F9B1DEE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Астения</w:t>
            </w:r>
            <w:r w:rsidRPr="00927D7E">
              <w:rPr>
                <w:rFonts w:cs="Arial"/>
                <w:vertAlign w:val="superscript"/>
              </w:rPr>
              <w:t>2</w:t>
            </w:r>
            <w:r w:rsidRPr="00927D7E">
              <w:rPr>
                <w:rFonts w:cs="Arial"/>
              </w:rPr>
              <w:t>, умора</w:t>
            </w:r>
            <w:r w:rsidRPr="00927D7E">
              <w:rPr>
                <w:rFonts w:cs="Arial"/>
                <w:vertAlign w:val="superscript"/>
              </w:rPr>
              <w:t>3</w:t>
            </w:r>
          </w:p>
        </w:tc>
        <w:tc>
          <w:tcPr>
            <w:tcW w:w="1577" w:type="dxa"/>
          </w:tcPr>
          <w:p w14:paraId="2AF5AA8D" w14:textId="2CD8292D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Болка в гръдите</w:t>
            </w:r>
            <w:r w:rsidRPr="00927D7E">
              <w:rPr>
                <w:rFonts w:cs="Arial"/>
                <w:vertAlign w:val="superscript"/>
              </w:rPr>
              <w:t>3</w:t>
            </w:r>
            <w:r w:rsidRPr="00927D7E">
              <w:rPr>
                <w:rFonts w:cs="Arial"/>
              </w:rPr>
              <w:t>, болка</w:t>
            </w:r>
            <w:r w:rsidRPr="00927D7E">
              <w:rPr>
                <w:rFonts w:cs="Arial"/>
                <w:vertAlign w:val="superscript"/>
              </w:rPr>
              <w:t>3</w:t>
            </w:r>
            <w:r w:rsidRPr="00927D7E">
              <w:rPr>
                <w:rFonts w:cs="Arial"/>
              </w:rPr>
              <w:t>, астения</w:t>
            </w:r>
            <w:r w:rsidRPr="00927D7E">
              <w:rPr>
                <w:rFonts w:cs="Arial"/>
                <w:vertAlign w:val="superscript"/>
              </w:rPr>
              <w:t>4</w:t>
            </w:r>
            <w:r w:rsidRPr="00927D7E">
              <w:rPr>
                <w:rFonts w:cs="Arial"/>
              </w:rPr>
              <w:t>, периферен оток</w:t>
            </w:r>
            <w:r w:rsidRPr="00927D7E">
              <w:rPr>
                <w:rFonts w:cs="Arial"/>
                <w:vertAlign w:val="superscript"/>
              </w:rPr>
              <w:t>4</w:t>
            </w:r>
          </w:p>
        </w:tc>
        <w:tc>
          <w:tcPr>
            <w:tcW w:w="1573" w:type="dxa"/>
          </w:tcPr>
          <w:p w14:paraId="2D9CB831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705308E3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3C88EB8B" w14:textId="77777777" w:rsidR="00466FDB" w:rsidRPr="00927D7E" w:rsidRDefault="00466FDB" w:rsidP="00466FDB">
            <w:pPr>
              <w:rPr>
                <w:rFonts w:cs="Arial"/>
              </w:rPr>
            </w:pPr>
          </w:p>
        </w:tc>
      </w:tr>
      <w:tr w:rsidR="00466FDB" w:rsidRPr="00927D7E" w14:paraId="27A5F2D1" w14:textId="77777777" w:rsidTr="00466FDB">
        <w:tc>
          <w:tcPr>
            <w:tcW w:w="1720" w:type="dxa"/>
          </w:tcPr>
          <w:p w14:paraId="688569C6" w14:textId="7BB0649B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  <w:b/>
                <w:bCs/>
              </w:rPr>
              <w:t>Изследвания</w:t>
            </w:r>
          </w:p>
        </w:tc>
        <w:tc>
          <w:tcPr>
            <w:tcW w:w="1571" w:type="dxa"/>
          </w:tcPr>
          <w:p w14:paraId="6137C00C" w14:textId="39109687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Повишени ALT и/или AST</w:t>
            </w:r>
            <w:r w:rsidRPr="00927D7E">
              <w:rPr>
                <w:rFonts w:cs="Arial"/>
                <w:vertAlign w:val="superscript"/>
              </w:rPr>
              <w:t>4</w:t>
            </w:r>
          </w:p>
        </w:tc>
        <w:tc>
          <w:tcPr>
            <w:tcW w:w="1577" w:type="dxa"/>
          </w:tcPr>
          <w:p w14:paraId="4C6B9B93" w14:textId="77777777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Повишена СРК в кръвта</w:t>
            </w:r>
            <w:r w:rsidRPr="00927D7E">
              <w:rPr>
                <w:rFonts w:cs="Arial"/>
                <w:vertAlign w:val="superscript"/>
              </w:rPr>
              <w:t>3</w:t>
            </w:r>
            <w:r w:rsidRPr="00927D7E">
              <w:rPr>
                <w:rFonts w:cs="Arial"/>
              </w:rPr>
              <w:t>;</w:t>
            </w:r>
          </w:p>
          <w:p w14:paraId="573C2AC5" w14:textId="77777777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повишена</w:t>
            </w:r>
          </w:p>
          <w:p w14:paraId="3A41B5A3" w14:textId="77777777" w:rsidR="00466FDB" w:rsidRPr="00927D7E" w:rsidRDefault="00466FDB" w:rsidP="00466FDB">
            <w:pPr>
              <w:rPr>
                <w:rFonts w:cs="Arial"/>
              </w:rPr>
            </w:pPr>
            <w:proofErr w:type="spellStart"/>
            <w:r w:rsidRPr="00927D7E">
              <w:rPr>
                <w:rFonts w:cs="Arial"/>
              </w:rPr>
              <w:t>гамаглутамилтр</w:t>
            </w:r>
            <w:proofErr w:type="spellEnd"/>
            <w:r w:rsidRPr="00927D7E">
              <w:rPr>
                <w:rFonts w:cs="Arial"/>
              </w:rPr>
              <w:t xml:space="preserve"> аисфераза</w:t>
            </w:r>
            <w:r w:rsidRPr="00927D7E">
              <w:rPr>
                <w:rFonts w:cs="Arial"/>
                <w:vertAlign w:val="superscript"/>
              </w:rPr>
              <w:t>3</w:t>
            </w:r>
            <w:r w:rsidRPr="00927D7E">
              <w:rPr>
                <w:rFonts w:cs="Arial"/>
              </w:rPr>
              <w:t>;</w:t>
            </w:r>
          </w:p>
          <w:p w14:paraId="32CF7483" w14:textId="05E2018A" w:rsidR="00466FDB" w:rsidRPr="00927D7E" w:rsidRDefault="00466FDB" w:rsidP="00466FDB">
            <w:pPr>
              <w:rPr>
                <w:rFonts w:cs="Arial"/>
              </w:rPr>
            </w:pPr>
            <w:r w:rsidRPr="00927D7E">
              <w:rPr>
                <w:rFonts w:cs="Arial"/>
              </w:rPr>
              <w:t>отклонения в чернодробните функционални изследвания</w:t>
            </w:r>
            <w:r w:rsidRPr="00927D7E">
              <w:rPr>
                <w:rFonts w:cs="Arial"/>
                <w:vertAlign w:val="superscript"/>
              </w:rPr>
              <w:t>3</w:t>
            </w:r>
          </w:p>
        </w:tc>
        <w:tc>
          <w:tcPr>
            <w:tcW w:w="1573" w:type="dxa"/>
          </w:tcPr>
          <w:p w14:paraId="5BB58B7F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57" w:type="dxa"/>
          </w:tcPr>
          <w:p w14:paraId="5EB57308" w14:textId="77777777" w:rsidR="00466FDB" w:rsidRPr="00927D7E" w:rsidRDefault="00466FDB" w:rsidP="00466FDB">
            <w:pPr>
              <w:rPr>
                <w:rFonts w:cs="Arial"/>
              </w:rPr>
            </w:pPr>
          </w:p>
        </w:tc>
        <w:tc>
          <w:tcPr>
            <w:tcW w:w="1578" w:type="dxa"/>
          </w:tcPr>
          <w:p w14:paraId="720AE952" w14:textId="77777777" w:rsidR="00466FDB" w:rsidRPr="00927D7E" w:rsidRDefault="00466FDB" w:rsidP="00466FDB">
            <w:pPr>
              <w:rPr>
                <w:rFonts w:cs="Arial"/>
              </w:rPr>
            </w:pPr>
          </w:p>
        </w:tc>
      </w:tr>
    </w:tbl>
    <w:p w14:paraId="2984450C" w14:textId="2460F180" w:rsidR="00466FDB" w:rsidRPr="00927D7E" w:rsidRDefault="00466FDB" w:rsidP="0091385D"/>
    <w:p w14:paraId="6D1DE049" w14:textId="3044CA01" w:rsidR="00466FDB" w:rsidRPr="00927D7E" w:rsidRDefault="00466FDB" w:rsidP="00466FDB">
      <w:pPr>
        <w:spacing w:line="240" w:lineRule="auto"/>
        <w:rPr>
          <w:rFonts w:eastAsia="Times New Roman" w:cs="Arial"/>
          <w:color w:val="000000"/>
          <w:sz w:val="20"/>
          <w:szCs w:val="20"/>
          <w:lang w:eastAsia="bg-BG"/>
        </w:rPr>
      </w:pPr>
      <w:r w:rsidRPr="00927D7E">
        <w:rPr>
          <w:rFonts w:eastAsia="Times New Roman" w:cs="Arial"/>
          <w:color w:val="000000"/>
          <w:sz w:val="20"/>
          <w:szCs w:val="20"/>
          <w:vertAlign w:val="superscript"/>
          <w:lang w:eastAsia="bg-BG"/>
        </w:rPr>
        <w:t>1</w:t>
      </w:r>
      <w:r w:rsidRPr="00927D7E">
        <w:rPr>
          <w:rFonts w:eastAsia="Times New Roman" w:cs="Arial"/>
          <w:color w:val="000000"/>
          <w:sz w:val="20"/>
          <w:szCs w:val="20"/>
          <w:lang w:eastAsia="bg-BG"/>
        </w:rPr>
        <w:t xml:space="preserve"> Честотата зависи от наличието или липсата на рискови фактори (глюкоза на гладно</w:t>
      </w:r>
    </w:p>
    <w:p w14:paraId="2E323334" w14:textId="77777777" w:rsidR="00466FDB" w:rsidRPr="00927D7E" w:rsidRDefault="00466FDB" w:rsidP="00466FDB">
      <w:pPr>
        <w:spacing w:line="240" w:lineRule="auto"/>
        <w:rPr>
          <w:rFonts w:eastAsia="Times New Roman" w:cs="Arial"/>
          <w:sz w:val="20"/>
          <w:szCs w:val="20"/>
          <w:lang w:eastAsia="bg-BG"/>
        </w:rPr>
      </w:pPr>
      <w:r w:rsidRPr="00927D7E">
        <w:rPr>
          <w:rFonts w:eastAsia="Times New Roman" w:cs="Arial"/>
          <w:i/>
          <w:iCs/>
          <w:color w:val="000000"/>
          <w:sz w:val="20"/>
          <w:szCs w:val="20"/>
          <w:lang w:eastAsia="bg-BG"/>
        </w:rPr>
        <w:t>≥ 5,6</w:t>
      </w:r>
      <w:r w:rsidRPr="00927D7E">
        <w:rPr>
          <w:rFonts w:eastAsia="Times New Roman" w:cs="Arial"/>
          <w:color w:val="000000"/>
          <w:sz w:val="20"/>
          <w:szCs w:val="20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sz w:val="20"/>
          <w:szCs w:val="20"/>
        </w:rPr>
        <w:t>mmol</w:t>
      </w:r>
      <w:proofErr w:type="spellEnd"/>
      <w:r w:rsidRPr="00927D7E">
        <w:rPr>
          <w:rFonts w:eastAsia="Times New Roman" w:cs="Arial"/>
          <w:color w:val="000000"/>
          <w:sz w:val="20"/>
          <w:szCs w:val="20"/>
        </w:rPr>
        <w:t xml:space="preserve">/l, BMI </w:t>
      </w:r>
      <w:r w:rsidRPr="00927D7E">
        <w:rPr>
          <w:rFonts w:eastAsia="Times New Roman" w:cs="Arial"/>
          <w:color w:val="000000"/>
          <w:sz w:val="20"/>
          <w:szCs w:val="20"/>
          <w:lang w:eastAsia="bg-BG"/>
        </w:rPr>
        <w:t xml:space="preserve">&gt; 30 </w:t>
      </w:r>
      <w:proofErr w:type="spellStart"/>
      <w:r w:rsidRPr="00927D7E">
        <w:rPr>
          <w:rFonts w:eastAsia="Times New Roman" w:cs="Arial"/>
          <w:color w:val="000000"/>
          <w:sz w:val="20"/>
          <w:szCs w:val="20"/>
        </w:rPr>
        <w:t>kg</w:t>
      </w:r>
      <w:proofErr w:type="spellEnd"/>
      <w:r w:rsidRPr="00927D7E">
        <w:rPr>
          <w:rFonts w:eastAsia="Times New Roman" w:cs="Arial"/>
          <w:color w:val="000000"/>
          <w:sz w:val="20"/>
          <w:szCs w:val="20"/>
        </w:rPr>
        <w:t>/m</w:t>
      </w:r>
      <w:r w:rsidRPr="00927D7E">
        <w:rPr>
          <w:rFonts w:eastAsia="Times New Roman" w:cs="Arial"/>
          <w:color w:val="000000"/>
          <w:sz w:val="20"/>
          <w:szCs w:val="20"/>
          <w:vertAlign w:val="superscript"/>
        </w:rPr>
        <w:t>2</w:t>
      </w:r>
      <w:r w:rsidRPr="00927D7E">
        <w:rPr>
          <w:rFonts w:eastAsia="Times New Roman" w:cs="Arial"/>
          <w:color w:val="000000"/>
          <w:sz w:val="20"/>
          <w:szCs w:val="20"/>
        </w:rPr>
        <w:t xml:space="preserve">, </w:t>
      </w:r>
      <w:r w:rsidRPr="00927D7E">
        <w:rPr>
          <w:rFonts w:eastAsia="Times New Roman" w:cs="Arial"/>
          <w:color w:val="000000"/>
          <w:sz w:val="20"/>
          <w:szCs w:val="20"/>
          <w:lang w:eastAsia="bg-BG"/>
        </w:rPr>
        <w:t xml:space="preserve">повишаване на </w:t>
      </w:r>
      <w:proofErr w:type="spellStart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>триглицеридите</w:t>
      </w:r>
      <w:proofErr w:type="spellEnd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 xml:space="preserve">, анамнеза за хипертония) - за </w:t>
      </w:r>
      <w:proofErr w:type="spellStart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>.</w:t>
      </w:r>
    </w:p>
    <w:p w14:paraId="56E30DE8" w14:textId="5A064833" w:rsidR="00466FDB" w:rsidRPr="00927D7E" w:rsidRDefault="00466FDB" w:rsidP="00466FDB">
      <w:pPr>
        <w:spacing w:line="240" w:lineRule="auto"/>
        <w:rPr>
          <w:rFonts w:eastAsia="Times New Roman" w:cs="Arial"/>
          <w:color w:val="000000"/>
          <w:sz w:val="20"/>
          <w:szCs w:val="20"/>
          <w:lang w:eastAsia="bg-BG"/>
        </w:rPr>
      </w:pPr>
      <w:r w:rsidRPr="00927D7E">
        <w:rPr>
          <w:rFonts w:eastAsia="Times New Roman" w:cs="Arial"/>
          <w:color w:val="000000"/>
          <w:sz w:val="20"/>
          <w:szCs w:val="20"/>
          <w:vertAlign w:val="superscript"/>
          <w:lang w:eastAsia="bg-BG"/>
        </w:rPr>
        <w:t xml:space="preserve">2 </w:t>
      </w:r>
      <w:r w:rsidRPr="00927D7E">
        <w:rPr>
          <w:rFonts w:eastAsia="Times New Roman" w:cs="Arial"/>
          <w:color w:val="000000"/>
          <w:sz w:val="20"/>
          <w:szCs w:val="20"/>
          <w:lang w:eastAsia="bg-BG"/>
        </w:rPr>
        <w:t xml:space="preserve">Профил на нежеланите реакции на </w:t>
      </w:r>
      <w:proofErr w:type="spellStart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 xml:space="preserve"> въз основа на данните от клинични проучвания и широкия </w:t>
      </w:r>
      <w:proofErr w:type="spellStart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>постмаркетиягов</w:t>
      </w:r>
      <w:proofErr w:type="spellEnd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 xml:space="preserve"> опит.</w:t>
      </w:r>
    </w:p>
    <w:p w14:paraId="5F996A13" w14:textId="3E0CC370" w:rsidR="00466FDB" w:rsidRPr="00927D7E" w:rsidRDefault="00466FDB" w:rsidP="00466FDB">
      <w:pPr>
        <w:spacing w:line="240" w:lineRule="auto"/>
        <w:rPr>
          <w:rFonts w:eastAsia="Times New Roman" w:cs="Arial"/>
          <w:color w:val="000000"/>
          <w:sz w:val="20"/>
          <w:szCs w:val="20"/>
          <w:lang w:eastAsia="bg-BG"/>
        </w:rPr>
      </w:pPr>
      <w:r w:rsidRPr="00927D7E">
        <w:rPr>
          <w:rFonts w:eastAsia="Times New Roman" w:cs="Arial"/>
          <w:color w:val="000000"/>
          <w:sz w:val="20"/>
          <w:szCs w:val="20"/>
          <w:vertAlign w:val="superscript"/>
          <w:lang w:eastAsia="bg-BG"/>
        </w:rPr>
        <w:t xml:space="preserve">3 </w:t>
      </w:r>
      <w:proofErr w:type="spellStart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>Монотерапия</w:t>
      </w:r>
      <w:proofErr w:type="spellEnd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 xml:space="preserve"> с </w:t>
      </w:r>
      <w:proofErr w:type="spellStart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 xml:space="preserve">. При пациенти, лекувани с </w:t>
      </w:r>
      <w:proofErr w:type="spellStart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 xml:space="preserve"> </w:t>
      </w:r>
      <w:r w:rsidRPr="00927D7E">
        <w:rPr>
          <w:rFonts w:eastAsia="Times New Roman" w:cs="Arial"/>
          <w:color w:val="000000"/>
          <w:sz w:val="20"/>
          <w:szCs w:val="20"/>
        </w:rPr>
        <w:t xml:space="preserve">(N=2 </w:t>
      </w:r>
      <w:r w:rsidRPr="00927D7E">
        <w:rPr>
          <w:rFonts w:eastAsia="Times New Roman" w:cs="Arial"/>
          <w:color w:val="000000"/>
          <w:sz w:val="20"/>
          <w:szCs w:val="20"/>
          <w:lang w:eastAsia="bg-BG"/>
        </w:rPr>
        <w:t>396), са били наблюдавани нежелани реакции и с по-висока честота, отколкото при плацебо</w:t>
      </w:r>
      <w:r w:rsidRPr="00927D7E">
        <w:rPr>
          <w:rFonts w:eastAsia="Times New Roman" w:cs="Arial"/>
          <w:color w:val="000000"/>
          <w:sz w:val="20"/>
          <w:szCs w:val="20"/>
        </w:rPr>
        <w:t xml:space="preserve"> (N= 1 139).</w:t>
      </w:r>
    </w:p>
    <w:p w14:paraId="1B875137" w14:textId="0AB283A5" w:rsidR="00466FDB" w:rsidRPr="00927D7E" w:rsidRDefault="00466FDB" w:rsidP="00466FDB">
      <w:pPr>
        <w:spacing w:line="240" w:lineRule="auto"/>
        <w:rPr>
          <w:rFonts w:eastAsia="Times New Roman" w:cs="Arial"/>
          <w:color w:val="000000"/>
          <w:sz w:val="20"/>
          <w:szCs w:val="20"/>
          <w:lang w:eastAsia="bg-BG"/>
        </w:rPr>
      </w:pPr>
      <w:r w:rsidRPr="00927D7E">
        <w:rPr>
          <w:rFonts w:eastAsia="Times New Roman" w:cs="Arial"/>
          <w:color w:val="000000"/>
          <w:sz w:val="20"/>
          <w:szCs w:val="20"/>
          <w:vertAlign w:val="superscript"/>
          <w:lang w:eastAsia="bg-BG"/>
        </w:rPr>
        <w:t xml:space="preserve">4 </w:t>
      </w:r>
      <w:proofErr w:type="spellStart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>, едновременно приложен със статии. При пациенти, лекувани едновременно с</w:t>
      </w:r>
      <w:r w:rsidRPr="00927D7E">
        <w:rPr>
          <w:rFonts w:eastAsia="Times New Roman" w:cs="Arial"/>
          <w:color w:val="000000"/>
          <w:sz w:val="20"/>
          <w:szCs w:val="20"/>
          <w:u w:val="single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 xml:space="preserve"> и статии </w:t>
      </w:r>
      <w:r w:rsidRPr="00927D7E">
        <w:rPr>
          <w:rFonts w:eastAsia="Times New Roman" w:cs="Arial"/>
          <w:color w:val="000000"/>
          <w:sz w:val="20"/>
          <w:szCs w:val="20"/>
        </w:rPr>
        <w:t>(N=11</w:t>
      </w:r>
      <w:r w:rsidRPr="00927D7E">
        <w:rPr>
          <w:rFonts w:eastAsia="Times New Roman" w:cs="Arial"/>
          <w:color w:val="000000"/>
          <w:sz w:val="20"/>
          <w:szCs w:val="20"/>
          <w:lang w:eastAsia="bg-BG"/>
        </w:rPr>
        <w:t xml:space="preserve"> 308), са наблюдавани нежелани реакции и с по-висока честота отколкото при самостоятелно приложен статии </w:t>
      </w:r>
      <w:r w:rsidRPr="00927D7E">
        <w:rPr>
          <w:rFonts w:eastAsia="Times New Roman" w:cs="Arial"/>
          <w:color w:val="000000"/>
          <w:sz w:val="20"/>
          <w:szCs w:val="20"/>
        </w:rPr>
        <w:t xml:space="preserve">(N=9 </w:t>
      </w:r>
      <w:r w:rsidRPr="00927D7E">
        <w:rPr>
          <w:rFonts w:eastAsia="Times New Roman" w:cs="Arial"/>
          <w:color w:val="000000"/>
          <w:sz w:val="20"/>
          <w:szCs w:val="20"/>
          <w:lang w:eastAsia="bg-BG"/>
        </w:rPr>
        <w:t>361).</w:t>
      </w:r>
    </w:p>
    <w:p w14:paraId="31437D8D" w14:textId="7D711041" w:rsidR="00466FDB" w:rsidRPr="00927D7E" w:rsidRDefault="00466FDB" w:rsidP="00466FDB">
      <w:pPr>
        <w:spacing w:line="240" w:lineRule="auto"/>
        <w:rPr>
          <w:rFonts w:eastAsia="Times New Roman" w:cs="Arial"/>
          <w:color w:val="000000"/>
          <w:sz w:val="20"/>
          <w:szCs w:val="20"/>
          <w:lang w:eastAsia="bg-BG"/>
        </w:rPr>
      </w:pPr>
      <w:r w:rsidRPr="00927D7E">
        <w:rPr>
          <w:rFonts w:eastAsia="Times New Roman" w:cs="Arial"/>
          <w:color w:val="000000"/>
          <w:sz w:val="20"/>
          <w:szCs w:val="20"/>
          <w:vertAlign w:val="superscript"/>
          <w:lang w:eastAsia="bg-BG"/>
        </w:rPr>
        <w:t xml:space="preserve">5 </w:t>
      </w:r>
      <w:r w:rsidRPr="00927D7E">
        <w:rPr>
          <w:rFonts w:eastAsia="Times New Roman" w:cs="Arial"/>
          <w:color w:val="000000"/>
          <w:sz w:val="20"/>
          <w:szCs w:val="20"/>
          <w:lang w:eastAsia="bg-BG"/>
        </w:rPr>
        <w:t xml:space="preserve">Допълнителни нежелани реакции за </w:t>
      </w:r>
      <w:proofErr w:type="spellStart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 xml:space="preserve">, съобщени от </w:t>
      </w:r>
      <w:proofErr w:type="spellStart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>постмаркетинговия</w:t>
      </w:r>
      <w:proofErr w:type="spellEnd"/>
      <w:r w:rsidRPr="00927D7E">
        <w:rPr>
          <w:rFonts w:eastAsia="Times New Roman" w:cs="Arial"/>
          <w:color w:val="000000"/>
          <w:sz w:val="20"/>
          <w:szCs w:val="20"/>
          <w:lang w:eastAsia="bg-BG"/>
        </w:rPr>
        <w:t xml:space="preserve"> опит. Тъй</w:t>
      </w:r>
    </w:p>
    <w:p w14:paraId="361D9078" w14:textId="1D6E8009" w:rsidR="00466FDB" w:rsidRPr="00927D7E" w:rsidRDefault="00466FDB" w:rsidP="00466FDB">
      <w:pPr>
        <w:rPr>
          <w:rFonts w:eastAsia="Times New Roman" w:cs="Arial"/>
          <w:color w:val="000000"/>
          <w:sz w:val="20"/>
          <w:szCs w:val="20"/>
          <w:lang w:eastAsia="bg-BG"/>
        </w:rPr>
      </w:pPr>
      <w:r w:rsidRPr="00927D7E">
        <w:rPr>
          <w:rFonts w:eastAsia="Times New Roman" w:cs="Arial"/>
          <w:color w:val="000000"/>
          <w:sz w:val="20"/>
          <w:szCs w:val="20"/>
          <w:lang w:eastAsia="bg-BG"/>
        </w:rPr>
        <w:t>като тези нежелани реакции са установени от спонтанни съобщения, тяхната истинска,</w:t>
      </w:r>
    </w:p>
    <w:p w14:paraId="3332A15A" w14:textId="42C722F6" w:rsidR="00466FDB" w:rsidRPr="00927D7E" w:rsidRDefault="00466FDB" w:rsidP="00466FDB">
      <w:pPr>
        <w:rPr>
          <w:rFonts w:cs="Arial"/>
          <w:sz w:val="20"/>
          <w:szCs w:val="20"/>
        </w:rPr>
      </w:pPr>
      <w:r w:rsidRPr="00927D7E">
        <w:rPr>
          <w:rFonts w:cs="Arial"/>
          <w:sz w:val="20"/>
          <w:szCs w:val="20"/>
        </w:rPr>
        <w:t>честота не е известна и не може да бъде оценена.</w:t>
      </w:r>
    </w:p>
    <w:p w14:paraId="338565B2" w14:textId="0A2EF485" w:rsidR="00466FDB" w:rsidRPr="00927D7E" w:rsidRDefault="00466FDB" w:rsidP="0091385D"/>
    <w:p w14:paraId="7F4BD302" w14:textId="77777777" w:rsidR="00466FDB" w:rsidRPr="00927D7E" w:rsidRDefault="00466FDB" w:rsidP="00466FD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r w:rsidRPr="00927D7E">
        <w:rPr>
          <w:rFonts w:eastAsia="Times New Roman" w:cs="Arial"/>
          <w:i/>
          <w:iCs/>
          <w:color w:val="000000"/>
          <w:lang w:eastAsia="bg-BG"/>
        </w:rPr>
        <w:t xml:space="preserve">Следните нежелани реакции са докладвани при някои </w:t>
      </w: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t>статини</w:t>
      </w:r>
      <w:proofErr w:type="spellEnd"/>
      <w:r w:rsidRPr="00927D7E">
        <w:rPr>
          <w:rFonts w:eastAsia="Times New Roman" w:cs="Arial"/>
          <w:i/>
          <w:iCs/>
          <w:color w:val="000000"/>
          <w:lang w:eastAsia="bg-BG"/>
        </w:rPr>
        <w:t xml:space="preserve">: </w:t>
      </w:r>
    </w:p>
    <w:p w14:paraId="42CBDA08" w14:textId="77777777" w:rsidR="00466FDB" w:rsidRPr="00927D7E" w:rsidRDefault="00466FDB" w:rsidP="00466FDB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>сексуална дисфункция;</w:t>
      </w:r>
    </w:p>
    <w:p w14:paraId="719119D1" w14:textId="3FFF5E27" w:rsidR="00466FDB" w:rsidRPr="00927D7E" w:rsidRDefault="00466FDB" w:rsidP="00466FDB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изолирани случаи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интерстициална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белодробна болест, особено при продължителна терапия (вж. точка 4.4).</w:t>
      </w:r>
    </w:p>
    <w:p w14:paraId="1B45CB7F" w14:textId="77777777" w:rsidR="00466FDB" w:rsidRPr="00927D7E" w:rsidRDefault="00466FDB" w:rsidP="00466FD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986195" w14:textId="217832E9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Както при други инхибитори на </w:t>
      </w:r>
      <w:r w:rsidRPr="00927D7E">
        <w:rPr>
          <w:rFonts w:eastAsia="Times New Roman" w:cs="Arial"/>
          <w:color w:val="000000"/>
        </w:rPr>
        <w:t>HMG-</w:t>
      </w:r>
      <w:proofErr w:type="spellStart"/>
      <w:r w:rsidRPr="00927D7E">
        <w:rPr>
          <w:rFonts w:eastAsia="Times New Roman" w:cs="Arial"/>
          <w:color w:val="000000"/>
        </w:rPr>
        <w:t>CoA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927D7E">
        <w:rPr>
          <w:rFonts w:eastAsia="Times New Roman" w:cs="Arial"/>
          <w:color w:val="000000"/>
          <w:lang w:eastAsia="bg-BG"/>
        </w:rPr>
        <w:t>, честотата на нежеланите лекарствени реакции зависи от дозата на лекарството.</w:t>
      </w:r>
    </w:p>
    <w:p w14:paraId="3D93CEBA" w14:textId="77777777" w:rsidR="00466FDB" w:rsidRPr="00927D7E" w:rsidRDefault="00466FDB" w:rsidP="00466FDB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EE4784D" w14:textId="1820CE37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Ефекти върху бъбреците</w:t>
      </w:r>
      <w:r w:rsidRPr="00927D7E">
        <w:rPr>
          <w:rFonts w:eastAsia="Times New Roman" w:cs="Arial"/>
          <w:i/>
          <w:iCs/>
          <w:color w:val="000000"/>
          <w:lang w:eastAsia="bg-BG"/>
        </w:rPr>
        <w:t>:</w:t>
      </w:r>
      <w:r w:rsidRPr="00927D7E">
        <w:rPr>
          <w:rFonts w:eastAsia="Times New Roman" w:cs="Arial"/>
          <w:color w:val="000000"/>
          <w:lang w:eastAsia="bg-BG"/>
        </w:rPr>
        <w:t xml:space="preserve"> При пациенти, лекувани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е наблюдавана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протеинурия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установена при изследване с тест-лентички и която е предимно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тубулен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произход. В определени моменти от лечението при &lt;1% от пациентите на 10 и 20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и </w:t>
      </w:r>
      <w:r w:rsidRPr="00927D7E">
        <w:rPr>
          <w:rFonts w:eastAsia="Times New Roman" w:cs="Arial"/>
          <w:color w:val="000000"/>
          <w:lang w:eastAsia="bg-BG"/>
        </w:rPr>
        <w:lastRenderedPageBreak/>
        <w:t xml:space="preserve">при приблизително 3% от пациентите, лекувани с 40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, </w:t>
      </w:r>
      <w:r w:rsidRPr="00927D7E">
        <w:rPr>
          <w:rFonts w:eastAsia="Times New Roman" w:cs="Arial"/>
          <w:color w:val="000000"/>
          <w:lang w:eastAsia="bg-BG"/>
        </w:rPr>
        <w:t xml:space="preserve">са наблюдавани промени в изследванията за протеин в урината от отрицателен резултат или следи до ++. Незначително отклонение в посока от отрицателен резултат или следи към + е наблюдавано при доза 20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. </w:t>
      </w:r>
      <w:r w:rsidRPr="00927D7E">
        <w:rPr>
          <w:rFonts w:eastAsia="Times New Roman" w:cs="Arial"/>
          <w:color w:val="000000"/>
          <w:lang w:eastAsia="bg-BG"/>
        </w:rPr>
        <w:t xml:space="preserve">В повечето случаи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протеинурията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намалява или изчезва спонтанно в процеса на лечението. От прегледа на данните при клиничните проучвания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постмаркетинговия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опит досега не е идентифицирана причинна връзка между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протеинурията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остро или прогресивно бъбречно заболяване.</w:t>
      </w:r>
    </w:p>
    <w:p w14:paraId="1DE826BF" w14:textId="77777777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 пациенти, лекувани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е наблюдавана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хематурия</w:t>
      </w:r>
      <w:proofErr w:type="spellEnd"/>
      <w:r w:rsidRPr="00927D7E">
        <w:rPr>
          <w:rFonts w:eastAsia="Times New Roman" w:cs="Arial"/>
          <w:color w:val="000000"/>
          <w:lang w:eastAsia="bg-BG"/>
        </w:rPr>
        <w:t>, но клиничните данни сочат, че честотата й е ниска.</w:t>
      </w:r>
    </w:p>
    <w:p w14:paraId="4E4DC238" w14:textId="77777777" w:rsidR="00466FDB" w:rsidRPr="00927D7E" w:rsidRDefault="00466FDB" w:rsidP="00466FDB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E234221" w14:textId="7DD77919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Ефекти върху скелетната мускулатура:</w:t>
      </w:r>
      <w:r w:rsidRPr="00927D7E">
        <w:rPr>
          <w:rFonts w:eastAsia="Times New Roman" w:cs="Arial"/>
          <w:color w:val="000000"/>
          <w:lang w:eastAsia="bg-BG"/>
        </w:rPr>
        <w:t xml:space="preserve"> Съобщавани са въздействия върху скелетната мускулатура като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миалгия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(включително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миозит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) и рядко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със или без остра бъбречна недостатъчност, при пациенти, лекувани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във всички терапевтични дози, особено с дози над 20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>.</w:t>
      </w:r>
    </w:p>
    <w:p w14:paraId="10DF2D4C" w14:textId="77777777" w:rsidR="00466FDB" w:rsidRPr="00927D7E" w:rsidRDefault="00466FDB" w:rsidP="00466FD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9ACD689" w14:textId="5F9C791D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Дозозависимо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увеличение на нивото на СК е наблюдавано при малък брой пациенти, които приемат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; множеството от случаите са леки,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асимптоматични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преходни. Ако нивото на СК се повиши (&gt; 5 пъти горната граница на нормата) лечението трябва да се преустанови (вж. точка 4.4).</w:t>
      </w:r>
    </w:p>
    <w:p w14:paraId="2F9EE582" w14:textId="77777777" w:rsidR="00466FDB" w:rsidRPr="00927D7E" w:rsidRDefault="00466FDB" w:rsidP="00466FDB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56AF2AFF" w14:textId="2BA68DE9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Ефекти върху черния дроб:</w:t>
      </w:r>
      <w:r w:rsidRPr="00927D7E">
        <w:rPr>
          <w:rFonts w:eastAsia="Times New Roman" w:cs="Arial"/>
          <w:color w:val="000000"/>
          <w:lang w:eastAsia="bg-BG"/>
        </w:rPr>
        <w:t xml:space="preserve"> Както при други инхибитори на </w:t>
      </w:r>
      <w:r w:rsidRPr="00927D7E">
        <w:rPr>
          <w:rFonts w:eastAsia="Times New Roman" w:cs="Arial"/>
          <w:color w:val="000000"/>
        </w:rPr>
        <w:t>HMG-</w:t>
      </w:r>
      <w:proofErr w:type="spellStart"/>
      <w:r w:rsidRPr="00927D7E">
        <w:rPr>
          <w:rFonts w:eastAsia="Times New Roman" w:cs="Arial"/>
          <w:color w:val="000000"/>
        </w:rPr>
        <w:t>CoA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увеличение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трансаминазите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свързано с дозировката, е наблюдавано при малък брой пациенти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; по-голяма част от случаите са леки,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асимптоматични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преходни.</w:t>
      </w:r>
    </w:p>
    <w:p w14:paraId="1D77049D" w14:textId="77777777" w:rsidR="00466FDB" w:rsidRPr="00927D7E" w:rsidRDefault="00466FDB" w:rsidP="00466FD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91161B0" w14:textId="5CD97554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Докладваната честота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сериозни бъбречни събития и сериозни чернодробни събития (особено увеличени чернодробни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трансаминази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) е по-висока при доза от 40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>.</w:t>
      </w:r>
    </w:p>
    <w:p w14:paraId="6B796863" w14:textId="77777777" w:rsidR="00466FDB" w:rsidRPr="00927D7E" w:rsidRDefault="00466FDB" w:rsidP="00466FDB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ADD69BD" w14:textId="5A2F811F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Лабораторни стойности</w:t>
      </w:r>
    </w:p>
    <w:p w14:paraId="2B2E5878" w14:textId="77777777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В контролирани клинични проучвания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монотерапия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честотата на клинично значими повишения на серумните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трансаминази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r w:rsidRPr="00927D7E">
        <w:rPr>
          <w:rFonts w:eastAsia="Times New Roman" w:cs="Arial"/>
          <w:color w:val="000000"/>
        </w:rPr>
        <w:t xml:space="preserve">(ALT </w:t>
      </w:r>
      <w:r w:rsidRPr="00927D7E">
        <w:rPr>
          <w:rFonts w:eastAsia="Times New Roman" w:cs="Arial"/>
          <w:color w:val="000000"/>
          <w:lang w:eastAsia="bg-BG"/>
        </w:rPr>
        <w:t xml:space="preserve">и/или </w:t>
      </w:r>
      <w:r w:rsidRPr="00927D7E">
        <w:rPr>
          <w:rFonts w:eastAsia="Times New Roman" w:cs="Arial"/>
          <w:color w:val="000000"/>
        </w:rPr>
        <w:t xml:space="preserve">AST </w:t>
      </w:r>
      <w:r w:rsidRPr="00927D7E">
        <w:rPr>
          <w:rFonts w:eastAsia="Times New Roman" w:cs="Arial"/>
          <w:color w:val="000000"/>
          <w:lang w:eastAsia="bg-BG"/>
        </w:rPr>
        <w:t xml:space="preserve">≥ 3 X </w:t>
      </w:r>
      <w:r w:rsidRPr="00927D7E">
        <w:rPr>
          <w:rFonts w:eastAsia="Times New Roman" w:cs="Arial"/>
          <w:color w:val="000000"/>
        </w:rPr>
        <w:t xml:space="preserve">ULN, </w:t>
      </w:r>
      <w:r w:rsidRPr="00927D7E">
        <w:rPr>
          <w:rFonts w:eastAsia="Times New Roman" w:cs="Arial"/>
          <w:color w:val="000000"/>
          <w:lang w:eastAsia="bg-BG"/>
        </w:rPr>
        <w:t xml:space="preserve">последователно) е сходна между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(0,5%) и плацебо (0,3%). В проучвания с едновременно приложение, честотата е 1,3% при пациенти, лекувани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прилаган едновременно със статии и 0,4% при пациенти, лекувани само със статии. Тези повишения обикновено са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асимптоматични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не са свързани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холестаза</w:t>
      </w:r>
      <w:proofErr w:type="spellEnd"/>
      <w:r w:rsidRPr="00927D7E">
        <w:rPr>
          <w:rFonts w:eastAsia="Times New Roman" w:cs="Arial"/>
          <w:color w:val="000000"/>
          <w:lang w:eastAsia="bg-BG"/>
        </w:rPr>
        <w:t>, и се връщат до норма след прекратяване на лечението или при продължаване на лечението (вж. точка 4.4).</w:t>
      </w:r>
    </w:p>
    <w:p w14:paraId="2C04C125" w14:textId="77777777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В клинични проучвания е съобщена СРК&gt; 10 X </w:t>
      </w:r>
      <w:r w:rsidRPr="00927D7E">
        <w:rPr>
          <w:rFonts w:eastAsia="Times New Roman" w:cs="Arial"/>
          <w:color w:val="000000"/>
        </w:rPr>
        <w:t xml:space="preserve">ULN </w:t>
      </w:r>
      <w:r w:rsidRPr="00927D7E">
        <w:rPr>
          <w:rFonts w:eastAsia="Times New Roman" w:cs="Arial"/>
          <w:color w:val="000000"/>
          <w:lang w:eastAsia="bg-BG"/>
        </w:rPr>
        <w:t xml:space="preserve">при 4 от 1 674 (0,2%) пациенти, приемали само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спрямо 1 от 786 (0,1%) пациенти, приемали плацебо и за 1 от 917 (0,1%) пациенти, приемали едновременно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статии срещу 4 от 929 (0,4%) пациенти, приемали само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Честотата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рабдомиолиза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свързана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не е по- висока в сравнение със съответното контролно рамо (плацебо или само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>) (вж. точка 4.4).</w:t>
      </w:r>
    </w:p>
    <w:p w14:paraId="34952EC1" w14:textId="77777777" w:rsidR="00466FDB" w:rsidRPr="00927D7E" w:rsidRDefault="00466FDB" w:rsidP="00466FD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D728234" w14:textId="139ACC1D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3CF9F5F5" w14:textId="77777777" w:rsidR="00466FDB" w:rsidRPr="00927D7E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Безопасността и ефикасността на приложението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при деца на възраст под 18 години все още не са установени (вж. точка 5.1).</w:t>
      </w:r>
    </w:p>
    <w:p w14:paraId="5C5D9583" w14:textId="77777777" w:rsidR="00466FDB" w:rsidRPr="00927D7E" w:rsidRDefault="00466FDB" w:rsidP="00466FDB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i/>
          <w:iCs/>
          <w:color w:val="000000"/>
          <w:lang w:eastAsia="bg-BG"/>
        </w:rPr>
        <w:t>:</w:t>
      </w:r>
    </w:p>
    <w:p w14:paraId="00F4511F" w14:textId="77777777" w:rsidR="00466FDB" w:rsidRPr="00927D7E" w:rsidRDefault="00466FDB" w:rsidP="00466FDB">
      <w:pPr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Повишаване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креатин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киназата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&gt;10 </w:t>
      </w:r>
      <w:proofErr w:type="spellStart"/>
      <w:r w:rsidRPr="00927D7E">
        <w:rPr>
          <w:rFonts w:eastAsia="Times New Roman" w:cs="Arial"/>
          <w:color w:val="000000"/>
        </w:rPr>
        <w:t>xULN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и мускулни симптоми след упражнения или повишена физическа активност са наблюдавани по-често в едно 52-седмично клинично </w:t>
      </w:r>
      <w:r w:rsidRPr="00927D7E">
        <w:rPr>
          <w:rFonts w:eastAsia="Times New Roman" w:cs="Arial"/>
          <w:color w:val="000000"/>
          <w:lang w:eastAsia="bg-BG"/>
        </w:rPr>
        <w:lastRenderedPageBreak/>
        <w:t xml:space="preserve">проучване при деца и юноши в сравнение с възрастните. В друг аспект, профилът на безопасност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сходен при деца и юноши, в сравнение с възрастните.</w:t>
      </w:r>
    </w:p>
    <w:p w14:paraId="37D8C5AA" w14:textId="77777777" w:rsidR="00466FDB" w:rsidRPr="00927D7E" w:rsidRDefault="00466FDB" w:rsidP="00466FDB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i/>
          <w:iCs/>
          <w:color w:val="000000"/>
          <w:lang w:eastAsia="bg-BG"/>
        </w:rPr>
        <w:t>:</w:t>
      </w:r>
    </w:p>
    <w:p w14:paraId="1223D577" w14:textId="77777777" w:rsidR="00466FDB" w:rsidRPr="00927D7E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>Педиатрични пациенти (от 6 до 17 години)</w:t>
      </w:r>
    </w:p>
    <w:p w14:paraId="03C0F8D9" w14:textId="77777777" w:rsidR="00466FDB" w:rsidRPr="00927D7E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В проучване, което включва педиатрични пациенти (от 6 до 10-годишна възраст)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хетерозиготна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фамилна или нефамилна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</w:t>
      </w:r>
      <w:r w:rsidRPr="00927D7E">
        <w:rPr>
          <w:rFonts w:eastAsia="Times New Roman" w:cs="Arial"/>
          <w:color w:val="000000"/>
        </w:rPr>
        <w:t>n</w:t>
      </w:r>
      <w:r w:rsidRPr="00927D7E">
        <w:rPr>
          <w:rFonts w:eastAsia="Times New Roman" w:cs="Arial"/>
          <w:color w:val="000000"/>
          <w:lang w:eastAsia="bg-BG"/>
        </w:rPr>
        <w:t xml:space="preserve"> = 138) се наблюдават повишени нива на </w:t>
      </w:r>
      <w:r w:rsidRPr="00927D7E">
        <w:rPr>
          <w:rFonts w:eastAsia="Times New Roman" w:cs="Arial"/>
          <w:color w:val="000000"/>
        </w:rPr>
        <w:t xml:space="preserve">ALT </w:t>
      </w:r>
      <w:r w:rsidRPr="00927D7E">
        <w:rPr>
          <w:rFonts w:eastAsia="Times New Roman" w:cs="Arial"/>
          <w:color w:val="000000"/>
          <w:lang w:eastAsia="bg-BG"/>
        </w:rPr>
        <w:t xml:space="preserve">и/или </w:t>
      </w:r>
      <w:r w:rsidRPr="00927D7E">
        <w:rPr>
          <w:rFonts w:eastAsia="Times New Roman" w:cs="Arial"/>
          <w:color w:val="000000"/>
        </w:rPr>
        <w:t xml:space="preserve">AST </w:t>
      </w:r>
      <w:r w:rsidRPr="00927D7E">
        <w:rPr>
          <w:rFonts w:eastAsia="Times New Roman" w:cs="Arial"/>
          <w:color w:val="000000"/>
          <w:lang w:eastAsia="bg-BG"/>
        </w:rPr>
        <w:t xml:space="preserve">(≥3Х </w:t>
      </w:r>
      <w:r w:rsidRPr="00927D7E">
        <w:rPr>
          <w:rFonts w:eastAsia="Times New Roman" w:cs="Arial"/>
          <w:color w:val="000000"/>
        </w:rPr>
        <w:t xml:space="preserve">ULN, </w:t>
      </w:r>
      <w:r w:rsidRPr="00927D7E">
        <w:rPr>
          <w:rFonts w:eastAsia="Times New Roman" w:cs="Arial"/>
          <w:color w:val="000000"/>
          <w:lang w:eastAsia="bg-BG"/>
        </w:rPr>
        <w:t xml:space="preserve">последователно) при 1,1% (1 пациент) от пациентите на лечение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 сравнение с 0% в групата с плацебо. Не се наблюдава повишение на СРК (≥10Х </w:t>
      </w:r>
      <w:r w:rsidRPr="00927D7E">
        <w:rPr>
          <w:rFonts w:eastAsia="Times New Roman" w:cs="Arial"/>
          <w:color w:val="000000"/>
        </w:rPr>
        <w:t xml:space="preserve">ULN). </w:t>
      </w:r>
      <w:r w:rsidRPr="00927D7E">
        <w:rPr>
          <w:rFonts w:eastAsia="Times New Roman" w:cs="Arial"/>
          <w:color w:val="000000"/>
          <w:lang w:eastAsia="bg-BG"/>
        </w:rPr>
        <w:t xml:space="preserve">Не се съобщава за случаи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color w:val="000000"/>
          <w:lang w:eastAsia="bg-BG"/>
        </w:rPr>
        <w:t>.</w:t>
      </w:r>
    </w:p>
    <w:p w14:paraId="73CBAA49" w14:textId="77777777" w:rsidR="00466FDB" w:rsidRPr="00927D7E" w:rsidRDefault="00466FDB" w:rsidP="00466FD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D173C4E" w14:textId="42C0A6CC" w:rsidR="00466FDB" w:rsidRPr="00927D7E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В отделно проучване, включващо пациенти в юношеска възраст (от 10 до 17-годишна възраст)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хетерозиготна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фамилна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</w:t>
      </w:r>
      <w:r w:rsidRPr="00927D7E">
        <w:rPr>
          <w:rFonts w:eastAsia="Times New Roman" w:cs="Arial"/>
          <w:color w:val="000000"/>
        </w:rPr>
        <w:t>n</w:t>
      </w:r>
      <w:r w:rsidRPr="00927D7E">
        <w:rPr>
          <w:rFonts w:eastAsia="Times New Roman" w:cs="Arial"/>
          <w:color w:val="000000"/>
          <w:lang w:eastAsia="bg-BG"/>
        </w:rPr>
        <w:t xml:space="preserve"> = 248), са наблюдавани повишени стойности на </w:t>
      </w:r>
      <w:r w:rsidRPr="00927D7E">
        <w:rPr>
          <w:rFonts w:eastAsia="Times New Roman" w:cs="Arial"/>
          <w:color w:val="000000"/>
        </w:rPr>
        <w:t xml:space="preserve">ALT </w:t>
      </w:r>
      <w:r w:rsidRPr="00927D7E">
        <w:rPr>
          <w:rFonts w:eastAsia="Times New Roman" w:cs="Arial"/>
          <w:color w:val="000000"/>
          <w:lang w:eastAsia="bg-BG"/>
        </w:rPr>
        <w:t xml:space="preserve">и/или </w:t>
      </w:r>
      <w:r w:rsidRPr="00927D7E">
        <w:rPr>
          <w:rFonts w:eastAsia="Times New Roman" w:cs="Arial"/>
          <w:color w:val="000000"/>
        </w:rPr>
        <w:t xml:space="preserve">AST </w:t>
      </w:r>
      <w:r w:rsidRPr="00927D7E">
        <w:rPr>
          <w:rFonts w:eastAsia="Times New Roman" w:cs="Arial"/>
          <w:color w:val="000000"/>
          <w:lang w:eastAsia="bg-BG"/>
        </w:rPr>
        <w:t xml:space="preserve">(≥3 X </w:t>
      </w:r>
      <w:r w:rsidRPr="00927D7E">
        <w:rPr>
          <w:rFonts w:eastAsia="Times New Roman" w:cs="Arial"/>
          <w:color w:val="000000"/>
        </w:rPr>
        <w:t xml:space="preserve">ULN, </w:t>
      </w:r>
      <w:r w:rsidRPr="00927D7E">
        <w:rPr>
          <w:rFonts w:eastAsia="Times New Roman" w:cs="Arial"/>
          <w:color w:val="000000"/>
          <w:lang w:eastAsia="bg-BG"/>
        </w:rPr>
        <w:t xml:space="preserve">последователно) при 3% от пациентите (4 пациенти) на терапия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>/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симвастатин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 сравнение с 2% (2 пациенти) от групата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монотерапия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със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симвастатин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; тези цифри са съответно 2% (2-ма пациенти) и 0% за повишаване на СРК (≥ 10 X </w:t>
      </w:r>
      <w:r w:rsidRPr="00927D7E">
        <w:rPr>
          <w:rFonts w:eastAsia="Times New Roman" w:cs="Arial"/>
          <w:color w:val="000000"/>
        </w:rPr>
        <w:t xml:space="preserve">ULN). </w:t>
      </w:r>
      <w:r w:rsidRPr="00927D7E">
        <w:rPr>
          <w:rFonts w:eastAsia="Times New Roman" w:cs="Arial"/>
          <w:color w:val="000000"/>
          <w:lang w:eastAsia="bg-BG"/>
        </w:rPr>
        <w:t xml:space="preserve">Не се съобщава за случаи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миопатия</w:t>
      </w:r>
      <w:proofErr w:type="spellEnd"/>
      <w:r w:rsidRPr="00927D7E">
        <w:rPr>
          <w:rFonts w:eastAsia="Times New Roman" w:cs="Arial"/>
          <w:color w:val="000000"/>
          <w:lang w:eastAsia="bg-BG"/>
        </w:rPr>
        <w:t>.</w:t>
      </w:r>
    </w:p>
    <w:p w14:paraId="1F713AE7" w14:textId="77777777" w:rsidR="00466FDB" w:rsidRPr="00927D7E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>Това проучване не е подходящо за сравнение на редки нежелани лекарствени реакции.</w:t>
      </w:r>
    </w:p>
    <w:p w14:paraId="0CF58A20" w14:textId="77777777" w:rsidR="00466FDB" w:rsidRPr="00927D7E" w:rsidRDefault="00466FDB" w:rsidP="00466FD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5ED7D18" w14:textId="714C08AB" w:rsidR="00466FDB" w:rsidRPr="00927D7E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466756BA" w14:textId="12E4DF02" w:rsidR="00466FDB" w:rsidRPr="00927D7E" w:rsidRDefault="00466FDB" w:rsidP="00466FDB">
      <w:pPr>
        <w:rPr>
          <w:rFonts w:cs="Arial"/>
        </w:rPr>
      </w:pPr>
      <w:r w:rsidRPr="00927D7E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лекарствата, ул. „Дамян Груев” № 8, 1303 София, тел.: 02 8903417, уебсайт: </w:t>
      </w:r>
      <w:hyperlink r:id="rId5" w:history="1">
        <w:r w:rsidRPr="00927D7E">
          <w:rPr>
            <w:rFonts w:eastAsia="Times New Roman" w:cs="Arial"/>
            <w:color w:val="000000"/>
          </w:rPr>
          <w:t>www.bda.bg</w:t>
        </w:r>
      </w:hyperlink>
      <w:r w:rsidRPr="00927D7E">
        <w:rPr>
          <w:rFonts w:eastAsia="Times New Roman" w:cs="Arial"/>
          <w:color w:val="000000"/>
        </w:rPr>
        <w:t>.</w:t>
      </w:r>
    </w:p>
    <w:p w14:paraId="3F0FB38D" w14:textId="77777777" w:rsidR="00466FDB" w:rsidRPr="00927D7E" w:rsidRDefault="00466FDB" w:rsidP="0091385D"/>
    <w:p w14:paraId="0A023CE0" w14:textId="13F87CFD" w:rsidR="00CF77F7" w:rsidRPr="00927D7E" w:rsidRDefault="002C50EE" w:rsidP="004A448E">
      <w:pPr>
        <w:pStyle w:val="Heading2"/>
      </w:pPr>
      <w:r w:rsidRPr="00927D7E">
        <w:t>4.9. Предозиране</w:t>
      </w:r>
    </w:p>
    <w:p w14:paraId="3EDFC3FC" w14:textId="296E7EBA" w:rsidR="0091385D" w:rsidRPr="00927D7E" w:rsidRDefault="0091385D" w:rsidP="0091385D"/>
    <w:p w14:paraId="1E2CE106" w14:textId="77777777" w:rsidR="00466FDB" w:rsidRPr="00927D7E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Няма публикувани литературни данни за предозиране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>.</w:t>
      </w:r>
    </w:p>
    <w:p w14:paraId="3AC16664" w14:textId="77777777" w:rsidR="00466FDB" w:rsidRPr="00927D7E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Няма специфично лечение в случай на предозиране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>.</w:t>
      </w:r>
    </w:p>
    <w:p w14:paraId="2881E18C" w14:textId="77777777" w:rsidR="00466FDB" w:rsidRPr="00927D7E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В клинични проучвания, приложението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50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дневно при 15 здрави доброволци за период до 14 дни, или 40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дневно на 18 пациенти с първична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за период до 56 дни като цяло е понесено добре. При животни не се наблюдава токсичност след прилагане на еднократни перорални дози от 5 000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>/</w:t>
      </w:r>
      <w:proofErr w:type="spellStart"/>
      <w:r w:rsidRPr="00927D7E">
        <w:rPr>
          <w:rFonts w:eastAsia="Times New Roman" w:cs="Arial"/>
          <w:color w:val="000000"/>
        </w:rPr>
        <w:t>kg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при плъхове и мишки и 3 000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>/</w:t>
      </w:r>
      <w:proofErr w:type="spellStart"/>
      <w:r w:rsidRPr="00927D7E">
        <w:rPr>
          <w:rFonts w:eastAsia="Times New Roman" w:cs="Arial"/>
          <w:color w:val="000000"/>
        </w:rPr>
        <w:t>kg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при кучета.</w:t>
      </w:r>
    </w:p>
    <w:p w14:paraId="19B67BD2" w14:textId="77777777" w:rsidR="00466FDB" w:rsidRPr="00927D7E" w:rsidRDefault="00466FDB" w:rsidP="00466FDB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Докладвани са няколко случая на предозиране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- повечето от тях не са свързани с поява на нежелани лекарствени реакции. Съобщените нежелани лекарствени реакции не са сериозни. При предозиране трябва да се приложат симптоматични и поддържащи мерки.</w:t>
      </w:r>
    </w:p>
    <w:p w14:paraId="300F70E4" w14:textId="77777777" w:rsidR="00466FDB" w:rsidRPr="00927D7E" w:rsidRDefault="00466FDB" w:rsidP="00466FDB">
      <w:pPr>
        <w:rPr>
          <w:rFonts w:eastAsia="Times New Roman" w:cs="Arial"/>
          <w:color w:val="000000"/>
          <w:lang w:eastAsia="bg-BG"/>
        </w:rPr>
      </w:pPr>
    </w:p>
    <w:p w14:paraId="0F0079CB" w14:textId="3AFA5158" w:rsidR="0091385D" w:rsidRPr="00927D7E" w:rsidRDefault="00466FDB" w:rsidP="00466FDB">
      <w:pPr>
        <w:rPr>
          <w:rFonts w:cs="Arial"/>
        </w:rPr>
      </w:pPr>
      <w:r w:rsidRPr="00927D7E">
        <w:rPr>
          <w:rFonts w:eastAsia="Times New Roman" w:cs="Arial"/>
          <w:color w:val="000000"/>
          <w:lang w:eastAsia="bg-BG"/>
        </w:rPr>
        <w:t>При предозиране трябва да се приложи симптоматично и под държащо лечение. Чернодробната функция и нивата на СК трябва да се проследяват. Малко вероятно е хемодиализата да бъде от полза.</w:t>
      </w:r>
    </w:p>
    <w:p w14:paraId="48FF1584" w14:textId="77777777" w:rsidR="0091385D" w:rsidRPr="00927D7E" w:rsidRDefault="0091385D" w:rsidP="0091385D"/>
    <w:p w14:paraId="02081B24" w14:textId="7CE94171" w:rsidR="00395555" w:rsidRPr="00927D7E" w:rsidRDefault="002C50EE" w:rsidP="008A6AF2">
      <w:pPr>
        <w:pStyle w:val="Heading1"/>
      </w:pPr>
      <w:r w:rsidRPr="00927D7E">
        <w:t>5. ФАРМАКОЛОГИЧНИ СВОЙСТВА</w:t>
      </w:r>
    </w:p>
    <w:p w14:paraId="1B8079C0" w14:textId="77777777" w:rsidR="0091385D" w:rsidRPr="00927D7E" w:rsidRDefault="0091385D" w:rsidP="0091385D"/>
    <w:p w14:paraId="32B6DE66" w14:textId="2ACB6B3B" w:rsidR="00CF77F7" w:rsidRPr="00927D7E" w:rsidRDefault="002C50EE" w:rsidP="004A448E">
      <w:pPr>
        <w:pStyle w:val="Heading2"/>
      </w:pPr>
      <w:r w:rsidRPr="00927D7E">
        <w:lastRenderedPageBreak/>
        <w:t xml:space="preserve">5.1. </w:t>
      </w:r>
      <w:proofErr w:type="spellStart"/>
      <w:r w:rsidRPr="00927D7E">
        <w:t>Фармакодинамични</w:t>
      </w:r>
      <w:proofErr w:type="spellEnd"/>
      <w:r w:rsidRPr="00927D7E">
        <w:t xml:space="preserve"> свойства</w:t>
      </w:r>
    </w:p>
    <w:p w14:paraId="58DD7DEA" w14:textId="44345EC9" w:rsidR="0091385D" w:rsidRPr="00927D7E" w:rsidRDefault="0091385D" w:rsidP="0091385D"/>
    <w:p w14:paraId="27CAB8EA" w14:textId="77777777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Фармакотерапевтична група: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Липидомодифициращи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средства; инхибитори на </w:t>
      </w:r>
      <w:r w:rsidRPr="00927D7E">
        <w:rPr>
          <w:rFonts w:eastAsia="Times New Roman" w:cs="Arial"/>
          <w:color w:val="000000"/>
        </w:rPr>
        <w:t>HMG-</w:t>
      </w:r>
      <w:proofErr w:type="spellStart"/>
      <w:r w:rsidRPr="00927D7E">
        <w:rPr>
          <w:rFonts w:eastAsia="Times New Roman" w:cs="Arial"/>
          <w:color w:val="000000"/>
        </w:rPr>
        <w:t>CoA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 комбинация с други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липидомодифициращи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средства, АТС код: С10ВА06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липидомодифициращ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продукт, който селективно инхибира чревната абсорбция на холестерола и сродните растителни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стероли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потиска ендогенния синтез на холестерола.</w:t>
      </w:r>
    </w:p>
    <w:p w14:paraId="694631BD" w14:textId="77777777" w:rsidR="00466FDB" w:rsidRPr="00927D7E" w:rsidRDefault="00466FDB" w:rsidP="00466FD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724ACE5" w14:textId="50A1C66D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45099665" w14:textId="77777777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t>Розувастатин</w:t>
      </w:r>
      <w:proofErr w:type="spellEnd"/>
    </w:p>
    <w:p w14:paraId="5103642D" w14:textId="77777777" w:rsidR="00466FDB" w:rsidRPr="00927D7E" w:rsidRDefault="00466FDB" w:rsidP="00466FDB">
      <w:pPr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селективен и конкурентен инхибитор на </w:t>
      </w:r>
      <w:r w:rsidRPr="00927D7E">
        <w:rPr>
          <w:rFonts w:eastAsia="Times New Roman" w:cs="Arial"/>
          <w:color w:val="000000"/>
        </w:rPr>
        <w:t>HMG-</w:t>
      </w:r>
      <w:proofErr w:type="spellStart"/>
      <w:r w:rsidRPr="00927D7E">
        <w:rPr>
          <w:rFonts w:eastAsia="Times New Roman" w:cs="Arial"/>
          <w:color w:val="000000"/>
        </w:rPr>
        <w:t>CoA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927D7E">
        <w:rPr>
          <w:rFonts w:eastAsia="Times New Roman" w:cs="Arial"/>
          <w:color w:val="000000"/>
          <w:lang w:eastAsia="bg-BG"/>
        </w:rPr>
        <w:t>, скорост-ограничаващият ензим, който превръща З-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хидрокси</w:t>
      </w:r>
      <w:proofErr w:type="spellEnd"/>
      <w:r w:rsidRPr="00927D7E">
        <w:rPr>
          <w:rFonts w:eastAsia="Times New Roman" w:cs="Arial"/>
          <w:color w:val="000000"/>
          <w:lang w:eastAsia="bg-BG"/>
        </w:rPr>
        <w:t>-З-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метилглутарил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коензим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А в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мевалонат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прекурсор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 холестерола). Основно място на действие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черният дроб - таргетен орган, в който се извършва намаляване на нивото на холестерола.</w:t>
      </w:r>
    </w:p>
    <w:p w14:paraId="0A26F87B" w14:textId="77777777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увеличава броя на чернодробните </w:t>
      </w:r>
      <w:r w:rsidRPr="00927D7E">
        <w:rPr>
          <w:rFonts w:eastAsia="Times New Roman" w:cs="Arial"/>
          <w:color w:val="000000"/>
        </w:rPr>
        <w:t xml:space="preserve">LDL </w:t>
      </w:r>
      <w:r w:rsidRPr="00927D7E">
        <w:rPr>
          <w:rFonts w:eastAsia="Times New Roman" w:cs="Arial"/>
          <w:color w:val="000000"/>
          <w:lang w:eastAsia="bg-BG"/>
        </w:rPr>
        <w:t xml:space="preserve">рецептори върху клетъчната повърхност, като засилва поемането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катаболизма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 </w:t>
      </w:r>
      <w:r w:rsidRPr="00927D7E">
        <w:rPr>
          <w:rFonts w:eastAsia="Times New Roman" w:cs="Arial"/>
          <w:color w:val="000000"/>
        </w:rPr>
        <w:t xml:space="preserve">LDL </w:t>
      </w:r>
      <w:r w:rsidRPr="00927D7E">
        <w:rPr>
          <w:rFonts w:eastAsia="Times New Roman" w:cs="Arial"/>
          <w:color w:val="000000"/>
          <w:lang w:eastAsia="bg-BG"/>
        </w:rPr>
        <w:t xml:space="preserve">и така инхибира чернодробния синтез на </w:t>
      </w:r>
      <w:r w:rsidRPr="00927D7E">
        <w:rPr>
          <w:rFonts w:eastAsia="Times New Roman" w:cs="Arial"/>
          <w:color w:val="000000"/>
        </w:rPr>
        <w:t xml:space="preserve">VLDL, </w:t>
      </w:r>
      <w:r w:rsidRPr="00927D7E">
        <w:rPr>
          <w:rFonts w:eastAsia="Times New Roman" w:cs="Arial"/>
          <w:color w:val="000000"/>
          <w:lang w:eastAsia="bg-BG"/>
        </w:rPr>
        <w:t xml:space="preserve">като по този начин намалява общия брой на </w:t>
      </w:r>
      <w:r w:rsidRPr="00927D7E">
        <w:rPr>
          <w:rFonts w:eastAsia="Times New Roman" w:cs="Arial"/>
          <w:color w:val="000000"/>
        </w:rPr>
        <w:t xml:space="preserve">VLDL </w:t>
      </w:r>
      <w:r w:rsidRPr="00927D7E">
        <w:rPr>
          <w:rFonts w:eastAsia="Times New Roman" w:cs="Arial"/>
          <w:color w:val="000000"/>
          <w:lang w:eastAsia="bg-BG"/>
        </w:rPr>
        <w:t xml:space="preserve">и </w:t>
      </w:r>
      <w:r w:rsidRPr="00927D7E">
        <w:rPr>
          <w:rFonts w:eastAsia="Times New Roman" w:cs="Arial"/>
          <w:color w:val="000000"/>
        </w:rPr>
        <w:t xml:space="preserve">LDL </w:t>
      </w:r>
      <w:r w:rsidRPr="00927D7E">
        <w:rPr>
          <w:rFonts w:eastAsia="Times New Roman" w:cs="Arial"/>
          <w:color w:val="000000"/>
          <w:lang w:eastAsia="bg-BG"/>
        </w:rPr>
        <w:t>частици.</w:t>
      </w:r>
    </w:p>
    <w:p w14:paraId="5059D8E5" w14:textId="77777777" w:rsidR="00466FDB" w:rsidRPr="00927D7E" w:rsidRDefault="00466FDB" w:rsidP="00466FD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41729E7" w14:textId="69D94C87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t>Езетимиб</w:t>
      </w:r>
      <w:proofErr w:type="spellEnd"/>
    </w:p>
    <w:p w14:paraId="57AF44A1" w14:textId="77777777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нов клас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липидопонижаващо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съединение, което селективно инхибира чревната абсорбция на холестерола и сродните растителни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стероли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активен при перорално приложение и има механизъм на действие, който се различава от този на останалите класове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холестеролопонижаващи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вещества (например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секвестранти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 жлъчните киселини [смоли], производни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фибратите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растителните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станоли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). Прицелната точка на молекулно ниво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стероловият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транспортер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</w:rPr>
        <w:t>Niemann-Pick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</w:rPr>
        <w:t>Cl-Like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1 </w:t>
      </w:r>
      <w:r w:rsidRPr="00927D7E">
        <w:rPr>
          <w:rFonts w:eastAsia="Times New Roman" w:cs="Arial"/>
          <w:color w:val="000000"/>
        </w:rPr>
        <w:t xml:space="preserve">(NPC1L1), </w:t>
      </w:r>
      <w:r w:rsidRPr="00927D7E">
        <w:rPr>
          <w:rFonts w:eastAsia="Times New Roman" w:cs="Arial"/>
          <w:color w:val="000000"/>
          <w:lang w:eastAsia="bg-BG"/>
        </w:rPr>
        <w:t xml:space="preserve">който е отговорен за абсорбцията на холестерол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фитостсроли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от тънките черва.</w:t>
      </w:r>
    </w:p>
    <w:p w14:paraId="21969F6C" w14:textId="77777777" w:rsidR="00466FDB" w:rsidRPr="00927D7E" w:rsidRDefault="00466FDB" w:rsidP="00466FD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9E8B9CA" w14:textId="7E586E91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u w:val="single"/>
          <w:lang w:eastAsia="bg-BG"/>
        </w:rPr>
        <w:t>Фармакодинамични</w:t>
      </w:r>
      <w:proofErr w:type="spellEnd"/>
      <w:r w:rsidRPr="00927D7E">
        <w:rPr>
          <w:rFonts w:eastAsia="Times New Roman" w:cs="Arial"/>
          <w:color w:val="000000"/>
          <w:u w:val="single"/>
          <w:lang w:eastAsia="bg-BG"/>
        </w:rPr>
        <w:t xml:space="preserve"> ефекти</w:t>
      </w:r>
    </w:p>
    <w:p w14:paraId="702C6A66" w14:textId="77777777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t>Розувастатин</w:t>
      </w:r>
      <w:proofErr w:type="spellEnd"/>
    </w:p>
    <w:p w14:paraId="72FABA2C" w14:textId="77777777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намалява повишения </w:t>
      </w:r>
      <w:r w:rsidRPr="00927D7E">
        <w:rPr>
          <w:rFonts w:eastAsia="Times New Roman" w:cs="Arial"/>
          <w:color w:val="000000"/>
        </w:rPr>
        <w:t>LDL</w:t>
      </w:r>
      <w:r w:rsidRPr="00927D7E">
        <w:rPr>
          <w:rFonts w:eastAsia="Times New Roman" w:cs="Arial"/>
          <w:color w:val="000000"/>
          <w:lang w:eastAsia="bg-BG"/>
        </w:rPr>
        <w:t xml:space="preserve">-холестерол, общия холестерол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триГлицеридите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повишава </w:t>
      </w:r>
      <w:r w:rsidRPr="00927D7E">
        <w:rPr>
          <w:rFonts w:eastAsia="Times New Roman" w:cs="Arial"/>
          <w:color w:val="000000"/>
        </w:rPr>
        <w:t>HDL</w:t>
      </w:r>
      <w:r w:rsidRPr="00927D7E">
        <w:rPr>
          <w:rFonts w:eastAsia="Times New Roman" w:cs="Arial"/>
          <w:color w:val="000000"/>
          <w:lang w:eastAsia="bg-BG"/>
        </w:rPr>
        <w:t xml:space="preserve">-холестерола. Той понижава също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АроВ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н</w:t>
      </w:r>
      <w:r w:rsidRPr="00927D7E">
        <w:rPr>
          <w:rFonts w:eastAsia="Times New Roman" w:cs="Arial"/>
          <w:color w:val="000000"/>
        </w:rPr>
        <w:t>eHDL</w:t>
      </w:r>
      <w:proofErr w:type="spellEnd"/>
      <w:r w:rsidRPr="00927D7E">
        <w:rPr>
          <w:rFonts w:eastAsia="Times New Roman" w:cs="Arial"/>
          <w:color w:val="000000"/>
        </w:rPr>
        <w:t xml:space="preserve">-C, VLDL-C, VLDL-TG </w:t>
      </w:r>
      <w:r w:rsidRPr="00927D7E">
        <w:rPr>
          <w:rFonts w:eastAsia="Times New Roman" w:cs="Arial"/>
          <w:color w:val="000000"/>
          <w:lang w:eastAsia="bg-BG"/>
        </w:rPr>
        <w:t xml:space="preserve">и увеличава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АроА</w:t>
      </w:r>
      <w:proofErr w:type="spellEnd"/>
      <w:r w:rsidRPr="00927D7E">
        <w:rPr>
          <w:rFonts w:eastAsia="Times New Roman" w:cs="Arial"/>
          <w:color w:val="000000"/>
          <w:lang w:eastAsia="bg-BG"/>
        </w:rPr>
        <w:t>-</w:t>
      </w:r>
      <w:r w:rsidRPr="00927D7E">
        <w:rPr>
          <w:rFonts w:eastAsia="Times New Roman" w:cs="Arial"/>
          <w:color w:val="000000"/>
        </w:rPr>
        <w:t>I</w:t>
      </w:r>
      <w:r w:rsidRPr="00927D7E">
        <w:rPr>
          <w:rFonts w:eastAsia="Times New Roman" w:cs="Arial"/>
          <w:color w:val="000000"/>
          <w:lang w:eastAsia="bg-BG"/>
        </w:rPr>
        <w:t xml:space="preserve"> (вж. таблица 1).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понижава и съотношенията </w:t>
      </w:r>
      <w:r w:rsidRPr="00927D7E">
        <w:rPr>
          <w:rFonts w:eastAsia="Times New Roman" w:cs="Arial"/>
          <w:color w:val="000000"/>
        </w:rPr>
        <w:t xml:space="preserve">LDL-C/HDL-C, </w:t>
      </w:r>
      <w:r w:rsidRPr="00927D7E">
        <w:rPr>
          <w:rFonts w:eastAsia="Times New Roman" w:cs="Arial"/>
          <w:color w:val="000000"/>
          <w:lang w:eastAsia="bg-BG"/>
        </w:rPr>
        <w:t xml:space="preserve">общ </w:t>
      </w:r>
      <w:r w:rsidRPr="00927D7E">
        <w:rPr>
          <w:rFonts w:eastAsia="Times New Roman" w:cs="Arial"/>
          <w:color w:val="000000"/>
        </w:rPr>
        <w:t xml:space="preserve">C/HDL-C,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н</w:t>
      </w:r>
      <w:r w:rsidRPr="00927D7E">
        <w:rPr>
          <w:rFonts w:eastAsia="Times New Roman" w:cs="Arial"/>
          <w:color w:val="000000"/>
        </w:rPr>
        <w:t>eHDL</w:t>
      </w:r>
      <w:proofErr w:type="spellEnd"/>
      <w:r w:rsidRPr="00927D7E">
        <w:rPr>
          <w:rFonts w:eastAsia="Times New Roman" w:cs="Arial"/>
          <w:color w:val="000000"/>
        </w:rPr>
        <w:t xml:space="preserve">-C/HDL-C </w:t>
      </w:r>
      <w:r w:rsidRPr="00927D7E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АроВ</w:t>
      </w:r>
      <w:proofErr w:type="spellEnd"/>
      <w:r w:rsidRPr="00927D7E">
        <w:rPr>
          <w:rFonts w:eastAsia="Times New Roman" w:cs="Arial"/>
          <w:color w:val="000000"/>
          <w:lang w:eastAsia="bg-BG"/>
        </w:rPr>
        <w:t>/</w:t>
      </w:r>
      <w:proofErr w:type="spellStart"/>
      <w:r w:rsidRPr="00927D7E">
        <w:rPr>
          <w:rFonts w:eastAsia="Times New Roman" w:cs="Arial"/>
          <w:color w:val="000000"/>
          <w:lang w:eastAsia="bg-BG"/>
        </w:rPr>
        <w:t>АроА</w:t>
      </w:r>
      <w:proofErr w:type="spellEnd"/>
      <w:r w:rsidRPr="00927D7E">
        <w:rPr>
          <w:rFonts w:eastAsia="Times New Roman" w:cs="Arial"/>
          <w:color w:val="000000"/>
          <w:lang w:eastAsia="bg-BG"/>
        </w:rPr>
        <w:t>-</w:t>
      </w:r>
      <w:r w:rsidRPr="00927D7E">
        <w:rPr>
          <w:rFonts w:eastAsia="Times New Roman" w:cs="Arial"/>
          <w:color w:val="000000"/>
        </w:rPr>
        <w:t>I</w:t>
      </w:r>
      <w:r w:rsidRPr="00927D7E">
        <w:rPr>
          <w:rFonts w:eastAsia="Times New Roman" w:cs="Arial"/>
          <w:color w:val="000000"/>
          <w:lang w:eastAsia="bg-BG"/>
        </w:rPr>
        <w:t>.</w:t>
      </w:r>
    </w:p>
    <w:p w14:paraId="7489E9BF" w14:textId="77777777" w:rsidR="00466FDB" w:rsidRPr="00927D7E" w:rsidRDefault="00466FDB" w:rsidP="00466FDB">
      <w:pPr>
        <w:rPr>
          <w:rFonts w:eastAsia="Times New Roman" w:cs="Arial"/>
          <w:color w:val="000000"/>
          <w:u w:val="single"/>
          <w:lang w:eastAsia="bg-BG"/>
        </w:rPr>
      </w:pPr>
    </w:p>
    <w:p w14:paraId="28252AA0" w14:textId="2A6EB7B2" w:rsidR="0091385D" w:rsidRPr="00927D7E" w:rsidRDefault="00466FDB" w:rsidP="00466FDB">
      <w:pPr>
        <w:rPr>
          <w:rFonts w:cs="Arial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 xml:space="preserve">Таблица 1. </w:t>
      </w:r>
      <w:proofErr w:type="spellStart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Позозависим</w:t>
      </w:r>
      <w:proofErr w:type="spellEnd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 xml:space="preserve"> отговор при пациенти с първична </w:t>
      </w:r>
      <w:proofErr w:type="spellStart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хиперхолестеролемия</w:t>
      </w:r>
      <w:proofErr w:type="spellEnd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 xml:space="preserve"> (тип </w:t>
      </w:r>
      <w:proofErr w:type="spellStart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IIа</w:t>
      </w:r>
      <w:proofErr w:type="spellEnd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II</w:t>
      </w:r>
      <w:r w:rsidRPr="00927D7E">
        <w:rPr>
          <w:rFonts w:eastAsia="Times New Roman" w:cs="Arial"/>
          <w:i/>
          <w:iCs/>
          <w:color w:val="000000"/>
          <w:u w:val="single"/>
        </w:rPr>
        <w:t>b</w:t>
      </w:r>
      <w:proofErr w:type="spellEnd"/>
      <w:r w:rsidRPr="00927D7E">
        <w:rPr>
          <w:rFonts w:eastAsia="Times New Roman" w:cs="Arial"/>
          <w:i/>
          <w:iCs/>
          <w:color w:val="000000"/>
          <w:u w:val="single"/>
        </w:rPr>
        <w:t xml:space="preserve">) </w:t>
      </w:r>
      <w:r w:rsidRPr="00927D7E">
        <w:rPr>
          <w:rFonts w:eastAsia="Times New Roman" w:cs="Arial"/>
          <w:color w:val="000000"/>
          <w:u w:val="single"/>
          <w:lang w:eastAsia="bg-BG"/>
        </w:rPr>
        <w:t>(коригиран среден процент на промяна от изходното ниво)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1006"/>
        <w:gridCol w:w="1025"/>
        <w:gridCol w:w="1032"/>
        <w:gridCol w:w="1030"/>
        <w:gridCol w:w="1013"/>
        <w:gridCol w:w="1052"/>
        <w:gridCol w:w="1032"/>
        <w:gridCol w:w="1038"/>
      </w:tblGrid>
      <w:tr w:rsidR="00466FDB" w:rsidRPr="00927D7E" w14:paraId="6B698ABF" w14:textId="77777777" w:rsidTr="00466FDB">
        <w:tc>
          <w:tcPr>
            <w:tcW w:w="1055" w:type="dxa"/>
          </w:tcPr>
          <w:p w14:paraId="417ABE8A" w14:textId="055F9136" w:rsidR="00466FDB" w:rsidRPr="00927D7E" w:rsidRDefault="00466FDB" w:rsidP="00466FDB">
            <w:r w:rsidRPr="00927D7E">
              <w:rPr>
                <w:lang w:eastAsia="bg-BG"/>
              </w:rPr>
              <w:t>Доза</w:t>
            </w:r>
          </w:p>
        </w:tc>
        <w:tc>
          <w:tcPr>
            <w:tcW w:w="1055" w:type="dxa"/>
          </w:tcPr>
          <w:p w14:paraId="1CEC87D5" w14:textId="3E527E3D" w:rsidR="00466FDB" w:rsidRPr="00927D7E" w:rsidRDefault="00466FDB" w:rsidP="00466FDB">
            <w:r w:rsidRPr="00927D7E">
              <w:t>N</w:t>
            </w:r>
          </w:p>
        </w:tc>
        <w:tc>
          <w:tcPr>
            <w:tcW w:w="1055" w:type="dxa"/>
          </w:tcPr>
          <w:p w14:paraId="3923A5BC" w14:textId="7DC1B7C8" w:rsidR="00466FDB" w:rsidRPr="00927D7E" w:rsidRDefault="00466FDB" w:rsidP="00466FDB">
            <w:r w:rsidRPr="00927D7E">
              <w:t>LDL-C -</w:t>
            </w:r>
          </w:p>
        </w:tc>
        <w:tc>
          <w:tcPr>
            <w:tcW w:w="1055" w:type="dxa"/>
          </w:tcPr>
          <w:p w14:paraId="0BB47AC1" w14:textId="77777777" w:rsidR="00466FDB" w:rsidRPr="00927D7E" w:rsidRDefault="00466FDB" w:rsidP="00466FDB">
            <w:pPr>
              <w:rPr>
                <w:lang w:eastAsia="bg-BG"/>
              </w:rPr>
            </w:pPr>
            <w:r w:rsidRPr="00927D7E">
              <w:rPr>
                <w:lang w:eastAsia="bg-BG"/>
              </w:rPr>
              <w:t>Общ-С</w:t>
            </w:r>
          </w:p>
          <w:p w14:paraId="2799EF58" w14:textId="25D604C6" w:rsidR="00466FDB" w:rsidRPr="00927D7E" w:rsidRDefault="00466FDB" w:rsidP="00466FDB">
            <w:r w:rsidRPr="00927D7E">
              <w:t>-</w:t>
            </w:r>
          </w:p>
        </w:tc>
        <w:tc>
          <w:tcPr>
            <w:tcW w:w="1056" w:type="dxa"/>
          </w:tcPr>
          <w:p w14:paraId="577FD8D6" w14:textId="1E81DE6C" w:rsidR="00466FDB" w:rsidRPr="00927D7E" w:rsidRDefault="00466FDB" w:rsidP="00466FDB">
            <w:r w:rsidRPr="00927D7E">
              <w:t>HDL-C</w:t>
            </w:r>
          </w:p>
        </w:tc>
        <w:tc>
          <w:tcPr>
            <w:tcW w:w="1056" w:type="dxa"/>
          </w:tcPr>
          <w:p w14:paraId="5EAE69B9" w14:textId="773E9B70" w:rsidR="00466FDB" w:rsidRPr="00927D7E" w:rsidRDefault="00466FDB" w:rsidP="00466FDB">
            <w:r w:rsidRPr="00927D7E">
              <w:t>TG</w:t>
            </w:r>
          </w:p>
        </w:tc>
        <w:tc>
          <w:tcPr>
            <w:tcW w:w="1056" w:type="dxa"/>
          </w:tcPr>
          <w:p w14:paraId="641AD232" w14:textId="37DE1F75" w:rsidR="00466FDB" w:rsidRPr="00927D7E" w:rsidRDefault="00466FDB" w:rsidP="00466FDB">
            <w:proofErr w:type="spellStart"/>
            <w:r w:rsidRPr="00927D7E">
              <w:t>HeHDL</w:t>
            </w:r>
            <w:proofErr w:type="spellEnd"/>
            <w:r w:rsidRPr="00927D7E">
              <w:t>-C</w:t>
            </w:r>
          </w:p>
        </w:tc>
        <w:tc>
          <w:tcPr>
            <w:tcW w:w="1056" w:type="dxa"/>
          </w:tcPr>
          <w:p w14:paraId="73FEA8E5" w14:textId="5F69AA70" w:rsidR="00466FDB" w:rsidRPr="00927D7E" w:rsidRDefault="00466FDB" w:rsidP="00466FDB">
            <w:proofErr w:type="spellStart"/>
            <w:r w:rsidRPr="00927D7E">
              <w:t>ApoB</w:t>
            </w:r>
            <w:proofErr w:type="spellEnd"/>
          </w:p>
        </w:tc>
        <w:tc>
          <w:tcPr>
            <w:tcW w:w="1056" w:type="dxa"/>
          </w:tcPr>
          <w:p w14:paraId="0BA24624" w14:textId="73BC69D8" w:rsidR="00466FDB" w:rsidRPr="00927D7E" w:rsidRDefault="00466FDB" w:rsidP="00466FDB">
            <w:proofErr w:type="spellStart"/>
            <w:r w:rsidRPr="00927D7E">
              <w:t>ApoA</w:t>
            </w:r>
            <w:proofErr w:type="spellEnd"/>
            <w:r w:rsidRPr="00927D7E">
              <w:t>-I</w:t>
            </w:r>
          </w:p>
        </w:tc>
      </w:tr>
      <w:tr w:rsidR="00466FDB" w:rsidRPr="00927D7E" w14:paraId="1C765CCD" w14:textId="77777777" w:rsidTr="00466FDB">
        <w:tc>
          <w:tcPr>
            <w:tcW w:w="1055" w:type="dxa"/>
          </w:tcPr>
          <w:p w14:paraId="4AFCC004" w14:textId="1E357789" w:rsidR="00466FDB" w:rsidRPr="00927D7E" w:rsidRDefault="00466FDB" w:rsidP="00466FDB">
            <w:r w:rsidRPr="00927D7E">
              <w:rPr>
                <w:lang w:eastAsia="bg-BG"/>
              </w:rPr>
              <w:t>Плацебо</w:t>
            </w:r>
          </w:p>
        </w:tc>
        <w:tc>
          <w:tcPr>
            <w:tcW w:w="1055" w:type="dxa"/>
          </w:tcPr>
          <w:p w14:paraId="5D5F3264" w14:textId="04378430" w:rsidR="00466FDB" w:rsidRPr="00927D7E" w:rsidRDefault="00466FDB" w:rsidP="00466FDB">
            <w:r w:rsidRPr="00927D7E">
              <w:t>13</w:t>
            </w:r>
          </w:p>
        </w:tc>
        <w:tc>
          <w:tcPr>
            <w:tcW w:w="1055" w:type="dxa"/>
          </w:tcPr>
          <w:p w14:paraId="281D1779" w14:textId="60D6C881" w:rsidR="00466FDB" w:rsidRPr="00927D7E" w:rsidRDefault="00466FDB" w:rsidP="00466FDB">
            <w:r w:rsidRPr="00927D7E">
              <w:t>-7</w:t>
            </w:r>
          </w:p>
        </w:tc>
        <w:tc>
          <w:tcPr>
            <w:tcW w:w="1055" w:type="dxa"/>
          </w:tcPr>
          <w:p w14:paraId="7F1A3B12" w14:textId="2AD6D701" w:rsidR="00466FDB" w:rsidRPr="00927D7E" w:rsidRDefault="00466FDB" w:rsidP="00466FDB">
            <w:r w:rsidRPr="00927D7E">
              <w:t>-5</w:t>
            </w:r>
          </w:p>
        </w:tc>
        <w:tc>
          <w:tcPr>
            <w:tcW w:w="1056" w:type="dxa"/>
          </w:tcPr>
          <w:p w14:paraId="2C5911A2" w14:textId="0F03088C" w:rsidR="00466FDB" w:rsidRPr="00927D7E" w:rsidRDefault="00466FDB" w:rsidP="00466FDB">
            <w:r w:rsidRPr="00927D7E">
              <w:t>3</w:t>
            </w:r>
          </w:p>
        </w:tc>
        <w:tc>
          <w:tcPr>
            <w:tcW w:w="1056" w:type="dxa"/>
          </w:tcPr>
          <w:p w14:paraId="7006437F" w14:textId="026BABC5" w:rsidR="00466FDB" w:rsidRPr="00927D7E" w:rsidRDefault="00466FDB" w:rsidP="00466FDB">
            <w:r w:rsidRPr="00927D7E">
              <w:t>-3</w:t>
            </w:r>
          </w:p>
        </w:tc>
        <w:tc>
          <w:tcPr>
            <w:tcW w:w="1056" w:type="dxa"/>
          </w:tcPr>
          <w:p w14:paraId="3B586290" w14:textId="77A94DEC" w:rsidR="00466FDB" w:rsidRPr="00927D7E" w:rsidRDefault="00466FDB" w:rsidP="00466FDB">
            <w:r w:rsidRPr="00927D7E">
              <w:t>-7</w:t>
            </w:r>
          </w:p>
        </w:tc>
        <w:tc>
          <w:tcPr>
            <w:tcW w:w="1056" w:type="dxa"/>
          </w:tcPr>
          <w:p w14:paraId="48C9F8DE" w14:textId="351F6121" w:rsidR="00466FDB" w:rsidRPr="00927D7E" w:rsidRDefault="00466FDB" w:rsidP="00466FDB">
            <w:r w:rsidRPr="00927D7E">
              <w:t>-3</w:t>
            </w:r>
          </w:p>
        </w:tc>
        <w:tc>
          <w:tcPr>
            <w:tcW w:w="1056" w:type="dxa"/>
          </w:tcPr>
          <w:p w14:paraId="075D2C3A" w14:textId="0FDE0C47" w:rsidR="00466FDB" w:rsidRPr="00927D7E" w:rsidRDefault="00466FDB" w:rsidP="00466FDB">
            <w:r w:rsidRPr="00927D7E">
              <w:t>0</w:t>
            </w:r>
          </w:p>
        </w:tc>
      </w:tr>
      <w:tr w:rsidR="00466FDB" w:rsidRPr="00927D7E" w14:paraId="25EE65F4" w14:textId="77777777" w:rsidTr="00466FDB">
        <w:tc>
          <w:tcPr>
            <w:tcW w:w="1055" w:type="dxa"/>
          </w:tcPr>
          <w:p w14:paraId="03D2F300" w14:textId="5489B8BD" w:rsidR="00466FDB" w:rsidRPr="00927D7E" w:rsidRDefault="00466FDB" w:rsidP="00466FDB">
            <w:r w:rsidRPr="00927D7E">
              <w:rPr>
                <w:lang w:eastAsia="bg-BG"/>
              </w:rPr>
              <w:t xml:space="preserve">5 </w:t>
            </w:r>
            <w:proofErr w:type="spellStart"/>
            <w:r w:rsidRPr="00927D7E">
              <w:t>mg</w:t>
            </w:r>
            <w:proofErr w:type="spellEnd"/>
          </w:p>
        </w:tc>
        <w:tc>
          <w:tcPr>
            <w:tcW w:w="1055" w:type="dxa"/>
          </w:tcPr>
          <w:p w14:paraId="4EC10843" w14:textId="4281064C" w:rsidR="00466FDB" w:rsidRPr="00927D7E" w:rsidRDefault="00466FDB" w:rsidP="00466FDB">
            <w:r w:rsidRPr="00927D7E">
              <w:t>17</w:t>
            </w:r>
          </w:p>
        </w:tc>
        <w:tc>
          <w:tcPr>
            <w:tcW w:w="1055" w:type="dxa"/>
          </w:tcPr>
          <w:p w14:paraId="5E66D432" w14:textId="6ADB7111" w:rsidR="00466FDB" w:rsidRPr="00927D7E" w:rsidRDefault="00466FDB" w:rsidP="00466FDB">
            <w:r w:rsidRPr="00927D7E">
              <w:t>-45</w:t>
            </w:r>
          </w:p>
        </w:tc>
        <w:tc>
          <w:tcPr>
            <w:tcW w:w="1055" w:type="dxa"/>
          </w:tcPr>
          <w:p w14:paraId="29E7648C" w14:textId="7F8D82BF" w:rsidR="00466FDB" w:rsidRPr="00927D7E" w:rsidRDefault="00466FDB" w:rsidP="00466FDB">
            <w:r w:rsidRPr="00927D7E">
              <w:t>-33</w:t>
            </w:r>
          </w:p>
        </w:tc>
        <w:tc>
          <w:tcPr>
            <w:tcW w:w="1056" w:type="dxa"/>
          </w:tcPr>
          <w:p w14:paraId="2D09154B" w14:textId="72DDD70A" w:rsidR="00466FDB" w:rsidRPr="00927D7E" w:rsidRDefault="00466FDB" w:rsidP="00466FDB">
            <w:r w:rsidRPr="00927D7E">
              <w:t>13</w:t>
            </w:r>
          </w:p>
        </w:tc>
        <w:tc>
          <w:tcPr>
            <w:tcW w:w="1056" w:type="dxa"/>
          </w:tcPr>
          <w:p w14:paraId="5082AE32" w14:textId="438F8C00" w:rsidR="00466FDB" w:rsidRPr="00927D7E" w:rsidRDefault="00466FDB" w:rsidP="00466FDB">
            <w:r w:rsidRPr="00927D7E">
              <w:t>-35</w:t>
            </w:r>
          </w:p>
        </w:tc>
        <w:tc>
          <w:tcPr>
            <w:tcW w:w="1056" w:type="dxa"/>
          </w:tcPr>
          <w:p w14:paraId="406186BC" w14:textId="74FAAF18" w:rsidR="00466FDB" w:rsidRPr="00927D7E" w:rsidRDefault="00466FDB" w:rsidP="00466FDB">
            <w:r w:rsidRPr="00927D7E">
              <w:t>-44</w:t>
            </w:r>
          </w:p>
        </w:tc>
        <w:tc>
          <w:tcPr>
            <w:tcW w:w="1056" w:type="dxa"/>
          </w:tcPr>
          <w:p w14:paraId="787ABA94" w14:textId="501C166A" w:rsidR="00466FDB" w:rsidRPr="00927D7E" w:rsidRDefault="00466FDB" w:rsidP="00466FDB">
            <w:r w:rsidRPr="00927D7E">
              <w:t>-38</w:t>
            </w:r>
          </w:p>
        </w:tc>
        <w:tc>
          <w:tcPr>
            <w:tcW w:w="1056" w:type="dxa"/>
          </w:tcPr>
          <w:p w14:paraId="1754A944" w14:textId="6094D385" w:rsidR="00466FDB" w:rsidRPr="00927D7E" w:rsidRDefault="00466FDB" w:rsidP="00466FDB">
            <w:r w:rsidRPr="00927D7E">
              <w:t>4</w:t>
            </w:r>
          </w:p>
        </w:tc>
      </w:tr>
      <w:tr w:rsidR="00466FDB" w:rsidRPr="00927D7E" w14:paraId="4DB97A01" w14:textId="77777777" w:rsidTr="00466FDB">
        <w:tc>
          <w:tcPr>
            <w:tcW w:w="1055" w:type="dxa"/>
          </w:tcPr>
          <w:p w14:paraId="45CA09B9" w14:textId="48838E8D" w:rsidR="00466FDB" w:rsidRPr="00927D7E" w:rsidRDefault="00466FDB" w:rsidP="00466FDB">
            <w:r w:rsidRPr="00927D7E">
              <w:rPr>
                <w:lang w:eastAsia="bg-BG"/>
              </w:rPr>
              <w:t xml:space="preserve">10 </w:t>
            </w:r>
            <w:proofErr w:type="spellStart"/>
            <w:r w:rsidRPr="00927D7E">
              <w:t>mg</w:t>
            </w:r>
            <w:proofErr w:type="spellEnd"/>
          </w:p>
        </w:tc>
        <w:tc>
          <w:tcPr>
            <w:tcW w:w="1055" w:type="dxa"/>
          </w:tcPr>
          <w:p w14:paraId="72E3CE01" w14:textId="7A008D03" w:rsidR="00466FDB" w:rsidRPr="00927D7E" w:rsidRDefault="00466FDB" w:rsidP="00466FDB">
            <w:r w:rsidRPr="00927D7E">
              <w:t>17</w:t>
            </w:r>
          </w:p>
        </w:tc>
        <w:tc>
          <w:tcPr>
            <w:tcW w:w="1055" w:type="dxa"/>
          </w:tcPr>
          <w:p w14:paraId="2862E75D" w14:textId="022EAB79" w:rsidR="00466FDB" w:rsidRPr="00927D7E" w:rsidRDefault="00466FDB" w:rsidP="00466FDB">
            <w:r w:rsidRPr="00927D7E">
              <w:t>-52</w:t>
            </w:r>
          </w:p>
        </w:tc>
        <w:tc>
          <w:tcPr>
            <w:tcW w:w="1055" w:type="dxa"/>
          </w:tcPr>
          <w:p w14:paraId="75529CF2" w14:textId="5374EC57" w:rsidR="00466FDB" w:rsidRPr="00927D7E" w:rsidRDefault="00466FDB" w:rsidP="00466FDB">
            <w:r w:rsidRPr="00927D7E">
              <w:t>-36</w:t>
            </w:r>
          </w:p>
        </w:tc>
        <w:tc>
          <w:tcPr>
            <w:tcW w:w="1056" w:type="dxa"/>
          </w:tcPr>
          <w:p w14:paraId="7D5BD8A9" w14:textId="479BA5F7" w:rsidR="00466FDB" w:rsidRPr="00927D7E" w:rsidRDefault="00466FDB" w:rsidP="00466FDB">
            <w:r w:rsidRPr="00927D7E">
              <w:t>14</w:t>
            </w:r>
          </w:p>
        </w:tc>
        <w:tc>
          <w:tcPr>
            <w:tcW w:w="1056" w:type="dxa"/>
          </w:tcPr>
          <w:p w14:paraId="4793C933" w14:textId="393AD5D7" w:rsidR="00466FDB" w:rsidRPr="00927D7E" w:rsidRDefault="00466FDB" w:rsidP="00466FDB">
            <w:r w:rsidRPr="00927D7E">
              <w:t>-10</w:t>
            </w:r>
          </w:p>
        </w:tc>
        <w:tc>
          <w:tcPr>
            <w:tcW w:w="1056" w:type="dxa"/>
          </w:tcPr>
          <w:p w14:paraId="0B9A8279" w14:textId="212A5C2B" w:rsidR="00466FDB" w:rsidRPr="00927D7E" w:rsidRDefault="00466FDB" w:rsidP="00466FDB">
            <w:r w:rsidRPr="00927D7E">
              <w:t>-48</w:t>
            </w:r>
          </w:p>
        </w:tc>
        <w:tc>
          <w:tcPr>
            <w:tcW w:w="1056" w:type="dxa"/>
          </w:tcPr>
          <w:p w14:paraId="418C005F" w14:textId="711EA6E6" w:rsidR="00466FDB" w:rsidRPr="00927D7E" w:rsidRDefault="00466FDB" w:rsidP="00466FDB">
            <w:r w:rsidRPr="00927D7E">
              <w:t>-42</w:t>
            </w:r>
          </w:p>
        </w:tc>
        <w:tc>
          <w:tcPr>
            <w:tcW w:w="1056" w:type="dxa"/>
          </w:tcPr>
          <w:p w14:paraId="32F720FE" w14:textId="3FF5B81F" w:rsidR="00466FDB" w:rsidRPr="00927D7E" w:rsidRDefault="00466FDB" w:rsidP="00466FDB">
            <w:r w:rsidRPr="00927D7E">
              <w:t>4</w:t>
            </w:r>
          </w:p>
        </w:tc>
      </w:tr>
      <w:tr w:rsidR="00466FDB" w:rsidRPr="00927D7E" w14:paraId="637AC340" w14:textId="77777777" w:rsidTr="00466FDB">
        <w:tc>
          <w:tcPr>
            <w:tcW w:w="1055" w:type="dxa"/>
          </w:tcPr>
          <w:p w14:paraId="5F8A4803" w14:textId="50A54CC3" w:rsidR="00466FDB" w:rsidRPr="00927D7E" w:rsidRDefault="00466FDB" w:rsidP="00466FDB">
            <w:r w:rsidRPr="00927D7E">
              <w:rPr>
                <w:lang w:eastAsia="bg-BG"/>
              </w:rPr>
              <w:t xml:space="preserve">20 </w:t>
            </w:r>
            <w:proofErr w:type="spellStart"/>
            <w:r w:rsidRPr="00927D7E">
              <w:t>mg</w:t>
            </w:r>
            <w:proofErr w:type="spellEnd"/>
          </w:p>
        </w:tc>
        <w:tc>
          <w:tcPr>
            <w:tcW w:w="1055" w:type="dxa"/>
          </w:tcPr>
          <w:p w14:paraId="56F97826" w14:textId="707EA3F6" w:rsidR="00466FDB" w:rsidRPr="00927D7E" w:rsidRDefault="00466FDB" w:rsidP="00466FDB">
            <w:r w:rsidRPr="00927D7E">
              <w:t>17</w:t>
            </w:r>
          </w:p>
        </w:tc>
        <w:tc>
          <w:tcPr>
            <w:tcW w:w="1055" w:type="dxa"/>
          </w:tcPr>
          <w:p w14:paraId="3B833A93" w14:textId="45650D60" w:rsidR="00466FDB" w:rsidRPr="00927D7E" w:rsidRDefault="00466FDB" w:rsidP="00466FDB">
            <w:r w:rsidRPr="00927D7E">
              <w:t>-5</w:t>
            </w:r>
          </w:p>
        </w:tc>
        <w:tc>
          <w:tcPr>
            <w:tcW w:w="1055" w:type="dxa"/>
          </w:tcPr>
          <w:p w14:paraId="346ADB0A" w14:textId="50BF0333" w:rsidR="00466FDB" w:rsidRPr="00927D7E" w:rsidRDefault="00466FDB" w:rsidP="00466FDB">
            <w:r w:rsidRPr="00927D7E">
              <w:t>-40</w:t>
            </w:r>
          </w:p>
        </w:tc>
        <w:tc>
          <w:tcPr>
            <w:tcW w:w="1056" w:type="dxa"/>
          </w:tcPr>
          <w:p w14:paraId="0261ECF9" w14:textId="4AEAA7E0" w:rsidR="00466FDB" w:rsidRPr="00927D7E" w:rsidRDefault="00466FDB" w:rsidP="00466FDB">
            <w:r w:rsidRPr="00927D7E">
              <w:t>8</w:t>
            </w:r>
          </w:p>
        </w:tc>
        <w:tc>
          <w:tcPr>
            <w:tcW w:w="1056" w:type="dxa"/>
          </w:tcPr>
          <w:p w14:paraId="01CCB3E0" w14:textId="273708E1" w:rsidR="00466FDB" w:rsidRPr="00927D7E" w:rsidRDefault="00466FDB" w:rsidP="00466FDB">
            <w:r w:rsidRPr="00927D7E">
              <w:t>-23</w:t>
            </w:r>
          </w:p>
        </w:tc>
        <w:tc>
          <w:tcPr>
            <w:tcW w:w="1056" w:type="dxa"/>
          </w:tcPr>
          <w:p w14:paraId="251D3A52" w14:textId="055C64AD" w:rsidR="00466FDB" w:rsidRPr="00927D7E" w:rsidRDefault="00466FDB" w:rsidP="00466FDB">
            <w:r w:rsidRPr="00927D7E">
              <w:t>-51</w:t>
            </w:r>
          </w:p>
        </w:tc>
        <w:tc>
          <w:tcPr>
            <w:tcW w:w="1056" w:type="dxa"/>
          </w:tcPr>
          <w:p w14:paraId="6D533120" w14:textId="448EF885" w:rsidR="00466FDB" w:rsidRPr="00927D7E" w:rsidRDefault="00466FDB" w:rsidP="00466FDB">
            <w:r w:rsidRPr="00927D7E">
              <w:t>-46</w:t>
            </w:r>
          </w:p>
        </w:tc>
        <w:tc>
          <w:tcPr>
            <w:tcW w:w="1056" w:type="dxa"/>
          </w:tcPr>
          <w:p w14:paraId="2B908CEA" w14:textId="3BE0DE95" w:rsidR="00466FDB" w:rsidRPr="00927D7E" w:rsidRDefault="00466FDB" w:rsidP="00466FDB">
            <w:r w:rsidRPr="00927D7E">
              <w:rPr>
                <w:i/>
                <w:iCs/>
              </w:rPr>
              <w:t>5</w:t>
            </w:r>
          </w:p>
        </w:tc>
      </w:tr>
      <w:tr w:rsidR="00466FDB" w:rsidRPr="00927D7E" w14:paraId="28A80DBF" w14:textId="77777777" w:rsidTr="00466FDB">
        <w:tc>
          <w:tcPr>
            <w:tcW w:w="1055" w:type="dxa"/>
          </w:tcPr>
          <w:p w14:paraId="77A14AB5" w14:textId="3CC7D2EB" w:rsidR="00466FDB" w:rsidRPr="00927D7E" w:rsidRDefault="00466FDB" w:rsidP="00466FDB">
            <w:r w:rsidRPr="00927D7E">
              <w:rPr>
                <w:lang w:eastAsia="bg-BG"/>
              </w:rPr>
              <w:t xml:space="preserve">40 </w:t>
            </w:r>
            <w:proofErr w:type="spellStart"/>
            <w:r w:rsidRPr="00927D7E">
              <w:t>mg</w:t>
            </w:r>
            <w:proofErr w:type="spellEnd"/>
          </w:p>
        </w:tc>
        <w:tc>
          <w:tcPr>
            <w:tcW w:w="1055" w:type="dxa"/>
          </w:tcPr>
          <w:p w14:paraId="01BC0781" w14:textId="58F36493" w:rsidR="00466FDB" w:rsidRPr="00927D7E" w:rsidRDefault="00466FDB" w:rsidP="00466FDB">
            <w:r w:rsidRPr="00927D7E">
              <w:t>18</w:t>
            </w:r>
          </w:p>
        </w:tc>
        <w:tc>
          <w:tcPr>
            <w:tcW w:w="1055" w:type="dxa"/>
          </w:tcPr>
          <w:p w14:paraId="25789C2F" w14:textId="0C664820" w:rsidR="00466FDB" w:rsidRPr="00927D7E" w:rsidRDefault="00466FDB" w:rsidP="00466FDB">
            <w:r w:rsidRPr="00927D7E">
              <w:t>-63</w:t>
            </w:r>
          </w:p>
        </w:tc>
        <w:tc>
          <w:tcPr>
            <w:tcW w:w="1055" w:type="dxa"/>
          </w:tcPr>
          <w:p w14:paraId="1F0C7306" w14:textId="4AE9BC9B" w:rsidR="00466FDB" w:rsidRPr="00927D7E" w:rsidRDefault="00466FDB" w:rsidP="00466FDB">
            <w:r w:rsidRPr="00927D7E">
              <w:t>-4</w:t>
            </w:r>
          </w:p>
        </w:tc>
        <w:tc>
          <w:tcPr>
            <w:tcW w:w="1056" w:type="dxa"/>
          </w:tcPr>
          <w:p w14:paraId="3BA55D49" w14:textId="03F55D01" w:rsidR="00466FDB" w:rsidRPr="00927D7E" w:rsidRDefault="00466FDB" w:rsidP="00466FDB">
            <w:r w:rsidRPr="00927D7E">
              <w:t>10</w:t>
            </w:r>
          </w:p>
        </w:tc>
        <w:tc>
          <w:tcPr>
            <w:tcW w:w="1056" w:type="dxa"/>
          </w:tcPr>
          <w:p w14:paraId="51F88486" w14:textId="76FDA8E8" w:rsidR="00466FDB" w:rsidRPr="00927D7E" w:rsidRDefault="00466FDB" w:rsidP="00466FDB">
            <w:r w:rsidRPr="00927D7E">
              <w:t>-28</w:t>
            </w:r>
          </w:p>
        </w:tc>
        <w:tc>
          <w:tcPr>
            <w:tcW w:w="1056" w:type="dxa"/>
          </w:tcPr>
          <w:p w14:paraId="4600DBB3" w14:textId="7C45B94C" w:rsidR="00466FDB" w:rsidRPr="00927D7E" w:rsidRDefault="00466FDB" w:rsidP="00466FDB">
            <w:r w:rsidRPr="00927D7E">
              <w:t>-60</w:t>
            </w:r>
          </w:p>
        </w:tc>
        <w:tc>
          <w:tcPr>
            <w:tcW w:w="1056" w:type="dxa"/>
          </w:tcPr>
          <w:p w14:paraId="29F945C2" w14:textId="19E2A3E7" w:rsidR="00466FDB" w:rsidRPr="00927D7E" w:rsidRDefault="00466FDB" w:rsidP="00466FDB">
            <w:r w:rsidRPr="00927D7E">
              <w:t>-54</w:t>
            </w:r>
          </w:p>
        </w:tc>
        <w:tc>
          <w:tcPr>
            <w:tcW w:w="1056" w:type="dxa"/>
          </w:tcPr>
          <w:p w14:paraId="5AF5F43F" w14:textId="26B6A22C" w:rsidR="00466FDB" w:rsidRPr="00927D7E" w:rsidRDefault="00466FDB" w:rsidP="00466FDB">
            <w:r w:rsidRPr="00927D7E">
              <w:t>0</w:t>
            </w:r>
          </w:p>
        </w:tc>
      </w:tr>
    </w:tbl>
    <w:p w14:paraId="36152471" w14:textId="522431B3" w:rsidR="0091385D" w:rsidRPr="00927D7E" w:rsidRDefault="0091385D" w:rsidP="0091385D"/>
    <w:p w14:paraId="75E11C91" w14:textId="77777777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lastRenderedPageBreak/>
        <w:t>Терапевтичен ефект се постига до 1 седмица от началото на терапията, а 90% от максималния отговор се постига до 2 седмици. Максималният отговор обикновено се постига към 4-та седмица и се поддържа след това.</w:t>
      </w:r>
    </w:p>
    <w:p w14:paraId="7C2D6114" w14:textId="77777777" w:rsidR="00466FDB" w:rsidRPr="00927D7E" w:rsidRDefault="00466FDB" w:rsidP="00466FD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811D485" w14:textId="4101C69E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t>Езетимиб</w:t>
      </w:r>
      <w:proofErr w:type="spellEnd"/>
    </w:p>
    <w:p w14:paraId="3F12D73F" w14:textId="697ED016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локализира на повърхността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ресничките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 тънките черва и инхибира абсорбцията на холестерол, като по този начин намалява транспортирането на холестерола от тънките черва към черния дроб; стативите намаляват синтеза на холестерол в черния дроб и заедно тези различни механизми на действие осигуряват допълнително намаляване на холестерола. В 2-седмично клинично проучване на 18 пациенти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потиска чревната абсорбция на холестерола с 54%, в сравнение с плацебо.</w:t>
      </w:r>
    </w:p>
    <w:p w14:paraId="50D85910" w14:textId="77777777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Проведена е серия от предклинични проучвания за определяне на селективността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при инхибиране на абсорбцията на холестерол.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инхибира абсорбцията на [</w:t>
      </w:r>
      <w:r w:rsidRPr="00927D7E">
        <w:rPr>
          <w:rFonts w:eastAsia="Times New Roman" w:cs="Arial"/>
          <w:color w:val="000000"/>
          <w:vertAlign w:val="superscript"/>
          <w:lang w:eastAsia="bg-BG"/>
        </w:rPr>
        <w:t>14</w:t>
      </w:r>
      <w:r w:rsidRPr="00927D7E">
        <w:rPr>
          <w:rFonts w:eastAsia="Times New Roman" w:cs="Arial"/>
          <w:color w:val="000000"/>
          <w:lang w:eastAsia="bg-BG"/>
        </w:rPr>
        <w:t xml:space="preserve">С] белязания холестерол без да оказва ефект върху абсорбцията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триглицериди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мастни киселини, жлъчни киселини,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прогестерон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етинилестрадиол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или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мастноразтворими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витамини А и </w:t>
      </w:r>
      <w:r w:rsidRPr="00927D7E">
        <w:rPr>
          <w:rFonts w:eastAsia="Times New Roman" w:cs="Arial"/>
          <w:color w:val="000000"/>
        </w:rPr>
        <w:t>D.</w:t>
      </w:r>
    </w:p>
    <w:p w14:paraId="5CBBC3A8" w14:textId="77777777" w:rsidR="00466FDB" w:rsidRPr="00927D7E" w:rsidRDefault="00466FDB" w:rsidP="00466FDB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6DD981A" w14:textId="348B3D4F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i/>
          <w:iCs/>
          <w:color w:val="000000"/>
          <w:lang w:eastAsia="bg-BG"/>
        </w:rPr>
        <w:t xml:space="preserve">Едновременното приложение на </w:t>
      </w: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t>розувастатин-езетимиб</w:t>
      </w:r>
      <w:proofErr w:type="spellEnd"/>
    </w:p>
    <w:p w14:paraId="5CCD95F7" w14:textId="1790E63E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 епидемиологични проучвания е установено, че сърдечно-съдовата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забол</w:t>
      </w:r>
      <w:r w:rsidRPr="00927D7E">
        <w:rPr>
          <w:rFonts w:eastAsia="Times New Roman" w:cs="Arial"/>
          <w:color w:val="000000"/>
        </w:rPr>
        <w:t>e</w:t>
      </w:r>
      <w:r w:rsidRPr="00927D7E">
        <w:rPr>
          <w:rFonts w:eastAsia="Times New Roman" w:cs="Arial"/>
          <w:color w:val="000000"/>
          <w:lang w:eastAsia="bg-BG"/>
        </w:rPr>
        <w:t>ваемост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смъртност се изменят право пропорционално спрямо нивото на общия-С и </w:t>
      </w:r>
      <w:r w:rsidRPr="00927D7E">
        <w:rPr>
          <w:rFonts w:eastAsia="Times New Roman" w:cs="Arial"/>
          <w:color w:val="000000"/>
        </w:rPr>
        <w:t xml:space="preserve">LDL-C </w:t>
      </w:r>
      <w:r w:rsidRPr="00927D7E">
        <w:rPr>
          <w:rFonts w:eastAsia="Times New Roman" w:cs="Arial"/>
          <w:color w:val="000000"/>
          <w:lang w:eastAsia="bg-BG"/>
        </w:rPr>
        <w:t>и обратно</w:t>
      </w:r>
      <w:r w:rsidRPr="00927D7E">
        <w:rPr>
          <w:rFonts w:eastAsia="Times New Roman" w:cs="Arial"/>
          <w:sz w:val="24"/>
          <w:szCs w:val="24"/>
          <w:lang w:eastAsia="bg-BG"/>
        </w:rPr>
        <w:t>-</w:t>
      </w:r>
      <w:r w:rsidRPr="00927D7E">
        <w:rPr>
          <w:rFonts w:eastAsia="Times New Roman" w:cs="Arial"/>
          <w:color w:val="000000"/>
          <w:lang w:eastAsia="bg-BG"/>
        </w:rPr>
        <w:t xml:space="preserve">пропорционално спрямо нивото на </w:t>
      </w:r>
      <w:r w:rsidRPr="00927D7E">
        <w:rPr>
          <w:rFonts w:eastAsia="Times New Roman" w:cs="Arial"/>
          <w:color w:val="000000"/>
        </w:rPr>
        <w:t>HDL-C.</w:t>
      </w:r>
    </w:p>
    <w:p w14:paraId="51938DA6" w14:textId="4B7BB317" w:rsidR="00466FDB" w:rsidRPr="00927D7E" w:rsidRDefault="00466FDB" w:rsidP="00466FDB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Приложението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>/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ефективно за намаляване на риска от сърдечно-съдови събития при пациенти с исхемична болест на сърцето и анамнеза за </w:t>
      </w:r>
      <w:r w:rsidRPr="00927D7E">
        <w:rPr>
          <w:rFonts w:eastAsia="Times New Roman" w:cs="Arial"/>
          <w:color w:val="000000"/>
        </w:rPr>
        <w:t>ACS</w:t>
      </w:r>
      <w:r w:rsidRPr="00927D7E">
        <w:rPr>
          <w:rFonts w:eastAsia="Times New Roman" w:cs="Arial"/>
          <w:color w:val="000000"/>
          <w:lang w:eastAsia="bg-BG"/>
        </w:rPr>
        <w:t xml:space="preserve"> събития.</w:t>
      </w:r>
    </w:p>
    <w:p w14:paraId="0D5629F0" w14:textId="5CF0B560" w:rsidR="00466FDB" w:rsidRPr="00927D7E" w:rsidRDefault="00466FDB" w:rsidP="0091385D"/>
    <w:p w14:paraId="19183D38" w14:textId="77777777" w:rsidR="00DD4AAC" w:rsidRPr="00927D7E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Клинична ефикасност и безопасност</w:t>
      </w:r>
    </w:p>
    <w:p w14:paraId="51F15EA4" w14:textId="77777777" w:rsidR="00DD4AAC" w:rsidRPr="00927D7E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i/>
          <w:iCs/>
          <w:color w:val="000000"/>
          <w:lang w:eastAsia="bg-BG"/>
        </w:rPr>
        <w:t xml:space="preserve">Първична </w:t>
      </w: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t>хгтерхолестеролемия</w:t>
      </w:r>
      <w:proofErr w:type="spellEnd"/>
    </w:p>
    <w:p w14:paraId="33C8967E" w14:textId="77777777" w:rsidR="00DD4AAC" w:rsidRPr="00927D7E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В 6-седмично, рандомизирано, двойно-сляпо, клинично проучване с паралелна група са оценени безопасността и ефикасността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), </w:t>
      </w:r>
      <w:r w:rsidRPr="00927D7E">
        <w:rPr>
          <w:rFonts w:eastAsia="Times New Roman" w:cs="Arial"/>
          <w:color w:val="000000"/>
          <w:lang w:eastAsia="bg-BG"/>
        </w:rPr>
        <w:t xml:space="preserve">добавен към постоянна терапия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срещу повишаване на дозата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чрез титриране от 5 до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или от 10 до 20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(</w:t>
      </w:r>
      <w:r w:rsidRPr="00927D7E">
        <w:rPr>
          <w:rFonts w:eastAsia="Times New Roman" w:cs="Arial"/>
          <w:color w:val="000000"/>
        </w:rPr>
        <w:t>n</w:t>
      </w:r>
      <w:r w:rsidRPr="00927D7E">
        <w:rPr>
          <w:rFonts w:eastAsia="Times New Roman" w:cs="Arial"/>
          <w:color w:val="000000"/>
          <w:lang w:eastAsia="bg-BG"/>
        </w:rPr>
        <w:t xml:space="preserve"> = 440). Събраните данни показват, че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добавен към постоянна терапия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от 5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или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, </w:t>
      </w:r>
      <w:r w:rsidRPr="00927D7E">
        <w:rPr>
          <w:rFonts w:eastAsia="Times New Roman" w:cs="Arial"/>
          <w:color w:val="000000"/>
          <w:lang w:eastAsia="bg-BG"/>
        </w:rPr>
        <w:t xml:space="preserve">понижава </w:t>
      </w:r>
      <w:r w:rsidRPr="00927D7E">
        <w:rPr>
          <w:rFonts w:eastAsia="Times New Roman" w:cs="Arial"/>
          <w:color w:val="000000"/>
        </w:rPr>
        <w:t xml:space="preserve">LDL </w:t>
      </w:r>
      <w:r w:rsidRPr="00927D7E">
        <w:rPr>
          <w:rFonts w:eastAsia="Times New Roman" w:cs="Arial"/>
          <w:color w:val="000000"/>
          <w:lang w:eastAsia="bg-BG"/>
        </w:rPr>
        <w:t xml:space="preserve">холестерола с 21%. Обратно, удвояването на дозата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до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или 20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намалява </w:t>
      </w:r>
      <w:r w:rsidRPr="00927D7E">
        <w:rPr>
          <w:rFonts w:eastAsia="Times New Roman" w:cs="Arial"/>
          <w:color w:val="000000"/>
        </w:rPr>
        <w:t xml:space="preserve">LDL </w:t>
      </w:r>
      <w:r w:rsidRPr="00927D7E">
        <w:rPr>
          <w:rFonts w:eastAsia="Times New Roman" w:cs="Arial"/>
          <w:color w:val="000000"/>
          <w:lang w:eastAsia="bg-BG"/>
        </w:rPr>
        <w:t xml:space="preserve">холестерола с 5,7% (разлика между групите от 15,2%, р &lt;0,001). Поотделно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5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намалява </w:t>
      </w:r>
      <w:r w:rsidRPr="00927D7E">
        <w:rPr>
          <w:rFonts w:eastAsia="Times New Roman" w:cs="Arial"/>
          <w:color w:val="000000"/>
        </w:rPr>
        <w:t xml:space="preserve">LDL </w:t>
      </w:r>
      <w:r w:rsidRPr="00927D7E">
        <w:rPr>
          <w:rFonts w:eastAsia="Times New Roman" w:cs="Arial"/>
          <w:color w:val="000000"/>
          <w:lang w:eastAsia="bg-BG"/>
        </w:rPr>
        <w:t xml:space="preserve">холестерола повече, отколкото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(12,3% разлика, р &lt;0,001), 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намалява </w:t>
      </w:r>
      <w:r w:rsidRPr="00927D7E">
        <w:rPr>
          <w:rFonts w:eastAsia="Times New Roman" w:cs="Arial"/>
          <w:color w:val="000000"/>
        </w:rPr>
        <w:t xml:space="preserve">LDL </w:t>
      </w:r>
      <w:r w:rsidRPr="00927D7E">
        <w:rPr>
          <w:rFonts w:eastAsia="Times New Roman" w:cs="Arial"/>
          <w:color w:val="000000"/>
          <w:lang w:eastAsia="bg-BG"/>
        </w:rPr>
        <w:t xml:space="preserve">холестерола повече, отколкото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20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(разлика 17,5%, р &lt;0,001).</w:t>
      </w:r>
    </w:p>
    <w:p w14:paraId="57A5906D" w14:textId="77777777" w:rsidR="00DD4AAC" w:rsidRPr="00927D7E" w:rsidRDefault="00DD4AAC" w:rsidP="00DD4AA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1421C3E" w14:textId="5CE4FC07" w:rsidR="00DD4AAC" w:rsidRPr="00927D7E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6-седмично, рандомизирано проучване е предназначено да изследва ефикасността и безопасността на 40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самостоятелно или в комбинация с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при пациенти с висок риск от исхемична болест на сърцето (</w:t>
      </w:r>
      <w:r w:rsidRPr="00927D7E">
        <w:rPr>
          <w:rFonts w:eastAsia="Times New Roman" w:cs="Arial"/>
          <w:color w:val="000000"/>
        </w:rPr>
        <w:t>n</w:t>
      </w:r>
      <w:r w:rsidRPr="00927D7E">
        <w:rPr>
          <w:rFonts w:eastAsia="Times New Roman" w:cs="Arial"/>
          <w:color w:val="000000"/>
          <w:lang w:eastAsia="bg-BG"/>
        </w:rPr>
        <w:t xml:space="preserve"> = 469). Значително повече пациенти, които са получавали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>/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отколкото само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достигат таргетните нива за АТР III </w:t>
      </w:r>
      <w:r w:rsidRPr="00927D7E">
        <w:rPr>
          <w:rFonts w:eastAsia="Times New Roman" w:cs="Arial"/>
          <w:color w:val="000000"/>
        </w:rPr>
        <w:t xml:space="preserve">LDL </w:t>
      </w:r>
      <w:r w:rsidRPr="00927D7E">
        <w:rPr>
          <w:rFonts w:eastAsia="Times New Roman" w:cs="Arial"/>
          <w:color w:val="000000"/>
          <w:lang w:eastAsia="bg-BG"/>
        </w:rPr>
        <w:t xml:space="preserve">холестерол (&lt;100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/dl, </w:t>
      </w:r>
      <w:r w:rsidRPr="00927D7E">
        <w:rPr>
          <w:rFonts w:eastAsia="Times New Roman" w:cs="Arial"/>
          <w:color w:val="000000"/>
          <w:lang w:eastAsia="bg-BG"/>
        </w:rPr>
        <w:t xml:space="preserve">94,0% срещу 79,1%, р &lt;0,001).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40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е ефективен за подобряването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атерогенния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липцден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профил при тази високорискова популация.</w:t>
      </w:r>
    </w:p>
    <w:p w14:paraId="499793FA" w14:textId="77777777" w:rsidR="00DD4AAC" w:rsidRPr="00927D7E" w:rsidRDefault="00DD4AAC" w:rsidP="00DD4AAC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0424067" w14:textId="05A2976B" w:rsidR="00DD4AAC" w:rsidRPr="00927D7E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Рандомизирано, открито, 12-седмично проучване изследва нивото на редукция на </w:t>
      </w:r>
      <w:r w:rsidRPr="00927D7E">
        <w:rPr>
          <w:rFonts w:eastAsia="Times New Roman" w:cs="Arial"/>
          <w:color w:val="000000"/>
        </w:rPr>
        <w:t xml:space="preserve">LDL </w:t>
      </w:r>
      <w:r w:rsidRPr="00927D7E">
        <w:rPr>
          <w:rFonts w:eastAsia="Times New Roman" w:cs="Arial"/>
          <w:color w:val="000000"/>
          <w:lang w:eastAsia="bg-BG"/>
        </w:rPr>
        <w:t xml:space="preserve">във всяко лечебно рамо (10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20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40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симвастатин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80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симвастатин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). Редукцията спрямо изходните стойности от комбинациите с ниска доза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lastRenderedPageBreak/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59,7%, значително по-висока от комбинацията с ниски дози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симвастатин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- 55,2% (р &lt;0,05). Лечението с комбинация от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във високи дози намалява </w:t>
      </w:r>
      <w:r w:rsidRPr="00927D7E">
        <w:rPr>
          <w:rFonts w:eastAsia="Times New Roman" w:cs="Arial"/>
          <w:color w:val="000000"/>
        </w:rPr>
        <w:t xml:space="preserve">LDL </w:t>
      </w:r>
      <w:r w:rsidRPr="00927D7E">
        <w:rPr>
          <w:rFonts w:eastAsia="Times New Roman" w:cs="Arial"/>
          <w:color w:val="000000"/>
          <w:lang w:eastAsia="bg-BG"/>
        </w:rPr>
        <w:t xml:space="preserve">холестерола с 63,5% в сравнение с намалението с 57,4% при комбинацията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симвастатин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във високи дози (р &lt;0,001).</w:t>
      </w:r>
    </w:p>
    <w:p w14:paraId="431A2407" w14:textId="77777777" w:rsidR="00DD4AAC" w:rsidRPr="00927D7E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8AD8D02" w14:textId="1069BA3B" w:rsidR="00DD4AAC" w:rsidRPr="00927D7E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196AFE17" w14:textId="5507342E" w:rsidR="00DD4AAC" w:rsidRPr="00927D7E" w:rsidRDefault="00DD4AAC" w:rsidP="00DD4AAC">
      <w:pPr>
        <w:rPr>
          <w:rFonts w:cs="Arial"/>
        </w:rPr>
      </w:pPr>
      <w:r w:rsidRPr="00927D7E">
        <w:rPr>
          <w:rFonts w:eastAsia="Times New Roman" w:cs="Arial"/>
          <w:color w:val="000000"/>
          <w:lang w:eastAsia="bg-BG"/>
        </w:rPr>
        <w:t xml:space="preserve">Европейската агенция по лекарствата освобождава от задължението за предоставяне на резултатите от проучванията с референтни лекарствени продукти, съдържащи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с референтни лекарствени продукти, съдържащи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при всички подгрупи от педиатричната популация за лечение на повишен холестерол (вж. точка 4.2 за информация относно употреба в педиатрията).</w:t>
      </w:r>
    </w:p>
    <w:p w14:paraId="4E0EEE03" w14:textId="77777777" w:rsidR="00DD4AAC" w:rsidRPr="00927D7E" w:rsidRDefault="00DD4AAC" w:rsidP="0091385D"/>
    <w:p w14:paraId="35F84B81" w14:textId="6423E5BB" w:rsidR="00CF77F7" w:rsidRPr="00927D7E" w:rsidRDefault="002C50EE" w:rsidP="004A448E">
      <w:pPr>
        <w:pStyle w:val="Heading2"/>
      </w:pPr>
      <w:r w:rsidRPr="00927D7E">
        <w:t>5.2. Фармакокинетични свойства</w:t>
      </w:r>
    </w:p>
    <w:p w14:paraId="5031193D" w14:textId="06A21EFE" w:rsidR="0091385D" w:rsidRPr="00927D7E" w:rsidRDefault="0091385D" w:rsidP="0091385D"/>
    <w:p w14:paraId="0D7BE610" w14:textId="77777777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i/>
          <w:iCs/>
          <w:color w:val="000000"/>
          <w:lang w:eastAsia="bg-BG"/>
        </w:rPr>
        <w:t xml:space="preserve">Терапия с </w:t>
      </w: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i/>
          <w:iCs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t>езетимиб</w:t>
      </w:r>
      <w:proofErr w:type="spellEnd"/>
    </w:p>
    <w:p w14:paraId="6535B154" w14:textId="77777777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 пациенти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едновременното приложение на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води до повишаване на </w:t>
      </w:r>
      <w:r w:rsidRPr="00927D7E">
        <w:rPr>
          <w:rFonts w:eastAsia="Times New Roman" w:cs="Arial"/>
          <w:color w:val="000000"/>
        </w:rPr>
        <w:t xml:space="preserve">AUC </w:t>
      </w:r>
      <w:r w:rsidRPr="00927D7E">
        <w:rPr>
          <w:rFonts w:eastAsia="Times New Roman" w:cs="Arial"/>
          <w:color w:val="000000"/>
          <w:lang w:eastAsia="bg-BG"/>
        </w:rPr>
        <w:t xml:space="preserve">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1,2 пъти. Не може да се изключи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фармакодинамично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взаимодействие между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по отношение на нежеланите реакции.</w:t>
      </w:r>
    </w:p>
    <w:p w14:paraId="65442710" w14:textId="77777777" w:rsidR="00DD4AAC" w:rsidRPr="00927D7E" w:rsidRDefault="00DD4AAC" w:rsidP="00DD4AAC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7E0C239" w14:textId="1F7EF9DC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t>Розувастатин</w:t>
      </w:r>
      <w:proofErr w:type="spellEnd"/>
    </w:p>
    <w:p w14:paraId="6487F553" w14:textId="77777777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Style w:val="Heading3Char"/>
          <w:u w:val="single"/>
          <w:lang w:eastAsia="bg-BG"/>
        </w:rPr>
        <w:t xml:space="preserve">Абсорбция: </w:t>
      </w:r>
      <w:r w:rsidRPr="00927D7E">
        <w:rPr>
          <w:rFonts w:eastAsia="Times New Roman" w:cs="Arial"/>
          <w:color w:val="000000"/>
          <w:lang w:eastAsia="bg-BG"/>
        </w:rPr>
        <w:t xml:space="preserve">Максимални плазмени концентрации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достигат 5 часа след перорално приложение. Абсолютната бионаличност е приблизително 20%.</w:t>
      </w:r>
    </w:p>
    <w:p w14:paraId="68D070A9" w14:textId="77777777" w:rsidR="00DD4AAC" w:rsidRPr="00927D7E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EDB4B37" w14:textId="5B65BB54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Style w:val="Heading3Char"/>
          <w:u w:val="single"/>
          <w:lang w:eastAsia="bg-BG"/>
        </w:rPr>
        <w:t xml:space="preserve">Разпределение: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поема екстензивно от черния дроб, който е основното място на синтезиране на холестерола и отделяне на </w:t>
      </w:r>
      <w:r w:rsidRPr="00927D7E">
        <w:rPr>
          <w:rFonts w:eastAsia="Times New Roman" w:cs="Arial"/>
          <w:color w:val="000000"/>
        </w:rPr>
        <w:t>LDL</w:t>
      </w:r>
      <w:r w:rsidRPr="00927D7E">
        <w:rPr>
          <w:rFonts w:eastAsia="Times New Roman" w:cs="Arial"/>
          <w:color w:val="000000"/>
          <w:lang w:eastAsia="bg-BG"/>
        </w:rPr>
        <w:t xml:space="preserve">-С. Обемът на разпределение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приблизително 1341.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свързва с плазмените протеини, предимно </w:t>
      </w:r>
      <w:r w:rsidRPr="00927D7E">
        <w:rPr>
          <w:rFonts w:eastAsia="Times New Roman" w:cs="Arial"/>
          <w:bCs/>
          <w:color w:val="000000"/>
          <w:lang w:eastAsia="bg-BG"/>
        </w:rPr>
        <w:t>с</w:t>
      </w:r>
      <w:r w:rsidRPr="00927D7E">
        <w:rPr>
          <w:rFonts w:eastAsia="Times New Roman" w:cs="Arial"/>
          <w:bCs/>
          <w:color w:val="000000"/>
        </w:rPr>
        <w:t xml:space="preserve"> </w:t>
      </w:r>
      <w:r w:rsidRPr="00927D7E">
        <w:rPr>
          <w:rFonts w:eastAsia="Times New Roman" w:cs="Arial"/>
          <w:bCs/>
          <w:color w:val="000000"/>
          <w:lang w:eastAsia="bg-BG"/>
        </w:rPr>
        <w:t>албумина, в</w:t>
      </w:r>
      <w:r w:rsidRPr="00927D7E">
        <w:rPr>
          <w:rFonts w:eastAsia="Times New Roman" w:cs="Arial"/>
          <w:b/>
          <w:bCs/>
          <w:color w:val="000000"/>
          <w:lang w:eastAsia="bg-BG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около 90%.</w:t>
      </w:r>
    </w:p>
    <w:p w14:paraId="3949B306" w14:textId="77777777" w:rsidR="00DD4AAC" w:rsidRPr="00927D7E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DE1638F" w14:textId="7F2B402B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Style w:val="Heading3Char"/>
          <w:u w:val="single"/>
          <w:lang w:eastAsia="bg-BG"/>
        </w:rPr>
        <w:t xml:space="preserve">Биотрансформация: </w:t>
      </w:r>
      <w:r w:rsidRPr="00927D7E">
        <w:rPr>
          <w:rFonts w:eastAsia="Times New Roman" w:cs="Arial"/>
          <w:color w:val="000000"/>
          <w:lang w:eastAsia="bg-BG"/>
        </w:rPr>
        <w:t xml:space="preserve">Метаболизмът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страничен (около 10%).</w:t>
      </w:r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</w:rPr>
        <w:t>In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</w:rPr>
        <w:t>vitro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 </w:t>
      </w:r>
    </w:p>
    <w:p w14:paraId="5AB531F9" w14:textId="77777777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проучвания на метаболизма с използване на човешки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хепатоцити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показват, че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лош субстрат за метаболизма чрез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Р450. </w:t>
      </w:r>
      <w:r w:rsidRPr="00927D7E">
        <w:rPr>
          <w:rFonts w:eastAsia="Times New Roman" w:cs="Arial"/>
          <w:color w:val="000000"/>
        </w:rPr>
        <w:t xml:space="preserve">CYP2C9 </w:t>
      </w:r>
      <w:r w:rsidRPr="00927D7E">
        <w:rPr>
          <w:rFonts w:eastAsia="Times New Roman" w:cs="Arial"/>
          <w:color w:val="000000"/>
          <w:lang w:eastAsia="bg-BG"/>
        </w:rPr>
        <w:t xml:space="preserve">е основния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изоензим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който участва </w:t>
      </w:r>
    </w:p>
    <w:p w14:paraId="1C81769A" w14:textId="77777777" w:rsidR="00DD4AAC" w:rsidRPr="00927D7E" w:rsidRDefault="00DD4AAC" w:rsidP="00DD4AAC">
      <w:pPr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в метаболизма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</w:t>
      </w:r>
      <w:r w:rsidRPr="00927D7E">
        <w:rPr>
          <w:rFonts w:eastAsia="Times New Roman" w:cs="Arial"/>
          <w:color w:val="000000"/>
        </w:rPr>
        <w:t xml:space="preserve">a </w:t>
      </w:r>
      <w:r w:rsidRPr="00927D7E">
        <w:rPr>
          <w:rFonts w:eastAsia="Times New Roman" w:cs="Arial"/>
          <w:color w:val="000000"/>
          <w:lang w:eastAsia="bg-BG"/>
        </w:rPr>
        <w:t xml:space="preserve">2С19, ЗА4 и </w:t>
      </w:r>
      <w:r w:rsidRPr="00927D7E">
        <w:rPr>
          <w:rFonts w:eastAsia="Times New Roman" w:cs="Arial"/>
          <w:color w:val="000000"/>
        </w:rPr>
        <w:t xml:space="preserve">2D6 </w:t>
      </w:r>
      <w:r w:rsidRPr="00927D7E">
        <w:rPr>
          <w:rFonts w:eastAsia="Times New Roman" w:cs="Arial"/>
          <w:color w:val="000000"/>
          <w:lang w:eastAsia="bg-BG"/>
        </w:rPr>
        <w:t xml:space="preserve">участват в по-малка степен. Основните метаболити са </w:t>
      </w:r>
      <w:r w:rsidRPr="00927D7E">
        <w:rPr>
          <w:rFonts w:eastAsia="Times New Roman" w:cs="Arial"/>
          <w:color w:val="000000"/>
        </w:rPr>
        <w:t>N</w:t>
      </w:r>
      <w:r w:rsidRPr="00927D7E">
        <w:rPr>
          <w:rFonts w:eastAsia="Times New Roman" w:cs="Arial"/>
          <w:color w:val="000000"/>
          <w:lang w:eastAsia="bg-BG"/>
        </w:rPr>
        <w:t>-</w:t>
      </w:r>
      <w:proofErr w:type="spellStart"/>
      <w:r w:rsidRPr="00927D7E">
        <w:rPr>
          <w:rFonts w:eastAsia="Times New Roman" w:cs="Arial"/>
          <w:color w:val="000000"/>
          <w:lang w:eastAsia="bg-BG"/>
        </w:rPr>
        <w:t>дезметил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лактон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метаболитите. </w:t>
      </w:r>
      <w:r w:rsidRPr="00927D7E">
        <w:rPr>
          <w:rFonts w:eastAsia="Times New Roman" w:cs="Arial"/>
          <w:color w:val="000000"/>
        </w:rPr>
        <w:t>N</w:t>
      </w:r>
      <w:r w:rsidRPr="00927D7E">
        <w:rPr>
          <w:rFonts w:eastAsia="Times New Roman" w:cs="Arial"/>
          <w:color w:val="000000"/>
          <w:lang w:eastAsia="bg-BG"/>
        </w:rPr>
        <w:t>-</w:t>
      </w:r>
      <w:proofErr w:type="spellStart"/>
      <w:r w:rsidRPr="00927D7E">
        <w:rPr>
          <w:rFonts w:eastAsia="Times New Roman" w:cs="Arial"/>
          <w:color w:val="000000"/>
          <w:lang w:eastAsia="bg-BG"/>
        </w:rPr>
        <w:t>дезметил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метаболитът е около 50% по- слабо активен в сравнение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докато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лактонната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форма се счита за клинично неактивна.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дължи повече от 90% от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инхибиторното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действие върху </w:t>
      </w:r>
      <w:r w:rsidRPr="00927D7E">
        <w:rPr>
          <w:rFonts w:eastAsia="Times New Roman" w:cs="Arial"/>
          <w:color w:val="000000"/>
        </w:rPr>
        <w:t xml:space="preserve">HMG-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СоА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редукгаза</w:t>
      </w:r>
      <w:proofErr w:type="spellEnd"/>
      <w:r w:rsidRPr="00927D7E">
        <w:rPr>
          <w:rFonts w:eastAsia="Times New Roman" w:cs="Arial"/>
          <w:color w:val="000000"/>
          <w:lang w:eastAsia="bg-BG"/>
        </w:rPr>
        <w:t>.</w:t>
      </w:r>
    </w:p>
    <w:p w14:paraId="366DA362" w14:textId="77777777" w:rsidR="00DD4AAC" w:rsidRPr="00927D7E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DAFAA98" w14:textId="6357B2A7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Style w:val="Heading3Char"/>
          <w:u w:val="single"/>
          <w:lang w:eastAsia="bg-BG"/>
        </w:rPr>
        <w:t xml:space="preserve">Елиминиране: </w:t>
      </w:r>
      <w:r w:rsidRPr="00927D7E">
        <w:rPr>
          <w:rFonts w:eastAsia="Times New Roman" w:cs="Arial"/>
          <w:color w:val="000000"/>
          <w:lang w:eastAsia="bg-BG"/>
        </w:rPr>
        <w:t xml:space="preserve">Приблизително 90% от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елиминира като непроменено лекарство чрез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фецеса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(която се състои от резорбирано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нерезорбирано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активно вещество), останалата част се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 урината. Около 5 % се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непроменен в урината. Плазменият полуживот е около 19 часа. Плазменият полуживот не се удължава с увеличаване на дозата. Средният плазмен клирънс е приблизително 50 литра/час (коефициент на вариабилност 21,7 %). Както при други инхибитори на </w:t>
      </w:r>
      <w:r w:rsidRPr="00927D7E">
        <w:rPr>
          <w:rFonts w:eastAsia="Times New Roman" w:cs="Arial"/>
          <w:color w:val="000000"/>
        </w:rPr>
        <w:t>HMG</w:t>
      </w:r>
      <w:r w:rsidRPr="00927D7E">
        <w:rPr>
          <w:rFonts w:eastAsia="Times New Roman" w:cs="Arial"/>
          <w:color w:val="000000"/>
          <w:lang w:eastAsia="bg-BG"/>
        </w:rPr>
        <w:t>-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СоА</w:t>
      </w:r>
      <w:proofErr w:type="spellEnd"/>
      <w:r w:rsidRPr="00927D7E">
        <w:rPr>
          <w:rFonts w:eastAsia="Times New Roman" w:cs="Arial"/>
          <w:color w:val="000000"/>
          <w:lang w:eastAsia="bg-BG"/>
        </w:rPr>
        <w:t>-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редуктазата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чернодробното поемане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включва мембранния преносител ОАТР-С. Този преносител е важен за чернодробното елиминиране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>.</w:t>
      </w:r>
    </w:p>
    <w:p w14:paraId="5EDD1ABD" w14:textId="77777777" w:rsidR="00DD4AAC" w:rsidRPr="00927D7E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73048FC" w14:textId="65A41698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lastRenderedPageBreak/>
        <w:t>Линейност/нелинейност:</w:t>
      </w:r>
      <w:r w:rsidRPr="00927D7E">
        <w:rPr>
          <w:rFonts w:eastAsia="Times New Roman" w:cs="Arial"/>
          <w:color w:val="000000"/>
          <w:lang w:eastAsia="bg-BG"/>
        </w:rPr>
        <w:t xml:space="preserve"> Системната експозиция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увеличава пропорционално на приеманата доза. Няма промяна във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фармакокинетичните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параметри при многократно дозиране.</w:t>
      </w:r>
    </w:p>
    <w:p w14:paraId="40271549" w14:textId="77777777" w:rsidR="00DD4AAC" w:rsidRPr="00927D7E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26CB521" w14:textId="25A82F30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Специални популации</w:t>
      </w:r>
    </w:p>
    <w:p w14:paraId="3F6D74B3" w14:textId="77777777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Възраст и пол:</w:t>
      </w:r>
      <w:r w:rsidRPr="00927D7E">
        <w:rPr>
          <w:rFonts w:eastAsia="Times New Roman" w:cs="Arial"/>
          <w:color w:val="000000"/>
          <w:lang w:eastAsia="bg-BG"/>
        </w:rPr>
        <w:t xml:space="preserve"> Възрастта и полът нямат клинично значим ефект върху фармакокинетиката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при възрастни. Фармакокинетиката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при деца и юноши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хетерозиготна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фамилна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сходна с тази на възрастните доброволци (вж. „Педиатрична популация” по-долу).</w:t>
      </w:r>
    </w:p>
    <w:p w14:paraId="779837F8" w14:textId="77777777" w:rsidR="00DD4AAC" w:rsidRPr="00927D7E" w:rsidRDefault="00DD4AAC" w:rsidP="00DD4AAC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522DC54" w14:textId="2982794D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Раса:</w:t>
      </w:r>
      <w:r w:rsidRPr="00927D7E">
        <w:rPr>
          <w:rFonts w:eastAsia="Times New Roman" w:cs="Arial"/>
          <w:color w:val="000000"/>
          <w:u w:val="single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u w:val="single"/>
          <w:lang w:eastAsia="bg-BG"/>
        </w:rPr>
        <w:t>Ф</w:t>
      </w:r>
      <w:r w:rsidRPr="00927D7E">
        <w:rPr>
          <w:rFonts w:eastAsia="Times New Roman" w:cs="Arial"/>
          <w:color w:val="000000"/>
          <w:lang w:eastAsia="bg-BG"/>
        </w:rPr>
        <w:t>армакокинетичните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проучвания показват, че при индивиди от азиатската раса (японци, китайци, филипинци, виетнамци и корейци), се наблюдава двукратно повишаване в средната </w:t>
      </w:r>
      <w:r w:rsidRPr="00927D7E">
        <w:rPr>
          <w:rFonts w:eastAsia="Times New Roman" w:cs="Arial"/>
          <w:color w:val="000000"/>
        </w:rPr>
        <w:t xml:space="preserve">AUC </w:t>
      </w:r>
      <w:r w:rsidRPr="00927D7E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</w:t>
      </w:r>
      <w:r w:rsidRPr="00927D7E">
        <w:rPr>
          <w:rFonts w:eastAsia="Times New Roman" w:cs="Arial"/>
          <w:color w:val="000000"/>
        </w:rPr>
        <w:t>m</w:t>
      </w:r>
      <w:r w:rsidRPr="00927D7E">
        <w:rPr>
          <w:rFonts w:eastAsia="Times New Roman" w:cs="Arial"/>
          <w:color w:val="000000"/>
          <w:lang w:eastAsia="bg-BG"/>
        </w:rPr>
        <w:t>ах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отколкото при индивиди от бялата раса. При индийци е налице повишаване на </w:t>
      </w:r>
      <w:r w:rsidRPr="00927D7E">
        <w:rPr>
          <w:rFonts w:eastAsia="Times New Roman" w:cs="Arial"/>
          <w:color w:val="000000"/>
        </w:rPr>
        <w:t xml:space="preserve">AUC </w:t>
      </w:r>
      <w:r w:rsidRPr="00927D7E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</w:t>
      </w:r>
      <w:r w:rsidRPr="00927D7E">
        <w:rPr>
          <w:rFonts w:eastAsia="Times New Roman" w:cs="Arial"/>
          <w:color w:val="000000"/>
        </w:rPr>
        <w:t>m</w:t>
      </w:r>
      <w:r w:rsidRPr="00927D7E">
        <w:rPr>
          <w:rFonts w:eastAsia="Times New Roman" w:cs="Arial"/>
          <w:color w:val="000000"/>
          <w:lang w:eastAsia="bg-BG"/>
        </w:rPr>
        <w:t>ах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1,3 пъти.</w:t>
      </w:r>
    </w:p>
    <w:p w14:paraId="056B728A" w14:textId="77777777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Един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популационен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фармакокинетичен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анализ показва, че между индивидите от бялата и от черната раса няма клинично значими различия.</w:t>
      </w:r>
    </w:p>
    <w:p w14:paraId="4D956772" w14:textId="77777777" w:rsidR="00DD4AAC" w:rsidRPr="00927D7E" w:rsidRDefault="00DD4AAC" w:rsidP="00DD4AAC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615BA74" w14:textId="51D0AD4E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Бъбречна недостатъчност:</w:t>
      </w:r>
      <w:r w:rsidRPr="00927D7E">
        <w:rPr>
          <w:rFonts w:eastAsia="Times New Roman" w:cs="Arial"/>
          <w:color w:val="000000"/>
          <w:lang w:eastAsia="bg-BG"/>
        </w:rPr>
        <w:t xml:space="preserve"> В едно проучване при лица с различна степен на бъбречно увреждане, лекото до умерено изразеното бъбречно заболяване не е повлияло плазмените концентрации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или на неговия </w:t>
      </w:r>
      <w:r w:rsidRPr="00927D7E">
        <w:rPr>
          <w:rFonts w:eastAsia="Times New Roman" w:cs="Arial"/>
          <w:color w:val="000000"/>
        </w:rPr>
        <w:t>N</w:t>
      </w:r>
      <w:r w:rsidRPr="00927D7E">
        <w:rPr>
          <w:rFonts w:eastAsia="Times New Roman" w:cs="Arial"/>
          <w:color w:val="000000"/>
          <w:lang w:eastAsia="bg-BG"/>
        </w:rPr>
        <w:t>-</w:t>
      </w:r>
      <w:proofErr w:type="spellStart"/>
      <w:r w:rsidRPr="00927D7E">
        <w:rPr>
          <w:rFonts w:eastAsia="Times New Roman" w:cs="Arial"/>
          <w:color w:val="000000"/>
          <w:lang w:eastAsia="bg-BG"/>
        </w:rPr>
        <w:t>дезметил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метаболит. Лица с тежко увреждане обаче (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СгС</w:t>
      </w:r>
      <w:r w:rsidRPr="00927D7E">
        <w:rPr>
          <w:rFonts w:eastAsia="Times New Roman" w:cs="Arial"/>
          <w:color w:val="000000"/>
        </w:rPr>
        <w:t>l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&lt; 30 </w:t>
      </w:r>
      <w:r w:rsidRPr="00927D7E">
        <w:rPr>
          <w:rFonts w:eastAsia="Times New Roman" w:cs="Arial"/>
          <w:color w:val="000000"/>
        </w:rPr>
        <w:t>ml/</w:t>
      </w:r>
      <w:proofErr w:type="spellStart"/>
      <w:r w:rsidRPr="00927D7E">
        <w:rPr>
          <w:rFonts w:eastAsia="Times New Roman" w:cs="Arial"/>
          <w:color w:val="000000"/>
        </w:rPr>
        <w:t>min</w:t>
      </w:r>
      <w:proofErr w:type="spellEnd"/>
      <w:r w:rsidRPr="00927D7E">
        <w:rPr>
          <w:rFonts w:eastAsia="Times New Roman" w:cs="Arial"/>
          <w:color w:val="000000"/>
        </w:rPr>
        <w:t xml:space="preserve">) </w:t>
      </w:r>
      <w:r w:rsidRPr="00927D7E">
        <w:rPr>
          <w:rFonts w:eastAsia="Times New Roman" w:cs="Arial"/>
          <w:color w:val="000000"/>
          <w:lang w:eastAsia="bg-BG"/>
        </w:rPr>
        <w:t xml:space="preserve">са имали трикратно увеличение на плазмената концентрация в сравнение със здрави доброволци и девет пъти по-висока концентрация на </w:t>
      </w:r>
      <w:r w:rsidRPr="00927D7E">
        <w:rPr>
          <w:rFonts w:eastAsia="Times New Roman" w:cs="Arial"/>
          <w:color w:val="000000"/>
        </w:rPr>
        <w:t>N</w:t>
      </w:r>
      <w:r w:rsidRPr="00927D7E">
        <w:rPr>
          <w:rFonts w:eastAsia="Times New Roman" w:cs="Arial"/>
          <w:color w:val="000000"/>
          <w:lang w:eastAsia="bg-BG"/>
        </w:rPr>
        <w:t>-</w:t>
      </w:r>
      <w:proofErr w:type="spellStart"/>
      <w:r w:rsidRPr="00927D7E">
        <w:rPr>
          <w:rFonts w:eastAsia="Times New Roman" w:cs="Arial"/>
          <w:color w:val="000000"/>
          <w:lang w:eastAsia="bg-BG"/>
        </w:rPr>
        <w:t>дезметил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метаболита. Равновесните плазмени концентрации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при пациенти на хемодиализа са приблизително 50% по-високи в сравнение със здрави доброволци.</w:t>
      </w:r>
    </w:p>
    <w:p w14:paraId="34C056DA" w14:textId="77777777" w:rsidR="00DD4AAC" w:rsidRPr="00927D7E" w:rsidRDefault="00DD4AAC" w:rsidP="00DD4AAC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A9EAEF7" w14:textId="07ADE1E9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Чернодробна недостатъчност:</w:t>
      </w:r>
      <w:r w:rsidRPr="00927D7E">
        <w:rPr>
          <w:rFonts w:eastAsia="Times New Roman" w:cs="Arial"/>
          <w:color w:val="000000"/>
          <w:u w:val="single"/>
          <w:lang w:eastAsia="bg-BG"/>
        </w:rPr>
        <w:t xml:space="preserve"> В</w:t>
      </w:r>
      <w:r w:rsidRPr="00927D7E">
        <w:rPr>
          <w:rFonts w:eastAsia="Times New Roman" w:cs="Arial"/>
          <w:color w:val="000000"/>
          <w:lang w:eastAsia="bg-BG"/>
        </w:rPr>
        <w:t xml:space="preserve"> едно проучване, включващо лица с различна степен на чернодробно увреждане не са получени данни за повишена експозиция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при пациенти със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скор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по </w:t>
      </w:r>
      <w:proofErr w:type="spellStart"/>
      <w:r w:rsidRPr="00927D7E">
        <w:rPr>
          <w:rFonts w:eastAsia="Times New Roman" w:cs="Arial"/>
          <w:color w:val="000000"/>
        </w:rPr>
        <w:t>Child-Pugh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7 или по-нисък. При двама пациенти с тежко чернодробно увреждане (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скор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по </w:t>
      </w:r>
      <w:proofErr w:type="spellStart"/>
      <w:r w:rsidRPr="00927D7E">
        <w:rPr>
          <w:rFonts w:eastAsia="Times New Roman" w:cs="Arial"/>
          <w:color w:val="000000"/>
        </w:rPr>
        <w:t>Child-Pugh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8 и 9), обаче системната експозиция е била увеличена най-малко два пъти в сравнение с лица с по-нисък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скор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по </w:t>
      </w:r>
      <w:proofErr w:type="spellStart"/>
      <w:r w:rsidRPr="00927D7E">
        <w:rPr>
          <w:rFonts w:eastAsia="Times New Roman" w:cs="Arial"/>
          <w:color w:val="000000"/>
        </w:rPr>
        <w:t>Child-Pugh</w:t>
      </w:r>
      <w:proofErr w:type="spellEnd"/>
      <w:r w:rsidRPr="00927D7E">
        <w:rPr>
          <w:rFonts w:eastAsia="Times New Roman" w:cs="Arial"/>
          <w:color w:val="000000"/>
        </w:rPr>
        <w:t>.</w:t>
      </w:r>
    </w:p>
    <w:p w14:paraId="04AADD66" w14:textId="77777777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Няма данни за пациенти със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скор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по </w:t>
      </w:r>
      <w:proofErr w:type="spellStart"/>
      <w:r w:rsidRPr="00927D7E">
        <w:rPr>
          <w:rFonts w:eastAsia="Times New Roman" w:cs="Arial"/>
          <w:color w:val="000000"/>
        </w:rPr>
        <w:t>Child-Pugh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над 9.</w:t>
      </w:r>
    </w:p>
    <w:p w14:paraId="388955D0" w14:textId="77777777" w:rsidR="00DD4AAC" w:rsidRPr="00927D7E" w:rsidRDefault="00DD4AAC" w:rsidP="00DD4AAC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9FC5737" w14:textId="77DEC71B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Генетичен полиморфизъм:</w:t>
      </w:r>
      <w:r w:rsidRPr="00927D7E">
        <w:rPr>
          <w:rFonts w:eastAsia="Times New Roman" w:cs="Arial"/>
          <w:color w:val="000000"/>
          <w:u w:val="single"/>
          <w:lang w:eastAsia="bg-BG"/>
        </w:rPr>
        <w:t xml:space="preserve"> Р</w:t>
      </w:r>
      <w:r w:rsidRPr="00927D7E">
        <w:rPr>
          <w:rFonts w:eastAsia="Times New Roman" w:cs="Arial"/>
          <w:color w:val="000000"/>
          <w:lang w:eastAsia="bg-BG"/>
        </w:rPr>
        <w:t xml:space="preserve">азпределението на всички </w:t>
      </w:r>
      <w:r w:rsidRPr="00927D7E">
        <w:rPr>
          <w:rFonts w:eastAsia="Times New Roman" w:cs="Arial"/>
          <w:color w:val="000000"/>
        </w:rPr>
        <w:t>HMG</w:t>
      </w:r>
      <w:r w:rsidRPr="00927D7E">
        <w:rPr>
          <w:rFonts w:eastAsia="Times New Roman" w:cs="Arial"/>
          <w:color w:val="000000"/>
          <w:lang w:eastAsia="bg-BG"/>
        </w:rPr>
        <w:t>-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СоА</w:t>
      </w:r>
      <w:proofErr w:type="spellEnd"/>
      <w:r w:rsidRPr="00927D7E">
        <w:rPr>
          <w:rFonts w:eastAsia="Times New Roman" w:cs="Arial"/>
          <w:color w:val="000000"/>
          <w:lang w:eastAsia="bg-BG"/>
        </w:rPr>
        <w:t>-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редуктазни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инхибитори, включително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се извършва от ОАТР1В1 и </w:t>
      </w:r>
      <w:r w:rsidRPr="00927D7E">
        <w:rPr>
          <w:rFonts w:eastAsia="Times New Roman" w:cs="Arial"/>
          <w:color w:val="000000"/>
        </w:rPr>
        <w:t xml:space="preserve">ABCG2 </w:t>
      </w:r>
      <w:r w:rsidRPr="00927D7E">
        <w:rPr>
          <w:rFonts w:eastAsia="Times New Roman" w:cs="Arial"/>
          <w:color w:val="000000"/>
          <w:lang w:eastAsia="bg-BG"/>
        </w:rPr>
        <w:t xml:space="preserve">транспортни протеини. При пациенти със </w:t>
      </w:r>
      <w:r w:rsidRPr="00927D7E">
        <w:rPr>
          <w:rFonts w:eastAsia="Times New Roman" w:cs="Arial"/>
          <w:color w:val="000000"/>
        </w:rPr>
        <w:t xml:space="preserve">SLCO1B1 </w:t>
      </w:r>
      <w:r w:rsidRPr="00927D7E">
        <w:rPr>
          <w:rFonts w:eastAsia="Times New Roman" w:cs="Arial"/>
          <w:color w:val="000000"/>
          <w:lang w:eastAsia="bg-BG"/>
        </w:rPr>
        <w:t xml:space="preserve">(ОАТР1В1) и/или </w:t>
      </w:r>
      <w:r w:rsidRPr="00927D7E">
        <w:rPr>
          <w:rFonts w:eastAsia="Times New Roman" w:cs="Arial"/>
          <w:color w:val="000000"/>
        </w:rPr>
        <w:t xml:space="preserve">ABCG2 (BCRP) </w:t>
      </w:r>
      <w:r w:rsidRPr="00927D7E">
        <w:rPr>
          <w:rFonts w:eastAsia="Times New Roman" w:cs="Arial"/>
          <w:color w:val="000000"/>
          <w:lang w:eastAsia="bg-BG"/>
        </w:rPr>
        <w:t xml:space="preserve">генетичен полиморфизъм има риск от повишена експозиция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Отделните видове полиморфизъм </w:t>
      </w:r>
      <w:r w:rsidRPr="00927D7E">
        <w:rPr>
          <w:rFonts w:eastAsia="Times New Roman" w:cs="Arial"/>
          <w:color w:val="000000"/>
        </w:rPr>
        <w:t xml:space="preserve">SLCO1B1 </w:t>
      </w:r>
      <w:r w:rsidRPr="00927D7E">
        <w:rPr>
          <w:rFonts w:eastAsia="Times New Roman" w:cs="Arial"/>
          <w:color w:val="000000"/>
          <w:lang w:eastAsia="bg-BG"/>
        </w:rPr>
        <w:t xml:space="preserve">С.521СС и </w:t>
      </w:r>
      <w:r w:rsidRPr="00927D7E">
        <w:rPr>
          <w:rFonts w:eastAsia="Times New Roman" w:cs="Arial"/>
          <w:color w:val="000000"/>
        </w:rPr>
        <w:t xml:space="preserve">ABCG2 </w:t>
      </w:r>
      <w:r w:rsidRPr="00927D7E">
        <w:rPr>
          <w:rFonts w:eastAsia="Times New Roman" w:cs="Arial"/>
          <w:color w:val="000000"/>
          <w:lang w:eastAsia="bg-BG"/>
        </w:rPr>
        <w:t xml:space="preserve">с.421 АА са свързани с повишена експозиция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r w:rsidRPr="00927D7E">
        <w:rPr>
          <w:rFonts w:eastAsia="Times New Roman" w:cs="Arial"/>
          <w:color w:val="000000"/>
        </w:rPr>
        <w:t xml:space="preserve">(AUC) </w:t>
      </w:r>
      <w:r w:rsidRPr="00927D7E">
        <w:rPr>
          <w:rFonts w:eastAsia="Times New Roman" w:cs="Arial"/>
          <w:color w:val="000000"/>
          <w:lang w:eastAsia="bg-BG"/>
        </w:rPr>
        <w:t xml:space="preserve">в сравнение с  генотип </w:t>
      </w:r>
      <w:r w:rsidRPr="00927D7E">
        <w:rPr>
          <w:rFonts w:eastAsia="Times New Roman" w:cs="Arial"/>
          <w:color w:val="000000"/>
        </w:rPr>
        <w:t xml:space="preserve">SLCO1B1 </w:t>
      </w:r>
      <w:r w:rsidRPr="00927D7E">
        <w:rPr>
          <w:rFonts w:eastAsia="Times New Roman" w:cs="Arial"/>
          <w:color w:val="000000"/>
          <w:lang w:eastAsia="bg-BG"/>
        </w:rPr>
        <w:t xml:space="preserve">С.521ТГ или </w:t>
      </w:r>
      <w:r w:rsidRPr="00927D7E">
        <w:rPr>
          <w:rFonts w:eastAsia="Times New Roman" w:cs="Arial"/>
          <w:color w:val="000000"/>
        </w:rPr>
        <w:t xml:space="preserve">ABCG2 </w:t>
      </w:r>
      <w:r w:rsidRPr="00927D7E">
        <w:rPr>
          <w:rFonts w:eastAsia="Times New Roman" w:cs="Arial"/>
          <w:color w:val="000000"/>
          <w:lang w:eastAsia="bg-BG"/>
        </w:rPr>
        <w:t xml:space="preserve">С.421СС. Този специфичен генотип не е установен в клиничната практика, но при пациенти, при които е известно, че имат тези видове полиморфизъм, се препоръчва по-ниска дневна доза от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Плюс.</w:t>
      </w:r>
    </w:p>
    <w:p w14:paraId="50AAA58E" w14:textId="77777777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</w:p>
    <w:p w14:paraId="05CFDB53" w14:textId="77777777" w:rsidR="00DD4AAC" w:rsidRPr="00927D7E" w:rsidRDefault="00DD4AAC" w:rsidP="00DD4AAC">
      <w:pPr>
        <w:rPr>
          <w:rFonts w:eastAsia="Times New Roman" w:cs="Arial"/>
          <w:lang w:eastAsia="bg-BG"/>
        </w:rPr>
      </w:pPr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Педиатрична популация:</w:t>
      </w:r>
      <w:r w:rsidRPr="00927D7E">
        <w:rPr>
          <w:rFonts w:eastAsia="Times New Roman" w:cs="Arial"/>
          <w:color w:val="000000"/>
          <w:u w:val="single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u w:val="single"/>
          <w:lang w:eastAsia="bg-BG"/>
        </w:rPr>
        <w:t>Л</w:t>
      </w:r>
      <w:r w:rsidRPr="00927D7E">
        <w:rPr>
          <w:rFonts w:eastAsia="Times New Roman" w:cs="Arial"/>
          <w:color w:val="000000"/>
          <w:lang w:eastAsia="bg-BG"/>
        </w:rPr>
        <w:t>ве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фармакокинетични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проучвания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(прилаган под</w:t>
      </w:r>
      <w:r w:rsidRPr="00927D7E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формата на таблетки) при педиатрични пациенти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хетерозиготна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фамилна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 възраст 10-17 или 6-17 години (общо 214 пациенти) показват, че експозицията при педиатричните пациенти изглежда сравнима или по-ниска от тази при възрастните пациенти. Експозицията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била предвидима по отношение на дозата и времето в продължение на 2-годишен период.</w:t>
      </w:r>
    </w:p>
    <w:p w14:paraId="355AFECD" w14:textId="77777777" w:rsidR="00DD4AAC" w:rsidRPr="00927D7E" w:rsidRDefault="00DD4AAC" w:rsidP="00DD4AAC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21DBB53" w14:textId="44E236BE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lastRenderedPageBreak/>
        <w:t>Езетимиб</w:t>
      </w:r>
      <w:proofErr w:type="spellEnd"/>
    </w:p>
    <w:p w14:paraId="19A80D29" w14:textId="77777777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Style w:val="Heading3Char"/>
          <w:rFonts w:cs="Arial"/>
          <w:sz w:val="22"/>
          <w:szCs w:val="22"/>
          <w:u w:val="single"/>
          <w:lang w:eastAsia="bg-BG"/>
        </w:rPr>
        <w:t xml:space="preserve">Абсорбция: </w:t>
      </w:r>
      <w:r w:rsidRPr="00927D7E">
        <w:rPr>
          <w:rFonts w:eastAsia="Times New Roman" w:cs="Arial"/>
          <w:color w:val="000000"/>
          <w:lang w:eastAsia="bg-BG"/>
        </w:rPr>
        <w:t xml:space="preserve">След перорално приложение,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абсорбира бързо и екстензивно се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конюгира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до фармакологично активния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фенолен-глюкуронид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езетимиб-глюкуронид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). Средни максимални плазмени концентрации </w:t>
      </w:r>
      <w:r w:rsidRPr="00927D7E">
        <w:rPr>
          <w:rFonts w:eastAsia="Times New Roman" w:cs="Arial"/>
          <w:color w:val="000000"/>
        </w:rPr>
        <w:t>(</w:t>
      </w:r>
      <w:proofErr w:type="spellStart"/>
      <w:r w:rsidRPr="00927D7E">
        <w:rPr>
          <w:rFonts w:eastAsia="Times New Roman" w:cs="Arial"/>
          <w:color w:val="000000"/>
        </w:rPr>
        <w:t>Cmax</w:t>
      </w:r>
      <w:proofErr w:type="spellEnd"/>
      <w:r w:rsidRPr="00927D7E">
        <w:rPr>
          <w:rFonts w:eastAsia="Times New Roman" w:cs="Arial"/>
          <w:color w:val="000000"/>
        </w:rPr>
        <w:t xml:space="preserve">) </w:t>
      </w:r>
      <w:r w:rsidRPr="00927D7E">
        <w:rPr>
          <w:rFonts w:eastAsia="Times New Roman" w:cs="Arial"/>
          <w:color w:val="000000"/>
          <w:lang w:eastAsia="bg-BG"/>
        </w:rPr>
        <w:t xml:space="preserve">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езетимиб-глюкуронид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достигат в рамките на 1 до 2 часа и 4 до 12 часа 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Абсолютната бионаличност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не може да се определи, тъй като съединението е практически неразтворимо във водна среда, подходяща за инжектиране.</w:t>
      </w:r>
    </w:p>
    <w:p w14:paraId="5F0DA599" w14:textId="77777777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Едновременното приемане на храна (с високо съдържание на мазнини или без мазнини) не оказва влияние върху пероралната бионаличността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може да се прилага със или без храна.</w:t>
      </w:r>
    </w:p>
    <w:p w14:paraId="031AC310" w14:textId="77777777" w:rsidR="00DD4AAC" w:rsidRPr="00927D7E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996D844" w14:textId="7EEDC7E6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Style w:val="Heading3Char"/>
          <w:rFonts w:cs="Arial"/>
          <w:sz w:val="22"/>
          <w:szCs w:val="22"/>
          <w:u w:val="single"/>
          <w:lang w:eastAsia="bg-BG"/>
        </w:rPr>
        <w:t>Разпределение</w:t>
      </w:r>
      <w:r w:rsidRPr="00927D7E">
        <w:rPr>
          <w:rFonts w:eastAsia="Times New Roman" w:cs="Arial"/>
          <w:color w:val="000000"/>
          <w:u w:val="single"/>
          <w:lang w:eastAsia="bg-BG"/>
        </w:rPr>
        <w:t xml:space="preserve">: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езетимиб-глюкуронид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свързват с плазмените протеини съответно в 99,7% и 88 до 92%.</w:t>
      </w:r>
    </w:p>
    <w:p w14:paraId="597B38A1" w14:textId="77777777" w:rsidR="00DD4AAC" w:rsidRPr="00927D7E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AF381F2" w14:textId="34B9DDB5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Style w:val="Heading3Char"/>
          <w:rFonts w:cs="Arial"/>
          <w:sz w:val="22"/>
          <w:szCs w:val="22"/>
          <w:u w:val="single"/>
          <w:lang w:eastAsia="bg-BG"/>
        </w:rPr>
        <w:t xml:space="preserve">Биотрансформация: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предимно в тънките черва и черния дроб чрез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глюкуронидна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конюгация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(фаза 11 реакция) с последваща жлъчна екскреция. Във всички изследвани видове се наблюдава минимален окислителен метаболизъм (фаза I реакция).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езетимиб-глюкуронид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са основните производни съединения на лекарственото вещество, които се откриват в плазмата, съставляващи съответно около 10 до 20% и 80 до 90% от общото количество на лекарствения продукт в плазмата. Както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така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-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глюкуронид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елиминират бавно от плазмата с данни за значителен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ентерохепатален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кръговрат.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Полуживотьт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езетимиб-глюкуронид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е приблизително 22 часа.</w:t>
      </w:r>
    </w:p>
    <w:p w14:paraId="780B830E" w14:textId="77777777" w:rsidR="00DD4AAC" w:rsidRPr="00927D7E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ACCE135" w14:textId="67385B18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Style w:val="Heading3Char"/>
          <w:rFonts w:cs="Arial"/>
          <w:sz w:val="22"/>
          <w:szCs w:val="22"/>
          <w:u w:val="single"/>
          <w:lang w:eastAsia="bg-BG"/>
        </w:rPr>
        <w:t>Елиминиране</w:t>
      </w:r>
      <w:r w:rsidRPr="00927D7E">
        <w:rPr>
          <w:rFonts w:eastAsia="Times New Roman" w:cs="Arial"/>
          <w:color w:val="000000"/>
          <w:u w:val="single"/>
          <w:lang w:eastAsia="bg-BG"/>
        </w:rPr>
        <w:t>: С</w:t>
      </w:r>
      <w:r w:rsidRPr="00927D7E">
        <w:rPr>
          <w:rFonts w:eastAsia="Times New Roman" w:cs="Arial"/>
          <w:color w:val="000000"/>
          <w:lang w:eastAsia="bg-BG"/>
        </w:rPr>
        <w:t xml:space="preserve">лед перорално приложение на </w:t>
      </w:r>
      <w:r w:rsidRPr="00927D7E">
        <w:rPr>
          <w:rFonts w:eastAsia="Times New Roman" w:cs="Arial"/>
          <w:color w:val="000000"/>
          <w:vertAlign w:val="superscript"/>
          <w:lang w:eastAsia="bg-BG"/>
        </w:rPr>
        <w:t>14</w:t>
      </w:r>
      <w:r w:rsidRPr="00927D7E">
        <w:rPr>
          <w:rFonts w:eastAsia="Times New Roman" w:cs="Arial"/>
          <w:color w:val="000000"/>
          <w:lang w:eastAsia="bg-BG"/>
        </w:rPr>
        <w:t xml:space="preserve">С-езетимиб (20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) </w:t>
      </w:r>
      <w:r w:rsidRPr="00927D7E">
        <w:rPr>
          <w:rFonts w:eastAsia="Times New Roman" w:cs="Arial"/>
          <w:color w:val="000000"/>
          <w:lang w:eastAsia="bg-BG"/>
        </w:rPr>
        <w:t xml:space="preserve">при хора, общият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съставлява около 93% от общото радиоактивно белязано количество в плазмата.</w:t>
      </w:r>
    </w:p>
    <w:p w14:paraId="70E85BE2" w14:textId="77777777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Приблизително 78% и 11% от приложената радиоактивно белязана доза се отделя във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фецеса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урината в продължение на 10 дни. След 48 часа не се откриват нива на радиоактивност в плазмата.</w:t>
      </w:r>
    </w:p>
    <w:p w14:paraId="27B51F1E" w14:textId="77777777" w:rsidR="00DD4AAC" w:rsidRPr="00927D7E" w:rsidRDefault="00DD4AAC" w:rsidP="00DD4AA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D19DEB2" w14:textId="6CAF9A08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u w:val="single"/>
          <w:lang w:eastAsia="bg-BG"/>
        </w:rPr>
        <w:t>Специални популации</w:t>
      </w:r>
    </w:p>
    <w:p w14:paraId="0481143B" w14:textId="77777777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Възраст и пол:</w:t>
      </w:r>
      <w:r w:rsidRPr="00927D7E">
        <w:rPr>
          <w:rFonts w:eastAsia="Times New Roman" w:cs="Arial"/>
          <w:color w:val="000000"/>
          <w:lang w:eastAsia="bg-BG"/>
        </w:rPr>
        <w:t xml:space="preserve"> Плазмените концентрации на общия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са около 2 пъти по-високи при пациенти в старческа възраст (≥65 години), отколкото при млади (18-45 години). Намаляването на </w:t>
      </w:r>
      <w:r w:rsidRPr="00927D7E">
        <w:rPr>
          <w:rFonts w:eastAsia="Times New Roman" w:cs="Arial"/>
          <w:color w:val="000000"/>
        </w:rPr>
        <w:t xml:space="preserve">LDL-C </w:t>
      </w:r>
      <w:r w:rsidRPr="00927D7E">
        <w:rPr>
          <w:rFonts w:eastAsia="Times New Roman" w:cs="Arial"/>
          <w:color w:val="000000"/>
          <w:lang w:eastAsia="bg-BG"/>
        </w:rPr>
        <w:t xml:space="preserve">и профилът на безопасност са сравними между пациентите в старческа възраст и по- младите пациенти, лекувани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Ето защо при пациенти в старческа възраст не е необходимо адаптиране на дозата. Плазмените концентрации на общия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са малко по- високи (приблизително 20%) при жени, отколкото при мъже. Намаляването на </w:t>
      </w:r>
      <w:r w:rsidRPr="00927D7E">
        <w:rPr>
          <w:rFonts w:eastAsia="Times New Roman" w:cs="Arial"/>
          <w:color w:val="000000"/>
        </w:rPr>
        <w:t xml:space="preserve">LDL-C </w:t>
      </w:r>
      <w:r w:rsidRPr="00927D7E">
        <w:rPr>
          <w:rFonts w:eastAsia="Times New Roman" w:cs="Arial"/>
          <w:color w:val="000000"/>
          <w:lang w:eastAsia="bg-BG"/>
        </w:rPr>
        <w:t xml:space="preserve">и профилът на безопасност са сравними между мъжете и жените, лекувани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>. Ето защо не е необходимо адаптиране на дозата въз основа на пола.</w:t>
      </w:r>
    </w:p>
    <w:p w14:paraId="055A247B" w14:textId="77777777" w:rsidR="00DD4AAC" w:rsidRPr="00927D7E" w:rsidRDefault="00DD4AAC" w:rsidP="00DD4AAC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6F1CC6F" w14:textId="6A777F43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Бъбречна недостатъчност</w:t>
      </w:r>
      <w:r w:rsidRPr="00927D7E">
        <w:rPr>
          <w:rFonts w:eastAsia="Times New Roman" w:cs="Arial"/>
          <w:i/>
          <w:iCs/>
          <w:color w:val="000000"/>
          <w:lang w:eastAsia="bg-BG"/>
        </w:rPr>
        <w:t>:</w:t>
      </w:r>
      <w:r w:rsidRPr="00927D7E">
        <w:rPr>
          <w:rFonts w:eastAsia="Times New Roman" w:cs="Arial"/>
          <w:color w:val="000000"/>
          <w:lang w:eastAsia="bg-BG"/>
        </w:rPr>
        <w:t xml:space="preserve"> След приложение на еднократна доза от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 пациенти с тежко бъбречно увреждане (</w:t>
      </w:r>
      <w:r w:rsidRPr="00927D7E">
        <w:rPr>
          <w:rFonts w:eastAsia="Times New Roman" w:cs="Arial"/>
          <w:color w:val="000000"/>
        </w:rPr>
        <w:t>n</w:t>
      </w:r>
      <w:r w:rsidRPr="00927D7E">
        <w:rPr>
          <w:rFonts w:eastAsia="Times New Roman" w:cs="Arial"/>
          <w:color w:val="000000"/>
          <w:lang w:eastAsia="bg-BG"/>
        </w:rPr>
        <w:t xml:space="preserve">= 8; среден СгС1 &lt;30 </w:t>
      </w:r>
      <w:r w:rsidRPr="00927D7E">
        <w:rPr>
          <w:rFonts w:eastAsia="Times New Roman" w:cs="Arial"/>
          <w:color w:val="000000"/>
        </w:rPr>
        <w:t>ml/mm/1,73 m</w:t>
      </w:r>
      <w:r w:rsidRPr="00927D7E">
        <w:rPr>
          <w:rFonts w:eastAsia="Times New Roman" w:cs="Arial"/>
          <w:color w:val="000000"/>
          <w:vertAlign w:val="superscript"/>
        </w:rPr>
        <w:t>2</w:t>
      </w:r>
      <w:r w:rsidRPr="00927D7E">
        <w:rPr>
          <w:rFonts w:eastAsia="Times New Roman" w:cs="Arial"/>
          <w:color w:val="000000"/>
        </w:rPr>
        <w:t xml:space="preserve">), </w:t>
      </w:r>
      <w:r w:rsidRPr="00927D7E">
        <w:rPr>
          <w:rFonts w:eastAsia="Times New Roman" w:cs="Arial"/>
          <w:color w:val="000000"/>
          <w:lang w:eastAsia="bg-BG"/>
        </w:rPr>
        <w:t xml:space="preserve">средните стойности на </w:t>
      </w:r>
      <w:r w:rsidRPr="00927D7E">
        <w:rPr>
          <w:rFonts w:eastAsia="Times New Roman" w:cs="Arial"/>
          <w:color w:val="000000"/>
        </w:rPr>
        <w:t xml:space="preserve">AUC </w:t>
      </w:r>
      <w:r w:rsidRPr="00927D7E">
        <w:rPr>
          <w:rFonts w:eastAsia="Times New Roman" w:cs="Arial"/>
          <w:color w:val="000000"/>
          <w:lang w:eastAsia="bg-BG"/>
        </w:rPr>
        <w:t xml:space="preserve">за общия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увеличават приблизително 1,5 пъти, в сравнение с тези при здрави доброволци (</w:t>
      </w:r>
      <w:r w:rsidRPr="00927D7E">
        <w:rPr>
          <w:rFonts w:eastAsia="Times New Roman" w:cs="Arial"/>
          <w:color w:val="000000"/>
        </w:rPr>
        <w:t>n =</w:t>
      </w:r>
      <w:r w:rsidRPr="00927D7E">
        <w:rPr>
          <w:rFonts w:eastAsia="Times New Roman" w:cs="Arial"/>
          <w:color w:val="000000"/>
          <w:lang w:eastAsia="bg-BG"/>
        </w:rPr>
        <w:t xml:space="preserve"> 9). Тези резултати не се считат за клинично значими. Не е необходимо адаптиране на дозата при пациенти с бъбречно увреждане.</w:t>
      </w:r>
    </w:p>
    <w:p w14:paraId="653CB695" w14:textId="77777777" w:rsidR="00DD4AAC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Допълнително при един от пациентите в това проучване (след бъбречна трансплантация и получаващи множество лекарства, включително циклоспорин) се наблюдава 12 пъти по-висока експозиция на общия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>.</w:t>
      </w:r>
    </w:p>
    <w:p w14:paraId="2FAEE13E" w14:textId="77777777" w:rsidR="00DD4AAC" w:rsidRPr="00927D7E" w:rsidRDefault="00DD4AAC" w:rsidP="00DD4AAC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C31EF2A" w14:textId="77777777" w:rsidR="00DD4AAC" w:rsidRPr="00927D7E" w:rsidRDefault="00DD4AAC" w:rsidP="00DD4AAC">
      <w:pPr>
        <w:rPr>
          <w:rFonts w:eastAsia="Times New Roman" w:cs="Arial"/>
          <w:lang w:eastAsia="bg-BG"/>
        </w:rPr>
      </w:pPr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lastRenderedPageBreak/>
        <w:t>Чернодробна недостатъчност:</w:t>
      </w:r>
      <w:r w:rsidRPr="00927D7E">
        <w:rPr>
          <w:rFonts w:eastAsia="Times New Roman" w:cs="Arial"/>
          <w:color w:val="000000"/>
          <w:lang w:eastAsia="bg-BG"/>
        </w:rPr>
        <w:t xml:space="preserve"> След еднократна доза от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средната </w:t>
      </w:r>
      <w:r w:rsidRPr="00927D7E">
        <w:rPr>
          <w:rFonts w:eastAsia="Times New Roman" w:cs="Arial"/>
          <w:color w:val="000000"/>
        </w:rPr>
        <w:t xml:space="preserve">AUC </w:t>
      </w:r>
      <w:r w:rsidRPr="00927D7E">
        <w:rPr>
          <w:rFonts w:eastAsia="Times New Roman" w:cs="Arial"/>
          <w:color w:val="000000"/>
          <w:lang w:eastAsia="bg-BG"/>
        </w:rPr>
        <w:t xml:space="preserve">за общия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увеличава приблизително 1,7 пъти при пациенти с лека степен на чернодробна недостатъчност (5 или 6 по скалата на </w:t>
      </w:r>
      <w:proofErr w:type="spellStart"/>
      <w:r w:rsidRPr="00927D7E">
        <w:rPr>
          <w:rFonts w:eastAsia="Times New Roman" w:cs="Arial"/>
          <w:color w:val="000000"/>
        </w:rPr>
        <w:t>Child-Pugh</w:t>
      </w:r>
      <w:proofErr w:type="spellEnd"/>
      <w:r w:rsidRPr="00927D7E">
        <w:rPr>
          <w:rFonts w:eastAsia="Times New Roman" w:cs="Arial"/>
          <w:color w:val="000000"/>
        </w:rPr>
        <w:t xml:space="preserve">), </w:t>
      </w:r>
      <w:r w:rsidRPr="00927D7E">
        <w:rPr>
          <w:rFonts w:eastAsia="Times New Roman" w:cs="Arial"/>
          <w:color w:val="000000"/>
          <w:lang w:eastAsia="bg-BG"/>
        </w:rPr>
        <w:t>в сравнение със здрави</w:t>
      </w:r>
      <w:r w:rsidRPr="00927D7E">
        <w:rPr>
          <w:rFonts w:eastAsia="Times New Roman" w:cs="Arial"/>
          <w:lang w:eastAsia="bg-BG"/>
        </w:rPr>
        <w:t xml:space="preserve"> </w:t>
      </w:r>
      <w:r w:rsidRPr="00927D7E">
        <w:rPr>
          <w:rFonts w:eastAsia="Times New Roman" w:cs="Arial"/>
          <w:i/>
          <w:iCs/>
          <w:smallCaps/>
          <w:color w:val="000000"/>
          <w:lang w:eastAsia="bg-BG"/>
        </w:rPr>
        <w:t>индивиди.</w:t>
      </w:r>
      <w:r w:rsidRPr="00927D7E">
        <w:rPr>
          <w:rFonts w:eastAsia="Times New Roman" w:cs="Arial"/>
          <w:color w:val="000000"/>
          <w:lang w:eastAsia="bg-BG"/>
        </w:rPr>
        <w:t xml:space="preserve"> В 14-дневно проучване с многократно приложение (10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дневно) при пациенти с умерена чернодробна недостатъчност (7 до 9 по скалата на </w:t>
      </w:r>
      <w:proofErr w:type="spellStart"/>
      <w:r w:rsidRPr="00927D7E">
        <w:rPr>
          <w:rFonts w:eastAsia="Times New Roman" w:cs="Arial"/>
          <w:color w:val="000000"/>
        </w:rPr>
        <w:t>Child-Pugh</w:t>
      </w:r>
      <w:proofErr w:type="spellEnd"/>
      <w:r w:rsidRPr="00927D7E">
        <w:rPr>
          <w:rFonts w:eastAsia="Times New Roman" w:cs="Arial"/>
          <w:color w:val="000000"/>
        </w:rPr>
        <w:t xml:space="preserve">), </w:t>
      </w:r>
      <w:r w:rsidRPr="00927D7E">
        <w:rPr>
          <w:rFonts w:eastAsia="Times New Roman" w:cs="Arial"/>
          <w:color w:val="000000"/>
          <w:lang w:eastAsia="bg-BG"/>
        </w:rPr>
        <w:t xml:space="preserve">средната </w:t>
      </w:r>
      <w:r w:rsidRPr="00927D7E">
        <w:rPr>
          <w:rFonts w:eastAsia="Times New Roman" w:cs="Arial"/>
          <w:color w:val="000000"/>
        </w:rPr>
        <w:t xml:space="preserve">AUC </w:t>
      </w:r>
      <w:r w:rsidRPr="00927D7E">
        <w:rPr>
          <w:rFonts w:eastAsia="Times New Roman" w:cs="Arial"/>
          <w:color w:val="000000"/>
          <w:lang w:eastAsia="bg-BG"/>
        </w:rPr>
        <w:t xml:space="preserve">за общия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се повишава почти </w:t>
      </w:r>
      <w:r w:rsidRPr="00927D7E">
        <w:rPr>
          <w:rFonts w:eastAsia="Times New Roman" w:cs="Arial"/>
          <w:i/>
          <w:iCs/>
          <w:color w:val="000000"/>
          <w:lang w:eastAsia="bg-BG"/>
        </w:rPr>
        <w:t>4</w:t>
      </w:r>
      <w:r w:rsidRPr="00927D7E">
        <w:rPr>
          <w:rFonts w:eastAsia="Times New Roman" w:cs="Arial"/>
          <w:color w:val="000000"/>
          <w:lang w:eastAsia="bg-BG"/>
        </w:rPr>
        <w:t xml:space="preserve"> пъти в ден 1 и ден 14 в сравнение със здрави индивиди. При пациенти с лека степен на чернодробна недостатъчност не е необходимо адаптиране на дозата. Тъй като не е известно какви могат да бъдат ефектите от повишената експозиция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при пациенти с умерено или тежко изразена чернодробна недостатъчност </w:t>
      </w:r>
      <w:r w:rsidRPr="00927D7E">
        <w:rPr>
          <w:rFonts w:eastAsia="Times New Roman" w:cs="Arial"/>
          <w:color w:val="000000"/>
        </w:rPr>
        <w:t>(</w:t>
      </w:r>
      <w:proofErr w:type="spellStart"/>
      <w:r w:rsidRPr="00927D7E">
        <w:rPr>
          <w:rFonts w:eastAsia="Times New Roman" w:cs="Arial"/>
          <w:color w:val="000000"/>
        </w:rPr>
        <w:t>Child-Pugh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степен &gt; 9),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не се препоръчва за употреба при тези пациенти (вж. точка 4.4).</w:t>
      </w:r>
    </w:p>
    <w:p w14:paraId="07808D75" w14:textId="77777777" w:rsidR="00DD4AAC" w:rsidRPr="00927D7E" w:rsidRDefault="00DD4AAC" w:rsidP="00DD4AAC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48BA3FC" w14:textId="4511276F" w:rsidR="0091385D" w:rsidRPr="00927D7E" w:rsidRDefault="00DD4AAC" w:rsidP="00DD4AAC">
      <w:pPr>
        <w:spacing w:line="240" w:lineRule="auto"/>
        <w:rPr>
          <w:rFonts w:eastAsia="Times New Roman" w:cs="Arial"/>
          <w:lang w:eastAsia="bg-BG"/>
        </w:rPr>
      </w:pPr>
      <w:r w:rsidRPr="00927D7E">
        <w:rPr>
          <w:rFonts w:eastAsia="Times New Roman" w:cs="Arial"/>
          <w:i/>
          <w:iCs/>
          <w:color w:val="000000"/>
          <w:u w:val="single"/>
          <w:lang w:eastAsia="bg-BG"/>
        </w:rPr>
        <w:t>Педиатрична популация:</w:t>
      </w:r>
      <w:r w:rsidRPr="00927D7E">
        <w:rPr>
          <w:rFonts w:eastAsia="Times New Roman" w:cs="Arial"/>
          <w:color w:val="000000"/>
          <w:u w:val="single"/>
          <w:lang w:eastAsia="bg-BG"/>
        </w:rPr>
        <w:t xml:space="preserve"> </w:t>
      </w:r>
      <w:proofErr w:type="spellStart"/>
      <w:r w:rsidRPr="00927D7E">
        <w:rPr>
          <w:rFonts w:eastAsia="Times New Roman" w:cs="Arial"/>
          <w:color w:val="000000"/>
          <w:u w:val="single"/>
          <w:lang w:eastAsia="bg-BG"/>
        </w:rPr>
        <w:t>Ф</w:t>
      </w:r>
      <w:r w:rsidRPr="00927D7E">
        <w:rPr>
          <w:rFonts w:eastAsia="Times New Roman" w:cs="Arial"/>
          <w:color w:val="000000"/>
          <w:lang w:eastAsia="bg-BG"/>
        </w:rPr>
        <w:t>армакокинетичните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параметри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са сходни между децата</w:t>
      </w:r>
      <w:r w:rsidRPr="00927D7E">
        <w:rPr>
          <w:rFonts w:eastAsia="Times New Roman" w:cs="Arial"/>
          <w:lang w:eastAsia="bg-BG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≥ 6 години и възрастни. Няма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фармакокинетични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данни при педиатричната популация &lt;6-годишна възраст. Клиничният опит при педиатрични пациенти включва пациенти с </w:t>
      </w:r>
      <w:proofErr w:type="spellStart"/>
      <w:r w:rsidRPr="00927D7E">
        <w:rPr>
          <w:rFonts w:eastAsia="Times New Roman" w:cs="Arial"/>
          <w:color w:val="000000"/>
        </w:rPr>
        <w:t>HoFH</w:t>
      </w:r>
      <w:proofErr w:type="spellEnd"/>
      <w:r w:rsidRPr="00927D7E">
        <w:rPr>
          <w:rFonts w:eastAsia="Times New Roman" w:cs="Arial"/>
          <w:color w:val="000000"/>
        </w:rPr>
        <w:t xml:space="preserve">, </w:t>
      </w:r>
      <w:proofErr w:type="spellStart"/>
      <w:r w:rsidRPr="00927D7E">
        <w:rPr>
          <w:rFonts w:eastAsia="Times New Roman" w:cs="Arial"/>
          <w:color w:val="000000"/>
        </w:rPr>
        <w:t>HeFH</w:t>
      </w:r>
      <w:proofErr w:type="spellEnd"/>
      <w:r w:rsidRPr="00927D7E">
        <w:rPr>
          <w:rFonts w:eastAsia="Times New Roman" w:cs="Arial"/>
          <w:color w:val="000000"/>
        </w:rPr>
        <w:t xml:space="preserve">, </w:t>
      </w:r>
      <w:r w:rsidRPr="00927D7E">
        <w:rPr>
          <w:rFonts w:eastAsia="Times New Roman" w:cs="Arial"/>
          <w:color w:val="000000"/>
          <w:lang w:eastAsia="bg-BG"/>
        </w:rPr>
        <w:t xml:space="preserve">или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ситостеролемия</w:t>
      </w:r>
      <w:proofErr w:type="spellEnd"/>
      <w:r w:rsidRPr="00927D7E">
        <w:rPr>
          <w:rFonts w:eastAsia="Times New Roman" w:cs="Arial"/>
          <w:color w:val="000000"/>
          <w:lang w:eastAsia="bg-BG"/>
        </w:rPr>
        <w:t>.</w:t>
      </w:r>
    </w:p>
    <w:p w14:paraId="4EE1BB0B" w14:textId="77777777" w:rsidR="0091385D" w:rsidRPr="00927D7E" w:rsidRDefault="0091385D" w:rsidP="0091385D"/>
    <w:p w14:paraId="648E39DA" w14:textId="44D16CBD" w:rsidR="00CF77F7" w:rsidRPr="00927D7E" w:rsidRDefault="002C50EE" w:rsidP="004A448E">
      <w:pPr>
        <w:pStyle w:val="Heading2"/>
      </w:pPr>
      <w:r w:rsidRPr="00927D7E">
        <w:t>5.3. Предклинични данни за безопасност</w:t>
      </w:r>
    </w:p>
    <w:p w14:paraId="31455D09" w14:textId="4D0EFBF5" w:rsidR="0091385D" w:rsidRPr="00927D7E" w:rsidRDefault="0091385D" w:rsidP="0091385D"/>
    <w:p w14:paraId="69853137" w14:textId="77777777" w:rsidR="00DD4AAC" w:rsidRPr="00927D7E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В проучвания при съвместно приложение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наблюдаваните токсични ефекти са основно тези, които са типични 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статините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Някои от токсичните ефекти са по- силно изразени, отколкото наблюдаваните по време на лечение само със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. Това се дължи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фармакокинетични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фармакодинамични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взаимодействия при едновременното лечение. В клиничните проучвания не се наблюдават такива взаимодействия.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Миопатии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са наблюдавани при плъхове само след експозиция на дози, които са няколко пъти по-високи от терапевтичната доза при хора (приблизително 20 пъти нивото на </w:t>
      </w:r>
      <w:r w:rsidRPr="00927D7E">
        <w:rPr>
          <w:rFonts w:eastAsia="Times New Roman" w:cs="Arial"/>
          <w:color w:val="000000"/>
        </w:rPr>
        <w:t xml:space="preserve">AUC </w:t>
      </w:r>
      <w:r w:rsidRPr="00927D7E">
        <w:rPr>
          <w:rFonts w:eastAsia="Times New Roman" w:cs="Arial"/>
          <w:color w:val="000000"/>
          <w:lang w:eastAsia="bg-BG"/>
        </w:rPr>
        <w:t xml:space="preserve">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500 до 2 000 пъти нивото на </w:t>
      </w:r>
      <w:r w:rsidRPr="00927D7E">
        <w:rPr>
          <w:rFonts w:eastAsia="Times New Roman" w:cs="Arial"/>
          <w:color w:val="000000"/>
        </w:rPr>
        <w:t xml:space="preserve">AUC </w:t>
      </w:r>
      <w:r w:rsidRPr="00927D7E">
        <w:rPr>
          <w:rFonts w:eastAsia="Times New Roman" w:cs="Arial"/>
          <w:color w:val="000000"/>
          <w:lang w:eastAsia="bg-BG"/>
        </w:rPr>
        <w:t>за активните метаболити).</w:t>
      </w:r>
    </w:p>
    <w:p w14:paraId="35BDE7BE" w14:textId="77777777" w:rsidR="00DD4AAC" w:rsidRPr="00927D7E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В поредица от </w:t>
      </w:r>
      <w:proofErr w:type="spellStart"/>
      <w:r w:rsidRPr="00927D7E">
        <w:rPr>
          <w:rFonts w:eastAsia="Times New Roman" w:cs="Arial"/>
          <w:i/>
          <w:iCs/>
          <w:color w:val="000000"/>
        </w:rPr>
        <w:t>in</w:t>
      </w:r>
      <w:proofErr w:type="spellEnd"/>
      <w:r w:rsidRPr="00927D7E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927D7E">
        <w:rPr>
          <w:rFonts w:eastAsia="Times New Roman" w:cs="Arial"/>
          <w:i/>
          <w:iCs/>
          <w:color w:val="000000"/>
        </w:rPr>
        <w:t>vivo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927D7E">
        <w:rPr>
          <w:rFonts w:eastAsia="Times New Roman" w:cs="Arial"/>
          <w:i/>
          <w:iCs/>
          <w:color w:val="000000"/>
        </w:rPr>
        <w:t>in</w:t>
      </w:r>
      <w:proofErr w:type="spellEnd"/>
      <w:r w:rsidRPr="00927D7E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927D7E">
        <w:rPr>
          <w:rFonts w:eastAsia="Times New Roman" w:cs="Arial"/>
          <w:i/>
          <w:iCs/>
          <w:color w:val="000000"/>
        </w:rPr>
        <w:t>vitro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тестове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прилаган самостоятелно или съвместно със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не проявява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генотоксичен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потенциал. Резултатите от продължителни изследвания за канцерогенност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са отрицателни.</w:t>
      </w:r>
    </w:p>
    <w:p w14:paraId="517038EB" w14:textId="77777777" w:rsidR="00DD4AAC" w:rsidRPr="00927D7E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927D7E">
        <w:rPr>
          <w:rFonts w:eastAsia="Times New Roman" w:cs="Arial"/>
          <w:color w:val="000000"/>
          <w:lang w:eastAsia="bg-BG"/>
        </w:rPr>
        <w:t xml:space="preserve">При едновременното прилагане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статини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няма данни за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тератогенност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при плъхове. При бременни зайци са наблюдавани малък брой скелетни деформации (сливане на гръдните и опашните прешлени, намален брой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каудалните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прешлени).</w:t>
      </w:r>
    </w:p>
    <w:p w14:paraId="56B5E5C1" w14:textId="77777777" w:rsidR="00DD4AAC" w:rsidRPr="00927D7E" w:rsidRDefault="00DD4AAC" w:rsidP="00DD4AAC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944617E" w14:textId="24B1DE9D" w:rsidR="00DD4AAC" w:rsidRPr="00927D7E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i/>
          <w:iCs/>
          <w:color w:val="000000"/>
          <w:lang w:eastAsia="bg-BG"/>
        </w:rPr>
        <w:t>:</w:t>
      </w:r>
      <w:r w:rsidRPr="00927D7E">
        <w:rPr>
          <w:rFonts w:eastAsia="Times New Roman" w:cs="Arial"/>
          <w:color w:val="000000"/>
          <w:lang w:eastAsia="bg-BG"/>
        </w:rPr>
        <w:t xml:space="preserve"> Неклиничните данни не показват особен риск за хора на базата на конвенционалните фармакологични проучвания за безопасност,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генотоксичност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канцерогенен потенциал. Не са провеждани специфични изследвания, оценяващи ефектите върху </w:t>
      </w:r>
      <w:proofErr w:type="spellStart"/>
      <w:r w:rsidRPr="00927D7E">
        <w:rPr>
          <w:rFonts w:eastAsia="Times New Roman" w:cs="Arial"/>
          <w:color w:val="000000"/>
        </w:rPr>
        <w:t>hERG</w:t>
      </w:r>
      <w:proofErr w:type="spellEnd"/>
      <w:r w:rsidRPr="00927D7E">
        <w:rPr>
          <w:rFonts w:eastAsia="Times New Roman" w:cs="Arial"/>
          <w:color w:val="000000"/>
        </w:rPr>
        <w:t xml:space="preserve">. </w:t>
      </w:r>
      <w:r w:rsidRPr="00927D7E">
        <w:rPr>
          <w:rFonts w:eastAsia="Times New Roman" w:cs="Arial"/>
          <w:color w:val="000000"/>
          <w:lang w:eastAsia="bg-BG"/>
        </w:rPr>
        <w:t xml:space="preserve">Нежеланите реакции, които не са наблюдавани в клинични проучвания, но са наблюдавани при животни при нива на експозиция близки до клиничните, са следните: в изпитвания за токсичност при многократно прилагане се наблюдават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хистопатологични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чернодробни изменения вследствие на фармакологичното действие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розувастатин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при мишки, плъхове и в по-ниска степен промени в жлъчния мехур при кучета, но не и при маймуни. В допълнение се наблюдава токсичност по отношение на тестисите при маймуни и кучета при високи дози. Репродуктивна токсичност при плъхове, за която се съди по намалените брой, тегло и преживяемост на малките, се наблюдава при токсични за майката дози на системна експозиция, няколко пъти над нивото на терапевтична експозиция.</w:t>
      </w:r>
    </w:p>
    <w:p w14:paraId="568418A2" w14:textId="77777777" w:rsidR="00DD4AAC" w:rsidRPr="00927D7E" w:rsidRDefault="00DD4AAC" w:rsidP="00DD4AAC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F5CFB9C" w14:textId="2E8C46C7" w:rsidR="00DD4AAC" w:rsidRPr="00927D7E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i/>
          <w:iCs/>
          <w:color w:val="000000"/>
          <w:lang w:eastAsia="bg-BG"/>
        </w:rPr>
        <w:lastRenderedPageBreak/>
        <w:t>Езетимиб</w:t>
      </w:r>
      <w:proofErr w:type="spellEnd"/>
      <w:r w:rsidRPr="00927D7E">
        <w:rPr>
          <w:rFonts w:eastAsia="Times New Roman" w:cs="Arial"/>
          <w:i/>
          <w:iCs/>
          <w:color w:val="000000"/>
          <w:lang w:eastAsia="bg-BG"/>
        </w:rPr>
        <w:t>:</w:t>
      </w:r>
      <w:r w:rsidRPr="00927D7E">
        <w:rPr>
          <w:rFonts w:eastAsia="Times New Roman" w:cs="Arial"/>
          <w:color w:val="000000"/>
          <w:lang w:eastAsia="bg-BG"/>
        </w:rPr>
        <w:t xml:space="preserve"> При проучванията върху животни за хронична токсичност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не са установени прицелни органи за токсично въздействие. При кучета, лекувани в продължение на четири седмици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(≥0,03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>/</w:t>
      </w:r>
      <w:proofErr w:type="spellStart"/>
      <w:r w:rsidRPr="00927D7E">
        <w:rPr>
          <w:rFonts w:eastAsia="Times New Roman" w:cs="Arial"/>
          <w:color w:val="000000"/>
        </w:rPr>
        <w:t>kg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/ден) концентрацията на холестерол в жлъчния мехур нараства с коефициент от 2,5 до 3,5 пъти. Въпреки това, в едногодишно проучване на кучета, които са третирани с дози до 300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>/</w:t>
      </w:r>
      <w:proofErr w:type="spellStart"/>
      <w:r w:rsidRPr="00927D7E">
        <w:rPr>
          <w:rFonts w:eastAsia="Times New Roman" w:cs="Arial"/>
          <w:color w:val="000000"/>
        </w:rPr>
        <w:t>kg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/ден не се наблюдава увеличена честота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холелитиаза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или други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хепатобилиарни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нарушения. Значението на тези данни при хора не е известно. Рискът от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литогенност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, свързан с терапевтичната употреба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не може да бъде изключен.</w:t>
      </w:r>
    </w:p>
    <w:p w14:paraId="1D2D6B89" w14:textId="77777777" w:rsidR="00DD4AAC" w:rsidRPr="00927D7E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не оказва влияние върху </w:t>
      </w:r>
      <w:proofErr w:type="spellStart"/>
      <w:r w:rsidRPr="00927D7E">
        <w:rPr>
          <w:rFonts w:eastAsia="Times New Roman" w:cs="Arial"/>
          <w:color w:val="000000"/>
          <w:lang w:eastAsia="bg-BG"/>
        </w:rPr>
        <w:t>фертилитета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на мъжки или женски плъхове, не е тератогенен при плъхове и зайци, не засяга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пренаталното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постнаталното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развитие.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преминава</w:t>
      </w:r>
      <w:r w:rsidRPr="00927D7E">
        <w:rPr>
          <w:rFonts w:eastAsia="Times New Roman" w:cs="Arial"/>
          <w:color w:val="000000"/>
          <w:vertAlign w:val="superscript"/>
          <w:lang w:eastAsia="bg-BG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през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плацентарната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бариера при бременни плъхове и зайци, получавали многократни дози от 1 000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>/</w:t>
      </w:r>
      <w:proofErr w:type="spellStart"/>
      <w:r w:rsidRPr="00927D7E">
        <w:rPr>
          <w:rFonts w:eastAsia="Times New Roman" w:cs="Arial"/>
          <w:color w:val="000000"/>
        </w:rPr>
        <w:t>kg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/ден. Едновременното прилагане на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езетимиб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ловастатин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води до </w:t>
      </w:r>
      <w:proofErr w:type="spellStart"/>
      <w:r w:rsidRPr="00927D7E">
        <w:rPr>
          <w:rFonts w:eastAsia="Times New Roman" w:cs="Arial"/>
          <w:color w:val="000000"/>
          <w:lang w:eastAsia="bg-BG"/>
        </w:rPr>
        <w:t>ембриолетални</w:t>
      </w:r>
      <w:proofErr w:type="spellEnd"/>
    </w:p>
    <w:p w14:paraId="52E4D01A" w14:textId="728334C4" w:rsidR="0091385D" w:rsidRPr="00927D7E" w:rsidRDefault="00DD4AAC" w:rsidP="00DD4AAC">
      <w:pPr>
        <w:rPr>
          <w:rFonts w:cs="Arial"/>
        </w:rPr>
      </w:pPr>
      <w:r w:rsidRPr="00927D7E">
        <w:rPr>
          <w:rFonts w:eastAsia="Times New Roman" w:cs="Arial"/>
          <w:color w:val="000000"/>
          <w:lang w:eastAsia="bg-BG"/>
        </w:rPr>
        <w:t>ефекти.</w:t>
      </w:r>
    </w:p>
    <w:p w14:paraId="20E967BE" w14:textId="77777777" w:rsidR="0091385D" w:rsidRPr="00927D7E" w:rsidRDefault="0091385D" w:rsidP="0091385D"/>
    <w:p w14:paraId="6A7820AB" w14:textId="353DB6D2" w:rsidR="008A6AF2" w:rsidRPr="00927D7E" w:rsidRDefault="002C50EE" w:rsidP="00395555">
      <w:pPr>
        <w:pStyle w:val="Heading1"/>
      </w:pPr>
      <w:r w:rsidRPr="00927D7E">
        <w:t>7. ПРИТЕЖАТЕЛ НА РАЗРЕШЕНИЕТО ЗА УПОТРЕБА</w:t>
      </w:r>
    </w:p>
    <w:p w14:paraId="1B9B651E" w14:textId="3382E6AC" w:rsidR="0091385D" w:rsidRPr="00927D7E" w:rsidRDefault="0091385D" w:rsidP="0091385D"/>
    <w:p w14:paraId="171F923E" w14:textId="77777777" w:rsidR="00DD4AAC" w:rsidRPr="00927D7E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</w:rPr>
        <w:t>Teva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</w:t>
      </w:r>
      <w:r w:rsidRPr="00927D7E">
        <w:rPr>
          <w:rFonts w:eastAsia="Times New Roman" w:cs="Arial"/>
          <w:color w:val="000000"/>
        </w:rPr>
        <w:t>B.V.</w:t>
      </w:r>
    </w:p>
    <w:p w14:paraId="313A182F" w14:textId="77777777" w:rsidR="00DD4AAC" w:rsidRPr="00927D7E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</w:rPr>
        <w:t>Swensweg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5,2031 </w:t>
      </w:r>
      <w:r w:rsidRPr="00927D7E">
        <w:rPr>
          <w:rFonts w:eastAsia="Times New Roman" w:cs="Arial"/>
          <w:color w:val="000000"/>
        </w:rPr>
        <w:t xml:space="preserve">GA </w:t>
      </w:r>
      <w:proofErr w:type="spellStart"/>
      <w:r w:rsidRPr="00927D7E">
        <w:rPr>
          <w:rFonts w:eastAsia="Times New Roman" w:cs="Arial"/>
          <w:color w:val="000000"/>
        </w:rPr>
        <w:t>Haarlem</w:t>
      </w:r>
      <w:proofErr w:type="spellEnd"/>
    </w:p>
    <w:p w14:paraId="3FD825DB" w14:textId="1CBE9DBD" w:rsidR="0091385D" w:rsidRPr="00927D7E" w:rsidRDefault="00DD4AAC" w:rsidP="00DD4AAC">
      <w:pPr>
        <w:rPr>
          <w:rFonts w:cs="Arial"/>
        </w:rPr>
      </w:pPr>
      <w:r w:rsidRPr="00927D7E">
        <w:rPr>
          <w:rFonts w:eastAsia="Times New Roman" w:cs="Arial"/>
          <w:color w:val="000000"/>
          <w:lang w:eastAsia="bg-BG"/>
        </w:rPr>
        <w:t>Нидерландия</w:t>
      </w:r>
    </w:p>
    <w:p w14:paraId="129C7566" w14:textId="77777777" w:rsidR="0091385D" w:rsidRPr="00927D7E" w:rsidRDefault="0091385D" w:rsidP="0091385D"/>
    <w:p w14:paraId="7BA1BA64" w14:textId="17509450" w:rsidR="00CF77F7" w:rsidRPr="00927D7E" w:rsidRDefault="002C50EE" w:rsidP="004A448E">
      <w:pPr>
        <w:pStyle w:val="Heading1"/>
      </w:pPr>
      <w:r w:rsidRPr="00927D7E">
        <w:t>8. НОМЕР НА РАЗРЕШЕНИЕТО ЗА УПОТРЕБА</w:t>
      </w:r>
    </w:p>
    <w:p w14:paraId="095674C4" w14:textId="54CA436A" w:rsidR="0091385D" w:rsidRPr="00927D7E" w:rsidRDefault="0091385D" w:rsidP="0091385D"/>
    <w:p w14:paraId="3C479C13" w14:textId="77777777" w:rsidR="00DD4AAC" w:rsidRPr="00927D7E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5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таблетки - </w:t>
      </w:r>
      <w:proofErr w:type="spellStart"/>
      <w:r w:rsidRPr="00927D7E">
        <w:rPr>
          <w:rFonts w:eastAsia="Times New Roman" w:cs="Arial"/>
          <w:color w:val="000000"/>
        </w:rPr>
        <w:t>pe</w:t>
      </w:r>
      <w:r w:rsidRPr="00927D7E">
        <w:rPr>
          <w:rFonts w:eastAsia="Times New Roman" w:cs="Arial"/>
          <w:color w:val="000000"/>
          <w:lang w:eastAsia="bg-BG"/>
        </w:rPr>
        <w:t>г</w:t>
      </w:r>
      <w:proofErr w:type="spellEnd"/>
      <w:r w:rsidRPr="00927D7E">
        <w:rPr>
          <w:rFonts w:eastAsia="Times New Roman" w:cs="Arial"/>
          <w:color w:val="000000"/>
        </w:rPr>
        <w:t xml:space="preserve">. </w:t>
      </w:r>
      <w:r w:rsidRPr="00927D7E">
        <w:rPr>
          <w:rFonts w:eastAsia="Times New Roman" w:cs="Arial"/>
          <w:color w:val="000000"/>
          <w:lang w:eastAsia="bg-BG"/>
        </w:rPr>
        <w:t>№ 20180113</w:t>
      </w:r>
    </w:p>
    <w:p w14:paraId="223B5D06" w14:textId="77777777" w:rsidR="00DD4AAC" w:rsidRPr="00927D7E" w:rsidRDefault="00DD4AAC" w:rsidP="00DD4AAC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таблетки - </w:t>
      </w:r>
      <w:proofErr w:type="spellStart"/>
      <w:r w:rsidRPr="00927D7E">
        <w:rPr>
          <w:rFonts w:eastAsia="Times New Roman" w:cs="Arial"/>
          <w:color w:val="000000"/>
        </w:rPr>
        <w:t>pe</w:t>
      </w:r>
      <w:r w:rsidRPr="00927D7E">
        <w:rPr>
          <w:rFonts w:eastAsia="Times New Roman" w:cs="Arial"/>
          <w:color w:val="000000"/>
          <w:lang w:eastAsia="bg-BG"/>
        </w:rPr>
        <w:t>г</w:t>
      </w:r>
      <w:proofErr w:type="spellEnd"/>
      <w:r w:rsidRPr="00927D7E">
        <w:rPr>
          <w:rFonts w:eastAsia="Times New Roman" w:cs="Arial"/>
          <w:color w:val="000000"/>
        </w:rPr>
        <w:t xml:space="preserve">. </w:t>
      </w:r>
      <w:r w:rsidRPr="00927D7E">
        <w:rPr>
          <w:rFonts w:eastAsia="Times New Roman" w:cs="Arial"/>
          <w:color w:val="000000"/>
          <w:lang w:eastAsia="bg-BG"/>
        </w:rPr>
        <w:t>№ 20180114</w:t>
      </w:r>
    </w:p>
    <w:p w14:paraId="6E892CE5" w14:textId="5A6C6AAC" w:rsidR="0091385D" w:rsidRPr="00927D7E" w:rsidRDefault="00DD4AAC" w:rsidP="00DD4AAC">
      <w:pPr>
        <w:rPr>
          <w:rFonts w:cs="Arial"/>
        </w:rPr>
      </w:pPr>
      <w:proofErr w:type="spellStart"/>
      <w:r w:rsidRPr="00927D7E">
        <w:rPr>
          <w:rFonts w:eastAsia="Times New Roman" w:cs="Arial"/>
          <w:color w:val="000000"/>
          <w:lang w:eastAsia="bg-BG"/>
        </w:rPr>
        <w:t>Тинтарос</w:t>
      </w:r>
      <w:proofErr w:type="spellEnd"/>
      <w:r w:rsidRPr="00927D7E">
        <w:rPr>
          <w:rFonts w:eastAsia="Times New Roman" w:cs="Arial"/>
          <w:color w:val="000000"/>
          <w:lang w:eastAsia="bg-BG"/>
        </w:rPr>
        <w:t xml:space="preserve"> Плюс 20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/10 </w:t>
      </w:r>
      <w:proofErr w:type="spellStart"/>
      <w:r w:rsidRPr="00927D7E">
        <w:rPr>
          <w:rFonts w:eastAsia="Times New Roman" w:cs="Arial"/>
          <w:color w:val="000000"/>
        </w:rPr>
        <w:t>mg</w:t>
      </w:r>
      <w:proofErr w:type="spellEnd"/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 xml:space="preserve">таблетки - </w:t>
      </w:r>
      <w:proofErr w:type="spellStart"/>
      <w:r w:rsidRPr="00927D7E">
        <w:rPr>
          <w:rFonts w:eastAsia="Times New Roman" w:cs="Arial"/>
          <w:color w:val="000000"/>
        </w:rPr>
        <w:t>pe</w:t>
      </w:r>
      <w:r w:rsidRPr="00927D7E">
        <w:rPr>
          <w:rFonts w:eastAsia="Times New Roman" w:cs="Arial"/>
          <w:color w:val="000000"/>
          <w:lang w:eastAsia="bg-BG"/>
        </w:rPr>
        <w:t>г</w:t>
      </w:r>
      <w:proofErr w:type="spellEnd"/>
      <w:r w:rsidRPr="00927D7E">
        <w:rPr>
          <w:rFonts w:eastAsia="Times New Roman" w:cs="Arial"/>
          <w:color w:val="000000"/>
          <w:lang w:eastAsia="bg-BG"/>
        </w:rPr>
        <w:t>.</w:t>
      </w:r>
      <w:r w:rsidRPr="00927D7E">
        <w:rPr>
          <w:rFonts w:eastAsia="Times New Roman" w:cs="Arial"/>
          <w:color w:val="000000"/>
        </w:rPr>
        <w:t xml:space="preserve"> </w:t>
      </w:r>
      <w:r w:rsidRPr="00927D7E">
        <w:rPr>
          <w:rFonts w:eastAsia="Times New Roman" w:cs="Arial"/>
          <w:color w:val="000000"/>
          <w:lang w:eastAsia="bg-BG"/>
        </w:rPr>
        <w:t>№ 20180115</w:t>
      </w:r>
    </w:p>
    <w:p w14:paraId="62EF7F8B" w14:textId="77777777" w:rsidR="0091385D" w:rsidRPr="00927D7E" w:rsidRDefault="0091385D" w:rsidP="0091385D"/>
    <w:p w14:paraId="2CCB5832" w14:textId="18FCD95B" w:rsidR="007C605B" w:rsidRPr="00927D7E" w:rsidRDefault="002C50EE" w:rsidP="007C605B">
      <w:pPr>
        <w:pStyle w:val="Heading1"/>
      </w:pPr>
      <w:r w:rsidRPr="00927D7E">
        <w:t>9. ДАТА НА ПЪРВО РАЗРЕШАВАНЕ/ПОДНОВЯВАНЕ НА РАЗРЕШЕНИЕТО ЗА УПОТРЕБА</w:t>
      </w:r>
    </w:p>
    <w:p w14:paraId="372B3414" w14:textId="0F79A9B4" w:rsidR="0091385D" w:rsidRPr="00927D7E" w:rsidRDefault="0091385D" w:rsidP="0091385D"/>
    <w:p w14:paraId="497007FA" w14:textId="2D6F20CC" w:rsidR="0091385D" w:rsidRPr="00927D7E" w:rsidRDefault="00DD4AAC" w:rsidP="0091385D">
      <w:pPr>
        <w:rPr>
          <w:rFonts w:cs="Arial"/>
        </w:rPr>
      </w:pPr>
      <w:r w:rsidRPr="00927D7E">
        <w:rPr>
          <w:rFonts w:cs="Arial"/>
        </w:rPr>
        <w:t>Дата на първо разрешаване: 08.05.2018 г.</w:t>
      </w:r>
    </w:p>
    <w:p w14:paraId="0A56E09D" w14:textId="77777777" w:rsidR="0091385D" w:rsidRPr="00927D7E" w:rsidRDefault="0091385D" w:rsidP="0091385D"/>
    <w:p w14:paraId="0E9D0119" w14:textId="1FEC128A" w:rsidR="002C50EE" w:rsidRPr="00927D7E" w:rsidRDefault="002C50EE" w:rsidP="002C50EE">
      <w:pPr>
        <w:pStyle w:val="Heading1"/>
      </w:pPr>
      <w:r w:rsidRPr="00927D7E">
        <w:t>10. ДАТА НА АКТУАЛИЗИРАНЕ НА ТЕКСТА</w:t>
      </w:r>
    </w:p>
    <w:p w14:paraId="3E8FFCC4" w14:textId="34E0D3BB" w:rsidR="0091385D" w:rsidRPr="00927D7E" w:rsidRDefault="0091385D" w:rsidP="0091385D"/>
    <w:p w14:paraId="30276F52" w14:textId="73E67414" w:rsidR="0091385D" w:rsidRPr="00927D7E" w:rsidRDefault="0091385D" w:rsidP="0091385D"/>
    <w:p w14:paraId="6B00148E" w14:textId="77777777" w:rsidR="0091385D" w:rsidRPr="00927D7E" w:rsidRDefault="0091385D" w:rsidP="0091385D"/>
    <w:bookmarkEnd w:id="0"/>
    <w:p w14:paraId="43FB38A2" w14:textId="5500C507" w:rsidR="007C605B" w:rsidRPr="00927D7E" w:rsidRDefault="007C605B" w:rsidP="00CF77F7"/>
    <w:sectPr w:rsidR="007C605B" w:rsidRPr="0092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1FF1C6A"/>
    <w:multiLevelType w:val="hybridMultilevel"/>
    <w:tmpl w:val="6C94D6C4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A3FF5"/>
    <w:multiLevelType w:val="hybridMultilevel"/>
    <w:tmpl w:val="D41E08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A649A"/>
    <w:multiLevelType w:val="hybridMultilevel"/>
    <w:tmpl w:val="5052C8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559A6"/>
    <w:multiLevelType w:val="hybridMultilevel"/>
    <w:tmpl w:val="104216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0787CA0"/>
    <w:multiLevelType w:val="hybridMultilevel"/>
    <w:tmpl w:val="A192F384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7F5D6243"/>
    <w:multiLevelType w:val="hybridMultilevel"/>
    <w:tmpl w:val="F68015FA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91882">
    <w:abstractNumId w:val="31"/>
  </w:num>
  <w:num w:numId="2" w16cid:durableId="1250579002">
    <w:abstractNumId w:val="0"/>
  </w:num>
  <w:num w:numId="3" w16cid:durableId="1839689712">
    <w:abstractNumId w:val="15"/>
  </w:num>
  <w:num w:numId="4" w16cid:durableId="2140298246">
    <w:abstractNumId w:val="3"/>
  </w:num>
  <w:num w:numId="5" w16cid:durableId="1144857252">
    <w:abstractNumId w:val="1"/>
  </w:num>
  <w:num w:numId="6" w16cid:durableId="1507750612">
    <w:abstractNumId w:val="19"/>
  </w:num>
  <w:num w:numId="7" w16cid:durableId="2043705642">
    <w:abstractNumId w:val="13"/>
  </w:num>
  <w:num w:numId="8" w16cid:durableId="810445511">
    <w:abstractNumId w:val="18"/>
  </w:num>
  <w:num w:numId="9" w16cid:durableId="1679038575">
    <w:abstractNumId w:val="2"/>
  </w:num>
  <w:num w:numId="10" w16cid:durableId="1014190904">
    <w:abstractNumId w:val="4"/>
  </w:num>
  <w:num w:numId="11" w16cid:durableId="834952622">
    <w:abstractNumId w:val="34"/>
  </w:num>
  <w:num w:numId="12" w16cid:durableId="849760088">
    <w:abstractNumId w:val="17"/>
  </w:num>
  <w:num w:numId="13" w16cid:durableId="1388993173">
    <w:abstractNumId w:val="23"/>
  </w:num>
  <w:num w:numId="14" w16cid:durableId="38820138">
    <w:abstractNumId w:val="14"/>
  </w:num>
  <w:num w:numId="15" w16cid:durableId="1315451559">
    <w:abstractNumId w:val="33"/>
  </w:num>
  <w:num w:numId="16" w16cid:durableId="1720932590">
    <w:abstractNumId w:val="12"/>
  </w:num>
  <w:num w:numId="17" w16cid:durableId="822039778">
    <w:abstractNumId w:val="28"/>
  </w:num>
  <w:num w:numId="18" w16cid:durableId="1369574781">
    <w:abstractNumId w:val="8"/>
  </w:num>
  <w:num w:numId="19" w16cid:durableId="2138181956">
    <w:abstractNumId w:val="30"/>
  </w:num>
  <w:num w:numId="20" w16cid:durableId="147943720">
    <w:abstractNumId w:val="27"/>
  </w:num>
  <w:num w:numId="21" w16cid:durableId="1389302298">
    <w:abstractNumId w:val="21"/>
  </w:num>
  <w:num w:numId="22" w16cid:durableId="2054688748">
    <w:abstractNumId w:val="29"/>
  </w:num>
  <w:num w:numId="23" w16cid:durableId="145704871">
    <w:abstractNumId w:val="22"/>
  </w:num>
  <w:num w:numId="24" w16cid:durableId="939030062">
    <w:abstractNumId w:val="11"/>
  </w:num>
  <w:num w:numId="25" w16cid:durableId="1088775176">
    <w:abstractNumId w:val="26"/>
  </w:num>
  <w:num w:numId="26" w16cid:durableId="280650307">
    <w:abstractNumId w:val="25"/>
  </w:num>
  <w:num w:numId="27" w16cid:durableId="1672221833">
    <w:abstractNumId w:val="35"/>
  </w:num>
  <w:num w:numId="28" w16cid:durableId="790057435">
    <w:abstractNumId w:val="6"/>
  </w:num>
  <w:num w:numId="29" w16cid:durableId="215091601">
    <w:abstractNumId w:val="24"/>
  </w:num>
  <w:num w:numId="30" w16cid:durableId="1495877674">
    <w:abstractNumId w:val="38"/>
  </w:num>
  <w:num w:numId="31" w16cid:durableId="1519074892">
    <w:abstractNumId w:val="5"/>
  </w:num>
  <w:num w:numId="32" w16cid:durableId="501900119">
    <w:abstractNumId w:val="37"/>
  </w:num>
  <w:num w:numId="33" w16cid:durableId="969701791">
    <w:abstractNumId w:val="32"/>
  </w:num>
  <w:num w:numId="34" w16cid:durableId="1885633292">
    <w:abstractNumId w:val="36"/>
  </w:num>
  <w:num w:numId="35" w16cid:durableId="2015109290">
    <w:abstractNumId w:val="7"/>
  </w:num>
  <w:num w:numId="36" w16cid:durableId="1111969362">
    <w:abstractNumId w:val="39"/>
  </w:num>
  <w:num w:numId="37" w16cid:durableId="420492700">
    <w:abstractNumId w:val="10"/>
  </w:num>
  <w:num w:numId="38" w16cid:durableId="1203516217">
    <w:abstractNumId w:val="16"/>
  </w:num>
  <w:num w:numId="39" w16cid:durableId="1190725084">
    <w:abstractNumId w:val="9"/>
  </w:num>
  <w:num w:numId="40" w16cid:durableId="14286977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00"/>
    <w:rsid w:val="00064AA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66FDB"/>
    <w:rsid w:val="004A448E"/>
    <w:rsid w:val="004D0CE0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27D7E"/>
    <w:rsid w:val="009773E4"/>
    <w:rsid w:val="009B171C"/>
    <w:rsid w:val="009F1313"/>
    <w:rsid w:val="00A20351"/>
    <w:rsid w:val="00A65A81"/>
    <w:rsid w:val="00A73575"/>
    <w:rsid w:val="00AA23EC"/>
    <w:rsid w:val="00AC63CE"/>
    <w:rsid w:val="00AE2107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6261D"/>
    <w:rsid w:val="00D86297"/>
    <w:rsid w:val="00DD466D"/>
    <w:rsid w:val="00DD4AAC"/>
    <w:rsid w:val="00EB6364"/>
    <w:rsid w:val="00F37B64"/>
    <w:rsid w:val="00FD69E8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9729</Words>
  <Characters>55458</Characters>
  <Application>Microsoft Office Word</Application>
  <DocSecurity>0</DocSecurity>
  <Lines>462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Maria Vasileva</cp:lastModifiedBy>
  <cp:revision>6</cp:revision>
  <dcterms:created xsi:type="dcterms:W3CDTF">2022-12-03T00:53:00Z</dcterms:created>
  <dcterms:modified xsi:type="dcterms:W3CDTF">2022-12-07T08:47:00Z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