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8062A89" w:rsidR="00C40420" w:rsidRDefault="00DD466D" w:rsidP="004A448E">
      <w:pPr>
        <w:pStyle w:val="Heading1"/>
      </w:pPr>
      <w:r>
        <w:t>1.ИМЕ НА ЛЕКАРСТВЕНИЯ ПРОДУКТ</w:t>
      </w:r>
    </w:p>
    <w:p w14:paraId="5F9AA10F" w14:textId="4A21ADBE" w:rsidR="00E74194" w:rsidRDefault="00E74194" w:rsidP="00E74194"/>
    <w:p w14:paraId="6CF51343" w14:textId="77777777" w:rsidR="00E74194" w:rsidRPr="00E74194" w:rsidRDefault="00E74194" w:rsidP="00E74194">
      <w:pPr>
        <w:rPr>
          <w:sz w:val="24"/>
          <w:szCs w:val="24"/>
        </w:rPr>
      </w:pPr>
      <w:r w:rsidRPr="00E74194">
        <w:rPr>
          <w:lang w:eastAsia="bg-BG"/>
        </w:rPr>
        <w:t xml:space="preserve">Тизанидин-Тева 2 </w:t>
      </w:r>
      <w:r w:rsidRPr="00E74194">
        <w:rPr>
          <w:lang w:val="en-US"/>
        </w:rPr>
        <w:t>mg</w:t>
      </w:r>
      <w:r w:rsidRPr="00E74194">
        <w:t xml:space="preserve"> </w:t>
      </w:r>
      <w:r w:rsidRPr="00E74194">
        <w:rPr>
          <w:lang w:eastAsia="bg-BG"/>
        </w:rPr>
        <w:t>таблетки</w:t>
      </w:r>
    </w:p>
    <w:p w14:paraId="10F0EEC6" w14:textId="77777777" w:rsidR="00E74194" w:rsidRPr="00E74194" w:rsidRDefault="00E74194" w:rsidP="00E74194">
      <w:pPr>
        <w:rPr>
          <w:sz w:val="24"/>
          <w:szCs w:val="24"/>
        </w:rPr>
      </w:pPr>
      <w:proofErr w:type="spellStart"/>
      <w:r w:rsidRPr="00E74194">
        <w:rPr>
          <w:lang w:val="en-US"/>
        </w:rPr>
        <w:t>Tizanidine</w:t>
      </w:r>
      <w:proofErr w:type="spellEnd"/>
      <w:r w:rsidRPr="00E74194">
        <w:t>-</w:t>
      </w:r>
      <w:proofErr w:type="spellStart"/>
      <w:r w:rsidRPr="00E74194">
        <w:rPr>
          <w:lang w:val="en-US"/>
        </w:rPr>
        <w:t>Teva</w:t>
      </w:r>
      <w:proofErr w:type="spellEnd"/>
      <w:r w:rsidRPr="00E74194">
        <w:t xml:space="preserve"> </w:t>
      </w:r>
      <w:r w:rsidRPr="00E74194">
        <w:rPr>
          <w:lang w:eastAsia="bg-BG"/>
        </w:rPr>
        <w:t xml:space="preserve">2 </w:t>
      </w:r>
      <w:r w:rsidRPr="00E74194">
        <w:rPr>
          <w:lang w:val="en-US"/>
        </w:rPr>
        <w:t>mg</w:t>
      </w:r>
      <w:r w:rsidRPr="00E74194">
        <w:t xml:space="preserve"> </w:t>
      </w:r>
      <w:r w:rsidRPr="00E74194">
        <w:rPr>
          <w:lang w:val="en-US"/>
        </w:rPr>
        <w:t>tablets</w:t>
      </w:r>
    </w:p>
    <w:p w14:paraId="11761A34" w14:textId="77777777" w:rsidR="00E74194" w:rsidRDefault="00E74194" w:rsidP="00E74194">
      <w:pPr>
        <w:rPr>
          <w:lang w:eastAsia="bg-BG"/>
        </w:rPr>
      </w:pPr>
    </w:p>
    <w:p w14:paraId="0604D81B" w14:textId="7C1A2122" w:rsidR="00E74194" w:rsidRPr="00E74194" w:rsidRDefault="00E74194" w:rsidP="00E74194">
      <w:pPr>
        <w:rPr>
          <w:lang w:eastAsia="bg-BG"/>
        </w:rPr>
      </w:pPr>
      <w:r w:rsidRPr="00E74194">
        <w:rPr>
          <w:lang w:eastAsia="bg-BG"/>
        </w:rPr>
        <w:t xml:space="preserve">Тизанидин-Тева 4 </w:t>
      </w:r>
      <w:r w:rsidRPr="00E74194">
        <w:rPr>
          <w:lang w:val="en-US"/>
        </w:rPr>
        <w:t>mg</w:t>
      </w:r>
      <w:r w:rsidRPr="00E74194">
        <w:t xml:space="preserve"> </w:t>
      </w:r>
      <w:r w:rsidRPr="00E74194">
        <w:rPr>
          <w:lang w:eastAsia="bg-BG"/>
        </w:rPr>
        <w:t>таблетки</w:t>
      </w:r>
    </w:p>
    <w:p w14:paraId="09131E14" w14:textId="02E343CD" w:rsidR="00E74194" w:rsidRPr="00E74194" w:rsidRDefault="00E74194" w:rsidP="00E74194">
      <w:proofErr w:type="spellStart"/>
      <w:r w:rsidRPr="00E74194">
        <w:rPr>
          <w:lang w:val="en-US"/>
        </w:rPr>
        <w:t>Tizanidine</w:t>
      </w:r>
      <w:proofErr w:type="spellEnd"/>
      <w:r w:rsidRPr="00E74194">
        <w:t>-</w:t>
      </w:r>
      <w:proofErr w:type="spellStart"/>
      <w:r w:rsidRPr="00E74194">
        <w:rPr>
          <w:lang w:val="en-US"/>
        </w:rPr>
        <w:t>Teva</w:t>
      </w:r>
      <w:proofErr w:type="spellEnd"/>
      <w:r w:rsidRPr="00E74194">
        <w:t xml:space="preserve"> </w:t>
      </w:r>
      <w:r w:rsidRPr="00E74194">
        <w:rPr>
          <w:lang w:eastAsia="bg-BG"/>
        </w:rPr>
        <w:t xml:space="preserve">4 </w:t>
      </w:r>
      <w:r w:rsidRPr="00E74194">
        <w:rPr>
          <w:lang w:val="en-US"/>
        </w:rPr>
        <w:t>mg</w:t>
      </w:r>
      <w:r w:rsidRPr="00E74194">
        <w:t xml:space="preserve"> </w:t>
      </w:r>
      <w:r w:rsidRPr="00E74194">
        <w:rPr>
          <w:lang w:val="en-US"/>
        </w:rPr>
        <w:t>tablets</w:t>
      </w:r>
    </w:p>
    <w:p w14:paraId="6920A680" w14:textId="7AD7F250" w:rsidR="00C40420" w:rsidRDefault="00DD466D" w:rsidP="004A448E">
      <w:pPr>
        <w:pStyle w:val="Heading1"/>
      </w:pPr>
      <w:r>
        <w:t>2. КАЧЕСТВЕН И КОЛИЧЕСТВЕН СЪСТАВ</w:t>
      </w:r>
    </w:p>
    <w:p w14:paraId="4977D475" w14:textId="151E6DD7" w:rsidR="00E74194" w:rsidRDefault="00E74194" w:rsidP="00E74194"/>
    <w:p w14:paraId="679A547F" w14:textId="77777777"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 xml:space="preserve">Тизанидин-Тева 2 </w:t>
      </w:r>
      <w:r w:rsidRPr="00E74194">
        <w:rPr>
          <w:rFonts w:eastAsia="Times New Roman" w:cs="Arial"/>
          <w:color w:val="000000"/>
          <w:u w:val="single"/>
          <w:lang w:val="en-US"/>
        </w:rPr>
        <w:t>mg</w:t>
      </w:r>
      <w:r w:rsidRPr="00E74194">
        <w:rPr>
          <w:rFonts w:eastAsia="Times New Roman" w:cs="Arial"/>
          <w:color w:val="000000"/>
          <w:u w:val="single"/>
        </w:rPr>
        <w:t xml:space="preserve"> </w:t>
      </w:r>
      <w:r w:rsidRPr="00E74194">
        <w:rPr>
          <w:rFonts w:eastAsia="Times New Roman" w:cs="Arial"/>
          <w:color w:val="000000"/>
          <w:u w:val="single"/>
          <w:lang w:eastAsia="bg-BG"/>
        </w:rPr>
        <w:t>таблетки</w:t>
      </w:r>
    </w:p>
    <w:p w14:paraId="26A87D94"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Всяка таблетка съдържа 2 </w:t>
      </w:r>
      <w:r w:rsidRPr="00E74194">
        <w:rPr>
          <w:rFonts w:eastAsia="Times New Roman" w:cs="Arial"/>
          <w:color w:val="000000"/>
          <w:lang w:val="en-US"/>
        </w:rPr>
        <w:t>mg</w:t>
      </w:r>
      <w:r w:rsidRPr="00E74194">
        <w:rPr>
          <w:rFonts w:eastAsia="Times New Roman" w:cs="Arial"/>
          <w:color w:val="000000"/>
        </w:rPr>
        <w:t xml:space="preserve"> </w:t>
      </w:r>
      <w:r w:rsidRPr="00E74194">
        <w:rPr>
          <w:rFonts w:eastAsia="Times New Roman" w:cs="Arial"/>
          <w:color w:val="000000"/>
          <w:lang w:eastAsia="bg-BG"/>
        </w:rPr>
        <w:t xml:space="preserve">тизанидин </w:t>
      </w:r>
      <w:r w:rsidRPr="00E74194">
        <w:rPr>
          <w:rFonts w:eastAsia="Times New Roman" w:cs="Arial"/>
          <w:i/>
          <w:iCs/>
          <w:color w:val="000000"/>
        </w:rPr>
        <w:t>(</w:t>
      </w:r>
      <w:proofErr w:type="spellStart"/>
      <w:r w:rsidRPr="00E74194">
        <w:rPr>
          <w:rFonts w:eastAsia="Times New Roman" w:cs="Arial"/>
          <w:i/>
          <w:iCs/>
          <w:color w:val="000000"/>
          <w:lang w:val="en-US"/>
        </w:rPr>
        <w:t>tizanidine</w:t>
      </w:r>
      <w:proofErr w:type="spellEnd"/>
      <w:r w:rsidRPr="00E74194">
        <w:rPr>
          <w:rFonts w:eastAsia="Times New Roman" w:cs="Arial"/>
          <w:i/>
          <w:iCs/>
          <w:color w:val="000000"/>
        </w:rPr>
        <w:t>)</w:t>
      </w:r>
      <w:r w:rsidRPr="00E74194">
        <w:rPr>
          <w:rFonts w:eastAsia="Times New Roman" w:cs="Arial"/>
          <w:color w:val="000000"/>
        </w:rPr>
        <w:t xml:space="preserve"> </w:t>
      </w:r>
      <w:r w:rsidRPr="00E74194">
        <w:rPr>
          <w:rFonts w:eastAsia="Times New Roman" w:cs="Arial"/>
          <w:color w:val="000000"/>
          <w:lang w:eastAsia="bg-BG"/>
        </w:rPr>
        <w:t>(като хидрохлорид)</w:t>
      </w:r>
    </w:p>
    <w:p w14:paraId="5BF01C8A" w14:textId="77777777" w:rsidR="00E74194" w:rsidRDefault="00E74194" w:rsidP="00E74194">
      <w:pPr>
        <w:spacing w:line="240" w:lineRule="auto"/>
        <w:rPr>
          <w:rFonts w:eastAsia="Times New Roman" w:cs="Arial"/>
          <w:color w:val="000000"/>
          <w:lang w:eastAsia="bg-BG"/>
        </w:rPr>
      </w:pPr>
    </w:p>
    <w:p w14:paraId="28E670C2" w14:textId="59FD0D32" w:rsidR="00E74194" w:rsidRPr="00E74194" w:rsidRDefault="00E74194" w:rsidP="00E74194">
      <w:pPr>
        <w:spacing w:line="240" w:lineRule="auto"/>
        <w:rPr>
          <w:rFonts w:eastAsia="Times New Roman" w:cs="Arial"/>
        </w:rPr>
      </w:pPr>
      <w:r w:rsidRPr="00E74194">
        <w:rPr>
          <w:rFonts w:eastAsia="Times New Roman" w:cs="Arial"/>
          <w:color w:val="000000"/>
          <w:lang w:eastAsia="bg-BG"/>
        </w:rPr>
        <w:t>Помощно вещество с известно действие:</w:t>
      </w:r>
    </w:p>
    <w:p w14:paraId="2B807BB9"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Всяка таблетка съдържа 57,910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лактоза, безводна</w:t>
      </w:r>
    </w:p>
    <w:p w14:paraId="5C483A9A" w14:textId="77777777" w:rsidR="00E74194" w:rsidRDefault="00E74194" w:rsidP="00E74194">
      <w:pPr>
        <w:spacing w:line="240" w:lineRule="auto"/>
        <w:rPr>
          <w:rFonts w:eastAsia="Times New Roman" w:cs="Arial"/>
          <w:color w:val="000000"/>
          <w:u w:val="single"/>
          <w:lang w:eastAsia="bg-BG"/>
        </w:rPr>
      </w:pPr>
    </w:p>
    <w:p w14:paraId="7B17395A" w14:textId="03EDFE7A"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 xml:space="preserve">Тизанидин-Тева 4 </w:t>
      </w:r>
      <w:r w:rsidRPr="00E74194">
        <w:rPr>
          <w:rFonts w:eastAsia="Times New Roman" w:cs="Arial"/>
          <w:color w:val="000000"/>
          <w:u w:val="single"/>
          <w:lang w:val="en-US"/>
        </w:rPr>
        <w:t>mg</w:t>
      </w:r>
      <w:r w:rsidRPr="00E74194">
        <w:rPr>
          <w:rFonts w:eastAsia="Times New Roman" w:cs="Arial"/>
          <w:color w:val="000000"/>
          <w:u w:val="single"/>
        </w:rPr>
        <w:t xml:space="preserve"> </w:t>
      </w:r>
      <w:r w:rsidRPr="00E74194">
        <w:rPr>
          <w:rFonts w:eastAsia="Times New Roman" w:cs="Arial"/>
          <w:color w:val="000000"/>
          <w:u w:val="single"/>
          <w:lang w:eastAsia="bg-BG"/>
        </w:rPr>
        <w:t>таблетки</w:t>
      </w:r>
    </w:p>
    <w:p w14:paraId="4500270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Всяка таблетка съдържа 4 </w:t>
      </w:r>
      <w:r w:rsidRPr="00E74194">
        <w:rPr>
          <w:rFonts w:eastAsia="Times New Roman" w:cs="Arial"/>
          <w:color w:val="000000"/>
          <w:lang w:val="en-US"/>
        </w:rPr>
        <w:t>mg</w:t>
      </w:r>
      <w:r w:rsidRPr="00E74194">
        <w:rPr>
          <w:rFonts w:eastAsia="Times New Roman" w:cs="Arial"/>
          <w:color w:val="000000"/>
        </w:rPr>
        <w:t xml:space="preserve"> </w:t>
      </w:r>
      <w:r w:rsidRPr="00E74194">
        <w:rPr>
          <w:rFonts w:eastAsia="Times New Roman" w:cs="Arial"/>
          <w:color w:val="000000"/>
          <w:lang w:eastAsia="bg-BG"/>
        </w:rPr>
        <w:t xml:space="preserve">тизанидин </w:t>
      </w:r>
      <w:r w:rsidRPr="00E74194">
        <w:rPr>
          <w:rFonts w:eastAsia="Times New Roman" w:cs="Arial"/>
          <w:i/>
          <w:iCs/>
          <w:color w:val="000000"/>
        </w:rPr>
        <w:t>(</w:t>
      </w:r>
      <w:proofErr w:type="spellStart"/>
      <w:r w:rsidRPr="00E74194">
        <w:rPr>
          <w:rFonts w:eastAsia="Times New Roman" w:cs="Arial"/>
          <w:i/>
          <w:iCs/>
          <w:color w:val="000000"/>
          <w:lang w:val="en-US"/>
        </w:rPr>
        <w:t>tizanidine</w:t>
      </w:r>
      <w:proofErr w:type="spellEnd"/>
      <w:r w:rsidRPr="00E74194">
        <w:rPr>
          <w:rFonts w:eastAsia="Times New Roman" w:cs="Arial"/>
          <w:i/>
          <w:iCs/>
          <w:color w:val="000000"/>
        </w:rPr>
        <w:t>)</w:t>
      </w:r>
      <w:r w:rsidRPr="00E74194">
        <w:rPr>
          <w:rFonts w:eastAsia="Times New Roman" w:cs="Arial"/>
          <w:color w:val="000000"/>
        </w:rPr>
        <w:t xml:space="preserve"> </w:t>
      </w:r>
      <w:r w:rsidRPr="00E74194">
        <w:rPr>
          <w:rFonts w:eastAsia="Times New Roman" w:cs="Arial"/>
          <w:color w:val="000000"/>
          <w:lang w:eastAsia="bg-BG"/>
        </w:rPr>
        <w:t>(като хидрохлорид)</w:t>
      </w:r>
    </w:p>
    <w:p w14:paraId="7747434E" w14:textId="77777777" w:rsidR="00E74194" w:rsidRDefault="00E74194" w:rsidP="00E74194">
      <w:pPr>
        <w:spacing w:line="240" w:lineRule="auto"/>
        <w:rPr>
          <w:rFonts w:eastAsia="Times New Roman" w:cs="Arial"/>
          <w:color w:val="000000"/>
          <w:lang w:eastAsia="bg-BG"/>
        </w:rPr>
      </w:pPr>
    </w:p>
    <w:p w14:paraId="31E64921" w14:textId="25743CA5" w:rsidR="00E74194" w:rsidRPr="00E74194" w:rsidRDefault="00E74194" w:rsidP="00E74194">
      <w:pPr>
        <w:spacing w:line="240" w:lineRule="auto"/>
        <w:rPr>
          <w:rFonts w:eastAsia="Times New Roman" w:cs="Arial"/>
        </w:rPr>
      </w:pPr>
      <w:r w:rsidRPr="00E74194">
        <w:rPr>
          <w:rFonts w:eastAsia="Times New Roman" w:cs="Arial"/>
          <w:color w:val="000000"/>
          <w:lang w:eastAsia="bg-BG"/>
        </w:rPr>
        <w:t>Помощно вещество с известно действие:</w:t>
      </w:r>
    </w:p>
    <w:p w14:paraId="6A904E0D"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Всяка таблетка съдържа 115,82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лактоза, безводна</w:t>
      </w:r>
    </w:p>
    <w:p w14:paraId="4B6882B5" w14:textId="77777777" w:rsidR="00E74194" w:rsidRPr="00E74194" w:rsidRDefault="00E74194" w:rsidP="00E74194"/>
    <w:p w14:paraId="614984C4" w14:textId="2583D11F" w:rsidR="008A6AF2" w:rsidRDefault="00DD466D" w:rsidP="002C50EE">
      <w:pPr>
        <w:pStyle w:val="Heading1"/>
      </w:pPr>
      <w:r>
        <w:t>3. ЛЕКАРСТВЕНА ФОРМА</w:t>
      </w:r>
    </w:p>
    <w:p w14:paraId="4CFA56D2" w14:textId="3AE197D9" w:rsidR="00E74194" w:rsidRDefault="00E74194" w:rsidP="00E74194"/>
    <w:p w14:paraId="1E80362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Таблетки</w:t>
      </w:r>
    </w:p>
    <w:p w14:paraId="408182ED" w14:textId="77777777" w:rsidR="00E74194" w:rsidRDefault="00E74194" w:rsidP="00E74194">
      <w:pPr>
        <w:spacing w:line="240" w:lineRule="auto"/>
        <w:rPr>
          <w:rFonts w:eastAsia="Times New Roman" w:cs="Arial"/>
          <w:color w:val="000000"/>
          <w:u w:val="single"/>
          <w:lang w:eastAsia="bg-BG"/>
        </w:rPr>
      </w:pPr>
    </w:p>
    <w:p w14:paraId="37AA558D" w14:textId="6D67C1C5"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 xml:space="preserve">Тизанидин-Тева 2 </w:t>
      </w:r>
      <w:r w:rsidRPr="00E74194">
        <w:rPr>
          <w:rFonts w:eastAsia="Times New Roman" w:cs="Arial"/>
          <w:color w:val="000000"/>
          <w:u w:val="single"/>
          <w:lang w:val="en-US"/>
        </w:rPr>
        <w:t>mg</w:t>
      </w:r>
      <w:r w:rsidRPr="00E74194">
        <w:rPr>
          <w:rFonts w:eastAsia="Times New Roman" w:cs="Arial"/>
          <w:color w:val="000000"/>
          <w:u w:val="single"/>
          <w:lang w:val="ru-RU"/>
        </w:rPr>
        <w:t xml:space="preserve"> </w:t>
      </w:r>
      <w:r w:rsidRPr="00E74194">
        <w:rPr>
          <w:rFonts w:eastAsia="Times New Roman" w:cs="Arial"/>
          <w:color w:val="000000"/>
          <w:u w:val="single"/>
          <w:lang w:eastAsia="bg-BG"/>
        </w:rPr>
        <w:t>таблетки</w:t>
      </w:r>
    </w:p>
    <w:p w14:paraId="1CA0E4D5"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Бели до почти бели, двойно изпъкнали, кръгли таблетки с диаметър 6 </w:t>
      </w:r>
      <w:r w:rsidRPr="00E74194">
        <w:rPr>
          <w:rFonts w:eastAsia="Times New Roman" w:cs="Arial"/>
          <w:color w:val="000000"/>
          <w:lang w:val="en-US"/>
        </w:rPr>
        <w:t>mm</w:t>
      </w:r>
      <w:r w:rsidRPr="00E74194">
        <w:rPr>
          <w:rFonts w:eastAsia="Times New Roman" w:cs="Arial"/>
          <w:color w:val="000000"/>
          <w:lang w:val="ru-RU"/>
        </w:rPr>
        <w:t xml:space="preserve"> </w:t>
      </w:r>
      <w:r w:rsidRPr="00E74194">
        <w:rPr>
          <w:rFonts w:eastAsia="Times New Roman" w:cs="Arial"/>
          <w:color w:val="000000"/>
          <w:lang w:eastAsia="bg-BG"/>
        </w:rPr>
        <w:t>,с вдлъбнато релефно означение “Т2” от едната страна на таблетката и с делителна черта от другата.</w:t>
      </w:r>
    </w:p>
    <w:p w14:paraId="67E3BEC2" w14:textId="77777777" w:rsidR="00E74194" w:rsidRDefault="00E74194" w:rsidP="00E74194">
      <w:pPr>
        <w:spacing w:line="240" w:lineRule="auto"/>
        <w:rPr>
          <w:rFonts w:eastAsia="Times New Roman" w:cs="Arial"/>
          <w:color w:val="000000"/>
          <w:u w:val="single"/>
          <w:lang w:eastAsia="bg-BG"/>
        </w:rPr>
      </w:pPr>
    </w:p>
    <w:p w14:paraId="6377745A" w14:textId="4388885A"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 xml:space="preserve">Тизанидин-Тева 4 </w:t>
      </w:r>
      <w:r w:rsidRPr="00E74194">
        <w:rPr>
          <w:rFonts w:eastAsia="Times New Roman" w:cs="Arial"/>
          <w:color w:val="000000"/>
          <w:u w:val="single"/>
          <w:lang w:val="en-US"/>
        </w:rPr>
        <w:t>mg</w:t>
      </w:r>
      <w:r w:rsidRPr="00E74194">
        <w:rPr>
          <w:rFonts w:eastAsia="Times New Roman" w:cs="Arial"/>
          <w:color w:val="000000"/>
          <w:u w:val="single"/>
          <w:lang w:val="ru-RU"/>
        </w:rPr>
        <w:t xml:space="preserve"> </w:t>
      </w:r>
      <w:r w:rsidRPr="00E74194">
        <w:rPr>
          <w:rFonts w:eastAsia="Times New Roman" w:cs="Arial"/>
          <w:color w:val="000000"/>
          <w:u w:val="single"/>
          <w:lang w:eastAsia="bg-BG"/>
        </w:rPr>
        <w:t>таблетки</w:t>
      </w:r>
    </w:p>
    <w:p w14:paraId="78B78AA4"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Бели до почти бели, двойно изпъкнали, кръгли таблетки 9 </w:t>
      </w:r>
      <w:r w:rsidRPr="00E74194">
        <w:rPr>
          <w:rFonts w:eastAsia="Times New Roman" w:cs="Arial"/>
          <w:color w:val="000000"/>
          <w:lang w:val="en-US"/>
        </w:rPr>
        <w:t>mm</w:t>
      </w:r>
      <w:r w:rsidRPr="00E74194">
        <w:rPr>
          <w:rFonts w:eastAsia="Times New Roman" w:cs="Arial"/>
          <w:color w:val="000000"/>
          <w:lang w:val="ru-RU"/>
        </w:rPr>
        <w:t xml:space="preserve"> </w:t>
      </w:r>
      <w:r w:rsidRPr="00E74194">
        <w:rPr>
          <w:rFonts w:eastAsia="Times New Roman" w:cs="Arial"/>
          <w:color w:val="000000"/>
          <w:lang w:eastAsia="bg-BG"/>
        </w:rPr>
        <w:t>в диаметър, с вдлъбнато релефно означение “Т4” от едната страна на таблетката и с делителни черти, разделящи я на четвъртини от другата.</w:t>
      </w:r>
    </w:p>
    <w:p w14:paraId="2B5A891D" w14:textId="77777777" w:rsidR="00E74194" w:rsidRDefault="00E74194" w:rsidP="00E74194">
      <w:pPr>
        <w:spacing w:line="240" w:lineRule="auto"/>
        <w:rPr>
          <w:rFonts w:eastAsia="Times New Roman" w:cs="Arial"/>
          <w:color w:val="000000"/>
          <w:lang w:eastAsia="bg-BG"/>
        </w:rPr>
      </w:pPr>
    </w:p>
    <w:p w14:paraId="344EAFA3" w14:textId="2719FF0E" w:rsidR="00E74194" w:rsidRPr="00E74194" w:rsidRDefault="00E74194" w:rsidP="00E74194">
      <w:pPr>
        <w:spacing w:line="240" w:lineRule="auto"/>
        <w:rPr>
          <w:rFonts w:ascii="Times New Roman" w:eastAsia="Times New Roman" w:hAnsi="Times New Roman" w:cs="Times New Roman"/>
          <w:sz w:val="24"/>
          <w:szCs w:val="24"/>
        </w:rPr>
      </w:pPr>
      <w:r w:rsidRPr="00E74194">
        <w:rPr>
          <w:rFonts w:eastAsia="Times New Roman" w:cs="Arial"/>
          <w:color w:val="000000"/>
          <w:lang w:eastAsia="bg-BG"/>
        </w:rPr>
        <w:t>Делителната черта е за подпомагане на счупването, за да се улесни поглъщането, а не за да разделя на равни дози.</w:t>
      </w:r>
    </w:p>
    <w:p w14:paraId="7B8B2656" w14:textId="77777777" w:rsidR="00E74194" w:rsidRPr="00E74194" w:rsidRDefault="00E74194" w:rsidP="00E74194"/>
    <w:p w14:paraId="490FC2C4" w14:textId="32682B15" w:rsidR="002C50EE" w:rsidRDefault="002C50EE" w:rsidP="002C50EE">
      <w:pPr>
        <w:pStyle w:val="Heading1"/>
      </w:pPr>
      <w:r>
        <w:t>4. КЛИНИЧНИ ДАННИ</w:t>
      </w:r>
    </w:p>
    <w:p w14:paraId="0C8E6903" w14:textId="4B4AECE2" w:rsidR="008134C8" w:rsidRDefault="002C50EE" w:rsidP="004A448E">
      <w:pPr>
        <w:pStyle w:val="Heading2"/>
      </w:pPr>
      <w:r>
        <w:t>4.1. Терапевтични показания</w:t>
      </w:r>
    </w:p>
    <w:p w14:paraId="146E81A8" w14:textId="6E70BE8E" w:rsidR="00E74194" w:rsidRDefault="00E74194" w:rsidP="00E74194"/>
    <w:p w14:paraId="24D3B0CE" w14:textId="77777777" w:rsidR="00E74194" w:rsidRPr="00E74194" w:rsidRDefault="00E74194" w:rsidP="00E74194">
      <w:pPr>
        <w:rPr>
          <w:sz w:val="24"/>
          <w:szCs w:val="24"/>
        </w:rPr>
      </w:pPr>
      <w:r w:rsidRPr="00E74194">
        <w:rPr>
          <w:lang w:eastAsia="bg-BG"/>
        </w:rPr>
        <w:lastRenderedPageBreak/>
        <w:t>Лечение на еластични прояви свързани с множествена склероза или с увреждане или заболяване на гръбначния мозък.</w:t>
      </w:r>
    </w:p>
    <w:p w14:paraId="764B3416" w14:textId="77777777" w:rsidR="00E74194" w:rsidRPr="00E74194" w:rsidRDefault="00E74194" w:rsidP="00E74194"/>
    <w:p w14:paraId="30BE2C7B" w14:textId="6832A839" w:rsidR="008134C8" w:rsidRDefault="002C50EE" w:rsidP="004A448E">
      <w:pPr>
        <w:pStyle w:val="Heading2"/>
      </w:pPr>
      <w:r>
        <w:t>4.2. Дозировка и начин на приложение</w:t>
      </w:r>
    </w:p>
    <w:p w14:paraId="7A6C874B" w14:textId="308F3A5D" w:rsidR="00E74194" w:rsidRDefault="00E74194" w:rsidP="00E74194"/>
    <w:p w14:paraId="28425FF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За перорално приложение</w:t>
      </w:r>
    </w:p>
    <w:p w14:paraId="7FE566A4" w14:textId="77777777" w:rsidR="00E74194" w:rsidRDefault="00E74194" w:rsidP="00E74194">
      <w:pPr>
        <w:spacing w:line="240" w:lineRule="auto"/>
        <w:rPr>
          <w:rFonts w:eastAsia="Times New Roman" w:cs="Arial"/>
          <w:color w:val="000000"/>
          <w:lang w:eastAsia="bg-BG"/>
        </w:rPr>
      </w:pPr>
    </w:p>
    <w:p w14:paraId="15698D09" w14:textId="62054999" w:rsidR="00E74194" w:rsidRPr="00E74194" w:rsidRDefault="00E74194" w:rsidP="00E74194">
      <w:pPr>
        <w:spacing w:line="240" w:lineRule="auto"/>
        <w:rPr>
          <w:rFonts w:eastAsia="Times New Roman" w:cs="Arial"/>
        </w:rPr>
      </w:pPr>
      <w:r w:rsidRPr="00E74194">
        <w:rPr>
          <w:rFonts w:eastAsia="Times New Roman" w:cs="Arial"/>
          <w:color w:val="000000"/>
          <w:lang w:eastAsia="bg-BG"/>
        </w:rPr>
        <w:t>Ефектът на тизанидин върху еластичните прояви е максимален в рамките на 2-3 часа след прием и има относително кратка продължителност на действие. Затова времето и честотата на дозиране трябва да се определят индивидуално, като тизанидин трябва да се дава в отделни дози до 3-4 пъти дневно в зависимост от нуждите на пациента. Тъй като са налице значителни вариации в отговора на лечението между отделните пациенти, е необходимо внимателно титриране на дозата.</w:t>
      </w:r>
    </w:p>
    <w:p w14:paraId="6F220F66" w14:textId="77777777" w:rsidR="00E74194" w:rsidRDefault="00E74194" w:rsidP="00E74194">
      <w:pPr>
        <w:spacing w:line="240" w:lineRule="auto"/>
        <w:rPr>
          <w:rFonts w:eastAsia="Times New Roman" w:cs="Arial"/>
          <w:color w:val="000000"/>
          <w:lang w:eastAsia="bg-BG"/>
        </w:rPr>
      </w:pPr>
    </w:p>
    <w:p w14:paraId="3FAD9A2B" w14:textId="77777777" w:rsidR="00E74194" w:rsidRDefault="00E74194" w:rsidP="00E74194">
      <w:pPr>
        <w:spacing w:line="240" w:lineRule="auto"/>
        <w:rPr>
          <w:rFonts w:eastAsia="Times New Roman" w:cs="Arial"/>
          <w:color w:val="000000"/>
          <w:lang w:eastAsia="bg-BG"/>
        </w:rPr>
      </w:pPr>
      <w:r w:rsidRPr="00E74194">
        <w:rPr>
          <w:rFonts w:eastAsia="Times New Roman" w:cs="Arial"/>
          <w:color w:val="000000"/>
          <w:lang w:eastAsia="bg-BG"/>
        </w:rPr>
        <w:t xml:space="preserve">Трябва да се вземат мерки да не се надхвърля дозата, водеща до желания терапевтичен </w:t>
      </w:r>
    </w:p>
    <w:p w14:paraId="0D544C1E" w14:textId="08B5C0AE" w:rsidR="00E74194" w:rsidRPr="00E74194" w:rsidRDefault="00E74194" w:rsidP="00E74194">
      <w:pPr>
        <w:spacing w:line="240" w:lineRule="auto"/>
        <w:rPr>
          <w:rFonts w:eastAsia="Times New Roman" w:cs="Arial"/>
        </w:rPr>
      </w:pPr>
      <w:r w:rsidRPr="00E74194">
        <w:rPr>
          <w:rFonts w:eastAsia="Times New Roman" w:cs="Arial"/>
          <w:color w:val="000000"/>
          <w:lang w:eastAsia="bg-BG"/>
        </w:rPr>
        <w:t>ефект.</w:t>
      </w:r>
    </w:p>
    <w:p w14:paraId="5E56C8A2" w14:textId="77777777" w:rsidR="00E74194" w:rsidRDefault="00E74194" w:rsidP="00E74194">
      <w:pPr>
        <w:spacing w:line="240" w:lineRule="auto"/>
        <w:rPr>
          <w:rFonts w:eastAsia="Times New Roman" w:cs="Arial"/>
          <w:color w:val="000000"/>
          <w:lang w:eastAsia="bg-BG"/>
        </w:rPr>
      </w:pPr>
    </w:p>
    <w:p w14:paraId="75F8D710" w14:textId="02003DFD"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Обичайно е да се започне с доза от 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и да се повишава постепенно с по 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на интервали не по-кратки от половин седмица. Обикновено оптимален терапевтичен отговор се постига с дневна доза между 12 и 24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прилагана 3 или 4 пъти дневно на равни интервали от време. Еднократната доза не трябва да надхвърля 12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Общата дневна доза не трябва да надхвърля 36 </w:t>
      </w:r>
      <w:r w:rsidRPr="00E74194">
        <w:rPr>
          <w:rFonts w:eastAsia="Times New Roman" w:cs="Arial"/>
          <w:color w:val="000000"/>
          <w:lang w:val="en-US"/>
        </w:rPr>
        <w:t>mg</w:t>
      </w:r>
      <w:r w:rsidRPr="00E74194">
        <w:rPr>
          <w:rFonts w:eastAsia="Times New Roman" w:cs="Arial"/>
          <w:color w:val="000000"/>
          <w:lang w:val="ru-RU"/>
        </w:rPr>
        <w:t>.</w:t>
      </w:r>
    </w:p>
    <w:p w14:paraId="665F7B8B"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Нежеланите реакции (вж. т. 4.8) може да възникнат и при терапевтични дози, но те може да бъдат минимизирани чрез постепенно титриране на дозата, така че при голяма част от пациентите те не са лимитиращ фактор.</w:t>
      </w:r>
    </w:p>
    <w:p w14:paraId="578AE753" w14:textId="77777777" w:rsidR="00E74194" w:rsidRDefault="00E74194" w:rsidP="00E74194">
      <w:pPr>
        <w:spacing w:line="240" w:lineRule="auto"/>
        <w:rPr>
          <w:rFonts w:eastAsia="Times New Roman" w:cs="Arial"/>
          <w:i/>
          <w:iCs/>
          <w:color w:val="000000"/>
          <w:lang w:eastAsia="bg-BG"/>
        </w:rPr>
      </w:pPr>
    </w:p>
    <w:p w14:paraId="781371B6" w14:textId="425BD1C2"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Прекъсване на терапията</w:t>
      </w:r>
    </w:p>
    <w:p w14:paraId="1CFE5ABD"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Ако е необходимо прекратяване на лечението, особено при пациенти получавали високи дози за продължителен период от време, дозата трябва да бъде намалявана постепенно (вж. т. 4.4).</w:t>
      </w:r>
    </w:p>
    <w:p w14:paraId="64316E0A" w14:textId="77777777" w:rsidR="00E74194" w:rsidRDefault="00E74194" w:rsidP="00E74194">
      <w:pPr>
        <w:spacing w:line="240" w:lineRule="auto"/>
        <w:rPr>
          <w:rFonts w:eastAsia="Times New Roman" w:cs="Arial"/>
          <w:i/>
          <w:iCs/>
          <w:color w:val="000000"/>
          <w:lang w:eastAsia="bg-BG"/>
        </w:rPr>
      </w:pPr>
    </w:p>
    <w:p w14:paraId="64EBD5CE" w14:textId="093F8080"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Пациенти в старческа възраст</w:t>
      </w:r>
    </w:p>
    <w:p w14:paraId="4676352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Опитът при пациенти в старческа възраст е ограничен и употребата на тизанидин при тях не се препоръчва, освен ако очакваните ползи не надхвърлят потенциалният риск.</w:t>
      </w:r>
    </w:p>
    <w:p w14:paraId="3FE2C40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Фармакокинетичните данни показват, че бъбречният клирънс при пациенти в старческа възраст може да бъде намален до три пъти.</w:t>
      </w:r>
    </w:p>
    <w:p w14:paraId="4BBEA48F" w14:textId="77777777" w:rsidR="00E74194" w:rsidRDefault="00E74194" w:rsidP="00E74194">
      <w:pPr>
        <w:spacing w:line="240" w:lineRule="auto"/>
        <w:rPr>
          <w:rFonts w:eastAsia="Times New Roman" w:cs="Arial"/>
          <w:i/>
          <w:iCs/>
          <w:color w:val="000000"/>
          <w:lang w:eastAsia="bg-BG"/>
        </w:rPr>
      </w:pPr>
    </w:p>
    <w:p w14:paraId="79883C93" w14:textId="575750AB"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Педиатрична популация</w:t>
      </w:r>
    </w:p>
    <w:p w14:paraId="7A88DE64"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Опитът с тизанидин при пациенти под 18-годишна възраст е ограничен. Тизанидин не се препоръчва за употреба в тази възрастова група.</w:t>
      </w:r>
    </w:p>
    <w:p w14:paraId="22785436" w14:textId="77777777" w:rsidR="00E74194" w:rsidRDefault="00E74194" w:rsidP="00E74194">
      <w:pPr>
        <w:spacing w:line="240" w:lineRule="auto"/>
        <w:rPr>
          <w:rFonts w:eastAsia="Times New Roman" w:cs="Arial"/>
          <w:i/>
          <w:iCs/>
          <w:color w:val="000000"/>
          <w:lang w:eastAsia="bg-BG"/>
        </w:rPr>
      </w:pPr>
    </w:p>
    <w:p w14:paraId="6FC8A06E" w14:textId="6BBBE620"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Бъбречна недостатъчност</w:t>
      </w:r>
    </w:p>
    <w:p w14:paraId="7EBF90C5"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При пациенти с бъбречна недостатъчност (клирънс на креатинина &lt;25 </w:t>
      </w:r>
      <w:r w:rsidRPr="00E74194">
        <w:rPr>
          <w:rFonts w:eastAsia="Times New Roman" w:cs="Arial"/>
          <w:color w:val="000000"/>
          <w:lang w:val="en-US"/>
        </w:rPr>
        <w:t>ml</w:t>
      </w:r>
      <w:r w:rsidRPr="00E74194">
        <w:rPr>
          <w:rFonts w:eastAsia="Times New Roman" w:cs="Arial"/>
          <w:color w:val="000000"/>
          <w:lang w:val="ru-RU"/>
        </w:rPr>
        <w:t>/</w:t>
      </w:r>
      <w:r w:rsidRPr="00E74194">
        <w:rPr>
          <w:rFonts w:eastAsia="Times New Roman" w:cs="Arial"/>
          <w:color w:val="000000"/>
          <w:lang w:val="en-US"/>
        </w:rPr>
        <w:t>min</w:t>
      </w:r>
      <w:r w:rsidRPr="00E74194">
        <w:rPr>
          <w:rFonts w:eastAsia="Times New Roman" w:cs="Arial"/>
          <w:color w:val="000000"/>
          <w:lang w:val="ru-RU"/>
        </w:rPr>
        <w:t xml:space="preserve">), </w:t>
      </w:r>
      <w:r w:rsidRPr="00E74194">
        <w:rPr>
          <w:rFonts w:eastAsia="Times New Roman" w:cs="Arial"/>
          <w:color w:val="000000"/>
          <w:lang w:eastAsia="bg-BG"/>
        </w:rPr>
        <w:t xml:space="preserve">лечението трябва да започне с еднократна дневна доза от 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с бавно повишаване до достигане на ефективна доза. Повишаването на дозата трябва да бъде с не повече от 2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съобразено с индивидуалната поносимост и ефикасност. Препоръчва се да се повишава бавно еднократната дневна доза преди да се пристъпи към повишаване честотата на приложение. Бъбречната функция трябва да бъде мониторирана както се препоръчва при такива пациенти, (вж. т. 4.4).</w:t>
      </w:r>
    </w:p>
    <w:p w14:paraId="1B2F9288" w14:textId="77777777" w:rsidR="00E74194" w:rsidRDefault="00E74194" w:rsidP="00E74194">
      <w:pPr>
        <w:spacing w:line="240" w:lineRule="auto"/>
        <w:rPr>
          <w:rFonts w:eastAsia="Times New Roman" w:cs="Arial"/>
          <w:i/>
          <w:iCs/>
          <w:color w:val="000000"/>
          <w:lang w:eastAsia="bg-BG"/>
        </w:rPr>
      </w:pPr>
    </w:p>
    <w:p w14:paraId="1621DCAA" w14:textId="7D435562"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lastRenderedPageBreak/>
        <w:t>Чернодробно увреждане</w:t>
      </w:r>
    </w:p>
    <w:p w14:paraId="2C1B2C6B"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Тизанидин е противопоказан при пациенти със значително увредена чернодробна функция (вж.т.4.3 и 4.4).</w:t>
      </w:r>
    </w:p>
    <w:p w14:paraId="01BECDD7" w14:textId="77777777" w:rsidR="00E74194" w:rsidRPr="00E74194" w:rsidRDefault="00E74194" w:rsidP="00E74194"/>
    <w:p w14:paraId="28C984E8" w14:textId="0B151DB0" w:rsidR="008134C8" w:rsidRDefault="002C50EE" w:rsidP="004A448E">
      <w:pPr>
        <w:pStyle w:val="Heading2"/>
      </w:pPr>
      <w:r>
        <w:t>4.3. Противопоказания</w:t>
      </w:r>
    </w:p>
    <w:p w14:paraId="442097D8" w14:textId="316E0812" w:rsidR="00E74194" w:rsidRDefault="00E74194" w:rsidP="00E74194"/>
    <w:p w14:paraId="003E7495" w14:textId="77777777" w:rsidR="00E74194" w:rsidRPr="00E74194" w:rsidRDefault="00E74194" w:rsidP="00E74194">
      <w:pPr>
        <w:rPr>
          <w:sz w:val="24"/>
          <w:szCs w:val="24"/>
        </w:rPr>
      </w:pPr>
      <w:r w:rsidRPr="00E74194">
        <w:rPr>
          <w:lang w:eastAsia="bg-BG"/>
        </w:rPr>
        <w:t>Свръхчувствителност към активното вещество или към някое от помощните вещества, изброени в точка 6.1</w:t>
      </w:r>
    </w:p>
    <w:p w14:paraId="771636AC" w14:textId="77777777" w:rsidR="00E74194" w:rsidRDefault="00E74194" w:rsidP="00E74194">
      <w:pPr>
        <w:rPr>
          <w:lang w:eastAsia="bg-BG"/>
        </w:rPr>
      </w:pPr>
    </w:p>
    <w:p w14:paraId="653862C5" w14:textId="2A3C6DE8" w:rsidR="00E74194" w:rsidRDefault="00E74194" w:rsidP="00E74194">
      <w:pPr>
        <w:rPr>
          <w:lang w:eastAsia="bg-BG"/>
        </w:rPr>
      </w:pPr>
      <w:r w:rsidRPr="00E74194">
        <w:rPr>
          <w:lang w:eastAsia="bg-BG"/>
        </w:rPr>
        <w:t>Употребата на тизанидин при пациенти със силно нарушена на чернодробната функция е противопоказано, тъй като тизанидин се метаболизира главно в черния дроб.</w:t>
      </w:r>
    </w:p>
    <w:p w14:paraId="6B512CC7" w14:textId="242FC3C8" w:rsidR="00E74194" w:rsidRDefault="00E74194" w:rsidP="00E74194">
      <w:pPr>
        <w:rPr>
          <w:lang w:eastAsia="bg-BG"/>
        </w:rPr>
      </w:pPr>
    </w:p>
    <w:p w14:paraId="763B9D09" w14:textId="77777777" w:rsidR="00E74194" w:rsidRPr="00E74194" w:rsidRDefault="00E74194" w:rsidP="00E74194">
      <w:pPr>
        <w:rPr>
          <w:sz w:val="24"/>
          <w:szCs w:val="24"/>
        </w:rPr>
      </w:pPr>
      <w:r w:rsidRPr="00E74194">
        <w:rPr>
          <w:lang w:eastAsia="bg-BG"/>
        </w:rPr>
        <w:t xml:space="preserve">Едновременната употреба на тизанидин с мощни инхибитори на </w:t>
      </w:r>
      <w:r w:rsidRPr="00E74194">
        <w:rPr>
          <w:lang w:val="en-US"/>
        </w:rPr>
        <w:t>CYP</w:t>
      </w:r>
      <w:r w:rsidRPr="00E74194">
        <w:rPr>
          <w:lang w:val="ru-RU"/>
        </w:rPr>
        <w:t>1</w:t>
      </w:r>
      <w:r w:rsidRPr="00E74194">
        <w:rPr>
          <w:lang w:eastAsia="bg-BG"/>
        </w:rPr>
        <w:t>А2 като флувоксамин или ципрофлоксацин е противопоказана, (вж. т. 4.4 и 4.5).</w:t>
      </w:r>
    </w:p>
    <w:p w14:paraId="5776A24D" w14:textId="77777777" w:rsidR="00E74194" w:rsidRPr="00E74194" w:rsidRDefault="00E74194" w:rsidP="00E74194"/>
    <w:p w14:paraId="212F509C" w14:textId="68044FF6" w:rsidR="004F498A" w:rsidRDefault="002C50EE" w:rsidP="004A448E">
      <w:pPr>
        <w:pStyle w:val="Heading2"/>
      </w:pPr>
      <w:r>
        <w:t>4.4. Специални предупреждения и предпазни мерки при употреба</w:t>
      </w:r>
    </w:p>
    <w:p w14:paraId="087C8D93" w14:textId="2D5007E3" w:rsidR="00E74194" w:rsidRDefault="00E74194" w:rsidP="00E74194"/>
    <w:p w14:paraId="2F240079" w14:textId="03D42A79"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Инхибитори на цитохром Р</w:t>
      </w:r>
      <w:r>
        <w:rPr>
          <w:rFonts w:eastAsia="Times New Roman" w:cs="Arial"/>
          <w:i/>
          <w:iCs/>
          <w:color w:val="000000"/>
          <w:vertAlign w:val="subscript"/>
          <w:lang w:eastAsia="bg-BG"/>
        </w:rPr>
        <w:t>450</w:t>
      </w:r>
      <w:r w:rsidRPr="00E74194">
        <w:rPr>
          <w:rFonts w:eastAsia="Times New Roman" w:cs="Arial"/>
          <w:i/>
          <w:iCs/>
          <w:color w:val="000000"/>
          <w:lang w:eastAsia="bg-BG"/>
        </w:rPr>
        <w:t xml:space="preserve"> </w:t>
      </w:r>
      <w:r w:rsidRPr="00E74194">
        <w:rPr>
          <w:rFonts w:eastAsia="Times New Roman" w:cs="Arial"/>
          <w:i/>
          <w:iCs/>
          <w:color w:val="000000"/>
          <w:lang w:val="ru-RU"/>
        </w:rPr>
        <w:t>(</w:t>
      </w:r>
      <w:r w:rsidRPr="00E74194">
        <w:rPr>
          <w:rFonts w:eastAsia="Times New Roman" w:cs="Arial"/>
          <w:i/>
          <w:iCs/>
          <w:color w:val="000000"/>
          <w:lang w:val="en-US"/>
        </w:rPr>
        <w:t>CYP</w:t>
      </w:r>
      <w:r w:rsidRPr="00E74194">
        <w:rPr>
          <w:rFonts w:eastAsia="Times New Roman" w:cs="Arial"/>
          <w:i/>
          <w:iCs/>
          <w:color w:val="000000"/>
          <w:lang w:val="ru-RU"/>
        </w:rPr>
        <w:t>)</w:t>
      </w:r>
    </w:p>
    <w:p w14:paraId="1332E52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Не се препоръчва едновременното приложение на тизанидин с инхибитори на </w:t>
      </w:r>
      <w:r w:rsidRPr="00E74194">
        <w:rPr>
          <w:rFonts w:eastAsia="Times New Roman" w:cs="Arial"/>
          <w:color w:val="000000"/>
          <w:lang w:val="en-US"/>
        </w:rPr>
        <w:t>CYP</w:t>
      </w:r>
      <w:r w:rsidRPr="00E74194">
        <w:rPr>
          <w:rFonts w:eastAsia="Times New Roman" w:cs="Arial"/>
          <w:color w:val="000000"/>
          <w:lang w:val="ru-RU"/>
        </w:rPr>
        <w:t>1</w:t>
      </w:r>
      <w:r w:rsidRPr="00E74194">
        <w:rPr>
          <w:rFonts w:eastAsia="Times New Roman" w:cs="Arial"/>
          <w:color w:val="000000"/>
          <w:lang w:val="en-US"/>
        </w:rPr>
        <w:t>A</w:t>
      </w:r>
      <w:r w:rsidRPr="00E74194">
        <w:rPr>
          <w:rFonts w:eastAsia="Times New Roman" w:cs="Arial"/>
          <w:color w:val="000000"/>
          <w:lang w:val="ru-RU"/>
        </w:rPr>
        <w:t xml:space="preserve">2 </w:t>
      </w:r>
      <w:r w:rsidRPr="00E74194">
        <w:rPr>
          <w:rFonts w:eastAsia="Times New Roman" w:cs="Arial"/>
          <w:color w:val="000000"/>
          <w:lang w:eastAsia="bg-BG"/>
        </w:rPr>
        <w:t>(вж. т.4.3 и 4.5).</w:t>
      </w:r>
    </w:p>
    <w:p w14:paraId="6DAE47BC" w14:textId="77777777" w:rsidR="00E74194" w:rsidRDefault="00E74194" w:rsidP="00E74194">
      <w:pPr>
        <w:spacing w:line="240" w:lineRule="auto"/>
        <w:rPr>
          <w:rFonts w:eastAsia="Times New Roman" w:cs="Arial"/>
          <w:i/>
          <w:iCs/>
          <w:color w:val="000000"/>
          <w:lang w:eastAsia="bg-BG"/>
        </w:rPr>
      </w:pPr>
    </w:p>
    <w:p w14:paraId="228E79D7" w14:textId="142F17BC"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Хипотония</w:t>
      </w:r>
    </w:p>
    <w:p w14:paraId="4EE4F111"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По време на лечението с тизанидин може да се появи хипотония (вж. т. 4.8), а също и като резултат от взаимодействия с инхибитори на </w:t>
      </w:r>
      <w:r w:rsidRPr="00E74194">
        <w:rPr>
          <w:rFonts w:eastAsia="Times New Roman" w:cs="Arial"/>
          <w:color w:val="000000"/>
          <w:lang w:val="en-US"/>
        </w:rPr>
        <w:t>CYP</w:t>
      </w:r>
      <w:r w:rsidRPr="00E74194">
        <w:rPr>
          <w:rFonts w:eastAsia="Times New Roman" w:cs="Arial"/>
          <w:color w:val="000000"/>
          <w:lang w:val="ru-RU"/>
        </w:rPr>
        <w:t>1</w:t>
      </w:r>
      <w:r w:rsidRPr="00E74194">
        <w:rPr>
          <w:rFonts w:eastAsia="Times New Roman" w:cs="Arial"/>
          <w:color w:val="000000"/>
          <w:lang w:eastAsia="bg-BG"/>
        </w:rPr>
        <w:t>А2 и/ или антихипертензивни средства. Наблюдавани са тежки прояви на хипотония като загуба на съзнание и циркулаторен колапс.</w:t>
      </w:r>
    </w:p>
    <w:p w14:paraId="52546F7E" w14:textId="77777777" w:rsidR="00E74194" w:rsidRDefault="00E74194" w:rsidP="00E74194">
      <w:pPr>
        <w:spacing w:line="240" w:lineRule="auto"/>
        <w:rPr>
          <w:rFonts w:eastAsia="Times New Roman" w:cs="Arial"/>
          <w:i/>
          <w:iCs/>
          <w:color w:val="000000"/>
          <w:lang w:eastAsia="bg-BG"/>
        </w:rPr>
      </w:pPr>
    </w:p>
    <w:p w14:paraId="4000E959" w14:textId="5202D93A"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Синдром на отнемане</w:t>
      </w:r>
    </w:p>
    <w:p w14:paraId="7E04E2CE"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След внезапно прекратяване на лечението с тизанидин когато е прилаган продължително време и/или във високи дози, и/или едновременно с антихипертензивни средства са наблюдавани ребаунд хипертония и тахикардия. В изключителни случаи ребаунд хипертонията може да доведе до цереброваскуларни инциденти. Затова тизанидин не трябва да се спира внезапно, а с постепенно намаляване на дозата (вж. т. 4.2,4.5 и 4.8).</w:t>
      </w:r>
    </w:p>
    <w:p w14:paraId="79EFE912" w14:textId="77777777" w:rsidR="00E74194" w:rsidRDefault="00E74194" w:rsidP="00E74194">
      <w:pPr>
        <w:spacing w:line="240" w:lineRule="auto"/>
        <w:rPr>
          <w:rFonts w:eastAsia="Times New Roman" w:cs="Arial"/>
          <w:i/>
          <w:iCs/>
          <w:color w:val="000000"/>
          <w:lang w:eastAsia="bg-BG"/>
        </w:rPr>
      </w:pPr>
    </w:p>
    <w:p w14:paraId="1C7DF31F" w14:textId="0C46246C"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Употреба при бъбречно увреждане</w:t>
      </w:r>
    </w:p>
    <w:p w14:paraId="26E4B086"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Пациенти с бъбречни увреждания може да се нуждаят от по-ниски дози и затова приложението на тизанидин при такива пациенти изисква повишено внимание (вж. т. 4.2).</w:t>
      </w:r>
    </w:p>
    <w:p w14:paraId="761C57AB" w14:textId="77777777" w:rsidR="00E74194" w:rsidRDefault="00E74194" w:rsidP="00E74194">
      <w:pPr>
        <w:spacing w:line="240" w:lineRule="auto"/>
        <w:rPr>
          <w:rFonts w:eastAsia="Times New Roman" w:cs="Arial"/>
          <w:i/>
          <w:iCs/>
          <w:color w:val="000000"/>
          <w:lang w:eastAsia="bg-BG"/>
        </w:rPr>
      </w:pPr>
    </w:p>
    <w:p w14:paraId="2E54CA5D" w14:textId="03CD4D55"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Сърдечносъдови, чернодробни или бъбречни заболявания</w:t>
      </w:r>
    </w:p>
    <w:p w14:paraId="05E428C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Пациенти със сърдечно-съдови заболявания, заболявания на коронарните артерии или бъбречни, или чернодробни заболявания се нуждаят от повишено внимание. По време на лечението с тизанидин се препоръчва провеждане на редовни лабораторни изследвания и ЕКГ.</w:t>
      </w:r>
    </w:p>
    <w:p w14:paraId="44E6D647" w14:textId="77777777" w:rsidR="00E74194" w:rsidRDefault="00E74194" w:rsidP="00E74194">
      <w:pPr>
        <w:spacing w:line="240" w:lineRule="auto"/>
        <w:rPr>
          <w:rFonts w:eastAsia="Times New Roman" w:cs="Arial"/>
          <w:i/>
          <w:iCs/>
          <w:color w:val="000000"/>
          <w:lang w:eastAsia="bg-BG"/>
        </w:rPr>
      </w:pPr>
    </w:p>
    <w:p w14:paraId="1CFD2FB7" w14:textId="385C3841"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Нарушена чернодробна функция</w:t>
      </w:r>
    </w:p>
    <w:p w14:paraId="381C35A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Във връзка с приложението на тизанидин има съобщения за нарушена чернодробна функция. Затова преди започване на лечение с тизанидин при всички пациенти се препоръчва провеждане на чернодробни тестове, за да се установи изходното състояние и да се изключи съществуващо чернодробно заболяване или значително нарушена </w:t>
      </w:r>
      <w:r w:rsidRPr="00E74194">
        <w:rPr>
          <w:rFonts w:eastAsia="Times New Roman" w:cs="Arial"/>
          <w:color w:val="000000"/>
          <w:lang w:eastAsia="bg-BG"/>
        </w:rPr>
        <w:lastRenderedPageBreak/>
        <w:t xml:space="preserve">чернодробна функция. След това чернодробната функция следва да се контролира ежемесечно през първите четири месеца от началото на лечението при всички пациенти, и особено при тези, които развиват симптоми съмнителни за чернодробно увреждане: необяснимо гадене, загуба на апетит, лесна уморяемост. Лечението с тизанидин трябва да бъде прекратено, ако серумните нива на </w:t>
      </w:r>
      <w:r w:rsidRPr="00E74194">
        <w:rPr>
          <w:rFonts w:eastAsia="Times New Roman" w:cs="Arial"/>
          <w:color w:val="000000"/>
          <w:lang w:val="en-US"/>
        </w:rPr>
        <w:t>SGPT</w:t>
      </w:r>
      <w:r w:rsidRPr="00E74194">
        <w:rPr>
          <w:rFonts w:eastAsia="Times New Roman" w:cs="Arial"/>
          <w:color w:val="000000"/>
          <w:lang w:val="ru-RU"/>
        </w:rPr>
        <w:t xml:space="preserve"> </w:t>
      </w:r>
      <w:r w:rsidRPr="00E74194">
        <w:rPr>
          <w:rFonts w:eastAsia="Times New Roman" w:cs="Arial"/>
          <w:color w:val="000000"/>
          <w:lang w:eastAsia="bg-BG"/>
        </w:rPr>
        <w:t xml:space="preserve">(серумната глутамат-пируват трансаминаза) и/или </w:t>
      </w:r>
      <w:r w:rsidRPr="00E74194">
        <w:rPr>
          <w:rFonts w:eastAsia="Times New Roman" w:cs="Arial"/>
          <w:color w:val="000000"/>
          <w:lang w:val="en-US"/>
        </w:rPr>
        <w:t>SGOT</w:t>
      </w:r>
      <w:r w:rsidRPr="00E74194">
        <w:rPr>
          <w:rFonts w:eastAsia="Times New Roman" w:cs="Arial"/>
          <w:color w:val="000000"/>
          <w:lang w:val="ru-RU"/>
        </w:rPr>
        <w:t xml:space="preserve"> </w:t>
      </w:r>
      <w:r w:rsidRPr="00E74194">
        <w:rPr>
          <w:rFonts w:eastAsia="Times New Roman" w:cs="Arial"/>
          <w:color w:val="000000"/>
          <w:lang w:eastAsia="bg-BG"/>
        </w:rPr>
        <w:t>(серумна глутамат-оксалацетат трансаминаза) са постоянно повишени повече от трикратно над горната граница на нормата. Приложението на тизанидин следва да бъде прекратено и при пациенти със симптоми за хепатит или при поява на жълтеница.</w:t>
      </w:r>
    </w:p>
    <w:p w14:paraId="1D1037B1" w14:textId="77777777" w:rsidR="00E74194" w:rsidRDefault="00E74194" w:rsidP="00E74194">
      <w:pPr>
        <w:spacing w:line="240" w:lineRule="auto"/>
        <w:rPr>
          <w:rFonts w:eastAsia="Times New Roman" w:cs="Arial"/>
          <w:color w:val="000000"/>
          <w:lang w:eastAsia="bg-BG"/>
        </w:rPr>
      </w:pPr>
    </w:p>
    <w:p w14:paraId="2D432E05" w14:textId="66B73244"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Този лекарствен продукт съдържа лактоза, безводна. Пациенти с редки наследствени заболявания, свързани с непоносимост към галактоза, </w:t>
      </w:r>
      <w:r w:rsidRPr="00E74194">
        <w:rPr>
          <w:rFonts w:eastAsia="Times New Roman" w:cs="Arial"/>
          <w:color w:val="000000"/>
          <w:lang w:val="en-US"/>
        </w:rPr>
        <w:t>Lapp</w:t>
      </w:r>
      <w:r w:rsidRPr="00E74194">
        <w:rPr>
          <w:rFonts w:eastAsia="Times New Roman" w:cs="Arial"/>
          <w:color w:val="000000"/>
          <w:lang w:val="ru-RU"/>
        </w:rPr>
        <w:t xml:space="preserve"> </w:t>
      </w:r>
      <w:r w:rsidRPr="00E74194">
        <w:rPr>
          <w:rFonts w:eastAsia="Times New Roman" w:cs="Arial"/>
          <w:color w:val="000000"/>
          <w:lang w:eastAsia="bg-BG"/>
        </w:rPr>
        <w:t>лактазен дефицит или глюкозо- галактозна малабсорбция не трябва да приемат това лекарство.</w:t>
      </w:r>
    </w:p>
    <w:p w14:paraId="724B4DE1" w14:textId="77777777" w:rsidR="00E74194" w:rsidRPr="00E74194" w:rsidRDefault="00E74194" w:rsidP="00E74194"/>
    <w:p w14:paraId="619DED1E" w14:textId="7D6E1BA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426C7C2" w14:textId="5ECA100D" w:rsidR="00E74194" w:rsidRDefault="00E74194" w:rsidP="00E74194"/>
    <w:p w14:paraId="44D0C4F2" w14:textId="77777777"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 xml:space="preserve">Инхибитори на </w:t>
      </w:r>
      <w:r w:rsidRPr="00E74194">
        <w:rPr>
          <w:rFonts w:eastAsia="Times New Roman" w:cs="Arial"/>
          <w:i/>
          <w:iCs/>
          <w:color w:val="000000"/>
          <w:lang w:val="en-US"/>
        </w:rPr>
        <w:t>CYP</w:t>
      </w:r>
    </w:p>
    <w:p w14:paraId="1820439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Едновременно приложение на лекарства, за които е известно, че инхибират активността на </w:t>
      </w:r>
      <w:r w:rsidRPr="00E74194">
        <w:rPr>
          <w:rFonts w:eastAsia="Times New Roman" w:cs="Arial"/>
          <w:color w:val="000000"/>
          <w:lang w:val="en-US"/>
        </w:rPr>
        <w:t>CYP</w:t>
      </w:r>
      <w:r w:rsidRPr="00E74194">
        <w:rPr>
          <w:rFonts w:eastAsia="Times New Roman" w:cs="Arial"/>
          <w:color w:val="000000"/>
          <w:lang w:val="ru-RU"/>
        </w:rPr>
        <w:t>1</w:t>
      </w:r>
      <w:r w:rsidRPr="00E74194">
        <w:rPr>
          <w:rFonts w:eastAsia="Times New Roman" w:cs="Arial"/>
          <w:color w:val="000000"/>
          <w:lang w:eastAsia="bg-BG"/>
        </w:rPr>
        <w:t>А2 може да доведе до повишаване на плазмените нива на тизанидин (вж.точка 5.2).</w:t>
      </w:r>
    </w:p>
    <w:p w14:paraId="6C5B5AC7" w14:textId="0A7D7CC2" w:rsidR="00E74194" w:rsidRPr="00E74194" w:rsidRDefault="00E74194" w:rsidP="00E74194">
      <w:pPr>
        <w:rPr>
          <w:rFonts w:eastAsia="Times New Roman" w:cs="Arial"/>
        </w:rPr>
      </w:pPr>
      <w:r w:rsidRPr="00E74194">
        <w:rPr>
          <w:rFonts w:eastAsia="Times New Roman" w:cs="Arial"/>
          <w:color w:val="000000"/>
          <w:lang w:eastAsia="bg-BG"/>
        </w:rPr>
        <w:t>Едновременната употреба на тизанидин с флувоксамин или ципрофлоксацин инхибитори на</w:t>
      </w:r>
      <w:r w:rsidRPr="00E74194">
        <w:rPr>
          <w:rFonts w:eastAsia="Times New Roman" w:cs="Arial"/>
        </w:rPr>
        <w:t xml:space="preserve"> </w:t>
      </w:r>
      <w:r w:rsidRPr="00E74194">
        <w:rPr>
          <w:rFonts w:eastAsia="Times New Roman" w:cs="Arial"/>
          <w:color w:val="000000"/>
          <w:lang w:val="en-US"/>
        </w:rPr>
        <w:t>CYP</w:t>
      </w:r>
      <w:r w:rsidRPr="00E74194">
        <w:rPr>
          <w:rFonts w:eastAsia="Times New Roman" w:cs="Arial"/>
          <w:color w:val="000000"/>
          <w:lang w:val="ru-RU"/>
        </w:rPr>
        <w:t>1</w:t>
      </w:r>
      <w:r w:rsidRPr="00E74194">
        <w:rPr>
          <w:rFonts w:eastAsia="Times New Roman" w:cs="Arial"/>
          <w:color w:val="000000"/>
          <w:lang w:eastAsia="bg-BG"/>
        </w:rPr>
        <w:t>А2 при хора е противопоказана (вж. т.4.3), което води до 33-кратно,</w:t>
      </w:r>
      <w:r w:rsidRPr="00E74194">
        <w:rPr>
          <w:rFonts w:eastAsia="Times New Roman" w:cs="Arial"/>
          <w:color w:val="000000"/>
          <w:lang w:val="ru-RU"/>
        </w:rPr>
        <w:t xml:space="preserve"> </w:t>
      </w:r>
      <w:r w:rsidRPr="00E74194">
        <w:rPr>
          <w:rFonts w:eastAsia="Times New Roman" w:cs="Arial"/>
          <w:color w:val="000000"/>
          <w:lang w:eastAsia="bg-BG"/>
        </w:rPr>
        <w:t xml:space="preserve">респ. 10-кратно повишаване на </w:t>
      </w:r>
      <w:r w:rsidRPr="00E74194">
        <w:rPr>
          <w:rFonts w:eastAsia="Times New Roman" w:cs="Arial"/>
          <w:color w:val="000000"/>
          <w:lang w:val="en-US"/>
        </w:rPr>
        <w:t>AUC</w:t>
      </w:r>
      <w:r w:rsidRPr="00E74194">
        <w:rPr>
          <w:rFonts w:eastAsia="Times New Roman" w:cs="Arial"/>
          <w:color w:val="000000"/>
          <w:lang w:val="ru-RU"/>
        </w:rPr>
        <w:t xml:space="preserve"> </w:t>
      </w:r>
      <w:r w:rsidRPr="00E74194">
        <w:rPr>
          <w:rFonts w:eastAsia="Times New Roman" w:cs="Arial"/>
          <w:color w:val="000000"/>
          <w:lang w:eastAsia="bg-BG"/>
        </w:rPr>
        <w:t xml:space="preserve">на тизанидин. Това води до клинично значима и пролонгирана хипотония придружена от сомнолентност, замаяност и потиснати психомоторни реакции (вж. т. 4.4). Едновременното приложение на тизанидин с други инхибитори на </w:t>
      </w:r>
      <w:r w:rsidRPr="00E74194">
        <w:rPr>
          <w:rFonts w:eastAsia="Times New Roman" w:cs="Arial"/>
          <w:color w:val="000000"/>
          <w:lang w:val="en-US"/>
        </w:rPr>
        <w:t>CYP</w:t>
      </w:r>
      <w:r w:rsidRPr="00E74194">
        <w:rPr>
          <w:rFonts w:eastAsia="Times New Roman" w:cs="Arial"/>
          <w:color w:val="000000"/>
        </w:rPr>
        <w:t>1</w:t>
      </w:r>
      <w:r w:rsidRPr="00E74194">
        <w:rPr>
          <w:rFonts w:eastAsia="Times New Roman" w:cs="Arial"/>
          <w:color w:val="000000"/>
          <w:lang w:eastAsia="bg-BG"/>
        </w:rPr>
        <w:t>А2, като някои антиаритмици (амиодарон, мексилетин, пропафенон), циметидин, някои флуорохинолони (еноксацин, пефлоксацин, норфлоксацин), рофекоксиб, перорални контрацептиви и тиклопидин не се препоръчва, (вж. т. 4.4)</w:t>
      </w:r>
    </w:p>
    <w:p w14:paraId="10835CC4" w14:textId="77777777" w:rsidR="00E74194" w:rsidRDefault="00E74194" w:rsidP="00E74194">
      <w:pPr>
        <w:spacing w:line="240" w:lineRule="auto"/>
        <w:rPr>
          <w:rFonts w:eastAsia="Times New Roman" w:cs="Arial"/>
          <w:color w:val="000000"/>
          <w:lang w:eastAsia="bg-BG"/>
        </w:rPr>
      </w:pPr>
    </w:p>
    <w:p w14:paraId="07B687CC" w14:textId="0B27CA2A"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Когато тизанидин се предписва с вещества, за които е известно, че удължават </w:t>
      </w:r>
      <w:r w:rsidRPr="00E74194">
        <w:rPr>
          <w:rFonts w:eastAsia="Times New Roman" w:cs="Arial"/>
          <w:color w:val="000000"/>
          <w:lang w:val="en-US"/>
        </w:rPr>
        <w:t>QT</w:t>
      </w:r>
      <w:r w:rsidRPr="00E74194">
        <w:rPr>
          <w:rFonts w:eastAsia="Times New Roman" w:cs="Arial"/>
          <w:color w:val="000000"/>
          <w:lang w:eastAsia="bg-BG"/>
        </w:rPr>
        <w:t>-интервала е необходимо повишено внимание. Желателно е ЕКГ-мониториране.</w:t>
      </w:r>
    </w:p>
    <w:p w14:paraId="4F166047" w14:textId="77777777" w:rsidR="00E74194" w:rsidRDefault="00E74194" w:rsidP="00E74194">
      <w:pPr>
        <w:spacing w:line="240" w:lineRule="auto"/>
        <w:rPr>
          <w:rFonts w:eastAsia="Times New Roman" w:cs="Arial"/>
          <w:i/>
          <w:iCs/>
          <w:color w:val="000000"/>
          <w:lang w:eastAsia="bg-BG"/>
        </w:rPr>
      </w:pPr>
    </w:p>
    <w:p w14:paraId="00844833" w14:textId="1A8A84D3"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Антихипертензивни средства</w:t>
      </w:r>
    </w:p>
    <w:p w14:paraId="6DD26AA5"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Тъй като тизанидин може да индуцира хипотония, възможно е той да потенцира ефектите на други антихипертензивни средства, включително и диуретици. Затова при пациенти, които приемат лекарства, понижаващи артериалното налягане е необходимо повишено внимание. Същото е валидно и при комбинацията на тизанидин с бета-адренорецепторни блокери или дигоксин, тъй като комбинацията може да потенцира развитието на хипотония или брадикардия. При някои пациенти след рязко прекратяване на лечението с тизанидин, когато е бил комбиниран с антихипертензивни средства е наблюдавана ребаунд-хипертония и тахикардия. В някои тежки случаи ребаунд-хипертонията може да доведе до мозъчносъдови инциденти (вж. т. 4.4 и 4.8).</w:t>
      </w:r>
    </w:p>
    <w:p w14:paraId="2DB555A0" w14:textId="77777777" w:rsidR="00E74194" w:rsidRDefault="00E74194" w:rsidP="00E74194">
      <w:pPr>
        <w:spacing w:line="240" w:lineRule="auto"/>
        <w:rPr>
          <w:rFonts w:eastAsia="Times New Roman" w:cs="Arial"/>
          <w:color w:val="000000"/>
          <w:lang w:eastAsia="bg-BG"/>
        </w:rPr>
      </w:pPr>
    </w:p>
    <w:p w14:paraId="3C523CE5" w14:textId="2878648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Фармакокинетичните данни след еднократно или многократно приложение на тизанидин подсказват, че при жени, които приемат едновременно и перорални контрацептиви, клирънсът на тизанидин се редуцира с приблизително 50%. Въпреки че не са провеждани специфични фармакокинетични проучвания за изучаване на възможните взаимодействия между тизанидин и пероралните контрацептиви, възможността за клиничен отговор и/или </w:t>
      </w:r>
      <w:r w:rsidRPr="00E74194">
        <w:rPr>
          <w:rFonts w:eastAsia="Times New Roman" w:cs="Arial"/>
          <w:color w:val="000000"/>
          <w:lang w:eastAsia="bg-BG"/>
        </w:rPr>
        <w:lastRenderedPageBreak/>
        <w:t>нежелани реакции, възникващи при по-ниски дози тизанидин трябва да се имат предвид когато се предписва тизанидин на пациентки, които приемат перорални контрацептиви. От проведени клинични проучвания няма съобщения за клинично значими взаимодействия.</w:t>
      </w:r>
    </w:p>
    <w:p w14:paraId="1DA0726C" w14:textId="77777777" w:rsidR="00E74194" w:rsidRDefault="00E74194" w:rsidP="00E74194">
      <w:pPr>
        <w:spacing w:line="240" w:lineRule="auto"/>
        <w:rPr>
          <w:rFonts w:eastAsia="Times New Roman" w:cs="Arial"/>
          <w:color w:val="000000"/>
          <w:lang w:eastAsia="bg-BG"/>
        </w:rPr>
      </w:pPr>
    </w:p>
    <w:p w14:paraId="08D6B3DE" w14:textId="2F5253E8" w:rsidR="00E74194" w:rsidRDefault="00E74194" w:rsidP="00E74194">
      <w:pPr>
        <w:spacing w:line="240" w:lineRule="auto"/>
        <w:rPr>
          <w:rFonts w:eastAsia="Times New Roman" w:cs="Arial"/>
          <w:color w:val="000000"/>
          <w:lang w:eastAsia="bg-BG"/>
        </w:rPr>
      </w:pPr>
      <w:r w:rsidRPr="00E74194">
        <w:rPr>
          <w:rFonts w:eastAsia="Times New Roman" w:cs="Arial"/>
          <w:color w:val="000000"/>
          <w:lang w:eastAsia="bg-BG"/>
        </w:rPr>
        <w:t>Алкохол или централно-действащи агенти може да усилят седативното действие на тизанидин.</w:t>
      </w:r>
    </w:p>
    <w:p w14:paraId="0469A761" w14:textId="77777777" w:rsidR="00E74194" w:rsidRPr="00E74194" w:rsidRDefault="00E74194" w:rsidP="00E74194">
      <w:pPr>
        <w:spacing w:line="240" w:lineRule="auto"/>
        <w:rPr>
          <w:rFonts w:eastAsia="Times New Roman" w:cs="Arial"/>
        </w:rPr>
      </w:pPr>
    </w:p>
    <w:p w14:paraId="394A7584" w14:textId="6446DB46" w:rsidR="004F498A" w:rsidRDefault="002C50EE" w:rsidP="004A448E">
      <w:pPr>
        <w:pStyle w:val="Heading2"/>
      </w:pPr>
      <w:r>
        <w:t>4.6. Фертилитет, бременност и кърмене</w:t>
      </w:r>
    </w:p>
    <w:p w14:paraId="0D56FEA0" w14:textId="5D72ECB5" w:rsidR="00E74194" w:rsidRDefault="00E74194" w:rsidP="00E74194"/>
    <w:p w14:paraId="3D67437A" w14:textId="77777777" w:rsidR="00E74194" w:rsidRPr="00E74194" w:rsidRDefault="00E74194" w:rsidP="00E74194">
      <w:pPr>
        <w:pStyle w:val="Heading3"/>
        <w:rPr>
          <w:rFonts w:eastAsia="Times New Roman"/>
          <w:i/>
        </w:rPr>
      </w:pPr>
      <w:r w:rsidRPr="00E74194">
        <w:rPr>
          <w:rFonts w:eastAsia="Times New Roman"/>
          <w:i/>
          <w:lang w:eastAsia="bg-BG"/>
        </w:rPr>
        <w:t>Бременност</w:t>
      </w:r>
    </w:p>
    <w:p w14:paraId="3D948407" w14:textId="77777777" w:rsidR="00E74194" w:rsidRPr="00E74194" w:rsidRDefault="00E74194" w:rsidP="00E74194">
      <w:pPr>
        <w:rPr>
          <w:sz w:val="24"/>
          <w:szCs w:val="24"/>
        </w:rPr>
      </w:pPr>
      <w:r w:rsidRPr="00E74194">
        <w:rPr>
          <w:lang w:eastAsia="bg-BG"/>
        </w:rPr>
        <w:t>Експерименталните проучвания при животни не са показали тератогенни ефекти. Тъй като няма контролирани проучвания при бременни жени, тизанидин не трябва да се използва по време на бременност, освен в случай на категорична необходимост.</w:t>
      </w:r>
    </w:p>
    <w:p w14:paraId="6A88E2EC" w14:textId="77777777" w:rsidR="00E74194" w:rsidRDefault="00E74194" w:rsidP="00E74194">
      <w:pPr>
        <w:rPr>
          <w:lang w:eastAsia="bg-BG"/>
        </w:rPr>
      </w:pPr>
    </w:p>
    <w:p w14:paraId="0599CFD2" w14:textId="6E310B3C" w:rsidR="00E74194" w:rsidRPr="00E74194" w:rsidRDefault="00E74194" w:rsidP="00E74194">
      <w:pPr>
        <w:pStyle w:val="Heading3"/>
        <w:rPr>
          <w:rFonts w:eastAsia="Times New Roman"/>
          <w:i/>
        </w:rPr>
      </w:pPr>
      <w:r w:rsidRPr="00E74194">
        <w:rPr>
          <w:rFonts w:eastAsia="Times New Roman"/>
          <w:i/>
          <w:lang w:eastAsia="bg-BG"/>
        </w:rPr>
        <w:t>Кърмене</w:t>
      </w:r>
    </w:p>
    <w:p w14:paraId="78C66581" w14:textId="77777777" w:rsidR="00E74194" w:rsidRPr="00E74194" w:rsidRDefault="00E74194" w:rsidP="00E74194">
      <w:pPr>
        <w:rPr>
          <w:sz w:val="24"/>
          <w:szCs w:val="24"/>
        </w:rPr>
      </w:pPr>
      <w:r w:rsidRPr="00E74194">
        <w:rPr>
          <w:lang w:eastAsia="bg-BG"/>
        </w:rPr>
        <w:t>Въпреки че тизанидин се излъчва в много малки количества в млякото на животни, той не трябва да се приема от жени, които кърмят.</w:t>
      </w:r>
    </w:p>
    <w:p w14:paraId="1CEFB885" w14:textId="77777777" w:rsidR="00E74194" w:rsidRPr="00E74194" w:rsidRDefault="00E74194" w:rsidP="00E74194"/>
    <w:p w14:paraId="064DF1DE" w14:textId="207667C1" w:rsidR="00CF77F7" w:rsidRDefault="002C50EE" w:rsidP="004A448E">
      <w:pPr>
        <w:pStyle w:val="Heading2"/>
      </w:pPr>
      <w:r>
        <w:t>4.7. Ефекти върху способността за шофиране и работа с машини</w:t>
      </w:r>
    </w:p>
    <w:p w14:paraId="79771FCA" w14:textId="6A0B8FED" w:rsidR="00E74194" w:rsidRDefault="00E74194" w:rsidP="00E74194"/>
    <w:p w14:paraId="6184FAE4" w14:textId="77777777" w:rsidR="00E74194" w:rsidRPr="00E74194" w:rsidRDefault="00E74194" w:rsidP="00E74194">
      <w:pPr>
        <w:rPr>
          <w:sz w:val="24"/>
          <w:szCs w:val="24"/>
        </w:rPr>
      </w:pPr>
      <w:r w:rsidRPr="00E74194">
        <w:rPr>
          <w:lang w:eastAsia="bg-BG"/>
        </w:rPr>
        <w:t>Тизанидин повлиява в лека до умерена степен способността за шофиране и работа с машини: пациентите, които са получили сънливост или замаяност трябва да се посъветват да не извършват дейности, изискващи повишена степен на внимание.</w:t>
      </w:r>
    </w:p>
    <w:p w14:paraId="589D6790" w14:textId="77777777" w:rsidR="00E74194" w:rsidRPr="00E74194" w:rsidRDefault="00E74194" w:rsidP="00E74194"/>
    <w:p w14:paraId="37A3FD9F" w14:textId="4599D94A" w:rsidR="00CF77F7" w:rsidRDefault="002C50EE" w:rsidP="004A448E">
      <w:pPr>
        <w:pStyle w:val="Heading2"/>
      </w:pPr>
      <w:r>
        <w:t>4.8. Нежелани лекарствени реакции</w:t>
      </w:r>
    </w:p>
    <w:p w14:paraId="3A31CB44" w14:textId="234FD250" w:rsidR="00E74194" w:rsidRDefault="00E74194" w:rsidP="00E74194"/>
    <w:p w14:paraId="6A668A1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Нежеланите реакции са класифицирани по-долу по системо-органни класове и според следната конвенция:</w:t>
      </w:r>
    </w:p>
    <w:p w14:paraId="7ACD545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Много чести (≥1/10)</w:t>
      </w:r>
    </w:p>
    <w:p w14:paraId="322AB88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Чести (≥1/100 до &lt;1/10)</w:t>
      </w:r>
    </w:p>
    <w:p w14:paraId="2BF6AC66"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Нечести (≥1/1 000 до ≤1/100)</w:t>
      </w:r>
    </w:p>
    <w:p w14:paraId="2017E75E"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 (≥1/10 000 до ≤1/1 000)</w:t>
      </w:r>
    </w:p>
    <w:p w14:paraId="5013D764"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Много редки, включително изолирани съобщения (&lt;1/10 000)</w:t>
      </w:r>
    </w:p>
    <w:p w14:paraId="243AF3CB"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(оценка на честотата не може не може да бъде направена от наличните данни)</w:t>
      </w:r>
    </w:p>
    <w:p w14:paraId="5270537F" w14:textId="77777777" w:rsidR="00E74194" w:rsidRDefault="00E74194" w:rsidP="00E74194">
      <w:pPr>
        <w:spacing w:line="240" w:lineRule="auto"/>
        <w:rPr>
          <w:rFonts w:eastAsia="Times New Roman" w:cs="Arial"/>
          <w:i/>
          <w:iCs/>
          <w:color w:val="000000"/>
          <w:lang w:eastAsia="bg-BG"/>
        </w:rPr>
      </w:pPr>
    </w:p>
    <w:p w14:paraId="04A76BC5" w14:textId="4100B018"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Нарушения на имунната система</w:t>
      </w:r>
    </w:p>
    <w:p w14:paraId="25DE20D0"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реакции на свръхчувствителност</w:t>
      </w:r>
    </w:p>
    <w:p w14:paraId="473D5E21" w14:textId="77777777" w:rsidR="00E74194" w:rsidRDefault="00E74194" w:rsidP="00E74194">
      <w:pPr>
        <w:spacing w:line="240" w:lineRule="auto"/>
        <w:rPr>
          <w:rFonts w:eastAsia="Times New Roman" w:cs="Arial"/>
          <w:i/>
          <w:iCs/>
          <w:color w:val="000000"/>
          <w:lang w:eastAsia="bg-BG"/>
        </w:rPr>
      </w:pPr>
    </w:p>
    <w:p w14:paraId="559D8089" w14:textId="3A40139E"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Психични нарушения</w:t>
      </w:r>
    </w:p>
    <w:p w14:paraId="1658F1B9"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 халюцинации *</w:t>
      </w:r>
    </w:p>
    <w:p w14:paraId="6D3DF389"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тревожни разстройства</w:t>
      </w:r>
    </w:p>
    <w:p w14:paraId="72D33546" w14:textId="77777777" w:rsidR="00E74194" w:rsidRDefault="00E74194" w:rsidP="00E74194">
      <w:pPr>
        <w:spacing w:line="240" w:lineRule="auto"/>
        <w:rPr>
          <w:rFonts w:eastAsia="Times New Roman" w:cs="Arial"/>
          <w:i/>
          <w:iCs/>
          <w:color w:val="000000"/>
          <w:lang w:eastAsia="bg-BG"/>
        </w:rPr>
      </w:pPr>
    </w:p>
    <w:p w14:paraId="7CB4CAD9" w14:textId="1850E7A4"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Нарушения на нервната система</w:t>
      </w:r>
    </w:p>
    <w:p w14:paraId="3ED6DF3E"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Чести:</w:t>
      </w:r>
      <w:r w:rsidRPr="00E74194">
        <w:rPr>
          <w:rFonts w:eastAsia="Times New Roman" w:cs="Arial"/>
          <w:color w:val="000000"/>
          <w:lang w:eastAsia="bg-BG"/>
        </w:rPr>
        <w:tab/>
        <w:t>сънливост**, умора**, замаяност* *</w:t>
      </w:r>
    </w:p>
    <w:p w14:paraId="543F2377"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w:t>
      </w:r>
      <w:r w:rsidRPr="00E74194">
        <w:rPr>
          <w:rFonts w:eastAsia="Times New Roman" w:cs="Arial"/>
          <w:color w:val="000000"/>
          <w:lang w:eastAsia="bg-BG"/>
        </w:rPr>
        <w:tab/>
        <w:t>нарушения на съня, безсъние</w:t>
      </w:r>
    </w:p>
    <w:p w14:paraId="1540732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главоболие, атаксия, дизартрия</w:t>
      </w:r>
    </w:p>
    <w:p w14:paraId="648F9B94" w14:textId="77777777"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lastRenderedPageBreak/>
        <w:t>Нарушения на окото</w:t>
      </w:r>
    </w:p>
    <w:p w14:paraId="74505DD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нарушения на акомодацията</w:t>
      </w:r>
    </w:p>
    <w:p w14:paraId="0DE0F93E" w14:textId="77777777" w:rsidR="00E74194" w:rsidRDefault="00E74194" w:rsidP="00E74194">
      <w:pPr>
        <w:spacing w:line="240" w:lineRule="auto"/>
        <w:rPr>
          <w:rFonts w:eastAsia="Times New Roman" w:cs="Arial"/>
          <w:i/>
          <w:iCs/>
          <w:color w:val="000000"/>
          <w:lang w:eastAsia="bg-BG"/>
        </w:rPr>
      </w:pPr>
    </w:p>
    <w:p w14:paraId="4A2E1D6F" w14:textId="2BAFAF33"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Сърдечни нарушения</w:t>
      </w:r>
    </w:p>
    <w:p w14:paraId="662C1B0A"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Чести:</w:t>
      </w:r>
      <w:r w:rsidRPr="00E74194">
        <w:rPr>
          <w:rFonts w:eastAsia="Times New Roman" w:cs="Arial"/>
          <w:color w:val="000000"/>
          <w:lang w:eastAsia="bg-BG"/>
        </w:rPr>
        <w:tab/>
        <w:t>брадикардия, тахикардия (вж. т. 4.4 и 4.5)</w:t>
      </w:r>
    </w:p>
    <w:p w14:paraId="4516482B"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С неизвестна честота: има съобщения за удължаване на </w:t>
      </w:r>
      <w:r w:rsidRPr="00E74194">
        <w:rPr>
          <w:rFonts w:eastAsia="Times New Roman" w:cs="Arial"/>
          <w:color w:val="000000"/>
          <w:lang w:val="en-US"/>
        </w:rPr>
        <w:t>QT</w:t>
      </w:r>
      <w:r w:rsidRPr="00E74194">
        <w:rPr>
          <w:rFonts w:eastAsia="Times New Roman" w:cs="Arial"/>
          <w:color w:val="000000"/>
          <w:lang w:eastAsia="bg-BG"/>
        </w:rPr>
        <w:t>-интервала от постмаркетинговите наблюдения (вж. т. 4.9)</w:t>
      </w:r>
    </w:p>
    <w:p w14:paraId="7BEE64E2" w14:textId="77777777" w:rsidR="00E74194" w:rsidRDefault="00E74194" w:rsidP="00E74194">
      <w:pPr>
        <w:spacing w:line="240" w:lineRule="auto"/>
        <w:rPr>
          <w:rFonts w:eastAsia="Times New Roman" w:cs="Arial"/>
          <w:i/>
          <w:iCs/>
          <w:color w:val="000000"/>
          <w:lang w:eastAsia="bg-BG"/>
        </w:rPr>
      </w:pPr>
    </w:p>
    <w:p w14:paraId="02DB64EE" w14:textId="0AC67E77"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Съдови нарушения</w:t>
      </w:r>
    </w:p>
    <w:p w14:paraId="35BBA0A1"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Чести:</w:t>
      </w:r>
      <w:r w:rsidRPr="00E74194">
        <w:rPr>
          <w:rFonts w:eastAsia="Times New Roman" w:cs="Arial"/>
          <w:color w:val="000000"/>
          <w:lang w:eastAsia="bg-BG"/>
        </w:rPr>
        <w:tab/>
        <w:t>понижение на кръвното налягане**, ребаунд хипертония (вж. т. 4.4 и</w:t>
      </w:r>
    </w:p>
    <w:p w14:paraId="7A0E13B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4.5)</w:t>
      </w:r>
    </w:p>
    <w:p w14:paraId="578169C6" w14:textId="77777777" w:rsidR="00E74194" w:rsidRDefault="00E74194" w:rsidP="00E74194">
      <w:pPr>
        <w:spacing w:line="240" w:lineRule="auto"/>
        <w:rPr>
          <w:rFonts w:eastAsia="Times New Roman" w:cs="Arial"/>
          <w:i/>
          <w:iCs/>
          <w:color w:val="000000"/>
          <w:lang w:eastAsia="bg-BG"/>
        </w:rPr>
      </w:pPr>
    </w:p>
    <w:p w14:paraId="0917FC93" w14:textId="03A12126"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Стомашно-чревни нарушения</w:t>
      </w:r>
    </w:p>
    <w:p w14:paraId="78414ED1"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Чести:</w:t>
      </w:r>
      <w:r w:rsidRPr="00E74194">
        <w:rPr>
          <w:rFonts w:eastAsia="Times New Roman" w:cs="Arial"/>
          <w:color w:val="000000"/>
          <w:lang w:eastAsia="bg-BG"/>
        </w:rPr>
        <w:tab/>
        <w:t>сухота в устата**, гадене**, стомашно-чревни смущения**</w:t>
      </w:r>
    </w:p>
    <w:p w14:paraId="7C79A9B3"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абдоминална болка, повръщане</w:t>
      </w:r>
    </w:p>
    <w:p w14:paraId="5F333C78" w14:textId="77777777" w:rsidR="00E74194" w:rsidRDefault="00E74194" w:rsidP="00E74194">
      <w:pPr>
        <w:spacing w:line="240" w:lineRule="auto"/>
        <w:rPr>
          <w:rFonts w:eastAsia="Times New Roman" w:cs="Arial"/>
          <w:i/>
          <w:iCs/>
          <w:color w:val="000000"/>
          <w:lang w:eastAsia="bg-BG"/>
        </w:rPr>
      </w:pPr>
    </w:p>
    <w:p w14:paraId="627028F1" w14:textId="1AC3A8E6"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Хепатобилиарни нарушения</w:t>
      </w:r>
    </w:p>
    <w:p w14:paraId="03DF9B91"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w:t>
      </w:r>
      <w:r w:rsidRPr="00E74194">
        <w:rPr>
          <w:rFonts w:eastAsia="Times New Roman" w:cs="Arial"/>
          <w:color w:val="000000"/>
          <w:lang w:eastAsia="bg-BG"/>
        </w:rPr>
        <w:tab/>
        <w:t>повишени стойности на чернодробните серумни трансаминази</w:t>
      </w:r>
    </w:p>
    <w:p w14:paraId="345FC060"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Много редки:</w:t>
      </w:r>
      <w:r w:rsidRPr="00E74194">
        <w:rPr>
          <w:rFonts w:eastAsia="Times New Roman" w:cs="Arial"/>
          <w:color w:val="000000"/>
          <w:lang w:eastAsia="bg-BG"/>
        </w:rPr>
        <w:tab/>
        <w:t>хепатит, чернодробна недостатъчност</w:t>
      </w:r>
    </w:p>
    <w:p w14:paraId="6354A460" w14:textId="77777777" w:rsidR="00E74194" w:rsidRDefault="00E74194" w:rsidP="00E74194">
      <w:pPr>
        <w:spacing w:line="240" w:lineRule="auto"/>
        <w:rPr>
          <w:rFonts w:eastAsia="Times New Roman" w:cs="Arial"/>
          <w:i/>
          <w:iCs/>
          <w:color w:val="000000"/>
          <w:lang w:eastAsia="bg-BG"/>
        </w:rPr>
      </w:pPr>
    </w:p>
    <w:p w14:paraId="5863ED47" w14:textId="4BA3BB48"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Нарушения на кожата и подкожните тъкани</w:t>
      </w:r>
    </w:p>
    <w:p w14:paraId="0C92A4C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w:t>
      </w:r>
      <w:r w:rsidRPr="00E74194">
        <w:rPr>
          <w:rFonts w:eastAsia="Times New Roman" w:cs="Arial"/>
          <w:color w:val="000000"/>
          <w:lang w:eastAsia="bg-BG"/>
        </w:rPr>
        <w:tab/>
        <w:t>алергични реакции (сърбежи и обриви)</w:t>
      </w:r>
    </w:p>
    <w:p w14:paraId="5AD330B9" w14:textId="77777777" w:rsidR="00E74194" w:rsidRDefault="00E74194" w:rsidP="00E74194">
      <w:pPr>
        <w:spacing w:line="240" w:lineRule="auto"/>
        <w:rPr>
          <w:rFonts w:eastAsia="Times New Roman" w:cs="Arial"/>
          <w:i/>
          <w:iCs/>
          <w:color w:val="000000"/>
          <w:lang w:eastAsia="bg-BG"/>
        </w:rPr>
      </w:pPr>
    </w:p>
    <w:p w14:paraId="70C8DE14" w14:textId="4132F44E"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Нарушения на мускулно-скелетната система и съединителната тъкан</w:t>
      </w:r>
    </w:p>
    <w:p w14:paraId="64FC9967"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Редки:</w:t>
      </w:r>
      <w:r w:rsidRPr="00E74194">
        <w:rPr>
          <w:rFonts w:eastAsia="Times New Roman" w:cs="Arial"/>
          <w:color w:val="000000"/>
          <w:lang w:eastAsia="bg-BG"/>
        </w:rPr>
        <w:tab/>
        <w:t>мускулна слабост</w:t>
      </w:r>
    </w:p>
    <w:p w14:paraId="08A8177E" w14:textId="77777777" w:rsidR="00E74194" w:rsidRDefault="00E74194" w:rsidP="00E74194">
      <w:pPr>
        <w:spacing w:line="240" w:lineRule="auto"/>
        <w:rPr>
          <w:rFonts w:eastAsia="Times New Roman" w:cs="Arial"/>
          <w:i/>
          <w:iCs/>
          <w:color w:val="000000"/>
          <w:lang w:eastAsia="bg-BG"/>
        </w:rPr>
      </w:pPr>
    </w:p>
    <w:p w14:paraId="4995F33D" w14:textId="7301019F" w:rsidR="00E74194" w:rsidRPr="00E74194" w:rsidRDefault="00E74194" w:rsidP="00E74194">
      <w:pPr>
        <w:spacing w:line="240" w:lineRule="auto"/>
        <w:rPr>
          <w:rFonts w:eastAsia="Times New Roman" w:cs="Arial"/>
        </w:rPr>
      </w:pPr>
      <w:r w:rsidRPr="00E74194">
        <w:rPr>
          <w:rFonts w:eastAsia="Times New Roman" w:cs="Arial"/>
          <w:i/>
          <w:iCs/>
          <w:color w:val="000000"/>
          <w:lang w:eastAsia="bg-BG"/>
        </w:rPr>
        <w:t>Общи нарушения и ефекти на мястото на приложение</w:t>
      </w:r>
    </w:p>
    <w:p w14:paraId="18A13771"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С неизвестна честота: липса на апетит</w:t>
      </w:r>
    </w:p>
    <w:p w14:paraId="7F09252E" w14:textId="77777777" w:rsidR="00E74194" w:rsidRDefault="00E74194" w:rsidP="00E74194">
      <w:pPr>
        <w:spacing w:line="240" w:lineRule="auto"/>
        <w:rPr>
          <w:rFonts w:eastAsia="Times New Roman" w:cs="Arial"/>
          <w:color w:val="000000"/>
          <w:lang w:eastAsia="bg-BG"/>
        </w:rPr>
      </w:pPr>
    </w:p>
    <w:p w14:paraId="7BD89A14" w14:textId="476B6B88" w:rsidR="00E74194" w:rsidRPr="00E74194" w:rsidRDefault="00E74194" w:rsidP="00E74194">
      <w:pPr>
        <w:spacing w:line="240" w:lineRule="auto"/>
        <w:rPr>
          <w:rFonts w:eastAsia="Times New Roman" w:cs="Arial"/>
        </w:rPr>
      </w:pPr>
      <w:r>
        <w:rPr>
          <w:rFonts w:eastAsia="Times New Roman" w:cs="Arial"/>
          <w:color w:val="000000"/>
          <w:lang w:eastAsia="bg-BG"/>
        </w:rPr>
        <w:t>*</w:t>
      </w:r>
      <w:r w:rsidRPr="00E74194">
        <w:rPr>
          <w:rFonts w:eastAsia="Times New Roman" w:cs="Arial"/>
          <w:color w:val="000000"/>
          <w:lang w:eastAsia="bg-BG"/>
        </w:rPr>
        <w:t>Халюцинациите са самоограничаващи се без доказателства за психоза и възникват винаги</w:t>
      </w:r>
    </w:p>
    <w:p w14:paraId="3F9BDBAA"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при пациенти, които приемат успоредно потенциално халюциногенни вещества, напр. антидепресанти.</w:t>
      </w:r>
    </w:p>
    <w:p w14:paraId="4843FC09" w14:textId="1CE461AE" w:rsidR="00E74194" w:rsidRDefault="00E74194" w:rsidP="00E74194">
      <w:pPr>
        <w:rPr>
          <w:rFonts w:eastAsia="Times New Roman" w:cs="Arial"/>
          <w:color w:val="000000"/>
          <w:lang w:eastAsia="bg-BG"/>
        </w:rPr>
      </w:pPr>
      <w:r>
        <w:rPr>
          <w:rFonts w:eastAsia="Times New Roman" w:cs="Arial"/>
          <w:color w:val="000000"/>
          <w:lang w:eastAsia="bg-BG"/>
        </w:rPr>
        <w:t>**</w:t>
      </w:r>
      <w:r w:rsidRPr="00E74194">
        <w:rPr>
          <w:rFonts w:eastAsia="Times New Roman" w:cs="Arial"/>
          <w:color w:val="000000"/>
          <w:lang w:eastAsia="bg-BG"/>
        </w:rPr>
        <w:t>С бавно покачваща се титрация на дозата на тизанидин тези ефекти обикновено не са тежки и не изискват прекратяване на лечението.</w:t>
      </w:r>
    </w:p>
    <w:p w14:paraId="00840F61" w14:textId="654EB46F" w:rsidR="00E74194" w:rsidRDefault="00E74194" w:rsidP="00E74194">
      <w:pPr>
        <w:rPr>
          <w:rFonts w:eastAsia="Times New Roman" w:cs="Arial"/>
          <w:color w:val="000000"/>
          <w:lang w:eastAsia="bg-BG"/>
        </w:rPr>
      </w:pPr>
    </w:p>
    <w:p w14:paraId="66F35C08" w14:textId="77777777"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Съобщаване на подозирани нежелани реакции</w:t>
      </w:r>
    </w:p>
    <w:p w14:paraId="176CE902" w14:textId="2B5B2E6B" w:rsidR="00E74194" w:rsidRPr="00E74194" w:rsidRDefault="00E74194" w:rsidP="00E74194">
      <w:pPr>
        <w:rPr>
          <w:rFonts w:eastAsia="Times New Roman" w:cs="Arial"/>
          <w:color w:val="000000"/>
          <w:lang w:val="ru-RU"/>
        </w:rPr>
      </w:pPr>
      <w:r w:rsidRPr="00E7419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+359 2 8903417, уебсайт: </w:t>
      </w:r>
      <w:r w:rsidRPr="00E74194">
        <w:rPr>
          <w:rFonts w:eastAsia="Times New Roman" w:cs="Arial"/>
        </w:rPr>
        <w:fldChar w:fldCharType="begin"/>
      </w:r>
      <w:r w:rsidRPr="00E74194">
        <w:rPr>
          <w:rFonts w:eastAsia="Times New Roman" w:cs="Arial"/>
        </w:rPr>
        <w:instrText xml:space="preserve"> HYPERLINK "http://www.bda.bg" </w:instrText>
      </w:r>
      <w:r w:rsidRPr="00E74194">
        <w:rPr>
          <w:rFonts w:eastAsia="Times New Roman" w:cs="Arial"/>
        </w:rPr>
      </w:r>
      <w:r w:rsidRPr="00E74194">
        <w:rPr>
          <w:rFonts w:eastAsia="Times New Roman" w:cs="Arial"/>
        </w:rPr>
        <w:fldChar w:fldCharType="separate"/>
      </w:r>
      <w:r w:rsidRPr="00E74194">
        <w:rPr>
          <w:rFonts w:eastAsia="Times New Roman" w:cs="Arial"/>
          <w:color w:val="000000"/>
          <w:lang w:val="en-US"/>
        </w:rPr>
        <w:t>www</w:t>
      </w:r>
      <w:r w:rsidRPr="00E74194">
        <w:rPr>
          <w:rFonts w:eastAsia="Times New Roman" w:cs="Arial"/>
          <w:color w:val="000000"/>
          <w:lang w:val="ru-RU"/>
        </w:rPr>
        <w:t>.</w:t>
      </w:r>
      <w:proofErr w:type="spellStart"/>
      <w:r w:rsidRPr="00E74194">
        <w:rPr>
          <w:rFonts w:eastAsia="Times New Roman" w:cs="Arial"/>
          <w:color w:val="000000"/>
          <w:lang w:val="en-US"/>
        </w:rPr>
        <w:t>bda</w:t>
      </w:r>
      <w:proofErr w:type="spellEnd"/>
      <w:r w:rsidRPr="00E74194">
        <w:rPr>
          <w:rFonts w:eastAsia="Times New Roman" w:cs="Arial"/>
          <w:color w:val="000000"/>
          <w:lang w:val="ru-RU"/>
        </w:rPr>
        <w:t>.</w:t>
      </w:r>
      <w:proofErr w:type="spellStart"/>
      <w:r w:rsidRPr="00E74194">
        <w:rPr>
          <w:rFonts w:eastAsia="Times New Roman" w:cs="Arial"/>
          <w:color w:val="000000"/>
          <w:lang w:val="en-US"/>
        </w:rPr>
        <w:t>bg</w:t>
      </w:r>
      <w:proofErr w:type="spellEnd"/>
      <w:r w:rsidRPr="00E74194">
        <w:rPr>
          <w:rFonts w:eastAsia="Times New Roman" w:cs="Arial"/>
        </w:rPr>
        <w:fldChar w:fldCharType="end"/>
      </w:r>
      <w:r w:rsidRPr="00E74194">
        <w:rPr>
          <w:rFonts w:eastAsia="Times New Roman" w:cs="Arial"/>
          <w:color w:val="000000"/>
          <w:lang w:val="ru-RU"/>
        </w:rPr>
        <w:t>.</w:t>
      </w:r>
    </w:p>
    <w:p w14:paraId="64109350" w14:textId="77777777" w:rsidR="00E74194" w:rsidRPr="00E74194" w:rsidRDefault="00E74194" w:rsidP="00E74194">
      <w:pPr>
        <w:rPr>
          <w:rFonts w:cs="Arial"/>
          <w:lang w:val="ru-RU"/>
        </w:rPr>
      </w:pPr>
    </w:p>
    <w:p w14:paraId="0A023CE0" w14:textId="44169620" w:rsidR="00CF77F7" w:rsidRDefault="002C50EE" w:rsidP="004A448E">
      <w:pPr>
        <w:pStyle w:val="Heading2"/>
      </w:pPr>
      <w:r>
        <w:t>4.9. Предозиране</w:t>
      </w:r>
    </w:p>
    <w:p w14:paraId="318A171A" w14:textId="19A5133E" w:rsidR="00E74194" w:rsidRDefault="00E74194" w:rsidP="00E74194"/>
    <w:p w14:paraId="722D8FE9"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Клиничният опит е ограничен. В един случай възрастен пациент е приел 400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тизанидин; възстановяването му е било без особени събития. На пациента са били приложени манитол и фуроземид.</w:t>
      </w:r>
    </w:p>
    <w:p w14:paraId="52C33E5B" w14:textId="77777777" w:rsidR="00E74194" w:rsidRDefault="00E74194" w:rsidP="00E74194">
      <w:pPr>
        <w:spacing w:line="240" w:lineRule="auto"/>
        <w:rPr>
          <w:rFonts w:eastAsia="Times New Roman" w:cs="Arial"/>
          <w:i/>
          <w:iCs/>
          <w:color w:val="000000"/>
          <w:lang w:eastAsia="bg-BG"/>
        </w:rPr>
      </w:pPr>
    </w:p>
    <w:p w14:paraId="58F6E1BE" w14:textId="40212633" w:rsidR="00E74194" w:rsidRPr="00E74194" w:rsidRDefault="00E74194" w:rsidP="00E74194">
      <w:pPr>
        <w:pStyle w:val="Heading3"/>
        <w:rPr>
          <w:rFonts w:eastAsia="Times New Roman"/>
          <w:i/>
        </w:rPr>
      </w:pPr>
      <w:r w:rsidRPr="00E74194">
        <w:rPr>
          <w:rFonts w:eastAsia="Times New Roman"/>
          <w:i/>
          <w:lang w:eastAsia="bg-BG"/>
        </w:rPr>
        <w:lastRenderedPageBreak/>
        <w:t>Симптоми</w:t>
      </w:r>
    </w:p>
    <w:p w14:paraId="123F18DB"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Гадене, повръщане, хипотония, брадикардия, удължаване на </w:t>
      </w:r>
      <w:r w:rsidRPr="00E74194">
        <w:rPr>
          <w:rFonts w:eastAsia="Times New Roman" w:cs="Arial"/>
          <w:color w:val="000000"/>
          <w:lang w:val="en-US"/>
        </w:rPr>
        <w:t>QT</w:t>
      </w:r>
      <w:r w:rsidRPr="00E74194">
        <w:rPr>
          <w:rFonts w:eastAsia="Times New Roman" w:cs="Arial"/>
          <w:color w:val="000000"/>
          <w:lang w:eastAsia="bg-BG"/>
        </w:rPr>
        <w:t>-интервала, замаяност, миоза, респираторен дистрес синдром, кома, безпокойство, сомнолентност.</w:t>
      </w:r>
    </w:p>
    <w:p w14:paraId="433F8F20" w14:textId="77777777" w:rsidR="00E74194" w:rsidRDefault="00E74194" w:rsidP="00E74194">
      <w:pPr>
        <w:spacing w:line="240" w:lineRule="auto"/>
        <w:rPr>
          <w:rFonts w:eastAsia="Times New Roman" w:cs="Arial"/>
          <w:i/>
          <w:iCs/>
          <w:color w:val="000000"/>
          <w:lang w:eastAsia="bg-BG"/>
        </w:rPr>
      </w:pPr>
    </w:p>
    <w:p w14:paraId="19A95371" w14:textId="273BFC02" w:rsidR="00E74194" w:rsidRPr="00E74194" w:rsidRDefault="00E74194" w:rsidP="00E74194">
      <w:pPr>
        <w:pStyle w:val="Heading3"/>
        <w:rPr>
          <w:rFonts w:eastAsia="Times New Roman"/>
          <w:i/>
        </w:rPr>
      </w:pPr>
      <w:r w:rsidRPr="00E74194">
        <w:rPr>
          <w:rFonts w:eastAsia="Times New Roman"/>
          <w:i/>
          <w:lang w:eastAsia="bg-BG"/>
        </w:rPr>
        <w:t>Лечение</w:t>
      </w:r>
    </w:p>
    <w:p w14:paraId="0FF2CD47"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Показани са общоукрепващи мерки, като трябва да се направи опит за отстраняване на нерезорбираната субстанция от стомашно-чревния тракт посредством стомашен лаваж или с многократно прилагане на високи дози активен въглен. Пациентът трябва да бъде адекватно хидратиран. Последващото лечение е симптоматично.</w:t>
      </w:r>
    </w:p>
    <w:p w14:paraId="6CE00058" w14:textId="77777777" w:rsidR="00E74194" w:rsidRPr="00E74194" w:rsidRDefault="00E74194" w:rsidP="00E74194"/>
    <w:p w14:paraId="02081B24" w14:textId="1F46E296" w:rsidR="00395555" w:rsidRPr="00395555" w:rsidRDefault="002C50EE" w:rsidP="008A6AF2">
      <w:pPr>
        <w:pStyle w:val="Heading1"/>
      </w:pPr>
      <w:r>
        <w:t>5. ФАРМАКОЛОГИЧНИ СВОЙСТВА</w:t>
      </w:r>
    </w:p>
    <w:p w14:paraId="32B6DE66" w14:textId="78629384" w:rsidR="00CF77F7" w:rsidRDefault="002C50EE" w:rsidP="004A448E">
      <w:pPr>
        <w:pStyle w:val="Heading2"/>
      </w:pPr>
      <w:r>
        <w:t>5.1. Фармакодинамични свойства</w:t>
      </w:r>
    </w:p>
    <w:p w14:paraId="78C2276F" w14:textId="4B6FD086" w:rsidR="00E74194" w:rsidRDefault="00E74194" w:rsidP="00E74194"/>
    <w:p w14:paraId="1B39A932"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Фармакотерапевтична група: Мускулно-скелетна система; мускулни релаксанти; централно действащи агенти; други централно действащи агенти.</w:t>
      </w:r>
    </w:p>
    <w:p w14:paraId="0E1CA242"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АТС код: МОЗВ Х02</w:t>
      </w:r>
    </w:p>
    <w:p w14:paraId="6863043A" w14:textId="77777777" w:rsidR="00E74194" w:rsidRDefault="00E74194" w:rsidP="00E74194">
      <w:pPr>
        <w:spacing w:line="240" w:lineRule="auto"/>
        <w:rPr>
          <w:rFonts w:eastAsia="Times New Roman" w:cs="Arial"/>
          <w:color w:val="000000"/>
          <w:lang w:eastAsia="bg-BG"/>
        </w:rPr>
      </w:pPr>
    </w:p>
    <w:p w14:paraId="7B896F33" w14:textId="5D42D7F0" w:rsidR="00E74194" w:rsidRPr="00E74194" w:rsidRDefault="00E74194" w:rsidP="00E74194">
      <w:pPr>
        <w:spacing w:line="240" w:lineRule="auto"/>
        <w:rPr>
          <w:rFonts w:eastAsia="Times New Roman" w:cs="Arial"/>
        </w:rPr>
      </w:pPr>
      <w:r w:rsidRPr="00E74194">
        <w:rPr>
          <w:rFonts w:eastAsia="Times New Roman" w:cs="Arial"/>
          <w:color w:val="000000"/>
          <w:lang w:eastAsia="bg-BG"/>
        </w:rPr>
        <w:t>Тизанидин е релаксант на скелетната мускулатура с централно действие. Неговото главно място на действие е гръбначния мозък, където се счита, че чрез стимулиране на пресинаптичните алфа</w:t>
      </w:r>
      <w:r w:rsidRPr="00E74194">
        <w:rPr>
          <w:rFonts w:eastAsia="Times New Roman" w:cs="Arial"/>
          <w:color w:val="000000"/>
          <w:vertAlign w:val="subscript"/>
          <w:lang w:eastAsia="bg-BG"/>
        </w:rPr>
        <w:t>2</w:t>
      </w:r>
      <w:r w:rsidRPr="00E74194">
        <w:rPr>
          <w:rFonts w:eastAsia="Times New Roman" w:cs="Arial"/>
          <w:color w:val="000000"/>
          <w:lang w:eastAsia="bg-BG"/>
        </w:rPr>
        <w:t xml:space="preserve">-рецептори той инхибира освобождаването на възбудно действащи аминокиселини, които стимулират </w:t>
      </w:r>
      <w:r w:rsidRPr="00E74194">
        <w:rPr>
          <w:rFonts w:eastAsia="Times New Roman" w:cs="Arial"/>
          <w:color w:val="000000"/>
          <w:lang w:val="en-US"/>
        </w:rPr>
        <w:t>N</w:t>
      </w:r>
      <w:r w:rsidRPr="00E74194">
        <w:rPr>
          <w:rFonts w:eastAsia="Times New Roman" w:cs="Arial"/>
          <w:color w:val="000000"/>
          <w:lang w:eastAsia="bg-BG"/>
        </w:rPr>
        <w:t>-метил</w:t>
      </w:r>
      <w:r w:rsidRPr="00E74194">
        <w:rPr>
          <w:rFonts w:eastAsia="Times New Roman" w:cs="Arial"/>
          <w:color w:val="000000"/>
          <w:lang w:val="ru-RU"/>
        </w:rPr>
        <w:t>-</w:t>
      </w:r>
      <w:r w:rsidRPr="00E74194">
        <w:rPr>
          <w:rFonts w:eastAsia="Times New Roman" w:cs="Arial"/>
          <w:color w:val="000000"/>
          <w:lang w:val="en-US"/>
        </w:rPr>
        <w:t>D</w:t>
      </w:r>
      <w:r w:rsidRPr="00E74194">
        <w:rPr>
          <w:rFonts w:eastAsia="Times New Roman" w:cs="Arial"/>
          <w:color w:val="000000"/>
          <w:lang w:eastAsia="bg-BG"/>
        </w:rPr>
        <w:t>-аспартат (</w:t>
      </w:r>
      <w:r w:rsidRPr="00E74194">
        <w:rPr>
          <w:rFonts w:eastAsia="Times New Roman" w:cs="Arial"/>
          <w:color w:val="000000"/>
          <w:lang w:val="en-US"/>
        </w:rPr>
        <w:t>NMDA</w:t>
      </w:r>
      <w:r w:rsidRPr="00E74194">
        <w:rPr>
          <w:rFonts w:eastAsia="Times New Roman" w:cs="Arial"/>
          <w:color w:val="000000"/>
          <w:lang w:eastAsia="bg-BG"/>
        </w:rPr>
        <w:t>)-рецепторите. По този начин се инхибира полисинаптичното предаване на сигнала на интерневронно ниво, което е отговорно за повишения мускулен тонус и съответно мускулният тонус се понижава. Тизанидин няма директен ефект върху скелетната мускулатура, невромускулните връзки или моносинапгичните спинални рефлекси. Като допълнение към миорелаксиращото му действие тизанидин има и умерен централен аналгетичен ефект.</w:t>
      </w:r>
    </w:p>
    <w:p w14:paraId="1B9F809F" w14:textId="4ACCDC3B" w:rsidR="00E74194" w:rsidRPr="00E74194" w:rsidRDefault="00E74194" w:rsidP="00E74194">
      <w:pPr>
        <w:rPr>
          <w:rFonts w:eastAsia="Times New Roman" w:cs="Arial"/>
          <w:color w:val="000000"/>
          <w:lang w:eastAsia="bg-BG"/>
        </w:rPr>
      </w:pPr>
      <w:r w:rsidRPr="00E74194">
        <w:rPr>
          <w:rFonts w:eastAsia="Times New Roman" w:cs="Arial"/>
          <w:color w:val="000000"/>
          <w:lang w:eastAsia="bg-BG"/>
        </w:rPr>
        <w:t>При хора тизанидин редуцира патологично повишеният мускулен тонус, включително резистентност при пасивни движения и облекчава болезнените спазми и клонуси.</w:t>
      </w:r>
    </w:p>
    <w:p w14:paraId="3029ACC9" w14:textId="77777777" w:rsidR="00E74194" w:rsidRPr="00E74194" w:rsidRDefault="00E74194" w:rsidP="00E74194"/>
    <w:p w14:paraId="35F84B81" w14:textId="39A61071" w:rsidR="00CF77F7" w:rsidRDefault="002C50EE" w:rsidP="004A448E">
      <w:pPr>
        <w:pStyle w:val="Heading2"/>
      </w:pPr>
      <w:r>
        <w:t>5.2. Фармакокинетични свойства</w:t>
      </w:r>
    </w:p>
    <w:p w14:paraId="32D1A40E" w14:textId="2F8F813B" w:rsidR="00E74194" w:rsidRDefault="00E74194" w:rsidP="00E74194"/>
    <w:p w14:paraId="5CBF3C69" w14:textId="77777777" w:rsidR="00E74194" w:rsidRPr="00E74194" w:rsidRDefault="00E74194" w:rsidP="00E74194">
      <w:pPr>
        <w:pStyle w:val="Heading3"/>
        <w:rPr>
          <w:rFonts w:eastAsia="Times New Roman"/>
          <w:u w:val="single"/>
        </w:rPr>
      </w:pPr>
      <w:r w:rsidRPr="00E74194">
        <w:rPr>
          <w:rFonts w:eastAsia="Times New Roman"/>
          <w:u w:val="single"/>
          <w:lang w:eastAsia="bg-BG"/>
        </w:rPr>
        <w:t>Абсообция</w:t>
      </w:r>
    </w:p>
    <w:p w14:paraId="2F7D7EC2"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Тизанидин се усвоява бързо, достига пикови плазмени концентрации приблизително 1 час след прием.</w:t>
      </w:r>
    </w:p>
    <w:p w14:paraId="26E39F00" w14:textId="77777777" w:rsidR="00E74194" w:rsidRPr="00E74194" w:rsidRDefault="00E74194" w:rsidP="00E74194">
      <w:pPr>
        <w:spacing w:line="240" w:lineRule="auto"/>
        <w:rPr>
          <w:rFonts w:eastAsia="Times New Roman" w:cs="Arial"/>
          <w:color w:val="000000"/>
          <w:u w:val="single"/>
          <w:lang w:eastAsia="bg-BG"/>
        </w:rPr>
      </w:pPr>
    </w:p>
    <w:p w14:paraId="7C74A08E" w14:textId="3D595376" w:rsidR="00E74194" w:rsidRPr="00E74194" w:rsidRDefault="00E74194" w:rsidP="00E74194">
      <w:pPr>
        <w:pStyle w:val="Heading3"/>
        <w:rPr>
          <w:rFonts w:eastAsia="Times New Roman"/>
          <w:u w:val="single"/>
        </w:rPr>
      </w:pPr>
      <w:r w:rsidRPr="00E74194">
        <w:rPr>
          <w:rFonts w:eastAsia="Times New Roman"/>
          <w:u w:val="single"/>
          <w:lang w:eastAsia="bg-BG"/>
        </w:rPr>
        <w:t>Разпределение</w:t>
      </w:r>
    </w:p>
    <w:p w14:paraId="2F5D8D99" w14:textId="05578145" w:rsidR="00E74194" w:rsidRPr="00E74194" w:rsidRDefault="00E74194" w:rsidP="00E74194">
      <w:pPr>
        <w:rPr>
          <w:rFonts w:eastAsia="Times New Roman" w:cs="Arial"/>
          <w:color w:val="000000"/>
          <w:lang w:val="ru-RU"/>
        </w:rPr>
      </w:pPr>
      <w:r w:rsidRPr="00E74194">
        <w:rPr>
          <w:rFonts w:eastAsia="Times New Roman" w:cs="Arial"/>
          <w:color w:val="000000"/>
          <w:lang w:eastAsia="bg-BG"/>
        </w:rPr>
        <w:t xml:space="preserve">Тизанидин се свързва с плазмените протеини в около 30%. В проучвания проведени при животни е установено, че сравнително бързо преминава хематоенцефалната бариера. Средният обем на разпределение в стационарно състояние </w:t>
      </w:r>
      <w:r w:rsidRPr="00E74194">
        <w:rPr>
          <w:rFonts w:eastAsia="Times New Roman" w:cs="Arial"/>
          <w:color w:val="000000"/>
          <w:lang w:val="ru-RU"/>
        </w:rPr>
        <w:t>(</w:t>
      </w:r>
      <w:proofErr w:type="spellStart"/>
      <w:r w:rsidRPr="00E74194">
        <w:rPr>
          <w:rFonts w:eastAsia="Times New Roman" w:cs="Arial"/>
          <w:color w:val="000000"/>
          <w:lang w:val="en-US"/>
        </w:rPr>
        <w:t>V</w:t>
      </w:r>
      <w:r w:rsidRPr="00E74194">
        <w:rPr>
          <w:rFonts w:eastAsia="Times New Roman" w:cs="Arial"/>
          <w:color w:val="000000"/>
          <w:vertAlign w:val="subscript"/>
          <w:lang w:val="en-US"/>
        </w:rPr>
        <w:t>ss</w:t>
      </w:r>
      <w:proofErr w:type="spellEnd"/>
      <w:r w:rsidRPr="00E74194">
        <w:rPr>
          <w:rFonts w:eastAsia="Times New Roman" w:cs="Arial"/>
          <w:color w:val="000000"/>
          <w:lang w:val="ru-RU"/>
        </w:rPr>
        <w:t xml:space="preserve">) </w:t>
      </w:r>
      <w:r w:rsidRPr="00E74194">
        <w:rPr>
          <w:rFonts w:eastAsia="Times New Roman" w:cs="Arial"/>
          <w:color w:val="000000"/>
          <w:lang w:eastAsia="bg-BG"/>
        </w:rPr>
        <w:t>след интравенозно приложение е 2,6</w:t>
      </w:r>
      <w:r w:rsidRPr="00E74194">
        <w:rPr>
          <w:rFonts w:eastAsia="Times New Roman" w:cs="Arial"/>
          <w:color w:val="000000"/>
          <w:lang w:val="en-US"/>
        </w:rPr>
        <w:t>l</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w:t>
      </w:r>
    </w:p>
    <w:p w14:paraId="0906E55F" w14:textId="689A34EB" w:rsidR="00E74194" w:rsidRPr="00E74194" w:rsidRDefault="00E74194" w:rsidP="00E74194">
      <w:pPr>
        <w:rPr>
          <w:rFonts w:eastAsia="Times New Roman" w:cs="Arial"/>
          <w:color w:val="000000"/>
          <w:lang w:val="ru-RU"/>
        </w:rPr>
      </w:pPr>
    </w:p>
    <w:p w14:paraId="0B468AE1" w14:textId="77777777" w:rsidR="00E74194" w:rsidRPr="00E74194" w:rsidRDefault="00E74194" w:rsidP="00E74194">
      <w:pPr>
        <w:pStyle w:val="Heading3"/>
        <w:rPr>
          <w:rFonts w:eastAsia="Times New Roman"/>
          <w:u w:val="single"/>
        </w:rPr>
      </w:pPr>
      <w:r w:rsidRPr="00E74194">
        <w:rPr>
          <w:rFonts w:eastAsia="Times New Roman"/>
          <w:u w:val="single"/>
          <w:lang w:eastAsia="bg-BG"/>
        </w:rPr>
        <w:t>Биотрансформация</w:t>
      </w:r>
    </w:p>
    <w:p w14:paraId="2C4AA33F" w14:textId="39C5D0A3" w:rsidR="00E74194" w:rsidRDefault="00E74194" w:rsidP="00E74194">
      <w:pPr>
        <w:spacing w:line="240" w:lineRule="auto"/>
        <w:rPr>
          <w:rFonts w:eastAsia="Times New Roman" w:cs="Arial"/>
          <w:i/>
          <w:iCs/>
          <w:color w:val="000000"/>
          <w:lang w:val="ru-RU"/>
        </w:rPr>
      </w:pPr>
      <w:r w:rsidRPr="00E74194">
        <w:rPr>
          <w:rFonts w:eastAsia="Times New Roman" w:cs="Arial"/>
          <w:color w:val="000000"/>
          <w:lang w:eastAsia="bg-BG"/>
        </w:rPr>
        <w:t xml:space="preserve">Въпреки че тизанидин се усвоява добре, метаболизмът при първо преминаване ограничава неговата плазмена наличност до 34 % от приложената интравенозно доза. </w:t>
      </w:r>
      <w:r w:rsidRPr="00E74194">
        <w:rPr>
          <w:rFonts w:eastAsia="Times New Roman" w:cs="Arial"/>
          <w:color w:val="000000"/>
          <w:lang w:eastAsia="bg-BG"/>
        </w:rPr>
        <w:lastRenderedPageBreak/>
        <w:t>Тизанидин подлежи на бърз и екстензивен метаболизъм в черния дроб, главно от цитохром Р</w:t>
      </w:r>
      <w:r w:rsidRPr="00E74194">
        <w:rPr>
          <w:rFonts w:eastAsia="Times New Roman" w:cs="Arial"/>
          <w:color w:val="000000"/>
          <w:vertAlign w:val="subscript"/>
          <w:lang w:eastAsia="bg-BG"/>
        </w:rPr>
        <w:t>450</w:t>
      </w:r>
      <w:r w:rsidRPr="00E74194">
        <w:rPr>
          <w:rFonts w:eastAsia="Times New Roman" w:cs="Arial"/>
          <w:color w:val="000000"/>
          <w:lang w:val="ru-RU"/>
        </w:rPr>
        <w:t xml:space="preserve"> </w:t>
      </w:r>
      <w:r w:rsidRPr="00E74194">
        <w:rPr>
          <w:rFonts w:eastAsia="Times New Roman" w:cs="Arial"/>
          <w:color w:val="000000"/>
          <w:lang w:eastAsia="bg-BG"/>
        </w:rPr>
        <w:t xml:space="preserve">1А2 </w:t>
      </w:r>
      <w:r w:rsidRPr="00E74194">
        <w:rPr>
          <w:rFonts w:eastAsia="Times New Roman" w:cs="Arial"/>
          <w:i/>
          <w:iCs/>
          <w:color w:val="000000"/>
          <w:lang w:val="en-US"/>
        </w:rPr>
        <w:t>in</w:t>
      </w:r>
      <w:r w:rsidRPr="00E74194">
        <w:rPr>
          <w:rFonts w:eastAsia="Times New Roman" w:cs="Arial"/>
          <w:i/>
          <w:iCs/>
          <w:color w:val="000000"/>
          <w:lang w:val="ru-RU"/>
        </w:rPr>
        <w:t xml:space="preserve"> </w:t>
      </w:r>
      <w:r w:rsidRPr="00E74194">
        <w:rPr>
          <w:rFonts w:eastAsia="Times New Roman" w:cs="Arial"/>
          <w:i/>
          <w:iCs/>
          <w:color w:val="000000"/>
          <w:lang w:val="en-US"/>
        </w:rPr>
        <w:t>vitro</w:t>
      </w:r>
      <w:r w:rsidRPr="00E74194">
        <w:rPr>
          <w:rFonts w:eastAsia="Times New Roman" w:cs="Arial"/>
          <w:i/>
          <w:iCs/>
          <w:color w:val="000000"/>
          <w:lang w:val="ru-RU"/>
        </w:rPr>
        <w:t>.</w:t>
      </w:r>
    </w:p>
    <w:p w14:paraId="74E1DE65" w14:textId="77777777" w:rsidR="00E74194" w:rsidRPr="00E74194" w:rsidRDefault="00E74194" w:rsidP="00E74194">
      <w:pPr>
        <w:spacing w:line="240" w:lineRule="auto"/>
        <w:rPr>
          <w:rFonts w:eastAsia="Times New Roman" w:cs="Arial"/>
        </w:rPr>
      </w:pPr>
    </w:p>
    <w:p w14:paraId="466562A1" w14:textId="77777777" w:rsidR="00E74194" w:rsidRPr="00E74194" w:rsidRDefault="00E74194" w:rsidP="00E74194">
      <w:pPr>
        <w:pStyle w:val="Heading3"/>
        <w:rPr>
          <w:rFonts w:eastAsia="Times New Roman"/>
          <w:u w:val="single"/>
        </w:rPr>
      </w:pPr>
      <w:r w:rsidRPr="00E74194">
        <w:rPr>
          <w:rFonts w:eastAsia="Times New Roman"/>
          <w:u w:val="single"/>
          <w:lang w:eastAsia="bg-BG"/>
        </w:rPr>
        <w:t>Елиминация</w:t>
      </w:r>
    </w:p>
    <w:p w14:paraId="3A85A3EA"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Метаболитите се елиминират главно през бъбреците (приблизително 70% от приложената доза) в неактивна форма. Бъбречната екскреция на основното съединение е около 53% след еднократна доза от 5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и 66% след доза от 4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три пъти дневно. Елиминационният полуживот на тизанидин от плазмата е около 2-4 часа.</w:t>
      </w:r>
    </w:p>
    <w:p w14:paraId="569BF923" w14:textId="77777777" w:rsidR="00E74194" w:rsidRDefault="00E74194" w:rsidP="00E74194">
      <w:pPr>
        <w:spacing w:line="240" w:lineRule="auto"/>
        <w:rPr>
          <w:rFonts w:eastAsia="Times New Roman" w:cs="Arial"/>
          <w:color w:val="000000"/>
          <w:u w:val="single"/>
          <w:lang w:eastAsia="bg-BG"/>
        </w:rPr>
      </w:pPr>
    </w:p>
    <w:p w14:paraId="33EE114A" w14:textId="30B62451" w:rsidR="00E74194" w:rsidRPr="00E74194" w:rsidRDefault="00E74194" w:rsidP="00E74194">
      <w:pPr>
        <w:pStyle w:val="Heading3"/>
        <w:rPr>
          <w:rFonts w:eastAsia="Times New Roman"/>
          <w:u w:val="single"/>
        </w:rPr>
      </w:pPr>
      <w:r w:rsidRPr="00E74194">
        <w:rPr>
          <w:rFonts w:eastAsia="Times New Roman"/>
          <w:u w:val="single"/>
          <w:lang w:eastAsia="bg-BG"/>
        </w:rPr>
        <w:t>Линейност</w:t>
      </w:r>
    </w:p>
    <w:p w14:paraId="4F1A1016"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Тизанидин има линейна фармакокинетика при дози между 4 и 20 </w:t>
      </w:r>
      <w:r w:rsidRPr="00E74194">
        <w:rPr>
          <w:rFonts w:eastAsia="Times New Roman" w:cs="Arial"/>
          <w:color w:val="000000"/>
          <w:lang w:val="en-US"/>
        </w:rPr>
        <w:t>mg</w:t>
      </w:r>
      <w:r w:rsidRPr="00E74194">
        <w:rPr>
          <w:rFonts w:eastAsia="Times New Roman" w:cs="Arial"/>
          <w:color w:val="000000"/>
          <w:lang w:val="ru-RU"/>
        </w:rPr>
        <w:t xml:space="preserve">. </w:t>
      </w:r>
      <w:r w:rsidRPr="00E74194">
        <w:rPr>
          <w:rFonts w:eastAsia="Times New Roman" w:cs="Arial"/>
          <w:color w:val="000000"/>
          <w:lang w:eastAsia="bg-BG"/>
        </w:rPr>
        <w:t xml:space="preserve">Ниската интраиндивидуална вариация на фармакокинетичните параметри (С^ и </w:t>
      </w:r>
      <w:r w:rsidRPr="00E74194">
        <w:rPr>
          <w:rFonts w:eastAsia="Times New Roman" w:cs="Arial"/>
          <w:color w:val="000000"/>
          <w:lang w:val="en-US"/>
        </w:rPr>
        <w:t>AUC</w:t>
      </w:r>
      <w:r w:rsidRPr="00E74194">
        <w:rPr>
          <w:rFonts w:eastAsia="Times New Roman" w:cs="Arial"/>
          <w:color w:val="000000"/>
          <w:lang w:val="ru-RU"/>
        </w:rPr>
        <w:t xml:space="preserve">) </w:t>
      </w:r>
      <w:r w:rsidRPr="00E74194">
        <w:rPr>
          <w:rFonts w:eastAsia="Times New Roman" w:cs="Arial"/>
          <w:color w:val="000000"/>
          <w:lang w:eastAsia="bg-BG"/>
        </w:rPr>
        <w:t>позволява сравнително точно предсказване на плазмените нива след перорално приложение.</w:t>
      </w:r>
    </w:p>
    <w:p w14:paraId="21A421EC" w14:textId="77777777" w:rsidR="00E74194" w:rsidRDefault="00E74194" w:rsidP="00E74194">
      <w:pPr>
        <w:spacing w:line="240" w:lineRule="auto"/>
        <w:rPr>
          <w:rFonts w:eastAsia="Times New Roman" w:cs="Arial"/>
          <w:color w:val="000000"/>
          <w:u w:val="single"/>
          <w:lang w:eastAsia="bg-BG"/>
        </w:rPr>
      </w:pPr>
    </w:p>
    <w:p w14:paraId="35E7EB6B" w14:textId="107989B2" w:rsidR="00E74194" w:rsidRPr="00E74194" w:rsidRDefault="00E74194" w:rsidP="00E74194">
      <w:pPr>
        <w:pStyle w:val="Heading3"/>
        <w:rPr>
          <w:rFonts w:eastAsia="Times New Roman"/>
          <w:u w:val="single"/>
        </w:rPr>
      </w:pPr>
      <w:r w:rsidRPr="00E74194">
        <w:rPr>
          <w:rFonts w:eastAsia="Times New Roman"/>
          <w:u w:val="single"/>
          <w:lang w:eastAsia="bg-BG"/>
        </w:rPr>
        <w:t>Характеристики при специални групи пациенти</w:t>
      </w:r>
    </w:p>
    <w:p w14:paraId="1D3F300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Фармакокинетичните параметри на тизанидин не се повлияват от пола.</w:t>
      </w:r>
    </w:p>
    <w:p w14:paraId="10481E79" w14:textId="77777777" w:rsidR="00E74194" w:rsidRDefault="00E74194" w:rsidP="00E74194">
      <w:pPr>
        <w:spacing w:line="240" w:lineRule="auto"/>
        <w:rPr>
          <w:rFonts w:eastAsia="Times New Roman" w:cs="Arial"/>
          <w:color w:val="000000"/>
          <w:lang w:eastAsia="bg-BG"/>
        </w:rPr>
      </w:pPr>
    </w:p>
    <w:p w14:paraId="1C225350" w14:textId="38B19905"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При пациенти с бъбречна недостатъчност (креатининов клирънс &lt;25 </w:t>
      </w:r>
      <w:r w:rsidRPr="00E74194">
        <w:rPr>
          <w:rFonts w:eastAsia="Times New Roman" w:cs="Arial"/>
          <w:color w:val="000000"/>
          <w:lang w:val="en-US"/>
        </w:rPr>
        <w:t>ml</w:t>
      </w:r>
      <w:r w:rsidRPr="00E74194">
        <w:rPr>
          <w:rFonts w:eastAsia="Times New Roman" w:cs="Arial"/>
          <w:color w:val="000000"/>
          <w:lang w:val="ru-RU"/>
        </w:rPr>
        <w:t>/</w:t>
      </w:r>
      <w:r w:rsidRPr="00E74194">
        <w:rPr>
          <w:rFonts w:eastAsia="Times New Roman" w:cs="Arial"/>
          <w:color w:val="000000"/>
          <w:lang w:val="en-US"/>
        </w:rPr>
        <w:t>min</w:t>
      </w:r>
      <w:r w:rsidRPr="00E74194">
        <w:rPr>
          <w:rFonts w:eastAsia="Times New Roman" w:cs="Arial"/>
          <w:color w:val="000000"/>
          <w:lang w:val="ru-RU"/>
        </w:rPr>
        <w:t xml:space="preserve">) </w:t>
      </w:r>
      <w:r w:rsidRPr="00E74194">
        <w:rPr>
          <w:rFonts w:eastAsia="Times New Roman" w:cs="Arial"/>
          <w:color w:val="000000"/>
          <w:lang w:eastAsia="bg-BG"/>
        </w:rPr>
        <w:t xml:space="preserve">е било установено, че максималното средно плазмено ниво е два пъти по-високо отколкото при здрави доброволци, а терминалният полуживот е удължен до приблизително 14 часа, което води до много по-високи (приблизително 6-кратно над средните) стойности на </w:t>
      </w:r>
      <w:r w:rsidRPr="00E74194">
        <w:rPr>
          <w:rFonts w:eastAsia="Times New Roman" w:cs="Arial"/>
          <w:color w:val="000000"/>
          <w:lang w:val="en-US"/>
        </w:rPr>
        <w:t>AUC</w:t>
      </w:r>
      <w:r w:rsidRPr="00E74194">
        <w:rPr>
          <w:rFonts w:eastAsia="Times New Roman" w:cs="Arial"/>
          <w:color w:val="000000"/>
          <w:lang w:val="ru-RU"/>
        </w:rPr>
        <w:t xml:space="preserve"> </w:t>
      </w:r>
      <w:r w:rsidRPr="00E74194">
        <w:rPr>
          <w:rFonts w:eastAsia="Times New Roman" w:cs="Arial"/>
          <w:color w:val="000000"/>
          <w:lang w:eastAsia="bg-BG"/>
        </w:rPr>
        <w:t>(вж. т. 4.4).</w:t>
      </w:r>
    </w:p>
    <w:p w14:paraId="023D9B40" w14:textId="77777777" w:rsidR="00E74194" w:rsidRDefault="00E74194" w:rsidP="00E74194">
      <w:pPr>
        <w:spacing w:line="240" w:lineRule="auto"/>
        <w:rPr>
          <w:rFonts w:eastAsia="Times New Roman" w:cs="Arial"/>
          <w:color w:val="000000"/>
          <w:u w:val="single"/>
          <w:lang w:eastAsia="bg-BG"/>
        </w:rPr>
      </w:pPr>
    </w:p>
    <w:p w14:paraId="6BE2E493" w14:textId="20D40E84" w:rsidR="00E74194" w:rsidRPr="00E74194" w:rsidRDefault="00E74194" w:rsidP="00E74194">
      <w:pPr>
        <w:pStyle w:val="Heading3"/>
        <w:rPr>
          <w:rFonts w:eastAsia="Times New Roman"/>
          <w:u w:val="single"/>
        </w:rPr>
      </w:pPr>
      <w:r w:rsidRPr="00E74194">
        <w:rPr>
          <w:rFonts w:eastAsia="Times New Roman"/>
          <w:u w:val="single"/>
          <w:lang w:eastAsia="bg-BG"/>
        </w:rPr>
        <w:t>Ефект на храненето</w:t>
      </w:r>
    </w:p>
    <w:p w14:paraId="7A67C44C"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Едновременен прием на храна няма клинично значимо влияние върху фармакокинетичния профил на таблетките тизанидин.</w:t>
      </w:r>
    </w:p>
    <w:p w14:paraId="7EECF92E" w14:textId="77777777" w:rsidR="00E74194" w:rsidRPr="00E74194" w:rsidRDefault="00E74194" w:rsidP="00E74194"/>
    <w:p w14:paraId="648E39DA" w14:textId="181DB916" w:rsidR="00CF77F7" w:rsidRDefault="002C50EE" w:rsidP="004A448E">
      <w:pPr>
        <w:pStyle w:val="Heading2"/>
      </w:pPr>
      <w:r>
        <w:t>5.3. Предклинични данни за безопасност</w:t>
      </w:r>
    </w:p>
    <w:p w14:paraId="47524627" w14:textId="3A5A12BF" w:rsidR="00E74194" w:rsidRDefault="00E74194" w:rsidP="00E74194"/>
    <w:p w14:paraId="4E2B5D98" w14:textId="77777777"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Остра токсичност</w:t>
      </w:r>
    </w:p>
    <w:p w14:paraId="70B2810F"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Тизанидин притежава ниска степен на остра токсичност. Признаци на предозиране са наблюдавани при еднократна доза надвишаваща &gt;40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при животни и са свързани с фармакологичното действие на веществото.</w:t>
      </w:r>
    </w:p>
    <w:p w14:paraId="58F37A56" w14:textId="77777777" w:rsidR="00E74194" w:rsidRDefault="00E74194" w:rsidP="00E74194">
      <w:pPr>
        <w:spacing w:line="240" w:lineRule="auto"/>
        <w:rPr>
          <w:rFonts w:eastAsia="Times New Roman" w:cs="Arial"/>
          <w:color w:val="000000"/>
          <w:u w:val="single"/>
          <w:lang w:eastAsia="bg-BG"/>
        </w:rPr>
      </w:pPr>
    </w:p>
    <w:p w14:paraId="0B0E0B6C" w14:textId="2C050DE9"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Хронична токсичност</w:t>
      </w:r>
    </w:p>
    <w:p w14:paraId="34D8E229"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Токсичните ефекти на тизанидин са свързани главно с неговото фармакологично действие. В дози 24 и 40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в субхронични и хронични проучвания при гризачи, алфа</w:t>
      </w:r>
      <w:r w:rsidRPr="00E74194">
        <w:rPr>
          <w:rFonts w:eastAsia="Times New Roman" w:cs="Arial"/>
          <w:color w:val="000000"/>
          <w:vertAlign w:val="subscript"/>
          <w:lang w:eastAsia="bg-BG"/>
        </w:rPr>
        <w:t>2</w:t>
      </w:r>
      <w:r w:rsidRPr="00E74194">
        <w:rPr>
          <w:rFonts w:eastAsia="Times New Roman" w:cs="Arial"/>
          <w:color w:val="000000"/>
          <w:lang w:eastAsia="bg-BG"/>
        </w:rPr>
        <w:t>-агонизма води до стимулация на централната нервна система, т.е. моторно възбуждение, агресивност, тремор и конвулсии.</w:t>
      </w:r>
    </w:p>
    <w:p w14:paraId="649D3FD3" w14:textId="77777777" w:rsidR="00E74194" w:rsidRDefault="00E74194" w:rsidP="00E74194">
      <w:pPr>
        <w:spacing w:line="240" w:lineRule="auto"/>
        <w:rPr>
          <w:rFonts w:eastAsia="Times New Roman" w:cs="Arial"/>
          <w:color w:val="000000"/>
          <w:lang w:eastAsia="bg-BG"/>
        </w:rPr>
      </w:pPr>
    </w:p>
    <w:p w14:paraId="7F691402" w14:textId="0FA9152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Проявите свързани с централно медиираната мускулна релаксация, например седация и атаксия са наблюдавани често при по-ниски дози в субхронични и хронични проучвания с перорално приложение на веществото при кучета. Същите белези свързани с миотонолитичната активност на веществото са наблюдавани и при доза 1 до 4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 xml:space="preserve">дневно, прилагани в продължение на 13 седмици на кучета, както и при доза 1,5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в 52-седмично проучване при кучета.</w:t>
      </w:r>
    </w:p>
    <w:p w14:paraId="2DB74F70" w14:textId="77777777" w:rsidR="00E74194" w:rsidRDefault="00E74194" w:rsidP="00E74194">
      <w:pPr>
        <w:spacing w:line="240" w:lineRule="auto"/>
        <w:rPr>
          <w:rFonts w:eastAsia="Times New Roman" w:cs="Arial"/>
          <w:color w:val="000000"/>
          <w:lang w:eastAsia="bg-BG"/>
        </w:rPr>
      </w:pPr>
    </w:p>
    <w:p w14:paraId="7D319E1D" w14:textId="7FA66681"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 проучванията за хронична токсичност при кучета в дози от 1,0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 xml:space="preserve">дневно и по-високи е забелязано удължаване на </w:t>
      </w:r>
      <w:r w:rsidRPr="00E74194">
        <w:rPr>
          <w:rFonts w:eastAsia="Times New Roman" w:cs="Arial"/>
          <w:color w:val="000000"/>
          <w:lang w:val="en-US"/>
        </w:rPr>
        <w:t>QT</w:t>
      </w:r>
      <w:r w:rsidRPr="00E74194">
        <w:rPr>
          <w:rFonts w:eastAsia="Times New Roman" w:cs="Arial"/>
          <w:color w:val="000000"/>
          <w:lang w:eastAsia="bg-BG"/>
        </w:rPr>
        <w:t>-интервала и брадикардия.</w:t>
      </w:r>
    </w:p>
    <w:p w14:paraId="019662BE" w14:textId="77777777" w:rsidR="00E74194" w:rsidRDefault="00E74194" w:rsidP="00E74194">
      <w:pPr>
        <w:rPr>
          <w:rFonts w:eastAsia="Times New Roman" w:cs="Arial"/>
          <w:color w:val="000000"/>
          <w:lang w:eastAsia="bg-BG"/>
        </w:rPr>
      </w:pPr>
    </w:p>
    <w:p w14:paraId="2C8DF54A" w14:textId="0156C7B4" w:rsidR="00E74194" w:rsidRDefault="00E74194" w:rsidP="00E74194">
      <w:pPr>
        <w:rPr>
          <w:rFonts w:eastAsia="Times New Roman" w:cs="Arial"/>
          <w:color w:val="000000"/>
          <w:lang w:eastAsia="bg-BG"/>
        </w:rPr>
      </w:pPr>
      <w:r w:rsidRPr="00E74194">
        <w:rPr>
          <w:rFonts w:eastAsia="Times New Roman" w:cs="Arial"/>
          <w:color w:val="000000"/>
          <w:lang w:eastAsia="bg-BG"/>
        </w:rPr>
        <w:t xml:space="preserve">По време на проучвания за хронична токсичност проведени при плъхове е установена атрофия на ретината и замъгляване на роговицата. При доза под 1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не са наблюдавани нежелани реакции при плъхове.</w:t>
      </w:r>
    </w:p>
    <w:p w14:paraId="7937EC1A" w14:textId="7169911F" w:rsidR="00E74194" w:rsidRDefault="00E74194" w:rsidP="00E74194">
      <w:pPr>
        <w:rPr>
          <w:rFonts w:eastAsia="Times New Roman" w:cs="Arial"/>
          <w:color w:val="000000"/>
          <w:lang w:eastAsia="bg-BG"/>
        </w:rPr>
      </w:pPr>
    </w:p>
    <w:p w14:paraId="48025AB5"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В някои проучвания за токсичност при високи дози е установено леко повишаване стойностите на серумните чернодробните трансаминази. Това обаче не е последователно свързано с хистопатологични промени в черния дроб.</w:t>
      </w:r>
    </w:p>
    <w:p w14:paraId="4FA645F9" w14:textId="77777777" w:rsidR="00E74194" w:rsidRDefault="00E74194" w:rsidP="00E74194">
      <w:pPr>
        <w:spacing w:line="240" w:lineRule="auto"/>
        <w:rPr>
          <w:rFonts w:eastAsia="Times New Roman" w:cs="Arial"/>
          <w:color w:val="000000"/>
          <w:u w:val="single"/>
          <w:lang w:eastAsia="bg-BG"/>
        </w:rPr>
      </w:pPr>
    </w:p>
    <w:p w14:paraId="1D5E9EA2" w14:textId="77CB5C71"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Генотоксичност</w:t>
      </w:r>
    </w:p>
    <w:p w14:paraId="51F86E43"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Различните </w:t>
      </w:r>
      <w:r w:rsidRPr="00E74194">
        <w:rPr>
          <w:rFonts w:eastAsia="Times New Roman" w:cs="Arial"/>
          <w:i/>
          <w:iCs/>
          <w:color w:val="000000"/>
          <w:lang w:val="en-US"/>
        </w:rPr>
        <w:t>in</w:t>
      </w:r>
      <w:r w:rsidRPr="00E74194">
        <w:rPr>
          <w:rFonts w:eastAsia="Times New Roman" w:cs="Arial"/>
          <w:i/>
          <w:iCs/>
          <w:color w:val="000000"/>
          <w:lang w:val="ru-RU"/>
        </w:rPr>
        <w:t xml:space="preserve"> </w:t>
      </w:r>
      <w:r w:rsidRPr="00E74194">
        <w:rPr>
          <w:rFonts w:eastAsia="Times New Roman" w:cs="Arial"/>
          <w:i/>
          <w:iCs/>
          <w:color w:val="000000"/>
          <w:lang w:val="en-US"/>
        </w:rPr>
        <w:t>vitro</w:t>
      </w:r>
      <w:r w:rsidRPr="00E74194">
        <w:rPr>
          <w:rFonts w:eastAsia="Times New Roman" w:cs="Arial"/>
          <w:color w:val="000000"/>
          <w:lang w:val="ru-RU"/>
        </w:rPr>
        <w:t xml:space="preserve"> </w:t>
      </w:r>
      <w:r w:rsidRPr="00E74194">
        <w:rPr>
          <w:rFonts w:eastAsia="Times New Roman" w:cs="Arial"/>
          <w:color w:val="000000"/>
          <w:lang w:eastAsia="bg-BG"/>
        </w:rPr>
        <w:t xml:space="preserve">и </w:t>
      </w:r>
      <w:r w:rsidRPr="00E74194">
        <w:rPr>
          <w:rFonts w:eastAsia="Times New Roman" w:cs="Arial"/>
          <w:i/>
          <w:iCs/>
          <w:color w:val="000000"/>
          <w:lang w:val="en-US"/>
        </w:rPr>
        <w:t>in</w:t>
      </w:r>
      <w:r w:rsidRPr="00E74194">
        <w:rPr>
          <w:rFonts w:eastAsia="Times New Roman" w:cs="Arial"/>
          <w:i/>
          <w:iCs/>
          <w:color w:val="000000"/>
          <w:lang w:val="ru-RU"/>
        </w:rPr>
        <w:t xml:space="preserve"> </w:t>
      </w:r>
      <w:r w:rsidRPr="00E74194">
        <w:rPr>
          <w:rFonts w:eastAsia="Times New Roman" w:cs="Arial"/>
          <w:i/>
          <w:iCs/>
          <w:color w:val="000000"/>
          <w:lang w:val="en-US"/>
        </w:rPr>
        <w:t>vivo</w:t>
      </w:r>
      <w:r w:rsidRPr="00E74194">
        <w:rPr>
          <w:rFonts w:eastAsia="Times New Roman" w:cs="Arial"/>
          <w:color w:val="000000"/>
          <w:lang w:val="ru-RU"/>
        </w:rPr>
        <w:t xml:space="preserve"> </w:t>
      </w:r>
      <w:r w:rsidRPr="00E74194">
        <w:rPr>
          <w:rFonts w:eastAsia="Times New Roman" w:cs="Arial"/>
          <w:color w:val="000000"/>
          <w:lang w:eastAsia="bg-BG"/>
        </w:rPr>
        <w:t>анализи не са показали мутагенен потенциал на тизанидин.</w:t>
      </w:r>
    </w:p>
    <w:p w14:paraId="353596D5" w14:textId="77777777" w:rsidR="00E74194" w:rsidRDefault="00E74194" w:rsidP="00E74194">
      <w:pPr>
        <w:spacing w:line="240" w:lineRule="auto"/>
        <w:rPr>
          <w:rFonts w:eastAsia="Times New Roman" w:cs="Arial"/>
          <w:color w:val="000000"/>
          <w:u w:val="single"/>
          <w:lang w:eastAsia="bg-BG"/>
        </w:rPr>
      </w:pPr>
    </w:p>
    <w:p w14:paraId="42AAF022" w14:textId="38D74317"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Карциногенен потенциал</w:t>
      </w:r>
    </w:p>
    <w:p w14:paraId="32CB227E"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В две продължителни проучвания при мишки (78 седмици) и плъхове (104 седмици) с дози до 9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 xml:space="preserve">дневно за плъхове и до 16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за мишки не са получени доказателства за канцерогенност. В тези дозови нива близки до максималната поносима доза тизанидин, на базата на забавяне скоростта на растежа не е установена неопластична или пренеопластична патология, която да е свързана с лечението.</w:t>
      </w:r>
    </w:p>
    <w:p w14:paraId="5F59592C" w14:textId="77777777" w:rsidR="00E74194" w:rsidRDefault="00E74194" w:rsidP="00E74194">
      <w:pPr>
        <w:spacing w:line="240" w:lineRule="auto"/>
        <w:rPr>
          <w:rFonts w:eastAsia="Times New Roman" w:cs="Arial"/>
          <w:color w:val="000000"/>
          <w:u w:val="single"/>
          <w:lang w:eastAsia="bg-BG"/>
        </w:rPr>
      </w:pPr>
    </w:p>
    <w:p w14:paraId="35F702F5" w14:textId="63E83C2C" w:rsidR="00E74194" w:rsidRPr="00E74194" w:rsidRDefault="00E74194" w:rsidP="00E74194">
      <w:pPr>
        <w:spacing w:line="240" w:lineRule="auto"/>
        <w:rPr>
          <w:rFonts w:eastAsia="Times New Roman" w:cs="Arial"/>
        </w:rPr>
      </w:pPr>
      <w:r w:rsidRPr="00E74194">
        <w:rPr>
          <w:rFonts w:eastAsia="Times New Roman" w:cs="Arial"/>
          <w:color w:val="000000"/>
          <w:u w:val="single"/>
          <w:lang w:eastAsia="bg-BG"/>
        </w:rPr>
        <w:t>Репродуктивна токсичност</w:t>
      </w:r>
    </w:p>
    <w:p w14:paraId="603939E8" w14:textId="77777777"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При нива на тизанидин до 30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 xml:space="preserve">дневно прилагани на бременни плъхове и мишки, не са установени ембриотоксичност или тератогенност. Дози от 10-100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при плъхове обаче са били токсични за майките и са довели до забавяне на развитието на плода, установено по ниското тегло на плода и забавена скелетна осификация.</w:t>
      </w:r>
    </w:p>
    <w:p w14:paraId="0F5CD8A3" w14:textId="77777777" w:rsidR="00E74194" w:rsidRDefault="00E74194" w:rsidP="00E74194">
      <w:pPr>
        <w:spacing w:line="240" w:lineRule="auto"/>
        <w:rPr>
          <w:rFonts w:eastAsia="Times New Roman" w:cs="Arial"/>
          <w:color w:val="000000"/>
          <w:lang w:eastAsia="bg-BG"/>
        </w:rPr>
      </w:pPr>
    </w:p>
    <w:p w14:paraId="0E6F6F5F" w14:textId="01BECA20" w:rsidR="00E74194" w:rsidRPr="00E74194" w:rsidRDefault="00E74194" w:rsidP="00E74194">
      <w:pPr>
        <w:spacing w:line="240" w:lineRule="auto"/>
        <w:rPr>
          <w:rFonts w:eastAsia="Times New Roman" w:cs="Arial"/>
        </w:rPr>
      </w:pPr>
      <w:r w:rsidRPr="00E74194">
        <w:rPr>
          <w:rFonts w:eastAsia="Times New Roman" w:cs="Arial"/>
          <w:color w:val="000000"/>
          <w:lang w:eastAsia="bg-BG"/>
        </w:rPr>
        <w:t xml:space="preserve">При женски плъхове третирани преди чифтосване по време на лактация, преди отбиване на кърмачета или в период на късна бременност са възниквали дозозависимо (при доза 10-30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 xml:space="preserve">дневно) удължаване на бременността и дистокия, което е довело до повишаване на феталната смъртност и ретардация (забавяне на развитието на плода). Счита се, че тези ефекти се дължат на фармакологичния ефект на тизанидин. При доза 3 </w:t>
      </w:r>
      <w:r w:rsidRPr="00E74194">
        <w:rPr>
          <w:rFonts w:eastAsia="Times New Roman" w:cs="Arial"/>
          <w:color w:val="000000"/>
          <w:lang w:val="en-US"/>
        </w:rPr>
        <w:t>mg</w:t>
      </w:r>
      <w:r w:rsidRPr="00E74194">
        <w:rPr>
          <w:rFonts w:eastAsia="Times New Roman" w:cs="Arial"/>
          <w:color w:val="000000"/>
          <w:lang w:val="ru-RU"/>
        </w:rPr>
        <w:t>/</w:t>
      </w:r>
      <w:r w:rsidRPr="00E74194">
        <w:rPr>
          <w:rFonts w:eastAsia="Times New Roman" w:cs="Arial"/>
          <w:color w:val="000000"/>
          <w:lang w:val="en-US"/>
        </w:rPr>
        <w:t>kg</w:t>
      </w:r>
      <w:r w:rsidRPr="00E74194">
        <w:rPr>
          <w:rFonts w:eastAsia="Times New Roman" w:cs="Arial"/>
          <w:color w:val="000000"/>
          <w:lang w:val="ru-RU"/>
        </w:rPr>
        <w:t xml:space="preserve"> </w:t>
      </w:r>
      <w:r w:rsidRPr="00E74194">
        <w:rPr>
          <w:rFonts w:eastAsia="Times New Roman" w:cs="Arial"/>
          <w:color w:val="000000"/>
          <w:lang w:eastAsia="bg-BG"/>
        </w:rPr>
        <w:t>дневно въпреки седацията не се наблюдава забавяне в развитието.</w:t>
      </w:r>
    </w:p>
    <w:p w14:paraId="3F42D5A5" w14:textId="77777777" w:rsidR="00E74194" w:rsidRDefault="00E74194" w:rsidP="00E74194">
      <w:pPr>
        <w:rPr>
          <w:rFonts w:eastAsia="Times New Roman" w:cs="Arial"/>
          <w:color w:val="000000"/>
          <w:lang w:eastAsia="bg-BG"/>
        </w:rPr>
      </w:pPr>
    </w:p>
    <w:p w14:paraId="79F14486" w14:textId="77EFA2BB" w:rsidR="00E74194" w:rsidRPr="00E74194" w:rsidRDefault="00E74194" w:rsidP="00E74194">
      <w:pPr>
        <w:rPr>
          <w:rFonts w:cs="Arial"/>
        </w:rPr>
      </w:pPr>
      <w:r w:rsidRPr="00E74194">
        <w:rPr>
          <w:rFonts w:eastAsia="Times New Roman" w:cs="Arial"/>
          <w:color w:val="000000"/>
          <w:lang w:eastAsia="bg-BG"/>
        </w:rPr>
        <w:t>При гризачите се наблюдава преминаване на тизанидин и неговите метаболити в кърмата.</w:t>
      </w:r>
    </w:p>
    <w:p w14:paraId="6A7820AB" w14:textId="020B0292" w:rsidR="008A6AF2" w:rsidRDefault="002C50EE" w:rsidP="00395555">
      <w:pPr>
        <w:pStyle w:val="Heading1"/>
      </w:pPr>
      <w:r>
        <w:t>7. ПРИТЕЖАТЕЛ НА РАЗРЕШЕНИЕТО ЗА УПОТРЕБА</w:t>
      </w:r>
    </w:p>
    <w:p w14:paraId="73C6E014" w14:textId="77777777" w:rsidR="00E74194" w:rsidRDefault="00E74194" w:rsidP="00E74194">
      <w:pPr>
        <w:rPr>
          <w:lang w:val="en-US"/>
        </w:rPr>
      </w:pPr>
    </w:p>
    <w:p w14:paraId="3B9C341A" w14:textId="01AD634B" w:rsidR="00E74194" w:rsidRPr="00E74194" w:rsidRDefault="00E74194" w:rsidP="00E74194">
      <w:pPr>
        <w:rPr>
          <w:sz w:val="24"/>
          <w:szCs w:val="24"/>
          <w:lang w:val="ru-RU"/>
        </w:rPr>
      </w:pPr>
      <w:proofErr w:type="spellStart"/>
      <w:r w:rsidRPr="00E74194">
        <w:rPr>
          <w:lang w:val="en-US"/>
        </w:rPr>
        <w:t>Teva</w:t>
      </w:r>
      <w:proofErr w:type="spellEnd"/>
      <w:r w:rsidRPr="00E74194">
        <w:rPr>
          <w:lang w:val="ru-RU"/>
        </w:rPr>
        <w:t xml:space="preserve"> </w:t>
      </w:r>
      <w:r w:rsidRPr="00E74194">
        <w:rPr>
          <w:lang w:val="en-US"/>
        </w:rPr>
        <w:t>B</w:t>
      </w:r>
      <w:r w:rsidRPr="00E74194">
        <w:rPr>
          <w:lang w:val="ru-RU"/>
        </w:rPr>
        <w:t>.</w:t>
      </w:r>
      <w:r w:rsidRPr="00E74194">
        <w:rPr>
          <w:lang w:val="en-US"/>
        </w:rPr>
        <w:t>V</w:t>
      </w:r>
      <w:r w:rsidRPr="00E74194">
        <w:rPr>
          <w:lang w:val="ru-RU"/>
        </w:rPr>
        <w:t>.</w:t>
      </w:r>
    </w:p>
    <w:p w14:paraId="5B846898" w14:textId="77777777" w:rsidR="00E74194" w:rsidRDefault="00E74194" w:rsidP="00E74194">
      <w:pPr>
        <w:rPr>
          <w:lang w:val="ru-RU"/>
        </w:rPr>
      </w:pPr>
      <w:proofErr w:type="spellStart"/>
      <w:r w:rsidRPr="00E74194">
        <w:rPr>
          <w:lang w:val="en-US"/>
        </w:rPr>
        <w:t>Swensweg</w:t>
      </w:r>
      <w:proofErr w:type="spellEnd"/>
      <w:r w:rsidRPr="00E74194">
        <w:rPr>
          <w:lang w:val="ru-RU"/>
        </w:rPr>
        <w:t xml:space="preserve"> </w:t>
      </w:r>
      <w:r w:rsidRPr="00E74194">
        <w:rPr>
          <w:lang w:eastAsia="bg-BG"/>
        </w:rPr>
        <w:t>5</w:t>
      </w:r>
      <w:proofErr w:type="gramStart"/>
      <w:r w:rsidRPr="00E74194">
        <w:rPr>
          <w:lang w:eastAsia="bg-BG"/>
        </w:rPr>
        <w:t>,2031</w:t>
      </w:r>
      <w:proofErr w:type="gramEnd"/>
      <w:r w:rsidRPr="00E74194">
        <w:rPr>
          <w:lang w:eastAsia="bg-BG"/>
        </w:rPr>
        <w:t xml:space="preserve"> </w:t>
      </w:r>
      <w:r w:rsidRPr="00E74194">
        <w:rPr>
          <w:lang w:val="en-US"/>
        </w:rPr>
        <w:t>GA</w:t>
      </w:r>
      <w:r w:rsidRPr="00E74194">
        <w:rPr>
          <w:lang w:val="ru-RU"/>
        </w:rPr>
        <w:t xml:space="preserve"> </w:t>
      </w:r>
      <w:r w:rsidRPr="00E74194">
        <w:rPr>
          <w:lang w:val="en-US"/>
        </w:rPr>
        <w:t>Haarlem</w:t>
      </w:r>
      <w:r w:rsidRPr="00E74194">
        <w:rPr>
          <w:lang w:val="ru-RU"/>
        </w:rPr>
        <w:t xml:space="preserve"> </w:t>
      </w:r>
    </w:p>
    <w:p w14:paraId="7B6E5687" w14:textId="58875994" w:rsidR="00E74194" w:rsidRPr="00E74194" w:rsidRDefault="00E74194" w:rsidP="00E74194">
      <w:r w:rsidRPr="00E74194">
        <w:rPr>
          <w:lang w:eastAsia="bg-BG"/>
        </w:rPr>
        <w:t>Нидерландия</w:t>
      </w:r>
    </w:p>
    <w:p w14:paraId="7BA1BA64" w14:textId="2F8F4313" w:rsidR="00CF77F7" w:rsidRDefault="002C50EE" w:rsidP="004A448E">
      <w:pPr>
        <w:pStyle w:val="Heading1"/>
      </w:pPr>
      <w:r>
        <w:t>8. НОМЕР НА РАЗРЕШЕНИЕТО ЗА УПОТРЕБА</w:t>
      </w:r>
    </w:p>
    <w:p w14:paraId="260CF85C" w14:textId="131F34AC" w:rsidR="00E74194" w:rsidRDefault="00E74194" w:rsidP="00E74194"/>
    <w:p w14:paraId="62E1CCC6" w14:textId="77777777" w:rsidR="00E74194" w:rsidRPr="00E74194" w:rsidRDefault="00E74194" w:rsidP="00E74194">
      <w:pPr>
        <w:rPr>
          <w:sz w:val="24"/>
          <w:szCs w:val="24"/>
        </w:rPr>
      </w:pPr>
      <w:r w:rsidRPr="00E74194">
        <w:rPr>
          <w:lang w:eastAsia="bg-BG"/>
        </w:rPr>
        <w:t xml:space="preserve">Тизанидин-Тева 2 </w:t>
      </w:r>
      <w:r w:rsidRPr="00E74194">
        <w:rPr>
          <w:lang w:val="en-US"/>
        </w:rPr>
        <w:t>mg</w:t>
      </w:r>
      <w:r w:rsidRPr="00E74194">
        <w:rPr>
          <w:lang w:val="ru-RU"/>
        </w:rPr>
        <w:t xml:space="preserve"> </w:t>
      </w:r>
      <w:r w:rsidRPr="00E74194">
        <w:rPr>
          <w:lang w:eastAsia="bg-BG"/>
        </w:rPr>
        <w:t xml:space="preserve">таблетки </w:t>
      </w:r>
      <w:r w:rsidRPr="00E74194">
        <w:rPr>
          <w:lang w:val="en-US"/>
        </w:rPr>
        <w:t>Per</w:t>
      </w:r>
      <w:r w:rsidRPr="00E74194">
        <w:rPr>
          <w:lang w:val="ru-RU"/>
        </w:rPr>
        <w:t xml:space="preserve">. </w:t>
      </w:r>
      <w:r w:rsidRPr="00E74194">
        <w:rPr>
          <w:lang w:eastAsia="bg-BG"/>
        </w:rPr>
        <w:t>№ 20070126</w:t>
      </w:r>
    </w:p>
    <w:p w14:paraId="2F347544" w14:textId="0B79AA04" w:rsidR="00E74194" w:rsidRPr="00E74194" w:rsidRDefault="00E74194" w:rsidP="00E74194">
      <w:r w:rsidRPr="00E74194">
        <w:rPr>
          <w:lang w:eastAsia="bg-BG"/>
        </w:rPr>
        <w:t xml:space="preserve">Тизанцдин-Тева 4 </w:t>
      </w:r>
      <w:r w:rsidRPr="00E74194">
        <w:rPr>
          <w:lang w:val="en-US"/>
        </w:rPr>
        <w:t>mg</w:t>
      </w:r>
      <w:r w:rsidRPr="00E74194">
        <w:rPr>
          <w:lang w:val="ru-RU"/>
        </w:rPr>
        <w:t xml:space="preserve"> </w:t>
      </w:r>
      <w:r w:rsidRPr="00E74194">
        <w:rPr>
          <w:lang w:eastAsia="bg-BG"/>
        </w:rPr>
        <w:t xml:space="preserve">таблетки </w:t>
      </w:r>
      <w:r w:rsidRPr="00E74194">
        <w:rPr>
          <w:lang w:val="en-US"/>
        </w:rPr>
        <w:t>Per</w:t>
      </w:r>
      <w:r w:rsidRPr="00E74194">
        <w:rPr>
          <w:lang w:val="ru-RU"/>
        </w:rPr>
        <w:t xml:space="preserve">. </w:t>
      </w:r>
      <w:r w:rsidRPr="00E74194">
        <w:rPr>
          <w:lang w:eastAsia="bg-BG"/>
        </w:rPr>
        <w:t>№ 20070127</w:t>
      </w:r>
    </w:p>
    <w:p w14:paraId="2CCB5832" w14:textId="5AA0ADB3" w:rsidR="007C605B" w:rsidRDefault="002C50EE" w:rsidP="007C605B">
      <w:pPr>
        <w:pStyle w:val="Heading1"/>
      </w:pPr>
      <w:r>
        <w:lastRenderedPageBreak/>
        <w:t>9. ДАТА НА ПЪРВО РАЗРЕШАВАНЕ/ПОДНОВЯВАНЕ НА РАЗРЕШЕНИЕТО ЗА УПОТРЕБА</w:t>
      </w:r>
    </w:p>
    <w:p w14:paraId="0867757A" w14:textId="77777777" w:rsidR="00185AF3" w:rsidRDefault="00185AF3" w:rsidP="00E74194">
      <w:pPr>
        <w:rPr>
          <w:lang w:eastAsia="bg-BG"/>
        </w:rPr>
      </w:pPr>
    </w:p>
    <w:p w14:paraId="07CDF42E" w14:textId="649A2417" w:rsidR="00E74194" w:rsidRPr="00E74194" w:rsidRDefault="00E74194" w:rsidP="00E74194">
      <w:pPr>
        <w:rPr>
          <w:sz w:val="24"/>
          <w:szCs w:val="24"/>
        </w:rPr>
      </w:pPr>
      <w:bookmarkStart w:id="1" w:name="_GoBack"/>
      <w:bookmarkEnd w:id="1"/>
      <w:r w:rsidRPr="00E74194">
        <w:rPr>
          <w:lang w:eastAsia="bg-BG"/>
        </w:rPr>
        <w:t>Дата на първо разрешаване: 07 декември 2007 г.</w:t>
      </w:r>
    </w:p>
    <w:p w14:paraId="54E18735" w14:textId="031D38F8" w:rsidR="00E74194" w:rsidRPr="00E74194" w:rsidRDefault="00E74194" w:rsidP="00E74194">
      <w:r w:rsidRPr="00E74194">
        <w:rPr>
          <w:lang w:eastAsia="bg-BG"/>
        </w:rPr>
        <w:t>Дата на последно подновяване: 27 септември 2011 г.</w:t>
      </w:r>
    </w:p>
    <w:p w14:paraId="0E9D0119" w14:textId="0245C6D7" w:rsidR="002C50EE" w:rsidRDefault="002C50EE" w:rsidP="002C50EE">
      <w:pPr>
        <w:pStyle w:val="Heading1"/>
      </w:pPr>
      <w:r>
        <w:t>10. ДАТА НА АКТУАЛИЗИРАНЕ НА ТЕКСТА</w:t>
      </w:r>
    </w:p>
    <w:bookmarkEnd w:id="0"/>
    <w:p w14:paraId="43FB38A2" w14:textId="41E33059" w:rsidR="007C605B" w:rsidRDefault="007C605B" w:rsidP="00CF77F7"/>
    <w:p w14:paraId="43C2A6EA" w14:textId="77777777" w:rsidR="00E74194" w:rsidRPr="003E3126" w:rsidRDefault="00E74194" w:rsidP="00CF77F7"/>
    <w:sectPr w:rsidR="00E74194"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85AF3"/>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74194"/>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2934</Words>
  <Characters>16724</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2022-05-10T15:05:00Z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