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EEE51AD"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67C000A9"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Тор</w:t>
      </w:r>
      <w:proofErr w:type="spellStart"/>
      <w:r w:rsidRPr="00ED72A8">
        <w:rPr>
          <w:rFonts w:eastAsia="Times New Roman" w:cs="Arial"/>
          <w:color w:val="000000"/>
          <w:szCs w:val="20"/>
          <w:lang w:val="en-US"/>
        </w:rPr>
        <w:t>il</w:t>
      </w:r>
      <w:proofErr w:type="spellEnd"/>
      <w:r w:rsidRPr="00ED72A8">
        <w:rPr>
          <w:rFonts w:eastAsia="Times New Roman" w:cs="Arial"/>
          <w:color w:val="000000"/>
          <w:szCs w:val="20"/>
          <w:lang w:eastAsia="bg-BG"/>
        </w:rPr>
        <w:t xml:space="preserve">ех 25 </w:t>
      </w:r>
      <w:r w:rsidRPr="00ED72A8">
        <w:rPr>
          <w:rFonts w:eastAsia="Times New Roman" w:cs="Arial"/>
          <w:color w:val="000000"/>
          <w:szCs w:val="20"/>
          <w:lang w:val="en-US"/>
        </w:rPr>
        <w:t>mg film-coated tablets</w:t>
      </w:r>
    </w:p>
    <w:p w14:paraId="27D3EB40" w14:textId="77777777" w:rsidR="00ED72A8" w:rsidRPr="00ED72A8" w:rsidRDefault="00ED72A8" w:rsidP="00ED72A8">
      <w:pPr>
        <w:spacing w:line="240" w:lineRule="auto"/>
        <w:rPr>
          <w:rFonts w:eastAsia="Times New Roman" w:cs="Arial"/>
          <w:color w:val="000000"/>
          <w:szCs w:val="20"/>
          <w:lang w:eastAsia="bg-BG"/>
        </w:rPr>
      </w:pPr>
    </w:p>
    <w:p w14:paraId="4BE630AE" w14:textId="49D913A8"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58E66285"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Тор</w:t>
      </w:r>
      <w:proofErr w:type="spellStart"/>
      <w:r w:rsidRPr="00ED72A8">
        <w:rPr>
          <w:rFonts w:eastAsia="Times New Roman" w:cs="Arial"/>
          <w:color w:val="000000"/>
          <w:szCs w:val="20"/>
          <w:lang w:val="en-US"/>
        </w:rPr>
        <w:t>il</w:t>
      </w:r>
      <w:proofErr w:type="spellEnd"/>
      <w:r w:rsidRPr="00ED72A8">
        <w:rPr>
          <w:rFonts w:eastAsia="Times New Roman" w:cs="Arial"/>
          <w:color w:val="000000"/>
          <w:szCs w:val="20"/>
          <w:lang w:eastAsia="bg-BG"/>
        </w:rPr>
        <w:t xml:space="preserve">ех 50 </w:t>
      </w:r>
      <w:r w:rsidRPr="00ED72A8">
        <w:rPr>
          <w:rFonts w:eastAsia="Times New Roman" w:cs="Arial"/>
          <w:color w:val="000000"/>
          <w:szCs w:val="20"/>
          <w:lang w:val="en-US"/>
        </w:rPr>
        <w:t>mg film-coated tablets</w:t>
      </w:r>
    </w:p>
    <w:p w14:paraId="529879CA" w14:textId="77777777" w:rsidR="00ED72A8" w:rsidRPr="00ED72A8" w:rsidRDefault="00ED72A8" w:rsidP="00ED72A8">
      <w:pPr>
        <w:spacing w:line="240" w:lineRule="auto"/>
        <w:rPr>
          <w:rFonts w:eastAsia="Times New Roman" w:cs="Arial"/>
          <w:color w:val="000000"/>
          <w:szCs w:val="20"/>
          <w:lang w:eastAsia="bg-BG"/>
        </w:rPr>
      </w:pPr>
    </w:p>
    <w:p w14:paraId="195E63F5" w14:textId="07F4BA3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5015A1FD" w14:textId="552D6719" w:rsidR="00A73575" w:rsidRPr="00ED72A8" w:rsidRDefault="00ED72A8" w:rsidP="00ED72A8">
      <w:pPr>
        <w:rPr>
          <w:rFonts w:cs="Arial"/>
          <w:sz w:val="24"/>
        </w:rPr>
      </w:pPr>
      <w:r w:rsidRPr="00ED72A8">
        <w:rPr>
          <w:rFonts w:eastAsia="Times New Roman" w:cs="Arial"/>
          <w:color w:val="000000"/>
          <w:szCs w:val="20"/>
          <w:lang w:eastAsia="bg-BG"/>
        </w:rPr>
        <w:t>Тор</w:t>
      </w:r>
      <w:proofErr w:type="spellStart"/>
      <w:r w:rsidRPr="00ED72A8">
        <w:rPr>
          <w:rFonts w:eastAsia="Times New Roman" w:cs="Arial"/>
          <w:color w:val="000000"/>
          <w:szCs w:val="20"/>
          <w:lang w:val="en-US"/>
        </w:rPr>
        <w:t>il</w:t>
      </w:r>
      <w:proofErr w:type="spellEnd"/>
      <w:r w:rsidRPr="00ED72A8">
        <w:rPr>
          <w:rFonts w:eastAsia="Times New Roman" w:cs="Arial"/>
          <w:color w:val="000000"/>
          <w:szCs w:val="20"/>
          <w:lang w:eastAsia="bg-BG"/>
        </w:rPr>
        <w:t xml:space="preserve">ех 100 </w:t>
      </w:r>
      <w:r w:rsidRPr="00ED72A8">
        <w:rPr>
          <w:rFonts w:eastAsia="Times New Roman" w:cs="Arial"/>
          <w:color w:val="000000"/>
          <w:szCs w:val="2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4590ABDF"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Всяка филмирана таблетка съдържа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или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топирамат.</w:t>
      </w:r>
    </w:p>
    <w:p w14:paraId="001878BE" w14:textId="77777777" w:rsidR="00ED72A8" w:rsidRPr="00ED72A8" w:rsidRDefault="00ED72A8" w:rsidP="00ED72A8">
      <w:pPr>
        <w:spacing w:line="240" w:lineRule="auto"/>
        <w:rPr>
          <w:rFonts w:eastAsia="Times New Roman" w:cs="Arial"/>
          <w:color w:val="000000"/>
          <w:szCs w:val="20"/>
          <w:lang w:eastAsia="bg-BG"/>
        </w:rPr>
      </w:pPr>
    </w:p>
    <w:p w14:paraId="5A1E5CBB" w14:textId="51BDF979"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Помощни вещества с известен ефект:</w:t>
      </w:r>
    </w:p>
    <w:p w14:paraId="59D86027"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5CED996C"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Всяка таблетка съдържа 0,4 </w:t>
      </w:r>
      <w:r w:rsidRPr="00ED72A8">
        <w:rPr>
          <w:rFonts w:eastAsia="Times New Roman" w:cs="Arial"/>
          <w:color w:val="000000"/>
          <w:szCs w:val="20"/>
          <w:lang w:val="en-US"/>
        </w:rPr>
        <w:t xml:space="preserve">mg </w:t>
      </w:r>
      <w:r w:rsidRPr="00ED72A8">
        <w:rPr>
          <w:rFonts w:eastAsia="Times New Roman" w:cs="Arial"/>
          <w:color w:val="000000"/>
          <w:szCs w:val="20"/>
          <w:lang w:eastAsia="bg-BG"/>
        </w:rPr>
        <w:t>лактоза (като лактоза монохидрат).</w:t>
      </w:r>
    </w:p>
    <w:p w14:paraId="41A79175" w14:textId="77777777" w:rsidR="00ED72A8" w:rsidRPr="00ED72A8" w:rsidRDefault="00ED72A8" w:rsidP="00ED72A8">
      <w:pPr>
        <w:spacing w:line="240" w:lineRule="auto"/>
        <w:rPr>
          <w:rFonts w:eastAsia="Times New Roman" w:cs="Arial"/>
          <w:color w:val="000000"/>
          <w:szCs w:val="20"/>
          <w:lang w:eastAsia="bg-BG"/>
        </w:rPr>
      </w:pPr>
    </w:p>
    <w:p w14:paraId="2223BB99" w14:textId="45DCC613"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4FE09D9F"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Всяка таблетка съдържа 0,4 </w:t>
      </w:r>
      <w:r w:rsidRPr="00ED72A8">
        <w:rPr>
          <w:rFonts w:eastAsia="Times New Roman" w:cs="Arial"/>
          <w:color w:val="000000"/>
          <w:szCs w:val="20"/>
          <w:lang w:val="en-US"/>
        </w:rPr>
        <w:t xml:space="preserve">mg </w:t>
      </w:r>
      <w:r w:rsidRPr="00ED72A8">
        <w:rPr>
          <w:rFonts w:eastAsia="Times New Roman" w:cs="Arial"/>
          <w:color w:val="000000"/>
          <w:szCs w:val="20"/>
          <w:lang w:eastAsia="bg-BG"/>
        </w:rPr>
        <w:t>лактоза (като лактоза монохидрат).</w:t>
      </w:r>
    </w:p>
    <w:p w14:paraId="69CECED2" w14:textId="77777777" w:rsidR="00ED72A8" w:rsidRPr="00ED72A8" w:rsidRDefault="00ED72A8" w:rsidP="00ED72A8">
      <w:pPr>
        <w:spacing w:line="240" w:lineRule="auto"/>
        <w:rPr>
          <w:rFonts w:eastAsia="Times New Roman" w:cs="Arial"/>
          <w:color w:val="000000"/>
          <w:szCs w:val="20"/>
          <w:lang w:eastAsia="bg-BG"/>
        </w:rPr>
      </w:pPr>
    </w:p>
    <w:p w14:paraId="770BA9B6" w14:textId="548412B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157A99DD"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Всяка таблетка съдържа 0,05 </w:t>
      </w:r>
      <w:r w:rsidRPr="00ED72A8">
        <w:rPr>
          <w:rFonts w:eastAsia="Times New Roman" w:cs="Arial"/>
          <w:color w:val="000000"/>
          <w:szCs w:val="20"/>
          <w:lang w:val="en-US"/>
        </w:rPr>
        <w:t xml:space="preserve">mg </w:t>
      </w:r>
      <w:r w:rsidRPr="00ED72A8">
        <w:rPr>
          <w:rFonts w:eastAsia="Times New Roman" w:cs="Arial"/>
          <w:color w:val="000000"/>
          <w:szCs w:val="20"/>
          <w:lang w:eastAsia="bg-BG"/>
        </w:rPr>
        <w:t>Сънсет жълто (Е 110).</w:t>
      </w:r>
    </w:p>
    <w:p w14:paraId="03110A50" w14:textId="3C54CCB2" w:rsidR="0091385D" w:rsidRPr="00ED72A8" w:rsidRDefault="00ED72A8" w:rsidP="00ED72A8">
      <w:pPr>
        <w:rPr>
          <w:rFonts w:cs="Arial"/>
          <w:sz w:val="24"/>
        </w:rPr>
      </w:pPr>
      <w:r w:rsidRPr="00ED72A8">
        <w:rPr>
          <w:rFonts w:eastAsia="Times New Roman" w:cs="Arial"/>
          <w:color w:val="000000"/>
          <w:szCs w:val="20"/>
          <w:lang w:eastAsia="bg-BG"/>
        </w:rPr>
        <w:t xml:space="preserve">За пълния списък на помощните вещества, вижте точка </w:t>
      </w:r>
      <w:r w:rsidRPr="00ED72A8">
        <w:rPr>
          <w:rFonts w:eastAsia="Times New Roman" w:cs="Arial"/>
          <w:iCs/>
          <w:color w:val="000000"/>
          <w:szCs w:val="20"/>
          <w:lang w:eastAsia="bg-BG"/>
        </w:rPr>
        <w:t>6</w:t>
      </w:r>
      <w:r w:rsidRPr="00ED72A8">
        <w:rPr>
          <w:rFonts w:eastAsia="Times New Roman" w:cs="Arial"/>
          <w:i/>
          <w:iCs/>
          <w:color w:val="000000"/>
          <w:szCs w:val="20"/>
          <w:lang w:eastAsia="bg-BG"/>
        </w:rPr>
        <w:t>.</w:t>
      </w:r>
      <w:r w:rsidRPr="00ED72A8">
        <w:rPr>
          <w:rFonts w:eastAsia="Times New Roman" w:cs="Arial"/>
          <w:color w:val="000000"/>
          <w:szCs w:val="20"/>
          <w:lang w:eastAsia="bg-BG"/>
        </w:rPr>
        <w:t>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3C03A6B"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Филмирани таблетки</w:t>
      </w:r>
    </w:p>
    <w:p w14:paraId="108DF2D7"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се предлага под формата на бели, кръгли, двойно-изпъкнали филмирани таблетки.</w:t>
      </w:r>
    </w:p>
    <w:p w14:paraId="30A9DF06"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се предлага под формата на жълти, кръгли, двойно-изпъкнали филмирани таблетки.</w:t>
      </w:r>
    </w:p>
    <w:p w14:paraId="4129ADBB" w14:textId="7FDDB681" w:rsidR="0091385D" w:rsidRPr="00ED72A8" w:rsidRDefault="00ED72A8" w:rsidP="00ED72A8">
      <w:pPr>
        <w:rPr>
          <w:rFonts w:cs="Arial"/>
          <w:sz w:val="24"/>
        </w:rPr>
      </w:pPr>
      <w:r w:rsidRPr="00ED72A8">
        <w:rPr>
          <w:rFonts w:eastAsia="Times New Roman" w:cs="Arial"/>
          <w:color w:val="000000"/>
          <w:szCs w:val="20"/>
          <w:lang w:eastAsia="bg-BG"/>
        </w:rPr>
        <w:t xml:space="preserve">Топилекс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се предлага под формата на оранжеви, продълговати, двойно-изпъкнали филмирани таблетки.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3802E5E8"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lastRenderedPageBreak/>
        <w:t>Монотерапия при възрастни, юноши и деца над 6-годишна възраст с парциални пристъпи, със или без вторични генерализирани пристъпи и първични генерализирани тонично-клонични пристъпи.</w:t>
      </w:r>
    </w:p>
    <w:p w14:paraId="6CFF6A1A" w14:textId="77777777" w:rsidR="00ED72A8" w:rsidRPr="00ED72A8" w:rsidRDefault="00ED72A8" w:rsidP="00ED72A8">
      <w:pPr>
        <w:spacing w:line="240" w:lineRule="auto"/>
        <w:rPr>
          <w:rFonts w:eastAsia="Times New Roman" w:cs="Arial"/>
          <w:color w:val="000000"/>
          <w:szCs w:val="20"/>
          <w:lang w:eastAsia="bg-BG"/>
        </w:rPr>
      </w:pPr>
    </w:p>
    <w:p w14:paraId="623ACDEB" w14:textId="28EB7BF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Допълнителна терапия при деца над 2-годишна възраст, юноши и възрастни с парциални пристъпи, със или без вторична генерализация или първични генерализирани тонично- клонични пристъпи и за лечение на пристъпи, свързани със синдрома на Ленокс-Гасто.</w:t>
      </w:r>
    </w:p>
    <w:p w14:paraId="29A96FF4" w14:textId="77777777" w:rsidR="00ED72A8" w:rsidRPr="00ED72A8" w:rsidRDefault="00ED72A8" w:rsidP="00ED72A8">
      <w:pPr>
        <w:spacing w:line="240" w:lineRule="auto"/>
        <w:rPr>
          <w:rFonts w:eastAsia="Times New Roman" w:cs="Arial"/>
          <w:color w:val="000000"/>
          <w:szCs w:val="20"/>
          <w:lang w:eastAsia="bg-BG"/>
        </w:rPr>
      </w:pPr>
    </w:p>
    <w:p w14:paraId="04B2E99C" w14:textId="02E990A6" w:rsidR="0091385D"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Топирамат е показан при възрастни за профилактика на мигренозно главоболие след внимателна преценка на приемливите алтернативни възможности за лечение. Топирамат не е</w:t>
      </w:r>
      <w:r>
        <w:rPr>
          <w:rFonts w:eastAsia="Times New Roman" w:cs="Arial"/>
          <w:sz w:val="28"/>
          <w:szCs w:val="24"/>
          <w:lang w:eastAsia="bg-BG"/>
        </w:rPr>
        <w:t xml:space="preserve"> </w:t>
      </w:r>
      <w:r w:rsidRPr="00ED72A8">
        <w:rPr>
          <w:rFonts w:eastAsia="Times New Roman" w:cs="Arial"/>
          <w:color w:val="000000"/>
          <w:szCs w:val="20"/>
          <w:lang w:eastAsia="bg-BG"/>
        </w:rPr>
        <w:t>предназначен за интензивно лечение.</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7CB95705" w14:textId="77777777" w:rsidR="00ED72A8" w:rsidRPr="00ED72A8" w:rsidRDefault="00ED72A8" w:rsidP="00ED72A8">
      <w:pPr>
        <w:pStyle w:val="Heading3"/>
        <w:rPr>
          <w:rFonts w:eastAsia="Times New Roman"/>
          <w:sz w:val="28"/>
          <w:u w:val="single"/>
          <w:lang w:eastAsia="bg-BG"/>
        </w:rPr>
      </w:pPr>
      <w:r w:rsidRPr="00ED72A8">
        <w:rPr>
          <w:rFonts w:eastAsia="Times New Roman"/>
          <w:u w:val="single"/>
          <w:lang w:eastAsia="bg-BG"/>
        </w:rPr>
        <w:t>Дозировка</w:t>
      </w:r>
    </w:p>
    <w:p w14:paraId="4D250814" w14:textId="77777777" w:rsidR="00ED72A8" w:rsidRPr="00ED72A8" w:rsidRDefault="00ED72A8" w:rsidP="00ED72A8">
      <w:pPr>
        <w:spacing w:line="240" w:lineRule="auto"/>
        <w:rPr>
          <w:rFonts w:eastAsia="Times New Roman" w:cs="Arial"/>
          <w:color w:val="000000"/>
          <w:szCs w:val="20"/>
          <w:lang w:eastAsia="bg-BG"/>
        </w:rPr>
      </w:pPr>
    </w:p>
    <w:p w14:paraId="6D4C5FE3" w14:textId="642A7DB2"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Препоръчва се терапията да започне с ниски дози и след това чрез постепенно титриране да се достигне до ефективната доза. Дозата и степента на нейното увеличаване зависят от клиничния отговор.</w:t>
      </w:r>
    </w:p>
    <w:p w14:paraId="26077815"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Топилекс е наличен като филмирани таблетки. Не се препоръчва филмираните таблетки да се чупят..</w:t>
      </w:r>
    </w:p>
    <w:p w14:paraId="079697C5"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Не се налага мониториране на плазмените концентрации на топирамат, за да се оптимизира терапията с Топилекс. В редки случаи добавянето на Топилекс към схемата на лечение с фенитоин може наложи коригиране на дозата на фенитоин с цел да се постигне оптимален клиничен резултат. Добавянето или спирането на лечението с фенитоин или карбамазепин при провеждане на допълнителна терапия с Топилекс може да наложи коригиране на дозата на Топилекс. Топилекс може да се приема с или без храна.</w:t>
      </w:r>
    </w:p>
    <w:p w14:paraId="374927C0"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При пациенти със или без анамнеза за пристъпи или епилепсия, лечението с антиепилептични лекарства, включително и топирамат, трябва се прекратява постепенно, за да се сведе до минимум рискът от поява на пристъпи или увеличаване честотата на пристъпите. В клинични изпитвания, дневната доза е намалявана с 50-100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седмично при възрастни с епилепсия и с 25-50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седмично при възрастни, приемащи топирамат в дози до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за профилактика на мигрена. В клинични изпитвания при деца дозата на топирамат е намалявана постепенно в продължение на 2-8 седмичен период.</w:t>
      </w:r>
    </w:p>
    <w:p w14:paraId="77BB3699" w14:textId="77777777" w:rsidR="00ED72A8" w:rsidRPr="00ED72A8" w:rsidRDefault="00ED72A8" w:rsidP="00ED72A8">
      <w:pPr>
        <w:spacing w:line="240" w:lineRule="auto"/>
        <w:rPr>
          <w:rFonts w:eastAsia="Times New Roman" w:cs="Arial"/>
          <w:color w:val="000000"/>
          <w:szCs w:val="20"/>
          <w:u w:val="single"/>
          <w:lang w:eastAsia="bg-BG"/>
        </w:rPr>
      </w:pPr>
    </w:p>
    <w:p w14:paraId="0C86B9A9" w14:textId="7C3AD2F0"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Монотерапия на епилепсия</w:t>
      </w:r>
    </w:p>
    <w:p w14:paraId="2D1D824C" w14:textId="77777777" w:rsidR="00ED72A8" w:rsidRPr="00ED72A8" w:rsidRDefault="00ED72A8" w:rsidP="00ED72A8">
      <w:pPr>
        <w:spacing w:line="240" w:lineRule="auto"/>
        <w:rPr>
          <w:rFonts w:eastAsia="Times New Roman" w:cs="Arial"/>
          <w:i/>
          <w:iCs/>
          <w:color w:val="000000"/>
          <w:szCs w:val="20"/>
          <w:lang w:eastAsia="bg-BG"/>
        </w:rPr>
      </w:pPr>
    </w:p>
    <w:p w14:paraId="278D31C2" w14:textId="20B3CF1E"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Общи принципи</w:t>
      </w:r>
    </w:p>
    <w:p w14:paraId="6EBA9D24"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При прекратяване употребата на съпътстващите антиепилептични лекарства (АЕЛ) с цел прилагане на монотерапия с топирамат, следва да се обърне внимание на последиците от това върху контрола на припадъците. Препоръчва се постепенно намаляване на дозите на съпътстващите АЕЛ с около 1/3 на всеки 2 седмици, освен ако внезапното прекратяване на техния прием не се налага по съображения за безопасност.</w:t>
      </w:r>
    </w:p>
    <w:p w14:paraId="082B5ABA"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След прекратяване приема на ензим-индуциращите лекарствени продукти, нивото на топирамат се покачва. Може да се наложи намаляване на дозата на Топилекс (топирамат), ако за това има клинични показания.</w:t>
      </w:r>
    </w:p>
    <w:p w14:paraId="3E8CAF0C" w14:textId="77777777" w:rsidR="00ED72A8" w:rsidRPr="00ED72A8" w:rsidRDefault="00ED72A8" w:rsidP="00ED72A8">
      <w:pPr>
        <w:spacing w:line="240" w:lineRule="auto"/>
        <w:rPr>
          <w:rFonts w:eastAsia="Times New Roman" w:cs="Arial"/>
          <w:i/>
          <w:iCs/>
          <w:color w:val="000000"/>
          <w:szCs w:val="20"/>
          <w:lang w:eastAsia="bg-BG"/>
        </w:rPr>
      </w:pPr>
    </w:p>
    <w:p w14:paraId="024453BC" w14:textId="601C73A0"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Възрастни</w:t>
      </w:r>
    </w:p>
    <w:p w14:paraId="5D44DA99" w14:textId="77777777" w:rsidR="00ED72A8" w:rsidRPr="00ED72A8" w:rsidRDefault="00ED72A8" w:rsidP="00ED72A8">
      <w:pPr>
        <w:spacing w:line="240" w:lineRule="auto"/>
        <w:rPr>
          <w:rFonts w:eastAsia="Times New Roman" w:cs="Arial"/>
          <w:color w:val="000000"/>
          <w:szCs w:val="20"/>
          <w:lang w:eastAsia="bg-BG"/>
        </w:rPr>
      </w:pPr>
    </w:p>
    <w:p w14:paraId="124D15B0" w14:textId="3639AA3E"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lastRenderedPageBreak/>
        <w:t xml:space="preserve">Дозата и титрирането трябва да се ръководят от клиничния отговор. Титрирането трябва да започне 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вечер в продължение на 1 седмица, след което, на интервали от една или две седмици, дозата трябва да се повишава с 25 или 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и да се прилага, разделена на две отделни дози. Ако пациентът не понася схемата на дозиране, повишаванията на дозата може да са по-малки или интервалите между повишаванията може да се удължат.</w:t>
      </w:r>
    </w:p>
    <w:p w14:paraId="1FBFB6C5" w14:textId="77777777" w:rsidR="00ED72A8" w:rsidRPr="00ED72A8" w:rsidRDefault="00ED72A8" w:rsidP="00ED72A8">
      <w:pPr>
        <w:spacing w:line="240" w:lineRule="auto"/>
        <w:rPr>
          <w:rFonts w:eastAsia="Times New Roman" w:cs="Arial"/>
          <w:color w:val="000000"/>
          <w:szCs w:val="20"/>
          <w:lang w:eastAsia="bg-BG"/>
        </w:rPr>
      </w:pPr>
    </w:p>
    <w:p w14:paraId="3245B1DF" w14:textId="31583395"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Препоръчителната начална таргетна доза топирамат като монотерапия при възрастни е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до 200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разделена на две отделни дози. Препоръчваната максималната дневна доза е 500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разделена на две отделни дози. Някои пациенти с рефрактерни форми на епилепсия са понесли монотерапия с топирамат в дози от 1000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Препоръките за дозиране са приложими за всички възрастни, включително и за пациенти в напреднала възраст, при липса на съпътстващо бъбречно заболяване.</w:t>
      </w:r>
    </w:p>
    <w:p w14:paraId="7E34240E" w14:textId="77777777" w:rsidR="00ED72A8" w:rsidRPr="00ED72A8" w:rsidRDefault="00ED72A8" w:rsidP="00ED72A8">
      <w:pPr>
        <w:spacing w:line="240" w:lineRule="auto"/>
        <w:rPr>
          <w:rFonts w:eastAsia="Times New Roman" w:cs="Arial"/>
          <w:i/>
          <w:iCs/>
          <w:color w:val="000000"/>
          <w:szCs w:val="20"/>
          <w:lang w:eastAsia="bg-BG"/>
        </w:rPr>
      </w:pPr>
    </w:p>
    <w:p w14:paraId="36C57395" w14:textId="358303C3"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Педиатрична популация (деца над 6-годишна възраст)</w:t>
      </w:r>
    </w:p>
    <w:p w14:paraId="7F96A8F7" w14:textId="77777777" w:rsidR="00ED72A8" w:rsidRPr="00ED72A8" w:rsidRDefault="00ED72A8" w:rsidP="00ED72A8">
      <w:pPr>
        <w:spacing w:line="240" w:lineRule="auto"/>
        <w:rPr>
          <w:rFonts w:eastAsia="Times New Roman" w:cs="Arial"/>
          <w:color w:val="000000"/>
          <w:szCs w:val="20"/>
          <w:lang w:eastAsia="bg-BG"/>
        </w:rPr>
      </w:pPr>
    </w:p>
    <w:p w14:paraId="14650565" w14:textId="77777777" w:rsidR="00ED72A8" w:rsidRPr="00ED72A8" w:rsidRDefault="00ED72A8" w:rsidP="00ED72A8">
      <w:pPr>
        <w:rPr>
          <w:rFonts w:eastAsia="Times New Roman" w:cs="Arial"/>
          <w:szCs w:val="20"/>
          <w:lang w:eastAsia="bg-BG"/>
        </w:rPr>
      </w:pPr>
      <w:r w:rsidRPr="00ED72A8">
        <w:rPr>
          <w:rFonts w:eastAsia="Times New Roman" w:cs="Arial"/>
          <w:color w:val="000000"/>
          <w:szCs w:val="20"/>
          <w:lang w:eastAsia="bg-BG"/>
        </w:rPr>
        <w:t xml:space="preserve">Дозата и титрирането на дозата при деца трябва да ръководят от клиничния отговор. Лечението на деца над 6-годишна възраст трябва да започне с доза 0,5 до 1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вечер през първата  седмица, след което, на интервали от една или две седмици, дозата трябва се увеличава с 0,5 до</w:t>
      </w:r>
      <w:r w:rsidRPr="00ED72A8">
        <w:rPr>
          <w:rFonts w:eastAsia="Times New Roman" w:cs="Arial"/>
          <w:sz w:val="28"/>
          <w:szCs w:val="24"/>
          <w:lang w:eastAsia="bg-BG"/>
        </w:rPr>
        <w:t xml:space="preserve"> </w:t>
      </w:r>
      <w:r w:rsidRPr="00ED72A8">
        <w:rPr>
          <w:rFonts w:eastAsia="Times New Roman" w:cs="Arial"/>
          <w:color w:val="000000"/>
          <w:szCs w:val="20"/>
          <w:lang w:eastAsia="bg-BG"/>
        </w:rPr>
        <w:t xml:space="preserve">1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дневно и да се прилага разделена надве отделни дози. Ако детето не понася схемата на титриране, повишаванията на дозите може да са по-малки или интервалите между повишаванията може да се удължат.</w:t>
      </w:r>
    </w:p>
    <w:p w14:paraId="028CAD3E"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Препоръчваната начална таргетна доза топирамат като монотерапия при деца над 6-годипша възраст е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в зависимост от клиничната картина (това е около 2,0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дневно при деца 6-16 години).</w:t>
      </w:r>
    </w:p>
    <w:p w14:paraId="0501BB41" w14:textId="77777777" w:rsidR="00ED72A8" w:rsidRPr="00ED72A8" w:rsidRDefault="00ED72A8" w:rsidP="00ED72A8">
      <w:pPr>
        <w:spacing w:line="240" w:lineRule="auto"/>
        <w:rPr>
          <w:rFonts w:eastAsia="Times New Roman" w:cs="Arial"/>
          <w:color w:val="000000"/>
          <w:szCs w:val="20"/>
          <w:u w:val="single"/>
          <w:lang w:eastAsia="bg-BG"/>
        </w:rPr>
      </w:pPr>
    </w:p>
    <w:p w14:paraId="69DEC3D1" w14:textId="6C333EEB"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u w:val="single"/>
          <w:lang w:eastAsia="bg-BG"/>
        </w:rPr>
        <w:t>Допълнителна терапия при епилепсия (парциални пристъпи, със или без вторична генерализация, първични генерализирани тонично-клонични пристъпи или пристъпи, свързани със синдрома на Ленокс-Гасто).</w:t>
      </w:r>
    </w:p>
    <w:p w14:paraId="024E19AF" w14:textId="77777777" w:rsidR="00ED72A8" w:rsidRPr="00ED72A8" w:rsidRDefault="00ED72A8" w:rsidP="00ED72A8">
      <w:pPr>
        <w:spacing w:line="240" w:lineRule="auto"/>
        <w:rPr>
          <w:rFonts w:eastAsia="Times New Roman" w:cs="Arial"/>
          <w:i/>
          <w:iCs/>
          <w:color w:val="000000"/>
          <w:szCs w:val="20"/>
          <w:lang w:eastAsia="bg-BG"/>
        </w:rPr>
      </w:pPr>
    </w:p>
    <w:p w14:paraId="220B0DC9" w14:textId="2E796616"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Възрастни</w:t>
      </w:r>
    </w:p>
    <w:p w14:paraId="606C2445" w14:textId="77777777" w:rsidR="00ED72A8" w:rsidRPr="00ED72A8" w:rsidRDefault="00ED72A8" w:rsidP="00ED72A8">
      <w:pPr>
        <w:spacing w:line="240" w:lineRule="auto"/>
        <w:rPr>
          <w:rFonts w:eastAsia="Times New Roman" w:cs="Arial"/>
          <w:color w:val="000000"/>
          <w:szCs w:val="20"/>
          <w:lang w:eastAsia="bg-BG"/>
        </w:rPr>
      </w:pPr>
    </w:p>
    <w:p w14:paraId="1D1C8EDF" w14:textId="093C1130"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Терапията трябва да започне с 25-50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вечер в продължение на една седмица. Съобщава се за приложение на по-ниски начални дози, но това не е системно проучвано. Впоследствие, на интервали от една или две седмици, дозата трябва да се повишава с 25-50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и да се прилага разделена на две отделни дози. При някои пациенти може да се постигне ефект и при дозиране веднъж дневно.</w:t>
      </w:r>
    </w:p>
    <w:p w14:paraId="6BA1B2FD"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При клиничните изпитвания като допълнителна терапия, най-ниската ефективна доза е 200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Обичайната дневна доза е 200-400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разделена на две отделни дози.</w:t>
      </w:r>
    </w:p>
    <w:p w14:paraId="355C73AB"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Предложените схеми на дозиране са приложими за всички възрастни, включително и за пациентите в напреднала възраст, ако няма съпътстващо бъбречно заболяване (вж. точка 4.4).</w:t>
      </w:r>
    </w:p>
    <w:p w14:paraId="5053D319" w14:textId="77777777" w:rsidR="00ED72A8" w:rsidRPr="00ED72A8" w:rsidRDefault="00ED72A8" w:rsidP="00ED72A8">
      <w:pPr>
        <w:spacing w:line="240" w:lineRule="auto"/>
        <w:rPr>
          <w:rFonts w:eastAsia="Times New Roman" w:cs="Arial"/>
          <w:i/>
          <w:iCs/>
          <w:color w:val="000000"/>
          <w:szCs w:val="20"/>
          <w:lang w:eastAsia="bg-BG"/>
        </w:rPr>
      </w:pPr>
    </w:p>
    <w:p w14:paraId="36CE465B" w14:textId="2FB866FD"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Деца (на възраст 2 и повече години)</w:t>
      </w:r>
    </w:p>
    <w:p w14:paraId="48B26EA8" w14:textId="77777777" w:rsidR="00ED72A8" w:rsidRPr="00ED72A8" w:rsidRDefault="00ED72A8" w:rsidP="00ED72A8">
      <w:pPr>
        <w:spacing w:line="240" w:lineRule="auto"/>
        <w:rPr>
          <w:rFonts w:eastAsia="Times New Roman" w:cs="Arial"/>
          <w:color w:val="000000"/>
          <w:szCs w:val="20"/>
          <w:lang w:eastAsia="bg-BG"/>
        </w:rPr>
      </w:pPr>
    </w:p>
    <w:p w14:paraId="226DE5BB" w14:textId="3AD64218"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Препоръчителната обща дневна доза Топилекс (топирамат) като допълнителна терапия е приблизително 5 до 9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 xml:space="preserve">дневно, разделена на две отделни дози. Титрирането трябва да започне 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(или по-малко на базата на диапазон 1 до 3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 xml:space="preserve">дневно) вечер през първата седмица, след което, на интервали от една или две седмици, дозата трябва да </w:t>
      </w:r>
      <w:r w:rsidRPr="00ED72A8">
        <w:rPr>
          <w:rFonts w:eastAsia="Times New Roman" w:cs="Arial"/>
          <w:color w:val="000000"/>
          <w:szCs w:val="20"/>
          <w:lang w:eastAsia="bg-BG"/>
        </w:rPr>
        <w:lastRenderedPageBreak/>
        <w:t xml:space="preserve">се повишава с 1 до 3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дневно (разделена на две отделни дози), за да се постигне оптимален клиничен отговор.</w:t>
      </w:r>
    </w:p>
    <w:p w14:paraId="6D12F426"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Направени са проучвания на дневни дози до 30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и като цяло поносимостта към тях е добра.</w:t>
      </w:r>
    </w:p>
    <w:p w14:paraId="75D1742E" w14:textId="77777777" w:rsidR="00ED72A8" w:rsidRPr="00ED72A8" w:rsidRDefault="00ED72A8" w:rsidP="00ED72A8">
      <w:pPr>
        <w:spacing w:line="240" w:lineRule="auto"/>
        <w:rPr>
          <w:rFonts w:eastAsia="Times New Roman" w:cs="Arial"/>
          <w:color w:val="000000"/>
          <w:szCs w:val="20"/>
          <w:u w:val="single"/>
          <w:lang w:eastAsia="bg-BG"/>
        </w:rPr>
      </w:pPr>
    </w:p>
    <w:p w14:paraId="0B2D3F02" w14:textId="76BE18FC"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u w:val="single"/>
          <w:lang w:eastAsia="bg-BG"/>
        </w:rPr>
        <w:t>Мигрена</w:t>
      </w:r>
    </w:p>
    <w:p w14:paraId="12296F7C" w14:textId="77777777" w:rsidR="00ED72A8" w:rsidRPr="00ED72A8" w:rsidRDefault="00ED72A8" w:rsidP="00ED72A8">
      <w:pPr>
        <w:spacing w:line="240" w:lineRule="auto"/>
        <w:rPr>
          <w:rFonts w:eastAsia="Times New Roman" w:cs="Arial"/>
          <w:i/>
          <w:iCs/>
          <w:color w:val="000000"/>
          <w:szCs w:val="20"/>
          <w:lang w:eastAsia="bg-BG"/>
        </w:rPr>
      </w:pPr>
    </w:p>
    <w:p w14:paraId="61D6E41A" w14:textId="7F62F3A1"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Възрастни</w:t>
      </w:r>
    </w:p>
    <w:p w14:paraId="49E74B80" w14:textId="77777777" w:rsidR="00ED72A8" w:rsidRPr="00ED72A8" w:rsidRDefault="00ED72A8" w:rsidP="00ED72A8">
      <w:pPr>
        <w:spacing w:line="240" w:lineRule="auto"/>
        <w:rPr>
          <w:rFonts w:eastAsia="Times New Roman" w:cs="Arial"/>
          <w:color w:val="000000"/>
          <w:szCs w:val="20"/>
          <w:lang w:eastAsia="bg-BG"/>
        </w:rPr>
      </w:pPr>
    </w:p>
    <w:p w14:paraId="4C746B07" w14:textId="77777777" w:rsidR="00ED72A8" w:rsidRPr="00ED72A8" w:rsidRDefault="00ED72A8" w:rsidP="00ED72A8">
      <w:pPr>
        <w:spacing w:line="240" w:lineRule="auto"/>
        <w:rPr>
          <w:rFonts w:eastAsia="Times New Roman" w:cs="Arial"/>
          <w:color w:val="000000"/>
          <w:szCs w:val="20"/>
          <w:lang w:val="en-US"/>
        </w:rPr>
      </w:pPr>
      <w:r w:rsidRPr="00ED72A8">
        <w:rPr>
          <w:rFonts w:eastAsia="Times New Roman" w:cs="Arial"/>
          <w:color w:val="000000"/>
          <w:szCs w:val="20"/>
          <w:lang w:eastAsia="bg-BG"/>
        </w:rPr>
        <w:t xml:space="preserve">Препоръчителната обща дневна доза топирамат за профилактика на мигренозно главоболие е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разделена на две отделни дози. Дозирането трябва да започне 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вечер в продължение на една седмица, след което, на интервали от една седмица, дозата трябва да се повишава 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Ако пациентът не понася схемата на дозиране, интервалите между увеличените дози може да се удължат.</w:t>
      </w:r>
    </w:p>
    <w:p w14:paraId="50D259D5" w14:textId="77777777" w:rsidR="00ED72A8" w:rsidRPr="00ED72A8" w:rsidRDefault="00ED72A8" w:rsidP="00ED72A8">
      <w:pPr>
        <w:spacing w:line="240" w:lineRule="auto"/>
        <w:rPr>
          <w:rFonts w:eastAsia="Times New Roman" w:cs="Arial"/>
          <w:color w:val="000000"/>
          <w:szCs w:val="20"/>
          <w:lang w:val="en-US"/>
        </w:rPr>
      </w:pPr>
    </w:p>
    <w:p w14:paraId="00634B65" w14:textId="293AD38C" w:rsidR="00ED72A8" w:rsidRPr="00ED72A8" w:rsidRDefault="00ED72A8" w:rsidP="00ED72A8">
      <w:pPr>
        <w:spacing w:line="240" w:lineRule="auto"/>
        <w:rPr>
          <w:rFonts w:eastAsia="Times New Roman" w:cs="Arial"/>
          <w:color w:val="000000"/>
          <w:szCs w:val="20"/>
          <w:lang w:val="en-US"/>
        </w:rPr>
      </w:pPr>
      <w:r w:rsidRPr="00ED72A8">
        <w:rPr>
          <w:rFonts w:eastAsia="Times New Roman" w:cs="Arial"/>
          <w:color w:val="000000"/>
          <w:szCs w:val="20"/>
          <w:lang w:eastAsia="bg-BG"/>
        </w:rPr>
        <w:t xml:space="preserve">При някои пациенти може да се постигне ефект при обща дневна доза от 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Досега пациенти са получавали обща дневна доза до 200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Тази дозировка може да е от полза за някои пациенти, но се препоръчва повишено внимание поради повишената честота на нежеланите реакции.</w:t>
      </w:r>
    </w:p>
    <w:p w14:paraId="2FDAC4D6" w14:textId="77777777" w:rsidR="00ED72A8" w:rsidRPr="00ED72A8" w:rsidRDefault="00ED72A8" w:rsidP="00ED72A8">
      <w:pPr>
        <w:spacing w:line="240" w:lineRule="auto"/>
        <w:rPr>
          <w:rFonts w:eastAsia="Times New Roman" w:cs="Arial"/>
          <w:i/>
          <w:iCs/>
          <w:color w:val="000000"/>
          <w:szCs w:val="20"/>
          <w:lang w:eastAsia="bg-BG"/>
        </w:rPr>
      </w:pPr>
    </w:p>
    <w:p w14:paraId="7C500E0C" w14:textId="467FCCA6"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Педиатрична популация</w:t>
      </w:r>
    </w:p>
    <w:p w14:paraId="2C3E46EA" w14:textId="77777777" w:rsidR="00ED72A8" w:rsidRPr="00ED72A8" w:rsidRDefault="00ED72A8" w:rsidP="00ED72A8">
      <w:pPr>
        <w:spacing w:line="240" w:lineRule="auto"/>
        <w:rPr>
          <w:rFonts w:eastAsia="Times New Roman" w:cs="Arial"/>
          <w:color w:val="000000"/>
          <w:szCs w:val="20"/>
          <w:lang w:eastAsia="bg-BG"/>
        </w:rPr>
      </w:pPr>
    </w:p>
    <w:p w14:paraId="2637D095" w14:textId="752BCC01"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Не се препоръчва употребата на Топилекс (топирамат) за лечение и профилактика на мигрена при деца поради недостатъчни данни за безопасността и ефикасността.</w:t>
      </w:r>
    </w:p>
    <w:p w14:paraId="45A4DCD6" w14:textId="77777777" w:rsidR="00ED72A8" w:rsidRPr="00ED72A8" w:rsidRDefault="00ED72A8" w:rsidP="00ED72A8">
      <w:pPr>
        <w:spacing w:line="240" w:lineRule="auto"/>
        <w:rPr>
          <w:rFonts w:eastAsia="Times New Roman" w:cs="Arial"/>
          <w:color w:val="000000"/>
          <w:szCs w:val="20"/>
          <w:u w:val="single"/>
          <w:lang w:eastAsia="bg-BG"/>
        </w:rPr>
      </w:pPr>
    </w:p>
    <w:p w14:paraId="4649AD7C" w14:textId="30CD0E28"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u w:val="single"/>
          <w:lang w:eastAsia="bg-BG"/>
        </w:rPr>
        <w:t>Общи препоръки за дозиране на Топилекс при специални популации пациенти</w:t>
      </w:r>
    </w:p>
    <w:p w14:paraId="2FD40E0D" w14:textId="77777777" w:rsidR="00ED72A8" w:rsidRPr="00ED72A8" w:rsidRDefault="00ED72A8" w:rsidP="00ED72A8">
      <w:pPr>
        <w:spacing w:line="240" w:lineRule="auto"/>
        <w:rPr>
          <w:rFonts w:eastAsia="Times New Roman" w:cs="Arial"/>
          <w:i/>
          <w:iCs/>
          <w:color w:val="000000"/>
          <w:szCs w:val="20"/>
          <w:lang w:eastAsia="bg-BG"/>
        </w:rPr>
      </w:pPr>
    </w:p>
    <w:p w14:paraId="475300EC" w14:textId="004BF801" w:rsidR="0091385D" w:rsidRPr="00ED72A8" w:rsidRDefault="00ED72A8" w:rsidP="00ED72A8">
      <w:pPr>
        <w:spacing w:line="240" w:lineRule="auto"/>
        <w:rPr>
          <w:rFonts w:eastAsia="Times New Roman" w:cs="Arial"/>
          <w:i/>
          <w:iCs/>
          <w:color w:val="000000"/>
          <w:szCs w:val="20"/>
          <w:lang w:eastAsia="bg-BG"/>
        </w:rPr>
      </w:pPr>
      <w:r w:rsidRPr="00ED72A8">
        <w:rPr>
          <w:rFonts w:eastAsia="Times New Roman" w:cs="Arial"/>
          <w:i/>
          <w:iCs/>
          <w:color w:val="000000"/>
          <w:szCs w:val="20"/>
          <w:lang w:eastAsia="bg-BG"/>
        </w:rPr>
        <w:t>Пациенти с бъбречно увреждане</w:t>
      </w:r>
    </w:p>
    <w:p w14:paraId="7D75F116" w14:textId="30AED813" w:rsidR="00ED72A8" w:rsidRPr="00ED72A8" w:rsidRDefault="00ED72A8" w:rsidP="00ED72A8">
      <w:pPr>
        <w:spacing w:line="240" w:lineRule="auto"/>
        <w:rPr>
          <w:rFonts w:eastAsia="Times New Roman" w:cs="Arial"/>
          <w:i/>
          <w:iCs/>
          <w:color w:val="000000"/>
          <w:szCs w:val="20"/>
          <w:lang w:eastAsia="bg-BG"/>
        </w:rPr>
      </w:pPr>
    </w:p>
    <w:p w14:paraId="7B9F16C0"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Топилекс трябва да се прилага внимателно при пациенти с увредена бъбречна функция </w:t>
      </w:r>
      <w:r w:rsidRPr="00ED72A8">
        <w:rPr>
          <w:rFonts w:eastAsia="Times New Roman" w:cs="Arial"/>
          <w:color w:val="000000"/>
          <w:szCs w:val="20"/>
          <w:lang w:val="en-US"/>
        </w:rPr>
        <w:t>(CLCR</w:t>
      </w:r>
      <w:r w:rsidRPr="00ED72A8">
        <w:rPr>
          <w:rFonts w:eastAsia="Times New Roman" w:cs="Arial"/>
          <w:color w:val="000000"/>
          <w:szCs w:val="20"/>
          <w:lang w:eastAsia="bg-BG"/>
        </w:rPr>
        <w:t xml:space="preserve"> ≤ </w:t>
      </w:r>
      <w:r w:rsidRPr="00ED72A8">
        <w:rPr>
          <w:rFonts w:eastAsia="Times New Roman" w:cs="Arial"/>
          <w:color w:val="000000"/>
          <w:szCs w:val="20"/>
          <w:lang w:val="en-US"/>
        </w:rPr>
        <w:t xml:space="preserve">70 mL/min), </w:t>
      </w:r>
      <w:r w:rsidRPr="00ED72A8">
        <w:rPr>
          <w:rFonts w:eastAsia="Times New Roman" w:cs="Arial"/>
          <w:color w:val="000000"/>
          <w:szCs w:val="20"/>
          <w:lang w:eastAsia="bg-BG"/>
        </w:rPr>
        <w:t xml:space="preserve">тъй като плазменият и бъбречният клирънс на Топилекс е намален. При индивиди с известно бъбречно увреждане може да е необходимо повече време за достигане на стационарни плазмени концентрации за всяка доза. </w:t>
      </w:r>
      <w:r w:rsidRPr="00ED72A8">
        <w:rPr>
          <w:rFonts w:eastAsia="Times New Roman" w:cs="Arial"/>
          <w:color w:val="000000"/>
          <w:szCs w:val="20"/>
          <w:u w:val="single"/>
          <w:lang w:eastAsia="bg-BG"/>
        </w:rPr>
        <w:t>Препоръчва се половината от обичайната поддържаща доза (вж. точка 5.2)</w:t>
      </w:r>
    </w:p>
    <w:p w14:paraId="2138AC81"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Тъй като топирамат се отстранява от плазмата чрез хемодиализа, при пациенти в последен стадий на бъбречна недостатъчност, трябва да се прилага допълнителна доза Топилекс, приблизително равна на половината дневна доза в деня на хемодиализата. Допълнителната доза се прилага в два отделни приема в началото и след края на хемодиализната процедура.</w:t>
      </w:r>
    </w:p>
    <w:p w14:paraId="163E81F2"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Допълнителната доза може да бъде различна в зависимост от характеристиките на използваното диализно оборудване </w:t>
      </w:r>
      <w:r w:rsidRPr="00ED72A8">
        <w:rPr>
          <w:rFonts w:eastAsia="Times New Roman" w:cs="Arial"/>
          <w:color w:val="000000"/>
          <w:szCs w:val="20"/>
          <w:u w:val="single"/>
          <w:lang w:eastAsia="bg-BG"/>
        </w:rPr>
        <w:t>(вж. точка 5.2)</w:t>
      </w:r>
      <w:r w:rsidRPr="00ED72A8">
        <w:rPr>
          <w:rFonts w:eastAsia="Times New Roman" w:cs="Arial"/>
          <w:color w:val="000000"/>
          <w:szCs w:val="20"/>
          <w:lang w:eastAsia="bg-BG"/>
        </w:rPr>
        <w:t>.</w:t>
      </w:r>
    </w:p>
    <w:p w14:paraId="7C1D1C4C" w14:textId="77777777" w:rsidR="00ED72A8" w:rsidRPr="00ED72A8" w:rsidRDefault="00ED72A8" w:rsidP="00ED72A8">
      <w:pPr>
        <w:spacing w:line="240" w:lineRule="auto"/>
        <w:rPr>
          <w:rFonts w:eastAsia="Times New Roman" w:cs="Arial"/>
          <w:i/>
          <w:iCs/>
          <w:color w:val="000000"/>
          <w:szCs w:val="20"/>
          <w:lang w:eastAsia="bg-BG"/>
        </w:rPr>
      </w:pPr>
    </w:p>
    <w:p w14:paraId="770BD36A" w14:textId="61545A67"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Пациенти с чернодробно увреждане</w:t>
      </w:r>
    </w:p>
    <w:p w14:paraId="1BBA73AF"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При пациенти с умерено до тежко чернодробно увреждане топирамат трябва да се прилага с внимание, поради понижаване на неговия клирънс.</w:t>
      </w:r>
    </w:p>
    <w:p w14:paraId="659FF78D" w14:textId="77777777" w:rsidR="00ED72A8" w:rsidRPr="00ED72A8" w:rsidRDefault="00ED72A8" w:rsidP="00ED72A8">
      <w:pPr>
        <w:spacing w:line="240" w:lineRule="auto"/>
        <w:rPr>
          <w:rFonts w:eastAsia="Times New Roman" w:cs="Arial"/>
          <w:i/>
          <w:iCs/>
          <w:color w:val="000000"/>
          <w:szCs w:val="20"/>
          <w:lang w:eastAsia="bg-BG"/>
        </w:rPr>
      </w:pPr>
    </w:p>
    <w:p w14:paraId="5AF4C2E2" w14:textId="03D38B9F"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Пациенти в старческа възраст</w:t>
      </w:r>
    </w:p>
    <w:p w14:paraId="2FAE6933" w14:textId="77777777" w:rsidR="00ED72A8" w:rsidRPr="00ED72A8" w:rsidRDefault="00ED72A8" w:rsidP="00ED72A8">
      <w:pPr>
        <w:spacing w:line="240" w:lineRule="auto"/>
        <w:rPr>
          <w:rFonts w:eastAsia="Times New Roman" w:cs="Arial"/>
          <w:color w:val="000000"/>
          <w:szCs w:val="20"/>
          <w:lang w:eastAsia="bg-BG"/>
        </w:rPr>
      </w:pPr>
    </w:p>
    <w:p w14:paraId="7AE54EC9" w14:textId="44E8BD2E"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Не се изисква адаптиране на дозата при пациенти в старческиа възраст с нормална бъбречна функция.</w:t>
      </w:r>
    </w:p>
    <w:p w14:paraId="05770D2E" w14:textId="77777777" w:rsidR="00ED72A8" w:rsidRPr="00ED72A8" w:rsidRDefault="00ED72A8" w:rsidP="00ED72A8">
      <w:pPr>
        <w:spacing w:line="240" w:lineRule="auto"/>
        <w:rPr>
          <w:rFonts w:eastAsia="Times New Roman" w:cs="Arial"/>
          <w:color w:val="000000"/>
          <w:szCs w:val="20"/>
          <w:lang w:eastAsia="bg-BG"/>
        </w:rPr>
      </w:pPr>
    </w:p>
    <w:p w14:paraId="4A0C6A6F" w14:textId="51069B0C" w:rsidR="00ED72A8" w:rsidRPr="00ED72A8" w:rsidRDefault="00ED72A8" w:rsidP="00ED72A8">
      <w:pPr>
        <w:pStyle w:val="Heading3"/>
        <w:rPr>
          <w:rFonts w:eastAsia="Times New Roman"/>
          <w:u w:val="single"/>
          <w:lang w:eastAsia="bg-BG"/>
        </w:rPr>
      </w:pPr>
      <w:r w:rsidRPr="00ED72A8">
        <w:rPr>
          <w:rFonts w:eastAsia="Times New Roman"/>
          <w:u w:val="single"/>
          <w:lang w:eastAsia="bg-BG"/>
        </w:rPr>
        <w:lastRenderedPageBreak/>
        <w:t>Начин на приложение</w:t>
      </w:r>
    </w:p>
    <w:p w14:paraId="4407386A" w14:textId="77777777" w:rsidR="00ED72A8" w:rsidRPr="00ED72A8" w:rsidRDefault="00ED72A8" w:rsidP="00ED72A8">
      <w:pPr>
        <w:spacing w:line="240" w:lineRule="auto"/>
        <w:rPr>
          <w:rFonts w:eastAsia="Times New Roman" w:cs="Arial"/>
          <w:color w:val="000000"/>
          <w:szCs w:val="20"/>
          <w:lang w:eastAsia="bg-BG"/>
        </w:rPr>
      </w:pPr>
    </w:p>
    <w:p w14:paraId="595BF013" w14:textId="7D7D1E7A"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Топилекс е наличен като филмирани таблетки. Препоръчва се филмираните таблетки да не се разчупват.</w:t>
      </w:r>
    </w:p>
    <w:p w14:paraId="3B5315EE" w14:textId="77777777" w:rsidR="00ED72A8" w:rsidRPr="00ED72A8" w:rsidRDefault="00ED72A8" w:rsidP="00ED72A8">
      <w:pPr>
        <w:spacing w:line="240" w:lineRule="auto"/>
        <w:rPr>
          <w:rFonts w:eastAsia="Times New Roman" w:cs="Arial"/>
          <w:color w:val="000000"/>
          <w:szCs w:val="20"/>
          <w:lang w:eastAsia="bg-BG"/>
        </w:rPr>
      </w:pPr>
    </w:p>
    <w:p w14:paraId="3EA4152A" w14:textId="43414DD1"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Топилекс може да се приема със или без храна.</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0EAEEE49"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464AE681" w14:textId="77777777" w:rsidR="00ED72A8" w:rsidRPr="00ED72A8" w:rsidRDefault="00ED72A8" w:rsidP="00ED72A8">
      <w:pPr>
        <w:rPr>
          <w:rFonts w:eastAsia="Times New Roman" w:cs="Arial"/>
          <w:color w:val="000000"/>
          <w:szCs w:val="20"/>
          <w:lang w:eastAsia="bg-BG"/>
        </w:rPr>
      </w:pPr>
    </w:p>
    <w:p w14:paraId="2309EAB0" w14:textId="3274CF8B" w:rsidR="0091385D" w:rsidRPr="00ED72A8" w:rsidRDefault="00ED72A8" w:rsidP="00ED72A8">
      <w:pPr>
        <w:rPr>
          <w:rFonts w:cs="Arial"/>
          <w:sz w:val="24"/>
        </w:rPr>
      </w:pPr>
      <w:r w:rsidRPr="00ED72A8">
        <w:rPr>
          <w:rFonts w:eastAsia="Times New Roman" w:cs="Arial"/>
          <w:color w:val="000000"/>
          <w:szCs w:val="20"/>
          <w:lang w:eastAsia="bg-BG"/>
        </w:rPr>
        <w:t>Профилактика на мигрена по време на бременност и при жени с детероден потенциал, ако не използват ефективни методи за контрацепция.</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782851A2"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В случаи, при които се налага рязко прекратяване на лечението с топирамат по медицински показания, се препоръчва съответно наблюдение (вж. точка 4.2 за повече информация).</w:t>
      </w:r>
    </w:p>
    <w:p w14:paraId="3ABD0DE0" w14:textId="77777777" w:rsidR="00ED72A8" w:rsidRPr="00ED72A8" w:rsidRDefault="00ED72A8" w:rsidP="00ED72A8">
      <w:pPr>
        <w:spacing w:line="240" w:lineRule="auto"/>
        <w:rPr>
          <w:rFonts w:eastAsia="Times New Roman" w:cs="Arial"/>
          <w:color w:val="000000"/>
          <w:szCs w:val="20"/>
          <w:lang w:eastAsia="bg-BG"/>
        </w:rPr>
      </w:pPr>
    </w:p>
    <w:p w14:paraId="3DD0B63A" w14:textId="3C2A3842"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Както и при други антиепилептични лекарства, някои пациенти могат да получават по-често припадъци, или да се появят нов вид припадъци с топирамат. Този феномен може да е последица от предозиране, понижаване плазмените концентрации при едновременна употреба на антиепилептици, прогресиране на заболяването или на парадоксален ефект.</w:t>
      </w:r>
    </w:p>
    <w:p w14:paraId="22268E34" w14:textId="77777777" w:rsidR="00ED72A8" w:rsidRPr="00ED72A8" w:rsidRDefault="00ED72A8" w:rsidP="00ED72A8">
      <w:pPr>
        <w:spacing w:line="240" w:lineRule="auto"/>
        <w:rPr>
          <w:rFonts w:eastAsia="Times New Roman" w:cs="Arial"/>
          <w:color w:val="000000"/>
          <w:szCs w:val="20"/>
          <w:lang w:eastAsia="bg-BG"/>
        </w:rPr>
      </w:pPr>
    </w:p>
    <w:p w14:paraId="0AEBAB03" w14:textId="197E6CF4"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Адекватната хидратация по време на употребата на топирамат е много важна. Хидратацията може да намали риска от нефролитиаза (вж. по-долу). Подходящата хидратация преди и по време на дейности като физически усилия или излагане на високи температури може да намали риска от свързани с топлината нежелани реакции (вж. точка 4,8).</w:t>
      </w:r>
    </w:p>
    <w:p w14:paraId="73A1992E" w14:textId="77777777" w:rsidR="00ED72A8" w:rsidRPr="00ED72A8" w:rsidRDefault="00ED72A8" w:rsidP="00ED72A8">
      <w:pPr>
        <w:spacing w:line="240" w:lineRule="auto"/>
        <w:rPr>
          <w:rFonts w:eastAsia="Times New Roman" w:cs="Arial"/>
          <w:color w:val="000000"/>
          <w:szCs w:val="20"/>
          <w:u w:val="single"/>
          <w:lang w:eastAsia="bg-BG"/>
        </w:rPr>
      </w:pPr>
    </w:p>
    <w:p w14:paraId="0E0C40B3" w14:textId="1965DB7A"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Олигохидроза</w:t>
      </w:r>
    </w:p>
    <w:p w14:paraId="6C1FC217" w14:textId="77777777" w:rsidR="00ED72A8" w:rsidRPr="00ED72A8" w:rsidRDefault="00ED72A8" w:rsidP="00ED72A8">
      <w:pPr>
        <w:spacing w:line="240" w:lineRule="auto"/>
        <w:rPr>
          <w:rFonts w:eastAsia="Times New Roman" w:cs="Arial"/>
          <w:color w:val="000000"/>
          <w:szCs w:val="20"/>
          <w:lang w:eastAsia="bg-BG"/>
        </w:rPr>
      </w:pPr>
    </w:p>
    <w:p w14:paraId="0B3BEE35" w14:textId="04B00FBC" w:rsidR="0091385D"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Има съобщения за олигохидроза (намалено потене) във връзка с употребата на топирамат</w:t>
      </w:r>
      <w:r>
        <w:rPr>
          <w:rFonts w:eastAsia="Times New Roman" w:cs="Arial"/>
          <w:color w:val="000000"/>
          <w:szCs w:val="20"/>
          <w:lang w:eastAsia="bg-BG"/>
        </w:rPr>
        <w:t>.</w:t>
      </w:r>
      <w:r>
        <w:rPr>
          <w:rFonts w:eastAsia="Times New Roman" w:cs="Arial"/>
          <w:sz w:val="28"/>
          <w:szCs w:val="24"/>
          <w:lang w:eastAsia="bg-BG"/>
        </w:rPr>
        <w:t xml:space="preserve"> </w:t>
      </w:r>
      <w:r w:rsidRPr="00ED72A8">
        <w:rPr>
          <w:rFonts w:eastAsia="Times New Roman" w:cs="Arial"/>
          <w:color w:val="000000"/>
          <w:szCs w:val="20"/>
          <w:lang w:eastAsia="bg-BG"/>
        </w:rPr>
        <w:t>Намаленото потене и хипертермия (повишаване на телесната температура) биха могли да възникнат особено при малки деца изложени на висока температура на околната среда.</w:t>
      </w:r>
    </w:p>
    <w:p w14:paraId="402D2290" w14:textId="1E93BB32" w:rsidR="00ED72A8" w:rsidRPr="00ED72A8" w:rsidRDefault="00ED72A8" w:rsidP="00ED72A8">
      <w:pPr>
        <w:rPr>
          <w:rFonts w:eastAsia="Times New Roman" w:cs="Arial"/>
          <w:color w:val="000000"/>
          <w:szCs w:val="20"/>
          <w:lang w:eastAsia="bg-BG"/>
        </w:rPr>
      </w:pPr>
    </w:p>
    <w:p w14:paraId="12F9709C" w14:textId="77777777" w:rsidR="00ED72A8" w:rsidRPr="00ED72A8" w:rsidRDefault="00ED72A8" w:rsidP="00ED72A8">
      <w:pPr>
        <w:spacing w:line="240" w:lineRule="auto"/>
        <w:rPr>
          <w:rFonts w:eastAsia="Times New Roman" w:cs="Arial"/>
          <w:color w:val="000000"/>
          <w:szCs w:val="20"/>
          <w:u w:val="single"/>
          <w:lang w:eastAsia="bg-BG"/>
        </w:rPr>
      </w:pPr>
    </w:p>
    <w:p w14:paraId="3C350889" w14:textId="45741FEC"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Промяна в настроението/депресия</w:t>
      </w:r>
    </w:p>
    <w:p w14:paraId="734C4DD5" w14:textId="77777777" w:rsidR="00ED72A8" w:rsidRPr="00ED72A8" w:rsidRDefault="00ED72A8" w:rsidP="00ED72A8">
      <w:pPr>
        <w:spacing w:line="240" w:lineRule="auto"/>
        <w:rPr>
          <w:rFonts w:eastAsia="Times New Roman" w:cs="Arial"/>
          <w:color w:val="000000"/>
          <w:szCs w:val="20"/>
          <w:lang w:eastAsia="bg-BG"/>
        </w:rPr>
      </w:pPr>
    </w:p>
    <w:p w14:paraId="5995487C" w14:textId="0661DC4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По време на лечението с топирамат се наблюдават по-чести промени в настроението и депресия.</w:t>
      </w:r>
    </w:p>
    <w:p w14:paraId="70A2A1B5" w14:textId="77777777" w:rsidR="00ED72A8" w:rsidRPr="00ED72A8" w:rsidRDefault="00ED72A8" w:rsidP="00ED72A8">
      <w:pPr>
        <w:spacing w:line="240" w:lineRule="auto"/>
        <w:rPr>
          <w:rFonts w:eastAsia="Times New Roman" w:cs="Arial"/>
          <w:color w:val="000000"/>
          <w:szCs w:val="20"/>
          <w:u w:val="single"/>
          <w:lang w:eastAsia="bg-BG"/>
        </w:rPr>
      </w:pPr>
    </w:p>
    <w:p w14:paraId="4F0A9948" w14:textId="5152CD81"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Самоубийство/суицидна идеация</w:t>
      </w:r>
    </w:p>
    <w:p w14:paraId="08A5061A" w14:textId="77777777" w:rsidR="00ED72A8" w:rsidRPr="00ED72A8" w:rsidRDefault="00ED72A8" w:rsidP="00ED72A8">
      <w:pPr>
        <w:spacing w:line="240" w:lineRule="auto"/>
        <w:rPr>
          <w:rFonts w:eastAsia="Times New Roman" w:cs="Arial"/>
          <w:color w:val="000000"/>
          <w:szCs w:val="20"/>
          <w:lang w:eastAsia="bg-BG"/>
        </w:rPr>
      </w:pPr>
    </w:p>
    <w:p w14:paraId="64A74FFF" w14:textId="2A228069"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lastRenderedPageBreak/>
        <w:t xml:space="preserve">При пациенти, лекувани с антиепилептични лекарствени продукти по различни показания са съобщавани суицидна идеация и поведение. Метаанализ на рандомизирани, плацебо- </w:t>
      </w:r>
      <w:r w:rsidRPr="00ED72A8">
        <w:rPr>
          <w:rFonts w:eastAsia="Times New Roman" w:cs="Arial"/>
          <w:i/>
          <w:iCs/>
          <w:color w:val="000000"/>
          <w:szCs w:val="20"/>
          <w:lang w:eastAsia="bg-BG"/>
        </w:rPr>
        <w:t>контролирани</w:t>
      </w:r>
      <w:r w:rsidRPr="00ED72A8">
        <w:rPr>
          <w:rFonts w:eastAsia="Times New Roman" w:cs="Arial"/>
          <w:color w:val="000000"/>
          <w:szCs w:val="20"/>
          <w:lang w:eastAsia="bg-BG"/>
        </w:rPr>
        <w:t xml:space="preserve"> изпитвания на антиепилептични лекарствени продукти също показва малък, но повишен риск от суицидна идеация и поведение. Механизмьт на този риск не е ясен и наличните данни </w:t>
      </w:r>
      <w:r w:rsidRPr="00ED72A8">
        <w:rPr>
          <w:rFonts w:eastAsia="Times New Roman" w:cs="Arial"/>
          <w:i/>
          <w:iCs/>
          <w:color w:val="000000"/>
          <w:szCs w:val="20"/>
          <w:lang w:eastAsia="bg-BG"/>
        </w:rPr>
        <w:t>не изключват</w:t>
      </w:r>
      <w:r w:rsidRPr="00ED72A8">
        <w:rPr>
          <w:rFonts w:eastAsia="Times New Roman" w:cs="Arial"/>
          <w:color w:val="000000"/>
          <w:szCs w:val="20"/>
          <w:lang w:eastAsia="bg-BG"/>
        </w:rPr>
        <w:t xml:space="preserve"> възможността за повишен риск при топирамат.</w:t>
      </w:r>
    </w:p>
    <w:p w14:paraId="01622AEB" w14:textId="77777777" w:rsidR="00ED72A8" w:rsidRPr="00ED72A8" w:rsidRDefault="00ED72A8" w:rsidP="00ED72A8">
      <w:pPr>
        <w:spacing w:line="240" w:lineRule="auto"/>
        <w:rPr>
          <w:rFonts w:eastAsia="Times New Roman" w:cs="Arial"/>
          <w:color w:val="000000"/>
          <w:szCs w:val="20"/>
          <w:lang w:eastAsia="bg-BG"/>
        </w:rPr>
      </w:pPr>
    </w:p>
    <w:p w14:paraId="01B4D89C" w14:textId="3DE7D1A3"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При двойно слепи клинични изпитвания събитията, свързани със самоубийство (суицидна идеация, опити за самоубийство и самоубийство) възникват с честота 0,5% от лекуваните с топирамат пациенти (46 от общо 8652 лекувани пациенти) и почти 3 пъти по-висока честота при тези лекуваните с плацебо (0,2%; 8 от общо 4045 лекувани пациенти).</w:t>
      </w:r>
    </w:p>
    <w:p w14:paraId="7B414B34" w14:textId="77777777" w:rsidR="00ED72A8" w:rsidRPr="00ED72A8" w:rsidRDefault="00ED72A8" w:rsidP="00ED72A8">
      <w:pPr>
        <w:spacing w:line="240" w:lineRule="auto"/>
        <w:rPr>
          <w:rFonts w:eastAsia="Times New Roman" w:cs="Arial"/>
          <w:color w:val="000000"/>
          <w:szCs w:val="20"/>
          <w:lang w:eastAsia="bg-BG"/>
        </w:rPr>
      </w:pPr>
    </w:p>
    <w:p w14:paraId="11E68C87" w14:textId="2E151E89"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Затова пациентите трябва да бъдат проследявани за признаци на суицидна идеация и поведение и да се предприеме съответното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w:t>
      </w:r>
    </w:p>
    <w:p w14:paraId="7645094B" w14:textId="77777777" w:rsidR="00ED72A8" w:rsidRPr="00ED72A8" w:rsidRDefault="00ED72A8" w:rsidP="00ED72A8">
      <w:pPr>
        <w:spacing w:line="240" w:lineRule="auto"/>
        <w:rPr>
          <w:rFonts w:eastAsia="Times New Roman" w:cs="Arial"/>
          <w:color w:val="000000"/>
          <w:szCs w:val="20"/>
          <w:u w:val="single"/>
          <w:lang w:eastAsia="bg-BG"/>
        </w:rPr>
      </w:pPr>
    </w:p>
    <w:p w14:paraId="54A9BED5" w14:textId="12EF02A4"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Нефролитиаза</w:t>
      </w:r>
    </w:p>
    <w:p w14:paraId="157D36D8" w14:textId="77777777" w:rsidR="00ED72A8" w:rsidRPr="00ED72A8" w:rsidRDefault="00ED72A8" w:rsidP="00ED72A8">
      <w:pPr>
        <w:spacing w:line="240" w:lineRule="auto"/>
        <w:rPr>
          <w:rFonts w:eastAsia="Times New Roman" w:cs="Arial"/>
          <w:color w:val="000000"/>
          <w:szCs w:val="20"/>
          <w:lang w:eastAsia="bg-BG"/>
        </w:rPr>
      </w:pPr>
    </w:p>
    <w:p w14:paraId="0F0ACD2B" w14:textId="51827988"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При някои пациенти, особено ако са предразположени към нефролитиаза, се наблюдава повишен риск от образуване на бъбречни камъни и свързаните с това признаци и симптоми като бъбречна колика, бъбречна болка или болка в слабините.</w:t>
      </w:r>
    </w:p>
    <w:p w14:paraId="2D6A1CD5" w14:textId="77777777" w:rsidR="00ED72A8" w:rsidRPr="00ED72A8" w:rsidRDefault="00ED72A8" w:rsidP="00ED72A8">
      <w:pPr>
        <w:spacing w:line="240" w:lineRule="auto"/>
        <w:rPr>
          <w:rFonts w:eastAsia="Times New Roman" w:cs="Arial"/>
          <w:color w:val="000000"/>
          <w:szCs w:val="20"/>
          <w:lang w:eastAsia="bg-BG"/>
        </w:rPr>
      </w:pPr>
    </w:p>
    <w:p w14:paraId="2C6DB1A8" w14:textId="0F28DB1A"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Рисковите фактори за нефролитиаза са анамнестични данни за предшестващо образуване на камъни, фамилна анамнеза за нефролитиаза и хиперкалциурия. Нито един от тези фактори не може да бъде надежден прогностичен белег за образуване на бъбречни камъни при лечение с топирамат. Освен това, с повишен риск може да са и пациенти, лекувани с други лекарствени продукти, които биха могли да доведат до нефролитиаза.</w:t>
      </w:r>
    </w:p>
    <w:p w14:paraId="43F357B8" w14:textId="77777777" w:rsidR="00ED72A8" w:rsidRPr="00ED72A8" w:rsidRDefault="00ED72A8" w:rsidP="00ED72A8">
      <w:pPr>
        <w:spacing w:line="240" w:lineRule="auto"/>
        <w:rPr>
          <w:rFonts w:eastAsia="Times New Roman" w:cs="Arial"/>
          <w:color w:val="000000"/>
          <w:szCs w:val="20"/>
          <w:u w:val="single"/>
          <w:lang w:eastAsia="bg-BG"/>
        </w:rPr>
      </w:pPr>
    </w:p>
    <w:p w14:paraId="07453501" w14:textId="7FADA72D"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Намалена бъбречна Функция</w:t>
      </w:r>
    </w:p>
    <w:p w14:paraId="13694C32" w14:textId="77777777" w:rsidR="00ED72A8" w:rsidRPr="00ED72A8" w:rsidRDefault="00ED72A8" w:rsidP="00ED72A8">
      <w:pPr>
        <w:spacing w:line="240" w:lineRule="auto"/>
        <w:rPr>
          <w:rFonts w:eastAsia="Times New Roman" w:cs="Arial"/>
          <w:color w:val="000000"/>
          <w:szCs w:val="20"/>
          <w:lang w:eastAsia="bg-BG"/>
        </w:rPr>
      </w:pPr>
    </w:p>
    <w:p w14:paraId="050F18F8" w14:textId="4CEF4CFC"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При пациенти с нарушена бъбречна функция </w:t>
      </w:r>
      <w:r w:rsidRPr="00ED72A8">
        <w:rPr>
          <w:rFonts w:eastAsia="Times New Roman" w:cs="Arial"/>
          <w:color w:val="000000"/>
          <w:szCs w:val="20"/>
          <w:lang w:val="en-US"/>
        </w:rPr>
        <w:t xml:space="preserve">(CLCR </w:t>
      </w:r>
      <w:r w:rsidRPr="00ED72A8">
        <w:rPr>
          <w:rFonts w:eastAsia="Times New Roman" w:cs="Arial"/>
          <w:color w:val="000000"/>
          <w:szCs w:val="20"/>
          <w:lang w:eastAsia="bg-BG"/>
        </w:rPr>
        <w:t xml:space="preserve">≤ 70 </w:t>
      </w:r>
      <w:r w:rsidRPr="00ED72A8">
        <w:rPr>
          <w:rFonts w:eastAsia="Times New Roman" w:cs="Arial"/>
          <w:color w:val="000000"/>
          <w:szCs w:val="20"/>
          <w:lang w:val="en-US"/>
        </w:rPr>
        <w:t xml:space="preserve">ml/min) </w:t>
      </w:r>
      <w:r w:rsidRPr="00ED72A8">
        <w:rPr>
          <w:rFonts w:eastAsia="Times New Roman" w:cs="Arial"/>
          <w:color w:val="000000"/>
          <w:szCs w:val="20"/>
          <w:lang w:eastAsia="bg-BG"/>
        </w:rPr>
        <w:t xml:space="preserve">топирамат трябва да се прилага внимателно, тъй като плазменият и бъбречен клирънс на топирамат са намалени. За специални препоръки по отношение на дозировка при пациенти с намалена бъбречна функция вж. точка 4.2. </w:t>
      </w:r>
      <w:r w:rsidRPr="00ED72A8">
        <w:rPr>
          <w:rFonts w:eastAsia="Times New Roman" w:cs="Arial"/>
          <w:i/>
          <w:iCs/>
          <w:color w:val="000000"/>
          <w:szCs w:val="20"/>
          <w:lang w:eastAsia="bg-BG"/>
        </w:rPr>
        <w:t>Бъбречно увреждане.</w:t>
      </w:r>
    </w:p>
    <w:p w14:paraId="609EF379" w14:textId="77777777" w:rsidR="00ED72A8" w:rsidRPr="00ED72A8" w:rsidRDefault="00ED72A8" w:rsidP="00ED72A8">
      <w:pPr>
        <w:spacing w:line="240" w:lineRule="auto"/>
        <w:rPr>
          <w:rFonts w:eastAsia="Times New Roman" w:cs="Arial"/>
          <w:color w:val="000000"/>
          <w:szCs w:val="20"/>
          <w:u w:val="single"/>
          <w:lang w:eastAsia="bg-BG"/>
        </w:rPr>
      </w:pPr>
    </w:p>
    <w:p w14:paraId="2F3D9F03" w14:textId="6978F6BF"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Намалена чернодробна функция</w:t>
      </w:r>
    </w:p>
    <w:p w14:paraId="21B7852A" w14:textId="77777777" w:rsidR="00ED72A8" w:rsidRPr="00ED72A8" w:rsidRDefault="00ED72A8" w:rsidP="00ED72A8">
      <w:pPr>
        <w:spacing w:line="240" w:lineRule="auto"/>
        <w:rPr>
          <w:rFonts w:eastAsia="Times New Roman" w:cs="Arial"/>
          <w:color w:val="000000"/>
          <w:szCs w:val="20"/>
          <w:lang w:eastAsia="bg-BG"/>
        </w:rPr>
      </w:pPr>
    </w:p>
    <w:p w14:paraId="6A0A036A" w14:textId="499CDC2D"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При пациенти с чернодробно увреждане, топирамат трябва да се прилага предпазливо, тъй като клирънсът на топирамат може да се намали.</w:t>
      </w:r>
    </w:p>
    <w:p w14:paraId="74E62723" w14:textId="77777777" w:rsidR="00ED72A8" w:rsidRPr="00ED72A8" w:rsidRDefault="00ED72A8" w:rsidP="00ED72A8">
      <w:pPr>
        <w:spacing w:line="240" w:lineRule="auto"/>
        <w:rPr>
          <w:rFonts w:eastAsia="Times New Roman" w:cs="Arial"/>
          <w:color w:val="000000"/>
          <w:szCs w:val="20"/>
          <w:u w:val="single"/>
          <w:lang w:eastAsia="bg-BG"/>
        </w:rPr>
      </w:pPr>
    </w:p>
    <w:p w14:paraId="1D31E4BC" w14:textId="187C556E"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Остра миопия н вторична закритоъгълна глаукома</w:t>
      </w:r>
    </w:p>
    <w:p w14:paraId="718179C1" w14:textId="77777777" w:rsidR="00ED72A8" w:rsidRPr="00ED72A8" w:rsidRDefault="00ED72A8" w:rsidP="00ED72A8">
      <w:pPr>
        <w:spacing w:line="240" w:lineRule="auto"/>
        <w:rPr>
          <w:rFonts w:eastAsia="Times New Roman" w:cs="Arial"/>
          <w:color w:val="000000"/>
          <w:szCs w:val="20"/>
          <w:lang w:eastAsia="bg-BG"/>
        </w:rPr>
      </w:pPr>
    </w:p>
    <w:p w14:paraId="1E3E64FD" w14:textId="77777777" w:rsidR="00ED72A8" w:rsidRPr="00ED72A8" w:rsidRDefault="00ED72A8" w:rsidP="00ED72A8">
      <w:pPr>
        <w:rPr>
          <w:rFonts w:eastAsia="Times New Roman" w:cs="Arial"/>
          <w:lang w:eastAsia="bg-BG"/>
        </w:rPr>
      </w:pPr>
      <w:r w:rsidRPr="00ED72A8">
        <w:rPr>
          <w:rFonts w:eastAsia="Times New Roman" w:cs="Arial"/>
          <w:color w:val="000000"/>
          <w:szCs w:val="20"/>
          <w:lang w:eastAsia="bg-BG"/>
        </w:rPr>
        <w:t>Съобщава се за синдром, който включва остра миопия, свързана с вторична закритоъгълна глаукома при пациенти на лечение с топирамат. Симптомите включват остро начало на</w:t>
      </w:r>
      <w:r>
        <w:rPr>
          <w:rFonts w:eastAsia="Times New Roman" w:cs="Arial"/>
          <w:sz w:val="28"/>
          <w:szCs w:val="24"/>
          <w:lang w:eastAsia="bg-BG"/>
        </w:rPr>
        <w:t xml:space="preserve"> </w:t>
      </w:r>
      <w:r w:rsidRPr="00ED72A8">
        <w:rPr>
          <w:rFonts w:eastAsia="Times New Roman" w:cs="Arial"/>
          <w:color w:val="000000"/>
          <w:szCs w:val="20"/>
          <w:lang w:eastAsia="bg-BG"/>
        </w:rPr>
        <w:t>намалена зрителната острота и/или болка в очите. Данните от офталмологичните изследвания</w:t>
      </w:r>
      <w:r>
        <w:rPr>
          <w:rFonts w:eastAsia="Times New Roman" w:cs="Arial"/>
          <w:sz w:val="28"/>
          <w:szCs w:val="24"/>
          <w:lang w:eastAsia="bg-BG"/>
        </w:rPr>
        <w:t xml:space="preserve"> </w:t>
      </w:r>
      <w:r w:rsidRPr="00ED72A8">
        <w:rPr>
          <w:rFonts w:eastAsia="Times New Roman" w:cs="Arial"/>
          <w:color w:val="000000"/>
          <w:szCs w:val="20"/>
          <w:lang w:eastAsia="bg-BG"/>
        </w:rPr>
        <w:t>включват миопия, стесняване на предната камера, очна хиперемия (зачервяване) и повишено</w:t>
      </w:r>
      <w:r>
        <w:rPr>
          <w:rFonts w:eastAsia="Times New Roman" w:cs="Arial"/>
          <w:sz w:val="28"/>
          <w:szCs w:val="24"/>
          <w:lang w:eastAsia="bg-BG"/>
        </w:rPr>
        <w:t xml:space="preserve"> </w:t>
      </w:r>
      <w:r w:rsidRPr="00ED72A8">
        <w:rPr>
          <w:rFonts w:eastAsia="Times New Roman" w:cs="Arial"/>
          <w:color w:val="000000"/>
          <w:szCs w:val="20"/>
          <w:lang w:eastAsia="bg-BG"/>
        </w:rPr>
        <w:t>вътреочно налягане. Възможно е наличието на мидриаза. Този синдром може да се свърже със</w:t>
      </w:r>
      <w:r>
        <w:rPr>
          <w:rFonts w:eastAsia="Times New Roman" w:cs="Arial"/>
          <w:sz w:val="28"/>
          <w:szCs w:val="24"/>
          <w:lang w:eastAsia="bg-BG"/>
        </w:rPr>
        <w:t xml:space="preserve"> </w:t>
      </w:r>
      <w:r w:rsidRPr="00ED72A8">
        <w:rPr>
          <w:rFonts w:eastAsia="Times New Roman" w:cs="Arial"/>
          <w:color w:val="000000"/>
          <w:szCs w:val="20"/>
          <w:lang w:eastAsia="bg-BG"/>
        </w:rPr>
        <w:t xml:space="preserve">супрацилиарно изтичане, водещо до </w:t>
      </w:r>
      <w:r w:rsidRPr="00ED72A8">
        <w:rPr>
          <w:rFonts w:eastAsia="Times New Roman" w:cs="Arial"/>
          <w:color w:val="000000"/>
          <w:lang w:eastAsia="bg-BG"/>
        </w:rPr>
        <w:t xml:space="preserve">предно изместване на лещата и ириса, с вторична закритоъгьлна глаукома. Обикновено </w:t>
      </w:r>
      <w:r w:rsidRPr="00ED72A8">
        <w:rPr>
          <w:rFonts w:eastAsia="Times New Roman" w:cs="Arial"/>
          <w:color w:val="000000"/>
          <w:lang w:eastAsia="bg-BG"/>
        </w:rPr>
        <w:lastRenderedPageBreak/>
        <w:t>симптомите се появяват през първия месец от началната терапия с топирамат. За разлика от първичната тесноъгълна глаукома, която се среща рядко при пациенти под 40 години, вторичната закритоъгьлна глаукома, свързана с топирамат, се наблюдава при деца, както и при възрастни. Лечението включва прекъсване на приема на топирамат, колкото е възможно по-бързо по преценка на лекуващия лекар и подходящи мерки за намаляване на вътреочното налягане. Обикновено тези мерки водят до намаляване на вътреочното налягане.</w:t>
      </w:r>
    </w:p>
    <w:p w14:paraId="10BA2ABF" w14:textId="77777777" w:rsidR="00ED72A8" w:rsidRPr="00ED72A8" w:rsidRDefault="00ED72A8" w:rsidP="00ED72A8">
      <w:pPr>
        <w:spacing w:line="240" w:lineRule="auto"/>
        <w:rPr>
          <w:rFonts w:eastAsia="Times New Roman" w:cs="Arial"/>
          <w:color w:val="000000"/>
          <w:lang w:eastAsia="bg-BG"/>
        </w:rPr>
      </w:pPr>
    </w:p>
    <w:p w14:paraId="5AB4F13C" w14:textId="29C1F3FE"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Ако се остави без лечение, повишеното вътреочно налягане, независимо от етиологията, може да доведе до сериозни последствия, включително и до трайна загуба на зрението.</w:t>
      </w:r>
    </w:p>
    <w:p w14:paraId="581B48BA" w14:textId="77777777" w:rsidR="00ED72A8" w:rsidRPr="00ED72A8" w:rsidRDefault="00ED72A8" w:rsidP="00ED72A8">
      <w:pPr>
        <w:spacing w:line="240" w:lineRule="auto"/>
        <w:rPr>
          <w:rFonts w:eastAsia="Times New Roman" w:cs="Arial"/>
          <w:color w:val="000000"/>
          <w:lang w:eastAsia="bg-BG"/>
        </w:rPr>
      </w:pPr>
    </w:p>
    <w:p w14:paraId="6A9774E5" w14:textId="7C8A1381"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Трябва да се вземе решение дали пациенти с анамнеза за очно заболяване трябва да се лекуват с топирамат.</w:t>
      </w:r>
    </w:p>
    <w:p w14:paraId="1CA26081" w14:textId="77777777" w:rsidR="00ED72A8" w:rsidRPr="00ED72A8" w:rsidRDefault="00ED72A8" w:rsidP="00ED72A8">
      <w:pPr>
        <w:spacing w:line="240" w:lineRule="auto"/>
        <w:rPr>
          <w:rFonts w:eastAsia="Times New Roman" w:cs="Arial"/>
          <w:color w:val="000000"/>
          <w:lang w:eastAsia="bg-BG"/>
        </w:rPr>
      </w:pPr>
    </w:p>
    <w:p w14:paraId="4F6C56D3" w14:textId="50B075C1"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Дефекти в зрителното поле</w:t>
      </w:r>
    </w:p>
    <w:p w14:paraId="3777732B" w14:textId="77777777" w:rsidR="00ED72A8" w:rsidRPr="00ED72A8" w:rsidRDefault="00ED72A8" w:rsidP="00ED72A8">
      <w:pPr>
        <w:spacing w:line="240" w:lineRule="auto"/>
        <w:rPr>
          <w:rFonts w:eastAsia="Times New Roman" w:cs="Arial"/>
          <w:color w:val="000000"/>
          <w:lang w:eastAsia="bg-BG"/>
        </w:rPr>
      </w:pPr>
    </w:p>
    <w:p w14:paraId="0A4BAA22" w14:textId="1C5D043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Дефекти в зрителното поле са докладвани при пациенти, приемащи топирамат, независимо от повишеното вътреочно налягане. В клиничните проучвания повечето от тези събития са обратими след прекратяване на лечението с топирамат. Ако се появят дефекти в зрителното поле по всяко време на лечението с топирамат, трябва да се обсъди прекратяване на лечението.</w:t>
      </w:r>
    </w:p>
    <w:p w14:paraId="06895CF1" w14:textId="77777777" w:rsidR="00ED72A8" w:rsidRPr="00ED72A8" w:rsidRDefault="00ED72A8" w:rsidP="00ED72A8">
      <w:pPr>
        <w:spacing w:line="240" w:lineRule="auto"/>
        <w:rPr>
          <w:rFonts w:eastAsia="Times New Roman" w:cs="Arial"/>
          <w:color w:val="000000"/>
          <w:u w:val="single"/>
          <w:lang w:eastAsia="bg-BG"/>
        </w:rPr>
      </w:pPr>
    </w:p>
    <w:p w14:paraId="13CA86C9" w14:textId="5106A233"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Метаболитна ацидоза</w:t>
      </w:r>
    </w:p>
    <w:p w14:paraId="68D19002" w14:textId="77777777" w:rsidR="00ED72A8" w:rsidRPr="00ED72A8" w:rsidRDefault="00ED72A8" w:rsidP="00ED72A8">
      <w:pPr>
        <w:spacing w:line="240" w:lineRule="auto"/>
        <w:rPr>
          <w:rFonts w:eastAsia="Times New Roman" w:cs="Arial"/>
          <w:color w:val="000000"/>
          <w:lang w:eastAsia="bg-BG"/>
        </w:rPr>
      </w:pPr>
    </w:p>
    <w:p w14:paraId="5BA19BD8" w14:textId="5EBF37EE"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Хиперхлоремичната метаболитна ацидоза без загуба на аниони </w:t>
      </w:r>
      <w:r w:rsidRPr="00ED72A8">
        <w:rPr>
          <w:rFonts w:eastAsia="Times New Roman" w:cs="Arial"/>
          <w:i/>
          <w:iCs/>
          <w:color w:val="000000"/>
          <w:lang w:eastAsia="bg-BG"/>
        </w:rPr>
        <w:t>(т.е.</w:t>
      </w:r>
      <w:r w:rsidRPr="00ED72A8">
        <w:rPr>
          <w:rFonts w:eastAsia="Times New Roman" w:cs="Arial"/>
          <w:color w:val="000000"/>
          <w:lang w:eastAsia="bg-BG"/>
        </w:rPr>
        <w:t xml:space="preserve"> намалено ниво на серумните бикарбонати под нормалните референтни стойности при отсъствие на респираторна алкалоза) се свързва с лечението с топирамат. Пониженото ниво на серумните бикарбонати се дължи на инхибиращия ефект на топирамат върху бъбречната карбоанхидраза. По принцип понижаване на нивото на бикарбонатите се наблюдава в началото на лечението, въпреки че може да се появи по всяко време на лечението. Обикновено пониженията са леки до умерени (средно намаление от 4 </w:t>
      </w:r>
      <w:proofErr w:type="spellStart"/>
      <w:r w:rsidRPr="00ED72A8">
        <w:rPr>
          <w:rFonts w:eastAsia="Times New Roman" w:cs="Arial"/>
          <w:color w:val="000000"/>
          <w:lang w:val="en-US"/>
        </w:rPr>
        <w:t>mmol</w:t>
      </w:r>
      <w:proofErr w:type="spellEnd"/>
      <w:r w:rsidRPr="00ED72A8">
        <w:rPr>
          <w:rFonts w:eastAsia="Times New Roman" w:cs="Arial"/>
          <w:color w:val="000000"/>
          <w:lang w:val="en-US"/>
        </w:rPr>
        <w:t xml:space="preserve">/l </w:t>
      </w:r>
      <w:r w:rsidRPr="00ED72A8">
        <w:rPr>
          <w:rFonts w:eastAsia="Times New Roman" w:cs="Arial"/>
          <w:color w:val="000000"/>
          <w:lang w:eastAsia="bg-BG"/>
        </w:rPr>
        <w:t xml:space="preserve">при дневни дози от 100 </w:t>
      </w:r>
      <w:r w:rsidRPr="00ED72A8">
        <w:rPr>
          <w:rFonts w:eastAsia="Times New Roman" w:cs="Arial"/>
          <w:color w:val="000000"/>
          <w:lang w:val="en-US"/>
        </w:rPr>
        <w:t xml:space="preserve">mg </w:t>
      </w:r>
      <w:r w:rsidRPr="00ED72A8">
        <w:rPr>
          <w:rFonts w:eastAsia="Times New Roman" w:cs="Arial"/>
          <w:color w:val="000000"/>
          <w:lang w:eastAsia="bg-BG"/>
        </w:rPr>
        <w:t xml:space="preserve">или повече при възрастни и приблизително 6 </w:t>
      </w:r>
      <w:r w:rsidRPr="00ED72A8">
        <w:rPr>
          <w:rFonts w:eastAsia="Times New Roman" w:cs="Arial"/>
          <w:color w:val="000000"/>
          <w:lang w:val="en-US"/>
        </w:rPr>
        <w:t xml:space="preserve">mg/kg </w:t>
      </w:r>
      <w:r w:rsidRPr="00ED72A8">
        <w:rPr>
          <w:rFonts w:eastAsia="Times New Roman" w:cs="Arial"/>
          <w:color w:val="000000"/>
          <w:lang w:eastAsia="bg-BG"/>
        </w:rPr>
        <w:t xml:space="preserve">дневно при деца). В редки случаи при пациенти се наблюдават намалени стойности под 10 </w:t>
      </w:r>
      <w:proofErr w:type="spellStart"/>
      <w:r w:rsidRPr="00ED72A8">
        <w:rPr>
          <w:rFonts w:eastAsia="Times New Roman" w:cs="Arial"/>
          <w:color w:val="000000"/>
          <w:lang w:val="en-US"/>
        </w:rPr>
        <w:t>mmo</w:t>
      </w:r>
      <w:proofErr w:type="spellEnd"/>
      <w:r w:rsidRPr="00ED72A8">
        <w:rPr>
          <w:rFonts w:eastAsia="Times New Roman" w:cs="Arial"/>
          <w:color w:val="000000"/>
          <w:lang w:val="en-US"/>
        </w:rPr>
        <w:t xml:space="preserve">/l. </w:t>
      </w:r>
      <w:r w:rsidRPr="00ED72A8">
        <w:rPr>
          <w:rFonts w:eastAsia="Times New Roman" w:cs="Arial"/>
          <w:color w:val="000000"/>
          <w:lang w:eastAsia="bg-BG"/>
        </w:rPr>
        <w:t>Някои състояния или терапии, предразполагащи към ацидоза (като бъбречно заболяване, тежки респираторни нарушения, епилептичен статус, диария, операция, кетогенна диета или някои лекарствени продукти) могат да имат адитивен ефект към понижаващия бикарбонатите ефект на топирамат.</w:t>
      </w:r>
    </w:p>
    <w:p w14:paraId="581696F3" w14:textId="77777777" w:rsidR="00ED72A8" w:rsidRPr="00ED72A8" w:rsidRDefault="00ED72A8" w:rsidP="00ED72A8">
      <w:pPr>
        <w:spacing w:line="240" w:lineRule="auto"/>
        <w:rPr>
          <w:rFonts w:eastAsia="Times New Roman" w:cs="Arial"/>
          <w:color w:val="000000"/>
          <w:lang w:eastAsia="bg-BG"/>
        </w:rPr>
      </w:pPr>
    </w:p>
    <w:p w14:paraId="61E48A9A" w14:textId="4A8E81CE"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Хроничната метаболитна ацидоза повишава риска от образуване на камъни в бъбреците и може потенциално да доведе до остеопения.</w:t>
      </w:r>
    </w:p>
    <w:p w14:paraId="0BD0D2DA" w14:textId="77777777" w:rsidR="00ED72A8" w:rsidRPr="00ED72A8" w:rsidRDefault="00ED72A8" w:rsidP="00ED72A8">
      <w:pPr>
        <w:spacing w:line="240" w:lineRule="auto"/>
        <w:rPr>
          <w:rFonts w:eastAsia="Times New Roman" w:cs="Arial"/>
          <w:color w:val="000000"/>
          <w:lang w:eastAsia="bg-BG"/>
        </w:rPr>
      </w:pPr>
    </w:p>
    <w:p w14:paraId="17A62DAF" w14:textId="75A9BD51"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Хроничната метаболитна ацидоза при деца може да забави растежа. Ефектът на топирамат върху последствията за костите не е систематично проучен при деца или възрастни.</w:t>
      </w:r>
    </w:p>
    <w:p w14:paraId="55D128F3" w14:textId="77777777" w:rsidR="00ED72A8" w:rsidRPr="00ED72A8" w:rsidRDefault="00ED72A8" w:rsidP="00ED72A8">
      <w:pPr>
        <w:spacing w:line="240" w:lineRule="auto"/>
        <w:rPr>
          <w:rFonts w:eastAsia="Times New Roman" w:cs="Arial"/>
          <w:color w:val="000000"/>
          <w:lang w:eastAsia="bg-BG"/>
        </w:rPr>
      </w:pPr>
    </w:p>
    <w:p w14:paraId="5D335017" w14:textId="6535A393"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При терапия с топирамат, в зависимост от съпътстващите заболявания, се препоръчва подходящо изследване, включващо нивото на серумните бикарбонати. Ако са налице признаци или симптоми свидетелстващи за метаболитна ацидоза (напр. Кусмаулово дълбоко дишане, диспнея, анорексия, гадене, повръщане, силно изразена уморяемост, тахикардия или аритмия) се препоръчва изследване на серумния бикарбонат. Ако се </w:t>
      </w:r>
      <w:r w:rsidRPr="00ED72A8">
        <w:rPr>
          <w:rFonts w:eastAsia="Times New Roman" w:cs="Arial"/>
          <w:color w:val="000000"/>
          <w:lang w:eastAsia="bg-BG"/>
        </w:rPr>
        <w:lastRenderedPageBreak/>
        <w:t>развие метаболитна ацидоза и тя персистира, трябва да се прецени необходимостта от намаляване на дозата или преустановяване на лечението с топирамат (чрез постепенно намаляване на дозата).</w:t>
      </w:r>
    </w:p>
    <w:p w14:paraId="717E992B" w14:textId="77777777" w:rsidR="00ED72A8" w:rsidRPr="00ED72A8" w:rsidRDefault="00ED72A8" w:rsidP="00ED72A8">
      <w:pPr>
        <w:spacing w:line="240" w:lineRule="auto"/>
        <w:rPr>
          <w:rFonts w:eastAsia="Times New Roman" w:cs="Arial"/>
          <w:color w:val="000000"/>
          <w:lang w:eastAsia="bg-BG"/>
        </w:rPr>
      </w:pPr>
    </w:p>
    <w:p w14:paraId="14946111" w14:textId="541CD75B"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Топирамат трябва да се използва внимателно при пациенти със заболявания или на лечения, които са рисков фактор за възникване на метаболитна ацидоза.</w:t>
      </w:r>
    </w:p>
    <w:p w14:paraId="0DA5A6AE" w14:textId="77777777" w:rsidR="00ED72A8" w:rsidRPr="00ED72A8" w:rsidRDefault="00ED72A8" w:rsidP="00ED72A8">
      <w:pPr>
        <w:spacing w:line="240" w:lineRule="auto"/>
        <w:rPr>
          <w:rFonts w:eastAsia="Times New Roman" w:cs="Arial"/>
          <w:color w:val="000000"/>
          <w:u w:val="single"/>
          <w:lang w:eastAsia="bg-BG"/>
        </w:rPr>
      </w:pPr>
    </w:p>
    <w:p w14:paraId="1B5C936F" w14:textId="20C7020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Нарушение на когнитивните функции</w:t>
      </w:r>
    </w:p>
    <w:p w14:paraId="168092A3" w14:textId="77777777" w:rsidR="00ED72A8" w:rsidRPr="00ED72A8" w:rsidRDefault="00ED72A8" w:rsidP="00ED72A8">
      <w:pPr>
        <w:spacing w:line="240" w:lineRule="auto"/>
        <w:rPr>
          <w:rFonts w:eastAsia="Times New Roman" w:cs="Arial"/>
          <w:color w:val="000000"/>
          <w:lang w:eastAsia="bg-BG"/>
        </w:rPr>
      </w:pPr>
    </w:p>
    <w:p w14:paraId="08C380F2" w14:textId="77777777" w:rsidR="00ED72A8" w:rsidRPr="00ED72A8" w:rsidRDefault="00ED72A8" w:rsidP="00ED72A8">
      <w:pPr>
        <w:rPr>
          <w:rFonts w:eastAsia="Times New Roman" w:cs="Arial"/>
          <w:lang w:eastAsia="bg-BG"/>
        </w:rPr>
      </w:pPr>
      <w:r w:rsidRPr="00ED72A8">
        <w:rPr>
          <w:rFonts w:eastAsia="Times New Roman" w:cs="Arial"/>
          <w:color w:val="000000"/>
          <w:lang w:eastAsia="bg-BG"/>
        </w:rPr>
        <w:t>Увреждането на познавателните функции при епилепсия е мултифакторно и може да се дължи на лежаща в основата й етиология, поради епилепсия или вследствие на антиепилептично</w:t>
      </w:r>
      <w:r w:rsidRPr="00ED72A8">
        <w:rPr>
          <w:rFonts w:eastAsia="Times New Roman" w:cs="Arial"/>
          <w:lang w:eastAsia="bg-BG"/>
        </w:rPr>
        <w:t xml:space="preserve"> </w:t>
      </w:r>
      <w:r w:rsidRPr="00ED72A8">
        <w:rPr>
          <w:rFonts w:eastAsia="Times New Roman" w:cs="Arial"/>
          <w:color w:val="000000"/>
          <w:lang w:eastAsia="bg-BG"/>
        </w:rPr>
        <w:t>лечение. В литературата има съобщения за нарушение на последователните способности при възрастни, при които се провежда лечение с топирамат, което изисква намаляване на дозата или прекъсване на терапията. Проучванията относно познавателните резултати при деца лекувани с топирамат обаче са недостатъчни и все още е необходимо да бъде изяснен неговият ефект в тази насока.</w:t>
      </w:r>
    </w:p>
    <w:p w14:paraId="47C19475" w14:textId="77777777" w:rsidR="00ED72A8" w:rsidRPr="00ED72A8" w:rsidRDefault="00ED72A8" w:rsidP="00ED72A8">
      <w:pPr>
        <w:spacing w:line="240" w:lineRule="auto"/>
        <w:rPr>
          <w:rFonts w:eastAsia="Times New Roman" w:cs="Arial"/>
          <w:color w:val="000000"/>
          <w:u w:val="single"/>
          <w:lang w:eastAsia="bg-BG"/>
        </w:rPr>
      </w:pPr>
    </w:p>
    <w:p w14:paraId="4F3679F0" w14:textId="0E49FED3"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Жени с детероден потенциал</w:t>
      </w:r>
    </w:p>
    <w:p w14:paraId="31E08B3A" w14:textId="77777777" w:rsidR="00ED72A8" w:rsidRPr="00ED72A8" w:rsidRDefault="00ED72A8" w:rsidP="00ED72A8">
      <w:pPr>
        <w:spacing w:line="240" w:lineRule="auto"/>
        <w:rPr>
          <w:rFonts w:eastAsia="Times New Roman" w:cs="Arial"/>
          <w:color w:val="000000"/>
          <w:u w:val="single"/>
          <w:lang w:eastAsia="bg-BG"/>
        </w:rPr>
      </w:pPr>
    </w:p>
    <w:p w14:paraId="77F0C49A" w14:textId="7806A47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При прилагане на бременни жени топирамат може да причини увреждане на плода или забавяне на растежа (малък за гестационната възраст плод и раждане с ниско тегло). Д</w:t>
      </w:r>
      <w:r w:rsidRPr="00ED72A8">
        <w:rPr>
          <w:rFonts w:eastAsia="Times New Roman" w:cs="Arial"/>
          <w:color w:val="000000"/>
          <w:lang w:eastAsia="bg-BG"/>
        </w:rPr>
        <w:t xml:space="preserve">анните от регистъра на бременностите на Северна Америка при употреба на антиепилептични лекарства </w:t>
      </w:r>
      <w:r w:rsidRPr="00ED72A8">
        <w:rPr>
          <w:rFonts w:eastAsia="Times New Roman" w:cs="Arial"/>
          <w:color w:val="000000"/>
          <w:lang w:val="en-US"/>
        </w:rPr>
        <w:t xml:space="preserve">(NAAED) </w:t>
      </w:r>
      <w:r w:rsidRPr="00ED72A8">
        <w:rPr>
          <w:rFonts w:eastAsia="Times New Roman" w:cs="Arial"/>
          <w:color w:val="000000"/>
          <w:lang w:eastAsia="bg-BG"/>
        </w:rPr>
        <w:t xml:space="preserve">при монотерапия с топирамат, </w:t>
      </w:r>
      <w:r w:rsidRPr="00ED72A8">
        <w:rPr>
          <w:rFonts w:eastAsia="Times New Roman" w:cs="Arial"/>
          <w:color w:val="000000"/>
          <w:u w:val="single"/>
          <w:lang w:eastAsia="bg-BG"/>
        </w:rPr>
        <w:t>са показали приблизително три пъти по-висока честота на големи вродени малформации (4,3%) в сравнение с референтната група, неприемащи АЕЛ (1.4%). Освен това, данните от други проучвания показват, че в сравнение с монотерапия, съществува повишен риск от тератогенни ефекти, свързани с прилагането на АЕЛ като комбинирана терапия.</w:t>
      </w:r>
    </w:p>
    <w:p w14:paraId="244A1725" w14:textId="77777777" w:rsidR="00ED72A8" w:rsidRPr="00ED72A8" w:rsidRDefault="00ED72A8" w:rsidP="00ED72A8">
      <w:pPr>
        <w:spacing w:line="240" w:lineRule="auto"/>
        <w:rPr>
          <w:rFonts w:eastAsia="Times New Roman" w:cs="Arial"/>
          <w:color w:val="000000"/>
          <w:u w:val="single"/>
          <w:lang w:eastAsia="bg-BG"/>
        </w:rPr>
      </w:pPr>
    </w:p>
    <w:p w14:paraId="6AB32EAB" w14:textId="686921FF"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Преди започване на лечение с топирамат при жени с детероден потенциал, трябва да се направи тест за бременност и да се препоръча използването на високоефективен контрацептивен метод (</w:t>
      </w:r>
      <w:r w:rsidRPr="00ED72A8">
        <w:rPr>
          <w:rFonts w:eastAsia="Times New Roman" w:cs="Arial"/>
          <w:color w:val="000000"/>
          <w:lang w:eastAsia="bg-BG"/>
        </w:rPr>
        <w:t>вж. точка 4.5), Пациентката трябва да бъде подробно информирана за рисковете, свързани с прилагането на топирамат по време на бременността (вж. точки 4.3 и 4.6).</w:t>
      </w:r>
    </w:p>
    <w:p w14:paraId="016D8F90" w14:textId="77777777" w:rsidR="00ED72A8" w:rsidRPr="00ED72A8" w:rsidRDefault="00ED72A8" w:rsidP="00ED72A8">
      <w:pPr>
        <w:spacing w:line="240" w:lineRule="auto"/>
        <w:rPr>
          <w:rFonts w:eastAsia="Times New Roman" w:cs="Arial"/>
          <w:color w:val="000000"/>
          <w:u w:val="single"/>
          <w:lang w:eastAsia="bg-BG"/>
        </w:rPr>
      </w:pPr>
    </w:p>
    <w:p w14:paraId="77125785" w14:textId="4966A24F"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Хиперамониемия и енцефалопатия</w:t>
      </w:r>
    </w:p>
    <w:p w14:paraId="3F81EBE7" w14:textId="77777777" w:rsidR="00ED72A8" w:rsidRPr="00ED72A8" w:rsidRDefault="00ED72A8" w:rsidP="00ED72A8">
      <w:pPr>
        <w:spacing w:line="240" w:lineRule="auto"/>
        <w:rPr>
          <w:rFonts w:eastAsia="Times New Roman" w:cs="Arial"/>
          <w:color w:val="000000"/>
          <w:lang w:eastAsia="bg-BG"/>
        </w:rPr>
      </w:pPr>
    </w:p>
    <w:p w14:paraId="15B47DC2" w14:textId="63293923"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При лечение с топирамат е докладвано за хиперамониемия със или без енцефалопатия (вж. точка 4.8). Рискът от поява на хиперамониемия при топирамат изглежда е дозо-зависим. За хиперамониемия е съобщавано по-често </w:t>
      </w:r>
      <w:r w:rsidRPr="00ED72A8">
        <w:rPr>
          <w:rFonts w:eastAsia="Times New Roman" w:cs="Arial"/>
          <w:i/>
          <w:iCs/>
          <w:color w:val="000000"/>
          <w:lang w:eastAsia="bg-BG"/>
        </w:rPr>
        <w:t>при</w:t>
      </w:r>
      <w:r w:rsidRPr="00ED72A8">
        <w:rPr>
          <w:rFonts w:eastAsia="Times New Roman" w:cs="Arial"/>
          <w:color w:val="000000"/>
          <w:lang w:eastAsia="bg-BG"/>
        </w:rPr>
        <w:t xml:space="preserve"> едновременно приложение на топирамат с валпроева киселина (вж. точка 4.5).</w:t>
      </w:r>
    </w:p>
    <w:p w14:paraId="48493971"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При пациенти, при които се развиват необяснима летаргия или промени в менталния статус, свързани с монотерапия или с комбинирана терапия с топирамат, се препоръчва да се приеме, че става дума за хиперамониемична енцефалопатия и да се определят нивата на амоняк.</w:t>
      </w:r>
    </w:p>
    <w:p w14:paraId="2190194D" w14:textId="77777777" w:rsidR="00ED72A8" w:rsidRPr="00ED72A8" w:rsidRDefault="00ED72A8" w:rsidP="00ED72A8">
      <w:pPr>
        <w:spacing w:line="240" w:lineRule="auto"/>
        <w:rPr>
          <w:rFonts w:eastAsia="Times New Roman" w:cs="Arial"/>
          <w:color w:val="000000"/>
          <w:u w:val="single"/>
          <w:lang w:eastAsia="bg-BG"/>
        </w:rPr>
      </w:pPr>
    </w:p>
    <w:p w14:paraId="3C2D8635" w14:textId="7643C95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Хранителни добавки</w:t>
      </w:r>
    </w:p>
    <w:p w14:paraId="39827725"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Някои пациенти може да започнат да губят тегло по време на лечението с топирамат. Препоръчва се пациентите, лекувани с топирамат да се проследяват за загуба на тегло. Ако пациентите губят тегло, докато приемат топирамат, следва да се прецени необходимостта от включване на хранителни добавки или увеличен прием на храна.</w:t>
      </w:r>
    </w:p>
    <w:p w14:paraId="70D4C8F6" w14:textId="77777777" w:rsidR="00ED72A8" w:rsidRPr="00ED72A8" w:rsidRDefault="00ED72A8" w:rsidP="00ED72A8">
      <w:pPr>
        <w:spacing w:line="240" w:lineRule="auto"/>
        <w:rPr>
          <w:rFonts w:eastAsia="Times New Roman" w:cs="Arial"/>
          <w:color w:val="000000"/>
          <w:u w:val="single"/>
          <w:lang w:eastAsia="bg-BG"/>
        </w:rPr>
      </w:pPr>
    </w:p>
    <w:p w14:paraId="5D21A2C0" w14:textId="30275AD7"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Лактозна непоносимост</w:t>
      </w:r>
    </w:p>
    <w:p w14:paraId="4987C6A1" w14:textId="77777777" w:rsidR="00ED72A8" w:rsidRPr="00ED72A8" w:rsidRDefault="00ED72A8" w:rsidP="00ED72A8">
      <w:pPr>
        <w:spacing w:line="240" w:lineRule="auto"/>
        <w:rPr>
          <w:rFonts w:eastAsia="Times New Roman" w:cs="Arial"/>
          <w:color w:val="000000"/>
          <w:lang w:eastAsia="bg-BG"/>
        </w:rPr>
      </w:pPr>
    </w:p>
    <w:p w14:paraId="6E6D978F" w14:textId="2E2E83EC"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Топилекс 25 </w:t>
      </w:r>
      <w:r w:rsidRPr="00ED72A8">
        <w:rPr>
          <w:rFonts w:eastAsia="Times New Roman" w:cs="Arial"/>
          <w:color w:val="000000"/>
          <w:lang w:val="en-US"/>
        </w:rPr>
        <w:t xml:space="preserve">mg </w:t>
      </w:r>
      <w:r w:rsidRPr="00ED72A8">
        <w:rPr>
          <w:rFonts w:eastAsia="Times New Roman" w:cs="Arial"/>
          <w:color w:val="000000"/>
          <w:lang w:eastAsia="bg-BG"/>
        </w:rPr>
        <w:t xml:space="preserve">и 50 </w:t>
      </w:r>
      <w:r w:rsidRPr="00ED72A8">
        <w:rPr>
          <w:rFonts w:eastAsia="Times New Roman" w:cs="Arial"/>
          <w:color w:val="000000"/>
          <w:lang w:val="en-US"/>
        </w:rPr>
        <w:t xml:space="preserve">mg </w:t>
      </w:r>
      <w:r w:rsidRPr="00ED72A8">
        <w:rPr>
          <w:rFonts w:eastAsia="Times New Roman" w:cs="Arial"/>
          <w:color w:val="000000"/>
          <w:lang w:eastAsia="bg-BG"/>
        </w:rPr>
        <w:t>филмирани таблетки, съдържа лактоза. Пациенти с редки наследствени проблеми на галактозна непоносимост, пълен лактазен дефицит или глюкозо- галактозна малабсорбция не трябва да приемат това лекарство.</w:t>
      </w:r>
    </w:p>
    <w:p w14:paraId="2A7D6CE2" w14:textId="77777777" w:rsidR="00ED72A8" w:rsidRPr="00ED72A8" w:rsidRDefault="00ED72A8" w:rsidP="00ED72A8">
      <w:pPr>
        <w:spacing w:line="240" w:lineRule="auto"/>
        <w:rPr>
          <w:rFonts w:eastAsia="Times New Roman" w:cs="Arial"/>
          <w:color w:val="000000"/>
          <w:u w:val="single"/>
          <w:lang w:eastAsia="bg-BG"/>
        </w:rPr>
      </w:pPr>
    </w:p>
    <w:p w14:paraId="7D5C33CB" w14:textId="78DBFCC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Сънсет жълто (Е110)</w:t>
      </w:r>
    </w:p>
    <w:p w14:paraId="719ACC77" w14:textId="77777777" w:rsidR="00ED72A8" w:rsidRPr="00ED72A8" w:rsidRDefault="00ED72A8" w:rsidP="00ED72A8">
      <w:pPr>
        <w:spacing w:line="240" w:lineRule="auto"/>
        <w:rPr>
          <w:rFonts w:eastAsia="Times New Roman" w:cs="Arial"/>
          <w:color w:val="000000"/>
          <w:lang w:eastAsia="bg-BG"/>
        </w:rPr>
      </w:pPr>
    </w:p>
    <w:p w14:paraId="021A57B5" w14:textId="28C6E70E"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Топилекс 100 </w:t>
      </w:r>
      <w:r w:rsidRPr="00ED72A8">
        <w:rPr>
          <w:rFonts w:eastAsia="Times New Roman" w:cs="Arial"/>
          <w:color w:val="000000"/>
          <w:lang w:val="en-US"/>
        </w:rPr>
        <w:t xml:space="preserve">mg, </w:t>
      </w:r>
      <w:r w:rsidRPr="00ED72A8">
        <w:rPr>
          <w:rFonts w:eastAsia="Times New Roman" w:cs="Arial"/>
          <w:color w:val="000000"/>
          <w:lang w:eastAsia="bg-BG"/>
        </w:rPr>
        <w:t>филмирани таблетки, съдържа Сънсет жълто (Е110). Сънсет жълто (Е110) може да предизвика алергични реакции.</w:t>
      </w:r>
    </w:p>
    <w:p w14:paraId="465C7BCC" w14:textId="77777777" w:rsidR="00ED72A8" w:rsidRPr="00ED72A8" w:rsidRDefault="00ED72A8" w:rsidP="00ED72A8">
      <w:pPr>
        <w:spacing w:line="240" w:lineRule="auto"/>
        <w:rPr>
          <w:rFonts w:eastAsia="Times New Roman" w:cs="Arial"/>
          <w:sz w:val="28"/>
          <w:szCs w:val="24"/>
          <w:lang w:eastAsia="bg-BG"/>
        </w:rPr>
      </w:pPr>
    </w:p>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FFF1347"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Влияние на Топилекс върху други антиепилептични лекарствени продукти</w:t>
      </w:r>
    </w:p>
    <w:p w14:paraId="03EB1CFB" w14:textId="77777777" w:rsidR="00ED72A8" w:rsidRPr="00ED72A8" w:rsidRDefault="00ED72A8" w:rsidP="00ED72A8">
      <w:pPr>
        <w:rPr>
          <w:rFonts w:eastAsia="Times New Roman" w:cs="Arial"/>
          <w:sz w:val="28"/>
          <w:szCs w:val="24"/>
          <w:lang w:eastAsia="bg-BG"/>
        </w:rPr>
      </w:pPr>
      <w:r w:rsidRPr="00ED72A8">
        <w:rPr>
          <w:rFonts w:eastAsia="Times New Roman" w:cs="Arial"/>
          <w:color w:val="000000"/>
          <w:szCs w:val="20"/>
          <w:lang w:eastAsia="bg-BG"/>
        </w:rPr>
        <w:t xml:space="preserve">Добавянето на Топилекс в схемата на лечение с други антиепилептични средства (фенитоив, карбамазепин, валпроева киселина, фенобарбитал, примидон) не оказва влияние върху плазмените концентрации в стационарно състояние. Изключение правят само отделни пациенти, при които добавянето на Топилекс към фенитоин може да предизвика покачване на плазмената концентрация на фенитоин. Това най-вероятно се дължи на потискане на специфичната ензимна полиморфна изоформа </w:t>
      </w:r>
      <w:r w:rsidRPr="00ED72A8">
        <w:rPr>
          <w:rFonts w:eastAsia="Times New Roman" w:cs="Arial"/>
          <w:color w:val="000000"/>
          <w:szCs w:val="20"/>
          <w:lang w:val="en-US"/>
        </w:rPr>
        <w:t xml:space="preserve">(CYP2C19). </w:t>
      </w:r>
      <w:r w:rsidRPr="00ED72A8">
        <w:rPr>
          <w:rFonts w:eastAsia="Times New Roman" w:cs="Arial"/>
          <w:color w:val="000000"/>
          <w:szCs w:val="20"/>
          <w:lang w:eastAsia="bg-BG"/>
        </w:rPr>
        <w:t>Поради това, появата на клинични белези или симптоми на токсичност при пациенти, лекувани с фенитоин, трябва да бъде сигнал за мониториране нивата на фенитоин.</w:t>
      </w:r>
    </w:p>
    <w:p w14:paraId="6DC37025"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Проучване на фармакокинетичните взаимодействия при пациенти с епилепсия показва, че добавянето на топирамат към ламотрижин не повлиява плазмената концентрация в стационарно състояние на ламотрижин при дози на топирамат от 100 до 400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Освен това, не се наблюдават промени в равновесната плазмена концентрация в стационарно състояние на топирамат по време на или след прекратяване </w:t>
      </w:r>
      <w:r w:rsidRPr="00ED72A8">
        <w:rPr>
          <w:rFonts w:eastAsia="Times New Roman" w:cs="Arial"/>
          <w:i/>
          <w:iCs/>
          <w:color w:val="000000"/>
          <w:szCs w:val="20"/>
          <w:lang w:eastAsia="bg-BG"/>
        </w:rPr>
        <w:t>на</w:t>
      </w:r>
      <w:r w:rsidRPr="00ED72A8">
        <w:rPr>
          <w:rFonts w:eastAsia="Times New Roman" w:cs="Arial"/>
          <w:color w:val="000000"/>
          <w:szCs w:val="20"/>
          <w:lang w:eastAsia="bg-BG"/>
        </w:rPr>
        <w:t xml:space="preserve"> лечението с ламотрижин (средна доза 327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w:t>
      </w:r>
    </w:p>
    <w:p w14:paraId="7DB226A9"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Топирамат инхибира ензима </w:t>
      </w:r>
      <w:r w:rsidRPr="00ED72A8">
        <w:rPr>
          <w:rFonts w:eastAsia="Times New Roman" w:cs="Arial"/>
          <w:color w:val="000000"/>
          <w:szCs w:val="20"/>
          <w:lang w:val="en-US"/>
        </w:rPr>
        <w:t xml:space="preserve">CYP2C19 </w:t>
      </w:r>
      <w:r w:rsidRPr="00ED72A8">
        <w:rPr>
          <w:rFonts w:eastAsia="Times New Roman" w:cs="Arial"/>
          <w:color w:val="000000"/>
          <w:szCs w:val="20"/>
          <w:lang w:eastAsia="bg-BG"/>
        </w:rPr>
        <w:t>и може да окаже влияние на други вещества, които се метаболизират чрез този ензим (напр. диазепам, имипрамин, моклобемид, нрогуанил, омепразол).</w:t>
      </w:r>
    </w:p>
    <w:p w14:paraId="659D8E2D" w14:textId="77777777" w:rsidR="00ED72A8" w:rsidRPr="00ED72A8" w:rsidRDefault="00ED72A8" w:rsidP="00ED72A8">
      <w:pPr>
        <w:spacing w:line="240" w:lineRule="auto"/>
        <w:rPr>
          <w:rFonts w:eastAsia="Times New Roman" w:cs="Arial"/>
          <w:color w:val="000000"/>
          <w:szCs w:val="20"/>
          <w:u w:val="single"/>
          <w:lang w:eastAsia="bg-BG"/>
        </w:rPr>
      </w:pPr>
    </w:p>
    <w:p w14:paraId="36821EE6" w14:textId="4111DECF"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Влияние на други антиепилептични лекарствени продукти върху Топилекс</w:t>
      </w:r>
    </w:p>
    <w:p w14:paraId="172AE819" w14:textId="15711998" w:rsidR="0091385D" w:rsidRDefault="00ED72A8" w:rsidP="00ED72A8">
      <w:pPr>
        <w:rPr>
          <w:rFonts w:eastAsia="Times New Roman" w:cs="Arial"/>
          <w:color w:val="000000"/>
          <w:szCs w:val="20"/>
          <w:lang w:eastAsia="bg-BG"/>
        </w:rPr>
      </w:pPr>
      <w:r w:rsidRPr="00ED72A8">
        <w:rPr>
          <w:rFonts w:eastAsia="Times New Roman" w:cs="Arial"/>
          <w:color w:val="000000"/>
          <w:szCs w:val="20"/>
          <w:lang w:eastAsia="bg-BG"/>
        </w:rPr>
        <w:t>Фенитоин и карбамазепин понижават плазмената концентрация на Топилекс. Добавянето или спирането на фенитоин или карбамазепин при провеждане на лечение с Топилекс може да наложи коригиране на дозата на последния. Това трябва да стане чрез титриране според клиничния ефект. Добавянето или спирането на валпроева киселина не води до клинично значими промени в плазмената концентрация на Топилекс и поради това не налага промени в дозировката на Топилекс. Резултатите от тези взаимодействия са обобщени в таблицата по- долу:</w:t>
      </w:r>
    </w:p>
    <w:p w14:paraId="2EEF8CD9" w14:textId="36FB3640" w:rsidR="00ED72A8" w:rsidRDefault="00ED72A8" w:rsidP="00ED72A8">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66"/>
        <w:gridCol w:w="3167"/>
        <w:gridCol w:w="3167"/>
      </w:tblGrid>
      <w:tr w:rsidR="00ED72A8" w14:paraId="2799D021" w14:textId="77777777" w:rsidTr="00ED72A8">
        <w:tc>
          <w:tcPr>
            <w:tcW w:w="3166" w:type="dxa"/>
          </w:tcPr>
          <w:p w14:paraId="4D0D5611" w14:textId="2607A6FE" w:rsidR="00ED72A8" w:rsidRPr="00ED72A8" w:rsidRDefault="00ED72A8" w:rsidP="00ED72A8">
            <w:pPr>
              <w:rPr>
                <w:rFonts w:cs="Arial"/>
              </w:rPr>
            </w:pPr>
            <w:r w:rsidRPr="00ED72A8">
              <w:t>АЕЛ, приложено едновременно с Топилекс</w:t>
            </w:r>
          </w:p>
        </w:tc>
        <w:tc>
          <w:tcPr>
            <w:tcW w:w="3167" w:type="dxa"/>
          </w:tcPr>
          <w:p w14:paraId="13ABAD89" w14:textId="0E9E278F" w:rsidR="00ED72A8" w:rsidRPr="00ED72A8" w:rsidRDefault="00ED72A8" w:rsidP="00ED72A8">
            <w:pPr>
              <w:rPr>
                <w:rFonts w:cs="Arial"/>
              </w:rPr>
            </w:pPr>
            <w:r w:rsidRPr="00ED72A8">
              <w:t>Концентрация на АЕЛ</w:t>
            </w:r>
          </w:p>
        </w:tc>
        <w:tc>
          <w:tcPr>
            <w:tcW w:w="3167" w:type="dxa"/>
          </w:tcPr>
          <w:p w14:paraId="3C2D0EB3" w14:textId="64603EC9" w:rsidR="00ED72A8" w:rsidRPr="00ED72A8" w:rsidRDefault="00ED72A8" w:rsidP="00ED72A8">
            <w:pPr>
              <w:rPr>
                <w:rFonts w:cs="Arial"/>
              </w:rPr>
            </w:pPr>
            <w:r w:rsidRPr="00ED72A8">
              <w:t>Концентрация на Топилекс</w:t>
            </w:r>
          </w:p>
        </w:tc>
      </w:tr>
      <w:tr w:rsidR="00ED72A8" w14:paraId="0238A042" w14:textId="77777777" w:rsidTr="00ED72A8">
        <w:tc>
          <w:tcPr>
            <w:tcW w:w="3166" w:type="dxa"/>
          </w:tcPr>
          <w:p w14:paraId="52D2596E" w14:textId="5B559ACE" w:rsidR="00ED72A8" w:rsidRPr="00ED72A8" w:rsidRDefault="00ED72A8" w:rsidP="00ED72A8">
            <w:pPr>
              <w:rPr>
                <w:rFonts w:cs="Arial"/>
              </w:rPr>
            </w:pPr>
            <w:r w:rsidRPr="00ED72A8">
              <w:t>Фенитоин</w:t>
            </w:r>
          </w:p>
        </w:tc>
        <w:tc>
          <w:tcPr>
            <w:tcW w:w="3167" w:type="dxa"/>
          </w:tcPr>
          <w:p w14:paraId="7E20BF5A" w14:textId="77777777" w:rsidR="00ED72A8" w:rsidRPr="00ED72A8" w:rsidRDefault="00ED72A8" w:rsidP="00ED72A8">
            <w:r w:rsidRPr="00ED72A8">
              <w:rPr>
                <w:rFonts w:cs="Arial"/>
              </w:rPr>
              <w:t>**</w:t>
            </w:r>
          </w:p>
          <w:p w14:paraId="6ABDA9D3" w14:textId="4959DCD3" w:rsidR="00ED72A8" w:rsidRPr="00ED72A8" w:rsidRDefault="00ED72A8" w:rsidP="00ED72A8">
            <w:pPr>
              <w:rPr>
                <w:rFonts w:cs="Arial"/>
              </w:rPr>
            </w:pPr>
            <w:r w:rsidRPr="00ED72A8">
              <w:t>↔</w:t>
            </w:r>
          </w:p>
        </w:tc>
        <w:tc>
          <w:tcPr>
            <w:tcW w:w="3167" w:type="dxa"/>
          </w:tcPr>
          <w:p w14:paraId="0928EDD4" w14:textId="177971AE" w:rsidR="00ED72A8" w:rsidRPr="00ED72A8" w:rsidRDefault="00ED72A8" w:rsidP="00ED72A8">
            <w:pPr>
              <w:rPr>
                <w:rFonts w:cs="Arial"/>
              </w:rPr>
            </w:pPr>
            <w:r w:rsidRPr="00ED72A8">
              <w:t>↓</w:t>
            </w:r>
          </w:p>
        </w:tc>
      </w:tr>
      <w:tr w:rsidR="00ED72A8" w14:paraId="0F04FC8F" w14:textId="77777777" w:rsidTr="00ED72A8">
        <w:tc>
          <w:tcPr>
            <w:tcW w:w="3166" w:type="dxa"/>
          </w:tcPr>
          <w:p w14:paraId="5168A6F8" w14:textId="290AF0B0" w:rsidR="00ED72A8" w:rsidRPr="00ED72A8" w:rsidRDefault="00ED72A8" w:rsidP="00ED72A8">
            <w:pPr>
              <w:rPr>
                <w:rFonts w:cs="Arial"/>
              </w:rPr>
            </w:pPr>
            <w:r w:rsidRPr="00ED72A8">
              <w:t>Карбамазепин</w:t>
            </w:r>
          </w:p>
        </w:tc>
        <w:tc>
          <w:tcPr>
            <w:tcW w:w="3167" w:type="dxa"/>
          </w:tcPr>
          <w:p w14:paraId="36DA4B44" w14:textId="23C04690" w:rsidR="00ED72A8" w:rsidRPr="00ED72A8" w:rsidRDefault="00ED72A8" w:rsidP="00ED72A8">
            <w:pPr>
              <w:rPr>
                <w:rFonts w:cs="Arial"/>
              </w:rPr>
            </w:pPr>
            <w:r w:rsidRPr="00ED72A8">
              <w:t>↔</w:t>
            </w:r>
          </w:p>
        </w:tc>
        <w:tc>
          <w:tcPr>
            <w:tcW w:w="3167" w:type="dxa"/>
          </w:tcPr>
          <w:p w14:paraId="6F865202" w14:textId="225FC5C0" w:rsidR="00ED72A8" w:rsidRPr="00ED72A8" w:rsidRDefault="00ED72A8" w:rsidP="00ED72A8">
            <w:pPr>
              <w:rPr>
                <w:rFonts w:cs="Arial"/>
              </w:rPr>
            </w:pPr>
            <w:r w:rsidRPr="00ED72A8">
              <w:t>↓</w:t>
            </w:r>
          </w:p>
        </w:tc>
      </w:tr>
      <w:tr w:rsidR="00ED72A8" w14:paraId="7A99F751" w14:textId="77777777" w:rsidTr="00ED72A8">
        <w:tc>
          <w:tcPr>
            <w:tcW w:w="3166" w:type="dxa"/>
          </w:tcPr>
          <w:p w14:paraId="4D59A7BB" w14:textId="4F321C82" w:rsidR="00ED72A8" w:rsidRPr="00ED72A8" w:rsidRDefault="00ED72A8" w:rsidP="00ED72A8">
            <w:pPr>
              <w:rPr>
                <w:rFonts w:cs="Arial"/>
              </w:rPr>
            </w:pPr>
            <w:r w:rsidRPr="00ED72A8">
              <w:lastRenderedPageBreak/>
              <w:t>Валпроева киселина</w:t>
            </w:r>
          </w:p>
        </w:tc>
        <w:tc>
          <w:tcPr>
            <w:tcW w:w="3167" w:type="dxa"/>
          </w:tcPr>
          <w:p w14:paraId="03848A1A" w14:textId="507C8530" w:rsidR="00ED72A8" w:rsidRPr="00ED72A8" w:rsidRDefault="00ED72A8" w:rsidP="00ED72A8">
            <w:pPr>
              <w:rPr>
                <w:rFonts w:cs="Arial"/>
              </w:rPr>
            </w:pPr>
            <w:r w:rsidRPr="00ED72A8">
              <w:t>↔</w:t>
            </w:r>
          </w:p>
        </w:tc>
        <w:tc>
          <w:tcPr>
            <w:tcW w:w="3167" w:type="dxa"/>
          </w:tcPr>
          <w:p w14:paraId="0EB2C0C5" w14:textId="540E53BC" w:rsidR="00ED72A8" w:rsidRPr="00ED72A8" w:rsidRDefault="00ED72A8" w:rsidP="00ED72A8">
            <w:pPr>
              <w:rPr>
                <w:rFonts w:cs="Arial"/>
              </w:rPr>
            </w:pPr>
            <w:r w:rsidRPr="00ED72A8">
              <w:t>↔</w:t>
            </w:r>
          </w:p>
        </w:tc>
      </w:tr>
      <w:tr w:rsidR="00ED72A8" w14:paraId="2FF1FDF4" w14:textId="77777777" w:rsidTr="00ED72A8">
        <w:tc>
          <w:tcPr>
            <w:tcW w:w="3166" w:type="dxa"/>
          </w:tcPr>
          <w:p w14:paraId="7FB1CFA4" w14:textId="44AF3035" w:rsidR="00ED72A8" w:rsidRPr="00ED72A8" w:rsidRDefault="00ED72A8" w:rsidP="00ED72A8">
            <w:pPr>
              <w:rPr>
                <w:rFonts w:cs="Arial"/>
              </w:rPr>
            </w:pPr>
            <w:r w:rsidRPr="00ED72A8">
              <w:t>Ламотрижин</w:t>
            </w:r>
          </w:p>
        </w:tc>
        <w:tc>
          <w:tcPr>
            <w:tcW w:w="3167" w:type="dxa"/>
          </w:tcPr>
          <w:p w14:paraId="6377B219" w14:textId="0FD94416" w:rsidR="00ED72A8" w:rsidRPr="00ED72A8" w:rsidRDefault="00ED72A8" w:rsidP="00ED72A8">
            <w:pPr>
              <w:rPr>
                <w:rFonts w:cs="Arial"/>
              </w:rPr>
            </w:pPr>
            <w:r w:rsidRPr="00ED72A8">
              <w:t>↔</w:t>
            </w:r>
          </w:p>
        </w:tc>
        <w:tc>
          <w:tcPr>
            <w:tcW w:w="3167" w:type="dxa"/>
          </w:tcPr>
          <w:p w14:paraId="01F85C1A" w14:textId="1D15C9E0" w:rsidR="00ED72A8" w:rsidRPr="00ED72A8" w:rsidRDefault="00ED72A8" w:rsidP="00ED72A8">
            <w:pPr>
              <w:rPr>
                <w:rFonts w:cs="Arial"/>
              </w:rPr>
            </w:pPr>
            <w:r w:rsidRPr="00ED72A8">
              <w:t>↔</w:t>
            </w:r>
          </w:p>
        </w:tc>
      </w:tr>
      <w:tr w:rsidR="00ED72A8" w14:paraId="2E6AE65C" w14:textId="77777777" w:rsidTr="00ED72A8">
        <w:tc>
          <w:tcPr>
            <w:tcW w:w="3166" w:type="dxa"/>
          </w:tcPr>
          <w:p w14:paraId="71A84F6F" w14:textId="67EE4D98" w:rsidR="00ED72A8" w:rsidRPr="00ED72A8" w:rsidRDefault="00ED72A8" w:rsidP="00ED72A8">
            <w:pPr>
              <w:rPr>
                <w:rFonts w:cs="Arial"/>
              </w:rPr>
            </w:pPr>
            <w:r w:rsidRPr="00ED72A8">
              <w:t>Фенобарбитал</w:t>
            </w:r>
          </w:p>
        </w:tc>
        <w:tc>
          <w:tcPr>
            <w:tcW w:w="3167" w:type="dxa"/>
          </w:tcPr>
          <w:p w14:paraId="60FC4557" w14:textId="3C23BB67" w:rsidR="00ED72A8" w:rsidRPr="00ED72A8" w:rsidRDefault="00ED72A8" w:rsidP="00ED72A8">
            <w:pPr>
              <w:rPr>
                <w:rFonts w:cs="Arial"/>
              </w:rPr>
            </w:pPr>
            <w:r w:rsidRPr="00ED72A8">
              <w:t>↔</w:t>
            </w:r>
          </w:p>
        </w:tc>
        <w:tc>
          <w:tcPr>
            <w:tcW w:w="3167" w:type="dxa"/>
          </w:tcPr>
          <w:p w14:paraId="48FD09B9" w14:textId="41D92992" w:rsidR="00ED72A8" w:rsidRPr="00ED72A8" w:rsidRDefault="00ED72A8" w:rsidP="00ED72A8">
            <w:pPr>
              <w:rPr>
                <w:rFonts w:cs="Arial"/>
              </w:rPr>
            </w:pPr>
            <w:r w:rsidRPr="00ED72A8">
              <w:t>НП</w:t>
            </w:r>
          </w:p>
        </w:tc>
      </w:tr>
      <w:tr w:rsidR="00ED72A8" w14:paraId="1BFC33FA" w14:textId="77777777" w:rsidTr="00ED72A8">
        <w:tc>
          <w:tcPr>
            <w:tcW w:w="3166" w:type="dxa"/>
          </w:tcPr>
          <w:p w14:paraId="56141D54" w14:textId="431CA6FF" w:rsidR="00ED72A8" w:rsidRPr="00ED72A8" w:rsidRDefault="00ED72A8" w:rsidP="00ED72A8">
            <w:pPr>
              <w:rPr>
                <w:rFonts w:cs="Arial"/>
              </w:rPr>
            </w:pPr>
            <w:r w:rsidRPr="00ED72A8">
              <w:t>Примидон</w:t>
            </w:r>
          </w:p>
        </w:tc>
        <w:tc>
          <w:tcPr>
            <w:tcW w:w="3167" w:type="dxa"/>
          </w:tcPr>
          <w:p w14:paraId="5CB60B69" w14:textId="3D3F6020" w:rsidR="00ED72A8" w:rsidRPr="00ED72A8" w:rsidRDefault="00ED72A8" w:rsidP="00ED72A8">
            <w:pPr>
              <w:rPr>
                <w:rFonts w:cs="Arial"/>
              </w:rPr>
            </w:pPr>
            <w:r w:rsidRPr="00ED72A8">
              <w:t>↔</w:t>
            </w:r>
          </w:p>
        </w:tc>
        <w:tc>
          <w:tcPr>
            <w:tcW w:w="3167" w:type="dxa"/>
          </w:tcPr>
          <w:p w14:paraId="4EE0AA90" w14:textId="43577D26" w:rsidR="00ED72A8" w:rsidRPr="00ED72A8" w:rsidRDefault="00ED72A8" w:rsidP="00ED72A8">
            <w:pPr>
              <w:rPr>
                <w:rFonts w:cs="Arial"/>
              </w:rPr>
            </w:pPr>
            <w:r w:rsidRPr="00ED72A8">
              <w:t>НП</w:t>
            </w:r>
          </w:p>
        </w:tc>
      </w:tr>
    </w:tbl>
    <w:p w14:paraId="5E5D11C9" w14:textId="2101DEB5" w:rsidR="00ED72A8" w:rsidRDefault="00ED72A8" w:rsidP="00ED72A8">
      <w:pPr>
        <w:rPr>
          <w:rFonts w:cs="Arial"/>
          <w:sz w:val="24"/>
        </w:rPr>
      </w:pPr>
    </w:p>
    <w:p w14:paraId="3A45D11B"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 без ефект върху плазмените концентрации (</w:t>
      </w:r>
      <w:r w:rsidRPr="00ED72A8">
        <w:rPr>
          <w:rFonts w:eastAsia="Times New Roman" w:cs="Arial"/>
          <w:color w:val="000000"/>
          <w:lang w:val="en-US"/>
        </w:rPr>
        <w:t xml:space="preserve"> </w:t>
      </w:r>
      <w:r w:rsidRPr="00ED72A8">
        <w:rPr>
          <w:rFonts w:eastAsia="Times New Roman" w:cs="Arial"/>
          <w:color w:val="000000"/>
          <w:lang w:eastAsia="bg-BG"/>
        </w:rPr>
        <w:t>≤ 15% промяна)</w:t>
      </w:r>
    </w:p>
    <w:p w14:paraId="2373D473"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 Плазмената концентрация нараства при отделни пациенти</w:t>
      </w:r>
    </w:p>
    <w:p w14:paraId="2DA9F8E0"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 Плазмената концентрация се понижава</w:t>
      </w:r>
    </w:p>
    <w:p w14:paraId="6CBD6C95"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НП = Не е проучван</w:t>
      </w:r>
    </w:p>
    <w:p w14:paraId="39FB8DB6"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АЕЛ - антиепелиптично лекарство</w:t>
      </w:r>
    </w:p>
    <w:p w14:paraId="01163E8D" w14:textId="77777777" w:rsidR="00ED72A8" w:rsidRPr="00ED72A8" w:rsidRDefault="00ED72A8" w:rsidP="00ED72A8">
      <w:pPr>
        <w:spacing w:line="240" w:lineRule="auto"/>
        <w:rPr>
          <w:rFonts w:eastAsia="Times New Roman" w:cs="Arial"/>
          <w:color w:val="000000"/>
          <w:u w:val="single"/>
          <w:lang w:eastAsia="bg-BG"/>
        </w:rPr>
      </w:pPr>
    </w:p>
    <w:p w14:paraId="02784315" w14:textId="7EF466BC"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Други лекарствени взаимодействия</w:t>
      </w:r>
    </w:p>
    <w:p w14:paraId="01D63158" w14:textId="77777777" w:rsidR="00ED72A8" w:rsidRPr="00ED72A8" w:rsidRDefault="00ED72A8" w:rsidP="00ED72A8">
      <w:pPr>
        <w:spacing w:line="240" w:lineRule="auto"/>
        <w:rPr>
          <w:rFonts w:eastAsia="Times New Roman" w:cs="Arial"/>
          <w:i/>
          <w:iCs/>
          <w:color w:val="000000"/>
          <w:lang w:eastAsia="bg-BG"/>
        </w:rPr>
      </w:pPr>
    </w:p>
    <w:p w14:paraId="5AB22670" w14:textId="4D6A4B43"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Дигоксин</w:t>
      </w:r>
    </w:p>
    <w:p w14:paraId="7F797E2A"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При проучване с еднократна доза, площта под кривата </w:t>
      </w:r>
      <w:r w:rsidRPr="00ED72A8">
        <w:rPr>
          <w:rFonts w:eastAsia="Times New Roman" w:cs="Arial"/>
          <w:color w:val="000000"/>
          <w:lang w:val="en-US"/>
        </w:rPr>
        <w:t xml:space="preserve">(AUC) </w:t>
      </w:r>
      <w:r w:rsidRPr="00ED72A8">
        <w:rPr>
          <w:rFonts w:eastAsia="Times New Roman" w:cs="Arial"/>
          <w:color w:val="000000"/>
          <w:lang w:eastAsia="bg-BG"/>
        </w:rPr>
        <w:t>на серумния дигоксин намалява с 12% при едновременно лечение с Топилекс. Клиничната значимост на това наблюдение не е установена. Когато към терапия с дигоксин се добави или прекрати лечение с Топилекс, трябва да се обърне внимание на рутинното мониториране на серумните нива на дигоксин.</w:t>
      </w:r>
    </w:p>
    <w:p w14:paraId="712E8B2D" w14:textId="77777777" w:rsidR="00ED72A8" w:rsidRPr="00ED72A8" w:rsidRDefault="00ED72A8" w:rsidP="00ED72A8">
      <w:pPr>
        <w:spacing w:line="240" w:lineRule="auto"/>
        <w:rPr>
          <w:rFonts w:eastAsia="Times New Roman" w:cs="Arial"/>
          <w:i/>
          <w:iCs/>
          <w:color w:val="000000"/>
          <w:lang w:eastAsia="bg-BG"/>
        </w:rPr>
      </w:pPr>
    </w:p>
    <w:p w14:paraId="72E9FC2D" w14:textId="318FB564"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Депресанти на ЦНС</w:t>
      </w:r>
    </w:p>
    <w:p w14:paraId="157C5258"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Едновременното приложение на Топилекс и алкохол, или други депресанти на ЦНС не е оценявано в клинични изпитвания. Препоръчва се Топилекс да не се приема едновременно с алкохол или други депресанти на ЦНС.</w:t>
      </w:r>
    </w:p>
    <w:p w14:paraId="4D16CE47" w14:textId="77777777" w:rsidR="00ED72A8" w:rsidRPr="00ED72A8" w:rsidRDefault="00ED72A8" w:rsidP="00ED72A8">
      <w:pPr>
        <w:spacing w:line="240" w:lineRule="auto"/>
        <w:rPr>
          <w:rFonts w:eastAsia="Times New Roman" w:cs="Arial"/>
          <w:i/>
          <w:iCs/>
          <w:color w:val="000000"/>
          <w:lang w:eastAsia="bg-BG"/>
        </w:rPr>
      </w:pPr>
    </w:p>
    <w:p w14:paraId="5D6FC785" w14:textId="219E32FD"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 xml:space="preserve">Жълт кантарион </w:t>
      </w:r>
      <w:r w:rsidRPr="00ED72A8">
        <w:rPr>
          <w:rFonts w:eastAsia="Times New Roman" w:cs="Arial"/>
          <w:i/>
          <w:iCs/>
          <w:color w:val="000000"/>
          <w:lang w:val="en-US"/>
        </w:rPr>
        <w:t>(</w:t>
      </w:r>
      <w:proofErr w:type="spellStart"/>
      <w:r w:rsidRPr="00ED72A8">
        <w:rPr>
          <w:rFonts w:eastAsia="Times New Roman" w:cs="Arial"/>
          <w:i/>
          <w:iCs/>
          <w:color w:val="000000"/>
          <w:lang w:val="en-US"/>
        </w:rPr>
        <w:t>Hypericum</w:t>
      </w:r>
      <w:proofErr w:type="spellEnd"/>
      <w:r w:rsidRPr="00ED72A8">
        <w:rPr>
          <w:rFonts w:eastAsia="Times New Roman" w:cs="Arial"/>
          <w:i/>
          <w:iCs/>
          <w:color w:val="000000"/>
          <w:lang w:val="en-US"/>
        </w:rPr>
        <w:t xml:space="preserve"> </w:t>
      </w:r>
      <w:proofErr w:type="spellStart"/>
      <w:r w:rsidRPr="00ED72A8">
        <w:rPr>
          <w:rFonts w:eastAsia="Times New Roman" w:cs="Arial"/>
          <w:i/>
          <w:iCs/>
          <w:color w:val="000000"/>
          <w:lang w:val="en-US"/>
        </w:rPr>
        <w:t>perforatum</w:t>
      </w:r>
      <w:proofErr w:type="spellEnd"/>
      <w:r w:rsidRPr="00ED72A8">
        <w:rPr>
          <w:rFonts w:eastAsia="Times New Roman" w:cs="Arial"/>
          <w:i/>
          <w:iCs/>
          <w:color w:val="000000"/>
          <w:lang w:val="en-US"/>
        </w:rPr>
        <w:t>)</w:t>
      </w:r>
    </w:p>
    <w:p w14:paraId="24461315"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Риск от намаляване на плазмената концентрация, водещо до загуба на ефикасността, се наблюдава при едновременна употреба на топирамат и жълт кантарион. Няма клинични изпитвания, оценяващи тези потенциални взаимодействия</w:t>
      </w:r>
    </w:p>
    <w:p w14:paraId="6FF51B8A" w14:textId="77777777" w:rsidR="00ED72A8" w:rsidRPr="00ED72A8" w:rsidRDefault="00ED72A8" w:rsidP="00ED72A8">
      <w:pPr>
        <w:rPr>
          <w:rFonts w:eastAsia="Times New Roman" w:cs="Arial"/>
          <w:i/>
          <w:iCs/>
          <w:color w:val="000000"/>
          <w:lang w:eastAsia="bg-BG"/>
        </w:rPr>
      </w:pPr>
    </w:p>
    <w:p w14:paraId="5FC978B4" w14:textId="112FC068" w:rsidR="00ED72A8" w:rsidRPr="00ED72A8" w:rsidRDefault="00ED72A8" w:rsidP="00ED72A8">
      <w:pPr>
        <w:rPr>
          <w:rFonts w:cs="Arial"/>
        </w:rPr>
      </w:pPr>
      <w:r w:rsidRPr="00ED72A8">
        <w:rPr>
          <w:rFonts w:eastAsia="Times New Roman" w:cs="Arial"/>
          <w:i/>
          <w:iCs/>
          <w:color w:val="000000"/>
          <w:lang w:eastAsia="bg-BG"/>
        </w:rPr>
        <w:t>Перорални контрацептиви</w:t>
      </w:r>
    </w:p>
    <w:p w14:paraId="23EB50E6"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В проучване на фармакокинетичните взаимодействия при здрави доброволци с едновременно приложена комбинация от контрацептивен продукт, съдържащ 1 </w:t>
      </w:r>
      <w:r w:rsidRPr="00ED72A8">
        <w:rPr>
          <w:rFonts w:eastAsia="Times New Roman" w:cs="Arial"/>
          <w:color w:val="000000"/>
          <w:lang w:val="en-US"/>
        </w:rPr>
        <w:t xml:space="preserve">mg </w:t>
      </w:r>
      <w:r w:rsidRPr="00ED72A8">
        <w:rPr>
          <w:rFonts w:eastAsia="Times New Roman" w:cs="Arial"/>
          <w:color w:val="000000"/>
          <w:lang w:eastAsia="bg-BG"/>
        </w:rPr>
        <w:t xml:space="preserve">норетиндрон </w:t>
      </w:r>
      <w:r w:rsidRPr="00ED72A8">
        <w:rPr>
          <w:rFonts w:eastAsia="Times New Roman" w:cs="Arial"/>
          <w:color w:val="000000"/>
          <w:lang w:val="en-US"/>
        </w:rPr>
        <w:t xml:space="preserve">(NET) </w:t>
      </w:r>
      <w:r w:rsidRPr="00ED72A8">
        <w:rPr>
          <w:rFonts w:eastAsia="Times New Roman" w:cs="Arial"/>
          <w:color w:val="000000"/>
          <w:lang w:eastAsia="bg-BG"/>
        </w:rPr>
        <w:t>и 35 μ</w:t>
      </w:r>
      <w:r w:rsidRPr="00ED72A8">
        <w:rPr>
          <w:rFonts w:eastAsia="Times New Roman" w:cs="Arial"/>
          <w:color w:val="000000"/>
          <w:lang w:val="en-US"/>
        </w:rPr>
        <w:t xml:space="preserve">g </w:t>
      </w:r>
      <w:r w:rsidRPr="00ED72A8">
        <w:rPr>
          <w:rFonts w:eastAsia="Times New Roman" w:cs="Arial"/>
          <w:color w:val="000000"/>
          <w:lang w:eastAsia="bg-BG"/>
        </w:rPr>
        <w:t xml:space="preserve">етинилестрадиол (ЕЕ), Топилекс, приеман в отсъствие на други медикаменти в дози от 50 до 200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не се свързва със статистически значими промени в средната експозиция </w:t>
      </w:r>
      <w:r w:rsidRPr="00ED72A8">
        <w:rPr>
          <w:rFonts w:eastAsia="Times New Roman" w:cs="Arial"/>
          <w:color w:val="000000"/>
          <w:lang w:val="en-US"/>
        </w:rPr>
        <w:t xml:space="preserve">(AUC) </w:t>
      </w:r>
      <w:r w:rsidRPr="00ED72A8">
        <w:rPr>
          <w:rFonts w:eastAsia="Times New Roman" w:cs="Arial"/>
          <w:color w:val="000000"/>
          <w:lang w:eastAsia="bg-BG"/>
        </w:rPr>
        <w:t xml:space="preserve">на който и да е компонент на пероралните контрацептиви. В друго проучване експозицията на ЕЕ е статистически значимо понижена при дози от 200, 400 и 800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(съответно 18%, 21% и 30%), когато Топилекс е приеман като допълнителна терапия при пациенти с епилепсия на лечение с валпроева киселина. И в двете изпитвания Топилекс (50-200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при здрави доброволци и 200-800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при пациенти с епилепсия) не повлиява значително експозицията на </w:t>
      </w:r>
      <w:r w:rsidRPr="00ED72A8">
        <w:rPr>
          <w:rFonts w:eastAsia="Times New Roman" w:cs="Arial"/>
          <w:color w:val="000000"/>
          <w:lang w:val="en-US"/>
        </w:rPr>
        <w:t xml:space="preserve">NET. </w:t>
      </w:r>
      <w:r w:rsidRPr="00ED72A8">
        <w:rPr>
          <w:rFonts w:eastAsia="Times New Roman" w:cs="Arial"/>
          <w:color w:val="000000"/>
          <w:lang w:eastAsia="bg-BG"/>
        </w:rPr>
        <w:t xml:space="preserve">Въпреки наличието на дозозависимо понижение на експозицията на ЕЕ при дози между 200-800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(при пациенти с епилепсия), няма значима дозозависима промяна в експозицията на ЕЕ при дневни дози от 50-200 </w:t>
      </w:r>
      <w:r w:rsidRPr="00ED72A8">
        <w:rPr>
          <w:rFonts w:eastAsia="Times New Roman" w:cs="Arial"/>
          <w:color w:val="000000"/>
          <w:lang w:val="en-US"/>
        </w:rPr>
        <w:t xml:space="preserve">mg </w:t>
      </w:r>
      <w:r w:rsidRPr="00ED72A8">
        <w:rPr>
          <w:rFonts w:eastAsia="Times New Roman" w:cs="Arial"/>
          <w:color w:val="000000"/>
          <w:lang w:eastAsia="bg-BG"/>
        </w:rPr>
        <w:t xml:space="preserve">(при здрави доброволци). Клиничната значимост на наблюдаваните промени не е известна. Може да се допусне възможността за намалена контрацептивна ефективност и повишено кървене по време на междуменструалните периоди при пациентки, приемащи комбинация от орален контрацептивен продукт и Топилекс. Пациентките, които приемат естроген-съдържащи контрацептиви, трябва да бъдат помолени да съобщават за всички промени в </w:t>
      </w:r>
      <w:r w:rsidRPr="00ED72A8">
        <w:rPr>
          <w:rFonts w:eastAsia="Times New Roman" w:cs="Arial"/>
          <w:color w:val="000000"/>
          <w:lang w:eastAsia="bg-BG"/>
        </w:rPr>
        <w:lastRenderedPageBreak/>
        <w:t>протичането на менструално кървене. Ефикасността на контрацептивите може да намалее, дори и при отсъствие на кървене по време на междуменструалните периоди.</w:t>
      </w:r>
    </w:p>
    <w:p w14:paraId="1A8320AF" w14:textId="77777777" w:rsidR="00ED72A8" w:rsidRPr="00ED72A8" w:rsidRDefault="00ED72A8" w:rsidP="00ED72A8">
      <w:pPr>
        <w:spacing w:line="240" w:lineRule="auto"/>
        <w:rPr>
          <w:rFonts w:eastAsia="Times New Roman" w:cs="Arial"/>
          <w:i/>
          <w:iCs/>
          <w:color w:val="000000"/>
          <w:lang w:eastAsia="bg-BG"/>
        </w:rPr>
      </w:pPr>
    </w:p>
    <w:p w14:paraId="158B3BC8" w14:textId="2888932E"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Литий</w:t>
      </w:r>
    </w:p>
    <w:p w14:paraId="1981324A"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При здрави доброволци се наблюдава понижаване (18% за </w:t>
      </w:r>
      <w:r w:rsidRPr="00ED72A8">
        <w:rPr>
          <w:rFonts w:eastAsia="Times New Roman" w:cs="Arial"/>
          <w:color w:val="000000"/>
          <w:lang w:val="en-US"/>
        </w:rPr>
        <w:t xml:space="preserve">AUC) </w:t>
      </w:r>
      <w:r w:rsidRPr="00ED72A8">
        <w:rPr>
          <w:rFonts w:eastAsia="Times New Roman" w:cs="Arial"/>
          <w:color w:val="000000"/>
          <w:lang w:eastAsia="bg-BG"/>
        </w:rPr>
        <w:t xml:space="preserve">в системната експозиция на литий по време на едновременното му приложение с топирамат в доза от 200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При пациенти с биполярно разстройство фармакокинетиката на литий не се повлиява по време на лечение с топирамат в дози от 200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но се наблюдава повишаване на системната експозиция (26% за </w:t>
      </w:r>
      <w:r w:rsidRPr="00ED72A8">
        <w:rPr>
          <w:rFonts w:eastAsia="Times New Roman" w:cs="Arial"/>
          <w:color w:val="000000"/>
          <w:lang w:val="en-US"/>
        </w:rPr>
        <w:t xml:space="preserve">AUC) </w:t>
      </w:r>
      <w:r w:rsidRPr="00ED72A8">
        <w:rPr>
          <w:rFonts w:eastAsia="Times New Roman" w:cs="Arial"/>
          <w:color w:val="000000"/>
          <w:lang w:eastAsia="bg-BG"/>
        </w:rPr>
        <w:t xml:space="preserve">при дози топирамат до 600 </w:t>
      </w:r>
      <w:r w:rsidRPr="00ED72A8">
        <w:rPr>
          <w:rFonts w:eastAsia="Times New Roman" w:cs="Arial"/>
          <w:color w:val="000000"/>
          <w:lang w:val="en-US"/>
        </w:rPr>
        <w:t xml:space="preserve">mg </w:t>
      </w:r>
      <w:r w:rsidRPr="00ED72A8">
        <w:rPr>
          <w:rFonts w:eastAsia="Times New Roman" w:cs="Arial"/>
          <w:color w:val="000000"/>
          <w:lang w:eastAsia="bg-BG"/>
        </w:rPr>
        <w:t>дневно. Нивото на литий трябва да се следи при едновременно приложение с топирамат,</w:t>
      </w:r>
    </w:p>
    <w:p w14:paraId="5C14E456" w14:textId="77777777" w:rsidR="00ED72A8" w:rsidRPr="00ED72A8" w:rsidRDefault="00ED72A8" w:rsidP="00ED72A8">
      <w:pPr>
        <w:spacing w:line="240" w:lineRule="auto"/>
        <w:rPr>
          <w:rFonts w:eastAsia="Times New Roman" w:cs="Arial"/>
          <w:i/>
          <w:iCs/>
          <w:color w:val="000000"/>
          <w:lang w:eastAsia="bg-BG"/>
        </w:rPr>
      </w:pPr>
    </w:p>
    <w:p w14:paraId="0C72F111" w14:textId="65D29E6F"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Рисперидон</w:t>
      </w:r>
    </w:p>
    <w:p w14:paraId="3096C4C9"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Проучвания на лекарствени взаимодействия, проведени с еднократни дози при здрави доброволци и многократни дози при пациенти с биполярно разстройство, дават сходни резултати. Приложен едновременно с топирамат при увеличаващи се дози от 100, 250 и 400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се наблюдава понижаване в системната експозиция на рисперидон, приложен в дози в диапазона от 1 до 6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(16% и 33% за стационарна </w:t>
      </w:r>
      <w:r w:rsidRPr="00ED72A8">
        <w:rPr>
          <w:rFonts w:eastAsia="Times New Roman" w:cs="Arial"/>
          <w:color w:val="000000"/>
          <w:lang w:val="en-US"/>
        </w:rPr>
        <w:t xml:space="preserve">AUC </w:t>
      </w:r>
      <w:r w:rsidRPr="00ED72A8">
        <w:rPr>
          <w:rFonts w:eastAsia="Times New Roman" w:cs="Arial"/>
          <w:color w:val="000000"/>
          <w:lang w:eastAsia="bg-BG"/>
        </w:rPr>
        <w:t xml:space="preserve">съответно при дневно дози от 250 и 400 </w:t>
      </w:r>
      <w:r w:rsidRPr="00ED72A8">
        <w:rPr>
          <w:rFonts w:eastAsia="Times New Roman" w:cs="Arial"/>
          <w:color w:val="000000"/>
          <w:lang w:val="en-US"/>
        </w:rPr>
        <w:t xml:space="preserve">mg). </w:t>
      </w:r>
      <w:r w:rsidRPr="00ED72A8">
        <w:rPr>
          <w:rFonts w:eastAsia="Times New Roman" w:cs="Arial"/>
          <w:color w:val="000000"/>
          <w:lang w:eastAsia="bg-BG"/>
        </w:rPr>
        <w:t xml:space="preserve">Разликите в </w:t>
      </w:r>
      <w:r w:rsidRPr="00ED72A8">
        <w:rPr>
          <w:rFonts w:eastAsia="Times New Roman" w:cs="Arial"/>
          <w:color w:val="000000"/>
          <w:lang w:val="en-US"/>
        </w:rPr>
        <w:t xml:space="preserve">AUC </w:t>
      </w:r>
      <w:r w:rsidRPr="00ED72A8">
        <w:rPr>
          <w:rFonts w:eastAsia="Times New Roman" w:cs="Arial"/>
          <w:color w:val="000000"/>
          <w:lang w:eastAsia="bg-BG"/>
        </w:rPr>
        <w:t xml:space="preserve">на общата активна фракция между лечение само с рисперидон и в комбинация с топирамат не са статистически значими. Наблюдават се минимални промени във фармакокинетиката на цялата активна фракция (рисперидон и 9-хидроксирисперидон), а при 9-хидроксирисперидон не се наблюдават никакви промени. Няма значими промени в системната експозиция на цялата активна фракция на рисперидон, както и на топирамат. При добавяне на топирамат (250-400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към лечението с рисперидон (1-6 </w:t>
      </w:r>
      <w:r w:rsidRPr="00ED72A8">
        <w:rPr>
          <w:rFonts w:eastAsia="Times New Roman" w:cs="Arial"/>
          <w:color w:val="000000"/>
          <w:lang w:val="en-US"/>
        </w:rPr>
        <w:t xml:space="preserve">mg </w:t>
      </w:r>
      <w:r w:rsidRPr="00ED72A8">
        <w:rPr>
          <w:rFonts w:eastAsia="Times New Roman" w:cs="Arial"/>
          <w:color w:val="000000"/>
          <w:lang w:eastAsia="bg-BG"/>
        </w:rPr>
        <w:t>дневно), нежелани събития се съобщават по-често отколкото преди добавянето му (90% и съответно 54%). Най-често съобщаваните нежелани събития при добавяне на топирамат към лечението с рисперидон са: сънливост (27% и 12%), парестезия (22% и 0%) и гадене (18% и съответно 9%).</w:t>
      </w:r>
    </w:p>
    <w:p w14:paraId="50303E4B" w14:textId="77777777" w:rsidR="00ED72A8" w:rsidRPr="00ED72A8" w:rsidRDefault="00ED72A8" w:rsidP="00ED72A8">
      <w:pPr>
        <w:spacing w:line="240" w:lineRule="auto"/>
        <w:rPr>
          <w:rFonts w:eastAsia="Times New Roman" w:cs="Arial"/>
          <w:i/>
          <w:iCs/>
          <w:color w:val="000000"/>
          <w:lang w:eastAsia="bg-BG"/>
        </w:rPr>
      </w:pPr>
    </w:p>
    <w:p w14:paraId="230821EC" w14:textId="4059CD92"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 xml:space="preserve">Хидрохлоротиазид </w:t>
      </w:r>
      <w:r w:rsidRPr="00ED72A8">
        <w:rPr>
          <w:rFonts w:eastAsia="Times New Roman" w:cs="Arial"/>
          <w:i/>
          <w:iCs/>
          <w:color w:val="000000"/>
          <w:lang w:val="en-US"/>
        </w:rPr>
        <w:t>(HCTZ)</w:t>
      </w:r>
    </w:p>
    <w:p w14:paraId="5B2761C5" w14:textId="0A0A187B" w:rsidR="0091385D" w:rsidRPr="00ED72A8" w:rsidRDefault="00ED72A8" w:rsidP="00ED72A8">
      <w:pPr>
        <w:rPr>
          <w:rFonts w:cs="Arial"/>
        </w:rPr>
      </w:pPr>
      <w:r w:rsidRPr="00ED72A8">
        <w:rPr>
          <w:rFonts w:eastAsia="Times New Roman" w:cs="Arial"/>
          <w:color w:val="000000"/>
          <w:lang w:eastAsia="bg-BG"/>
        </w:rPr>
        <w:t xml:space="preserve">При проучване на лекарствени взаимодействия, проведено при здрави доброволци, е оценена фармакокинетиката при плазмена концентрация в стационарно състояние на </w:t>
      </w:r>
      <w:r w:rsidRPr="00ED72A8">
        <w:rPr>
          <w:rFonts w:eastAsia="Times New Roman" w:cs="Arial"/>
          <w:color w:val="000000"/>
          <w:lang w:val="en-US"/>
        </w:rPr>
        <w:t xml:space="preserve">HCTZ </w:t>
      </w:r>
      <w:r w:rsidRPr="00ED72A8">
        <w:rPr>
          <w:rFonts w:eastAsia="Times New Roman" w:cs="Arial"/>
          <w:color w:val="000000"/>
          <w:lang w:eastAsia="bg-BG"/>
        </w:rPr>
        <w:t xml:space="preserve">(25 </w:t>
      </w:r>
      <w:r w:rsidRPr="00ED72A8">
        <w:rPr>
          <w:rFonts w:eastAsia="Times New Roman" w:cs="Arial"/>
          <w:color w:val="000000"/>
          <w:lang w:val="en-US"/>
        </w:rPr>
        <w:t xml:space="preserve">mg </w:t>
      </w:r>
      <w:r w:rsidRPr="00ED72A8">
        <w:rPr>
          <w:rFonts w:eastAsia="Times New Roman" w:cs="Arial"/>
          <w:color w:val="000000"/>
          <w:lang w:eastAsia="bg-BG"/>
        </w:rPr>
        <w:t xml:space="preserve">на всеки 24 часа) и на топирамат (96 </w:t>
      </w:r>
      <w:r w:rsidRPr="00ED72A8">
        <w:rPr>
          <w:rFonts w:eastAsia="Times New Roman" w:cs="Arial"/>
          <w:color w:val="000000"/>
          <w:lang w:val="en-US"/>
        </w:rPr>
        <w:t xml:space="preserve">mg </w:t>
      </w:r>
      <w:r w:rsidRPr="00ED72A8">
        <w:rPr>
          <w:rFonts w:eastAsia="Times New Roman" w:cs="Arial"/>
          <w:color w:val="000000"/>
          <w:lang w:eastAsia="bg-BG"/>
        </w:rPr>
        <w:t xml:space="preserve">на всеки 12 часа), приложени самостоятелно и едновременно. Резултатите от проучването сочат, че Стах на топирамат се увеличава с 27%, а </w:t>
      </w:r>
      <w:r w:rsidRPr="00ED72A8">
        <w:rPr>
          <w:rFonts w:eastAsia="Times New Roman" w:cs="Arial"/>
          <w:color w:val="000000"/>
          <w:lang w:val="en-US"/>
        </w:rPr>
        <w:t xml:space="preserve">AUC </w:t>
      </w:r>
      <w:r w:rsidRPr="00ED72A8">
        <w:rPr>
          <w:rFonts w:eastAsia="Times New Roman" w:cs="Arial"/>
          <w:color w:val="000000"/>
          <w:lang w:eastAsia="bg-BG"/>
        </w:rPr>
        <w:t xml:space="preserve">с 29%, когато към него се добави </w:t>
      </w:r>
      <w:r w:rsidRPr="00ED72A8">
        <w:rPr>
          <w:rFonts w:eastAsia="Times New Roman" w:cs="Arial"/>
          <w:i/>
          <w:iCs/>
          <w:color w:val="000000"/>
          <w:lang w:val="en-US"/>
        </w:rPr>
        <w:t>HCTZ.</w:t>
      </w:r>
      <w:r w:rsidRPr="00ED72A8">
        <w:rPr>
          <w:rFonts w:eastAsia="Times New Roman" w:cs="Arial"/>
          <w:color w:val="000000"/>
          <w:lang w:val="en-US"/>
        </w:rPr>
        <w:t xml:space="preserve"> </w:t>
      </w:r>
      <w:r w:rsidRPr="00ED72A8">
        <w:rPr>
          <w:rFonts w:eastAsia="Times New Roman" w:cs="Arial"/>
          <w:color w:val="000000"/>
          <w:lang w:eastAsia="bg-BG"/>
        </w:rPr>
        <w:t xml:space="preserve">Клиничната значимост на тези промени не е установена. Добавянето на </w:t>
      </w:r>
      <w:r w:rsidRPr="00ED72A8">
        <w:rPr>
          <w:rFonts w:eastAsia="Times New Roman" w:cs="Arial"/>
          <w:color w:val="000000"/>
          <w:lang w:val="en-US"/>
        </w:rPr>
        <w:t xml:space="preserve">HCTZ </w:t>
      </w:r>
      <w:r w:rsidRPr="00ED72A8">
        <w:rPr>
          <w:rFonts w:eastAsia="Times New Roman" w:cs="Arial"/>
          <w:color w:val="000000"/>
          <w:lang w:eastAsia="bg-BG"/>
        </w:rPr>
        <w:t>към терапия с топирамат може да наложи коригиране на дозата на топирамат. Фармакокинетиката при плазмена концентрация в стационарно състояние</w:t>
      </w:r>
      <w:r w:rsidRPr="00ED72A8">
        <w:rPr>
          <w:rFonts w:eastAsia="Times New Roman" w:cs="Arial"/>
          <w:color w:val="000000"/>
          <w:u w:val="single"/>
          <w:lang w:eastAsia="bg-BG"/>
        </w:rPr>
        <w:t xml:space="preserve"> </w:t>
      </w:r>
      <w:r w:rsidRPr="00ED72A8">
        <w:rPr>
          <w:rFonts w:eastAsia="Times New Roman" w:cs="Arial"/>
          <w:color w:val="000000"/>
          <w:lang w:eastAsia="bg-BG"/>
        </w:rPr>
        <w:t xml:space="preserve">на </w:t>
      </w:r>
      <w:r w:rsidRPr="00ED72A8">
        <w:rPr>
          <w:rFonts w:eastAsia="Times New Roman" w:cs="Arial"/>
          <w:i/>
          <w:iCs/>
          <w:color w:val="000000"/>
          <w:lang w:val="en-US"/>
        </w:rPr>
        <w:t>HCTZ</w:t>
      </w:r>
      <w:r w:rsidRPr="00ED72A8">
        <w:rPr>
          <w:rFonts w:eastAsia="Times New Roman" w:cs="Arial"/>
          <w:color w:val="000000"/>
          <w:lang w:val="en-US"/>
        </w:rPr>
        <w:t xml:space="preserve"> </w:t>
      </w:r>
      <w:r w:rsidRPr="00ED72A8">
        <w:rPr>
          <w:rFonts w:eastAsia="Times New Roman" w:cs="Arial"/>
          <w:color w:val="000000"/>
          <w:lang w:eastAsia="bg-BG"/>
        </w:rPr>
        <w:t xml:space="preserve">не се повлиява значително от едновременното му приложение с топирамат. Резултатите от клиничните лабораторни изследвания сочат понижаване нивото на серумния калий след приложение на топирамат или </w:t>
      </w:r>
      <w:r w:rsidRPr="00ED72A8">
        <w:rPr>
          <w:rFonts w:eastAsia="Times New Roman" w:cs="Arial"/>
          <w:i/>
          <w:iCs/>
          <w:color w:val="000000"/>
          <w:lang w:val="en-US"/>
        </w:rPr>
        <w:t>HCTZ,</w:t>
      </w:r>
      <w:r w:rsidRPr="00ED72A8">
        <w:rPr>
          <w:rFonts w:eastAsia="Times New Roman" w:cs="Arial"/>
          <w:color w:val="000000"/>
          <w:lang w:val="en-US"/>
        </w:rPr>
        <w:t xml:space="preserve"> </w:t>
      </w:r>
      <w:r w:rsidRPr="00ED72A8">
        <w:rPr>
          <w:rFonts w:eastAsia="Times New Roman" w:cs="Arial"/>
          <w:color w:val="000000"/>
          <w:lang w:eastAsia="bg-BG"/>
        </w:rPr>
        <w:t>което е по-високо при едновременното им приложение.</w:t>
      </w:r>
    </w:p>
    <w:p w14:paraId="75DBF163" w14:textId="2938479F" w:rsidR="00ED72A8" w:rsidRDefault="00ED72A8" w:rsidP="0091385D"/>
    <w:p w14:paraId="6DBE1D8C"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Метформин</w:t>
      </w:r>
    </w:p>
    <w:p w14:paraId="31806AAA"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При</w:t>
      </w:r>
      <w:r w:rsidRPr="00ED72A8">
        <w:rPr>
          <w:rFonts w:eastAsia="Times New Roman" w:cs="Arial"/>
          <w:color w:val="000000"/>
          <w:szCs w:val="20"/>
          <w:lang w:eastAsia="bg-BG"/>
        </w:rPr>
        <w:t xml:space="preserve"> проучване на лекарствени взаимодействия, проведено при здрави доброволци, е оценена стационарната фармакокинетика на метформин и топирамат в плазмата при самостоятелно приложение на метформин и при едновременното му приложение с топирамат. Резултатите от проучването сочат, че средната Стах на метформин и средната </w:t>
      </w:r>
      <w:r w:rsidRPr="00ED72A8">
        <w:rPr>
          <w:rFonts w:eastAsia="Times New Roman" w:cs="Arial"/>
          <w:color w:val="000000"/>
          <w:szCs w:val="20"/>
          <w:lang w:val="en-US"/>
        </w:rPr>
        <w:t xml:space="preserve">AUC0-12h </w:t>
      </w:r>
      <w:r w:rsidRPr="00ED72A8">
        <w:rPr>
          <w:rFonts w:eastAsia="Times New Roman" w:cs="Arial"/>
          <w:color w:val="000000"/>
          <w:szCs w:val="20"/>
          <w:lang w:eastAsia="bg-BG"/>
        </w:rPr>
        <w:t xml:space="preserve">се увеличават съответно с 18% и 25%, докато средното </w:t>
      </w:r>
      <w:r w:rsidRPr="00ED72A8">
        <w:rPr>
          <w:rFonts w:eastAsia="Times New Roman" w:cs="Arial"/>
          <w:color w:val="000000"/>
          <w:szCs w:val="20"/>
          <w:lang w:val="en-US"/>
        </w:rPr>
        <w:t xml:space="preserve">CL/F </w:t>
      </w:r>
      <w:r w:rsidRPr="00ED72A8">
        <w:rPr>
          <w:rFonts w:eastAsia="Times New Roman" w:cs="Arial"/>
          <w:color w:val="000000"/>
          <w:szCs w:val="20"/>
          <w:lang w:eastAsia="bg-BG"/>
        </w:rPr>
        <w:t xml:space="preserve">намалява с 20%, когато метформин се прилага заедно с топирамат. Топирамат не повлиява </w:t>
      </w:r>
      <w:proofErr w:type="spellStart"/>
      <w:r w:rsidRPr="00ED72A8">
        <w:rPr>
          <w:rFonts w:eastAsia="Times New Roman" w:cs="Arial"/>
          <w:color w:val="000000"/>
          <w:szCs w:val="20"/>
          <w:lang w:val="en-US"/>
        </w:rPr>
        <w:t>tmax</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на метформин. Клиничната значимост на ефекта на топирамат върху </w:t>
      </w:r>
      <w:r w:rsidRPr="00ED72A8">
        <w:rPr>
          <w:rFonts w:eastAsia="Times New Roman" w:cs="Arial"/>
          <w:color w:val="000000"/>
          <w:szCs w:val="20"/>
          <w:lang w:eastAsia="bg-BG"/>
        </w:rPr>
        <w:lastRenderedPageBreak/>
        <w:t>фармакокинетиката на метформин не е установена. Пероралният плазмен клирънс на топирамат намалява при едновременно приложение с метформин. Степента на промяна в клирънса не е известна. Клиничната значимост на ефекта на метформин върху фармакокинетиката на топирамат не е установена.</w:t>
      </w:r>
    </w:p>
    <w:p w14:paraId="2688B754"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Когато Топилекс се добави или приложението му се прекрати при пациенти на терапия с метформин,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5776BE77" w14:textId="77777777" w:rsidR="00ED72A8" w:rsidRPr="00ED72A8" w:rsidRDefault="00ED72A8" w:rsidP="00ED72A8">
      <w:pPr>
        <w:spacing w:line="240" w:lineRule="auto"/>
        <w:rPr>
          <w:rFonts w:eastAsia="Times New Roman" w:cs="Arial"/>
          <w:i/>
          <w:iCs/>
          <w:color w:val="000000"/>
          <w:szCs w:val="20"/>
          <w:lang w:eastAsia="bg-BG"/>
        </w:rPr>
      </w:pPr>
    </w:p>
    <w:p w14:paraId="65EDD480" w14:textId="1745450D"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Пиоглитазон</w:t>
      </w:r>
    </w:p>
    <w:p w14:paraId="6FFE1B2C"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При проучване на лекарствени взаимодействия, проведено при здрави доброволци, е оценена фармакокинетиката при плазмена концентрация в стационарно състояние на топирамат и пиоглитазон, приложени самостоятелно и едновременно. Наблюдава се 15% намаление на </w:t>
      </w:r>
      <w:proofErr w:type="spellStart"/>
      <w:r w:rsidRPr="00ED72A8">
        <w:rPr>
          <w:rFonts w:eastAsia="Times New Roman" w:cs="Arial"/>
          <w:smallCaps/>
          <w:color w:val="000000"/>
          <w:szCs w:val="20"/>
          <w:lang w:val="en-US"/>
        </w:rPr>
        <w:t>AUCῑ,ss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на пиоглитазон без промяна на </w:t>
      </w:r>
      <w:proofErr w:type="spellStart"/>
      <w:r w:rsidRPr="00ED72A8">
        <w:rPr>
          <w:rFonts w:eastAsia="Times New Roman" w:cs="Arial"/>
          <w:color w:val="000000"/>
          <w:szCs w:val="20"/>
          <w:lang w:val="en-US"/>
        </w:rPr>
        <w:t>Cmax,ss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Това откритие не е статистически значимо. Освен това се наблюдават 13% и 16% намаление съответно на </w:t>
      </w:r>
      <w:proofErr w:type="spellStart"/>
      <w:r w:rsidRPr="00ED72A8">
        <w:rPr>
          <w:rFonts w:eastAsia="Times New Roman" w:cs="Arial"/>
          <w:color w:val="000000"/>
          <w:szCs w:val="20"/>
          <w:lang w:val="en-US"/>
        </w:rPr>
        <w:t>Cmax,ss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и </w:t>
      </w:r>
      <w:proofErr w:type="spellStart"/>
      <w:r w:rsidRPr="00ED72A8">
        <w:rPr>
          <w:rFonts w:eastAsia="Times New Roman" w:cs="Arial"/>
          <w:smallCaps/>
          <w:color w:val="000000"/>
          <w:szCs w:val="20"/>
          <w:lang w:val="en-US"/>
        </w:rPr>
        <w:t>AUCῑ,ss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на активния хидроксиметаболит, както и 60% намаление на </w:t>
      </w:r>
      <w:proofErr w:type="spellStart"/>
      <w:r w:rsidRPr="00ED72A8">
        <w:rPr>
          <w:rFonts w:eastAsia="Times New Roman" w:cs="Arial"/>
          <w:color w:val="000000"/>
          <w:szCs w:val="20"/>
          <w:lang w:val="en-US"/>
        </w:rPr>
        <w:t>Cmax,ss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и </w:t>
      </w:r>
      <w:proofErr w:type="spellStart"/>
      <w:r w:rsidRPr="00ED72A8">
        <w:rPr>
          <w:rFonts w:eastAsia="Times New Roman" w:cs="Arial"/>
          <w:color w:val="000000"/>
          <w:szCs w:val="20"/>
          <w:lang w:val="en-US"/>
        </w:rPr>
        <w:t>AUC</w:t>
      </w:r>
      <w:r w:rsidRPr="00ED72A8">
        <w:rPr>
          <w:rFonts w:eastAsia="Times New Roman" w:cs="Arial"/>
          <w:smallCaps/>
          <w:color w:val="000000"/>
          <w:szCs w:val="20"/>
          <w:lang w:val="en-US"/>
        </w:rPr>
        <w:t>ῑ</w:t>
      </w:r>
      <w:r w:rsidRPr="00ED72A8">
        <w:rPr>
          <w:rFonts w:eastAsia="Times New Roman" w:cs="Arial"/>
          <w:color w:val="000000"/>
          <w:szCs w:val="20"/>
          <w:lang w:val="en-US"/>
        </w:rPr>
        <w:t>,ss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на активния кетометаболит. Клиничната значимост на тези открития не е установена. Когато Топилекс се добави към терапия с пиоглитазон или пиоглитазон се добави към терапия с Топилекс,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1E062A50" w14:textId="77777777" w:rsidR="00ED72A8" w:rsidRPr="00ED72A8" w:rsidRDefault="00ED72A8" w:rsidP="00ED72A8">
      <w:pPr>
        <w:spacing w:line="240" w:lineRule="auto"/>
        <w:rPr>
          <w:rFonts w:eastAsia="Times New Roman" w:cs="Arial"/>
          <w:i/>
          <w:iCs/>
          <w:color w:val="000000"/>
          <w:szCs w:val="20"/>
          <w:lang w:eastAsia="bg-BG"/>
        </w:rPr>
      </w:pPr>
    </w:p>
    <w:p w14:paraId="02655DAD" w14:textId="0175C4A9"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Глибурид</w:t>
      </w:r>
    </w:p>
    <w:p w14:paraId="05C75E8A"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При проучване </w:t>
      </w:r>
      <w:r w:rsidRPr="00ED72A8">
        <w:rPr>
          <w:rFonts w:eastAsia="Times New Roman" w:cs="Arial"/>
          <w:i/>
          <w:iCs/>
          <w:color w:val="000000"/>
          <w:szCs w:val="20"/>
          <w:lang w:eastAsia="bg-BG"/>
        </w:rPr>
        <w:t>на</w:t>
      </w:r>
      <w:r w:rsidRPr="00ED72A8">
        <w:rPr>
          <w:rFonts w:eastAsia="Times New Roman" w:cs="Arial"/>
          <w:color w:val="000000"/>
          <w:szCs w:val="20"/>
          <w:lang w:eastAsia="bg-BG"/>
        </w:rPr>
        <w:t xml:space="preserve"> лекарствени взаимодействия, проведено при пациенти с диабет тип 2, е оценена фармакокинетиката при плазмена концентрация в стационарно състояние на глибурид (5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приложен самостоятелно и едновременно с топирамат (150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Наблюдава се 25% намаление на </w:t>
      </w:r>
      <w:r w:rsidRPr="00ED72A8">
        <w:rPr>
          <w:rFonts w:eastAsia="Times New Roman" w:cs="Arial"/>
          <w:color w:val="000000"/>
          <w:szCs w:val="20"/>
          <w:lang w:val="en-US"/>
        </w:rPr>
        <w:t xml:space="preserve">AUC24 </w:t>
      </w:r>
      <w:r w:rsidRPr="00ED72A8">
        <w:rPr>
          <w:rFonts w:eastAsia="Times New Roman" w:cs="Arial"/>
          <w:color w:val="000000"/>
          <w:szCs w:val="20"/>
          <w:lang w:eastAsia="bg-BG"/>
        </w:rPr>
        <w:t xml:space="preserve">на глибурид по време на приложението на топирамат. Системната експозиция на активните метаболити - 4-транс-хидрокси-глибурид </w:t>
      </w:r>
      <w:r w:rsidRPr="00ED72A8">
        <w:rPr>
          <w:rFonts w:eastAsia="Times New Roman" w:cs="Arial"/>
          <w:color w:val="000000"/>
          <w:szCs w:val="20"/>
          <w:lang w:val="en-US"/>
        </w:rPr>
        <w:t xml:space="preserve">(Ml) </w:t>
      </w:r>
      <w:r w:rsidRPr="00ED72A8">
        <w:rPr>
          <w:rFonts w:eastAsia="Times New Roman" w:cs="Arial"/>
          <w:color w:val="000000"/>
          <w:szCs w:val="20"/>
          <w:lang w:eastAsia="bg-BG"/>
        </w:rPr>
        <w:t xml:space="preserve">и </w:t>
      </w:r>
      <w:r w:rsidRPr="00ED72A8">
        <w:rPr>
          <w:rFonts w:eastAsia="Times New Roman" w:cs="Arial"/>
          <w:i/>
          <w:iCs/>
          <w:color w:val="000000"/>
          <w:szCs w:val="20"/>
          <w:lang w:eastAsia="bg-BG"/>
        </w:rPr>
        <w:t xml:space="preserve">3-цис- </w:t>
      </w:r>
      <w:r w:rsidRPr="00ED72A8">
        <w:rPr>
          <w:rFonts w:eastAsia="Times New Roman" w:cs="Arial"/>
          <w:color w:val="000000"/>
          <w:szCs w:val="20"/>
          <w:lang w:eastAsia="bg-BG"/>
        </w:rPr>
        <w:t>хидроксиглибурид (M2) също намалява съответно с 13% и 15%. Фармакокинетиката при плазмена концентрация в стационарно състояние на топирамат не се повлиява от едновременното му приложение с глибурид.</w:t>
      </w:r>
    </w:p>
    <w:p w14:paraId="4C827973"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Когато топирамат се добави към терапия с глибурид или глибурид се добави към терапия с топирамат,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16C70AA2" w14:textId="77777777" w:rsidR="00ED72A8" w:rsidRPr="00ED72A8" w:rsidRDefault="00ED72A8" w:rsidP="00ED72A8">
      <w:pPr>
        <w:spacing w:line="240" w:lineRule="auto"/>
        <w:rPr>
          <w:rFonts w:eastAsia="Times New Roman" w:cs="Arial"/>
          <w:color w:val="000000"/>
          <w:szCs w:val="20"/>
          <w:u w:val="single"/>
          <w:lang w:eastAsia="bg-BG"/>
        </w:rPr>
      </w:pPr>
    </w:p>
    <w:p w14:paraId="447A0CC8" w14:textId="6D920B43"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Други форми на взаимодействие</w:t>
      </w:r>
    </w:p>
    <w:p w14:paraId="3EDA195C" w14:textId="77777777" w:rsidR="00ED72A8" w:rsidRPr="00ED72A8" w:rsidRDefault="00ED72A8" w:rsidP="00ED72A8">
      <w:pPr>
        <w:spacing w:line="240" w:lineRule="auto"/>
        <w:rPr>
          <w:rFonts w:eastAsia="Times New Roman" w:cs="Arial"/>
          <w:i/>
          <w:iCs/>
          <w:color w:val="000000"/>
          <w:szCs w:val="20"/>
          <w:lang w:eastAsia="bg-BG"/>
        </w:rPr>
      </w:pPr>
    </w:p>
    <w:p w14:paraId="19492150" w14:textId="6CEF9954"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Препарати, предразполагащи към нефролитиаза</w:t>
      </w:r>
    </w:p>
    <w:p w14:paraId="6E5220DE" w14:textId="77777777" w:rsidR="00ED72A8" w:rsidRPr="00ED72A8" w:rsidRDefault="00ED72A8" w:rsidP="00ED72A8">
      <w:pPr>
        <w:spacing w:line="240" w:lineRule="auto"/>
        <w:rPr>
          <w:rFonts w:eastAsia="Times New Roman" w:cs="Arial"/>
          <w:color w:val="000000"/>
          <w:szCs w:val="20"/>
          <w:lang w:eastAsia="bg-BG"/>
        </w:rPr>
      </w:pPr>
    </w:p>
    <w:p w14:paraId="258FA692" w14:textId="500BC35A"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Топилекс, прилаган едновременно с други препарати, предразполагащи към нефролитиаза, може да повиши риска от нефролитиаза. При лечение с Топилекс подобни препарати трябва да се избягват, тъй като може да създадат физиологична среда, повишаваща риска от образуване на бъбречни камъни.</w:t>
      </w:r>
    </w:p>
    <w:p w14:paraId="79B38AFD" w14:textId="77777777" w:rsidR="00ED72A8" w:rsidRPr="00ED72A8" w:rsidRDefault="00ED72A8" w:rsidP="00ED72A8">
      <w:pPr>
        <w:spacing w:line="240" w:lineRule="auto"/>
        <w:rPr>
          <w:rFonts w:eastAsia="Times New Roman" w:cs="Arial"/>
          <w:i/>
          <w:iCs/>
          <w:color w:val="000000"/>
          <w:szCs w:val="20"/>
          <w:lang w:eastAsia="bg-BG"/>
        </w:rPr>
      </w:pPr>
    </w:p>
    <w:p w14:paraId="12F604D6" w14:textId="5FC3E84C"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Валпроева киселина</w:t>
      </w:r>
    </w:p>
    <w:p w14:paraId="1D75D714" w14:textId="77777777" w:rsidR="00ED72A8" w:rsidRPr="00ED72A8" w:rsidRDefault="00ED72A8" w:rsidP="00ED72A8">
      <w:pPr>
        <w:spacing w:line="240" w:lineRule="auto"/>
        <w:rPr>
          <w:rFonts w:eastAsia="Times New Roman" w:cs="Arial"/>
          <w:color w:val="000000"/>
          <w:szCs w:val="20"/>
          <w:lang w:eastAsia="bg-BG"/>
        </w:rPr>
      </w:pPr>
    </w:p>
    <w:p w14:paraId="4478A409" w14:textId="77777777" w:rsidR="00ED72A8" w:rsidRPr="00ED72A8" w:rsidRDefault="00ED72A8" w:rsidP="00ED72A8">
      <w:pPr>
        <w:rPr>
          <w:rFonts w:eastAsia="Times New Roman" w:cs="Arial"/>
          <w:lang w:eastAsia="bg-BG"/>
        </w:rPr>
      </w:pPr>
      <w:r w:rsidRPr="00ED72A8">
        <w:rPr>
          <w:rFonts w:eastAsia="Times New Roman" w:cs="Arial"/>
          <w:color w:val="000000"/>
          <w:szCs w:val="20"/>
          <w:lang w:eastAsia="bg-BG"/>
        </w:rPr>
        <w:t xml:space="preserve">Едновременното приложение на топирамат и валпроева киселина се свързва с хиперамонемия със или без енцефалопатия, при пациенти с поносимост към някой от двата лекарствани продукта, приложен самостоятелно. В много от случаите симптомите и признаците отшумяват след спиране на един от лекарствените продукти (вж. точки 4.4 и 4.8). Тази нежелана реакция не се дължи на фармакокинетично взаимодействие. </w:t>
      </w:r>
      <w:r w:rsidRPr="00ED72A8">
        <w:rPr>
          <w:rFonts w:eastAsia="Times New Roman" w:cs="Arial"/>
          <w:color w:val="000000"/>
          <w:szCs w:val="20"/>
          <w:u w:val="single"/>
          <w:lang w:eastAsia="bg-BG"/>
        </w:rPr>
        <w:lastRenderedPageBreak/>
        <w:t>Съобщава се за хипотермия, дефинирана</w:t>
      </w:r>
      <w:r w:rsidRPr="00ED72A8">
        <w:rPr>
          <w:rFonts w:eastAsia="Times New Roman" w:cs="Arial"/>
          <w:sz w:val="28"/>
          <w:szCs w:val="24"/>
          <w:lang w:eastAsia="bg-BG"/>
        </w:rPr>
        <w:t xml:space="preserve"> </w:t>
      </w:r>
      <w:r w:rsidRPr="00ED72A8">
        <w:rPr>
          <w:rFonts w:eastAsia="Times New Roman" w:cs="Arial"/>
          <w:color w:val="000000"/>
          <w:szCs w:val="20"/>
          <w:u w:val="single"/>
          <w:lang w:eastAsia="bg-BG"/>
        </w:rPr>
        <w:t xml:space="preserve">като неумишлено понижаване на телесната </w:t>
      </w:r>
      <w:r w:rsidRPr="00ED72A8">
        <w:rPr>
          <w:rFonts w:eastAsia="Times New Roman" w:cs="Arial"/>
          <w:color w:val="000000"/>
          <w:u w:val="single"/>
          <w:lang w:eastAsia="bg-BG"/>
        </w:rPr>
        <w:t>температура &lt;35° С, свързана с едновременното приложение на топирамат с валпроева киселина, която може да е във връзка с хиперамониемия или с липса на хиперамониемия. Тази нежелана реакция при пациентите, използващи едновременно топирамат и валпроева киселина, може да възникне след започване на лечението с топирамат или след повишаване на дневната доза топирамат.</w:t>
      </w:r>
    </w:p>
    <w:p w14:paraId="0FE46557" w14:textId="77777777" w:rsidR="00ED72A8" w:rsidRPr="00ED72A8" w:rsidRDefault="00ED72A8" w:rsidP="00ED72A8">
      <w:pPr>
        <w:spacing w:line="240" w:lineRule="auto"/>
        <w:rPr>
          <w:rFonts w:eastAsia="Times New Roman" w:cs="Arial"/>
          <w:color w:val="000000"/>
          <w:u w:val="single"/>
          <w:lang w:eastAsia="bg-BG"/>
        </w:rPr>
      </w:pPr>
    </w:p>
    <w:p w14:paraId="6339C9E1" w14:textId="685B414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Допълнителни фармакокинетични проучвания на лекарствени взаимодействия</w:t>
      </w:r>
    </w:p>
    <w:p w14:paraId="38AF7510" w14:textId="77777777" w:rsidR="00ED72A8" w:rsidRPr="00ED72A8" w:rsidRDefault="00ED72A8" w:rsidP="00ED72A8">
      <w:pPr>
        <w:spacing w:line="240" w:lineRule="auto"/>
        <w:rPr>
          <w:rFonts w:eastAsia="Times New Roman" w:cs="Arial"/>
          <w:color w:val="000000"/>
          <w:lang w:eastAsia="bg-BG"/>
        </w:rPr>
      </w:pPr>
    </w:p>
    <w:p w14:paraId="3B02AA0F" w14:textId="48106996"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Във връзка с едновременно приложение на топирамат и валпроева киселина </w:t>
      </w:r>
      <w:r w:rsidRPr="00ED72A8">
        <w:rPr>
          <w:rFonts w:eastAsia="Times New Roman" w:cs="Arial"/>
          <w:color w:val="000000"/>
          <w:lang w:val="en-US"/>
        </w:rPr>
        <w:t xml:space="preserve">(VPA) </w:t>
      </w:r>
      <w:r w:rsidRPr="00ED72A8">
        <w:rPr>
          <w:rFonts w:eastAsia="Times New Roman" w:cs="Arial"/>
          <w:color w:val="000000"/>
          <w:lang w:eastAsia="bg-BG"/>
        </w:rPr>
        <w:t>и двата свързани с хиперамонемия и при отсъствие на хипеамонемия, се съобщава за хипотермия , определяна като непреднамерено понижаване на телесната температура &lt;35°С. Тази нежелана реакция може да възникне при пациенти употребяващи едновременно топирамат и валпроат след започване на лечение с топирамат или след увеличаване на дневната доза на топирамат.</w:t>
      </w:r>
    </w:p>
    <w:p w14:paraId="05EBFDD9" w14:textId="77777777" w:rsidR="00ED72A8" w:rsidRPr="00ED72A8" w:rsidRDefault="00ED72A8" w:rsidP="00ED72A8">
      <w:pPr>
        <w:spacing w:line="240" w:lineRule="auto"/>
        <w:rPr>
          <w:rFonts w:eastAsia="Times New Roman" w:cs="Arial"/>
          <w:color w:val="000000"/>
          <w:u w:val="single"/>
          <w:lang w:eastAsia="bg-BG"/>
        </w:rPr>
      </w:pPr>
    </w:p>
    <w:p w14:paraId="7042DBCF" w14:textId="3E2AAAEC"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 xml:space="preserve">Допълнителни проучвания по отношение на фармакокинетични лекарствени взаимодействия </w:t>
      </w:r>
      <w:r w:rsidRPr="00ED72A8">
        <w:rPr>
          <w:rFonts w:eastAsia="Times New Roman" w:cs="Arial"/>
          <w:color w:val="000000"/>
          <w:lang w:eastAsia="bg-BG"/>
        </w:rPr>
        <w:t>Проведени са клинични изпитвания за оценка на потенциалните фармакокинетични лекарствени взаимодействия между топирамат и други средства. Промените в С</w:t>
      </w:r>
      <w:r w:rsidRPr="00ED72A8">
        <w:rPr>
          <w:rFonts w:eastAsia="Times New Roman" w:cs="Arial"/>
          <w:color w:val="000000"/>
          <w:lang w:val="en-US"/>
        </w:rPr>
        <w:t>m</w:t>
      </w:r>
      <w:r w:rsidRPr="00ED72A8">
        <w:rPr>
          <w:rFonts w:eastAsia="Times New Roman" w:cs="Arial"/>
          <w:color w:val="000000"/>
          <w:lang w:eastAsia="bg-BG"/>
        </w:rPr>
        <w:t xml:space="preserve">ах или </w:t>
      </w:r>
      <w:r w:rsidRPr="00ED72A8">
        <w:rPr>
          <w:rFonts w:eastAsia="Times New Roman" w:cs="Arial"/>
          <w:color w:val="000000"/>
          <w:lang w:val="en-US"/>
        </w:rPr>
        <w:t xml:space="preserve">AUC </w:t>
      </w:r>
      <w:r w:rsidRPr="00ED72A8">
        <w:rPr>
          <w:rFonts w:eastAsia="Times New Roman" w:cs="Arial"/>
          <w:color w:val="000000"/>
          <w:lang w:eastAsia="bg-BG"/>
        </w:rPr>
        <w:t>в резултат на тези взаимодействия са обобщени по-долу. Във втората колона (концентрация на съпътстващото лекарство) е описано как се променя концентрацията на съпътстващото лекарство от първата колона след добавяне на топирамат. В третата колона (концентрация на топирамат) е описано как се променя концентрацията на топирамат при едновременното приложение с лекарство от първата колона.</w:t>
      </w:r>
    </w:p>
    <w:p w14:paraId="54B79C0F" w14:textId="77777777" w:rsidR="00ED72A8" w:rsidRPr="00ED72A8" w:rsidRDefault="00ED72A8" w:rsidP="00ED72A8">
      <w:pPr>
        <w:spacing w:line="240" w:lineRule="auto"/>
        <w:rPr>
          <w:rFonts w:eastAsia="Times New Roman" w:cs="Arial"/>
          <w:b/>
          <w:bCs/>
          <w:color w:val="000000"/>
          <w:lang w:eastAsia="bg-BG"/>
        </w:rPr>
      </w:pPr>
    </w:p>
    <w:p w14:paraId="6F2078F9" w14:textId="497626B4" w:rsidR="00ED72A8" w:rsidRPr="00ED72A8" w:rsidRDefault="00ED72A8" w:rsidP="00ED72A8">
      <w:pPr>
        <w:spacing w:line="240" w:lineRule="auto"/>
        <w:rPr>
          <w:rFonts w:eastAsia="Times New Roman" w:cs="Arial"/>
          <w:lang w:eastAsia="bg-BG"/>
        </w:rPr>
      </w:pPr>
      <w:r w:rsidRPr="00ED72A8">
        <w:rPr>
          <w:rFonts w:eastAsia="Times New Roman" w:cs="Arial"/>
          <w:b/>
          <w:bCs/>
          <w:color w:val="000000"/>
          <w:lang w:eastAsia="bg-BG"/>
        </w:rPr>
        <w:t>Обобщени резултати от фармакокинетични проучвания на лекарствените взаимодействия</w:t>
      </w:r>
    </w:p>
    <w:tbl>
      <w:tblPr>
        <w:tblStyle w:val="TableGrid"/>
        <w:tblW w:w="0" w:type="auto"/>
        <w:tblLook w:val="04A0" w:firstRow="1" w:lastRow="0" w:firstColumn="1" w:lastColumn="0" w:noHBand="0" w:noVBand="1"/>
      </w:tblPr>
      <w:tblGrid>
        <w:gridCol w:w="3166"/>
        <w:gridCol w:w="3167"/>
        <w:gridCol w:w="3167"/>
      </w:tblGrid>
      <w:tr w:rsidR="00ED72A8" w14:paraId="67A56A63" w14:textId="77777777" w:rsidTr="00ED72A8">
        <w:tc>
          <w:tcPr>
            <w:tcW w:w="3166" w:type="dxa"/>
          </w:tcPr>
          <w:p w14:paraId="323CA7E1" w14:textId="776AB31F" w:rsidR="00ED72A8" w:rsidRPr="00984E1A" w:rsidRDefault="00ED72A8" w:rsidP="00ED72A8">
            <w:r w:rsidRPr="00984E1A">
              <w:rPr>
                <w:b/>
                <w:bCs/>
                <w:szCs w:val="20"/>
              </w:rPr>
              <w:t>Съпътстващо лекарство</w:t>
            </w:r>
          </w:p>
        </w:tc>
        <w:tc>
          <w:tcPr>
            <w:tcW w:w="3167" w:type="dxa"/>
          </w:tcPr>
          <w:p w14:paraId="5C013BAD" w14:textId="5366A5CB" w:rsidR="00ED72A8" w:rsidRPr="00984E1A" w:rsidRDefault="00ED72A8" w:rsidP="00ED72A8">
            <w:r w:rsidRPr="00984E1A">
              <w:rPr>
                <w:b/>
                <w:bCs/>
                <w:szCs w:val="20"/>
              </w:rPr>
              <w:t>Концентрация на съпътстващото лекарство*</w:t>
            </w:r>
          </w:p>
        </w:tc>
        <w:tc>
          <w:tcPr>
            <w:tcW w:w="3167" w:type="dxa"/>
          </w:tcPr>
          <w:p w14:paraId="365B4CFE" w14:textId="23F34E90" w:rsidR="00ED72A8" w:rsidRPr="00984E1A" w:rsidRDefault="00ED72A8" w:rsidP="00ED72A8">
            <w:r w:rsidRPr="00984E1A">
              <w:rPr>
                <w:b/>
                <w:bCs/>
                <w:szCs w:val="20"/>
              </w:rPr>
              <w:t>Концентрация на топирамат*</w:t>
            </w:r>
          </w:p>
        </w:tc>
      </w:tr>
      <w:tr w:rsidR="00ED72A8" w14:paraId="4D1530D8" w14:textId="77777777" w:rsidTr="00ED72A8">
        <w:tc>
          <w:tcPr>
            <w:tcW w:w="3166" w:type="dxa"/>
          </w:tcPr>
          <w:p w14:paraId="4FEF480F" w14:textId="4819C0C8" w:rsidR="00ED72A8" w:rsidRPr="00984E1A" w:rsidRDefault="00ED72A8" w:rsidP="00ED72A8">
            <w:r w:rsidRPr="00984E1A">
              <w:rPr>
                <w:szCs w:val="20"/>
              </w:rPr>
              <w:t>Амитриптилин</w:t>
            </w:r>
          </w:p>
        </w:tc>
        <w:tc>
          <w:tcPr>
            <w:tcW w:w="3167" w:type="dxa"/>
          </w:tcPr>
          <w:p w14:paraId="29AC371A" w14:textId="1F0583A9" w:rsidR="00ED72A8" w:rsidRPr="00984E1A" w:rsidRDefault="00ED72A8" w:rsidP="00ED72A8">
            <w:r w:rsidRPr="00984E1A">
              <w:rPr>
                <w:szCs w:val="20"/>
                <w:lang w:val="en-US"/>
              </w:rPr>
              <w:t>↔</w:t>
            </w:r>
            <w:r w:rsidRPr="00984E1A">
              <w:rPr>
                <w:szCs w:val="20"/>
              </w:rPr>
              <w:t xml:space="preserve"> 20% увеличение на С</w:t>
            </w:r>
            <w:r w:rsidRPr="00984E1A">
              <w:rPr>
                <w:szCs w:val="20"/>
                <w:lang w:val="en-US"/>
              </w:rPr>
              <w:t>m</w:t>
            </w:r>
            <w:r w:rsidRPr="00984E1A">
              <w:rPr>
                <w:szCs w:val="20"/>
              </w:rPr>
              <w:t xml:space="preserve">ах и </w:t>
            </w:r>
            <w:r w:rsidRPr="00984E1A">
              <w:rPr>
                <w:szCs w:val="20"/>
                <w:lang w:val="en-US"/>
              </w:rPr>
              <w:t xml:space="preserve">AUC </w:t>
            </w:r>
            <w:r w:rsidRPr="00984E1A">
              <w:rPr>
                <w:szCs w:val="20"/>
              </w:rPr>
              <w:t>на нортриптилин метаболит</w:t>
            </w:r>
          </w:p>
        </w:tc>
        <w:tc>
          <w:tcPr>
            <w:tcW w:w="3167" w:type="dxa"/>
          </w:tcPr>
          <w:p w14:paraId="4ECA9724" w14:textId="3198BD6B" w:rsidR="00ED72A8" w:rsidRPr="00984E1A" w:rsidRDefault="00ED72A8" w:rsidP="00ED72A8">
            <w:r w:rsidRPr="00984E1A">
              <w:rPr>
                <w:szCs w:val="20"/>
              </w:rPr>
              <w:t>НП</w:t>
            </w:r>
          </w:p>
        </w:tc>
      </w:tr>
      <w:tr w:rsidR="00ED72A8" w14:paraId="331D7378" w14:textId="77777777" w:rsidTr="00ED72A8">
        <w:tc>
          <w:tcPr>
            <w:tcW w:w="3166" w:type="dxa"/>
          </w:tcPr>
          <w:p w14:paraId="40FFB678" w14:textId="4BA76F3D" w:rsidR="00ED72A8" w:rsidRPr="00984E1A" w:rsidRDefault="00ED72A8" w:rsidP="00ED72A8">
            <w:r w:rsidRPr="00984E1A">
              <w:rPr>
                <w:szCs w:val="20"/>
              </w:rPr>
              <w:t>Дихидроерготамин (перорален и подкожен)</w:t>
            </w:r>
          </w:p>
        </w:tc>
        <w:tc>
          <w:tcPr>
            <w:tcW w:w="3167" w:type="dxa"/>
          </w:tcPr>
          <w:p w14:paraId="2D07F7EE" w14:textId="716347EE" w:rsidR="00ED72A8" w:rsidRPr="00984E1A" w:rsidRDefault="00ED72A8" w:rsidP="00ED72A8">
            <w:r w:rsidRPr="00984E1A">
              <w:rPr>
                <w:szCs w:val="20"/>
                <w:lang w:val="en-US"/>
              </w:rPr>
              <w:t>↔</w:t>
            </w:r>
          </w:p>
        </w:tc>
        <w:tc>
          <w:tcPr>
            <w:tcW w:w="3167" w:type="dxa"/>
          </w:tcPr>
          <w:p w14:paraId="25BF333D" w14:textId="08CB6E53" w:rsidR="00ED72A8" w:rsidRPr="00984E1A" w:rsidRDefault="00ED72A8" w:rsidP="00ED72A8">
            <w:r w:rsidRPr="00984E1A">
              <w:rPr>
                <w:szCs w:val="20"/>
                <w:lang w:val="en-US"/>
              </w:rPr>
              <w:t>↔</w:t>
            </w:r>
          </w:p>
        </w:tc>
      </w:tr>
      <w:tr w:rsidR="00ED72A8" w14:paraId="4CEC075A" w14:textId="77777777" w:rsidTr="00ED72A8">
        <w:tc>
          <w:tcPr>
            <w:tcW w:w="3166" w:type="dxa"/>
          </w:tcPr>
          <w:p w14:paraId="0BE380F0" w14:textId="7F54192D" w:rsidR="00ED72A8" w:rsidRPr="00984E1A" w:rsidRDefault="00ED72A8" w:rsidP="00ED72A8">
            <w:r w:rsidRPr="00984E1A">
              <w:rPr>
                <w:szCs w:val="20"/>
              </w:rPr>
              <w:t>Халоперидол</w:t>
            </w:r>
          </w:p>
        </w:tc>
        <w:tc>
          <w:tcPr>
            <w:tcW w:w="3167" w:type="dxa"/>
          </w:tcPr>
          <w:p w14:paraId="31D62F76" w14:textId="5856C7EF" w:rsidR="00ED72A8" w:rsidRPr="00984E1A" w:rsidRDefault="00ED72A8" w:rsidP="00ED72A8">
            <w:r w:rsidRPr="00984E1A">
              <w:rPr>
                <w:szCs w:val="20"/>
                <w:lang w:val="en-US"/>
              </w:rPr>
              <w:t xml:space="preserve">↔ </w:t>
            </w:r>
            <w:r w:rsidRPr="00984E1A">
              <w:rPr>
                <w:szCs w:val="20"/>
              </w:rPr>
              <w:t xml:space="preserve">31% увеличение на </w:t>
            </w:r>
            <w:r w:rsidRPr="00984E1A">
              <w:rPr>
                <w:szCs w:val="20"/>
                <w:lang w:val="en-US"/>
              </w:rPr>
              <w:t xml:space="preserve">AUC </w:t>
            </w:r>
            <w:r w:rsidRPr="00984E1A">
              <w:rPr>
                <w:szCs w:val="20"/>
              </w:rPr>
              <w:t>на редуцирания метаболит</w:t>
            </w:r>
          </w:p>
        </w:tc>
        <w:tc>
          <w:tcPr>
            <w:tcW w:w="3167" w:type="dxa"/>
          </w:tcPr>
          <w:p w14:paraId="00E78528" w14:textId="14410DF1" w:rsidR="00ED72A8" w:rsidRPr="00984E1A" w:rsidRDefault="00ED72A8" w:rsidP="00ED72A8">
            <w:r w:rsidRPr="00984E1A">
              <w:rPr>
                <w:szCs w:val="20"/>
              </w:rPr>
              <w:t>НП</w:t>
            </w:r>
          </w:p>
        </w:tc>
      </w:tr>
      <w:tr w:rsidR="00ED72A8" w14:paraId="5BFEA601" w14:textId="77777777" w:rsidTr="00ED72A8">
        <w:tc>
          <w:tcPr>
            <w:tcW w:w="3166" w:type="dxa"/>
          </w:tcPr>
          <w:p w14:paraId="15E2EDE7" w14:textId="1EC0A288" w:rsidR="00ED72A8" w:rsidRPr="00984E1A" w:rsidRDefault="00ED72A8" w:rsidP="00ED72A8">
            <w:r w:rsidRPr="00984E1A">
              <w:rPr>
                <w:szCs w:val="20"/>
              </w:rPr>
              <w:t>Пропранолол</w:t>
            </w:r>
          </w:p>
        </w:tc>
        <w:tc>
          <w:tcPr>
            <w:tcW w:w="3167" w:type="dxa"/>
          </w:tcPr>
          <w:p w14:paraId="3DCD6C91" w14:textId="5F27F5EC" w:rsidR="00ED72A8" w:rsidRPr="00984E1A" w:rsidRDefault="00ED72A8" w:rsidP="00ED72A8">
            <w:r w:rsidRPr="00984E1A">
              <w:rPr>
                <w:szCs w:val="20"/>
              </w:rPr>
              <w:t xml:space="preserve"> </w:t>
            </w:r>
            <w:r w:rsidRPr="00984E1A">
              <w:rPr>
                <w:szCs w:val="20"/>
                <w:lang w:val="en-US"/>
              </w:rPr>
              <w:t xml:space="preserve">↔ </w:t>
            </w:r>
            <w:r w:rsidRPr="00984E1A">
              <w:rPr>
                <w:szCs w:val="20"/>
              </w:rPr>
              <w:t>17% увеличение на С</w:t>
            </w:r>
            <w:r w:rsidRPr="00984E1A">
              <w:rPr>
                <w:szCs w:val="20"/>
                <w:lang w:val="en-US"/>
              </w:rPr>
              <w:t>m</w:t>
            </w:r>
            <w:r w:rsidRPr="00984E1A">
              <w:rPr>
                <w:szCs w:val="20"/>
              </w:rPr>
              <w:t xml:space="preserve">ах на 4-ОН пропранолол (ТРМ 50 </w:t>
            </w:r>
            <w:r w:rsidRPr="00984E1A">
              <w:rPr>
                <w:szCs w:val="20"/>
                <w:lang w:val="en-US"/>
              </w:rPr>
              <w:t xml:space="preserve">mg </w:t>
            </w:r>
            <w:r w:rsidRPr="00984E1A">
              <w:rPr>
                <w:szCs w:val="20"/>
              </w:rPr>
              <w:t>на всеки 12 часа)</w:t>
            </w:r>
          </w:p>
        </w:tc>
        <w:tc>
          <w:tcPr>
            <w:tcW w:w="3167" w:type="dxa"/>
          </w:tcPr>
          <w:p w14:paraId="0CCAD29E" w14:textId="1B12599F" w:rsidR="00ED72A8" w:rsidRPr="00984E1A" w:rsidRDefault="00ED72A8" w:rsidP="00ED72A8">
            <w:r w:rsidRPr="00984E1A">
              <w:rPr>
                <w:szCs w:val="20"/>
              </w:rPr>
              <w:t xml:space="preserve">9% и 16% увеличение на Стах, 9% и 17% увеличение на </w:t>
            </w:r>
            <w:r w:rsidRPr="00984E1A">
              <w:rPr>
                <w:szCs w:val="20"/>
                <w:lang w:val="en-US"/>
              </w:rPr>
              <w:t xml:space="preserve">AUC </w:t>
            </w:r>
            <w:r w:rsidRPr="00984E1A">
              <w:rPr>
                <w:szCs w:val="20"/>
              </w:rPr>
              <w:t xml:space="preserve">(респективно 40 и 80 </w:t>
            </w:r>
            <w:r w:rsidRPr="00984E1A">
              <w:rPr>
                <w:szCs w:val="20"/>
                <w:lang w:val="en-US"/>
              </w:rPr>
              <w:t xml:space="preserve">mg </w:t>
            </w:r>
            <w:r w:rsidRPr="00984E1A">
              <w:rPr>
                <w:szCs w:val="20"/>
              </w:rPr>
              <w:t>пропранолол на всеки 12 часа)</w:t>
            </w:r>
          </w:p>
        </w:tc>
      </w:tr>
      <w:tr w:rsidR="00ED72A8" w14:paraId="4F2740AA" w14:textId="77777777" w:rsidTr="00ED72A8">
        <w:tc>
          <w:tcPr>
            <w:tcW w:w="3166" w:type="dxa"/>
          </w:tcPr>
          <w:p w14:paraId="53334D74" w14:textId="2A04D80B" w:rsidR="00ED72A8" w:rsidRPr="00984E1A" w:rsidRDefault="00ED72A8" w:rsidP="00ED72A8">
            <w:r w:rsidRPr="00984E1A">
              <w:rPr>
                <w:szCs w:val="20"/>
              </w:rPr>
              <w:t>Суматриптан (перорален и подкожен)</w:t>
            </w:r>
          </w:p>
        </w:tc>
        <w:tc>
          <w:tcPr>
            <w:tcW w:w="3167" w:type="dxa"/>
          </w:tcPr>
          <w:p w14:paraId="722F33DA" w14:textId="16E0E914" w:rsidR="00ED72A8" w:rsidRPr="00984E1A" w:rsidRDefault="00ED72A8" w:rsidP="00ED72A8">
            <w:r w:rsidRPr="00984E1A">
              <w:rPr>
                <w:szCs w:val="20"/>
                <w:lang w:val="en-US"/>
              </w:rPr>
              <w:t>↔</w:t>
            </w:r>
          </w:p>
        </w:tc>
        <w:tc>
          <w:tcPr>
            <w:tcW w:w="3167" w:type="dxa"/>
          </w:tcPr>
          <w:p w14:paraId="17E534CC" w14:textId="4D5A57E4" w:rsidR="00ED72A8" w:rsidRPr="00984E1A" w:rsidRDefault="00ED72A8" w:rsidP="00ED72A8">
            <w:r w:rsidRPr="00984E1A">
              <w:rPr>
                <w:szCs w:val="20"/>
              </w:rPr>
              <w:t>НП</w:t>
            </w:r>
          </w:p>
        </w:tc>
      </w:tr>
      <w:tr w:rsidR="00ED72A8" w14:paraId="084BB9D0" w14:textId="77777777" w:rsidTr="00ED72A8">
        <w:tc>
          <w:tcPr>
            <w:tcW w:w="3166" w:type="dxa"/>
          </w:tcPr>
          <w:p w14:paraId="2FE88955" w14:textId="1DEAA570" w:rsidR="00ED72A8" w:rsidRPr="00984E1A" w:rsidRDefault="00ED72A8" w:rsidP="00ED72A8">
            <w:r w:rsidRPr="00984E1A">
              <w:rPr>
                <w:szCs w:val="20"/>
              </w:rPr>
              <w:t>Пизотифен</w:t>
            </w:r>
          </w:p>
        </w:tc>
        <w:tc>
          <w:tcPr>
            <w:tcW w:w="3167" w:type="dxa"/>
          </w:tcPr>
          <w:p w14:paraId="06E957FA" w14:textId="4DD98AD6" w:rsidR="00ED72A8" w:rsidRPr="00984E1A" w:rsidRDefault="00ED72A8" w:rsidP="00ED72A8">
            <w:r w:rsidRPr="00984E1A">
              <w:rPr>
                <w:szCs w:val="20"/>
                <w:lang w:val="en-US"/>
              </w:rPr>
              <w:t>↔</w:t>
            </w:r>
          </w:p>
        </w:tc>
        <w:tc>
          <w:tcPr>
            <w:tcW w:w="3167" w:type="dxa"/>
          </w:tcPr>
          <w:p w14:paraId="40E0B9FB" w14:textId="2DB002B8" w:rsidR="00ED72A8" w:rsidRPr="00984E1A" w:rsidRDefault="00ED72A8" w:rsidP="00ED72A8">
            <w:r w:rsidRPr="00984E1A">
              <w:rPr>
                <w:szCs w:val="20"/>
                <w:lang w:val="en-US"/>
              </w:rPr>
              <w:t>↔</w:t>
            </w:r>
          </w:p>
        </w:tc>
      </w:tr>
      <w:tr w:rsidR="00ED72A8" w14:paraId="2FACF57E" w14:textId="77777777" w:rsidTr="00ED72A8">
        <w:tc>
          <w:tcPr>
            <w:tcW w:w="3166" w:type="dxa"/>
          </w:tcPr>
          <w:p w14:paraId="5C241C0E" w14:textId="5465118D" w:rsidR="00ED72A8" w:rsidRPr="00984E1A" w:rsidRDefault="00ED72A8" w:rsidP="00ED72A8">
            <w:r w:rsidRPr="00984E1A">
              <w:rPr>
                <w:szCs w:val="20"/>
              </w:rPr>
              <w:t>Дилтиазем</w:t>
            </w:r>
          </w:p>
        </w:tc>
        <w:tc>
          <w:tcPr>
            <w:tcW w:w="3167" w:type="dxa"/>
          </w:tcPr>
          <w:p w14:paraId="70552777" w14:textId="445F3DB7" w:rsidR="00ED72A8" w:rsidRPr="00984E1A" w:rsidRDefault="00ED72A8" w:rsidP="00ED72A8">
            <w:r w:rsidRPr="00984E1A">
              <w:rPr>
                <w:szCs w:val="20"/>
              </w:rPr>
              <w:t xml:space="preserve">25% намаление на </w:t>
            </w:r>
            <w:r w:rsidRPr="00984E1A">
              <w:rPr>
                <w:szCs w:val="20"/>
                <w:lang w:val="en-US"/>
              </w:rPr>
              <w:t xml:space="preserve">AUC </w:t>
            </w:r>
            <w:r w:rsidRPr="00984E1A">
              <w:rPr>
                <w:szCs w:val="20"/>
              </w:rPr>
              <w:t>на дилтиазем и 18% намаление на ДЕА,</w:t>
            </w:r>
            <w:r w:rsidRPr="00984E1A">
              <w:rPr>
                <w:szCs w:val="20"/>
                <w:lang w:val="en-US"/>
              </w:rPr>
              <w:t xml:space="preserve"> ↔</w:t>
            </w:r>
            <w:r w:rsidRPr="00984E1A">
              <w:rPr>
                <w:szCs w:val="20"/>
              </w:rPr>
              <w:t xml:space="preserve"> за </w:t>
            </w:r>
            <w:r w:rsidRPr="00984E1A">
              <w:rPr>
                <w:szCs w:val="20"/>
              </w:rPr>
              <w:lastRenderedPageBreak/>
              <w:t>ДЕМ*</w:t>
            </w:r>
          </w:p>
        </w:tc>
        <w:tc>
          <w:tcPr>
            <w:tcW w:w="3167" w:type="dxa"/>
          </w:tcPr>
          <w:p w14:paraId="0DD7ED08" w14:textId="14CF7A1D" w:rsidR="00ED72A8" w:rsidRPr="00984E1A" w:rsidRDefault="00ED72A8" w:rsidP="00ED72A8">
            <w:r w:rsidRPr="00984E1A">
              <w:rPr>
                <w:szCs w:val="20"/>
              </w:rPr>
              <w:lastRenderedPageBreak/>
              <w:t xml:space="preserve">20% увеличение на </w:t>
            </w:r>
            <w:r w:rsidRPr="00984E1A">
              <w:rPr>
                <w:szCs w:val="20"/>
                <w:lang w:val="en-US"/>
              </w:rPr>
              <w:t>AUC</w:t>
            </w:r>
          </w:p>
        </w:tc>
      </w:tr>
      <w:tr w:rsidR="00ED72A8" w14:paraId="09A22F00" w14:textId="77777777" w:rsidTr="00ED72A8">
        <w:tc>
          <w:tcPr>
            <w:tcW w:w="3166" w:type="dxa"/>
          </w:tcPr>
          <w:p w14:paraId="1952B559" w14:textId="768C5BD6" w:rsidR="00ED72A8" w:rsidRPr="00984E1A" w:rsidRDefault="00ED72A8" w:rsidP="00ED72A8">
            <w:r w:rsidRPr="00984E1A">
              <w:rPr>
                <w:szCs w:val="20"/>
              </w:rPr>
              <w:t>Венлафаксин</w:t>
            </w:r>
          </w:p>
        </w:tc>
        <w:tc>
          <w:tcPr>
            <w:tcW w:w="3167" w:type="dxa"/>
          </w:tcPr>
          <w:p w14:paraId="1503D141" w14:textId="01AC0E84" w:rsidR="00ED72A8" w:rsidRPr="00984E1A" w:rsidRDefault="00ED72A8" w:rsidP="00ED72A8">
            <w:r w:rsidRPr="00984E1A">
              <w:rPr>
                <w:szCs w:val="20"/>
                <w:lang w:val="en-US"/>
              </w:rPr>
              <w:t>↔</w:t>
            </w:r>
          </w:p>
        </w:tc>
        <w:tc>
          <w:tcPr>
            <w:tcW w:w="3167" w:type="dxa"/>
          </w:tcPr>
          <w:p w14:paraId="4E7F6DC0" w14:textId="40B5957A" w:rsidR="00ED72A8" w:rsidRPr="00984E1A" w:rsidRDefault="00ED72A8" w:rsidP="00ED72A8">
            <w:r w:rsidRPr="00984E1A">
              <w:rPr>
                <w:szCs w:val="20"/>
                <w:lang w:val="en-US"/>
              </w:rPr>
              <w:t>↔</w:t>
            </w:r>
          </w:p>
        </w:tc>
      </w:tr>
      <w:tr w:rsidR="00ED72A8" w14:paraId="787D93BE" w14:textId="77777777" w:rsidTr="00ED72A8">
        <w:tc>
          <w:tcPr>
            <w:tcW w:w="3166" w:type="dxa"/>
          </w:tcPr>
          <w:p w14:paraId="2DF1DB15" w14:textId="113433A8" w:rsidR="00ED72A8" w:rsidRPr="00984E1A" w:rsidRDefault="00ED72A8" w:rsidP="00ED72A8">
            <w:r w:rsidRPr="00984E1A">
              <w:rPr>
                <w:szCs w:val="20"/>
              </w:rPr>
              <w:t>Флунаризин</w:t>
            </w:r>
          </w:p>
        </w:tc>
        <w:tc>
          <w:tcPr>
            <w:tcW w:w="3167" w:type="dxa"/>
          </w:tcPr>
          <w:p w14:paraId="326E846E" w14:textId="1AAE5F58" w:rsidR="00ED72A8" w:rsidRPr="00984E1A" w:rsidRDefault="00ED72A8" w:rsidP="00ED72A8">
            <w:r w:rsidRPr="00984E1A">
              <w:rPr>
                <w:szCs w:val="20"/>
              </w:rPr>
              <w:t xml:space="preserve">16% увеличение на </w:t>
            </w:r>
            <w:r w:rsidRPr="00984E1A">
              <w:rPr>
                <w:szCs w:val="20"/>
                <w:lang w:val="en-US"/>
              </w:rPr>
              <w:t xml:space="preserve">AUC </w:t>
            </w:r>
            <w:r w:rsidRPr="00984E1A">
              <w:rPr>
                <w:szCs w:val="20"/>
              </w:rPr>
              <w:t xml:space="preserve">(ТРМ 50 </w:t>
            </w:r>
            <w:r w:rsidRPr="00984E1A">
              <w:rPr>
                <w:szCs w:val="20"/>
                <w:lang w:val="en-US"/>
              </w:rPr>
              <w:t xml:space="preserve">mg </w:t>
            </w:r>
            <w:r w:rsidRPr="00984E1A">
              <w:rPr>
                <w:szCs w:val="20"/>
              </w:rPr>
              <w:t>на всеки 12 часа)</w:t>
            </w:r>
            <w:r w:rsidRPr="00984E1A">
              <w:rPr>
                <w:szCs w:val="20"/>
                <w:vertAlign w:val="superscript"/>
              </w:rPr>
              <w:t>б</w:t>
            </w:r>
          </w:p>
        </w:tc>
        <w:tc>
          <w:tcPr>
            <w:tcW w:w="3167" w:type="dxa"/>
          </w:tcPr>
          <w:p w14:paraId="54DB3498" w14:textId="2E8C65FF" w:rsidR="00ED72A8" w:rsidRPr="00984E1A" w:rsidRDefault="00ED72A8" w:rsidP="00ED72A8">
            <w:r w:rsidRPr="00984E1A">
              <w:rPr>
                <w:szCs w:val="20"/>
                <w:lang w:val="en-US"/>
              </w:rPr>
              <w:t>↔</w:t>
            </w:r>
          </w:p>
        </w:tc>
      </w:tr>
    </w:tbl>
    <w:p w14:paraId="05D67746"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vertAlign w:val="superscript"/>
          <w:lang w:eastAsia="bg-BG"/>
        </w:rPr>
        <w:t>а</w:t>
      </w:r>
      <w:r w:rsidRPr="00ED72A8">
        <w:rPr>
          <w:rFonts w:eastAsia="Times New Roman" w:cs="Arial"/>
          <w:color w:val="000000"/>
          <w:sz w:val="20"/>
          <w:szCs w:val="20"/>
          <w:lang w:eastAsia="bg-BG"/>
        </w:rPr>
        <w:t xml:space="preserve"> % стойности са промените в средните С</w:t>
      </w:r>
      <w:r w:rsidRPr="00ED72A8">
        <w:rPr>
          <w:rFonts w:eastAsia="Times New Roman" w:cs="Arial"/>
          <w:color w:val="000000"/>
          <w:sz w:val="20"/>
          <w:szCs w:val="20"/>
          <w:lang w:val="en-US"/>
        </w:rPr>
        <w:t>m</w:t>
      </w:r>
      <w:r w:rsidRPr="00ED72A8">
        <w:rPr>
          <w:rFonts w:eastAsia="Times New Roman" w:cs="Arial"/>
          <w:color w:val="000000"/>
          <w:sz w:val="20"/>
          <w:szCs w:val="20"/>
          <w:lang w:eastAsia="bg-BG"/>
        </w:rPr>
        <w:t xml:space="preserve">ах и </w:t>
      </w:r>
      <w:r w:rsidRPr="00ED72A8">
        <w:rPr>
          <w:rFonts w:eastAsia="Times New Roman" w:cs="Arial"/>
          <w:color w:val="000000"/>
          <w:sz w:val="20"/>
          <w:szCs w:val="20"/>
          <w:lang w:val="en-US"/>
        </w:rPr>
        <w:t xml:space="preserve">AUC </w:t>
      </w:r>
      <w:r w:rsidRPr="00ED72A8">
        <w:rPr>
          <w:rFonts w:eastAsia="Times New Roman" w:cs="Arial"/>
          <w:color w:val="000000"/>
          <w:sz w:val="20"/>
          <w:szCs w:val="20"/>
          <w:lang w:eastAsia="bg-BG"/>
        </w:rPr>
        <w:t>при лечението в сравнение с монотерапия</w:t>
      </w:r>
    </w:p>
    <w:p w14:paraId="0FAA5C2C"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lang w:val="en-US"/>
        </w:rPr>
        <w:t>↔</w:t>
      </w:r>
      <w:r w:rsidRPr="00ED72A8">
        <w:rPr>
          <w:rFonts w:eastAsia="Times New Roman" w:cs="Arial"/>
          <w:color w:val="000000"/>
          <w:sz w:val="20"/>
          <w:szCs w:val="20"/>
          <w:lang w:eastAsia="bg-BG"/>
        </w:rPr>
        <w:t xml:space="preserve"> = липса на ефект върху С</w:t>
      </w:r>
      <w:r w:rsidRPr="00ED72A8">
        <w:rPr>
          <w:rFonts w:eastAsia="Times New Roman" w:cs="Arial"/>
          <w:color w:val="000000"/>
          <w:sz w:val="20"/>
          <w:szCs w:val="20"/>
          <w:lang w:val="en-US"/>
        </w:rPr>
        <w:t>m</w:t>
      </w:r>
      <w:r w:rsidRPr="00ED72A8">
        <w:rPr>
          <w:rFonts w:eastAsia="Times New Roman" w:cs="Arial"/>
          <w:color w:val="000000"/>
          <w:sz w:val="20"/>
          <w:szCs w:val="20"/>
          <w:lang w:eastAsia="bg-BG"/>
        </w:rPr>
        <w:t xml:space="preserve">ах и </w:t>
      </w:r>
      <w:r w:rsidRPr="00ED72A8">
        <w:rPr>
          <w:rFonts w:eastAsia="Times New Roman" w:cs="Arial"/>
          <w:i/>
          <w:iCs/>
          <w:color w:val="000000"/>
          <w:sz w:val="20"/>
          <w:szCs w:val="20"/>
          <w:lang w:val="en-US"/>
        </w:rPr>
        <w:t xml:space="preserve">A.UC </w:t>
      </w:r>
      <w:r w:rsidRPr="00ED72A8">
        <w:rPr>
          <w:rFonts w:eastAsia="Times New Roman" w:cs="Arial"/>
          <w:i/>
          <w:iCs/>
          <w:color w:val="000000"/>
          <w:sz w:val="20"/>
          <w:szCs w:val="20"/>
          <w:lang w:eastAsia="bg-BG"/>
        </w:rPr>
        <w:t>(&lt; 15% промяна) на</w:t>
      </w:r>
      <w:r w:rsidRPr="00ED72A8">
        <w:rPr>
          <w:rFonts w:eastAsia="Times New Roman" w:cs="Arial"/>
          <w:color w:val="000000"/>
          <w:sz w:val="20"/>
          <w:szCs w:val="20"/>
          <w:lang w:eastAsia="bg-BG"/>
        </w:rPr>
        <w:t xml:space="preserve"> основното съединение</w:t>
      </w:r>
    </w:p>
    <w:p w14:paraId="159ED01D"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lang w:eastAsia="bg-BG"/>
        </w:rPr>
        <w:t>НП = не е проучено</w:t>
      </w:r>
    </w:p>
    <w:p w14:paraId="08A2B0FF"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lang w:eastAsia="bg-BG"/>
        </w:rPr>
        <w:t xml:space="preserve">* ДЕА = дезацетил дилтиазем, ДЕМ = </w:t>
      </w:r>
      <w:r w:rsidRPr="00ED72A8">
        <w:rPr>
          <w:rFonts w:eastAsia="Times New Roman" w:cs="Arial"/>
          <w:color w:val="000000"/>
          <w:sz w:val="20"/>
          <w:szCs w:val="20"/>
          <w:lang w:val="en-US"/>
        </w:rPr>
        <w:t>N</w:t>
      </w:r>
      <w:r w:rsidRPr="00ED72A8">
        <w:rPr>
          <w:rFonts w:eastAsia="Times New Roman" w:cs="Arial"/>
          <w:color w:val="000000"/>
          <w:sz w:val="20"/>
          <w:szCs w:val="20"/>
          <w:lang w:eastAsia="bg-BG"/>
        </w:rPr>
        <w:t>-деметил дилтиазем</w:t>
      </w:r>
    </w:p>
    <w:p w14:paraId="646CCC8C"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vertAlign w:val="superscript"/>
          <w:lang w:eastAsia="bg-BG"/>
        </w:rPr>
        <w:t>б</w:t>
      </w:r>
      <w:r w:rsidRPr="00ED72A8">
        <w:rPr>
          <w:rFonts w:eastAsia="Times New Roman" w:cs="Arial"/>
          <w:color w:val="000000"/>
          <w:sz w:val="20"/>
          <w:szCs w:val="20"/>
          <w:lang w:eastAsia="bg-BG"/>
        </w:rPr>
        <w:t xml:space="preserve"> </w:t>
      </w:r>
      <w:r w:rsidRPr="00ED72A8">
        <w:rPr>
          <w:rFonts w:eastAsia="Times New Roman" w:cs="Arial"/>
          <w:color w:val="000000"/>
          <w:sz w:val="20"/>
          <w:szCs w:val="20"/>
          <w:lang w:val="en-US"/>
        </w:rPr>
        <w:t xml:space="preserve">AUC </w:t>
      </w:r>
      <w:r w:rsidRPr="00ED72A8">
        <w:rPr>
          <w:rFonts w:eastAsia="Times New Roman" w:cs="Arial"/>
          <w:color w:val="000000"/>
          <w:sz w:val="20"/>
          <w:szCs w:val="20"/>
          <w:lang w:eastAsia="bg-BG"/>
        </w:rPr>
        <w:t xml:space="preserve">на флунаризин се увеличава с 14% при пациенти, приемащи флунаризин </w:t>
      </w:r>
      <w:r w:rsidRPr="00ED72A8">
        <w:rPr>
          <w:rFonts w:eastAsia="Times New Roman" w:cs="Arial"/>
          <w:color w:val="000000"/>
          <w:sz w:val="20"/>
          <w:szCs w:val="20"/>
          <w:lang w:val="en-US"/>
        </w:rPr>
        <w:t>ca</w:t>
      </w:r>
      <w:r w:rsidRPr="00ED72A8">
        <w:rPr>
          <w:rFonts w:eastAsia="Times New Roman" w:cs="Arial"/>
          <w:color w:val="000000"/>
          <w:sz w:val="20"/>
          <w:szCs w:val="20"/>
          <w:lang w:eastAsia="bg-BG"/>
        </w:rPr>
        <w:t>мостоятелно.</w:t>
      </w:r>
    </w:p>
    <w:p w14:paraId="3CF0139E"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lang w:eastAsia="bg-BG"/>
        </w:rPr>
        <w:t>Увеличената експозиция може да се обясни с натрупване до достигането на стационарно</w:t>
      </w:r>
    </w:p>
    <w:p w14:paraId="33A30151" w14:textId="612D586E" w:rsidR="00ED72A8" w:rsidRPr="00ED72A8" w:rsidRDefault="00ED72A8" w:rsidP="00ED72A8">
      <w:pPr>
        <w:rPr>
          <w:rFonts w:cs="Arial"/>
        </w:rPr>
      </w:pPr>
      <w:r w:rsidRPr="00ED72A8">
        <w:rPr>
          <w:rFonts w:eastAsia="Times New Roman" w:cs="Arial"/>
          <w:color w:val="000000"/>
          <w:sz w:val="20"/>
          <w:szCs w:val="20"/>
          <w:lang w:eastAsia="bg-BG"/>
        </w:rPr>
        <w:t>състояние.</w:t>
      </w:r>
    </w:p>
    <w:p w14:paraId="3FD0EC5A" w14:textId="77777777" w:rsidR="00ED72A8" w:rsidRPr="0091385D" w:rsidRDefault="00ED72A8"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627142C3" w14:textId="77777777" w:rsidR="00202DA6" w:rsidRPr="00202DA6" w:rsidRDefault="00202DA6" w:rsidP="00202DA6">
      <w:pPr>
        <w:pStyle w:val="Heading3"/>
        <w:rPr>
          <w:rFonts w:eastAsia="Times New Roman"/>
          <w:sz w:val="28"/>
          <w:u w:val="single"/>
          <w:lang w:eastAsia="bg-BG"/>
        </w:rPr>
      </w:pPr>
      <w:r w:rsidRPr="00202DA6">
        <w:rPr>
          <w:rFonts w:eastAsia="Times New Roman"/>
          <w:u w:val="single"/>
          <w:lang w:eastAsia="bg-BG"/>
        </w:rPr>
        <w:t>Бр</w:t>
      </w:r>
      <w:bookmarkStart w:id="1" w:name="_GoBack"/>
      <w:bookmarkEnd w:id="1"/>
      <w:r w:rsidRPr="00202DA6">
        <w:rPr>
          <w:rFonts w:eastAsia="Times New Roman"/>
          <w:u w:val="single"/>
          <w:lang w:eastAsia="bg-BG"/>
        </w:rPr>
        <w:t>еменност</w:t>
      </w:r>
    </w:p>
    <w:p w14:paraId="7415918B" w14:textId="77777777" w:rsidR="00202DA6" w:rsidRPr="00202DA6" w:rsidRDefault="00202DA6" w:rsidP="00202DA6">
      <w:pPr>
        <w:spacing w:line="240" w:lineRule="auto"/>
        <w:rPr>
          <w:rFonts w:eastAsia="Times New Roman" w:cs="Arial"/>
          <w:i/>
          <w:iCs/>
          <w:color w:val="000000"/>
          <w:szCs w:val="20"/>
          <w:lang w:eastAsia="bg-BG"/>
        </w:rPr>
      </w:pPr>
    </w:p>
    <w:p w14:paraId="2E1B1320" w14:textId="1AB02F5C" w:rsidR="00202DA6" w:rsidRPr="00202DA6" w:rsidRDefault="00202DA6" w:rsidP="00202DA6">
      <w:pPr>
        <w:spacing w:line="240" w:lineRule="auto"/>
        <w:rPr>
          <w:rFonts w:eastAsia="Times New Roman" w:cs="Arial"/>
          <w:sz w:val="28"/>
          <w:szCs w:val="24"/>
          <w:lang w:eastAsia="bg-BG"/>
        </w:rPr>
      </w:pPr>
      <w:r w:rsidRPr="00202DA6">
        <w:rPr>
          <w:rFonts w:eastAsia="Times New Roman" w:cs="Arial"/>
          <w:i/>
          <w:iCs/>
          <w:color w:val="000000"/>
          <w:szCs w:val="20"/>
          <w:lang w:eastAsia="bg-BG"/>
        </w:rPr>
        <w:t>Обобщен риск, свързан с епилепсия и антиепилептични лекарства (АЕЛ)</w:t>
      </w:r>
    </w:p>
    <w:p w14:paraId="3AA6700E" w14:textId="77777777" w:rsidR="00202DA6" w:rsidRPr="00202DA6" w:rsidRDefault="00202DA6" w:rsidP="00202DA6">
      <w:pPr>
        <w:spacing w:line="240" w:lineRule="auto"/>
        <w:rPr>
          <w:rFonts w:eastAsia="Times New Roman" w:cs="Arial"/>
          <w:color w:val="000000"/>
          <w:szCs w:val="20"/>
          <w:lang w:eastAsia="bg-BG"/>
        </w:rPr>
      </w:pPr>
    </w:p>
    <w:p w14:paraId="5FB975C2" w14:textId="7A7D7961"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Жените с детероден потенциал трябва да бъдат консултирани със специалист. Необходимостта от лечение с АЕЛ трябва трябва да се преразгледа при жени, които планират да забременеят. При жени, лекувани за епилепсия, внезапното преустановяване на терапията с АЕЛ трябва да се избягва, къй като това може да доведе до внезапни гърчове с възможни сериозни последствия за майката и нероденото дете.</w:t>
      </w:r>
    </w:p>
    <w:p w14:paraId="68E78A16" w14:textId="77777777"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Винаги когато е възможно, трябва да се предпочита монотерапия, тъй като лечението с няколко АЕЛ може да бъде свързано с по-висок риск от конгенитални малформации в сравнение с монотерапията, в зависимост от комбинираните антиепилептици.</w:t>
      </w:r>
    </w:p>
    <w:p w14:paraId="2469B576" w14:textId="77777777" w:rsidR="00202DA6" w:rsidRPr="00202DA6" w:rsidRDefault="00202DA6" w:rsidP="00202DA6">
      <w:pPr>
        <w:spacing w:line="240" w:lineRule="auto"/>
        <w:rPr>
          <w:rFonts w:eastAsia="Times New Roman" w:cs="Arial"/>
          <w:i/>
          <w:iCs/>
          <w:color w:val="000000"/>
          <w:szCs w:val="20"/>
          <w:lang w:eastAsia="bg-BG"/>
        </w:rPr>
      </w:pPr>
    </w:p>
    <w:p w14:paraId="15A95C70" w14:textId="1E259FA1" w:rsidR="00202DA6" w:rsidRPr="00202DA6" w:rsidRDefault="00202DA6" w:rsidP="00202DA6">
      <w:pPr>
        <w:spacing w:line="240" w:lineRule="auto"/>
        <w:rPr>
          <w:rFonts w:eastAsia="Times New Roman" w:cs="Arial"/>
          <w:sz w:val="28"/>
          <w:szCs w:val="24"/>
          <w:lang w:eastAsia="bg-BG"/>
        </w:rPr>
      </w:pPr>
      <w:r w:rsidRPr="00202DA6">
        <w:rPr>
          <w:rFonts w:eastAsia="Times New Roman" w:cs="Arial"/>
          <w:i/>
          <w:iCs/>
          <w:color w:val="000000"/>
          <w:szCs w:val="20"/>
          <w:lang w:eastAsia="bg-BG"/>
        </w:rPr>
        <w:t>Риск, свързан с топирамат</w:t>
      </w:r>
    </w:p>
    <w:p w14:paraId="286BC94F" w14:textId="77777777" w:rsidR="00202DA6" w:rsidRPr="00202DA6" w:rsidRDefault="00202DA6" w:rsidP="00202DA6">
      <w:pPr>
        <w:spacing w:line="240" w:lineRule="auto"/>
        <w:rPr>
          <w:rFonts w:eastAsia="Times New Roman" w:cs="Arial"/>
          <w:color w:val="000000"/>
          <w:szCs w:val="20"/>
          <w:lang w:eastAsia="bg-BG"/>
        </w:rPr>
      </w:pPr>
    </w:p>
    <w:p w14:paraId="1D4C047D" w14:textId="06633EC5"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Топирамат е тератогенен при мишки, плъхове и зайци (вж. точка 5.3). При плъхове топирамат преминава през плацентната бариера.</w:t>
      </w:r>
    </w:p>
    <w:p w14:paraId="625C5688" w14:textId="77777777" w:rsidR="00202DA6" w:rsidRPr="00202DA6" w:rsidRDefault="00202DA6" w:rsidP="00202DA6">
      <w:pPr>
        <w:spacing w:line="240" w:lineRule="auto"/>
        <w:rPr>
          <w:rFonts w:eastAsia="Times New Roman" w:cs="Arial"/>
          <w:color w:val="000000"/>
          <w:szCs w:val="20"/>
          <w:lang w:eastAsia="bg-BG"/>
        </w:rPr>
      </w:pPr>
    </w:p>
    <w:p w14:paraId="0854F40C" w14:textId="4A16A8F3"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При хората, топирамат преминава през плацентата. Съобщено е за сходни концентрации в пъпната връв и в кръвта на майката.</w:t>
      </w:r>
    </w:p>
    <w:p w14:paraId="751BF53A" w14:textId="77777777" w:rsidR="00202DA6" w:rsidRPr="00202DA6" w:rsidRDefault="00202DA6" w:rsidP="00202DA6">
      <w:pPr>
        <w:spacing w:line="240" w:lineRule="auto"/>
        <w:rPr>
          <w:rFonts w:eastAsia="Times New Roman" w:cs="Arial"/>
          <w:color w:val="000000"/>
          <w:szCs w:val="20"/>
          <w:lang w:eastAsia="bg-BG"/>
        </w:rPr>
      </w:pPr>
    </w:p>
    <w:p w14:paraId="3E233286" w14:textId="0B707A99"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Клиничните данни от регистрите на бременностите показват, че децата, изложени на топирамат:</w:t>
      </w:r>
    </w:p>
    <w:p w14:paraId="5BEB1539" w14:textId="77777777" w:rsidR="00202DA6" w:rsidRPr="00202DA6" w:rsidRDefault="00202DA6" w:rsidP="00202DA6">
      <w:pPr>
        <w:pStyle w:val="ListParagraph"/>
        <w:numPr>
          <w:ilvl w:val="0"/>
          <w:numId w:val="35"/>
        </w:numPr>
        <w:spacing w:line="240" w:lineRule="auto"/>
        <w:rPr>
          <w:rFonts w:eastAsia="Times New Roman" w:cs="Arial"/>
          <w:sz w:val="28"/>
          <w:szCs w:val="24"/>
          <w:lang w:eastAsia="bg-BG"/>
        </w:rPr>
      </w:pPr>
      <w:r w:rsidRPr="00202DA6">
        <w:rPr>
          <w:rFonts w:eastAsia="Times New Roman" w:cs="Arial"/>
          <w:color w:val="000000"/>
          <w:szCs w:val="20"/>
          <w:lang w:eastAsia="bg-BG"/>
        </w:rPr>
        <w:t xml:space="preserve">Са с повишен риск от вродени малформации (напр. краниофациални дефекти като цепната устна/небце, хипоспадия и аномалии, засягащи различни системи на организма) след лечение с топирамат през първия триместьр. Данните от регистъра на бременностите на Северна Америка при употреба на антиепилептични лекарства </w:t>
      </w:r>
      <w:r w:rsidRPr="00202DA6">
        <w:rPr>
          <w:rFonts w:eastAsia="Times New Roman" w:cs="Arial"/>
          <w:color w:val="000000"/>
          <w:szCs w:val="20"/>
          <w:lang w:val="en-US"/>
        </w:rPr>
        <w:t xml:space="preserve">(NAAED) </w:t>
      </w:r>
      <w:r w:rsidRPr="00202DA6">
        <w:rPr>
          <w:rFonts w:eastAsia="Times New Roman" w:cs="Arial"/>
          <w:color w:val="000000"/>
          <w:szCs w:val="20"/>
          <w:lang w:eastAsia="bg-BG"/>
        </w:rPr>
        <w:t xml:space="preserve">при монотерапия с топирамат показват приблизително 3 пъти по-висока заболеваемост на големи вродени малформации (4,3%) в сравнение с референтната група, която не приема антиепилептични лекарства (1,4%). Освен това, резултатите от тези и други проучвания показват, че в сравнение с монотерапията съществува повишен риск от тератогенни ефекти, свързани с употребата на антиепилептични средства в комбинирана терапия. Този риск е докладван като дозозависим; ефектите са наблюдавани при всички дози. При лекувани с топирамат жени, които вече са имали дете с вродени </w:t>
      </w:r>
      <w:r w:rsidRPr="00202DA6">
        <w:rPr>
          <w:rFonts w:eastAsia="Times New Roman" w:cs="Arial"/>
          <w:color w:val="000000"/>
          <w:szCs w:val="20"/>
          <w:lang w:eastAsia="bg-BG"/>
        </w:rPr>
        <w:lastRenderedPageBreak/>
        <w:t>малформации, има повишен риск от поява на малформации при следващи бременности, ако се лекуват с топирамат.</w:t>
      </w:r>
    </w:p>
    <w:p w14:paraId="7FDDBEF3" w14:textId="77777777" w:rsidR="00202DA6" w:rsidRPr="00202DA6" w:rsidRDefault="00202DA6" w:rsidP="00202DA6">
      <w:pPr>
        <w:pStyle w:val="ListParagraph"/>
        <w:numPr>
          <w:ilvl w:val="0"/>
          <w:numId w:val="35"/>
        </w:numPr>
        <w:spacing w:line="240" w:lineRule="auto"/>
        <w:rPr>
          <w:rFonts w:eastAsia="Times New Roman" w:cs="Arial"/>
          <w:sz w:val="28"/>
          <w:szCs w:val="24"/>
          <w:lang w:eastAsia="bg-BG"/>
        </w:rPr>
      </w:pPr>
      <w:r w:rsidRPr="00202DA6">
        <w:rPr>
          <w:rFonts w:eastAsia="Times New Roman" w:cs="Arial"/>
          <w:color w:val="000000"/>
          <w:szCs w:val="20"/>
          <w:lang w:eastAsia="bg-BG"/>
        </w:rPr>
        <w:t>Са по-често с ниско тегло при раждане (&lt;2 500 грама) след лечение с топирамат, в сравнение с референтната група.</w:t>
      </w:r>
    </w:p>
    <w:p w14:paraId="18AB8686" w14:textId="26A76BC2" w:rsidR="00202DA6" w:rsidRPr="00202DA6" w:rsidRDefault="00202DA6" w:rsidP="00202DA6">
      <w:pPr>
        <w:pStyle w:val="ListParagraph"/>
        <w:numPr>
          <w:ilvl w:val="0"/>
          <w:numId w:val="35"/>
        </w:numPr>
        <w:spacing w:line="240" w:lineRule="auto"/>
        <w:rPr>
          <w:rFonts w:eastAsia="Times New Roman" w:cs="Arial"/>
          <w:sz w:val="28"/>
          <w:szCs w:val="24"/>
          <w:lang w:eastAsia="bg-BG"/>
        </w:rPr>
      </w:pPr>
      <w:r w:rsidRPr="00202DA6">
        <w:rPr>
          <w:rFonts w:eastAsia="Times New Roman" w:cs="Arial"/>
          <w:color w:val="000000"/>
          <w:szCs w:val="20"/>
          <w:lang w:eastAsia="bg-BG"/>
        </w:rPr>
        <w:t>Повишена честота на раждане на бебета с ниско за гестационната възраст тегло (под 10%, коригирано за гестационната възраст, съответстветстващо на пола).</w:t>
      </w:r>
    </w:p>
    <w:p w14:paraId="7ACF9688" w14:textId="77777777" w:rsidR="00202DA6" w:rsidRPr="00202DA6" w:rsidRDefault="00202DA6" w:rsidP="00202DA6">
      <w:pPr>
        <w:spacing w:line="240" w:lineRule="auto"/>
        <w:rPr>
          <w:rFonts w:eastAsia="Times New Roman" w:cs="Arial"/>
          <w:b/>
          <w:bCs/>
          <w:color w:val="000000"/>
          <w:szCs w:val="20"/>
          <w:lang w:eastAsia="bg-BG"/>
        </w:rPr>
      </w:pPr>
      <w:bookmarkStart w:id="2" w:name="bookmark0"/>
    </w:p>
    <w:p w14:paraId="07548EBC" w14:textId="5EA1A8A4" w:rsidR="00202DA6" w:rsidRPr="00202DA6" w:rsidRDefault="00202DA6" w:rsidP="00202DA6">
      <w:pPr>
        <w:spacing w:line="240" w:lineRule="auto"/>
        <w:rPr>
          <w:rFonts w:eastAsia="Times New Roman" w:cs="Arial"/>
          <w:sz w:val="28"/>
          <w:szCs w:val="24"/>
          <w:lang w:eastAsia="bg-BG"/>
        </w:rPr>
      </w:pPr>
      <w:r w:rsidRPr="00202DA6">
        <w:rPr>
          <w:rFonts w:eastAsia="Times New Roman" w:cs="Arial"/>
          <w:b/>
          <w:bCs/>
          <w:color w:val="000000"/>
          <w:szCs w:val="20"/>
          <w:lang w:eastAsia="bg-BG"/>
        </w:rPr>
        <w:t>Показание епилепсия</w:t>
      </w:r>
      <w:bookmarkEnd w:id="2"/>
    </w:p>
    <w:p w14:paraId="51F483C9" w14:textId="77777777"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Препоръчва се да се обмислят алтернативни терапевтични варианти при жени с детероден потенциал. Ако топирамат се използва при жени с детероден потенциал, препоръчва се те да използват ефективна контрацепция (вж. точка 4.5). Жените трябва да бъдат подробно информирани за известните рискве от неконтролираната епилепсия по време на бременност и за потенциалните рискове за плода от лекарствения продукт. Ако жената планува бременност, се препоръчва среща с лекаря преди забременяването, с цел да се преоцени лечението и да се обмислят други терапевтични възможности. В случай на лечение по време на първия триместьр, трябва да се проведе обстойно пренатално мониториране.</w:t>
      </w:r>
    </w:p>
    <w:p w14:paraId="0C63758F" w14:textId="77777777" w:rsidR="00202DA6" w:rsidRPr="00202DA6" w:rsidRDefault="00202DA6" w:rsidP="00202DA6">
      <w:pPr>
        <w:rPr>
          <w:rFonts w:eastAsia="Times New Roman" w:cs="Arial"/>
          <w:b/>
          <w:bCs/>
          <w:color w:val="000000"/>
          <w:szCs w:val="20"/>
          <w:lang w:eastAsia="bg-BG"/>
        </w:rPr>
      </w:pPr>
    </w:p>
    <w:p w14:paraId="776662C5" w14:textId="4C9BB45F" w:rsidR="0091385D" w:rsidRPr="00202DA6" w:rsidRDefault="00202DA6" w:rsidP="00202DA6">
      <w:pPr>
        <w:rPr>
          <w:rFonts w:cs="Arial"/>
        </w:rPr>
      </w:pPr>
      <w:r w:rsidRPr="00202DA6">
        <w:rPr>
          <w:rFonts w:eastAsia="Times New Roman" w:cs="Arial"/>
          <w:b/>
          <w:bCs/>
          <w:color w:val="000000"/>
          <w:lang w:eastAsia="bg-BG"/>
        </w:rPr>
        <w:t>Показание профилактика на мигрена</w:t>
      </w:r>
    </w:p>
    <w:p w14:paraId="7F8D7509"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Топирамат е противопоказан по време на бременност и при жени с детероден потенциал, ако не се използват методи на ефективна контрацепция (вж. точка 4.3 и 4.5)</w:t>
      </w:r>
    </w:p>
    <w:p w14:paraId="4DDF8DB5" w14:textId="77777777" w:rsidR="00202DA6" w:rsidRPr="00202DA6" w:rsidRDefault="00202DA6" w:rsidP="00202DA6">
      <w:pPr>
        <w:spacing w:line="240" w:lineRule="auto"/>
        <w:rPr>
          <w:rFonts w:eastAsia="Times New Roman" w:cs="Arial"/>
          <w:color w:val="000000"/>
          <w:lang w:eastAsia="bg-BG"/>
        </w:rPr>
      </w:pPr>
    </w:p>
    <w:p w14:paraId="70CFCD22" w14:textId="0DA6AA4A" w:rsidR="00202DA6" w:rsidRPr="00202DA6" w:rsidRDefault="00202DA6" w:rsidP="00202DA6">
      <w:pPr>
        <w:pStyle w:val="Heading3"/>
        <w:rPr>
          <w:rFonts w:eastAsia="Times New Roman"/>
          <w:u w:val="single"/>
          <w:lang w:eastAsia="bg-BG"/>
        </w:rPr>
      </w:pPr>
      <w:r w:rsidRPr="00202DA6">
        <w:rPr>
          <w:rFonts w:eastAsia="Times New Roman"/>
          <w:u w:val="single"/>
          <w:lang w:eastAsia="bg-BG"/>
        </w:rPr>
        <w:t>Кърмене</w:t>
      </w:r>
    </w:p>
    <w:p w14:paraId="3E8789C3" w14:textId="6EFD7CB9" w:rsidR="0091385D" w:rsidRPr="00202DA6" w:rsidRDefault="00202DA6" w:rsidP="00202DA6">
      <w:pPr>
        <w:rPr>
          <w:rFonts w:cs="Arial"/>
        </w:rPr>
      </w:pPr>
      <w:r w:rsidRPr="00202DA6">
        <w:rPr>
          <w:rFonts w:eastAsia="Times New Roman" w:cs="Arial"/>
          <w:color w:val="000000"/>
          <w:lang w:eastAsia="bg-BG"/>
        </w:rPr>
        <w:t>Проучванията при животни показват, че топирамат се екскретира в кърмата. Екскрецията на топирамат в майчиното мляко не е изследвана в контролирани проучвания. Ограничените наблюдения при пациенти предполагат екстензивна екскреция на топирамат в майчиното мляко При новородените, кърмени от подложени на лечение майки, са наблюдавани диария, сънливост, раздразнителност и неадекватно повишаване на теглото. Следователно, трябва да се вземе решение дали да се прекъсне кърменето или да се преустанови/въздържи от лечение с топирамат, като се вземе предвид значението на лекарствения продукт за майката (вж. точка 4.4).</w:t>
      </w:r>
    </w:p>
    <w:p w14:paraId="09D7E0CA" w14:textId="77777777" w:rsidR="00202DA6" w:rsidRPr="0091385D" w:rsidRDefault="00202DA6"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70480C0" w:rsidR="0091385D" w:rsidRPr="00202DA6" w:rsidRDefault="00202DA6" w:rsidP="0091385D">
      <w:pPr>
        <w:rPr>
          <w:rFonts w:cs="Arial"/>
        </w:rPr>
      </w:pPr>
      <w:r w:rsidRPr="00202DA6">
        <w:rPr>
          <w:rFonts w:cs="Arial"/>
        </w:rPr>
        <w:t>Топирамат има малко или умерено влияние върху способността за шофиране и работа с машини. Топирамат действа върху централната нервна система и може да стане причина за поява на сънливост, замайване и други подобни симптоми. Може да причини също така нарушения на зрението и/или замъглено виждане. Тези нежелани реакции може да се окажат потенциално опасни при шофиране или работа с машини, особено докато не се определи индивидуалната реакция на всеки пациент към лекарствения продукт.</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A879F7A" w14:textId="56812283"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 xml:space="preserve">Безопасността на топирамат е определена от база данни на клинични изпитвания с 4111 пациенти (3182 на топирамат и 929 на плацебо), взели участие в 20 двойно слепи изпитвания и съответно 2847 пациенти, взели участие в 34 открити изпитвания на топирамат като допълнително лечение на първично генерализирани тонично-клонични гърчове, парциални пристъпи, припадъци, свързани със синдрома на Ленокс-Гасто, </w:t>
      </w:r>
      <w:r w:rsidRPr="00202DA6">
        <w:rPr>
          <w:rFonts w:eastAsia="Times New Roman" w:cs="Arial"/>
          <w:color w:val="000000"/>
          <w:lang w:eastAsia="bg-BG"/>
        </w:rPr>
        <w:lastRenderedPageBreak/>
        <w:t>монотерапия за ново- или наскоро диагностицирани случаи на епилепсия и профилактика на мигрена. Голяма част от нежеланите лекарствени реакции са леки до умерени. Лекарствените реакции, наблюдавани в клиничните изпитвания и при постмаркетингов опит (както е указано с „ *</w:t>
      </w:r>
      <w:r w:rsidRPr="00202DA6">
        <w:rPr>
          <w:rFonts w:eastAsia="Times New Roman" w:cs="Arial"/>
          <w:color w:val="000000"/>
          <w:lang w:val="en-US"/>
        </w:rPr>
        <w:t xml:space="preserve"> </w:t>
      </w:r>
      <w:r w:rsidRPr="00202DA6">
        <w:rPr>
          <w:rFonts w:eastAsia="Times New Roman" w:cs="Arial"/>
          <w:color w:val="000000"/>
          <w:lang w:eastAsia="bg-BG"/>
        </w:rPr>
        <w:t>“)</w:t>
      </w:r>
      <w:r w:rsidRPr="00202DA6">
        <w:rPr>
          <w:rFonts w:eastAsia="Times New Roman" w:cs="Arial"/>
          <w:color w:val="000000"/>
          <w:lang w:val="en-US"/>
        </w:rPr>
        <w:t xml:space="preserve"> </w:t>
      </w:r>
      <w:r w:rsidRPr="00202DA6">
        <w:rPr>
          <w:rFonts w:eastAsia="Times New Roman" w:cs="Arial"/>
          <w:color w:val="000000"/>
          <w:lang w:eastAsia="bg-BG"/>
        </w:rPr>
        <w:t>са изброени по</w:t>
      </w:r>
      <w:r>
        <w:rPr>
          <w:rFonts w:eastAsia="Times New Roman" w:cs="Arial"/>
          <w:lang w:eastAsia="bg-BG"/>
        </w:rPr>
        <w:t xml:space="preserve"> </w:t>
      </w:r>
      <w:r w:rsidRPr="00202DA6">
        <w:rPr>
          <w:rFonts w:eastAsia="Times New Roman" w:cs="Arial"/>
          <w:color w:val="000000"/>
          <w:lang w:eastAsia="bg-BG"/>
        </w:rPr>
        <w:t>честота на поява в клиничните изпитвания в Таблица 1. Критериите за честота са следните:</w:t>
      </w:r>
    </w:p>
    <w:p w14:paraId="13EB17E7" w14:textId="77777777" w:rsidR="00202DA6" w:rsidRPr="00202DA6" w:rsidRDefault="00202DA6" w:rsidP="00202DA6">
      <w:pPr>
        <w:spacing w:line="240" w:lineRule="auto"/>
        <w:rPr>
          <w:rFonts w:eastAsia="Times New Roman" w:cs="Arial"/>
          <w:color w:val="000000"/>
          <w:lang w:eastAsia="bg-BG"/>
        </w:rPr>
      </w:pPr>
    </w:p>
    <w:p w14:paraId="5FFDBC06" w14:textId="59D9CF1B"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Много чести</w:t>
      </w:r>
      <w:r w:rsidRPr="00202DA6">
        <w:rPr>
          <w:rFonts w:eastAsia="Times New Roman" w:cs="Arial"/>
          <w:color w:val="000000"/>
          <w:lang w:eastAsia="bg-BG"/>
        </w:rPr>
        <w:tab/>
        <w:t>≥</w:t>
      </w:r>
      <w:r w:rsidRPr="00202DA6">
        <w:rPr>
          <w:rFonts w:eastAsia="Times New Roman" w:cs="Arial"/>
          <w:color w:val="000000"/>
          <w:lang w:val="en-US"/>
        </w:rPr>
        <w:t xml:space="preserve"> </w:t>
      </w:r>
      <w:r w:rsidRPr="00202DA6">
        <w:rPr>
          <w:rFonts w:eastAsia="Times New Roman" w:cs="Arial"/>
          <w:color w:val="000000"/>
          <w:lang w:eastAsia="bg-BG"/>
        </w:rPr>
        <w:t>1/10</w:t>
      </w:r>
    </w:p>
    <w:p w14:paraId="24230E91"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Чести</w:t>
      </w:r>
      <w:r w:rsidRPr="00202DA6">
        <w:rPr>
          <w:rFonts w:eastAsia="Times New Roman" w:cs="Arial"/>
          <w:color w:val="000000"/>
          <w:lang w:eastAsia="bg-BG"/>
        </w:rPr>
        <w:tab/>
        <w:t>≥1/100 до &lt;1/10</w:t>
      </w:r>
    </w:p>
    <w:p w14:paraId="6FF2A917"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Нечести</w:t>
      </w:r>
      <w:r w:rsidRPr="00202DA6">
        <w:rPr>
          <w:rFonts w:eastAsia="Times New Roman" w:cs="Arial"/>
          <w:color w:val="000000"/>
          <w:lang w:eastAsia="bg-BG"/>
        </w:rPr>
        <w:tab/>
        <w:t>≥1/1000 до &lt;1/100</w:t>
      </w:r>
    </w:p>
    <w:p w14:paraId="4B4DBE15"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Редки</w:t>
      </w:r>
      <w:r w:rsidRPr="00202DA6">
        <w:rPr>
          <w:rFonts w:eastAsia="Times New Roman" w:cs="Arial"/>
          <w:color w:val="000000"/>
          <w:lang w:eastAsia="bg-BG"/>
        </w:rPr>
        <w:tab/>
        <w:t>≥1/10 000 до &lt;1/1000</w:t>
      </w:r>
    </w:p>
    <w:p w14:paraId="008206AC"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С неизвестна честота от наличните данни не може да бъде направена оценка</w:t>
      </w:r>
    </w:p>
    <w:p w14:paraId="43AA25B1" w14:textId="77777777" w:rsidR="00202DA6" w:rsidRPr="00202DA6" w:rsidRDefault="00202DA6" w:rsidP="00202DA6">
      <w:pPr>
        <w:rPr>
          <w:rFonts w:eastAsia="Times New Roman" w:cs="Arial"/>
          <w:color w:val="000000"/>
          <w:lang w:eastAsia="bg-BG"/>
        </w:rPr>
      </w:pPr>
    </w:p>
    <w:p w14:paraId="570508C4" w14:textId="0AE30E59" w:rsidR="0091385D" w:rsidRPr="00202DA6" w:rsidRDefault="00202DA6" w:rsidP="00202DA6">
      <w:pPr>
        <w:rPr>
          <w:rFonts w:cs="Arial"/>
        </w:rPr>
      </w:pPr>
      <w:r w:rsidRPr="00202DA6">
        <w:rPr>
          <w:rFonts w:eastAsia="Times New Roman" w:cs="Arial"/>
          <w:color w:val="000000"/>
          <w:lang w:eastAsia="bg-BG"/>
        </w:rPr>
        <w:t>Най-често срещаните нежелани лекарствени реакции (НЛР) (с честота &gt;5% и повече в сравнение с наблюдаваните при плацебо, по най-малко едно показание, в двойно слепи контролирани проучвания на топирамат) са: анорексия, намален апетит, брадифрения, депресия, нарушена способност за изразяване, безсъние, нарушена координация, затруднена концентрация, замайване, дизартрия, дизгеузия, хипоестезия, летаргия, нарушения на паметта, нистагъм, парестезия, сомнолентност, тремор, диплопия, замъглено виждане, диария, гадене, умора, раздразнителност и намалено тегло.</w:t>
      </w:r>
    </w:p>
    <w:p w14:paraId="43E3C48F" w14:textId="5CDD44D0" w:rsidR="0091385D" w:rsidRPr="00202DA6" w:rsidRDefault="0091385D" w:rsidP="0091385D">
      <w:pPr>
        <w:rPr>
          <w:rFonts w:cs="Arial"/>
        </w:rPr>
      </w:pPr>
    </w:p>
    <w:p w14:paraId="2FA5CE88" w14:textId="60BA0B02" w:rsidR="00202DA6" w:rsidRPr="00202DA6" w:rsidRDefault="00202DA6" w:rsidP="0091385D">
      <w:pPr>
        <w:rPr>
          <w:rFonts w:cs="Arial"/>
        </w:rPr>
      </w:pPr>
      <w:r w:rsidRPr="00202DA6">
        <w:rPr>
          <w:rFonts w:cs="Arial"/>
          <w:b/>
          <w:bCs/>
        </w:rPr>
        <w:t xml:space="preserve">Таблица 1: </w:t>
      </w:r>
      <w:r w:rsidRPr="00202DA6">
        <w:rPr>
          <w:rFonts w:cs="Arial"/>
        </w:rPr>
        <w:t>Нежелани лекарствени реакции при употреба на топирамат</w:t>
      </w:r>
    </w:p>
    <w:p w14:paraId="5DB7524D" w14:textId="5F8067A3" w:rsidR="00202DA6" w:rsidRDefault="00202DA6" w:rsidP="0091385D"/>
    <w:tbl>
      <w:tblPr>
        <w:tblStyle w:val="TableGrid"/>
        <w:tblW w:w="0" w:type="auto"/>
        <w:tblLook w:val="04A0" w:firstRow="1" w:lastRow="0" w:firstColumn="1" w:lastColumn="0" w:noHBand="0" w:noVBand="1"/>
      </w:tblPr>
      <w:tblGrid>
        <w:gridCol w:w="1573"/>
        <w:gridCol w:w="1472"/>
        <w:gridCol w:w="1675"/>
        <w:gridCol w:w="1683"/>
        <w:gridCol w:w="1554"/>
        <w:gridCol w:w="1619"/>
      </w:tblGrid>
      <w:tr w:rsidR="00202DA6" w14:paraId="31ED38C0" w14:textId="77777777" w:rsidTr="00202DA6">
        <w:trPr>
          <w:trHeight w:val="760"/>
        </w:trPr>
        <w:tc>
          <w:tcPr>
            <w:tcW w:w="1573" w:type="dxa"/>
            <w:vAlign w:val="bottom"/>
          </w:tcPr>
          <w:p w14:paraId="3F877860" w14:textId="77777777" w:rsidR="00202DA6" w:rsidRPr="00984E1A" w:rsidRDefault="00202DA6" w:rsidP="00202DA6">
            <w:pPr>
              <w:rPr>
                <w:rFonts w:cs="Arial"/>
              </w:rPr>
            </w:pPr>
            <w:r w:rsidRPr="00984E1A">
              <w:rPr>
                <w:rFonts w:cs="Arial"/>
                <w:b/>
                <w:bCs/>
              </w:rPr>
              <w:t>Системо-</w:t>
            </w:r>
          </w:p>
          <w:p w14:paraId="59A07956" w14:textId="4B21DBFB" w:rsidR="00202DA6" w:rsidRPr="00984E1A" w:rsidRDefault="00202DA6" w:rsidP="00202DA6">
            <w:pPr>
              <w:rPr>
                <w:rFonts w:cs="Arial"/>
              </w:rPr>
            </w:pPr>
            <w:r w:rsidRPr="00984E1A">
              <w:rPr>
                <w:rFonts w:cs="Arial"/>
                <w:b/>
                <w:bCs/>
              </w:rPr>
              <w:t>органнн класове</w:t>
            </w:r>
          </w:p>
        </w:tc>
        <w:tc>
          <w:tcPr>
            <w:tcW w:w="1472" w:type="dxa"/>
            <w:vAlign w:val="bottom"/>
          </w:tcPr>
          <w:p w14:paraId="7C5BAEA2" w14:textId="76EAD4A2" w:rsidR="00202DA6" w:rsidRPr="00984E1A" w:rsidRDefault="00202DA6" w:rsidP="00202DA6">
            <w:pPr>
              <w:rPr>
                <w:rFonts w:cs="Arial"/>
              </w:rPr>
            </w:pPr>
            <w:r w:rsidRPr="00984E1A">
              <w:rPr>
                <w:rFonts w:cs="Arial"/>
                <w:b/>
                <w:bCs/>
              </w:rPr>
              <w:t>Много чести</w:t>
            </w:r>
          </w:p>
        </w:tc>
        <w:tc>
          <w:tcPr>
            <w:tcW w:w="1675" w:type="dxa"/>
            <w:vAlign w:val="bottom"/>
          </w:tcPr>
          <w:p w14:paraId="6447673F" w14:textId="27F5A5F0" w:rsidR="00202DA6" w:rsidRPr="00984E1A" w:rsidRDefault="00202DA6" w:rsidP="00202DA6">
            <w:pPr>
              <w:rPr>
                <w:rFonts w:cs="Arial"/>
              </w:rPr>
            </w:pPr>
            <w:r w:rsidRPr="00984E1A">
              <w:rPr>
                <w:rFonts w:cs="Arial"/>
                <w:b/>
                <w:bCs/>
              </w:rPr>
              <w:t>Чести</w:t>
            </w:r>
          </w:p>
        </w:tc>
        <w:tc>
          <w:tcPr>
            <w:tcW w:w="1683" w:type="dxa"/>
            <w:vAlign w:val="bottom"/>
          </w:tcPr>
          <w:p w14:paraId="2250D965" w14:textId="56F2647F" w:rsidR="00202DA6" w:rsidRPr="00984E1A" w:rsidRDefault="00202DA6" w:rsidP="00202DA6">
            <w:pPr>
              <w:rPr>
                <w:rFonts w:cs="Arial"/>
              </w:rPr>
            </w:pPr>
            <w:r w:rsidRPr="00984E1A">
              <w:rPr>
                <w:rFonts w:cs="Arial"/>
                <w:b/>
                <w:bCs/>
              </w:rPr>
              <w:t xml:space="preserve">Нечести </w:t>
            </w:r>
          </w:p>
        </w:tc>
        <w:tc>
          <w:tcPr>
            <w:tcW w:w="1554" w:type="dxa"/>
            <w:vAlign w:val="bottom"/>
          </w:tcPr>
          <w:p w14:paraId="12B0B4B0" w14:textId="2C063A19" w:rsidR="00202DA6" w:rsidRPr="00984E1A" w:rsidRDefault="00202DA6" w:rsidP="00202DA6">
            <w:pPr>
              <w:rPr>
                <w:rFonts w:cs="Arial"/>
                <w:b/>
              </w:rPr>
            </w:pPr>
            <w:r w:rsidRPr="00984E1A">
              <w:rPr>
                <w:rFonts w:cs="Arial"/>
                <w:b/>
                <w:bCs/>
              </w:rPr>
              <w:t xml:space="preserve">Редки </w:t>
            </w:r>
          </w:p>
        </w:tc>
        <w:tc>
          <w:tcPr>
            <w:tcW w:w="1619" w:type="dxa"/>
          </w:tcPr>
          <w:p w14:paraId="014D7F04" w14:textId="77777777" w:rsidR="00202DA6" w:rsidRPr="00984E1A" w:rsidRDefault="00202DA6" w:rsidP="00202DA6">
            <w:pPr>
              <w:rPr>
                <w:b/>
              </w:rPr>
            </w:pPr>
            <w:r w:rsidRPr="00984E1A">
              <w:rPr>
                <w:b/>
              </w:rPr>
              <w:t>С неизвестна</w:t>
            </w:r>
          </w:p>
          <w:p w14:paraId="201071DF" w14:textId="150E71E1" w:rsidR="00202DA6" w:rsidRPr="00984E1A" w:rsidRDefault="00202DA6" w:rsidP="00202DA6">
            <w:pPr>
              <w:rPr>
                <w:b/>
              </w:rPr>
            </w:pPr>
            <w:r w:rsidRPr="00984E1A">
              <w:rPr>
                <w:b/>
                <w:bCs/>
              </w:rPr>
              <w:t>честота</w:t>
            </w:r>
          </w:p>
        </w:tc>
      </w:tr>
      <w:tr w:rsidR="00202DA6" w14:paraId="45F0F601" w14:textId="77777777" w:rsidTr="00202DA6">
        <w:tc>
          <w:tcPr>
            <w:tcW w:w="1573" w:type="dxa"/>
            <w:vAlign w:val="bottom"/>
          </w:tcPr>
          <w:p w14:paraId="1B60FE12" w14:textId="5C9855B9" w:rsidR="00202DA6" w:rsidRPr="00984E1A" w:rsidRDefault="00202DA6" w:rsidP="00202DA6">
            <w:pPr>
              <w:rPr>
                <w:rFonts w:cs="Arial"/>
              </w:rPr>
            </w:pPr>
            <w:r w:rsidRPr="00984E1A">
              <w:rPr>
                <w:rFonts w:cs="Arial"/>
              </w:rPr>
              <w:t>Инфекции и инфестации</w:t>
            </w:r>
          </w:p>
        </w:tc>
        <w:tc>
          <w:tcPr>
            <w:tcW w:w="1472" w:type="dxa"/>
          </w:tcPr>
          <w:p w14:paraId="72FFA92A" w14:textId="5B1D79D0" w:rsidR="00202DA6" w:rsidRPr="00984E1A" w:rsidRDefault="00202DA6" w:rsidP="00202DA6">
            <w:pPr>
              <w:rPr>
                <w:rFonts w:cs="Arial"/>
              </w:rPr>
            </w:pPr>
            <w:r w:rsidRPr="00984E1A">
              <w:rPr>
                <w:rFonts w:cs="Arial"/>
              </w:rPr>
              <w:t>Назофарингит *</w:t>
            </w:r>
          </w:p>
        </w:tc>
        <w:tc>
          <w:tcPr>
            <w:tcW w:w="1675" w:type="dxa"/>
          </w:tcPr>
          <w:p w14:paraId="5509AC0A" w14:textId="77777777" w:rsidR="00202DA6" w:rsidRPr="00984E1A" w:rsidRDefault="00202DA6" w:rsidP="00202DA6">
            <w:pPr>
              <w:rPr>
                <w:rFonts w:cs="Arial"/>
              </w:rPr>
            </w:pPr>
          </w:p>
        </w:tc>
        <w:tc>
          <w:tcPr>
            <w:tcW w:w="1683" w:type="dxa"/>
          </w:tcPr>
          <w:p w14:paraId="6F19D82B" w14:textId="77777777" w:rsidR="00202DA6" w:rsidRPr="00984E1A" w:rsidRDefault="00202DA6" w:rsidP="00202DA6">
            <w:pPr>
              <w:rPr>
                <w:rFonts w:cs="Arial"/>
              </w:rPr>
            </w:pPr>
          </w:p>
        </w:tc>
        <w:tc>
          <w:tcPr>
            <w:tcW w:w="1554" w:type="dxa"/>
          </w:tcPr>
          <w:p w14:paraId="4D86CFF9" w14:textId="77777777" w:rsidR="00202DA6" w:rsidRPr="00984E1A" w:rsidRDefault="00202DA6" w:rsidP="00202DA6">
            <w:pPr>
              <w:rPr>
                <w:rFonts w:cs="Arial"/>
              </w:rPr>
            </w:pPr>
          </w:p>
        </w:tc>
        <w:tc>
          <w:tcPr>
            <w:tcW w:w="1619" w:type="dxa"/>
          </w:tcPr>
          <w:p w14:paraId="47E56217" w14:textId="77777777" w:rsidR="00202DA6" w:rsidRPr="00984E1A" w:rsidRDefault="00202DA6" w:rsidP="00202DA6"/>
        </w:tc>
      </w:tr>
      <w:tr w:rsidR="00202DA6" w14:paraId="66A80448" w14:textId="77777777" w:rsidTr="00202DA6">
        <w:tc>
          <w:tcPr>
            <w:tcW w:w="1573" w:type="dxa"/>
          </w:tcPr>
          <w:p w14:paraId="481A628C" w14:textId="14D71813" w:rsidR="00202DA6" w:rsidRPr="00984E1A" w:rsidRDefault="00202DA6" w:rsidP="00202DA6">
            <w:pPr>
              <w:rPr>
                <w:rFonts w:cs="Arial"/>
              </w:rPr>
            </w:pPr>
            <w:r w:rsidRPr="00984E1A">
              <w:rPr>
                <w:rFonts w:cs="Arial"/>
              </w:rPr>
              <w:t>Нарушения на кръвта и лимфната система</w:t>
            </w:r>
          </w:p>
        </w:tc>
        <w:tc>
          <w:tcPr>
            <w:tcW w:w="1472" w:type="dxa"/>
          </w:tcPr>
          <w:p w14:paraId="37437B10" w14:textId="77777777" w:rsidR="00202DA6" w:rsidRPr="00984E1A" w:rsidRDefault="00202DA6" w:rsidP="00202DA6">
            <w:pPr>
              <w:rPr>
                <w:rFonts w:cs="Arial"/>
              </w:rPr>
            </w:pPr>
          </w:p>
        </w:tc>
        <w:tc>
          <w:tcPr>
            <w:tcW w:w="1675" w:type="dxa"/>
          </w:tcPr>
          <w:p w14:paraId="32D4E55D" w14:textId="1AC35FE1" w:rsidR="00202DA6" w:rsidRPr="00984E1A" w:rsidRDefault="00202DA6" w:rsidP="00202DA6">
            <w:pPr>
              <w:rPr>
                <w:rFonts w:cs="Arial"/>
              </w:rPr>
            </w:pPr>
            <w:r w:rsidRPr="00984E1A">
              <w:rPr>
                <w:rFonts w:cs="Arial"/>
              </w:rPr>
              <w:t>Анемия</w:t>
            </w:r>
          </w:p>
        </w:tc>
        <w:tc>
          <w:tcPr>
            <w:tcW w:w="1683" w:type="dxa"/>
            <w:vAlign w:val="bottom"/>
          </w:tcPr>
          <w:p w14:paraId="2C6FDE61" w14:textId="5441FF72" w:rsidR="00202DA6" w:rsidRPr="00984E1A" w:rsidRDefault="00202DA6" w:rsidP="00202DA6">
            <w:pPr>
              <w:rPr>
                <w:rFonts w:cs="Arial"/>
              </w:rPr>
            </w:pPr>
            <w:r w:rsidRPr="00984E1A">
              <w:rPr>
                <w:rFonts w:cs="Arial"/>
              </w:rPr>
              <w:t>Левкопения, тромбоцито- пения, лимфаденопа- тия, еозинофилия</w:t>
            </w:r>
          </w:p>
        </w:tc>
        <w:tc>
          <w:tcPr>
            <w:tcW w:w="1554" w:type="dxa"/>
          </w:tcPr>
          <w:p w14:paraId="5AB2EE8D" w14:textId="6A2AA642" w:rsidR="00202DA6" w:rsidRPr="00984E1A" w:rsidRDefault="00984E1A" w:rsidP="00202DA6">
            <w:pPr>
              <w:rPr>
                <w:rFonts w:cs="Arial"/>
              </w:rPr>
            </w:pPr>
            <w:r>
              <w:rPr>
                <w:rFonts w:cs="Arial"/>
              </w:rPr>
              <w:t>Неут</w:t>
            </w:r>
            <w:r w:rsidR="00202DA6" w:rsidRPr="00984E1A">
              <w:rPr>
                <w:rFonts w:cs="Arial"/>
              </w:rPr>
              <w:t>ропения*</w:t>
            </w:r>
          </w:p>
        </w:tc>
        <w:tc>
          <w:tcPr>
            <w:tcW w:w="1619" w:type="dxa"/>
          </w:tcPr>
          <w:p w14:paraId="1D7683B9" w14:textId="77777777" w:rsidR="00202DA6" w:rsidRPr="00984E1A" w:rsidRDefault="00202DA6" w:rsidP="00202DA6"/>
        </w:tc>
      </w:tr>
      <w:tr w:rsidR="00202DA6" w14:paraId="44222CFC" w14:textId="77777777" w:rsidTr="00202DA6">
        <w:tc>
          <w:tcPr>
            <w:tcW w:w="1573" w:type="dxa"/>
          </w:tcPr>
          <w:p w14:paraId="56B92136" w14:textId="0BC353EA" w:rsidR="00202DA6" w:rsidRPr="00984E1A" w:rsidRDefault="00202DA6" w:rsidP="00202DA6">
            <w:pPr>
              <w:rPr>
                <w:rFonts w:cs="Arial"/>
              </w:rPr>
            </w:pPr>
            <w:r w:rsidRPr="00984E1A">
              <w:rPr>
                <w:rFonts w:cs="Arial"/>
              </w:rPr>
              <w:t>Нарушения на имунната система</w:t>
            </w:r>
          </w:p>
        </w:tc>
        <w:tc>
          <w:tcPr>
            <w:tcW w:w="1472" w:type="dxa"/>
          </w:tcPr>
          <w:p w14:paraId="173BF367" w14:textId="77777777" w:rsidR="00202DA6" w:rsidRPr="00984E1A" w:rsidRDefault="00202DA6" w:rsidP="00202DA6">
            <w:pPr>
              <w:rPr>
                <w:rFonts w:cs="Arial"/>
              </w:rPr>
            </w:pPr>
          </w:p>
        </w:tc>
        <w:tc>
          <w:tcPr>
            <w:tcW w:w="1675" w:type="dxa"/>
          </w:tcPr>
          <w:p w14:paraId="71F587A3" w14:textId="5F76E950" w:rsidR="00202DA6" w:rsidRPr="00984E1A" w:rsidRDefault="00202DA6" w:rsidP="00202DA6">
            <w:pPr>
              <w:rPr>
                <w:rFonts w:cs="Arial"/>
              </w:rPr>
            </w:pPr>
            <w:r w:rsidRPr="00984E1A">
              <w:rPr>
                <w:rFonts w:cs="Arial"/>
              </w:rPr>
              <w:t>Свръхчувстви</w:t>
            </w:r>
            <w:r w:rsidRPr="00984E1A">
              <w:rPr>
                <w:rFonts w:cs="Arial"/>
              </w:rPr>
              <w:softHyphen/>
              <w:t>телност</w:t>
            </w:r>
          </w:p>
        </w:tc>
        <w:tc>
          <w:tcPr>
            <w:tcW w:w="1683" w:type="dxa"/>
          </w:tcPr>
          <w:p w14:paraId="73617485" w14:textId="77777777" w:rsidR="00202DA6" w:rsidRPr="00984E1A" w:rsidRDefault="00202DA6" w:rsidP="00202DA6">
            <w:pPr>
              <w:rPr>
                <w:rFonts w:cs="Arial"/>
              </w:rPr>
            </w:pPr>
          </w:p>
        </w:tc>
        <w:tc>
          <w:tcPr>
            <w:tcW w:w="1554" w:type="dxa"/>
          </w:tcPr>
          <w:p w14:paraId="7CBFF957" w14:textId="77777777" w:rsidR="00202DA6" w:rsidRPr="00984E1A" w:rsidRDefault="00202DA6" w:rsidP="00202DA6">
            <w:pPr>
              <w:rPr>
                <w:rFonts w:cs="Arial"/>
              </w:rPr>
            </w:pPr>
          </w:p>
        </w:tc>
        <w:tc>
          <w:tcPr>
            <w:tcW w:w="1619" w:type="dxa"/>
          </w:tcPr>
          <w:p w14:paraId="6BCD7584" w14:textId="6FE18076" w:rsidR="00202DA6" w:rsidRPr="00984E1A" w:rsidRDefault="00202DA6" w:rsidP="00202DA6">
            <w:r w:rsidRPr="00984E1A">
              <w:t>Алергичен оток*</w:t>
            </w:r>
          </w:p>
        </w:tc>
      </w:tr>
      <w:tr w:rsidR="00202DA6" w14:paraId="4AA3F97E" w14:textId="77777777" w:rsidTr="00202DA6">
        <w:tc>
          <w:tcPr>
            <w:tcW w:w="1573" w:type="dxa"/>
          </w:tcPr>
          <w:p w14:paraId="6E2485E7" w14:textId="390A1AB1" w:rsidR="00202DA6" w:rsidRPr="00984E1A" w:rsidRDefault="00202DA6" w:rsidP="00202DA6">
            <w:pPr>
              <w:rPr>
                <w:rFonts w:cs="Arial"/>
              </w:rPr>
            </w:pPr>
            <w:r w:rsidRPr="00984E1A">
              <w:rPr>
                <w:rFonts w:cs="Arial"/>
              </w:rPr>
              <w:t>Нарушения на метаболизма и храненето</w:t>
            </w:r>
          </w:p>
        </w:tc>
        <w:tc>
          <w:tcPr>
            <w:tcW w:w="1472" w:type="dxa"/>
          </w:tcPr>
          <w:p w14:paraId="0A31DE44" w14:textId="77777777" w:rsidR="00202DA6" w:rsidRPr="00984E1A" w:rsidRDefault="00202DA6" w:rsidP="00202DA6">
            <w:pPr>
              <w:rPr>
                <w:rFonts w:cs="Arial"/>
              </w:rPr>
            </w:pPr>
          </w:p>
        </w:tc>
        <w:tc>
          <w:tcPr>
            <w:tcW w:w="1675" w:type="dxa"/>
          </w:tcPr>
          <w:p w14:paraId="3628872F" w14:textId="53AEBA76" w:rsidR="00202DA6" w:rsidRPr="00984E1A" w:rsidRDefault="00202DA6" w:rsidP="00202DA6">
            <w:pPr>
              <w:rPr>
                <w:rFonts w:cs="Arial"/>
              </w:rPr>
            </w:pPr>
            <w:r w:rsidRPr="00984E1A">
              <w:rPr>
                <w:rFonts w:cs="Arial"/>
              </w:rPr>
              <w:t>Анорексия, намален апетит</w:t>
            </w:r>
          </w:p>
        </w:tc>
        <w:tc>
          <w:tcPr>
            <w:tcW w:w="1683" w:type="dxa"/>
          </w:tcPr>
          <w:p w14:paraId="4BD6DD8E" w14:textId="7134299D" w:rsidR="00202DA6" w:rsidRPr="00984E1A" w:rsidRDefault="00202DA6" w:rsidP="00202DA6">
            <w:pPr>
              <w:rPr>
                <w:rFonts w:cs="Arial"/>
              </w:rPr>
            </w:pPr>
            <w:r w:rsidRPr="00984E1A">
              <w:rPr>
                <w:rFonts w:cs="Arial"/>
              </w:rPr>
              <w:t>Метаболитна ацидоза, хипокалиемия, повишен апетит, полидипсия</w:t>
            </w:r>
          </w:p>
        </w:tc>
        <w:tc>
          <w:tcPr>
            <w:tcW w:w="1554" w:type="dxa"/>
            <w:vAlign w:val="bottom"/>
          </w:tcPr>
          <w:p w14:paraId="0CFE755E" w14:textId="792D69B0" w:rsidR="00202DA6" w:rsidRPr="00984E1A" w:rsidRDefault="00202DA6" w:rsidP="00202DA6">
            <w:pPr>
              <w:rPr>
                <w:rFonts w:cs="Arial"/>
              </w:rPr>
            </w:pPr>
            <w:r w:rsidRPr="00984E1A">
              <w:rPr>
                <w:rFonts w:cs="Arial"/>
              </w:rPr>
              <w:t>Хиперхлоре- мична ацидоза, хиперамоние мия*, хиперамоние мична енцефалопати я*</w:t>
            </w:r>
          </w:p>
        </w:tc>
        <w:tc>
          <w:tcPr>
            <w:tcW w:w="1619" w:type="dxa"/>
          </w:tcPr>
          <w:p w14:paraId="18E95664" w14:textId="77777777" w:rsidR="00202DA6" w:rsidRPr="00984E1A" w:rsidRDefault="00202DA6" w:rsidP="00202DA6"/>
        </w:tc>
      </w:tr>
      <w:tr w:rsidR="00202DA6" w14:paraId="3258610D" w14:textId="77777777" w:rsidTr="00202DA6">
        <w:trPr>
          <w:trHeight w:val="10720"/>
        </w:trPr>
        <w:tc>
          <w:tcPr>
            <w:tcW w:w="1573" w:type="dxa"/>
          </w:tcPr>
          <w:p w14:paraId="0FA73556" w14:textId="5E3C764D" w:rsidR="00202DA6" w:rsidRPr="00984E1A" w:rsidRDefault="00202DA6" w:rsidP="00202DA6">
            <w:pPr>
              <w:rPr>
                <w:rFonts w:cs="Arial"/>
              </w:rPr>
            </w:pPr>
            <w:r w:rsidRPr="00984E1A">
              <w:rPr>
                <w:rFonts w:cs="Arial"/>
              </w:rPr>
              <w:lastRenderedPageBreak/>
              <w:t>Психични нарушения</w:t>
            </w:r>
          </w:p>
        </w:tc>
        <w:tc>
          <w:tcPr>
            <w:tcW w:w="1472" w:type="dxa"/>
          </w:tcPr>
          <w:p w14:paraId="1CB5E090" w14:textId="5093616E" w:rsidR="00202DA6" w:rsidRPr="00984E1A" w:rsidRDefault="00202DA6" w:rsidP="00202DA6">
            <w:pPr>
              <w:rPr>
                <w:rFonts w:cs="Arial"/>
              </w:rPr>
            </w:pPr>
            <w:r w:rsidRPr="00984E1A">
              <w:rPr>
                <w:rFonts w:cs="Arial"/>
              </w:rPr>
              <w:t>Депресия</w:t>
            </w:r>
          </w:p>
        </w:tc>
        <w:tc>
          <w:tcPr>
            <w:tcW w:w="1675" w:type="dxa"/>
          </w:tcPr>
          <w:p w14:paraId="0874B042" w14:textId="410DA3A9" w:rsidR="00202DA6" w:rsidRPr="00984E1A" w:rsidRDefault="00202DA6" w:rsidP="00202DA6">
            <w:pPr>
              <w:rPr>
                <w:rFonts w:cs="Arial"/>
              </w:rPr>
            </w:pPr>
            <w:r w:rsidRPr="00984E1A">
              <w:rPr>
                <w:rFonts w:cs="Arial"/>
              </w:rPr>
              <w:t>Брадифрения, безсъние, нарушение на способността за изразяване, безпокойство, състояние на обърканост, дезориентация, агресия, промени в настроението, възбуда, колебания в настроението, потиснато настроение, гняв, абнормно поведение</w:t>
            </w:r>
          </w:p>
        </w:tc>
        <w:tc>
          <w:tcPr>
            <w:tcW w:w="1683" w:type="dxa"/>
            <w:vAlign w:val="bottom"/>
          </w:tcPr>
          <w:p w14:paraId="2CCB99C4" w14:textId="77777777" w:rsidR="00202DA6" w:rsidRPr="00984E1A" w:rsidRDefault="00202DA6" w:rsidP="00202DA6">
            <w:pPr>
              <w:rPr>
                <w:rFonts w:cs="Arial"/>
              </w:rPr>
            </w:pPr>
            <w:r w:rsidRPr="00984E1A">
              <w:rPr>
                <w:rFonts w:cs="Arial"/>
              </w:rPr>
              <w:t>Суицидна идеация, опити за самоубийство, халюцинации, психотично разстройство, слухови халюцинации, визуални халюцинации, апатия, липса на спонтанна реч, нарушен сън, емоционална лабилност, намалено либидо, безпокойство, плач, дисфемия, еуфорично настроение, параноя, персеверация, пристъп на паника, сълзливост, нарушена способност за четене, начално безсъние, изравнен афект, абнормно мислене, загуба на либидо, вялост, “средно” безсъние,</w:t>
            </w:r>
          </w:p>
          <w:p w14:paraId="19D6B133" w14:textId="77777777" w:rsidR="00202DA6" w:rsidRPr="00984E1A" w:rsidRDefault="00202DA6" w:rsidP="00202DA6">
            <w:pPr>
              <w:rPr>
                <w:rFonts w:cs="Arial"/>
              </w:rPr>
            </w:pPr>
            <w:r w:rsidRPr="00984E1A">
              <w:rPr>
                <w:rFonts w:cs="Arial"/>
              </w:rPr>
              <w:t xml:space="preserve">разсеяност, събуждане рано сутрин, </w:t>
            </w:r>
            <w:r w:rsidRPr="00984E1A">
              <w:rPr>
                <w:rFonts w:cs="Arial"/>
              </w:rPr>
              <w:lastRenderedPageBreak/>
              <w:t>пуническа</w:t>
            </w:r>
          </w:p>
          <w:p w14:paraId="5C589F75" w14:textId="77777777" w:rsidR="00202DA6" w:rsidRPr="00984E1A" w:rsidRDefault="00202DA6" w:rsidP="00202DA6">
            <w:pPr>
              <w:rPr>
                <w:rFonts w:cs="Arial"/>
              </w:rPr>
            </w:pPr>
            <w:r w:rsidRPr="00984E1A">
              <w:rPr>
                <w:rFonts w:cs="Arial"/>
              </w:rPr>
              <w:t>реакция, повишено</w:t>
            </w:r>
          </w:p>
          <w:p w14:paraId="7F9A9370" w14:textId="4EEA329B" w:rsidR="00202DA6" w:rsidRPr="00984E1A" w:rsidRDefault="00202DA6" w:rsidP="00202DA6">
            <w:pPr>
              <w:rPr>
                <w:rFonts w:cs="Arial"/>
              </w:rPr>
            </w:pPr>
            <w:r w:rsidRPr="00984E1A">
              <w:rPr>
                <w:rFonts w:cs="Arial"/>
              </w:rPr>
              <w:t>настроение</w:t>
            </w:r>
          </w:p>
        </w:tc>
        <w:tc>
          <w:tcPr>
            <w:tcW w:w="1554" w:type="dxa"/>
          </w:tcPr>
          <w:p w14:paraId="68172A1E" w14:textId="62B43A3A" w:rsidR="00202DA6" w:rsidRPr="00984E1A" w:rsidRDefault="00202DA6" w:rsidP="00202DA6">
            <w:pPr>
              <w:rPr>
                <w:rFonts w:cs="Arial"/>
              </w:rPr>
            </w:pPr>
            <w:r w:rsidRPr="00984E1A">
              <w:rPr>
                <w:rFonts w:cs="Arial"/>
              </w:rPr>
              <w:lastRenderedPageBreak/>
              <w:t>Мания, паническо разстройство, чуство на отчаяние*, хипомания</w:t>
            </w:r>
          </w:p>
        </w:tc>
        <w:tc>
          <w:tcPr>
            <w:tcW w:w="1619" w:type="dxa"/>
          </w:tcPr>
          <w:p w14:paraId="5BB7B99B" w14:textId="77777777" w:rsidR="00202DA6" w:rsidRPr="00984E1A" w:rsidRDefault="00202DA6" w:rsidP="00202DA6"/>
        </w:tc>
      </w:tr>
      <w:tr w:rsidR="00202DA6" w14:paraId="292E1E8F" w14:textId="77777777" w:rsidTr="00202DA6">
        <w:tc>
          <w:tcPr>
            <w:tcW w:w="1573" w:type="dxa"/>
          </w:tcPr>
          <w:p w14:paraId="7FD9CF4F" w14:textId="0B9A9D12" w:rsidR="00202DA6" w:rsidRPr="00984E1A" w:rsidRDefault="00202DA6" w:rsidP="00202DA6">
            <w:pPr>
              <w:rPr>
                <w:rFonts w:cs="Arial"/>
              </w:rPr>
            </w:pPr>
            <w:r w:rsidRPr="00984E1A">
              <w:rPr>
                <w:rFonts w:cs="Arial"/>
              </w:rPr>
              <w:t>Нарушения на нервната система</w:t>
            </w:r>
          </w:p>
        </w:tc>
        <w:tc>
          <w:tcPr>
            <w:tcW w:w="1472" w:type="dxa"/>
          </w:tcPr>
          <w:p w14:paraId="61F2F67E" w14:textId="458876CF" w:rsidR="00202DA6" w:rsidRPr="00984E1A" w:rsidRDefault="00202DA6" w:rsidP="00202DA6">
            <w:pPr>
              <w:rPr>
                <w:rFonts w:cs="Arial"/>
              </w:rPr>
            </w:pPr>
            <w:r w:rsidRPr="00984E1A">
              <w:rPr>
                <w:rFonts w:cs="Arial"/>
              </w:rPr>
              <w:t>Парестезия, сомнолент- ност, замаяност</w:t>
            </w:r>
          </w:p>
        </w:tc>
        <w:tc>
          <w:tcPr>
            <w:tcW w:w="1675" w:type="dxa"/>
          </w:tcPr>
          <w:p w14:paraId="40E73616" w14:textId="1F42B0AD" w:rsidR="00202DA6" w:rsidRPr="00984E1A" w:rsidRDefault="00202DA6" w:rsidP="00202DA6">
            <w:pPr>
              <w:rPr>
                <w:rFonts w:cs="Arial"/>
              </w:rPr>
            </w:pPr>
            <w:r w:rsidRPr="00984E1A">
              <w:rPr>
                <w:rFonts w:cs="Arial"/>
              </w:rPr>
              <w:t xml:space="preserve">Нарушено внимание, затруднена памет, когнитивии нарушения, амнезия, психични </w:t>
            </w:r>
            <w:r w:rsidRPr="00984E1A">
              <w:rPr>
                <w:rFonts w:cs="Arial"/>
              </w:rPr>
              <w:lastRenderedPageBreak/>
              <w:t>увреждания, нарушени психомоторни умения, конвулсии, нарушена координация, тремор, летаргия, хипоестезия, нистагъм, дизгеузия, нарушено равновесие, дизартрия, интенционен тремор седиране</w:t>
            </w:r>
          </w:p>
        </w:tc>
        <w:tc>
          <w:tcPr>
            <w:tcW w:w="1683" w:type="dxa"/>
          </w:tcPr>
          <w:p w14:paraId="0112BC91" w14:textId="5C80AFA4" w:rsidR="00202DA6" w:rsidRPr="00984E1A" w:rsidRDefault="00202DA6" w:rsidP="00202DA6">
            <w:pPr>
              <w:rPr>
                <w:rFonts w:cs="Arial"/>
              </w:rPr>
            </w:pPr>
            <w:r w:rsidRPr="00984E1A">
              <w:rPr>
                <w:rFonts w:cs="Arial"/>
              </w:rPr>
              <w:lastRenderedPageBreak/>
              <w:t xml:space="preserve">Понижено ниво на съзнание, грандмал конвулсии, увреждане на зрителното поле, </w:t>
            </w:r>
            <w:r w:rsidRPr="00984E1A">
              <w:rPr>
                <w:rFonts w:cs="Arial"/>
              </w:rPr>
              <w:lastRenderedPageBreak/>
              <w:t>комплексни парциални пристъпи, нарушен говор, психомоторна хиперакгивност, синкоп, нарушени усещания, саливация, хиперсомния, афазия, репетитивна реч, хипокинезия, дизкинезия, постурална замаяност, некачествен сън, чувство на парене, загуба на усещания, паросмия, цереберален синдром, дизестезия, хипогеузия, ступор, тромавост, аура, агеузия, дизграфия, дисфазия, периферна невропатия, пресинкоп, дистония, изтръпване</w:t>
            </w:r>
          </w:p>
        </w:tc>
        <w:tc>
          <w:tcPr>
            <w:tcW w:w="1554" w:type="dxa"/>
          </w:tcPr>
          <w:p w14:paraId="46D8C098" w14:textId="4FDF1BC4" w:rsidR="00202DA6" w:rsidRPr="00984E1A" w:rsidRDefault="00202DA6" w:rsidP="00202DA6">
            <w:pPr>
              <w:rPr>
                <w:rFonts w:cs="Arial"/>
              </w:rPr>
            </w:pPr>
            <w:r w:rsidRPr="00984E1A">
              <w:rPr>
                <w:rFonts w:cs="Arial"/>
              </w:rPr>
              <w:lastRenderedPageBreak/>
              <w:t xml:space="preserve">Апраксия, нарушен циркаден ритъм, нарушения на съня, хиперестезия, хипосмия, </w:t>
            </w:r>
            <w:r w:rsidRPr="00984E1A">
              <w:rPr>
                <w:rFonts w:cs="Arial"/>
              </w:rPr>
              <w:lastRenderedPageBreak/>
              <w:t>аносмия, есенциален тремор, акинезия, невъзможност за реагиране на стимули</w:t>
            </w:r>
          </w:p>
        </w:tc>
        <w:tc>
          <w:tcPr>
            <w:tcW w:w="1619" w:type="dxa"/>
          </w:tcPr>
          <w:p w14:paraId="046170B9" w14:textId="77777777" w:rsidR="00202DA6" w:rsidRPr="00984E1A" w:rsidRDefault="00202DA6" w:rsidP="00202DA6"/>
        </w:tc>
      </w:tr>
      <w:tr w:rsidR="00202DA6" w14:paraId="289A6BD7" w14:textId="77777777" w:rsidTr="00202DA6">
        <w:trPr>
          <w:trHeight w:val="3962"/>
        </w:trPr>
        <w:tc>
          <w:tcPr>
            <w:tcW w:w="1573" w:type="dxa"/>
          </w:tcPr>
          <w:p w14:paraId="69571403" w14:textId="3D390B57" w:rsidR="00202DA6" w:rsidRPr="00984E1A" w:rsidRDefault="00202DA6" w:rsidP="00202DA6">
            <w:pPr>
              <w:rPr>
                <w:rFonts w:cs="Arial"/>
              </w:rPr>
            </w:pPr>
            <w:r w:rsidRPr="00984E1A">
              <w:rPr>
                <w:rFonts w:cs="Arial"/>
              </w:rPr>
              <w:lastRenderedPageBreak/>
              <w:t>Нарушения на очите</w:t>
            </w:r>
          </w:p>
        </w:tc>
        <w:tc>
          <w:tcPr>
            <w:tcW w:w="1472" w:type="dxa"/>
          </w:tcPr>
          <w:p w14:paraId="4CA79C8B" w14:textId="77777777" w:rsidR="00202DA6" w:rsidRPr="00984E1A" w:rsidRDefault="00202DA6" w:rsidP="00202DA6">
            <w:pPr>
              <w:rPr>
                <w:rFonts w:cs="Arial"/>
              </w:rPr>
            </w:pPr>
          </w:p>
        </w:tc>
        <w:tc>
          <w:tcPr>
            <w:tcW w:w="1675" w:type="dxa"/>
          </w:tcPr>
          <w:p w14:paraId="552D5816" w14:textId="5074D9FA" w:rsidR="00202DA6" w:rsidRPr="00984E1A" w:rsidRDefault="00202DA6" w:rsidP="00202DA6">
            <w:pPr>
              <w:rPr>
                <w:rFonts w:cs="Arial"/>
              </w:rPr>
            </w:pPr>
            <w:r w:rsidRPr="00984E1A">
              <w:rPr>
                <w:rFonts w:cs="Arial"/>
              </w:rPr>
              <w:t>Замъглено виждане, диплопия, нарушено зрение</w:t>
            </w:r>
          </w:p>
        </w:tc>
        <w:tc>
          <w:tcPr>
            <w:tcW w:w="1683" w:type="dxa"/>
            <w:vAlign w:val="bottom"/>
          </w:tcPr>
          <w:p w14:paraId="689BC7DA" w14:textId="77777777" w:rsidR="00202DA6" w:rsidRPr="00984E1A" w:rsidRDefault="00202DA6" w:rsidP="00202DA6">
            <w:pPr>
              <w:rPr>
                <w:rFonts w:cs="Arial"/>
              </w:rPr>
            </w:pPr>
            <w:r w:rsidRPr="00984E1A">
              <w:rPr>
                <w:rFonts w:cs="Arial"/>
              </w:rPr>
              <w:t>Намалена зрителна острота, скотоми, миолия*, абнормно усещане в окото*,сухота в окото, фотофобия, блефароспазъм, засилена лакримация,</w:t>
            </w:r>
          </w:p>
          <w:p w14:paraId="47992ACB" w14:textId="3B4ED7FA" w:rsidR="00202DA6" w:rsidRPr="00984E1A" w:rsidRDefault="00202DA6" w:rsidP="00202DA6">
            <w:pPr>
              <w:rPr>
                <w:rFonts w:cs="Arial"/>
              </w:rPr>
            </w:pPr>
            <w:r w:rsidRPr="00984E1A">
              <w:rPr>
                <w:rFonts w:cs="Arial"/>
              </w:rPr>
              <w:t>фотопсия, мидриаза, пресбиопия</w:t>
            </w:r>
          </w:p>
        </w:tc>
        <w:tc>
          <w:tcPr>
            <w:tcW w:w="1554" w:type="dxa"/>
            <w:vAlign w:val="bottom"/>
          </w:tcPr>
          <w:p w14:paraId="3ABB58A8" w14:textId="77777777" w:rsidR="00202DA6" w:rsidRPr="00984E1A" w:rsidRDefault="00202DA6" w:rsidP="00202DA6">
            <w:pPr>
              <w:rPr>
                <w:rFonts w:cs="Arial"/>
              </w:rPr>
            </w:pPr>
            <w:r w:rsidRPr="00984E1A">
              <w:rPr>
                <w:rFonts w:cs="Arial"/>
              </w:rPr>
              <w:t>Слепота на едното око, преходна слепота, глаукома, нарушено фокусиране, променено зрително възприятие за дълбочина, сцинтилираща скотома, оток</w:t>
            </w:r>
          </w:p>
          <w:p w14:paraId="5A0B8FAD" w14:textId="4044EB77" w:rsidR="00202DA6" w:rsidRPr="00984E1A" w:rsidRDefault="00202DA6" w:rsidP="00202DA6">
            <w:pPr>
              <w:rPr>
                <w:rFonts w:cs="Arial"/>
              </w:rPr>
            </w:pPr>
            <w:r w:rsidRPr="00984E1A">
              <w:rPr>
                <w:rFonts w:cs="Arial"/>
              </w:rPr>
              <w:t>на клепача*, кокоша слепота, амблиопия</w:t>
            </w:r>
          </w:p>
        </w:tc>
        <w:tc>
          <w:tcPr>
            <w:tcW w:w="1619" w:type="dxa"/>
          </w:tcPr>
          <w:p w14:paraId="0893C933" w14:textId="40A550EA" w:rsidR="00202DA6" w:rsidRPr="00984E1A" w:rsidRDefault="00202DA6" w:rsidP="00202DA6">
            <w:r w:rsidRPr="00984E1A">
              <w:t>Закритоъгълна глаукома*, макулопатия*, затруднено движение на очите*, оток на конкюнктивата*,</w:t>
            </w:r>
          </w:p>
        </w:tc>
      </w:tr>
      <w:tr w:rsidR="00202DA6" w14:paraId="26A79B27" w14:textId="77777777" w:rsidTr="00202DA6">
        <w:tc>
          <w:tcPr>
            <w:tcW w:w="1573" w:type="dxa"/>
          </w:tcPr>
          <w:p w14:paraId="0517263B" w14:textId="30988CED" w:rsidR="00202DA6" w:rsidRPr="00984E1A" w:rsidRDefault="00202DA6" w:rsidP="00202DA6">
            <w:pPr>
              <w:rPr>
                <w:rFonts w:cs="Arial"/>
              </w:rPr>
            </w:pPr>
            <w:r w:rsidRPr="00984E1A">
              <w:rPr>
                <w:rFonts w:cs="Arial"/>
              </w:rPr>
              <w:t>Нарушения на ухото и лабиринта</w:t>
            </w:r>
          </w:p>
        </w:tc>
        <w:tc>
          <w:tcPr>
            <w:tcW w:w="1472" w:type="dxa"/>
          </w:tcPr>
          <w:p w14:paraId="642253D0" w14:textId="77777777" w:rsidR="00202DA6" w:rsidRPr="00984E1A" w:rsidRDefault="00202DA6" w:rsidP="00202DA6">
            <w:pPr>
              <w:rPr>
                <w:rFonts w:cs="Arial"/>
              </w:rPr>
            </w:pPr>
          </w:p>
        </w:tc>
        <w:tc>
          <w:tcPr>
            <w:tcW w:w="1675" w:type="dxa"/>
          </w:tcPr>
          <w:p w14:paraId="13F63D1D" w14:textId="67632AA6" w:rsidR="00202DA6" w:rsidRPr="00984E1A" w:rsidRDefault="00202DA6" w:rsidP="00202DA6">
            <w:pPr>
              <w:rPr>
                <w:rFonts w:cs="Arial"/>
              </w:rPr>
            </w:pPr>
            <w:r w:rsidRPr="00984E1A">
              <w:rPr>
                <w:rFonts w:cs="Arial"/>
              </w:rPr>
              <w:t>Световъртеж, тинитус, болки в ушите</w:t>
            </w:r>
          </w:p>
        </w:tc>
        <w:tc>
          <w:tcPr>
            <w:tcW w:w="1683" w:type="dxa"/>
            <w:vAlign w:val="bottom"/>
          </w:tcPr>
          <w:p w14:paraId="6893403F" w14:textId="6268183D" w:rsidR="00202DA6" w:rsidRPr="00984E1A" w:rsidRDefault="00202DA6" w:rsidP="00202DA6">
            <w:pPr>
              <w:rPr>
                <w:rFonts w:cs="Arial"/>
              </w:rPr>
            </w:pPr>
            <w:r w:rsidRPr="00984E1A">
              <w:rPr>
                <w:rFonts w:cs="Arial"/>
              </w:rPr>
              <w:t>Глухота, едностранна глухота, невросензорна глухота, дискомфорт в ушите, нарушен слух</w:t>
            </w:r>
          </w:p>
        </w:tc>
        <w:tc>
          <w:tcPr>
            <w:tcW w:w="1554" w:type="dxa"/>
          </w:tcPr>
          <w:p w14:paraId="7414B25C" w14:textId="77777777" w:rsidR="00202DA6" w:rsidRPr="00984E1A" w:rsidRDefault="00202DA6" w:rsidP="00202DA6">
            <w:pPr>
              <w:rPr>
                <w:rFonts w:cs="Arial"/>
              </w:rPr>
            </w:pPr>
          </w:p>
        </w:tc>
        <w:tc>
          <w:tcPr>
            <w:tcW w:w="1619" w:type="dxa"/>
          </w:tcPr>
          <w:p w14:paraId="590B6ED4" w14:textId="77777777" w:rsidR="00202DA6" w:rsidRPr="00984E1A" w:rsidRDefault="00202DA6" w:rsidP="00202DA6"/>
        </w:tc>
      </w:tr>
      <w:tr w:rsidR="00202DA6" w14:paraId="5E43B5E9" w14:textId="77777777" w:rsidTr="00202DA6">
        <w:tc>
          <w:tcPr>
            <w:tcW w:w="1573" w:type="dxa"/>
          </w:tcPr>
          <w:p w14:paraId="06F7DC5F" w14:textId="4E76D89E" w:rsidR="00202DA6" w:rsidRPr="00984E1A" w:rsidRDefault="00202DA6" w:rsidP="00202DA6">
            <w:pPr>
              <w:rPr>
                <w:rFonts w:cs="Arial"/>
              </w:rPr>
            </w:pPr>
            <w:r w:rsidRPr="00984E1A">
              <w:rPr>
                <w:rFonts w:cs="Arial"/>
              </w:rPr>
              <w:t>Сърдечни нарушения</w:t>
            </w:r>
          </w:p>
        </w:tc>
        <w:tc>
          <w:tcPr>
            <w:tcW w:w="1472" w:type="dxa"/>
          </w:tcPr>
          <w:p w14:paraId="6DCDDAA3" w14:textId="77777777" w:rsidR="00202DA6" w:rsidRPr="00984E1A" w:rsidRDefault="00202DA6" w:rsidP="00202DA6">
            <w:pPr>
              <w:rPr>
                <w:rFonts w:cs="Arial"/>
              </w:rPr>
            </w:pPr>
          </w:p>
        </w:tc>
        <w:tc>
          <w:tcPr>
            <w:tcW w:w="1675" w:type="dxa"/>
          </w:tcPr>
          <w:p w14:paraId="0D498CEA" w14:textId="77777777" w:rsidR="00202DA6" w:rsidRPr="00984E1A" w:rsidRDefault="00202DA6" w:rsidP="00202DA6">
            <w:pPr>
              <w:rPr>
                <w:rFonts w:cs="Arial"/>
              </w:rPr>
            </w:pPr>
          </w:p>
        </w:tc>
        <w:tc>
          <w:tcPr>
            <w:tcW w:w="1683" w:type="dxa"/>
            <w:vAlign w:val="bottom"/>
          </w:tcPr>
          <w:p w14:paraId="59AF9D7C" w14:textId="4060F3EC" w:rsidR="00202DA6" w:rsidRPr="00984E1A" w:rsidRDefault="00202DA6" w:rsidP="00202DA6">
            <w:pPr>
              <w:rPr>
                <w:rFonts w:cs="Arial"/>
              </w:rPr>
            </w:pPr>
            <w:r w:rsidRPr="00984E1A">
              <w:rPr>
                <w:rFonts w:cs="Arial"/>
              </w:rPr>
              <w:t>Брадикардия, синусова брадикардия, сърцебиене</w:t>
            </w:r>
          </w:p>
        </w:tc>
        <w:tc>
          <w:tcPr>
            <w:tcW w:w="1554" w:type="dxa"/>
          </w:tcPr>
          <w:p w14:paraId="41398BE4" w14:textId="77777777" w:rsidR="00202DA6" w:rsidRPr="00984E1A" w:rsidRDefault="00202DA6" w:rsidP="00202DA6">
            <w:pPr>
              <w:rPr>
                <w:rFonts w:cs="Arial"/>
              </w:rPr>
            </w:pPr>
          </w:p>
        </w:tc>
        <w:tc>
          <w:tcPr>
            <w:tcW w:w="1619" w:type="dxa"/>
          </w:tcPr>
          <w:p w14:paraId="57B88E9B" w14:textId="77777777" w:rsidR="00202DA6" w:rsidRPr="00984E1A" w:rsidRDefault="00202DA6" w:rsidP="00202DA6"/>
        </w:tc>
      </w:tr>
      <w:tr w:rsidR="00202DA6" w14:paraId="289BE974" w14:textId="77777777" w:rsidTr="00202DA6">
        <w:tc>
          <w:tcPr>
            <w:tcW w:w="1573" w:type="dxa"/>
          </w:tcPr>
          <w:p w14:paraId="66A6912C" w14:textId="627A8C5C" w:rsidR="00202DA6" w:rsidRPr="00984E1A" w:rsidRDefault="00202DA6" w:rsidP="00202DA6">
            <w:pPr>
              <w:rPr>
                <w:rFonts w:cs="Arial"/>
              </w:rPr>
            </w:pPr>
            <w:r w:rsidRPr="00984E1A">
              <w:rPr>
                <w:rFonts w:cs="Arial"/>
              </w:rPr>
              <w:t>Съдови нарушения</w:t>
            </w:r>
          </w:p>
        </w:tc>
        <w:tc>
          <w:tcPr>
            <w:tcW w:w="1472" w:type="dxa"/>
          </w:tcPr>
          <w:p w14:paraId="1F1C238C" w14:textId="77777777" w:rsidR="00202DA6" w:rsidRPr="00984E1A" w:rsidRDefault="00202DA6" w:rsidP="00202DA6">
            <w:pPr>
              <w:rPr>
                <w:rFonts w:cs="Arial"/>
              </w:rPr>
            </w:pPr>
          </w:p>
        </w:tc>
        <w:tc>
          <w:tcPr>
            <w:tcW w:w="1675" w:type="dxa"/>
          </w:tcPr>
          <w:p w14:paraId="158C6E2E" w14:textId="77777777" w:rsidR="00202DA6" w:rsidRPr="00984E1A" w:rsidRDefault="00202DA6" w:rsidP="00202DA6">
            <w:pPr>
              <w:rPr>
                <w:rFonts w:cs="Arial"/>
              </w:rPr>
            </w:pPr>
          </w:p>
        </w:tc>
        <w:tc>
          <w:tcPr>
            <w:tcW w:w="1683" w:type="dxa"/>
            <w:vAlign w:val="bottom"/>
          </w:tcPr>
          <w:p w14:paraId="476B96A7" w14:textId="12678748" w:rsidR="00202DA6" w:rsidRPr="00984E1A" w:rsidRDefault="00202DA6" w:rsidP="00202DA6">
            <w:pPr>
              <w:rPr>
                <w:rFonts w:cs="Arial"/>
              </w:rPr>
            </w:pPr>
            <w:r w:rsidRPr="00984E1A">
              <w:rPr>
                <w:rFonts w:cs="Arial"/>
              </w:rPr>
              <w:t>Хипотония, ортостатична хипотония, зачервяване, горещи вълни</w:t>
            </w:r>
          </w:p>
        </w:tc>
        <w:tc>
          <w:tcPr>
            <w:tcW w:w="1554" w:type="dxa"/>
          </w:tcPr>
          <w:p w14:paraId="057F6A80" w14:textId="28BD912D" w:rsidR="00202DA6" w:rsidRPr="00984E1A" w:rsidRDefault="00202DA6" w:rsidP="00202DA6">
            <w:pPr>
              <w:rPr>
                <w:rFonts w:cs="Arial"/>
              </w:rPr>
            </w:pPr>
            <w:r w:rsidRPr="00984E1A">
              <w:rPr>
                <w:rFonts w:cs="Arial"/>
              </w:rPr>
              <w:t xml:space="preserve">Феномен на </w:t>
            </w:r>
            <w:r w:rsidRPr="00984E1A">
              <w:rPr>
                <w:rFonts w:cs="Arial"/>
                <w:lang w:val="en-US"/>
              </w:rPr>
              <w:t>Raynaud</w:t>
            </w:r>
          </w:p>
        </w:tc>
        <w:tc>
          <w:tcPr>
            <w:tcW w:w="1619" w:type="dxa"/>
          </w:tcPr>
          <w:p w14:paraId="04255E36" w14:textId="77777777" w:rsidR="00202DA6" w:rsidRPr="00984E1A" w:rsidRDefault="00202DA6" w:rsidP="00202DA6"/>
        </w:tc>
      </w:tr>
      <w:tr w:rsidR="00202DA6" w14:paraId="3165070B" w14:textId="77777777" w:rsidTr="00202DA6">
        <w:tc>
          <w:tcPr>
            <w:tcW w:w="1573" w:type="dxa"/>
          </w:tcPr>
          <w:p w14:paraId="0057C496" w14:textId="0B7731C9" w:rsidR="00202DA6" w:rsidRPr="00984E1A" w:rsidRDefault="00202DA6" w:rsidP="00202DA6">
            <w:pPr>
              <w:rPr>
                <w:rFonts w:cs="Arial"/>
              </w:rPr>
            </w:pPr>
            <w:r w:rsidRPr="00984E1A">
              <w:rPr>
                <w:rFonts w:cs="Arial"/>
              </w:rPr>
              <w:t>Респираторни, гръдни и медиастинални нарушения</w:t>
            </w:r>
          </w:p>
        </w:tc>
        <w:tc>
          <w:tcPr>
            <w:tcW w:w="1472" w:type="dxa"/>
          </w:tcPr>
          <w:p w14:paraId="421D5FDF" w14:textId="77777777" w:rsidR="00202DA6" w:rsidRPr="00984E1A" w:rsidRDefault="00202DA6" w:rsidP="00202DA6">
            <w:pPr>
              <w:rPr>
                <w:rFonts w:cs="Arial"/>
              </w:rPr>
            </w:pPr>
          </w:p>
        </w:tc>
        <w:tc>
          <w:tcPr>
            <w:tcW w:w="1675" w:type="dxa"/>
          </w:tcPr>
          <w:p w14:paraId="7BF3BC63" w14:textId="76BD959A" w:rsidR="00202DA6" w:rsidRPr="00984E1A" w:rsidRDefault="00202DA6" w:rsidP="00202DA6">
            <w:pPr>
              <w:rPr>
                <w:rFonts w:cs="Arial"/>
              </w:rPr>
            </w:pPr>
            <w:r w:rsidRPr="00984E1A">
              <w:rPr>
                <w:rFonts w:cs="Arial"/>
              </w:rPr>
              <w:t>Диспнея, епистаксис, назална конгестия, ринорея, кашлица*</w:t>
            </w:r>
          </w:p>
        </w:tc>
        <w:tc>
          <w:tcPr>
            <w:tcW w:w="1683" w:type="dxa"/>
            <w:vAlign w:val="bottom"/>
          </w:tcPr>
          <w:p w14:paraId="508F0A0A" w14:textId="62212DE1" w:rsidR="00202DA6" w:rsidRPr="00984E1A" w:rsidRDefault="00202DA6" w:rsidP="00202DA6">
            <w:pPr>
              <w:rPr>
                <w:rFonts w:cs="Arial"/>
              </w:rPr>
            </w:pPr>
            <w:r w:rsidRPr="00984E1A">
              <w:rPr>
                <w:rFonts w:cs="Arial"/>
              </w:rPr>
              <w:t>Диспнея при физически усилия, параназална синусова свръхсекреция, дисфония</w:t>
            </w:r>
          </w:p>
        </w:tc>
        <w:tc>
          <w:tcPr>
            <w:tcW w:w="1554" w:type="dxa"/>
          </w:tcPr>
          <w:p w14:paraId="1A810703" w14:textId="77777777" w:rsidR="00202DA6" w:rsidRPr="00984E1A" w:rsidRDefault="00202DA6" w:rsidP="00202DA6">
            <w:pPr>
              <w:rPr>
                <w:rFonts w:cs="Arial"/>
              </w:rPr>
            </w:pPr>
          </w:p>
        </w:tc>
        <w:tc>
          <w:tcPr>
            <w:tcW w:w="1619" w:type="dxa"/>
          </w:tcPr>
          <w:p w14:paraId="62F6CEB6" w14:textId="77777777" w:rsidR="00202DA6" w:rsidRPr="00984E1A" w:rsidRDefault="00202DA6" w:rsidP="00202DA6"/>
        </w:tc>
      </w:tr>
      <w:tr w:rsidR="00202DA6" w14:paraId="2094F7F9" w14:textId="77777777" w:rsidTr="00202DA6">
        <w:tc>
          <w:tcPr>
            <w:tcW w:w="1573" w:type="dxa"/>
          </w:tcPr>
          <w:p w14:paraId="0BCBEC31" w14:textId="2DE9F12C" w:rsidR="00202DA6" w:rsidRPr="00984E1A" w:rsidRDefault="00202DA6" w:rsidP="00202DA6">
            <w:pPr>
              <w:rPr>
                <w:rFonts w:cs="Arial"/>
              </w:rPr>
            </w:pPr>
            <w:r w:rsidRPr="00984E1A">
              <w:rPr>
                <w:rFonts w:cs="Arial"/>
              </w:rPr>
              <w:t>Стомашно- чревни нарушения</w:t>
            </w:r>
          </w:p>
        </w:tc>
        <w:tc>
          <w:tcPr>
            <w:tcW w:w="1472" w:type="dxa"/>
          </w:tcPr>
          <w:p w14:paraId="2930DA4F" w14:textId="02D5F610" w:rsidR="00202DA6" w:rsidRPr="00984E1A" w:rsidRDefault="00202DA6" w:rsidP="00202DA6">
            <w:pPr>
              <w:rPr>
                <w:rFonts w:cs="Arial"/>
              </w:rPr>
            </w:pPr>
            <w:r w:rsidRPr="00984E1A">
              <w:rPr>
                <w:rFonts w:cs="Arial"/>
              </w:rPr>
              <w:t>Гадене, диария,</w:t>
            </w:r>
          </w:p>
        </w:tc>
        <w:tc>
          <w:tcPr>
            <w:tcW w:w="1675" w:type="dxa"/>
          </w:tcPr>
          <w:p w14:paraId="5233DF9E" w14:textId="654D6574" w:rsidR="00202DA6" w:rsidRPr="00984E1A" w:rsidRDefault="00202DA6" w:rsidP="00202DA6">
            <w:pPr>
              <w:rPr>
                <w:rFonts w:cs="Arial"/>
              </w:rPr>
            </w:pPr>
            <w:r w:rsidRPr="00984E1A">
              <w:rPr>
                <w:rFonts w:cs="Arial"/>
              </w:rPr>
              <w:t xml:space="preserve">Повръщане, запек, болки в горната част на корема, </w:t>
            </w:r>
            <w:r w:rsidRPr="00984E1A">
              <w:rPr>
                <w:rFonts w:cs="Arial"/>
              </w:rPr>
              <w:lastRenderedPageBreak/>
              <w:t>диспепсия, болки в корема, сухота в устата, стомашен дискомфорт, орална парестезия, гастрит, коремен дискомфорт</w:t>
            </w:r>
          </w:p>
        </w:tc>
        <w:tc>
          <w:tcPr>
            <w:tcW w:w="1683" w:type="dxa"/>
            <w:vAlign w:val="bottom"/>
          </w:tcPr>
          <w:p w14:paraId="2B167EDA" w14:textId="653A0256" w:rsidR="00202DA6" w:rsidRPr="00984E1A" w:rsidRDefault="00202DA6" w:rsidP="00202DA6">
            <w:pPr>
              <w:rPr>
                <w:rFonts w:cs="Arial"/>
              </w:rPr>
            </w:pPr>
            <w:r w:rsidRPr="00984E1A">
              <w:rPr>
                <w:rFonts w:cs="Arial"/>
              </w:rPr>
              <w:lastRenderedPageBreak/>
              <w:t xml:space="preserve">Панкреатит, флатуленция, гастроезофа- геален </w:t>
            </w:r>
            <w:r w:rsidRPr="00984E1A">
              <w:rPr>
                <w:rFonts w:cs="Arial"/>
              </w:rPr>
              <w:lastRenderedPageBreak/>
              <w:t>рефлукс, болки в долната част на корема, орална хипоестезия, гингивално кървене, подуване на корема, епигастрален дискомфорт, чувствителност в корема, повишено слюноотделяне, болки в устата, мирис на дъха, глосодиния</w:t>
            </w:r>
          </w:p>
        </w:tc>
        <w:tc>
          <w:tcPr>
            <w:tcW w:w="1554" w:type="dxa"/>
          </w:tcPr>
          <w:p w14:paraId="190D2B7E" w14:textId="77777777" w:rsidR="00202DA6" w:rsidRPr="00984E1A" w:rsidRDefault="00202DA6" w:rsidP="00202DA6">
            <w:pPr>
              <w:rPr>
                <w:rFonts w:cs="Arial"/>
              </w:rPr>
            </w:pPr>
          </w:p>
        </w:tc>
        <w:tc>
          <w:tcPr>
            <w:tcW w:w="1619" w:type="dxa"/>
          </w:tcPr>
          <w:p w14:paraId="294A4064" w14:textId="77777777" w:rsidR="00202DA6" w:rsidRPr="00984E1A" w:rsidRDefault="00202DA6" w:rsidP="00202DA6"/>
        </w:tc>
      </w:tr>
      <w:tr w:rsidR="00202DA6" w14:paraId="56D50BEC" w14:textId="77777777" w:rsidTr="00202DA6">
        <w:tc>
          <w:tcPr>
            <w:tcW w:w="1573" w:type="dxa"/>
          </w:tcPr>
          <w:p w14:paraId="0DF9D56A" w14:textId="2D04D289" w:rsidR="00202DA6" w:rsidRPr="00984E1A" w:rsidRDefault="00202DA6" w:rsidP="00202DA6">
            <w:pPr>
              <w:rPr>
                <w:rFonts w:cs="Arial"/>
              </w:rPr>
            </w:pPr>
            <w:r w:rsidRPr="00984E1A">
              <w:rPr>
                <w:rFonts w:cs="Arial"/>
              </w:rPr>
              <w:t>Хепато- билиарни нарушения</w:t>
            </w:r>
          </w:p>
        </w:tc>
        <w:tc>
          <w:tcPr>
            <w:tcW w:w="1472" w:type="dxa"/>
          </w:tcPr>
          <w:p w14:paraId="447D01B3" w14:textId="77777777" w:rsidR="00202DA6" w:rsidRPr="00984E1A" w:rsidRDefault="00202DA6" w:rsidP="00202DA6">
            <w:pPr>
              <w:rPr>
                <w:rFonts w:cs="Arial"/>
              </w:rPr>
            </w:pPr>
          </w:p>
        </w:tc>
        <w:tc>
          <w:tcPr>
            <w:tcW w:w="1675" w:type="dxa"/>
          </w:tcPr>
          <w:p w14:paraId="0AB700BB" w14:textId="77777777" w:rsidR="00202DA6" w:rsidRPr="00984E1A" w:rsidRDefault="00202DA6" w:rsidP="00202DA6">
            <w:pPr>
              <w:rPr>
                <w:rFonts w:cs="Arial"/>
              </w:rPr>
            </w:pPr>
          </w:p>
        </w:tc>
        <w:tc>
          <w:tcPr>
            <w:tcW w:w="1683" w:type="dxa"/>
          </w:tcPr>
          <w:p w14:paraId="29A3AB1A" w14:textId="77777777" w:rsidR="00202DA6" w:rsidRPr="00984E1A" w:rsidRDefault="00202DA6" w:rsidP="00202DA6">
            <w:pPr>
              <w:rPr>
                <w:rFonts w:cs="Arial"/>
              </w:rPr>
            </w:pPr>
          </w:p>
        </w:tc>
        <w:tc>
          <w:tcPr>
            <w:tcW w:w="1554" w:type="dxa"/>
            <w:vAlign w:val="bottom"/>
          </w:tcPr>
          <w:p w14:paraId="06E7BB85" w14:textId="2D0DA790" w:rsidR="00202DA6" w:rsidRPr="00984E1A" w:rsidRDefault="00202DA6" w:rsidP="00202DA6">
            <w:pPr>
              <w:rPr>
                <w:rFonts w:cs="Arial"/>
              </w:rPr>
            </w:pPr>
            <w:r w:rsidRPr="00984E1A">
              <w:rPr>
                <w:rFonts w:cs="Arial"/>
              </w:rPr>
              <w:t>Хепатит, чернодробна недостатъч</w:t>
            </w:r>
            <w:r w:rsidRPr="00984E1A">
              <w:rPr>
                <w:rFonts w:cs="Arial"/>
              </w:rPr>
              <w:softHyphen/>
              <w:t>ност</w:t>
            </w:r>
          </w:p>
        </w:tc>
        <w:tc>
          <w:tcPr>
            <w:tcW w:w="1619" w:type="dxa"/>
          </w:tcPr>
          <w:p w14:paraId="0311A434" w14:textId="77777777" w:rsidR="00202DA6" w:rsidRPr="00984E1A" w:rsidRDefault="00202DA6" w:rsidP="00202DA6"/>
        </w:tc>
      </w:tr>
      <w:tr w:rsidR="00202DA6" w14:paraId="1273D603" w14:textId="77777777" w:rsidTr="00202DA6">
        <w:trPr>
          <w:trHeight w:val="3496"/>
        </w:trPr>
        <w:tc>
          <w:tcPr>
            <w:tcW w:w="1573" w:type="dxa"/>
          </w:tcPr>
          <w:p w14:paraId="46373CF2" w14:textId="7FE21853" w:rsidR="00202DA6" w:rsidRPr="00984E1A" w:rsidRDefault="00202DA6" w:rsidP="00202DA6">
            <w:pPr>
              <w:rPr>
                <w:rFonts w:cs="Arial"/>
              </w:rPr>
            </w:pPr>
            <w:r w:rsidRPr="00984E1A">
              <w:rPr>
                <w:rFonts w:cs="Arial"/>
              </w:rPr>
              <w:t>Нарушения на кожата и подкожната тъкан</w:t>
            </w:r>
          </w:p>
        </w:tc>
        <w:tc>
          <w:tcPr>
            <w:tcW w:w="1472" w:type="dxa"/>
          </w:tcPr>
          <w:p w14:paraId="5029E315" w14:textId="77777777" w:rsidR="00202DA6" w:rsidRPr="00984E1A" w:rsidRDefault="00202DA6" w:rsidP="00202DA6">
            <w:pPr>
              <w:rPr>
                <w:rFonts w:cs="Arial"/>
              </w:rPr>
            </w:pPr>
          </w:p>
        </w:tc>
        <w:tc>
          <w:tcPr>
            <w:tcW w:w="1675" w:type="dxa"/>
          </w:tcPr>
          <w:p w14:paraId="71F98E4B" w14:textId="1FCC2044" w:rsidR="00202DA6" w:rsidRPr="00984E1A" w:rsidRDefault="00202DA6" w:rsidP="00202DA6">
            <w:pPr>
              <w:rPr>
                <w:rFonts w:cs="Arial"/>
              </w:rPr>
            </w:pPr>
            <w:r w:rsidRPr="00984E1A">
              <w:rPr>
                <w:rFonts w:cs="Arial"/>
              </w:rPr>
              <w:t>Алопеция, обрив, пруритус</w:t>
            </w:r>
          </w:p>
        </w:tc>
        <w:tc>
          <w:tcPr>
            <w:tcW w:w="1683" w:type="dxa"/>
            <w:vAlign w:val="bottom"/>
          </w:tcPr>
          <w:p w14:paraId="513BEB4F" w14:textId="77777777" w:rsidR="00202DA6" w:rsidRPr="00984E1A" w:rsidRDefault="00202DA6" w:rsidP="00202DA6">
            <w:pPr>
              <w:rPr>
                <w:rFonts w:cs="Arial"/>
              </w:rPr>
            </w:pPr>
            <w:r w:rsidRPr="00984E1A">
              <w:rPr>
                <w:rFonts w:cs="Arial"/>
              </w:rPr>
              <w:t>Анхидроза, фациална хипоестезия, уриткария, еритема, генерализиран пруритус, макуларен обрив, промяна</w:t>
            </w:r>
          </w:p>
          <w:p w14:paraId="0DD4C225" w14:textId="02BF05CD" w:rsidR="00202DA6" w:rsidRPr="00984E1A" w:rsidRDefault="00202DA6" w:rsidP="00202DA6">
            <w:pPr>
              <w:rPr>
                <w:rFonts w:cs="Arial"/>
              </w:rPr>
            </w:pPr>
            <w:r w:rsidRPr="00984E1A">
              <w:rPr>
                <w:rFonts w:cs="Arial"/>
              </w:rPr>
              <w:t>на цвета на кожата, алергичен дерматит, отичане на лицето</w:t>
            </w:r>
          </w:p>
        </w:tc>
        <w:tc>
          <w:tcPr>
            <w:tcW w:w="1554" w:type="dxa"/>
            <w:vAlign w:val="bottom"/>
          </w:tcPr>
          <w:p w14:paraId="641E9F00" w14:textId="77777777" w:rsidR="00202DA6" w:rsidRPr="00984E1A" w:rsidRDefault="00202DA6" w:rsidP="00202DA6">
            <w:pPr>
              <w:rPr>
                <w:rFonts w:cs="Arial"/>
              </w:rPr>
            </w:pPr>
            <w:r w:rsidRPr="00984E1A">
              <w:rPr>
                <w:rFonts w:cs="Arial"/>
              </w:rPr>
              <w:t xml:space="preserve">Синдром на </w:t>
            </w:r>
            <w:r w:rsidRPr="00984E1A">
              <w:rPr>
                <w:rFonts w:cs="Arial"/>
                <w:lang w:val="en-US"/>
              </w:rPr>
              <w:t xml:space="preserve">Stevens- Johnson*, </w:t>
            </w:r>
            <w:r w:rsidRPr="00984E1A">
              <w:rPr>
                <w:rFonts w:cs="Arial"/>
              </w:rPr>
              <w:t>еритема мултиформе*, абнормен мирис на</w:t>
            </w:r>
          </w:p>
          <w:p w14:paraId="05C6B186" w14:textId="77777777" w:rsidR="00202DA6" w:rsidRPr="00984E1A" w:rsidRDefault="00202DA6" w:rsidP="00202DA6">
            <w:pPr>
              <w:rPr>
                <w:rFonts w:cs="Arial"/>
              </w:rPr>
            </w:pPr>
            <w:r w:rsidRPr="00984E1A">
              <w:rPr>
                <w:rFonts w:cs="Arial"/>
              </w:rPr>
              <w:t>кожата,</w:t>
            </w:r>
          </w:p>
          <w:p w14:paraId="6DBF84C5" w14:textId="77777777" w:rsidR="00202DA6" w:rsidRPr="00984E1A" w:rsidRDefault="00202DA6" w:rsidP="00202DA6">
            <w:pPr>
              <w:rPr>
                <w:rFonts w:cs="Arial"/>
              </w:rPr>
            </w:pPr>
            <w:r w:rsidRPr="00984E1A">
              <w:rPr>
                <w:rFonts w:cs="Arial"/>
              </w:rPr>
              <w:t>периорбитален</w:t>
            </w:r>
          </w:p>
          <w:p w14:paraId="3628B253" w14:textId="675574AC" w:rsidR="00202DA6" w:rsidRPr="00984E1A" w:rsidRDefault="00202DA6" w:rsidP="00202DA6">
            <w:pPr>
              <w:rPr>
                <w:rFonts w:cs="Arial"/>
              </w:rPr>
            </w:pPr>
            <w:r w:rsidRPr="00984E1A">
              <w:rPr>
                <w:rFonts w:cs="Arial"/>
              </w:rPr>
              <w:t>оток*, локализирана уртикария</w:t>
            </w:r>
          </w:p>
        </w:tc>
        <w:tc>
          <w:tcPr>
            <w:tcW w:w="1619" w:type="dxa"/>
          </w:tcPr>
          <w:p w14:paraId="524DEC6C" w14:textId="1BE39682" w:rsidR="00202DA6" w:rsidRPr="00984E1A" w:rsidRDefault="00202DA6" w:rsidP="00202DA6">
            <w:r w:rsidRPr="00984E1A">
              <w:t>Токсична епидермална некроли</w:t>
            </w:r>
            <w:r w:rsidRPr="00984E1A">
              <w:rPr>
                <w:u w:val="single"/>
              </w:rPr>
              <w:t>з</w:t>
            </w:r>
            <w:r w:rsidRPr="00984E1A">
              <w:t>а*</w:t>
            </w:r>
          </w:p>
        </w:tc>
      </w:tr>
      <w:tr w:rsidR="00202DA6" w14:paraId="64838A9C" w14:textId="77777777" w:rsidTr="00202DA6">
        <w:tc>
          <w:tcPr>
            <w:tcW w:w="1573" w:type="dxa"/>
          </w:tcPr>
          <w:p w14:paraId="44D6E6ED" w14:textId="171FDDC8" w:rsidR="00202DA6" w:rsidRPr="00984E1A" w:rsidRDefault="00202DA6" w:rsidP="00202DA6">
            <w:pPr>
              <w:rPr>
                <w:rFonts w:cs="Arial"/>
              </w:rPr>
            </w:pPr>
            <w:r w:rsidRPr="00984E1A">
              <w:rPr>
                <w:rFonts w:cs="Arial"/>
              </w:rPr>
              <w:t>Нарушения на мускулно- скелетната система и съединител</w:t>
            </w:r>
            <w:r w:rsidRPr="00984E1A">
              <w:rPr>
                <w:rFonts w:cs="Arial"/>
              </w:rPr>
              <w:softHyphen/>
              <w:t>ната тъкан</w:t>
            </w:r>
          </w:p>
        </w:tc>
        <w:tc>
          <w:tcPr>
            <w:tcW w:w="1472" w:type="dxa"/>
          </w:tcPr>
          <w:p w14:paraId="0365E439" w14:textId="77777777" w:rsidR="00202DA6" w:rsidRPr="00984E1A" w:rsidRDefault="00202DA6" w:rsidP="00202DA6">
            <w:pPr>
              <w:rPr>
                <w:rFonts w:cs="Arial"/>
              </w:rPr>
            </w:pPr>
          </w:p>
        </w:tc>
        <w:tc>
          <w:tcPr>
            <w:tcW w:w="1675" w:type="dxa"/>
            <w:vAlign w:val="bottom"/>
          </w:tcPr>
          <w:p w14:paraId="76F1152D" w14:textId="3C8C0C83" w:rsidR="00202DA6" w:rsidRPr="00984E1A" w:rsidRDefault="00202DA6" w:rsidP="00202DA6">
            <w:pPr>
              <w:rPr>
                <w:rFonts w:cs="Arial"/>
              </w:rPr>
            </w:pPr>
            <w:r w:rsidRPr="00984E1A">
              <w:rPr>
                <w:rFonts w:cs="Arial"/>
              </w:rPr>
              <w:t xml:space="preserve">Артралгия, мускулни спазми, миалгия, мускулни конвулсии, </w:t>
            </w:r>
            <w:r w:rsidRPr="00984E1A">
              <w:rPr>
                <w:rFonts w:cs="Arial"/>
              </w:rPr>
              <w:lastRenderedPageBreak/>
              <w:t>отслабване на мускулите, мускулноске- летна болка в областта на гръдния кош</w:t>
            </w:r>
          </w:p>
        </w:tc>
        <w:tc>
          <w:tcPr>
            <w:tcW w:w="1683" w:type="dxa"/>
          </w:tcPr>
          <w:p w14:paraId="19C66193" w14:textId="63C8C2AC" w:rsidR="00202DA6" w:rsidRPr="00984E1A" w:rsidRDefault="00202DA6" w:rsidP="00202DA6">
            <w:pPr>
              <w:rPr>
                <w:rFonts w:cs="Arial"/>
              </w:rPr>
            </w:pPr>
            <w:r w:rsidRPr="00984E1A">
              <w:rPr>
                <w:rFonts w:cs="Arial"/>
              </w:rPr>
              <w:lastRenderedPageBreak/>
              <w:t xml:space="preserve">Отичане на ставите *, мускулноске- летна скованост, болки в </w:t>
            </w:r>
            <w:r w:rsidRPr="00984E1A">
              <w:rPr>
                <w:rFonts w:cs="Arial"/>
              </w:rPr>
              <w:lastRenderedPageBreak/>
              <w:t>слабините, умора на мускулите</w:t>
            </w:r>
          </w:p>
        </w:tc>
        <w:tc>
          <w:tcPr>
            <w:tcW w:w="1554" w:type="dxa"/>
          </w:tcPr>
          <w:p w14:paraId="6A9A128D" w14:textId="27E12C75" w:rsidR="00202DA6" w:rsidRPr="00984E1A" w:rsidRDefault="00202DA6" w:rsidP="00202DA6">
            <w:pPr>
              <w:rPr>
                <w:rFonts w:cs="Arial"/>
              </w:rPr>
            </w:pPr>
            <w:r w:rsidRPr="00984E1A">
              <w:rPr>
                <w:rFonts w:cs="Arial"/>
              </w:rPr>
              <w:lastRenderedPageBreak/>
              <w:t>Дискомфорт на крайниците*</w:t>
            </w:r>
          </w:p>
        </w:tc>
        <w:tc>
          <w:tcPr>
            <w:tcW w:w="1619" w:type="dxa"/>
          </w:tcPr>
          <w:p w14:paraId="33C6965F" w14:textId="77777777" w:rsidR="00202DA6" w:rsidRPr="00984E1A" w:rsidRDefault="00202DA6" w:rsidP="00202DA6"/>
        </w:tc>
      </w:tr>
      <w:tr w:rsidR="00202DA6" w14:paraId="2C8D4EDD" w14:textId="77777777" w:rsidTr="00202DA6">
        <w:tc>
          <w:tcPr>
            <w:tcW w:w="1573" w:type="dxa"/>
          </w:tcPr>
          <w:p w14:paraId="2569632E" w14:textId="04735488" w:rsidR="00202DA6" w:rsidRPr="00984E1A" w:rsidRDefault="00202DA6" w:rsidP="00202DA6">
            <w:pPr>
              <w:rPr>
                <w:rFonts w:cs="Arial"/>
              </w:rPr>
            </w:pPr>
            <w:r w:rsidRPr="00984E1A">
              <w:rPr>
                <w:rFonts w:cs="Arial"/>
              </w:rPr>
              <w:t>Нарушения на бъбреците и пикочните пътища</w:t>
            </w:r>
          </w:p>
        </w:tc>
        <w:tc>
          <w:tcPr>
            <w:tcW w:w="1472" w:type="dxa"/>
          </w:tcPr>
          <w:p w14:paraId="570EB3C0" w14:textId="77777777" w:rsidR="00202DA6" w:rsidRPr="00984E1A" w:rsidRDefault="00202DA6" w:rsidP="00202DA6">
            <w:pPr>
              <w:rPr>
                <w:rFonts w:cs="Arial"/>
              </w:rPr>
            </w:pPr>
          </w:p>
        </w:tc>
        <w:tc>
          <w:tcPr>
            <w:tcW w:w="1675" w:type="dxa"/>
          </w:tcPr>
          <w:p w14:paraId="6A12B6FF" w14:textId="577E9895" w:rsidR="00202DA6" w:rsidRPr="00984E1A" w:rsidRDefault="00202DA6" w:rsidP="00202DA6">
            <w:pPr>
              <w:rPr>
                <w:rFonts w:cs="Arial"/>
              </w:rPr>
            </w:pPr>
            <w:r w:rsidRPr="00984E1A">
              <w:rPr>
                <w:rFonts w:cs="Arial"/>
              </w:rPr>
              <w:t>Нефролитиаза, полакиурия, дизурия</w:t>
            </w:r>
          </w:p>
        </w:tc>
        <w:tc>
          <w:tcPr>
            <w:tcW w:w="1683" w:type="dxa"/>
            <w:vAlign w:val="bottom"/>
          </w:tcPr>
          <w:p w14:paraId="6B034434" w14:textId="2EB0684B" w:rsidR="00202DA6" w:rsidRPr="00984E1A" w:rsidRDefault="00202DA6" w:rsidP="00202DA6">
            <w:pPr>
              <w:rPr>
                <w:rFonts w:cs="Arial"/>
              </w:rPr>
            </w:pPr>
            <w:r w:rsidRPr="00984E1A">
              <w:rPr>
                <w:rFonts w:cs="Arial"/>
              </w:rPr>
              <w:t>Камъни в пикочните пътища, уринарна инконтиненция, хематурия, инконтиненция, спешна миктуриция, бъбречни колики, болки в бъбреците</w:t>
            </w:r>
          </w:p>
        </w:tc>
        <w:tc>
          <w:tcPr>
            <w:tcW w:w="1554" w:type="dxa"/>
          </w:tcPr>
          <w:p w14:paraId="775C6A7C" w14:textId="409DC8C2" w:rsidR="00202DA6" w:rsidRPr="00984E1A" w:rsidRDefault="00202DA6" w:rsidP="00202DA6">
            <w:pPr>
              <w:rPr>
                <w:rFonts w:cs="Arial"/>
              </w:rPr>
            </w:pPr>
            <w:r w:rsidRPr="00984E1A">
              <w:rPr>
                <w:rFonts w:cs="Arial"/>
              </w:rPr>
              <w:t>Камъни в уретерите, ренална тубулна ацидоза*</w:t>
            </w:r>
          </w:p>
        </w:tc>
        <w:tc>
          <w:tcPr>
            <w:tcW w:w="1619" w:type="dxa"/>
          </w:tcPr>
          <w:p w14:paraId="2F6E10F5" w14:textId="77777777" w:rsidR="00202DA6" w:rsidRPr="00984E1A" w:rsidRDefault="00202DA6" w:rsidP="00202DA6"/>
        </w:tc>
      </w:tr>
      <w:tr w:rsidR="00202DA6" w14:paraId="4B2F01BF" w14:textId="77777777" w:rsidTr="00202DA6">
        <w:tc>
          <w:tcPr>
            <w:tcW w:w="1573" w:type="dxa"/>
            <w:vAlign w:val="bottom"/>
          </w:tcPr>
          <w:p w14:paraId="44172F2E" w14:textId="002B8735" w:rsidR="00202DA6" w:rsidRPr="00984E1A" w:rsidRDefault="00202DA6" w:rsidP="00202DA6">
            <w:pPr>
              <w:rPr>
                <w:rFonts w:cs="Arial"/>
              </w:rPr>
            </w:pPr>
            <w:r w:rsidRPr="00984E1A">
              <w:rPr>
                <w:rFonts w:cs="Arial"/>
              </w:rPr>
              <w:t>Нарушения на възпроизво</w:t>
            </w:r>
            <w:r w:rsidRPr="00984E1A">
              <w:rPr>
                <w:rFonts w:cs="Arial"/>
              </w:rPr>
              <w:softHyphen/>
              <w:t>дителната система и гърдата</w:t>
            </w:r>
          </w:p>
        </w:tc>
        <w:tc>
          <w:tcPr>
            <w:tcW w:w="1472" w:type="dxa"/>
          </w:tcPr>
          <w:p w14:paraId="4879C8B5" w14:textId="77777777" w:rsidR="00202DA6" w:rsidRPr="00984E1A" w:rsidRDefault="00202DA6" w:rsidP="00202DA6">
            <w:pPr>
              <w:rPr>
                <w:rFonts w:cs="Arial"/>
              </w:rPr>
            </w:pPr>
          </w:p>
        </w:tc>
        <w:tc>
          <w:tcPr>
            <w:tcW w:w="1675" w:type="dxa"/>
          </w:tcPr>
          <w:p w14:paraId="0315AF29" w14:textId="77777777" w:rsidR="00202DA6" w:rsidRPr="00984E1A" w:rsidRDefault="00202DA6" w:rsidP="00202DA6">
            <w:pPr>
              <w:rPr>
                <w:rFonts w:cs="Arial"/>
              </w:rPr>
            </w:pPr>
          </w:p>
        </w:tc>
        <w:tc>
          <w:tcPr>
            <w:tcW w:w="1683" w:type="dxa"/>
          </w:tcPr>
          <w:p w14:paraId="71ED5E7B" w14:textId="20EEAFBB" w:rsidR="00202DA6" w:rsidRPr="00984E1A" w:rsidRDefault="00202DA6" w:rsidP="00202DA6">
            <w:pPr>
              <w:rPr>
                <w:rFonts w:cs="Arial"/>
              </w:rPr>
            </w:pPr>
            <w:r w:rsidRPr="00984E1A">
              <w:rPr>
                <w:rFonts w:cs="Arial"/>
              </w:rPr>
              <w:t>Ерекгилна дисфуикция, сексуална дисфуикция</w:t>
            </w:r>
          </w:p>
        </w:tc>
        <w:tc>
          <w:tcPr>
            <w:tcW w:w="1554" w:type="dxa"/>
          </w:tcPr>
          <w:p w14:paraId="3A4E836E" w14:textId="77777777" w:rsidR="00202DA6" w:rsidRPr="00984E1A" w:rsidRDefault="00202DA6" w:rsidP="00202DA6">
            <w:pPr>
              <w:rPr>
                <w:rFonts w:cs="Arial"/>
              </w:rPr>
            </w:pPr>
          </w:p>
        </w:tc>
        <w:tc>
          <w:tcPr>
            <w:tcW w:w="1619" w:type="dxa"/>
          </w:tcPr>
          <w:p w14:paraId="7114EF58" w14:textId="77777777" w:rsidR="00202DA6" w:rsidRPr="00984E1A" w:rsidRDefault="00202DA6" w:rsidP="00202DA6"/>
        </w:tc>
      </w:tr>
      <w:tr w:rsidR="00202DA6" w14:paraId="169C2EA1" w14:textId="77777777" w:rsidTr="00202DA6">
        <w:tc>
          <w:tcPr>
            <w:tcW w:w="1573" w:type="dxa"/>
          </w:tcPr>
          <w:p w14:paraId="6562E31D" w14:textId="193329F2" w:rsidR="00202DA6" w:rsidRPr="00984E1A" w:rsidRDefault="00202DA6" w:rsidP="00202DA6">
            <w:pPr>
              <w:rPr>
                <w:rFonts w:cs="Arial"/>
              </w:rPr>
            </w:pPr>
            <w:r w:rsidRPr="00984E1A">
              <w:rPr>
                <w:rFonts w:cs="Arial"/>
              </w:rPr>
              <w:t>Общи нарушения и ефекти на мястото на приложение</w:t>
            </w:r>
          </w:p>
        </w:tc>
        <w:tc>
          <w:tcPr>
            <w:tcW w:w="1472" w:type="dxa"/>
          </w:tcPr>
          <w:p w14:paraId="1DAFAA80" w14:textId="5ADCF1AB" w:rsidR="00202DA6" w:rsidRPr="00984E1A" w:rsidRDefault="00202DA6" w:rsidP="00202DA6">
            <w:pPr>
              <w:rPr>
                <w:rFonts w:cs="Arial"/>
              </w:rPr>
            </w:pPr>
            <w:r w:rsidRPr="00984E1A">
              <w:rPr>
                <w:rFonts w:cs="Arial"/>
              </w:rPr>
              <w:t>Умора</w:t>
            </w:r>
          </w:p>
        </w:tc>
        <w:tc>
          <w:tcPr>
            <w:tcW w:w="1675" w:type="dxa"/>
          </w:tcPr>
          <w:p w14:paraId="772CB79B" w14:textId="69301545" w:rsidR="00202DA6" w:rsidRPr="00984E1A" w:rsidRDefault="00202DA6" w:rsidP="00202DA6">
            <w:pPr>
              <w:rPr>
                <w:rFonts w:cs="Arial"/>
              </w:rPr>
            </w:pPr>
            <w:r w:rsidRPr="00984E1A">
              <w:rPr>
                <w:rFonts w:cs="Arial"/>
              </w:rPr>
              <w:t>Пирексия, астения, раздразнител</w:t>
            </w:r>
            <w:r w:rsidRPr="00984E1A">
              <w:rPr>
                <w:rFonts w:cs="Arial"/>
              </w:rPr>
              <w:softHyphen/>
              <w:t>ност, нарушена походка, абнормни усещания, неразположение</w:t>
            </w:r>
          </w:p>
        </w:tc>
        <w:tc>
          <w:tcPr>
            <w:tcW w:w="1683" w:type="dxa"/>
          </w:tcPr>
          <w:p w14:paraId="098C9D9D" w14:textId="74ACE456" w:rsidR="00202DA6" w:rsidRPr="00984E1A" w:rsidRDefault="00202DA6" w:rsidP="00202DA6">
            <w:pPr>
              <w:rPr>
                <w:rFonts w:cs="Arial"/>
              </w:rPr>
            </w:pPr>
            <w:r w:rsidRPr="00984E1A">
              <w:rPr>
                <w:rFonts w:cs="Arial"/>
              </w:rPr>
              <w:t>Хипертермия, жажда, грипоподобна болест*, забавени движения, студени крайници, чувство на опиянение, чувство на нервност</w:t>
            </w:r>
          </w:p>
        </w:tc>
        <w:tc>
          <w:tcPr>
            <w:tcW w:w="1554" w:type="dxa"/>
          </w:tcPr>
          <w:p w14:paraId="72873D84" w14:textId="27C0A324" w:rsidR="00202DA6" w:rsidRPr="00984E1A" w:rsidRDefault="00202DA6" w:rsidP="00202DA6">
            <w:pPr>
              <w:rPr>
                <w:rFonts w:cs="Arial"/>
              </w:rPr>
            </w:pPr>
            <w:r w:rsidRPr="00984E1A">
              <w:rPr>
                <w:rFonts w:cs="Arial"/>
              </w:rPr>
              <w:t>Отичане на лицето, калциноза</w:t>
            </w:r>
          </w:p>
        </w:tc>
        <w:tc>
          <w:tcPr>
            <w:tcW w:w="1619" w:type="dxa"/>
          </w:tcPr>
          <w:p w14:paraId="494FD49C" w14:textId="77777777" w:rsidR="00202DA6" w:rsidRPr="00984E1A" w:rsidRDefault="00202DA6" w:rsidP="00202DA6"/>
        </w:tc>
      </w:tr>
      <w:tr w:rsidR="00202DA6" w14:paraId="782C7679" w14:textId="77777777" w:rsidTr="00202DA6">
        <w:tc>
          <w:tcPr>
            <w:tcW w:w="1573" w:type="dxa"/>
          </w:tcPr>
          <w:p w14:paraId="00B594AF" w14:textId="243F6523" w:rsidR="00202DA6" w:rsidRPr="00984E1A" w:rsidRDefault="00202DA6" w:rsidP="00202DA6">
            <w:pPr>
              <w:rPr>
                <w:rFonts w:cs="Arial"/>
              </w:rPr>
            </w:pPr>
            <w:r w:rsidRPr="00984E1A">
              <w:rPr>
                <w:rFonts w:cs="Arial"/>
              </w:rPr>
              <w:t>Изследвания</w:t>
            </w:r>
          </w:p>
        </w:tc>
        <w:tc>
          <w:tcPr>
            <w:tcW w:w="1472" w:type="dxa"/>
          </w:tcPr>
          <w:p w14:paraId="5115A7E8" w14:textId="2F17A703" w:rsidR="00202DA6" w:rsidRPr="00984E1A" w:rsidRDefault="00202DA6" w:rsidP="00202DA6">
            <w:pPr>
              <w:rPr>
                <w:rFonts w:cs="Arial"/>
              </w:rPr>
            </w:pPr>
            <w:r w:rsidRPr="00984E1A">
              <w:rPr>
                <w:rFonts w:cs="Arial"/>
              </w:rPr>
              <w:t>Намалено тегло</w:t>
            </w:r>
          </w:p>
        </w:tc>
        <w:tc>
          <w:tcPr>
            <w:tcW w:w="1675" w:type="dxa"/>
          </w:tcPr>
          <w:p w14:paraId="46D7612C" w14:textId="396EF9E1" w:rsidR="00202DA6" w:rsidRPr="00984E1A" w:rsidRDefault="00202DA6" w:rsidP="00202DA6">
            <w:pPr>
              <w:rPr>
                <w:rFonts w:cs="Arial"/>
              </w:rPr>
            </w:pPr>
            <w:r w:rsidRPr="00984E1A">
              <w:rPr>
                <w:rFonts w:cs="Arial"/>
              </w:rPr>
              <w:t>Увеличено тегло*</w:t>
            </w:r>
          </w:p>
        </w:tc>
        <w:tc>
          <w:tcPr>
            <w:tcW w:w="1683" w:type="dxa"/>
          </w:tcPr>
          <w:p w14:paraId="4FB7BDE2" w14:textId="7174F3C5" w:rsidR="00202DA6" w:rsidRPr="00984E1A" w:rsidRDefault="00202DA6" w:rsidP="00202DA6">
            <w:pPr>
              <w:rPr>
                <w:rFonts w:cs="Arial"/>
              </w:rPr>
            </w:pPr>
            <w:r w:rsidRPr="00984E1A">
              <w:rPr>
                <w:rFonts w:cs="Arial"/>
              </w:rPr>
              <w:t xml:space="preserve">Кристали в урината, абнормен тест за тандемна походка, намален брой на белите кръвни клетки, повишени </w:t>
            </w:r>
            <w:r w:rsidRPr="00984E1A">
              <w:rPr>
                <w:rFonts w:cs="Arial"/>
              </w:rPr>
              <w:lastRenderedPageBreak/>
              <w:t>чернодробни ензими</w:t>
            </w:r>
          </w:p>
        </w:tc>
        <w:tc>
          <w:tcPr>
            <w:tcW w:w="1554" w:type="dxa"/>
          </w:tcPr>
          <w:p w14:paraId="56FC6C54" w14:textId="2EB8ADE6" w:rsidR="00202DA6" w:rsidRPr="00984E1A" w:rsidRDefault="00202DA6" w:rsidP="00202DA6">
            <w:pPr>
              <w:rPr>
                <w:rFonts w:cs="Arial"/>
              </w:rPr>
            </w:pPr>
            <w:r w:rsidRPr="00984E1A">
              <w:rPr>
                <w:rFonts w:cs="Arial"/>
              </w:rPr>
              <w:lastRenderedPageBreak/>
              <w:t>Намалено ниво на бикарбонат в кръвта</w:t>
            </w:r>
          </w:p>
        </w:tc>
        <w:tc>
          <w:tcPr>
            <w:tcW w:w="1619" w:type="dxa"/>
          </w:tcPr>
          <w:p w14:paraId="2CD4BB91" w14:textId="77777777" w:rsidR="00202DA6" w:rsidRPr="00984E1A" w:rsidRDefault="00202DA6" w:rsidP="00202DA6"/>
        </w:tc>
      </w:tr>
      <w:tr w:rsidR="00202DA6" w14:paraId="53852A9D" w14:textId="77777777" w:rsidTr="00202DA6">
        <w:tc>
          <w:tcPr>
            <w:tcW w:w="1573" w:type="dxa"/>
          </w:tcPr>
          <w:p w14:paraId="5CCA0720" w14:textId="7DF42898" w:rsidR="00202DA6" w:rsidRPr="00984E1A" w:rsidRDefault="00202DA6" w:rsidP="00202DA6">
            <w:pPr>
              <w:rPr>
                <w:rFonts w:cs="Arial"/>
              </w:rPr>
            </w:pPr>
            <w:r w:rsidRPr="00984E1A">
              <w:rPr>
                <w:rFonts w:cs="Arial"/>
              </w:rPr>
              <w:t>Социални предпоставки</w:t>
            </w:r>
          </w:p>
        </w:tc>
        <w:tc>
          <w:tcPr>
            <w:tcW w:w="1472" w:type="dxa"/>
          </w:tcPr>
          <w:p w14:paraId="4D804A8A" w14:textId="77777777" w:rsidR="00202DA6" w:rsidRPr="00984E1A" w:rsidRDefault="00202DA6" w:rsidP="00202DA6">
            <w:pPr>
              <w:rPr>
                <w:rFonts w:cs="Arial"/>
              </w:rPr>
            </w:pPr>
          </w:p>
        </w:tc>
        <w:tc>
          <w:tcPr>
            <w:tcW w:w="1675" w:type="dxa"/>
          </w:tcPr>
          <w:p w14:paraId="4DB869E5" w14:textId="77777777" w:rsidR="00202DA6" w:rsidRPr="00984E1A" w:rsidRDefault="00202DA6" w:rsidP="00202DA6">
            <w:pPr>
              <w:rPr>
                <w:rFonts w:cs="Arial"/>
              </w:rPr>
            </w:pPr>
          </w:p>
        </w:tc>
        <w:tc>
          <w:tcPr>
            <w:tcW w:w="1683" w:type="dxa"/>
          </w:tcPr>
          <w:p w14:paraId="36C36742" w14:textId="1AC63978" w:rsidR="00202DA6" w:rsidRPr="00984E1A" w:rsidRDefault="00202DA6" w:rsidP="00202DA6">
            <w:pPr>
              <w:rPr>
                <w:rFonts w:cs="Arial"/>
              </w:rPr>
            </w:pPr>
            <w:r w:rsidRPr="00984E1A">
              <w:rPr>
                <w:rFonts w:cs="Arial"/>
              </w:rPr>
              <w:t>Неспособност за учене</w:t>
            </w:r>
          </w:p>
        </w:tc>
        <w:tc>
          <w:tcPr>
            <w:tcW w:w="1554" w:type="dxa"/>
          </w:tcPr>
          <w:p w14:paraId="015D2C7E" w14:textId="77777777" w:rsidR="00202DA6" w:rsidRPr="00984E1A" w:rsidRDefault="00202DA6" w:rsidP="00202DA6">
            <w:pPr>
              <w:rPr>
                <w:rFonts w:cs="Arial"/>
              </w:rPr>
            </w:pPr>
          </w:p>
        </w:tc>
        <w:tc>
          <w:tcPr>
            <w:tcW w:w="1619" w:type="dxa"/>
          </w:tcPr>
          <w:p w14:paraId="6E808542" w14:textId="77777777" w:rsidR="00202DA6" w:rsidRPr="00984E1A" w:rsidRDefault="00202DA6" w:rsidP="00202DA6"/>
        </w:tc>
      </w:tr>
    </w:tbl>
    <w:p w14:paraId="5C14D45F" w14:textId="77777777" w:rsidR="00202DA6" w:rsidRDefault="00202DA6" w:rsidP="0091385D"/>
    <w:p w14:paraId="02EE9CF5" w14:textId="77777777" w:rsidR="00202DA6" w:rsidRPr="00202DA6" w:rsidRDefault="00202DA6" w:rsidP="00202DA6">
      <w:pPr>
        <w:spacing w:line="240" w:lineRule="auto"/>
        <w:rPr>
          <w:rFonts w:eastAsia="Times New Roman" w:cs="Arial"/>
          <w:sz w:val="24"/>
          <w:szCs w:val="24"/>
          <w:lang w:eastAsia="bg-BG"/>
        </w:rPr>
      </w:pPr>
      <w:r w:rsidRPr="00202DA6">
        <w:rPr>
          <w:rFonts w:eastAsia="Times New Roman" w:cs="Arial"/>
          <w:color w:val="000000"/>
          <w:sz w:val="20"/>
          <w:szCs w:val="20"/>
          <w:lang w:eastAsia="bg-BG"/>
        </w:rPr>
        <w:t>*посочено като НЛР при постмаркетингово спонтанно съобщение. Честотата му е изчислена на базата на появата в клиничните изпитвания или ако събитието не се е случило по време на клиничните изпитвания.</w:t>
      </w:r>
    </w:p>
    <w:p w14:paraId="27FAF705" w14:textId="77777777" w:rsidR="00202DA6" w:rsidRPr="00202DA6" w:rsidRDefault="00202DA6" w:rsidP="00202DA6">
      <w:pPr>
        <w:spacing w:line="240" w:lineRule="auto"/>
        <w:rPr>
          <w:rFonts w:eastAsia="Times New Roman" w:cs="Arial"/>
          <w:color w:val="000000"/>
          <w:szCs w:val="20"/>
          <w:lang w:eastAsia="bg-BG"/>
        </w:rPr>
      </w:pPr>
    </w:p>
    <w:p w14:paraId="1708199C" w14:textId="1DC84B3C"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Вродени малформации или ограничаване на растежа на плода (вж. точки 4.4 и 4.6).</w:t>
      </w:r>
    </w:p>
    <w:p w14:paraId="6371085F" w14:textId="77777777" w:rsidR="00202DA6" w:rsidRPr="00202DA6" w:rsidRDefault="00202DA6" w:rsidP="00202DA6">
      <w:pPr>
        <w:spacing w:line="240" w:lineRule="auto"/>
        <w:rPr>
          <w:rFonts w:eastAsia="Times New Roman" w:cs="Arial"/>
          <w:color w:val="000000"/>
          <w:szCs w:val="20"/>
          <w:u w:val="single"/>
          <w:lang w:eastAsia="bg-BG"/>
        </w:rPr>
      </w:pPr>
    </w:p>
    <w:p w14:paraId="2CCB40F6" w14:textId="72A94961"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u w:val="single"/>
          <w:lang w:eastAsia="bg-BG"/>
        </w:rPr>
        <w:t xml:space="preserve">Педиатрична </w:t>
      </w:r>
      <w:r w:rsidRPr="00202DA6">
        <w:rPr>
          <w:rFonts w:eastAsia="Times New Roman" w:cs="Arial"/>
          <w:i/>
          <w:iCs/>
          <w:color w:val="000000"/>
          <w:szCs w:val="20"/>
          <w:u w:val="single"/>
          <w:lang w:eastAsia="bg-BG"/>
        </w:rPr>
        <w:t>популация</w:t>
      </w:r>
    </w:p>
    <w:p w14:paraId="784F8F31" w14:textId="77777777" w:rsidR="00202DA6" w:rsidRPr="00202DA6" w:rsidRDefault="00202DA6" w:rsidP="00202DA6">
      <w:pPr>
        <w:spacing w:line="240" w:lineRule="auto"/>
        <w:rPr>
          <w:rFonts w:eastAsia="Times New Roman" w:cs="Arial"/>
          <w:color w:val="000000"/>
          <w:szCs w:val="20"/>
          <w:lang w:eastAsia="bg-BG"/>
        </w:rPr>
      </w:pPr>
    </w:p>
    <w:p w14:paraId="0C87DE64" w14:textId="1F353F2B" w:rsidR="00202DA6" w:rsidRPr="00202DA6" w:rsidRDefault="00202DA6" w:rsidP="00202DA6">
      <w:pPr>
        <w:spacing w:line="240" w:lineRule="auto"/>
        <w:rPr>
          <w:rFonts w:eastAsia="Times New Roman" w:cs="Arial"/>
          <w:color w:val="000000"/>
          <w:szCs w:val="20"/>
          <w:lang w:eastAsia="bg-BG"/>
        </w:rPr>
      </w:pPr>
      <w:r w:rsidRPr="00202DA6">
        <w:rPr>
          <w:rFonts w:eastAsia="Times New Roman" w:cs="Arial"/>
          <w:color w:val="000000"/>
          <w:szCs w:val="20"/>
          <w:lang w:eastAsia="bg-BG"/>
        </w:rPr>
        <w:t xml:space="preserve">По-често съобщаваните нежелани лекарствени реакции </w:t>
      </w:r>
      <w:r w:rsidRPr="00202DA6">
        <w:rPr>
          <w:rFonts w:eastAsia="Times New Roman" w:cs="Arial"/>
          <w:i/>
          <w:iCs/>
          <w:color w:val="000000"/>
          <w:szCs w:val="20"/>
          <w:lang w:eastAsia="bg-BG"/>
        </w:rPr>
        <w:t>(≥2</w:t>
      </w:r>
      <w:r w:rsidRPr="00202DA6">
        <w:rPr>
          <w:rFonts w:eastAsia="Times New Roman" w:cs="Arial"/>
          <w:color w:val="000000"/>
          <w:szCs w:val="20"/>
          <w:lang w:eastAsia="bg-BG"/>
        </w:rPr>
        <w:t xml:space="preserve"> пъти) при деца отколкото при възрастни в двойно слепи контролирани проучвания са:</w:t>
      </w:r>
    </w:p>
    <w:p w14:paraId="58C52278" w14:textId="77777777" w:rsidR="00202DA6" w:rsidRPr="00202DA6" w:rsidRDefault="00202DA6" w:rsidP="00202DA6">
      <w:pPr>
        <w:spacing w:line="240" w:lineRule="auto"/>
        <w:rPr>
          <w:rFonts w:eastAsia="Times New Roman" w:cs="Arial"/>
          <w:sz w:val="28"/>
          <w:szCs w:val="24"/>
          <w:lang w:eastAsia="bg-BG"/>
        </w:rPr>
      </w:pPr>
    </w:p>
    <w:p w14:paraId="19CD0A7F"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Намален апетит,</w:t>
      </w:r>
    </w:p>
    <w:p w14:paraId="78DCEFB1"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Увеличен апетит,</w:t>
      </w:r>
    </w:p>
    <w:p w14:paraId="410CF923"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Хиперхлоремична ацидоза,</w:t>
      </w:r>
    </w:p>
    <w:p w14:paraId="53740771"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Хипокалемия,</w:t>
      </w:r>
    </w:p>
    <w:p w14:paraId="6D0D70F8"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Абнормно поведение,</w:t>
      </w:r>
    </w:p>
    <w:p w14:paraId="54EF19C9"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Агресия,</w:t>
      </w:r>
    </w:p>
    <w:p w14:paraId="0776F046"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Апатия,</w:t>
      </w:r>
    </w:p>
    <w:p w14:paraId="4022E195"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Начално безсъние,</w:t>
      </w:r>
    </w:p>
    <w:p w14:paraId="1C4D97F6"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Суицидна идеация,</w:t>
      </w:r>
    </w:p>
    <w:p w14:paraId="38230FB7"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Затруднена концентрация,</w:t>
      </w:r>
    </w:p>
    <w:p w14:paraId="24D8D672"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Летаргия,</w:t>
      </w:r>
    </w:p>
    <w:p w14:paraId="5703BDA7"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Нарушен циркаден ритъм,</w:t>
      </w:r>
    </w:p>
    <w:p w14:paraId="1992904E"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Некачествен сън,</w:t>
      </w:r>
    </w:p>
    <w:p w14:paraId="44CF86D4"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Засилена лакримация,</w:t>
      </w:r>
    </w:p>
    <w:p w14:paraId="7227A9B7"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Синусова брадикардия,</w:t>
      </w:r>
    </w:p>
    <w:p w14:paraId="03E04CA0"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Необичайни усещания,</w:t>
      </w:r>
    </w:p>
    <w:p w14:paraId="6A307188" w14:textId="79D88E84" w:rsidR="00202DA6" w:rsidRP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Нарушения в походката.</w:t>
      </w:r>
    </w:p>
    <w:p w14:paraId="643A1BFE" w14:textId="7EEFFFD1" w:rsidR="00202DA6" w:rsidRDefault="00202DA6" w:rsidP="00202DA6"/>
    <w:p w14:paraId="13A6DF6D" w14:textId="77777777" w:rsidR="00984E1A" w:rsidRPr="00202DA6" w:rsidRDefault="00984E1A" w:rsidP="00984E1A">
      <w:pPr>
        <w:spacing w:line="240" w:lineRule="auto"/>
        <w:rPr>
          <w:rFonts w:eastAsia="Times New Roman" w:cs="Arial"/>
          <w:color w:val="000000"/>
          <w:lang w:eastAsia="bg-BG"/>
        </w:rPr>
      </w:pPr>
      <w:r w:rsidRPr="00202DA6">
        <w:rPr>
          <w:rFonts w:eastAsia="Times New Roman" w:cs="Arial"/>
          <w:color w:val="000000"/>
          <w:lang w:eastAsia="bg-BG"/>
        </w:rPr>
        <w:t>Нежеланите лекарствени реакции, съобщавани при деца, но не и при възрастни в двойно слепи контролирани проучвания, са:</w:t>
      </w:r>
    </w:p>
    <w:p w14:paraId="03D6113F" w14:textId="77777777" w:rsidR="00984E1A" w:rsidRPr="00202DA6" w:rsidRDefault="00984E1A" w:rsidP="00984E1A">
      <w:pPr>
        <w:spacing w:line="240" w:lineRule="auto"/>
        <w:rPr>
          <w:rFonts w:eastAsia="Times New Roman" w:cs="Arial"/>
          <w:lang w:eastAsia="bg-BG"/>
        </w:rPr>
      </w:pPr>
    </w:p>
    <w:p w14:paraId="46605DA7"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Еозинофилия,</w:t>
      </w:r>
    </w:p>
    <w:p w14:paraId="79F5993F"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Психомоторна хиперактивност,</w:t>
      </w:r>
    </w:p>
    <w:p w14:paraId="5E04EDF6"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Световъртеж,</w:t>
      </w:r>
    </w:p>
    <w:p w14:paraId="7E29DBBE"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Повръщане,</w:t>
      </w:r>
    </w:p>
    <w:p w14:paraId="26DFFF03"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Хипертермия,</w:t>
      </w:r>
    </w:p>
    <w:p w14:paraId="7A46DAA5"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Пирексия,</w:t>
      </w:r>
    </w:p>
    <w:p w14:paraId="0B3EF3DD"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Неспособност за учене.</w:t>
      </w:r>
    </w:p>
    <w:p w14:paraId="091E2BF2" w14:textId="77777777" w:rsidR="00984E1A" w:rsidRPr="00202DA6" w:rsidRDefault="00984E1A" w:rsidP="00984E1A">
      <w:pPr>
        <w:spacing w:line="240" w:lineRule="auto"/>
        <w:rPr>
          <w:rFonts w:eastAsia="Times New Roman" w:cs="Arial"/>
          <w:color w:val="000000"/>
          <w:u w:val="single"/>
          <w:lang w:eastAsia="bg-BG"/>
        </w:rPr>
      </w:pPr>
    </w:p>
    <w:p w14:paraId="6588A167" w14:textId="77777777" w:rsidR="00984E1A" w:rsidRPr="00202DA6" w:rsidRDefault="00984E1A" w:rsidP="00984E1A">
      <w:pPr>
        <w:spacing w:line="240" w:lineRule="auto"/>
        <w:rPr>
          <w:rFonts w:eastAsia="Times New Roman" w:cs="Arial"/>
          <w:lang w:eastAsia="bg-BG"/>
        </w:rPr>
      </w:pPr>
      <w:r w:rsidRPr="00202DA6">
        <w:rPr>
          <w:rFonts w:eastAsia="Times New Roman" w:cs="Arial"/>
          <w:color w:val="000000"/>
          <w:u w:val="single"/>
          <w:lang w:eastAsia="bg-BG"/>
        </w:rPr>
        <w:t>Съобщаване на подозирани лекарствени реакции</w:t>
      </w:r>
    </w:p>
    <w:p w14:paraId="45A4D8FD" w14:textId="77777777" w:rsidR="00984E1A" w:rsidRPr="00202DA6" w:rsidRDefault="00984E1A" w:rsidP="00984E1A">
      <w:pPr>
        <w:rPr>
          <w:rFonts w:cs="Arial"/>
        </w:rPr>
      </w:pPr>
      <w:r w:rsidRPr="00202DA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w:t>
      </w:r>
      <w:r w:rsidRPr="00202DA6">
        <w:rPr>
          <w:rFonts w:eastAsia="Times New Roman" w:cs="Arial"/>
          <w:color w:val="000000"/>
          <w:lang w:eastAsia="bg-BG"/>
        </w:rPr>
        <w:lastRenderedPageBreak/>
        <w:t xml:space="preserve">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в Изпълнителна агенция по лекарствата ул.„Дамян Груев”№ 8, 1303 София, Тел.: +35928903417, уебсайт: </w:t>
      </w:r>
      <w:r w:rsidRPr="00202DA6">
        <w:rPr>
          <w:rFonts w:eastAsia="Times New Roman" w:cs="Arial"/>
          <w:lang w:eastAsia="bg-BG"/>
        </w:rPr>
        <w:fldChar w:fldCharType="begin"/>
      </w:r>
      <w:r w:rsidRPr="00202DA6">
        <w:rPr>
          <w:rFonts w:eastAsia="Times New Roman" w:cs="Arial"/>
          <w:lang w:eastAsia="bg-BG"/>
        </w:rPr>
        <w:instrText xml:space="preserve"> HYPERLINK "http://www.bda.bg" </w:instrText>
      </w:r>
      <w:r w:rsidRPr="00202DA6">
        <w:rPr>
          <w:rFonts w:eastAsia="Times New Roman" w:cs="Arial"/>
          <w:lang w:eastAsia="bg-BG"/>
        </w:rPr>
      </w:r>
      <w:r w:rsidRPr="00202DA6">
        <w:rPr>
          <w:rFonts w:eastAsia="Times New Roman" w:cs="Arial"/>
          <w:lang w:eastAsia="bg-BG"/>
        </w:rPr>
        <w:fldChar w:fldCharType="separate"/>
      </w:r>
      <w:r w:rsidRPr="00202DA6">
        <w:rPr>
          <w:rFonts w:eastAsia="Times New Roman" w:cs="Arial"/>
          <w:color w:val="000000"/>
          <w:u w:val="single"/>
          <w:lang w:val="en-US"/>
        </w:rPr>
        <w:t>www.bda.bg</w:t>
      </w:r>
      <w:r w:rsidRPr="00202DA6">
        <w:rPr>
          <w:rFonts w:eastAsia="Times New Roman" w:cs="Arial"/>
          <w:lang w:eastAsia="bg-BG"/>
        </w:rPr>
        <w:fldChar w:fldCharType="end"/>
      </w:r>
    </w:p>
    <w:p w14:paraId="0C577EC4" w14:textId="60254351" w:rsidR="00984E1A" w:rsidRPr="0091385D" w:rsidRDefault="00984E1A" w:rsidP="00202DA6"/>
    <w:p w14:paraId="0A023CE0" w14:textId="13F87CFD" w:rsidR="00CF77F7" w:rsidRDefault="002C50EE" w:rsidP="004A448E">
      <w:pPr>
        <w:pStyle w:val="Heading2"/>
      </w:pPr>
      <w:r>
        <w:t>4.9. Предозиране</w:t>
      </w:r>
    </w:p>
    <w:p w14:paraId="3EDFC3FC" w14:textId="296E7EBA" w:rsidR="0091385D" w:rsidRDefault="0091385D" w:rsidP="0091385D"/>
    <w:p w14:paraId="0BE7E96B"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u w:val="single"/>
          <w:lang w:eastAsia="bg-BG"/>
        </w:rPr>
        <w:t>Признаци и симптоми</w:t>
      </w:r>
    </w:p>
    <w:p w14:paraId="5AC3C203" w14:textId="77777777" w:rsidR="00984E1A" w:rsidRPr="00984E1A" w:rsidRDefault="00984E1A" w:rsidP="00984E1A">
      <w:pPr>
        <w:spacing w:line="240" w:lineRule="auto"/>
        <w:rPr>
          <w:rFonts w:eastAsia="Times New Roman" w:cs="Arial"/>
          <w:color w:val="000000"/>
          <w:szCs w:val="20"/>
          <w:lang w:eastAsia="bg-BG"/>
        </w:rPr>
      </w:pPr>
    </w:p>
    <w:p w14:paraId="5AF25CDA" w14:textId="074E1D39"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Съобщава се за случаи на предозиране с топирамат. Признаците и симптомите включват конвулсии, сънливост, нарушения в речта, замъглено виждане, диплопия, нарушена мисловна дейност, летаргия, абнормна координация, ступор, хипотония, болки в корема, възбуда, замаяност и депресия.. В повечето случаи клиничните последици не са тежки, но се съобщава и за смъртен изход след предозиране с няколко медикамента, включително и топирамат.</w:t>
      </w:r>
    </w:p>
    <w:p w14:paraId="71B01951" w14:textId="77777777" w:rsidR="00984E1A" w:rsidRPr="00984E1A" w:rsidRDefault="00984E1A" w:rsidP="00984E1A">
      <w:pPr>
        <w:spacing w:line="240" w:lineRule="auto"/>
        <w:rPr>
          <w:rFonts w:eastAsia="Times New Roman" w:cs="Arial"/>
          <w:color w:val="000000"/>
          <w:szCs w:val="20"/>
          <w:lang w:eastAsia="bg-BG"/>
        </w:rPr>
      </w:pPr>
    </w:p>
    <w:p w14:paraId="1EE0ECC4" w14:textId="22F6D0AC"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Предозирането на топирамат може да доведе до тежка метаболитна ацидоза (вж. точка 4.4),</w:t>
      </w:r>
    </w:p>
    <w:p w14:paraId="1B53C8B0" w14:textId="77777777" w:rsidR="00984E1A" w:rsidRPr="00984E1A" w:rsidRDefault="00984E1A" w:rsidP="00984E1A">
      <w:pPr>
        <w:spacing w:line="240" w:lineRule="auto"/>
        <w:rPr>
          <w:rFonts w:eastAsia="Times New Roman" w:cs="Arial"/>
          <w:color w:val="000000"/>
          <w:szCs w:val="20"/>
          <w:u w:val="single"/>
          <w:lang w:eastAsia="bg-BG"/>
        </w:rPr>
      </w:pPr>
    </w:p>
    <w:p w14:paraId="35E7DF50" w14:textId="0BC83988"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u w:val="single"/>
          <w:lang w:eastAsia="bg-BG"/>
        </w:rPr>
        <w:t>Лечение</w:t>
      </w:r>
    </w:p>
    <w:p w14:paraId="4BE14B11" w14:textId="77777777" w:rsidR="00984E1A" w:rsidRPr="00984E1A" w:rsidRDefault="00984E1A" w:rsidP="00984E1A">
      <w:pPr>
        <w:rPr>
          <w:rFonts w:eastAsia="Times New Roman" w:cs="Arial"/>
          <w:color w:val="000000"/>
          <w:szCs w:val="20"/>
          <w:lang w:eastAsia="bg-BG"/>
        </w:rPr>
      </w:pPr>
    </w:p>
    <w:p w14:paraId="48FF1584" w14:textId="7846B6D7" w:rsidR="0091385D" w:rsidRPr="00984E1A" w:rsidRDefault="00984E1A" w:rsidP="00984E1A">
      <w:pPr>
        <w:rPr>
          <w:rFonts w:cs="Arial"/>
          <w:sz w:val="24"/>
        </w:rPr>
      </w:pPr>
      <w:r w:rsidRPr="00984E1A">
        <w:rPr>
          <w:rFonts w:eastAsia="Times New Roman" w:cs="Arial"/>
          <w:color w:val="000000"/>
          <w:szCs w:val="20"/>
          <w:lang w:eastAsia="bg-BG"/>
        </w:rPr>
        <w:t xml:space="preserve">При остро предозиране на топирамат, ако лекарството е погълнато наскоро, стомахът трябва да се изпразни незабавно чрез промивка или предизвикване на повръщане. Проучванията </w:t>
      </w:r>
      <w:r w:rsidRPr="00984E1A">
        <w:rPr>
          <w:rFonts w:eastAsia="Times New Roman" w:cs="Arial"/>
          <w:i/>
          <w:iCs/>
          <w:color w:val="000000"/>
          <w:szCs w:val="20"/>
          <w:lang w:val="en-US"/>
        </w:rPr>
        <w:t xml:space="preserve">in vitro </w:t>
      </w:r>
      <w:r w:rsidRPr="00984E1A">
        <w:rPr>
          <w:rFonts w:eastAsia="Times New Roman" w:cs="Arial"/>
          <w:color w:val="000000"/>
          <w:szCs w:val="20"/>
          <w:lang w:eastAsia="bg-BG"/>
        </w:rPr>
        <w:t>показват, че активният въглен абсорбира топирамат. Трябва да се проведе необходимото поддържащо лечение и пациентът трябва да е добре хидратиран. Хемодиализата представлява ефективен начин за отстраняване на топирамат от организма.</w:t>
      </w: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AA20366"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Фармакотерапевтична група: други антиепилептици, антимигренозни средства, АТС код </w:t>
      </w:r>
      <w:r w:rsidRPr="00984E1A">
        <w:rPr>
          <w:rFonts w:eastAsia="Times New Roman" w:cs="Arial"/>
          <w:color w:val="000000"/>
          <w:szCs w:val="20"/>
          <w:lang w:val="en-US"/>
        </w:rPr>
        <w:t>NO3</w:t>
      </w:r>
      <w:r w:rsidRPr="00984E1A">
        <w:rPr>
          <w:rFonts w:eastAsia="Times New Roman" w:cs="Arial"/>
          <w:color w:val="000000"/>
          <w:szCs w:val="20"/>
          <w:lang w:eastAsia="bg-BG"/>
        </w:rPr>
        <w:t>АХ 11</w:t>
      </w:r>
    </w:p>
    <w:p w14:paraId="64C42E7F" w14:textId="77777777" w:rsidR="00984E1A" w:rsidRPr="00984E1A" w:rsidRDefault="00984E1A" w:rsidP="00984E1A">
      <w:pPr>
        <w:spacing w:line="240" w:lineRule="auto"/>
        <w:rPr>
          <w:rFonts w:eastAsia="Times New Roman" w:cs="Arial"/>
          <w:color w:val="000000"/>
          <w:szCs w:val="20"/>
          <w:u w:val="single"/>
          <w:lang w:eastAsia="bg-BG"/>
        </w:rPr>
      </w:pPr>
    </w:p>
    <w:p w14:paraId="4469364C" w14:textId="397F53F2"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u w:val="single"/>
          <w:lang w:eastAsia="bg-BG"/>
        </w:rPr>
        <w:t>Механизъм на действие</w:t>
      </w:r>
    </w:p>
    <w:p w14:paraId="1354DE13"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Топирамат се класифицира като сулфамат-субституиран монозахарид. Точният механизъм, чрез който топирамат упражнява своя антиконвулсивен и профилактичен антимигренозен ефект не е известен. Електрофизиологичните и биохимичните проучвания върху култивирани неврони показват, че антиепилептичната ефективност на топирамат вероятно се определя от три свойства.</w:t>
      </w:r>
    </w:p>
    <w:p w14:paraId="39D837EC" w14:textId="77777777" w:rsidR="00984E1A" w:rsidRPr="00984E1A" w:rsidRDefault="00984E1A" w:rsidP="00984E1A">
      <w:pPr>
        <w:spacing w:line="240" w:lineRule="auto"/>
        <w:rPr>
          <w:rFonts w:eastAsia="Times New Roman" w:cs="Arial"/>
          <w:sz w:val="28"/>
          <w:szCs w:val="24"/>
          <w:lang w:eastAsia="bg-BG"/>
        </w:rPr>
      </w:pPr>
    </w:p>
    <w:p w14:paraId="6421DD72" w14:textId="1BE84ECC" w:rsidR="00984E1A" w:rsidRPr="00984E1A" w:rsidRDefault="00984E1A" w:rsidP="00984E1A">
      <w:pPr>
        <w:rPr>
          <w:rFonts w:eastAsia="Times New Roman" w:cs="Arial"/>
          <w:sz w:val="28"/>
          <w:szCs w:val="24"/>
          <w:lang w:eastAsia="bg-BG"/>
        </w:rPr>
      </w:pPr>
      <w:r w:rsidRPr="00984E1A">
        <w:rPr>
          <w:rFonts w:eastAsia="Times New Roman" w:cs="Arial"/>
          <w:color w:val="000000"/>
          <w:szCs w:val="20"/>
          <w:lang w:eastAsia="bg-BG"/>
        </w:rPr>
        <w:t>Акционните потенциали, предизвикани многократно при продължителна деполяризация на невроните, се блокират от топирамат в зависимост от времето, което предпола блокиране на</w:t>
      </w:r>
      <w:r w:rsidRPr="00984E1A">
        <w:rPr>
          <w:rFonts w:eastAsia="Times New Roman" w:cs="Arial"/>
          <w:i/>
          <w:iCs/>
          <w:color w:val="000000"/>
          <w:szCs w:val="20"/>
          <w:lang w:eastAsia="bg-BG"/>
        </w:rPr>
        <w:t xml:space="preserve"> </w:t>
      </w:r>
      <w:r w:rsidRPr="00984E1A">
        <w:rPr>
          <w:rFonts w:eastAsia="Times New Roman" w:cs="Arial"/>
          <w:color w:val="000000"/>
          <w:szCs w:val="20"/>
          <w:lang w:eastAsia="bg-BG"/>
        </w:rPr>
        <w:t>натриевите канали, зависещо от състоянието. Топирамат повишава честотата, с която гама-</w:t>
      </w:r>
      <w:r w:rsidRPr="00984E1A">
        <w:rPr>
          <w:rFonts w:cs="Arial"/>
          <w:szCs w:val="20"/>
        </w:rPr>
        <w:t xml:space="preserve"> </w:t>
      </w:r>
      <w:r w:rsidRPr="00984E1A">
        <w:rPr>
          <w:rFonts w:eastAsia="Times New Roman" w:cs="Arial"/>
          <w:color w:val="000000"/>
          <w:szCs w:val="20"/>
          <w:lang w:eastAsia="bg-BG"/>
        </w:rPr>
        <w:t xml:space="preserve">аминобутирата </w:t>
      </w:r>
      <w:r w:rsidRPr="00984E1A">
        <w:rPr>
          <w:rFonts w:eastAsia="Times New Roman" w:cs="Arial"/>
          <w:color w:val="000000"/>
          <w:szCs w:val="20"/>
          <w:lang w:val="en-US"/>
        </w:rPr>
        <w:t xml:space="preserve">(GABA) </w:t>
      </w:r>
      <w:r w:rsidRPr="00984E1A">
        <w:rPr>
          <w:rFonts w:eastAsia="Times New Roman" w:cs="Arial"/>
          <w:color w:val="000000"/>
          <w:szCs w:val="20"/>
          <w:lang w:eastAsia="bg-BG"/>
        </w:rPr>
        <w:t xml:space="preserve">активира </w:t>
      </w:r>
      <w:r w:rsidRPr="00984E1A">
        <w:rPr>
          <w:rFonts w:eastAsia="Times New Roman" w:cs="Arial"/>
          <w:color w:val="000000"/>
          <w:szCs w:val="20"/>
          <w:lang w:val="en-US"/>
        </w:rPr>
        <w:t xml:space="preserve">GABAA </w:t>
      </w:r>
      <w:r w:rsidRPr="00984E1A">
        <w:rPr>
          <w:rFonts w:eastAsia="Times New Roman" w:cs="Arial"/>
          <w:color w:val="000000"/>
          <w:szCs w:val="20"/>
          <w:lang w:eastAsia="bg-BG"/>
        </w:rPr>
        <w:t xml:space="preserve">рецепторите и засилва способността на </w:t>
      </w:r>
      <w:r w:rsidRPr="00984E1A">
        <w:rPr>
          <w:rFonts w:eastAsia="Times New Roman" w:cs="Arial"/>
          <w:color w:val="000000"/>
          <w:szCs w:val="20"/>
          <w:lang w:val="en-US"/>
        </w:rPr>
        <w:t xml:space="preserve">GABA </w:t>
      </w:r>
      <w:r w:rsidRPr="00984E1A">
        <w:rPr>
          <w:rFonts w:eastAsia="Times New Roman" w:cs="Arial"/>
          <w:color w:val="000000"/>
          <w:szCs w:val="20"/>
          <w:lang w:eastAsia="bg-BG"/>
        </w:rPr>
        <w:t>да индуцира поток от хлорни йони в невроните. Това предполага, че топирамат потенцира активността на този инхибиторен невротрансмитер.</w:t>
      </w:r>
    </w:p>
    <w:p w14:paraId="08814668" w14:textId="77777777" w:rsidR="00984E1A" w:rsidRPr="00984E1A" w:rsidRDefault="00984E1A" w:rsidP="00984E1A">
      <w:pPr>
        <w:spacing w:line="240" w:lineRule="auto"/>
        <w:rPr>
          <w:rFonts w:eastAsia="Times New Roman" w:cs="Arial"/>
          <w:color w:val="000000"/>
          <w:szCs w:val="20"/>
          <w:lang w:eastAsia="bg-BG"/>
        </w:rPr>
      </w:pPr>
    </w:p>
    <w:p w14:paraId="02394525" w14:textId="51216089"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Този ефект не се блокира от флумазенил - бензодиазепинов антагонист, и също така топирамат не удължава времето на отваряне на канала, което разграничава топирамат от барбитуратите, модулиращи </w:t>
      </w:r>
      <w:proofErr w:type="spellStart"/>
      <w:r w:rsidRPr="00984E1A">
        <w:rPr>
          <w:rFonts w:eastAsia="Times New Roman" w:cs="Arial"/>
          <w:smallCaps/>
          <w:color w:val="000000"/>
          <w:szCs w:val="20"/>
          <w:lang w:val="en-US"/>
        </w:rPr>
        <w:t>GABA</w:t>
      </w:r>
      <w:r w:rsidRPr="00984E1A">
        <w:rPr>
          <w:rFonts w:eastAsia="Times New Roman" w:cs="Arial"/>
          <w:smallCaps/>
          <w:color w:val="000000"/>
          <w:szCs w:val="20"/>
          <w:vertAlign w:val="subscript"/>
          <w:lang w:val="en-US"/>
        </w:rPr>
        <w:t>a</w:t>
      </w:r>
      <w:proofErr w:type="spellEnd"/>
      <w:r w:rsidRPr="00984E1A">
        <w:rPr>
          <w:rFonts w:eastAsia="Times New Roman" w:cs="Arial"/>
          <w:color w:val="000000"/>
          <w:szCs w:val="20"/>
          <w:lang w:val="en-US"/>
        </w:rPr>
        <w:t xml:space="preserve"> </w:t>
      </w:r>
      <w:r w:rsidRPr="00984E1A">
        <w:rPr>
          <w:rFonts w:eastAsia="Times New Roman" w:cs="Arial"/>
          <w:color w:val="000000"/>
          <w:szCs w:val="20"/>
          <w:lang w:eastAsia="bg-BG"/>
        </w:rPr>
        <w:t>рецепторите.</w:t>
      </w:r>
    </w:p>
    <w:p w14:paraId="55B663D9" w14:textId="77777777" w:rsidR="00984E1A" w:rsidRPr="00984E1A" w:rsidRDefault="00984E1A" w:rsidP="00984E1A">
      <w:pPr>
        <w:spacing w:line="240" w:lineRule="auto"/>
        <w:rPr>
          <w:rFonts w:eastAsia="Times New Roman" w:cs="Arial"/>
          <w:color w:val="000000"/>
          <w:szCs w:val="20"/>
          <w:lang w:eastAsia="bg-BG"/>
        </w:rPr>
      </w:pPr>
    </w:p>
    <w:p w14:paraId="6A1E510A" w14:textId="55C3DB06"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Тъй като антиепилептичният профил на топирамат подчертано се различава от този на бензодиазепините, той може да модулира бензодиазепин-нечувствителни подтипове на </w:t>
      </w:r>
      <w:proofErr w:type="spellStart"/>
      <w:r w:rsidRPr="00984E1A">
        <w:rPr>
          <w:rFonts w:eastAsia="Times New Roman" w:cs="Arial"/>
          <w:smallCaps/>
          <w:color w:val="000000"/>
          <w:szCs w:val="20"/>
          <w:lang w:val="en-US"/>
        </w:rPr>
        <w:t>GABA</w:t>
      </w:r>
      <w:r w:rsidRPr="00984E1A">
        <w:rPr>
          <w:rFonts w:eastAsia="Times New Roman" w:cs="Arial"/>
          <w:smallCaps/>
          <w:color w:val="000000"/>
          <w:szCs w:val="20"/>
          <w:vertAlign w:val="subscript"/>
          <w:lang w:val="en-US"/>
        </w:rPr>
        <w:t>a</w:t>
      </w:r>
      <w:proofErr w:type="spellEnd"/>
      <w:r w:rsidRPr="00984E1A">
        <w:rPr>
          <w:rFonts w:eastAsia="Times New Roman" w:cs="Arial"/>
          <w:smallCaps/>
          <w:color w:val="000000"/>
          <w:szCs w:val="20"/>
          <w:lang w:val="en-US"/>
        </w:rPr>
        <w:t xml:space="preserve"> </w:t>
      </w:r>
      <w:r w:rsidRPr="00984E1A">
        <w:rPr>
          <w:rFonts w:eastAsia="Times New Roman" w:cs="Arial"/>
          <w:color w:val="000000"/>
          <w:szCs w:val="20"/>
          <w:lang w:eastAsia="bg-BG"/>
        </w:rPr>
        <w:t>рецептора. Топирамат антагонизира способността на каината да активира каинат/АМР</w:t>
      </w:r>
      <w:r w:rsidRPr="00984E1A">
        <w:rPr>
          <w:rFonts w:eastAsia="Times New Roman" w:cs="Arial"/>
          <w:color w:val="000000"/>
          <w:szCs w:val="20"/>
          <w:lang w:val="en-US"/>
        </w:rPr>
        <w:t>A</w:t>
      </w:r>
      <w:r w:rsidRPr="00984E1A">
        <w:rPr>
          <w:rFonts w:eastAsia="Times New Roman" w:cs="Arial"/>
          <w:color w:val="000000"/>
          <w:szCs w:val="20"/>
          <w:lang w:eastAsia="bg-BG"/>
        </w:rPr>
        <w:t xml:space="preserve"> (α- амино-3-хидрокси-5-метилизоксазол-4 пропионова киселина), подтип на възбудимите аминокиселинни (глутамат) рецептори, но няма видим ефект върху активността на рецепторния </w:t>
      </w:r>
      <w:r w:rsidRPr="00984E1A">
        <w:rPr>
          <w:rFonts w:eastAsia="Times New Roman" w:cs="Arial"/>
          <w:color w:val="000000"/>
          <w:szCs w:val="20"/>
          <w:lang w:val="en-US"/>
        </w:rPr>
        <w:t>N-</w:t>
      </w:r>
      <w:r w:rsidRPr="00984E1A">
        <w:rPr>
          <w:rFonts w:eastAsia="Times New Roman" w:cs="Arial"/>
          <w:color w:val="000000"/>
          <w:szCs w:val="20"/>
          <w:lang w:eastAsia="bg-BG"/>
        </w:rPr>
        <w:t>метил</w:t>
      </w:r>
      <w:r w:rsidRPr="00984E1A">
        <w:rPr>
          <w:rFonts w:eastAsia="Times New Roman" w:cs="Arial"/>
          <w:color w:val="000000"/>
          <w:szCs w:val="20"/>
          <w:lang w:val="en-US"/>
        </w:rPr>
        <w:t>-D-ac</w:t>
      </w:r>
      <w:r w:rsidRPr="00984E1A">
        <w:rPr>
          <w:rFonts w:eastAsia="Times New Roman" w:cs="Arial"/>
          <w:color w:val="000000"/>
          <w:szCs w:val="20"/>
          <w:lang w:eastAsia="bg-BG"/>
        </w:rPr>
        <w:t>п</w:t>
      </w:r>
      <w:proofErr w:type="spellStart"/>
      <w:r w:rsidRPr="00984E1A">
        <w:rPr>
          <w:rFonts w:eastAsia="Times New Roman" w:cs="Arial"/>
          <w:color w:val="000000"/>
          <w:szCs w:val="20"/>
          <w:lang w:val="en-US"/>
        </w:rPr>
        <w:t>ap</w:t>
      </w:r>
      <w:proofErr w:type="spellEnd"/>
      <w:r w:rsidRPr="00984E1A">
        <w:rPr>
          <w:rFonts w:eastAsia="Times New Roman" w:cs="Arial"/>
          <w:color w:val="000000"/>
          <w:szCs w:val="20"/>
          <w:lang w:eastAsia="bg-BG"/>
        </w:rPr>
        <w:t>т</w:t>
      </w:r>
      <w:r w:rsidRPr="00984E1A">
        <w:rPr>
          <w:rFonts w:eastAsia="Times New Roman" w:cs="Arial"/>
          <w:color w:val="000000"/>
          <w:szCs w:val="20"/>
          <w:lang w:val="en-US"/>
        </w:rPr>
        <w:t>a</w:t>
      </w:r>
      <w:r w:rsidRPr="00984E1A">
        <w:rPr>
          <w:rFonts w:eastAsia="Times New Roman" w:cs="Arial"/>
          <w:color w:val="000000"/>
          <w:szCs w:val="20"/>
          <w:lang w:eastAsia="bg-BG"/>
        </w:rPr>
        <w:t>т</w:t>
      </w:r>
      <w:r w:rsidRPr="00984E1A">
        <w:rPr>
          <w:rFonts w:eastAsia="Times New Roman" w:cs="Arial"/>
          <w:color w:val="000000"/>
          <w:szCs w:val="20"/>
          <w:lang w:val="en-US"/>
        </w:rPr>
        <w:t xml:space="preserve">-(NMDA) </w:t>
      </w:r>
      <w:r w:rsidRPr="00984E1A">
        <w:rPr>
          <w:rFonts w:eastAsia="Times New Roman" w:cs="Arial"/>
          <w:color w:val="000000"/>
          <w:szCs w:val="20"/>
          <w:lang w:eastAsia="bg-BG"/>
        </w:rPr>
        <w:t>подтип. Тези ефекти на топирамат са в зависимост от концентрацията в диапазона от 1 μМ до 200 μМ, с минимална активност, наблюдавана при 1 μМ до 10 μМ.</w:t>
      </w:r>
    </w:p>
    <w:p w14:paraId="1CDFEE40" w14:textId="77777777" w:rsidR="00984E1A" w:rsidRPr="00984E1A" w:rsidRDefault="00984E1A" w:rsidP="00984E1A">
      <w:pPr>
        <w:spacing w:line="240" w:lineRule="auto"/>
        <w:rPr>
          <w:rFonts w:eastAsia="Times New Roman" w:cs="Arial"/>
          <w:color w:val="000000"/>
          <w:szCs w:val="20"/>
          <w:lang w:eastAsia="bg-BG"/>
        </w:rPr>
      </w:pPr>
    </w:p>
    <w:p w14:paraId="2817DA1B" w14:textId="4E653CF2"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Освен това, топирамат потиска някои изоензими на карбоанхидразата. Този фармакологичен ефект е много по-слаб отколкото наблюдавания при ацетазоламид, известен инхибитор на карбоанхидразата, и не се приема като основен компонент на антиепилептичната активност на топирамат.</w:t>
      </w:r>
    </w:p>
    <w:p w14:paraId="0390359B" w14:textId="77777777" w:rsidR="00984E1A" w:rsidRPr="00984E1A" w:rsidRDefault="00984E1A" w:rsidP="00984E1A">
      <w:pPr>
        <w:spacing w:line="240" w:lineRule="auto"/>
        <w:rPr>
          <w:rFonts w:eastAsia="Times New Roman" w:cs="Arial"/>
          <w:color w:val="000000"/>
          <w:szCs w:val="20"/>
          <w:lang w:eastAsia="bg-BG"/>
        </w:rPr>
      </w:pPr>
    </w:p>
    <w:p w14:paraId="361716C0" w14:textId="3A239ECF"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При проучвания върху животни топирамат показва антиконвулсивна активност при изследванията с максимален електрошоков гърч </w:t>
      </w:r>
      <w:r w:rsidRPr="00984E1A">
        <w:rPr>
          <w:rFonts w:eastAsia="Times New Roman" w:cs="Arial"/>
          <w:color w:val="000000"/>
          <w:szCs w:val="20"/>
          <w:lang w:val="en-US"/>
        </w:rPr>
        <w:t xml:space="preserve">(MES) </w:t>
      </w:r>
      <w:r w:rsidRPr="00984E1A">
        <w:rPr>
          <w:rFonts w:eastAsia="Times New Roman" w:cs="Arial"/>
          <w:color w:val="000000"/>
          <w:szCs w:val="20"/>
          <w:lang w:eastAsia="bg-BG"/>
        </w:rPr>
        <w:t xml:space="preserve">при плъхове и мишки и е ефективен при модела на епилепсия при гризачи, който включва тонични и абсанс-подобни пристъпи при плъхове със спонтанно предизвикана епилепсия </w:t>
      </w:r>
      <w:r w:rsidRPr="00984E1A">
        <w:rPr>
          <w:rFonts w:eastAsia="Times New Roman" w:cs="Arial"/>
          <w:color w:val="000000"/>
          <w:szCs w:val="20"/>
          <w:lang w:val="en-US"/>
        </w:rPr>
        <w:t xml:space="preserve">(SER) </w:t>
      </w:r>
      <w:r w:rsidRPr="00984E1A">
        <w:rPr>
          <w:rFonts w:eastAsia="Times New Roman" w:cs="Arial"/>
          <w:color w:val="000000"/>
          <w:szCs w:val="20"/>
          <w:lang w:eastAsia="bg-BG"/>
        </w:rPr>
        <w:t xml:space="preserve">и тонични и клонични гърчове, индуцирани при плъхове чрез възбуждане на амигдала или глобална исхемия. Топирамат е слабо ефективен единствено при блокирането на клоничните гърчове, индуцирани от </w:t>
      </w:r>
      <w:proofErr w:type="spellStart"/>
      <w:r w:rsidRPr="00984E1A">
        <w:rPr>
          <w:rFonts w:eastAsia="Times New Roman" w:cs="Arial"/>
          <w:smallCaps/>
          <w:color w:val="000000"/>
          <w:szCs w:val="20"/>
          <w:lang w:val="en-US"/>
        </w:rPr>
        <w:t>GABA</w:t>
      </w:r>
      <w:r w:rsidRPr="00984E1A">
        <w:rPr>
          <w:rFonts w:eastAsia="Times New Roman" w:cs="Arial"/>
          <w:smallCaps/>
          <w:color w:val="000000"/>
          <w:szCs w:val="20"/>
          <w:vertAlign w:val="subscript"/>
          <w:lang w:val="en-US"/>
        </w:rPr>
        <w:t>a</w:t>
      </w:r>
      <w:proofErr w:type="spellEnd"/>
      <w:r w:rsidRPr="00984E1A">
        <w:rPr>
          <w:rFonts w:eastAsia="Times New Roman" w:cs="Arial"/>
          <w:smallCaps/>
          <w:color w:val="000000"/>
          <w:szCs w:val="20"/>
          <w:vertAlign w:val="subscript"/>
          <w:lang w:val="en-US"/>
        </w:rPr>
        <w:t xml:space="preserve"> </w:t>
      </w:r>
      <w:r w:rsidRPr="00984E1A">
        <w:rPr>
          <w:rFonts w:eastAsia="Times New Roman" w:cs="Arial"/>
          <w:color w:val="000000"/>
          <w:szCs w:val="20"/>
          <w:lang w:eastAsia="bg-BG"/>
        </w:rPr>
        <w:t>рецепторния антагонист пентилентетразол.</w:t>
      </w:r>
    </w:p>
    <w:p w14:paraId="346FB2AA" w14:textId="77777777" w:rsidR="00984E1A" w:rsidRPr="00984E1A" w:rsidRDefault="00984E1A" w:rsidP="00984E1A">
      <w:pPr>
        <w:spacing w:line="240" w:lineRule="auto"/>
        <w:rPr>
          <w:rFonts w:eastAsia="Times New Roman" w:cs="Arial"/>
          <w:color w:val="000000"/>
          <w:szCs w:val="20"/>
          <w:lang w:eastAsia="bg-BG"/>
        </w:rPr>
      </w:pPr>
    </w:p>
    <w:p w14:paraId="2ED08E88" w14:textId="76CD1370"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Проучвания върху мишки, приемащи едновременно топирамат </w:t>
      </w:r>
      <w:r w:rsidRPr="00984E1A">
        <w:rPr>
          <w:rFonts w:eastAsia="Times New Roman" w:cs="Arial"/>
          <w:i/>
          <w:iCs/>
          <w:color w:val="000000"/>
          <w:szCs w:val="20"/>
          <w:lang w:eastAsia="bg-BG"/>
        </w:rPr>
        <w:t>и карбамазепин</w:t>
      </w:r>
      <w:r w:rsidRPr="00984E1A">
        <w:rPr>
          <w:rFonts w:eastAsia="Times New Roman" w:cs="Arial"/>
          <w:color w:val="000000"/>
          <w:szCs w:val="20"/>
          <w:lang w:eastAsia="bg-BG"/>
        </w:rPr>
        <w:t xml:space="preserve"> или фенобарбитал, показват синергична антиконвулсивна дейност, докато комбинацията с фенитоин показва допълнителна антиконвулсивна дейност. При добре контролирани допълнителни проучвания не е наблюдавана взаимовръзка между най-ниската плазмена концентрация на топирамат и неговата клинична ефикасност. Няма данни за поносимост при хора.</w:t>
      </w:r>
    </w:p>
    <w:p w14:paraId="01BFB55D" w14:textId="77777777" w:rsidR="00984E1A" w:rsidRPr="00984E1A" w:rsidRDefault="00984E1A" w:rsidP="00984E1A">
      <w:pPr>
        <w:spacing w:line="240" w:lineRule="auto"/>
        <w:rPr>
          <w:rFonts w:eastAsia="Times New Roman" w:cs="Arial"/>
          <w:color w:val="000000"/>
          <w:szCs w:val="20"/>
          <w:u w:val="single"/>
          <w:lang w:eastAsia="bg-BG"/>
        </w:rPr>
      </w:pPr>
    </w:p>
    <w:p w14:paraId="11F8B586" w14:textId="6276C711"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u w:val="single"/>
          <w:lang w:eastAsia="bg-BG"/>
        </w:rPr>
        <w:t>Абсанси</w:t>
      </w:r>
    </w:p>
    <w:p w14:paraId="5CF67AAC" w14:textId="77777777" w:rsidR="00984E1A" w:rsidRPr="00984E1A" w:rsidRDefault="00984E1A" w:rsidP="00984E1A">
      <w:pPr>
        <w:rPr>
          <w:rFonts w:eastAsia="Times New Roman" w:cs="Arial"/>
          <w:color w:val="000000"/>
          <w:szCs w:val="20"/>
          <w:lang w:eastAsia="bg-BG"/>
        </w:rPr>
      </w:pPr>
    </w:p>
    <w:p w14:paraId="28252AA0" w14:textId="329D70A0" w:rsidR="0091385D" w:rsidRPr="00984E1A" w:rsidRDefault="00984E1A" w:rsidP="00984E1A">
      <w:pPr>
        <w:rPr>
          <w:rFonts w:cs="Arial"/>
          <w:sz w:val="24"/>
        </w:rPr>
      </w:pPr>
      <w:r w:rsidRPr="00984E1A">
        <w:rPr>
          <w:rFonts w:eastAsia="Times New Roman" w:cs="Arial"/>
          <w:color w:val="000000"/>
          <w:szCs w:val="20"/>
          <w:lang w:eastAsia="bg-BG"/>
        </w:rPr>
        <w:t xml:space="preserve">Проведени са две малки проучвания с по едно рамо при деца на възраст 4-11 години </w:t>
      </w:r>
      <w:r w:rsidRPr="00984E1A">
        <w:rPr>
          <w:rFonts w:eastAsia="Times New Roman" w:cs="Arial"/>
          <w:color w:val="000000"/>
          <w:szCs w:val="20"/>
          <w:lang w:val="en-US"/>
        </w:rPr>
        <w:t xml:space="preserve">(CAPSS- </w:t>
      </w:r>
      <w:r w:rsidRPr="00984E1A">
        <w:rPr>
          <w:rFonts w:eastAsia="Times New Roman" w:cs="Arial"/>
          <w:color w:val="000000"/>
          <w:szCs w:val="20"/>
          <w:lang w:eastAsia="bg-BG"/>
        </w:rPr>
        <w:t xml:space="preserve">326 и </w:t>
      </w:r>
      <w:r w:rsidRPr="00984E1A">
        <w:rPr>
          <w:rFonts w:eastAsia="Times New Roman" w:cs="Arial"/>
          <w:color w:val="000000"/>
          <w:szCs w:val="20"/>
          <w:lang w:val="en-US"/>
        </w:rPr>
        <w:t xml:space="preserve">TOPAMAT-ABS-001), </w:t>
      </w:r>
      <w:r w:rsidRPr="00984E1A">
        <w:rPr>
          <w:rFonts w:eastAsia="Times New Roman" w:cs="Arial"/>
          <w:color w:val="000000"/>
          <w:szCs w:val="20"/>
          <w:lang w:eastAsia="bg-BG"/>
        </w:rPr>
        <w:t xml:space="preserve">В едното са участвали 5 деца, а в другото 12, преди да бъде преждевременно прекратено поради липса на терапевтичен отговор. Дозите, използвани в проучванията, са до приблизително 12 </w:t>
      </w:r>
      <w:r w:rsidRPr="00984E1A">
        <w:rPr>
          <w:rFonts w:eastAsia="Times New Roman" w:cs="Arial"/>
          <w:color w:val="000000"/>
          <w:szCs w:val="20"/>
          <w:lang w:val="en-US"/>
        </w:rPr>
        <w:t xml:space="preserve">mg/kg </w:t>
      </w:r>
      <w:r w:rsidRPr="00984E1A">
        <w:rPr>
          <w:rFonts w:eastAsia="Times New Roman" w:cs="Arial"/>
          <w:color w:val="000000"/>
          <w:szCs w:val="20"/>
          <w:lang w:eastAsia="bg-BG"/>
        </w:rPr>
        <w:t xml:space="preserve">в проучване </w:t>
      </w:r>
      <w:r w:rsidRPr="00984E1A">
        <w:rPr>
          <w:rFonts w:eastAsia="Times New Roman" w:cs="Arial"/>
          <w:color w:val="000000"/>
          <w:szCs w:val="20"/>
          <w:lang w:val="en-US"/>
        </w:rPr>
        <w:t xml:space="preserve">TOPAMAT-ABS-001 </w:t>
      </w:r>
      <w:r w:rsidRPr="00984E1A">
        <w:rPr>
          <w:rFonts w:eastAsia="Times New Roman" w:cs="Arial"/>
          <w:color w:val="000000"/>
          <w:szCs w:val="20"/>
          <w:lang w:eastAsia="bg-BG"/>
        </w:rPr>
        <w:t xml:space="preserve">и максимумът на по-малката доза от 9 </w:t>
      </w:r>
      <w:r w:rsidRPr="00984E1A">
        <w:rPr>
          <w:rFonts w:eastAsia="Times New Roman" w:cs="Arial"/>
          <w:color w:val="000000"/>
          <w:szCs w:val="20"/>
          <w:lang w:val="en-US"/>
        </w:rPr>
        <w:t xml:space="preserve">mg/kg </w:t>
      </w:r>
      <w:r w:rsidRPr="00984E1A">
        <w:rPr>
          <w:rFonts w:eastAsia="Times New Roman" w:cs="Arial"/>
          <w:color w:val="000000"/>
          <w:szCs w:val="20"/>
          <w:lang w:eastAsia="bg-BG"/>
        </w:rPr>
        <w:t xml:space="preserve">дневно или 400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дневно в проучване </w:t>
      </w:r>
      <w:r w:rsidRPr="00984E1A">
        <w:rPr>
          <w:rFonts w:eastAsia="Times New Roman" w:cs="Arial"/>
          <w:color w:val="000000"/>
          <w:szCs w:val="20"/>
          <w:lang w:val="en-US"/>
        </w:rPr>
        <w:t>CAPS S</w:t>
      </w:r>
      <w:r w:rsidRPr="00984E1A">
        <w:rPr>
          <w:rFonts w:eastAsia="Times New Roman" w:cs="Arial"/>
          <w:color w:val="000000"/>
          <w:szCs w:val="20"/>
          <w:lang w:eastAsia="bg-BG"/>
        </w:rPr>
        <w:t>-326. Тези проучвания не предоставят достатъчно доказателства, за да се направи заключение относно ефикасността и безопасността в педиатричната популация.</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7F9515C1"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Филмираните таблетки и твърдите капсули са биоеквивалентни.</w:t>
      </w:r>
    </w:p>
    <w:p w14:paraId="10B58C90" w14:textId="77777777" w:rsidR="00984E1A" w:rsidRPr="00984E1A" w:rsidRDefault="00984E1A" w:rsidP="00984E1A">
      <w:pPr>
        <w:spacing w:line="240" w:lineRule="auto"/>
        <w:rPr>
          <w:rFonts w:eastAsia="Times New Roman" w:cs="Arial"/>
          <w:color w:val="000000"/>
          <w:szCs w:val="20"/>
          <w:lang w:eastAsia="bg-BG"/>
        </w:rPr>
      </w:pPr>
    </w:p>
    <w:p w14:paraId="157086BA" w14:textId="41951E3B"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Фармакокинетичният профил на топирамат, сравнен с други антиепилептични средства, </w:t>
      </w:r>
      <w:r w:rsidRPr="00984E1A">
        <w:rPr>
          <w:rFonts w:eastAsia="Times New Roman" w:cs="Arial"/>
          <w:color w:val="000000"/>
          <w:szCs w:val="20"/>
          <w:u w:val="single"/>
          <w:lang w:eastAsia="bg-BG"/>
        </w:rPr>
        <w:t xml:space="preserve"> </w:t>
      </w:r>
      <w:r w:rsidRPr="00984E1A">
        <w:rPr>
          <w:rFonts w:eastAsia="Times New Roman" w:cs="Arial"/>
          <w:color w:val="000000"/>
          <w:szCs w:val="20"/>
          <w:lang w:eastAsia="bg-BG"/>
        </w:rPr>
        <w:t xml:space="preserve">показва дълъг плазмен полуживот, линейна фармакокинетика, преобладаващ бъбречен </w:t>
      </w:r>
      <w:r w:rsidRPr="00984E1A">
        <w:rPr>
          <w:rFonts w:eastAsia="Times New Roman" w:cs="Arial"/>
          <w:color w:val="000000"/>
          <w:szCs w:val="20"/>
          <w:lang w:eastAsia="bg-BG"/>
        </w:rPr>
        <w:lastRenderedPageBreak/>
        <w:t>клирънс липса на значително свързване с протеини и липса на клинично значими активни метаболити.</w:t>
      </w:r>
    </w:p>
    <w:p w14:paraId="26FBDA79" w14:textId="77777777" w:rsidR="00984E1A" w:rsidRPr="00984E1A" w:rsidRDefault="00984E1A" w:rsidP="00984E1A">
      <w:pPr>
        <w:spacing w:line="240" w:lineRule="auto"/>
        <w:rPr>
          <w:rFonts w:eastAsia="Times New Roman" w:cs="Arial"/>
          <w:color w:val="000000"/>
          <w:szCs w:val="20"/>
          <w:lang w:eastAsia="bg-BG"/>
        </w:rPr>
      </w:pPr>
    </w:p>
    <w:p w14:paraId="18ED398E" w14:textId="1FDE1C99"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Топирамат не е силен индуктор на лекарствометаболизиращи ензими, може да се приема,</w:t>
      </w:r>
    </w:p>
    <w:p w14:paraId="188485B1" w14:textId="77777777" w:rsidR="00984E1A" w:rsidRPr="00984E1A" w:rsidRDefault="00984E1A" w:rsidP="00984E1A">
      <w:pPr>
        <w:rPr>
          <w:rFonts w:eastAsia="Times New Roman" w:cs="Arial"/>
          <w:sz w:val="28"/>
          <w:szCs w:val="24"/>
          <w:lang w:eastAsia="bg-BG"/>
        </w:rPr>
      </w:pPr>
      <w:r w:rsidRPr="00984E1A">
        <w:rPr>
          <w:rFonts w:eastAsia="Times New Roman" w:cs="Arial"/>
          <w:color w:val="000000"/>
          <w:szCs w:val="20"/>
          <w:lang w:eastAsia="bg-BG"/>
        </w:rPr>
        <w:t>независимо от храненията и не е необходимо рутинно проследяване на плазмените му концентрации. В клиничните проучвания не се наблюдава последователна връзка между плазмените концентрации и ефикасността или нежеланите събития.</w:t>
      </w:r>
    </w:p>
    <w:p w14:paraId="69B82BEE" w14:textId="77777777" w:rsidR="00984E1A" w:rsidRPr="00984E1A" w:rsidRDefault="00984E1A" w:rsidP="00984E1A">
      <w:pPr>
        <w:spacing w:line="240" w:lineRule="auto"/>
        <w:rPr>
          <w:rFonts w:eastAsia="Times New Roman" w:cs="Arial"/>
          <w:color w:val="000000"/>
          <w:szCs w:val="20"/>
          <w:u w:val="single"/>
          <w:lang w:eastAsia="bg-BG"/>
        </w:rPr>
      </w:pPr>
    </w:p>
    <w:p w14:paraId="2F09A1A2" w14:textId="766DB4A6" w:rsidR="00984E1A" w:rsidRPr="00984E1A" w:rsidRDefault="00984E1A" w:rsidP="00984E1A">
      <w:pPr>
        <w:pStyle w:val="Heading3"/>
        <w:rPr>
          <w:rFonts w:eastAsia="Times New Roman"/>
          <w:sz w:val="28"/>
          <w:u w:val="single"/>
          <w:lang w:eastAsia="bg-BG"/>
        </w:rPr>
      </w:pPr>
      <w:r w:rsidRPr="00984E1A">
        <w:rPr>
          <w:rFonts w:eastAsia="Times New Roman"/>
          <w:u w:val="single"/>
          <w:lang w:eastAsia="bg-BG"/>
        </w:rPr>
        <w:t>Абсорбция</w:t>
      </w:r>
    </w:p>
    <w:p w14:paraId="1F8A7E86"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Топирамат се абсорбира бързо и лесно. След перорално приложение на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топирамат при здрави пациенти средната пикова плазмена концентрация (С</w:t>
      </w:r>
      <w:r w:rsidRPr="00984E1A">
        <w:rPr>
          <w:rFonts w:eastAsia="Times New Roman" w:cs="Arial"/>
          <w:color w:val="000000"/>
          <w:szCs w:val="20"/>
          <w:lang w:val="en-US"/>
        </w:rPr>
        <w:t>m</w:t>
      </w:r>
      <w:r w:rsidRPr="00984E1A">
        <w:rPr>
          <w:rFonts w:eastAsia="Times New Roman" w:cs="Arial"/>
          <w:color w:val="000000"/>
          <w:szCs w:val="20"/>
          <w:lang w:eastAsia="bg-BG"/>
        </w:rPr>
        <w:t>ах) от 1,</w:t>
      </w:r>
      <w:r w:rsidRPr="00984E1A">
        <w:rPr>
          <w:rFonts w:eastAsia="Times New Roman" w:cs="Arial"/>
          <w:i/>
          <w:iCs/>
          <w:color w:val="000000"/>
          <w:szCs w:val="20"/>
          <w:lang w:eastAsia="bg-BG"/>
        </w:rPr>
        <w:t>5</w:t>
      </w:r>
      <w:r w:rsidRPr="00984E1A">
        <w:rPr>
          <w:rFonts w:eastAsia="Times New Roman" w:cs="Arial"/>
          <w:color w:val="000000"/>
          <w:szCs w:val="20"/>
          <w:lang w:eastAsia="bg-BG"/>
        </w:rPr>
        <w:t xml:space="preserve"> μ</w:t>
      </w:r>
      <w:r w:rsidRPr="00984E1A">
        <w:rPr>
          <w:rFonts w:eastAsia="Times New Roman" w:cs="Arial"/>
          <w:color w:val="000000"/>
          <w:szCs w:val="20"/>
          <w:lang w:val="en-US"/>
        </w:rPr>
        <w:t xml:space="preserve">g/ml </w:t>
      </w:r>
      <w:r w:rsidRPr="00984E1A">
        <w:rPr>
          <w:rFonts w:eastAsia="Times New Roman" w:cs="Arial"/>
          <w:color w:val="000000"/>
          <w:szCs w:val="20"/>
          <w:lang w:eastAsia="bg-BG"/>
        </w:rPr>
        <w:t>се достига в рамките на 2 до 3 часа (Т</w:t>
      </w:r>
      <w:r w:rsidRPr="00984E1A">
        <w:rPr>
          <w:rFonts w:eastAsia="Times New Roman" w:cs="Arial"/>
          <w:color w:val="000000"/>
          <w:szCs w:val="20"/>
          <w:lang w:val="en-US"/>
        </w:rPr>
        <w:t>m</w:t>
      </w:r>
      <w:r w:rsidRPr="00984E1A">
        <w:rPr>
          <w:rFonts w:eastAsia="Times New Roman" w:cs="Arial"/>
          <w:color w:val="000000"/>
          <w:szCs w:val="20"/>
          <w:lang w:eastAsia="bg-BG"/>
        </w:rPr>
        <w:t>ах).</w:t>
      </w:r>
    </w:p>
    <w:p w14:paraId="3EDF84AD" w14:textId="77777777" w:rsidR="00984E1A" w:rsidRPr="00984E1A" w:rsidRDefault="00984E1A" w:rsidP="00984E1A">
      <w:pPr>
        <w:spacing w:line="240" w:lineRule="auto"/>
        <w:rPr>
          <w:rFonts w:eastAsia="Times New Roman" w:cs="Arial"/>
          <w:color w:val="000000"/>
          <w:szCs w:val="20"/>
          <w:lang w:eastAsia="bg-BG"/>
        </w:rPr>
      </w:pPr>
    </w:p>
    <w:p w14:paraId="1F2496C6" w14:textId="597A2B64"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Проучвания на радиоактивността в урина показват, че средната степен на абсорбция при перорална доза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14С-топирамат е не по-малко от 81%. Не се наблюдава клинично значим ефект на храната върху бионаличността на топирамат.</w:t>
      </w:r>
    </w:p>
    <w:p w14:paraId="3C85DCA0" w14:textId="77777777" w:rsidR="00984E1A" w:rsidRPr="00984E1A" w:rsidRDefault="00984E1A" w:rsidP="00984E1A">
      <w:pPr>
        <w:spacing w:line="240" w:lineRule="auto"/>
        <w:rPr>
          <w:rFonts w:eastAsia="Times New Roman" w:cs="Arial"/>
          <w:color w:val="000000"/>
          <w:szCs w:val="20"/>
          <w:u w:val="single"/>
          <w:lang w:eastAsia="bg-BG"/>
        </w:rPr>
      </w:pPr>
    </w:p>
    <w:p w14:paraId="59B8F754" w14:textId="58FEA828" w:rsidR="00984E1A" w:rsidRPr="00984E1A" w:rsidRDefault="00984E1A" w:rsidP="00984E1A">
      <w:pPr>
        <w:pStyle w:val="Heading3"/>
        <w:rPr>
          <w:rFonts w:eastAsia="Times New Roman"/>
          <w:sz w:val="28"/>
          <w:u w:val="single"/>
          <w:lang w:eastAsia="bg-BG"/>
        </w:rPr>
      </w:pPr>
      <w:r w:rsidRPr="00984E1A">
        <w:rPr>
          <w:rFonts w:eastAsia="Times New Roman"/>
          <w:u w:val="single"/>
          <w:lang w:eastAsia="bg-BG"/>
        </w:rPr>
        <w:t>Разпределение</w:t>
      </w:r>
    </w:p>
    <w:p w14:paraId="27F543B5"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Обикновено 13-17% от топирамат се свързва с плазмените протеини. Наблюдава се нисък капацитет на свързване на топирамат в/върху еритроцитите, който се насища при плазмени концентрации над 4 μ</w:t>
      </w:r>
      <w:r w:rsidRPr="00984E1A">
        <w:rPr>
          <w:rFonts w:eastAsia="Times New Roman" w:cs="Arial"/>
          <w:color w:val="000000"/>
          <w:szCs w:val="20"/>
          <w:lang w:val="en-US"/>
        </w:rPr>
        <w:t xml:space="preserve">g/ml. </w:t>
      </w:r>
      <w:r w:rsidRPr="00984E1A">
        <w:rPr>
          <w:rFonts w:eastAsia="Times New Roman" w:cs="Arial"/>
          <w:color w:val="000000"/>
          <w:szCs w:val="20"/>
          <w:lang w:eastAsia="bg-BG"/>
        </w:rPr>
        <w:t xml:space="preserve">Обемът на разпределение варира обратнопропорционално на дозата. Средният привиден обем на разпределение е 0,8 до 0,55 </w:t>
      </w:r>
      <w:r w:rsidRPr="00984E1A">
        <w:rPr>
          <w:rFonts w:eastAsia="Times New Roman" w:cs="Arial"/>
          <w:color w:val="000000"/>
          <w:szCs w:val="20"/>
          <w:lang w:val="en-US"/>
        </w:rPr>
        <w:t xml:space="preserve">1/kg </w:t>
      </w:r>
      <w:r w:rsidRPr="00984E1A">
        <w:rPr>
          <w:rFonts w:eastAsia="Times New Roman" w:cs="Arial"/>
          <w:color w:val="000000"/>
          <w:szCs w:val="20"/>
          <w:lang w:eastAsia="bg-BG"/>
        </w:rPr>
        <w:t xml:space="preserve">за единична доза в диапазона от 100 до 1200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Наблюдава се зависимост между обема на разпределение и пола. Стойностите при жените са около 50% от тези при мъжете. Това се свързва с по-високия процент на мастите в организма на жените и няма клинични последици.</w:t>
      </w:r>
    </w:p>
    <w:p w14:paraId="3A61E799" w14:textId="77777777" w:rsidR="00984E1A" w:rsidRPr="00984E1A" w:rsidRDefault="00984E1A" w:rsidP="00984E1A">
      <w:pPr>
        <w:spacing w:line="240" w:lineRule="auto"/>
        <w:rPr>
          <w:rFonts w:eastAsia="Times New Roman" w:cs="Arial"/>
          <w:color w:val="000000"/>
          <w:szCs w:val="20"/>
          <w:u w:val="single"/>
          <w:lang w:eastAsia="bg-BG"/>
        </w:rPr>
      </w:pPr>
    </w:p>
    <w:p w14:paraId="073349B4" w14:textId="0E324A87" w:rsidR="00984E1A" w:rsidRPr="00984E1A" w:rsidRDefault="00984E1A" w:rsidP="00984E1A">
      <w:pPr>
        <w:pStyle w:val="Heading3"/>
        <w:rPr>
          <w:rFonts w:eastAsia="Times New Roman"/>
          <w:sz w:val="28"/>
          <w:u w:val="single"/>
          <w:lang w:eastAsia="bg-BG"/>
        </w:rPr>
      </w:pPr>
      <w:r w:rsidRPr="00984E1A">
        <w:rPr>
          <w:rFonts w:eastAsia="Times New Roman"/>
          <w:u w:val="single"/>
          <w:lang w:eastAsia="bg-BG"/>
        </w:rPr>
        <w:t>Биотрансформация</w:t>
      </w:r>
    </w:p>
    <w:p w14:paraId="559F34CA"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Топирамат не се метаболизира в голяма степен (-20%) при здрави доброволци. Метаболизира се до 50% при пациенти, провеждащи съпътстваща антиепилептична терапия с известни индуктори на лекарствометаболизиращи ензими. Шест метаболита, образувани чрез хидроксилация, хидролиза и глюкуронизация, са изолирани, охарактеризирани и идентифицирани от плазмата, урината и фекалиите при хора. Всеки метаболит представлява по- малко от 3% от общата радиоактивност, екскретирана след употребата на 14С-топирамат. Изследвани са два метаболита, които запазват почти напълно структурата на топирамат, и е установено, че имат слаба или нямат никаква антиконвулсивна активност.</w:t>
      </w:r>
    </w:p>
    <w:p w14:paraId="70126ED1" w14:textId="77777777" w:rsidR="00984E1A" w:rsidRPr="00984E1A" w:rsidRDefault="00984E1A" w:rsidP="00984E1A">
      <w:pPr>
        <w:spacing w:line="240" w:lineRule="auto"/>
        <w:rPr>
          <w:rFonts w:eastAsia="Times New Roman" w:cs="Arial"/>
          <w:color w:val="000000"/>
          <w:szCs w:val="20"/>
          <w:u w:val="single"/>
          <w:lang w:eastAsia="bg-BG"/>
        </w:rPr>
      </w:pPr>
    </w:p>
    <w:p w14:paraId="57B8FE47" w14:textId="5FA8F6D7" w:rsidR="00984E1A" w:rsidRPr="00984E1A" w:rsidRDefault="00984E1A" w:rsidP="00984E1A">
      <w:pPr>
        <w:pStyle w:val="Heading3"/>
        <w:rPr>
          <w:rFonts w:eastAsia="Times New Roman"/>
          <w:sz w:val="28"/>
          <w:u w:val="single"/>
          <w:lang w:eastAsia="bg-BG"/>
        </w:rPr>
      </w:pPr>
      <w:r w:rsidRPr="00984E1A">
        <w:rPr>
          <w:rFonts w:eastAsia="Times New Roman"/>
          <w:u w:val="single"/>
          <w:lang w:eastAsia="bg-BG"/>
        </w:rPr>
        <w:t>Елиминиране</w:t>
      </w:r>
    </w:p>
    <w:p w14:paraId="6EFFBBE9"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При хора основният път на елиминиране на топирамат в непроменен вид и неговите метаболити е през бъбреците (не по-малко от 81% от дозата). Приблизително 66% от дозата на 14С-топирамат се екскретира в непроменен вид в урината в рамките на 4 дни. След дозиране два пъти на ден с 50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и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топирамат средният бъбречен клирънс съответно е приблизително 18 </w:t>
      </w:r>
      <w:r w:rsidRPr="00984E1A">
        <w:rPr>
          <w:rFonts w:eastAsia="Times New Roman" w:cs="Arial"/>
          <w:color w:val="000000"/>
          <w:szCs w:val="20"/>
          <w:lang w:val="en-US"/>
        </w:rPr>
        <w:t xml:space="preserve">ml/min </w:t>
      </w:r>
      <w:r w:rsidRPr="00984E1A">
        <w:rPr>
          <w:rFonts w:eastAsia="Times New Roman" w:cs="Arial"/>
          <w:color w:val="000000"/>
          <w:szCs w:val="20"/>
          <w:lang w:eastAsia="bg-BG"/>
        </w:rPr>
        <w:t xml:space="preserve">и съответно 17 </w:t>
      </w:r>
      <w:r w:rsidRPr="00984E1A">
        <w:rPr>
          <w:rFonts w:eastAsia="Times New Roman" w:cs="Arial"/>
          <w:color w:val="000000"/>
          <w:szCs w:val="20"/>
          <w:lang w:val="en-US"/>
        </w:rPr>
        <w:t xml:space="preserve">ml/min. </w:t>
      </w:r>
      <w:r w:rsidRPr="00984E1A">
        <w:rPr>
          <w:rFonts w:eastAsia="Times New Roman" w:cs="Arial"/>
          <w:color w:val="000000"/>
          <w:szCs w:val="20"/>
          <w:lang w:eastAsia="bg-BG"/>
        </w:rPr>
        <w:t xml:space="preserve">Има данни за бъбречна тубулна реабсорбция на топирамат. Това е подкрепено с резултати от изследвания върху плъхове, при които топирамат е приложен едновременно с пробенецид и се наблюдава значително повишаване на бъбречния клирънс на топирамат. Общо плазменият клирънс при хора е от 20 до 30 </w:t>
      </w:r>
      <w:r w:rsidRPr="00984E1A">
        <w:rPr>
          <w:rFonts w:eastAsia="Times New Roman" w:cs="Arial"/>
          <w:color w:val="000000"/>
          <w:szCs w:val="20"/>
          <w:lang w:val="en-US"/>
        </w:rPr>
        <w:t xml:space="preserve">ml/min </w:t>
      </w:r>
      <w:r w:rsidRPr="00984E1A">
        <w:rPr>
          <w:rFonts w:eastAsia="Times New Roman" w:cs="Arial"/>
          <w:color w:val="000000"/>
          <w:szCs w:val="20"/>
          <w:lang w:eastAsia="bg-BG"/>
        </w:rPr>
        <w:t>след перорално приложение.</w:t>
      </w:r>
    </w:p>
    <w:p w14:paraId="19CCEA01" w14:textId="77777777" w:rsidR="00984E1A" w:rsidRPr="00984E1A" w:rsidRDefault="00984E1A" w:rsidP="00984E1A">
      <w:pPr>
        <w:spacing w:line="240" w:lineRule="auto"/>
        <w:rPr>
          <w:rFonts w:eastAsia="Times New Roman" w:cs="Arial"/>
          <w:color w:val="000000"/>
          <w:szCs w:val="20"/>
          <w:lang w:eastAsia="bg-BG"/>
        </w:rPr>
      </w:pPr>
    </w:p>
    <w:p w14:paraId="63D8DCD8" w14:textId="1FF1C986"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Топирамат е с ниска вариабилност по отношение на плазмените концентрации при различните пациенти, поради което има предвидима фармакокинетика. Фармакокинетиката на топирамат има линеен характер, като плазменият клирънс остава постоянен, и площта под кривата на плазмената концентрация нараства пропорционално с увеличаване на дозата в диапазона от 100 до 400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еднократна перорална доза при здрави доброволци. При пациенти с нормална бъбречна функция може да изминат от 4 до 8 дни до постигане на стационарни плазмени концентрации. Средната Сшах след многократно приемане на перорална доза от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два пъти дневно при здрави доброволци е 6,76 μ</w:t>
      </w:r>
      <w:r w:rsidRPr="00984E1A">
        <w:rPr>
          <w:rFonts w:eastAsia="Times New Roman" w:cs="Arial"/>
          <w:color w:val="000000"/>
          <w:szCs w:val="20"/>
          <w:lang w:val="en-US"/>
        </w:rPr>
        <w:t>g/</w:t>
      </w:r>
      <w:proofErr w:type="spellStart"/>
      <w:r w:rsidRPr="00984E1A">
        <w:rPr>
          <w:rFonts w:eastAsia="Times New Roman" w:cs="Arial"/>
          <w:color w:val="000000"/>
          <w:szCs w:val="20"/>
          <w:lang w:val="en-US"/>
        </w:rPr>
        <w:t>mk</w:t>
      </w:r>
      <w:proofErr w:type="spellEnd"/>
      <w:r w:rsidRPr="00984E1A">
        <w:rPr>
          <w:rFonts w:eastAsia="Times New Roman" w:cs="Arial"/>
          <w:color w:val="000000"/>
          <w:szCs w:val="20"/>
          <w:lang w:val="en-US"/>
        </w:rPr>
        <w:t xml:space="preserve"> </w:t>
      </w:r>
      <w:r w:rsidRPr="00984E1A">
        <w:rPr>
          <w:rFonts w:eastAsia="Times New Roman" w:cs="Arial"/>
          <w:color w:val="000000"/>
          <w:szCs w:val="20"/>
          <w:lang w:eastAsia="bg-BG"/>
        </w:rPr>
        <w:t xml:space="preserve">След прилагане на многократни дози от 50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и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топирамат два пъти дневно, средният плазмен полуживот е приблизително</w:t>
      </w:r>
      <w:r w:rsidRPr="00984E1A">
        <w:rPr>
          <w:rFonts w:eastAsia="Times New Roman" w:cs="Arial"/>
          <w:color w:val="000000"/>
          <w:szCs w:val="20"/>
          <w:lang w:val="en-US"/>
        </w:rPr>
        <w:t xml:space="preserve"> 21 </w:t>
      </w:r>
      <w:r w:rsidRPr="00984E1A">
        <w:rPr>
          <w:rFonts w:eastAsia="Times New Roman" w:cs="Arial"/>
          <w:color w:val="000000"/>
          <w:szCs w:val="20"/>
          <w:lang w:eastAsia="bg-BG"/>
        </w:rPr>
        <w:t>часа.</w:t>
      </w:r>
    </w:p>
    <w:p w14:paraId="7BD5692F" w14:textId="77777777" w:rsidR="00984E1A" w:rsidRPr="00984E1A" w:rsidRDefault="00984E1A" w:rsidP="00984E1A">
      <w:pPr>
        <w:spacing w:line="240" w:lineRule="auto"/>
        <w:rPr>
          <w:rFonts w:eastAsia="Times New Roman" w:cs="Arial"/>
          <w:color w:val="000000"/>
          <w:szCs w:val="20"/>
          <w:lang w:eastAsia="bg-BG"/>
        </w:rPr>
      </w:pPr>
    </w:p>
    <w:p w14:paraId="148BA3FC" w14:textId="2D9B0726" w:rsidR="0091385D" w:rsidRPr="00984E1A" w:rsidRDefault="00984E1A" w:rsidP="00984E1A">
      <w:pPr>
        <w:spacing w:line="240" w:lineRule="auto"/>
        <w:rPr>
          <w:rFonts w:eastAsia="Times New Roman" w:cs="Arial"/>
          <w:lang w:eastAsia="bg-BG"/>
        </w:rPr>
      </w:pPr>
      <w:r w:rsidRPr="00984E1A">
        <w:rPr>
          <w:rFonts w:eastAsia="Times New Roman" w:cs="Arial"/>
          <w:color w:val="000000"/>
          <w:szCs w:val="20"/>
          <w:lang w:eastAsia="bg-BG"/>
        </w:rPr>
        <w:t xml:space="preserve">Едновременният многократен прием на топирамат от 100 до 400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два пъти дневно с </w:t>
      </w:r>
      <w:r w:rsidRPr="00984E1A">
        <w:rPr>
          <w:rFonts w:eastAsia="Times New Roman" w:cs="Arial"/>
          <w:color w:val="000000"/>
          <w:lang w:eastAsia="bg-BG"/>
        </w:rPr>
        <w:t>фенитоин или карбамазепин показва повишения в плазмената концентрация на топирамат,</w:t>
      </w:r>
      <w:r w:rsidRPr="00984E1A">
        <w:rPr>
          <w:rFonts w:eastAsia="Times New Roman" w:cs="Arial"/>
          <w:lang w:eastAsia="bg-BG"/>
        </w:rPr>
        <w:t xml:space="preserve"> </w:t>
      </w:r>
      <w:r w:rsidRPr="00984E1A">
        <w:rPr>
          <w:rFonts w:eastAsia="Times New Roman" w:cs="Arial"/>
          <w:color w:val="000000"/>
          <w:lang w:eastAsia="bg-BG"/>
        </w:rPr>
        <w:t>пропорционални на дозата.</w:t>
      </w:r>
    </w:p>
    <w:p w14:paraId="3D1D2D6B" w14:textId="239007E6" w:rsidR="00984E1A" w:rsidRPr="00984E1A" w:rsidRDefault="00984E1A" w:rsidP="0091385D">
      <w:pPr>
        <w:rPr>
          <w:rFonts w:cs="Arial"/>
        </w:rPr>
      </w:pPr>
    </w:p>
    <w:p w14:paraId="06CD8B42" w14:textId="77777777"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Плазменият и бъбречният клирънс на топирамат намаляват при пациенти с увредена бъбречна функция </w:t>
      </w:r>
      <w:r w:rsidRPr="00984E1A">
        <w:rPr>
          <w:rFonts w:eastAsia="Times New Roman" w:cs="Arial"/>
          <w:color w:val="000000"/>
          <w:lang w:val="en-US"/>
        </w:rPr>
        <w:t xml:space="preserve">(CLCR </w:t>
      </w:r>
      <w:r w:rsidRPr="00984E1A">
        <w:rPr>
          <w:rFonts w:eastAsia="Times New Roman" w:cs="Arial"/>
          <w:color w:val="000000"/>
          <w:lang w:eastAsia="bg-BG"/>
        </w:rPr>
        <w:t xml:space="preserve">≤ 60 </w:t>
      </w:r>
      <w:r w:rsidRPr="00984E1A">
        <w:rPr>
          <w:rFonts w:eastAsia="Times New Roman" w:cs="Arial"/>
          <w:color w:val="000000"/>
          <w:lang w:val="en-US"/>
        </w:rPr>
        <w:t xml:space="preserve">ml/min), </w:t>
      </w:r>
      <w:r w:rsidRPr="00984E1A">
        <w:rPr>
          <w:rFonts w:eastAsia="Times New Roman" w:cs="Arial"/>
          <w:color w:val="000000"/>
          <w:lang w:eastAsia="bg-BG"/>
        </w:rPr>
        <w:t>а плазменият клирънс на топирамат намалява при пациенти в последен стадий на бъбречно заболяване. В резултат на това се очакват по-високи стационарни плазмени концентрации на топирамат за дадена доза при пациенти с нарушена бъбречна функция в сравнение с пациенти с нормална бъбречна функция. Топирамат ефективно се отстранява от плазмата с хемодиализа.</w:t>
      </w:r>
    </w:p>
    <w:p w14:paraId="17067F23" w14:textId="77777777" w:rsidR="00984E1A" w:rsidRPr="00984E1A" w:rsidRDefault="00984E1A" w:rsidP="00984E1A">
      <w:pPr>
        <w:spacing w:line="240" w:lineRule="auto"/>
        <w:rPr>
          <w:rFonts w:eastAsia="Times New Roman" w:cs="Arial"/>
          <w:color w:val="000000"/>
          <w:lang w:eastAsia="bg-BG"/>
        </w:rPr>
      </w:pPr>
    </w:p>
    <w:p w14:paraId="16641927" w14:textId="7DBB5706"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Плазменият клирънс на топирамат намалява при пациенти с умерено до тежко чернодробно увреждане. Плазменият клирънс на топирамат остава непроменен при пациенти в напреднала възраст при липса на съпътстващо бъбречно заболяване.</w:t>
      </w:r>
    </w:p>
    <w:p w14:paraId="043198B0" w14:textId="77777777" w:rsidR="00984E1A" w:rsidRPr="00984E1A" w:rsidRDefault="00984E1A" w:rsidP="00984E1A">
      <w:pPr>
        <w:spacing w:line="240" w:lineRule="auto"/>
        <w:rPr>
          <w:rFonts w:eastAsia="Times New Roman" w:cs="Arial"/>
          <w:color w:val="000000"/>
          <w:u w:val="single"/>
          <w:lang w:eastAsia="bg-BG"/>
        </w:rPr>
      </w:pPr>
    </w:p>
    <w:p w14:paraId="1925AD29" w14:textId="6003932A" w:rsidR="00984E1A" w:rsidRPr="00984E1A" w:rsidRDefault="00984E1A" w:rsidP="00984E1A">
      <w:pPr>
        <w:spacing w:line="240" w:lineRule="auto"/>
        <w:rPr>
          <w:rFonts w:eastAsia="Times New Roman" w:cs="Arial"/>
          <w:lang w:eastAsia="bg-BG"/>
        </w:rPr>
      </w:pPr>
      <w:r w:rsidRPr="00984E1A">
        <w:rPr>
          <w:rFonts w:eastAsia="Times New Roman" w:cs="Arial"/>
          <w:color w:val="000000"/>
          <w:u w:val="single"/>
          <w:lang w:eastAsia="bg-BG"/>
        </w:rPr>
        <w:t>Педиатрична популация (фармакокинетика, до 12-годишна възраст)</w:t>
      </w:r>
    </w:p>
    <w:p w14:paraId="678BD1C0" w14:textId="5570B604" w:rsidR="00984E1A" w:rsidRPr="00984E1A" w:rsidRDefault="00984E1A" w:rsidP="00984E1A">
      <w:pPr>
        <w:rPr>
          <w:rFonts w:cs="Arial"/>
        </w:rPr>
      </w:pPr>
      <w:r w:rsidRPr="00984E1A">
        <w:rPr>
          <w:rFonts w:eastAsia="Times New Roman" w:cs="Arial"/>
          <w:color w:val="000000"/>
          <w:lang w:eastAsia="bg-BG"/>
        </w:rPr>
        <w:t xml:space="preserve">Фармакокинетиката на топирамат при деца, подобно на тази при възрастни на допълнителна терапия, е линейна, с клирънс, независещ от дозата и стационарни плазмени концентрации, повишаващи се пропорционално на концентрацията. Децата, обаче, имат по-висок клирънс и по-къс елиминационен полуживот. Следователно, плазмените концентрации на топирамат за една и съща доза в </w:t>
      </w:r>
      <w:r w:rsidRPr="00984E1A">
        <w:rPr>
          <w:rFonts w:eastAsia="Times New Roman" w:cs="Arial"/>
          <w:color w:val="000000"/>
          <w:lang w:val="en-US"/>
        </w:rPr>
        <w:t xml:space="preserve">mg/kg </w:t>
      </w:r>
      <w:r w:rsidRPr="00984E1A">
        <w:rPr>
          <w:rFonts w:eastAsia="Times New Roman" w:cs="Arial"/>
          <w:color w:val="000000"/>
          <w:lang w:eastAsia="bg-BG"/>
        </w:rPr>
        <w:t xml:space="preserve">може да са по-ниски при деца в сравнение </w:t>
      </w:r>
      <w:r w:rsidRPr="00984E1A">
        <w:rPr>
          <w:rFonts w:eastAsia="Times New Roman" w:cs="Arial"/>
          <w:i/>
          <w:iCs/>
          <w:color w:val="000000"/>
          <w:lang w:eastAsia="bg-BG"/>
        </w:rPr>
        <w:t>с</w:t>
      </w:r>
      <w:r w:rsidRPr="00984E1A">
        <w:rPr>
          <w:rFonts w:eastAsia="Times New Roman" w:cs="Arial"/>
          <w:color w:val="000000"/>
          <w:lang w:eastAsia="bg-BG"/>
        </w:rPr>
        <w:t xml:space="preserve"> тези при възрастни. Както и при възрастните, чернодробните ензими, индуциращи антиепилептичните лекарства, намаляват стационарните плазмени концентрации.</w:t>
      </w:r>
    </w:p>
    <w:p w14:paraId="3414F88D" w14:textId="77777777" w:rsidR="00984E1A" w:rsidRPr="0091385D" w:rsidRDefault="00984E1A"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BCEC921" w14:textId="77777777"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При неклинични изпитвания върху фертилитета, където майчината и бащината токсичност е не по-висока от 8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не се наблюдават ефекти по отношение на фертилитета при мъжки и женски плъхове при дози до 100 </w:t>
      </w:r>
      <w:r w:rsidRPr="00984E1A">
        <w:rPr>
          <w:rFonts w:eastAsia="Times New Roman" w:cs="Arial"/>
          <w:color w:val="000000"/>
          <w:lang w:val="en-US"/>
        </w:rPr>
        <w:t xml:space="preserve">mg/kg </w:t>
      </w:r>
      <w:r w:rsidRPr="00984E1A">
        <w:rPr>
          <w:rFonts w:eastAsia="Times New Roman" w:cs="Arial"/>
          <w:color w:val="000000"/>
          <w:lang w:eastAsia="bg-BG"/>
        </w:rPr>
        <w:t>дневно.</w:t>
      </w:r>
    </w:p>
    <w:p w14:paraId="4D76CD1E" w14:textId="77777777" w:rsidR="00984E1A" w:rsidRPr="00984E1A" w:rsidRDefault="00984E1A" w:rsidP="00984E1A">
      <w:pPr>
        <w:spacing w:line="240" w:lineRule="auto"/>
        <w:rPr>
          <w:rFonts w:eastAsia="Times New Roman" w:cs="Arial"/>
          <w:color w:val="000000"/>
          <w:lang w:eastAsia="bg-BG"/>
        </w:rPr>
      </w:pPr>
    </w:p>
    <w:p w14:paraId="2706E210" w14:textId="6110681B"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Предклиничните проучвания на топирамат не показват никакви тератогенни ефекти върху изследваните животински видове (мишки, плъхове, зайци). При мишки теглото на плода намалява, а вкостяването се забавя </w:t>
      </w:r>
      <w:r w:rsidRPr="00984E1A">
        <w:rPr>
          <w:rFonts w:eastAsia="Times New Roman" w:cs="Arial"/>
          <w:i/>
          <w:iCs/>
          <w:color w:val="000000"/>
          <w:lang w:eastAsia="bg-BG"/>
        </w:rPr>
        <w:t>при</w:t>
      </w:r>
      <w:r w:rsidRPr="00984E1A">
        <w:rPr>
          <w:rFonts w:eastAsia="Times New Roman" w:cs="Arial"/>
          <w:color w:val="000000"/>
          <w:lang w:eastAsia="bg-BG"/>
        </w:rPr>
        <w:t xml:space="preserve"> доза от 500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което е свързано с токсичността върху майката. Общият брой на феталните малформации при мишки се увеличава във всички лечебни групи (20, 100 и 500 </w:t>
      </w:r>
      <w:r w:rsidRPr="00984E1A">
        <w:rPr>
          <w:rFonts w:eastAsia="Times New Roman" w:cs="Arial"/>
          <w:color w:val="000000"/>
          <w:lang w:val="en-US"/>
        </w:rPr>
        <w:t xml:space="preserve">mg/kg </w:t>
      </w:r>
      <w:r w:rsidRPr="00984E1A">
        <w:rPr>
          <w:rFonts w:eastAsia="Times New Roman" w:cs="Arial"/>
          <w:color w:val="000000"/>
          <w:lang w:eastAsia="bg-BG"/>
        </w:rPr>
        <w:t>дневно).</w:t>
      </w:r>
    </w:p>
    <w:p w14:paraId="52A6B8E7" w14:textId="77777777" w:rsidR="00984E1A" w:rsidRPr="00984E1A" w:rsidRDefault="00984E1A" w:rsidP="00984E1A">
      <w:pPr>
        <w:spacing w:line="240" w:lineRule="auto"/>
        <w:rPr>
          <w:rFonts w:eastAsia="Times New Roman" w:cs="Arial"/>
          <w:color w:val="000000"/>
          <w:lang w:eastAsia="bg-BG"/>
        </w:rPr>
      </w:pPr>
    </w:p>
    <w:p w14:paraId="4E1B48F1" w14:textId="65FDBF74"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lastRenderedPageBreak/>
        <w:t xml:space="preserve">Дозозависима майчина и ембриофетална токсичност (намалено тегло на плода и/ли забавено вкостяване) с минимални стойности до 20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се наблюдава при плъхове с тератогенни ефекти (дефекти в крайниците и пръстите) при 400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и повече. Наблюдаваната дозозависима майчина токсичност при зайци е минимум 10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с ембриофетална токсичност (увеличена смъртност) при дози до 35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и тератогенни ефекти (малформации на ребрата и гръбначния стълб) при 120 </w:t>
      </w:r>
      <w:r w:rsidRPr="00984E1A">
        <w:rPr>
          <w:rFonts w:eastAsia="Times New Roman" w:cs="Arial"/>
          <w:color w:val="000000"/>
          <w:lang w:val="en-US"/>
        </w:rPr>
        <w:t xml:space="preserve">mg/kg </w:t>
      </w:r>
      <w:r w:rsidRPr="00984E1A">
        <w:rPr>
          <w:rFonts w:eastAsia="Times New Roman" w:cs="Arial"/>
          <w:color w:val="000000"/>
          <w:lang w:eastAsia="bg-BG"/>
        </w:rPr>
        <w:t>дневно.</w:t>
      </w:r>
    </w:p>
    <w:p w14:paraId="644C8100" w14:textId="77777777" w:rsidR="00984E1A" w:rsidRPr="00984E1A" w:rsidRDefault="00984E1A" w:rsidP="00984E1A">
      <w:pPr>
        <w:spacing w:line="240" w:lineRule="auto"/>
        <w:rPr>
          <w:rFonts w:eastAsia="Times New Roman" w:cs="Arial"/>
          <w:color w:val="000000"/>
          <w:lang w:eastAsia="bg-BG"/>
        </w:rPr>
      </w:pPr>
    </w:p>
    <w:p w14:paraId="07CA2A2F" w14:textId="07F53059"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Тетратогенните ефекти при плъхове и зайци са сходни с тези, наблюдавани при инхибиторите на карбоанхидразата, които не са свързани с малформации при хората. Ефектът върху растежа се проявява и с по-ниско тегло при раждане и по време на кърмене на малки плъхове от женски, третирани с дози от 20 или 100 </w:t>
      </w:r>
      <w:r w:rsidRPr="00984E1A">
        <w:rPr>
          <w:rFonts w:eastAsia="Times New Roman" w:cs="Arial"/>
          <w:color w:val="000000"/>
          <w:lang w:val="en-US"/>
        </w:rPr>
        <w:t xml:space="preserve">mg/kg </w:t>
      </w:r>
      <w:r w:rsidRPr="00984E1A">
        <w:rPr>
          <w:rFonts w:eastAsia="Times New Roman" w:cs="Arial"/>
          <w:color w:val="000000"/>
          <w:lang w:eastAsia="bg-BG"/>
        </w:rPr>
        <w:t>дневно по време на бременността и периода на кърмене. При плъхове топирамат преминава през плацентната бариера.</w:t>
      </w:r>
    </w:p>
    <w:p w14:paraId="7E962C49" w14:textId="77777777" w:rsidR="00984E1A" w:rsidRPr="00984E1A" w:rsidRDefault="00984E1A" w:rsidP="00984E1A">
      <w:pPr>
        <w:spacing w:line="240" w:lineRule="auto"/>
        <w:rPr>
          <w:rFonts w:eastAsia="Times New Roman" w:cs="Arial"/>
          <w:color w:val="000000"/>
          <w:lang w:eastAsia="bg-BG"/>
        </w:rPr>
      </w:pPr>
    </w:p>
    <w:p w14:paraId="71C0FE60" w14:textId="61A7D4A8"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Дневният перорален прием на топирамат при млади плъхове в дози от до 300 </w:t>
      </w:r>
      <w:r w:rsidRPr="00984E1A">
        <w:rPr>
          <w:rFonts w:eastAsia="Times New Roman" w:cs="Arial"/>
          <w:color w:val="000000"/>
          <w:lang w:val="en-US"/>
        </w:rPr>
        <w:t xml:space="preserve">mg/kg </w:t>
      </w:r>
      <w:r w:rsidRPr="00984E1A">
        <w:rPr>
          <w:rFonts w:eastAsia="Times New Roman" w:cs="Arial"/>
          <w:color w:val="000000"/>
          <w:lang w:eastAsia="bg-BG"/>
        </w:rPr>
        <w:t>дневно през периода на подрастване, съответстващ на ранно детство, детство и юношество, води до токсичност, подобна на тази при възрастните индивиди (намалена консумация на храна със намалено покачване на теглото, центролобуларна хепатоцелуларна хипертрофия). Не са наблюдавани ефекти върху растежа на дългата кост (голям пищял) или костната (бедрена кост) минерална плътност, развитието до отбиване и репродуктивното развитие, неврологичното.</w:t>
      </w:r>
      <w:r w:rsidRPr="00984E1A">
        <w:rPr>
          <w:rFonts w:eastAsia="Times New Roman" w:cs="Arial"/>
          <w:color w:val="000000"/>
          <w:u w:val="single"/>
          <w:lang w:eastAsia="bg-BG"/>
        </w:rPr>
        <w:t xml:space="preserve"> </w:t>
      </w:r>
      <w:r w:rsidRPr="00984E1A">
        <w:rPr>
          <w:rFonts w:eastAsia="Times New Roman" w:cs="Arial"/>
          <w:color w:val="000000"/>
          <w:lang w:eastAsia="bg-BG"/>
        </w:rPr>
        <w:t>развитие (включително и изследвания върху паметта и способността за учене), репродуктивната способност и фертилитета, или параметрите при хистеротомия.</w:t>
      </w:r>
    </w:p>
    <w:p w14:paraId="13EB96A6" w14:textId="77777777" w:rsidR="00984E1A" w:rsidRPr="00984E1A" w:rsidRDefault="00984E1A" w:rsidP="00984E1A">
      <w:pPr>
        <w:spacing w:line="240" w:lineRule="auto"/>
        <w:rPr>
          <w:rFonts w:eastAsia="Times New Roman" w:cs="Arial"/>
          <w:lang w:eastAsia="bg-BG"/>
        </w:rPr>
      </w:pPr>
    </w:p>
    <w:p w14:paraId="52E4D01A" w14:textId="4FFF15D3" w:rsidR="0091385D" w:rsidRPr="00984E1A" w:rsidRDefault="00984E1A" w:rsidP="00984E1A">
      <w:pPr>
        <w:rPr>
          <w:rFonts w:cs="Arial"/>
        </w:rPr>
      </w:pPr>
      <w:r w:rsidRPr="00984E1A">
        <w:rPr>
          <w:rFonts w:eastAsia="Times New Roman" w:cs="Arial"/>
          <w:color w:val="000000"/>
          <w:lang w:eastAsia="bg-BG"/>
        </w:rPr>
        <w:t xml:space="preserve">При набор от </w:t>
      </w:r>
      <w:r w:rsidRPr="00984E1A">
        <w:rPr>
          <w:rFonts w:eastAsia="Times New Roman" w:cs="Arial"/>
          <w:i/>
          <w:iCs/>
          <w:color w:val="000000"/>
          <w:lang w:val="en-US"/>
        </w:rPr>
        <w:t>in vitro</w:t>
      </w:r>
      <w:r w:rsidRPr="00984E1A">
        <w:rPr>
          <w:rFonts w:eastAsia="Times New Roman" w:cs="Arial"/>
          <w:color w:val="000000"/>
          <w:lang w:val="en-US"/>
        </w:rPr>
        <w:t xml:space="preserve"> </w:t>
      </w:r>
      <w:r w:rsidRPr="00984E1A">
        <w:rPr>
          <w:rFonts w:eastAsia="Times New Roman" w:cs="Arial"/>
          <w:color w:val="000000"/>
          <w:lang w:eastAsia="bg-BG"/>
        </w:rPr>
        <w:t xml:space="preserve">и </w:t>
      </w:r>
      <w:r w:rsidRPr="00984E1A">
        <w:rPr>
          <w:rFonts w:eastAsia="Times New Roman" w:cs="Arial"/>
          <w:i/>
          <w:iCs/>
          <w:color w:val="000000"/>
          <w:lang w:val="en-US"/>
        </w:rPr>
        <w:t>in vivo</w:t>
      </w:r>
      <w:r w:rsidRPr="00984E1A">
        <w:rPr>
          <w:rFonts w:eastAsia="Times New Roman" w:cs="Arial"/>
          <w:color w:val="000000"/>
          <w:lang w:val="en-US"/>
        </w:rPr>
        <w:t xml:space="preserve"> </w:t>
      </w:r>
      <w:r w:rsidRPr="00984E1A">
        <w:rPr>
          <w:rFonts w:eastAsia="Times New Roman" w:cs="Arial"/>
          <w:color w:val="000000"/>
          <w:lang w:eastAsia="bg-BG"/>
        </w:rPr>
        <w:t>изследвания за мутагенност топирамат не е показал генотоксичен потенциал.</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40182E44" w14:textId="77777777" w:rsidR="00984E1A" w:rsidRPr="00984E1A" w:rsidRDefault="00984E1A" w:rsidP="00984E1A">
      <w:pPr>
        <w:spacing w:line="240" w:lineRule="auto"/>
        <w:rPr>
          <w:rFonts w:eastAsia="Times New Roman" w:cs="Arial"/>
          <w:sz w:val="28"/>
          <w:szCs w:val="24"/>
          <w:lang w:val="en-US" w:eastAsia="bg-BG"/>
        </w:rPr>
      </w:pPr>
      <w:r w:rsidRPr="00984E1A">
        <w:rPr>
          <w:rFonts w:eastAsia="Times New Roman" w:cs="Arial"/>
          <w:color w:val="000000"/>
          <w:szCs w:val="20"/>
          <w:lang w:val="en-US"/>
        </w:rPr>
        <w:t>G. L. Pharma GmbH</w:t>
      </w:r>
    </w:p>
    <w:p w14:paraId="7AB3AC02" w14:textId="77777777" w:rsidR="00984E1A" w:rsidRPr="00984E1A" w:rsidRDefault="00984E1A" w:rsidP="00984E1A">
      <w:pPr>
        <w:spacing w:line="240" w:lineRule="auto"/>
        <w:rPr>
          <w:rFonts w:eastAsia="Times New Roman" w:cs="Arial"/>
          <w:sz w:val="28"/>
          <w:szCs w:val="24"/>
          <w:lang w:val="en-US" w:eastAsia="bg-BG"/>
        </w:rPr>
      </w:pPr>
      <w:proofErr w:type="spellStart"/>
      <w:r w:rsidRPr="00984E1A">
        <w:rPr>
          <w:rFonts w:eastAsia="Times New Roman" w:cs="Arial"/>
          <w:color w:val="000000"/>
          <w:szCs w:val="20"/>
          <w:lang w:val="en-US"/>
        </w:rPr>
        <w:t>Schlossplatz</w:t>
      </w:r>
      <w:proofErr w:type="spellEnd"/>
      <w:r w:rsidRPr="00984E1A">
        <w:rPr>
          <w:rFonts w:eastAsia="Times New Roman" w:cs="Arial"/>
          <w:color w:val="000000"/>
          <w:szCs w:val="20"/>
          <w:lang w:val="en-US"/>
        </w:rPr>
        <w:t xml:space="preserve"> </w:t>
      </w:r>
      <w:r w:rsidRPr="00984E1A">
        <w:rPr>
          <w:rFonts w:eastAsia="Times New Roman" w:cs="Arial"/>
          <w:color w:val="000000"/>
          <w:szCs w:val="20"/>
          <w:lang w:eastAsia="bg-BG"/>
        </w:rPr>
        <w:t>1</w:t>
      </w:r>
    </w:p>
    <w:p w14:paraId="59DAC99A" w14:textId="77777777" w:rsidR="00984E1A" w:rsidRPr="00984E1A" w:rsidRDefault="00984E1A" w:rsidP="00984E1A">
      <w:pPr>
        <w:spacing w:line="240" w:lineRule="auto"/>
        <w:rPr>
          <w:rFonts w:eastAsia="Times New Roman" w:cs="Arial"/>
          <w:sz w:val="28"/>
          <w:szCs w:val="24"/>
          <w:lang w:val="en-US" w:eastAsia="bg-BG"/>
        </w:rPr>
      </w:pPr>
      <w:r w:rsidRPr="00984E1A">
        <w:rPr>
          <w:rFonts w:eastAsia="Times New Roman" w:cs="Arial"/>
          <w:color w:val="000000"/>
          <w:szCs w:val="20"/>
          <w:lang w:eastAsia="bg-BG"/>
        </w:rPr>
        <w:t xml:space="preserve">8502 </w:t>
      </w:r>
      <w:proofErr w:type="spellStart"/>
      <w:r w:rsidRPr="00984E1A">
        <w:rPr>
          <w:rFonts w:eastAsia="Times New Roman" w:cs="Arial"/>
          <w:color w:val="000000"/>
          <w:szCs w:val="20"/>
          <w:lang w:val="en-US"/>
        </w:rPr>
        <w:t>Lannach</w:t>
      </w:r>
      <w:proofErr w:type="spellEnd"/>
    </w:p>
    <w:p w14:paraId="3FD825DB" w14:textId="397502F8" w:rsidR="0091385D" w:rsidRPr="00984E1A" w:rsidRDefault="00984E1A" w:rsidP="00984E1A">
      <w:pPr>
        <w:rPr>
          <w:rFonts w:cs="Arial"/>
          <w:sz w:val="24"/>
        </w:rPr>
      </w:pPr>
      <w:r w:rsidRPr="00984E1A">
        <w:rPr>
          <w:rFonts w:eastAsia="Times New Roman" w:cs="Arial"/>
          <w:color w:val="000000"/>
          <w:szCs w:val="20"/>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53208BEE" w:rsidR="0091385D" w:rsidRPr="00984E1A" w:rsidRDefault="00984E1A" w:rsidP="0091385D">
      <w:pPr>
        <w:rPr>
          <w:rFonts w:cs="Arial"/>
          <w:sz w:val="24"/>
        </w:rPr>
      </w:pPr>
      <w:r w:rsidRPr="00984E1A">
        <w:rPr>
          <w:rFonts w:cs="Arial"/>
          <w:szCs w:val="20"/>
          <w:lang w:eastAsia="bg-BG"/>
        </w:rPr>
        <w:t xml:space="preserve">25 </w:t>
      </w:r>
      <w:r w:rsidRPr="00984E1A">
        <w:rPr>
          <w:rFonts w:cs="Arial"/>
          <w:szCs w:val="20"/>
        </w:rPr>
        <w:t xml:space="preserve">mg: </w:t>
      </w:r>
      <w:r w:rsidRPr="00984E1A">
        <w:rPr>
          <w:rFonts w:cs="Arial"/>
          <w:szCs w:val="20"/>
          <w:lang w:eastAsia="bg-BG"/>
        </w:rPr>
        <w:t xml:space="preserve">20090007; 50 </w:t>
      </w:r>
      <w:r w:rsidRPr="00984E1A">
        <w:rPr>
          <w:rFonts w:cs="Arial"/>
          <w:szCs w:val="20"/>
        </w:rPr>
        <w:t>mg: 20090008; 100 mg: 20090009</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4783D7AF" w:rsidR="0091385D" w:rsidRPr="00984E1A" w:rsidRDefault="00984E1A" w:rsidP="0091385D">
      <w:pPr>
        <w:rPr>
          <w:rFonts w:cs="Arial"/>
          <w:sz w:val="24"/>
        </w:rPr>
      </w:pPr>
      <w:r w:rsidRPr="00984E1A">
        <w:rPr>
          <w:rFonts w:cs="Arial"/>
          <w:szCs w:val="20"/>
        </w:rPr>
        <w:t>19.01.2009/19.08.2014</w:t>
      </w:r>
    </w:p>
    <w:p w14:paraId="0A56E09D" w14:textId="77777777" w:rsidR="0091385D" w:rsidRPr="0091385D" w:rsidRDefault="0091385D" w:rsidP="0091385D"/>
    <w:p w14:paraId="0E9D0119" w14:textId="1FEC128A" w:rsidR="002C50EE" w:rsidRDefault="002C50EE" w:rsidP="002C50EE">
      <w:pPr>
        <w:pStyle w:val="Heading1"/>
      </w:pPr>
      <w:r>
        <w:lastRenderedPageBreak/>
        <w:t>10. ДАТА НА АКТУАЛИЗИРАНЕ НА ТЕКСТА</w:t>
      </w:r>
    </w:p>
    <w:p w14:paraId="3E8FFCC4" w14:textId="34E0D3BB" w:rsidR="0091385D" w:rsidRDefault="0091385D" w:rsidP="0091385D"/>
    <w:p w14:paraId="30276F52" w14:textId="689D7977" w:rsidR="0091385D" w:rsidRPr="00984E1A" w:rsidRDefault="00984E1A" w:rsidP="0091385D">
      <w:pPr>
        <w:rPr>
          <w:rFonts w:cs="Arial"/>
          <w:sz w:val="24"/>
        </w:rPr>
      </w:pPr>
      <w:r w:rsidRPr="00984E1A">
        <w:rPr>
          <w:rFonts w:cs="Arial"/>
          <w:szCs w:val="20"/>
        </w:rPr>
        <w:t>август/2019</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51F5F60"/>
    <w:multiLevelType w:val="hybridMultilevel"/>
    <w:tmpl w:val="3D9C12C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D6094"/>
    <w:multiLevelType w:val="hybridMultilevel"/>
    <w:tmpl w:val="D62CE07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70221"/>
    <w:multiLevelType w:val="hybridMultilevel"/>
    <w:tmpl w:val="95401F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91DC6"/>
    <w:multiLevelType w:val="hybridMultilevel"/>
    <w:tmpl w:val="CEDEB3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2"/>
  </w:num>
  <w:num w:numId="12">
    <w:abstractNumId w:val="14"/>
  </w:num>
  <w:num w:numId="13">
    <w:abstractNumId w:val="19"/>
  </w:num>
  <w:num w:numId="14">
    <w:abstractNumId w:val="12"/>
  </w:num>
  <w:num w:numId="15">
    <w:abstractNumId w:val="31"/>
  </w:num>
  <w:num w:numId="16">
    <w:abstractNumId w:val="9"/>
  </w:num>
  <w:num w:numId="17">
    <w:abstractNumId w:val="25"/>
  </w:num>
  <w:num w:numId="18">
    <w:abstractNumId w:val="7"/>
  </w:num>
  <w:num w:numId="19">
    <w:abstractNumId w:val="28"/>
  </w:num>
  <w:num w:numId="20">
    <w:abstractNumId w:val="23"/>
  </w:num>
  <w:num w:numId="21">
    <w:abstractNumId w:val="17"/>
  </w:num>
  <w:num w:numId="22">
    <w:abstractNumId w:val="26"/>
  </w:num>
  <w:num w:numId="23">
    <w:abstractNumId w:val="18"/>
  </w:num>
  <w:num w:numId="24">
    <w:abstractNumId w:val="8"/>
  </w:num>
  <w:num w:numId="25">
    <w:abstractNumId w:val="22"/>
  </w:num>
  <w:num w:numId="26">
    <w:abstractNumId w:val="21"/>
  </w:num>
  <w:num w:numId="27">
    <w:abstractNumId w:val="34"/>
  </w:num>
  <w:num w:numId="28">
    <w:abstractNumId w:val="6"/>
  </w:num>
  <w:num w:numId="29">
    <w:abstractNumId w:val="20"/>
  </w:num>
  <w:num w:numId="30">
    <w:abstractNumId w:val="37"/>
  </w:num>
  <w:num w:numId="31">
    <w:abstractNumId w:val="5"/>
  </w:num>
  <w:num w:numId="32">
    <w:abstractNumId w:val="36"/>
  </w:num>
  <w:num w:numId="33">
    <w:abstractNumId w:val="30"/>
  </w:num>
  <w:num w:numId="34">
    <w:abstractNumId w:val="35"/>
  </w:num>
  <w:num w:numId="35">
    <w:abstractNumId w:val="10"/>
  </w:num>
  <w:num w:numId="36">
    <w:abstractNumId w:val="24"/>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02DA6"/>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84E1A"/>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ED72A8"/>
    <w:rsid w:val="00F37B64"/>
    <w:rsid w:val="00FD69E8"/>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8865</Words>
  <Characters>50534</Characters>
  <Application>Microsoft Office Word</Application>
  <DocSecurity>0</DocSecurity>
  <Lines>421</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2022-12-03T16:55:00Z</dcterms:created>
  <dcterms:modified xsi:type="dcterms:W3CDTF">2022-12-03T16:55:00Z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