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28012C85" w:rsidR="0091385D" w:rsidRDefault="0091385D" w:rsidP="0091385D"/>
    <w:p w14:paraId="0EEE51AD" w14:textId="77777777"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 xml:space="preserve">Топилекс 25 </w:t>
      </w:r>
      <w:r w:rsidRPr="00ED72A8">
        <w:rPr>
          <w:rFonts w:eastAsia="Times New Roman" w:cs="Arial"/>
          <w:color w:val="000000"/>
          <w:szCs w:val="20"/>
          <w:lang w:val="en-US"/>
        </w:rPr>
        <w:t xml:space="preserve">mg </w:t>
      </w:r>
      <w:r w:rsidRPr="00ED72A8">
        <w:rPr>
          <w:rFonts w:eastAsia="Times New Roman" w:cs="Arial"/>
          <w:color w:val="000000"/>
          <w:szCs w:val="20"/>
          <w:lang w:eastAsia="bg-BG"/>
        </w:rPr>
        <w:t>филмирани таблетки</w:t>
      </w:r>
    </w:p>
    <w:p w14:paraId="67C000A9" w14:textId="77777777"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Тор</w:t>
      </w:r>
      <w:proofErr w:type="spellStart"/>
      <w:r w:rsidRPr="00ED72A8">
        <w:rPr>
          <w:rFonts w:eastAsia="Times New Roman" w:cs="Arial"/>
          <w:color w:val="000000"/>
          <w:szCs w:val="20"/>
          <w:lang w:val="en-US"/>
        </w:rPr>
        <w:t>il</w:t>
      </w:r>
      <w:proofErr w:type="spellEnd"/>
      <w:r w:rsidRPr="00ED72A8">
        <w:rPr>
          <w:rFonts w:eastAsia="Times New Roman" w:cs="Arial"/>
          <w:color w:val="000000"/>
          <w:szCs w:val="20"/>
          <w:lang w:eastAsia="bg-BG"/>
        </w:rPr>
        <w:t xml:space="preserve">ех 25 </w:t>
      </w:r>
      <w:r w:rsidRPr="00ED72A8">
        <w:rPr>
          <w:rFonts w:eastAsia="Times New Roman" w:cs="Arial"/>
          <w:color w:val="000000"/>
          <w:szCs w:val="20"/>
          <w:lang w:val="en-US"/>
        </w:rPr>
        <w:t>mg film-coated tablets</w:t>
      </w:r>
    </w:p>
    <w:p w14:paraId="27D3EB40" w14:textId="77777777" w:rsidR="00ED72A8" w:rsidRPr="00ED72A8" w:rsidRDefault="00ED72A8" w:rsidP="00ED72A8">
      <w:pPr>
        <w:spacing w:line="240" w:lineRule="auto"/>
        <w:rPr>
          <w:rFonts w:eastAsia="Times New Roman" w:cs="Arial"/>
          <w:color w:val="000000"/>
          <w:szCs w:val="20"/>
          <w:lang w:eastAsia="bg-BG"/>
        </w:rPr>
      </w:pPr>
    </w:p>
    <w:p w14:paraId="4BE630AE" w14:textId="49D913A8"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 xml:space="preserve">Топилекс 50 </w:t>
      </w:r>
      <w:r w:rsidRPr="00ED72A8">
        <w:rPr>
          <w:rFonts w:eastAsia="Times New Roman" w:cs="Arial"/>
          <w:color w:val="000000"/>
          <w:szCs w:val="20"/>
          <w:lang w:val="en-US"/>
        </w:rPr>
        <w:t xml:space="preserve">mg </w:t>
      </w:r>
      <w:r w:rsidRPr="00ED72A8">
        <w:rPr>
          <w:rFonts w:eastAsia="Times New Roman" w:cs="Arial"/>
          <w:color w:val="000000"/>
          <w:szCs w:val="20"/>
          <w:lang w:eastAsia="bg-BG"/>
        </w:rPr>
        <w:t>филмирани таблетки</w:t>
      </w:r>
    </w:p>
    <w:p w14:paraId="58E66285" w14:textId="77777777"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Тор</w:t>
      </w:r>
      <w:proofErr w:type="spellStart"/>
      <w:r w:rsidRPr="00ED72A8">
        <w:rPr>
          <w:rFonts w:eastAsia="Times New Roman" w:cs="Arial"/>
          <w:color w:val="000000"/>
          <w:szCs w:val="20"/>
          <w:lang w:val="en-US"/>
        </w:rPr>
        <w:t>il</w:t>
      </w:r>
      <w:proofErr w:type="spellEnd"/>
      <w:r w:rsidRPr="00ED72A8">
        <w:rPr>
          <w:rFonts w:eastAsia="Times New Roman" w:cs="Arial"/>
          <w:color w:val="000000"/>
          <w:szCs w:val="20"/>
          <w:lang w:eastAsia="bg-BG"/>
        </w:rPr>
        <w:t xml:space="preserve">ех 50 </w:t>
      </w:r>
      <w:r w:rsidRPr="00ED72A8">
        <w:rPr>
          <w:rFonts w:eastAsia="Times New Roman" w:cs="Arial"/>
          <w:color w:val="000000"/>
          <w:szCs w:val="20"/>
          <w:lang w:val="en-US"/>
        </w:rPr>
        <w:t>mg film-coated tablets</w:t>
      </w:r>
    </w:p>
    <w:p w14:paraId="529879CA" w14:textId="77777777" w:rsidR="00ED72A8" w:rsidRPr="00ED72A8" w:rsidRDefault="00ED72A8" w:rsidP="00ED72A8">
      <w:pPr>
        <w:spacing w:line="240" w:lineRule="auto"/>
        <w:rPr>
          <w:rFonts w:eastAsia="Times New Roman" w:cs="Arial"/>
          <w:color w:val="000000"/>
          <w:szCs w:val="20"/>
          <w:lang w:eastAsia="bg-BG"/>
        </w:rPr>
      </w:pPr>
    </w:p>
    <w:p w14:paraId="195E63F5" w14:textId="07F4BA37"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 xml:space="preserve">Топилекс 100 </w:t>
      </w:r>
      <w:r w:rsidRPr="00ED72A8">
        <w:rPr>
          <w:rFonts w:eastAsia="Times New Roman" w:cs="Arial"/>
          <w:color w:val="000000"/>
          <w:szCs w:val="20"/>
          <w:lang w:val="en-US"/>
        </w:rPr>
        <w:t xml:space="preserve">mg </w:t>
      </w:r>
      <w:r w:rsidRPr="00ED72A8">
        <w:rPr>
          <w:rFonts w:eastAsia="Times New Roman" w:cs="Arial"/>
          <w:color w:val="000000"/>
          <w:szCs w:val="20"/>
          <w:lang w:eastAsia="bg-BG"/>
        </w:rPr>
        <w:t>филмирани таблетки</w:t>
      </w:r>
    </w:p>
    <w:p w14:paraId="5015A1FD" w14:textId="552D6719" w:rsidR="00A73575" w:rsidRPr="00ED72A8" w:rsidRDefault="00ED72A8" w:rsidP="00ED72A8">
      <w:pPr>
        <w:rPr>
          <w:rFonts w:cs="Arial"/>
          <w:sz w:val="24"/>
        </w:rPr>
      </w:pPr>
      <w:r w:rsidRPr="00ED72A8">
        <w:rPr>
          <w:rFonts w:eastAsia="Times New Roman" w:cs="Arial"/>
          <w:color w:val="000000"/>
          <w:szCs w:val="20"/>
          <w:lang w:eastAsia="bg-BG"/>
        </w:rPr>
        <w:t>Тор</w:t>
      </w:r>
      <w:proofErr w:type="spellStart"/>
      <w:r w:rsidRPr="00ED72A8">
        <w:rPr>
          <w:rFonts w:eastAsia="Times New Roman" w:cs="Arial"/>
          <w:color w:val="000000"/>
          <w:szCs w:val="20"/>
          <w:lang w:val="en-US"/>
        </w:rPr>
        <w:t>il</w:t>
      </w:r>
      <w:proofErr w:type="spellEnd"/>
      <w:r w:rsidRPr="00ED72A8">
        <w:rPr>
          <w:rFonts w:eastAsia="Times New Roman" w:cs="Arial"/>
          <w:color w:val="000000"/>
          <w:szCs w:val="20"/>
          <w:lang w:eastAsia="bg-BG"/>
        </w:rPr>
        <w:t xml:space="preserve">ех 100 </w:t>
      </w:r>
      <w:r w:rsidRPr="00ED72A8">
        <w:rPr>
          <w:rFonts w:eastAsia="Times New Roman" w:cs="Arial"/>
          <w:color w:val="000000"/>
          <w:szCs w:val="20"/>
          <w:lang w:val="en-US"/>
        </w:rPr>
        <w:t>mg film-coated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288788EF" w:rsidR="0091385D" w:rsidRDefault="0091385D" w:rsidP="0091385D"/>
    <w:p w14:paraId="4590ABDF" w14:textId="77777777"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 xml:space="preserve">Всяка филмирана таблетка съдържа 25 </w:t>
      </w:r>
      <w:r w:rsidRPr="00ED72A8">
        <w:rPr>
          <w:rFonts w:eastAsia="Times New Roman" w:cs="Arial"/>
          <w:color w:val="000000"/>
          <w:szCs w:val="20"/>
          <w:lang w:val="en-US"/>
        </w:rPr>
        <w:t xml:space="preserve">mg, </w:t>
      </w:r>
      <w:r w:rsidRPr="00ED72A8">
        <w:rPr>
          <w:rFonts w:eastAsia="Times New Roman" w:cs="Arial"/>
          <w:color w:val="000000"/>
          <w:szCs w:val="20"/>
          <w:lang w:eastAsia="bg-BG"/>
        </w:rPr>
        <w:t xml:space="preserve">50 </w:t>
      </w:r>
      <w:r w:rsidRPr="00ED72A8">
        <w:rPr>
          <w:rFonts w:eastAsia="Times New Roman" w:cs="Arial"/>
          <w:color w:val="000000"/>
          <w:szCs w:val="20"/>
          <w:lang w:val="en-US"/>
        </w:rPr>
        <w:t xml:space="preserve">mg </w:t>
      </w:r>
      <w:r w:rsidRPr="00ED72A8">
        <w:rPr>
          <w:rFonts w:eastAsia="Times New Roman" w:cs="Arial"/>
          <w:color w:val="000000"/>
          <w:szCs w:val="20"/>
          <w:lang w:eastAsia="bg-BG"/>
        </w:rPr>
        <w:t xml:space="preserve">или 100 </w:t>
      </w:r>
      <w:r w:rsidRPr="00ED72A8">
        <w:rPr>
          <w:rFonts w:eastAsia="Times New Roman" w:cs="Arial"/>
          <w:color w:val="000000"/>
          <w:szCs w:val="20"/>
          <w:lang w:val="en-US"/>
        </w:rPr>
        <w:t xml:space="preserve">mg </w:t>
      </w:r>
      <w:r w:rsidRPr="00ED72A8">
        <w:rPr>
          <w:rFonts w:eastAsia="Times New Roman" w:cs="Arial"/>
          <w:color w:val="000000"/>
          <w:szCs w:val="20"/>
          <w:lang w:eastAsia="bg-BG"/>
        </w:rPr>
        <w:t>топирамат.</w:t>
      </w:r>
    </w:p>
    <w:p w14:paraId="001878BE" w14:textId="77777777" w:rsidR="00ED72A8" w:rsidRPr="00ED72A8" w:rsidRDefault="00ED72A8" w:rsidP="00ED72A8">
      <w:pPr>
        <w:spacing w:line="240" w:lineRule="auto"/>
        <w:rPr>
          <w:rFonts w:eastAsia="Times New Roman" w:cs="Arial"/>
          <w:color w:val="000000"/>
          <w:szCs w:val="20"/>
          <w:lang w:eastAsia="bg-BG"/>
        </w:rPr>
      </w:pPr>
    </w:p>
    <w:p w14:paraId="5A1E5CBB" w14:textId="51BDF979"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Помощни вещества с известен ефект:</w:t>
      </w:r>
    </w:p>
    <w:p w14:paraId="59D86027" w14:textId="77777777"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 xml:space="preserve">25 </w:t>
      </w:r>
      <w:r w:rsidRPr="00ED72A8">
        <w:rPr>
          <w:rFonts w:eastAsia="Times New Roman" w:cs="Arial"/>
          <w:color w:val="000000"/>
          <w:szCs w:val="20"/>
          <w:lang w:val="en-US"/>
        </w:rPr>
        <w:t xml:space="preserve">mg </w:t>
      </w:r>
      <w:r w:rsidRPr="00ED72A8">
        <w:rPr>
          <w:rFonts w:eastAsia="Times New Roman" w:cs="Arial"/>
          <w:color w:val="000000"/>
          <w:szCs w:val="20"/>
          <w:lang w:eastAsia="bg-BG"/>
        </w:rPr>
        <w:t>филмирани таблетки:</w:t>
      </w:r>
    </w:p>
    <w:p w14:paraId="5CED996C" w14:textId="77777777"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 xml:space="preserve">Всяка таблетка съдържа 0,4 </w:t>
      </w:r>
      <w:r w:rsidRPr="00ED72A8">
        <w:rPr>
          <w:rFonts w:eastAsia="Times New Roman" w:cs="Arial"/>
          <w:color w:val="000000"/>
          <w:szCs w:val="20"/>
          <w:lang w:val="en-US"/>
        </w:rPr>
        <w:t xml:space="preserve">mg </w:t>
      </w:r>
      <w:r w:rsidRPr="00ED72A8">
        <w:rPr>
          <w:rFonts w:eastAsia="Times New Roman" w:cs="Arial"/>
          <w:color w:val="000000"/>
          <w:szCs w:val="20"/>
          <w:lang w:eastAsia="bg-BG"/>
        </w:rPr>
        <w:t>лактоза (като лактоза монохидрат).</w:t>
      </w:r>
    </w:p>
    <w:p w14:paraId="41A79175" w14:textId="77777777" w:rsidR="00ED72A8" w:rsidRPr="00ED72A8" w:rsidRDefault="00ED72A8" w:rsidP="00ED72A8">
      <w:pPr>
        <w:spacing w:line="240" w:lineRule="auto"/>
        <w:rPr>
          <w:rFonts w:eastAsia="Times New Roman" w:cs="Arial"/>
          <w:color w:val="000000"/>
          <w:szCs w:val="20"/>
          <w:lang w:eastAsia="bg-BG"/>
        </w:rPr>
      </w:pPr>
    </w:p>
    <w:p w14:paraId="2223BB99" w14:textId="45DCC613"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 xml:space="preserve">50 </w:t>
      </w:r>
      <w:r w:rsidRPr="00ED72A8">
        <w:rPr>
          <w:rFonts w:eastAsia="Times New Roman" w:cs="Arial"/>
          <w:color w:val="000000"/>
          <w:szCs w:val="20"/>
          <w:lang w:val="en-US"/>
        </w:rPr>
        <w:t xml:space="preserve">mg </w:t>
      </w:r>
      <w:r w:rsidRPr="00ED72A8">
        <w:rPr>
          <w:rFonts w:eastAsia="Times New Roman" w:cs="Arial"/>
          <w:color w:val="000000"/>
          <w:szCs w:val="20"/>
          <w:lang w:eastAsia="bg-BG"/>
        </w:rPr>
        <w:t>филмирани таблетки:</w:t>
      </w:r>
    </w:p>
    <w:p w14:paraId="4FE09D9F" w14:textId="77777777"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 xml:space="preserve">Всяка таблетка съдържа 0,4 </w:t>
      </w:r>
      <w:r w:rsidRPr="00ED72A8">
        <w:rPr>
          <w:rFonts w:eastAsia="Times New Roman" w:cs="Arial"/>
          <w:color w:val="000000"/>
          <w:szCs w:val="20"/>
          <w:lang w:val="en-US"/>
        </w:rPr>
        <w:t xml:space="preserve">mg </w:t>
      </w:r>
      <w:r w:rsidRPr="00ED72A8">
        <w:rPr>
          <w:rFonts w:eastAsia="Times New Roman" w:cs="Arial"/>
          <w:color w:val="000000"/>
          <w:szCs w:val="20"/>
          <w:lang w:eastAsia="bg-BG"/>
        </w:rPr>
        <w:t>лактоза (като лактоза монохидрат).</w:t>
      </w:r>
    </w:p>
    <w:p w14:paraId="69CECED2" w14:textId="77777777" w:rsidR="00ED72A8" w:rsidRPr="00ED72A8" w:rsidRDefault="00ED72A8" w:rsidP="00ED72A8">
      <w:pPr>
        <w:spacing w:line="240" w:lineRule="auto"/>
        <w:rPr>
          <w:rFonts w:eastAsia="Times New Roman" w:cs="Arial"/>
          <w:color w:val="000000"/>
          <w:szCs w:val="20"/>
          <w:lang w:eastAsia="bg-BG"/>
        </w:rPr>
      </w:pPr>
    </w:p>
    <w:p w14:paraId="770BA9B6" w14:textId="548412B7"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 xml:space="preserve">100 </w:t>
      </w:r>
      <w:r w:rsidRPr="00ED72A8">
        <w:rPr>
          <w:rFonts w:eastAsia="Times New Roman" w:cs="Arial"/>
          <w:color w:val="000000"/>
          <w:szCs w:val="20"/>
          <w:lang w:val="en-US"/>
        </w:rPr>
        <w:t xml:space="preserve">mg </w:t>
      </w:r>
      <w:r w:rsidRPr="00ED72A8">
        <w:rPr>
          <w:rFonts w:eastAsia="Times New Roman" w:cs="Arial"/>
          <w:color w:val="000000"/>
          <w:szCs w:val="20"/>
          <w:lang w:eastAsia="bg-BG"/>
        </w:rPr>
        <w:t>филмирани таблетки:</w:t>
      </w:r>
    </w:p>
    <w:p w14:paraId="157A99DD" w14:textId="77777777"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 xml:space="preserve">Всяка таблетка съдържа 0,05 </w:t>
      </w:r>
      <w:r w:rsidRPr="00ED72A8">
        <w:rPr>
          <w:rFonts w:eastAsia="Times New Roman" w:cs="Arial"/>
          <w:color w:val="000000"/>
          <w:szCs w:val="20"/>
          <w:lang w:val="en-US"/>
        </w:rPr>
        <w:t xml:space="preserve">mg </w:t>
      </w:r>
      <w:r w:rsidRPr="00ED72A8">
        <w:rPr>
          <w:rFonts w:eastAsia="Times New Roman" w:cs="Arial"/>
          <w:color w:val="000000"/>
          <w:szCs w:val="20"/>
          <w:lang w:eastAsia="bg-BG"/>
        </w:rPr>
        <w:t>Сънсет жълто (Е 110).</w:t>
      </w:r>
    </w:p>
    <w:p w14:paraId="03110A50" w14:textId="3C54CCB2" w:rsidR="0091385D" w:rsidRPr="00ED72A8" w:rsidRDefault="00ED72A8" w:rsidP="00ED72A8">
      <w:pPr>
        <w:rPr>
          <w:rFonts w:cs="Arial"/>
          <w:sz w:val="24"/>
        </w:rPr>
      </w:pPr>
      <w:r w:rsidRPr="00ED72A8">
        <w:rPr>
          <w:rFonts w:eastAsia="Times New Roman" w:cs="Arial"/>
          <w:color w:val="000000"/>
          <w:szCs w:val="20"/>
          <w:lang w:eastAsia="bg-BG"/>
        </w:rPr>
        <w:t xml:space="preserve">За пълния списък на помощните вещества, вижте точка </w:t>
      </w:r>
      <w:r w:rsidRPr="00ED72A8">
        <w:rPr>
          <w:rFonts w:eastAsia="Times New Roman" w:cs="Arial"/>
          <w:iCs/>
          <w:color w:val="000000"/>
          <w:szCs w:val="20"/>
          <w:lang w:eastAsia="bg-BG"/>
        </w:rPr>
        <w:t>6</w:t>
      </w:r>
      <w:r w:rsidRPr="00ED72A8">
        <w:rPr>
          <w:rFonts w:eastAsia="Times New Roman" w:cs="Arial"/>
          <w:i/>
          <w:iCs/>
          <w:color w:val="000000"/>
          <w:szCs w:val="20"/>
          <w:lang w:eastAsia="bg-BG"/>
        </w:rPr>
        <w:t>.</w:t>
      </w:r>
      <w:r w:rsidRPr="00ED72A8">
        <w:rPr>
          <w:rFonts w:eastAsia="Times New Roman" w:cs="Arial"/>
          <w:color w:val="000000"/>
          <w:szCs w:val="20"/>
          <w:lang w:eastAsia="bg-BG"/>
        </w:rPr>
        <w:t>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277B91E7" w:rsidR="0091385D" w:rsidRDefault="0091385D" w:rsidP="0091385D"/>
    <w:p w14:paraId="53C03A6B" w14:textId="77777777"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Филмирани таблетки</w:t>
      </w:r>
    </w:p>
    <w:p w14:paraId="108DF2D7" w14:textId="77777777"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 xml:space="preserve">Топилекс 25 </w:t>
      </w:r>
      <w:r w:rsidRPr="00ED72A8">
        <w:rPr>
          <w:rFonts w:eastAsia="Times New Roman" w:cs="Arial"/>
          <w:color w:val="000000"/>
          <w:szCs w:val="20"/>
          <w:lang w:val="en-US"/>
        </w:rPr>
        <w:t xml:space="preserve">mg </w:t>
      </w:r>
      <w:r w:rsidRPr="00ED72A8">
        <w:rPr>
          <w:rFonts w:eastAsia="Times New Roman" w:cs="Arial"/>
          <w:color w:val="000000"/>
          <w:szCs w:val="20"/>
          <w:lang w:eastAsia="bg-BG"/>
        </w:rPr>
        <w:t>се предлага под формата на бели, кръгли, двойно-изпъкнали филмирани таблетки.</w:t>
      </w:r>
    </w:p>
    <w:p w14:paraId="30A9DF06" w14:textId="77777777"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 xml:space="preserve">Топилекс 50 </w:t>
      </w:r>
      <w:r w:rsidRPr="00ED72A8">
        <w:rPr>
          <w:rFonts w:eastAsia="Times New Roman" w:cs="Arial"/>
          <w:color w:val="000000"/>
          <w:szCs w:val="20"/>
          <w:lang w:val="en-US"/>
        </w:rPr>
        <w:t xml:space="preserve">mg </w:t>
      </w:r>
      <w:r w:rsidRPr="00ED72A8">
        <w:rPr>
          <w:rFonts w:eastAsia="Times New Roman" w:cs="Arial"/>
          <w:color w:val="000000"/>
          <w:szCs w:val="20"/>
          <w:lang w:eastAsia="bg-BG"/>
        </w:rPr>
        <w:t>се предлага под формата на жълти, кръгли, двойно-изпъкнали филмирани таблетки.</w:t>
      </w:r>
    </w:p>
    <w:p w14:paraId="4129ADBB" w14:textId="7FDDB681" w:rsidR="0091385D" w:rsidRPr="00ED72A8" w:rsidRDefault="00ED72A8" w:rsidP="00ED72A8">
      <w:pPr>
        <w:rPr>
          <w:rFonts w:cs="Arial"/>
          <w:sz w:val="24"/>
        </w:rPr>
      </w:pPr>
      <w:r w:rsidRPr="00ED72A8">
        <w:rPr>
          <w:rFonts w:eastAsia="Times New Roman" w:cs="Arial"/>
          <w:color w:val="000000"/>
          <w:szCs w:val="20"/>
          <w:lang w:eastAsia="bg-BG"/>
        </w:rPr>
        <w:t xml:space="preserve">Топилекс 100 </w:t>
      </w:r>
      <w:r w:rsidRPr="00ED72A8">
        <w:rPr>
          <w:rFonts w:eastAsia="Times New Roman" w:cs="Arial"/>
          <w:color w:val="000000"/>
          <w:szCs w:val="20"/>
          <w:lang w:val="en-US"/>
        </w:rPr>
        <w:t xml:space="preserve">mg </w:t>
      </w:r>
      <w:r w:rsidRPr="00ED72A8">
        <w:rPr>
          <w:rFonts w:eastAsia="Times New Roman" w:cs="Arial"/>
          <w:color w:val="000000"/>
          <w:szCs w:val="20"/>
          <w:lang w:eastAsia="bg-BG"/>
        </w:rPr>
        <w:t>се предлага под формата на оранжеви, продълговати, двойно-изпъкнали филмирани таблетки.</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3802E5E8" w14:textId="77777777"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lastRenderedPageBreak/>
        <w:t>Монотерапия при възрастни, юноши и деца над 6-годишна възраст с парциални пристъпи, със или без вторични генерализирани пристъпи и първични генерализирани тонично-клонични пристъпи.</w:t>
      </w:r>
    </w:p>
    <w:p w14:paraId="6CFF6A1A" w14:textId="77777777" w:rsidR="00ED72A8" w:rsidRPr="00ED72A8" w:rsidRDefault="00ED72A8" w:rsidP="00ED72A8">
      <w:pPr>
        <w:spacing w:line="240" w:lineRule="auto"/>
        <w:rPr>
          <w:rFonts w:eastAsia="Times New Roman" w:cs="Arial"/>
          <w:color w:val="000000"/>
          <w:szCs w:val="20"/>
          <w:lang w:eastAsia="bg-BG"/>
        </w:rPr>
      </w:pPr>
    </w:p>
    <w:p w14:paraId="623ACDEB" w14:textId="28EB7BF7"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Допълнителна терапия при деца над 2-годишна възраст, юноши и възрастни с парциални пристъпи, със или без вторична генерализация или първични генерализирани тонично- клонични пристъпи и за лечение на пристъпи, свързани със синдрома на Ленокс-Гасто.</w:t>
      </w:r>
    </w:p>
    <w:p w14:paraId="29A96FF4" w14:textId="77777777" w:rsidR="00ED72A8" w:rsidRPr="00ED72A8" w:rsidRDefault="00ED72A8" w:rsidP="00ED72A8">
      <w:pPr>
        <w:spacing w:line="240" w:lineRule="auto"/>
        <w:rPr>
          <w:rFonts w:eastAsia="Times New Roman" w:cs="Arial"/>
          <w:color w:val="000000"/>
          <w:szCs w:val="20"/>
          <w:lang w:eastAsia="bg-BG"/>
        </w:rPr>
      </w:pPr>
    </w:p>
    <w:p w14:paraId="04B2E99C" w14:textId="02E990A6" w:rsidR="0091385D"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Топирамат е показан при възрастни за профилактика на мигренозно главоболие след внимателна преценка на приемливите алтернативни възможности за лечение. Топирамат не е</w:t>
      </w:r>
      <w:r>
        <w:rPr>
          <w:rFonts w:eastAsia="Times New Roman" w:cs="Arial"/>
          <w:sz w:val="28"/>
          <w:szCs w:val="24"/>
          <w:lang w:eastAsia="bg-BG"/>
        </w:rPr>
        <w:t xml:space="preserve"> </w:t>
      </w:r>
      <w:r w:rsidRPr="00ED72A8">
        <w:rPr>
          <w:rFonts w:eastAsia="Times New Roman" w:cs="Arial"/>
          <w:color w:val="000000"/>
          <w:szCs w:val="20"/>
          <w:lang w:eastAsia="bg-BG"/>
        </w:rPr>
        <w:t>предназначен за интензивно лечение.</w:t>
      </w:r>
    </w:p>
    <w:p w14:paraId="6DFA4B9D" w14:textId="77777777" w:rsidR="0091385D" w:rsidRPr="0091385D" w:rsidRDefault="0091385D" w:rsidP="0091385D"/>
    <w:p w14:paraId="30BE2C7B" w14:textId="3633C1E4" w:rsidR="008134C8" w:rsidRDefault="002C50EE" w:rsidP="004A448E">
      <w:pPr>
        <w:pStyle w:val="Heading2"/>
      </w:pPr>
      <w:r>
        <w:t>4.2. Дозировка и начин на приложение</w:t>
      </w:r>
    </w:p>
    <w:p w14:paraId="7AA22B68" w14:textId="3A681DFB" w:rsidR="0091385D" w:rsidRDefault="0091385D" w:rsidP="0091385D"/>
    <w:p w14:paraId="7CB95705" w14:textId="77777777" w:rsidR="00ED72A8" w:rsidRPr="00ED72A8" w:rsidRDefault="00ED72A8" w:rsidP="00ED72A8">
      <w:pPr>
        <w:pStyle w:val="Heading3"/>
        <w:rPr>
          <w:rFonts w:eastAsia="Times New Roman"/>
          <w:sz w:val="28"/>
          <w:u w:val="single"/>
          <w:lang w:eastAsia="bg-BG"/>
        </w:rPr>
      </w:pPr>
      <w:r w:rsidRPr="00ED72A8">
        <w:rPr>
          <w:rFonts w:eastAsia="Times New Roman"/>
          <w:u w:val="single"/>
          <w:lang w:eastAsia="bg-BG"/>
        </w:rPr>
        <w:t>Дозировка</w:t>
      </w:r>
    </w:p>
    <w:p w14:paraId="4D250814" w14:textId="77777777" w:rsidR="00ED72A8" w:rsidRPr="00ED72A8" w:rsidRDefault="00ED72A8" w:rsidP="00ED72A8">
      <w:pPr>
        <w:spacing w:line="240" w:lineRule="auto"/>
        <w:rPr>
          <w:rFonts w:eastAsia="Times New Roman" w:cs="Arial"/>
          <w:color w:val="000000"/>
          <w:szCs w:val="20"/>
          <w:lang w:eastAsia="bg-BG"/>
        </w:rPr>
      </w:pPr>
    </w:p>
    <w:p w14:paraId="6D4C5FE3" w14:textId="642A7DB2"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Препоръчва се терапията да започне с ниски дози и след това чрез постепенно титриране да се достигне до ефективната доза. Дозата и степента на нейното увеличаване зависят от клиничния отговор.</w:t>
      </w:r>
    </w:p>
    <w:p w14:paraId="26077815" w14:textId="77777777"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Топилекс е наличен като филмирани таблетки. Не се препоръчва филмираните таблетки да се чупят..</w:t>
      </w:r>
    </w:p>
    <w:p w14:paraId="079697C5" w14:textId="77777777"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Не се налага мониториране на плазмените концентрации на топирамат, за да се оптимизира терапията с Топилекс. В редки случаи добавянето на Топилекс към схемата на лечение с фенитоин може наложи коригиране на дозата на фенитоин с цел да се постигне оптимален клиничен резултат. Добавянето или спирането на лечението с фенитоин или карбамазепин при провеждане на допълнителна терапия с Топилекс може да наложи коригиране на дозата на Топилекс. Топилекс може да се приема с или без храна.</w:t>
      </w:r>
    </w:p>
    <w:p w14:paraId="374927C0" w14:textId="77777777"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 xml:space="preserve">При пациенти със или без анамнеза за пристъпи или епилепсия, лечението с антиепилептични лекарства, включително и топирамат, трябва се прекратява постепенно, за да се сведе до минимум рискът от поява на пристъпи или увеличаване честотата на пристъпите. В клинични изпитвания, дневната доза е намалявана с 50-100 </w:t>
      </w:r>
      <w:r w:rsidRPr="00ED72A8">
        <w:rPr>
          <w:rFonts w:eastAsia="Times New Roman" w:cs="Arial"/>
          <w:color w:val="000000"/>
          <w:szCs w:val="20"/>
          <w:lang w:val="en-US"/>
        </w:rPr>
        <w:t xml:space="preserve">mg </w:t>
      </w:r>
      <w:r w:rsidRPr="00ED72A8">
        <w:rPr>
          <w:rFonts w:eastAsia="Times New Roman" w:cs="Arial"/>
          <w:color w:val="000000"/>
          <w:szCs w:val="20"/>
          <w:lang w:eastAsia="bg-BG"/>
        </w:rPr>
        <w:t xml:space="preserve">седмично при възрастни с епилепсия и с 25-50 </w:t>
      </w:r>
      <w:r w:rsidRPr="00ED72A8">
        <w:rPr>
          <w:rFonts w:eastAsia="Times New Roman" w:cs="Arial"/>
          <w:color w:val="000000"/>
          <w:szCs w:val="20"/>
          <w:lang w:val="en-US"/>
        </w:rPr>
        <w:t xml:space="preserve">mg </w:t>
      </w:r>
      <w:r w:rsidRPr="00ED72A8">
        <w:rPr>
          <w:rFonts w:eastAsia="Times New Roman" w:cs="Arial"/>
          <w:color w:val="000000"/>
          <w:szCs w:val="20"/>
          <w:lang w:eastAsia="bg-BG"/>
        </w:rPr>
        <w:t xml:space="preserve">седмично при възрастни, приемащи топирамат в дози до 100 </w:t>
      </w:r>
      <w:r w:rsidRPr="00ED72A8">
        <w:rPr>
          <w:rFonts w:eastAsia="Times New Roman" w:cs="Arial"/>
          <w:color w:val="000000"/>
          <w:szCs w:val="20"/>
          <w:lang w:val="en-US"/>
        </w:rPr>
        <w:t xml:space="preserve">mg </w:t>
      </w:r>
      <w:r w:rsidRPr="00ED72A8">
        <w:rPr>
          <w:rFonts w:eastAsia="Times New Roman" w:cs="Arial"/>
          <w:color w:val="000000"/>
          <w:szCs w:val="20"/>
          <w:lang w:eastAsia="bg-BG"/>
        </w:rPr>
        <w:t>дневно за профилактика на мигрена. В клинични изпитвания при деца дозата на топирамат е намалявана постепенно в продължение на 2-8 седмичен период.</w:t>
      </w:r>
    </w:p>
    <w:p w14:paraId="77BB3699" w14:textId="77777777" w:rsidR="00ED72A8" w:rsidRPr="00ED72A8" w:rsidRDefault="00ED72A8" w:rsidP="00ED72A8">
      <w:pPr>
        <w:spacing w:line="240" w:lineRule="auto"/>
        <w:rPr>
          <w:rFonts w:eastAsia="Times New Roman" w:cs="Arial"/>
          <w:color w:val="000000"/>
          <w:szCs w:val="20"/>
          <w:u w:val="single"/>
          <w:lang w:eastAsia="bg-BG"/>
        </w:rPr>
      </w:pPr>
    </w:p>
    <w:p w14:paraId="0C86B9A9" w14:textId="7C3AD2F0"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u w:val="single"/>
          <w:lang w:eastAsia="bg-BG"/>
        </w:rPr>
        <w:t>Монотерапия на епилепсия</w:t>
      </w:r>
    </w:p>
    <w:p w14:paraId="2D1D824C" w14:textId="77777777" w:rsidR="00ED72A8" w:rsidRPr="00ED72A8" w:rsidRDefault="00ED72A8" w:rsidP="00ED72A8">
      <w:pPr>
        <w:spacing w:line="240" w:lineRule="auto"/>
        <w:rPr>
          <w:rFonts w:eastAsia="Times New Roman" w:cs="Arial"/>
          <w:i/>
          <w:iCs/>
          <w:color w:val="000000"/>
          <w:szCs w:val="20"/>
          <w:lang w:eastAsia="bg-BG"/>
        </w:rPr>
      </w:pPr>
    </w:p>
    <w:p w14:paraId="278D31C2" w14:textId="20B3CF1E" w:rsidR="00ED72A8" w:rsidRPr="00ED72A8" w:rsidRDefault="00ED72A8" w:rsidP="00ED72A8">
      <w:pPr>
        <w:spacing w:line="240" w:lineRule="auto"/>
        <w:rPr>
          <w:rFonts w:eastAsia="Times New Roman" w:cs="Arial"/>
          <w:sz w:val="28"/>
          <w:szCs w:val="24"/>
          <w:lang w:eastAsia="bg-BG"/>
        </w:rPr>
      </w:pPr>
      <w:r w:rsidRPr="00ED72A8">
        <w:rPr>
          <w:rFonts w:eastAsia="Times New Roman" w:cs="Arial"/>
          <w:i/>
          <w:iCs/>
          <w:color w:val="000000"/>
          <w:szCs w:val="20"/>
          <w:lang w:eastAsia="bg-BG"/>
        </w:rPr>
        <w:t>Общи принципи</w:t>
      </w:r>
    </w:p>
    <w:p w14:paraId="6EBA9D24" w14:textId="77777777"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При прекратяване употребата на съпътстващите антиепилептични лекарства (АЕЛ) с цел прилагане на монотерапия с топирамат, следва да се обърне внимание на последиците от това върху контрола на припадъците. Препоръчва се постепенно намаляване на дозите на съпътстващите АЕЛ с около 1/3 на всеки 2 седмици, освен ако внезапното прекратяване на техния прием не се налага по съображения за безопасност.</w:t>
      </w:r>
    </w:p>
    <w:p w14:paraId="082B5ABA" w14:textId="77777777"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След прекратяване приема на ензим-индуциращите лекарствени продукти, нивото на топирамат се покачва. Може да се наложи намаляване на дозата на Топилекс (топирамат), ако за това има клинични показания.</w:t>
      </w:r>
    </w:p>
    <w:p w14:paraId="3E8CAF0C" w14:textId="77777777" w:rsidR="00ED72A8" w:rsidRPr="00ED72A8" w:rsidRDefault="00ED72A8" w:rsidP="00ED72A8">
      <w:pPr>
        <w:spacing w:line="240" w:lineRule="auto"/>
        <w:rPr>
          <w:rFonts w:eastAsia="Times New Roman" w:cs="Arial"/>
          <w:i/>
          <w:iCs/>
          <w:color w:val="000000"/>
          <w:szCs w:val="20"/>
          <w:lang w:eastAsia="bg-BG"/>
        </w:rPr>
      </w:pPr>
    </w:p>
    <w:p w14:paraId="024453BC" w14:textId="601C73A0" w:rsidR="00ED72A8" w:rsidRPr="00ED72A8" w:rsidRDefault="00ED72A8" w:rsidP="00ED72A8">
      <w:pPr>
        <w:spacing w:line="240" w:lineRule="auto"/>
        <w:rPr>
          <w:rFonts w:eastAsia="Times New Roman" w:cs="Arial"/>
          <w:sz w:val="28"/>
          <w:szCs w:val="24"/>
          <w:lang w:eastAsia="bg-BG"/>
        </w:rPr>
      </w:pPr>
      <w:r w:rsidRPr="00ED72A8">
        <w:rPr>
          <w:rFonts w:eastAsia="Times New Roman" w:cs="Arial"/>
          <w:i/>
          <w:iCs/>
          <w:color w:val="000000"/>
          <w:szCs w:val="20"/>
          <w:lang w:eastAsia="bg-BG"/>
        </w:rPr>
        <w:t>Възрастни</w:t>
      </w:r>
    </w:p>
    <w:p w14:paraId="5D44DA99" w14:textId="77777777" w:rsidR="00ED72A8" w:rsidRPr="00ED72A8" w:rsidRDefault="00ED72A8" w:rsidP="00ED72A8">
      <w:pPr>
        <w:spacing w:line="240" w:lineRule="auto"/>
        <w:rPr>
          <w:rFonts w:eastAsia="Times New Roman" w:cs="Arial"/>
          <w:color w:val="000000"/>
          <w:szCs w:val="20"/>
          <w:lang w:eastAsia="bg-BG"/>
        </w:rPr>
      </w:pPr>
    </w:p>
    <w:p w14:paraId="124D15B0" w14:textId="3639AA3E"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lastRenderedPageBreak/>
        <w:t xml:space="preserve">Дозата и титрирането трябва да се ръководят от клиничния отговор. Титрирането трябва да започне с 25 </w:t>
      </w:r>
      <w:r w:rsidRPr="00ED72A8">
        <w:rPr>
          <w:rFonts w:eastAsia="Times New Roman" w:cs="Arial"/>
          <w:color w:val="000000"/>
          <w:szCs w:val="20"/>
          <w:lang w:val="en-US"/>
        </w:rPr>
        <w:t xml:space="preserve">mg </w:t>
      </w:r>
      <w:r w:rsidRPr="00ED72A8">
        <w:rPr>
          <w:rFonts w:eastAsia="Times New Roman" w:cs="Arial"/>
          <w:color w:val="000000"/>
          <w:szCs w:val="20"/>
          <w:lang w:eastAsia="bg-BG"/>
        </w:rPr>
        <w:t xml:space="preserve">вечер в продължение на 1 седмица, след което, на интервали от една или две седмици, дозата трябва да се повишава с 25 или 50 </w:t>
      </w:r>
      <w:r w:rsidRPr="00ED72A8">
        <w:rPr>
          <w:rFonts w:eastAsia="Times New Roman" w:cs="Arial"/>
          <w:color w:val="000000"/>
          <w:szCs w:val="20"/>
          <w:lang w:val="en-US"/>
        </w:rPr>
        <w:t xml:space="preserve">mg </w:t>
      </w:r>
      <w:r w:rsidRPr="00ED72A8">
        <w:rPr>
          <w:rFonts w:eastAsia="Times New Roman" w:cs="Arial"/>
          <w:color w:val="000000"/>
          <w:szCs w:val="20"/>
          <w:lang w:eastAsia="bg-BG"/>
        </w:rPr>
        <w:t>дневно и да се прилага, разделена на две отделни дози. Ако пациентът не понася схемата на дозиране, повишаванията на дозата може да са по-малки или интервалите между повишаванията може да се удължат.</w:t>
      </w:r>
    </w:p>
    <w:p w14:paraId="1FBFB6C5" w14:textId="77777777" w:rsidR="00ED72A8" w:rsidRPr="00ED72A8" w:rsidRDefault="00ED72A8" w:rsidP="00ED72A8">
      <w:pPr>
        <w:spacing w:line="240" w:lineRule="auto"/>
        <w:rPr>
          <w:rFonts w:eastAsia="Times New Roman" w:cs="Arial"/>
          <w:color w:val="000000"/>
          <w:szCs w:val="20"/>
          <w:lang w:eastAsia="bg-BG"/>
        </w:rPr>
      </w:pPr>
    </w:p>
    <w:p w14:paraId="3245B1DF" w14:textId="31583395"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 xml:space="preserve">Препоръчителната начална таргетна доза топирамат като монотерапия при възрастни е 100 </w:t>
      </w:r>
      <w:r w:rsidRPr="00ED72A8">
        <w:rPr>
          <w:rFonts w:eastAsia="Times New Roman" w:cs="Arial"/>
          <w:color w:val="000000"/>
          <w:szCs w:val="20"/>
          <w:lang w:val="en-US"/>
        </w:rPr>
        <w:t xml:space="preserve">mg </w:t>
      </w:r>
      <w:r w:rsidRPr="00ED72A8">
        <w:rPr>
          <w:rFonts w:eastAsia="Times New Roman" w:cs="Arial"/>
          <w:color w:val="000000"/>
          <w:szCs w:val="20"/>
          <w:lang w:eastAsia="bg-BG"/>
        </w:rPr>
        <w:t xml:space="preserve">до 200 </w:t>
      </w:r>
      <w:r w:rsidRPr="00ED72A8">
        <w:rPr>
          <w:rFonts w:eastAsia="Times New Roman" w:cs="Arial"/>
          <w:color w:val="000000"/>
          <w:szCs w:val="20"/>
          <w:lang w:val="en-US"/>
        </w:rPr>
        <w:t xml:space="preserve">mg </w:t>
      </w:r>
      <w:r w:rsidRPr="00ED72A8">
        <w:rPr>
          <w:rFonts w:eastAsia="Times New Roman" w:cs="Arial"/>
          <w:color w:val="000000"/>
          <w:szCs w:val="20"/>
          <w:lang w:eastAsia="bg-BG"/>
        </w:rPr>
        <w:t xml:space="preserve">дневно, разделена на две отделни дози. Препоръчваната максималната дневна доза е 500 </w:t>
      </w:r>
      <w:r w:rsidRPr="00ED72A8">
        <w:rPr>
          <w:rFonts w:eastAsia="Times New Roman" w:cs="Arial"/>
          <w:color w:val="000000"/>
          <w:szCs w:val="20"/>
          <w:lang w:val="en-US"/>
        </w:rPr>
        <w:t xml:space="preserve">mg </w:t>
      </w:r>
      <w:r w:rsidRPr="00ED72A8">
        <w:rPr>
          <w:rFonts w:eastAsia="Times New Roman" w:cs="Arial"/>
          <w:color w:val="000000"/>
          <w:szCs w:val="20"/>
          <w:lang w:eastAsia="bg-BG"/>
        </w:rPr>
        <w:t xml:space="preserve">дневно, разделена на две отделни дози. Някои пациенти с рефрактерни форми на епилепсия са понесли монотерапия с топирамат в дози от 1000 </w:t>
      </w:r>
      <w:r w:rsidRPr="00ED72A8">
        <w:rPr>
          <w:rFonts w:eastAsia="Times New Roman" w:cs="Arial"/>
          <w:color w:val="000000"/>
          <w:szCs w:val="20"/>
          <w:lang w:val="en-US"/>
        </w:rPr>
        <w:t xml:space="preserve">mg </w:t>
      </w:r>
      <w:r w:rsidRPr="00ED72A8">
        <w:rPr>
          <w:rFonts w:eastAsia="Times New Roman" w:cs="Arial"/>
          <w:color w:val="000000"/>
          <w:szCs w:val="20"/>
          <w:lang w:eastAsia="bg-BG"/>
        </w:rPr>
        <w:t>дневно. Препоръките за дозиране са приложими за всички възрастни, включително и за пациенти в напреднала възраст, при липса на съпътстващо бъбречно заболяване.</w:t>
      </w:r>
    </w:p>
    <w:p w14:paraId="7E34240E" w14:textId="77777777" w:rsidR="00ED72A8" w:rsidRPr="00ED72A8" w:rsidRDefault="00ED72A8" w:rsidP="00ED72A8">
      <w:pPr>
        <w:spacing w:line="240" w:lineRule="auto"/>
        <w:rPr>
          <w:rFonts w:eastAsia="Times New Roman" w:cs="Arial"/>
          <w:i/>
          <w:iCs/>
          <w:color w:val="000000"/>
          <w:szCs w:val="20"/>
          <w:lang w:eastAsia="bg-BG"/>
        </w:rPr>
      </w:pPr>
    </w:p>
    <w:p w14:paraId="36C57395" w14:textId="358303C3" w:rsidR="00ED72A8" w:rsidRPr="00ED72A8" w:rsidRDefault="00ED72A8" w:rsidP="00ED72A8">
      <w:pPr>
        <w:spacing w:line="240" w:lineRule="auto"/>
        <w:rPr>
          <w:rFonts w:eastAsia="Times New Roman" w:cs="Arial"/>
          <w:sz w:val="28"/>
          <w:szCs w:val="24"/>
          <w:lang w:eastAsia="bg-BG"/>
        </w:rPr>
      </w:pPr>
      <w:r w:rsidRPr="00ED72A8">
        <w:rPr>
          <w:rFonts w:eastAsia="Times New Roman" w:cs="Arial"/>
          <w:i/>
          <w:iCs/>
          <w:color w:val="000000"/>
          <w:szCs w:val="20"/>
          <w:lang w:eastAsia="bg-BG"/>
        </w:rPr>
        <w:t>Педиатрична популация (деца над 6-годишна възраст)</w:t>
      </w:r>
    </w:p>
    <w:p w14:paraId="7F96A8F7" w14:textId="77777777" w:rsidR="00ED72A8" w:rsidRPr="00ED72A8" w:rsidRDefault="00ED72A8" w:rsidP="00ED72A8">
      <w:pPr>
        <w:spacing w:line="240" w:lineRule="auto"/>
        <w:rPr>
          <w:rFonts w:eastAsia="Times New Roman" w:cs="Arial"/>
          <w:color w:val="000000"/>
          <w:szCs w:val="20"/>
          <w:lang w:eastAsia="bg-BG"/>
        </w:rPr>
      </w:pPr>
    </w:p>
    <w:p w14:paraId="14650565" w14:textId="77777777" w:rsidR="00ED72A8" w:rsidRPr="00ED72A8" w:rsidRDefault="00ED72A8" w:rsidP="00ED72A8">
      <w:pPr>
        <w:rPr>
          <w:rFonts w:eastAsia="Times New Roman" w:cs="Arial"/>
          <w:szCs w:val="20"/>
          <w:lang w:eastAsia="bg-BG"/>
        </w:rPr>
      </w:pPr>
      <w:r w:rsidRPr="00ED72A8">
        <w:rPr>
          <w:rFonts w:eastAsia="Times New Roman" w:cs="Arial"/>
          <w:color w:val="000000"/>
          <w:szCs w:val="20"/>
          <w:lang w:eastAsia="bg-BG"/>
        </w:rPr>
        <w:t xml:space="preserve">Дозата и титрирането на дозата при деца трябва да ръководят от клиничния отговор. Лечението на деца над 6-годишна възраст трябва да започне с доза 0,5 до 1 </w:t>
      </w:r>
      <w:r w:rsidRPr="00ED72A8">
        <w:rPr>
          <w:rFonts w:eastAsia="Times New Roman" w:cs="Arial"/>
          <w:color w:val="000000"/>
          <w:szCs w:val="20"/>
          <w:lang w:val="en-US"/>
        </w:rPr>
        <w:t xml:space="preserve">mg/kg </w:t>
      </w:r>
      <w:r w:rsidRPr="00ED72A8">
        <w:rPr>
          <w:rFonts w:eastAsia="Times New Roman" w:cs="Arial"/>
          <w:color w:val="000000"/>
          <w:szCs w:val="20"/>
          <w:lang w:eastAsia="bg-BG"/>
        </w:rPr>
        <w:t>вечер през първата  седмица, след което, на интервали от една или две седмици, дозата трябва се увеличава с 0,5 до</w:t>
      </w:r>
      <w:r w:rsidRPr="00ED72A8">
        <w:rPr>
          <w:rFonts w:eastAsia="Times New Roman" w:cs="Arial"/>
          <w:sz w:val="28"/>
          <w:szCs w:val="24"/>
          <w:lang w:eastAsia="bg-BG"/>
        </w:rPr>
        <w:t xml:space="preserve"> </w:t>
      </w:r>
      <w:r w:rsidRPr="00ED72A8">
        <w:rPr>
          <w:rFonts w:eastAsia="Times New Roman" w:cs="Arial"/>
          <w:color w:val="000000"/>
          <w:szCs w:val="20"/>
          <w:lang w:eastAsia="bg-BG"/>
        </w:rPr>
        <w:t xml:space="preserve">1 </w:t>
      </w:r>
      <w:r w:rsidRPr="00ED72A8">
        <w:rPr>
          <w:rFonts w:eastAsia="Times New Roman" w:cs="Arial"/>
          <w:color w:val="000000"/>
          <w:szCs w:val="20"/>
          <w:lang w:val="en-US"/>
        </w:rPr>
        <w:t xml:space="preserve">mg/kg </w:t>
      </w:r>
      <w:r w:rsidRPr="00ED72A8">
        <w:rPr>
          <w:rFonts w:eastAsia="Times New Roman" w:cs="Arial"/>
          <w:color w:val="000000"/>
          <w:szCs w:val="20"/>
          <w:lang w:eastAsia="bg-BG"/>
        </w:rPr>
        <w:t>дневно и да се прилага разделена надве отделни дози. Ако детето не понася схемата на титриране, повишаванията на дозите може да са по-малки или интервалите между повишаванията може да се удължат.</w:t>
      </w:r>
    </w:p>
    <w:p w14:paraId="028CAD3E" w14:textId="77777777" w:rsidR="00ED72A8" w:rsidRPr="00ED72A8" w:rsidRDefault="00ED72A8" w:rsidP="00ED72A8">
      <w:pPr>
        <w:spacing w:line="240" w:lineRule="auto"/>
        <w:rPr>
          <w:rFonts w:eastAsia="Times New Roman" w:cs="Arial"/>
          <w:szCs w:val="20"/>
          <w:lang w:eastAsia="bg-BG"/>
        </w:rPr>
      </w:pPr>
      <w:r w:rsidRPr="00ED72A8">
        <w:rPr>
          <w:rFonts w:eastAsia="Times New Roman" w:cs="Arial"/>
          <w:color w:val="000000"/>
          <w:szCs w:val="20"/>
          <w:lang w:eastAsia="bg-BG"/>
        </w:rPr>
        <w:t xml:space="preserve">Препоръчваната начална таргетна доза топирамат като монотерапия при деца над 6-годипша възраст е 100 </w:t>
      </w:r>
      <w:r w:rsidRPr="00ED72A8">
        <w:rPr>
          <w:rFonts w:eastAsia="Times New Roman" w:cs="Arial"/>
          <w:color w:val="000000"/>
          <w:szCs w:val="20"/>
          <w:lang w:val="en-US"/>
        </w:rPr>
        <w:t xml:space="preserve">mg </w:t>
      </w:r>
      <w:r w:rsidRPr="00ED72A8">
        <w:rPr>
          <w:rFonts w:eastAsia="Times New Roman" w:cs="Arial"/>
          <w:color w:val="000000"/>
          <w:szCs w:val="20"/>
          <w:lang w:eastAsia="bg-BG"/>
        </w:rPr>
        <w:t xml:space="preserve">дневно в зависимост от клиничната картина (това е около 2,0 </w:t>
      </w:r>
      <w:r w:rsidRPr="00ED72A8">
        <w:rPr>
          <w:rFonts w:eastAsia="Times New Roman" w:cs="Arial"/>
          <w:color w:val="000000"/>
          <w:szCs w:val="20"/>
          <w:lang w:val="en-US"/>
        </w:rPr>
        <w:t xml:space="preserve">mg/kg </w:t>
      </w:r>
      <w:r w:rsidRPr="00ED72A8">
        <w:rPr>
          <w:rFonts w:eastAsia="Times New Roman" w:cs="Arial"/>
          <w:color w:val="000000"/>
          <w:szCs w:val="20"/>
          <w:lang w:eastAsia="bg-BG"/>
        </w:rPr>
        <w:t>дневно при деца 6-16 години).</w:t>
      </w:r>
    </w:p>
    <w:p w14:paraId="0501BB41" w14:textId="77777777" w:rsidR="00ED72A8" w:rsidRPr="00ED72A8" w:rsidRDefault="00ED72A8" w:rsidP="00ED72A8">
      <w:pPr>
        <w:spacing w:line="240" w:lineRule="auto"/>
        <w:rPr>
          <w:rFonts w:eastAsia="Times New Roman" w:cs="Arial"/>
          <w:color w:val="000000"/>
          <w:szCs w:val="20"/>
          <w:u w:val="single"/>
          <w:lang w:eastAsia="bg-BG"/>
        </w:rPr>
      </w:pPr>
    </w:p>
    <w:p w14:paraId="69DEC3D1" w14:textId="6C333EEB" w:rsidR="00ED72A8" w:rsidRPr="00ED72A8" w:rsidRDefault="00ED72A8" w:rsidP="00ED72A8">
      <w:pPr>
        <w:spacing w:line="240" w:lineRule="auto"/>
        <w:rPr>
          <w:rFonts w:eastAsia="Times New Roman" w:cs="Arial"/>
          <w:szCs w:val="20"/>
          <w:lang w:eastAsia="bg-BG"/>
        </w:rPr>
      </w:pPr>
      <w:r w:rsidRPr="00ED72A8">
        <w:rPr>
          <w:rFonts w:eastAsia="Times New Roman" w:cs="Arial"/>
          <w:color w:val="000000"/>
          <w:szCs w:val="20"/>
          <w:u w:val="single"/>
          <w:lang w:eastAsia="bg-BG"/>
        </w:rPr>
        <w:t>Допълнителна терапия при епилепсия (парциални пристъпи, със или без вторична генерализация, първични генерализирани тонично-клонични пристъпи или пристъпи, свързани със синдрома на Ленокс-Гасто).</w:t>
      </w:r>
    </w:p>
    <w:p w14:paraId="024E19AF" w14:textId="77777777" w:rsidR="00ED72A8" w:rsidRPr="00ED72A8" w:rsidRDefault="00ED72A8" w:rsidP="00ED72A8">
      <w:pPr>
        <w:spacing w:line="240" w:lineRule="auto"/>
        <w:rPr>
          <w:rFonts w:eastAsia="Times New Roman" w:cs="Arial"/>
          <w:i/>
          <w:iCs/>
          <w:color w:val="000000"/>
          <w:szCs w:val="20"/>
          <w:lang w:eastAsia="bg-BG"/>
        </w:rPr>
      </w:pPr>
    </w:p>
    <w:p w14:paraId="220B0DC9" w14:textId="2E796616" w:rsidR="00ED72A8" w:rsidRPr="00ED72A8" w:rsidRDefault="00ED72A8" w:rsidP="00ED72A8">
      <w:pPr>
        <w:spacing w:line="240" w:lineRule="auto"/>
        <w:rPr>
          <w:rFonts w:eastAsia="Times New Roman" w:cs="Arial"/>
          <w:szCs w:val="20"/>
          <w:lang w:eastAsia="bg-BG"/>
        </w:rPr>
      </w:pPr>
      <w:r w:rsidRPr="00ED72A8">
        <w:rPr>
          <w:rFonts w:eastAsia="Times New Roman" w:cs="Arial"/>
          <w:i/>
          <w:iCs/>
          <w:color w:val="000000"/>
          <w:szCs w:val="20"/>
          <w:lang w:eastAsia="bg-BG"/>
        </w:rPr>
        <w:t>Възрастни</w:t>
      </w:r>
    </w:p>
    <w:p w14:paraId="606C2445" w14:textId="77777777" w:rsidR="00ED72A8" w:rsidRPr="00ED72A8" w:rsidRDefault="00ED72A8" w:rsidP="00ED72A8">
      <w:pPr>
        <w:spacing w:line="240" w:lineRule="auto"/>
        <w:rPr>
          <w:rFonts w:eastAsia="Times New Roman" w:cs="Arial"/>
          <w:color w:val="000000"/>
          <w:szCs w:val="20"/>
          <w:lang w:eastAsia="bg-BG"/>
        </w:rPr>
      </w:pPr>
    </w:p>
    <w:p w14:paraId="1D1C8EDF" w14:textId="093C1130" w:rsidR="00ED72A8" w:rsidRPr="00ED72A8" w:rsidRDefault="00ED72A8" w:rsidP="00ED72A8">
      <w:pPr>
        <w:spacing w:line="240" w:lineRule="auto"/>
        <w:rPr>
          <w:rFonts w:eastAsia="Times New Roman" w:cs="Arial"/>
          <w:szCs w:val="20"/>
          <w:lang w:eastAsia="bg-BG"/>
        </w:rPr>
      </w:pPr>
      <w:r w:rsidRPr="00ED72A8">
        <w:rPr>
          <w:rFonts w:eastAsia="Times New Roman" w:cs="Arial"/>
          <w:color w:val="000000"/>
          <w:szCs w:val="20"/>
          <w:lang w:eastAsia="bg-BG"/>
        </w:rPr>
        <w:t xml:space="preserve">Терапията трябва да започне с 25-50 </w:t>
      </w:r>
      <w:r w:rsidRPr="00ED72A8">
        <w:rPr>
          <w:rFonts w:eastAsia="Times New Roman" w:cs="Arial"/>
          <w:color w:val="000000"/>
          <w:szCs w:val="20"/>
          <w:lang w:val="en-US"/>
        </w:rPr>
        <w:t xml:space="preserve">mg </w:t>
      </w:r>
      <w:r w:rsidRPr="00ED72A8">
        <w:rPr>
          <w:rFonts w:eastAsia="Times New Roman" w:cs="Arial"/>
          <w:color w:val="000000"/>
          <w:szCs w:val="20"/>
          <w:lang w:eastAsia="bg-BG"/>
        </w:rPr>
        <w:t xml:space="preserve">вечер в продължение на една седмица. Съобщава се за приложение на по-ниски начални дози, но това не е системно проучвано. Впоследствие, на интервали от една или две седмици, дозата трябва да се повишава с 25-50 </w:t>
      </w:r>
      <w:r w:rsidRPr="00ED72A8">
        <w:rPr>
          <w:rFonts w:eastAsia="Times New Roman" w:cs="Arial"/>
          <w:color w:val="000000"/>
          <w:szCs w:val="20"/>
          <w:lang w:val="en-US"/>
        </w:rPr>
        <w:t xml:space="preserve">mg </w:t>
      </w:r>
      <w:r w:rsidRPr="00ED72A8">
        <w:rPr>
          <w:rFonts w:eastAsia="Times New Roman" w:cs="Arial"/>
          <w:color w:val="000000"/>
          <w:szCs w:val="20"/>
          <w:lang w:eastAsia="bg-BG"/>
        </w:rPr>
        <w:t>дневно и да се прилага разделена на две отделни дози. При някои пациенти може да се постигне ефект и при дозиране веднъж дневно.</w:t>
      </w:r>
    </w:p>
    <w:p w14:paraId="6BA1B2FD" w14:textId="77777777" w:rsidR="00ED72A8" w:rsidRPr="00ED72A8" w:rsidRDefault="00ED72A8" w:rsidP="00ED72A8">
      <w:pPr>
        <w:spacing w:line="240" w:lineRule="auto"/>
        <w:rPr>
          <w:rFonts w:eastAsia="Times New Roman" w:cs="Arial"/>
          <w:szCs w:val="20"/>
          <w:lang w:eastAsia="bg-BG"/>
        </w:rPr>
      </w:pPr>
      <w:r w:rsidRPr="00ED72A8">
        <w:rPr>
          <w:rFonts w:eastAsia="Times New Roman" w:cs="Arial"/>
          <w:color w:val="000000"/>
          <w:szCs w:val="20"/>
          <w:lang w:eastAsia="bg-BG"/>
        </w:rPr>
        <w:t xml:space="preserve">При клиничните изпитвания като допълнителна терапия, най-ниската ефективна доза е 200 </w:t>
      </w:r>
      <w:r w:rsidRPr="00ED72A8">
        <w:rPr>
          <w:rFonts w:eastAsia="Times New Roman" w:cs="Arial"/>
          <w:color w:val="000000"/>
          <w:szCs w:val="20"/>
          <w:lang w:val="en-US"/>
        </w:rPr>
        <w:t xml:space="preserve">mg. </w:t>
      </w:r>
      <w:r w:rsidRPr="00ED72A8">
        <w:rPr>
          <w:rFonts w:eastAsia="Times New Roman" w:cs="Arial"/>
          <w:color w:val="000000"/>
          <w:szCs w:val="20"/>
          <w:lang w:eastAsia="bg-BG"/>
        </w:rPr>
        <w:t xml:space="preserve">Обичайната дневна доза е 200-400 </w:t>
      </w:r>
      <w:r w:rsidRPr="00ED72A8">
        <w:rPr>
          <w:rFonts w:eastAsia="Times New Roman" w:cs="Arial"/>
          <w:color w:val="000000"/>
          <w:szCs w:val="20"/>
          <w:lang w:val="en-US"/>
        </w:rPr>
        <w:t xml:space="preserve">mg, </w:t>
      </w:r>
      <w:r w:rsidRPr="00ED72A8">
        <w:rPr>
          <w:rFonts w:eastAsia="Times New Roman" w:cs="Arial"/>
          <w:color w:val="000000"/>
          <w:szCs w:val="20"/>
          <w:lang w:eastAsia="bg-BG"/>
        </w:rPr>
        <w:t>разделена на две отделни дози.</w:t>
      </w:r>
    </w:p>
    <w:p w14:paraId="355C73AB" w14:textId="77777777" w:rsidR="00ED72A8" w:rsidRPr="00ED72A8" w:rsidRDefault="00ED72A8" w:rsidP="00ED72A8">
      <w:pPr>
        <w:spacing w:line="240" w:lineRule="auto"/>
        <w:rPr>
          <w:rFonts w:eastAsia="Times New Roman" w:cs="Arial"/>
          <w:szCs w:val="20"/>
          <w:lang w:eastAsia="bg-BG"/>
        </w:rPr>
      </w:pPr>
      <w:r w:rsidRPr="00ED72A8">
        <w:rPr>
          <w:rFonts w:eastAsia="Times New Roman" w:cs="Arial"/>
          <w:color w:val="000000"/>
          <w:szCs w:val="20"/>
          <w:lang w:eastAsia="bg-BG"/>
        </w:rPr>
        <w:t>Предложените схеми на дозиране са приложими за всички възрастни, включително и за пациентите в напреднала възраст, ако няма съпътстващо бъбречно заболяване (вж. точка 4.4).</w:t>
      </w:r>
    </w:p>
    <w:p w14:paraId="5053D319" w14:textId="77777777" w:rsidR="00ED72A8" w:rsidRPr="00ED72A8" w:rsidRDefault="00ED72A8" w:rsidP="00ED72A8">
      <w:pPr>
        <w:spacing w:line="240" w:lineRule="auto"/>
        <w:rPr>
          <w:rFonts w:eastAsia="Times New Roman" w:cs="Arial"/>
          <w:i/>
          <w:iCs/>
          <w:color w:val="000000"/>
          <w:szCs w:val="20"/>
          <w:lang w:eastAsia="bg-BG"/>
        </w:rPr>
      </w:pPr>
    </w:p>
    <w:p w14:paraId="36CE465B" w14:textId="2FB866FD" w:rsidR="00ED72A8" w:rsidRPr="00ED72A8" w:rsidRDefault="00ED72A8" w:rsidP="00ED72A8">
      <w:pPr>
        <w:spacing w:line="240" w:lineRule="auto"/>
        <w:rPr>
          <w:rFonts w:eastAsia="Times New Roman" w:cs="Arial"/>
          <w:szCs w:val="20"/>
          <w:lang w:eastAsia="bg-BG"/>
        </w:rPr>
      </w:pPr>
      <w:r w:rsidRPr="00ED72A8">
        <w:rPr>
          <w:rFonts w:eastAsia="Times New Roman" w:cs="Arial"/>
          <w:i/>
          <w:iCs/>
          <w:color w:val="000000"/>
          <w:szCs w:val="20"/>
          <w:lang w:eastAsia="bg-BG"/>
        </w:rPr>
        <w:t>Деца (на възраст 2 и повече години)</w:t>
      </w:r>
    </w:p>
    <w:p w14:paraId="48B26EA8" w14:textId="77777777" w:rsidR="00ED72A8" w:rsidRPr="00ED72A8" w:rsidRDefault="00ED72A8" w:rsidP="00ED72A8">
      <w:pPr>
        <w:spacing w:line="240" w:lineRule="auto"/>
        <w:rPr>
          <w:rFonts w:eastAsia="Times New Roman" w:cs="Arial"/>
          <w:color w:val="000000"/>
          <w:szCs w:val="20"/>
          <w:lang w:eastAsia="bg-BG"/>
        </w:rPr>
      </w:pPr>
    </w:p>
    <w:p w14:paraId="226DE5BB" w14:textId="3AD64218" w:rsidR="00ED72A8" w:rsidRPr="00ED72A8" w:rsidRDefault="00ED72A8" w:rsidP="00ED72A8">
      <w:pPr>
        <w:spacing w:line="240" w:lineRule="auto"/>
        <w:rPr>
          <w:rFonts w:eastAsia="Times New Roman" w:cs="Arial"/>
          <w:szCs w:val="20"/>
          <w:lang w:eastAsia="bg-BG"/>
        </w:rPr>
      </w:pPr>
      <w:r w:rsidRPr="00ED72A8">
        <w:rPr>
          <w:rFonts w:eastAsia="Times New Roman" w:cs="Arial"/>
          <w:color w:val="000000"/>
          <w:szCs w:val="20"/>
          <w:lang w:eastAsia="bg-BG"/>
        </w:rPr>
        <w:t xml:space="preserve">Препоръчителната обща дневна доза Топилекс (топирамат) като допълнителна терапия е приблизително 5 до 9 </w:t>
      </w:r>
      <w:r w:rsidRPr="00ED72A8">
        <w:rPr>
          <w:rFonts w:eastAsia="Times New Roman" w:cs="Arial"/>
          <w:color w:val="000000"/>
          <w:szCs w:val="20"/>
          <w:lang w:val="en-US"/>
        </w:rPr>
        <w:t xml:space="preserve">mg/kg </w:t>
      </w:r>
      <w:r w:rsidRPr="00ED72A8">
        <w:rPr>
          <w:rFonts w:eastAsia="Times New Roman" w:cs="Arial"/>
          <w:color w:val="000000"/>
          <w:szCs w:val="20"/>
          <w:lang w:eastAsia="bg-BG"/>
        </w:rPr>
        <w:t xml:space="preserve">дневно, разделена на две отделни дози. Титрирането трябва да започне с 25 </w:t>
      </w:r>
      <w:r w:rsidRPr="00ED72A8">
        <w:rPr>
          <w:rFonts w:eastAsia="Times New Roman" w:cs="Arial"/>
          <w:color w:val="000000"/>
          <w:szCs w:val="20"/>
          <w:lang w:val="en-US"/>
        </w:rPr>
        <w:t xml:space="preserve">mg </w:t>
      </w:r>
      <w:r w:rsidRPr="00ED72A8">
        <w:rPr>
          <w:rFonts w:eastAsia="Times New Roman" w:cs="Arial"/>
          <w:color w:val="000000"/>
          <w:szCs w:val="20"/>
          <w:lang w:eastAsia="bg-BG"/>
        </w:rPr>
        <w:t xml:space="preserve">(или по-малко на базата на диапазон 1 до 3 </w:t>
      </w:r>
      <w:r w:rsidRPr="00ED72A8">
        <w:rPr>
          <w:rFonts w:eastAsia="Times New Roman" w:cs="Arial"/>
          <w:color w:val="000000"/>
          <w:szCs w:val="20"/>
          <w:lang w:val="en-US"/>
        </w:rPr>
        <w:t xml:space="preserve">mg/kg </w:t>
      </w:r>
      <w:r w:rsidRPr="00ED72A8">
        <w:rPr>
          <w:rFonts w:eastAsia="Times New Roman" w:cs="Arial"/>
          <w:color w:val="000000"/>
          <w:szCs w:val="20"/>
          <w:lang w:eastAsia="bg-BG"/>
        </w:rPr>
        <w:t xml:space="preserve">дневно) вечер през първата седмица, след което, на интервали от една или две седмици, дозата трябва да </w:t>
      </w:r>
      <w:r w:rsidRPr="00ED72A8">
        <w:rPr>
          <w:rFonts w:eastAsia="Times New Roman" w:cs="Arial"/>
          <w:color w:val="000000"/>
          <w:szCs w:val="20"/>
          <w:lang w:eastAsia="bg-BG"/>
        </w:rPr>
        <w:lastRenderedPageBreak/>
        <w:t xml:space="preserve">се повишава с 1 до 3 </w:t>
      </w:r>
      <w:r w:rsidRPr="00ED72A8">
        <w:rPr>
          <w:rFonts w:eastAsia="Times New Roman" w:cs="Arial"/>
          <w:color w:val="000000"/>
          <w:szCs w:val="20"/>
          <w:lang w:val="en-US"/>
        </w:rPr>
        <w:t xml:space="preserve">mg/kg </w:t>
      </w:r>
      <w:r w:rsidRPr="00ED72A8">
        <w:rPr>
          <w:rFonts w:eastAsia="Times New Roman" w:cs="Arial"/>
          <w:color w:val="000000"/>
          <w:szCs w:val="20"/>
          <w:lang w:eastAsia="bg-BG"/>
        </w:rPr>
        <w:t>дневно (разделена на две отделни дози), за да се постигне оптимален клиничен отговор.</w:t>
      </w:r>
    </w:p>
    <w:p w14:paraId="6D12F426" w14:textId="77777777" w:rsidR="00ED72A8" w:rsidRPr="00ED72A8" w:rsidRDefault="00ED72A8" w:rsidP="00ED72A8">
      <w:pPr>
        <w:spacing w:line="240" w:lineRule="auto"/>
        <w:rPr>
          <w:rFonts w:eastAsia="Times New Roman" w:cs="Arial"/>
          <w:szCs w:val="20"/>
          <w:lang w:eastAsia="bg-BG"/>
        </w:rPr>
      </w:pPr>
      <w:r w:rsidRPr="00ED72A8">
        <w:rPr>
          <w:rFonts w:eastAsia="Times New Roman" w:cs="Arial"/>
          <w:color w:val="000000"/>
          <w:szCs w:val="20"/>
          <w:lang w:eastAsia="bg-BG"/>
        </w:rPr>
        <w:t xml:space="preserve">Направени са проучвания на дневни дози до 30 </w:t>
      </w:r>
      <w:r w:rsidRPr="00ED72A8">
        <w:rPr>
          <w:rFonts w:eastAsia="Times New Roman" w:cs="Arial"/>
          <w:color w:val="000000"/>
          <w:szCs w:val="20"/>
          <w:lang w:val="en-US"/>
        </w:rPr>
        <w:t xml:space="preserve">mg/kg </w:t>
      </w:r>
      <w:r w:rsidRPr="00ED72A8">
        <w:rPr>
          <w:rFonts w:eastAsia="Times New Roman" w:cs="Arial"/>
          <w:color w:val="000000"/>
          <w:szCs w:val="20"/>
          <w:lang w:eastAsia="bg-BG"/>
        </w:rPr>
        <w:t>и като цяло поносимостта към тях е добра.</w:t>
      </w:r>
    </w:p>
    <w:p w14:paraId="75D1742E" w14:textId="77777777" w:rsidR="00ED72A8" w:rsidRPr="00ED72A8" w:rsidRDefault="00ED72A8" w:rsidP="00ED72A8">
      <w:pPr>
        <w:spacing w:line="240" w:lineRule="auto"/>
        <w:rPr>
          <w:rFonts w:eastAsia="Times New Roman" w:cs="Arial"/>
          <w:color w:val="000000"/>
          <w:szCs w:val="20"/>
          <w:u w:val="single"/>
          <w:lang w:eastAsia="bg-BG"/>
        </w:rPr>
      </w:pPr>
    </w:p>
    <w:p w14:paraId="0B2D3F02" w14:textId="76BE18FC" w:rsidR="00ED72A8" w:rsidRPr="00ED72A8" w:rsidRDefault="00ED72A8" w:rsidP="00ED72A8">
      <w:pPr>
        <w:spacing w:line="240" w:lineRule="auto"/>
        <w:rPr>
          <w:rFonts w:eastAsia="Times New Roman" w:cs="Arial"/>
          <w:szCs w:val="20"/>
          <w:lang w:eastAsia="bg-BG"/>
        </w:rPr>
      </w:pPr>
      <w:r w:rsidRPr="00ED72A8">
        <w:rPr>
          <w:rFonts w:eastAsia="Times New Roman" w:cs="Arial"/>
          <w:color w:val="000000"/>
          <w:szCs w:val="20"/>
          <w:u w:val="single"/>
          <w:lang w:eastAsia="bg-BG"/>
        </w:rPr>
        <w:t>Мигрена</w:t>
      </w:r>
    </w:p>
    <w:p w14:paraId="12296F7C" w14:textId="77777777" w:rsidR="00ED72A8" w:rsidRPr="00ED72A8" w:rsidRDefault="00ED72A8" w:rsidP="00ED72A8">
      <w:pPr>
        <w:spacing w:line="240" w:lineRule="auto"/>
        <w:rPr>
          <w:rFonts w:eastAsia="Times New Roman" w:cs="Arial"/>
          <w:i/>
          <w:iCs/>
          <w:color w:val="000000"/>
          <w:szCs w:val="20"/>
          <w:lang w:eastAsia="bg-BG"/>
        </w:rPr>
      </w:pPr>
    </w:p>
    <w:p w14:paraId="61D6E41A" w14:textId="7F62F3A1" w:rsidR="00ED72A8" w:rsidRPr="00ED72A8" w:rsidRDefault="00ED72A8" w:rsidP="00ED72A8">
      <w:pPr>
        <w:spacing w:line="240" w:lineRule="auto"/>
        <w:rPr>
          <w:rFonts w:eastAsia="Times New Roman" w:cs="Arial"/>
          <w:szCs w:val="20"/>
          <w:lang w:eastAsia="bg-BG"/>
        </w:rPr>
      </w:pPr>
      <w:r w:rsidRPr="00ED72A8">
        <w:rPr>
          <w:rFonts w:eastAsia="Times New Roman" w:cs="Arial"/>
          <w:i/>
          <w:iCs/>
          <w:color w:val="000000"/>
          <w:szCs w:val="20"/>
          <w:lang w:eastAsia="bg-BG"/>
        </w:rPr>
        <w:t>Възрастни</w:t>
      </w:r>
    </w:p>
    <w:p w14:paraId="49E74B80" w14:textId="77777777" w:rsidR="00ED72A8" w:rsidRPr="00ED72A8" w:rsidRDefault="00ED72A8" w:rsidP="00ED72A8">
      <w:pPr>
        <w:spacing w:line="240" w:lineRule="auto"/>
        <w:rPr>
          <w:rFonts w:eastAsia="Times New Roman" w:cs="Arial"/>
          <w:color w:val="000000"/>
          <w:szCs w:val="20"/>
          <w:lang w:eastAsia="bg-BG"/>
        </w:rPr>
      </w:pPr>
    </w:p>
    <w:p w14:paraId="4C746B07" w14:textId="77777777" w:rsidR="00ED72A8" w:rsidRPr="00ED72A8" w:rsidRDefault="00ED72A8" w:rsidP="00ED72A8">
      <w:pPr>
        <w:spacing w:line="240" w:lineRule="auto"/>
        <w:rPr>
          <w:rFonts w:eastAsia="Times New Roman" w:cs="Arial"/>
          <w:color w:val="000000"/>
          <w:szCs w:val="20"/>
          <w:lang w:val="en-US"/>
        </w:rPr>
      </w:pPr>
      <w:r w:rsidRPr="00ED72A8">
        <w:rPr>
          <w:rFonts w:eastAsia="Times New Roman" w:cs="Arial"/>
          <w:color w:val="000000"/>
          <w:szCs w:val="20"/>
          <w:lang w:eastAsia="bg-BG"/>
        </w:rPr>
        <w:t xml:space="preserve">Препоръчителната обща дневна доза топирамат за профилактика на мигренозно главоболие е 100 </w:t>
      </w:r>
      <w:r w:rsidRPr="00ED72A8">
        <w:rPr>
          <w:rFonts w:eastAsia="Times New Roman" w:cs="Arial"/>
          <w:color w:val="000000"/>
          <w:szCs w:val="20"/>
          <w:lang w:val="en-US"/>
        </w:rPr>
        <w:t xml:space="preserve">mg, </w:t>
      </w:r>
      <w:r w:rsidRPr="00ED72A8">
        <w:rPr>
          <w:rFonts w:eastAsia="Times New Roman" w:cs="Arial"/>
          <w:color w:val="000000"/>
          <w:szCs w:val="20"/>
          <w:lang w:eastAsia="bg-BG"/>
        </w:rPr>
        <w:t xml:space="preserve">разделена на две отделни дози. Дозирането трябва да започне с 25 </w:t>
      </w:r>
      <w:r w:rsidRPr="00ED72A8">
        <w:rPr>
          <w:rFonts w:eastAsia="Times New Roman" w:cs="Arial"/>
          <w:color w:val="000000"/>
          <w:szCs w:val="20"/>
          <w:lang w:val="en-US"/>
        </w:rPr>
        <w:t xml:space="preserve">mg </w:t>
      </w:r>
      <w:r w:rsidRPr="00ED72A8">
        <w:rPr>
          <w:rFonts w:eastAsia="Times New Roman" w:cs="Arial"/>
          <w:color w:val="000000"/>
          <w:szCs w:val="20"/>
          <w:lang w:eastAsia="bg-BG"/>
        </w:rPr>
        <w:t xml:space="preserve">вечер в продължение на една седмица, след което, на интервали от една седмица, дозата трябва да се повишава с 25 </w:t>
      </w:r>
      <w:r w:rsidRPr="00ED72A8">
        <w:rPr>
          <w:rFonts w:eastAsia="Times New Roman" w:cs="Arial"/>
          <w:color w:val="000000"/>
          <w:szCs w:val="20"/>
          <w:lang w:val="en-US"/>
        </w:rPr>
        <w:t xml:space="preserve">mg </w:t>
      </w:r>
      <w:r w:rsidRPr="00ED72A8">
        <w:rPr>
          <w:rFonts w:eastAsia="Times New Roman" w:cs="Arial"/>
          <w:color w:val="000000"/>
          <w:szCs w:val="20"/>
          <w:lang w:eastAsia="bg-BG"/>
        </w:rPr>
        <w:t>дневно. Ако пациентът не понася схемата на дозиране, интервалите между увеличените дози може да се удължат.</w:t>
      </w:r>
    </w:p>
    <w:p w14:paraId="50D259D5" w14:textId="77777777" w:rsidR="00ED72A8" w:rsidRPr="00ED72A8" w:rsidRDefault="00ED72A8" w:rsidP="00ED72A8">
      <w:pPr>
        <w:spacing w:line="240" w:lineRule="auto"/>
        <w:rPr>
          <w:rFonts w:eastAsia="Times New Roman" w:cs="Arial"/>
          <w:color w:val="000000"/>
          <w:szCs w:val="20"/>
          <w:lang w:val="en-US"/>
        </w:rPr>
      </w:pPr>
    </w:p>
    <w:p w14:paraId="00634B65" w14:textId="293AD38C" w:rsidR="00ED72A8" w:rsidRPr="00ED72A8" w:rsidRDefault="00ED72A8" w:rsidP="00ED72A8">
      <w:pPr>
        <w:spacing w:line="240" w:lineRule="auto"/>
        <w:rPr>
          <w:rFonts w:eastAsia="Times New Roman" w:cs="Arial"/>
          <w:color w:val="000000"/>
          <w:szCs w:val="20"/>
          <w:lang w:val="en-US"/>
        </w:rPr>
      </w:pPr>
      <w:r w:rsidRPr="00ED72A8">
        <w:rPr>
          <w:rFonts w:eastAsia="Times New Roman" w:cs="Arial"/>
          <w:color w:val="000000"/>
          <w:szCs w:val="20"/>
          <w:lang w:eastAsia="bg-BG"/>
        </w:rPr>
        <w:t xml:space="preserve">При някои пациенти може да се постигне ефект при обща дневна доза от 50 </w:t>
      </w:r>
      <w:r w:rsidRPr="00ED72A8">
        <w:rPr>
          <w:rFonts w:eastAsia="Times New Roman" w:cs="Arial"/>
          <w:color w:val="000000"/>
          <w:szCs w:val="20"/>
          <w:lang w:val="en-US"/>
        </w:rPr>
        <w:t xml:space="preserve">mg. </w:t>
      </w:r>
      <w:r w:rsidRPr="00ED72A8">
        <w:rPr>
          <w:rFonts w:eastAsia="Times New Roman" w:cs="Arial"/>
          <w:color w:val="000000"/>
          <w:szCs w:val="20"/>
          <w:lang w:eastAsia="bg-BG"/>
        </w:rPr>
        <w:t xml:space="preserve">Досега пациенти са получавали обща дневна доза до 200 </w:t>
      </w:r>
      <w:r w:rsidRPr="00ED72A8">
        <w:rPr>
          <w:rFonts w:eastAsia="Times New Roman" w:cs="Arial"/>
          <w:color w:val="000000"/>
          <w:szCs w:val="20"/>
          <w:lang w:val="en-US"/>
        </w:rPr>
        <w:t xml:space="preserve">mg. </w:t>
      </w:r>
      <w:r w:rsidRPr="00ED72A8">
        <w:rPr>
          <w:rFonts w:eastAsia="Times New Roman" w:cs="Arial"/>
          <w:color w:val="000000"/>
          <w:szCs w:val="20"/>
          <w:lang w:eastAsia="bg-BG"/>
        </w:rPr>
        <w:t>Тази дозировка може да е от полза за някои пациенти, но се препоръчва повишено внимание поради повишената честота на нежеланите реакции.</w:t>
      </w:r>
    </w:p>
    <w:p w14:paraId="2FDAC4D6" w14:textId="77777777" w:rsidR="00ED72A8" w:rsidRPr="00ED72A8" w:rsidRDefault="00ED72A8" w:rsidP="00ED72A8">
      <w:pPr>
        <w:spacing w:line="240" w:lineRule="auto"/>
        <w:rPr>
          <w:rFonts w:eastAsia="Times New Roman" w:cs="Arial"/>
          <w:i/>
          <w:iCs/>
          <w:color w:val="000000"/>
          <w:szCs w:val="20"/>
          <w:lang w:eastAsia="bg-BG"/>
        </w:rPr>
      </w:pPr>
    </w:p>
    <w:p w14:paraId="7C500E0C" w14:textId="467FCCA6" w:rsidR="00ED72A8" w:rsidRPr="00ED72A8" w:rsidRDefault="00ED72A8" w:rsidP="00ED72A8">
      <w:pPr>
        <w:spacing w:line="240" w:lineRule="auto"/>
        <w:rPr>
          <w:rFonts w:eastAsia="Times New Roman" w:cs="Arial"/>
          <w:szCs w:val="20"/>
          <w:lang w:eastAsia="bg-BG"/>
        </w:rPr>
      </w:pPr>
      <w:r w:rsidRPr="00ED72A8">
        <w:rPr>
          <w:rFonts w:eastAsia="Times New Roman" w:cs="Arial"/>
          <w:i/>
          <w:iCs/>
          <w:color w:val="000000"/>
          <w:szCs w:val="20"/>
          <w:lang w:eastAsia="bg-BG"/>
        </w:rPr>
        <w:t>Педиатрична популация</w:t>
      </w:r>
    </w:p>
    <w:p w14:paraId="2C3E46EA" w14:textId="77777777" w:rsidR="00ED72A8" w:rsidRPr="00ED72A8" w:rsidRDefault="00ED72A8" w:rsidP="00ED72A8">
      <w:pPr>
        <w:spacing w:line="240" w:lineRule="auto"/>
        <w:rPr>
          <w:rFonts w:eastAsia="Times New Roman" w:cs="Arial"/>
          <w:color w:val="000000"/>
          <w:szCs w:val="20"/>
          <w:lang w:eastAsia="bg-BG"/>
        </w:rPr>
      </w:pPr>
    </w:p>
    <w:p w14:paraId="2637D095" w14:textId="752BCC01" w:rsidR="00ED72A8" w:rsidRPr="00ED72A8" w:rsidRDefault="00ED72A8" w:rsidP="00ED72A8">
      <w:pPr>
        <w:spacing w:line="240" w:lineRule="auto"/>
        <w:rPr>
          <w:rFonts w:eastAsia="Times New Roman" w:cs="Arial"/>
          <w:szCs w:val="20"/>
          <w:lang w:eastAsia="bg-BG"/>
        </w:rPr>
      </w:pPr>
      <w:r w:rsidRPr="00ED72A8">
        <w:rPr>
          <w:rFonts w:eastAsia="Times New Roman" w:cs="Arial"/>
          <w:color w:val="000000"/>
          <w:szCs w:val="20"/>
          <w:lang w:eastAsia="bg-BG"/>
        </w:rPr>
        <w:t>Не се препоръчва употребата на Топилекс (топирамат) за лечение и профилактика на мигрена при деца поради недостатъчни данни за безопасността и ефикасността.</w:t>
      </w:r>
    </w:p>
    <w:p w14:paraId="45A4DCD6" w14:textId="77777777" w:rsidR="00ED72A8" w:rsidRPr="00ED72A8" w:rsidRDefault="00ED72A8" w:rsidP="00ED72A8">
      <w:pPr>
        <w:spacing w:line="240" w:lineRule="auto"/>
        <w:rPr>
          <w:rFonts w:eastAsia="Times New Roman" w:cs="Arial"/>
          <w:color w:val="000000"/>
          <w:szCs w:val="20"/>
          <w:u w:val="single"/>
          <w:lang w:eastAsia="bg-BG"/>
        </w:rPr>
      </w:pPr>
    </w:p>
    <w:p w14:paraId="4649AD7C" w14:textId="30CD0E28" w:rsidR="00ED72A8" w:rsidRPr="00ED72A8" w:rsidRDefault="00ED72A8" w:rsidP="00ED72A8">
      <w:pPr>
        <w:spacing w:line="240" w:lineRule="auto"/>
        <w:rPr>
          <w:rFonts w:eastAsia="Times New Roman" w:cs="Arial"/>
          <w:szCs w:val="20"/>
          <w:lang w:eastAsia="bg-BG"/>
        </w:rPr>
      </w:pPr>
      <w:r w:rsidRPr="00ED72A8">
        <w:rPr>
          <w:rFonts w:eastAsia="Times New Roman" w:cs="Arial"/>
          <w:color w:val="000000"/>
          <w:szCs w:val="20"/>
          <w:u w:val="single"/>
          <w:lang w:eastAsia="bg-BG"/>
        </w:rPr>
        <w:t>Общи препоръки за дозиране на Топилекс при специални популации пациенти</w:t>
      </w:r>
    </w:p>
    <w:p w14:paraId="2FD40E0D" w14:textId="77777777" w:rsidR="00ED72A8" w:rsidRPr="00ED72A8" w:rsidRDefault="00ED72A8" w:rsidP="00ED72A8">
      <w:pPr>
        <w:spacing w:line="240" w:lineRule="auto"/>
        <w:rPr>
          <w:rFonts w:eastAsia="Times New Roman" w:cs="Arial"/>
          <w:i/>
          <w:iCs/>
          <w:color w:val="000000"/>
          <w:szCs w:val="20"/>
          <w:lang w:eastAsia="bg-BG"/>
        </w:rPr>
      </w:pPr>
    </w:p>
    <w:p w14:paraId="475300EC" w14:textId="004BF801" w:rsidR="0091385D" w:rsidRPr="00ED72A8" w:rsidRDefault="00ED72A8" w:rsidP="00ED72A8">
      <w:pPr>
        <w:spacing w:line="240" w:lineRule="auto"/>
        <w:rPr>
          <w:rFonts w:eastAsia="Times New Roman" w:cs="Arial"/>
          <w:i/>
          <w:iCs/>
          <w:color w:val="000000"/>
          <w:szCs w:val="20"/>
          <w:lang w:eastAsia="bg-BG"/>
        </w:rPr>
      </w:pPr>
      <w:r w:rsidRPr="00ED72A8">
        <w:rPr>
          <w:rFonts w:eastAsia="Times New Roman" w:cs="Arial"/>
          <w:i/>
          <w:iCs/>
          <w:color w:val="000000"/>
          <w:szCs w:val="20"/>
          <w:lang w:eastAsia="bg-BG"/>
        </w:rPr>
        <w:t>Пациенти с бъбречно увреждане</w:t>
      </w:r>
    </w:p>
    <w:p w14:paraId="7D75F116" w14:textId="30AED813" w:rsidR="00ED72A8" w:rsidRPr="00ED72A8" w:rsidRDefault="00ED72A8" w:rsidP="00ED72A8">
      <w:pPr>
        <w:spacing w:line="240" w:lineRule="auto"/>
        <w:rPr>
          <w:rFonts w:eastAsia="Times New Roman" w:cs="Arial"/>
          <w:i/>
          <w:iCs/>
          <w:color w:val="000000"/>
          <w:szCs w:val="20"/>
          <w:lang w:eastAsia="bg-BG"/>
        </w:rPr>
      </w:pPr>
    </w:p>
    <w:p w14:paraId="7B9F16C0" w14:textId="77777777" w:rsidR="00ED72A8" w:rsidRPr="00ED72A8" w:rsidRDefault="00ED72A8" w:rsidP="00ED72A8">
      <w:pPr>
        <w:spacing w:line="240" w:lineRule="auto"/>
        <w:rPr>
          <w:rFonts w:eastAsia="Times New Roman" w:cs="Arial"/>
          <w:szCs w:val="20"/>
          <w:lang w:eastAsia="bg-BG"/>
        </w:rPr>
      </w:pPr>
      <w:r w:rsidRPr="00ED72A8">
        <w:rPr>
          <w:rFonts w:eastAsia="Times New Roman" w:cs="Arial"/>
          <w:color w:val="000000"/>
          <w:szCs w:val="20"/>
          <w:lang w:eastAsia="bg-BG"/>
        </w:rPr>
        <w:t xml:space="preserve">Топилекс трябва да се прилага внимателно при пациенти с увредена бъбречна функция </w:t>
      </w:r>
      <w:r w:rsidRPr="00ED72A8">
        <w:rPr>
          <w:rFonts w:eastAsia="Times New Roman" w:cs="Arial"/>
          <w:color w:val="000000"/>
          <w:szCs w:val="20"/>
          <w:lang w:val="en-US"/>
        </w:rPr>
        <w:t>(CLCR</w:t>
      </w:r>
      <w:r w:rsidRPr="00ED72A8">
        <w:rPr>
          <w:rFonts w:eastAsia="Times New Roman" w:cs="Arial"/>
          <w:color w:val="000000"/>
          <w:szCs w:val="20"/>
          <w:lang w:eastAsia="bg-BG"/>
        </w:rPr>
        <w:t xml:space="preserve"> ≤ </w:t>
      </w:r>
      <w:r w:rsidRPr="00ED72A8">
        <w:rPr>
          <w:rFonts w:eastAsia="Times New Roman" w:cs="Arial"/>
          <w:color w:val="000000"/>
          <w:szCs w:val="20"/>
          <w:lang w:val="en-US"/>
        </w:rPr>
        <w:t xml:space="preserve">70 mL/min), </w:t>
      </w:r>
      <w:r w:rsidRPr="00ED72A8">
        <w:rPr>
          <w:rFonts w:eastAsia="Times New Roman" w:cs="Arial"/>
          <w:color w:val="000000"/>
          <w:szCs w:val="20"/>
          <w:lang w:eastAsia="bg-BG"/>
        </w:rPr>
        <w:t xml:space="preserve">тъй като плазменият и бъбречният клирънс на Топилекс е намален. При индивиди с известно бъбречно увреждане може да е необходимо повече време за достигане на стационарни плазмени концентрации за всяка доза. </w:t>
      </w:r>
      <w:r w:rsidRPr="00ED72A8">
        <w:rPr>
          <w:rFonts w:eastAsia="Times New Roman" w:cs="Arial"/>
          <w:color w:val="000000"/>
          <w:szCs w:val="20"/>
          <w:u w:val="single"/>
          <w:lang w:eastAsia="bg-BG"/>
        </w:rPr>
        <w:t>Препоръчва се половината от обичайната поддържаща доза (вж. точка 5.2)</w:t>
      </w:r>
    </w:p>
    <w:p w14:paraId="2138AC81" w14:textId="77777777" w:rsidR="00ED72A8" w:rsidRPr="00ED72A8" w:rsidRDefault="00ED72A8" w:rsidP="00ED72A8">
      <w:pPr>
        <w:spacing w:line="240" w:lineRule="auto"/>
        <w:rPr>
          <w:rFonts w:eastAsia="Times New Roman" w:cs="Arial"/>
          <w:szCs w:val="20"/>
          <w:lang w:eastAsia="bg-BG"/>
        </w:rPr>
      </w:pPr>
      <w:r w:rsidRPr="00ED72A8">
        <w:rPr>
          <w:rFonts w:eastAsia="Times New Roman" w:cs="Arial"/>
          <w:color w:val="000000"/>
          <w:szCs w:val="20"/>
          <w:lang w:eastAsia="bg-BG"/>
        </w:rPr>
        <w:t>Тъй като топирамат се отстранява от плазмата чрез хемодиализа, при пациенти в последен стадий на бъбречна недостатъчност, трябва да се прилага допълнителна доза Топилекс, приблизително равна на половината дневна доза в деня на хемодиализата. Допълнителната доза се прилага в два отделни приема в началото и след края на хемодиализната процедура.</w:t>
      </w:r>
    </w:p>
    <w:p w14:paraId="163E81F2" w14:textId="77777777" w:rsidR="00ED72A8" w:rsidRPr="00ED72A8" w:rsidRDefault="00ED72A8" w:rsidP="00ED72A8">
      <w:pPr>
        <w:spacing w:line="240" w:lineRule="auto"/>
        <w:rPr>
          <w:rFonts w:eastAsia="Times New Roman" w:cs="Arial"/>
          <w:szCs w:val="20"/>
          <w:lang w:eastAsia="bg-BG"/>
        </w:rPr>
      </w:pPr>
      <w:r w:rsidRPr="00ED72A8">
        <w:rPr>
          <w:rFonts w:eastAsia="Times New Roman" w:cs="Arial"/>
          <w:color w:val="000000"/>
          <w:szCs w:val="20"/>
          <w:lang w:eastAsia="bg-BG"/>
        </w:rPr>
        <w:t xml:space="preserve">Допълнителната доза може да бъде различна в зависимост от характеристиките на използваното диализно оборудване </w:t>
      </w:r>
      <w:r w:rsidRPr="00ED72A8">
        <w:rPr>
          <w:rFonts w:eastAsia="Times New Roman" w:cs="Arial"/>
          <w:color w:val="000000"/>
          <w:szCs w:val="20"/>
          <w:u w:val="single"/>
          <w:lang w:eastAsia="bg-BG"/>
        </w:rPr>
        <w:t>(вж. точка 5.2)</w:t>
      </w:r>
      <w:r w:rsidRPr="00ED72A8">
        <w:rPr>
          <w:rFonts w:eastAsia="Times New Roman" w:cs="Arial"/>
          <w:color w:val="000000"/>
          <w:szCs w:val="20"/>
          <w:lang w:eastAsia="bg-BG"/>
        </w:rPr>
        <w:t>.</w:t>
      </w:r>
    </w:p>
    <w:p w14:paraId="7C1D1C4C" w14:textId="77777777" w:rsidR="00ED72A8" w:rsidRPr="00ED72A8" w:rsidRDefault="00ED72A8" w:rsidP="00ED72A8">
      <w:pPr>
        <w:spacing w:line="240" w:lineRule="auto"/>
        <w:rPr>
          <w:rFonts w:eastAsia="Times New Roman" w:cs="Arial"/>
          <w:i/>
          <w:iCs/>
          <w:color w:val="000000"/>
          <w:szCs w:val="20"/>
          <w:lang w:eastAsia="bg-BG"/>
        </w:rPr>
      </w:pPr>
    </w:p>
    <w:p w14:paraId="770BD36A" w14:textId="61545A67" w:rsidR="00ED72A8" w:rsidRPr="00ED72A8" w:rsidRDefault="00ED72A8" w:rsidP="00ED72A8">
      <w:pPr>
        <w:spacing w:line="240" w:lineRule="auto"/>
        <w:rPr>
          <w:rFonts w:eastAsia="Times New Roman" w:cs="Arial"/>
          <w:szCs w:val="20"/>
          <w:lang w:eastAsia="bg-BG"/>
        </w:rPr>
      </w:pPr>
      <w:r w:rsidRPr="00ED72A8">
        <w:rPr>
          <w:rFonts w:eastAsia="Times New Roman" w:cs="Arial"/>
          <w:i/>
          <w:iCs/>
          <w:color w:val="000000"/>
          <w:szCs w:val="20"/>
          <w:lang w:eastAsia="bg-BG"/>
        </w:rPr>
        <w:t>Пациенти с чернодробно увреждане</w:t>
      </w:r>
    </w:p>
    <w:p w14:paraId="1BBA73AF" w14:textId="77777777" w:rsidR="00ED72A8" w:rsidRPr="00ED72A8" w:rsidRDefault="00ED72A8" w:rsidP="00ED72A8">
      <w:pPr>
        <w:spacing w:line="240" w:lineRule="auto"/>
        <w:rPr>
          <w:rFonts w:eastAsia="Times New Roman" w:cs="Arial"/>
          <w:szCs w:val="20"/>
          <w:lang w:eastAsia="bg-BG"/>
        </w:rPr>
      </w:pPr>
      <w:r w:rsidRPr="00ED72A8">
        <w:rPr>
          <w:rFonts w:eastAsia="Times New Roman" w:cs="Arial"/>
          <w:color w:val="000000"/>
          <w:szCs w:val="20"/>
          <w:lang w:eastAsia="bg-BG"/>
        </w:rPr>
        <w:t>При пациенти с умерено до тежко чернодробно увреждане топирамат трябва да се прилага с внимание, поради понижаване на неговия клирънс.</w:t>
      </w:r>
    </w:p>
    <w:p w14:paraId="659FF78D" w14:textId="77777777" w:rsidR="00ED72A8" w:rsidRPr="00ED72A8" w:rsidRDefault="00ED72A8" w:rsidP="00ED72A8">
      <w:pPr>
        <w:spacing w:line="240" w:lineRule="auto"/>
        <w:rPr>
          <w:rFonts w:eastAsia="Times New Roman" w:cs="Arial"/>
          <w:i/>
          <w:iCs/>
          <w:color w:val="000000"/>
          <w:szCs w:val="20"/>
          <w:lang w:eastAsia="bg-BG"/>
        </w:rPr>
      </w:pPr>
    </w:p>
    <w:p w14:paraId="5AF4C2E2" w14:textId="03D38B9F" w:rsidR="00ED72A8" w:rsidRPr="00ED72A8" w:rsidRDefault="00ED72A8" w:rsidP="00ED72A8">
      <w:pPr>
        <w:spacing w:line="240" w:lineRule="auto"/>
        <w:rPr>
          <w:rFonts w:eastAsia="Times New Roman" w:cs="Arial"/>
          <w:szCs w:val="20"/>
          <w:lang w:eastAsia="bg-BG"/>
        </w:rPr>
      </w:pPr>
      <w:r w:rsidRPr="00ED72A8">
        <w:rPr>
          <w:rFonts w:eastAsia="Times New Roman" w:cs="Arial"/>
          <w:i/>
          <w:iCs/>
          <w:color w:val="000000"/>
          <w:szCs w:val="20"/>
          <w:lang w:eastAsia="bg-BG"/>
        </w:rPr>
        <w:t>Пациенти в старческа възраст</w:t>
      </w:r>
    </w:p>
    <w:p w14:paraId="2FAE6933" w14:textId="77777777" w:rsidR="00ED72A8" w:rsidRPr="00ED72A8" w:rsidRDefault="00ED72A8" w:rsidP="00ED72A8">
      <w:pPr>
        <w:spacing w:line="240" w:lineRule="auto"/>
        <w:rPr>
          <w:rFonts w:eastAsia="Times New Roman" w:cs="Arial"/>
          <w:color w:val="000000"/>
          <w:szCs w:val="20"/>
          <w:lang w:eastAsia="bg-BG"/>
        </w:rPr>
      </w:pPr>
    </w:p>
    <w:p w14:paraId="7AE54EC9" w14:textId="44E8BD2E" w:rsidR="00ED72A8" w:rsidRPr="00ED72A8" w:rsidRDefault="00ED72A8" w:rsidP="00ED72A8">
      <w:pPr>
        <w:spacing w:line="240" w:lineRule="auto"/>
        <w:rPr>
          <w:rFonts w:eastAsia="Times New Roman" w:cs="Arial"/>
          <w:szCs w:val="20"/>
          <w:lang w:eastAsia="bg-BG"/>
        </w:rPr>
      </w:pPr>
      <w:r w:rsidRPr="00ED72A8">
        <w:rPr>
          <w:rFonts w:eastAsia="Times New Roman" w:cs="Arial"/>
          <w:color w:val="000000"/>
          <w:szCs w:val="20"/>
          <w:lang w:eastAsia="bg-BG"/>
        </w:rPr>
        <w:t>Не се изисква адаптиране на дозата при пациенти в старческиа възраст с нормална бъбречна функция.</w:t>
      </w:r>
    </w:p>
    <w:p w14:paraId="05770D2E" w14:textId="77777777" w:rsidR="00ED72A8" w:rsidRPr="00ED72A8" w:rsidRDefault="00ED72A8" w:rsidP="00ED72A8">
      <w:pPr>
        <w:spacing w:line="240" w:lineRule="auto"/>
        <w:rPr>
          <w:rFonts w:eastAsia="Times New Roman" w:cs="Arial"/>
          <w:color w:val="000000"/>
          <w:szCs w:val="20"/>
          <w:lang w:eastAsia="bg-BG"/>
        </w:rPr>
      </w:pPr>
    </w:p>
    <w:p w14:paraId="4A0C6A6F" w14:textId="51069B0C" w:rsidR="00ED72A8" w:rsidRPr="00ED72A8" w:rsidRDefault="00ED72A8" w:rsidP="00ED72A8">
      <w:pPr>
        <w:pStyle w:val="Heading3"/>
        <w:rPr>
          <w:rFonts w:eastAsia="Times New Roman"/>
          <w:u w:val="single"/>
          <w:lang w:eastAsia="bg-BG"/>
        </w:rPr>
      </w:pPr>
      <w:r w:rsidRPr="00ED72A8">
        <w:rPr>
          <w:rFonts w:eastAsia="Times New Roman"/>
          <w:u w:val="single"/>
          <w:lang w:eastAsia="bg-BG"/>
        </w:rPr>
        <w:lastRenderedPageBreak/>
        <w:t>Начин на приложение</w:t>
      </w:r>
    </w:p>
    <w:p w14:paraId="4407386A" w14:textId="77777777" w:rsidR="00ED72A8" w:rsidRPr="00ED72A8" w:rsidRDefault="00ED72A8" w:rsidP="00ED72A8">
      <w:pPr>
        <w:spacing w:line="240" w:lineRule="auto"/>
        <w:rPr>
          <w:rFonts w:eastAsia="Times New Roman" w:cs="Arial"/>
          <w:color w:val="000000"/>
          <w:szCs w:val="20"/>
          <w:lang w:eastAsia="bg-BG"/>
        </w:rPr>
      </w:pPr>
    </w:p>
    <w:p w14:paraId="595BF013" w14:textId="7D7D1E7A" w:rsidR="00ED72A8" w:rsidRPr="00ED72A8" w:rsidRDefault="00ED72A8" w:rsidP="00ED72A8">
      <w:pPr>
        <w:spacing w:line="240" w:lineRule="auto"/>
        <w:rPr>
          <w:rFonts w:eastAsia="Times New Roman" w:cs="Arial"/>
          <w:szCs w:val="20"/>
          <w:lang w:eastAsia="bg-BG"/>
        </w:rPr>
      </w:pPr>
      <w:r w:rsidRPr="00ED72A8">
        <w:rPr>
          <w:rFonts w:eastAsia="Times New Roman" w:cs="Arial"/>
          <w:color w:val="000000"/>
          <w:szCs w:val="20"/>
          <w:lang w:eastAsia="bg-BG"/>
        </w:rPr>
        <w:t>Топилекс е наличен като филмирани таблетки. Препоръчва се филмираните таблетки да не се разчупват.</w:t>
      </w:r>
    </w:p>
    <w:p w14:paraId="3B5315EE" w14:textId="77777777" w:rsidR="00ED72A8" w:rsidRPr="00ED72A8" w:rsidRDefault="00ED72A8" w:rsidP="00ED72A8">
      <w:pPr>
        <w:spacing w:line="240" w:lineRule="auto"/>
        <w:rPr>
          <w:rFonts w:eastAsia="Times New Roman" w:cs="Arial"/>
          <w:color w:val="000000"/>
          <w:szCs w:val="20"/>
          <w:lang w:eastAsia="bg-BG"/>
        </w:rPr>
      </w:pPr>
    </w:p>
    <w:p w14:paraId="3EA4152A" w14:textId="43414DD1" w:rsidR="00ED72A8" w:rsidRPr="00ED72A8" w:rsidRDefault="00ED72A8" w:rsidP="00ED72A8">
      <w:pPr>
        <w:spacing w:line="240" w:lineRule="auto"/>
        <w:rPr>
          <w:rFonts w:eastAsia="Times New Roman" w:cs="Arial"/>
          <w:szCs w:val="20"/>
          <w:lang w:eastAsia="bg-BG"/>
        </w:rPr>
      </w:pPr>
      <w:r w:rsidRPr="00ED72A8">
        <w:rPr>
          <w:rFonts w:eastAsia="Times New Roman" w:cs="Arial"/>
          <w:color w:val="000000"/>
          <w:szCs w:val="20"/>
          <w:lang w:eastAsia="bg-BG"/>
        </w:rPr>
        <w:t>Топилекс може да се приема със или без храна.</w:t>
      </w:r>
    </w:p>
    <w:p w14:paraId="6ACAF645" w14:textId="77777777" w:rsidR="0091385D" w:rsidRPr="0091385D" w:rsidRDefault="0091385D" w:rsidP="0091385D"/>
    <w:p w14:paraId="28C984E8" w14:textId="0756AE28" w:rsidR="008134C8" w:rsidRDefault="002C50EE" w:rsidP="004A448E">
      <w:pPr>
        <w:pStyle w:val="Heading2"/>
      </w:pPr>
      <w:r>
        <w:t>4.3. Противопоказания</w:t>
      </w:r>
    </w:p>
    <w:p w14:paraId="2363D607" w14:textId="48168570" w:rsidR="0091385D" w:rsidRDefault="0091385D" w:rsidP="0091385D"/>
    <w:p w14:paraId="0EAEEE49" w14:textId="77777777"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Свръхчувствителност към активното вещество или към някое от помощните вещества, изброени в точка 6.1.</w:t>
      </w:r>
    </w:p>
    <w:p w14:paraId="464AE681" w14:textId="77777777" w:rsidR="00ED72A8" w:rsidRPr="00ED72A8" w:rsidRDefault="00ED72A8" w:rsidP="00ED72A8">
      <w:pPr>
        <w:rPr>
          <w:rFonts w:eastAsia="Times New Roman" w:cs="Arial"/>
          <w:color w:val="000000"/>
          <w:szCs w:val="20"/>
          <w:lang w:eastAsia="bg-BG"/>
        </w:rPr>
      </w:pPr>
    </w:p>
    <w:p w14:paraId="2309EAB0" w14:textId="3274CF8B" w:rsidR="0091385D" w:rsidRPr="00ED72A8" w:rsidRDefault="00ED72A8" w:rsidP="00ED72A8">
      <w:pPr>
        <w:rPr>
          <w:rFonts w:cs="Arial"/>
          <w:sz w:val="24"/>
        </w:rPr>
      </w:pPr>
      <w:r w:rsidRPr="00ED72A8">
        <w:rPr>
          <w:rFonts w:eastAsia="Times New Roman" w:cs="Arial"/>
          <w:color w:val="000000"/>
          <w:szCs w:val="20"/>
          <w:lang w:eastAsia="bg-BG"/>
        </w:rPr>
        <w:t>Профилактика на мигрена по време на бременност и при жени с детероден потенциал, ако не използват ефективни методи за контрацепция.</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0A08B607" w:rsidR="0091385D" w:rsidRDefault="0091385D" w:rsidP="0091385D"/>
    <w:p w14:paraId="782851A2" w14:textId="77777777"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В случаи, при които се налага рязко прекратяване на лечението с топирамат по медицински показания, се препоръчва съответно наблюдение (вж. точка 4.2 за повече информация).</w:t>
      </w:r>
    </w:p>
    <w:p w14:paraId="3ABD0DE0" w14:textId="77777777" w:rsidR="00ED72A8" w:rsidRPr="00ED72A8" w:rsidRDefault="00ED72A8" w:rsidP="00ED72A8">
      <w:pPr>
        <w:spacing w:line="240" w:lineRule="auto"/>
        <w:rPr>
          <w:rFonts w:eastAsia="Times New Roman" w:cs="Arial"/>
          <w:color w:val="000000"/>
          <w:szCs w:val="20"/>
          <w:lang w:eastAsia="bg-BG"/>
        </w:rPr>
      </w:pPr>
    </w:p>
    <w:p w14:paraId="3DD0B63A" w14:textId="3C2A3842"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Както и при други антиепилептични лекарства, някои пациенти могат да получават по-често припадъци, или да се появят нов вид припадъци с топирамат. Този феномен може да е последица от предозиране, понижаване плазмените концентрации при едновременна употреба на антиепилептици, прогресиране на заболяването или на парадоксален ефект.</w:t>
      </w:r>
    </w:p>
    <w:p w14:paraId="22268E34" w14:textId="77777777" w:rsidR="00ED72A8" w:rsidRPr="00ED72A8" w:rsidRDefault="00ED72A8" w:rsidP="00ED72A8">
      <w:pPr>
        <w:spacing w:line="240" w:lineRule="auto"/>
        <w:rPr>
          <w:rFonts w:eastAsia="Times New Roman" w:cs="Arial"/>
          <w:color w:val="000000"/>
          <w:szCs w:val="20"/>
          <w:lang w:eastAsia="bg-BG"/>
        </w:rPr>
      </w:pPr>
    </w:p>
    <w:p w14:paraId="0AEBAB03" w14:textId="197E6CF4"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Адекватната хидратация по време на употребата на топирамат е много важна. Хидратацията може да намали риска от нефролитиаза (вж. по-долу). Подходящата хидратация преди и по време на дейности като физически усилия или излагане на високи температури може да намали риска от свързани с топлината нежелани реакции (вж. точка 4,8).</w:t>
      </w:r>
    </w:p>
    <w:p w14:paraId="73A1992E" w14:textId="77777777" w:rsidR="00ED72A8" w:rsidRPr="00ED72A8" w:rsidRDefault="00ED72A8" w:rsidP="00ED72A8">
      <w:pPr>
        <w:spacing w:line="240" w:lineRule="auto"/>
        <w:rPr>
          <w:rFonts w:eastAsia="Times New Roman" w:cs="Arial"/>
          <w:color w:val="000000"/>
          <w:szCs w:val="20"/>
          <w:u w:val="single"/>
          <w:lang w:eastAsia="bg-BG"/>
        </w:rPr>
      </w:pPr>
    </w:p>
    <w:p w14:paraId="0E0C40B3" w14:textId="1965DB7A"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u w:val="single"/>
          <w:lang w:eastAsia="bg-BG"/>
        </w:rPr>
        <w:t>Олигохидроза</w:t>
      </w:r>
    </w:p>
    <w:p w14:paraId="6C1FC217" w14:textId="77777777" w:rsidR="00ED72A8" w:rsidRPr="00ED72A8" w:rsidRDefault="00ED72A8" w:rsidP="00ED72A8">
      <w:pPr>
        <w:spacing w:line="240" w:lineRule="auto"/>
        <w:rPr>
          <w:rFonts w:eastAsia="Times New Roman" w:cs="Arial"/>
          <w:color w:val="000000"/>
          <w:szCs w:val="20"/>
          <w:lang w:eastAsia="bg-BG"/>
        </w:rPr>
      </w:pPr>
    </w:p>
    <w:p w14:paraId="0B3BEE35" w14:textId="04B00FBC" w:rsidR="0091385D"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Има съобщения за олигохидроза (намалено потене) във връзка с употребата на топирамат</w:t>
      </w:r>
      <w:r>
        <w:rPr>
          <w:rFonts w:eastAsia="Times New Roman" w:cs="Arial"/>
          <w:color w:val="000000"/>
          <w:szCs w:val="20"/>
          <w:lang w:eastAsia="bg-BG"/>
        </w:rPr>
        <w:t>.</w:t>
      </w:r>
      <w:r>
        <w:rPr>
          <w:rFonts w:eastAsia="Times New Roman" w:cs="Arial"/>
          <w:sz w:val="28"/>
          <w:szCs w:val="24"/>
          <w:lang w:eastAsia="bg-BG"/>
        </w:rPr>
        <w:t xml:space="preserve"> </w:t>
      </w:r>
      <w:r w:rsidRPr="00ED72A8">
        <w:rPr>
          <w:rFonts w:eastAsia="Times New Roman" w:cs="Arial"/>
          <w:color w:val="000000"/>
          <w:szCs w:val="20"/>
          <w:lang w:eastAsia="bg-BG"/>
        </w:rPr>
        <w:t>Намаленото потене и хипертермия (повишаване на телесната температура) биха могли да възникнат особено при малки деца изложени на висока температура на околната среда.</w:t>
      </w:r>
    </w:p>
    <w:p w14:paraId="402D2290" w14:textId="1E93BB32" w:rsidR="00ED72A8" w:rsidRPr="00ED72A8" w:rsidRDefault="00ED72A8" w:rsidP="00ED72A8">
      <w:pPr>
        <w:rPr>
          <w:rFonts w:eastAsia="Times New Roman" w:cs="Arial"/>
          <w:color w:val="000000"/>
          <w:szCs w:val="20"/>
          <w:lang w:eastAsia="bg-BG"/>
        </w:rPr>
      </w:pPr>
    </w:p>
    <w:p w14:paraId="12F9709C" w14:textId="77777777" w:rsidR="00ED72A8" w:rsidRPr="00ED72A8" w:rsidRDefault="00ED72A8" w:rsidP="00ED72A8">
      <w:pPr>
        <w:spacing w:line="240" w:lineRule="auto"/>
        <w:rPr>
          <w:rFonts w:eastAsia="Times New Roman" w:cs="Arial"/>
          <w:color w:val="000000"/>
          <w:szCs w:val="20"/>
          <w:u w:val="single"/>
          <w:lang w:eastAsia="bg-BG"/>
        </w:rPr>
      </w:pPr>
    </w:p>
    <w:p w14:paraId="3C350889" w14:textId="45741FEC"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u w:val="single"/>
          <w:lang w:eastAsia="bg-BG"/>
        </w:rPr>
        <w:t>Промяна в настроението/депресия</w:t>
      </w:r>
    </w:p>
    <w:p w14:paraId="734C4DD5" w14:textId="77777777" w:rsidR="00ED72A8" w:rsidRPr="00ED72A8" w:rsidRDefault="00ED72A8" w:rsidP="00ED72A8">
      <w:pPr>
        <w:spacing w:line="240" w:lineRule="auto"/>
        <w:rPr>
          <w:rFonts w:eastAsia="Times New Roman" w:cs="Arial"/>
          <w:color w:val="000000"/>
          <w:szCs w:val="20"/>
          <w:lang w:eastAsia="bg-BG"/>
        </w:rPr>
      </w:pPr>
    </w:p>
    <w:p w14:paraId="5995487C" w14:textId="0661DC47"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По време на лечението с топирамат се наблюдават по-чести промени в настроението и депресия.</w:t>
      </w:r>
    </w:p>
    <w:p w14:paraId="70A2A1B5" w14:textId="77777777" w:rsidR="00ED72A8" w:rsidRPr="00ED72A8" w:rsidRDefault="00ED72A8" w:rsidP="00ED72A8">
      <w:pPr>
        <w:spacing w:line="240" w:lineRule="auto"/>
        <w:rPr>
          <w:rFonts w:eastAsia="Times New Roman" w:cs="Arial"/>
          <w:color w:val="000000"/>
          <w:szCs w:val="20"/>
          <w:u w:val="single"/>
          <w:lang w:eastAsia="bg-BG"/>
        </w:rPr>
      </w:pPr>
    </w:p>
    <w:p w14:paraId="4F0A9948" w14:textId="5152CD81"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u w:val="single"/>
          <w:lang w:eastAsia="bg-BG"/>
        </w:rPr>
        <w:t>Самоубийство/суицидна идеация</w:t>
      </w:r>
    </w:p>
    <w:p w14:paraId="08A5061A" w14:textId="77777777" w:rsidR="00ED72A8" w:rsidRPr="00ED72A8" w:rsidRDefault="00ED72A8" w:rsidP="00ED72A8">
      <w:pPr>
        <w:spacing w:line="240" w:lineRule="auto"/>
        <w:rPr>
          <w:rFonts w:eastAsia="Times New Roman" w:cs="Arial"/>
          <w:color w:val="000000"/>
          <w:szCs w:val="20"/>
          <w:lang w:eastAsia="bg-BG"/>
        </w:rPr>
      </w:pPr>
    </w:p>
    <w:p w14:paraId="64A74FFF" w14:textId="2A228069"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lastRenderedPageBreak/>
        <w:t xml:space="preserve">При пациенти, лекувани с антиепилептични лекарствени продукти по различни показания са съобщавани суицидна идеация и поведение. Метаанализ на рандомизирани, плацебо- </w:t>
      </w:r>
      <w:r w:rsidRPr="00ED72A8">
        <w:rPr>
          <w:rFonts w:eastAsia="Times New Roman" w:cs="Arial"/>
          <w:i/>
          <w:iCs/>
          <w:color w:val="000000"/>
          <w:szCs w:val="20"/>
          <w:lang w:eastAsia="bg-BG"/>
        </w:rPr>
        <w:t>контролирани</w:t>
      </w:r>
      <w:r w:rsidRPr="00ED72A8">
        <w:rPr>
          <w:rFonts w:eastAsia="Times New Roman" w:cs="Arial"/>
          <w:color w:val="000000"/>
          <w:szCs w:val="20"/>
          <w:lang w:eastAsia="bg-BG"/>
        </w:rPr>
        <w:t xml:space="preserve"> изпитвания на антиепилептични лекарствени продукти също показва малък, но повишен риск от суицидна идеация и поведение. Механизмьт на този риск не е ясен и наличните данни </w:t>
      </w:r>
      <w:r w:rsidRPr="00ED72A8">
        <w:rPr>
          <w:rFonts w:eastAsia="Times New Roman" w:cs="Arial"/>
          <w:i/>
          <w:iCs/>
          <w:color w:val="000000"/>
          <w:szCs w:val="20"/>
          <w:lang w:eastAsia="bg-BG"/>
        </w:rPr>
        <w:t>не изключват</w:t>
      </w:r>
      <w:r w:rsidRPr="00ED72A8">
        <w:rPr>
          <w:rFonts w:eastAsia="Times New Roman" w:cs="Arial"/>
          <w:color w:val="000000"/>
          <w:szCs w:val="20"/>
          <w:lang w:eastAsia="bg-BG"/>
        </w:rPr>
        <w:t xml:space="preserve"> възможността за повишен риск при топирамат.</w:t>
      </w:r>
    </w:p>
    <w:p w14:paraId="01622AEB" w14:textId="77777777" w:rsidR="00ED72A8" w:rsidRPr="00ED72A8" w:rsidRDefault="00ED72A8" w:rsidP="00ED72A8">
      <w:pPr>
        <w:spacing w:line="240" w:lineRule="auto"/>
        <w:rPr>
          <w:rFonts w:eastAsia="Times New Roman" w:cs="Arial"/>
          <w:color w:val="000000"/>
          <w:szCs w:val="20"/>
          <w:lang w:eastAsia="bg-BG"/>
        </w:rPr>
      </w:pPr>
    </w:p>
    <w:p w14:paraId="01B4D89C" w14:textId="3DE7D1A3"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При двойно слепи клинични изпитвания събитията, свързани със самоубийство (суицидна идеация, опити за самоубийство и самоубийство) възникват с честота 0,5% от лекуваните с топирамат пациенти (46 от общо 8652 лекувани пациенти) и почти 3 пъти по-висока честота при тези лекуваните с плацебо (0,2%; 8 от общо 4045 лекувани пациенти).</w:t>
      </w:r>
    </w:p>
    <w:p w14:paraId="7B414B34" w14:textId="77777777" w:rsidR="00ED72A8" w:rsidRPr="00ED72A8" w:rsidRDefault="00ED72A8" w:rsidP="00ED72A8">
      <w:pPr>
        <w:spacing w:line="240" w:lineRule="auto"/>
        <w:rPr>
          <w:rFonts w:eastAsia="Times New Roman" w:cs="Arial"/>
          <w:color w:val="000000"/>
          <w:szCs w:val="20"/>
          <w:lang w:eastAsia="bg-BG"/>
        </w:rPr>
      </w:pPr>
    </w:p>
    <w:p w14:paraId="11E68C87" w14:textId="2E151E89"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Затова пациентите трябва да бъдат проследявани за признаци на суицидна идеация и поведение и да се предприеме съответното лечение. На пациентите (и хората, които се грижат за тях) трябва да се обърне внимание да потърсят лекарски съвет, в случай че се появят признаци на суицидна идеация и поведение.</w:t>
      </w:r>
    </w:p>
    <w:p w14:paraId="7645094B" w14:textId="77777777" w:rsidR="00ED72A8" w:rsidRPr="00ED72A8" w:rsidRDefault="00ED72A8" w:rsidP="00ED72A8">
      <w:pPr>
        <w:spacing w:line="240" w:lineRule="auto"/>
        <w:rPr>
          <w:rFonts w:eastAsia="Times New Roman" w:cs="Arial"/>
          <w:color w:val="000000"/>
          <w:szCs w:val="20"/>
          <w:u w:val="single"/>
          <w:lang w:eastAsia="bg-BG"/>
        </w:rPr>
      </w:pPr>
    </w:p>
    <w:p w14:paraId="54A9BED5" w14:textId="12EF02A4"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u w:val="single"/>
          <w:lang w:eastAsia="bg-BG"/>
        </w:rPr>
        <w:t>Нефролитиаза</w:t>
      </w:r>
    </w:p>
    <w:p w14:paraId="157D36D8" w14:textId="77777777" w:rsidR="00ED72A8" w:rsidRPr="00ED72A8" w:rsidRDefault="00ED72A8" w:rsidP="00ED72A8">
      <w:pPr>
        <w:spacing w:line="240" w:lineRule="auto"/>
        <w:rPr>
          <w:rFonts w:eastAsia="Times New Roman" w:cs="Arial"/>
          <w:color w:val="000000"/>
          <w:szCs w:val="20"/>
          <w:lang w:eastAsia="bg-BG"/>
        </w:rPr>
      </w:pPr>
    </w:p>
    <w:p w14:paraId="0F0ACD2B" w14:textId="51827988"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При някои пациенти, особено ако са предразположени към нефролитиаза, се наблюдава повишен риск от образуване на бъбречни камъни и свързаните с това признаци и симптоми като бъбречна колика, бъбречна болка или болка в слабините.</w:t>
      </w:r>
    </w:p>
    <w:p w14:paraId="2D6A1CD5" w14:textId="77777777" w:rsidR="00ED72A8" w:rsidRPr="00ED72A8" w:rsidRDefault="00ED72A8" w:rsidP="00ED72A8">
      <w:pPr>
        <w:spacing w:line="240" w:lineRule="auto"/>
        <w:rPr>
          <w:rFonts w:eastAsia="Times New Roman" w:cs="Arial"/>
          <w:color w:val="000000"/>
          <w:szCs w:val="20"/>
          <w:lang w:eastAsia="bg-BG"/>
        </w:rPr>
      </w:pPr>
    </w:p>
    <w:p w14:paraId="2C6DB1A8" w14:textId="0F28DB1A"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Рисковите фактори за нефролитиаза са анамнестични данни за предшестващо образуване на камъни, фамилна анамнеза за нефролитиаза и хиперкалциурия. Нито един от тези фактори не може да бъде надежден прогностичен белег за образуване на бъбречни камъни при лечение с топирамат. Освен това, с повишен риск може да са и пациенти, лекувани с други лекарствени продукти, които биха могли да доведат до нефролитиаза.</w:t>
      </w:r>
    </w:p>
    <w:p w14:paraId="43F357B8" w14:textId="77777777" w:rsidR="00ED72A8" w:rsidRPr="00ED72A8" w:rsidRDefault="00ED72A8" w:rsidP="00ED72A8">
      <w:pPr>
        <w:spacing w:line="240" w:lineRule="auto"/>
        <w:rPr>
          <w:rFonts w:eastAsia="Times New Roman" w:cs="Arial"/>
          <w:color w:val="000000"/>
          <w:szCs w:val="20"/>
          <w:u w:val="single"/>
          <w:lang w:eastAsia="bg-BG"/>
        </w:rPr>
      </w:pPr>
    </w:p>
    <w:p w14:paraId="07453501" w14:textId="7FADA72D"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u w:val="single"/>
          <w:lang w:eastAsia="bg-BG"/>
        </w:rPr>
        <w:t>Намалена бъбречна Функция</w:t>
      </w:r>
    </w:p>
    <w:p w14:paraId="13694C32" w14:textId="77777777" w:rsidR="00ED72A8" w:rsidRPr="00ED72A8" w:rsidRDefault="00ED72A8" w:rsidP="00ED72A8">
      <w:pPr>
        <w:spacing w:line="240" w:lineRule="auto"/>
        <w:rPr>
          <w:rFonts w:eastAsia="Times New Roman" w:cs="Arial"/>
          <w:color w:val="000000"/>
          <w:szCs w:val="20"/>
          <w:lang w:eastAsia="bg-BG"/>
        </w:rPr>
      </w:pPr>
    </w:p>
    <w:p w14:paraId="050F18F8" w14:textId="4CEF4CFC"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 xml:space="preserve">При пациенти с нарушена бъбречна функция </w:t>
      </w:r>
      <w:r w:rsidRPr="00ED72A8">
        <w:rPr>
          <w:rFonts w:eastAsia="Times New Roman" w:cs="Arial"/>
          <w:color w:val="000000"/>
          <w:szCs w:val="20"/>
          <w:lang w:val="en-US"/>
        </w:rPr>
        <w:t xml:space="preserve">(CLCR </w:t>
      </w:r>
      <w:r w:rsidRPr="00ED72A8">
        <w:rPr>
          <w:rFonts w:eastAsia="Times New Roman" w:cs="Arial"/>
          <w:color w:val="000000"/>
          <w:szCs w:val="20"/>
          <w:lang w:eastAsia="bg-BG"/>
        </w:rPr>
        <w:t xml:space="preserve">≤ 70 </w:t>
      </w:r>
      <w:r w:rsidRPr="00ED72A8">
        <w:rPr>
          <w:rFonts w:eastAsia="Times New Roman" w:cs="Arial"/>
          <w:color w:val="000000"/>
          <w:szCs w:val="20"/>
          <w:lang w:val="en-US"/>
        </w:rPr>
        <w:t xml:space="preserve">ml/min) </w:t>
      </w:r>
      <w:r w:rsidRPr="00ED72A8">
        <w:rPr>
          <w:rFonts w:eastAsia="Times New Roman" w:cs="Arial"/>
          <w:color w:val="000000"/>
          <w:szCs w:val="20"/>
          <w:lang w:eastAsia="bg-BG"/>
        </w:rPr>
        <w:t xml:space="preserve">топирамат трябва да се прилага внимателно, тъй като плазменият и бъбречен клирънс на топирамат са намалени. За специални препоръки по отношение на дозировка при пациенти с намалена бъбречна функция вж. точка 4.2. </w:t>
      </w:r>
      <w:r w:rsidRPr="00ED72A8">
        <w:rPr>
          <w:rFonts w:eastAsia="Times New Roman" w:cs="Arial"/>
          <w:i/>
          <w:iCs/>
          <w:color w:val="000000"/>
          <w:szCs w:val="20"/>
          <w:lang w:eastAsia="bg-BG"/>
        </w:rPr>
        <w:t>Бъбречно увреждане.</w:t>
      </w:r>
    </w:p>
    <w:p w14:paraId="609EF379" w14:textId="77777777" w:rsidR="00ED72A8" w:rsidRPr="00ED72A8" w:rsidRDefault="00ED72A8" w:rsidP="00ED72A8">
      <w:pPr>
        <w:spacing w:line="240" w:lineRule="auto"/>
        <w:rPr>
          <w:rFonts w:eastAsia="Times New Roman" w:cs="Arial"/>
          <w:color w:val="000000"/>
          <w:szCs w:val="20"/>
          <w:u w:val="single"/>
          <w:lang w:eastAsia="bg-BG"/>
        </w:rPr>
      </w:pPr>
    </w:p>
    <w:p w14:paraId="2F3D9F03" w14:textId="6978F6BF"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u w:val="single"/>
          <w:lang w:eastAsia="bg-BG"/>
        </w:rPr>
        <w:t>Намалена чернодробна функция</w:t>
      </w:r>
    </w:p>
    <w:p w14:paraId="21B7852A" w14:textId="77777777" w:rsidR="00ED72A8" w:rsidRPr="00ED72A8" w:rsidRDefault="00ED72A8" w:rsidP="00ED72A8">
      <w:pPr>
        <w:spacing w:line="240" w:lineRule="auto"/>
        <w:rPr>
          <w:rFonts w:eastAsia="Times New Roman" w:cs="Arial"/>
          <w:color w:val="000000"/>
          <w:szCs w:val="20"/>
          <w:lang w:eastAsia="bg-BG"/>
        </w:rPr>
      </w:pPr>
    </w:p>
    <w:p w14:paraId="6A0A036A" w14:textId="499CDC2D"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При пациенти с чернодробно увреждане, топирамат трябва да се прилага предпазливо, тъй като клирънсът на топирамат може да се намали.</w:t>
      </w:r>
    </w:p>
    <w:p w14:paraId="74E62723" w14:textId="77777777" w:rsidR="00ED72A8" w:rsidRPr="00ED72A8" w:rsidRDefault="00ED72A8" w:rsidP="00ED72A8">
      <w:pPr>
        <w:spacing w:line="240" w:lineRule="auto"/>
        <w:rPr>
          <w:rFonts w:eastAsia="Times New Roman" w:cs="Arial"/>
          <w:color w:val="000000"/>
          <w:szCs w:val="20"/>
          <w:u w:val="single"/>
          <w:lang w:eastAsia="bg-BG"/>
        </w:rPr>
      </w:pPr>
    </w:p>
    <w:p w14:paraId="1D31E4BC" w14:textId="187C556E"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u w:val="single"/>
          <w:lang w:eastAsia="bg-BG"/>
        </w:rPr>
        <w:t>Остра миопия н вторична закритоъгълна глаукома</w:t>
      </w:r>
    </w:p>
    <w:p w14:paraId="718179C1" w14:textId="77777777" w:rsidR="00ED72A8" w:rsidRPr="00ED72A8" w:rsidRDefault="00ED72A8" w:rsidP="00ED72A8">
      <w:pPr>
        <w:spacing w:line="240" w:lineRule="auto"/>
        <w:rPr>
          <w:rFonts w:eastAsia="Times New Roman" w:cs="Arial"/>
          <w:color w:val="000000"/>
          <w:szCs w:val="20"/>
          <w:lang w:eastAsia="bg-BG"/>
        </w:rPr>
      </w:pPr>
    </w:p>
    <w:p w14:paraId="1E3E64FD" w14:textId="77777777" w:rsidR="00ED72A8" w:rsidRPr="00ED72A8" w:rsidRDefault="00ED72A8" w:rsidP="00ED72A8">
      <w:pPr>
        <w:rPr>
          <w:rFonts w:eastAsia="Times New Roman" w:cs="Arial"/>
          <w:lang w:eastAsia="bg-BG"/>
        </w:rPr>
      </w:pPr>
      <w:r w:rsidRPr="00ED72A8">
        <w:rPr>
          <w:rFonts w:eastAsia="Times New Roman" w:cs="Arial"/>
          <w:color w:val="000000"/>
          <w:szCs w:val="20"/>
          <w:lang w:eastAsia="bg-BG"/>
        </w:rPr>
        <w:t>Съобщава се за синдром, който включва остра миопия, свързана с вторична закритоъгълна глаукома при пациенти на лечение с топирамат. Симптомите включват остро начало на</w:t>
      </w:r>
      <w:r>
        <w:rPr>
          <w:rFonts w:eastAsia="Times New Roman" w:cs="Arial"/>
          <w:sz w:val="28"/>
          <w:szCs w:val="24"/>
          <w:lang w:eastAsia="bg-BG"/>
        </w:rPr>
        <w:t xml:space="preserve"> </w:t>
      </w:r>
      <w:r w:rsidRPr="00ED72A8">
        <w:rPr>
          <w:rFonts w:eastAsia="Times New Roman" w:cs="Arial"/>
          <w:color w:val="000000"/>
          <w:szCs w:val="20"/>
          <w:lang w:eastAsia="bg-BG"/>
        </w:rPr>
        <w:t>намалена зрителната острота и/или болка в очите. Данните от офталмологичните изследвания</w:t>
      </w:r>
      <w:r>
        <w:rPr>
          <w:rFonts w:eastAsia="Times New Roman" w:cs="Arial"/>
          <w:sz w:val="28"/>
          <w:szCs w:val="24"/>
          <w:lang w:eastAsia="bg-BG"/>
        </w:rPr>
        <w:t xml:space="preserve"> </w:t>
      </w:r>
      <w:r w:rsidRPr="00ED72A8">
        <w:rPr>
          <w:rFonts w:eastAsia="Times New Roman" w:cs="Arial"/>
          <w:color w:val="000000"/>
          <w:szCs w:val="20"/>
          <w:lang w:eastAsia="bg-BG"/>
        </w:rPr>
        <w:t>включват миопия, стесняване на предната камера, очна хиперемия (зачервяване) и повишено</w:t>
      </w:r>
      <w:r>
        <w:rPr>
          <w:rFonts w:eastAsia="Times New Roman" w:cs="Arial"/>
          <w:sz w:val="28"/>
          <w:szCs w:val="24"/>
          <w:lang w:eastAsia="bg-BG"/>
        </w:rPr>
        <w:t xml:space="preserve"> </w:t>
      </w:r>
      <w:r w:rsidRPr="00ED72A8">
        <w:rPr>
          <w:rFonts w:eastAsia="Times New Roman" w:cs="Arial"/>
          <w:color w:val="000000"/>
          <w:szCs w:val="20"/>
          <w:lang w:eastAsia="bg-BG"/>
        </w:rPr>
        <w:t>вътреочно налягане. Възможно е наличието на мидриаза. Този синдром може да се свърже със</w:t>
      </w:r>
      <w:r>
        <w:rPr>
          <w:rFonts w:eastAsia="Times New Roman" w:cs="Arial"/>
          <w:sz w:val="28"/>
          <w:szCs w:val="24"/>
          <w:lang w:eastAsia="bg-BG"/>
        </w:rPr>
        <w:t xml:space="preserve"> </w:t>
      </w:r>
      <w:r w:rsidRPr="00ED72A8">
        <w:rPr>
          <w:rFonts w:eastAsia="Times New Roman" w:cs="Arial"/>
          <w:color w:val="000000"/>
          <w:szCs w:val="20"/>
          <w:lang w:eastAsia="bg-BG"/>
        </w:rPr>
        <w:t xml:space="preserve">супрацилиарно изтичане, водещо до </w:t>
      </w:r>
      <w:r w:rsidRPr="00ED72A8">
        <w:rPr>
          <w:rFonts w:eastAsia="Times New Roman" w:cs="Arial"/>
          <w:color w:val="000000"/>
          <w:lang w:eastAsia="bg-BG"/>
        </w:rPr>
        <w:t xml:space="preserve">предно изместване на лещата и ириса, с вторична закритоъгьлна глаукома. Обикновено </w:t>
      </w:r>
      <w:r w:rsidRPr="00ED72A8">
        <w:rPr>
          <w:rFonts w:eastAsia="Times New Roman" w:cs="Arial"/>
          <w:color w:val="000000"/>
          <w:lang w:eastAsia="bg-BG"/>
        </w:rPr>
        <w:lastRenderedPageBreak/>
        <w:t>симптомите се появяват през първия месец от началната терапия с топирамат. За разлика от първичната тесноъгълна глаукома, която се среща рядко при пациенти под 40 години, вторичната закритоъгьлна глаукома, свързана с топирамат, се наблюдава при деца, както и при възрастни. Лечението включва прекъсване на приема на топирамат, колкото е възможно по-бързо по преценка на лекуващия лекар и подходящи мерки за намаляване на вътреочното налягане. Обикновено тези мерки водят до намаляване на вътреочното налягане.</w:t>
      </w:r>
    </w:p>
    <w:p w14:paraId="10BA2ABF" w14:textId="77777777" w:rsidR="00ED72A8" w:rsidRPr="00ED72A8" w:rsidRDefault="00ED72A8" w:rsidP="00ED72A8">
      <w:pPr>
        <w:spacing w:line="240" w:lineRule="auto"/>
        <w:rPr>
          <w:rFonts w:eastAsia="Times New Roman" w:cs="Arial"/>
          <w:color w:val="000000"/>
          <w:lang w:eastAsia="bg-BG"/>
        </w:rPr>
      </w:pPr>
    </w:p>
    <w:p w14:paraId="5AB4F13C" w14:textId="29C1F3FE" w:rsidR="00ED72A8" w:rsidRPr="00ED72A8" w:rsidRDefault="00ED72A8" w:rsidP="00ED72A8">
      <w:pPr>
        <w:spacing w:line="240" w:lineRule="auto"/>
        <w:rPr>
          <w:rFonts w:eastAsia="Times New Roman" w:cs="Arial"/>
          <w:lang w:eastAsia="bg-BG"/>
        </w:rPr>
      </w:pPr>
      <w:r w:rsidRPr="00ED72A8">
        <w:rPr>
          <w:rFonts w:eastAsia="Times New Roman" w:cs="Arial"/>
          <w:color w:val="000000"/>
          <w:lang w:eastAsia="bg-BG"/>
        </w:rPr>
        <w:t>Ако се остави без лечение, повишеното вътреочно налягане, независимо от етиологията, може да доведе до сериозни последствия, включително и до трайна загуба на зрението.</w:t>
      </w:r>
    </w:p>
    <w:p w14:paraId="581B48BA" w14:textId="77777777" w:rsidR="00ED72A8" w:rsidRPr="00ED72A8" w:rsidRDefault="00ED72A8" w:rsidP="00ED72A8">
      <w:pPr>
        <w:spacing w:line="240" w:lineRule="auto"/>
        <w:rPr>
          <w:rFonts w:eastAsia="Times New Roman" w:cs="Arial"/>
          <w:color w:val="000000"/>
          <w:lang w:eastAsia="bg-BG"/>
        </w:rPr>
      </w:pPr>
    </w:p>
    <w:p w14:paraId="6A9774E5" w14:textId="7C8A1381" w:rsidR="00ED72A8" w:rsidRPr="00ED72A8" w:rsidRDefault="00ED72A8" w:rsidP="00ED72A8">
      <w:pPr>
        <w:spacing w:line="240" w:lineRule="auto"/>
        <w:rPr>
          <w:rFonts w:eastAsia="Times New Roman" w:cs="Arial"/>
          <w:lang w:eastAsia="bg-BG"/>
        </w:rPr>
      </w:pPr>
      <w:r w:rsidRPr="00ED72A8">
        <w:rPr>
          <w:rFonts w:eastAsia="Times New Roman" w:cs="Arial"/>
          <w:color w:val="000000"/>
          <w:lang w:eastAsia="bg-BG"/>
        </w:rPr>
        <w:t>Трябва да се вземе решение дали пациенти с анамнеза за очно заболяване трябва да се лекуват с топирамат.</w:t>
      </w:r>
    </w:p>
    <w:p w14:paraId="1CA26081" w14:textId="77777777" w:rsidR="00ED72A8" w:rsidRPr="00ED72A8" w:rsidRDefault="00ED72A8" w:rsidP="00ED72A8">
      <w:pPr>
        <w:spacing w:line="240" w:lineRule="auto"/>
        <w:rPr>
          <w:rFonts w:eastAsia="Times New Roman" w:cs="Arial"/>
          <w:color w:val="000000"/>
          <w:lang w:eastAsia="bg-BG"/>
        </w:rPr>
      </w:pPr>
    </w:p>
    <w:p w14:paraId="4F6C56D3" w14:textId="50B075C1" w:rsidR="00ED72A8" w:rsidRPr="00ED72A8" w:rsidRDefault="00ED72A8" w:rsidP="00ED72A8">
      <w:pPr>
        <w:spacing w:line="240" w:lineRule="auto"/>
        <w:rPr>
          <w:rFonts w:eastAsia="Times New Roman" w:cs="Arial"/>
          <w:lang w:eastAsia="bg-BG"/>
        </w:rPr>
      </w:pPr>
      <w:r w:rsidRPr="00ED72A8">
        <w:rPr>
          <w:rFonts w:eastAsia="Times New Roman" w:cs="Arial"/>
          <w:color w:val="000000"/>
          <w:lang w:eastAsia="bg-BG"/>
        </w:rPr>
        <w:t>Дефекти в зрителното поле</w:t>
      </w:r>
    </w:p>
    <w:p w14:paraId="3777732B" w14:textId="77777777" w:rsidR="00ED72A8" w:rsidRPr="00ED72A8" w:rsidRDefault="00ED72A8" w:rsidP="00ED72A8">
      <w:pPr>
        <w:spacing w:line="240" w:lineRule="auto"/>
        <w:rPr>
          <w:rFonts w:eastAsia="Times New Roman" w:cs="Arial"/>
          <w:color w:val="000000"/>
          <w:lang w:eastAsia="bg-BG"/>
        </w:rPr>
      </w:pPr>
    </w:p>
    <w:p w14:paraId="0A4BAA22" w14:textId="1C5D0437" w:rsidR="00ED72A8" w:rsidRPr="00ED72A8" w:rsidRDefault="00ED72A8" w:rsidP="00ED72A8">
      <w:pPr>
        <w:spacing w:line="240" w:lineRule="auto"/>
        <w:rPr>
          <w:rFonts w:eastAsia="Times New Roman" w:cs="Arial"/>
          <w:lang w:eastAsia="bg-BG"/>
        </w:rPr>
      </w:pPr>
      <w:r w:rsidRPr="00ED72A8">
        <w:rPr>
          <w:rFonts w:eastAsia="Times New Roman" w:cs="Arial"/>
          <w:color w:val="000000"/>
          <w:lang w:eastAsia="bg-BG"/>
        </w:rPr>
        <w:t>Дефекти в зрителното поле са докладвани при пациенти, приемащи топирамат, независимо от повишеното вътреочно налягане. В клиничните проучвания повечето от тези събития са обратими след прекратяване на лечението с топирамат. Ако се появят дефекти в зрителното поле по всяко време на лечението с топирамат, трябва да се обсъди прекратяване на лечението.</w:t>
      </w:r>
    </w:p>
    <w:p w14:paraId="06895CF1" w14:textId="77777777" w:rsidR="00ED72A8" w:rsidRPr="00ED72A8" w:rsidRDefault="00ED72A8" w:rsidP="00ED72A8">
      <w:pPr>
        <w:spacing w:line="240" w:lineRule="auto"/>
        <w:rPr>
          <w:rFonts w:eastAsia="Times New Roman" w:cs="Arial"/>
          <w:color w:val="000000"/>
          <w:u w:val="single"/>
          <w:lang w:eastAsia="bg-BG"/>
        </w:rPr>
      </w:pPr>
    </w:p>
    <w:p w14:paraId="13CA86C9" w14:textId="5106A233" w:rsidR="00ED72A8" w:rsidRPr="00ED72A8" w:rsidRDefault="00ED72A8" w:rsidP="00ED72A8">
      <w:pPr>
        <w:spacing w:line="240" w:lineRule="auto"/>
        <w:rPr>
          <w:rFonts w:eastAsia="Times New Roman" w:cs="Arial"/>
          <w:lang w:eastAsia="bg-BG"/>
        </w:rPr>
      </w:pPr>
      <w:r w:rsidRPr="00ED72A8">
        <w:rPr>
          <w:rFonts w:eastAsia="Times New Roman" w:cs="Arial"/>
          <w:color w:val="000000"/>
          <w:u w:val="single"/>
          <w:lang w:eastAsia="bg-BG"/>
        </w:rPr>
        <w:t>Метаболитна ацидоза</w:t>
      </w:r>
    </w:p>
    <w:p w14:paraId="68D19002" w14:textId="77777777" w:rsidR="00ED72A8" w:rsidRPr="00ED72A8" w:rsidRDefault="00ED72A8" w:rsidP="00ED72A8">
      <w:pPr>
        <w:spacing w:line="240" w:lineRule="auto"/>
        <w:rPr>
          <w:rFonts w:eastAsia="Times New Roman" w:cs="Arial"/>
          <w:color w:val="000000"/>
          <w:lang w:eastAsia="bg-BG"/>
        </w:rPr>
      </w:pPr>
    </w:p>
    <w:p w14:paraId="5BA19BD8" w14:textId="5EBF37EE" w:rsidR="00ED72A8" w:rsidRPr="00ED72A8" w:rsidRDefault="00ED72A8" w:rsidP="00ED72A8">
      <w:pPr>
        <w:spacing w:line="240" w:lineRule="auto"/>
        <w:rPr>
          <w:rFonts w:eastAsia="Times New Roman" w:cs="Arial"/>
          <w:lang w:eastAsia="bg-BG"/>
        </w:rPr>
      </w:pPr>
      <w:r w:rsidRPr="00ED72A8">
        <w:rPr>
          <w:rFonts w:eastAsia="Times New Roman" w:cs="Arial"/>
          <w:color w:val="000000"/>
          <w:lang w:eastAsia="bg-BG"/>
        </w:rPr>
        <w:t xml:space="preserve">Хиперхлоремичната метаболитна ацидоза без загуба на аниони </w:t>
      </w:r>
      <w:r w:rsidRPr="00ED72A8">
        <w:rPr>
          <w:rFonts w:eastAsia="Times New Roman" w:cs="Arial"/>
          <w:i/>
          <w:iCs/>
          <w:color w:val="000000"/>
          <w:lang w:eastAsia="bg-BG"/>
        </w:rPr>
        <w:t>(т.е.</w:t>
      </w:r>
      <w:r w:rsidRPr="00ED72A8">
        <w:rPr>
          <w:rFonts w:eastAsia="Times New Roman" w:cs="Arial"/>
          <w:color w:val="000000"/>
          <w:lang w:eastAsia="bg-BG"/>
        </w:rPr>
        <w:t xml:space="preserve"> намалено ниво на серумните бикарбонати под нормалните референтни стойности при отсъствие на респираторна алкалоза) се свързва с лечението с топирамат. Пониженото ниво на серумните бикарбонати се дължи на инхибиращия ефект на топирамат върху бъбречната карбоанхидраза. По принцип понижаване на нивото на бикарбонатите се наблюдава в началото на лечението, въпреки че може да се появи по всяко време на лечението. Обикновено пониженията са леки до умерени (средно намаление от 4 </w:t>
      </w:r>
      <w:proofErr w:type="spellStart"/>
      <w:r w:rsidRPr="00ED72A8">
        <w:rPr>
          <w:rFonts w:eastAsia="Times New Roman" w:cs="Arial"/>
          <w:color w:val="000000"/>
          <w:lang w:val="en-US"/>
        </w:rPr>
        <w:t>mmol</w:t>
      </w:r>
      <w:proofErr w:type="spellEnd"/>
      <w:r w:rsidRPr="00ED72A8">
        <w:rPr>
          <w:rFonts w:eastAsia="Times New Roman" w:cs="Arial"/>
          <w:color w:val="000000"/>
          <w:lang w:val="en-US"/>
        </w:rPr>
        <w:t xml:space="preserve">/l </w:t>
      </w:r>
      <w:r w:rsidRPr="00ED72A8">
        <w:rPr>
          <w:rFonts w:eastAsia="Times New Roman" w:cs="Arial"/>
          <w:color w:val="000000"/>
          <w:lang w:eastAsia="bg-BG"/>
        </w:rPr>
        <w:t xml:space="preserve">при дневни дози от 100 </w:t>
      </w:r>
      <w:r w:rsidRPr="00ED72A8">
        <w:rPr>
          <w:rFonts w:eastAsia="Times New Roman" w:cs="Arial"/>
          <w:color w:val="000000"/>
          <w:lang w:val="en-US"/>
        </w:rPr>
        <w:t xml:space="preserve">mg </w:t>
      </w:r>
      <w:r w:rsidRPr="00ED72A8">
        <w:rPr>
          <w:rFonts w:eastAsia="Times New Roman" w:cs="Arial"/>
          <w:color w:val="000000"/>
          <w:lang w:eastAsia="bg-BG"/>
        </w:rPr>
        <w:t xml:space="preserve">или повече при възрастни и приблизително 6 </w:t>
      </w:r>
      <w:r w:rsidRPr="00ED72A8">
        <w:rPr>
          <w:rFonts w:eastAsia="Times New Roman" w:cs="Arial"/>
          <w:color w:val="000000"/>
          <w:lang w:val="en-US"/>
        </w:rPr>
        <w:t xml:space="preserve">mg/kg </w:t>
      </w:r>
      <w:r w:rsidRPr="00ED72A8">
        <w:rPr>
          <w:rFonts w:eastAsia="Times New Roman" w:cs="Arial"/>
          <w:color w:val="000000"/>
          <w:lang w:eastAsia="bg-BG"/>
        </w:rPr>
        <w:t xml:space="preserve">дневно при деца). В редки случаи при пациенти се наблюдават намалени стойности под 10 </w:t>
      </w:r>
      <w:proofErr w:type="spellStart"/>
      <w:r w:rsidRPr="00ED72A8">
        <w:rPr>
          <w:rFonts w:eastAsia="Times New Roman" w:cs="Arial"/>
          <w:color w:val="000000"/>
          <w:lang w:val="en-US"/>
        </w:rPr>
        <w:t>mmo</w:t>
      </w:r>
      <w:proofErr w:type="spellEnd"/>
      <w:r w:rsidRPr="00ED72A8">
        <w:rPr>
          <w:rFonts w:eastAsia="Times New Roman" w:cs="Arial"/>
          <w:color w:val="000000"/>
          <w:lang w:val="en-US"/>
        </w:rPr>
        <w:t xml:space="preserve">/l. </w:t>
      </w:r>
      <w:r w:rsidRPr="00ED72A8">
        <w:rPr>
          <w:rFonts w:eastAsia="Times New Roman" w:cs="Arial"/>
          <w:color w:val="000000"/>
          <w:lang w:eastAsia="bg-BG"/>
        </w:rPr>
        <w:t>Някои състояния или терапии, предразполагащи към ацидоза (като бъбречно заболяване, тежки респираторни нарушения, епилептичен статус, диария, операция, кетогенна диета или някои лекарствени продукти) могат да имат адитивен ефект към понижаващия бикарбонатите ефект на топирамат.</w:t>
      </w:r>
    </w:p>
    <w:p w14:paraId="581696F3" w14:textId="77777777" w:rsidR="00ED72A8" w:rsidRPr="00ED72A8" w:rsidRDefault="00ED72A8" w:rsidP="00ED72A8">
      <w:pPr>
        <w:spacing w:line="240" w:lineRule="auto"/>
        <w:rPr>
          <w:rFonts w:eastAsia="Times New Roman" w:cs="Arial"/>
          <w:color w:val="000000"/>
          <w:lang w:eastAsia="bg-BG"/>
        </w:rPr>
      </w:pPr>
    </w:p>
    <w:p w14:paraId="61E48A9A" w14:textId="4A8E81CE" w:rsidR="00ED72A8" w:rsidRPr="00ED72A8" w:rsidRDefault="00ED72A8" w:rsidP="00ED72A8">
      <w:pPr>
        <w:spacing w:line="240" w:lineRule="auto"/>
        <w:rPr>
          <w:rFonts w:eastAsia="Times New Roman" w:cs="Arial"/>
          <w:lang w:eastAsia="bg-BG"/>
        </w:rPr>
      </w:pPr>
      <w:r w:rsidRPr="00ED72A8">
        <w:rPr>
          <w:rFonts w:eastAsia="Times New Roman" w:cs="Arial"/>
          <w:color w:val="000000"/>
          <w:lang w:eastAsia="bg-BG"/>
        </w:rPr>
        <w:t>Хроничната метаболитна ацидоза повишава риска от образуване на камъни в бъбреците и може потенциално да доведе до остеопения.</w:t>
      </w:r>
    </w:p>
    <w:p w14:paraId="0BD0D2DA" w14:textId="77777777" w:rsidR="00ED72A8" w:rsidRPr="00ED72A8" w:rsidRDefault="00ED72A8" w:rsidP="00ED72A8">
      <w:pPr>
        <w:spacing w:line="240" w:lineRule="auto"/>
        <w:rPr>
          <w:rFonts w:eastAsia="Times New Roman" w:cs="Arial"/>
          <w:color w:val="000000"/>
          <w:lang w:eastAsia="bg-BG"/>
        </w:rPr>
      </w:pPr>
    </w:p>
    <w:p w14:paraId="17A62DAF" w14:textId="75A9BD51" w:rsidR="00ED72A8" w:rsidRPr="00ED72A8" w:rsidRDefault="00ED72A8" w:rsidP="00ED72A8">
      <w:pPr>
        <w:spacing w:line="240" w:lineRule="auto"/>
        <w:rPr>
          <w:rFonts w:eastAsia="Times New Roman" w:cs="Arial"/>
          <w:lang w:eastAsia="bg-BG"/>
        </w:rPr>
      </w:pPr>
      <w:r w:rsidRPr="00ED72A8">
        <w:rPr>
          <w:rFonts w:eastAsia="Times New Roman" w:cs="Arial"/>
          <w:color w:val="000000"/>
          <w:lang w:eastAsia="bg-BG"/>
        </w:rPr>
        <w:t>Хроничната метаболитна ацидоза при деца може да забави растежа. Ефектът на топирамат върху последствията за костите не е систематично проучен при деца или възрастни.</w:t>
      </w:r>
    </w:p>
    <w:p w14:paraId="55D128F3" w14:textId="77777777" w:rsidR="00ED72A8" w:rsidRPr="00ED72A8" w:rsidRDefault="00ED72A8" w:rsidP="00ED72A8">
      <w:pPr>
        <w:spacing w:line="240" w:lineRule="auto"/>
        <w:rPr>
          <w:rFonts w:eastAsia="Times New Roman" w:cs="Arial"/>
          <w:color w:val="000000"/>
          <w:lang w:eastAsia="bg-BG"/>
        </w:rPr>
      </w:pPr>
    </w:p>
    <w:p w14:paraId="5D335017" w14:textId="6535A393" w:rsidR="00ED72A8" w:rsidRPr="00ED72A8" w:rsidRDefault="00ED72A8" w:rsidP="00ED72A8">
      <w:pPr>
        <w:spacing w:line="240" w:lineRule="auto"/>
        <w:rPr>
          <w:rFonts w:eastAsia="Times New Roman" w:cs="Arial"/>
          <w:lang w:eastAsia="bg-BG"/>
        </w:rPr>
      </w:pPr>
      <w:r w:rsidRPr="00ED72A8">
        <w:rPr>
          <w:rFonts w:eastAsia="Times New Roman" w:cs="Arial"/>
          <w:color w:val="000000"/>
          <w:lang w:eastAsia="bg-BG"/>
        </w:rPr>
        <w:t xml:space="preserve">При терапия с топирамат, в зависимост от съпътстващите заболявания, се препоръчва подходящо изследване, включващо нивото на серумните бикарбонати. Ако са налице признаци или симптоми свидетелстващи за метаболитна ацидоза (напр. Кусмаулово дълбоко дишане, диспнея, анорексия, гадене, повръщане, силно изразена уморяемост, тахикардия или аритмия) се препоръчва изследване на серумния бикарбонат. Ако се </w:t>
      </w:r>
      <w:r w:rsidRPr="00ED72A8">
        <w:rPr>
          <w:rFonts w:eastAsia="Times New Roman" w:cs="Arial"/>
          <w:color w:val="000000"/>
          <w:lang w:eastAsia="bg-BG"/>
        </w:rPr>
        <w:lastRenderedPageBreak/>
        <w:t>развие метаболитна ацидоза и тя персистира, трябва да се прецени необходимостта от намаляване на дозата или преустановяване на лечението с топирамат (чрез постепенно намаляване на дозата).</w:t>
      </w:r>
    </w:p>
    <w:p w14:paraId="717E992B" w14:textId="77777777" w:rsidR="00ED72A8" w:rsidRPr="00ED72A8" w:rsidRDefault="00ED72A8" w:rsidP="00ED72A8">
      <w:pPr>
        <w:spacing w:line="240" w:lineRule="auto"/>
        <w:rPr>
          <w:rFonts w:eastAsia="Times New Roman" w:cs="Arial"/>
          <w:color w:val="000000"/>
          <w:lang w:eastAsia="bg-BG"/>
        </w:rPr>
      </w:pPr>
    </w:p>
    <w:p w14:paraId="14946111" w14:textId="541CD75B" w:rsidR="00ED72A8" w:rsidRPr="00ED72A8" w:rsidRDefault="00ED72A8" w:rsidP="00ED72A8">
      <w:pPr>
        <w:spacing w:line="240" w:lineRule="auto"/>
        <w:rPr>
          <w:rFonts w:eastAsia="Times New Roman" w:cs="Arial"/>
          <w:lang w:eastAsia="bg-BG"/>
        </w:rPr>
      </w:pPr>
      <w:r w:rsidRPr="00ED72A8">
        <w:rPr>
          <w:rFonts w:eastAsia="Times New Roman" w:cs="Arial"/>
          <w:color w:val="000000"/>
          <w:lang w:eastAsia="bg-BG"/>
        </w:rPr>
        <w:t>Топирамат трябва да се използва внимателно при пациенти със заболявания или на лечения, които са рисков фактор за възникване на метаболитна ацидоза.</w:t>
      </w:r>
    </w:p>
    <w:p w14:paraId="0DA5A6AE" w14:textId="77777777" w:rsidR="00ED72A8" w:rsidRPr="00ED72A8" w:rsidRDefault="00ED72A8" w:rsidP="00ED72A8">
      <w:pPr>
        <w:spacing w:line="240" w:lineRule="auto"/>
        <w:rPr>
          <w:rFonts w:eastAsia="Times New Roman" w:cs="Arial"/>
          <w:color w:val="000000"/>
          <w:u w:val="single"/>
          <w:lang w:eastAsia="bg-BG"/>
        </w:rPr>
      </w:pPr>
    </w:p>
    <w:p w14:paraId="1B5C936F" w14:textId="20C70208" w:rsidR="00ED72A8" w:rsidRPr="00ED72A8" w:rsidRDefault="00ED72A8" w:rsidP="00ED72A8">
      <w:pPr>
        <w:spacing w:line="240" w:lineRule="auto"/>
        <w:rPr>
          <w:rFonts w:eastAsia="Times New Roman" w:cs="Arial"/>
          <w:lang w:eastAsia="bg-BG"/>
        </w:rPr>
      </w:pPr>
      <w:r w:rsidRPr="00ED72A8">
        <w:rPr>
          <w:rFonts w:eastAsia="Times New Roman" w:cs="Arial"/>
          <w:color w:val="000000"/>
          <w:u w:val="single"/>
          <w:lang w:eastAsia="bg-BG"/>
        </w:rPr>
        <w:t>Нарушение на когнитивните функции</w:t>
      </w:r>
    </w:p>
    <w:p w14:paraId="168092A3" w14:textId="77777777" w:rsidR="00ED72A8" w:rsidRPr="00ED72A8" w:rsidRDefault="00ED72A8" w:rsidP="00ED72A8">
      <w:pPr>
        <w:spacing w:line="240" w:lineRule="auto"/>
        <w:rPr>
          <w:rFonts w:eastAsia="Times New Roman" w:cs="Arial"/>
          <w:color w:val="000000"/>
          <w:lang w:eastAsia="bg-BG"/>
        </w:rPr>
      </w:pPr>
    </w:p>
    <w:p w14:paraId="08C380F2" w14:textId="77777777" w:rsidR="00ED72A8" w:rsidRPr="00ED72A8" w:rsidRDefault="00ED72A8" w:rsidP="00ED72A8">
      <w:pPr>
        <w:rPr>
          <w:rFonts w:eastAsia="Times New Roman" w:cs="Arial"/>
          <w:lang w:eastAsia="bg-BG"/>
        </w:rPr>
      </w:pPr>
      <w:r w:rsidRPr="00ED72A8">
        <w:rPr>
          <w:rFonts w:eastAsia="Times New Roman" w:cs="Arial"/>
          <w:color w:val="000000"/>
          <w:lang w:eastAsia="bg-BG"/>
        </w:rPr>
        <w:t>Увреждането на познавателните функции при епилепсия е мултифакторно и може да се дължи на лежаща в основата й етиология, поради епилепсия или вследствие на антиепилептично</w:t>
      </w:r>
      <w:r w:rsidRPr="00ED72A8">
        <w:rPr>
          <w:rFonts w:eastAsia="Times New Roman" w:cs="Arial"/>
          <w:lang w:eastAsia="bg-BG"/>
        </w:rPr>
        <w:t xml:space="preserve"> </w:t>
      </w:r>
      <w:r w:rsidRPr="00ED72A8">
        <w:rPr>
          <w:rFonts w:eastAsia="Times New Roman" w:cs="Arial"/>
          <w:color w:val="000000"/>
          <w:lang w:eastAsia="bg-BG"/>
        </w:rPr>
        <w:t>лечение. В литературата има съобщения за нарушение на последователните способности при възрастни, при които се провежда лечение с топирамат, което изисква намаляване на дозата или прекъсване на терапията. Проучванията относно познавателните резултати при деца лекувани с топирамат обаче са недостатъчни и все още е необходимо да бъде изяснен неговият ефект в тази насока.</w:t>
      </w:r>
    </w:p>
    <w:p w14:paraId="47C19475" w14:textId="77777777" w:rsidR="00ED72A8" w:rsidRPr="00ED72A8" w:rsidRDefault="00ED72A8" w:rsidP="00ED72A8">
      <w:pPr>
        <w:spacing w:line="240" w:lineRule="auto"/>
        <w:rPr>
          <w:rFonts w:eastAsia="Times New Roman" w:cs="Arial"/>
          <w:color w:val="000000"/>
          <w:u w:val="single"/>
          <w:lang w:eastAsia="bg-BG"/>
        </w:rPr>
      </w:pPr>
    </w:p>
    <w:p w14:paraId="4F3679F0" w14:textId="0E49FED3" w:rsidR="00ED72A8" w:rsidRPr="00ED72A8" w:rsidRDefault="00ED72A8" w:rsidP="00ED72A8">
      <w:pPr>
        <w:spacing w:line="240" w:lineRule="auto"/>
        <w:rPr>
          <w:rFonts w:eastAsia="Times New Roman" w:cs="Arial"/>
          <w:lang w:eastAsia="bg-BG"/>
        </w:rPr>
      </w:pPr>
      <w:r w:rsidRPr="00ED72A8">
        <w:rPr>
          <w:rFonts w:eastAsia="Times New Roman" w:cs="Arial"/>
          <w:color w:val="000000"/>
          <w:u w:val="single"/>
          <w:lang w:eastAsia="bg-BG"/>
        </w:rPr>
        <w:t>Жени с детероден потенциал</w:t>
      </w:r>
    </w:p>
    <w:p w14:paraId="31E08B3A" w14:textId="77777777" w:rsidR="00ED72A8" w:rsidRPr="00ED72A8" w:rsidRDefault="00ED72A8" w:rsidP="00ED72A8">
      <w:pPr>
        <w:spacing w:line="240" w:lineRule="auto"/>
        <w:rPr>
          <w:rFonts w:eastAsia="Times New Roman" w:cs="Arial"/>
          <w:color w:val="000000"/>
          <w:u w:val="single"/>
          <w:lang w:eastAsia="bg-BG"/>
        </w:rPr>
      </w:pPr>
    </w:p>
    <w:p w14:paraId="77F0C49A" w14:textId="7806A478" w:rsidR="00ED72A8" w:rsidRPr="00ED72A8" w:rsidRDefault="00ED72A8" w:rsidP="00ED72A8">
      <w:pPr>
        <w:spacing w:line="240" w:lineRule="auto"/>
        <w:rPr>
          <w:rFonts w:eastAsia="Times New Roman" w:cs="Arial"/>
          <w:lang w:eastAsia="bg-BG"/>
        </w:rPr>
      </w:pPr>
      <w:r w:rsidRPr="00ED72A8">
        <w:rPr>
          <w:rFonts w:eastAsia="Times New Roman" w:cs="Arial"/>
          <w:color w:val="000000"/>
          <w:u w:val="single"/>
          <w:lang w:eastAsia="bg-BG"/>
        </w:rPr>
        <w:t>При прилагане на бременни жени топирамат може да причини увреждане на плода или забавяне на растежа (малък за гестационната възраст плод и раждане с ниско тегло). Д</w:t>
      </w:r>
      <w:r w:rsidRPr="00ED72A8">
        <w:rPr>
          <w:rFonts w:eastAsia="Times New Roman" w:cs="Arial"/>
          <w:color w:val="000000"/>
          <w:lang w:eastAsia="bg-BG"/>
        </w:rPr>
        <w:t xml:space="preserve">анните от регистъра на бременностите на Северна Америка при употреба на антиепилептични лекарства </w:t>
      </w:r>
      <w:r w:rsidRPr="00ED72A8">
        <w:rPr>
          <w:rFonts w:eastAsia="Times New Roman" w:cs="Arial"/>
          <w:color w:val="000000"/>
          <w:lang w:val="en-US"/>
        </w:rPr>
        <w:t xml:space="preserve">(NAAED) </w:t>
      </w:r>
      <w:r w:rsidRPr="00ED72A8">
        <w:rPr>
          <w:rFonts w:eastAsia="Times New Roman" w:cs="Arial"/>
          <w:color w:val="000000"/>
          <w:lang w:eastAsia="bg-BG"/>
        </w:rPr>
        <w:t xml:space="preserve">при монотерапия с топирамат, </w:t>
      </w:r>
      <w:r w:rsidRPr="00ED72A8">
        <w:rPr>
          <w:rFonts w:eastAsia="Times New Roman" w:cs="Arial"/>
          <w:color w:val="000000"/>
          <w:u w:val="single"/>
          <w:lang w:eastAsia="bg-BG"/>
        </w:rPr>
        <w:t>са показали приблизително три пъти по-висока честота на големи вродени малформации (4,3%) в сравнение с референтната група, неприемащи АЕЛ (1.4%). Освен това, данните от други проучвания показват, че в сравнение с монотерапия, съществува повишен риск от тератогенни ефекти, свързани с прилагането на АЕЛ като комбинирана терапия.</w:t>
      </w:r>
    </w:p>
    <w:p w14:paraId="244A1725" w14:textId="77777777" w:rsidR="00ED72A8" w:rsidRPr="00ED72A8" w:rsidRDefault="00ED72A8" w:rsidP="00ED72A8">
      <w:pPr>
        <w:spacing w:line="240" w:lineRule="auto"/>
        <w:rPr>
          <w:rFonts w:eastAsia="Times New Roman" w:cs="Arial"/>
          <w:color w:val="000000"/>
          <w:u w:val="single"/>
          <w:lang w:eastAsia="bg-BG"/>
        </w:rPr>
      </w:pPr>
    </w:p>
    <w:p w14:paraId="6AB32EAB" w14:textId="686921FF" w:rsidR="00ED72A8" w:rsidRPr="00ED72A8" w:rsidRDefault="00ED72A8" w:rsidP="00ED72A8">
      <w:pPr>
        <w:spacing w:line="240" w:lineRule="auto"/>
        <w:rPr>
          <w:rFonts w:eastAsia="Times New Roman" w:cs="Arial"/>
          <w:lang w:eastAsia="bg-BG"/>
        </w:rPr>
      </w:pPr>
      <w:r w:rsidRPr="00ED72A8">
        <w:rPr>
          <w:rFonts w:eastAsia="Times New Roman" w:cs="Arial"/>
          <w:color w:val="000000"/>
          <w:u w:val="single"/>
          <w:lang w:eastAsia="bg-BG"/>
        </w:rPr>
        <w:t>Преди започване на лечение с топирамат при жени с детероден потенциал, трябва да се направи тест за бременност и да се препоръча използването на високоефективен контрацептивен метод (</w:t>
      </w:r>
      <w:r w:rsidRPr="00ED72A8">
        <w:rPr>
          <w:rFonts w:eastAsia="Times New Roman" w:cs="Arial"/>
          <w:color w:val="000000"/>
          <w:lang w:eastAsia="bg-BG"/>
        </w:rPr>
        <w:t>вж. точка 4.5), Пациентката трябва да бъде подробно информирана за рисковете, свързани с прилагането на топирамат по време на бременността (вж. точки 4.3 и 4.6).</w:t>
      </w:r>
    </w:p>
    <w:p w14:paraId="016D8F90" w14:textId="77777777" w:rsidR="00ED72A8" w:rsidRPr="00ED72A8" w:rsidRDefault="00ED72A8" w:rsidP="00ED72A8">
      <w:pPr>
        <w:spacing w:line="240" w:lineRule="auto"/>
        <w:rPr>
          <w:rFonts w:eastAsia="Times New Roman" w:cs="Arial"/>
          <w:color w:val="000000"/>
          <w:u w:val="single"/>
          <w:lang w:eastAsia="bg-BG"/>
        </w:rPr>
      </w:pPr>
    </w:p>
    <w:p w14:paraId="77125785" w14:textId="4966A24F" w:rsidR="00ED72A8" w:rsidRPr="00ED72A8" w:rsidRDefault="00ED72A8" w:rsidP="00ED72A8">
      <w:pPr>
        <w:spacing w:line="240" w:lineRule="auto"/>
        <w:rPr>
          <w:rFonts w:eastAsia="Times New Roman" w:cs="Arial"/>
          <w:lang w:eastAsia="bg-BG"/>
        </w:rPr>
      </w:pPr>
      <w:r w:rsidRPr="00ED72A8">
        <w:rPr>
          <w:rFonts w:eastAsia="Times New Roman" w:cs="Arial"/>
          <w:color w:val="000000"/>
          <w:u w:val="single"/>
          <w:lang w:eastAsia="bg-BG"/>
        </w:rPr>
        <w:t>Хиперамониемия и енцефалопатия</w:t>
      </w:r>
    </w:p>
    <w:p w14:paraId="3F81EBE7" w14:textId="77777777" w:rsidR="00ED72A8" w:rsidRPr="00ED72A8" w:rsidRDefault="00ED72A8" w:rsidP="00ED72A8">
      <w:pPr>
        <w:spacing w:line="240" w:lineRule="auto"/>
        <w:rPr>
          <w:rFonts w:eastAsia="Times New Roman" w:cs="Arial"/>
          <w:color w:val="000000"/>
          <w:lang w:eastAsia="bg-BG"/>
        </w:rPr>
      </w:pPr>
    </w:p>
    <w:p w14:paraId="15B47DC2" w14:textId="63293923" w:rsidR="00ED72A8" w:rsidRPr="00ED72A8" w:rsidRDefault="00ED72A8" w:rsidP="00ED72A8">
      <w:pPr>
        <w:spacing w:line="240" w:lineRule="auto"/>
        <w:rPr>
          <w:rFonts w:eastAsia="Times New Roman" w:cs="Arial"/>
          <w:lang w:eastAsia="bg-BG"/>
        </w:rPr>
      </w:pPr>
      <w:r w:rsidRPr="00ED72A8">
        <w:rPr>
          <w:rFonts w:eastAsia="Times New Roman" w:cs="Arial"/>
          <w:color w:val="000000"/>
          <w:lang w:eastAsia="bg-BG"/>
        </w:rPr>
        <w:t xml:space="preserve">При лечение с топирамат е докладвано за хиперамониемия със или без енцефалопатия (вж. точка 4.8). Рискът от поява на хиперамониемия при топирамат изглежда е дозо-зависим. За хиперамониемия е съобщавано по-често </w:t>
      </w:r>
      <w:r w:rsidRPr="00ED72A8">
        <w:rPr>
          <w:rFonts w:eastAsia="Times New Roman" w:cs="Arial"/>
          <w:i/>
          <w:iCs/>
          <w:color w:val="000000"/>
          <w:lang w:eastAsia="bg-BG"/>
        </w:rPr>
        <w:t>при</w:t>
      </w:r>
      <w:r w:rsidRPr="00ED72A8">
        <w:rPr>
          <w:rFonts w:eastAsia="Times New Roman" w:cs="Arial"/>
          <w:color w:val="000000"/>
          <w:lang w:eastAsia="bg-BG"/>
        </w:rPr>
        <w:t xml:space="preserve"> едновременно приложение на топирамат с валпроева киселина (вж. точка 4.5).</w:t>
      </w:r>
    </w:p>
    <w:p w14:paraId="48493971" w14:textId="77777777" w:rsidR="00ED72A8" w:rsidRPr="00ED72A8" w:rsidRDefault="00ED72A8" w:rsidP="00ED72A8">
      <w:pPr>
        <w:spacing w:line="240" w:lineRule="auto"/>
        <w:rPr>
          <w:rFonts w:eastAsia="Times New Roman" w:cs="Arial"/>
          <w:lang w:eastAsia="bg-BG"/>
        </w:rPr>
      </w:pPr>
      <w:r w:rsidRPr="00ED72A8">
        <w:rPr>
          <w:rFonts w:eastAsia="Times New Roman" w:cs="Arial"/>
          <w:color w:val="000000"/>
          <w:lang w:eastAsia="bg-BG"/>
        </w:rPr>
        <w:t>При пациенти, при които се развиват необяснима летаргия или промени в менталния статус, свързани с монотерапия или с комбинирана терапия с топирамат, се препоръчва да се приеме, че става дума за хиперамониемична енцефалопатия и да се определят нивата на амоняк.</w:t>
      </w:r>
    </w:p>
    <w:p w14:paraId="2190194D" w14:textId="77777777" w:rsidR="00ED72A8" w:rsidRPr="00ED72A8" w:rsidRDefault="00ED72A8" w:rsidP="00ED72A8">
      <w:pPr>
        <w:spacing w:line="240" w:lineRule="auto"/>
        <w:rPr>
          <w:rFonts w:eastAsia="Times New Roman" w:cs="Arial"/>
          <w:color w:val="000000"/>
          <w:u w:val="single"/>
          <w:lang w:eastAsia="bg-BG"/>
        </w:rPr>
      </w:pPr>
    </w:p>
    <w:p w14:paraId="3C2D8635" w14:textId="7643C958" w:rsidR="00ED72A8" w:rsidRPr="00ED72A8" w:rsidRDefault="00ED72A8" w:rsidP="00ED72A8">
      <w:pPr>
        <w:spacing w:line="240" w:lineRule="auto"/>
        <w:rPr>
          <w:rFonts w:eastAsia="Times New Roman" w:cs="Arial"/>
          <w:lang w:eastAsia="bg-BG"/>
        </w:rPr>
      </w:pPr>
      <w:r w:rsidRPr="00ED72A8">
        <w:rPr>
          <w:rFonts w:eastAsia="Times New Roman" w:cs="Arial"/>
          <w:color w:val="000000"/>
          <w:u w:val="single"/>
          <w:lang w:eastAsia="bg-BG"/>
        </w:rPr>
        <w:t>Хранителни добавки</w:t>
      </w:r>
    </w:p>
    <w:p w14:paraId="39827725" w14:textId="77777777" w:rsidR="00ED72A8" w:rsidRPr="00ED72A8" w:rsidRDefault="00ED72A8" w:rsidP="00ED72A8">
      <w:pPr>
        <w:spacing w:line="240" w:lineRule="auto"/>
        <w:rPr>
          <w:rFonts w:eastAsia="Times New Roman" w:cs="Arial"/>
          <w:lang w:eastAsia="bg-BG"/>
        </w:rPr>
      </w:pPr>
      <w:r w:rsidRPr="00ED72A8">
        <w:rPr>
          <w:rFonts w:eastAsia="Times New Roman" w:cs="Arial"/>
          <w:color w:val="000000"/>
          <w:lang w:eastAsia="bg-BG"/>
        </w:rPr>
        <w:t>Някои пациенти може да започнат да губят тегло по време на лечението с топирамат. Препоръчва се пациентите, лекувани с топирамат да се проследяват за загуба на тегло. Ако пациентите губят тегло, докато приемат топирамат, следва да се прецени необходимостта от включване на хранителни добавки или увеличен прием на храна.</w:t>
      </w:r>
    </w:p>
    <w:p w14:paraId="70D4C8F6" w14:textId="77777777" w:rsidR="00ED72A8" w:rsidRPr="00ED72A8" w:rsidRDefault="00ED72A8" w:rsidP="00ED72A8">
      <w:pPr>
        <w:spacing w:line="240" w:lineRule="auto"/>
        <w:rPr>
          <w:rFonts w:eastAsia="Times New Roman" w:cs="Arial"/>
          <w:color w:val="000000"/>
          <w:u w:val="single"/>
          <w:lang w:eastAsia="bg-BG"/>
        </w:rPr>
      </w:pPr>
    </w:p>
    <w:p w14:paraId="5D21A2C0" w14:textId="30275AD7" w:rsidR="00ED72A8" w:rsidRPr="00ED72A8" w:rsidRDefault="00ED72A8" w:rsidP="00ED72A8">
      <w:pPr>
        <w:spacing w:line="240" w:lineRule="auto"/>
        <w:rPr>
          <w:rFonts w:eastAsia="Times New Roman" w:cs="Arial"/>
          <w:lang w:eastAsia="bg-BG"/>
        </w:rPr>
      </w:pPr>
      <w:r w:rsidRPr="00ED72A8">
        <w:rPr>
          <w:rFonts w:eastAsia="Times New Roman" w:cs="Arial"/>
          <w:color w:val="000000"/>
          <w:u w:val="single"/>
          <w:lang w:eastAsia="bg-BG"/>
        </w:rPr>
        <w:t>Лактозна непоносимост</w:t>
      </w:r>
    </w:p>
    <w:p w14:paraId="4987C6A1" w14:textId="77777777" w:rsidR="00ED72A8" w:rsidRPr="00ED72A8" w:rsidRDefault="00ED72A8" w:rsidP="00ED72A8">
      <w:pPr>
        <w:spacing w:line="240" w:lineRule="auto"/>
        <w:rPr>
          <w:rFonts w:eastAsia="Times New Roman" w:cs="Arial"/>
          <w:color w:val="000000"/>
          <w:lang w:eastAsia="bg-BG"/>
        </w:rPr>
      </w:pPr>
    </w:p>
    <w:p w14:paraId="6E6D978F" w14:textId="2E2E83EC" w:rsidR="00ED72A8" w:rsidRPr="00ED72A8" w:rsidRDefault="00ED72A8" w:rsidP="00ED72A8">
      <w:pPr>
        <w:spacing w:line="240" w:lineRule="auto"/>
        <w:rPr>
          <w:rFonts w:eastAsia="Times New Roman" w:cs="Arial"/>
          <w:lang w:eastAsia="bg-BG"/>
        </w:rPr>
      </w:pPr>
      <w:r w:rsidRPr="00ED72A8">
        <w:rPr>
          <w:rFonts w:eastAsia="Times New Roman" w:cs="Arial"/>
          <w:color w:val="000000"/>
          <w:lang w:eastAsia="bg-BG"/>
        </w:rPr>
        <w:t xml:space="preserve">Топилекс 25 </w:t>
      </w:r>
      <w:r w:rsidRPr="00ED72A8">
        <w:rPr>
          <w:rFonts w:eastAsia="Times New Roman" w:cs="Arial"/>
          <w:color w:val="000000"/>
          <w:lang w:val="en-US"/>
        </w:rPr>
        <w:t xml:space="preserve">mg </w:t>
      </w:r>
      <w:r w:rsidRPr="00ED72A8">
        <w:rPr>
          <w:rFonts w:eastAsia="Times New Roman" w:cs="Arial"/>
          <w:color w:val="000000"/>
          <w:lang w:eastAsia="bg-BG"/>
        </w:rPr>
        <w:t xml:space="preserve">и 50 </w:t>
      </w:r>
      <w:r w:rsidRPr="00ED72A8">
        <w:rPr>
          <w:rFonts w:eastAsia="Times New Roman" w:cs="Arial"/>
          <w:color w:val="000000"/>
          <w:lang w:val="en-US"/>
        </w:rPr>
        <w:t xml:space="preserve">mg </w:t>
      </w:r>
      <w:r w:rsidRPr="00ED72A8">
        <w:rPr>
          <w:rFonts w:eastAsia="Times New Roman" w:cs="Arial"/>
          <w:color w:val="000000"/>
          <w:lang w:eastAsia="bg-BG"/>
        </w:rPr>
        <w:t>филмирани таблетки, съдържа лактоза. Пациенти с редки наследствени проблеми на галактозна непоносимост, пълен лактазен дефицит или глюкозо- галактозна малабсорбция не трябва да приемат това лекарство.</w:t>
      </w:r>
    </w:p>
    <w:p w14:paraId="2A7D6CE2" w14:textId="77777777" w:rsidR="00ED72A8" w:rsidRPr="00ED72A8" w:rsidRDefault="00ED72A8" w:rsidP="00ED72A8">
      <w:pPr>
        <w:spacing w:line="240" w:lineRule="auto"/>
        <w:rPr>
          <w:rFonts w:eastAsia="Times New Roman" w:cs="Arial"/>
          <w:color w:val="000000"/>
          <w:u w:val="single"/>
          <w:lang w:eastAsia="bg-BG"/>
        </w:rPr>
      </w:pPr>
    </w:p>
    <w:p w14:paraId="7D5C33CB" w14:textId="78DBFCC8" w:rsidR="00ED72A8" w:rsidRPr="00ED72A8" w:rsidRDefault="00ED72A8" w:rsidP="00ED72A8">
      <w:pPr>
        <w:spacing w:line="240" w:lineRule="auto"/>
        <w:rPr>
          <w:rFonts w:eastAsia="Times New Roman" w:cs="Arial"/>
          <w:lang w:eastAsia="bg-BG"/>
        </w:rPr>
      </w:pPr>
      <w:r w:rsidRPr="00ED72A8">
        <w:rPr>
          <w:rFonts w:eastAsia="Times New Roman" w:cs="Arial"/>
          <w:color w:val="000000"/>
          <w:u w:val="single"/>
          <w:lang w:eastAsia="bg-BG"/>
        </w:rPr>
        <w:t>Сънсет жълто (Е110)</w:t>
      </w:r>
    </w:p>
    <w:p w14:paraId="719ACC77" w14:textId="77777777" w:rsidR="00ED72A8" w:rsidRPr="00ED72A8" w:rsidRDefault="00ED72A8" w:rsidP="00ED72A8">
      <w:pPr>
        <w:spacing w:line="240" w:lineRule="auto"/>
        <w:rPr>
          <w:rFonts w:eastAsia="Times New Roman" w:cs="Arial"/>
          <w:color w:val="000000"/>
          <w:lang w:eastAsia="bg-BG"/>
        </w:rPr>
      </w:pPr>
    </w:p>
    <w:p w14:paraId="021A57B5" w14:textId="28C6E70E" w:rsidR="00ED72A8" w:rsidRPr="00ED72A8" w:rsidRDefault="00ED72A8" w:rsidP="00ED72A8">
      <w:pPr>
        <w:spacing w:line="240" w:lineRule="auto"/>
        <w:rPr>
          <w:rFonts w:eastAsia="Times New Roman" w:cs="Arial"/>
          <w:lang w:eastAsia="bg-BG"/>
        </w:rPr>
      </w:pPr>
      <w:r w:rsidRPr="00ED72A8">
        <w:rPr>
          <w:rFonts w:eastAsia="Times New Roman" w:cs="Arial"/>
          <w:color w:val="000000"/>
          <w:lang w:eastAsia="bg-BG"/>
        </w:rPr>
        <w:t xml:space="preserve">Топилекс 100 </w:t>
      </w:r>
      <w:r w:rsidRPr="00ED72A8">
        <w:rPr>
          <w:rFonts w:eastAsia="Times New Roman" w:cs="Arial"/>
          <w:color w:val="000000"/>
          <w:lang w:val="en-US"/>
        </w:rPr>
        <w:t xml:space="preserve">mg, </w:t>
      </w:r>
      <w:r w:rsidRPr="00ED72A8">
        <w:rPr>
          <w:rFonts w:eastAsia="Times New Roman" w:cs="Arial"/>
          <w:color w:val="000000"/>
          <w:lang w:eastAsia="bg-BG"/>
        </w:rPr>
        <w:t>филмирани таблетки, съдържа Сънсет жълто (Е110). Сънсет жълто (Е110) може да предизвика алергични реакции.</w:t>
      </w:r>
    </w:p>
    <w:p w14:paraId="465C7BCC" w14:textId="77777777" w:rsidR="00ED72A8" w:rsidRPr="00ED72A8" w:rsidRDefault="00ED72A8" w:rsidP="00ED72A8">
      <w:pPr>
        <w:spacing w:line="240" w:lineRule="auto"/>
        <w:rPr>
          <w:rFonts w:eastAsia="Times New Roman" w:cs="Arial"/>
          <w:sz w:val="28"/>
          <w:szCs w:val="24"/>
          <w:lang w:eastAsia="bg-BG"/>
        </w:rPr>
      </w:pPr>
    </w:p>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2FFF1347" w14:textId="77777777"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u w:val="single"/>
          <w:lang w:eastAsia="bg-BG"/>
        </w:rPr>
        <w:t>Влияние на Топилекс върху други антиепилептични лекарствени продукти</w:t>
      </w:r>
    </w:p>
    <w:p w14:paraId="03EB1CFB" w14:textId="77777777" w:rsidR="00ED72A8" w:rsidRPr="00ED72A8" w:rsidRDefault="00ED72A8" w:rsidP="00ED72A8">
      <w:pPr>
        <w:rPr>
          <w:rFonts w:eastAsia="Times New Roman" w:cs="Arial"/>
          <w:sz w:val="28"/>
          <w:szCs w:val="24"/>
          <w:lang w:eastAsia="bg-BG"/>
        </w:rPr>
      </w:pPr>
      <w:r w:rsidRPr="00ED72A8">
        <w:rPr>
          <w:rFonts w:eastAsia="Times New Roman" w:cs="Arial"/>
          <w:color w:val="000000"/>
          <w:szCs w:val="20"/>
          <w:lang w:eastAsia="bg-BG"/>
        </w:rPr>
        <w:t xml:space="preserve">Добавянето на Топилекс в схемата на лечение с други антиепилептични средства (фенитоив, карбамазепин, валпроева киселина, фенобарбитал, примидон) не оказва влияние върху плазмените концентрации в стационарно състояние. Изключение правят само отделни пациенти, при които добавянето на Топилекс към фенитоин може да предизвика покачване на плазмената концентрация на фенитоин. Това най-вероятно се дължи на потискане на специфичната ензимна полиморфна изоформа </w:t>
      </w:r>
      <w:r w:rsidRPr="00ED72A8">
        <w:rPr>
          <w:rFonts w:eastAsia="Times New Roman" w:cs="Arial"/>
          <w:color w:val="000000"/>
          <w:szCs w:val="20"/>
          <w:lang w:val="en-US"/>
        </w:rPr>
        <w:t xml:space="preserve">(CYP2C19). </w:t>
      </w:r>
      <w:r w:rsidRPr="00ED72A8">
        <w:rPr>
          <w:rFonts w:eastAsia="Times New Roman" w:cs="Arial"/>
          <w:color w:val="000000"/>
          <w:szCs w:val="20"/>
          <w:lang w:eastAsia="bg-BG"/>
        </w:rPr>
        <w:t>Поради това, появата на клинични белези или симптоми на токсичност при пациенти, лекувани с фенитоин, трябва да бъде сигнал за мониториране нивата на фенитоин.</w:t>
      </w:r>
    </w:p>
    <w:p w14:paraId="6DC37025" w14:textId="77777777"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 xml:space="preserve">Проучване на фармакокинетичните взаимодействия при пациенти с епилепсия показва, че добавянето на топирамат към ламотрижин не повлиява плазмената концентрация в стационарно състояние на ламотрижин при дози на топирамат от 100 до 400 </w:t>
      </w:r>
      <w:r w:rsidRPr="00ED72A8">
        <w:rPr>
          <w:rFonts w:eastAsia="Times New Roman" w:cs="Arial"/>
          <w:color w:val="000000"/>
          <w:szCs w:val="20"/>
          <w:lang w:val="en-US"/>
        </w:rPr>
        <w:t xml:space="preserve">mg </w:t>
      </w:r>
      <w:r w:rsidRPr="00ED72A8">
        <w:rPr>
          <w:rFonts w:eastAsia="Times New Roman" w:cs="Arial"/>
          <w:color w:val="000000"/>
          <w:szCs w:val="20"/>
          <w:lang w:eastAsia="bg-BG"/>
        </w:rPr>
        <w:t xml:space="preserve">дневно. Освен това, не се наблюдават промени в равновесната плазмена концентрация в стационарно състояние на топирамат по време на или след прекратяване </w:t>
      </w:r>
      <w:r w:rsidRPr="00ED72A8">
        <w:rPr>
          <w:rFonts w:eastAsia="Times New Roman" w:cs="Arial"/>
          <w:i/>
          <w:iCs/>
          <w:color w:val="000000"/>
          <w:szCs w:val="20"/>
          <w:lang w:eastAsia="bg-BG"/>
        </w:rPr>
        <w:t>на</w:t>
      </w:r>
      <w:r w:rsidRPr="00ED72A8">
        <w:rPr>
          <w:rFonts w:eastAsia="Times New Roman" w:cs="Arial"/>
          <w:color w:val="000000"/>
          <w:szCs w:val="20"/>
          <w:lang w:eastAsia="bg-BG"/>
        </w:rPr>
        <w:t xml:space="preserve"> лечението с ламотрижин (средна доза 327 </w:t>
      </w:r>
      <w:r w:rsidRPr="00ED72A8">
        <w:rPr>
          <w:rFonts w:eastAsia="Times New Roman" w:cs="Arial"/>
          <w:color w:val="000000"/>
          <w:szCs w:val="20"/>
          <w:lang w:val="en-US"/>
        </w:rPr>
        <w:t xml:space="preserve">mg </w:t>
      </w:r>
      <w:r w:rsidRPr="00ED72A8">
        <w:rPr>
          <w:rFonts w:eastAsia="Times New Roman" w:cs="Arial"/>
          <w:color w:val="000000"/>
          <w:szCs w:val="20"/>
          <w:lang w:eastAsia="bg-BG"/>
        </w:rPr>
        <w:t>дневно).</w:t>
      </w:r>
    </w:p>
    <w:p w14:paraId="7DB226A9" w14:textId="77777777"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 xml:space="preserve">Топирамат инхибира ензима </w:t>
      </w:r>
      <w:r w:rsidRPr="00ED72A8">
        <w:rPr>
          <w:rFonts w:eastAsia="Times New Roman" w:cs="Arial"/>
          <w:color w:val="000000"/>
          <w:szCs w:val="20"/>
          <w:lang w:val="en-US"/>
        </w:rPr>
        <w:t xml:space="preserve">CYP2C19 </w:t>
      </w:r>
      <w:r w:rsidRPr="00ED72A8">
        <w:rPr>
          <w:rFonts w:eastAsia="Times New Roman" w:cs="Arial"/>
          <w:color w:val="000000"/>
          <w:szCs w:val="20"/>
          <w:lang w:eastAsia="bg-BG"/>
        </w:rPr>
        <w:t>и може да окаже влияние на други вещества, които се метаболизират чрез този ензим (напр. диазепам, имипрамин, моклобемид, нрогуанил, омепразол).</w:t>
      </w:r>
    </w:p>
    <w:p w14:paraId="659D8E2D" w14:textId="77777777" w:rsidR="00ED72A8" w:rsidRPr="00ED72A8" w:rsidRDefault="00ED72A8" w:rsidP="00ED72A8">
      <w:pPr>
        <w:spacing w:line="240" w:lineRule="auto"/>
        <w:rPr>
          <w:rFonts w:eastAsia="Times New Roman" w:cs="Arial"/>
          <w:color w:val="000000"/>
          <w:szCs w:val="20"/>
          <w:u w:val="single"/>
          <w:lang w:eastAsia="bg-BG"/>
        </w:rPr>
      </w:pPr>
    </w:p>
    <w:p w14:paraId="36821EE6" w14:textId="4111DECF"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u w:val="single"/>
          <w:lang w:eastAsia="bg-BG"/>
        </w:rPr>
        <w:t>Влияние на други антиепилептични лекарствени продукти върху Топилекс</w:t>
      </w:r>
    </w:p>
    <w:p w14:paraId="172AE819" w14:textId="15711998" w:rsidR="0091385D" w:rsidRDefault="00ED72A8" w:rsidP="00ED72A8">
      <w:pPr>
        <w:rPr>
          <w:rFonts w:eastAsia="Times New Roman" w:cs="Arial"/>
          <w:color w:val="000000"/>
          <w:szCs w:val="20"/>
          <w:lang w:eastAsia="bg-BG"/>
        </w:rPr>
      </w:pPr>
      <w:r w:rsidRPr="00ED72A8">
        <w:rPr>
          <w:rFonts w:eastAsia="Times New Roman" w:cs="Arial"/>
          <w:color w:val="000000"/>
          <w:szCs w:val="20"/>
          <w:lang w:eastAsia="bg-BG"/>
        </w:rPr>
        <w:t>Фенитоин и карбамазепин понижават плазмената концентрация на Топилекс. Добавянето или спирането на фенитоин или карбамазепин при провеждане на лечение с Топилекс може да наложи коригиране на дозата на последния. Това трябва да стане чрез титриране според клиничния ефект. Добавянето или спирането на валпроева киселина не води до клинично значими промени в плазмената концентрация на Топилекс и поради това не налага промени в дозировката на Топилекс. Резултатите от тези взаимодействия са обобщени в таблицата по- долу:</w:t>
      </w:r>
    </w:p>
    <w:p w14:paraId="2EEF8CD9" w14:textId="36FB3640" w:rsidR="00ED72A8" w:rsidRDefault="00ED72A8" w:rsidP="00ED72A8">
      <w:pPr>
        <w:rPr>
          <w:rFonts w:eastAsia="Times New Roman" w:cs="Arial"/>
          <w:color w:val="000000"/>
          <w:szCs w:val="20"/>
          <w:lang w:eastAsia="bg-BG"/>
        </w:rPr>
      </w:pPr>
    </w:p>
    <w:tbl>
      <w:tblPr>
        <w:tblStyle w:val="TableGrid"/>
        <w:tblW w:w="0" w:type="auto"/>
        <w:tblLook w:val="04A0" w:firstRow="1" w:lastRow="0" w:firstColumn="1" w:lastColumn="0" w:noHBand="0" w:noVBand="1"/>
      </w:tblPr>
      <w:tblGrid>
        <w:gridCol w:w="3118"/>
        <w:gridCol w:w="3116"/>
        <w:gridCol w:w="3116"/>
      </w:tblGrid>
      <w:tr w:rsidR="00ED72A8" w14:paraId="2799D021" w14:textId="77777777" w:rsidTr="00ED72A8">
        <w:tc>
          <w:tcPr>
            <w:tcW w:w="3166" w:type="dxa"/>
          </w:tcPr>
          <w:p w14:paraId="4D0D5611" w14:textId="2607A6FE" w:rsidR="00ED72A8" w:rsidRPr="00ED72A8" w:rsidRDefault="00ED72A8" w:rsidP="00ED72A8">
            <w:pPr>
              <w:rPr>
                <w:rFonts w:cs="Arial"/>
              </w:rPr>
            </w:pPr>
            <w:r w:rsidRPr="00ED72A8">
              <w:t>АЕЛ, приложено едновременно с Топилекс</w:t>
            </w:r>
          </w:p>
        </w:tc>
        <w:tc>
          <w:tcPr>
            <w:tcW w:w="3167" w:type="dxa"/>
          </w:tcPr>
          <w:p w14:paraId="13ABAD89" w14:textId="0E9E278F" w:rsidR="00ED72A8" w:rsidRPr="00ED72A8" w:rsidRDefault="00ED72A8" w:rsidP="00ED72A8">
            <w:pPr>
              <w:rPr>
                <w:rFonts w:cs="Arial"/>
              </w:rPr>
            </w:pPr>
            <w:r w:rsidRPr="00ED72A8">
              <w:t>Концентрация на АЕЛ</w:t>
            </w:r>
          </w:p>
        </w:tc>
        <w:tc>
          <w:tcPr>
            <w:tcW w:w="3167" w:type="dxa"/>
          </w:tcPr>
          <w:p w14:paraId="3C2D0EB3" w14:textId="64603EC9" w:rsidR="00ED72A8" w:rsidRPr="00ED72A8" w:rsidRDefault="00ED72A8" w:rsidP="00ED72A8">
            <w:pPr>
              <w:rPr>
                <w:rFonts w:cs="Arial"/>
              </w:rPr>
            </w:pPr>
            <w:r w:rsidRPr="00ED72A8">
              <w:t>Концентрация на Топилекс</w:t>
            </w:r>
          </w:p>
        </w:tc>
      </w:tr>
      <w:tr w:rsidR="00ED72A8" w14:paraId="0238A042" w14:textId="77777777" w:rsidTr="00ED72A8">
        <w:tc>
          <w:tcPr>
            <w:tcW w:w="3166" w:type="dxa"/>
          </w:tcPr>
          <w:p w14:paraId="52D2596E" w14:textId="5B559ACE" w:rsidR="00ED72A8" w:rsidRPr="00ED72A8" w:rsidRDefault="00ED72A8" w:rsidP="00ED72A8">
            <w:pPr>
              <w:rPr>
                <w:rFonts w:cs="Arial"/>
              </w:rPr>
            </w:pPr>
            <w:r w:rsidRPr="00ED72A8">
              <w:t>Фенитоин</w:t>
            </w:r>
          </w:p>
        </w:tc>
        <w:tc>
          <w:tcPr>
            <w:tcW w:w="3167" w:type="dxa"/>
          </w:tcPr>
          <w:p w14:paraId="7E20BF5A" w14:textId="77777777" w:rsidR="00ED72A8" w:rsidRPr="00ED72A8" w:rsidRDefault="00ED72A8" w:rsidP="00ED72A8">
            <w:r w:rsidRPr="00ED72A8">
              <w:rPr>
                <w:rFonts w:cs="Arial"/>
              </w:rPr>
              <w:t>**</w:t>
            </w:r>
          </w:p>
          <w:p w14:paraId="6ABDA9D3" w14:textId="4959DCD3" w:rsidR="00ED72A8" w:rsidRPr="00ED72A8" w:rsidRDefault="00ED72A8" w:rsidP="00ED72A8">
            <w:pPr>
              <w:rPr>
                <w:rFonts w:cs="Arial"/>
              </w:rPr>
            </w:pPr>
            <w:r w:rsidRPr="00ED72A8">
              <w:t>↔</w:t>
            </w:r>
          </w:p>
        </w:tc>
        <w:tc>
          <w:tcPr>
            <w:tcW w:w="3167" w:type="dxa"/>
          </w:tcPr>
          <w:p w14:paraId="0928EDD4" w14:textId="177971AE" w:rsidR="00ED72A8" w:rsidRPr="00ED72A8" w:rsidRDefault="00ED72A8" w:rsidP="00ED72A8">
            <w:pPr>
              <w:rPr>
                <w:rFonts w:cs="Arial"/>
              </w:rPr>
            </w:pPr>
            <w:r w:rsidRPr="00ED72A8">
              <w:t>↓</w:t>
            </w:r>
          </w:p>
        </w:tc>
      </w:tr>
      <w:tr w:rsidR="00ED72A8" w14:paraId="0F04FC8F" w14:textId="77777777" w:rsidTr="00ED72A8">
        <w:tc>
          <w:tcPr>
            <w:tcW w:w="3166" w:type="dxa"/>
          </w:tcPr>
          <w:p w14:paraId="5168A6F8" w14:textId="290AF0B0" w:rsidR="00ED72A8" w:rsidRPr="00ED72A8" w:rsidRDefault="00ED72A8" w:rsidP="00ED72A8">
            <w:pPr>
              <w:rPr>
                <w:rFonts w:cs="Arial"/>
              </w:rPr>
            </w:pPr>
            <w:r w:rsidRPr="00ED72A8">
              <w:t>Карбамазепин</w:t>
            </w:r>
          </w:p>
        </w:tc>
        <w:tc>
          <w:tcPr>
            <w:tcW w:w="3167" w:type="dxa"/>
          </w:tcPr>
          <w:p w14:paraId="36DA4B44" w14:textId="23C04690" w:rsidR="00ED72A8" w:rsidRPr="00ED72A8" w:rsidRDefault="00ED72A8" w:rsidP="00ED72A8">
            <w:pPr>
              <w:rPr>
                <w:rFonts w:cs="Arial"/>
              </w:rPr>
            </w:pPr>
            <w:r w:rsidRPr="00ED72A8">
              <w:t>↔</w:t>
            </w:r>
          </w:p>
        </w:tc>
        <w:tc>
          <w:tcPr>
            <w:tcW w:w="3167" w:type="dxa"/>
          </w:tcPr>
          <w:p w14:paraId="6F865202" w14:textId="225FC5C0" w:rsidR="00ED72A8" w:rsidRPr="00ED72A8" w:rsidRDefault="00ED72A8" w:rsidP="00ED72A8">
            <w:pPr>
              <w:rPr>
                <w:rFonts w:cs="Arial"/>
              </w:rPr>
            </w:pPr>
            <w:r w:rsidRPr="00ED72A8">
              <w:t>↓</w:t>
            </w:r>
          </w:p>
        </w:tc>
      </w:tr>
      <w:tr w:rsidR="00ED72A8" w14:paraId="7A99F751" w14:textId="77777777" w:rsidTr="00ED72A8">
        <w:tc>
          <w:tcPr>
            <w:tcW w:w="3166" w:type="dxa"/>
          </w:tcPr>
          <w:p w14:paraId="4D59A7BB" w14:textId="4F321C82" w:rsidR="00ED72A8" w:rsidRPr="00ED72A8" w:rsidRDefault="00ED72A8" w:rsidP="00ED72A8">
            <w:pPr>
              <w:rPr>
                <w:rFonts w:cs="Arial"/>
              </w:rPr>
            </w:pPr>
            <w:r w:rsidRPr="00ED72A8">
              <w:lastRenderedPageBreak/>
              <w:t>Валпроева киселина</w:t>
            </w:r>
          </w:p>
        </w:tc>
        <w:tc>
          <w:tcPr>
            <w:tcW w:w="3167" w:type="dxa"/>
          </w:tcPr>
          <w:p w14:paraId="03848A1A" w14:textId="507C8530" w:rsidR="00ED72A8" w:rsidRPr="00ED72A8" w:rsidRDefault="00ED72A8" w:rsidP="00ED72A8">
            <w:pPr>
              <w:rPr>
                <w:rFonts w:cs="Arial"/>
              </w:rPr>
            </w:pPr>
            <w:r w:rsidRPr="00ED72A8">
              <w:t>↔</w:t>
            </w:r>
          </w:p>
        </w:tc>
        <w:tc>
          <w:tcPr>
            <w:tcW w:w="3167" w:type="dxa"/>
          </w:tcPr>
          <w:p w14:paraId="0EB2C0C5" w14:textId="540E53BC" w:rsidR="00ED72A8" w:rsidRPr="00ED72A8" w:rsidRDefault="00ED72A8" w:rsidP="00ED72A8">
            <w:pPr>
              <w:rPr>
                <w:rFonts w:cs="Arial"/>
              </w:rPr>
            </w:pPr>
            <w:r w:rsidRPr="00ED72A8">
              <w:t>↔</w:t>
            </w:r>
          </w:p>
        </w:tc>
      </w:tr>
      <w:tr w:rsidR="00ED72A8" w14:paraId="2FF1FDF4" w14:textId="77777777" w:rsidTr="00ED72A8">
        <w:tc>
          <w:tcPr>
            <w:tcW w:w="3166" w:type="dxa"/>
          </w:tcPr>
          <w:p w14:paraId="7FB1CFA4" w14:textId="44AF3035" w:rsidR="00ED72A8" w:rsidRPr="00ED72A8" w:rsidRDefault="00ED72A8" w:rsidP="00ED72A8">
            <w:pPr>
              <w:rPr>
                <w:rFonts w:cs="Arial"/>
              </w:rPr>
            </w:pPr>
            <w:r w:rsidRPr="00ED72A8">
              <w:t>Ламотрижин</w:t>
            </w:r>
          </w:p>
        </w:tc>
        <w:tc>
          <w:tcPr>
            <w:tcW w:w="3167" w:type="dxa"/>
          </w:tcPr>
          <w:p w14:paraId="6377B219" w14:textId="0FD94416" w:rsidR="00ED72A8" w:rsidRPr="00ED72A8" w:rsidRDefault="00ED72A8" w:rsidP="00ED72A8">
            <w:pPr>
              <w:rPr>
                <w:rFonts w:cs="Arial"/>
              </w:rPr>
            </w:pPr>
            <w:r w:rsidRPr="00ED72A8">
              <w:t>↔</w:t>
            </w:r>
          </w:p>
        </w:tc>
        <w:tc>
          <w:tcPr>
            <w:tcW w:w="3167" w:type="dxa"/>
          </w:tcPr>
          <w:p w14:paraId="01F85C1A" w14:textId="1D15C9E0" w:rsidR="00ED72A8" w:rsidRPr="00ED72A8" w:rsidRDefault="00ED72A8" w:rsidP="00ED72A8">
            <w:pPr>
              <w:rPr>
                <w:rFonts w:cs="Arial"/>
              </w:rPr>
            </w:pPr>
            <w:r w:rsidRPr="00ED72A8">
              <w:t>↔</w:t>
            </w:r>
          </w:p>
        </w:tc>
      </w:tr>
      <w:tr w:rsidR="00ED72A8" w14:paraId="2E6AE65C" w14:textId="77777777" w:rsidTr="00ED72A8">
        <w:tc>
          <w:tcPr>
            <w:tcW w:w="3166" w:type="dxa"/>
          </w:tcPr>
          <w:p w14:paraId="71A84F6F" w14:textId="67EE4D98" w:rsidR="00ED72A8" w:rsidRPr="00ED72A8" w:rsidRDefault="00ED72A8" w:rsidP="00ED72A8">
            <w:pPr>
              <w:rPr>
                <w:rFonts w:cs="Arial"/>
              </w:rPr>
            </w:pPr>
            <w:r w:rsidRPr="00ED72A8">
              <w:t>Фенобарбитал</w:t>
            </w:r>
          </w:p>
        </w:tc>
        <w:tc>
          <w:tcPr>
            <w:tcW w:w="3167" w:type="dxa"/>
          </w:tcPr>
          <w:p w14:paraId="60FC4557" w14:textId="3C23BB67" w:rsidR="00ED72A8" w:rsidRPr="00ED72A8" w:rsidRDefault="00ED72A8" w:rsidP="00ED72A8">
            <w:pPr>
              <w:rPr>
                <w:rFonts w:cs="Arial"/>
              </w:rPr>
            </w:pPr>
            <w:r w:rsidRPr="00ED72A8">
              <w:t>↔</w:t>
            </w:r>
          </w:p>
        </w:tc>
        <w:tc>
          <w:tcPr>
            <w:tcW w:w="3167" w:type="dxa"/>
          </w:tcPr>
          <w:p w14:paraId="48FD09B9" w14:textId="41D92992" w:rsidR="00ED72A8" w:rsidRPr="00ED72A8" w:rsidRDefault="00ED72A8" w:rsidP="00ED72A8">
            <w:pPr>
              <w:rPr>
                <w:rFonts w:cs="Arial"/>
              </w:rPr>
            </w:pPr>
            <w:r w:rsidRPr="00ED72A8">
              <w:t>НП</w:t>
            </w:r>
          </w:p>
        </w:tc>
      </w:tr>
      <w:tr w:rsidR="00ED72A8" w14:paraId="1BFC33FA" w14:textId="77777777" w:rsidTr="00ED72A8">
        <w:tc>
          <w:tcPr>
            <w:tcW w:w="3166" w:type="dxa"/>
          </w:tcPr>
          <w:p w14:paraId="56141D54" w14:textId="431CA6FF" w:rsidR="00ED72A8" w:rsidRPr="00ED72A8" w:rsidRDefault="00ED72A8" w:rsidP="00ED72A8">
            <w:pPr>
              <w:rPr>
                <w:rFonts w:cs="Arial"/>
              </w:rPr>
            </w:pPr>
            <w:r w:rsidRPr="00ED72A8">
              <w:t>Примидон</w:t>
            </w:r>
          </w:p>
        </w:tc>
        <w:tc>
          <w:tcPr>
            <w:tcW w:w="3167" w:type="dxa"/>
          </w:tcPr>
          <w:p w14:paraId="5CB60B69" w14:textId="3D3F6020" w:rsidR="00ED72A8" w:rsidRPr="00ED72A8" w:rsidRDefault="00ED72A8" w:rsidP="00ED72A8">
            <w:pPr>
              <w:rPr>
                <w:rFonts w:cs="Arial"/>
              </w:rPr>
            </w:pPr>
            <w:r w:rsidRPr="00ED72A8">
              <w:t>↔</w:t>
            </w:r>
          </w:p>
        </w:tc>
        <w:tc>
          <w:tcPr>
            <w:tcW w:w="3167" w:type="dxa"/>
          </w:tcPr>
          <w:p w14:paraId="4EE0AA90" w14:textId="43577D26" w:rsidR="00ED72A8" w:rsidRPr="00ED72A8" w:rsidRDefault="00ED72A8" w:rsidP="00ED72A8">
            <w:pPr>
              <w:rPr>
                <w:rFonts w:cs="Arial"/>
              </w:rPr>
            </w:pPr>
            <w:r w:rsidRPr="00ED72A8">
              <w:t>НП</w:t>
            </w:r>
          </w:p>
        </w:tc>
      </w:tr>
    </w:tbl>
    <w:p w14:paraId="5E5D11C9" w14:textId="2101DEB5" w:rsidR="00ED72A8" w:rsidRDefault="00ED72A8" w:rsidP="00ED72A8">
      <w:pPr>
        <w:rPr>
          <w:rFonts w:cs="Arial"/>
          <w:sz w:val="24"/>
        </w:rPr>
      </w:pPr>
    </w:p>
    <w:p w14:paraId="3A45D11B" w14:textId="77777777" w:rsidR="00ED72A8" w:rsidRPr="00ED72A8" w:rsidRDefault="00ED72A8" w:rsidP="00ED72A8">
      <w:pPr>
        <w:spacing w:line="240" w:lineRule="auto"/>
        <w:rPr>
          <w:rFonts w:eastAsia="Times New Roman" w:cs="Arial"/>
          <w:lang w:eastAsia="bg-BG"/>
        </w:rPr>
      </w:pPr>
      <w:r w:rsidRPr="00ED72A8">
        <w:rPr>
          <w:rFonts w:eastAsia="Times New Roman" w:cs="Arial"/>
          <w:color w:val="000000"/>
          <w:lang w:eastAsia="bg-BG"/>
        </w:rPr>
        <w:t>↔ = без ефект върху плазмените концентрации (</w:t>
      </w:r>
      <w:r w:rsidRPr="00ED72A8">
        <w:rPr>
          <w:rFonts w:eastAsia="Times New Roman" w:cs="Arial"/>
          <w:color w:val="000000"/>
          <w:lang w:val="en-US"/>
        </w:rPr>
        <w:t xml:space="preserve"> </w:t>
      </w:r>
      <w:r w:rsidRPr="00ED72A8">
        <w:rPr>
          <w:rFonts w:eastAsia="Times New Roman" w:cs="Arial"/>
          <w:color w:val="000000"/>
          <w:lang w:eastAsia="bg-BG"/>
        </w:rPr>
        <w:t>≤ 15% промяна)</w:t>
      </w:r>
    </w:p>
    <w:p w14:paraId="2373D473" w14:textId="77777777" w:rsidR="00ED72A8" w:rsidRPr="00ED72A8" w:rsidRDefault="00ED72A8" w:rsidP="00ED72A8">
      <w:pPr>
        <w:spacing w:line="240" w:lineRule="auto"/>
        <w:rPr>
          <w:rFonts w:eastAsia="Times New Roman" w:cs="Arial"/>
          <w:lang w:eastAsia="bg-BG"/>
        </w:rPr>
      </w:pPr>
      <w:r w:rsidRPr="00ED72A8">
        <w:rPr>
          <w:rFonts w:eastAsia="Times New Roman" w:cs="Arial"/>
          <w:color w:val="000000"/>
          <w:lang w:eastAsia="bg-BG"/>
        </w:rPr>
        <w:t>** = Плазмената концентрация нараства при отделни пациенти</w:t>
      </w:r>
    </w:p>
    <w:p w14:paraId="2DA9F8E0" w14:textId="77777777" w:rsidR="00ED72A8" w:rsidRPr="00ED72A8" w:rsidRDefault="00ED72A8" w:rsidP="00ED72A8">
      <w:pPr>
        <w:spacing w:line="240" w:lineRule="auto"/>
        <w:rPr>
          <w:rFonts w:eastAsia="Times New Roman" w:cs="Arial"/>
          <w:lang w:eastAsia="bg-BG"/>
        </w:rPr>
      </w:pPr>
      <w:r w:rsidRPr="00ED72A8">
        <w:rPr>
          <w:rFonts w:eastAsia="Times New Roman" w:cs="Arial"/>
          <w:color w:val="000000"/>
          <w:lang w:eastAsia="bg-BG"/>
        </w:rPr>
        <w:t>↓ = Плазмената концентрация се понижава</w:t>
      </w:r>
    </w:p>
    <w:p w14:paraId="6CBD6C95" w14:textId="77777777" w:rsidR="00ED72A8" w:rsidRPr="00ED72A8" w:rsidRDefault="00ED72A8" w:rsidP="00ED72A8">
      <w:pPr>
        <w:spacing w:line="240" w:lineRule="auto"/>
        <w:rPr>
          <w:rFonts w:eastAsia="Times New Roman" w:cs="Arial"/>
          <w:lang w:eastAsia="bg-BG"/>
        </w:rPr>
      </w:pPr>
      <w:r w:rsidRPr="00ED72A8">
        <w:rPr>
          <w:rFonts w:eastAsia="Times New Roman" w:cs="Arial"/>
          <w:color w:val="000000"/>
          <w:lang w:eastAsia="bg-BG"/>
        </w:rPr>
        <w:t>НП = Не е проучван</w:t>
      </w:r>
    </w:p>
    <w:p w14:paraId="39FB8DB6" w14:textId="77777777" w:rsidR="00ED72A8" w:rsidRPr="00ED72A8" w:rsidRDefault="00ED72A8" w:rsidP="00ED72A8">
      <w:pPr>
        <w:spacing w:line="240" w:lineRule="auto"/>
        <w:rPr>
          <w:rFonts w:eastAsia="Times New Roman" w:cs="Arial"/>
          <w:lang w:eastAsia="bg-BG"/>
        </w:rPr>
      </w:pPr>
      <w:r w:rsidRPr="00ED72A8">
        <w:rPr>
          <w:rFonts w:eastAsia="Times New Roman" w:cs="Arial"/>
          <w:color w:val="000000"/>
          <w:lang w:eastAsia="bg-BG"/>
        </w:rPr>
        <w:t>АЕЛ - антиепелиптично лекарство</w:t>
      </w:r>
    </w:p>
    <w:p w14:paraId="01163E8D" w14:textId="77777777" w:rsidR="00ED72A8" w:rsidRPr="00ED72A8" w:rsidRDefault="00ED72A8" w:rsidP="00ED72A8">
      <w:pPr>
        <w:spacing w:line="240" w:lineRule="auto"/>
        <w:rPr>
          <w:rFonts w:eastAsia="Times New Roman" w:cs="Arial"/>
          <w:color w:val="000000"/>
          <w:u w:val="single"/>
          <w:lang w:eastAsia="bg-BG"/>
        </w:rPr>
      </w:pPr>
    </w:p>
    <w:p w14:paraId="02784315" w14:textId="7EF466BC" w:rsidR="00ED72A8" w:rsidRPr="00ED72A8" w:rsidRDefault="00ED72A8" w:rsidP="00ED72A8">
      <w:pPr>
        <w:spacing w:line="240" w:lineRule="auto"/>
        <w:rPr>
          <w:rFonts w:eastAsia="Times New Roman" w:cs="Arial"/>
          <w:lang w:eastAsia="bg-BG"/>
        </w:rPr>
      </w:pPr>
      <w:r w:rsidRPr="00ED72A8">
        <w:rPr>
          <w:rFonts w:eastAsia="Times New Roman" w:cs="Arial"/>
          <w:color w:val="000000"/>
          <w:u w:val="single"/>
          <w:lang w:eastAsia="bg-BG"/>
        </w:rPr>
        <w:t>Други лекарствени взаимодействия</w:t>
      </w:r>
    </w:p>
    <w:p w14:paraId="01D63158" w14:textId="77777777" w:rsidR="00ED72A8" w:rsidRPr="00ED72A8" w:rsidRDefault="00ED72A8" w:rsidP="00ED72A8">
      <w:pPr>
        <w:spacing w:line="240" w:lineRule="auto"/>
        <w:rPr>
          <w:rFonts w:eastAsia="Times New Roman" w:cs="Arial"/>
          <w:i/>
          <w:iCs/>
          <w:color w:val="000000"/>
          <w:lang w:eastAsia="bg-BG"/>
        </w:rPr>
      </w:pPr>
    </w:p>
    <w:p w14:paraId="5AB22670" w14:textId="4D6A4B43" w:rsidR="00ED72A8" w:rsidRPr="00ED72A8" w:rsidRDefault="00ED72A8" w:rsidP="00ED72A8">
      <w:pPr>
        <w:spacing w:line="240" w:lineRule="auto"/>
        <w:rPr>
          <w:rFonts w:eastAsia="Times New Roman" w:cs="Arial"/>
          <w:lang w:eastAsia="bg-BG"/>
        </w:rPr>
      </w:pPr>
      <w:r w:rsidRPr="00ED72A8">
        <w:rPr>
          <w:rFonts w:eastAsia="Times New Roman" w:cs="Arial"/>
          <w:i/>
          <w:iCs/>
          <w:color w:val="000000"/>
          <w:lang w:eastAsia="bg-BG"/>
        </w:rPr>
        <w:t>Дигоксин</w:t>
      </w:r>
    </w:p>
    <w:p w14:paraId="7F797E2A" w14:textId="77777777" w:rsidR="00ED72A8" w:rsidRPr="00ED72A8" w:rsidRDefault="00ED72A8" w:rsidP="00ED72A8">
      <w:pPr>
        <w:spacing w:line="240" w:lineRule="auto"/>
        <w:rPr>
          <w:rFonts w:eastAsia="Times New Roman" w:cs="Arial"/>
          <w:lang w:eastAsia="bg-BG"/>
        </w:rPr>
      </w:pPr>
      <w:r w:rsidRPr="00ED72A8">
        <w:rPr>
          <w:rFonts w:eastAsia="Times New Roman" w:cs="Arial"/>
          <w:color w:val="000000"/>
          <w:lang w:eastAsia="bg-BG"/>
        </w:rPr>
        <w:t xml:space="preserve">При проучване с еднократна доза, площта под кривата </w:t>
      </w:r>
      <w:r w:rsidRPr="00ED72A8">
        <w:rPr>
          <w:rFonts w:eastAsia="Times New Roman" w:cs="Arial"/>
          <w:color w:val="000000"/>
          <w:lang w:val="en-US"/>
        </w:rPr>
        <w:t xml:space="preserve">(AUC) </w:t>
      </w:r>
      <w:r w:rsidRPr="00ED72A8">
        <w:rPr>
          <w:rFonts w:eastAsia="Times New Roman" w:cs="Arial"/>
          <w:color w:val="000000"/>
          <w:lang w:eastAsia="bg-BG"/>
        </w:rPr>
        <w:t>на серумния дигоксин намалява с 12% при едновременно лечение с Топилекс. Клиничната значимост на това наблюдение не е установена. Когато към терапия с дигоксин се добави или прекрати лечение с Топилекс, трябва да се обърне внимание на рутинното мониториране на серумните нива на дигоксин.</w:t>
      </w:r>
    </w:p>
    <w:p w14:paraId="712E8B2D" w14:textId="77777777" w:rsidR="00ED72A8" w:rsidRPr="00ED72A8" w:rsidRDefault="00ED72A8" w:rsidP="00ED72A8">
      <w:pPr>
        <w:spacing w:line="240" w:lineRule="auto"/>
        <w:rPr>
          <w:rFonts w:eastAsia="Times New Roman" w:cs="Arial"/>
          <w:i/>
          <w:iCs/>
          <w:color w:val="000000"/>
          <w:lang w:eastAsia="bg-BG"/>
        </w:rPr>
      </w:pPr>
    </w:p>
    <w:p w14:paraId="72E9FC2D" w14:textId="318FB564" w:rsidR="00ED72A8" w:rsidRPr="00ED72A8" w:rsidRDefault="00ED72A8" w:rsidP="00ED72A8">
      <w:pPr>
        <w:spacing w:line="240" w:lineRule="auto"/>
        <w:rPr>
          <w:rFonts w:eastAsia="Times New Roman" w:cs="Arial"/>
          <w:lang w:eastAsia="bg-BG"/>
        </w:rPr>
      </w:pPr>
      <w:r w:rsidRPr="00ED72A8">
        <w:rPr>
          <w:rFonts w:eastAsia="Times New Roman" w:cs="Arial"/>
          <w:i/>
          <w:iCs/>
          <w:color w:val="000000"/>
          <w:lang w:eastAsia="bg-BG"/>
        </w:rPr>
        <w:t>Депресанти на ЦНС</w:t>
      </w:r>
    </w:p>
    <w:p w14:paraId="157C5258" w14:textId="77777777" w:rsidR="00ED72A8" w:rsidRPr="00ED72A8" w:rsidRDefault="00ED72A8" w:rsidP="00ED72A8">
      <w:pPr>
        <w:spacing w:line="240" w:lineRule="auto"/>
        <w:rPr>
          <w:rFonts w:eastAsia="Times New Roman" w:cs="Arial"/>
          <w:lang w:eastAsia="bg-BG"/>
        </w:rPr>
      </w:pPr>
      <w:r w:rsidRPr="00ED72A8">
        <w:rPr>
          <w:rFonts w:eastAsia="Times New Roman" w:cs="Arial"/>
          <w:color w:val="000000"/>
          <w:lang w:eastAsia="bg-BG"/>
        </w:rPr>
        <w:t>Едновременното приложение на Топилекс и алкохол, или други депресанти на ЦНС не е оценявано в клинични изпитвания. Препоръчва се Топилекс да не се приема едновременно с алкохол или други депресанти на ЦНС.</w:t>
      </w:r>
    </w:p>
    <w:p w14:paraId="4D16CE47" w14:textId="77777777" w:rsidR="00ED72A8" w:rsidRPr="00ED72A8" w:rsidRDefault="00ED72A8" w:rsidP="00ED72A8">
      <w:pPr>
        <w:spacing w:line="240" w:lineRule="auto"/>
        <w:rPr>
          <w:rFonts w:eastAsia="Times New Roman" w:cs="Arial"/>
          <w:i/>
          <w:iCs/>
          <w:color w:val="000000"/>
          <w:lang w:eastAsia="bg-BG"/>
        </w:rPr>
      </w:pPr>
    </w:p>
    <w:p w14:paraId="5D6FC785" w14:textId="219E32FD" w:rsidR="00ED72A8" w:rsidRPr="00ED72A8" w:rsidRDefault="00ED72A8" w:rsidP="00ED72A8">
      <w:pPr>
        <w:spacing w:line="240" w:lineRule="auto"/>
        <w:rPr>
          <w:rFonts w:eastAsia="Times New Roman" w:cs="Arial"/>
          <w:lang w:eastAsia="bg-BG"/>
        </w:rPr>
      </w:pPr>
      <w:r w:rsidRPr="00ED72A8">
        <w:rPr>
          <w:rFonts w:eastAsia="Times New Roman" w:cs="Arial"/>
          <w:i/>
          <w:iCs/>
          <w:color w:val="000000"/>
          <w:lang w:eastAsia="bg-BG"/>
        </w:rPr>
        <w:t xml:space="preserve">Жълт кантарион </w:t>
      </w:r>
      <w:r w:rsidRPr="00ED72A8">
        <w:rPr>
          <w:rFonts w:eastAsia="Times New Roman" w:cs="Arial"/>
          <w:i/>
          <w:iCs/>
          <w:color w:val="000000"/>
          <w:lang w:val="en-US"/>
        </w:rPr>
        <w:t>(</w:t>
      </w:r>
      <w:proofErr w:type="spellStart"/>
      <w:r w:rsidRPr="00ED72A8">
        <w:rPr>
          <w:rFonts w:eastAsia="Times New Roman" w:cs="Arial"/>
          <w:i/>
          <w:iCs/>
          <w:color w:val="000000"/>
          <w:lang w:val="en-US"/>
        </w:rPr>
        <w:t>Hypericum</w:t>
      </w:r>
      <w:proofErr w:type="spellEnd"/>
      <w:r w:rsidRPr="00ED72A8">
        <w:rPr>
          <w:rFonts w:eastAsia="Times New Roman" w:cs="Arial"/>
          <w:i/>
          <w:iCs/>
          <w:color w:val="000000"/>
          <w:lang w:val="en-US"/>
        </w:rPr>
        <w:t xml:space="preserve"> </w:t>
      </w:r>
      <w:proofErr w:type="spellStart"/>
      <w:r w:rsidRPr="00ED72A8">
        <w:rPr>
          <w:rFonts w:eastAsia="Times New Roman" w:cs="Arial"/>
          <w:i/>
          <w:iCs/>
          <w:color w:val="000000"/>
          <w:lang w:val="en-US"/>
        </w:rPr>
        <w:t>perforatum</w:t>
      </w:r>
      <w:proofErr w:type="spellEnd"/>
      <w:r w:rsidRPr="00ED72A8">
        <w:rPr>
          <w:rFonts w:eastAsia="Times New Roman" w:cs="Arial"/>
          <w:i/>
          <w:iCs/>
          <w:color w:val="000000"/>
          <w:lang w:val="en-US"/>
        </w:rPr>
        <w:t>)</w:t>
      </w:r>
    </w:p>
    <w:p w14:paraId="24461315" w14:textId="77777777" w:rsidR="00ED72A8" w:rsidRPr="00ED72A8" w:rsidRDefault="00ED72A8" w:rsidP="00ED72A8">
      <w:pPr>
        <w:spacing w:line="240" w:lineRule="auto"/>
        <w:rPr>
          <w:rFonts w:eastAsia="Times New Roman" w:cs="Arial"/>
          <w:lang w:eastAsia="bg-BG"/>
        </w:rPr>
      </w:pPr>
      <w:r w:rsidRPr="00ED72A8">
        <w:rPr>
          <w:rFonts w:eastAsia="Times New Roman" w:cs="Arial"/>
          <w:color w:val="000000"/>
          <w:lang w:eastAsia="bg-BG"/>
        </w:rPr>
        <w:t>Риск от намаляване на плазмената концентрация, водещо до загуба на ефикасността, се наблюдава при едновременна употреба на топирамат и жълт кантарион. Няма клинични изпитвания, оценяващи тези потенциални взаимодействия</w:t>
      </w:r>
    </w:p>
    <w:p w14:paraId="6FF51B8A" w14:textId="77777777" w:rsidR="00ED72A8" w:rsidRPr="00ED72A8" w:rsidRDefault="00ED72A8" w:rsidP="00ED72A8">
      <w:pPr>
        <w:rPr>
          <w:rFonts w:eastAsia="Times New Roman" w:cs="Arial"/>
          <w:i/>
          <w:iCs/>
          <w:color w:val="000000"/>
          <w:lang w:eastAsia="bg-BG"/>
        </w:rPr>
      </w:pPr>
    </w:p>
    <w:p w14:paraId="5FC978B4" w14:textId="112FC068" w:rsidR="00ED72A8" w:rsidRPr="00ED72A8" w:rsidRDefault="00ED72A8" w:rsidP="00ED72A8">
      <w:pPr>
        <w:rPr>
          <w:rFonts w:cs="Arial"/>
        </w:rPr>
      </w:pPr>
      <w:r w:rsidRPr="00ED72A8">
        <w:rPr>
          <w:rFonts w:eastAsia="Times New Roman" w:cs="Arial"/>
          <w:i/>
          <w:iCs/>
          <w:color w:val="000000"/>
          <w:lang w:eastAsia="bg-BG"/>
        </w:rPr>
        <w:t>Перорални контрацептиви</w:t>
      </w:r>
    </w:p>
    <w:p w14:paraId="23EB50E6" w14:textId="77777777" w:rsidR="00ED72A8" w:rsidRPr="00ED72A8" w:rsidRDefault="00ED72A8" w:rsidP="00ED72A8">
      <w:pPr>
        <w:spacing w:line="240" w:lineRule="auto"/>
        <w:rPr>
          <w:rFonts w:eastAsia="Times New Roman" w:cs="Arial"/>
          <w:lang w:eastAsia="bg-BG"/>
        </w:rPr>
      </w:pPr>
      <w:r w:rsidRPr="00ED72A8">
        <w:rPr>
          <w:rFonts w:eastAsia="Times New Roman" w:cs="Arial"/>
          <w:color w:val="000000"/>
          <w:lang w:eastAsia="bg-BG"/>
        </w:rPr>
        <w:t xml:space="preserve">В проучване на фармакокинетичните взаимодействия при здрави доброволци с едновременно приложена комбинация от контрацептивен продукт, съдържащ 1 </w:t>
      </w:r>
      <w:r w:rsidRPr="00ED72A8">
        <w:rPr>
          <w:rFonts w:eastAsia="Times New Roman" w:cs="Arial"/>
          <w:color w:val="000000"/>
          <w:lang w:val="en-US"/>
        </w:rPr>
        <w:t xml:space="preserve">mg </w:t>
      </w:r>
      <w:r w:rsidRPr="00ED72A8">
        <w:rPr>
          <w:rFonts w:eastAsia="Times New Roman" w:cs="Arial"/>
          <w:color w:val="000000"/>
          <w:lang w:eastAsia="bg-BG"/>
        </w:rPr>
        <w:t xml:space="preserve">норетиндрон </w:t>
      </w:r>
      <w:r w:rsidRPr="00ED72A8">
        <w:rPr>
          <w:rFonts w:eastAsia="Times New Roman" w:cs="Arial"/>
          <w:color w:val="000000"/>
          <w:lang w:val="en-US"/>
        </w:rPr>
        <w:t xml:space="preserve">(NET) </w:t>
      </w:r>
      <w:r w:rsidRPr="00ED72A8">
        <w:rPr>
          <w:rFonts w:eastAsia="Times New Roman" w:cs="Arial"/>
          <w:color w:val="000000"/>
          <w:lang w:eastAsia="bg-BG"/>
        </w:rPr>
        <w:t>и 35 μ</w:t>
      </w:r>
      <w:r w:rsidRPr="00ED72A8">
        <w:rPr>
          <w:rFonts w:eastAsia="Times New Roman" w:cs="Arial"/>
          <w:color w:val="000000"/>
          <w:lang w:val="en-US"/>
        </w:rPr>
        <w:t xml:space="preserve">g </w:t>
      </w:r>
      <w:r w:rsidRPr="00ED72A8">
        <w:rPr>
          <w:rFonts w:eastAsia="Times New Roman" w:cs="Arial"/>
          <w:color w:val="000000"/>
          <w:lang w:eastAsia="bg-BG"/>
        </w:rPr>
        <w:t xml:space="preserve">етинилестрадиол (ЕЕ), Топилекс, приеман в отсъствие на други медикаменти в дози от 50 до 200 </w:t>
      </w:r>
      <w:r w:rsidRPr="00ED72A8">
        <w:rPr>
          <w:rFonts w:eastAsia="Times New Roman" w:cs="Arial"/>
          <w:color w:val="000000"/>
          <w:lang w:val="en-US"/>
        </w:rPr>
        <w:t xml:space="preserve">mg </w:t>
      </w:r>
      <w:r w:rsidRPr="00ED72A8">
        <w:rPr>
          <w:rFonts w:eastAsia="Times New Roman" w:cs="Arial"/>
          <w:color w:val="000000"/>
          <w:lang w:eastAsia="bg-BG"/>
        </w:rPr>
        <w:t xml:space="preserve">дневно, не се свързва със статистически значими промени в средната експозиция </w:t>
      </w:r>
      <w:r w:rsidRPr="00ED72A8">
        <w:rPr>
          <w:rFonts w:eastAsia="Times New Roman" w:cs="Arial"/>
          <w:color w:val="000000"/>
          <w:lang w:val="en-US"/>
        </w:rPr>
        <w:t xml:space="preserve">(AUC) </w:t>
      </w:r>
      <w:r w:rsidRPr="00ED72A8">
        <w:rPr>
          <w:rFonts w:eastAsia="Times New Roman" w:cs="Arial"/>
          <w:color w:val="000000"/>
          <w:lang w:eastAsia="bg-BG"/>
        </w:rPr>
        <w:t xml:space="preserve">на който и да е компонент на пероралните контрацептиви. В друго проучване експозицията на ЕЕ е статистически значимо понижена при дози от 200, 400 и 800 </w:t>
      </w:r>
      <w:r w:rsidRPr="00ED72A8">
        <w:rPr>
          <w:rFonts w:eastAsia="Times New Roman" w:cs="Arial"/>
          <w:color w:val="000000"/>
          <w:lang w:val="en-US"/>
        </w:rPr>
        <w:t xml:space="preserve">mg </w:t>
      </w:r>
      <w:r w:rsidRPr="00ED72A8">
        <w:rPr>
          <w:rFonts w:eastAsia="Times New Roman" w:cs="Arial"/>
          <w:color w:val="000000"/>
          <w:lang w:eastAsia="bg-BG"/>
        </w:rPr>
        <w:t xml:space="preserve">дневно (съответно 18%, 21% и 30%), когато Топилекс е приеман като допълнителна терапия при пациенти с епилепсия на лечение с валпроева киселина. И в двете изпитвания Топилекс (50-200 </w:t>
      </w:r>
      <w:r w:rsidRPr="00ED72A8">
        <w:rPr>
          <w:rFonts w:eastAsia="Times New Roman" w:cs="Arial"/>
          <w:color w:val="000000"/>
          <w:lang w:val="en-US"/>
        </w:rPr>
        <w:t xml:space="preserve">mg </w:t>
      </w:r>
      <w:r w:rsidRPr="00ED72A8">
        <w:rPr>
          <w:rFonts w:eastAsia="Times New Roman" w:cs="Arial"/>
          <w:color w:val="000000"/>
          <w:lang w:eastAsia="bg-BG"/>
        </w:rPr>
        <w:t xml:space="preserve">дневно при здрави доброволци и 200-800 </w:t>
      </w:r>
      <w:r w:rsidRPr="00ED72A8">
        <w:rPr>
          <w:rFonts w:eastAsia="Times New Roman" w:cs="Arial"/>
          <w:color w:val="000000"/>
          <w:lang w:val="en-US"/>
        </w:rPr>
        <w:t xml:space="preserve">mg </w:t>
      </w:r>
      <w:r w:rsidRPr="00ED72A8">
        <w:rPr>
          <w:rFonts w:eastAsia="Times New Roman" w:cs="Arial"/>
          <w:color w:val="000000"/>
          <w:lang w:eastAsia="bg-BG"/>
        </w:rPr>
        <w:t xml:space="preserve">дневно при пациенти с епилепсия) не повлиява значително експозицията на </w:t>
      </w:r>
      <w:r w:rsidRPr="00ED72A8">
        <w:rPr>
          <w:rFonts w:eastAsia="Times New Roman" w:cs="Arial"/>
          <w:color w:val="000000"/>
          <w:lang w:val="en-US"/>
        </w:rPr>
        <w:t xml:space="preserve">NET. </w:t>
      </w:r>
      <w:r w:rsidRPr="00ED72A8">
        <w:rPr>
          <w:rFonts w:eastAsia="Times New Roman" w:cs="Arial"/>
          <w:color w:val="000000"/>
          <w:lang w:eastAsia="bg-BG"/>
        </w:rPr>
        <w:t xml:space="preserve">Въпреки наличието на дозозависимо понижение на експозицията на ЕЕ при дози между 200-800 </w:t>
      </w:r>
      <w:r w:rsidRPr="00ED72A8">
        <w:rPr>
          <w:rFonts w:eastAsia="Times New Roman" w:cs="Arial"/>
          <w:color w:val="000000"/>
          <w:lang w:val="en-US"/>
        </w:rPr>
        <w:t xml:space="preserve">mg </w:t>
      </w:r>
      <w:r w:rsidRPr="00ED72A8">
        <w:rPr>
          <w:rFonts w:eastAsia="Times New Roman" w:cs="Arial"/>
          <w:color w:val="000000"/>
          <w:lang w:eastAsia="bg-BG"/>
        </w:rPr>
        <w:t xml:space="preserve">дневно (при пациенти с епилепсия), няма значима дозозависима промяна в експозицията на ЕЕ при дневни дози от 50-200 </w:t>
      </w:r>
      <w:r w:rsidRPr="00ED72A8">
        <w:rPr>
          <w:rFonts w:eastAsia="Times New Roman" w:cs="Arial"/>
          <w:color w:val="000000"/>
          <w:lang w:val="en-US"/>
        </w:rPr>
        <w:t xml:space="preserve">mg </w:t>
      </w:r>
      <w:r w:rsidRPr="00ED72A8">
        <w:rPr>
          <w:rFonts w:eastAsia="Times New Roman" w:cs="Arial"/>
          <w:color w:val="000000"/>
          <w:lang w:eastAsia="bg-BG"/>
        </w:rPr>
        <w:t xml:space="preserve">(при здрави доброволци). Клиничната значимост на наблюдаваните промени не е известна. Може да се допусне възможността за намалена контрацептивна ефективност и повишено кървене по време на междуменструалните периоди при пациентки, приемащи комбинация от орален контрацептивен продукт и Топилекс. Пациентките, които приемат естроген-съдържащи контрацептиви, трябва да бъдат помолени да съобщават за всички промени в </w:t>
      </w:r>
      <w:r w:rsidRPr="00ED72A8">
        <w:rPr>
          <w:rFonts w:eastAsia="Times New Roman" w:cs="Arial"/>
          <w:color w:val="000000"/>
          <w:lang w:eastAsia="bg-BG"/>
        </w:rPr>
        <w:lastRenderedPageBreak/>
        <w:t>протичането на менструално кървене. Ефикасността на контрацептивите може да намалее, дори и при отсъствие на кървене по време на междуменструалните периоди.</w:t>
      </w:r>
    </w:p>
    <w:p w14:paraId="1A8320AF" w14:textId="77777777" w:rsidR="00ED72A8" w:rsidRPr="00ED72A8" w:rsidRDefault="00ED72A8" w:rsidP="00ED72A8">
      <w:pPr>
        <w:spacing w:line="240" w:lineRule="auto"/>
        <w:rPr>
          <w:rFonts w:eastAsia="Times New Roman" w:cs="Arial"/>
          <w:i/>
          <w:iCs/>
          <w:color w:val="000000"/>
          <w:lang w:eastAsia="bg-BG"/>
        </w:rPr>
      </w:pPr>
    </w:p>
    <w:p w14:paraId="158B3BC8" w14:textId="2888932E" w:rsidR="00ED72A8" w:rsidRPr="00ED72A8" w:rsidRDefault="00ED72A8" w:rsidP="00ED72A8">
      <w:pPr>
        <w:spacing w:line="240" w:lineRule="auto"/>
        <w:rPr>
          <w:rFonts w:eastAsia="Times New Roman" w:cs="Arial"/>
          <w:lang w:eastAsia="bg-BG"/>
        </w:rPr>
      </w:pPr>
      <w:r w:rsidRPr="00ED72A8">
        <w:rPr>
          <w:rFonts w:eastAsia="Times New Roman" w:cs="Arial"/>
          <w:i/>
          <w:iCs/>
          <w:color w:val="000000"/>
          <w:lang w:eastAsia="bg-BG"/>
        </w:rPr>
        <w:t>Литий</w:t>
      </w:r>
    </w:p>
    <w:p w14:paraId="1981324A" w14:textId="77777777" w:rsidR="00ED72A8" w:rsidRPr="00ED72A8" w:rsidRDefault="00ED72A8" w:rsidP="00ED72A8">
      <w:pPr>
        <w:spacing w:line="240" w:lineRule="auto"/>
        <w:rPr>
          <w:rFonts w:eastAsia="Times New Roman" w:cs="Arial"/>
          <w:lang w:eastAsia="bg-BG"/>
        </w:rPr>
      </w:pPr>
      <w:r w:rsidRPr="00ED72A8">
        <w:rPr>
          <w:rFonts w:eastAsia="Times New Roman" w:cs="Arial"/>
          <w:color w:val="000000"/>
          <w:lang w:eastAsia="bg-BG"/>
        </w:rPr>
        <w:t xml:space="preserve">При здрави доброволци се наблюдава понижаване (18% за </w:t>
      </w:r>
      <w:r w:rsidRPr="00ED72A8">
        <w:rPr>
          <w:rFonts w:eastAsia="Times New Roman" w:cs="Arial"/>
          <w:color w:val="000000"/>
          <w:lang w:val="en-US"/>
        </w:rPr>
        <w:t xml:space="preserve">AUC) </w:t>
      </w:r>
      <w:r w:rsidRPr="00ED72A8">
        <w:rPr>
          <w:rFonts w:eastAsia="Times New Roman" w:cs="Arial"/>
          <w:color w:val="000000"/>
          <w:lang w:eastAsia="bg-BG"/>
        </w:rPr>
        <w:t xml:space="preserve">в системната експозиция на литий по време на едновременното му приложение с топирамат в доза от 200 </w:t>
      </w:r>
      <w:r w:rsidRPr="00ED72A8">
        <w:rPr>
          <w:rFonts w:eastAsia="Times New Roman" w:cs="Arial"/>
          <w:color w:val="000000"/>
          <w:lang w:val="en-US"/>
        </w:rPr>
        <w:t xml:space="preserve">mg </w:t>
      </w:r>
      <w:r w:rsidRPr="00ED72A8">
        <w:rPr>
          <w:rFonts w:eastAsia="Times New Roman" w:cs="Arial"/>
          <w:color w:val="000000"/>
          <w:lang w:eastAsia="bg-BG"/>
        </w:rPr>
        <w:t xml:space="preserve">дневно. При пациенти с биполярно разстройство фармакокинетиката на литий не се повлиява по време на лечение с топирамат в дози от 200 </w:t>
      </w:r>
      <w:r w:rsidRPr="00ED72A8">
        <w:rPr>
          <w:rFonts w:eastAsia="Times New Roman" w:cs="Arial"/>
          <w:color w:val="000000"/>
          <w:lang w:val="en-US"/>
        </w:rPr>
        <w:t xml:space="preserve">mg </w:t>
      </w:r>
      <w:r w:rsidRPr="00ED72A8">
        <w:rPr>
          <w:rFonts w:eastAsia="Times New Roman" w:cs="Arial"/>
          <w:color w:val="000000"/>
          <w:lang w:eastAsia="bg-BG"/>
        </w:rPr>
        <w:t xml:space="preserve">дневно, но се наблюдава повишаване на системната експозиция (26% за </w:t>
      </w:r>
      <w:r w:rsidRPr="00ED72A8">
        <w:rPr>
          <w:rFonts w:eastAsia="Times New Roman" w:cs="Arial"/>
          <w:color w:val="000000"/>
          <w:lang w:val="en-US"/>
        </w:rPr>
        <w:t xml:space="preserve">AUC) </w:t>
      </w:r>
      <w:r w:rsidRPr="00ED72A8">
        <w:rPr>
          <w:rFonts w:eastAsia="Times New Roman" w:cs="Arial"/>
          <w:color w:val="000000"/>
          <w:lang w:eastAsia="bg-BG"/>
        </w:rPr>
        <w:t xml:space="preserve">при дози топирамат до 600 </w:t>
      </w:r>
      <w:r w:rsidRPr="00ED72A8">
        <w:rPr>
          <w:rFonts w:eastAsia="Times New Roman" w:cs="Arial"/>
          <w:color w:val="000000"/>
          <w:lang w:val="en-US"/>
        </w:rPr>
        <w:t xml:space="preserve">mg </w:t>
      </w:r>
      <w:r w:rsidRPr="00ED72A8">
        <w:rPr>
          <w:rFonts w:eastAsia="Times New Roman" w:cs="Arial"/>
          <w:color w:val="000000"/>
          <w:lang w:eastAsia="bg-BG"/>
        </w:rPr>
        <w:t>дневно. Нивото на литий трябва да се следи при едновременно приложение с топирамат,</w:t>
      </w:r>
    </w:p>
    <w:p w14:paraId="5C14E456" w14:textId="77777777" w:rsidR="00ED72A8" w:rsidRPr="00ED72A8" w:rsidRDefault="00ED72A8" w:rsidP="00ED72A8">
      <w:pPr>
        <w:spacing w:line="240" w:lineRule="auto"/>
        <w:rPr>
          <w:rFonts w:eastAsia="Times New Roman" w:cs="Arial"/>
          <w:i/>
          <w:iCs/>
          <w:color w:val="000000"/>
          <w:lang w:eastAsia="bg-BG"/>
        </w:rPr>
      </w:pPr>
    </w:p>
    <w:p w14:paraId="0C72F111" w14:textId="65D29E6F" w:rsidR="00ED72A8" w:rsidRPr="00ED72A8" w:rsidRDefault="00ED72A8" w:rsidP="00ED72A8">
      <w:pPr>
        <w:spacing w:line="240" w:lineRule="auto"/>
        <w:rPr>
          <w:rFonts w:eastAsia="Times New Roman" w:cs="Arial"/>
          <w:lang w:eastAsia="bg-BG"/>
        </w:rPr>
      </w:pPr>
      <w:r w:rsidRPr="00ED72A8">
        <w:rPr>
          <w:rFonts w:eastAsia="Times New Roman" w:cs="Arial"/>
          <w:i/>
          <w:iCs/>
          <w:color w:val="000000"/>
          <w:lang w:eastAsia="bg-BG"/>
        </w:rPr>
        <w:t>Рисперидон</w:t>
      </w:r>
    </w:p>
    <w:p w14:paraId="3096C4C9" w14:textId="77777777" w:rsidR="00ED72A8" w:rsidRPr="00ED72A8" w:rsidRDefault="00ED72A8" w:rsidP="00ED72A8">
      <w:pPr>
        <w:spacing w:line="240" w:lineRule="auto"/>
        <w:rPr>
          <w:rFonts w:eastAsia="Times New Roman" w:cs="Arial"/>
          <w:lang w:eastAsia="bg-BG"/>
        </w:rPr>
      </w:pPr>
      <w:r w:rsidRPr="00ED72A8">
        <w:rPr>
          <w:rFonts w:eastAsia="Times New Roman" w:cs="Arial"/>
          <w:color w:val="000000"/>
          <w:lang w:eastAsia="bg-BG"/>
        </w:rPr>
        <w:t xml:space="preserve">Проучвания на лекарствени взаимодействия, проведени с еднократни дози при здрави доброволци и многократни дози при пациенти с биполярно разстройство, дават сходни резултати. Приложен едновременно с топирамат при увеличаващи се дози от 100, 250 и 400 </w:t>
      </w:r>
      <w:r w:rsidRPr="00ED72A8">
        <w:rPr>
          <w:rFonts w:eastAsia="Times New Roman" w:cs="Arial"/>
          <w:color w:val="000000"/>
          <w:lang w:val="en-US"/>
        </w:rPr>
        <w:t xml:space="preserve">mg </w:t>
      </w:r>
      <w:r w:rsidRPr="00ED72A8">
        <w:rPr>
          <w:rFonts w:eastAsia="Times New Roman" w:cs="Arial"/>
          <w:color w:val="000000"/>
          <w:lang w:eastAsia="bg-BG"/>
        </w:rPr>
        <w:t xml:space="preserve">дневно, се наблюдава понижаване в системната експозиция на рисперидон, приложен в дози в диапазона от 1 до 6 </w:t>
      </w:r>
      <w:r w:rsidRPr="00ED72A8">
        <w:rPr>
          <w:rFonts w:eastAsia="Times New Roman" w:cs="Arial"/>
          <w:color w:val="000000"/>
          <w:lang w:val="en-US"/>
        </w:rPr>
        <w:t xml:space="preserve">mg </w:t>
      </w:r>
      <w:r w:rsidRPr="00ED72A8">
        <w:rPr>
          <w:rFonts w:eastAsia="Times New Roman" w:cs="Arial"/>
          <w:color w:val="000000"/>
          <w:lang w:eastAsia="bg-BG"/>
        </w:rPr>
        <w:t xml:space="preserve">дневно) (16% и 33% за стационарна </w:t>
      </w:r>
      <w:r w:rsidRPr="00ED72A8">
        <w:rPr>
          <w:rFonts w:eastAsia="Times New Roman" w:cs="Arial"/>
          <w:color w:val="000000"/>
          <w:lang w:val="en-US"/>
        </w:rPr>
        <w:t xml:space="preserve">AUC </w:t>
      </w:r>
      <w:r w:rsidRPr="00ED72A8">
        <w:rPr>
          <w:rFonts w:eastAsia="Times New Roman" w:cs="Arial"/>
          <w:color w:val="000000"/>
          <w:lang w:eastAsia="bg-BG"/>
        </w:rPr>
        <w:t xml:space="preserve">съответно при дневно дози от 250 и 400 </w:t>
      </w:r>
      <w:r w:rsidRPr="00ED72A8">
        <w:rPr>
          <w:rFonts w:eastAsia="Times New Roman" w:cs="Arial"/>
          <w:color w:val="000000"/>
          <w:lang w:val="en-US"/>
        </w:rPr>
        <w:t xml:space="preserve">mg). </w:t>
      </w:r>
      <w:r w:rsidRPr="00ED72A8">
        <w:rPr>
          <w:rFonts w:eastAsia="Times New Roman" w:cs="Arial"/>
          <w:color w:val="000000"/>
          <w:lang w:eastAsia="bg-BG"/>
        </w:rPr>
        <w:t xml:space="preserve">Разликите в </w:t>
      </w:r>
      <w:r w:rsidRPr="00ED72A8">
        <w:rPr>
          <w:rFonts w:eastAsia="Times New Roman" w:cs="Arial"/>
          <w:color w:val="000000"/>
          <w:lang w:val="en-US"/>
        </w:rPr>
        <w:t xml:space="preserve">AUC </w:t>
      </w:r>
      <w:r w:rsidRPr="00ED72A8">
        <w:rPr>
          <w:rFonts w:eastAsia="Times New Roman" w:cs="Arial"/>
          <w:color w:val="000000"/>
          <w:lang w:eastAsia="bg-BG"/>
        </w:rPr>
        <w:t xml:space="preserve">на общата активна фракция между лечение само с рисперидон и в комбинация с топирамат не са статистически значими. Наблюдават се минимални промени във фармакокинетиката на цялата активна фракция (рисперидон и 9-хидроксирисперидон), а при 9-хидроксирисперидон не се наблюдават никакви промени. Няма значими промени в системната експозиция на цялата активна фракция на рисперидон, както и на топирамат. При добавяне на топирамат (250-400 </w:t>
      </w:r>
      <w:r w:rsidRPr="00ED72A8">
        <w:rPr>
          <w:rFonts w:eastAsia="Times New Roman" w:cs="Arial"/>
          <w:color w:val="000000"/>
          <w:lang w:val="en-US"/>
        </w:rPr>
        <w:t xml:space="preserve">mg </w:t>
      </w:r>
      <w:r w:rsidRPr="00ED72A8">
        <w:rPr>
          <w:rFonts w:eastAsia="Times New Roman" w:cs="Arial"/>
          <w:color w:val="000000"/>
          <w:lang w:eastAsia="bg-BG"/>
        </w:rPr>
        <w:t xml:space="preserve">дневно) към лечението с рисперидон (1-6 </w:t>
      </w:r>
      <w:r w:rsidRPr="00ED72A8">
        <w:rPr>
          <w:rFonts w:eastAsia="Times New Roman" w:cs="Arial"/>
          <w:color w:val="000000"/>
          <w:lang w:val="en-US"/>
        </w:rPr>
        <w:t xml:space="preserve">mg </w:t>
      </w:r>
      <w:r w:rsidRPr="00ED72A8">
        <w:rPr>
          <w:rFonts w:eastAsia="Times New Roman" w:cs="Arial"/>
          <w:color w:val="000000"/>
          <w:lang w:eastAsia="bg-BG"/>
        </w:rPr>
        <w:t>дневно), нежелани събития се съобщават по-често отколкото преди добавянето му (90% и съответно 54%). Най-често съобщаваните нежелани събития при добавяне на топирамат към лечението с рисперидон са: сънливост (27% и 12%), парестезия (22% и 0%) и гадене (18% и съответно 9%).</w:t>
      </w:r>
    </w:p>
    <w:p w14:paraId="50303E4B" w14:textId="77777777" w:rsidR="00ED72A8" w:rsidRPr="00ED72A8" w:rsidRDefault="00ED72A8" w:rsidP="00ED72A8">
      <w:pPr>
        <w:spacing w:line="240" w:lineRule="auto"/>
        <w:rPr>
          <w:rFonts w:eastAsia="Times New Roman" w:cs="Arial"/>
          <w:i/>
          <w:iCs/>
          <w:color w:val="000000"/>
          <w:lang w:eastAsia="bg-BG"/>
        </w:rPr>
      </w:pPr>
    </w:p>
    <w:p w14:paraId="230821EC" w14:textId="4059CD92" w:rsidR="00ED72A8" w:rsidRPr="00ED72A8" w:rsidRDefault="00ED72A8" w:rsidP="00ED72A8">
      <w:pPr>
        <w:spacing w:line="240" w:lineRule="auto"/>
        <w:rPr>
          <w:rFonts w:eastAsia="Times New Roman" w:cs="Arial"/>
          <w:lang w:eastAsia="bg-BG"/>
        </w:rPr>
      </w:pPr>
      <w:r w:rsidRPr="00ED72A8">
        <w:rPr>
          <w:rFonts w:eastAsia="Times New Roman" w:cs="Arial"/>
          <w:i/>
          <w:iCs/>
          <w:color w:val="000000"/>
          <w:lang w:eastAsia="bg-BG"/>
        </w:rPr>
        <w:t xml:space="preserve">Хидрохлоротиазид </w:t>
      </w:r>
      <w:r w:rsidRPr="00ED72A8">
        <w:rPr>
          <w:rFonts w:eastAsia="Times New Roman" w:cs="Arial"/>
          <w:i/>
          <w:iCs/>
          <w:color w:val="000000"/>
          <w:lang w:val="en-US"/>
        </w:rPr>
        <w:t>(HCTZ)</w:t>
      </w:r>
    </w:p>
    <w:p w14:paraId="5B2761C5" w14:textId="0A0A187B" w:rsidR="0091385D" w:rsidRPr="00ED72A8" w:rsidRDefault="00ED72A8" w:rsidP="00ED72A8">
      <w:pPr>
        <w:rPr>
          <w:rFonts w:cs="Arial"/>
        </w:rPr>
      </w:pPr>
      <w:r w:rsidRPr="00ED72A8">
        <w:rPr>
          <w:rFonts w:eastAsia="Times New Roman" w:cs="Arial"/>
          <w:color w:val="000000"/>
          <w:lang w:eastAsia="bg-BG"/>
        </w:rPr>
        <w:t xml:space="preserve">При проучване на лекарствени взаимодействия, проведено при здрави доброволци, е оценена фармакокинетиката при плазмена концентрация в стационарно състояние на </w:t>
      </w:r>
      <w:r w:rsidRPr="00ED72A8">
        <w:rPr>
          <w:rFonts w:eastAsia="Times New Roman" w:cs="Arial"/>
          <w:color w:val="000000"/>
          <w:lang w:val="en-US"/>
        </w:rPr>
        <w:t xml:space="preserve">HCTZ </w:t>
      </w:r>
      <w:r w:rsidRPr="00ED72A8">
        <w:rPr>
          <w:rFonts w:eastAsia="Times New Roman" w:cs="Arial"/>
          <w:color w:val="000000"/>
          <w:lang w:eastAsia="bg-BG"/>
        </w:rPr>
        <w:t xml:space="preserve">(25 </w:t>
      </w:r>
      <w:r w:rsidRPr="00ED72A8">
        <w:rPr>
          <w:rFonts w:eastAsia="Times New Roman" w:cs="Arial"/>
          <w:color w:val="000000"/>
          <w:lang w:val="en-US"/>
        </w:rPr>
        <w:t xml:space="preserve">mg </w:t>
      </w:r>
      <w:r w:rsidRPr="00ED72A8">
        <w:rPr>
          <w:rFonts w:eastAsia="Times New Roman" w:cs="Arial"/>
          <w:color w:val="000000"/>
          <w:lang w:eastAsia="bg-BG"/>
        </w:rPr>
        <w:t xml:space="preserve">на всеки 24 часа) и на топирамат (96 </w:t>
      </w:r>
      <w:r w:rsidRPr="00ED72A8">
        <w:rPr>
          <w:rFonts w:eastAsia="Times New Roman" w:cs="Arial"/>
          <w:color w:val="000000"/>
          <w:lang w:val="en-US"/>
        </w:rPr>
        <w:t xml:space="preserve">mg </w:t>
      </w:r>
      <w:r w:rsidRPr="00ED72A8">
        <w:rPr>
          <w:rFonts w:eastAsia="Times New Roman" w:cs="Arial"/>
          <w:color w:val="000000"/>
          <w:lang w:eastAsia="bg-BG"/>
        </w:rPr>
        <w:t xml:space="preserve">на всеки 12 часа), приложени самостоятелно и едновременно. Резултатите от проучването сочат, че Стах на топирамат се увеличава с 27%, а </w:t>
      </w:r>
      <w:r w:rsidRPr="00ED72A8">
        <w:rPr>
          <w:rFonts w:eastAsia="Times New Roman" w:cs="Arial"/>
          <w:color w:val="000000"/>
          <w:lang w:val="en-US"/>
        </w:rPr>
        <w:t xml:space="preserve">AUC </w:t>
      </w:r>
      <w:r w:rsidRPr="00ED72A8">
        <w:rPr>
          <w:rFonts w:eastAsia="Times New Roman" w:cs="Arial"/>
          <w:color w:val="000000"/>
          <w:lang w:eastAsia="bg-BG"/>
        </w:rPr>
        <w:t xml:space="preserve">с 29%, когато към него се добави </w:t>
      </w:r>
      <w:r w:rsidRPr="00ED72A8">
        <w:rPr>
          <w:rFonts w:eastAsia="Times New Roman" w:cs="Arial"/>
          <w:i/>
          <w:iCs/>
          <w:color w:val="000000"/>
          <w:lang w:val="en-US"/>
        </w:rPr>
        <w:t>HCTZ.</w:t>
      </w:r>
      <w:r w:rsidRPr="00ED72A8">
        <w:rPr>
          <w:rFonts w:eastAsia="Times New Roman" w:cs="Arial"/>
          <w:color w:val="000000"/>
          <w:lang w:val="en-US"/>
        </w:rPr>
        <w:t xml:space="preserve"> </w:t>
      </w:r>
      <w:r w:rsidRPr="00ED72A8">
        <w:rPr>
          <w:rFonts w:eastAsia="Times New Roman" w:cs="Arial"/>
          <w:color w:val="000000"/>
          <w:lang w:eastAsia="bg-BG"/>
        </w:rPr>
        <w:t xml:space="preserve">Клиничната значимост на тези промени не е установена. Добавянето на </w:t>
      </w:r>
      <w:r w:rsidRPr="00ED72A8">
        <w:rPr>
          <w:rFonts w:eastAsia="Times New Roman" w:cs="Arial"/>
          <w:color w:val="000000"/>
          <w:lang w:val="en-US"/>
        </w:rPr>
        <w:t xml:space="preserve">HCTZ </w:t>
      </w:r>
      <w:r w:rsidRPr="00ED72A8">
        <w:rPr>
          <w:rFonts w:eastAsia="Times New Roman" w:cs="Arial"/>
          <w:color w:val="000000"/>
          <w:lang w:eastAsia="bg-BG"/>
        </w:rPr>
        <w:t>към терапия с топирамат може да наложи коригиране на дозата на топирамат. Фармакокинетиката при плазмена концентрация в стационарно състояние</w:t>
      </w:r>
      <w:r w:rsidRPr="00ED72A8">
        <w:rPr>
          <w:rFonts w:eastAsia="Times New Roman" w:cs="Arial"/>
          <w:color w:val="000000"/>
          <w:u w:val="single"/>
          <w:lang w:eastAsia="bg-BG"/>
        </w:rPr>
        <w:t xml:space="preserve"> </w:t>
      </w:r>
      <w:r w:rsidRPr="00ED72A8">
        <w:rPr>
          <w:rFonts w:eastAsia="Times New Roman" w:cs="Arial"/>
          <w:color w:val="000000"/>
          <w:lang w:eastAsia="bg-BG"/>
        </w:rPr>
        <w:t xml:space="preserve">на </w:t>
      </w:r>
      <w:r w:rsidRPr="00ED72A8">
        <w:rPr>
          <w:rFonts w:eastAsia="Times New Roman" w:cs="Arial"/>
          <w:i/>
          <w:iCs/>
          <w:color w:val="000000"/>
          <w:lang w:val="en-US"/>
        </w:rPr>
        <w:t>HCTZ</w:t>
      </w:r>
      <w:r w:rsidRPr="00ED72A8">
        <w:rPr>
          <w:rFonts w:eastAsia="Times New Roman" w:cs="Arial"/>
          <w:color w:val="000000"/>
          <w:lang w:val="en-US"/>
        </w:rPr>
        <w:t xml:space="preserve"> </w:t>
      </w:r>
      <w:r w:rsidRPr="00ED72A8">
        <w:rPr>
          <w:rFonts w:eastAsia="Times New Roman" w:cs="Arial"/>
          <w:color w:val="000000"/>
          <w:lang w:eastAsia="bg-BG"/>
        </w:rPr>
        <w:t xml:space="preserve">не се повлиява значително от едновременното му приложение с топирамат. Резултатите от клиничните лабораторни изследвания сочат понижаване нивото на серумния калий след приложение на топирамат или </w:t>
      </w:r>
      <w:r w:rsidRPr="00ED72A8">
        <w:rPr>
          <w:rFonts w:eastAsia="Times New Roman" w:cs="Arial"/>
          <w:i/>
          <w:iCs/>
          <w:color w:val="000000"/>
          <w:lang w:val="en-US"/>
        </w:rPr>
        <w:t>HCTZ,</w:t>
      </w:r>
      <w:r w:rsidRPr="00ED72A8">
        <w:rPr>
          <w:rFonts w:eastAsia="Times New Roman" w:cs="Arial"/>
          <w:color w:val="000000"/>
          <w:lang w:val="en-US"/>
        </w:rPr>
        <w:t xml:space="preserve"> </w:t>
      </w:r>
      <w:r w:rsidRPr="00ED72A8">
        <w:rPr>
          <w:rFonts w:eastAsia="Times New Roman" w:cs="Arial"/>
          <w:color w:val="000000"/>
          <w:lang w:eastAsia="bg-BG"/>
        </w:rPr>
        <w:t>което е по-високо при едновременното им приложение.</w:t>
      </w:r>
    </w:p>
    <w:p w14:paraId="75DBF163" w14:textId="2938479F" w:rsidR="00ED72A8" w:rsidRDefault="00ED72A8" w:rsidP="0091385D"/>
    <w:p w14:paraId="6DBE1D8C" w14:textId="77777777" w:rsidR="00ED72A8" w:rsidRPr="00ED72A8" w:rsidRDefault="00ED72A8" w:rsidP="00ED72A8">
      <w:pPr>
        <w:spacing w:line="240" w:lineRule="auto"/>
        <w:rPr>
          <w:rFonts w:eastAsia="Times New Roman" w:cs="Arial"/>
          <w:sz w:val="28"/>
          <w:szCs w:val="24"/>
          <w:lang w:eastAsia="bg-BG"/>
        </w:rPr>
      </w:pPr>
      <w:r w:rsidRPr="00ED72A8">
        <w:rPr>
          <w:rFonts w:eastAsia="Times New Roman" w:cs="Arial"/>
          <w:i/>
          <w:iCs/>
          <w:color w:val="000000"/>
          <w:szCs w:val="20"/>
          <w:lang w:eastAsia="bg-BG"/>
        </w:rPr>
        <w:t>Метформин</w:t>
      </w:r>
    </w:p>
    <w:p w14:paraId="31806AAA" w14:textId="77777777" w:rsidR="00ED72A8" w:rsidRPr="00ED72A8" w:rsidRDefault="00ED72A8" w:rsidP="00ED72A8">
      <w:pPr>
        <w:spacing w:line="240" w:lineRule="auto"/>
        <w:rPr>
          <w:rFonts w:eastAsia="Times New Roman" w:cs="Arial"/>
          <w:sz w:val="28"/>
          <w:szCs w:val="24"/>
          <w:lang w:eastAsia="bg-BG"/>
        </w:rPr>
      </w:pPr>
      <w:r w:rsidRPr="00ED72A8">
        <w:rPr>
          <w:rFonts w:eastAsia="Times New Roman" w:cs="Arial"/>
          <w:i/>
          <w:iCs/>
          <w:color w:val="000000"/>
          <w:szCs w:val="20"/>
          <w:lang w:eastAsia="bg-BG"/>
        </w:rPr>
        <w:t>При</w:t>
      </w:r>
      <w:r w:rsidRPr="00ED72A8">
        <w:rPr>
          <w:rFonts w:eastAsia="Times New Roman" w:cs="Arial"/>
          <w:color w:val="000000"/>
          <w:szCs w:val="20"/>
          <w:lang w:eastAsia="bg-BG"/>
        </w:rPr>
        <w:t xml:space="preserve"> проучване на лекарствени взаимодействия, проведено при здрави доброволци, е оценена стационарната фармакокинетика на метформин и топирамат в плазмата при самостоятелно приложение на метформин и при едновременното му приложение с топирамат. Резултатите от проучването сочат, че средната Стах на метформин и средната </w:t>
      </w:r>
      <w:r w:rsidRPr="00ED72A8">
        <w:rPr>
          <w:rFonts w:eastAsia="Times New Roman" w:cs="Arial"/>
          <w:color w:val="000000"/>
          <w:szCs w:val="20"/>
          <w:lang w:val="en-US"/>
        </w:rPr>
        <w:t xml:space="preserve">AUC0-12h </w:t>
      </w:r>
      <w:r w:rsidRPr="00ED72A8">
        <w:rPr>
          <w:rFonts w:eastAsia="Times New Roman" w:cs="Arial"/>
          <w:color w:val="000000"/>
          <w:szCs w:val="20"/>
          <w:lang w:eastAsia="bg-BG"/>
        </w:rPr>
        <w:t xml:space="preserve">се увеличават съответно с 18% и 25%, докато средното </w:t>
      </w:r>
      <w:r w:rsidRPr="00ED72A8">
        <w:rPr>
          <w:rFonts w:eastAsia="Times New Roman" w:cs="Arial"/>
          <w:color w:val="000000"/>
          <w:szCs w:val="20"/>
          <w:lang w:val="en-US"/>
        </w:rPr>
        <w:t xml:space="preserve">CL/F </w:t>
      </w:r>
      <w:r w:rsidRPr="00ED72A8">
        <w:rPr>
          <w:rFonts w:eastAsia="Times New Roman" w:cs="Arial"/>
          <w:color w:val="000000"/>
          <w:szCs w:val="20"/>
          <w:lang w:eastAsia="bg-BG"/>
        </w:rPr>
        <w:t xml:space="preserve">намалява с 20%, когато метформин се прилага заедно с топирамат. Топирамат не повлиява </w:t>
      </w:r>
      <w:proofErr w:type="spellStart"/>
      <w:r w:rsidRPr="00ED72A8">
        <w:rPr>
          <w:rFonts w:eastAsia="Times New Roman" w:cs="Arial"/>
          <w:color w:val="000000"/>
          <w:szCs w:val="20"/>
          <w:lang w:val="en-US"/>
        </w:rPr>
        <w:t>tmax</w:t>
      </w:r>
      <w:proofErr w:type="spellEnd"/>
      <w:r w:rsidRPr="00ED72A8">
        <w:rPr>
          <w:rFonts w:eastAsia="Times New Roman" w:cs="Arial"/>
          <w:color w:val="000000"/>
          <w:szCs w:val="20"/>
          <w:lang w:val="en-US"/>
        </w:rPr>
        <w:t xml:space="preserve"> </w:t>
      </w:r>
      <w:r w:rsidRPr="00ED72A8">
        <w:rPr>
          <w:rFonts w:eastAsia="Times New Roman" w:cs="Arial"/>
          <w:color w:val="000000"/>
          <w:szCs w:val="20"/>
          <w:lang w:eastAsia="bg-BG"/>
        </w:rPr>
        <w:t xml:space="preserve">на метформин. Клиничната значимост на ефекта на топирамат върху </w:t>
      </w:r>
      <w:r w:rsidRPr="00ED72A8">
        <w:rPr>
          <w:rFonts w:eastAsia="Times New Roman" w:cs="Arial"/>
          <w:color w:val="000000"/>
          <w:szCs w:val="20"/>
          <w:lang w:eastAsia="bg-BG"/>
        </w:rPr>
        <w:lastRenderedPageBreak/>
        <w:t>фармакокинетиката на метформин не е установена. Пероралният плазмен клирънс на топирамат намалява при едновременно приложение с метформин. Степента на промяна в клирънса не е известна. Клиничната значимост на ефекта на метформин върху фармакокинетиката на топирамат не е установена.</w:t>
      </w:r>
    </w:p>
    <w:p w14:paraId="2688B754" w14:textId="77777777"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Когато Топилекс се добави или приложението му се прекрати при пациенти на терапия с метформин, трябва да се обърне особено внимание при рутинното мониториране на пациентите за постигане на адекватен контрол на тяхното диабетно заболяване.</w:t>
      </w:r>
    </w:p>
    <w:p w14:paraId="5776BE77" w14:textId="77777777" w:rsidR="00ED72A8" w:rsidRPr="00ED72A8" w:rsidRDefault="00ED72A8" w:rsidP="00ED72A8">
      <w:pPr>
        <w:spacing w:line="240" w:lineRule="auto"/>
        <w:rPr>
          <w:rFonts w:eastAsia="Times New Roman" w:cs="Arial"/>
          <w:i/>
          <w:iCs/>
          <w:color w:val="000000"/>
          <w:szCs w:val="20"/>
          <w:lang w:eastAsia="bg-BG"/>
        </w:rPr>
      </w:pPr>
    </w:p>
    <w:p w14:paraId="65EDD480" w14:textId="1745450D" w:rsidR="00ED72A8" w:rsidRPr="00ED72A8" w:rsidRDefault="00ED72A8" w:rsidP="00ED72A8">
      <w:pPr>
        <w:spacing w:line="240" w:lineRule="auto"/>
        <w:rPr>
          <w:rFonts w:eastAsia="Times New Roman" w:cs="Arial"/>
          <w:sz w:val="28"/>
          <w:szCs w:val="24"/>
          <w:lang w:eastAsia="bg-BG"/>
        </w:rPr>
      </w:pPr>
      <w:r w:rsidRPr="00ED72A8">
        <w:rPr>
          <w:rFonts w:eastAsia="Times New Roman" w:cs="Arial"/>
          <w:i/>
          <w:iCs/>
          <w:color w:val="000000"/>
          <w:szCs w:val="20"/>
          <w:lang w:eastAsia="bg-BG"/>
        </w:rPr>
        <w:t>Пиоглитазон</w:t>
      </w:r>
    </w:p>
    <w:p w14:paraId="6FFE1B2C" w14:textId="77777777"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 xml:space="preserve">При проучване на лекарствени взаимодействия, проведено при здрави доброволци, е оценена фармакокинетиката при плазмена концентрация в стационарно състояние на топирамат и пиоглитазон, приложени самостоятелно и едновременно. Наблюдава се 15% намаление на </w:t>
      </w:r>
      <w:proofErr w:type="spellStart"/>
      <w:r w:rsidRPr="00ED72A8">
        <w:rPr>
          <w:rFonts w:eastAsia="Times New Roman" w:cs="Arial"/>
          <w:smallCaps/>
          <w:color w:val="000000"/>
          <w:szCs w:val="20"/>
          <w:lang w:val="en-US"/>
        </w:rPr>
        <w:t>AUCῑ,ss</w:t>
      </w:r>
      <w:proofErr w:type="spellEnd"/>
      <w:r w:rsidRPr="00ED72A8">
        <w:rPr>
          <w:rFonts w:eastAsia="Times New Roman" w:cs="Arial"/>
          <w:color w:val="000000"/>
          <w:szCs w:val="20"/>
          <w:lang w:val="en-US"/>
        </w:rPr>
        <w:t xml:space="preserve"> </w:t>
      </w:r>
      <w:r w:rsidRPr="00ED72A8">
        <w:rPr>
          <w:rFonts w:eastAsia="Times New Roman" w:cs="Arial"/>
          <w:color w:val="000000"/>
          <w:szCs w:val="20"/>
          <w:lang w:eastAsia="bg-BG"/>
        </w:rPr>
        <w:t xml:space="preserve">на пиоглитазон без промяна на </w:t>
      </w:r>
      <w:proofErr w:type="spellStart"/>
      <w:r w:rsidRPr="00ED72A8">
        <w:rPr>
          <w:rFonts w:eastAsia="Times New Roman" w:cs="Arial"/>
          <w:color w:val="000000"/>
          <w:szCs w:val="20"/>
          <w:lang w:val="en-US"/>
        </w:rPr>
        <w:t>Cmax,ss</w:t>
      </w:r>
      <w:proofErr w:type="spellEnd"/>
      <w:r w:rsidRPr="00ED72A8">
        <w:rPr>
          <w:rFonts w:eastAsia="Times New Roman" w:cs="Arial"/>
          <w:color w:val="000000"/>
          <w:szCs w:val="20"/>
          <w:lang w:val="en-US"/>
        </w:rPr>
        <w:t xml:space="preserve">. </w:t>
      </w:r>
      <w:r w:rsidRPr="00ED72A8">
        <w:rPr>
          <w:rFonts w:eastAsia="Times New Roman" w:cs="Arial"/>
          <w:color w:val="000000"/>
          <w:szCs w:val="20"/>
          <w:lang w:eastAsia="bg-BG"/>
        </w:rPr>
        <w:t xml:space="preserve">Това откритие не е статистически значимо. Освен това се наблюдават 13% и 16% намаление съответно на </w:t>
      </w:r>
      <w:proofErr w:type="spellStart"/>
      <w:r w:rsidRPr="00ED72A8">
        <w:rPr>
          <w:rFonts w:eastAsia="Times New Roman" w:cs="Arial"/>
          <w:color w:val="000000"/>
          <w:szCs w:val="20"/>
          <w:lang w:val="en-US"/>
        </w:rPr>
        <w:t>Cmax,ss</w:t>
      </w:r>
      <w:proofErr w:type="spellEnd"/>
      <w:r w:rsidRPr="00ED72A8">
        <w:rPr>
          <w:rFonts w:eastAsia="Times New Roman" w:cs="Arial"/>
          <w:color w:val="000000"/>
          <w:szCs w:val="20"/>
          <w:lang w:val="en-US"/>
        </w:rPr>
        <w:t xml:space="preserve"> </w:t>
      </w:r>
      <w:r w:rsidRPr="00ED72A8">
        <w:rPr>
          <w:rFonts w:eastAsia="Times New Roman" w:cs="Arial"/>
          <w:color w:val="000000"/>
          <w:szCs w:val="20"/>
          <w:lang w:eastAsia="bg-BG"/>
        </w:rPr>
        <w:t xml:space="preserve">и </w:t>
      </w:r>
      <w:proofErr w:type="spellStart"/>
      <w:r w:rsidRPr="00ED72A8">
        <w:rPr>
          <w:rFonts w:eastAsia="Times New Roman" w:cs="Arial"/>
          <w:smallCaps/>
          <w:color w:val="000000"/>
          <w:szCs w:val="20"/>
          <w:lang w:val="en-US"/>
        </w:rPr>
        <w:t>AUCῑ,ss</w:t>
      </w:r>
      <w:proofErr w:type="spellEnd"/>
      <w:r w:rsidRPr="00ED72A8">
        <w:rPr>
          <w:rFonts w:eastAsia="Times New Roman" w:cs="Arial"/>
          <w:color w:val="000000"/>
          <w:szCs w:val="20"/>
          <w:lang w:val="en-US"/>
        </w:rPr>
        <w:t xml:space="preserve"> </w:t>
      </w:r>
      <w:r w:rsidRPr="00ED72A8">
        <w:rPr>
          <w:rFonts w:eastAsia="Times New Roman" w:cs="Arial"/>
          <w:color w:val="000000"/>
          <w:szCs w:val="20"/>
          <w:lang w:eastAsia="bg-BG"/>
        </w:rPr>
        <w:t xml:space="preserve">на активния хидроксиметаболит, както и 60% намаление на </w:t>
      </w:r>
      <w:proofErr w:type="spellStart"/>
      <w:r w:rsidRPr="00ED72A8">
        <w:rPr>
          <w:rFonts w:eastAsia="Times New Roman" w:cs="Arial"/>
          <w:color w:val="000000"/>
          <w:szCs w:val="20"/>
          <w:lang w:val="en-US"/>
        </w:rPr>
        <w:t>Cmax,ss</w:t>
      </w:r>
      <w:proofErr w:type="spellEnd"/>
      <w:r w:rsidRPr="00ED72A8">
        <w:rPr>
          <w:rFonts w:eastAsia="Times New Roman" w:cs="Arial"/>
          <w:color w:val="000000"/>
          <w:szCs w:val="20"/>
          <w:lang w:val="en-US"/>
        </w:rPr>
        <w:t xml:space="preserve"> </w:t>
      </w:r>
      <w:r w:rsidRPr="00ED72A8">
        <w:rPr>
          <w:rFonts w:eastAsia="Times New Roman" w:cs="Arial"/>
          <w:color w:val="000000"/>
          <w:szCs w:val="20"/>
          <w:lang w:eastAsia="bg-BG"/>
        </w:rPr>
        <w:t xml:space="preserve">и </w:t>
      </w:r>
      <w:proofErr w:type="spellStart"/>
      <w:r w:rsidRPr="00ED72A8">
        <w:rPr>
          <w:rFonts w:eastAsia="Times New Roman" w:cs="Arial"/>
          <w:color w:val="000000"/>
          <w:szCs w:val="20"/>
          <w:lang w:val="en-US"/>
        </w:rPr>
        <w:t>AUC</w:t>
      </w:r>
      <w:r w:rsidRPr="00ED72A8">
        <w:rPr>
          <w:rFonts w:eastAsia="Times New Roman" w:cs="Arial"/>
          <w:smallCaps/>
          <w:color w:val="000000"/>
          <w:szCs w:val="20"/>
          <w:lang w:val="en-US"/>
        </w:rPr>
        <w:t>ῑ</w:t>
      </w:r>
      <w:r w:rsidRPr="00ED72A8">
        <w:rPr>
          <w:rFonts w:eastAsia="Times New Roman" w:cs="Arial"/>
          <w:color w:val="000000"/>
          <w:szCs w:val="20"/>
          <w:lang w:val="en-US"/>
        </w:rPr>
        <w:t>,ss</w:t>
      </w:r>
      <w:proofErr w:type="spellEnd"/>
      <w:r w:rsidRPr="00ED72A8">
        <w:rPr>
          <w:rFonts w:eastAsia="Times New Roman" w:cs="Arial"/>
          <w:color w:val="000000"/>
          <w:szCs w:val="20"/>
          <w:lang w:val="en-US"/>
        </w:rPr>
        <w:t xml:space="preserve"> </w:t>
      </w:r>
      <w:r w:rsidRPr="00ED72A8">
        <w:rPr>
          <w:rFonts w:eastAsia="Times New Roman" w:cs="Arial"/>
          <w:color w:val="000000"/>
          <w:szCs w:val="20"/>
          <w:lang w:eastAsia="bg-BG"/>
        </w:rPr>
        <w:t>на активния кетометаболит. Клиничната значимост на тези открития не е установена. Когато Топилекс се добави към терапия с пиоглитазон или пиоглитазон се добави към терапия с Топилекс, трябва да се обърне особено внимание при рутинното мониториране на пациентите за постигане на адекватен контрол на тяхното диабетно заболяване.</w:t>
      </w:r>
    </w:p>
    <w:p w14:paraId="1E062A50" w14:textId="77777777" w:rsidR="00ED72A8" w:rsidRPr="00ED72A8" w:rsidRDefault="00ED72A8" w:rsidP="00ED72A8">
      <w:pPr>
        <w:spacing w:line="240" w:lineRule="auto"/>
        <w:rPr>
          <w:rFonts w:eastAsia="Times New Roman" w:cs="Arial"/>
          <w:i/>
          <w:iCs/>
          <w:color w:val="000000"/>
          <w:szCs w:val="20"/>
          <w:lang w:eastAsia="bg-BG"/>
        </w:rPr>
      </w:pPr>
    </w:p>
    <w:p w14:paraId="02655DAD" w14:textId="0175C4A9" w:rsidR="00ED72A8" w:rsidRPr="00ED72A8" w:rsidRDefault="00ED72A8" w:rsidP="00ED72A8">
      <w:pPr>
        <w:spacing w:line="240" w:lineRule="auto"/>
        <w:rPr>
          <w:rFonts w:eastAsia="Times New Roman" w:cs="Arial"/>
          <w:sz w:val="28"/>
          <w:szCs w:val="24"/>
          <w:lang w:eastAsia="bg-BG"/>
        </w:rPr>
      </w:pPr>
      <w:r w:rsidRPr="00ED72A8">
        <w:rPr>
          <w:rFonts w:eastAsia="Times New Roman" w:cs="Arial"/>
          <w:i/>
          <w:iCs/>
          <w:color w:val="000000"/>
          <w:szCs w:val="20"/>
          <w:lang w:eastAsia="bg-BG"/>
        </w:rPr>
        <w:t>Глибурид</w:t>
      </w:r>
    </w:p>
    <w:p w14:paraId="05C75E8A" w14:textId="77777777"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 xml:space="preserve">При проучване </w:t>
      </w:r>
      <w:r w:rsidRPr="00ED72A8">
        <w:rPr>
          <w:rFonts w:eastAsia="Times New Roman" w:cs="Arial"/>
          <w:i/>
          <w:iCs/>
          <w:color w:val="000000"/>
          <w:szCs w:val="20"/>
          <w:lang w:eastAsia="bg-BG"/>
        </w:rPr>
        <w:t>на</w:t>
      </w:r>
      <w:r w:rsidRPr="00ED72A8">
        <w:rPr>
          <w:rFonts w:eastAsia="Times New Roman" w:cs="Arial"/>
          <w:color w:val="000000"/>
          <w:szCs w:val="20"/>
          <w:lang w:eastAsia="bg-BG"/>
        </w:rPr>
        <w:t xml:space="preserve"> лекарствени взаимодействия, проведено при пациенти с диабет тип 2, е оценена фармакокинетиката при плазмена концентрация в стационарно състояние на глибурид (5 </w:t>
      </w:r>
      <w:r w:rsidRPr="00ED72A8">
        <w:rPr>
          <w:rFonts w:eastAsia="Times New Roman" w:cs="Arial"/>
          <w:color w:val="000000"/>
          <w:szCs w:val="20"/>
          <w:lang w:val="en-US"/>
        </w:rPr>
        <w:t xml:space="preserve">mg </w:t>
      </w:r>
      <w:r w:rsidRPr="00ED72A8">
        <w:rPr>
          <w:rFonts w:eastAsia="Times New Roman" w:cs="Arial"/>
          <w:color w:val="000000"/>
          <w:szCs w:val="20"/>
          <w:lang w:eastAsia="bg-BG"/>
        </w:rPr>
        <w:t xml:space="preserve">дневно), приложен самостоятелно и едновременно с топирамат (150 </w:t>
      </w:r>
      <w:r w:rsidRPr="00ED72A8">
        <w:rPr>
          <w:rFonts w:eastAsia="Times New Roman" w:cs="Arial"/>
          <w:color w:val="000000"/>
          <w:szCs w:val="20"/>
          <w:lang w:val="en-US"/>
        </w:rPr>
        <w:t xml:space="preserve">mg </w:t>
      </w:r>
      <w:r w:rsidRPr="00ED72A8">
        <w:rPr>
          <w:rFonts w:eastAsia="Times New Roman" w:cs="Arial"/>
          <w:color w:val="000000"/>
          <w:szCs w:val="20"/>
          <w:lang w:eastAsia="bg-BG"/>
        </w:rPr>
        <w:t xml:space="preserve">дневно). Наблюдава се 25% намаление на </w:t>
      </w:r>
      <w:r w:rsidRPr="00ED72A8">
        <w:rPr>
          <w:rFonts w:eastAsia="Times New Roman" w:cs="Arial"/>
          <w:color w:val="000000"/>
          <w:szCs w:val="20"/>
          <w:lang w:val="en-US"/>
        </w:rPr>
        <w:t xml:space="preserve">AUC24 </w:t>
      </w:r>
      <w:r w:rsidRPr="00ED72A8">
        <w:rPr>
          <w:rFonts w:eastAsia="Times New Roman" w:cs="Arial"/>
          <w:color w:val="000000"/>
          <w:szCs w:val="20"/>
          <w:lang w:eastAsia="bg-BG"/>
        </w:rPr>
        <w:t xml:space="preserve">на глибурид по време на приложението на топирамат. Системната експозиция на активните метаболити - 4-транс-хидрокси-глибурид </w:t>
      </w:r>
      <w:r w:rsidRPr="00ED72A8">
        <w:rPr>
          <w:rFonts w:eastAsia="Times New Roman" w:cs="Arial"/>
          <w:color w:val="000000"/>
          <w:szCs w:val="20"/>
          <w:lang w:val="en-US"/>
        </w:rPr>
        <w:t xml:space="preserve">(Ml) </w:t>
      </w:r>
      <w:r w:rsidRPr="00ED72A8">
        <w:rPr>
          <w:rFonts w:eastAsia="Times New Roman" w:cs="Arial"/>
          <w:color w:val="000000"/>
          <w:szCs w:val="20"/>
          <w:lang w:eastAsia="bg-BG"/>
        </w:rPr>
        <w:t xml:space="preserve">и </w:t>
      </w:r>
      <w:r w:rsidRPr="00ED72A8">
        <w:rPr>
          <w:rFonts w:eastAsia="Times New Roman" w:cs="Arial"/>
          <w:i/>
          <w:iCs/>
          <w:color w:val="000000"/>
          <w:szCs w:val="20"/>
          <w:lang w:eastAsia="bg-BG"/>
        </w:rPr>
        <w:t xml:space="preserve">3-цис- </w:t>
      </w:r>
      <w:r w:rsidRPr="00ED72A8">
        <w:rPr>
          <w:rFonts w:eastAsia="Times New Roman" w:cs="Arial"/>
          <w:color w:val="000000"/>
          <w:szCs w:val="20"/>
          <w:lang w:eastAsia="bg-BG"/>
        </w:rPr>
        <w:t>хидроксиглибурид (M2) също намалява съответно с 13% и 15%. Фармакокинетиката при плазмена концентрация в стационарно състояние на топирамат не се повлиява от едновременното му приложение с глибурид.</w:t>
      </w:r>
    </w:p>
    <w:p w14:paraId="4C827973" w14:textId="77777777"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Когато топирамат се добави към терапия с глибурид или глибурид се добави към терапия с топирамат, трябва да се обърне особено внимание при рутинното мониториране на пациентите за постигане на адекватен контрол на тяхното диабетно заболяване.</w:t>
      </w:r>
    </w:p>
    <w:p w14:paraId="16C70AA2" w14:textId="77777777" w:rsidR="00ED72A8" w:rsidRPr="00ED72A8" w:rsidRDefault="00ED72A8" w:rsidP="00ED72A8">
      <w:pPr>
        <w:spacing w:line="240" w:lineRule="auto"/>
        <w:rPr>
          <w:rFonts w:eastAsia="Times New Roman" w:cs="Arial"/>
          <w:color w:val="000000"/>
          <w:szCs w:val="20"/>
          <w:u w:val="single"/>
          <w:lang w:eastAsia="bg-BG"/>
        </w:rPr>
      </w:pPr>
    </w:p>
    <w:p w14:paraId="447A0CC8" w14:textId="6D920B43"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u w:val="single"/>
          <w:lang w:eastAsia="bg-BG"/>
        </w:rPr>
        <w:t>Други форми на взаимодействие</w:t>
      </w:r>
    </w:p>
    <w:p w14:paraId="3EDA195C" w14:textId="77777777" w:rsidR="00ED72A8" w:rsidRPr="00ED72A8" w:rsidRDefault="00ED72A8" w:rsidP="00ED72A8">
      <w:pPr>
        <w:spacing w:line="240" w:lineRule="auto"/>
        <w:rPr>
          <w:rFonts w:eastAsia="Times New Roman" w:cs="Arial"/>
          <w:i/>
          <w:iCs/>
          <w:color w:val="000000"/>
          <w:szCs w:val="20"/>
          <w:lang w:eastAsia="bg-BG"/>
        </w:rPr>
      </w:pPr>
    </w:p>
    <w:p w14:paraId="19492150" w14:textId="6CEF9954" w:rsidR="00ED72A8" w:rsidRPr="00ED72A8" w:rsidRDefault="00ED72A8" w:rsidP="00ED72A8">
      <w:pPr>
        <w:spacing w:line="240" w:lineRule="auto"/>
        <w:rPr>
          <w:rFonts w:eastAsia="Times New Roman" w:cs="Arial"/>
          <w:sz w:val="28"/>
          <w:szCs w:val="24"/>
          <w:lang w:eastAsia="bg-BG"/>
        </w:rPr>
      </w:pPr>
      <w:r w:rsidRPr="00ED72A8">
        <w:rPr>
          <w:rFonts w:eastAsia="Times New Roman" w:cs="Arial"/>
          <w:i/>
          <w:iCs/>
          <w:color w:val="000000"/>
          <w:szCs w:val="20"/>
          <w:lang w:eastAsia="bg-BG"/>
        </w:rPr>
        <w:t>Препарати, предразполагащи към нефролитиаза</w:t>
      </w:r>
    </w:p>
    <w:p w14:paraId="6E5220DE" w14:textId="77777777" w:rsidR="00ED72A8" w:rsidRPr="00ED72A8" w:rsidRDefault="00ED72A8" w:rsidP="00ED72A8">
      <w:pPr>
        <w:spacing w:line="240" w:lineRule="auto"/>
        <w:rPr>
          <w:rFonts w:eastAsia="Times New Roman" w:cs="Arial"/>
          <w:color w:val="000000"/>
          <w:szCs w:val="20"/>
          <w:lang w:eastAsia="bg-BG"/>
        </w:rPr>
      </w:pPr>
    </w:p>
    <w:p w14:paraId="258FA692" w14:textId="500BC35A" w:rsidR="00ED72A8" w:rsidRPr="00ED72A8" w:rsidRDefault="00ED72A8" w:rsidP="00ED72A8">
      <w:pPr>
        <w:spacing w:line="240" w:lineRule="auto"/>
        <w:rPr>
          <w:rFonts w:eastAsia="Times New Roman" w:cs="Arial"/>
          <w:sz w:val="28"/>
          <w:szCs w:val="24"/>
          <w:lang w:eastAsia="bg-BG"/>
        </w:rPr>
      </w:pPr>
      <w:r w:rsidRPr="00ED72A8">
        <w:rPr>
          <w:rFonts w:eastAsia="Times New Roman" w:cs="Arial"/>
          <w:color w:val="000000"/>
          <w:szCs w:val="20"/>
          <w:lang w:eastAsia="bg-BG"/>
        </w:rPr>
        <w:t>Топилекс, прилаган едновременно с други препарати, предразполагащи към нефролитиаза, може да повиши риска от нефролитиаза. При лечение с Топилекс подобни препарати трябва да се избягват, тъй като може да създадат физиологична среда, повишаваща риска от образуване на бъбречни камъни.</w:t>
      </w:r>
    </w:p>
    <w:p w14:paraId="79B38AFD" w14:textId="77777777" w:rsidR="00ED72A8" w:rsidRPr="00ED72A8" w:rsidRDefault="00ED72A8" w:rsidP="00ED72A8">
      <w:pPr>
        <w:spacing w:line="240" w:lineRule="auto"/>
        <w:rPr>
          <w:rFonts w:eastAsia="Times New Roman" w:cs="Arial"/>
          <w:i/>
          <w:iCs/>
          <w:color w:val="000000"/>
          <w:szCs w:val="20"/>
          <w:lang w:eastAsia="bg-BG"/>
        </w:rPr>
      </w:pPr>
    </w:p>
    <w:p w14:paraId="12F604D6" w14:textId="5FC3E84C" w:rsidR="00ED72A8" w:rsidRPr="00ED72A8" w:rsidRDefault="00ED72A8" w:rsidP="00ED72A8">
      <w:pPr>
        <w:spacing w:line="240" w:lineRule="auto"/>
        <w:rPr>
          <w:rFonts w:eastAsia="Times New Roman" w:cs="Arial"/>
          <w:sz w:val="28"/>
          <w:szCs w:val="24"/>
          <w:lang w:eastAsia="bg-BG"/>
        </w:rPr>
      </w:pPr>
      <w:r w:rsidRPr="00ED72A8">
        <w:rPr>
          <w:rFonts w:eastAsia="Times New Roman" w:cs="Arial"/>
          <w:i/>
          <w:iCs/>
          <w:color w:val="000000"/>
          <w:szCs w:val="20"/>
          <w:lang w:eastAsia="bg-BG"/>
        </w:rPr>
        <w:t>Валпроева киселина</w:t>
      </w:r>
    </w:p>
    <w:p w14:paraId="1D75D714" w14:textId="77777777" w:rsidR="00ED72A8" w:rsidRPr="00ED72A8" w:rsidRDefault="00ED72A8" w:rsidP="00ED72A8">
      <w:pPr>
        <w:spacing w:line="240" w:lineRule="auto"/>
        <w:rPr>
          <w:rFonts w:eastAsia="Times New Roman" w:cs="Arial"/>
          <w:color w:val="000000"/>
          <w:szCs w:val="20"/>
          <w:lang w:eastAsia="bg-BG"/>
        </w:rPr>
      </w:pPr>
    </w:p>
    <w:p w14:paraId="4478A409" w14:textId="77777777" w:rsidR="00ED72A8" w:rsidRPr="00ED72A8" w:rsidRDefault="00ED72A8" w:rsidP="00ED72A8">
      <w:pPr>
        <w:rPr>
          <w:rFonts w:eastAsia="Times New Roman" w:cs="Arial"/>
          <w:lang w:eastAsia="bg-BG"/>
        </w:rPr>
      </w:pPr>
      <w:r w:rsidRPr="00ED72A8">
        <w:rPr>
          <w:rFonts w:eastAsia="Times New Roman" w:cs="Arial"/>
          <w:color w:val="000000"/>
          <w:szCs w:val="20"/>
          <w:lang w:eastAsia="bg-BG"/>
        </w:rPr>
        <w:t xml:space="preserve">Едновременното приложение на топирамат и валпроева киселина се свързва с хиперамонемия със или без енцефалопатия, при пациенти с поносимост към някой от двата лекарствани продукта, приложен самостоятелно. В много от случаите симптомите и признаците отшумяват след спиране на един от лекарствените продукти (вж. точки 4.4 и 4.8). Тази нежелана реакция не се дължи на фармакокинетично взаимодействие. </w:t>
      </w:r>
      <w:r w:rsidRPr="00ED72A8">
        <w:rPr>
          <w:rFonts w:eastAsia="Times New Roman" w:cs="Arial"/>
          <w:color w:val="000000"/>
          <w:szCs w:val="20"/>
          <w:u w:val="single"/>
          <w:lang w:eastAsia="bg-BG"/>
        </w:rPr>
        <w:lastRenderedPageBreak/>
        <w:t>Съобщава се за хипотермия, дефинирана</w:t>
      </w:r>
      <w:r w:rsidRPr="00ED72A8">
        <w:rPr>
          <w:rFonts w:eastAsia="Times New Roman" w:cs="Arial"/>
          <w:sz w:val="28"/>
          <w:szCs w:val="24"/>
          <w:lang w:eastAsia="bg-BG"/>
        </w:rPr>
        <w:t xml:space="preserve"> </w:t>
      </w:r>
      <w:r w:rsidRPr="00ED72A8">
        <w:rPr>
          <w:rFonts w:eastAsia="Times New Roman" w:cs="Arial"/>
          <w:color w:val="000000"/>
          <w:szCs w:val="20"/>
          <w:u w:val="single"/>
          <w:lang w:eastAsia="bg-BG"/>
        </w:rPr>
        <w:t xml:space="preserve">като неумишлено понижаване на телесната </w:t>
      </w:r>
      <w:r w:rsidRPr="00ED72A8">
        <w:rPr>
          <w:rFonts w:eastAsia="Times New Roman" w:cs="Arial"/>
          <w:color w:val="000000"/>
          <w:u w:val="single"/>
          <w:lang w:eastAsia="bg-BG"/>
        </w:rPr>
        <w:t>температура &lt;35° С, свързана с едновременното приложение на топирамат с валпроева киселина, която може да е във връзка с хиперамониемия или с липса на хиперамониемия. Тази нежелана реакция при пациентите, използващи едновременно топирамат и валпроева киселина, може да възникне след започване на лечението с топирамат или след повишаване на дневната доза топирамат.</w:t>
      </w:r>
    </w:p>
    <w:p w14:paraId="0FE46557" w14:textId="77777777" w:rsidR="00ED72A8" w:rsidRPr="00ED72A8" w:rsidRDefault="00ED72A8" w:rsidP="00ED72A8">
      <w:pPr>
        <w:spacing w:line="240" w:lineRule="auto"/>
        <w:rPr>
          <w:rFonts w:eastAsia="Times New Roman" w:cs="Arial"/>
          <w:color w:val="000000"/>
          <w:u w:val="single"/>
          <w:lang w:eastAsia="bg-BG"/>
        </w:rPr>
      </w:pPr>
    </w:p>
    <w:p w14:paraId="6339C9E1" w14:textId="685B4148" w:rsidR="00ED72A8" w:rsidRPr="00ED72A8" w:rsidRDefault="00ED72A8" w:rsidP="00ED72A8">
      <w:pPr>
        <w:spacing w:line="240" w:lineRule="auto"/>
        <w:rPr>
          <w:rFonts w:eastAsia="Times New Roman" w:cs="Arial"/>
          <w:lang w:eastAsia="bg-BG"/>
        </w:rPr>
      </w:pPr>
      <w:r w:rsidRPr="00ED72A8">
        <w:rPr>
          <w:rFonts w:eastAsia="Times New Roman" w:cs="Arial"/>
          <w:color w:val="000000"/>
          <w:u w:val="single"/>
          <w:lang w:eastAsia="bg-BG"/>
        </w:rPr>
        <w:t>Допълнителни фармакокинетични проучвания на лекарствени взаимодействия</w:t>
      </w:r>
    </w:p>
    <w:p w14:paraId="38AF7510" w14:textId="77777777" w:rsidR="00ED72A8" w:rsidRPr="00ED72A8" w:rsidRDefault="00ED72A8" w:rsidP="00ED72A8">
      <w:pPr>
        <w:spacing w:line="240" w:lineRule="auto"/>
        <w:rPr>
          <w:rFonts w:eastAsia="Times New Roman" w:cs="Arial"/>
          <w:color w:val="000000"/>
          <w:lang w:eastAsia="bg-BG"/>
        </w:rPr>
      </w:pPr>
    </w:p>
    <w:p w14:paraId="3B02AA0F" w14:textId="48106996" w:rsidR="00ED72A8" w:rsidRPr="00ED72A8" w:rsidRDefault="00ED72A8" w:rsidP="00ED72A8">
      <w:pPr>
        <w:spacing w:line="240" w:lineRule="auto"/>
        <w:rPr>
          <w:rFonts w:eastAsia="Times New Roman" w:cs="Arial"/>
          <w:lang w:eastAsia="bg-BG"/>
        </w:rPr>
      </w:pPr>
      <w:r w:rsidRPr="00ED72A8">
        <w:rPr>
          <w:rFonts w:eastAsia="Times New Roman" w:cs="Arial"/>
          <w:color w:val="000000"/>
          <w:lang w:eastAsia="bg-BG"/>
        </w:rPr>
        <w:t xml:space="preserve">Във връзка с едновременно приложение на топирамат и валпроева киселина </w:t>
      </w:r>
      <w:r w:rsidRPr="00ED72A8">
        <w:rPr>
          <w:rFonts w:eastAsia="Times New Roman" w:cs="Arial"/>
          <w:color w:val="000000"/>
          <w:lang w:val="en-US"/>
        </w:rPr>
        <w:t xml:space="preserve">(VPA) </w:t>
      </w:r>
      <w:r w:rsidRPr="00ED72A8">
        <w:rPr>
          <w:rFonts w:eastAsia="Times New Roman" w:cs="Arial"/>
          <w:color w:val="000000"/>
          <w:lang w:eastAsia="bg-BG"/>
        </w:rPr>
        <w:t>и двата свързани с хиперамонемия и при отсъствие на хипеамонемия, се съобщава за хипотермия , определяна като непреднамерено понижаване на телесната температура &lt;35°С. Тази нежелана реакция може да възникне при пациенти употребяващи едновременно топирамат и валпроат след започване на лечение с топирамат или след увеличаване на дневната доза на топирамат.</w:t>
      </w:r>
    </w:p>
    <w:p w14:paraId="05EBFDD9" w14:textId="77777777" w:rsidR="00ED72A8" w:rsidRPr="00ED72A8" w:rsidRDefault="00ED72A8" w:rsidP="00ED72A8">
      <w:pPr>
        <w:spacing w:line="240" w:lineRule="auto"/>
        <w:rPr>
          <w:rFonts w:eastAsia="Times New Roman" w:cs="Arial"/>
          <w:color w:val="000000"/>
          <w:u w:val="single"/>
          <w:lang w:eastAsia="bg-BG"/>
        </w:rPr>
      </w:pPr>
    </w:p>
    <w:p w14:paraId="7042DBCF" w14:textId="3E2AAAEC" w:rsidR="00ED72A8" w:rsidRPr="00ED72A8" w:rsidRDefault="00ED72A8" w:rsidP="00ED72A8">
      <w:pPr>
        <w:spacing w:line="240" w:lineRule="auto"/>
        <w:rPr>
          <w:rFonts w:eastAsia="Times New Roman" w:cs="Arial"/>
          <w:lang w:eastAsia="bg-BG"/>
        </w:rPr>
      </w:pPr>
      <w:r w:rsidRPr="00ED72A8">
        <w:rPr>
          <w:rFonts w:eastAsia="Times New Roman" w:cs="Arial"/>
          <w:color w:val="000000"/>
          <w:u w:val="single"/>
          <w:lang w:eastAsia="bg-BG"/>
        </w:rPr>
        <w:t xml:space="preserve">Допълнителни проучвания по отношение на фармакокинетични лекарствени взаимодействия </w:t>
      </w:r>
      <w:r w:rsidRPr="00ED72A8">
        <w:rPr>
          <w:rFonts w:eastAsia="Times New Roman" w:cs="Arial"/>
          <w:color w:val="000000"/>
          <w:lang w:eastAsia="bg-BG"/>
        </w:rPr>
        <w:t>Проведени са клинични изпитвания за оценка на потенциалните фармакокинетични лекарствени взаимодействия между топирамат и други средства. Промените в С</w:t>
      </w:r>
      <w:r w:rsidRPr="00ED72A8">
        <w:rPr>
          <w:rFonts w:eastAsia="Times New Roman" w:cs="Arial"/>
          <w:color w:val="000000"/>
          <w:lang w:val="en-US"/>
        </w:rPr>
        <w:t>m</w:t>
      </w:r>
      <w:r w:rsidRPr="00ED72A8">
        <w:rPr>
          <w:rFonts w:eastAsia="Times New Roman" w:cs="Arial"/>
          <w:color w:val="000000"/>
          <w:lang w:eastAsia="bg-BG"/>
        </w:rPr>
        <w:t xml:space="preserve">ах или </w:t>
      </w:r>
      <w:r w:rsidRPr="00ED72A8">
        <w:rPr>
          <w:rFonts w:eastAsia="Times New Roman" w:cs="Arial"/>
          <w:color w:val="000000"/>
          <w:lang w:val="en-US"/>
        </w:rPr>
        <w:t xml:space="preserve">AUC </w:t>
      </w:r>
      <w:r w:rsidRPr="00ED72A8">
        <w:rPr>
          <w:rFonts w:eastAsia="Times New Roman" w:cs="Arial"/>
          <w:color w:val="000000"/>
          <w:lang w:eastAsia="bg-BG"/>
        </w:rPr>
        <w:t>в резултат на тези взаимодействия са обобщени по-долу. Във втората колона (концентрация на съпътстващото лекарство) е описано как се променя концентрацията на съпътстващото лекарство от първата колона след добавяне на топирамат. В третата колона (концентрация на топирамат) е описано как се променя концентрацията на топирамат при едновременното приложение с лекарство от първата колона.</w:t>
      </w:r>
    </w:p>
    <w:p w14:paraId="54B79C0F" w14:textId="77777777" w:rsidR="00ED72A8" w:rsidRPr="00ED72A8" w:rsidRDefault="00ED72A8" w:rsidP="00ED72A8">
      <w:pPr>
        <w:spacing w:line="240" w:lineRule="auto"/>
        <w:rPr>
          <w:rFonts w:eastAsia="Times New Roman" w:cs="Arial"/>
          <w:b/>
          <w:bCs/>
          <w:color w:val="000000"/>
          <w:lang w:eastAsia="bg-BG"/>
        </w:rPr>
      </w:pPr>
    </w:p>
    <w:p w14:paraId="6F2078F9" w14:textId="497626B4" w:rsidR="00ED72A8" w:rsidRPr="00ED72A8" w:rsidRDefault="00ED72A8" w:rsidP="00ED72A8">
      <w:pPr>
        <w:spacing w:line="240" w:lineRule="auto"/>
        <w:rPr>
          <w:rFonts w:eastAsia="Times New Roman" w:cs="Arial"/>
          <w:lang w:eastAsia="bg-BG"/>
        </w:rPr>
      </w:pPr>
      <w:r w:rsidRPr="00ED72A8">
        <w:rPr>
          <w:rFonts w:eastAsia="Times New Roman" w:cs="Arial"/>
          <w:b/>
          <w:bCs/>
          <w:color w:val="000000"/>
          <w:lang w:eastAsia="bg-BG"/>
        </w:rPr>
        <w:t>Обобщени резултати от фармакокинетични проучвания на лекарствените взаимодействия</w:t>
      </w:r>
    </w:p>
    <w:tbl>
      <w:tblPr>
        <w:tblStyle w:val="TableGrid"/>
        <w:tblW w:w="0" w:type="auto"/>
        <w:tblLook w:val="04A0" w:firstRow="1" w:lastRow="0" w:firstColumn="1" w:lastColumn="0" w:noHBand="0" w:noVBand="1"/>
      </w:tblPr>
      <w:tblGrid>
        <w:gridCol w:w="3124"/>
        <w:gridCol w:w="3117"/>
        <w:gridCol w:w="3109"/>
      </w:tblGrid>
      <w:tr w:rsidR="00ED72A8" w14:paraId="67A56A63" w14:textId="77777777" w:rsidTr="00ED72A8">
        <w:tc>
          <w:tcPr>
            <w:tcW w:w="3166" w:type="dxa"/>
          </w:tcPr>
          <w:p w14:paraId="323CA7E1" w14:textId="776AB31F" w:rsidR="00ED72A8" w:rsidRPr="00984E1A" w:rsidRDefault="00ED72A8" w:rsidP="00ED72A8">
            <w:r w:rsidRPr="00984E1A">
              <w:rPr>
                <w:b/>
                <w:bCs/>
                <w:szCs w:val="20"/>
              </w:rPr>
              <w:t>Съпътстващо лекарство</w:t>
            </w:r>
          </w:p>
        </w:tc>
        <w:tc>
          <w:tcPr>
            <w:tcW w:w="3167" w:type="dxa"/>
          </w:tcPr>
          <w:p w14:paraId="5C013BAD" w14:textId="5366A5CB" w:rsidR="00ED72A8" w:rsidRPr="00984E1A" w:rsidRDefault="00ED72A8" w:rsidP="00ED72A8">
            <w:r w:rsidRPr="00984E1A">
              <w:rPr>
                <w:b/>
                <w:bCs/>
                <w:szCs w:val="20"/>
              </w:rPr>
              <w:t>Концентрация на съпътстващото лекарство*</w:t>
            </w:r>
          </w:p>
        </w:tc>
        <w:tc>
          <w:tcPr>
            <w:tcW w:w="3167" w:type="dxa"/>
          </w:tcPr>
          <w:p w14:paraId="365B4CFE" w14:textId="23F34E90" w:rsidR="00ED72A8" w:rsidRPr="00984E1A" w:rsidRDefault="00ED72A8" w:rsidP="00ED72A8">
            <w:r w:rsidRPr="00984E1A">
              <w:rPr>
                <w:b/>
                <w:bCs/>
                <w:szCs w:val="20"/>
              </w:rPr>
              <w:t>Концентрация на топирамат*</w:t>
            </w:r>
          </w:p>
        </w:tc>
      </w:tr>
      <w:tr w:rsidR="00ED72A8" w14:paraId="4D1530D8" w14:textId="77777777" w:rsidTr="00ED72A8">
        <w:tc>
          <w:tcPr>
            <w:tcW w:w="3166" w:type="dxa"/>
          </w:tcPr>
          <w:p w14:paraId="4FEF480F" w14:textId="4819C0C8" w:rsidR="00ED72A8" w:rsidRPr="00984E1A" w:rsidRDefault="00ED72A8" w:rsidP="00ED72A8">
            <w:r w:rsidRPr="00984E1A">
              <w:rPr>
                <w:szCs w:val="20"/>
              </w:rPr>
              <w:t>Амитриптилин</w:t>
            </w:r>
          </w:p>
        </w:tc>
        <w:tc>
          <w:tcPr>
            <w:tcW w:w="3167" w:type="dxa"/>
          </w:tcPr>
          <w:p w14:paraId="29AC371A" w14:textId="1F0583A9" w:rsidR="00ED72A8" w:rsidRPr="00984E1A" w:rsidRDefault="00ED72A8" w:rsidP="00ED72A8">
            <w:r w:rsidRPr="00984E1A">
              <w:rPr>
                <w:szCs w:val="20"/>
                <w:lang w:val="en-US"/>
              </w:rPr>
              <w:t>↔</w:t>
            </w:r>
            <w:r w:rsidRPr="00984E1A">
              <w:rPr>
                <w:szCs w:val="20"/>
              </w:rPr>
              <w:t xml:space="preserve"> 20% увеличение на С</w:t>
            </w:r>
            <w:r w:rsidRPr="00984E1A">
              <w:rPr>
                <w:szCs w:val="20"/>
                <w:lang w:val="en-US"/>
              </w:rPr>
              <w:t>m</w:t>
            </w:r>
            <w:r w:rsidRPr="00984E1A">
              <w:rPr>
                <w:szCs w:val="20"/>
              </w:rPr>
              <w:t xml:space="preserve">ах и </w:t>
            </w:r>
            <w:r w:rsidRPr="00984E1A">
              <w:rPr>
                <w:szCs w:val="20"/>
                <w:lang w:val="en-US"/>
              </w:rPr>
              <w:t xml:space="preserve">AUC </w:t>
            </w:r>
            <w:r w:rsidRPr="00984E1A">
              <w:rPr>
                <w:szCs w:val="20"/>
              </w:rPr>
              <w:t>на нортриптилин метаболит</w:t>
            </w:r>
          </w:p>
        </w:tc>
        <w:tc>
          <w:tcPr>
            <w:tcW w:w="3167" w:type="dxa"/>
          </w:tcPr>
          <w:p w14:paraId="4ECA9724" w14:textId="3198BD6B" w:rsidR="00ED72A8" w:rsidRPr="00984E1A" w:rsidRDefault="00ED72A8" w:rsidP="00ED72A8">
            <w:r w:rsidRPr="00984E1A">
              <w:rPr>
                <w:szCs w:val="20"/>
              </w:rPr>
              <w:t>НП</w:t>
            </w:r>
          </w:p>
        </w:tc>
      </w:tr>
      <w:tr w:rsidR="00ED72A8" w14:paraId="331D7378" w14:textId="77777777" w:rsidTr="00ED72A8">
        <w:tc>
          <w:tcPr>
            <w:tcW w:w="3166" w:type="dxa"/>
          </w:tcPr>
          <w:p w14:paraId="40FFB678" w14:textId="4BA76F3D" w:rsidR="00ED72A8" w:rsidRPr="00984E1A" w:rsidRDefault="00ED72A8" w:rsidP="00ED72A8">
            <w:r w:rsidRPr="00984E1A">
              <w:rPr>
                <w:szCs w:val="20"/>
              </w:rPr>
              <w:t>Дихидроерготамин (перорален и подкожен)</w:t>
            </w:r>
          </w:p>
        </w:tc>
        <w:tc>
          <w:tcPr>
            <w:tcW w:w="3167" w:type="dxa"/>
          </w:tcPr>
          <w:p w14:paraId="2D07F7EE" w14:textId="716347EE" w:rsidR="00ED72A8" w:rsidRPr="00984E1A" w:rsidRDefault="00ED72A8" w:rsidP="00ED72A8">
            <w:r w:rsidRPr="00984E1A">
              <w:rPr>
                <w:szCs w:val="20"/>
                <w:lang w:val="en-US"/>
              </w:rPr>
              <w:t>↔</w:t>
            </w:r>
          </w:p>
        </w:tc>
        <w:tc>
          <w:tcPr>
            <w:tcW w:w="3167" w:type="dxa"/>
          </w:tcPr>
          <w:p w14:paraId="25BF333D" w14:textId="08CB6E53" w:rsidR="00ED72A8" w:rsidRPr="00984E1A" w:rsidRDefault="00ED72A8" w:rsidP="00ED72A8">
            <w:r w:rsidRPr="00984E1A">
              <w:rPr>
                <w:szCs w:val="20"/>
                <w:lang w:val="en-US"/>
              </w:rPr>
              <w:t>↔</w:t>
            </w:r>
          </w:p>
        </w:tc>
      </w:tr>
      <w:tr w:rsidR="00ED72A8" w14:paraId="4CEC075A" w14:textId="77777777" w:rsidTr="00ED72A8">
        <w:tc>
          <w:tcPr>
            <w:tcW w:w="3166" w:type="dxa"/>
          </w:tcPr>
          <w:p w14:paraId="0BE380F0" w14:textId="7F54192D" w:rsidR="00ED72A8" w:rsidRPr="00984E1A" w:rsidRDefault="00ED72A8" w:rsidP="00ED72A8">
            <w:r w:rsidRPr="00984E1A">
              <w:rPr>
                <w:szCs w:val="20"/>
              </w:rPr>
              <w:t>Халоперидол</w:t>
            </w:r>
          </w:p>
        </w:tc>
        <w:tc>
          <w:tcPr>
            <w:tcW w:w="3167" w:type="dxa"/>
          </w:tcPr>
          <w:p w14:paraId="31D62F76" w14:textId="5856C7EF" w:rsidR="00ED72A8" w:rsidRPr="00984E1A" w:rsidRDefault="00ED72A8" w:rsidP="00ED72A8">
            <w:r w:rsidRPr="00984E1A">
              <w:rPr>
                <w:szCs w:val="20"/>
                <w:lang w:val="en-US"/>
              </w:rPr>
              <w:t xml:space="preserve">↔ </w:t>
            </w:r>
            <w:r w:rsidRPr="00984E1A">
              <w:rPr>
                <w:szCs w:val="20"/>
              </w:rPr>
              <w:t xml:space="preserve">31% увеличение на </w:t>
            </w:r>
            <w:r w:rsidRPr="00984E1A">
              <w:rPr>
                <w:szCs w:val="20"/>
                <w:lang w:val="en-US"/>
              </w:rPr>
              <w:t xml:space="preserve">AUC </w:t>
            </w:r>
            <w:r w:rsidRPr="00984E1A">
              <w:rPr>
                <w:szCs w:val="20"/>
              </w:rPr>
              <w:t>на редуцирания метаболит</w:t>
            </w:r>
          </w:p>
        </w:tc>
        <w:tc>
          <w:tcPr>
            <w:tcW w:w="3167" w:type="dxa"/>
          </w:tcPr>
          <w:p w14:paraId="00E78528" w14:textId="14410DF1" w:rsidR="00ED72A8" w:rsidRPr="00984E1A" w:rsidRDefault="00ED72A8" w:rsidP="00ED72A8">
            <w:r w:rsidRPr="00984E1A">
              <w:rPr>
                <w:szCs w:val="20"/>
              </w:rPr>
              <w:t>НП</w:t>
            </w:r>
          </w:p>
        </w:tc>
      </w:tr>
      <w:tr w:rsidR="00ED72A8" w14:paraId="5BFEA601" w14:textId="77777777" w:rsidTr="00ED72A8">
        <w:tc>
          <w:tcPr>
            <w:tcW w:w="3166" w:type="dxa"/>
          </w:tcPr>
          <w:p w14:paraId="15E2EDE7" w14:textId="1EC0A288" w:rsidR="00ED72A8" w:rsidRPr="00984E1A" w:rsidRDefault="00ED72A8" w:rsidP="00ED72A8">
            <w:r w:rsidRPr="00984E1A">
              <w:rPr>
                <w:szCs w:val="20"/>
              </w:rPr>
              <w:t>Пропранолол</w:t>
            </w:r>
          </w:p>
        </w:tc>
        <w:tc>
          <w:tcPr>
            <w:tcW w:w="3167" w:type="dxa"/>
          </w:tcPr>
          <w:p w14:paraId="3DCD6C91" w14:textId="5F27F5EC" w:rsidR="00ED72A8" w:rsidRPr="00984E1A" w:rsidRDefault="00ED72A8" w:rsidP="00ED72A8">
            <w:r w:rsidRPr="00984E1A">
              <w:rPr>
                <w:szCs w:val="20"/>
              </w:rPr>
              <w:t xml:space="preserve"> </w:t>
            </w:r>
            <w:r w:rsidRPr="00984E1A">
              <w:rPr>
                <w:szCs w:val="20"/>
                <w:lang w:val="en-US"/>
              </w:rPr>
              <w:t xml:space="preserve">↔ </w:t>
            </w:r>
            <w:r w:rsidRPr="00984E1A">
              <w:rPr>
                <w:szCs w:val="20"/>
              </w:rPr>
              <w:t>17% увеличение на С</w:t>
            </w:r>
            <w:r w:rsidRPr="00984E1A">
              <w:rPr>
                <w:szCs w:val="20"/>
                <w:lang w:val="en-US"/>
              </w:rPr>
              <w:t>m</w:t>
            </w:r>
            <w:r w:rsidRPr="00984E1A">
              <w:rPr>
                <w:szCs w:val="20"/>
              </w:rPr>
              <w:t xml:space="preserve">ах на 4-ОН пропранолол (ТРМ 50 </w:t>
            </w:r>
            <w:r w:rsidRPr="00984E1A">
              <w:rPr>
                <w:szCs w:val="20"/>
                <w:lang w:val="en-US"/>
              </w:rPr>
              <w:t xml:space="preserve">mg </w:t>
            </w:r>
            <w:r w:rsidRPr="00984E1A">
              <w:rPr>
                <w:szCs w:val="20"/>
              </w:rPr>
              <w:t>на всеки 12 часа)</w:t>
            </w:r>
          </w:p>
        </w:tc>
        <w:tc>
          <w:tcPr>
            <w:tcW w:w="3167" w:type="dxa"/>
          </w:tcPr>
          <w:p w14:paraId="0CCAD29E" w14:textId="1B12599F" w:rsidR="00ED72A8" w:rsidRPr="00984E1A" w:rsidRDefault="00ED72A8" w:rsidP="00ED72A8">
            <w:r w:rsidRPr="00984E1A">
              <w:rPr>
                <w:szCs w:val="20"/>
              </w:rPr>
              <w:t xml:space="preserve">9% и 16% увеличение на Стах, 9% и 17% увеличение на </w:t>
            </w:r>
            <w:r w:rsidRPr="00984E1A">
              <w:rPr>
                <w:szCs w:val="20"/>
                <w:lang w:val="en-US"/>
              </w:rPr>
              <w:t xml:space="preserve">AUC </w:t>
            </w:r>
            <w:r w:rsidRPr="00984E1A">
              <w:rPr>
                <w:szCs w:val="20"/>
              </w:rPr>
              <w:t xml:space="preserve">(респективно 40 и 80 </w:t>
            </w:r>
            <w:r w:rsidRPr="00984E1A">
              <w:rPr>
                <w:szCs w:val="20"/>
                <w:lang w:val="en-US"/>
              </w:rPr>
              <w:t xml:space="preserve">mg </w:t>
            </w:r>
            <w:r w:rsidRPr="00984E1A">
              <w:rPr>
                <w:szCs w:val="20"/>
              </w:rPr>
              <w:t>пропранолол на всеки 12 часа)</w:t>
            </w:r>
          </w:p>
        </w:tc>
      </w:tr>
      <w:tr w:rsidR="00ED72A8" w14:paraId="4F2740AA" w14:textId="77777777" w:rsidTr="00ED72A8">
        <w:tc>
          <w:tcPr>
            <w:tcW w:w="3166" w:type="dxa"/>
          </w:tcPr>
          <w:p w14:paraId="53334D74" w14:textId="2A04D80B" w:rsidR="00ED72A8" w:rsidRPr="00984E1A" w:rsidRDefault="00ED72A8" w:rsidP="00ED72A8">
            <w:r w:rsidRPr="00984E1A">
              <w:rPr>
                <w:szCs w:val="20"/>
              </w:rPr>
              <w:t>Суматриптан (перорален и подкожен)</w:t>
            </w:r>
          </w:p>
        </w:tc>
        <w:tc>
          <w:tcPr>
            <w:tcW w:w="3167" w:type="dxa"/>
          </w:tcPr>
          <w:p w14:paraId="722F33DA" w14:textId="16E0E914" w:rsidR="00ED72A8" w:rsidRPr="00984E1A" w:rsidRDefault="00ED72A8" w:rsidP="00ED72A8">
            <w:r w:rsidRPr="00984E1A">
              <w:rPr>
                <w:szCs w:val="20"/>
                <w:lang w:val="en-US"/>
              </w:rPr>
              <w:t>↔</w:t>
            </w:r>
          </w:p>
        </w:tc>
        <w:tc>
          <w:tcPr>
            <w:tcW w:w="3167" w:type="dxa"/>
          </w:tcPr>
          <w:p w14:paraId="17E534CC" w14:textId="4D5A57E4" w:rsidR="00ED72A8" w:rsidRPr="00984E1A" w:rsidRDefault="00ED72A8" w:rsidP="00ED72A8">
            <w:r w:rsidRPr="00984E1A">
              <w:rPr>
                <w:szCs w:val="20"/>
              </w:rPr>
              <w:t>НП</w:t>
            </w:r>
          </w:p>
        </w:tc>
      </w:tr>
      <w:tr w:rsidR="00ED72A8" w14:paraId="084BB9D0" w14:textId="77777777" w:rsidTr="00ED72A8">
        <w:tc>
          <w:tcPr>
            <w:tcW w:w="3166" w:type="dxa"/>
          </w:tcPr>
          <w:p w14:paraId="2FE88955" w14:textId="1DEAA570" w:rsidR="00ED72A8" w:rsidRPr="00984E1A" w:rsidRDefault="00ED72A8" w:rsidP="00ED72A8">
            <w:r w:rsidRPr="00984E1A">
              <w:rPr>
                <w:szCs w:val="20"/>
              </w:rPr>
              <w:t>Пизотифен</w:t>
            </w:r>
          </w:p>
        </w:tc>
        <w:tc>
          <w:tcPr>
            <w:tcW w:w="3167" w:type="dxa"/>
          </w:tcPr>
          <w:p w14:paraId="06E957FA" w14:textId="4DD98AD6" w:rsidR="00ED72A8" w:rsidRPr="00984E1A" w:rsidRDefault="00ED72A8" w:rsidP="00ED72A8">
            <w:r w:rsidRPr="00984E1A">
              <w:rPr>
                <w:szCs w:val="20"/>
                <w:lang w:val="en-US"/>
              </w:rPr>
              <w:t>↔</w:t>
            </w:r>
          </w:p>
        </w:tc>
        <w:tc>
          <w:tcPr>
            <w:tcW w:w="3167" w:type="dxa"/>
          </w:tcPr>
          <w:p w14:paraId="40E0B9FB" w14:textId="2DB002B8" w:rsidR="00ED72A8" w:rsidRPr="00984E1A" w:rsidRDefault="00ED72A8" w:rsidP="00ED72A8">
            <w:r w:rsidRPr="00984E1A">
              <w:rPr>
                <w:szCs w:val="20"/>
                <w:lang w:val="en-US"/>
              </w:rPr>
              <w:t>↔</w:t>
            </w:r>
          </w:p>
        </w:tc>
      </w:tr>
      <w:tr w:rsidR="00ED72A8" w14:paraId="2FACF57E" w14:textId="77777777" w:rsidTr="00ED72A8">
        <w:tc>
          <w:tcPr>
            <w:tcW w:w="3166" w:type="dxa"/>
          </w:tcPr>
          <w:p w14:paraId="5C241C0E" w14:textId="5465118D" w:rsidR="00ED72A8" w:rsidRPr="00984E1A" w:rsidRDefault="00ED72A8" w:rsidP="00ED72A8">
            <w:r w:rsidRPr="00984E1A">
              <w:rPr>
                <w:szCs w:val="20"/>
              </w:rPr>
              <w:t>Дилтиазем</w:t>
            </w:r>
          </w:p>
        </w:tc>
        <w:tc>
          <w:tcPr>
            <w:tcW w:w="3167" w:type="dxa"/>
          </w:tcPr>
          <w:p w14:paraId="70552777" w14:textId="445F3DB7" w:rsidR="00ED72A8" w:rsidRPr="00984E1A" w:rsidRDefault="00ED72A8" w:rsidP="00ED72A8">
            <w:r w:rsidRPr="00984E1A">
              <w:rPr>
                <w:szCs w:val="20"/>
              </w:rPr>
              <w:t xml:space="preserve">25% намаление на </w:t>
            </w:r>
            <w:r w:rsidRPr="00984E1A">
              <w:rPr>
                <w:szCs w:val="20"/>
                <w:lang w:val="en-US"/>
              </w:rPr>
              <w:t xml:space="preserve">AUC </w:t>
            </w:r>
            <w:r w:rsidRPr="00984E1A">
              <w:rPr>
                <w:szCs w:val="20"/>
              </w:rPr>
              <w:t xml:space="preserve">на дилтиазем и 18% </w:t>
            </w:r>
            <w:r w:rsidRPr="00984E1A">
              <w:rPr>
                <w:szCs w:val="20"/>
              </w:rPr>
              <w:lastRenderedPageBreak/>
              <w:t>намаление на ДЕА,</w:t>
            </w:r>
            <w:r w:rsidRPr="00984E1A">
              <w:rPr>
                <w:szCs w:val="20"/>
                <w:lang w:val="en-US"/>
              </w:rPr>
              <w:t xml:space="preserve"> ↔</w:t>
            </w:r>
            <w:r w:rsidRPr="00984E1A">
              <w:rPr>
                <w:szCs w:val="20"/>
              </w:rPr>
              <w:t xml:space="preserve"> за ДЕМ*</w:t>
            </w:r>
          </w:p>
        </w:tc>
        <w:tc>
          <w:tcPr>
            <w:tcW w:w="3167" w:type="dxa"/>
          </w:tcPr>
          <w:p w14:paraId="0DD7ED08" w14:textId="14CF7A1D" w:rsidR="00ED72A8" w:rsidRPr="00984E1A" w:rsidRDefault="00ED72A8" w:rsidP="00ED72A8">
            <w:r w:rsidRPr="00984E1A">
              <w:rPr>
                <w:szCs w:val="20"/>
              </w:rPr>
              <w:lastRenderedPageBreak/>
              <w:t xml:space="preserve">20% увеличение на </w:t>
            </w:r>
            <w:r w:rsidRPr="00984E1A">
              <w:rPr>
                <w:szCs w:val="20"/>
                <w:lang w:val="en-US"/>
              </w:rPr>
              <w:t>AUC</w:t>
            </w:r>
          </w:p>
        </w:tc>
      </w:tr>
      <w:tr w:rsidR="00ED72A8" w14:paraId="09A22F00" w14:textId="77777777" w:rsidTr="00ED72A8">
        <w:tc>
          <w:tcPr>
            <w:tcW w:w="3166" w:type="dxa"/>
          </w:tcPr>
          <w:p w14:paraId="1952B559" w14:textId="768C5BD6" w:rsidR="00ED72A8" w:rsidRPr="00984E1A" w:rsidRDefault="00ED72A8" w:rsidP="00ED72A8">
            <w:r w:rsidRPr="00984E1A">
              <w:rPr>
                <w:szCs w:val="20"/>
              </w:rPr>
              <w:t>Венлафаксин</w:t>
            </w:r>
          </w:p>
        </w:tc>
        <w:tc>
          <w:tcPr>
            <w:tcW w:w="3167" w:type="dxa"/>
          </w:tcPr>
          <w:p w14:paraId="1503D141" w14:textId="01AC0E84" w:rsidR="00ED72A8" w:rsidRPr="00984E1A" w:rsidRDefault="00ED72A8" w:rsidP="00ED72A8">
            <w:r w:rsidRPr="00984E1A">
              <w:rPr>
                <w:szCs w:val="20"/>
                <w:lang w:val="en-US"/>
              </w:rPr>
              <w:t>↔</w:t>
            </w:r>
          </w:p>
        </w:tc>
        <w:tc>
          <w:tcPr>
            <w:tcW w:w="3167" w:type="dxa"/>
          </w:tcPr>
          <w:p w14:paraId="4E7F6DC0" w14:textId="40B5957A" w:rsidR="00ED72A8" w:rsidRPr="00984E1A" w:rsidRDefault="00ED72A8" w:rsidP="00ED72A8">
            <w:r w:rsidRPr="00984E1A">
              <w:rPr>
                <w:szCs w:val="20"/>
                <w:lang w:val="en-US"/>
              </w:rPr>
              <w:t>↔</w:t>
            </w:r>
          </w:p>
        </w:tc>
      </w:tr>
      <w:tr w:rsidR="00ED72A8" w14:paraId="787D93BE" w14:textId="77777777" w:rsidTr="00ED72A8">
        <w:tc>
          <w:tcPr>
            <w:tcW w:w="3166" w:type="dxa"/>
          </w:tcPr>
          <w:p w14:paraId="2DF1DB15" w14:textId="113433A8" w:rsidR="00ED72A8" w:rsidRPr="00984E1A" w:rsidRDefault="00ED72A8" w:rsidP="00ED72A8">
            <w:r w:rsidRPr="00984E1A">
              <w:rPr>
                <w:szCs w:val="20"/>
              </w:rPr>
              <w:t>Флунаризин</w:t>
            </w:r>
          </w:p>
        </w:tc>
        <w:tc>
          <w:tcPr>
            <w:tcW w:w="3167" w:type="dxa"/>
          </w:tcPr>
          <w:p w14:paraId="326E846E" w14:textId="1AAE5F58" w:rsidR="00ED72A8" w:rsidRPr="00984E1A" w:rsidRDefault="00ED72A8" w:rsidP="00ED72A8">
            <w:r w:rsidRPr="00984E1A">
              <w:rPr>
                <w:szCs w:val="20"/>
              </w:rPr>
              <w:t xml:space="preserve">16% увеличение на </w:t>
            </w:r>
            <w:r w:rsidRPr="00984E1A">
              <w:rPr>
                <w:szCs w:val="20"/>
                <w:lang w:val="en-US"/>
              </w:rPr>
              <w:t xml:space="preserve">AUC </w:t>
            </w:r>
            <w:r w:rsidRPr="00984E1A">
              <w:rPr>
                <w:szCs w:val="20"/>
              </w:rPr>
              <w:t xml:space="preserve">(ТРМ 50 </w:t>
            </w:r>
            <w:r w:rsidRPr="00984E1A">
              <w:rPr>
                <w:szCs w:val="20"/>
                <w:lang w:val="en-US"/>
              </w:rPr>
              <w:t xml:space="preserve">mg </w:t>
            </w:r>
            <w:r w:rsidRPr="00984E1A">
              <w:rPr>
                <w:szCs w:val="20"/>
              </w:rPr>
              <w:t>на всеки 12 часа)</w:t>
            </w:r>
            <w:r w:rsidRPr="00984E1A">
              <w:rPr>
                <w:szCs w:val="20"/>
                <w:vertAlign w:val="superscript"/>
              </w:rPr>
              <w:t>б</w:t>
            </w:r>
          </w:p>
        </w:tc>
        <w:tc>
          <w:tcPr>
            <w:tcW w:w="3167" w:type="dxa"/>
          </w:tcPr>
          <w:p w14:paraId="54DB3498" w14:textId="2E8C65FF" w:rsidR="00ED72A8" w:rsidRPr="00984E1A" w:rsidRDefault="00ED72A8" w:rsidP="00ED72A8">
            <w:r w:rsidRPr="00984E1A">
              <w:rPr>
                <w:szCs w:val="20"/>
                <w:lang w:val="en-US"/>
              </w:rPr>
              <w:t>↔</w:t>
            </w:r>
          </w:p>
        </w:tc>
      </w:tr>
    </w:tbl>
    <w:p w14:paraId="05D67746" w14:textId="77777777" w:rsidR="00ED72A8" w:rsidRPr="00ED72A8" w:rsidRDefault="00ED72A8" w:rsidP="00ED72A8">
      <w:pPr>
        <w:spacing w:line="240" w:lineRule="auto"/>
        <w:rPr>
          <w:rFonts w:eastAsia="Times New Roman" w:cs="Arial"/>
          <w:sz w:val="24"/>
          <w:szCs w:val="24"/>
          <w:lang w:eastAsia="bg-BG"/>
        </w:rPr>
      </w:pPr>
      <w:r w:rsidRPr="00ED72A8">
        <w:rPr>
          <w:rFonts w:eastAsia="Times New Roman" w:cs="Arial"/>
          <w:color w:val="000000"/>
          <w:sz w:val="20"/>
          <w:szCs w:val="20"/>
          <w:vertAlign w:val="superscript"/>
          <w:lang w:eastAsia="bg-BG"/>
        </w:rPr>
        <w:t>а</w:t>
      </w:r>
      <w:r w:rsidRPr="00ED72A8">
        <w:rPr>
          <w:rFonts w:eastAsia="Times New Roman" w:cs="Arial"/>
          <w:color w:val="000000"/>
          <w:sz w:val="20"/>
          <w:szCs w:val="20"/>
          <w:lang w:eastAsia="bg-BG"/>
        </w:rPr>
        <w:t xml:space="preserve"> % стойности са промените в средните С</w:t>
      </w:r>
      <w:r w:rsidRPr="00ED72A8">
        <w:rPr>
          <w:rFonts w:eastAsia="Times New Roman" w:cs="Arial"/>
          <w:color w:val="000000"/>
          <w:sz w:val="20"/>
          <w:szCs w:val="20"/>
          <w:lang w:val="en-US"/>
        </w:rPr>
        <w:t>m</w:t>
      </w:r>
      <w:r w:rsidRPr="00ED72A8">
        <w:rPr>
          <w:rFonts w:eastAsia="Times New Roman" w:cs="Arial"/>
          <w:color w:val="000000"/>
          <w:sz w:val="20"/>
          <w:szCs w:val="20"/>
          <w:lang w:eastAsia="bg-BG"/>
        </w:rPr>
        <w:t xml:space="preserve">ах и </w:t>
      </w:r>
      <w:r w:rsidRPr="00ED72A8">
        <w:rPr>
          <w:rFonts w:eastAsia="Times New Roman" w:cs="Arial"/>
          <w:color w:val="000000"/>
          <w:sz w:val="20"/>
          <w:szCs w:val="20"/>
          <w:lang w:val="en-US"/>
        </w:rPr>
        <w:t xml:space="preserve">AUC </w:t>
      </w:r>
      <w:r w:rsidRPr="00ED72A8">
        <w:rPr>
          <w:rFonts w:eastAsia="Times New Roman" w:cs="Arial"/>
          <w:color w:val="000000"/>
          <w:sz w:val="20"/>
          <w:szCs w:val="20"/>
          <w:lang w:eastAsia="bg-BG"/>
        </w:rPr>
        <w:t>при лечението в сравнение с монотерапия</w:t>
      </w:r>
    </w:p>
    <w:p w14:paraId="0FAA5C2C" w14:textId="77777777" w:rsidR="00ED72A8" w:rsidRPr="00ED72A8" w:rsidRDefault="00ED72A8" w:rsidP="00ED72A8">
      <w:pPr>
        <w:spacing w:line="240" w:lineRule="auto"/>
        <w:rPr>
          <w:rFonts w:eastAsia="Times New Roman" w:cs="Arial"/>
          <w:sz w:val="24"/>
          <w:szCs w:val="24"/>
          <w:lang w:eastAsia="bg-BG"/>
        </w:rPr>
      </w:pPr>
      <w:r w:rsidRPr="00ED72A8">
        <w:rPr>
          <w:rFonts w:eastAsia="Times New Roman" w:cs="Arial"/>
          <w:color w:val="000000"/>
          <w:sz w:val="20"/>
          <w:szCs w:val="20"/>
          <w:lang w:val="en-US"/>
        </w:rPr>
        <w:t>↔</w:t>
      </w:r>
      <w:r w:rsidRPr="00ED72A8">
        <w:rPr>
          <w:rFonts w:eastAsia="Times New Roman" w:cs="Arial"/>
          <w:color w:val="000000"/>
          <w:sz w:val="20"/>
          <w:szCs w:val="20"/>
          <w:lang w:eastAsia="bg-BG"/>
        </w:rPr>
        <w:t xml:space="preserve"> = липса на ефект върху С</w:t>
      </w:r>
      <w:r w:rsidRPr="00ED72A8">
        <w:rPr>
          <w:rFonts w:eastAsia="Times New Roman" w:cs="Arial"/>
          <w:color w:val="000000"/>
          <w:sz w:val="20"/>
          <w:szCs w:val="20"/>
          <w:lang w:val="en-US"/>
        </w:rPr>
        <w:t>m</w:t>
      </w:r>
      <w:r w:rsidRPr="00ED72A8">
        <w:rPr>
          <w:rFonts w:eastAsia="Times New Roman" w:cs="Arial"/>
          <w:color w:val="000000"/>
          <w:sz w:val="20"/>
          <w:szCs w:val="20"/>
          <w:lang w:eastAsia="bg-BG"/>
        </w:rPr>
        <w:t xml:space="preserve">ах и </w:t>
      </w:r>
      <w:r w:rsidRPr="00ED72A8">
        <w:rPr>
          <w:rFonts w:eastAsia="Times New Roman" w:cs="Arial"/>
          <w:i/>
          <w:iCs/>
          <w:color w:val="000000"/>
          <w:sz w:val="20"/>
          <w:szCs w:val="20"/>
          <w:lang w:val="en-US"/>
        </w:rPr>
        <w:t xml:space="preserve">A.UC </w:t>
      </w:r>
      <w:r w:rsidRPr="00ED72A8">
        <w:rPr>
          <w:rFonts w:eastAsia="Times New Roman" w:cs="Arial"/>
          <w:i/>
          <w:iCs/>
          <w:color w:val="000000"/>
          <w:sz w:val="20"/>
          <w:szCs w:val="20"/>
          <w:lang w:eastAsia="bg-BG"/>
        </w:rPr>
        <w:t>(&lt; 15% промяна) на</w:t>
      </w:r>
      <w:r w:rsidRPr="00ED72A8">
        <w:rPr>
          <w:rFonts w:eastAsia="Times New Roman" w:cs="Arial"/>
          <w:color w:val="000000"/>
          <w:sz w:val="20"/>
          <w:szCs w:val="20"/>
          <w:lang w:eastAsia="bg-BG"/>
        </w:rPr>
        <w:t xml:space="preserve"> основното съединение</w:t>
      </w:r>
    </w:p>
    <w:p w14:paraId="159ED01D" w14:textId="77777777" w:rsidR="00ED72A8" w:rsidRPr="00ED72A8" w:rsidRDefault="00ED72A8" w:rsidP="00ED72A8">
      <w:pPr>
        <w:spacing w:line="240" w:lineRule="auto"/>
        <w:rPr>
          <w:rFonts w:eastAsia="Times New Roman" w:cs="Arial"/>
          <w:sz w:val="24"/>
          <w:szCs w:val="24"/>
          <w:lang w:eastAsia="bg-BG"/>
        </w:rPr>
      </w:pPr>
      <w:r w:rsidRPr="00ED72A8">
        <w:rPr>
          <w:rFonts w:eastAsia="Times New Roman" w:cs="Arial"/>
          <w:color w:val="000000"/>
          <w:sz w:val="20"/>
          <w:szCs w:val="20"/>
          <w:lang w:eastAsia="bg-BG"/>
        </w:rPr>
        <w:t>НП = не е проучено</w:t>
      </w:r>
    </w:p>
    <w:p w14:paraId="08A2B0FF" w14:textId="77777777" w:rsidR="00ED72A8" w:rsidRPr="00ED72A8" w:rsidRDefault="00ED72A8" w:rsidP="00ED72A8">
      <w:pPr>
        <w:spacing w:line="240" w:lineRule="auto"/>
        <w:rPr>
          <w:rFonts w:eastAsia="Times New Roman" w:cs="Arial"/>
          <w:sz w:val="24"/>
          <w:szCs w:val="24"/>
          <w:lang w:eastAsia="bg-BG"/>
        </w:rPr>
      </w:pPr>
      <w:r w:rsidRPr="00ED72A8">
        <w:rPr>
          <w:rFonts w:eastAsia="Times New Roman" w:cs="Arial"/>
          <w:color w:val="000000"/>
          <w:sz w:val="20"/>
          <w:szCs w:val="20"/>
          <w:lang w:eastAsia="bg-BG"/>
        </w:rPr>
        <w:t xml:space="preserve">* ДЕА = дезацетил дилтиазем, ДЕМ = </w:t>
      </w:r>
      <w:r w:rsidRPr="00ED72A8">
        <w:rPr>
          <w:rFonts w:eastAsia="Times New Roman" w:cs="Arial"/>
          <w:color w:val="000000"/>
          <w:sz w:val="20"/>
          <w:szCs w:val="20"/>
          <w:lang w:val="en-US"/>
        </w:rPr>
        <w:t>N</w:t>
      </w:r>
      <w:r w:rsidRPr="00ED72A8">
        <w:rPr>
          <w:rFonts w:eastAsia="Times New Roman" w:cs="Arial"/>
          <w:color w:val="000000"/>
          <w:sz w:val="20"/>
          <w:szCs w:val="20"/>
          <w:lang w:eastAsia="bg-BG"/>
        </w:rPr>
        <w:t>-деметил дилтиазем</w:t>
      </w:r>
    </w:p>
    <w:p w14:paraId="646CCC8C" w14:textId="77777777" w:rsidR="00ED72A8" w:rsidRPr="00ED72A8" w:rsidRDefault="00ED72A8" w:rsidP="00ED72A8">
      <w:pPr>
        <w:spacing w:line="240" w:lineRule="auto"/>
        <w:rPr>
          <w:rFonts w:eastAsia="Times New Roman" w:cs="Arial"/>
          <w:sz w:val="24"/>
          <w:szCs w:val="24"/>
          <w:lang w:eastAsia="bg-BG"/>
        </w:rPr>
      </w:pPr>
      <w:r w:rsidRPr="00ED72A8">
        <w:rPr>
          <w:rFonts w:eastAsia="Times New Roman" w:cs="Arial"/>
          <w:color w:val="000000"/>
          <w:sz w:val="20"/>
          <w:szCs w:val="20"/>
          <w:vertAlign w:val="superscript"/>
          <w:lang w:eastAsia="bg-BG"/>
        </w:rPr>
        <w:t>б</w:t>
      </w:r>
      <w:r w:rsidRPr="00ED72A8">
        <w:rPr>
          <w:rFonts w:eastAsia="Times New Roman" w:cs="Arial"/>
          <w:color w:val="000000"/>
          <w:sz w:val="20"/>
          <w:szCs w:val="20"/>
          <w:lang w:eastAsia="bg-BG"/>
        </w:rPr>
        <w:t xml:space="preserve"> </w:t>
      </w:r>
      <w:r w:rsidRPr="00ED72A8">
        <w:rPr>
          <w:rFonts w:eastAsia="Times New Roman" w:cs="Arial"/>
          <w:color w:val="000000"/>
          <w:sz w:val="20"/>
          <w:szCs w:val="20"/>
          <w:lang w:val="en-US"/>
        </w:rPr>
        <w:t xml:space="preserve">AUC </w:t>
      </w:r>
      <w:r w:rsidRPr="00ED72A8">
        <w:rPr>
          <w:rFonts w:eastAsia="Times New Roman" w:cs="Arial"/>
          <w:color w:val="000000"/>
          <w:sz w:val="20"/>
          <w:szCs w:val="20"/>
          <w:lang w:eastAsia="bg-BG"/>
        </w:rPr>
        <w:t xml:space="preserve">на флунаризин се увеличава с 14% при пациенти, приемащи флунаризин </w:t>
      </w:r>
      <w:r w:rsidRPr="00ED72A8">
        <w:rPr>
          <w:rFonts w:eastAsia="Times New Roman" w:cs="Arial"/>
          <w:color w:val="000000"/>
          <w:sz w:val="20"/>
          <w:szCs w:val="20"/>
          <w:lang w:val="en-US"/>
        </w:rPr>
        <w:t>ca</w:t>
      </w:r>
      <w:r w:rsidRPr="00ED72A8">
        <w:rPr>
          <w:rFonts w:eastAsia="Times New Roman" w:cs="Arial"/>
          <w:color w:val="000000"/>
          <w:sz w:val="20"/>
          <w:szCs w:val="20"/>
          <w:lang w:eastAsia="bg-BG"/>
        </w:rPr>
        <w:t>мостоятелно.</w:t>
      </w:r>
    </w:p>
    <w:p w14:paraId="3CF0139E" w14:textId="77777777" w:rsidR="00ED72A8" w:rsidRPr="00ED72A8" w:rsidRDefault="00ED72A8" w:rsidP="00ED72A8">
      <w:pPr>
        <w:spacing w:line="240" w:lineRule="auto"/>
        <w:rPr>
          <w:rFonts w:eastAsia="Times New Roman" w:cs="Arial"/>
          <w:sz w:val="24"/>
          <w:szCs w:val="24"/>
          <w:lang w:eastAsia="bg-BG"/>
        </w:rPr>
      </w:pPr>
      <w:r w:rsidRPr="00ED72A8">
        <w:rPr>
          <w:rFonts w:eastAsia="Times New Roman" w:cs="Arial"/>
          <w:color w:val="000000"/>
          <w:sz w:val="20"/>
          <w:szCs w:val="20"/>
          <w:lang w:eastAsia="bg-BG"/>
        </w:rPr>
        <w:t>Увеличената експозиция може да се обясни с натрупване до достигането на стационарно</w:t>
      </w:r>
    </w:p>
    <w:p w14:paraId="33A30151" w14:textId="612D586E" w:rsidR="00ED72A8" w:rsidRPr="00ED72A8" w:rsidRDefault="00ED72A8" w:rsidP="00ED72A8">
      <w:pPr>
        <w:rPr>
          <w:rFonts w:cs="Arial"/>
        </w:rPr>
      </w:pPr>
      <w:r w:rsidRPr="00ED72A8">
        <w:rPr>
          <w:rFonts w:eastAsia="Times New Roman" w:cs="Arial"/>
          <w:color w:val="000000"/>
          <w:sz w:val="20"/>
          <w:szCs w:val="20"/>
          <w:lang w:eastAsia="bg-BG"/>
        </w:rPr>
        <w:t>състояние.</w:t>
      </w:r>
    </w:p>
    <w:p w14:paraId="3FD0EC5A" w14:textId="77777777" w:rsidR="00ED72A8" w:rsidRPr="0091385D" w:rsidRDefault="00ED72A8" w:rsidP="0091385D"/>
    <w:p w14:paraId="394A7584" w14:textId="10DEA5B3" w:rsidR="004F498A" w:rsidRDefault="002C50EE" w:rsidP="004A448E">
      <w:pPr>
        <w:pStyle w:val="Heading2"/>
      </w:pPr>
      <w:r>
        <w:t>4.6. Фертилитет, бременност и кърмене</w:t>
      </w:r>
    </w:p>
    <w:p w14:paraId="4887836B" w14:textId="11C96CFA" w:rsidR="0091385D" w:rsidRDefault="0091385D" w:rsidP="0091385D"/>
    <w:p w14:paraId="627142C3" w14:textId="77777777" w:rsidR="00202DA6" w:rsidRPr="00202DA6" w:rsidRDefault="00202DA6" w:rsidP="00202DA6">
      <w:pPr>
        <w:pStyle w:val="Heading3"/>
        <w:rPr>
          <w:rFonts w:eastAsia="Times New Roman"/>
          <w:sz w:val="28"/>
          <w:u w:val="single"/>
          <w:lang w:eastAsia="bg-BG"/>
        </w:rPr>
      </w:pPr>
      <w:r w:rsidRPr="00202DA6">
        <w:rPr>
          <w:rFonts w:eastAsia="Times New Roman"/>
          <w:u w:val="single"/>
          <w:lang w:eastAsia="bg-BG"/>
        </w:rPr>
        <w:t>Бр</w:t>
      </w:r>
      <w:bookmarkStart w:id="1" w:name="_GoBack"/>
      <w:bookmarkEnd w:id="1"/>
      <w:r w:rsidRPr="00202DA6">
        <w:rPr>
          <w:rFonts w:eastAsia="Times New Roman"/>
          <w:u w:val="single"/>
          <w:lang w:eastAsia="bg-BG"/>
        </w:rPr>
        <w:t>еменност</w:t>
      </w:r>
    </w:p>
    <w:p w14:paraId="7415918B" w14:textId="77777777" w:rsidR="00202DA6" w:rsidRPr="00202DA6" w:rsidRDefault="00202DA6" w:rsidP="00202DA6">
      <w:pPr>
        <w:spacing w:line="240" w:lineRule="auto"/>
        <w:rPr>
          <w:rFonts w:eastAsia="Times New Roman" w:cs="Arial"/>
          <w:i/>
          <w:iCs/>
          <w:color w:val="000000"/>
          <w:szCs w:val="20"/>
          <w:lang w:eastAsia="bg-BG"/>
        </w:rPr>
      </w:pPr>
    </w:p>
    <w:p w14:paraId="2E1B1320" w14:textId="1AB02F5C" w:rsidR="00202DA6" w:rsidRPr="00202DA6" w:rsidRDefault="00202DA6" w:rsidP="00202DA6">
      <w:pPr>
        <w:spacing w:line="240" w:lineRule="auto"/>
        <w:rPr>
          <w:rFonts w:eastAsia="Times New Roman" w:cs="Arial"/>
          <w:sz w:val="28"/>
          <w:szCs w:val="24"/>
          <w:lang w:eastAsia="bg-BG"/>
        </w:rPr>
      </w:pPr>
      <w:r w:rsidRPr="00202DA6">
        <w:rPr>
          <w:rFonts w:eastAsia="Times New Roman" w:cs="Arial"/>
          <w:i/>
          <w:iCs/>
          <w:color w:val="000000"/>
          <w:szCs w:val="20"/>
          <w:lang w:eastAsia="bg-BG"/>
        </w:rPr>
        <w:t>Обобщен риск, свързан с епилепсия и антиепилептични лекарства (АЕЛ)</w:t>
      </w:r>
    </w:p>
    <w:p w14:paraId="3AA6700E" w14:textId="77777777" w:rsidR="00202DA6" w:rsidRPr="00202DA6" w:rsidRDefault="00202DA6" w:rsidP="00202DA6">
      <w:pPr>
        <w:spacing w:line="240" w:lineRule="auto"/>
        <w:rPr>
          <w:rFonts w:eastAsia="Times New Roman" w:cs="Arial"/>
          <w:color w:val="000000"/>
          <w:szCs w:val="20"/>
          <w:lang w:eastAsia="bg-BG"/>
        </w:rPr>
      </w:pPr>
    </w:p>
    <w:p w14:paraId="5FB975C2" w14:textId="7A7D7961" w:rsidR="00202DA6" w:rsidRPr="00202DA6" w:rsidRDefault="00202DA6" w:rsidP="00202DA6">
      <w:pPr>
        <w:spacing w:line="240" w:lineRule="auto"/>
        <w:rPr>
          <w:rFonts w:eastAsia="Times New Roman" w:cs="Arial"/>
          <w:sz w:val="28"/>
          <w:szCs w:val="24"/>
          <w:lang w:eastAsia="bg-BG"/>
        </w:rPr>
      </w:pPr>
      <w:r w:rsidRPr="00202DA6">
        <w:rPr>
          <w:rFonts w:eastAsia="Times New Roman" w:cs="Arial"/>
          <w:color w:val="000000"/>
          <w:szCs w:val="20"/>
          <w:lang w:eastAsia="bg-BG"/>
        </w:rPr>
        <w:t>Жените с детероден потенциал трябва да бъдат консултирани със специалист. Необходимостта от лечение с АЕЛ трябва трябва да се преразгледа при жени, които планират да забременеят. При жени, лекувани за епилепсия, внезапното преустановяване на терапията с АЕЛ трябва да се избягва, къй като това може да доведе до внезапни гърчове с възможни сериозни последствия за майката и нероденото дете.</w:t>
      </w:r>
    </w:p>
    <w:p w14:paraId="68E78A16" w14:textId="77777777" w:rsidR="00202DA6" w:rsidRPr="00202DA6" w:rsidRDefault="00202DA6" w:rsidP="00202DA6">
      <w:pPr>
        <w:spacing w:line="240" w:lineRule="auto"/>
        <w:rPr>
          <w:rFonts w:eastAsia="Times New Roman" w:cs="Arial"/>
          <w:sz w:val="28"/>
          <w:szCs w:val="24"/>
          <w:lang w:eastAsia="bg-BG"/>
        </w:rPr>
      </w:pPr>
      <w:r w:rsidRPr="00202DA6">
        <w:rPr>
          <w:rFonts w:eastAsia="Times New Roman" w:cs="Arial"/>
          <w:color w:val="000000"/>
          <w:szCs w:val="20"/>
          <w:lang w:eastAsia="bg-BG"/>
        </w:rPr>
        <w:t>Винаги когато е възможно, трябва да се предпочита монотерапия, тъй като лечението с няколко АЕЛ може да бъде свързано с по-висок риск от конгенитални малформации в сравнение с монотерапията, в зависимост от комбинираните антиепилептици.</w:t>
      </w:r>
    </w:p>
    <w:p w14:paraId="2469B576" w14:textId="77777777" w:rsidR="00202DA6" w:rsidRPr="00202DA6" w:rsidRDefault="00202DA6" w:rsidP="00202DA6">
      <w:pPr>
        <w:spacing w:line="240" w:lineRule="auto"/>
        <w:rPr>
          <w:rFonts w:eastAsia="Times New Roman" w:cs="Arial"/>
          <w:i/>
          <w:iCs/>
          <w:color w:val="000000"/>
          <w:szCs w:val="20"/>
          <w:lang w:eastAsia="bg-BG"/>
        </w:rPr>
      </w:pPr>
    </w:p>
    <w:p w14:paraId="15A95C70" w14:textId="1E259FA1" w:rsidR="00202DA6" w:rsidRPr="00202DA6" w:rsidRDefault="00202DA6" w:rsidP="00202DA6">
      <w:pPr>
        <w:spacing w:line="240" w:lineRule="auto"/>
        <w:rPr>
          <w:rFonts w:eastAsia="Times New Roman" w:cs="Arial"/>
          <w:sz w:val="28"/>
          <w:szCs w:val="24"/>
          <w:lang w:eastAsia="bg-BG"/>
        </w:rPr>
      </w:pPr>
      <w:r w:rsidRPr="00202DA6">
        <w:rPr>
          <w:rFonts w:eastAsia="Times New Roman" w:cs="Arial"/>
          <w:i/>
          <w:iCs/>
          <w:color w:val="000000"/>
          <w:szCs w:val="20"/>
          <w:lang w:eastAsia="bg-BG"/>
        </w:rPr>
        <w:t>Риск, свързан с топирамат</w:t>
      </w:r>
    </w:p>
    <w:p w14:paraId="286BC94F" w14:textId="77777777" w:rsidR="00202DA6" w:rsidRPr="00202DA6" w:rsidRDefault="00202DA6" w:rsidP="00202DA6">
      <w:pPr>
        <w:spacing w:line="240" w:lineRule="auto"/>
        <w:rPr>
          <w:rFonts w:eastAsia="Times New Roman" w:cs="Arial"/>
          <w:color w:val="000000"/>
          <w:szCs w:val="20"/>
          <w:lang w:eastAsia="bg-BG"/>
        </w:rPr>
      </w:pPr>
    </w:p>
    <w:p w14:paraId="1D4C047D" w14:textId="06633EC5" w:rsidR="00202DA6" w:rsidRPr="00202DA6" w:rsidRDefault="00202DA6" w:rsidP="00202DA6">
      <w:pPr>
        <w:spacing w:line="240" w:lineRule="auto"/>
        <w:rPr>
          <w:rFonts w:eastAsia="Times New Roman" w:cs="Arial"/>
          <w:sz w:val="28"/>
          <w:szCs w:val="24"/>
          <w:lang w:eastAsia="bg-BG"/>
        </w:rPr>
      </w:pPr>
      <w:r w:rsidRPr="00202DA6">
        <w:rPr>
          <w:rFonts w:eastAsia="Times New Roman" w:cs="Arial"/>
          <w:color w:val="000000"/>
          <w:szCs w:val="20"/>
          <w:lang w:eastAsia="bg-BG"/>
        </w:rPr>
        <w:t>Топирамат е тератогенен при мишки, плъхове и зайци (вж. точка 5.3). При плъхове топирамат преминава през плацентната бариера.</w:t>
      </w:r>
    </w:p>
    <w:p w14:paraId="625C5688" w14:textId="77777777" w:rsidR="00202DA6" w:rsidRPr="00202DA6" w:rsidRDefault="00202DA6" w:rsidP="00202DA6">
      <w:pPr>
        <w:spacing w:line="240" w:lineRule="auto"/>
        <w:rPr>
          <w:rFonts w:eastAsia="Times New Roman" w:cs="Arial"/>
          <w:color w:val="000000"/>
          <w:szCs w:val="20"/>
          <w:lang w:eastAsia="bg-BG"/>
        </w:rPr>
      </w:pPr>
    </w:p>
    <w:p w14:paraId="0854F40C" w14:textId="4A16A8F3" w:rsidR="00202DA6" w:rsidRPr="00202DA6" w:rsidRDefault="00202DA6" w:rsidP="00202DA6">
      <w:pPr>
        <w:spacing w:line="240" w:lineRule="auto"/>
        <w:rPr>
          <w:rFonts w:eastAsia="Times New Roman" w:cs="Arial"/>
          <w:sz w:val="28"/>
          <w:szCs w:val="24"/>
          <w:lang w:eastAsia="bg-BG"/>
        </w:rPr>
      </w:pPr>
      <w:r w:rsidRPr="00202DA6">
        <w:rPr>
          <w:rFonts w:eastAsia="Times New Roman" w:cs="Arial"/>
          <w:color w:val="000000"/>
          <w:szCs w:val="20"/>
          <w:lang w:eastAsia="bg-BG"/>
        </w:rPr>
        <w:t>При хората, топирамат преминава през плацентата. Съобщено е за сходни концентрации в пъпната връв и в кръвта на майката.</w:t>
      </w:r>
    </w:p>
    <w:p w14:paraId="751BF53A" w14:textId="77777777" w:rsidR="00202DA6" w:rsidRPr="00202DA6" w:rsidRDefault="00202DA6" w:rsidP="00202DA6">
      <w:pPr>
        <w:spacing w:line="240" w:lineRule="auto"/>
        <w:rPr>
          <w:rFonts w:eastAsia="Times New Roman" w:cs="Arial"/>
          <w:color w:val="000000"/>
          <w:szCs w:val="20"/>
          <w:lang w:eastAsia="bg-BG"/>
        </w:rPr>
      </w:pPr>
    </w:p>
    <w:p w14:paraId="3E233286" w14:textId="0B707A99" w:rsidR="00202DA6" w:rsidRPr="00202DA6" w:rsidRDefault="00202DA6" w:rsidP="00202DA6">
      <w:pPr>
        <w:spacing w:line="240" w:lineRule="auto"/>
        <w:rPr>
          <w:rFonts w:eastAsia="Times New Roman" w:cs="Arial"/>
          <w:sz w:val="28"/>
          <w:szCs w:val="24"/>
          <w:lang w:eastAsia="bg-BG"/>
        </w:rPr>
      </w:pPr>
      <w:r w:rsidRPr="00202DA6">
        <w:rPr>
          <w:rFonts w:eastAsia="Times New Roman" w:cs="Arial"/>
          <w:color w:val="000000"/>
          <w:szCs w:val="20"/>
          <w:lang w:eastAsia="bg-BG"/>
        </w:rPr>
        <w:t>Клиничните данни от регистрите на бременностите показват, че децата, изложени на топирамат:</w:t>
      </w:r>
    </w:p>
    <w:p w14:paraId="5BEB1539" w14:textId="77777777" w:rsidR="00202DA6" w:rsidRPr="00202DA6" w:rsidRDefault="00202DA6" w:rsidP="00202DA6">
      <w:pPr>
        <w:pStyle w:val="ListParagraph"/>
        <w:numPr>
          <w:ilvl w:val="0"/>
          <w:numId w:val="35"/>
        </w:numPr>
        <w:spacing w:line="240" w:lineRule="auto"/>
        <w:rPr>
          <w:rFonts w:eastAsia="Times New Roman" w:cs="Arial"/>
          <w:sz w:val="28"/>
          <w:szCs w:val="24"/>
          <w:lang w:eastAsia="bg-BG"/>
        </w:rPr>
      </w:pPr>
      <w:r w:rsidRPr="00202DA6">
        <w:rPr>
          <w:rFonts w:eastAsia="Times New Roman" w:cs="Arial"/>
          <w:color w:val="000000"/>
          <w:szCs w:val="20"/>
          <w:lang w:eastAsia="bg-BG"/>
        </w:rPr>
        <w:t xml:space="preserve">Са с повишен риск от вродени малформации (напр. краниофациални дефекти като цепната устна/небце, хипоспадия и аномалии, засягащи различни системи на организма) след лечение с топирамат през първия триместьр. Данните от регистъра на бременностите на Северна Америка при употреба на антиепилептични лекарства </w:t>
      </w:r>
      <w:r w:rsidRPr="00202DA6">
        <w:rPr>
          <w:rFonts w:eastAsia="Times New Roman" w:cs="Arial"/>
          <w:color w:val="000000"/>
          <w:szCs w:val="20"/>
          <w:lang w:val="en-US"/>
        </w:rPr>
        <w:t xml:space="preserve">(NAAED) </w:t>
      </w:r>
      <w:r w:rsidRPr="00202DA6">
        <w:rPr>
          <w:rFonts w:eastAsia="Times New Roman" w:cs="Arial"/>
          <w:color w:val="000000"/>
          <w:szCs w:val="20"/>
          <w:lang w:eastAsia="bg-BG"/>
        </w:rPr>
        <w:t xml:space="preserve">при монотерапия с топирамат показват приблизително 3 пъти по-висока заболеваемост на големи вродени малформации (4,3%) в сравнение с референтната група, която не приема антиепилептични лекарства (1,4%). Освен това, резултатите от тези и други проучвания показват, че в сравнение с монотерапията съществува повишен риск от тератогенни ефекти, свързани с употребата на антиепилептични средства в комбинирана терапия. Този риск е докладван като дозозависим; ефектите са наблюдавани при всички дози. </w:t>
      </w:r>
      <w:r w:rsidRPr="00202DA6">
        <w:rPr>
          <w:rFonts w:eastAsia="Times New Roman" w:cs="Arial"/>
          <w:color w:val="000000"/>
          <w:szCs w:val="20"/>
          <w:lang w:eastAsia="bg-BG"/>
        </w:rPr>
        <w:lastRenderedPageBreak/>
        <w:t>При лекувани с топирамат жени, които вече са имали дете с вродени малформации, има повишен риск от поява на малформации при следващи бременности, ако се лекуват с топирамат.</w:t>
      </w:r>
    </w:p>
    <w:p w14:paraId="7FDDBEF3" w14:textId="77777777" w:rsidR="00202DA6" w:rsidRPr="00202DA6" w:rsidRDefault="00202DA6" w:rsidP="00202DA6">
      <w:pPr>
        <w:pStyle w:val="ListParagraph"/>
        <w:numPr>
          <w:ilvl w:val="0"/>
          <w:numId w:val="35"/>
        </w:numPr>
        <w:spacing w:line="240" w:lineRule="auto"/>
        <w:rPr>
          <w:rFonts w:eastAsia="Times New Roman" w:cs="Arial"/>
          <w:sz w:val="28"/>
          <w:szCs w:val="24"/>
          <w:lang w:eastAsia="bg-BG"/>
        </w:rPr>
      </w:pPr>
      <w:r w:rsidRPr="00202DA6">
        <w:rPr>
          <w:rFonts w:eastAsia="Times New Roman" w:cs="Arial"/>
          <w:color w:val="000000"/>
          <w:szCs w:val="20"/>
          <w:lang w:eastAsia="bg-BG"/>
        </w:rPr>
        <w:t>Са по-често с ниско тегло при раждане (&lt;2 500 грама) след лечение с топирамат, в сравнение с референтната група.</w:t>
      </w:r>
    </w:p>
    <w:p w14:paraId="18AB8686" w14:textId="26A76BC2" w:rsidR="00202DA6" w:rsidRPr="00202DA6" w:rsidRDefault="00202DA6" w:rsidP="00202DA6">
      <w:pPr>
        <w:pStyle w:val="ListParagraph"/>
        <w:numPr>
          <w:ilvl w:val="0"/>
          <w:numId w:val="35"/>
        </w:numPr>
        <w:spacing w:line="240" w:lineRule="auto"/>
        <w:rPr>
          <w:rFonts w:eastAsia="Times New Roman" w:cs="Arial"/>
          <w:sz w:val="28"/>
          <w:szCs w:val="24"/>
          <w:lang w:eastAsia="bg-BG"/>
        </w:rPr>
      </w:pPr>
      <w:r w:rsidRPr="00202DA6">
        <w:rPr>
          <w:rFonts w:eastAsia="Times New Roman" w:cs="Arial"/>
          <w:color w:val="000000"/>
          <w:szCs w:val="20"/>
          <w:lang w:eastAsia="bg-BG"/>
        </w:rPr>
        <w:t>Повишена честота на раждане на бебета с ниско за гестационната възраст тегло (под 10%, коригирано за гестационната възраст, съответстветстващо на пола).</w:t>
      </w:r>
    </w:p>
    <w:p w14:paraId="7ACF9688" w14:textId="77777777" w:rsidR="00202DA6" w:rsidRPr="00202DA6" w:rsidRDefault="00202DA6" w:rsidP="00202DA6">
      <w:pPr>
        <w:spacing w:line="240" w:lineRule="auto"/>
        <w:rPr>
          <w:rFonts w:eastAsia="Times New Roman" w:cs="Arial"/>
          <w:b/>
          <w:bCs/>
          <w:color w:val="000000"/>
          <w:szCs w:val="20"/>
          <w:lang w:eastAsia="bg-BG"/>
        </w:rPr>
      </w:pPr>
      <w:bookmarkStart w:id="2" w:name="bookmark0"/>
    </w:p>
    <w:p w14:paraId="07548EBC" w14:textId="5EA1A8A4" w:rsidR="00202DA6" w:rsidRPr="00202DA6" w:rsidRDefault="00202DA6" w:rsidP="00202DA6">
      <w:pPr>
        <w:spacing w:line="240" w:lineRule="auto"/>
        <w:rPr>
          <w:rFonts w:eastAsia="Times New Roman" w:cs="Arial"/>
          <w:sz w:val="28"/>
          <w:szCs w:val="24"/>
          <w:lang w:eastAsia="bg-BG"/>
        </w:rPr>
      </w:pPr>
      <w:r w:rsidRPr="00202DA6">
        <w:rPr>
          <w:rFonts w:eastAsia="Times New Roman" w:cs="Arial"/>
          <w:b/>
          <w:bCs/>
          <w:color w:val="000000"/>
          <w:szCs w:val="20"/>
          <w:lang w:eastAsia="bg-BG"/>
        </w:rPr>
        <w:t>Показание епилепсия</w:t>
      </w:r>
      <w:bookmarkEnd w:id="2"/>
    </w:p>
    <w:p w14:paraId="51F483C9" w14:textId="77777777" w:rsidR="00202DA6" w:rsidRPr="00202DA6" w:rsidRDefault="00202DA6" w:rsidP="00202DA6">
      <w:pPr>
        <w:spacing w:line="240" w:lineRule="auto"/>
        <w:rPr>
          <w:rFonts w:eastAsia="Times New Roman" w:cs="Arial"/>
          <w:sz w:val="28"/>
          <w:szCs w:val="24"/>
          <w:lang w:eastAsia="bg-BG"/>
        </w:rPr>
      </w:pPr>
      <w:r w:rsidRPr="00202DA6">
        <w:rPr>
          <w:rFonts w:eastAsia="Times New Roman" w:cs="Arial"/>
          <w:color w:val="000000"/>
          <w:szCs w:val="20"/>
          <w:lang w:eastAsia="bg-BG"/>
        </w:rPr>
        <w:t>Препоръчва се да се обмислят алтернативни терапевтични варианти при жени с детероден потенциал. Ако топирамат се използва при жени с детероден потенциал, препоръчва се те да използват ефективна контрацепция (вж. точка 4.5). Жените трябва да бъдат подробно информирани за известните рискве от неконтролираната епилепсия по време на бременност и за потенциалните рискове за плода от лекарствения продукт. Ако жената планува бременност, се препоръчва среща с лекаря преди забременяването, с цел да се преоцени лечението и да се обмислят други терапевтични възможности. В случай на лечение по време на първия триместьр, трябва да се проведе обстойно пренатално мониториране.</w:t>
      </w:r>
    </w:p>
    <w:p w14:paraId="0C63758F" w14:textId="77777777" w:rsidR="00202DA6" w:rsidRPr="00202DA6" w:rsidRDefault="00202DA6" w:rsidP="00202DA6">
      <w:pPr>
        <w:rPr>
          <w:rFonts w:eastAsia="Times New Roman" w:cs="Arial"/>
          <w:b/>
          <w:bCs/>
          <w:color w:val="000000"/>
          <w:szCs w:val="20"/>
          <w:lang w:eastAsia="bg-BG"/>
        </w:rPr>
      </w:pPr>
    </w:p>
    <w:p w14:paraId="776662C5" w14:textId="4C9BB45F" w:rsidR="0091385D" w:rsidRPr="00202DA6" w:rsidRDefault="00202DA6" w:rsidP="00202DA6">
      <w:pPr>
        <w:rPr>
          <w:rFonts w:cs="Arial"/>
        </w:rPr>
      </w:pPr>
      <w:r w:rsidRPr="00202DA6">
        <w:rPr>
          <w:rFonts w:eastAsia="Times New Roman" w:cs="Arial"/>
          <w:b/>
          <w:bCs/>
          <w:color w:val="000000"/>
          <w:lang w:eastAsia="bg-BG"/>
        </w:rPr>
        <w:t>Показание профилактика на мигрена</w:t>
      </w:r>
    </w:p>
    <w:p w14:paraId="7F8D7509" w14:textId="77777777" w:rsidR="00202DA6" w:rsidRPr="00202DA6" w:rsidRDefault="00202DA6" w:rsidP="00202DA6">
      <w:pPr>
        <w:spacing w:line="240" w:lineRule="auto"/>
        <w:rPr>
          <w:rFonts w:eastAsia="Times New Roman" w:cs="Arial"/>
          <w:lang w:eastAsia="bg-BG"/>
        </w:rPr>
      </w:pPr>
      <w:r w:rsidRPr="00202DA6">
        <w:rPr>
          <w:rFonts w:eastAsia="Times New Roman" w:cs="Arial"/>
          <w:color w:val="000000"/>
          <w:lang w:eastAsia="bg-BG"/>
        </w:rPr>
        <w:t>Топирамат е противопоказан по време на бременност и при жени с детероден потенциал, ако не се използват методи на ефективна контрацепция (вж. точка 4.3 и 4.5)</w:t>
      </w:r>
    </w:p>
    <w:p w14:paraId="4DDF8DB5" w14:textId="77777777" w:rsidR="00202DA6" w:rsidRPr="00202DA6" w:rsidRDefault="00202DA6" w:rsidP="00202DA6">
      <w:pPr>
        <w:spacing w:line="240" w:lineRule="auto"/>
        <w:rPr>
          <w:rFonts w:eastAsia="Times New Roman" w:cs="Arial"/>
          <w:color w:val="000000"/>
          <w:lang w:eastAsia="bg-BG"/>
        </w:rPr>
      </w:pPr>
    </w:p>
    <w:p w14:paraId="70CFCD22" w14:textId="0DA6AA4A" w:rsidR="00202DA6" w:rsidRPr="00202DA6" w:rsidRDefault="00202DA6" w:rsidP="00202DA6">
      <w:pPr>
        <w:pStyle w:val="Heading3"/>
        <w:rPr>
          <w:rFonts w:eastAsia="Times New Roman"/>
          <w:u w:val="single"/>
          <w:lang w:eastAsia="bg-BG"/>
        </w:rPr>
      </w:pPr>
      <w:r w:rsidRPr="00202DA6">
        <w:rPr>
          <w:rFonts w:eastAsia="Times New Roman"/>
          <w:u w:val="single"/>
          <w:lang w:eastAsia="bg-BG"/>
        </w:rPr>
        <w:t>Кърмене</w:t>
      </w:r>
    </w:p>
    <w:p w14:paraId="3E8789C3" w14:textId="6EFD7CB9" w:rsidR="0091385D" w:rsidRPr="00202DA6" w:rsidRDefault="00202DA6" w:rsidP="00202DA6">
      <w:pPr>
        <w:rPr>
          <w:rFonts w:cs="Arial"/>
        </w:rPr>
      </w:pPr>
      <w:r w:rsidRPr="00202DA6">
        <w:rPr>
          <w:rFonts w:eastAsia="Times New Roman" w:cs="Arial"/>
          <w:color w:val="000000"/>
          <w:lang w:eastAsia="bg-BG"/>
        </w:rPr>
        <w:t>Проучванията при животни показват, че топирамат се екскретира в кърмата. Екскрецията на топирамат в майчиното мляко не е изследвана в контролирани проучвания. Ограничените наблюдения при пациенти предполагат екстензивна екскреция на топирамат в майчиното мляко При новородените, кърмени от подложени на лечение майки, са наблюдавани диария, сънливост, раздразнителност и неадекватно повишаване на теглото. Следователно, трябва да се вземе решение дали да се прекъсне кърменето или да се преустанови/въздържи от лечение с топирамат, като се вземе предвид значението на лекарствения продукт за майката (вж. точка 4.4).</w:t>
      </w:r>
    </w:p>
    <w:p w14:paraId="09D7E0CA" w14:textId="77777777" w:rsidR="00202DA6" w:rsidRPr="0091385D" w:rsidRDefault="00202DA6"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2676810A" w:rsidR="0091385D" w:rsidRDefault="0091385D" w:rsidP="0091385D"/>
    <w:p w14:paraId="2B4135A6" w14:textId="270480C0" w:rsidR="0091385D" w:rsidRPr="00202DA6" w:rsidRDefault="00202DA6" w:rsidP="0091385D">
      <w:pPr>
        <w:rPr>
          <w:rFonts w:cs="Arial"/>
        </w:rPr>
      </w:pPr>
      <w:r w:rsidRPr="00202DA6">
        <w:rPr>
          <w:rFonts w:cs="Arial"/>
        </w:rPr>
        <w:t>Топирамат има малко или умерено влияние върху способността за шофиране и работа с машини. Топирамат действа върху централната нервна система и може да стане причина за поява на сънливост, замайване и други подобни симптоми. Може да причини също така нарушения на зрението и/или замъглено виждане. Тези нежелани реакции може да се окажат потенциално опасни при шофиране или работа с машини, особено докато не се определи индивидуалната реакция на всеки пациент към лекарствения продукт.</w:t>
      </w:r>
    </w:p>
    <w:p w14:paraId="35801A15" w14:textId="77777777" w:rsidR="0091385D" w:rsidRPr="0091385D" w:rsidRDefault="0091385D" w:rsidP="0091385D"/>
    <w:p w14:paraId="37A3FD9F" w14:textId="0E7561E3" w:rsidR="00CF77F7" w:rsidRDefault="002C50EE" w:rsidP="004A448E">
      <w:pPr>
        <w:pStyle w:val="Heading2"/>
      </w:pPr>
      <w:r>
        <w:t>4.8. Нежелани лекарствени реакции</w:t>
      </w:r>
    </w:p>
    <w:p w14:paraId="4838F52A" w14:textId="4C2232D6" w:rsidR="0091385D" w:rsidRDefault="0091385D" w:rsidP="0091385D"/>
    <w:p w14:paraId="1A879F7A" w14:textId="56812283" w:rsidR="00202DA6" w:rsidRPr="00202DA6" w:rsidRDefault="00202DA6" w:rsidP="00202DA6">
      <w:pPr>
        <w:spacing w:line="240" w:lineRule="auto"/>
        <w:rPr>
          <w:rFonts w:eastAsia="Times New Roman" w:cs="Arial"/>
          <w:lang w:eastAsia="bg-BG"/>
        </w:rPr>
      </w:pPr>
      <w:r w:rsidRPr="00202DA6">
        <w:rPr>
          <w:rFonts w:eastAsia="Times New Roman" w:cs="Arial"/>
          <w:color w:val="000000"/>
          <w:lang w:eastAsia="bg-BG"/>
        </w:rPr>
        <w:t xml:space="preserve">Безопасността на топирамат е определена от база данни на клинични изпитвания с 4111 пациенти (3182 на топирамат и 929 на плацебо), взели участие в 20 двойно слепи изпитвания и съответно 2847 пациенти, взели участие в 34 открити изпитвания на топирамат като допълнително лечение на първично генерализирани тонично-клонични </w:t>
      </w:r>
      <w:r w:rsidRPr="00202DA6">
        <w:rPr>
          <w:rFonts w:eastAsia="Times New Roman" w:cs="Arial"/>
          <w:color w:val="000000"/>
          <w:lang w:eastAsia="bg-BG"/>
        </w:rPr>
        <w:lastRenderedPageBreak/>
        <w:t>гърчове, парциални пристъпи, припадъци, свързани със синдрома на Ленокс-Гасто, монотерапия за ново- или наскоро диагностицирани случаи на епилепсия и профилактика на мигрена. Голяма част от нежеланите лекарствени реакции са леки до умерени. Лекарствените реакции, наблюдавани в клиничните изпитвания и при постмаркетингов опит (както е указано с „ *</w:t>
      </w:r>
      <w:r w:rsidRPr="00202DA6">
        <w:rPr>
          <w:rFonts w:eastAsia="Times New Roman" w:cs="Arial"/>
          <w:color w:val="000000"/>
          <w:lang w:val="en-US"/>
        </w:rPr>
        <w:t xml:space="preserve"> </w:t>
      </w:r>
      <w:r w:rsidRPr="00202DA6">
        <w:rPr>
          <w:rFonts w:eastAsia="Times New Roman" w:cs="Arial"/>
          <w:color w:val="000000"/>
          <w:lang w:eastAsia="bg-BG"/>
        </w:rPr>
        <w:t>“)</w:t>
      </w:r>
      <w:r w:rsidRPr="00202DA6">
        <w:rPr>
          <w:rFonts w:eastAsia="Times New Roman" w:cs="Arial"/>
          <w:color w:val="000000"/>
          <w:lang w:val="en-US"/>
        </w:rPr>
        <w:t xml:space="preserve"> </w:t>
      </w:r>
      <w:r w:rsidRPr="00202DA6">
        <w:rPr>
          <w:rFonts w:eastAsia="Times New Roman" w:cs="Arial"/>
          <w:color w:val="000000"/>
          <w:lang w:eastAsia="bg-BG"/>
        </w:rPr>
        <w:t>са изброени по</w:t>
      </w:r>
      <w:r>
        <w:rPr>
          <w:rFonts w:eastAsia="Times New Roman" w:cs="Arial"/>
          <w:lang w:eastAsia="bg-BG"/>
        </w:rPr>
        <w:t xml:space="preserve"> </w:t>
      </w:r>
      <w:r w:rsidRPr="00202DA6">
        <w:rPr>
          <w:rFonts w:eastAsia="Times New Roman" w:cs="Arial"/>
          <w:color w:val="000000"/>
          <w:lang w:eastAsia="bg-BG"/>
        </w:rPr>
        <w:t>честота на поява в клиничните изпитвания в Таблица 1. Критериите за честота са следните:</w:t>
      </w:r>
    </w:p>
    <w:p w14:paraId="13EB17E7" w14:textId="77777777" w:rsidR="00202DA6" w:rsidRPr="00202DA6" w:rsidRDefault="00202DA6" w:rsidP="00202DA6">
      <w:pPr>
        <w:spacing w:line="240" w:lineRule="auto"/>
        <w:rPr>
          <w:rFonts w:eastAsia="Times New Roman" w:cs="Arial"/>
          <w:color w:val="000000"/>
          <w:lang w:eastAsia="bg-BG"/>
        </w:rPr>
      </w:pPr>
    </w:p>
    <w:p w14:paraId="5FFDBC06" w14:textId="59D9CF1B" w:rsidR="00202DA6" w:rsidRPr="00202DA6" w:rsidRDefault="00202DA6" w:rsidP="00202DA6">
      <w:pPr>
        <w:spacing w:line="240" w:lineRule="auto"/>
        <w:rPr>
          <w:rFonts w:eastAsia="Times New Roman" w:cs="Arial"/>
          <w:lang w:eastAsia="bg-BG"/>
        </w:rPr>
      </w:pPr>
      <w:r w:rsidRPr="00202DA6">
        <w:rPr>
          <w:rFonts w:eastAsia="Times New Roman" w:cs="Arial"/>
          <w:color w:val="000000"/>
          <w:lang w:eastAsia="bg-BG"/>
        </w:rPr>
        <w:t>Много чести</w:t>
      </w:r>
      <w:r w:rsidRPr="00202DA6">
        <w:rPr>
          <w:rFonts w:eastAsia="Times New Roman" w:cs="Arial"/>
          <w:color w:val="000000"/>
          <w:lang w:eastAsia="bg-BG"/>
        </w:rPr>
        <w:tab/>
        <w:t>≥</w:t>
      </w:r>
      <w:r w:rsidRPr="00202DA6">
        <w:rPr>
          <w:rFonts w:eastAsia="Times New Roman" w:cs="Arial"/>
          <w:color w:val="000000"/>
          <w:lang w:val="en-US"/>
        </w:rPr>
        <w:t xml:space="preserve"> </w:t>
      </w:r>
      <w:r w:rsidRPr="00202DA6">
        <w:rPr>
          <w:rFonts w:eastAsia="Times New Roman" w:cs="Arial"/>
          <w:color w:val="000000"/>
          <w:lang w:eastAsia="bg-BG"/>
        </w:rPr>
        <w:t>1/10</w:t>
      </w:r>
    </w:p>
    <w:p w14:paraId="24230E91" w14:textId="77777777" w:rsidR="00202DA6" w:rsidRPr="00202DA6" w:rsidRDefault="00202DA6" w:rsidP="00202DA6">
      <w:pPr>
        <w:spacing w:line="240" w:lineRule="auto"/>
        <w:rPr>
          <w:rFonts w:eastAsia="Times New Roman" w:cs="Arial"/>
          <w:lang w:eastAsia="bg-BG"/>
        </w:rPr>
      </w:pPr>
      <w:r w:rsidRPr="00202DA6">
        <w:rPr>
          <w:rFonts w:eastAsia="Times New Roman" w:cs="Arial"/>
          <w:color w:val="000000"/>
          <w:lang w:eastAsia="bg-BG"/>
        </w:rPr>
        <w:t>Чести</w:t>
      </w:r>
      <w:r w:rsidRPr="00202DA6">
        <w:rPr>
          <w:rFonts w:eastAsia="Times New Roman" w:cs="Arial"/>
          <w:color w:val="000000"/>
          <w:lang w:eastAsia="bg-BG"/>
        </w:rPr>
        <w:tab/>
        <w:t>≥1/100 до &lt;1/10</w:t>
      </w:r>
    </w:p>
    <w:p w14:paraId="6FF2A917" w14:textId="77777777" w:rsidR="00202DA6" w:rsidRPr="00202DA6" w:rsidRDefault="00202DA6" w:rsidP="00202DA6">
      <w:pPr>
        <w:spacing w:line="240" w:lineRule="auto"/>
        <w:rPr>
          <w:rFonts w:eastAsia="Times New Roman" w:cs="Arial"/>
          <w:lang w:eastAsia="bg-BG"/>
        </w:rPr>
      </w:pPr>
      <w:r w:rsidRPr="00202DA6">
        <w:rPr>
          <w:rFonts w:eastAsia="Times New Roman" w:cs="Arial"/>
          <w:color w:val="000000"/>
          <w:lang w:eastAsia="bg-BG"/>
        </w:rPr>
        <w:t>Нечести</w:t>
      </w:r>
      <w:r w:rsidRPr="00202DA6">
        <w:rPr>
          <w:rFonts w:eastAsia="Times New Roman" w:cs="Arial"/>
          <w:color w:val="000000"/>
          <w:lang w:eastAsia="bg-BG"/>
        </w:rPr>
        <w:tab/>
        <w:t>≥1/1000 до &lt;1/100</w:t>
      </w:r>
    </w:p>
    <w:p w14:paraId="4B4DBE15" w14:textId="77777777" w:rsidR="00202DA6" w:rsidRPr="00202DA6" w:rsidRDefault="00202DA6" w:rsidP="00202DA6">
      <w:pPr>
        <w:spacing w:line="240" w:lineRule="auto"/>
        <w:rPr>
          <w:rFonts w:eastAsia="Times New Roman" w:cs="Arial"/>
          <w:lang w:eastAsia="bg-BG"/>
        </w:rPr>
      </w:pPr>
      <w:r w:rsidRPr="00202DA6">
        <w:rPr>
          <w:rFonts w:eastAsia="Times New Roman" w:cs="Arial"/>
          <w:color w:val="000000"/>
          <w:lang w:eastAsia="bg-BG"/>
        </w:rPr>
        <w:t>Редки</w:t>
      </w:r>
      <w:r w:rsidRPr="00202DA6">
        <w:rPr>
          <w:rFonts w:eastAsia="Times New Roman" w:cs="Arial"/>
          <w:color w:val="000000"/>
          <w:lang w:eastAsia="bg-BG"/>
        </w:rPr>
        <w:tab/>
        <w:t>≥1/10 000 до &lt;1/1000</w:t>
      </w:r>
    </w:p>
    <w:p w14:paraId="008206AC" w14:textId="77777777" w:rsidR="00202DA6" w:rsidRPr="00202DA6" w:rsidRDefault="00202DA6" w:rsidP="00202DA6">
      <w:pPr>
        <w:spacing w:line="240" w:lineRule="auto"/>
        <w:rPr>
          <w:rFonts w:eastAsia="Times New Roman" w:cs="Arial"/>
          <w:lang w:eastAsia="bg-BG"/>
        </w:rPr>
      </w:pPr>
      <w:r w:rsidRPr="00202DA6">
        <w:rPr>
          <w:rFonts w:eastAsia="Times New Roman" w:cs="Arial"/>
          <w:color w:val="000000"/>
          <w:lang w:eastAsia="bg-BG"/>
        </w:rPr>
        <w:t>С неизвестна честота от наличните данни не може да бъде направена оценка</w:t>
      </w:r>
    </w:p>
    <w:p w14:paraId="43AA25B1" w14:textId="77777777" w:rsidR="00202DA6" w:rsidRPr="00202DA6" w:rsidRDefault="00202DA6" w:rsidP="00202DA6">
      <w:pPr>
        <w:rPr>
          <w:rFonts w:eastAsia="Times New Roman" w:cs="Arial"/>
          <w:color w:val="000000"/>
          <w:lang w:eastAsia="bg-BG"/>
        </w:rPr>
      </w:pPr>
    </w:p>
    <w:p w14:paraId="570508C4" w14:textId="0AE30E59" w:rsidR="0091385D" w:rsidRPr="00202DA6" w:rsidRDefault="00202DA6" w:rsidP="00202DA6">
      <w:pPr>
        <w:rPr>
          <w:rFonts w:cs="Arial"/>
        </w:rPr>
      </w:pPr>
      <w:r w:rsidRPr="00202DA6">
        <w:rPr>
          <w:rFonts w:eastAsia="Times New Roman" w:cs="Arial"/>
          <w:color w:val="000000"/>
          <w:lang w:eastAsia="bg-BG"/>
        </w:rPr>
        <w:t>Най-често срещаните нежелани лекарствени реакции (НЛР) (с честота &gt;5% и повече в сравнение с наблюдаваните при плацебо, по най-малко едно показание, в двойно слепи контролирани проучвания на топирамат) са: анорексия, намален апетит, брадифрения, депресия, нарушена способност за изразяване, безсъние, нарушена координация, затруднена концентрация, замайване, дизартрия, дизгеузия, хипоестезия, летаргия, нарушения на паметта, нистагъм, парестезия, сомнолентност, тремор, диплопия, замъглено виждане, диария, гадене, умора, раздразнителност и намалено тегло.</w:t>
      </w:r>
    </w:p>
    <w:p w14:paraId="43E3C48F" w14:textId="5CDD44D0" w:rsidR="0091385D" w:rsidRPr="00202DA6" w:rsidRDefault="0091385D" w:rsidP="0091385D">
      <w:pPr>
        <w:rPr>
          <w:rFonts w:cs="Arial"/>
        </w:rPr>
      </w:pPr>
    </w:p>
    <w:p w14:paraId="2FA5CE88" w14:textId="60BA0B02" w:rsidR="00202DA6" w:rsidRPr="00202DA6" w:rsidRDefault="00202DA6" w:rsidP="0091385D">
      <w:pPr>
        <w:rPr>
          <w:rFonts w:cs="Arial"/>
        </w:rPr>
      </w:pPr>
      <w:r w:rsidRPr="00202DA6">
        <w:rPr>
          <w:rFonts w:cs="Arial"/>
          <w:b/>
          <w:bCs/>
        </w:rPr>
        <w:t xml:space="preserve">Таблица 1: </w:t>
      </w:r>
      <w:r w:rsidRPr="00202DA6">
        <w:rPr>
          <w:rFonts w:cs="Arial"/>
        </w:rPr>
        <w:t>Нежелани лекарствени реакции при употреба на топирамат</w:t>
      </w:r>
    </w:p>
    <w:p w14:paraId="5DB7524D" w14:textId="5F8067A3" w:rsidR="00202DA6" w:rsidRDefault="00202DA6" w:rsidP="0091385D"/>
    <w:tbl>
      <w:tblPr>
        <w:tblStyle w:val="TableGrid"/>
        <w:tblW w:w="0" w:type="auto"/>
        <w:tblLook w:val="04A0" w:firstRow="1" w:lastRow="0" w:firstColumn="1" w:lastColumn="0" w:noHBand="0" w:noVBand="1"/>
      </w:tblPr>
      <w:tblGrid>
        <w:gridCol w:w="1536"/>
        <w:gridCol w:w="1438"/>
        <w:gridCol w:w="1635"/>
        <w:gridCol w:w="1643"/>
        <w:gridCol w:w="1518"/>
        <w:gridCol w:w="1580"/>
      </w:tblGrid>
      <w:tr w:rsidR="00202DA6" w14:paraId="31ED38C0" w14:textId="77777777" w:rsidTr="00202DA6">
        <w:trPr>
          <w:trHeight w:val="760"/>
        </w:trPr>
        <w:tc>
          <w:tcPr>
            <w:tcW w:w="1573" w:type="dxa"/>
            <w:vAlign w:val="bottom"/>
          </w:tcPr>
          <w:p w14:paraId="3F877860" w14:textId="77777777" w:rsidR="00202DA6" w:rsidRPr="00984E1A" w:rsidRDefault="00202DA6" w:rsidP="00202DA6">
            <w:pPr>
              <w:rPr>
                <w:rFonts w:cs="Arial"/>
              </w:rPr>
            </w:pPr>
            <w:r w:rsidRPr="00984E1A">
              <w:rPr>
                <w:rFonts w:cs="Arial"/>
                <w:b/>
                <w:bCs/>
              </w:rPr>
              <w:t>Системо-</w:t>
            </w:r>
          </w:p>
          <w:p w14:paraId="59A07956" w14:textId="4B21DBFB" w:rsidR="00202DA6" w:rsidRPr="00984E1A" w:rsidRDefault="00202DA6" w:rsidP="00202DA6">
            <w:pPr>
              <w:rPr>
                <w:rFonts w:cs="Arial"/>
              </w:rPr>
            </w:pPr>
            <w:r w:rsidRPr="00984E1A">
              <w:rPr>
                <w:rFonts w:cs="Arial"/>
                <w:b/>
                <w:bCs/>
              </w:rPr>
              <w:t>органнн класове</w:t>
            </w:r>
          </w:p>
        </w:tc>
        <w:tc>
          <w:tcPr>
            <w:tcW w:w="1472" w:type="dxa"/>
            <w:vAlign w:val="bottom"/>
          </w:tcPr>
          <w:p w14:paraId="7C5BAEA2" w14:textId="76EAD4A2" w:rsidR="00202DA6" w:rsidRPr="00984E1A" w:rsidRDefault="00202DA6" w:rsidP="00202DA6">
            <w:pPr>
              <w:rPr>
                <w:rFonts w:cs="Arial"/>
              </w:rPr>
            </w:pPr>
            <w:r w:rsidRPr="00984E1A">
              <w:rPr>
                <w:rFonts w:cs="Arial"/>
                <w:b/>
                <w:bCs/>
              </w:rPr>
              <w:t>Много чести</w:t>
            </w:r>
          </w:p>
        </w:tc>
        <w:tc>
          <w:tcPr>
            <w:tcW w:w="1675" w:type="dxa"/>
            <w:vAlign w:val="bottom"/>
          </w:tcPr>
          <w:p w14:paraId="6447673F" w14:textId="27F5A5F0" w:rsidR="00202DA6" w:rsidRPr="00984E1A" w:rsidRDefault="00202DA6" w:rsidP="00202DA6">
            <w:pPr>
              <w:rPr>
                <w:rFonts w:cs="Arial"/>
              </w:rPr>
            </w:pPr>
            <w:r w:rsidRPr="00984E1A">
              <w:rPr>
                <w:rFonts w:cs="Arial"/>
                <w:b/>
                <w:bCs/>
              </w:rPr>
              <w:t>Чести</w:t>
            </w:r>
          </w:p>
        </w:tc>
        <w:tc>
          <w:tcPr>
            <w:tcW w:w="1683" w:type="dxa"/>
            <w:vAlign w:val="bottom"/>
          </w:tcPr>
          <w:p w14:paraId="2250D965" w14:textId="56F2647F" w:rsidR="00202DA6" w:rsidRPr="00984E1A" w:rsidRDefault="00202DA6" w:rsidP="00202DA6">
            <w:pPr>
              <w:rPr>
                <w:rFonts w:cs="Arial"/>
              </w:rPr>
            </w:pPr>
            <w:r w:rsidRPr="00984E1A">
              <w:rPr>
                <w:rFonts w:cs="Arial"/>
                <w:b/>
                <w:bCs/>
              </w:rPr>
              <w:t xml:space="preserve">Нечести </w:t>
            </w:r>
          </w:p>
        </w:tc>
        <w:tc>
          <w:tcPr>
            <w:tcW w:w="1554" w:type="dxa"/>
            <w:vAlign w:val="bottom"/>
          </w:tcPr>
          <w:p w14:paraId="12B0B4B0" w14:textId="2C063A19" w:rsidR="00202DA6" w:rsidRPr="00984E1A" w:rsidRDefault="00202DA6" w:rsidP="00202DA6">
            <w:pPr>
              <w:rPr>
                <w:rFonts w:cs="Arial"/>
                <w:b/>
              </w:rPr>
            </w:pPr>
            <w:r w:rsidRPr="00984E1A">
              <w:rPr>
                <w:rFonts w:cs="Arial"/>
                <w:b/>
                <w:bCs/>
              </w:rPr>
              <w:t xml:space="preserve">Редки </w:t>
            </w:r>
          </w:p>
        </w:tc>
        <w:tc>
          <w:tcPr>
            <w:tcW w:w="1619" w:type="dxa"/>
          </w:tcPr>
          <w:p w14:paraId="014D7F04" w14:textId="77777777" w:rsidR="00202DA6" w:rsidRPr="00984E1A" w:rsidRDefault="00202DA6" w:rsidP="00202DA6">
            <w:pPr>
              <w:rPr>
                <w:b/>
              </w:rPr>
            </w:pPr>
            <w:r w:rsidRPr="00984E1A">
              <w:rPr>
                <w:b/>
              </w:rPr>
              <w:t>С неизвестна</w:t>
            </w:r>
          </w:p>
          <w:p w14:paraId="201071DF" w14:textId="150E71E1" w:rsidR="00202DA6" w:rsidRPr="00984E1A" w:rsidRDefault="00202DA6" w:rsidP="00202DA6">
            <w:pPr>
              <w:rPr>
                <w:b/>
              </w:rPr>
            </w:pPr>
            <w:r w:rsidRPr="00984E1A">
              <w:rPr>
                <w:b/>
                <w:bCs/>
              </w:rPr>
              <w:t>честота</w:t>
            </w:r>
          </w:p>
        </w:tc>
      </w:tr>
      <w:tr w:rsidR="00202DA6" w14:paraId="45F0F601" w14:textId="77777777" w:rsidTr="00202DA6">
        <w:tc>
          <w:tcPr>
            <w:tcW w:w="1573" w:type="dxa"/>
            <w:vAlign w:val="bottom"/>
          </w:tcPr>
          <w:p w14:paraId="1B60FE12" w14:textId="5C9855B9" w:rsidR="00202DA6" w:rsidRPr="00984E1A" w:rsidRDefault="00202DA6" w:rsidP="00202DA6">
            <w:pPr>
              <w:rPr>
                <w:rFonts w:cs="Arial"/>
              </w:rPr>
            </w:pPr>
            <w:r w:rsidRPr="00984E1A">
              <w:rPr>
                <w:rFonts w:cs="Arial"/>
              </w:rPr>
              <w:t>Инфекции и инфестации</w:t>
            </w:r>
          </w:p>
        </w:tc>
        <w:tc>
          <w:tcPr>
            <w:tcW w:w="1472" w:type="dxa"/>
          </w:tcPr>
          <w:p w14:paraId="72FFA92A" w14:textId="5B1D79D0" w:rsidR="00202DA6" w:rsidRPr="00984E1A" w:rsidRDefault="00202DA6" w:rsidP="00202DA6">
            <w:pPr>
              <w:rPr>
                <w:rFonts w:cs="Arial"/>
              </w:rPr>
            </w:pPr>
            <w:r w:rsidRPr="00984E1A">
              <w:rPr>
                <w:rFonts w:cs="Arial"/>
              </w:rPr>
              <w:t>Назофарингит *</w:t>
            </w:r>
          </w:p>
        </w:tc>
        <w:tc>
          <w:tcPr>
            <w:tcW w:w="1675" w:type="dxa"/>
          </w:tcPr>
          <w:p w14:paraId="5509AC0A" w14:textId="77777777" w:rsidR="00202DA6" w:rsidRPr="00984E1A" w:rsidRDefault="00202DA6" w:rsidP="00202DA6">
            <w:pPr>
              <w:rPr>
                <w:rFonts w:cs="Arial"/>
              </w:rPr>
            </w:pPr>
          </w:p>
        </w:tc>
        <w:tc>
          <w:tcPr>
            <w:tcW w:w="1683" w:type="dxa"/>
          </w:tcPr>
          <w:p w14:paraId="6F19D82B" w14:textId="77777777" w:rsidR="00202DA6" w:rsidRPr="00984E1A" w:rsidRDefault="00202DA6" w:rsidP="00202DA6">
            <w:pPr>
              <w:rPr>
                <w:rFonts w:cs="Arial"/>
              </w:rPr>
            </w:pPr>
          </w:p>
        </w:tc>
        <w:tc>
          <w:tcPr>
            <w:tcW w:w="1554" w:type="dxa"/>
          </w:tcPr>
          <w:p w14:paraId="4D86CFF9" w14:textId="77777777" w:rsidR="00202DA6" w:rsidRPr="00984E1A" w:rsidRDefault="00202DA6" w:rsidP="00202DA6">
            <w:pPr>
              <w:rPr>
                <w:rFonts w:cs="Arial"/>
              </w:rPr>
            </w:pPr>
          </w:p>
        </w:tc>
        <w:tc>
          <w:tcPr>
            <w:tcW w:w="1619" w:type="dxa"/>
          </w:tcPr>
          <w:p w14:paraId="47E56217" w14:textId="77777777" w:rsidR="00202DA6" w:rsidRPr="00984E1A" w:rsidRDefault="00202DA6" w:rsidP="00202DA6"/>
        </w:tc>
      </w:tr>
      <w:tr w:rsidR="00202DA6" w14:paraId="66A80448" w14:textId="77777777" w:rsidTr="00202DA6">
        <w:tc>
          <w:tcPr>
            <w:tcW w:w="1573" w:type="dxa"/>
          </w:tcPr>
          <w:p w14:paraId="481A628C" w14:textId="14D71813" w:rsidR="00202DA6" w:rsidRPr="00984E1A" w:rsidRDefault="00202DA6" w:rsidP="00202DA6">
            <w:pPr>
              <w:rPr>
                <w:rFonts w:cs="Arial"/>
              </w:rPr>
            </w:pPr>
            <w:r w:rsidRPr="00984E1A">
              <w:rPr>
                <w:rFonts w:cs="Arial"/>
              </w:rPr>
              <w:t>Нарушения на кръвта и лимфната система</w:t>
            </w:r>
          </w:p>
        </w:tc>
        <w:tc>
          <w:tcPr>
            <w:tcW w:w="1472" w:type="dxa"/>
          </w:tcPr>
          <w:p w14:paraId="37437B10" w14:textId="77777777" w:rsidR="00202DA6" w:rsidRPr="00984E1A" w:rsidRDefault="00202DA6" w:rsidP="00202DA6">
            <w:pPr>
              <w:rPr>
                <w:rFonts w:cs="Arial"/>
              </w:rPr>
            </w:pPr>
          </w:p>
        </w:tc>
        <w:tc>
          <w:tcPr>
            <w:tcW w:w="1675" w:type="dxa"/>
          </w:tcPr>
          <w:p w14:paraId="32D4E55D" w14:textId="1AC35FE1" w:rsidR="00202DA6" w:rsidRPr="00984E1A" w:rsidRDefault="00202DA6" w:rsidP="00202DA6">
            <w:pPr>
              <w:rPr>
                <w:rFonts w:cs="Arial"/>
              </w:rPr>
            </w:pPr>
            <w:r w:rsidRPr="00984E1A">
              <w:rPr>
                <w:rFonts w:cs="Arial"/>
              </w:rPr>
              <w:t>Анемия</w:t>
            </w:r>
          </w:p>
        </w:tc>
        <w:tc>
          <w:tcPr>
            <w:tcW w:w="1683" w:type="dxa"/>
            <w:vAlign w:val="bottom"/>
          </w:tcPr>
          <w:p w14:paraId="2C6FDE61" w14:textId="5441FF72" w:rsidR="00202DA6" w:rsidRPr="00984E1A" w:rsidRDefault="00202DA6" w:rsidP="00202DA6">
            <w:pPr>
              <w:rPr>
                <w:rFonts w:cs="Arial"/>
              </w:rPr>
            </w:pPr>
            <w:r w:rsidRPr="00984E1A">
              <w:rPr>
                <w:rFonts w:cs="Arial"/>
              </w:rPr>
              <w:t>Левкопения, тромбоцито- пения, лимфаденопа- тия, еозинофилия</w:t>
            </w:r>
          </w:p>
        </w:tc>
        <w:tc>
          <w:tcPr>
            <w:tcW w:w="1554" w:type="dxa"/>
          </w:tcPr>
          <w:p w14:paraId="5AB2EE8D" w14:textId="6A2AA642" w:rsidR="00202DA6" w:rsidRPr="00984E1A" w:rsidRDefault="00984E1A" w:rsidP="00202DA6">
            <w:pPr>
              <w:rPr>
                <w:rFonts w:cs="Arial"/>
              </w:rPr>
            </w:pPr>
            <w:r>
              <w:rPr>
                <w:rFonts w:cs="Arial"/>
              </w:rPr>
              <w:t>Неут</w:t>
            </w:r>
            <w:r w:rsidR="00202DA6" w:rsidRPr="00984E1A">
              <w:rPr>
                <w:rFonts w:cs="Arial"/>
              </w:rPr>
              <w:t>ропения*</w:t>
            </w:r>
          </w:p>
        </w:tc>
        <w:tc>
          <w:tcPr>
            <w:tcW w:w="1619" w:type="dxa"/>
          </w:tcPr>
          <w:p w14:paraId="1D7683B9" w14:textId="77777777" w:rsidR="00202DA6" w:rsidRPr="00984E1A" w:rsidRDefault="00202DA6" w:rsidP="00202DA6"/>
        </w:tc>
      </w:tr>
      <w:tr w:rsidR="00202DA6" w14:paraId="44222CFC" w14:textId="77777777" w:rsidTr="00202DA6">
        <w:tc>
          <w:tcPr>
            <w:tcW w:w="1573" w:type="dxa"/>
          </w:tcPr>
          <w:p w14:paraId="56B92136" w14:textId="0BC353EA" w:rsidR="00202DA6" w:rsidRPr="00984E1A" w:rsidRDefault="00202DA6" w:rsidP="00202DA6">
            <w:pPr>
              <w:rPr>
                <w:rFonts w:cs="Arial"/>
              </w:rPr>
            </w:pPr>
            <w:r w:rsidRPr="00984E1A">
              <w:rPr>
                <w:rFonts w:cs="Arial"/>
              </w:rPr>
              <w:t>Нарушения на имунната система</w:t>
            </w:r>
          </w:p>
        </w:tc>
        <w:tc>
          <w:tcPr>
            <w:tcW w:w="1472" w:type="dxa"/>
          </w:tcPr>
          <w:p w14:paraId="173BF367" w14:textId="77777777" w:rsidR="00202DA6" w:rsidRPr="00984E1A" w:rsidRDefault="00202DA6" w:rsidP="00202DA6">
            <w:pPr>
              <w:rPr>
                <w:rFonts w:cs="Arial"/>
              </w:rPr>
            </w:pPr>
          </w:p>
        </w:tc>
        <w:tc>
          <w:tcPr>
            <w:tcW w:w="1675" w:type="dxa"/>
          </w:tcPr>
          <w:p w14:paraId="71F587A3" w14:textId="5F76E950" w:rsidR="00202DA6" w:rsidRPr="00984E1A" w:rsidRDefault="00202DA6" w:rsidP="00202DA6">
            <w:pPr>
              <w:rPr>
                <w:rFonts w:cs="Arial"/>
              </w:rPr>
            </w:pPr>
            <w:r w:rsidRPr="00984E1A">
              <w:rPr>
                <w:rFonts w:cs="Arial"/>
              </w:rPr>
              <w:t>Свръхчувстви</w:t>
            </w:r>
            <w:r w:rsidRPr="00984E1A">
              <w:rPr>
                <w:rFonts w:cs="Arial"/>
              </w:rPr>
              <w:softHyphen/>
              <w:t>телност</w:t>
            </w:r>
          </w:p>
        </w:tc>
        <w:tc>
          <w:tcPr>
            <w:tcW w:w="1683" w:type="dxa"/>
          </w:tcPr>
          <w:p w14:paraId="73617485" w14:textId="77777777" w:rsidR="00202DA6" w:rsidRPr="00984E1A" w:rsidRDefault="00202DA6" w:rsidP="00202DA6">
            <w:pPr>
              <w:rPr>
                <w:rFonts w:cs="Arial"/>
              </w:rPr>
            </w:pPr>
          </w:p>
        </w:tc>
        <w:tc>
          <w:tcPr>
            <w:tcW w:w="1554" w:type="dxa"/>
          </w:tcPr>
          <w:p w14:paraId="7CBFF957" w14:textId="77777777" w:rsidR="00202DA6" w:rsidRPr="00984E1A" w:rsidRDefault="00202DA6" w:rsidP="00202DA6">
            <w:pPr>
              <w:rPr>
                <w:rFonts w:cs="Arial"/>
              </w:rPr>
            </w:pPr>
          </w:p>
        </w:tc>
        <w:tc>
          <w:tcPr>
            <w:tcW w:w="1619" w:type="dxa"/>
          </w:tcPr>
          <w:p w14:paraId="6BCD7584" w14:textId="6FE18076" w:rsidR="00202DA6" w:rsidRPr="00984E1A" w:rsidRDefault="00202DA6" w:rsidP="00202DA6">
            <w:r w:rsidRPr="00984E1A">
              <w:t>Алергичен оток*</w:t>
            </w:r>
          </w:p>
        </w:tc>
      </w:tr>
      <w:tr w:rsidR="00202DA6" w14:paraId="4AA3F97E" w14:textId="77777777" w:rsidTr="00202DA6">
        <w:tc>
          <w:tcPr>
            <w:tcW w:w="1573" w:type="dxa"/>
          </w:tcPr>
          <w:p w14:paraId="6E2485E7" w14:textId="390A1AB1" w:rsidR="00202DA6" w:rsidRPr="00984E1A" w:rsidRDefault="00202DA6" w:rsidP="00202DA6">
            <w:pPr>
              <w:rPr>
                <w:rFonts w:cs="Arial"/>
              </w:rPr>
            </w:pPr>
            <w:r w:rsidRPr="00984E1A">
              <w:rPr>
                <w:rFonts w:cs="Arial"/>
              </w:rPr>
              <w:t>Нарушения на метаболизма и храненето</w:t>
            </w:r>
          </w:p>
        </w:tc>
        <w:tc>
          <w:tcPr>
            <w:tcW w:w="1472" w:type="dxa"/>
          </w:tcPr>
          <w:p w14:paraId="0A31DE44" w14:textId="77777777" w:rsidR="00202DA6" w:rsidRPr="00984E1A" w:rsidRDefault="00202DA6" w:rsidP="00202DA6">
            <w:pPr>
              <w:rPr>
                <w:rFonts w:cs="Arial"/>
              </w:rPr>
            </w:pPr>
          </w:p>
        </w:tc>
        <w:tc>
          <w:tcPr>
            <w:tcW w:w="1675" w:type="dxa"/>
          </w:tcPr>
          <w:p w14:paraId="3628872F" w14:textId="53AEBA76" w:rsidR="00202DA6" w:rsidRPr="00984E1A" w:rsidRDefault="00202DA6" w:rsidP="00202DA6">
            <w:pPr>
              <w:rPr>
                <w:rFonts w:cs="Arial"/>
              </w:rPr>
            </w:pPr>
            <w:r w:rsidRPr="00984E1A">
              <w:rPr>
                <w:rFonts w:cs="Arial"/>
              </w:rPr>
              <w:t>Анорексия, намален апетит</w:t>
            </w:r>
          </w:p>
        </w:tc>
        <w:tc>
          <w:tcPr>
            <w:tcW w:w="1683" w:type="dxa"/>
          </w:tcPr>
          <w:p w14:paraId="4BD6DD8E" w14:textId="7134299D" w:rsidR="00202DA6" w:rsidRPr="00984E1A" w:rsidRDefault="00202DA6" w:rsidP="00202DA6">
            <w:pPr>
              <w:rPr>
                <w:rFonts w:cs="Arial"/>
              </w:rPr>
            </w:pPr>
            <w:r w:rsidRPr="00984E1A">
              <w:rPr>
                <w:rFonts w:cs="Arial"/>
              </w:rPr>
              <w:t>Метаболитна ацидоза, хипокалиемия, повишен апетит, полидипсия</w:t>
            </w:r>
          </w:p>
        </w:tc>
        <w:tc>
          <w:tcPr>
            <w:tcW w:w="1554" w:type="dxa"/>
            <w:vAlign w:val="bottom"/>
          </w:tcPr>
          <w:p w14:paraId="0CFE755E" w14:textId="792D69B0" w:rsidR="00202DA6" w:rsidRPr="00984E1A" w:rsidRDefault="00202DA6" w:rsidP="00202DA6">
            <w:pPr>
              <w:rPr>
                <w:rFonts w:cs="Arial"/>
              </w:rPr>
            </w:pPr>
            <w:r w:rsidRPr="00984E1A">
              <w:rPr>
                <w:rFonts w:cs="Arial"/>
              </w:rPr>
              <w:t>Хиперхлоре- мична ацидоза, хиперамоние мия*, хиперамоние мична енцефалопати я*</w:t>
            </w:r>
          </w:p>
        </w:tc>
        <w:tc>
          <w:tcPr>
            <w:tcW w:w="1619" w:type="dxa"/>
          </w:tcPr>
          <w:p w14:paraId="18E95664" w14:textId="77777777" w:rsidR="00202DA6" w:rsidRPr="00984E1A" w:rsidRDefault="00202DA6" w:rsidP="00202DA6"/>
        </w:tc>
      </w:tr>
      <w:tr w:rsidR="00202DA6" w14:paraId="3258610D" w14:textId="77777777" w:rsidTr="00202DA6">
        <w:trPr>
          <w:trHeight w:val="10720"/>
        </w:trPr>
        <w:tc>
          <w:tcPr>
            <w:tcW w:w="1573" w:type="dxa"/>
          </w:tcPr>
          <w:p w14:paraId="0FA73556" w14:textId="5E3C764D" w:rsidR="00202DA6" w:rsidRPr="00984E1A" w:rsidRDefault="00202DA6" w:rsidP="00202DA6">
            <w:pPr>
              <w:rPr>
                <w:rFonts w:cs="Arial"/>
              </w:rPr>
            </w:pPr>
            <w:r w:rsidRPr="00984E1A">
              <w:rPr>
                <w:rFonts w:cs="Arial"/>
              </w:rPr>
              <w:lastRenderedPageBreak/>
              <w:t>Психични нарушения</w:t>
            </w:r>
          </w:p>
        </w:tc>
        <w:tc>
          <w:tcPr>
            <w:tcW w:w="1472" w:type="dxa"/>
          </w:tcPr>
          <w:p w14:paraId="1CB5E090" w14:textId="5093616E" w:rsidR="00202DA6" w:rsidRPr="00984E1A" w:rsidRDefault="00202DA6" w:rsidP="00202DA6">
            <w:pPr>
              <w:rPr>
                <w:rFonts w:cs="Arial"/>
              </w:rPr>
            </w:pPr>
            <w:r w:rsidRPr="00984E1A">
              <w:rPr>
                <w:rFonts w:cs="Arial"/>
              </w:rPr>
              <w:t>Депресия</w:t>
            </w:r>
          </w:p>
        </w:tc>
        <w:tc>
          <w:tcPr>
            <w:tcW w:w="1675" w:type="dxa"/>
          </w:tcPr>
          <w:p w14:paraId="0874B042" w14:textId="410DA3A9" w:rsidR="00202DA6" w:rsidRPr="00984E1A" w:rsidRDefault="00202DA6" w:rsidP="00202DA6">
            <w:pPr>
              <w:rPr>
                <w:rFonts w:cs="Arial"/>
              </w:rPr>
            </w:pPr>
            <w:r w:rsidRPr="00984E1A">
              <w:rPr>
                <w:rFonts w:cs="Arial"/>
              </w:rPr>
              <w:t>Брадифрения, безсъние, нарушение на способността за изразяване, безпокойство, състояние на обърканост, дезориентация, агресия, промени в настроението, възбуда, колебания в настроението, потиснато настроение, гняв, абнормно поведение</w:t>
            </w:r>
          </w:p>
        </w:tc>
        <w:tc>
          <w:tcPr>
            <w:tcW w:w="1683" w:type="dxa"/>
            <w:vAlign w:val="bottom"/>
          </w:tcPr>
          <w:p w14:paraId="2CCB99C4" w14:textId="77777777" w:rsidR="00202DA6" w:rsidRPr="00984E1A" w:rsidRDefault="00202DA6" w:rsidP="00202DA6">
            <w:pPr>
              <w:rPr>
                <w:rFonts w:cs="Arial"/>
              </w:rPr>
            </w:pPr>
            <w:r w:rsidRPr="00984E1A">
              <w:rPr>
                <w:rFonts w:cs="Arial"/>
              </w:rPr>
              <w:t>Суицидна идеация, опити за самоубийство, халюцинации, психотично разстройство, слухови халюцинации, визуални халюцинации, апатия, липса на спонтанна реч, нарушен сън, емоционална лабилност, намалено либидо, безпокойство, плач, дисфемия, еуфорично настроение, параноя, персеверация, пристъп на паника, сълзливост, нарушена способност за четене, начално безсъние, изравнен афект, абнормно мислене, загуба на либидо, вялост, “средно” безсъние,</w:t>
            </w:r>
          </w:p>
          <w:p w14:paraId="19D6B133" w14:textId="77777777" w:rsidR="00202DA6" w:rsidRPr="00984E1A" w:rsidRDefault="00202DA6" w:rsidP="00202DA6">
            <w:pPr>
              <w:rPr>
                <w:rFonts w:cs="Arial"/>
              </w:rPr>
            </w:pPr>
            <w:r w:rsidRPr="00984E1A">
              <w:rPr>
                <w:rFonts w:cs="Arial"/>
              </w:rPr>
              <w:t xml:space="preserve">разсеяност, събуждане </w:t>
            </w:r>
            <w:r w:rsidRPr="00984E1A">
              <w:rPr>
                <w:rFonts w:cs="Arial"/>
              </w:rPr>
              <w:lastRenderedPageBreak/>
              <w:t>рано сутрин, пуническа</w:t>
            </w:r>
          </w:p>
          <w:p w14:paraId="5C589F75" w14:textId="77777777" w:rsidR="00202DA6" w:rsidRPr="00984E1A" w:rsidRDefault="00202DA6" w:rsidP="00202DA6">
            <w:pPr>
              <w:rPr>
                <w:rFonts w:cs="Arial"/>
              </w:rPr>
            </w:pPr>
            <w:r w:rsidRPr="00984E1A">
              <w:rPr>
                <w:rFonts w:cs="Arial"/>
              </w:rPr>
              <w:t>реакция, повишено</w:t>
            </w:r>
          </w:p>
          <w:p w14:paraId="7F9A9370" w14:textId="4EEA329B" w:rsidR="00202DA6" w:rsidRPr="00984E1A" w:rsidRDefault="00202DA6" w:rsidP="00202DA6">
            <w:pPr>
              <w:rPr>
                <w:rFonts w:cs="Arial"/>
              </w:rPr>
            </w:pPr>
            <w:r w:rsidRPr="00984E1A">
              <w:rPr>
                <w:rFonts w:cs="Arial"/>
              </w:rPr>
              <w:t>настроение</w:t>
            </w:r>
          </w:p>
        </w:tc>
        <w:tc>
          <w:tcPr>
            <w:tcW w:w="1554" w:type="dxa"/>
          </w:tcPr>
          <w:p w14:paraId="68172A1E" w14:textId="62B43A3A" w:rsidR="00202DA6" w:rsidRPr="00984E1A" w:rsidRDefault="00202DA6" w:rsidP="00202DA6">
            <w:pPr>
              <w:rPr>
                <w:rFonts w:cs="Arial"/>
              </w:rPr>
            </w:pPr>
            <w:r w:rsidRPr="00984E1A">
              <w:rPr>
                <w:rFonts w:cs="Arial"/>
              </w:rPr>
              <w:lastRenderedPageBreak/>
              <w:t>Мания, паническо разстройство, чуство на отчаяние*, хипомания</w:t>
            </w:r>
          </w:p>
        </w:tc>
        <w:tc>
          <w:tcPr>
            <w:tcW w:w="1619" w:type="dxa"/>
          </w:tcPr>
          <w:p w14:paraId="5BB7B99B" w14:textId="77777777" w:rsidR="00202DA6" w:rsidRPr="00984E1A" w:rsidRDefault="00202DA6" w:rsidP="00202DA6"/>
        </w:tc>
      </w:tr>
      <w:tr w:rsidR="00202DA6" w14:paraId="292E1E8F" w14:textId="77777777" w:rsidTr="00202DA6">
        <w:tc>
          <w:tcPr>
            <w:tcW w:w="1573" w:type="dxa"/>
          </w:tcPr>
          <w:p w14:paraId="7FD9CF4F" w14:textId="0B9A9D12" w:rsidR="00202DA6" w:rsidRPr="00984E1A" w:rsidRDefault="00202DA6" w:rsidP="00202DA6">
            <w:pPr>
              <w:rPr>
                <w:rFonts w:cs="Arial"/>
              </w:rPr>
            </w:pPr>
            <w:r w:rsidRPr="00984E1A">
              <w:rPr>
                <w:rFonts w:cs="Arial"/>
              </w:rPr>
              <w:t>Нарушения на нервната система</w:t>
            </w:r>
          </w:p>
        </w:tc>
        <w:tc>
          <w:tcPr>
            <w:tcW w:w="1472" w:type="dxa"/>
          </w:tcPr>
          <w:p w14:paraId="61F2F67E" w14:textId="458876CF" w:rsidR="00202DA6" w:rsidRPr="00984E1A" w:rsidRDefault="00202DA6" w:rsidP="00202DA6">
            <w:pPr>
              <w:rPr>
                <w:rFonts w:cs="Arial"/>
              </w:rPr>
            </w:pPr>
            <w:r w:rsidRPr="00984E1A">
              <w:rPr>
                <w:rFonts w:cs="Arial"/>
              </w:rPr>
              <w:t>Парестезия, сомнолент- ност, замаяност</w:t>
            </w:r>
          </w:p>
        </w:tc>
        <w:tc>
          <w:tcPr>
            <w:tcW w:w="1675" w:type="dxa"/>
          </w:tcPr>
          <w:p w14:paraId="40E73616" w14:textId="1F42B0AD" w:rsidR="00202DA6" w:rsidRPr="00984E1A" w:rsidRDefault="00202DA6" w:rsidP="00202DA6">
            <w:pPr>
              <w:rPr>
                <w:rFonts w:cs="Arial"/>
              </w:rPr>
            </w:pPr>
            <w:r w:rsidRPr="00984E1A">
              <w:rPr>
                <w:rFonts w:cs="Arial"/>
              </w:rPr>
              <w:t xml:space="preserve">Нарушено внимание, затруднена памет, когнитивии нарушения, амнезия, психични </w:t>
            </w:r>
            <w:r w:rsidRPr="00984E1A">
              <w:rPr>
                <w:rFonts w:cs="Arial"/>
              </w:rPr>
              <w:lastRenderedPageBreak/>
              <w:t>увреждания, нарушени психомоторни умения, конвулсии, нарушена координация, тремор, летаргия, хипоестезия, нистагъм, дизгеузия, нарушено равновесие, дизартрия, интенционен тремор седиране</w:t>
            </w:r>
          </w:p>
        </w:tc>
        <w:tc>
          <w:tcPr>
            <w:tcW w:w="1683" w:type="dxa"/>
          </w:tcPr>
          <w:p w14:paraId="0112BC91" w14:textId="5C80AFA4" w:rsidR="00202DA6" w:rsidRPr="00984E1A" w:rsidRDefault="00202DA6" w:rsidP="00202DA6">
            <w:pPr>
              <w:rPr>
                <w:rFonts w:cs="Arial"/>
              </w:rPr>
            </w:pPr>
            <w:r w:rsidRPr="00984E1A">
              <w:rPr>
                <w:rFonts w:cs="Arial"/>
              </w:rPr>
              <w:lastRenderedPageBreak/>
              <w:t xml:space="preserve">Понижено ниво на съзнание, грандмал конвулсии, увреждане на зрителното поле, </w:t>
            </w:r>
            <w:r w:rsidRPr="00984E1A">
              <w:rPr>
                <w:rFonts w:cs="Arial"/>
              </w:rPr>
              <w:lastRenderedPageBreak/>
              <w:t>комплексни парциални пристъпи, нарушен говор, психомоторна хиперакгивност, синкоп, нарушени усещания, саливация, хиперсомния, афазия, репетитивна реч, хипокинезия, дизкинезия, постурална замаяност, некачествен сън, чувство на парене, загуба на усещания, паросмия, цереберален синдром, дизестезия, хипогеузия, ступор, тромавост, аура, агеузия, дизграфия, дисфазия, периферна невропатия, пресинкоп, дистония, изтръпване</w:t>
            </w:r>
          </w:p>
        </w:tc>
        <w:tc>
          <w:tcPr>
            <w:tcW w:w="1554" w:type="dxa"/>
          </w:tcPr>
          <w:p w14:paraId="46D8C098" w14:textId="4FDF1BC4" w:rsidR="00202DA6" w:rsidRPr="00984E1A" w:rsidRDefault="00202DA6" w:rsidP="00202DA6">
            <w:pPr>
              <w:rPr>
                <w:rFonts w:cs="Arial"/>
              </w:rPr>
            </w:pPr>
            <w:r w:rsidRPr="00984E1A">
              <w:rPr>
                <w:rFonts w:cs="Arial"/>
              </w:rPr>
              <w:lastRenderedPageBreak/>
              <w:t xml:space="preserve">Апраксия, нарушен циркаден ритъм, нарушения на съня, хиперестезия, хипосмия, </w:t>
            </w:r>
            <w:r w:rsidRPr="00984E1A">
              <w:rPr>
                <w:rFonts w:cs="Arial"/>
              </w:rPr>
              <w:lastRenderedPageBreak/>
              <w:t>аносмия, есенциален тремор, акинезия, невъзможност за реагиране на стимули</w:t>
            </w:r>
          </w:p>
        </w:tc>
        <w:tc>
          <w:tcPr>
            <w:tcW w:w="1619" w:type="dxa"/>
          </w:tcPr>
          <w:p w14:paraId="046170B9" w14:textId="77777777" w:rsidR="00202DA6" w:rsidRPr="00984E1A" w:rsidRDefault="00202DA6" w:rsidP="00202DA6"/>
        </w:tc>
      </w:tr>
      <w:tr w:rsidR="00202DA6" w14:paraId="289A6BD7" w14:textId="77777777" w:rsidTr="00202DA6">
        <w:trPr>
          <w:trHeight w:val="3962"/>
        </w:trPr>
        <w:tc>
          <w:tcPr>
            <w:tcW w:w="1573" w:type="dxa"/>
          </w:tcPr>
          <w:p w14:paraId="69571403" w14:textId="3D390B57" w:rsidR="00202DA6" w:rsidRPr="00984E1A" w:rsidRDefault="00202DA6" w:rsidP="00202DA6">
            <w:pPr>
              <w:rPr>
                <w:rFonts w:cs="Arial"/>
              </w:rPr>
            </w:pPr>
            <w:r w:rsidRPr="00984E1A">
              <w:rPr>
                <w:rFonts w:cs="Arial"/>
              </w:rPr>
              <w:lastRenderedPageBreak/>
              <w:t>Нарушения на очите</w:t>
            </w:r>
          </w:p>
        </w:tc>
        <w:tc>
          <w:tcPr>
            <w:tcW w:w="1472" w:type="dxa"/>
          </w:tcPr>
          <w:p w14:paraId="4CA79C8B" w14:textId="77777777" w:rsidR="00202DA6" w:rsidRPr="00984E1A" w:rsidRDefault="00202DA6" w:rsidP="00202DA6">
            <w:pPr>
              <w:rPr>
                <w:rFonts w:cs="Arial"/>
              </w:rPr>
            </w:pPr>
          </w:p>
        </w:tc>
        <w:tc>
          <w:tcPr>
            <w:tcW w:w="1675" w:type="dxa"/>
          </w:tcPr>
          <w:p w14:paraId="552D5816" w14:textId="5074D9FA" w:rsidR="00202DA6" w:rsidRPr="00984E1A" w:rsidRDefault="00202DA6" w:rsidP="00202DA6">
            <w:pPr>
              <w:rPr>
                <w:rFonts w:cs="Arial"/>
              </w:rPr>
            </w:pPr>
            <w:r w:rsidRPr="00984E1A">
              <w:rPr>
                <w:rFonts w:cs="Arial"/>
              </w:rPr>
              <w:t>Замъглено виждане, диплопия, нарушено зрение</w:t>
            </w:r>
          </w:p>
        </w:tc>
        <w:tc>
          <w:tcPr>
            <w:tcW w:w="1683" w:type="dxa"/>
            <w:vAlign w:val="bottom"/>
          </w:tcPr>
          <w:p w14:paraId="689BC7DA" w14:textId="77777777" w:rsidR="00202DA6" w:rsidRPr="00984E1A" w:rsidRDefault="00202DA6" w:rsidP="00202DA6">
            <w:pPr>
              <w:rPr>
                <w:rFonts w:cs="Arial"/>
              </w:rPr>
            </w:pPr>
            <w:r w:rsidRPr="00984E1A">
              <w:rPr>
                <w:rFonts w:cs="Arial"/>
              </w:rPr>
              <w:t>Намалена зрителна острота, скотоми, миолия*, абнормно усещане в окото*,сухота в окото, фотофобия, блефароспазъм, засилена лакримация,</w:t>
            </w:r>
          </w:p>
          <w:p w14:paraId="47992ACB" w14:textId="3B4ED7FA" w:rsidR="00202DA6" w:rsidRPr="00984E1A" w:rsidRDefault="00202DA6" w:rsidP="00202DA6">
            <w:pPr>
              <w:rPr>
                <w:rFonts w:cs="Arial"/>
              </w:rPr>
            </w:pPr>
            <w:r w:rsidRPr="00984E1A">
              <w:rPr>
                <w:rFonts w:cs="Arial"/>
              </w:rPr>
              <w:t>фотопсия, мидриаза, пресбиопия</w:t>
            </w:r>
          </w:p>
        </w:tc>
        <w:tc>
          <w:tcPr>
            <w:tcW w:w="1554" w:type="dxa"/>
            <w:vAlign w:val="bottom"/>
          </w:tcPr>
          <w:p w14:paraId="3ABB58A8" w14:textId="77777777" w:rsidR="00202DA6" w:rsidRPr="00984E1A" w:rsidRDefault="00202DA6" w:rsidP="00202DA6">
            <w:pPr>
              <w:rPr>
                <w:rFonts w:cs="Arial"/>
              </w:rPr>
            </w:pPr>
            <w:r w:rsidRPr="00984E1A">
              <w:rPr>
                <w:rFonts w:cs="Arial"/>
              </w:rPr>
              <w:t>Слепота на едното око, преходна слепота, глаукома, нарушено фокусиране, променено зрително възприятие за дълбочина, сцинтилираща скотома, оток</w:t>
            </w:r>
          </w:p>
          <w:p w14:paraId="5A0B8FAD" w14:textId="4044EB77" w:rsidR="00202DA6" w:rsidRPr="00984E1A" w:rsidRDefault="00202DA6" w:rsidP="00202DA6">
            <w:pPr>
              <w:rPr>
                <w:rFonts w:cs="Arial"/>
              </w:rPr>
            </w:pPr>
            <w:r w:rsidRPr="00984E1A">
              <w:rPr>
                <w:rFonts w:cs="Arial"/>
              </w:rPr>
              <w:t>на клепача*, кокоша слепота, амблиопия</w:t>
            </w:r>
          </w:p>
        </w:tc>
        <w:tc>
          <w:tcPr>
            <w:tcW w:w="1619" w:type="dxa"/>
          </w:tcPr>
          <w:p w14:paraId="0893C933" w14:textId="40A550EA" w:rsidR="00202DA6" w:rsidRPr="00984E1A" w:rsidRDefault="00202DA6" w:rsidP="00202DA6">
            <w:r w:rsidRPr="00984E1A">
              <w:t>Закритоъгълна глаукома*, макулопатия*, затруднено движение на очите*, оток на конкюнктивата*,</w:t>
            </w:r>
          </w:p>
        </w:tc>
      </w:tr>
      <w:tr w:rsidR="00202DA6" w14:paraId="26A79B27" w14:textId="77777777" w:rsidTr="00202DA6">
        <w:tc>
          <w:tcPr>
            <w:tcW w:w="1573" w:type="dxa"/>
          </w:tcPr>
          <w:p w14:paraId="0517263B" w14:textId="30988CED" w:rsidR="00202DA6" w:rsidRPr="00984E1A" w:rsidRDefault="00202DA6" w:rsidP="00202DA6">
            <w:pPr>
              <w:rPr>
                <w:rFonts w:cs="Arial"/>
              </w:rPr>
            </w:pPr>
            <w:r w:rsidRPr="00984E1A">
              <w:rPr>
                <w:rFonts w:cs="Arial"/>
              </w:rPr>
              <w:t>Нарушения на ухото и лабиринта</w:t>
            </w:r>
          </w:p>
        </w:tc>
        <w:tc>
          <w:tcPr>
            <w:tcW w:w="1472" w:type="dxa"/>
          </w:tcPr>
          <w:p w14:paraId="642253D0" w14:textId="77777777" w:rsidR="00202DA6" w:rsidRPr="00984E1A" w:rsidRDefault="00202DA6" w:rsidP="00202DA6">
            <w:pPr>
              <w:rPr>
                <w:rFonts w:cs="Arial"/>
              </w:rPr>
            </w:pPr>
          </w:p>
        </w:tc>
        <w:tc>
          <w:tcPr>
            <w:tcW w:w="1675" w:type="dxa"/>
          </w:tcPr>
          <w:p w14:paraId="13F63D1D" w14:textId="67632AA6" w:rsidR="00202DA6" w:rsidRPr="00984E1A" w:rsidRDefault="00202DA6" w:rsidP="00202DA6">
            <w:pPr>
              <w:rPr>
                <w:rFonts w:cs="Arial"/>
              </w:rPr>
            </w:pPr>
            <w:r w:rsidRPr="00984E1A">
              <w:rPr>
                <w:rFonts w:cs="Arial"/>
              </w:rPr>
              <w:t>Световъртеж, тинитус, болки в ушите</w:t>
            </w:r>
          </w:p>
        </w:tc>
        <w:tc>
          <w:tcPr>
            <w:tcW w:w="1683" w:type="dxa"/>
            <w:vAlign w:val="bottom"/>
          </w:tcPr>
          <w:p w14:paraId="6893403F" w14:textId="6268183D" w:rsidR="00202DA6" w:rsidRPr="00984E1A" w:rsidRDefault="00202DA6" w:rsidP="00202DA6">
            <w:pPr>
              <w:rPr>
                <w:rFonts w:cs="Arial"/>
              </w:rPr>
            </w:pPr>
            <w:r w:rsidRPr="00984E1A">
              <w:rPr>
                <w:rFonts w:cs="Arial"/>
              </w:rPr>
              <w:t>Глухота, едностранна глухота, невросензорна глухота, дискомфорт в ушите, нарушен слух</w:t>
            </w:r>
          </w:p>
        </w:tc>
        <w:tc>
          <w:tcPr>
            <w:tcW w:w="1554" w:type="dxa"/>
          </w:tcPr>
          <w:p w14:paraId="7414B25C" w14:textId="77777777" w:rsidR="00202DA6" w:rsidRPr="00984E1A" w:rsidRDefault="00202DA6" w:rsidP="00202DA6">
            <w:pPr>
              <w:rPr>
                <w:rFonts w:cs="Arial"/>
              </w:rPr>
            </w:pPr>
          </w:p>
        </w:tc>
        <w:tc>
          <w:tcPr>
            <w:tcW w:w="1619" w:type="dxa"/>
          </w:tcPr>
          <w:p w14:paraId="590B6ED4" w14:textId="77777777" w:rsidR="00202DA6" w:rsidRPr="00984E1A" w:rsidRDefault="00202DA6" w:rsidP="00202DA6"/>
        </w:tc>
      </w:tr>
      <w:tr w:rsidR="00202DA6" w14:paraId="5E43B5E9" w14:textId="77777777" w:rsidTr="00202DA6">
        <w:tc>
          <w:tcPr>
            <w:tcW w:w="1573" w:type="dxa"/>
          </w:tcPr>
          <w:p w14:paraId="06F7DC5F" w14:textId="4E76D89E" w:rsidR="00202DA6" w:rsidRPr="00984E1A" w:rsidRDefault="00202DA6" w:rsidP="00202DA6">
            <w:pPr>
              <w:rPr>
                <w:rFonts w:cs="Arial"/>
              </w:rPr>
            </w:pPr>
            <w:r w:rsidRPr="00984E1A">
              <w:rPr>
                <w:rFonts w:cs="Arial"/>
              </w:rPr>
              <w:t>Сърдечни нарушения</w:t>
            </w:r>
          </w:p>
        </w:tc>
        <w:tc>
          <w:tcPr>
            <w:tcW w:w="1472" w:type="dxa"/>
          </w:tcPr>
          <w:p w14:paraId="6DCDDAA3" w14:textId="77777777" w:rsidR="00202DA6" w:rsidRPr="00984E1A" w:rsidRDefault="00202DA6" w:rsidP="00202DA6">
            <w:pPr>
              <w:rPr>
                <w:rFonts w:cs="Arial"/>
              </w:rPr>
            </w:pPr>
          </w:p>
        </w:tc>
        <w:tc>
          <w:tcPr>
            <w:tcW w:w="1675" w:type="dxa"/>
          </w:tcPr>
          <w:p w14:paraId="0D498CEA" w14:textId="77777777" w:rsidR="00202DA6" w:rsidRPr="00984E1A" w:rsidRDefault="00202DA6" w:rsidP="00202DA6">
            <w:pPr>
              <w:rPr>
                <w:rFonts w:cs="Arial"/>
              </w:rPr>
            </w:pPr>
          </w:p>
        </w:tc>
        <w:tc>
          <w:tcPr>
            <w:tcW w:w="1683" w:type="dxa"/>
            <w:vAlign w:val="bottom"/>
          </w:tcPr>
          <w:p w14:paraId="59AF9D7C" w14:textId="4060F3EC" w:rsidR="00202DA6" w:rsidRPr="00984E1A" w:rsidRDefault="00202DA6" w:rsidP="00202DA6">
            <w:pPr>
              <w:rPr>
                <w:rFonts w:cs="Arial"/>
              </w:rPr>
            </w:pPr>
            <w:r w:rsidRPr="00984E1A">
              <w:rPr>
                <w:rFonts w:cs="Arial"/>
              </w:rPr>
              <w:t>Брадикардия, синусова брадикардия, сърцебиене</w:t>
            </w:r>
          </w:p>
        </w:tc>
        <w:tc>
          <w:tcPr>
            <w:tcW w:w="1554" w:type="dxa"/>
          </w:tcPr>
          <w:p w14:paraId="41398BE4" w14:textId="77777777" w:rsidR="00202DA6" w:rsidRPr="00984E1A" w:rsidRDefault="00202DA6" w:rsidP="00202DA6">
            <w:pPr>
              <w:rPr>
                <w:rFonts w:cs="Arial"/>
              </w:rPr>
            </w:pPr>
          </w:p>
        </w:tc>
        <w:tc>
          <w:tcPr>
            <w:tcW w:w="1619" w:type="dxa"/>
          </w:tcPr>
          <w:p w14:paraId="57B88E9B" w14:textId="77777777" w:rsidR="00202DA6" w:rsidRPr="00984E1A" w:rsidRDefault="00202DA6" w:rsidP="00202DA6"/>
        </w:tc>
      </w:tr>
      <w:tr w:rsidR="00202DA6" w14:paraId="289BE974" w14:textId="77777777" w:rsidTr="00202DA6">
        <w:tc>
          <w:tcPr>
            <w:tcW w:w="1573" w:type="dxa"/>
          </w:tcPr>
          <w:p w14:paraId="66A6912C" w14:textId="627A8C5C" w:rsidR="00202DA6" w:rsidRPr="00984E1A" w:rsidRDefault="00202DA6" w:rsidP="00202DA6">
            <w:pPr>
              <w:rPr>
                <w:rFonts w:cs="Arial"/>
              </w:rPr>
            </w:pPr>
            <w:r w:rsidRPr="00984E1A">
              <w:rPr>
                <w:rFonts w:cs="Arial"/>
              </w:rPr>
              <w:t>Съдови нарушения</w:t>
            </w:r>
          </w:p>
        </w:tc>
        <w:tc>
          <w:tcPr>
            <w:tcW w:w="1472" w:type="dxa"/>
          </w:tcPr>
          <w:p w14:paraId="1F1C238C" w14:textId="77777777" w:rsidR="00202DA6" w:rsidRPr="00984E1A" w:rsidRDefault="00202DA6" w:rsidP="00202DA6">
            <w:pPr>
              <w:rPr>
                <w:rFonts w:cs="Arial"/>
              </w:rPr>
            </w:pPr>
          </w:p>
        </w:tc>
        <w:tc>
          <w:tcPr>
            <w:tcW w:w="1675" w:type="dxa"/>
          </w:tcPr>
          <w:p w14:paraId="158C6E2E" w14:textId="77777777" w:rsidR="00202DA6" w:rsidRPr="00984E1A" w:rsidRDefault="00202DA6" w:rsidP="00202DA6">
            <w:pPr>
              <w:rPr>
                <w:rFonts w:cs="Arial"/>
              </w:rPr>
            </w:pPr>
          </w:p>
        </w:tc>
        <w:tc>
          <w:tcPr>
            <w:tcW w:w="1683" w:type="dxa"/>
            <w:vAlign w:val="bottom"/>
          </w:tcPr>
          <w:p w14:paraId="476B96A7" w14:textId="12678748" w:rsidR="00202DA6" w:rsidRPr="00984E1A" w:rsidRDefault="00202DA6" w:rsidP="00202DA6">
            <w:pPr>
              <w:rPr>
                <w:rFonts w:cs="Arial"/>
              </w:rPr>
            </w:pPr>
            <w:r w:rsidRPr="00984E1A">
              <w:rPr>
                <w:rFonts w:cs="Arial"/>
              </w:rPr>
              <w:t>Хипотония, ортостатична хипотония, зачервяване, горещи вълни</w:t>
            </w:r>
          </w:p>
        </w:tc>
        <w:tc>
          <w:tcPr>
            <w:tcW w:w="1554" w:type="dxa"/>
          </w:tcPr>
          <w:p w14:paraId="057F6A80" w14:textId="28BD912D" w:rsidR="00202DA6" w:rsidRPr="00984E1A" w:rsidRDefault="00202DA6" w:rsidP="00202DA6">
            <w:pPr>
              <w:rPr>
                <w:rFonts w:cs="Arial"/>
              </w:rPr>
            </w:pPr>
            <w:r w:rsidRPr="00984E1A">
              <w:rPr>
                <w:rFonts w:cs="Arial"/>
              </w:rPr>
              <w:t xml:space="preserve">Феномен на </w:t>
            </w:r>
            <w:r w:rsidRPr="00984E1A">
              <w:rPr>
                <w:rFonts w:cs="Arial"/>
                <w:lang w:val="en-US"/>
              </w:rPr>
              <w:t>Raynaud</w:t>
            </w:r>
          </w:p>
        </w:tc>
        <w:tc>
          <w:tcPr>
            <w:tcW w:w="1619" w:type="dxa"/>
          </w:tcPr>
          <w:p w14:paraId="04255E36" w14:textId="77777777" w:rsidR="00202DA6" w:rsidRPr="00984E1A" w:rsidRDefault="00202DA6" w:rsidP="00202DA6"/>
        </w:tc>
      </w:tr>
      <w:tr w:rsidR="00202DA6" w14:paraId="3165070B" w14:textId="77777777" w:rsidTr="00202DA6">
        <w:tc>
          <w:tcPr>
            <w:tcW w:w="1573" w:type="dxa"/>
          </w:tcPr>
          <w:p w14:paraId="0057C496" w14:textId="0B7731C9" w:rsidR="00202DA6" w:rsidRPr="00984E1A" w:rsidRDefault="00202DA6" w:rsidP="00202DA6">
            <w:pPr>
              <w:rPr>
                <w:rFonts w:cs="Arial"/>
              </w:rPr>
            </w:pPr>
            <w:r w:rsidRPr="00984E1A">
              <w:rPr>
                <w:rFonts w:cs="Arial"/>
              </w:rPr>
              <w:t>Респираторни, гръдни и медиастинални нарушения</w:t>
            </w:r>
          </w:p>
        </w:tc>
        <w:tc>
          <w:tcPr>
            <w:tcW w:w="1472" w:type="dxa"/>
          </w:tcPr>
          <w:p w14:paraId="421D5FDF" w14:textId="77777777" w:rsidR="00202DA6" w:rsidRPr="00984E1A" w:rsidRDefault="00202DA6" w:rsidP="00202DA6">
            <w:pPr>
              <w:rPr>
                <w:rFonts w:cs="Arial"/>
              </w:rPr>
            </w:pPr>
          </w:p>
        </w:tc>
        <w:tc>
          <w:tcPr>
            <w:tcW w:w="1675" w:type="dxa"/>
          </w:tcPr>
          <w:p w14:paraId="7BF3BC63" w14:textId="76BD959A" w:rsidR="00202DA6" w:rsidRPr="00984E1A" w:rsidRDefault="00202DA6" w:rsidP="00202DA6">
            <w:pPr>
              <w:rPr>
                <w:rFonts w:cs="Arial"/>
              </w:rPr>
            </w:pPr>
            <w:r w:rsidRPr="00984E1A">
              <w:rPr>
                <w:rFonts w:cs="Arial"/>
              </w:rPr>
              <w:t>Диспнея, епистаксис, назална конгестия, ринорея, кашлица*</w:t>
            </w:r>
          </w:p>
        </w:tc>
        <w:tc>
          <w:tcPr>
            <w:tcW w:w="1683" w:type="dxa"/>
            <w:vAlign w:val="bottom"/>
          </w:tcPr>
          <w:p w14:paraId="508F0A0A" w14:textId="62212DE1" w:rsidR="00202DA6" w:rsidRPr="00984E1A" w:rsidRDefault="00202DA6" w:rsidP="00202DA6">
            <w:pPr>
              <w:rPr>
                <w:rFonts w:cs="Arial"/>
              </w:rPr>
            </w:pPr>
            <w:r w:rsidRPr="00984E1A">
              <w:rPr>
                <w:rFonts w:cs="Arial"/>
              </w:rPr>
              <w:t>Диспнея при физически усилия, параназална синусова свръхсекреция, дисфония</w:t>
            </w:r>
          </w:p>
        </w:tc>
        <w:tc>
          <w:tcPr>
            <w:tcW w:w="1554" w:type="dxa"/>
          </w:tcPr>
          <w:p w14:paraId="1A810703" w14:textId="77777777" w:rsidR="00202DA6" w:rsidRPr="00984E1A" w:rsidRDefault="00202DA6" w:rsidP="00202DA6">
            <w:pPr>
              <w:rPr>
                <w:rFonts w:cs="Arial"/>
              </w:rPr>
            </w:pPr>
          </w:p>
        </w:tc>
        <w:tc>
          <w:tcPr>
            <w:tcW w:w="1619" w:type="dxa"/>
          </w:tcPr>
          <w:p w14:paraId="62F6CEB6" w14:textId="77777777" w:rsidR="00202DA6" w:rsidRPr="00984E1A" w:rsidRDefault="00202DA6" w:rsidP="00202DA6"/>
        </w:tc>
      </w:tr>
      <w:tr w:rsidR="00202DA6" w14:paraId="2094F7F9" w14:textId="77777777" w:rsidTr="00202DA6">
        <w:tc>
          <w:tcPr>
            <w:tcW w:w="1573" w:type="dxa"/>
          </w:tcPr>
          <w:p w14:paraId="0BCBEC31" w14:textId="2DE9F12C" w:rsidR="00202DA6" w:rsidRPr="00984E1A" w:rsidRDefault="00202DA6" w:rsidP="00202DA6">
            <w:pPr>
              <w:rPr>
                <w:rFonts w:cs="Arial"/>
              </w:rPr>
            </w:pPr>
            <w:r w:rsidRPr="00984E1A">
              <w:rPr>
                <w:rFonts w:cs="Arial"/>
              </w:rPr>
              <w:t>Стомашно- чревни нарушения</w:t>
            </w:r>
          </w:p>
        </w:tc>
        <w:tc>
          <w:tcPr>
            <w:tcW w:w="1472" w:type="dxa"/>
          </w:tcPr>
          <w:p w14:paraId="2930DA4F" w14:textId="02D5F610" w:rsidR="00202DA6" w:rsidRPr="00984E1A" w:rsidRDefault="00202DA6" w:rsidP="00202DA6">
            <w:pPr>
              <w:rPr>
                <w:rFonts w:cs="Arial"/>
              </w:rPr>
            </w:pPr>
            <w:r w:rsidRPr="00984E1A">
              <w:rPr>
                <w:rFonts w:cs="Arial"/>
              </w:rPr>
              <w:t>Гадене, диария,</w:t>
            </w:r>
          </w:p>
        </w:tc>
        <w:tc>
          <w:tcPr>
            <w:tcW w:w="1675" w:type="dxa"/>
          </w:tcPr>
          <w:p w14:paraId="5233DF9E" w14:textId="654D6574" w:rsidR="00202DA6" w:rsidRPr="00984E1A" w:rsidRDefault="00202DA6" w:rsidP="00202DA6">
            <w:pPr>
              <w:rPr>
                <w:rFonts w:cs="Arial"/>
              </w:rPr>
            </w:pPr>
            <w:r w:rsidRPr="00984E1A">
              <w:rPr>
                <w:rFonts w:cs="Arial"/>
              </w:rPr>
              <w:t xml:space="preserve">Повръщане, запек, болки в горната </w:t>
            </w:r>
            <w:r w:rsidRPr="00984E1A">
              <w:rPr>
                <w:rFonts w:cs="Arial"/>
              </w:rPr>
              <w:lastRenderedPageBreak/>
              <w:t>част на корема, диспепсия, болки в корема, сухота в устата, стомашен дискомфорт, орална парестезия, гастрит, коремен дискомфорт</w:t>
            </w:r>
          </w:p>
        </w:tc>
        <w:tc>
          <w:tcPr>
            <w:tcW w:w="1683" w:type="dxa"/>
            <w:vAlign w:val="bottom"/>
          </w:tcPr>
          <w:p w14:paraId="2B167EDA" w14:textId="653A0256" w:rsidR="00202DA6" w:rsidRPr="00984E1A" w:rsidRDefault="00202DA6" w:rsidP="00202DA6">
            <w:pPr>
              <w:rPr>
                <w:rFonts w:cs="Arial"/>
              </w:rPr>
            </w:pPr>
            <w:r w:rsidRPr="00984E1A">
              <w:rPr>
                <w:rFonts w:cs="Arial"/>
              </w:rPr>
              <w:lastRenderedPageBreak/>
              <w:t xml:space="preserve">Панкреатит, флатуленция, </w:t>
            </w:r>
            <w:r w:rsidRPr="00984E1A">
              <w:rPr>
                <w:rFonts w:cs="Arial"/>
              </w:rPr>
              <w:lastRenderedPageBreak/>
              <w:t>гастроезофа- геален рефлукс, болки в долната част на корема, орална хипоестезия, гингивално кървене, подуване на корема, епигастрален дискомфорт, чувствителност в корема, повишено слюноотделяне, болки в устата, мирис на дъха, глосодиния</w:t>
            </w:r>
          </w:p>
        </w:tc>
        <w:tc>
          <w:tcPr>
            <w:tcW w:w="1554" w:type="dxa"/>
          </w:tcPr>
          <w:p w14:paraId="190D2B7E" w14:textId="77777777" w:rsidR="00202DA6" w:rsidRPr="00984E1A" w:rsidRDefault="00202DA6" w:rsidP="00202DA6">
            <w:pPr>
              <w:rPr>
                <w:rFonts w:cs="Arial"/>
              </w:rPr>
            </w:pPr>
          </w:p>
        </w:tc>
        <w:tc>
          <w:tcPr>
            <w:tcW w:w="1619" w:type="dxa"/>
          </w:tcPr>
          <w:p w14:paraId="294A4064" w14:textId="77777777" w:rsidR="00202DA6" w:rsidRPr="00984E1A" w:rsidRDefault="00202DA6" w:rsidP="00202DA6"/>
        </w:tc>
      </w:tr>
      <w:tr w:rsidR="00202DA6" w14:paraId="56D50BEC" w14:textId="77777777" w:rsidTr="00202DA6">
        <w:tc>
          <w:tcPr>
            <w:tcW w:w="1573" w:type="dxa"/>
          </w:tcPr>
          <w:p w14:paraId="0DF9D56A" w14:textId="2D04D289" w:rsidR="00202DA6" w:rsidRPr="00984E1A" w:rsidRDefault="00202DA6" w:rsidP="00202DA6">
            <w:pPr>
              <w:rPr>
                <w:rFonts w:cs="Arial"/>
              </w:rPr>
            </w:pPr>
            <w:r w:rsidRPr="00984E1A">
              <w:rPr>
                <w:rFonts w:cs="Arial"/>
              </w:rPr>
              <w:t>Хепато- билиарни нарушения</w:t>
            </w:r>
          </w:p>
        </w:tc>
        <w:tc>
          <w:tcPr>
            <w:tcW w:w="1472" w:type="dxa"/>
          </w:tcPr>
          <w:p w14:paraId="447D01B3" w14:textId="77777777" w:rsidR="00202DA6" w:rsidRPr="00984E1A" w:rsidRDefault="00202DA6" w:rsidP="00202DA6">
            <w:pPr>
              <w:rPr>
                <w:rFonts w:cs="Arial"/>
              </w:rPr>
            </w:pPr>
          </w:p>
        </w:tc>
        <w:tc>
          <w:tcPr>
            <w:tcW w:w="1675" w:type="dxa"/>
          </w:tcPr>
          <w:p w14:paraId="0AB700BB" w14:textId="77777777" w:rsidR="00202DA6" w:rsidRPr="00984E1A" w:rsidRDefault="00202DA6" w:rsidP="00202DA6">
            <w:pPr>
              <w:rPr>
                <w:rFonts w:cs="Arial"/>
              </w:rPr>
            </w:pPr>
          </w:p>
        </w:tc>
        <w:tc>
          <w:tcPr>
            <w:tcW w:w="1683" w:type="dxa"/>
          </w:tcPr>
          <w:p w14:paraId="29A3AB1A" w14:textId="77777777" w:rsidR="00202DA6" w:rsidRPr="00984E1A" w:rsidRDefault="00202DA6" w:rsidP="00202DA6">
            <w:pPr>
              <w:rPr>
                <w:rFonts w:cs="Arial"/>
              </w:rPr>
            </w:pPr>
          </w:p>
        </w:tc>
        <w:tc>
          <w:tcPr>
            <w:tcW w:w="1554" w:type="dxa"/>
            <w:vAlign w:val="bottom"/>
          </w:tcPr>
          <w:p w14:paraId="06E7BB85" w14:textId="2D0DA790" w:rsidR="00202DA6" w:rsidRPr="00984E1A" w:rsidRDefault="00202DA6" w:rsidP="00202DA6">
            <w:pPr>
              <w:rPr>
                <w:rFonts w:cs="Arial"/>
              </w:rPr>
            </w:pPr>
            <w:r w:rsidRPr="00984E1A">
              <w:rPr>
                <w:rFonts w:cs="Arial"/>
              </w:rPr>
              <w:t>Хепатит, чернодробна недостатъч</w:t>
            </w:r>
            <w:r w:rsidRPr="00984E1A">
              <w:rPr>
                <w:rFonts w:cs="Arial"/>
              </w:rPr>
              <w:softHyphen/>
              <w:t>ност</w:t>
            </w:r>
          </w:p>
        </w:tc>
        <w:tc>
          <w:tcPr>
            <w:tcW w:w="1619" w:type="dxa"/>
          </w:tcPr>
          <w:p w14:paraId="0311A434" w14:textId="77777777" w:rsidR="00202DA6" w:rsidRPr="00984E1A" w:rsidRDefault="00202DA6" w:rsidP="00202DA6"/>
        </w:tc>
      </w:tr>
      <w:tr w:rsidR="00202DA6" w14:paraId="1273D603" w14:textId="77777777" w:rsidTr="00202DA6">
        <w:trPr>
          <w:trHeight w:val="3496"/>
        </w:trPr>
        <w:tc>
          <w:tcPr>
            <w:tcW w:w="1573" w:type="dxa"/>
          </w:tcPr>
          <w:p w14:paraId="46373CF2" w14:textId="7FE21853" w:rsidR="00202DA6" w:rsidRPr="00984E1A" w:rsidRDefault="00202DA6" w:rsidP="00202DA6">
            <w:pPr>
              <w:rPr>
                <w:rFonts w:cs="Arial"/>
              </w:rPr>
            </w:pPr>
            <w:r w:rsidRPr="00984E1A">
              <w:rPr>
                <w:rFonts w:cs="Arial"/>
              </w:rPr>
              <w:t>Нарушения на кожата и подкожната тъкан</w:t>
            </w:r>
          </w:p>
        </w:tc>
        <w:tc>
          <w:tcPr>
            <w:tcW w:w="1472" w:type="dxa"/>
          </w:tcPr>
          <w:p w14:paraId="5029E315" w14:textId="77777777" w:rsidR="00202DA6" w:rsidRPr="00984E1A" w:rsidRDefault="00202DA6" w:rsidP="00202DA6">
            <w:pPr>
              <w:rPr>
                <w:rFonts w:cs="Arial"/>
              </w:rPr>
            </w:pPr>
          </w:p>
        </w:tc>
        <w:tc>
          <w:tcPr>
            <w:tcW w:w="1675" w:type="dxa"/>
          </w:tcPr>
          <w:p w14:paraId="71F98E4B" w14:textId="1FCC2044" w:rsidR="00202DA6" w:rsidRPr="00984E1A" w:rsidRDefault="00202DA6" w:rsidP="00202DA6">
            <w:pPr>
              <w:rPr>
                <w:rFonts w:cs="Arial"/>
              </w:rPr>
            </w:pPr>
            <w:r w:rsidRPr="00984E1A">
              <w:rPr>
                <w:rFonts w:cs="Arial"/>
              </w:rPr>
              <w:t>Алопеция, обрив, пруритус</w:t>
            </w:r>
          </w:p>
        </w:tc>
        <w:tc>
          <w:tcPr>
            <w:tcW w:w="1683" w:type="dxa"/>
            <w:vAlign w:val="bottom"/>
          </w:tcPr>
          <w:p w14:paraId="513BEB4F" w14:textId="77777777" w:rsidR="00202DA6" w:rsidRPr="00984E1A" w:rsidRDefault="00202DA6" w:rsidP="00202DA6">
            <w:pPr>
              <w:rPr>
                <w:rFonts w:cs="Arial"/>
              </w:rPr>
            </w:pPr>
            <w:r w:rsidRPr="00984E1A">
              <w:rPr>
                <w:rFonts w:cs="Arial"/>
              </w:rPr>
              <w:t>Анхидроза, фациална хипоестезия, уриткария, еритема, генерализиран пруритус, макуларен обрив, промяна</w:t>
            </w:r>
          </w:p>
          <w:p w14:paraId="0DD4C225" w14:textId="02BF05CD" w:rsidR="00202DA6" w:rsidRPr="00984E1A" w:rsidRDefault="00202DA6" w:rsidP="00202DA6">
            <w:pPr>
              <w:rPr>
                <w:rFonts w:cs="Arial"/>
              </w:rPr>
            </w:pPr>
            <w:r w:rsidRPr="00984E1A">
              <w:rPr>
                <w:rFonts w:cs="Arial"/>
              </w:rPr>
              <w:t>на цвета на кожата, алергичен дерматит, отичане на лицето</w:t>
            </w:r>
          </w:p>
        </w:tc>
        <w:tc>
          <w:tcPr>
            <w:tcW w:w="1554" w:type="dxa"/>
            <w:vAlign w:val="bottom"/>
          </w:tcPr>
          <w:p w14:paraId="641E9F00" w14:textId="77777777" w:rsidR="00202DA6" w:rsidRPr="00984E1A" w:rsidRDefault="00202DA6" w:rsidP="00202DA6">
            <w:pPr>
              <w:rPr>
                <w:rFonts w:cs="Arial"/>
              </w:rPr>
            </w:pPr>
            <w:r w:rsidRPr="00984E1A">
              <w:rPr>
                <w:rFonts w:cs="Arial"/>
              </w:rPr>
              <w:t xml:space="preserve">Синдром на </w:t>
            </w:r>
            <w:r w:rsidRPr="00984E1A">
              <w:rPr>
                <w:rFonts w:cs="Arial"/>
                <w:lang w:val="en-US"/>
              </w:rPr>
              <w:t xml:space="preserve">Stevens- Johnson*, </w:t>
            </w:r>
            <w:r w:rsidRPr="00984E1A">
              <w:rPr>
                <w:rFonts w:cs="Arial"/>
              </w:rPr>
              <w:t>еритема мултиформе*, абнормен мирис на</w:t>
            </w:r>
          </w:p>
          <w:p w14:paraId="05C6B186" w14:textId="77777777" w:rsidR="00202DA6" w:rsidRPr="00984E1A" w:rsidRDefault="00202DA6" w:rsidP="00202DA6">
            <w:pPr>
              <w:rPr>
                <w:rFonts w:cs="Arial"/>
              </w:rPr>
            </w:pPr>
            <w:r w:rsidRPr="00984E1A">
              <w:rPr>
                <w:rFonts w:cs="Arial"/>
              </w:rPr>
              <w:t>кожата,</w:t>
            </w:r>
          </w:p>
          <w:p w14:paraId="6DBF84C5" w14:textId="77777777" w:rsidR="00202DA6" w:rsidRPr="00984E1A" w:rsidRDefault="00202DA6" w:rsidP="00202DA6">
            <w:pPr>
              <w:rPr>
                <w:rFonts w:cs="Arial"/>
              </w:rPr>
            </w:pPr>
            <w:r w:rsidRPr="00984E1A">
              <w:rPr>
                <w:rFonts w:cs="Arial"/>
              </w:rPr>
              <w:t>периорбитален</w:t>
            </w:r>
          </w:p>
          <w:p w14:paraId="3628B253" w14:textId="675574AC" w:rsidR="00202DA6" w:rsidRPr="00984E1A" w:rsidRDefault="00202DA6" w:rsidP="00202DA6">
            <w:pPr>
              <w:rPr>
                <w:rFonts w:cs="Arial"/>
              </w:rPr>
            </w:pPr>
            <w:r w:rsidRPr="00984E1A">
              <w:rPr>
                <w:rFonts w:cs="Arial"/>
              </w:rPr>
              <w:t>оток*, локализирана уртикария</w:t>
            </w:r>
          </w:p>
        </w:tc>
        <w:tc>
          <w:tcPr>
            <w:tcW w:w="1619" w:type="dxa"/>
          </w:tcPr>
          <w:p w14:paraId="524DEC6C" w14:textId="1BE39682" w:rsidR="00202DA6" w:rsidRPr="00984E1A" w:rsidRDefault="00202DA6" w:rsidP="00202DA6">
            <w:r w:rsidRPr="00984E1A">
              <w:t>Токсична епидермална некроли</w:t>
            </w:r>
            <w:r w:rsidRPr="00984E1A">
              <w:rPr>
                <w:u w:val="single"/>
              </w:rPr>
              <w:t>з</w:t>
            </w:r>
            <w:r w:rsidRPr="00984E1A">
              <w:t>а*</w:t>
            </w:r>
          </w:p>
        </w:tc>
      </w:tr>
      <w:tr w:rsidR="00202DA6" w14:paraId="64838A9C" w14:textId="77777777" w:rsidTr="00202DA6">
        <w:tc>
          <w:tcPr>
            <w:tcW w:w="1573" w:type="dxa"/>
          </w:tcPr>
          <w:p w14:paraId="44D6E6ED" w14:textId="171FDDC8" w:rsidR="00202DA6" w:rsidRPr="00984E1A" w:rsidRDefault="00202DA6" w:rsidP="00202DA6">
            <w:pPr>
              <w:rPr>
                <w:rFonts w:cs="Arial"/>
              </w:rPr>
            </w:pPr>
            <w:r w:rsidRPr="00984E1A">
              <w:rPr>
                <w:rFonts w:cs="Arial"/>
              </w:rPr>
              <w:t xml:space="preserve">Нарушения на мускулно- скелетната </w:t>
            </w:r>
            <w:r w:rsidRPr="00984E1A">
              <w:rPr>
                <w:rFonts w:cs="Arial"/>
              </w:rPr>
              <w:lastRenderedPageBreak/>
              <w:t>система и съединител</w:t>
            </w:r>
            <w:r w:rsidRPr="00984E1A">
              <w:rPr>
                <w:rFonts w:cs="Arial"/>
              </w:rPr>
              <w:softHyphen/>
              <w:t>ната тъкан</w:t>
            </w:r>
          </w:p>
        </w:tc>
        <w:tc>
          <w:tcPr>
            <w:tcW w:w="1472" w:type="dxa"/>
          </w:tcPr>
          <w:p w14:paraId="0365E439" w14:textId="77777777" w:rsidR="00202DA6" w:rsidRPr="00984E1A" w:rsidRDefault="00202DA6" w:rsidP="00202DA6">
            <w:pPr>
              <w:rPr>
                <w:rFonts w:cs="Arial"/>
              </w:rPr>
            </w:pPr>
          </w:p>
        </w:tc>
        <w:tc>
          <w:tcPr>
            <w:tcW w:w="1675" w:type="dxa"/>
            <w:vAlign w:val="bottom"/>
          </w:tcPr>
          <w:p w14:paraId="76F1152D" w14:textId="3C8C0C83" w:rsidR="00202DA6" w:rsidRPr="00984E1A" w:rsidRDefault="00202DA6" w:rsidP="00202DA6">
            <w:pPr>
              <w:rPr>
                <w:rFonts w:cs="Arial"/>
              </w:rPr>
            </w:pPr>
            <w:r w:rsidRPr="00984E1A">
              <w:rPr>
                <w:rFonts w:cs="Arial"/>
              </w:rPr>
              <w:t xml:space="preserve">Артралгия, мускулни спазми, миалгия, </w:t>
            </w:r>
            <w:r w:rsidRPr="00984E1A">
              <w:rPr>
                <w:rFonts w:cs="Arial"/>
              </w:rPr>
              <w:lastRenderedPageBreak/>
              <w:t>мускулни конвулсии, отслабване на мускулите, мускулноске- летна болка в областта на гръдния кош</w:t>
            </w:r>
          </w:p>
        </w:tc>
        <w:tc>
          <w:tcPr>
            <w:tcW w:w="1683" w:type="dxa"/>
          </w:tcPr>
          <w:p w14:paraId="19C66193" w14:textId="63C8C2AC" w:rsidR="00202DA6" w:rsidRPr="00984E1A" w:rsidRDefault="00202DA6" w:rsidP="00202DA6">
            <w:pPr>
              <w:rPr>
                <w:rFonts w:cs="Arial"/>
              </w:rPr>
            </w:pPr>
            <w:r w:rsidRPr="00984E1A">
              <w:rPr>
                <w:rFonts w:cs="Arial"/>
              </w:rPr>
              <w:lastRenderedPageBreak/>
              <w:t xml:space="preserve">Отичане на ставите *, мускулноске- летна </w:t>
            </w:r>
            <w:r w:rsidRPr="00984E1A">
              <w:rPr>
                <w:rFonts w:cs="Arial"/>
              </w:rPr>
              <w:lastRenderedPageBreak/>
              <w:t>скованост, болки в слабините, умора на мускулите</w:t>
            </w:r>
          </w:p>
        </w:tc>
        <w:tc>
          <w:tcPr>
            <w:tcW w:w="1554" w:type="dxa"/>
          </w:tcPr>
          <w:p w14:paraId="6A9A128D" w14:textId="27E12C75" w:rsidR="00202DA6" w:rsidRPr="00984E1A" w:rsidRDefault="00202DA6" w:rsidP="00202DA6">
            <w:pPr>
              <w:rPr>
                <w:rFonts w:cs="Arial"/>
              </w:rPr>
            </w:pPr>
            <w:r w:rsidRPr="00984E1A">
              <w:rPr>
                <w:rFonts w:cs="Arial"/>
              </w:rPr>
              <w:lastRenderedPageBreak/>
              <w:t>Дискомфорт на крайниците*</w:t>
            </w:r>
          </w:p>
        </w:tc>
        <w:tc>
          <w:tcPr>
            <w:tcW w:w="1619" w:type="dxa"/>
          </w:tcPr>
          <w:p w14:paraId="33C6965F" w14:textId="77777777" w:rsidR="00202DA6" w:rsidRPr="00984E1A" w:rsidRDefault="00202DA6" w:rsidP="00202DA6"/>
        </w:tc>
      </w:tr>
      <w:tr w:rsidR="00202DA6" w14:paraId="2C8D4EDD" w14:textId="77777777" w:rsidTr="00202DA6">
        <w:tc>
          <w:tcPr>
            <w:tcW w:w="1573" w:type="dxa"/>
          </w:tcPr>
          <w:p w14:paraId="2569632E" w14:textId="04735488" w:rsidR="00202DA6" w:rsidRPr="00984E1A" w:rsidRDefault="00202DA6" w:rsidP="00202DA6">
            <w:pPr>
              <w:rPr>
                <w:rFonts w:cs="Arial"/>
              </w:rPr>
            </w:pPr>
            <w:r w:rsidRPr="00984E1A">
              <w:rPr>
                <w:rFonts w:cs="Arial"/>
              </w:rPr>
              <w:t>Нарушения на бъбреците и пикочните пътища</w:t>
            </w:r>
          </w:p>
        </w:tc>
        <w:tc>
          <w:tcPr>
            <w:tcW w:w="1472" w:type="dxa"/>
          </w:tcPr>
          <w:p w14:paraId="570EB3C0" w14:textId="77777777" w:rsidR="00202DA6" w:rsidRPr="00984E1A" w:rsidRDefault="00202DA6" w:rsidP="00202DA6">
            <w:pPr>
              <w:rPr>
                <w:rFonts w:cs="Arial"/>
              </w:rPr>
            </w:pPr>
          </w:p>
        </w:tc>
        <w:tc>
          <w:tcPr>
            <w:tcW w:w="1675" w:type="dxa"/>
          </w:tcPr>
          <w:p w14:paraId="6A12B6FF" w14:textId="577E9895" w:rsidR="00202DA6" w:rsidRPr="00984E1A" w:rsidRDefault="00202DA6" w:rsidP="00202DA6">
            <w:pPr>
              <w:rPr>
                <w:rFonts w:cs="Arial"/>
              </w:rPr>
            </w:pPr>
            <w:r w:rsidRPr="00984E1A">
              <w:rPr>
                <w:rFonts w:cs="Arial"/>
              </w:rPr>
              <w:t>Нефролитиаза, полакиурия, дизурия</w:t>
            </w:r>
          </w:p>
        </w:tc>
        <w:tc>
          <w:tcPr>
            <w:tcW w:w="1683" w:type="dxa"/>
            <w:vAlign w:val="bottom"/>
          </w:tcPr>
          <w:p w14:paraId="6B034434" w14:textId="2EB0684B" w:rsidR="00202DA6" w:rsidRPr="00984E1A" w:rsidRDefault="00202DA6" w:rsidP="00202DA6">
            <w:pPr>
              <w:rPr>
                <w:rFonts w:cs="Arial"/>
              </w:rPr>
            </w:pPr>
            <w:r w:rsidRPr="00984E1A">
              <w:rPr>
                <w:rFonts w:cs="Arial"/>
              </w:rPr>
              <w:t>Камъни в пикочните пътища, уринарна инконтиненция, хематурия, инконтиненция, спешна миктуриция, бъбречни колики, болки в бъбреците</w:t>
            </w:r>
          </w:p>
        </w:tc>
        <w:tc>
          <w:tcPr>
            <w:tcW w:w="1554" w:type="dxa"/>
          </w:tcPr>
          <w:p w14:paraId="775C6A7C" w14:textId="409DC8C2" w:rsidR="00202DA6" w:rsidRPr="00984E1A" w:rsidRDefault="00202DA6" w:rsidP="00202DA6">
            <w:pPr>
              <w:rPr>
                <w:rFonts w:cs="Arial"/>
              </w:rPr>
            </w:pPr>
            <w:r w:rsidRPr="00984E1A">
              <w:rPr>
                <w:rFonts w:cs="Arial"/>
              </w:rPr>
              <w:t>Камъни в уретерите, ренална тубулна ацидоза*</w:t>
            </w:r>
          </w:p>
        </w:tc>
        <w:tc>
          <w:tcPr>
            <w:tcW w:w="1619" w:type="dxa"/>
          </w:tcPr>
          <w:p w14:paraId="2F6E10F5" w14:textId="77777777" w:rsidR="00202DA6" w:rsidRPr="00984E1A" w:rsidRDefault="00202DA6" w:rsidP="00202DA6"/>
        </w:tc>
      </w:tr>
      <w:tr w:rsidR="00202DA6" w14:paraId="4B2F01BF" w14:textId="77777777" w:rsidTr="00202DA6">
        <w:tc>
          <w:tcPr>
            <w:tcW w:w="1573" w:type="dxa"/>
            <w:vAlign w:val="bottom"/>
          </w:tcPr>
          <w:p w14:paraId="44172F2E" w14:textId="002B8735" w:rsidR="00202DA6" w:rsidRPr="00984E1A" w:rsidRDefault="00202DA6" w:rsidP="00202DA6">
            <w:pPr>
              <w:rPr>
                <w:rFonts w:cs="Arial"/>
              </w:rPr>
            </w:pPr>
            <w:r w:rsidRPr="00984E1A">
              <w:rPr>
                <w:rFonts w:cs="Arial"/>
              </w:rPr>
              <w:t>Нарушения на възпроизво</w:t>
            </w:r>
            <w:r w:rsidRPr="00984E1A">
              <w:rPr>
                <w:rFonts w:cs="Arial"/>
              </w:rPr>
              <w:softHyphen/>
              <w:t>дителната система и гърдата</w:t>
            </w:r>
          </w:p>
        </w:tc>
        <w:tc>
          <w:tcPr>
            <w:tcW w:w="1472" w:type="dxa"/>
          </w:tcPr>
          <w:p w14:paraId="4879C8B5" w14:textId="77777777" w:rsidR="00202DA6" w:rsidRPr="00984E1A" w:rsidRDefault="00202DA6" w:rsidP="00202DA6">
            <w:pPr>
              <w:rPr>
                <w:rFonts w:cs="Arial"/>
              </w:rPr>
            </w:pPr>
          </w:p>
        </w:tc>
        <w:tc>
          <w:tcPr>
            <w:tcW w:w="1675" w:type="dxa"/>
          </w:tcPr>
          <w:p w14:paraId="0315AF29" w14:textId="77777777" w:rsidR="00202DA6" w:rsidRPr="00984E1A" w:rsidRDefault="00202DA6" w:rsidP="00202DA6">
            <w:pPr>
              <w:rPr>
                <w:rFonts w:cs="Arial"/>
              </w:rPr>
            </w:pPr>
          </w:p>
        </w:tc>
        <w:tc>
          <w:tcPr>
            <w:tcW w:w="1683" w:type="dxa"/>
          </w:tcPr>
          <w:p w14:paraId="71ED5E7B" w14:textId="20EEAFBB" w:rsidR="00202DA6" w:rsidRPr="00984E1A" w:rsidRDefault="00202DA6" w:rsidP="00202DA6">
            <w:pPr>
              <w:rPr>
                <w:rFonts w:cs="Arial"/>
              </w:rPr>
            </w:pPr>
            <w:r w:rsidRPr="00984E1A">
              <w:rPr>
                <w:rFonts w:cs="Arial"/>
              </w:rPr>
              <w:t>Ерекгилна дисфуикция, сексуална дисфуикция</w:t>
            </w:r>
          </w:p>
        </w:tc>
        <w:tc>
          <w:tcPr>
            <w:tcW w:w="1554" w:type="dxa"/>
          </w:tcPr>
          <w:p w14:paraId="3A4E836E" w14:textId="77777777" w:rsidR="00202DA6" w:rsidRPr="00984E1A" w:rsidRDefault="00202DA6" w:rsidP="00202DA6">
            <w:pPr>
              <w:rPr>
                <w:rFonts w:cs="Arial"/>
              </w:rPr>
            </w:pPr>
          </w:p>
        </w:tc>
        <w:tc>
          <w:tcPr>
            <w:tcW w:w="1619" w:type="dxa"/>
          </w:tcPr>
          <w:p w14:paraId="7114EF58" w14:textId="77777777" w:rsidR="00202DA6" w:rsidRPr="00984E1A" w:rsidRDefault="00202DA6" w:rsidP="00202DA6"/>
        </w:tc>
      </w:tr>
      <w:tr w:rsidR="00202DA6" w14:paraId="169C2EA1" w14:textId="77777777" w:rsidTr="00202DA6">
        <w:tc>
          <w:tcPr>
            <w:tcW w:w="1573" w:type="dxa"/>
          </w:tcPr>
          <w:p w14:paraId="6562E31D" w14:textId="193329F2" w:rsidR="00202DA6" w:rsidRPr="00984E1A" w:rsidRDefault="00202DA6" w:rsidP="00202DA6">
            <w:pPr>
              <w:rPr>
                <w:rFonts w:cs="Arial"/>
              </w:rPr>
            </w:pPr>
            <w:r w:rsidRPr="00984E1A">
              <w:rPr>
                <w:rFonts w:cs="Arial"/>
              </w:rPr>
              <w:t>Общи нарушения и ефекти на мястото на приложение</w:t>
            </w:r>
          </w:p>
        </w:tc>
        <w:tc>
          <w:tcPr>
            <w:tcW w:w="1472" w:type="dxa"/>
          </w:tcPr>
          <w:p w14:paraId="1DAFAA80" w14:textId="5ADCF1AB" w:rsidR="00202DA6" w:rsidRPr="00984E1A" w:rsidRDefault="00202DA6" w:rsidP="00202DA6">
            <w:pPr>
              <w:rPr>
                <w:rFonts w:cs="Arial"/>
              </w:rPr>
            </w:pPr>
            <w:r w:rsidRPr="00984E1A">
              <w:rPr>
                <w:rFonts w:cs="Arial"/>
              </w:rPr>
              <w:t>Умора</w:t>
            </w:r>
          </w:p>
        </w:tc>
        <w:tc>
          <w:tcPr>
            <w:tcW w:w="1675" w:type="dxa"/>
          </w:tcPr>
          <w:p w14:paraId="772CB79B" w14:textId="69301545" w:rsidR="00202DA6" w:rsidRPr="00984E1A" w:rsidRDefault="00202DA6" w:rsidP="00202DA6">
            <w:pPr>
              <w:rPr>
                <w:rFonts w:cs="Arial"/>
              </w:rPr>
            </w:pPr>
            <w:r w:rsidRPr="00984E1A">
              <w:rPr>
                <w:rFonts w:cs="Arial"/>
              </w:rPr>
              <w:t>Пирексия, астения, раздразнител</w:t>
            </w:r>
            <w:r w:rsidRPr="00984E1A">
              <w:rPr>
                <w:rFonts w:cs="Arial"/>
              </w:rPr>
              <w:softHyphen/>
              <w:t>ност, нарушена походка, абнормни усещания, неразположение</w:t>
            </w:r>
          </w:p>
        </w:tc>
        <w:tc>
          <w:tcPr>
            <w:tcW w:w="1683" w:type="dxa"/>
          </w:tcPr>
          <w:p w14:paraId="098C9D9D" w14:textId="74ACE456" w:rsidR="00202DA6" w:rsidRPr="00984E1A" w:rsidRDefault="00202DA6" w:rsidP="00202DA6">
            <w:pPr>
              <w:rPr>
                <w:rFonts w:cs="Arial"/>
              </w:rPr>
            </w:pPr>
            <w:r w:rsidRPr="00984E1A">
              <w:rPr>
                <w:rFonts w:cs="Arial"/>
              </w:rPr>
              <w:t>Хипертермия, жажда, грипоподобна болест*, забавени движения, студени крайници, чувство на опиянение, чувство на нервност</w:t>
            </w:r>
          </w:p>
        </w:tc>
        <w:tc>
          <w:tcPr>
            <w:tcW w:w="1554" w:type="dxa"/>
          </w:tcPr>
          <w:p w14:paraId="72873D84" w14:textId="27C0A324" w:rsidR="00202DA6" w:rsidRPr="00984E1A" w:rsidRDefault="00202DA6" w:rsidP="00202DA6">
            <w:pPr>
              <w:rPr>
                <w:rFonts w:cs="Arial"/>
              </w:rPr>
            </w:pPr>
            <w:r w:rsidRPr="00984E1A">
              <w:rPr>
                <w:rFonts w:cs="Arial"/>
              </w:rPr>
              <w:t>Отичане на лицето, калциноза</w:t>
            </w:r>
          </w:p>
        </w:tc>
        <w:tc>
          <w:tcPr>
            <w:tcW w:w="1619" w:type="dxa"/>
          </w:tcPr>
          <w:p w14:paraId="494FD49C" w14:textId="77777777" w:rsidR="00202DA6" w:rsidRPr="00984E1A" w:rsidRDefault="00202DA6" w:rsidP="00202DA6"/>
        </w:tc>
      </w:tr>
      <w:tr w:rsidR="00202DA6" w14:paraId="782C7679" w14:textId="77777777" w:rsidTr="00202DA6">
        <w:tc>
          <w:tcPr>
            <w:tcW w:w="1573" w:type="dxa"/>
          </w:tcPr>
          <w:p w14:paraId="00B594AF" w14:textId="243F6523" w:rsidR="00202DA6" w:rsidRPr="00984E1A" w:rsidRDefault="00202DA6" w:rsidP="00202DA6">
            <w:pPr>
              <w:rPr>
                <w:rFonts w:cs="Arial"/>
              </w:rPr>
            </w:pPr>
            <w:r w:rsidRPr="00984E1A">
              <w:rPr>
                <w:rFonts w:cs="Arial"/>
              </w:rPr>
              <w:t>Изследвания</w:t>
            </w:r>
          </w:p>
        </w:tc>
        <w:tc>
          <w:tcPr>
            <w:tcW w:w="1472" w:type="dxa"/>
          </w:tcPr>
          <w:p w14:paraId="5115A7E8" w14:textId="2F17A703" w:rsidR="00202DA6" w:rsidRPr="00984E1A" w:rsidRDefault="00202DA6" w:rsidP="00202DA6">
            <w:pPr>
              <w:rPr>
                <w:rFonts w:cs="Arial"/>
              </w:rPr>
            </w:pPr>
            <w:r w:rsidRPr="00984E1A">
              <w:rPr>
                <w:rFonts w:cs="Arial"/>
              </w:rPr>
              <w:t>Намалено тегло</w:t>
            </w:r>
          </w:p>
        </w:tc>
        <w:tc>
          <w:tcPr>
            <w:tcW w:w="1675" w:type="dxa"/>
          </w:tcPr>
          <w:p w14:paraId="46D7612C" w14:textId="396EF9E1" w:rsidR="00202DA6" w:rsidRPr="00984E1A" w:rsidRDefault="00202DA6" w:rsidP="00202DA6">
            <w:pPr>
              <w:rPr>
                <w:rFonts w:cs="Arial"/>
              </w:rPr>
            </w:pPr>
            <w:r w:rsidRPr="00984E1A">
              <w:rPr>
                <w:rFonts w:cs="Arial"/>
              </w:rPr>
              <w:t>Увеличено тегло*</w:t>
            </w:r>
          </w:p>
        </w:tc>
        <w:tc>
          <w:tcPr>
            <w:tcW w:w="1683" w:type="dxa"/>
          </w:tcPr>
          <w:p w14:paraId="4FB7BDE2" w14:textId="7174F3C5" w:rsidR="00202DA6" w:rsidRPr="00984E1A" w:rsidRDefault="00202DA6" w:rsidP="00202DA6">
            <w:pPr>
              <w:rPr>
                <w:rFonts w:cs="Arial"/>
              </w:rPr>
            </w:pPr>
            <w:r w:rsidRPr="00984E1A">
              <w:rPr>
                <w:rFonts w:cs="Arial"/>
              </w:rPr>
              <w:t xml:space="preserve">Кристали в урината, абнормен тест за тандемна походка, намален брой на белите </w:t>
            </w:r>
            <w:r w:rsidRPr="00984E1A">
              <w:rPr>
                <w:rFonts w:cs="Arial"/>
              </w:rPr>
              <w:lastRenderedPageBreak/>
              <w:t>кръвни клетки, повишени чернодробни ензими</w:t>
            </w:r>
          </w:p>
        </w:tc>
        <w:tc>
          <w:tcPr>
            <w:tcW w:w="1554" w:type="dxa"/>
          </w:tcPr>
          <w:p w14:paraId="56FC6C54" w14:textId="2EB8ADE6" w:rsidR="00202DA6" w:rsidRPr="00984E1A" w:rsidRDefault="00202DA6" w:rsidP="00202DA6">
            <w:pPr>
              <w:rPr>
                <w:rFonts w:cs="Arial"/>
              </w:rPr>
            </w:pPr>
            <w:r w:rsidRPr="00984E1A">
              <w:rPr>
                <w:rFonts w:cs="Arial"/>
              </w:rPr>
              <w:lastRenderedPageBreak/>
              <w:t>Намалено ниво на бикарбонат в кръвта</w:t>
            </w:r>
          </w:p>
        </w:tc>
        <w:tc>
          <w:tcPr>
            <w:tcW w:w="1619" w:type="dxa"/>
          </w:tcPr>
          <w:p w14:paraId="2CD4BB91" w14:textId="77777777" w:rsidR="00202DA6" w:rsidRPr="00984E1A" w:rsidRDefault="00202DA6" w:rsidP="00202DA6"/>
        </w:tc>
      </w:tr>
      <w:tr w:rsidR="00202DA6" w14:paraId="53852A9D" w14:textId="77777777" w:rsidTr="00202DA6">
        <w:tc>
          <w:tcPr>
            <w:tcW w:w="1573" w:type="dxa"/>
          </w:tcPr>
          <w:p w14:paraId="5CCA0720" w14:textId="7DF42898" w:rsidR="00202DA6" w:rsidRPr="00984E1A" w:rsidRDefault="00202DA6" w:rsidP="00202DA6">
            <w:pPr>
              <w:rPr>
                <w:rFonts w:cs="Arial"/>
              </w:rPr>
            </w:pPr>
            <w:r w:rsidRPr="00984E1A">
              <w:rPr>
                <w:rFonts w:cs="Arial"/>
              </w:rPr>
              <w:t>Социални предпоставки</w:t>
            </w:r>
          </w:p>
        </w:tc>
        <w:tc>
          <w:tcPr>
            <w:tcW w:w="1472" w:type="dxa"/>
          </w:tcPr>
          <w:p w14:paraId="4D804A8A" w14:textId="77777777" w:rsidR="00202DA6" w:rsidRPr="00984E1A" w:rsidRDefault="00202DA6" w:rsidP="00202DA6">
            <w:pPr>
              <w:rPr>
                <w:rFonts w:cs="Arial"/>
              </w:rPr>
            </w:pPr>
          </w:p>
        </w:tc>
        <w:tc>
          <w:tcPr>
            <w:tcW w:w="1675" w:type="dxa"/>
          </w:tcPr>
          <w:p w14:paraId="4DB869E5" w14:textId="77777777" w:rsidR="00202DA6" w:rsidRPr="00984E1A" w:rsidRDefault="00202DA6" w:rsidP="00202DA6">
            <w:pPr>
              <w:rPr>
                <w:rFonts w:cs="Arial"/>
              </w:rPr>
            </w:pPr>
          </w:p>
        </w:tc>
        <w:tc>
          <w:tcPr>
            <w:tcW w:w="1683" w:type="dxa"/>
          </w:tcPr>
          <w:p w14:paraId="36C36742" w14:textId="1AC63978" w:rsidR="00202DA6" w:rsidRPr="00984E1A" w:rsidRDefault="00202DA6" w:rsidP="00202DA6">
            <w:pPr>
              <w:rPr>
                <w:rFonts w:cs="Arial"/>
              </w:rPr>
            </w:pPr>
            <w:r w:rsidRPr="00984E1A">
              <w:rPr>
                <w:rFonts w:cs="Arial"/>
              </w:rPr>
              <w:t>Неспособност за учене</w:t>
            </w:r>
          </w:p>
        </w:tc>
        <w:tc>
          <w:tcPr>
            <w:tcW w:w="1554" w:type="dxa"/>
          </w:tcPr>
          <w:p w14:paraId="015D2C7E" w14:textId="77777777" w:rsidR="00202DA6" w:rsidRPr="00984E1A" w:rsidRDefault="00202DA6" w:rsidP="00202DA6">
            <w:pPr>
              <w:rPr>
                <w:rFonts w:cs="Arial"/>
              </w:rPr>
            </w:pPr>
          </w:p>
        </w:tc>
        <w:tc>
          <w:tcPr>
            <w:tcW w:w="1619" w:type="dxa"/>
          </w:tcPr>
          <w:p w14:paraId="6E808542" w14:textId="77777777" w:rsidR="00202DA6" w:rsidRPr="00984E1A" w:rsidRDefault="00202DA6" w:rsidP="00202DA6"/>
        </w:tc>
      </w:tr>
    </w:tbl>
    <w:p w14:paraId="5C14D45F" w14:textId="77777777" w:rsidR="00202DA6" w:rsidRDefault="00202DA6" w:rsidP="0091385D"/>
    <w:p w14:paraId="02EE9CF5" w14:textId="77777777" w:rsidR="00202DA6" w:rsidRPr="00202DA6" w:rsidRDefault="00202DA6" w:rsidP="00202DA6">
      <w:pPr>
        <w:spacing w:line="240" w:lineRule="auto"/>
        <w:rPr>
          <w:rFonts w:eastAsia="Times New Roman" w:cs="Arial"/>
          <w:sz w:val="24"/>
          <w:szCs w:val="24"/>
          <w:lang w:eastAsia="bg-BG"/>
        </w:rPr>
      </w:pPr>
      <w:r w:rsidRPr="00202DA6">
        <w:rPr>
          <w:rFonts w:eastAsia="Times New Roman" w:cs="Arial"/>
          <w:color w:val="000000"/>
          <w:sz w:val="20"/>
          <w:szCs w:val="20"/>
          <w:lang w:eastAsia="bg-BG"/>
        </w:rPr>
        <w:t>*посочено като НЛР при постмаркетингово спонтанно съобщение. Честотата му е изчислена на базата на появата в клиничните изпитвания или ако събитието не се е случило по време на клиничните изпитвания.</w:t>
      </w:r>
    </w:p>
    <w:p w14:paraId="27FAF705" w14:textId="77777777" w:rsidR="00202DA6" w:rsidRPr="00202DA6" w:rsidRDefault="00202DA6" w:rsidP="00202DA6">
      <w:pPr>
        <w:spacing w:line="240" w:lineRule="auto"/>
        <w:rPr>
          <w:rFonts w:eastAsia="Times New Roman" w:cs="Arial"/>
          <w:color w:val="000000"/>
          <w:szCs w:val="20"/>
          <w:lang w:eastAsia="bg-BG"/>
        </w:rPr>
      </w:pPr>
    </w:p>
    <w:p w14:paraId="1708199C" w14:textId="1DC84B3C" w:rsidR="00202DA6" w:rsidRPr="00202DA6" w:rsidRDefault="00202DA6" w:rsidP="00202DA6">
      <w:pPr>
        <w:spacing w:line="240" w:lineRule="auto"/>
        <w:rPr>
          <w:rFonts w:eastAsia="Times New Roman" w:cs="Arial"/>
          <w:sz w:val="28"/>
          <w:szCs w:val="24"/>
          <w:lang w:eastAsia="bg-BG"/>
        </w:rPr>
      </w:pPr>
      <w:r w:rsidRPr="00202DA6">
        <w:rPr>
          <w:rFonts w:eastAsia="Times New Roman" w:cs="Arial"/>
          <w:color w:val="000000"/>
          <w:szCs w:val="20"/>
          <w:lang w:eastAsia="bg-BG"/>
        </w:rPr>
        <w:t>Вродени малформации или ограничаване на растежа на плода (вж. точки 4.4 и 4.6).</w:t>
      </w:r>
    </w:p>
    <w:p w14:paraId="6371085F" w14:textId="77777777" w:rsidR="00202DA6" w:rsidRPr="00202DA6" w:rsidRDefault="00202DA6" w:rsidP="00202DA6">
      <w:pPr>
        <w:spacing w:line="240" w:lineRule="auto"/>
        <w:rPr>
          <w:rFonts w:eastAsia="Times New Roman" w:cs="Arial"/>
          <w:color w:val="000000"/>
          <w:szCs w:val="20"/>
          <w:u w:val="single"/>
          <w:lang w:eastAsia="bg-BG"/>
        </w:rPr>
      </w:pPr>
    </w:p>
    <w:p w14:paraId="2CCB40F6" w14:textId="72A94961" w:rsidR="00202DA6" w:rsidRPr="00202DA6" w:rsidRDefault="00202DA6" w:rsidP="00202DA6">
      <w:pPr>
        <w:spacing w:line="240" w:lineRule="auto"/>
        <w:rPr>
          <w:rFonts w:eastAsia="Times New Roman" w:cs="Arial"/>
          <w:sz w:val="28"/>
          <w:szCs w:val="24"/>
          <w:lang w:eastAsia="bg-BG"/>
        </w:rPr>
      </w:pPr>
      <w:r w:rsidRPr="00202DA6">
        <w:rPr>
          <w:rFonts w:eastAsia="Times New Roman" w:cs="Arial"/>
          <w:color w:val="000000"/>
          <w:szCs w:val="20"/>
          <w:u w:val="single"/>
          <w:lang w:eastAsia="bg-BG"/>
        </w:rPr>
        <w:t xml:space="preserve">Педиатрична </w:t>
      </w:r>
      <w:r w:rsidRPr="00202DA6">
        <w:rPr>
          <w:rFonts w:eastAsia="Times New Roman" w:cs="Arial"/>
          <w:i/>
          <w:iCs/>
          <w:color w:val="000000"/>
          <w:szCs w:val="20"/>
          <w:u w:val="single"/>
          <w:lang w:eastAsia="bg-BG"/>
        </w:rPr>
        <w:t>популация</w:t>
      </w:r>
    </w:p>
    <w:p w14:paraId="784F8F31" w14:textId="77777777" w:rsidR="00202DA6" w:rsidRPr="00202DA6" w:rsidRDefault="00202DA6" w:rsidP="00202DA6">
      <w:pPr>
        <w:spacing w:line="240" w:lineRule="auto"/>
        <w:rPr>
          <w:rFonts w:eastAsia="Times New Roman" w:cs="Arial"/>
          <w:color w:val="000000"/>
          <w:szCs w:val="20"/>
          <w:lang w:eastAsia="bg-BG"/>
        </w:rPr>
      </w:pPr>
    </w:p>
    <w:p w14:paraId="0C87DE64" w14:textId="1F353F2B" w:rsidR="00202DA6" w:rsidRPr="00202DA6" w:rsidRDefault="00202DA6" w:rsidP="00202DA6">
      <w:pPr>
        <w:spacing w:line="240" w:lineRule="auto"/>
        <w:rPr>
          <w:rFonts w:eastAsia="Times New Roman" w:cs="Arial"/>
          <w:color w:val="000000"/>
          <w:szCs w:val="20"/>
          <w:lang w:eastAsia="bg-BG"/>
        </w:rPr>
      </w:pPr>
      <w:r w:rsidRPr="00202DA6">
        <w:rPr>
          <w:rFonts w:eastAsia="Times New Roman" w:cs="Arial"/>
          <w:color w:val="000000"/>
          <w:szCs w:val="20"/>
          <w:lang w:eastAsia="bg-BG"/>
        </w:rPr>
        <w:t xml:space="preserve">По-често съобщаваните нежелани лекарствени реакции </w:t>
      </w:r>
      <w:r w:rsidRPr="00202DA6">
        <w:rPr>
          <w:rFonts w:eastAsia="Times New Roman" w:cs="Arial"/>
          <w:i/>
          <w:iCs/>
          <w:color w:val="000000"/>
          <w:szCs w:val="20"/>
          <w:lang w:eastAsia="bg-BG"/>
        </w:rPr>
        <w:t>(≥2</w:t>
      </w:r>
      <w:r w:rsidRPr="00202DA6">
        <w:rPr>
          <w:rFonts w:eastAsia="Times New Roman" w:cs="Arial"/>
          <w:color w:val="000000"/>
          <w:szCs w:val="20"/>
          <w:lang w:eastAsia="bg-BG"/>
        </w:rPr>
        <w:t xml:space="preserve"> пъти) при деца отколкото при възрастни в двойно слепи контролирани проучвания са:</w:t>
      </w:r>
    </w:p>
    <w:p w14:paraId="58C52278" w14:textId="77777777" w:rsidR="00202DA6" w:rsidRPr="00202DA6" w:rsidRDefault="00202DA6" w:rsidP="00202DA6">
      <w:pPr>
        <w:spacing w:line="240" w:lineRule="auto"/>
        <w:rPr>
          <w:rFonts w:eastAsia="Times New Roman" w:cs="Arial"/>
          <w:sz w:val="28"/>
          <w:szCs w:val="24"/>
          <w:lang w:eastAsia="bg-BG"/>
        </w:rPr>
      </w:pPr>
    </w:p>
    <w:p w14:paraId="19CD0A7F" w14:textId="77777777" w:rsidR="00202DA6" w:rsidRDefault="00202DA6" w:rsidP="00202DA6">
      <w:pPr>
        <w:pStyle w:val="ListParagraph"/>
        <w:numPr>
          <w:ilvl w:val="0"/>
          <w:numId w:val="37"/>
        </w:numPr>
        <w:spacing w:line="240" w:lineRule="auto"/>
        <w:rPr>
          <w:rFonts w:eastAsia="Times New Roman" w:cs="Arial"/>
          <w:color w:val="000000"/>
          <w:szCs w:val="20"/>
          <w:lang w:eastAsia="bg-BG"/>
        </w:rPr>
      </w:pPr>
      <w:r w:rsidRPr="00202DA6">
        <w:rPr>
          <w:rFonts w:eastAsia="Times New Roman" w:cs="Arial"/>
          <w:color w:val="000000"/>
          <w:szCs w:val="20"/>
          <w:lang w:eastAsia="bg-BG"/>
        </w:rPr>
        <w:t>Намален апетит,</w:t>
      </w:r>
    </w:p>
    <w:p w14:paraId="78DCEFB1" w14:textId="77777777" w:rsidR="00202DA6" w:rsidRDefault="00202DA6" w:rsidP="00202DA6">
      <w:pPr>
        <w:pStyle w:val="ListParagraph"/>
        <w:numPr>
          <w:ilvl w:val="0"/>
          <w:numId w:val="37"/>
        </w:numPr>
        <w:spacing w:line="240" w:lineRule="auto"/>
        <w:rPr>
          <w:rFonts w:eastAsia="Times New Roman" w:cs="Arial"/>
          <w:color w:val="000000"/>
          <w:szCs w:val="20"/>
          <w:lang w:eastAsia="bg-BG"/>
        </w:rPr>
      </w:pPr>
      <w:r w:rsidRPr="00202DA6">
        <w:rPr>
          <w:rFonts w:eastAsia="Times New Roman" w:cs="Arial"/>
          <w:color w:val="000000"/>
          <w:szCs w:val="20"/>
          <w:lang w:eastAsia="bg-BG"/>
        </w:rPr>
        <w:t>Увеличен апетит,</w:t>
      </w:r>
    </w:p>
    <w:p w14:paraId="410CF923" w14:textId="77777777" w:rsidR="00202DA6" w:rsidRDefault="00202DA6" w:rsidP="00202DA6">
      <w:pPr>
        <w:pStyle w:val="ListParagraph"/>
        <w:numPr>
          <w:ilvl w:val="0"/>
          <w:numId w:val="37"/>
        </w:numPr>
        <w:spacing w:line="240" w:lineRule="auto"/>
        <w:rPr>
          <w:rFonts w:eastAsia="Times New Roman" w:cs="Arial"/>
          <w:color w:val="000000"/>
          <w:szCs w:val="20"/>
          <w:lang w:eastAsia="bg-BG"/>
        </w:rPr>
      </w:pPr>
      <w:r w:rsidRPr="00202DA6">
        <w:rPr>
          <w:rFonts w:eastAsia="Times New Roman" w:cs="Arial"/>
          <w:color w:val="000000"/>
          <w:szCs w:val="20"/>
          <w:lang w:eastAsia="bg-BG"/>
        </w:rPr>
        <w:t>Хиперхлоремична ацидоза,</w:t>
      </w:r>
    </w:p>
    <w:p w14:paraId="53740771" w14:textId="77777777" w:rsidR="00202DA6" w:rsidRDefault="00202DA6" w:rsidP="00202DA6">
      <w:pPr>
        <w:pStyle w:val="ListParagraph"/>
        <w:numPr>
          <w:ilvl w:val="0"/>
          <w:numId w:val="37"/>
        </w:numPr>
        <w:spacing w:line="240" w:lineRule="auto"/>
        <w:rPr>
          <w:rFonts w:eastAsia="Times New Roman" w:cs="Arial"/>
          <w:color w:val="000000"/>
          <w:szCs w:val="20"/>
          <w:lang w:eastAsia="bg-BG"/>
        </w:rPr>
      </w:pPr>
      <w:r w:rsidRPr="00202DA6">
        <w:rPr>
          <w:rFonts w:eastAsia="Times New Roman" w:cs="Arial"/>
          <w:color w:val="000000"/>
          <w:szCs w:val="20"/>
          <w:lang w:eastAsia="bg-BG"/>
        </w:rPr>
        <w:t>Хипокалемия,</w:t>
      </w:r>
    </w:p>
    <w:p w14:paraId="6D0D70F8" w14:textId="77777777" w:rsidR="00202DA6" w:rsidRDefault="00202DA6" w:rsidP="00202DA6">
      <w:pPr>
        <w:pStyle w:val="ListParagraph"/>
        <w:numPr>
          <w:ilvl w:val="0"/>
          <w:numId w:val="37"/>
        </w:numPr>
        <w:spacing w:line="240" w:lineRule="auto"/>
        <w:rPr>
          <w:rFonts w:eastAsia="Times New Roman" w:cs="Arial"/>
          <w:color w:val="000000"/>
          <w:szCs w:val="20"/>
          <w:lang w:eastAsia="bg-BG"/>
        </w:rPr>
      </w:pPr>
      <w:r w:rsidRPr="00202DA6">
        <w:rPr>
          <w:rFonts w:eastAsia="Times New Roman" w:cs="Arial"/>
          <w:color w:val="000000"/>
          <w:szCs w:val="20"/>
          <w:lang w:eastAsia="bg-BG"/>
        </w:rPr>
        <w:t>Абнормно поведение,</w:t>
      </w:r>
    </w:p>
    <w:p w14:paraId="54EF19C9" w14:textId="77777777" w:rsidR="00202DA6" w:rsidRDefault="00202DA6" w:rsidP="00202DA6">
      <w:pPr>
        <w:pStyle w:val="ListParagraph"/>
        <w:numPr>
          <w:ilvl w:val="0"/>
          <w:numId w:val="37"/>
        </w:numPr>
        <w:spacing w:line="240" w:lineRule="auto"/>
        <w:rPr>
          <w:rFonts w:eastAsia="Times New Roman" w:cs="Arial"/>
          <w:color w:val="000000"/>
          <w:szCs w:val="20"/>
          <w:lang w:eastAsia="bg-BG"/>
        </w:rPr>
      </w:pPr>
      <w:r w:rsidRPr="00202DA6">
        <w:rPr>
          <w:rFonts w:eastAsia="Times New Roman" w:cs="Arial"/>
          <w:color w:val="000000"/>
          <w:szCs w:val="20"/>
          <w:lang w:eastAsia="bg-BG"/>
        </w:rPr>
        <w:t>Агресия,</w:t>
      </w:r>
    </w:p>
    <w:p w14:paraId="0776F046" w14:textId="77777777" w:rsidR="00202DA6" w:rsidRDefault="00202DA6" w:rsidP="00202DA6">
      <w:pPr>
        <w:pStyle w:val="ListParagraph"/>
        <w:numPr>
          <w:ilvl w:val="0"/>
          <w:numId w:val="37"/>
        </w:numPr>
        <w:spacing w:line="240" w:lineRule="auto"/>
        <w:rPr>
          <w:rFonts w:eastAsia="Times New Roman" w:cs="Arial"/>
          <w:color w:val="000000"/>
          <w:szCs w:val="20"/>
          <w:lang w:eastAsia="bg-BG"/>
        </w:rPr>
      </w:pPr>
      <w:r w:rsidRPr="00202DA6">
        <w:rPr>
          <w:rFonts w:eastAsia="Times New Roman" w:cs="Arial"/>
          <w:color w:val="000000"/>
          <w:szCs w:val="20"/>
          <w:lang w:eastAsia="bg-BG"/>
        </w:rPr>
        <w:t>Апатия,</w:t>
      </w:r>
    </w:p>
    <w:p w14:paraId="4022E195" w14:textId="77777777" w:rsidR="00202DA6" w:rsidRDefault="00202DA6" w:rsidP="00202DA6">
      <w:pPr>
        <w:pStyle w:val="ListParagraph"/>
        <w:numPr>
          <w:ilvl w:val="0"/>
          <w:numId w:val="37"/>
        </w:numPr>
        <w:spacing w:line="240" w:lineRule="auto"/>
        <w:rPr>
          <w:rFonts w:eastAsia="Times New Roman" w:cs="Arial"/>
          <w:color w:val="000000"/>
          <w:szCs w:val="20"/>
          <w:lang w:eastAsia="bg-BG"/>
        </w:rPr>
      </w:pPr>
      <w:r w:rsidRPr="00202DA6">
        <w:rPr>
          <w:rFonts w:eastAsia="Times New Roman" w:cs="Arial"/>
          <w:color w:val="000000"/>
          <w:szCs w:val="20"/>
          <w:lang w:eastAsia="bg-BG"/>
        </w:rPr>
        <w:t>Начално безсъние,</w:t>
      </w:r>
    </w:p>
    <w:p w14:paraId="1C4D97F6" w14:textId="77777777" w:rsidR="00202DA6" w:rsidRDefault="00202DA6" w:rsidP="00202DA6">
      <w:pPr>
        <w:pStyle w:val="ListParagraph"/>
        <w:numPr>
          <w:ilvl w:val="0"/>
          <w:numId w:val="37"/>
        </w:numPr>
        <w:spacing w:line="240" w:lineRule="auto"/>
        <w:rPr>
          <w:rFonts w:eastAsia="Times New Roman" w:cs="Arial"/>
          <w:color w:val="000000"/>
          <w:szCs w:val="20"/>
          <w:lang w:eastAsia="bg-BG"/>
        </w:rPr>
      </w:pPr>
      <w:r w:rsidRPr="00202DA6">
        <w:rPr>
          <w:rFonts w:eastAsia="Times New Roman" w:cs="Arial"/>
          <w:color w:val="000000"/>
          <w:szCs w:val="20"/>
          <w:lang w:eastAsia="bg-BG"/>
        </w:rPr>
        <w:t>Суицидна идеация,</w:t>
      </w:r>
    </w:p>
    <w:p w14:paraId="38230FB7" w14:textId="77777777" w:rsidR="00202DA6" w:rsidRDefault="00202DA6" w:rsidP="00202DA6">
      <w:pPr>
        <w:pStyle w:val="ListParagraph"/>
        <w:numPr>
          <w:ilvl w:val="0"/>
          <w:numId w:val="37"/>
        </w:numPr>
        <w:spacing w:line="240" w:lineRule="auto"/>
        <w:rPr>
          <w:rFonts w:eastAsia="Times New Roman" w:cs="Arial"/>
          <w:color w:val="000000"/>
          <w:szCs w:val="20"/>
          <w:lang w:eastAsia="bg-BG"/>
        </w:rPr>
      </w:pPr>
      <w:r w:rsidRPr="00202DA6">
        <w:rPr>
          <w:rFonts w:eastAsia="Times New Roman" w:cs="Arial"/>
          <w:color w:val="000000"/>
          <w:szCs w:val="20"/>
          <w:lang w:eastAsia="bg-BG"/>
        </w:rPr>
        <w:t>Затруднена концентрация,</w:t>
      </w:r>
    </w:p>
    <w:p w14:paraId="24D8D672" w14:textId="77777777" w:rsidR="00202DA6" w:rsidRDefault="00202DA6" w:rsidP="00202DA6">
      <w:pPr>
        <w:pStyle w:val="ListParagraph"/>
        <w:numPr>
          <w:ilvl w:val="0"/>
          <w:numId w:val="37"/>
        </w:numPr>
        <w:spacing w:line="240" w:lineRule="auto"/>
        <w:rPr>
          <w:rFonts w:eastAsia="Times New Roman" w:cs="Arial"/>
          <w:color w:val="000000"/>
          <w:szCs w:val="20"/>
          <w:lang w:eastAsia="bg-BG"/>
        </w:rPr>
      </w:pPr>
      <w:r w:rsidRPr="00202DA6">
        <w:rPr>
          <w:rFonts w:eastAsia="Times New Roman" w:cs="Arial"/>
          <w:color w:val="000000"/>
          <w:szCs w:val="20"/>
          <w:lang w:eastAsia="bg-BG"/>
        </w:rPr>
        <w:t>Летаргия,</w:t>
      </w:r>
    </w:p>
    <w:p w14:paraId="5703BDA7" w14:textId="77777777" w:rsidR="00202DA6" w:rsidRDefault="00202DA6" w:rsidP="00202DA6">
      <w:pPr>
        <w:pStyle w:val="ListParagraph"/>
        <w:numPr>
          <w:ilvl w:val="0"/>
          <w:numId w:val="37"/>
        </w:numPr>
        <w:spacing w:line="240" w:lineRule="auto"/>
        <w:rPr>
          <w:rFonts w:eastAsia="Times New Roman" w:cs="Arial"/>
          <w:color w:val="000000"/>
          <w:szCs w:val="20"/>
          <w:lang w:eastAsia="bg-BG"/>
        </w:rPr>
      </w:pPr>
      <w:r w:rsidRPr="00202DA6">
        <w:rPr>
          <w:rFonts w:eastAsia="Times New Roman" w:cs="Arial"/>
          <w:color w:val="000000"/>
          <w:szCs w:val="20"/>
          <w:lang w:eastAsia="bg-BG"/>
        </w:rPr>
        <w:t>Нарушен циркаден ритъм,</w:t>
      </w:r>
    </w:p>
    <w:p w14:paraId="1992904E" w14:textId="77777777" w:rsidR="00202DA6" w:rsidRDefault="00202DA6" w:rsidP="00202DA6">
      <w:pPr>
        <w:pStyle w:val="ListParagraph"/>
        <w:numPr>
          <w:ilvl w:val="0"/>
          <w:numId w:val="37"/>
        </w:numPr>
        <w:spacing w:line="240" w:lineRule="auto"/>
        <w:rPr>
          <w:rFonts w:eastAsia="Times New Roman" w:cs="Arial"/>
          <w:color w:val="000000"/>
          <w:szCs w:val="20"/>
          <w:lang w:eastAsia="bg-BG"/>
        </w:rPr>
      </w:pPr>
      <w:r w:rsidRPr="00202DA6">
        <w:rPr>
          <w:rFonts w:eastAsia="Times New Roman" w:cs="Arial"/>
          <w:color w:val="000000"/>
          <w:szCs w:val="20"/>
          <w:lang w:eastAsia="bg-BG"/>
        </w:rPr>
        <w:t>Некачествен сън,</w:t>
      </w:r>
    </w:p>
    <w:p w14:paraId="44CF86D4" w14:textId="77777777" w:rsidR="00202DA6" w:rsidRDefault="00202DA6" w:rsidP="00202DA6">
      <w:pPr>
        <w:pStyle w:val="ListParagraph"/>
        <w:numPr>
          <w:ilvl w:val="0"/>
          <w:numId w:val="37"/>
        </w:numPr>
        <w:spacing w:line="240" w:lineRule="auto"/>
        <w:rPr>
          <w:rFonts w:eastAsia="Times New Roman" w:cs="Arial"/>
          <w:color w:val="000000"/>
          <w:szCs w:val="20"/>
          <w:lang w:eastAsia="bg-BG"/>
        </w:rPr>
      </w:pPr>
      <w:r w:rsidRPr="00202DA6">
        <w:rPr>
          <w:rFonts w:eastAsia="Times New Roman" w:cs="Arial"/>
          <w:color w:val="000000"/>
          <w:szCs w:val="20"/>
          <w:lang w:eastAsia="bg-BG"/>
        </w:rPr>
        <w:t>Засилена лакримация,</w:t>
      </w:r>
    </w:p>
    <w:p w14:paraId="7227A9B7" w14:textId="77777777" w:rsidR="00202DA6" w:rsidRDefault="00202DA6" w:rsidP="00202DA6">
      <w:pPr>
        <w:pStyle w:val="ListParagraph"/>
        <w:numPr>
          <w:ilvl w:val="0"/>
          <w:numId w:val="37"/>
        </w:numPr>
        <w:spacing w:line="240" w:lineRule="auto"/>
        <w:rPr>
          <w:rFonts w:eastAsia="Times New Roman" w:cs="Arial"/>
          <w:color w:val="000000"/>
          <w:szCs w:val="20"/>
          <w:lang w:eastAsia="bg-BG"/>
        </w:rPr>
      </w:pPr>
      <w:r w:rsidRPr="00202DA6">
        <w:rPr>
          <w:rFonts w:eastAsia="Times New Roman" w:cs="Arial"/>
          <w:color w:val="000000"/>
          <w:szCs w:val="20"/>
          <w:lang w:eastAsia="bg-BG"/>
        </w:rPr>
        <w:t>Синусова брадикардия,</w:t>
      </w:r>
    </w:p>
    <w:p w14:paraId="03E04CA0" w14:textId="77777777" w:rsidR="00202DA6" w:rsidRDefault="00202DA6" w:rsidP="00202DA6">
      <w:pPr>
        <w:pStyle w:val="ListParagraph"/>
        <w:numPr>
          <w:ilvl w:val="0"/>
          <w:numId w:val="37"/>
        </w:numPr>
        <w:spacing w:line="240" w:lineRule="auto"/>
        <w:rPr>
          <w:rFonts w:eastAsia="Times New Roman" w:cs="Arial"/>
          <w:color w:val="000000"/>
          <w:szCs w:val="20"/>
          <w:lang w:eastAsia="bg-BG"/>
        </w:rPr>
      </w:pPr>
      <w:r w:rsidRPr="00202DA6">
        <w:rPr>
          <w:rFonts w:eastAsia="Times New Roman" w:cs="Arial"/>
          <w:color w:val="000000"/>
          <w:szCs w:val="20"/>
          <w:lang w:eastAsia="bg-BG"/>
        </w:rPr>
        <w:t>Необичайни усещания,</w:t>
      </w:r>
    </w:p>
    <w:p w14:paraId="6A307188" w14:textId="79D88E84" w:rsidR="00202DA6" w:rsidRPr="00202DA6" w:rsidRDefault="00202DA6" w:rsidP="00202DA6">
      <w:pPr>
        <w:pStyle w:val="ListParagraph"/>
        <w:numPr>
          <w:ilvl w:val="0"/>
          <w:numId w:val="37"/>
        </w:numPr>
        <w:spacing w:line="240" w:lineRule="auto"/>
        <w:rPr>
          <w:rFonts w:eastAsia="Times New Roman" w:cs="Arial"/>
          <w:color w:val="000000"/>
          <w:szCs w:val="20"/>
          <w:lang w:eastAsia="bg-BG"/>
        </w:rPr>
      </w:pPr>
      <w:r w:rsidRPr="00202DA6">
        <w:rPr>
          <w:rFonts w:eastAsia="Times New Roman" w:cs="Arial"/>
          <w:color w:val="000000"/>
          <w:szCs w:val="20"/>
          <w:lang w:eastAsia="bg-BG"/>
        </w:rPr>
        <w:t>Нарушения в походката.</w:t>
      </w:r>
    </w:p>
    <w:p w14:paraId="643A1BFE" w14:textId="7EEFFFD1" w:rsidR="00202DA6" w:rsidRDefault="00202DA6" w:rsidP="00202DA6"/>
    <w:p w14:paraId="13A6DF6D" w14:textId="77777777" w:rsidR="00984E1A" w:rsidRPr="00202DA6" w:rsidRDefault="00984E1A" w:rsidP="00984E1A">
      <w:pPr>
        <w:spacing w:line="240" w:lineRule="auto"/>
        <w:rPr>
          <w:rFonts w:eastAsia="Times New Roman" w:cs="Arial"/>
          <w:color w:val="000000"/>
          <w:lang w:eastAsia="bg-BG"/>
        </w:rPr>
      </w:pPr>
      <w:r w:rsidRPr="00202DA6">
        <w:rPr>
          <w:rFonts w:eastAsia="Times New Roman" w:cs="Arial"/>
          <w:color w:val="000000"/>
          <w:lang w:eastAsia="bg-BG"/>
        </w:rPr>
        <w:t>Нежеланите лекарствени реакции, съобщавани при деца, но не и при възрастни в двойно слепи контролирани проучвания, са:</w:t>
      </w:r>
    </w:p>
    <w:p w14:paraId="03D6113F" w14:textId="77777777" w:rsidR="00984E1A" w:rsidRPr="00202DA6" w:rsidRDefault="00984E1A" w:rsidP="00984E1A">
      <w:pPr>
        <w:spacing w:line="240" w:lineRule="auto"/>
        <w:rPr>
          <w:rFonts w:eastAsia="Times New Roman" w:cs="Arial"/>
          <w:lang w:eastAsia="bg-BG"/>
        </w:rPr>
      </w:pPr>
    </w:p>
    <w:p w14:paraId="46605DA7" w14:textId="77777777" w:rsidR="00984E1A" w:rsidRPr="00202DA6" w:rsidRDefault="00984E1A" w:rsidP="00984E1A">
      <w:pPr>
        <w:pStyle w:val="ListParagraph"/>
        <w:numPr>
          <w:ilvl w:val="0"/>
          <w:numId w:val="38"/>
        </w:numPr>
        <w:spacing w:line="240" w:lineRule="auto"/>
        <w:rPr>
          <w:rFonts w:eastAsia="Times New Roman" w:cs="Arial"/>
          <w:color w:val="000000"/>
          <w:lang w:eastAsia="bg-BG"/>
        </w:rPr>
      </w:pPr>
      <w:r w:rsidRPr="00202DA6">
        <w:rPr>
          <w:rFonts w:eastAsia="Times New Roman" w:cs="Arial"/>
          <w:color w:val="000000"/>
          <w:lang w:eastAsia="bg-BG"/>
        </w:rPr>
        <w:t>Еозинофилия,</w:t>
      </w:r>
    </w:p>
    <w:p w14:paraId="79F5993F" w14:textId="77777777" w:rsidR="00984E1A" w:rsidRPr="00202DA6" w:rsidRDefault="00984E1A" w:rsidP="00984E1A">
      <w:pPr>
        <w:pStyle w:val="ListParagraph"/>
        <w:numPr>
          <w:ilvl w:val="0"/>
          <w:numId w:val="38"/>
        </w:numPr>
        <w:spacing w:line="240" w:lineRule="auto"/>
        <w:rPr>
          <w:rFonts w:eastAsia="Times New Roman" w:cs="Arial"/>
          <w:color w:val="000000"/>
          <w:lang w:eastAsia="bg-BG"/>
        </w:rPr>
      </w:pPr>
      <w:r w:rsidRPr="00202DA6">
        <w:rPr>
          <w:rFonts w:eastAsia="Times New Roman" w:cs="Arial"/>
          <w:color w:val="000000"/>
          <w:lang w:eastAsia="bg-BG"/>
        </w:rPr>
        <w:t>Психомоторна хиперактивност,</w:t>
      </w:r>
    </w:p>
    <w:p w14:paraId="5E04EDF6" w14:textId="77777777" w:rsidR="00984E1A" w:rsidRPr="00202DA6" w:rsidRDefault="00984E1A" w:rsidP="00984E1A">
      <w:pPr>
        <w:pStyle w:val="ListParagraph"/>
        <w:numPr>
          <w:ilvl w:val="0"/>
          <w:numId w:val="38"/>
        </w:numPr>
        <w:spacing w:line="240" w:lineRule="auto"/>
        <w:rPr>
          <w:rFonts w:eastAsia="Times New Roman" w:cs="Arial"/>
          <w:color w:val="000000"/>
          <w:lang w:eastAsia="bg-BG"/>
        </w:rPr>
      </w:pPr>
      <w:r w:rsidRPr="00202DA6">
        <w:rPr>
          <w:rFonts w:eastAsia="Times New Roman" w:cs="Arial"/>
          <w:color w:val="000000"/>
          <w:lang w:eastAsia="bg-BG"/>
        </w:rPr>
        <w:t>Световъртеж,</w:t>
      </w:r>
    </w:p>
    <w:p w14:paraId="7E29DBBE" w14:textId="77777777" w:rsidR="00984E1A" w:rsidRPr="00202DA6" w:rsidRDefault="00984E1A" w:rsidP="00984E1A">
      <w:pPr>
        <w:pStyle w:val="ListParagraph"/>
        <w:numPr>
          <w:ilvl w:val="0"/>
          <w:numId w:val="38"/>
        </w:numPr>
        <w:spacing w:line="240" w:lineRule="auto"/>
        <w:rPr>
          <w:rFonts w:eastAsia="Times New Roman" w:cs="Arial"/>
          <w:color w:val="000000"/>
          <w:lang w:eastAsia="bg-BG"/>
        </w:rPr>
      </w:pPr>
      <w:r w:rsidRPr="00202DA6">
        <w:rPr>
          <w:rFonts w:eastAsia="Times New Roman" w:cs="Arial"/>
          <w:color w:val="000000"/>
          <w:lang w:eastAsia="bg-BG"/>
        </w:rPr>
        <w:t>Повръщане,</w:t>
      </w:r>
    </w:p>
    <w:p w14:paraId="26DFFF03" w14:textId="77777777" w:rsidR="00984E1A" w:rsidRPr="00202DA6" w:rsidRDefault="00984E1A" w:rsidP="00984E1A">
      <w:pPr>
        <w:pStyle w:val="ListParagraph"/>
        <w:numPr>
          <w:ilvl w:val="0"/>
          <w:numId w:val="38"/>
        </w:numPr>
        <w:spacing w:line="240" w:lineRule="auto"/>
        <w:rPr>
          <w:rFonts w:eastAsia="Times New Roman" w:cs="Arial"/>
          <w:color w:val="000000"/>
          <w:lang w:eastAsia="bg-BG"/>
        </w:rPr>
      </w:pPr>
      <w:r w:rsidRPr="00202DA6">
        <w:rPr>
          <w:rFonts w:eastAsia="Times New Roman" w:cs="Arial"/>
          <w:color w:val="000000"/>
          <w:lang w:eastAsia="bg-BG"/>
        </w:rPr>
        <w:t>Хипертермия,</w:t>
      </w:r>
    </w:p>
    <w:p w14:paraId="7A46DAA5" w14:textId="77777777" w:rsidR="00984E1A" w:rsidRPr="00202DA6" w:rsidRDefault="00984E1A" w:rsidP="00984E1A">
      <w:pPr>
        <w:pStyle w:val="ListParagraph"/>
        <w:numPr>
          <w:ilvl w:val="0"/>
          <w:numId w:val="38"/>
        </w:numPr>
        <w:spacing w:line="240" w:lineRule="auto"/>
        <w:rPr>
          <w:rFonts w:eastAsia="Times New Roman" w:cs="Arial"/>
          <w:color w:val="000000"/>
          <w:lang w:eastAsia="bg-BG"/>
        </w:rPr>
      </w:pPr>
      <w:r w:rsidRPr="00202DA6">
        <w:rPr>
          <w:rFonts w:eastAsia="Times New Roman" w:cs="Arial"/>
          <w:color w:val="000000"/>
          <w:lang w:eastAsia="bg-BG"/>
        </w:rPr>
        <w:t>Пирексия,</w:t>
      </w:r>
    </w:p>
    <w:p w14:paraId="0B3EF3DD" w14:textId="77777777" w:rsidR="00984E1A" w:rsidRPr="00202DA6" w:rsidRDefault="00984E1A" w:rsidP="00984E1A">
      <w:pPr>
        <w:pStyle w:val="ListParagraph"/>
        <w:numPr>
          <w:ilvl w:val="0"/>
          <w:numId w:val="38"/>
        </w:numPr>
        <w:spacing w:line="240" w:lineRule="auto"/>
        <w:rPr>
          <w:rFonts w:eastAsia="Times New Roman" w:cs="Arial"/>
          <w:color w:val="000000"/>
          <w:lang w:eastAsia="bg-BG"/>
        </w:rPr>
      </w:pPr>
      <w:r w:rsidRPr="00202DA6">
        <w:rPr>
          <w:rFonts w:eastAsia="Times New Roman" w:cs="Arial"/>
          <w:color w:val="000000"/>
          <w:lang w:eastAsia="bg-BG"/>
        </w:rPr>
        <w:t>Неспособност за учене.</w:t>
      </w:r>
    </w:p>
    <w:p w14:paraId="091E2BF2" w14:textId="77777777" w:rsidR="00984E1A" w:rsidRPr="00202DA6" w:rsidRDefault="00984E1A" w:rsidP="00984E1A">
      <w:pPr>
        <w:spacing w:line="240" w:lineRule="auto"/>
        <w:rPr>
          <w:rFonts w:eastAsia="Times New Roman" w:cs="Arial"/>
          <w:color w:val="000000"/>
          <w:u w:val="single"/>
          <w:lang w:eastAsia="bg-BG"/>
        </w:rPr>
      </w:pPr>
    </w:p>
    <w:p w14:paraId="6588A167" w14:textId="77777777" w:rsidR="00984E1A" w:rsidRPr="00202DA6" w:rsidRDefault="00984E1A" w:rsidP="00984E1A">
      <w:pPr>
        <w:spacing w:line="240" w:lineRule="auto"/>
        <w:rPr>
          <w:rFonts w:eastAsia="Times New Roman" w:cs="Arial"/>
          <w:lang w:eastAsia="bg-BG"/>
        </w:rPr>
      </w:pPr>
      <w:r w:rsidRPr="00202DA6">
        <w:rPr>
          <w:rFonts w:eastAsia="Times New Roman" w:cs="Arial"/>
          <w:color w:val="000000"/>
          <w:u w:val="single"/>
          <w:lang w:eastAsia="bg-BG"/>
        </w:rPr>
        <w:lastRenderedPageBreak/>
        <w:t>Съобщаване на подозирани лекарствени реакции</w:t>
      </w:r>
    </w:p>
    <w:p w14:paraId="45A4D8FD" w14:textId="77777777" w:rsidR="00984E1A" w:rsidRPr="00202DA6" w:rsidRDefault="00984E1A" w:rsidP="00984E1A">
      <w:pPr>
        <w:rPr>
          <w:rFonts w:cs="Arial"/>
        </w:rPr>
      </w:pPr>
      <w:r w:rsidRPr="00202DA6">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се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 в Изпълнителна агенция по лекарствата ул.„Дамян Груев”№ 8, 1303 София, Тел.: +35928903417, уебсайт: </w:t>
      </w:r>
      <w:r w:rsidRPr="00202DA6">
        <w:rPr>
          <w:rFonts w:eastAsia="Times New Roman" w:cs="Arial"/>
          <w:lang w:eastAsia="bg-BG"/>
        </w:rPr>
        <w:fldChar w:fldCharType="begin"/>
      </w:r>
      <w:r w:rsidRPr="00202DA6">
        <w:rPr>
          <w:rFonts w:eastAsia="Times New Roman" w:cs="Arial"/>
          <w:lang w:eastAsia="bg-BG"/>
        </w:rPr>
        <w:instrText xml:space="preserve"> HYPERLINK "http://www.bda.bg" </w:instrText>
      </w:r>
      <w:r w:rsidRPr="00202DA6">
        <w:rPr>
          <w:rFonts w:eastAsia="Times New Roman" w:cs="Arial"/>
          <w:lang w:eastAsia="bg-BG"/>
        </w:rPr>
      </w:r>
      <w:r w:rsidRPr="00202DA6">
        <w:rPr>
          <w:rFonts w:eastAsia="Times New Roman" w:cs="Arial"/>
          <w:lang w:eastAsia="bg-BG"/>
        </w:rPr>
        <w:fldChar w:fldCharType="separate"/>
      </w:r>
      <w:r w:rsidRPr="00202DA6">
        <w:rPr>
          <w:rFonts w:eastAsia="Times New Roman" w:cs="Arial"/>
          <w:color w:val="000000"/>
          <w:u w:val="single"/>
          <w:lang w:val="en-US"/>
        </w:rPr>
        <w:t>www.bda.bg</w:t>
      </w:r>
      <w:r w:rsidRPr="00202DA6">
        <w:rPr>
          <w:rFonts w:eastAsia="Times New Roman" w:cs="Arial"/>
          <w:lang w:eastAsia="bg-BG"/>
        </w:rPr>
        <w:fldChar w:fldCharType="end"/>
      </w:r>
    </w:p>
    <w:p w14:paraId="0C577EC4" w14:textId="60254351" w:rsidR="00984E1A" w:rsidRPr="0091385D" w:rsidRDefault="00984E1A" w:rsidP="00202DA6"/>
    <w:p w14:paraId="0A023CE0" w14:textId="13F87CFD" w:rsidR="00CF77F7" w:rsidRDefault="002C50EE" w:rsidP="004A448E">
      <w:pPr>
        <w:pStyle w:val="Heading2"/>
      </w:pPr>
      <w:r>
        <w:t>4.9. Предозиране</w:t>
      </w:r>
    </w:p>
    <w:p w14:paraId="3EDFC3FC" w14:textId="296E7EBA" w:rsidR="0091385D" w:rsidRDefault="0091385D" w:rsidP="0091385D"/>
    <w:p w14:paraId="0BE7E96B" w14:textId="77777777" w:rsidR="00984E1A" w:rsidRPr="00984E1A" w:rsidRDefault="00984E1A" w:rsidP="00984E1A">
      <w:pPr>
        <w:spacing w:line="240" w:lineRule="auto"/>
        <w:rPr>
          <w:rFonts w:eastAsia="Times New Roman" w:cs="Arial"/>
          <w:sz w:val="28"/>
          <w:szCs w:val="24"/>
          <w:lang w:eastAsia="bg-BG"/>
        </w:rPr>
      </w:pPr>
      <w:r w:rsidRPr="00984E1A">
        <w:rPr>
          <w:rFonts w:eastAsia="Times New Roman" w:cs="Arial"/>
          <w:color w:val="000000"/>
          <w:szCs w:val="20"/>
          <w:u w:val="single"/>
          <w:lang w:eastAsia="bg-BG"/>
        </w:rPr>
        <w:t>Признаци и симптоми</w:t>
      </w:r>
    </w:p>
    <w:p w14:paraId="5AC3C203" w14:textId="77777777" w:rsidR="00984E1A" w:rsidRPr="00984E1A" w:rsidRDefault="00984E1A" w:rsidP="00984E1A">
      <w:pPr>
        <w:spacing w:line="240" w:lineRule="auto"/>
        <w:rPr>
          <w:rFonts w:eastAsia="Times New Roman" w:cs="Arial"/>
          <w:color w:val="000000"/>
          <w:szCs w:val="20"/>
          <w:lang w:eastAsia="bg-BG"/>
        </w:rPr>
      </w:pPr>
    </w:p>
    <w:p w14:paraId="5AF25CDA" w14:textId="074E1D39" w:rsidR="00984E1A" w:rsidRPr="00984E1A" w:rsidRDefault="00984E1A" w:rsidP="00984E1A">
      <w:pPr>
        <w:spacing w:line="240" w:lineRule="auto"/>
        <w:rPr>
          <w:rFonts w:eastAsia="Times New Roman" w:cs="Arial"/>
          <w:sz w:val="28"/>
          <w:szCs w:val="24"/>
          <w:lang w:eastAsia="bg-BG"/>
        </w:rPr>
      </w:pPr>
      <w:r w:rsidRPr="00984E1A">
        <w:rPr>
          <w:rFonts w:eastAsia="Times New Roman" w:cs="Arial"/>
          <w:color w:val="000000"/>
          <w:szCs w:val="20"/>
          <w:lang w:eastAsia="bg-BG"/>
        </w:rPr>
        <w:t>Съобщава се за случаи на предозиране с топирамат. Признаците и симптомите включват конвулсии, сънливост, нарушения в речта, замъглено виждане, диплопия, нарушена мисловна дейност, летаргия, абнормна координация, ступор, хипотония, болки в корема, възбуда, замаяност и депресия.. В повечето случаи клиничните последици не са тежки, но се съобщава и за смъртен изход след предозиране с няколко медикамента, включително и топирамат.</w:t>
      </w:r>
    </w:p>
    <w:p w14:paraId="71B01951" w14:textId="77777777" w:rsidR="00984E1A" w:rsidRPr="00984E1A" w:rsidRDefault="00984E1A" w:rsidP="00984E1A">
      <w:pPr>
        <w:spacing w:line="240" w:lineRule="auto"/>
        <w:rPr>
          <w:rFonts w:eastAsia="Times New Roman" w:cs="Arial"/>
          <w:color w:val="000000"/>
          <w:szCs w:val="20"/>
          <w:lang w:eastAsia="bg-BG"/>
        </w:rPr>
      </w:pPr>
    </w:p>
    <w:p w14:paraId="1EE0ECC4" w14:textId="22F6D0AC" w:rsidR="00984E1A" w:rsidRPr="00984E1A" w:rsidRDefault="00984E1A" w:rsidP="00984E1A">
      <w:pPr>
        <w:spacing w:line="240" w:lineRule="auto"/>
        <w:rPr>
          <w:rFonts w:eastAsia="Times New Roman" w:cs="Arial"/>
          <w:sz w:val="28"/>
          <w:szCs w:val="24"/>
          <w:lang w:eastAsia="bg-BG"/>
        </w:rPr>
      </w:pPr>
      <w:r w:rsidRPr="00984E1A">
        <w:rPr>
          <w:rFonts w:eastAsia="Times New Roman" w:cs="Arial"/>
          <w:color w:val="000000"/>
          <w:szCs w:val="20"/>
          <w:lang w:eastAsia="bg-BG"/>
        </w:rPr>
        <w:t>Предозирането на топирамат може да доведе до тежка метаболитна ацидоза (вж. точка 4.4),</w:t>
      </w:r>
    </w:p>
    <w:p w14:paraId="1B53C8B0" w14:textId="77777777" w:rsidR="00984E1A" w:rsidRPr="00984E1A" w:rsidRDefault="00984E1A" w:rsidP="00984E1A">
      <w:pPr>
        <w:spacing w:line="240" w:lineRule="auto"/>
        <w:rPr>
          <w:rFonts w:eastAsia="Times New Roman" w:cs="Arial"/>
          <w:color w:val="000000"/>
          <w:szCs w:val="20"/>
          <w:u w:val="single"/>
          <w:lang w:eastAsia="bg-BG"/>
        </w:rPr>
      </w:pPr>
    </w:p>
    <w:p w14:paraId="35E7DF50" w14:textId="0BC83988" w:rsidR="00984E1A" w:rsidRPr="00984E1A" w:rsidRDefault="00984E1A" w:rsidP="00984E1A">
      <w:pPr>
        <w:spacing w:line="240" w:lineRule="auto"/>
        <w:rPr>
          <w:rFonts w:eastAsia="Times New Roman" w:cs="Arial"/>
          <w:sz w:val="28"/>
          <w:szCs w:val="24"/>
          <w:lang w:eastAsia="bg-BG"/>
        </w:rPr>
      </w:pPr>
      <w:r w:rsidRPr="00984E1A">
        <w:rPr>
          <w:rFonts w:eastAsia="Times New Roman" w:cs="Arial"/>
          <w:color w:val="000000"/>
          <w:szCs w:val="20"/>
          <w:u w:val="single"/>
          <w:lang w:eastAsia="bg-BG"/>
        </w:rPr>
        <w:t>Лечение</w:t>
      </w:r>
    </w:p>
    <w:p w14:paraId="4BE14B11" w14:textId="77777777" w:rsidR="00984E1A" w:rsidRPr="00984E1A" w:rsidRDefault="00984E1A" w:rsidP="00984E1A">
      <w:pPr>
        <w:rPr>
          <w:rFonts w:eastAsia="Times New Roman" w:cs="Arial"/>
          <w:color w:val="000000"/>
          <w:szCs w:val="20"/>
          <w:lang w:eastAsia="bg-BG"/>
        </w:rPr>
      </w:pPr>
    </w:p>
    <w:p w14:paraId="48FF1584" w14:textId="7846B6D7" w:rsidR="0091385D" w:rsidRPr="00984E1A" w:rsidRDefault="00984E1A" w:rsidP="00984E1A">
      <w:pPr>
        <w:rPr>
          <w:rFonts w:cs="Arial"/>
          <w:sz w:val="24"/>
        </w:rPr>
      </w:pPr>
      <w:r w:rsidRPr="00984E1A">
        <w:rPr>
          <w:rFonts w:eastAsia="Times New Roman" w:cs="Arial"/>
          <w:color w:val="000000"/>
          <w:szCs w:val="20"/>
          <w:lang w:eastAsia="bg-BG"/>
        </w:rPr>
        <w:t xml:space="preserve">При остро предозиране на топирамат, ако лекарството е погълнато наскоро, стомахът трябва да се изпразни незабавно чрез промивка или предизвикване на повръщане. Проучванията </w:t>
      </w:r>
      <w:r w:rsidRPr="00984E1A">
        <w:rPr>
          <w:rFonts w:eastAsia="Times New Roman" w:cs="Arial"/>
          <w:i/>
          <w:iCs/>
          <w:color w:val="000000"/>
          <w:szCs w:val="20"/>
          <w:lang w:val="en-US"/>
        </w:rPr>
        <w:t xml:space="preserve">in vitro </w:t>
      </w:r>
      <w:r w:rsidRPr="00984E1A">
        <w:rPr>
          <w:rFonts w:eastAsia="Times New Roman" w:cs="Arial"/>
          <w:color w:val="000000"/>
          <w:szCs w:val="20"/>
          <w:lang w:eastAsia="bg-BG"/>
        </w:rPr>
        <w:t>показват, че активният въглен абсорбира топирамат. Трябва да се проведе необходимото поддържащо лечение и пациентът трябва да е добре хидратиран. Хемодиализата представлява ефективен начин за отстраняване на топирамат от организма.</w:t>
      </w:r>
    </w:p>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44345EC9" w:rsidR="0091385D" w:rsidRDefault="0091385D" w:rsidP="0091385D"/>
    <w:p w14:paraId="4AA20366" w14:textId="77777777" w:rsidR="00984E1A" w:rsidRPr="00984E1A" w:rsidRDefault="00984E1A" w:rsidP="00984E1A">
      <w:pPr>
        <w:spacing w:line="240" w:lineRule="auto"/>
        <w:rPr>
          <w:rFonts w:eastAsia="Times New Roman" w:cs="Arial"/>
          <w:sz w:val="28"/>
          <w:szCs w:val="24"/>
          <w:lang w:eastAsia="bg-BG"/>
        </w:rPr>
      </w:pPr>
      <w:r w:rsidRPr="00984E1A">
        <w:rPr>
          <w:rFonts w:eastAsia="Times New Roman" w:cs="Arial"/>
          <w:color w:val="000000"/>
          <w:szCs w:val="20"/>
          <w:lang w:eastAsia="bg-BG"/>
        </w:rPr>
        <w:t xml:space="preserve">Фармакотерапевтична група: други антиепилептици, антимигренозни средства, АТС код </w:t>
      </w:r>
      <w:r w:rsidRPr="00984E1A">
        <w:rPr>
          <w:rFonts w:eastAsia="Times New Roman" w:cs="Arial"/>
          <w:color w:val="000000"/>
          <w:szCs w:val="20"/>
          <w:lang w:val="en-US"/>
        </w:rPr>
        <w:t>NO3</w:t>
      </w:r>
      <w:r w:rsidRPr="00984E1A">
        <w:rPr>
          <w:rFonts w:eastAsia="Times New Roman" w:cs="Arial"/>
          <w:color w:val="000000"/>
          <w:szCs w:val="20"/>
          <w:lang w:eastAsia="bg-BG"/>
        </w:rPr>
        <w:t>АХ 11</w:t>
      </w:r>
    </w:p>
    <w:p w14:paraId="64C42E7F" w14:textId="77777777" w:rsidR="00984E1A" w:rsidRPr="00984E1A" w:rsidRDefault="00984E1A" w:rsidP="00984E1A">
      <w:pPr>
        <w:spacing w:line="240" w:lineRule="auto"/>
        <w:rPr>
          <w:rFonts w:eastAsia="Times New Roman" w:cs="Arial"/>
          <w:color w:val="000000"/>
          <w:szCs w:val="20"/>
          <w:u w:val="single"/>
          <w:lang w:eastAsia="bg-BG"/>
        </w:rPr>
      </w:pPr>
    </w:p>
    <w:p w14:paraId="4469364C" w14:textId="397F53F2" w:rsidR="00984E1A" w:rsidRPr="00984E1A" w:rsidRDefault="00984E1A" w:rsidP="00984E1A">
      <w:pPr>
        <w:spacing w:line="240" w:lineRule="auto"/>
        <w:rPr>
          <w:rFonts w:eastAsia="Times New Roman" w:cs="Arial"/>
          <w:sz w:val="28"/>
          <w:szCs w:val="24"/>
          <w:lang w:eastAsia="bg-BG"/>
        </w:rPr>
      </w:pPr>
      <w:r w:rsidRPr="00984E1A">
        <w:rPr>
          <w:rFonts w:eastAsia="Times New Roman" w:cs="Arial"/>
          <w:color w:val="000000"/>
          <w:szCs w:val="20"/>
          <w:u w:val="single"/>
          <w:lang w:eastAsia="bg-BG"/>
        </w:rPr>
        <w:t>Механизъм на действие</w:t>
      </w:r>
    </w:p>
    <w:p w14:paraId="1354DE13" w14:textId="77777777" w:rsidR="00984E1A" w:rsidRPr="00984E1A" w:rsidRDefault="00984E1A" w:rsidP="00984E1A">
      <w:pPr>
        <w:spacing w:line="240" w:lineRule="auto"/>
        <w:rPr>
          <w:rFonts w:eastAsia="Times New Roman" w:cs="Arial"/>
          <w:sz w:val="28"/>
          <w:szCs w:val="24"/>
          <w:lang w:eastAsia="bg-BG"/>
        </w:rPr>
      </w:pPr>
      <w:r w:rsidRPr="00984E1A">
        <w:rPr>
          <w:rFonts w:eastAsia="Times New Roman" w:cs="Arial"/>
          <w:color w:val="000000"/>
          <w:szCs w:val="20"/>
          <w:lang w:eastAsia="bg-BG"/>
        </w:rPr>
        <w:t>Топирамат се класифицира като сулфамат-субституиран монозахарид. Точният механизъм, чрез който топирамат упражнява своя антиконвулсивен и профилактичен антимигренозен ефект не е известен. Електрофизиологичните и биохимичните проучвания върху култивирани неврони показват, че антиепилептичната ефективност на топирамат вероятно се определя от три свойства.</w:t>
      </w:r>
    </w:p>
    <w:p w14:paraId="39D837EC" w14:textId="77777777" w:rsidR="00984E1A" w:rsidRPr="00984E1A" w:rsidRDefault="00984E1A" w:rsidP="00984E1A">
      <w:pPr>
        <w:spacing w:line="240" w:lineRule="auto"/>
        <w:rPr>
          <w:rFonts w:eastAsia="Times New Roman" w:cs="Arial"/>
          <w:sz w:val="28"/>
          <w:szCs w:val="24"/>
          <w:lang w:eastAsia="bg-BG"/>
        </w:rPr>
      </w:pPr>
    </w:p>
    <w:p w14:paraId="6421DD72" w14:textId="1BE84ECC" w:rsidR="00984E1A" w:rsidRPr="00984E1A" w:rsidRDefault="00984E1A" w:rsidP="00984E1A">
      <w:pPr>
        <w:rPr>
          <w:rFonts w:eastAsia="Times New Roman" w:cs="Arial"/>
          <w:sz w:val="28"/>
          <w:szCs w:val="24"/>
          <w:lang w:eastAsia="bg-BG"/>
        </w:rPr>
      </w:pPr>
      <w:r w:rsidRPr="00984E1A">
        <w:rPr>
          <w:rFonts w:eastAsia="Times New Roman" w:cs="Arial"/>
          <w:color w:val="000000"/>
          <w:szCs w:val="20"/>
          <w:lang w:eastAsia="bg-BG"/>
        </w:rPr>
        <w:t>Акционните потенциали, предизвикани многократно при продължителна деполяризация на невроните, се блокират от топирамат в зависимост от времето, което предпола блокиране на</w:t>
      </w:r>
      <w:r w:rsidRPr="00984E1A">
        <w:rPr>
          <w:rFonts w:eastAsia="Times New Roman" w:cs="Arial"/>
          <w:i/>
          <w:iCs/>
          <w:color w:val="000000"/>
          <w:szCs w:val="20"/>
          <w:lang w:eastAsia="bg-BG"/>
        </w:rPr>
        <w:t xml:space="preserve"> </w:t>
      </w:r>
      <w:r w:rsidRPr="00984E1A">
        <w:rPr>
          <w:rFonts w:eastAsia="Times New Roman" w:cs="Arial"/>
          <w:color w:val="000000"/>
          <w:szCs w:val="20"/>
          <w:lang w:eastAsia="bg-BG"/>
        </w:rPr>
        <w:t xml:space="preserve">натриевите канали, зависещо от състоянието. Топирамат повишава </w:t>
      </w:r>
      <w:r w:rsidRPr="00984E1A">
        <w:rPr>
          <w:rFonts w:eastAsia="Times New Roman" w:cs="Arial"/>
          <w:color w:val="000000"/>
          <w:szCs w:val="20"/>
          <w:lang w:eastAsia="bg-BG"/>
        </w:rPr>
        <w:lastRenderedPageBreak/>
        <w:t>честотата, с която гама-</w:t>
      </w:r>
      <w:r w:rsidRPr="00984E1A">
        <w:rPr>
          <w:rFonts w:cs="Arial"/>
          <w:szCs w:val="20"/>
        </w:rPr>
        <w:t xml:space="preserve"> </w:t>
      </w:r>
      <w:r w:rsidRPr="00984E1A">
        <w:rPr>
          <w:rFonts w:eastAsia="Times New Roman" w:cs="Arial"/>
          <w:color w:val="000000"/>
          <w:szCs w:val="20"/>
          <w:lang w:eastAsia="bg-BG"/>
        </w:rPr>
        <w:t xml:space="preserve">аминобутирата </w:t>
      </w:r>
      <w:r w:rsidRPr="00984E1A">
        <w:rPr>
          <w:rFonts w:eastAsia="Times New Roman" w:cs="Arial"/>
          <w:color w:val="000000"/>
          <w:szCs w:val="20"/>
          <w:lang w:val="en-US"/>
        </w:rPr>
        <w:t xml:space="preserve">(GABA) </w:t>
      </w:r>
      <w:r w:rsidRPr="00984E1A">
        <w:rPr>
          <w:rFonts w:eastAsia="Times New Roman" w:cs="Arial"/>
          <w:color w:val="000000"/>
          <w:szCs w:val="20"/>
          <w:lang w:eastAsia="bg-BG"/>
        </w:rPr>
        <w:t xml:space="preserve">активира </w:t>
      </w:r>
      <w:r w:rsidRPr="00984E1A">
        <w:rPr>
          <w:rFonts w:eastAsia="Times New Roman" w:cs="Arial"/>
          <w:color w:val="000000"/>
          <w:szCs w:val="20"/>
          <w:lang w:val="en-US"/>
        </w:rPr>
        <w:t xml:space="preserve">GABAA </w:t>
      </w:r>
      <w:r w:rsidRPr="00984E1A">
        <w:rPr>
          <w:rFonts w:eastAsia="Times New Roman" w:cs="Arial"/>
          <w:color w:val="000000"/>
          <w:szCs w:val="20"/>
          <w:lang w:eastAsia="bg-BG"/>
        </w:rPr>
        <w:t xml:space="preserve">рецепторите и засилва способността на </w:t>
      </w:r>
      <w:r w:rsidRPr="00984E1A">
        <w:rPr>
          <w:rFonts w:eastAsia="Times New Roman" w:cs="Arial"/>
          <w:color w:val="000000"/>
          <w:szCs w:val="20"/>
          <w:lang w:val="en-US"/>
        </w:rPr>
        <w:t xml:space="preserve">GABA </w:t>
      </w:r>
      <w:r w:rsidRPr="00984E1A">
        <w:rPr>
          <w:rFonts w:eastAsia="Times New Roman" w:cs="Arial"/>
          <w:color w:val="000000"/>
          <w:szCs w:val="20"/>
          <w:lang w:eastAsia="bg-BG"/>
        </w:rPr>
        <w:t>да индуцира поток от хлорни йони в невроните. Това предполага, че топирамат потенцира активността на този инхибиторен невротрансмитер.</w:t>
      </w:r>
    </w:p>
    <w:p w14:paraId="08814668" w14:textId="77777777" w:rsidR="00984E1A" w:rsidRPr="00984E1A" w:rsidRDefault="00984E1A" w:rsidP="00984E1A">
      <w:pPr>
        <w:spacing w:line="240" w:lineRule="auto"/>
        <w:rPr>
          <w:rFonts w:eastAsia="Times New Roman" w:cs="Arial"/>
          <w:color w:val="000000"/>
          <w:szCs w:val="20"/>
          <w:lang w:eastAsia="bg-BG"/>
        </w:rPr>
      </w:pPr>
    </w:p>
    <w:p w14:paraId="02394525" w14:textId="51216089" w:rsidR="00984E1A" w:rsidRPr="00984E1A" w:rsidRDefault="00984E1A" w:rsidP="00984E1A">
      <w:pPr>
        <w:spacing w:line="240" w:lineRule="auto"/>
        <w:rPr>
          <w:rFonts w:eastAsia="Times New Roman" w:cs="Arial"/>
          <w:sz w:val="28"/>
          <w:szCs w:val="24"/>
          <w:lang w:eastAsia="bg-BG"/>
        </w:rPr>
      </w:pPr>
      <w:r w:rsidRPr="00984E1A">
        <w:rPr>
          <w:rFonts w:eastAsia="Times New Roman" w:cs="Arial"/>
          <w:color w:val="000000"/>
          <w:szCs w:val="20"/>
          <w:lang w:eastAsia="bg-BG"/>
        </w:rPr>
        <w:t xml:space="preserve">Този ефект не се блокира от флумазенил - бензодиазепинов антагонист, и също така топирамат не удължава времето на отваряне на канала, което разграничава топирамат от барбитуратите, модулиращи </w:t>
      </w:r>
      <w:proofErr w:type="spellStart"/>
      <w:r w:rsidRPr="00984E1A">
        <w:rPr>
          <w:rFonts w:eastAsia="Times New Roman" w:cs="Arial"/>
          <w:smallCaps/>
          <w:color w:val="000000"/>
          <w:szCs w:val="20"/>
          <w:lang w:val="en-US"/>
        </w:rPr>
        <w:t>GABA</w:t>
      </w:r>
      <w:r w:rsidRPr="00984E1A">
        <w:rPr>
          <w:rFonts w:eastAsia="Times New Roman" w:cs="Arial"/>
          <w:smallCaps/>
          <w:color w:val="000000"/>
          <w:szCs w:val="20"/>
          <w:vertAlign w:val="subscript"/>
          <w:lang w:val="en-US"/>
        </w:rPr>
        <w:t>a</w:t>
      </w:r>
      <w:proofErr w:type="spellEnd"/>
      <w:r w:rsidRPr="00984E1A">
        <w:rPr>
          <w:rFonts w:eastAsia="Times New Roman" w:cs="Arial"/>
          <w:color w:val="000000"/>
          <w:szCs w:val="20"/>
          <w:lang w:val="en-US"/>
        </w:rPr>
        <w:t xml:space="preserve"> </w:t>
      </w:r>
      <w:r w:rsidRPr="00984E1A">
        <w:rPr>
          <w:rFonts w:eastAsia="Times New Roman" w:cs="Arial"/>
          <w:color w:val="000000"/>
          <w:szCs w:val="20"/>
          <w:lang w:eastAsia="bg-BG"/>
        </w:rPr>
        <w:t>рецепторите.</w:t>
      </w:r>
    </w:p>
    <w:p w14:paraId="55B663D9" w14:textId="77777777" w:rsidR="00984E1A" w:rsidRPr="00984E1A" w:rsidRDefault="00984E1A" w:rsidP="00984E1A">
      <w:pPr>
        <w:spacing w:line="240" w:lineRule="auto"/>
        <w:rPr>
          <w:rFonts w:eastAsia="Times New Roman" w:cs="Arial"/>
          <w:color w:val="000000"/>
          <w:szCs w:val="20"/>
          <w:lang w:eastAsia="bg-BG"/>
        </w:rPr>
      </w:pPr>
    </w:p>
    <w:p w14:paraId="6A1E510A" w14:textId="55C3DB06" w:rsidR="00984E1A" w:rsidRPr="00984E1A" w:rsidRDefault="00984E1A" w:rsidP="00984E1A">
      <w:pPr>
        <w:spacing w:line="240" w:lineRule="auto"/>
        <w:rPr>
          <w:rFonts w:eastAsia="Times New Roman" w:cs="Arial"/>
          <w:sz w:val="28"/>
          <w:szCs w:val="24"/>
          <w:lang w:eastAsia="bg-BG"/>
        </w:rPr>
      </w:pPr>
      <w:r w:rsidRPr="00984E1A">
        <w:rPr>
          <w:rFonts w:eastAsia="Times New Roman" w:cs="Arial"/>
          <w:color w:val="000000"/>
          <w:szCs w:val="20"/>
          <w:lang w:eastAsia="bg-BG"/>
        </w:rPr>
        <w:t xml:space="preserve">Тъй като антиепилептичният профил на топирамат подчертано се различава от този на бензодиазепините, той може да модулира бензодиазепин-нечувствителни подтипове на </w:t>
      </w:r>
      <w:proofErr w:type="spellStart"/>
      <w:r w:rsidRPr="00984E1A">
        <w:rPr>
          <w:rFonts w:eastAsia="Times New Roman" w:cs="Arial"/>
          <w:smallCaps/>
          <w:color w:val="000000"/>
          <w:szCs w:val="20"/>
          <w:lang w:val="en-US"/>
        </w:rPr>
        <w:t>GABA</w:t>
      </w:r>
      <w:r w:rsidRPr="00984E1A">
        <w:rPr>
          <w:rFonts w:eastAsia="Times New Roman" w:cs="Arial"/>
          <w:smallCaps/>
          <w:color w:val="000000"/>
          <w:szCs w:val="20"/>
          <w:vertAlign w:val="subscript"/>
          <w:lang w:val="en-US"/>
        </w:rPr>
        <w:t>a</w:t>
      </w:r>
      <w:proofErr w:type="spellEnd"/>
      <w:r w:rsidRPr="00984E1A">
        <w:rPr>
          <w:rFonts w:eastAsia="Times New Roman" w:cs="Arial"/>
          <w:smallCaps/>
          <w:color w:val="000000"/>
          <w:szCs w:val="20"/>
          <w:lang w:val="en-US"/>
        </w:rPr>
        <w:t xml:space="preserve"> </w:t>
      </w:r>
      <w:r w:rsidRPr="00984E1A">
        <w:rPr>
          <w:rFonts w:eastAsia="Times New Roman" w:cs="Arial"/>
          <w:color w:val="000000"/>
          <w:szCs w:val="20"/>
          <w:lang w:eastAsia="bg-BG"/>
        </w:rPr>
        <w:t>рецептора. Топирамат антагонизира способността на каината да активира каинат/АМР</w:t>
      </w:r>
      <w:r w:rsidRPr="00984E1A">
        <w:rPr>
          <w:rFonts w:eastAsia="Times New Roman" w:cs="Arial"/>
          <w:color w:val="000000"/>
          <w:szCs w:val="20"/>
          <w:lang w:val="en-US"/>
        </w:rPr>
        <w:t>A</w:t>
      </w:r>
      <w:r w:rsidRPr="00984E1A">
        <w:rPr>
          <w:rFonts w:eastAsia="Times New Roman" w:cs="Arial"/>
          <w:color w:val="000000"/>
          <w:szCs w:val="20"/>
          <w:lang w:eastAsia="bg-BG"/>
        </w:rPr>
        <w:t xml:space="preserve"> (α- амино-3-хидрокси-5-метилизоксазол-4 пропионова киселина), подтип на възбудимите аминокиселинни (глутамат) рецептори, но няма видим ефект върху активността на рецепторния </w:t>
      </w:r>
      <w:r w:rsidRPr="00984E1A">
        <w:rPr>
          <w:rFonts w:eastAsia="Times New Roman" w:cs="Arial"/>
          <w:color w:val="000000"/>
          <w:szCs w:val="20"/>
          <w:lang w:val="en-US"/>
        </w:rPr>
        <w:t>N-</w:t>
      </w:r>
      <w:r w:rsidRPr="00984E1A">
        <w:rPr>
          <w:rFonts w:eastAsia="Times New Roman" w:cs="Arial"/>
          <w:color w:val="000000"/>
          <w:szCs w:val="20"/>
          <w:lang w:eastAsia="bg-BG"/>
        </w:rPr>
        <w:t>метил</w:t>
      </w:r>
      <w:r w:rsidRPr="00984E1A">
        <w:rPr>
          <w:rFonts w:eastAsia="Times New Roman" w:cs="Arial"/>
          <w:color w:val="000000"/>
          <w:szCs w:val="20"/>
          <w:lang w:val="en-US"/>
        </w:rPr>
        <w:t>-D-ac</w:t>
      </w:r>
      <w:r w:rsidRPr="00984E1A">
        <w:rPr>
          <w:rFonts w:eastAsia="Times New Roman" w:cs="Arial"/>
          <w:color w:val="000000"/>
          <w:szCs w:val="20"/>
          <w:lang w:eastAsia="bg-BG"/>
        </w:rPr>
        <w:t>п</w:t>
      </w:r>
      <w:proofErr w:type="spellStart"/>
      <w:r w:rsidRPr="00984E1A">
        <w:rPr>
          <w:rFonts w:eastAsia="Times New Roman" w:cs="Arial"/>
          <w:color w:val="000000"/>
          <w:szCs w:val="20"/>
          <w:lang w:val="en-US"/>
        </w:rPr>
        <w:t>ap</w:t>
      </w:r>
      <w:proofErr w:type="spellEnd"/>
      <w:r w:rsidRPr="00984E1A">
        <w:rPr>
          <w:rFonts w:eastAsia="Times New Roman" w:cs="Arial"/>
          <w:color w:val="000000"/>
          <w:szCs w:val="20"/>
          <w:lang w:eastAsia="bg-BG"/>
        </w:rPr>
        <w:t>т</w:t>
      </w:r>
      <w:r w:rsidRPr="00984E1A">
        <w:rPr>
          <w:rFonts w:eastAsia="Times New Roman" w:cs="Arial"/>
          <w:color w:val="000000"/>
          <w:szCs w:val="20"/>
          <w:lang w:val="en-US"/>
        </w:rPr>
        <w:t>a</w:t>
      </w:r>
      <w:r w:rsidRPr="00984E1A">
        <w:rPr>
          <w:rFonts w:eastAsia="Times New Roman" w:cs="Arial"/>
          <w:color w:val="000000"/>
          <w:szCs w:val="20"/>
          <w:lang w:eastAsia="bg-BG"/>
        </w:rPr>
        <w:t>т</w:t>
      </w:r>
      <w:r w:rsidRPr="00984E1A">
        <w:rPr>
          <w:rFonts w:eastAsia="Times New Roman" w:cs="Arial"/>
          <w:color w:val="000000"/>
          <w:szCs w:val="20"/>
          <w:lang w:val="en-US"/>
        </w:rPr>
        <w:t xml:space="preserve">-(NMDA) </w:t>
      </w:r>
      <w:r w:rsidRPr="00984E1A">
        <w:rPr>
          <w:rFonts w:eastAsia="Times New Roman" w:cs="Arial"/>
          <w:color w:val="000000"/>
          <w:szCs w:val="20"/>
          <w:lang w:eastAsia="bg-BG"/>
        </w:rPr>
        <w:t>подтип. Тези ефекти на топирамат са в зависимост от концентрацията в диапазона от 1 μМ до 200 μМ, с минимална активност, наблюдавана при 1 μМ до 10 μМ.</w:t>
      </w:r>
    </w:p>
    <w:p w14:paraId="1CDFEE40" w14:textId="77777777" w:rsidR="00984E1A" w:rsidRPr="00984E1A" w:rsidRDefault="00984E1A" w:rsidP="00984E1A">
      <w:pPr>
        <w:spacing w:line="240" w:lineRule="auto"/>
        <w:rPr>
          <w:rFonts w:eastAsia="Times New Roman" w:cs="Arial"/>
          <w:color w:val="000000"/>
          <w:szCs w:val="20"/>
          <w:lang w:eastAsia="bg-BG"/>
        </w:rPr>
      </w:pPr>
    </w:p>
    <w:p w14:paraId="2817DA1B" w14:textId="4E653CF2" w:rsidR="00984E1A" w:rsidRPr="00984E1A" w:rsidRDefault="00984E1A" w:rsidP="00984E1A">
      <w:pPr>
        <w:spacing w:line="240" w:lineRule="auto"/>
        <w:rPr>
          <w:rFonts w:eastAsia="Times New Roman" w:cs="Arial"/>
          <w:sz w:val="28"/>
          <w:szCs w:val="24"/>
          <w:lang w:eastAsia="bg-BG"/>
        </w:rPr>
      </w:pPr>
      <w:r w:rsidRPr="00984E1A">
        <w:rPr>
          <w:rFonts w:eastAsia="Times New Roman" w:cs="Arial"/>
          <w:color w:val="000000"/>
          <w:szCs w:val="20"/>
          <w:lang w:eastAsia="bg-BG"/>
        </w:rPr>
        <w:t>Освен това, топирамат потиска някои изоензими на карбоанхидразата. Този фармакологичен ефект е много по-слаб отколкото наблюдавания при ацетазоламид, известен инхибитор на карбоанхидразата, и не се приема като основен компонент на антиепилептичната активност на топирамат.</w:t>
      </w:r>
    </w:p>
    <w:p w14:paraId="0390359B" w14:textId="77777777" w:rsidR="00984E1A" w:rsidRPr="00984E1A" w:rsidRDefault="00984E1A" w:rsidP="00984E1A">
      <w:pPr>
        <w:spacing w:line="240" w:lineRule="auto"/>
        <w:rPr>
          <w:rFonts w:eastAsia="Times New Roman" w:cs="Arial"/>
          <w:color w:val="000000"/>
          <w:szCs w:val="20"/>
          <w:lang w:eastAsia="bg-BG"/>
        </w:rPr>
      </w:pPr>
    </w:p>
    <w:p w14:paraId="361716C0" w14:textId="3A239ECF" w:rsidR="00984E1A" w:rsidRPr="00984E1A" w:rsidRDefault="00984E1A" w:rsidP="00984E1A">
      <w:pPr>
        <w:spacing w:line="240" w:lineRule="auto"/>
        <w:rPr>
          <w:rFonts w:eastAsia="Times New Roman" w:cs="Arial"/>
          <w:sz w:val="28"/>
          <w:szCs w:val="24"/>
          <w:lang w:eastAsia="bg-BG"/>
        </w:rPr>
      </w:pPr>
      <w:r w:rsidRPr="00984E1A">
        <w:rPr>
          <w:rFonts w:eastAsia="Times New Roman" w:cs="Arial"/>
          <w:color w:val="000000"/>
          <w:szCs w:val="20"/>
          <w:lang w:eastAsia="bg-BG"/>
        </w:rPr>
        <w:t xml:space="preserve">При проучвания върху животни топирамат показва антиконвулсивна активност при изследванията с максимален електрошоков гърч </w:t>
      </w:r>
      <w:r w:rsidRPr="00984E1A">
        <w:rPr>
          <w:rFonts w:eastAsia="Times New Roman" w:cs="Arial"/>
          <w:color w:val="000000"/>
          <w:szCs w:val="20"/>
          <w:lang w:val="en-US"/>
        </w:rPr>
        <w:t xml:space="preserve">(MES) </w:t>
      </w:r>
      <w:r w:rsidRPr="00984E1A">
        <w:rPr>
          <w:rFonts w:eastAsia="Times New Roman" w:cs="Arial"/>
          <w:color w:val="000000"/>
          <w:szCs w:val="20"/>
          <w:lang w:eastAsia="bg-BG"/>
        </w:rPr>
        <w:t xml:space="preserve">при плъхове и мишки и е ефективен при модела на епилепсия при гризачи, който включва тонични и абсанс-подобни пристъпи при плъхове със спонтанно предизвикана епилепсия </w:t>
      </w:r>
      <w:r w:rsidRPr="00984E1A">
        <w:rPr>
          <w:rFonts w:eastAsia="Times New Roman" w:cs="Arial"/>
          <w:color w:val="000000"/>
          <w:szCs w:val="20"/>
          <w:lang w:val="en-US"/>
        </w:rPr>
        <w:t xml:space="preserve">(SER) </w:t>
      </w:r>
      <w:r w:rsidRPr="00984E1A">
        <w:rPr>
          <w:rFonts w:eastAsia="Times New Roman" w:cs="Arial"/>
          <w:color w:val="000000"/>
          <w:szCs w:val="20"/>
          <w:lang w:eastAsia="bg-BG"/>
        </w:rPr>
        <w:t xml:space="preserve">и тонични и клонични гърчове, индуцирани при плъхове чрез възбуждане на амигдала или глобална исхемия. Топирамат е слабо ефективен единствено при блокирането на клоничните гърчове, индуцирани от </w:t>
      </w:r>
      <w:proofErr w:type="spellStart"/>
      <w:r w:rsidRPr="00984E1A">
        <w:rPr>
          <w:rFonts w:eastAsia="Times New Roman" w:cs="Arial"/>
          <w:smallCaps/>
          <w:color w:val="000000"/>
          <w:szCs w:val="20"/>
          <w:lang w:val="en-US"/>
        </w:rPr>
        <w:t>GABA</w:t>
      </w:r>
      <w:r w:rsidRPr="00984E1A">
        <w:rPr>
          <w:rFonts w:eastAsia="Times New Roman" w:cs="Arial"/>
          <w:smallCaps/>
          <w:color w:val="000000"/>
          <w:szCs w:val="20"/>
          <w:vertAlign w:val="subscript"/>
          <w:lang w:val="en-US"/>
        </w:rPr>
        <w:t>a</w:t>
      </w:r>
      <w:proofErr w:type="spellEnd"/>
      <w:r w:rsidRPr="00984E1A">
        <w:rPr>
          <w:rFonts w:eastAsia="Times New Roman" w:cs="Arial"/>
          <w:smallCaps/>
          <w:color w:val="000000"/>
          <w:szCs w:val="20"/>
          <w:vertAlign w:val="subscript"/>
          <w:lang w:val="en-US"/>
        </w:rPr>
        <w:t xml:space="preserve"> </w:t>
      </w:r>
      <w:r w:rsidRPr="00984E1A">
        <w:rPr>
          <w:rFonts w:eastAsia="Times New Roman" w:cs="Arial"/>
          <w:color w:val="000000"/>
          <w:szCs w:val="20"/>
          <w:lang w:eastAsia="bg-BG"/>
        </w:rPr>
        <w:t>рецепторния антагонист пентилентетразол.</w:t>
      </w:r>
    </w:p>
    <w:p w14:paraId="346FB2AA" w14:textId="77777777" w:rsidR="00984E1A" w:rsidRPr="00984E1A" w:rsidRDefault="00984E1A" w:rsidP="00984E1A">
      <w:pPr>
        <w:spacing w:line="240" w:lineRule="auto"/>
        <w:rPr>
          <w:rFonts w:eastAsia="Times New Roman" w:cs="Arial"/>
          <w:color w:val="000000"/>
          <w:szCs w:val="20"/>
          <w:lang w:eastAsia="bg-BG"/>
        </w:rPr>
      </w:pPr>
    </w:p>
    <w:p w14:paraId="2ED08E88" w14:textId="76CD1370" w:rsidR="00984E1A" w:rsidRPr="00984E1A" w:rsidRDefault="00984E1A" w:rsidP="00984E1A">
      <w:pPr>
        <w:spacing w:line="240" w:lineRule="auto"/>
        <w:rPr>
          <w:rFonts w:eastAsia="Times New Roman" w:cs="Arial"/>
          <w:sz w:val="28"/>
          <w:szCs w:val="24"/>
          <w:lang w:eastAsia="bg-BG"/>
        </w:rPr>
      </w:pPr>
      <w:r w:rsidRPr="00984E1A">
        <w:rPr>
          <w:rFonts w:eastAsia="Times New Roman" w:cs="Arial"/>
          <w:color w:val="000000"/>
          <w:szCs w:val="20"/>
          <w:lang w:eastAsia="bg-BG"/>
        </w:rPr>
        <w:t xml:space="preserve">Проучвания върху мишки, приемащи едновременно топирамат </w:t>
      </w:r>
      <w:r w:rsidRPr="00984E1A">
        <w:rPr>
          <w:rFonts w:eastAsia="Times New Roman" w:cs="Arial"/>
          <w:i/>
          <w:iCs/>
          <w:color w:val="000000"/>
          <w:szCs w:val="20"/>
          <w:lang w:eastAsia="bg-BG"/>
        </w:rPr>
        <w:t>и карбамазепин</w:t>
      </w:r>
      <w:r w:rsidRPr="00984E1A">
        <w:rPr>
          <w:rFonts w:eastAsia="Times New Roman" w:cs="Arial"/>
          <w:color w:val="000000"/>
          <w:szCs w:val="20"/>
          <w:lang w:eastAsia="bg-BG"/>
        </w:rPr>
        <w:t xml:space="preserve"> или фенобарбитал, показват синергична антиконвулсивна дейност, докато комбинацията с фенитоин показва допълнителна антиконвулсивна дейност. При добре контролирани допълнителни проучвания не е наблюдавана взаимовръзка между най-ниската плазмена концентрация на топирамат и неговата клинична ефикасност. Няма данни за поносимост при хора.</w:t>
      </w:r>
    </w:p>
    <w:p w14:paraId="01BFB55D" w14:textId="77777777" w:rsidR="00984E1A" w:rsidRPr="00984E1A" w:rsidRDefault="00984E1A" w:rsidP="00984E1A">
      <w:pPr>
        <w:spacing w:line="240" w:lineRule="auto"/>
        <w:rPr>
          <w:rFonts w:eastAsia="Times New Roman" w:cs="Arial"/>
          <w:color w:val="000000"/>
          <w:szCs w:val="20"/>
          <w:u w:val="single"/>
          <w:lang w:eastAsia="bg-BG"/>
        </w:rPr>
      </w:pPr>
    </w:p>
    <w:p w14:paraId="11F8B586" w14:textId="6276C711" w:rsidR="00984E1A" w:rsidRPr="00984E1A" w:rsidRDefault="00984E1A" w:rsidP="00984E1A">
      <w:pPr>
        <w:spacing w:line="240" w:lineRule="auto"/>
        <w:rPr>
          <w:rFonts w:eastAsia="Times New Roman" w:cs="Arial"/>
          <w:sz w:val="28"/>
          <w:szCs w:val="24"/>
          <w:lang w:eastAsia="bg-BG"/>
        </w:rPr>
      </w:pPr>
      <w:r w:rsidRPr="00984E1A">
        <w:rPr>
          <w:rFonts w:eastAsia="Times New Roman" w:cs="Arial"/>
          <w:color w:val="000000"/>
          <w:szCs w:val="20"/>
          <w:u w:val="single"/>
          <w:lang w:eastAsia="bg-BG"/>
        </w:rPr>
        <w:t>Абсанси</w:t>
      </w:r>
    </w:p>
    <w:p w14:paraId="5CF67AAC" w14:textId="77777777" w:rsidR="00984E1A" w:rsidRPr="00984E1A" w:rsidRDefault="00984E1A" w:rsidP="00984E1A">
      <w:pPr>
        <w:rPr>
          <w:rFonts w:eastAsia="Times New Roman" w:cs="Arial"/>
          <w:color w:val="000000"/>
          <w:szCs w:val="20"/>
          <w:lang w:eastAsia="bg-BG"/>
        </w:rPr>
      </w:pPr>
    </w:p>
    <w:p w14:paraId="28252AA0" w14:textId="329D70A0" w:rsidR="0091385D" w:rsidRPr="00984E1A" w:rsidRDefault="00984E1A" w:rsidP="00984E1A">
      <w:pPr>
        <w:rPr>
          <w:rFonts w:cs="Arial"/>
          <w:sz w:val="24"/>
        </w:rPr>
      </w:pPr>
      <w:r w:rsidRPr="00984E1A">
        <w:rPr>
          <w:rFonts w:eastAsia="Times New Roman" w:cs="Arial"/>
          <w:color w:val="000000"/>
          <w:szCs w:val="20"/>
          <w:lang w:eastAsia="bg-BG"/>
        </w:rPr>
        <w:t xml:space="preserve">Проведени са две малки проучвания с по едно рамо при деца на възраст 4-11 години </w:t>
      </w:r>
      <w:r w:rsidRPr="00984E1A">
        <w:rPr>
          <w:rFonts w:eastAsia="Times New Roman" w:cs="Arial"/>
          <w:color w:val="000000"/>
          <w:szCs w:val="20"/>
          <w:lang w:val="en-US"/>
        </w:rPr>
        <w:t xml:space="preserve">(CAPSS- </w:t>
      </w:r>
      <w:r w:rsidRPr="00984E1A">
        <w:rPr>
          <w:rFonts w:eastAsia="Times New Roman" w:cs="Arial"/>
          <w:color w:val="000000"/>
          <w:szCs w:val="20"/>
          <w:lang w:eastAsia="bg-BG"/>
        </w:rPr>
        <w:t xml:space="preserve">326 и </w:t>
      </w:r>
      <w:r w:rsidRPr="00984E1A">
        <w:rPr>
          <w:rFonts w:eastAsia="Times New Roman" w:cs="Arial"/>
          <w:color w:val="000000"/>
          <w:szCs w:val="20"/>
          <w:lang w:val="en-US"/>
        </w:rPr>
        <w:t xml:space="preserve">TOPAMAT-ABS-001), </w:t>
      </w:r>
      <w:r w:rsidRPr="00984E1A">
        <w:rPr>
          <w:rFonts w:eastAsia="Times New Roman" w:cs="Arial"/>
          <w:color w:val="000000"/>
          <w:szCs w:val="20"/>
          <w:lang w:eastAsia="bg-BG"/>
        </w:rPr>
        <w:t xml:space="preserve">В едното са участвали 5 деца, а в другото 12, преди да бъде преждевременно прекратено поради липса на терапевтичен отговор. Дозите, използвани в проучванията, са до приблизително 12 </w:t>
      </w:r>
      <w:r w:rsidRPr="00984E1A">
        <w:rPr>
          <w:rFonts w:eastAsia="Times New Roman" w:cs="Arial"/>
          <w:color w:val="000000"/>
          <w:szCs w:val="20"/>
          <w:lang w:val="en-US"/>
        </w:rPr>
        <w:t xml:space="preserve">mg/kg </w:t>
      </w:r>
      <w:r w:rsidRPr="00984E1A">
        <w:rPr>
          <w:rFonts w:eastAsia="Times New Roman" w:cs="Arial"/>
          <w:color w:val="000000"/>
          <w:szCs w:val="20"/>
          <w:lang w:eastAsia="bg-BG"/>
        </w:rPr>
        <w:t xml:space="preserve">в проучване </w:t>
      </w:r>
      <w:r w:rsidRPr="00984E1A">
        <w:rPr>
          <w:rFonts w:eastAsia="Times New Roman" w:cs="Arial"/>
          <w:color w:val="000000"/>
          <w:szCs w:val="20"/>
          <w:lang w:val="en-US"/>
        </w:rPr>
        <w:t xml:space="preserve">TOPAMAT-ABS-001 </w:t>
      </w:r>
      <w:r w:rsidRPr="00984E1A">
        <w:rPr>
          <w:rFonts w:eastAsia="Times New Roman" w:cs="Arial"/>
          <w:color w:val="000000"/>
          <w:szCs w:val="20"/>
          <w:lang w:eastAsia="bg-BG"/>
        </w:rPr>
        <w:t xml:space="preserve">и максимумът на по-малката доза от 9 </w:t>
      </w:r>
      <w:r w:rsidRPr="00984E1A">
        <w:rPr>
          <w:rFonts w:eastAsia="Times New Roman" w:cs="Arial"/>
          <w:color w:val="000000"/>
          <w:szCs w:val="20"/>
          <w:lang w:val="en-US"/>
        </w:rPr>
        <w:t xml:space="preserve">mg/kg </w:t>
      </w:r>
      <w:r w:rsidRPr="00984E1A">
        <w:rPr>
          <w:rFonts w:eastAsia="Times New Roman" w:cs="Arial"/>
          <w:color w:val="000000"/>
          <w:szCs w:val="20"/>
          <w:lang w:eastAsia="bg-BG"/>
        </w:rPr>
        <w:t xml:space="preserve">дневно или 400 </w:t>
      </w:r>
      <w:r w:rsidRPr="00984E1A">
        <w:rPr>
          <w:rFonts w:eastAsia="Times New Roman" w:cs="Arial"/>
          <w:color w:val="000000"/>
          <w:szCs w:val="20"/>
          <w:lang w:val="en-US"/>
        </w:rPr>
        <w:t xml:space="preserve">mg </w:t>
      </w:r>
      <w:r w:rsidRPr="00984E1A">
        <w:rPr>
          <w:rFonts w:eastAsia="Times New Roman" w:cs="Arial"/>
          <w:color w:val="000000"/>
          <w:szCs w:val="20"/>
          <w:lang w:eastAsia="bg-BG"/>
        </w:rPr>
        <w:t xml:space="preserve">дневно в проучване </w:t>
      </w:r>
      <w:r w:rsidRPr="00984E1A">
        <w:rPr>
          <w:rFonts w:eastAsia="Times New Roman" w:cs="Arial"/>
          <w:color w:val="000000"/>
          <w:szCs w:val="20"/>
          <w:lang w:val="en-US"/>
        </w:rPr>
        <w:t>CAPS S</w:t>
      </w:r>
      <w:r w:rsidRPr="00984E1A">
        <w:rPr>
          <w:rFonts w:eastAsia="Times New Roman" w:cs="Arial"/>
          <w:color w:val="000000"/>
          <w:szCs w:val="20"/>
          <w:lang w:eastAsia="bg-BG"/>
        </w:rPr>
        <w:t>-326. Тези проучвания не предоставят достатъчно доказателства, за да се направи заключение относно ефикасността и безопасността в педиатричната популация.</w:t>
      </w:r>
    </w:p>
    <w:p w14:paraId="36152471" w14:textId="77777777" w:rsidR="0091385D" w:rsidRPr="0091385D" w:rsidRDefault="0091385D" w:rsidP="0091385D"/>
    <w:p w14:paraId="35F84B81" w14:textId="6423E5BB" w:rsidR="00CF77F7" w:rsidRDefault="002C50EE" w:rsidP="004A448E">
      <w:pPr>
        <w:pStyle w:val="Heading2"/>
      </w:pPr>
      <w:r>
        <w:t>5.2. Фармакокинетични свойства</w:t>
      </w:r>
    </w:p>
    <w:p w14:paraId="5031193D" w14:textId="06A21EFE" w:rsidR="0091385D" w:rsidRDefault="0091385D" w:rsidP="0091385D"/>
    <w:p w14:paraId="7F9515C1" w14:textId="77777777" w:rsidR="00984E1A" w:rsidRPr="00984E1A" w:rsidRDefault="00984E1A" w:rsidP="00984E1A">
      <w:pPr>
        <w:spacing w:line="240" w:lineRule="auto"/>
        <w:rPr>
          <w:rFonts w:eastAsia="Times New Roman" w:cs="Arial"/>
          <w:sz w:val="28"/>
          <w:szCs w:val="24"/>
          <w:lang w:eastAsia="bg-BG"/>
        </w:rPr>
      </w:pPr>
      <w:r w:rsidRPr="00984E1A">
        <w:rPr>
          <w:rFonts w:eastAsia="Times New Roman" w:cs="Arial"/>
          <w:color w:val="000000"/>
          <w:szCs w:val="20"/>
          <w:lang w:eastAsia="bg-BG"/>
        </w:rPr>
        <w:lastRenderedPageBreak/>
        <w:t>Филмираните таблетки и твърдите капсули са биоеквивалентни.</w:t>
      </w:r>
    </w:p>
    <w:p w14:paraId="10B58C90" w14:textId="77777777" w:rsidR="00984E1A" w:rsidRPr="00984E1A" w:rsidRDefault="00984E1A" w:rsidP="00984E1A">
      <w:pPr>
        <w:spacing w:line="240" w:lineRule="auto"/>
        <w:rPr>
          <w:rFonts w:eastAsia="Times New Roman" w:cs="Arial"/>
          <w:color w:val="000000"/>
          <w:szCs w:val="20"/>
          <w:lang w:eastAsia="bg-BG"/>
        </w:rPr>
      </w:pPr>
    </w:p>
    <w:p w14:paraId="157086BA" w14:textId="41951E3B" w:rsidR="00984E1A" w:rsidRPr="00984E1A" w:rsidRDefault="00984E1A" w:rsidP="00984E1A">
      <w:pPr>
        <w:spacing w:line="240" w:lineRule="auto"/>
        <w:rPr>
          <w:rFonts w:eastAsia="Times New Roman" w:cs="Arial"/>
          <w:sz w:val="28"/>
          <w:szCs w:val="24"/>
          <w:lang w:eastAsia="bg-BG"/>
        </w:rPr>
      </w:pPr>
      <w:r w:rsidRPr="00984E1A">
        <w:rPr>
          <w:rFonts w:eastAsia="Times New Roman" w:cs="Arial"/>
          <w:color w:val="000000"/>
          <w:szCs w:val="20"/>
          <w:lang w:eastAsia="bg-BG"/>
        </w:rPr>
        <w:t xml:space="preserve">Фармакокинетичният профил на топирамат, сравнен с други антиепилептични средства, </w:t>
      </w:r>
      <w:r w:rsidRPr="00984E1A">
        <w:rPr>
          <w:rFonts w:eastAsia="Times New Roman" w:cs="Arial"/>
          <w:color w:val="000000"/>
          <w:szCs w:val="20"/>
          <w:u w:val="single"/>
          <w:lang w:eastAsia="bg-BG"/>
        </w:rPr>
        <w:t xml:space="preserve"> </w:t>
      </w:r>
      <w:r w:rsidRPr="00984E1A">
        <w:rPr>
          <w:rFonts w:eastAsia="Times New Roman" w:cs="Arial"/>
          <w:color w:val="000000"/>
          <w:szCs w:val="20"/>
          <w:lang w:eastAsia="bg-BG"/>
        </w:rPr>
        <w:t>показва дълъг плазмен полуживот, линейна фармакокинетика, преобладаващ бъбречен клирънс липса на значително свързване с протеини и липса на клинично значими активни метаболити.</w:t>
      </w:r>
    </w:p>
    <w:p w14:paraId="26FBDA79" w14:textId="77777777" w:rsidR="00984E1A" w:rsidRPr="00984E1A" w:rsidRDefault="00984E1A" w:rsidP="00984E1A">
      <w:pPr>
        <w:spacing w:line="240" w:lineRule="auto"/>
        <w:rPr>
          <w:rFonts w:eastAsia="Times New Roman" w:cs="Arial"/>
          <w:color w:val="000000"/>
          <w:szCs w:val="20"/>
          <w:lang w:eastAsia="bg-BG"/>
        </w:rPr>
      </w:pPr>
    </w:p>
    <w:p w14:paraId="18ED398E" w14:textId="1FDE1C99" w:rsidR="00984E1A" w:rsidRPr="00984E1A" w:rsidRDefault="00984E1A" w:rsidP="00984E1A">
      <w:pPr>
        <w:spacing w:line="240" w:lineRule="auto"/>
        <w:rPr>
          <w:rFonts w:eastAsia="Times New Roman" w:cs="Arial"/>
          <w:sz w:val="28"/>
          <w:szCs w:val="24"/>
          <w:lang w:eastAsia="bg-BG"/>
        </w:rPr>
      </w:pPr>
      <w:r w:rsidRPr="00984E1A">
        <w:rPr>
          <w:rFonts w:eastAsia="Times New Roman" w:cs="Arial"/>
          <w:color w:val="000000"/>
          <w:szCs w:val="20"/>
          <w:lang w:eastAsia="bg-BG"/>
        </w:rPr>
        <w:t>Топирамат не е силен индуктор на лекарствометаболизиращи ензими, може да се приема,</w:t>
      </w:r>
    </w:p>
    <w:p w14:paraId="188485B1" w14:textId="77777777" w:rsidR="00984E1A" w:rsidRPr="00984E1A" w:rsidRDefault="00984E1A" w:rsidP="00984E1A">
      <w:pPr>
        <w:rPr>
          <w:rFonts w:eastAsia="Times New Roman" w:cs="Arial"/>
          <w:sz w:val="28"/>
          <w:szCs w:val="24"/>
          <w:lang w:eastAsia="bg-BG"/>
        </w:rPr>
      </w:pPr>
      <w:r w:rsidRPr="00984E1A">
        <w:rPr>
          <w:rFonts w:eastAsia="Times New Roman" w:cs="Arial"/>
          <w:color w:val="000000"/>
          <w:szCs w:val="20"/>
          <w:lang w:eastAsia="bg-BG"/>
        </w:rPr>
        <w:t>независимо от храненията и не е необходимо рутинно проследяване на плазмените му концентрации. В клиничните проучвания не се наблюдава последователна връзка между плазмените концентрации и ефикасността или нежеланите събития.</w:t>
      </w:r>
    </w:p>
    <w:p w14:paraId="69B82BEE" w14:textId="77777777" w:rsidR="00984E1A" w:rsidRPr="00984E1A" w:rsidRDefault="00984E1A" w:rsidP="00984E1A">
      <w:pPr>
        <w:spacing w:line="240" w:lineRule="auto"/>
        <w:rPr>
          <w:rFonts w:eastAsia="Times New Roman" w:cs="Arial"/>
          <w:color w:val="000000"/>
          <w:szCs w:val="20"/>
          <w:u w:val="single"/>
          <w:lang w:eastAsia="bg-BG"/>
        </w:rPr>
      </w:pPr>
    </w:p>
    <w:p w14:paraId="2F09A1A2" w14:textId="766DB4A6" w:rsidR="00984E1A" w:rsidRPr="00984E1A" w:rsidRDefault="00984E1A" w:rsidP="00984E1A">
      <w:pPr>
        <w:pStyle w:val="Heading3"/>
        <w:rPr>
          <w:rFonts w:eastAsia="Times New Roman"/>
          <w:sz w:val="28"/>
          <w:u w:val="single"/>
          <w:lang w:eastAsia="bg-BG"/>
        </w:rPr>
      </w:pPr>
      <w:r w:rsidRPr="00984E1A">
        <w:rPr>
          <w:rFonts w:eastAsia="Times New Roman"/>
          <w:u w:val="single"/>
          <w:lang w:eastAsia="bg-BG"/>
        </w:rPr>
        <w:t>Абсорбция</w:t>
      </w:r>
    </w:p>
    <w:p w14:paraId="1F8A7E86" w14:textId="77777777" w:rsidR="00984E1A" w:rsidRPr="00984E1A" w:rsidRDefault="00984E1A" w:rsidP="00984E1A">
      <w:pPr>
        <w:spacing w:line="240" w:lineRule="auto"/>
        <w:rPr>
          <w:rFonts w:eastAsia="Times New Roman" w:cs="Arial"/>
          <w:sz w:val="28"/>
          <w:szCs w:val="24"/>
          <w:lang w:eastAsia="bg-BG"/>
        </w:rPr>
      </w:pPr>
      <w:r w:rsidRPr="00984E1A">
        <w:rPr>
          <w:rFonts w:eastAsia="Times New Roman" w:cs="Arial"/>
          <w:color w:val="000000"/>
          <w:szCs w:val="20"/>
          <w:lang w:eastAsia="bg-BG"/>
        </w:rPr>
        <w:t xml:space="preserve">Топирамат се абсорбира бързо и лесно. След перорално приложение на 100 </w:t>
      </w:r>
      <w:r w:rsidRPr="00984E1A">
        <w:rPr>
          <w:rFonts w:eastAsia="Times New Roman" w:cs="Arial"/>
          <w:color w:val="000000"/>
          <w:szCs w:val="20"/>
          <w:lang w:val="en-US"/>
        </w:rPr>
        <w:t xml:space="preserve">mg </w:t>
      </w:r>
      <w:r w:rsidRPr="00984E1A">
        <w:rPr>
          <w:rFonts w:eastAsia="Times New Roman" w:cs="Arial"/>
          <w:color w:val="000000"/>
          <w:szCs w:val="20"/>
          <w:lang w:eastAsia="bg-BG"/>
        </w:rPr>
        <w:t>топирамат при здрави пациенти средната пикова плазмена концентрация (С</w:t>
      </w:r>
      <w:r w:rsidRPr="00984E1A">
        <w:rPr>
          <w:rFonts w:eastAsia="Times New Roman" w:cs="Arial"/>
          <w:color w:val="000000"/>
          <w:szCs w:val="20"/>
          <w:lang w:val="en-US"/>
        </w:rPr>
        <w:t>m</w:t>
      </w:r>
      <w:r w:rsidRPr="00984E1A">
        <w:rPr>
          <w:rFonts w:eastAsia="Times New Roman" w:cs="Arial"/>
          <w:color w:val="000000"/>
          <w:szCs w:val="20"/>
          <w:lang w:eastAsia="bg-BG"/>
        </w:rPr>
        <w:t>ах) от 1,</w:t>
      </w:r>
      <w:r w:rsidRPr="00984E1A">
        <w:rPr>
          <w:rFonts w:eastAsia="Times New Roman" w:cs="Arial"/>
          <w:i/>
          <w:iCs/>
          <w:color w:val="000000"/>
          <w:szCs w:val="20"/>
          <w:lang w:eastAsia="bg-BG"/>
        </w:rPr>
        <w:t>5</w:t>
      </w:r>
      <w:r w:rsidRPr="00984E1A">
        <w:rPr>
          <w:rFonts w:eastAsia="Times New Roman" w:cs="Arial"/>
          <w:color w:val="000000"/>
          <w:szCs w:val="20"/>
          <w:lang w:eastAsia="bg-BG"/>
        </w:rPr>
        <w:t xml:space="preserve"> μ</w:t>
      </w:r>
      <w:r w:rsidRPr="00984E1A">
        <w:rPr>
          <w:rFonts w:eastAsia="Times New Roman" w:cs="Arial"/>
          <w:color w:val="000000"/>
          <w:szCs w:val="20"/>
          <w:lang w:val="en-US"/>
        </w:rPr>
        <w:t xml:space="preserve">g/ml </w:t>
      </w:r>
      <w:r w:rsidRPr="00984E1A">
        <w:rPr>
          <w:rFonts w:eastAsia="Times New Roman" w:cs="Arial"/>
          <w:color w:val="000000"/>
          <w:szCs w:val="20"/>
          <w:lang w:eastAsia="bg-BG"/>
        </w:rPr>
        <w:t>се достига в рамките на 2 до 3 часа (Т</w:t>
      </w:r>
      <w:r w:rsidRPr="00984E1A">
        <w:rPr>
          <w:rFonts w:eastAsia="Times New Roman" w:cs="Arial"/>
          <w:color w:val="000000"/>
          <w:szCs w:val="20"/>
          <w:lang w:val="en-US"/>
        </w:rPr>
        <w:t>m</w:t>
      </w:r>
      <w:r w:rsidRPr="00984E1A">
        <w:rPr>
          <w:rFonts w:eastAsia="Times New Roman" w:cs="Arial"/>
          <w:color w:val="000000"/>
          <w:szCs w:val="20"/>
          <w:lang w:eastAsia="bg-BG"/>
        </w:rPr>
        <w:t>ах).</w:t>
      </w:r>
    </w:p>
    <w:p w14:paraId="3EDF84AD" w14:textId="77777777" w:rsidR="00984E1A" w:rsidRPr="00984E1A" w:rsidRDefault="00984E1A" w:rsidP="00984E1A">
      <w:pPr>
        <w:spacing w:line="240" w:lineRule="auto"/>
        <w:rPr>
          <w:rFonts w:eastAsia="Times New Roman" w:cs="Arial"/>
          <w:color w:val="000000"/>
          <w:szCs w:val="20"/>
          <w:lang w:eastAsia="bg-BG"/>
        </w:rPr>
      </w:pPr>
    </w:p>
    <w:p w14:paraId="1F2496C6" w14:textId="597A2B64" w:rsidR="00984E1A" w:rsidRPr="00984E1A" w:rsidRDefault="00984E1A" w:rsidP="00984E1A">
      <w:pPr>
        <w:spacing w:line="240" w:lineRule="auto"/>
        <w:rPr>
          <w:rFonts w:eastAsia="Times New Roman" w:cs="Arial"/>
          <w:sz w:val="28"/>
          <w:szCs w:val="24"/>
          <w:lang w:eastAsia="bg-BG"/>
        </w:rPr>
      </w:pPr>
      <w:r w:rsidRPr="00984E1A">
        <w:rPr>
          <w:rFonts w:eastAsia="Times New Roman" w:cs="Arial"/>
          <w:color w:val="000000"/>
          <w:szCs w:val="20"/>
          <w:lang w:eastAsia="bg-BG"/>
        </w:rPr>
        <w:t xml:space="preserve">Проучвания на радиоактивността в урина показват, че средната степен на абсорбция при перорална доза 100 </w:t>
      </w:r>
      <w:r w:rsidRPr="00984E1A">
        <w:rPr>
          <w:rFonts w:eastAsia="Times New Roman" w:cs="Arial"/>
          <w:color w:val="000000"/>
          <w:szCs w:val="20"/>
          <w:lang w:val="en-US"/>
        </w:rPr>
        <w:t xml:space="preserve">mg </w:t>
      </w:r>
      <w:r w:rsidRPr="00984E1A">
        <w:rPr>
          <w:rFonts w:eastAsia="Times New Roman" w:cs="Arial"/>
          <w:color w:val="000000"/>
          <w:szCs w:val="20"/>
          <w:lang w:eastAsia="bg-BG"/>
        </w:rPr>
        <w:t>14С-топирамат е не по-малко от 81%. Не се наблюдава клинично значим ефект на храната върху бионаличността на топирамат.</w:t>
      </w:r>
    </w:p>
    <w:p w14:paraId="3C85DCA0" w14:textId="77777777" w:rsidR="00984E1A" w:rsidRPr="00984E1A" w:rsidRDefault="00984E1A" w:rsidP="00984E1A">
      <w:pPr>
        <w:spacing w:line="240" w:lineRule="auto"/>
        <w:rPr>
          <w:rFonts w:eastAsia="Times New Roman" w:cs="Arial"/>
          <w:color w:val="000000"/>
          <w:szCs w:val="20"/>
          <w:u w:val="single"/>
          <w:lang w:eastAsia="bg-BG"/>
        </w:rPr>
      </w:pPr>
    </w:p>
    <w:p w14:paraId="59B8F754" w14:textId="58FEA828" w:rsidR="00984E1A" w:rsidRPr="00984E1A" w:rsidRDefault="00984E1A" w:rsidP="00984E1A">
      <w:pPr>
        <w:pStyle w:val="Heading3"/>
        <w:rPr>
          <w:rFonts w:eastAsia="Times New Roman"/>
          <w:sz w:val="28"/>
          <w:u w:val="single"/>
          <w:lang w:eastAsia="bg-BG"/>
        </w:rPr>
      </w:pPr>
      <w:r w:rsidRPr="00984E1A">
        <w:rPr>
          <w:rFonts w:eastAsia="Times New Roman"/>
          <w:u w:val="single"/>
          <w:lang w:eastAsia="bg-BG"/>
        </w:rPr>
        <w:t>Разпределение</w:t>
      </w:r>
    </w:p>
    <w:p w14:paraId="27F543B5" w14:textId="77777777" w:rsidR="00984E1A" w:rsidRPr="00984E1A" w:rsidRDefault="00984E1A" w:rsidP="00984E1A">
      <w:pPr>
        <w:spacing w:line="240" w:lineRule="auto"/>
        <w:rPr>
          <w:rFonts w:eastAsia="Times New Roman" w:cs="Arial"/>
          <w:sz w:val="28"/>
          <w:szCs w:val="24"/>
          <w:lang w:eastAsia="bg-BG"/>
        </w:rPr>
      </w:pPr>
      <w:r w:rsidRPr="00984E1A">
        <w:rPr>
          <w:rFonts w:eastAsia="Times New Roman" w:cs="Arial"/>
          <w:color w:val="000000"/>
          <w:szCs w:val="20"/>
          <w:lang w:eastAsia="bg-BG"/>
        </w:rPr>
        <w:t>Обикновено 13-17% от топирамат се свързва с плазмените протеини. Наблюдава се нисък капацитет на свързване на топирамат в/върху еритроцитите, който се насища при плазмени концентрации над 4 μ</w:t>
      </w:r>
      <w:r w:rsidRPr="00984E1A">
        <w:rPr>
          <w:rFonts w:eastAsia="Times New Roman" w:cs="Arial"/>
          <w:color w:val="000000"/>
          <w:szCs w:val="20"/>
          <w:lang w:val="en-US"/>
        </w:rPr>
        <w:t xml:space="preserve">g/ml. </w:t>
      </w:r>
      <w:r w:rsidRPr="00984E1A">
        <w:rPr>
          <w:rFonts w:eastAsia="Times New Roman" w:cs="Arial"/>
          <w:color w:val="000000"/>
          <w:szCs w:val="20"/>
          <w:lang w:eastAsia="bg-BG"/>
        </w:rPr>
        <w:t xml:space="preserve">Обемът на разпределение варира обратнопропорционално на дозата. Средният привиден обем на разпределение е 0,8 до 0,55 </w:t>
      </w:r>
      <w:r w:rsidRPr="00984E1A">
        <w:rPr>
          <w:rFonts w:eastAsia="Times New Roman" w:cs="Arial"/>
          <w:color w:val="000000"/>
          <w:szCs w:val="20"/>
          <w:lang w:val="en-US"/>
        </w:rPr>
        <w:t xml:space="preserve">1/kg </w:t>
      </w:r>
      <w:r w:rsidRPr="00984E1A">
        <w:rPr>
          <w:rFonts w:eastAsia="Times New Roman" w:cs="Arial"/>
          <w:color w:val="000000"/>
          <w:szCs w:val="20"/>
          <w:lang w:eastAsia="bg-BG"/>
        </w:rPr>
        <w:t xml:space="preserve">за единична доза в диапазона от 100 до 1200 </w:t>
      </w:r>
      <w:r w:rsidRPr="00984E1A">
        <w:rPr>
          <w:rFonts w:eastAsia="Times New Roman" w:cs="Arial"/>
          <w:color w:val="000000"/>
          <w:szCs w:val="20"/>
          <w:lang w:val="en-US"/>
        </w:rPr>
        <w:t xml:space="preserve">mg. </w:t>
      </w:r>
      <w:r w:rsidRPr="00984E1A">
        <w:rPr>
          <w:rFonts w:eastAsia="Times New Roman" w:cs="Arial"/>
          <w:color w:val="000000"/>
          <w:szCs w:val="20"/>
          <w:lang w:eastAsia="bg-BG"/>
        </w:rPr>
        <w:t>Наблюдава се зависимост между обема на разпределение и пола. Стойностите при жените са около 50% от тези при мъжете. Това се свързва с по-високия процент на мастите в организма на жените и няма клинични последици.</w:t>
      </w:r>
    </w:p>
    <w:p w14:paraId="3A61E799" w14:textId="77777777" w:rsidR="00984E1A" w:rsidRPr="00984E1A" w:rsidRDefault="00984E1A" w:rsidP="00984E1A">
      <w:pPr>
        <w:spacing w:line="240" w:lineRule="auto"/>
        <w:rPr>
          <w:rFonts w:eastAsia="Times New Roman" w:cs="Arial"/>
          <w:color w:val="000000"/>
          <w:szCs w:val="20"/>
          <w:u w:val="single"/>
          <w:lang w:eastAsia="bg-BG"/>
        </w:rPr>
      </w:pPr>
    </w:p>
    <w:p w14:paraId="073349B4" w14:textId="0E324A87" w:rsidR="00984E1A" w:rsidRPr="00984E1A" w:rsidRDefault="00984E1A" w:rsidP="00984E1A">
      <w:pPr>
        <w:pStyle w:val="Heading3"/>
        <w:rPr>
          <w:rFonts w:eastAsia="Times New Roman"/>
          <w:sz w:val="28"/>
          <w:u w:val="single"/>
          <w:lang w:eastAsia="bg-BG"/>
        </w:rPr>
      </w:pPr>
      <w:r w:rsidRPr="00984E1A">
        <w:rPr>
          <w:rFonts w:eastAsia="Times New Roman"/>
          <w:u w:val="single"/>
          <w:lang w:eastAsia="bg-BG"/>
        </w:rPr>
        <w:t>Биотрансформация</w:t>
      </w:r>
    </w:p>
    <w:p w14:paraId="559F34CA" w14:textId="77777777" w:rsidR="00984E1A" w:rsidRPr="00984E1A" w:rsidRDefault="00984E1A" w:rsidP="00984E1A">
      <w:pPr>
        <w:spacing w:line="240" w:lineRule="auto"/>
        <w:rPr>
          <w:rFonts w:eastAsia="Times New Roman" w:cs="Arial"/>
          <w:sz w:val="28"/>
          <w:szCs w:val="24"/>
          <w:lang w:eastAsia="bg-BG"/>
        </w:rPr>
      </w:pPr>
      <w:r w:rsidRPr="00984E1A">
        <w:rPr>
          <w:rFonts w:eastAsia="Times New Roman" w:cs="Arial"/>
          <w:color w:val="000000"/>
          <w:szCs w:val="20"/>
          <w:lang w:eastAsia="bg-BG"/>
        </w:rPr>
        <w:t>Топирамат не се метаболизира в голяма степен (-20%) при здрави доброволци. Метаболизира се до 50% при пациенти, провеждащи съпътстваща антиепилептична терапия с известни индуктори на лекарствометаболизиращи ензими. Шест метаболита, образувани чрез хидроксилация, хидролиза и глюкуронизация, са изолирани, охарактеризирани и идентифицирани от плазмата, урината и фекалиите при хора. Всеки метаболит представлява по- малко от 3% от общата радиоактивност, екскретирана след употребата на 14С-топирамат. Изследвани са два метаболита, които запазват почти напълно структурата на топирамат, и е установено, че имат слаба или нямат никаква антиконвулсивна активност.</w:t>
      </w:r>
    </w:p>
    <w:p w14:paraId="70126ED1" w14:textId="77777777" w:rsidR="00984E1A" w:rsidRPr="00984E1A" w:rsidRDefault="00984E1A" w:rsidP="00984E1A">
      <w:pPr>
        <w:spacing w:line="240" w:lineRule="auto"/>
        <w:rPr>
          <w:rFonts w:eastAsia="Times New Roman" w:cs="Arial"/>
          <w:color w:val="000000"/>
          <w:szCs w:val="20"/>
          <w:u w:val="single"/>
          <w:lang w:eastAsia="bg-BG"/>
        </w:rPr>
      </w:pPr>
    </w:p>
    <w:p w14:paraId="57B8FE47" w14:textId="5FA8F6D7" w:rsidR="00984E1A" w:rsidRPr="00984E1A" w:rsidRDefault="00984E1A" w:rsidP="00984E1A">
      <w:pPr>
        <w:pStyle w:val="Heading3"/>
        <w:rPr>
          <w:rFonts w:eastAsia="Times New Roman"/>
          <w:sz w:val="28"/>
          <w:u w:val="single"/>
          <w:lang w:eastAsia="bg-BG"/>
        </w:rPr>
      </w:pPr>
      <w:r w:rsidRPr="00984E1A">
        <w:rPr>
          <w:rFonts w:eastAsia="Times New Roman"/>
          <w:u w:val="single"/>
          <w:lang w:eastAsia="bg-BG"/>
        </w:rPr>
        <w:t>Елиминиране</w:t>
      </w:r>
    </w:p>
    <w:p w14:paraId="6EFFBBE9" w14:textId="77777777" w:rsidR="00984E1A" w:rsidRPr="00984E1A" w:rsidRDefault="00984E1A" w:rsidP="00984E1A">
      <w:pPr>
        <w:spacing w:line="240" w:lineRule="auto"/>
        <w:rPr>
          <w:rFonts w:eastAsia="Times New Roman" w:cs="Arial"/>
          <w:sz w:val="28"/>
          <w:szCs w:val="24"/>
          <w:lang w:eastAsia="bg-BG"/>
        </w:rPr>
      </w:pPr>
      <w:r w:rsidRPr="00984E1A">
        <w:rPr>
          <w:rFonts w:eastAsia="Times New Roman" w:cs="Arial"/>
          <w:color w:val="000000"/>
          <w:szCs w:val="20"/>
          <w:lang w:eastAsia="bg-BG"/>
        </w:rPr>
        <w:t xml:space="preserve">При хора основният път на елиминиране на топирамат в непроменен вид и неговите метаболити е през бъбреците (не по-малко от 81% от дозата). Приблизително 66% от дозата на 14С-топирамат се екскретира в непроменен вид в урината в рамките на 4 дни. След дозиране два пъти на ден с 50 </w:t>
      </w:r>
      <w:r w:rsidRPr="00984E1A">
        <w:rPr>
          <w:rFonts w:eastAsia="Times New Roman" w:cs="Arial"/>
          <w:color w:val="000000"/>
          <w:szCs w:val="20"/>
          <w:lang w:val="en-US"/>
        </w:rPr>
        <w:t xml:space="preserve">mg </w:t>
      </w:r>
      <w:r w:rsidRPr="00984E1A">
        <w:rPr>
          <w:rFonts w:eastAsia="Times New Roman" w:cs="Arial"/>
          <w:color w:val="000000"/>
          <w:szCs w:val="20"/>
          <w:lang w:eastAsia="bg-BG"/>
        </w:rPr>
        <w:t xml:space="preserve">и 100 </w:t>
      </w:r>
      <w:r w:rsidRPr="00984E1A">
        <w:rPr>
          <w:rFonts w:eastAsia="Times New Roman" w:cs="Arial"/>
          <w:color w:val="000000"/>
          <w:szCs w:val="20"/>
          <w:lang w:val="en-US"/>
        </w:rPr>
        <w:t xml:space="preserve">mg </w:t>
      </w:r>
      <w:r w:rsidRPr="00984E1A">
        <w:rPr>
          <w:rFonts w:eastAsia="Times New Roman" w:cs="Arial"/>
          <w:color w:val="000000"/>
          <w:szCs w:val="20"/>
          <w:lang w:eastAsia="bg-BG"/>
        </w:rPr>
        <w:t xml:space="preserve">топирамат средният бъбречен клирънс съответно е приблизително 18 </w:t>
      </w:r>
      <w:r w:rsidRPr="00984E1A">
        <w:rPr>
          <w:rFonts w:eastAsia="Times New Roman" w:cs="Arial"/>
          <w:color w:val="000000"/>
          <w:szCs w:val="20"/>
          <w:lang w:val="en-US"/>
        </w:rPr>
        <w:t xml:space="preserve">ml/min </w:t>
      </w:r>
      <w:r w:rsidRPr="00984E1A">
        <w:rPr>
          <w:rFonts w:eastAsia="Times New Roman" w:cs="Arial"/>
          <w:color w:val="000000"/>
          <w:szCs w:val="20"/>
          <w:lang w:eastAsia="bg-BG"/>
        </w:rPr>
        <w:t xml:space="preserve">и съответно 17 </w:t>
      </w:r>
      <w:r w:rsidRPr="00984E1A">
        <w:rPr>
          <w:rFonts w:eastAsia="Times New Roman" w:cs="Arial"/>
          <w:color w:val="000000"/>
          <w:szCs w:val="20"/>
          <w:lang w:val="en-US"/>
        </w:rPr>
        <w:t xml:space="preserve">ml/min. </w:t>
      </w:r>
      <w:r w:rsidRPr="00984E1A">
        <w:rPr>
          <w:rFonts w:eastAsia="Times New Roman" w:cs="Arial"/>
          <w:color w:val="000000"/>
          <w:szCs w:val="20"/>
          <w:lang w:eastAsia="bg-BG"/>
        </w:rPr>
        <w:t xml:space="preserve">Има данни за бъбречна </w:t>
      </w:r>
      <w:r w:rsidRPr="00984E1A">
        <w:rPr>
          <w:rFonts w:eastAsia="Times New Roman" w:cs="Arial"/>
          <w:color w:val="000000"/>
          <w:szCs w:val="20"/>
          <w:lang w:eastAsia="bg-BG"/>
        </w:rPr>
        <w:lastRenderedPageBreak/>
        <w:t xml:space="preserve">тубулна реабсорбция на топирамат. Това е подкрепено с резултати от изследвания върху плъхове, при които топирамат е приложен едновременно с пробенецид и се наблюдава значително повишаване на бъбречния клирънс на топирамат. Общо плазменият клирънс при хора е от 20 до 30 </w:t>
      </w:r>
      <w:r w:rsidRPr="00984E1A">
        <w:rPr>
          <w:rFonts w:eastAsia="Times New Roman" w:cs="Arial"/>
          <w:color w:val="000000"/>
          <w:szCs w:val="20"/>
          <w:lang w:val="en-US"/>
        </w:rPr>
        <w:t xml:space="preserve">ml/min </w:t>
      </w:r>
      <w:r w:rsidRPr="00984E1A">
        <w:rPr>
          <w:rFonts w:eastAsia="Times New Roman" w:cs="Arial"/>
          <w:color w:val="000000"/>
          <w:szCs w:val="20"/>
          <w:lang w:eastAsia="bg-BG"/>
        </w:rPr>
        <w:t>след перорално приложение.</w:t>
      </w:r>
    </w:p>
    <w:p w14:paraId="19CCEA01" w14:textId="77777777" w:rsidR="00984E1A" w:rsidRPr="00984E1A" w:rsidRDefault="00984E1A" w:rsidP="00984E1A">
      <w:pPr>
        <w:spacing w:line="240" w:lineRule="auto"/>
        <w:rPr>
          <w:rFonts w:eastAsia="Times New Roman" w:cs="Arial"/>
          <w:color w:val="000000"/>
          <w:szCs w:val="20"/>
          <w:lang w:eastAsia="bg-BG"/>
        </w:rPr>
      </w:pPr>
    </w:p>
    <w:p w14:paraId="63D8DCD8" w14:textId="1FF1C986" w:rsidR="00984E1A" w:rsidRPr="00984E1A" w:rsidRDefault="00984E1A" w:rsidP="00984E1A">
      <w:pPr>
        <w:spacing w:line="240" w:lineRule="auto"/>
        <w:rPr>
          <w:rFonts w:eastAsia="Times New Roman" w:cs="Arial"/>
          <w:sz w:val="28"/>
          <w:szCs w:val="24"/>
          <w:lang w:eastAsia="bg-BG"/>
        </w:rPr>
      </w:pPr>
      <w:r w:rsidRPr="00984E1A">
        <w:rPr>
          <w:rFonts w:eastAsia="Times New Roman" w:cs="Arial"/>
          <w:color w:val="000000"/>
          <w:szCs w:val="20"/>
          <w:lang w:eastAsia="bg-BG"/>
        </w:rPr>
        <w:t xml:space="preserve">Топирамат е с ниска вариабилност по отношение на плазмените концентрации при различните пациенти, поради което има предвидима фармакокинетика. Фармакокинетиката на топирамат има линеен характер, като плазменият клирънс остава постоянен, и площта под кривата на плазмената концентрация нараства пропорционално с увеличаване на дозата в диапазона от 100 до 400 </w:t>
      </w:r>
      <w:r w:rsidRPr="00984E1A">
        <w:rPr>
          <w:rFonts w:eastAsia="Times New Roman" w:cs="Arial"/>
          <w:color w:val="000000"/>
          <w:szCs w:val="20"/>
          <w:lang w:val="en-US"/>
        </w:rPr>
        <w:t xml:space="preserve">mg </w:t>
      </w:r>
      <w:r w:rsidRPr="00984E1A">
        <w:rPr>
          <w:rFonts w:eastAsia="Times New Roman" w:cs="Arial"/>
          <w:color w:val="000000"/>
          <w:szCs w:val="20"/>
          <w:lang w:eastAsia="bg-BG"/>
        </w:rPr>
        <w:t xml:space="preserve">еднократна перорална доза при здрави доброволци. При пациенти с нормална бъбречна функция може да изминат от 4 до 8 дни до постигане на стационарни плазмени концентрации. Средната Сшах след многократно приемане на перорална доза от 100 </w:t>
      </w:r>
      <w:r w:rsidRPr="00984E1A">
        <w:rPr>
          <w:rFonts w:eastAsia="Times New Roman" w:cs="Arial"/>
          <w:color w:val="000000"/>
          <w:szCs w:val="20"/>
          <w:lang w:val="en-US"/>
        </w:rPr>
        <w:t xml:space="preserve">mg </w:t>
      </w:r>
      <w:r w:rsidRPr="00984E1A">
        <w:rPr>
          <w:rFonts w:eastAsia="Times New Roman" w:cs="Arial"/>
          <w:color w:val="000000"/>
          <w:szCs w:val="20"/>
          <w:lang w:eastAsia="bg-BG"/>
        </w:rPr>
        <w:t>два пъти дневно при здрави доброволци е 6,76 μ</w:t>
      </w:r>
      <w:r w:rsidRPr="00984E1A">
        <w:rPr>
          <w:rFonts w:eastAsia="Times New Roman" w:cs="Arial"/>
          <w:color w:val="000000"/>
          <w:szCs w:val="20"/>
          <w:lang w:val="en-US"/>
        </w:rPr>
        <w:t>g/</w:t>
      </w:r>
      <w:proofErr w:type="spellStart"/>
      <w:r w:rsidRPr="00984E1A">
        <w:rPr>
          <w:rFonts w:eastAsia="Times New Roman" w:cs="Arial"/>
          <w:color w:val="000000"/>
          <w:szCs w:val="20"/>
          <w:lang w:val="en-US"/>
        </w:rPr>
        <w:t>mk</w:t>
      </w:r>
      <w:proofErr w:type="spellEnd"/>
      <w:r w:rsidRPr="00984E1A">
        <w:rPr>
          <w:rFonts w:eastAsia="Times New Roman" w:cs="Arial"/>
          <w:color w:val="000000"/>
          <w:szCs w:val="20"/>
          <w:lang w:val="en-US"/>
        </w:rPr>
        <w:t xml:space="preserve"> </w:t>
      </w:r>
      <w:r w:rsidRPr="00984E1A">
        <w:rPr>
          <w:rFonts w:eastAsia="Times New Roman" w:cs="Arial"/>
          <w:color w:val="000000"/>
          <w:szCs w:val="20"/>
          <w:lang w:eastAsia="bg-BG"/>
        </w:rPr>
        <w:t xml:space="preserve">След прилагане на многократни дози от 50 </w:t>
      </w:r>
      <w:r w:rsidRPr="00984E1A">
        <w:rPr>
          <w:rFonts w:eastAsia="Times New Roman" w:cs="Arial"/>
          <w:color w:val="000000"/>
          <w:szCs w:val="20"/>
          <w:lang w:val="en-US"/>
        </w:rPr>
        <w:t xml:space="preserve">mg </w:t>
      </w:r>
      <w:r w:rsidRPr="00984E1A">
        <w:rPr>
          <w:rFonts w:eastAsia="Times New Roman" w:cs="Arial"/>
          <w:color w:val="000000"/>
          <w:szCs w:val="20"/>
          <w:lang w:eastAsia="bg-BG"/>
        </w:rPr>
        <w:t xml:space="preserve">и 100 </w:t>
      </w:r>
      <w:r w:rsidRPr="00984E1A">
        <w:rPr>
          <w:rFonts w:eastAsia="Times New Roman" w:cs="Arial"/>
          <w:color w:val="000000"/>
          <w:szCs w:val="20"/>
          <w:lang w:val="en-US"/>
        </w:rPr>
        <w:t xml:space="preserve">mg </w:t>
      </w:r>
      <w:r w:rsidRPr="00984E1A">
        <w:rPr>
          <w:rFonts w:eastAsia="Times New Roman" w:cs="Arial"/>
          <w:color w:val="000000"/>
          <w:szCs w:val="20"/>
          <w:lang w:eastAsia="bg-BG"/>
        </w:rPr>
        <w:t>топирамат два пъти дневно, средният плазмен полуживот е приблизително</w:t>
      </w:r>
      <w:r w:rsidRPr="00984E1A">
        <w:rPr>
          <w:rFonts w:eastAsia="Times New Roman" w:cs="Arial"/>
          <w:color w:val="000000"/>
          <w:szCs w:val="20"/>
          <w:lang w:val="en-US"/>
        </w:rPr>
        <w:t xml:space="preserve"> 21 </w:t>
      </w:r>
      <w:r w:rsidRPr="00984E1A">
        <w:rPr>
          <w:rFonts w:eastAsia="Times New Roman" w:cs="Arial"/>
          <w:color w:val="000000"/>
          <w:szCs w:val="20"/>
          <w:lang w:eastAsia="bg-BG"/>
        </w:rPr>
        <w:t>часа.</w:t>
      </w:r>
    </w:p>
    <w:p w14:paraId="7BD5692F" w14:textId="77777777" w:rsidR="00984E1A" w:rsidRPr="00984E1A" w:rsidRDefault="00984E1A" w:rsidP="00984E1A">
      <w:pPr>
        <w:spacing w:line="240" w:lineRule="auto"/>
        <w:rPr>
          <w:rFonts w:eastAsia="Times New Roman" w:cs="Arial"/>
          <w:color w:val="000000"/>
          <w:szCs w:val="20"/>
          <w:lang w:eastAsia="bg-BG"/>
        </w:rPr>
      </w:pPr>
    </w:p>
    <w:p w14:paraId="148BA3FC" w14:textId="2D9B0726" w:rsidR="0091385D" w:rsidRPr="00984E1A" w:rsidRDefault="00984E1A" w:rsidP="00984E1A">
      <w:pPr>
        <w:spacing w:line="240" w:lineRule="auto"/>
        <w:rPr>
          <w:rFonts w:eastAsia="Times New Roman" w:cs="Arial"/>
          <w:lang w:eastAsia="bg-BG"/>
        </w:rPr>
      </w:pPr>
      <w:r w:rsidRPr="00984E1A">
        <w:rPr>
          <w:rFonts w:eastAsia="Times New Roman" w:cs="Arial"/>
          <w:color w:val="000000"/>
          <w:szCs w:val="20"/>
          <w:lang w:eastAsia="bg-BG"/>
        </w:rPr>
        <w:t xml:space="preserve">Едновременният многократен прием на топирамат от 100 до 400 </w:t>
      </w:r>
      <w:r w:rsidRPr="00984E1A">
        <w:rPr>
          <w:rFonts w:eastAsia="Times New Roman" w:cs="Arial"/>
          <w:color w:val="000000"/>
          <w:szCs w:val="20"/>
          <w:lang w:val="en-US"/>
        </w:rPr>
        <w:t xml:space="preserve">mg </w:t>
      </w:r>
      <w:r w:rsidRPr="00984E1A">
        <w:rPr>
          <w:rFonts w:eastAsia="Times New Roman" w:cs="Arial"/>
          <w:color w:val="000000"/>
          <w:szCs w:val="20"/>
          <w:lang w:eastAsia="bg-BG"/>
        </w:rPr>
        <w:t xml:space="preserve">два пъти дневно с </w:t>
      </w:r>
      <w:r w:rsidRPr="00984E1A">
        <w:rPr>
          <w:rFonts w:eastAsia="Times New Roman" w:cs="Arial"/>
          <w:color w:val="000000"/>
          <w:lang w:eastAsia="bg-BG"/>
        </w:rPr>
        <w:t>фенитоин или карбамазепин показва повишения в плазмената концентрация на топирамат,</w:t>
      </w:r>
      <w:r w:rsidRPr="00984E1A">
        <w:rPr>
          <w:rFonts w:eastAsia="Times New Roman" w:cs="Arial"/>
          <w:lang w:eastAsia="bg-BG"/>
        </w:rPr>
        <w:t xml:space="preserve"> </w:t>
      </w:r>
      <w:r w:rsidRPr="00984E1A">
        <w:rPr>
          <w:rFonts w:eastAsia="Times New Roman" w:cs="Arial"/>
          <w:color w:val="000000"/>
          <w:lang w:eastAsia="bg-BG"/>
        </w:rPr>
        <w:t>пропорционални на дозата.</w:t>
      </w:r>
    </w:p>
    <w:p w14:paraId="3D1D2D6B" w14:textId="239007E6" w:rsidR="00984E1A" w:rsidRPr="00984E1A" w:rsidRDefault="00984E1A" w:rsidP="0091385D">
      <w:pPr>
        <w:rPr>
          <w:rFonts w:cs="Arial"/>
        </w:rPr>
      </w:pPr>
    </w:p>
    <w:p w14:paraId="06CD8B42" w14:textId="77777777" w:rsidR="00984E1A" w:rsidRPr="00984E1A" w:rsidRDefault="00984E1A" w:rsidP="00984E1A">
      <w:pPr>
        <w:spacing w:line="240" w:lineRule="auto"/>
        <w:rPr>
          <w:rFonts w:eastAsia="Times New Roman" w:cs="Arial"/>
          <w:lang w:eastAsia="bg-BG"/>
        </w:rPr>
      </w:pPr>
      <w:r w:rsidRPr="00984E1A">
        <w:rPr>
          <w:rFonts w:eastAsia="Times New Roman" w:cs="Arial"/>
          <w:color w:val="000000"/>
          <w:lang w:eastAsia="bg-BG"/>
        </w:rPr>
        <w:t xml:space="preserve">Плазменият и бъбречният клирънс на топирамат намаляват при пациенти с увредена бъбречна функция </w:t>
      </w:r>
      <w:r w:rsidRPr="00984E1A">
        <w:rPr>
          <w:rFonts w:eastAsia="Times New Roman" w:cs="Arial"/>
          <w:color w:val="000000"/>
          <w:lang w:val="en-US"/>
        </w:rPr>
        <w:t xml:space="preserve">(CLCR </w:t>
      </w:r>
      <w:r w:rsidRPr="00984E1A">
        <w:rPr>
          <w:rFonts w:eastAsia="Times New Roman" w:cs="Arial"/>
          <w:color w:val="000000"/>
          <w:lang w:eastAsia="bg-BG"/>
        </w:rPr>
        <w:t xml:space="preserve">≤ 60 </w:t>
      </w:r>
      <w:r w:rsidRPr="00984E1A">
        <w:rPr>
          <w:rFonts w:eastAsia="Times New Roman" w:cs="Arial"/>
          <w:color w:val="000000"/>
          <w:lang w:val="en-US"/>
        </w:rPr>
        <w:t xml:space="preserve">ml/min), </w:t>
      </w:r>
      <w:r w:rsidRPr="00984E1A">
        <w:rPr>
          <w:rFonts w:eastAsia="Times New Roman" w:cs="Arial"/>
          <w:color w:val="000000"/>
          <w:lang w:eastAsia="bg-BG"/>
        </w:rPr>
        <w:t>а плазменият клирънс на топирамат намалява при пациенти в последен стадий на бъбречно заболяване. В резултат на това се очакват по-високи стационарни плазмени концентрации на топирамат за дадена доза при пациенти с нарушена бъбречна функция в сравнение с пациенти с нормална бъбречна функция. Топирамат ефективно се отстранява от плазмата с хемодиализа.</w:t>
      </w:r>
    </w:p>
    <w:p w14:paraId="17067F23" w14:textId="77777777" w:rsidR="00984E1A" w:rsidRPr="00984E1A" w:rsidRDefault="00984E1A" w:rsidP="00984E1A">
      <w:pPr>
        <w:spacing w:line="240" w:lineRule="auto"/>
        <w:rPr>
          <w:rFonts w:eastAsia="Times New Roman" w:cs="Arial"/>
          <w:color w:val="000000"/>
          <w:lang w:eastAsia="bg-BG"/>
        </w:rPr>
      </w:pPr>
    </w:p>
    <w:p w14:paraId="16641927" w14:textId="7DBB5706" w:rsidR="00984E1A" w:rsidRPr="00984E1A" w:rsidRDefault="00984E1A" w:rsidP="00984E1A">
      <w:pPr>
        <w:spacing w:line="240" w:lineRule="auto"/>
        <w:rPr>
          <w:rFonts w:eastAsia="Times New Roman" w:cs="Arial"/>
          <w:lang w:eastAsia="bg-BG"/>
        </w:rPr>
      </w:pPr>
      <w:r w:rsidRPr="00984E1A">
        <w:rPr>
          <w:rFonts w:eastAsia="Times New Roman" w:cs="Arial"/>
          <w:color w:val="000000"/>
          <w:lang w:eastAsia="bg-BG"/>
        </w:rPr>
        <w:t>Плазменият клирънс на топирамат намалява при пациенти с умерено до тежко чернодробно увреждане. Плазменият клирънс на топирамат остава непроменен при пациенти в напреднала възраст при липса на съпътстващо бъбречно заболяване.</w:t>
      </w:r>
    </w:p>
    <w:p w14:paraId="043198B0" w14:textId="77777777" w:rsidR="00984E1A" w:rsidRPr="00984E1A" w:rsidRDefault="00984E1A" w:rsidP="00984E1A">
      <w:pPr>
        <w:spacing w:line="240" w:lineRule="auto"/>
        <w:rPr>
          <w:rFonts w:eastAsia="Times New Roman" w:cs="Arial"/>
          <w:color w:val="000000"/>
          <w:u w:val="single"/>
          <w:lang w:eastAsia="bg-BG"/>
        </w:rPr>
      </w:pPr>
    </w:p>
    <w:p w14:paraId="1925AD29" w14:textId="6003932A" w:rsidR="00984E1A" w:rsidRPr="00984E1A" w:rsidRDefault="00984E1A" w:rsidP="00984E1A">
      <w:pPr>
        <w:spacing w:line="240" w:lineRule="auto"/>
        <w:rPr>
          <w:rFonts w:eastAsia="Times New Roman" w:cs="Arial"/>
          <w:lang w:eastAsia="bg-BG"/>
        </w:rPr>
      </w:pPr>
      <w:r w:rsidRPr="00984E1A">
        <w:rPr>
          <w:rFonts w:eastAsia="Times New Roman" w:cs="Arial"/>
          <w:color w:val="000000"/>
          <w:u w:val="single"/>
          <w:lang w:eastAsia="bg-BG"/>
        </w:rPr>
        <w:t>Педиатрична популация (фармакокинетика, до 12-годишна възраст)</w:t>
      </w:r>
    </w:p>
    <w:p w14:paraId="678BD1C0" w14:textId="5570B604" w:rsidR="00984E1A" w:rsidRPr="00984E1A" w:rsidRDefault="00984E1A" w:rsidP="00984E1A">
      <w:pPr>
        <w:rPr>
          <w:rFonts w:cs="Arial"/>
        </w:rPr>
      </w:pPr>
      <w:r w:rsidRPr="00984E1A">
        <w:rPr>
          <w:rFonts w:eastAsia="Times New Roman" w:cs="Arial"/>
          <w:color w:val="000000"/>
          <w:lang w:eastAsia="bg-BG"/>
        </w:rPr>
        <w:t xml:space="preserve">Фармакокинетиката на топирамат при деца, подобно на тази при възрастни на допълнителна терапия, е линейна, с клирънс, независещ от дозата и стационарни плазмени концентрации, повишаващи се пропорционално на концентрацията. Децата, обаче, имат по-висок клирънс и по-къс елиминационен полуживот. Следователно, плазмените концентрации на топирамат за една и съща доза в </w:t>
      </w:r>
      <w:r w:rsidRPr="00984E1A">
        <w:rPr>
          <w:rFonts w:eastAsia="Times New Roman" w:cs="Arial"/>
          <w:color w:val="000000"/>
          <w:lang w:val="en-US"/>
        </w:rPr>
        <w:t xml:space="preserve">mg/kg </w:t>
      </w:r>
      <w:r w:rsidRPr="00984E1A">
        <w:rPr>
          <w:rFonts w:eastAsia="Times New Roman" w:cs="Arial"/>
          <w:color w:val="000000"/>
          <w:lang w:eastAsia="bg-BG"/>
        </w:rPr>
        <w:t xml:space="preserve">може да са по-ниски при деца в сравнение </w:t>
      </w:r>
      <w:r w:rsidRPr="00984E1A">
        <w:rPr>
          <w:rFonts w:eastAsia="Times New Roman" w:cs="Arial"/>
          <w:i/>
          <w:iCs/>
          <w:color w:val="000000"/>
          <w:lang w:eastAsia="bg-BG"/>
        </w:rPr>
        <w:t>с</w:t>
      </w:r>
      <w:r w:rsidRPr="00984E1A">
        <w:rPr>
          <w:rFonts w:eastAsia="Times New Roman" w:cs="Arial"/>
          <w:color w:val="000000"/>
          <w:lang w:eastAsia="bg-BG"/>
        </w:rPr>
        <w:t xml:space="preserve"> тези при възрастни. Както и при възрастните, чернодробните ензими, индуциращи антиепилептичните лекарства, намаляват стационарните плазмени концентрации.</w:t>
      </w:r>
    </w:p>
    <w:p w14:paraId="3414F88D" w14:textId="77777777" w:rsidR="00984E1A" w:rsidRPr="0091385D" w:rsidRDefault="00984E1A" w:rsidP="0091385D"/>
    <w:p w14:paraId="648E39DA" w14:textId="44D16CBD" w:rsidR="00CF77F7" w:rsidRDefault="002C50EE" w:rsidP="004A448E">
      <w:pPr>
        <w:pStyle w:val="Heading2"/>
      </w:pPr>
      <w:r>
        <w:t>5.3. Предклинични данни за безопасност</w:t>
      </w:r>
    </w:p>
    <w:p w14:paraId="31455D09" w14:textId="4D0EFBF5" w:rsidR="0091385D" w:rsidRDefault="0091385D" w:rsidP="0091385D"/>
    <w:p w14:paraId="5BCEC921" w14:textId="77777777" w:rsidR="00984E1A" w:rsidRPr="00984E1A" w:rsidRDefault="00984E1A" w:rsidP="00984E1A">
      <w:pPr>
        <w:spacing w:line="240" w:lineRule="auto"/>
        <w:rPr>
          <w:rFonts w:eastAsia="Times New Roman" w:cs="Arial"/>
          <w:lang w:eastAsia="bg-BG"/>
        </w:rPr>
      </w:pPr>
      <w:r w:rsidRPr="00984E1A">
        <w:rPr>
          <w:rFonts w:eastAsia="Times New Roman" w:cs="Arial"/>
          <w:color w:val="000000"/>
          <w:lang w:eastAsia="bg-BG"/>
        </w:rPr>
        <w:t xml:space="preserve">При неклинични изпитвания върху фертилитета, където майчината и бащината токсичност е не по-висока от 8 </w:t>
      </w:r>
      <w:r w:rsidRPr="00984E1A">
        <w:rPr>
          <w:rFonts w:eastAsia="Times New Roman" w:cs="Arial"/>
          <w:color w:val="000000"/>
          <w:lang w:val="en-US"/>
        </w:rPr>
        <w:t xml:space="preserve">mg/kg </w:t>
      </w:r>
      <w:r w:rsidRPr="00984E1A">
        <w:rPr>
          <w:rFonts w:eastAsia="Times New Roman" w:cs="Arial"/>
          <w:color w:val="000000"/>
          <w:lang w:eastAsia="bg-BG"/>
        </w:rPr>
        <w:t xml:space="preserve">дневно, не се наблюдават ефекти по отношение на фертилитета при мъжки и женски плъхове при дози до 100 </w:t>
      </w:r>
      <w:r w:rsidRPr="00984E1A">
        <w:rPr>
          <w:rFonts w:eastAsia="Times New Roman" w:cs="Arial"/>
          <w:color w:val="000000"/>
          <w:lang w:val="en-US"/>
        </w:rPr>
        <w:t xml:space="preserve">mg/kg </w:t>
      </w:r>
      <w:r w:rsidRPr="00984E1A">
        <w:rPr>
          <w:rFonts w:eastAsia="Times New Roman" w:cs="Arial"/>
          <w:color w:val="000000"/>
          <w:lang w:eastAsia="bg-BG"/>
        </w:rPr>
        <w:t>дневно.</w:t>
      </w:r>
    </w:p>
    <w:p w14:paraId="4D76CD1E" w14:textId="77777777" w:rsidR="00984E1A" w:rsidRPr="00984E1A" w:rsidRDefault="00984E1A" w:rsidP="00984E1A">
      <w:pPr>
        <w:spacing w:line="240" w:lineRule="auto"/>
        <w:rPr>
          <w:rFonts w:eastAsia="Times New Roman" w:cs="Arial"/>
          <w:color w:val="000000"/>
          <w:lang w:eastAsia="bg-BG"/>
        </w:rPr>
      </w:pPr>
    </w:p>
    <w:p w14:paraId="2706E210" w14:textId="6110681B" w:rsidR="00984E1A" w:rsidRPr="00984E1A" w:rsidRDefault="00984E1A" w:rsidP="00984E1A">
      <w:pPr>
        <w:spacing w:line="240" w:lineRule="auto"/>
        <w:rPr>
          <w:rFonts w:eastAsia="Times New Roman" w:cs="Arial"/>
          <w:lang w:eastAsia="bg-BG"/>
        </w:rPr>
      </w:pPr>
      <w:r w:rsidRPr="00984E1A">
        <w:rPr>
          <w:rFonts w:eastAsia="Times New Roman" w:cs="Arial"/>
          <w:color w:val="000000"/>
          <w:lang w:eastAsia="bg-BG"/>
        </w:rPr>
        <w:t xml:space="preserve">Предклиничните проучвания на топирамат не показват никакви тератогенни ефекти върху изследваните животински видове (мишки, плъхове, зайци). При мишки теглото на плода намалява, а вкостяването се забавя </w:t>
      </w:r>
      <w:r w:rsidRPr="00984E1A">
        <w:rPr>
          <w:rFonts w:eastAsia="Times New Roman" w:cs="Arial"/>
          <w:i/>
          <w:iCs/>
          <w:color w:val="000000"/>
          <w:lang w:eastAsia="bg-BG"/>
        </w:rPr>
        <w:t>при</w:t>
      </w:r>
      <w:r w:rsidRPr="00984E1A">
        <w:rPr>
          <w:rFonts w:eastAsia="Times New Roman" w:cs="Arial"/>
          <w:color w:val="000000"/>
          <w:lang w:eastAsia="bg-BG"/>
        </w:rPr>
        <w:t xml:space="preserve"> доза от 500 </w:t>
      </w:r>
      <w:r w:rsidRPr="00984E1A">
        <w:rPr>
          <w:rFonts w:eastAsia="Times New Roman" w:cs="Arial"/>
          <w:color w:val="000000"/>
          <w:lang w:val="en-US"/>
        </w:rPr>
        <w:t xml:space="preserve">mg/kg </w:t>
      </w:r>
      <w:r w:rsidRPr="00984E1A">
        <w:rPr>
          <w:rFonts w:eastAsia="Times New Roman" w:cs="Arial"/>
          <w:color w:val="000000"/>
          <w:lang w:eastAsia="bg-BG"/>
        </w:rPr>
        <w:t xml:space="preserve">дневно, което е свързано с </w:t>
      </w:r>
      <w:r w:rsidRPr="00984E1A">
        <w:rPr>
          <w:rFonts w:eastAsia="Times New Roman" w:cs="Arial"/>
          <w:color w:val="000000"/>
          <w:lang w:eastAsia="bg-BG"/>
        </w:rPr>
        <w:lastRenderedPageBreak/>
        <w:t xml:space="preserve">токсичността върху майката. Общият брой на феталните малформации при мишки се увеличава във всички лечебни групи (20, 100 и 500 </w:t>
      </w:r>
      <w:r w:rsidRPr="00984E1A">
        <w:rPr>
          <w:rFonts w:eastAsia="Times New Roman" w:cs="Arial"/>
          <w:color w:val="000000"/>
          <w:lang w:val="en-US"/>
        </w:rPr>
        <w:t xml:space="preserve">mg/kg </w:t>
      </w:r>
      <w:r w:rsidRPr="00984E1A">
        <w:rPr>
          <w:rFonts w:eastAsia="Times New Roman" w:cs="Arial"/>
          <w:color w:val="000000"/>
          <w:lang w:eastAsia="bg-BG"/>
        </w:rPr>
        <w:t>дневно).</w:t>
      </w:r>
    </w:p>
    <w:p w14:paraId="52A6B8E7" w14:textId="77777777" w:rsidR="00984E1A" w:rsidRPr="00984E1A" w:rsidRDefault="00984E1A" w:rsidP="00984E1A">
      <w:pPr>
        <w:spacing w:line="240" w:lineRule="auto"/>
        <w:rPr>
          <w:rFonts w:eastAsia="Times New Roman" w:cs="Arial"/>
          <w:color w:val="000000"/>
          <w:lang w:eastAsia="bg-BG"/>
        </w:rPr>
      </w:pPr>
    </w:p>
    <w:p w14:paraId="4E1B48F1" w14:textId="65FDBF74" w:rsidR="00984E1A" w:rsidRPr="00984E1A" w:rsidRDefault="00984E1A" w:rsidP="00984E1A">
      <w:pPr>
        <w:spacing w:line="240" w:lineRule="auto"/>
        <w:rPr>
          <w:rFonts w:eastAsia="Times New Roman" w:cs="Arial"/>
          <w:lang w:eastAsia="bg-BG"/>
        </w:rPr>
      </w:pPr>
      <w:r w:rsidRPr="00984E1A">
        <w:rPr>
          <w:rFonts w:eastAsia="Times New Roman" w:cs="Arial"/>
          <w:color w:val="000000"/>
          <w:lang w:eastAsia="bg-BG"/>
        </w:rPr>
        <w:t xml:space="preserve">Дозозависима майчина и ембриофетална токсичност (намалено тегло на плода и/ли забавено вкостяване) с минимални стойности до 20 </w:t>
      </w:r>
      <w:r w:rsidRPr="00984E1A">
        <w:rPr>
          <w:rFonts w:eastAsia="Times New Roman" w:cs="Arial"/>
          <w:color w:val="000000"/>
          <w:lang w:val="en-US"/>
        </w:rPr>
        <w:t xml:space="preserve">mg/kg </w:t>
      </w:r>
      <w:r w:rsidRPr="00984E1A">
        <w:rPr>
          <w:rFonts w:eastAsia="Times New Roman" w:cs="Arial"/>
          <w:color w:val="000000"/>
          <w:lang w:eastAsia="bg-BG"/>
        </w:rPr>
        <w:t xml:space="preserve">дневно се наблюдава при плъхове с тератогенни ефекти (дефекти в крайниците и пръстите) при 400 </w:t>
      </w:r>
      <w:r w:rsidRPr="00984E1A">
        <w:rPr>
          <w:rFonts w:eastAsia="Times New Roman" w:cs="Arial"/>
          <w:color w:val="000000"/>
          <w:lang w:val="en-US"/>
        </w:rPr>
        <w:t xml:space="preserve">mg/kg </w:t>
      </w:r>
      <w:r w:rsidRPr="00984E1A">
        <w:rPr>
          <w:rFonts w:eastAsia="Times New Roman" w:cs="Arial"/>
          <w:color w:val="000000"/>
          <w:lang w:eastAsia="bg-BG"/>
        </w:rPr>
        <w:t xml:space="preserve">дневно и повече. Наблюдаваната дозозависима майчина токсичност при зайци е минимум 10 </w:t>
      </w:r>
      <w:r w:rsidRPr="00984E1A">
        <w:rPr>
          <w:rFonts w:eastAsia="Times New Roman" w:cs="Arial"/>
          <w:color w:val="000000"/>
          <w:lang w:val="en-US"/>
        </w:rPr>
        <w:t xml:space="preserve">mg/kg </w:t>
      </w:r>
      <w:r w:rsidRPr="00984E1A">
        <w:rPr>
          <w:rFonts w:eastAsia="Times New Roman" w:cs="Arial"/>
          <w:color w:val="000000"/>
          <w:lang w:eastAsia="bg-BG"/>
        </w:rPr>
        <w:t xml:space="preserve">дневно с ембриофетална токсичност (увеличена смъртност) при дози до 35 </w:t>
      </w:r>
      <w:r w:rsidRPr="00984E1A">
        <w:rPr>
          <w:rFonts w:eastAsia="Times New Roman" w:cs="Arial"/>
          <w:color w:val="000000"/>
          <w:lang w:val="en-US"/>
        </w:rPr>
        <w:t xml:space="preserve">mg/kg </w:t>
      </w:r>
      <w:r w:rsidRPr="00984E1A">
        <w:rPr>
          <w:rFonts w:eastAsia="Times New Roman" w:cs="Arial"/>
          <w:color w:val="000000"/>
          <w:lang w:eastAsia="bg-BG"/>
        </w:rPr>
        <w:t xml:space="preserve">дневно и тератогенни ефекти (малформации на ребрата и гръбначния стълб) при 120 </w:t>
      </w:r>
      <w:r w:rsidRPr="00984E1A">
        <w:rPr>
          <w:rFonts w:eastAsia="Times New Roman" w:cs="Arial"/>
          <w:color w:val="000000"/>
          <w:lang w:val="en-US"/>
        </w:rPr>
        <w:t xml:space="preserve">mg/kg </w:t>
      </w:r>
      <w:r w:rsidRPr="00984E1A">
        <w:rPr>
          <w:rFonts w:eastAsia="Times New Roman" w:cs="Arial"/>
          <w:color w:val="000000"/>
          <w:lang w:eastAsia="bg-BG"/>
        </w:rPr>
        <w:t>дневно.</w:t>
      </w:r>
    </w:p>
    <w:p w14:paraId="644C8100" w14:textId="77777777" w:rsidR="00984E1A" w:rsidRPr="00984E1A" w:rsidRDefault="00984E1A" w:rsidP="00984E1A">
      <w:pPr>
        <w:spacing w:line="240" w:lineRule="auto"/>
        <w:rPr>
          <w:rFonts w:eastAsia="Times New Roman" w:cs="Arial"/>
          <w:color w:val="000000"/>
          <w:lang w:eastAsia="bg-BG"/>
        </w:rPr>
      </w:pPr>
    </w:p>
    <w:p w14:paraId="07CA2A2F" w14:textId="07F53059" w:rsidR="00984E1A" w:rsidRPr="00984E1A" w:rsidRDefault="00984E1A" w:rsidP="00984E1A">
      <w:pPr>
        <w:spacing w:line="240" w:lineRule="auto"/>
        <w:rPr>
          <w:rFonts w:eastAsia="Times New Roman" w:cs="Arial"/>
          <w:lang w:eastAsia="bg-BG"/>
        </w:rPr>
      </w:pPr>
      <w:r w:rsidRPr="00984E1A">
        <w:rPr>
          <w:rFonts w:eastAsia="Times New Roman" w:cs="Arial"/>
          <w:color w:val="000000"/>
          <w:lang w:eastAsia="bg-BG"/>
        </w:rPr>
        <w:t xml:space="preserve">Тетратогенните ефекти при плъхове и зайци са сходни с тези, наблюдавани при инхибиторите на карбоанхидразата, които не са свързани с малформации при хората. Ефектът върху растежа се проявява и с по-ниско тегло при раждане и по време на кърмене на малки плъхове от женски, третирани с дози от 20 или 100 </w:t>
      </w:r>
      <w:r w:rsidRPr="00984E1A">
        <w:rPr>
          <w:rFonts w:eastAsia="Times New Roman" w:cs="Arial"/>
          <w:color w:val="000000"/>
          <w:lang w:val="en-US"/>
        </w:rPr>
        <w:t xml:space="preserve">mg/kg </w:t>
      </w:r>
      <w:r w:rsidRPr="00984E1A">
        <w:rPr>
          <w:rFonts w:eastAsia="Times New Roman" w:cs="Arial"/>
          <w:color w:val="000000"/>
          <w:lang w:eastAsia="bg-BG"/>
        </w:rPr>
        <w:t>дневно по време на бременността и периода на кърмене. При плъхове топирамат преминава през плацентната бариера.</w:t>
      </w:r>
    </w:p>
    <w:p w14:paraId="7E962C49" w14:textId="77777777" w:rsidR="00984E1A" w:rsidRPr="00984E1A" w:rsidRDefault="00984E1A" w:rsidP="00984E1A">
      <w:pPr>
        <w:spacing w:line="240" w:lineRule="auto"/>
        <w:rPr>
          <w:rFonts w:eastAsia="Times New Roman" w:cs="Arial"/>
          <w:color w:val="000000"/>
          <w:lang w:eastAsia="bg-BG"/>
        </w:rPr>
      </w:pPr>
    </w:p>
    <w:p w14:paraId="71C0FE60" w14:textId="61A7D4A8" w:rsidR="00984E1A" w:rsidRPr="00984E1A" w:rsidRDefault="00984E1A" w:rsidP="00984E1A">
      <w:pPr>
        <w:spacing w:line="240" w:lineRule="auto"/>
        <w:rPr>
          <w:rFonts w:eastAsia="Times New Roman" w:cs="Arial"/>
          <w:lang w:eastAsia="bg-BG"/>
        </w:rPr>
      </w:pPr>
      <w:r w:rsidRPr="00984E1A">
        <w:rPr>
          <w:rFonts w:eastAsia="Times New Roman" w:cs="Arial"/>
          <w:color w:val="000000"/>
          <w:lang w:eastAsia="bg-BG"/>
        </w:rPr>
        <w:t xml:space="preserve">Дневният перорален прием на топирамат при млади плъхове в дози от до 300 </w:t>
      </w:r>
      <w:r w:rsidRPr="00984E1A">
        <w:rPr>
          <w:rFonts w:eastAsia="Times New Roman" w:cs="Arial"/>
          <w:color w:val="000000"/>
          <w:lang w:val="en-US"/>
        </w:rPr>
        <w:t xml:space="preserve">mg/kg </w:t>
      </w:r>
      <w:r w:rsidRPr="00984E1A">
        <w:rPr>
          <w:rFonts w:eastAsia="Times New Roman" w:cs="Arial"/>
          <w:color w:val="000000"/>
          <w:lang w:eastAsia="bg-BG"/>
        </w:rPr>
        <w:t>дневно през периода на подрастване, съответстващ на ранно детство, детство и юношество, води до токсичност, подобна на тази при възрастните индивиди (намалена консумация на храна със намалено покачване на теглото, центролобуларна хепатоцелуларна хипертрофия). Не са наблюдавани ефекти върху растежа на дългата кост (голям пищял) или костната (бедрена кост) минерална плътност, развитието до отбиване и репродуктивното развитие, неврологичното.</w:t>
      </w:r>
      <w:r w:rsidRPr="00984E1A">
        <w:rPr>
          <w:rFonts w:eastAsia="Times New Roman" w:cs="Arial"/>
          <w:color w:val="000000"/>
          <w:u w:val="single"/>
          <w:lang w:eastAsia="bg-BG"/>
        </w:rPr>
        <w:t xml:space="preserve"> </w:t>
      </w:r>
      <w:r w:rsidRPr="00984E1A">
        <w:rPr>
          <w:rFonts w:eastAsia="Times New Roman" w:cs="Arial"/>
          <w:color w:val="000000"/>
          <w:lang w:eastAsia="bg-BG"/>
        </w:rPr>
        <w:t>развитие (включително и изследвания върху паметта и способността за учене), репродуктивната способност и фертилитета, или параметрите при хистеротомия.</w:t>
      </w:r>
    </w:p>
    <w:p w14:paraId="13EB96A6" w14:textId="77777777" w:rsidR="00984E1A" w:rsidRPr="00984E1A" w:rsidRDefault="00984E1A" w:rsidP="00984E1A">
      <w:pPr>
        <w:spacing w:line="240" w:lineRule="auto"/>
        <w:rPr>
          <w:rFonts w:eastAsia="Times New Roman" w:cs="Arial"/>
          <w:lang w:eastAsia="bg-BG"/>
        </w:rPr>
      </w:pPr>
    </w:p>
    <w:p w14:paraId="52E4D01A" w14:textId="4FFF15D3" w:rsidR="0091385D" w:rsidRPr="00984E1A" w:rsidRDefault="00984E1A" w:rsidP="00984E1A">
      <w:pPr>
        <w:rPr>
          <w:rFonts w:cs="Arial"/>
        </w:rPr>
      </w:pPr>
      <w:r w:rsidRPr="00984E1A">
        <w:rPr>
          <w:rFonts w:eastAsia="Times New Roman" w:cs="Arial"/>
          <w:color w:val="000000"/>
          <w:lang w:eastAsia="bg-BG"/>
        </w:rPr>
        <w:t xml:space="preserve">При набор от </w:t>
      </w:r>
      <w:r w:rsidRPr="00984E1A">
        <w:rPr>
          <w:rFonts w:eastAsia="Times New Roman" w:cs="Arial"/>
          <w:i/>
          <w:iCs/>
          <w:color w:val="000000"/>
          <w:lang w:val="en-US"/>
        </w:rPr>
        <w:t>in vitro</w:t>
      </w:r>
      <w:r w:rsidRPr="00984E1A">
        <w:rPr>
          <w:rFonts w:eastAsia="Times New Roman" w:cs="Arial"/>
          <w:color w:val="000000"/>
          <w:lang w:val="en-US"/>
        </w:rPr>
        <w:t xml:space="preserve"> </w:t>
      </w:r>
      <w:r w:rsidRPr="00984E1A">
        <w:rPr>
          <w:rFonts w:eastAsia="Times New Roman" w:cs="Arial"/>
          <w:color w:val="000000"/>
          <w:lang w:eastAsia="bg-BG"/>
        </w:rPr>
        <w:t xml:space="preserve">и </w:t>
      </w:r>
      <w:r w:rsidRPr="00984E1A">
        <w:rPr>
          <w:rFonts w:eastAsia="Times New Roman" w:cs="Arial"/>
          <w:i/>
          <w:iCs/>
          <w:color w:val="000000"/>
          <w:lang w:val="en-US"/>
        </w:rPr>
        <w:t>in vivo</w:t>
      </w:r>
      <w:r w:rsidRPr="00984E1A">
        <w:rPr>
          <w:rFonts w:eastAsia="Times New Roman" w:cs="Arial"/>
          <w:color w:val="000000"/>
          <w:lang w:val="en-US"/>
        </w:rPr>
        <w:t xml:space="preserve"> </w:t>
      </w:r>
      <w:r w:rsidRPr="00984E1A">
        <w:rPr>
          <w:rFonts w:eastAsia="Times New Roman" w:cs="Arial"/>
          <w:color w:val="000000"/>
          <w:lang w:eastAsia="bg-BG"/>
        </w:rPr>
        <w:t>изследвания за мутагенност топирамат не е показал генотоксичен потенциал.</w:t>
      </w:r>
    </w:p>
    <w:p w14:paraId="20E967BE" w14:textId="77777777" w:rsidR="0091385D" w:rsidRPr="0091385D" w:rsidRDefault="0091385D" w:rsidP="0091385D"/>
    <w:p w14:paraId="6A7820AB" w14:textId="353DB6D2" w:rsidR="008A6AF2" w:rsidRDefault="002C50EE" w:rsidP="00395555">
      <w:pPr>
        <w:pStyle w:val="Heading1"/>
      </w:pPr>
      <w:r>
        <w:t>7. ПРИТЕЖАТЕЛ НА РАЗРЕШЕНИЕТО ЗА УПОТРЕБА</w:t>
      </w:r>
    </w:p>
    <w:p w14:paraId="1B9B651E" w14:textId="3382E6AC" w:rsidR="0091385D" w:rsidRDefault="0091385D" w:rsidP="0091385D"/>
    <w:p w14:paraId="40182E44" w14:textId="77777777" w:rsidR="00984E1A" w:rsidRPr="00984E1A" w:rsidRDefault="00984E1A" w:rsidP="00984E1A">
      <w:pPr>
        <w:spacing w:line="240" w:lineRule="auto"/>
        <w:rPr>
          <w:rFonts w:eastAsia="Times New Roman" w:cs="Arial"/>
          <w:sz w:val="28"/>
          <w:szCs w:val="24"/>
          <w:lang w:val="en-US" w:eastAsia="bg-BG"/>
        </w:rPr>
      </w:pPr>
      <w:r w:rsidRPr="00984E1A">
        <w:rPr>
          <w:rFonts w:eastAsia="Times New Roman" w:cs="Arial"/>
          <w:color w:val="000000"/>
          <w:szCs w:val="20"/>
          <w:lang w:val="en-US"/>
        </w:rPr>
        <w:t>G. L. Pharma GmbH</w:t>
      </w:r>
    </w:p>
    <w:p w14:paraId="7AB3AC02" w14:textId="77777777" w:rsidR="00984E1A" w:rsidRPr="00984E1A" w:rsidRDefault="00984E1A" w:rsidP="00984E1A">
      <w:pPr>
        <w:spacing w:line="240" w:lineRule="auto"/>
        <w:rPr>
          <w:rFonts w:eastAsia="Times New Roman" w:cs="Arial"/>
          <w:sz w:val="28"/>
          <w:szCs w:val="24"/>
          <w:lang w:val="en-US" w:eastAsia="bg-BG"/>
        </w:rPr>
      </w:pPr>
      <w:proofErr w:type="spellStart"/>
      <w:r w:rsidRPr="00984E1A">
        <w:rPr>
          <w:rFonts w:eastAsia="Times New Roman" w:cs="Arial"/>
          <w:color w:val="000000"/>
          <w:szCs w:val="20"/>
          <w:lang w:val="en-US"/>
        </w:rPr>
        <w:t>Schlossplatz</w:t>
      </w:r>
      <w:proofErr w:type="spellEnd"/>
      <w:r w:rsidRPr="00984E1A">
        <w:rPr>
          <w:rFonts w:eastAsia="Times New Roman" w:cs="Arial"/>
          <w:color w:val="000000"/>
          <w:szCs w:val="20"/>
          <w:lang w:val="en-US"/>
        </w:rPr>
        <w:t xml:space="preserve"> </w:t>
      </w:r>
      <w:r w:rsidRPr="00984E1A">
        <w:rPr>
          <w:rFonts w:eastAsia="Times New Roman" w:cs="Arial"/>
          <w:color w:val="000000"/>
          <w:szCs w:val="20"/>
          <w:lang w:eastAsia="bg-BG"/>
        </w:rPr>
        <w:t>1</w:t>
      </w:r>
    </w:p>
    <w:p w14:paraId="59DAC99A" w14:textId="77777777" w:rsidR="00984E1A" w:rsidRPr="00984E1A" w:rsidRDefault="00984E1A" w:rsidP="00984E1A">
      <w:pPr>
        <w:spacing w:line="240" w:lineRule="auto"/>
        <w:rPr>
          <w:rFonts w:eastAsia="Times New Roman" w:cs="Arial"/>
          <w:sz w:val="28"/>
          <w:szCs w:val="24"/>
          <w:lang w:val="en-US" w:eastAsia="bg-BG"/>
        </w:rPr>
      </w:pPr>
      <w:r w:rsidRPr="00984E1A">
        <w:rPr>
          <w:rFonts w:eastAsia="Times New Roman" w:cs="Arial"/>
          <w:color w:val="000000"/>
          <w:szCs w:val="20"/>
          <w:lang w:eastAsia="bg-BG"/>
        </w:rPr>
        <w:t xml:space="preserve">8502 </w:t>
      </w:r>
      <w:proofErr w:type="spellStart"/>
      <w:r w:rsidRPr="00984E1A">
        <w:rPr>
          <w:rFonts w:eastAsia="Times New Roman" w:cs="Arial"/>
          <w:color w:val="000000"/>
          <w:szCs w:val="20"/>
          <w:lang w:val="en-US"/>
        </w:rPr>
        <w:t>Lannach</w:t>
      </w:r>
      <w:proofErr w:type="spellEnd"/>
    </w:p>
    <w:p w14:paraId="3FD825DB" w14:textId="397502F8" w:rsidR="0091385D" w:rsidRPr="00984E1A" w:rsidRDefault="00984E1A" w:rsidP="00984E1A">
      <w:pPr>
        <w:rPr>
          <w:rFonts w:cs="Arial"/>
          <w:sz w:val="24"/>
        </w:rPr>
      </w:pPr>
      <w:r w:rsidRPr="00984E1A">
        <w:rPr>
          <w:rFonts w:eastAsia="Times New Roman" w:cs="Arial"/>
          <w:color w:val="000000"/>
          <w:szCs w:val="20"/>
          <w:lang w:eastAsia="bg-BG"/>
        </w:rPr>
        <w:t>Австрия</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54CA436A" w:rsidR="0091385D" w:rsidRDefault="0091385D" w:rsidP="0091385D"/>
    <w:p w14:paraId="6E892CE5" w14:textId="53208BEE" w:rsidR="0091385D" w:rsidRPr="00984E1A" w:rsidRDefault="00984E1A" w:rsidP="0091385D">
      <w:pPr>
        <w:rPr>
          <w:rFonts w:cs="Arial"/>
          <w:sz w:val="24"/>
        </w:rPr>
      </w:pPr>
      <w:r w:rsidRPr="00984E1A">
        <w:rPr>
          <w:rFonts w:cs="Arial"/>
          <w:szCs w:val="20"/>
          <w:lang w:eastAsia="bg-BG"/>
        </w:rPr>
        <w:t xml:space="preserve">25 </w:t>
      </w:r>
      <w:r w:rsidRPr="00984E1A">
        <w:rPr>
          <w:rFonts w:cs="Arial"/>
          <w:szCs w:val="20"/>
        </w:rPr>
        <w:t xml:space="preserve">mg: </w:t>
      </w:r>
      <w:r w:rsidRPr="00984E1A">
        <w:rPr>
          <w:rFonts w:cs="Arial"/>
          <w:szCs w:val="20"/>
          <w:lang w:eastAsia="bg-BG"/>
        </w:rPr>
        <w:t xml:space="preserve">20090007; 50 </w:t>
      </w:r>
      <w:r w:rsidRPr="00984E1A">
        <w:rPr>
          <w:rFonts w:cs="Arial"/>
          <w:szCs w:val="20"/>
        </w:rPr>
        <w:t>mg: 20090008; 100 mg: 20090009</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0F79A9B4" w:rsidR="0091385D" w:rsidRDefault="0091385D" w:rsidP="0091385D"/>
    <w:p w14:paraId="497007FA" w14:textId="4783D7AF" w:rsidR="0091385D" w:rsidRPr="00984E1A" w:rsidRDefault="00984E1A" w:rsidP="0091385D">
      <w:pPr>
        <w:rPr>
          <w:rFonts w:cs="Arial"/>
          <w:sz w:val="24"/>
        </w:rPr>
      </w:pPr>
      <w:r w:rsidRPr="00984E1A">
        <w:rPr>
          <w:rFonts w:cs="Arial"/>
          <w:szCs w:val="20"/>
        </w:rPr>
        <w:lastRenderedPageBreak/>
        <w:t>19.01.2009/19.08.2014</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34E0D3BB" w:rsidR="0091385D" w:rsidRDefault="0091385D" w:rsidP="0091385D"/>
    <w:p w14:paraId="30276F52" w14:textId="689D7977" w:rsidR="0091385D" w:rsidRPr="00984E1A" w:rsidRDefault="00984E1A" w:rsidP="0091385D">
      <w:pPr>
        <w:rPr>
          <w:rFonts w:cs="Arial"/>
          <w:sz w:val="24"/>
        </w:rPr>
      </w:pPr>
      <w:r w:rsidRPr="00984E1A">
        <w:rPr>
          <w:rFonts w:cs="Arial"/>
          <w:szCs w:val="20"/>
        </w:rPr>
        <w:t>август/2019</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51F5F60"/>
    <w:multiLevelType w:val="hybridMultilevel"/>
    <w:tmpl w:val="3D9C12C2"/>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2D6094"/>
    <w:multiLevelType w:val="hybridMultilevel"/>
    <w:tmpl w:val="D62CE07C"/>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770221"/>
    <w:multiLevelType w:val="hybridMultilevel"/>
    <w:tmpl w:val="95401F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591DC6"/>
    <w:multiLevelType w:val="hybridMultilevel"/>
    <w:tmpl w:val="CEDEB3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3"/>
  </w:num>
  <w:num w:numId="4">
    <w:abstractNumId w:val="3"/>
  </w:num>
  <w:num w:numId="5">
    <w:abstractNumId w:val="1"/>
  </w:num>
  <w:num w:numId="6">
    <w:abstractNumId w:val="16"/>
  </w:num>
  <w:num w:numId="7">
    <w:abstractNumId w:val="11"/>
  </w:num>
  <w:num w:numId="8">
    <w:abstractNumId w:val="15"/>
  </w:num>
  <w:num w:numId="9">
    <w:abstractNumId w:val="2"/>
  </w:num>
  <w:num w:numId="10">
    <w:abstractNumId w:val="4"/>
  </w:num>
  <w:num w:numId="11">
    <w:abstractNumId w:val="32"/>
  </w:num>
  <w:num w:numId="12">
    <w:abstractNumId w:val="14"/>
  </w:num>
  <w:num w:numId="13">
    <w:abstractNumId w:val="19"/>
  </w:num>
  <w:num w:numId="14">
    <w:abstractNumId w:val="12"/>
  </w:num>
  <w:num w:numId="15">
    <w:abstractNumId w:val="31"/>
  </w:num>
  <w:num w:numId="16">
    <w:abstractNumId w:val="9"/>
  </w:num>
  <w:num w:numId="17">
    <w:abstractNumId w:val="25"/>
  </w:num>
  <w:num w:numId="18">
    <w:abstractNumId w:val="7"/>
  </w:num>
  <w:num w:numId="19">
    <w:abstractNumId w:val="28"/>
  </w:num>
  <w:num w:numId="20">
    <w:abstractNumId w:val="23"/>
  </w:num>
  <w:num w:numId="21">
    <w:abstractNumId w:val="17"/>
  </w:num>
  <w:num w:numId="22">
    <w:abstractNumId w:val="26"/>
  </w:num>
  <w:num w:numId="23">
    <w:abstractNumId w:val="18"/>
  </w:num>
  <w:num w:numId="24">
    <w:abstractNumId w:val="8"/>
  </w:num>
  <w:num w:numId="25">
    <w:abstractNumId w:val="22"/>
  </w:num>
  <w:num w:numId="26">
    <w:abstractNumId w:val="21"/>
  </w:num>
  <w:num w:numId="27">
    <w:abstractNumId w:val="34"/>
  </w:num>
  <w:num w:numId="28">
    <w:abstractNumId w:val="6"/>
  </w:num>
  <w:num w:numId="29">
    <w:abstractNumId w:val="20"/>
  </w:num>
  <w:num w:numId="30">
    <w:abstractNumId w:val="37"/>
  </w:num>
  <w:num w:numId="31">
    <w:abstractNumId w:val="5"/>
  </w:num>
  <w:num w:numId="32">
    <w:abstractNumId w:val="36"/>
  </w:num>
  <w:num w:numId="33">
    <w:abstractNumId w:val="30"/>
  </w:num>
  <w:num w:numId="34">
    <w:abstractNumId w:val="35"/>
  </w:num>
  <w:num w:numId="35">
    <w:abstractNumId w:val="10"/>
  </w:num>
  <w:num w:numId="36">
    <w:abstractNumId w:val="24"/>
  </w:num>
  <w:num w:numId="37">
    <w:abstractNumId w:val="27"/>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02DA6"/>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70A2"/>
    <w:rsid w:val="008F1AF3"/>
    <w:rsid w:val="0091385D"/>
    <w:rsid w:val="009773E4"/>
    <w:rsid w:val="00984E1A"/>
    <w:rsid w:val="009B171C"/>
    <w:rsid w:val="009F1313"/>
    <w:rsid w:val="00A044E7"/>
    <w:rsid w:val="00A20351"/>
    <w:rsid w:val="00A65A81"/>
    <w:rsid w:val="00A73575"/>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B6364"/>
    <w:rsid w:val="00ED72A8"/>
    <w:rsid w:val="00F37B64"/>
    <w:rsid w:val="00FD69E8"/>
    <w:rsid w:val="00FE7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8865</Words>
  <Characters>50534</Characters>
  <Application>Microsoft Office Word</Application>
  <DocSecurity>0</DocSecurity>
  <Lines>421</Lines>
  <Paragraphs>118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2022-12-03T16:56:00Z</dcterms:created>
  <dcterms:modified xsi:type="dcterms:W3CDTF">2022-12-03T16:56:00Z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