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11E64E20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Топогин 400 микрограма таблетки</w:t>
      </w:r>
    </w:p>
    <w:p w14:paraId="69AC8148" w14:textId="4B4FD0C1" w:rsidR="00EC41ED" w:rsidRPr="00DA119F" w:rsidRDefault="00DA119F" w:rsidP="00DA119F">
      <w:pPr>
        <w:rPr>
          <w:rFonts w:cs="Arial"/>
        </w:rPr>
      </w:pPr>
      <w:proofErr w:type="spellStart"/>
      <w:r w:rsidRPr="00DA119F">
        <w:rPr>
          <w:rFonts w:eastAsia="Times New Roman" w:cs="Arial"/>
          <w:color w:val="000000"/>
          <w:lang w:val="en-US"/>
        </w:rPr>
        <w:t>Topogyne</w:t>
      </w:r>
      <w:proofErr w:type="spellEnd"/>
      <w:r w:rsidRPr="00DA119F">
        <w:rPr>
          <w:rFonts w:eastAsia="Times New Roman" w:cs="Arial"/>
          <w:color w:val="000000"/>
          <w:lang w:val="en-US"/>
        </w:rPr>
        <w:t xml:space="preserve"> </w:t>
      </w:r>
      <w:r w:rsidRPr="00DA119F">
        <w:rPr>
          <w:rFonts w:eastAsia="Times New Roman" w:cs="Arial"/>
          <w:color w:val="000000"/>
          <w:lang w:eastAsia="bg-BG"/>
        </w:rPr>
        <w:t xml:space="preserve">400 </w:t>
      </w:r>
      <w:r w:rsidRPr="00DA119F">
        <w:rPr>
          <w:rFonts w:eastAsia="Times New Roman" w:cs="Arial"/>
          <w:color w:val="000000"/>
          <w:lang w:val="en-US"/>
        </w:rPr>
        <w:t>micrograms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3FB90CD8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Една таблетка съдържа 400 микрограма мизопростол </w:t>
      </w:r>
      <w:r w:rsidRPr="00DA119F">
        <w:rPr>
          <w:rFonts w:eastAsia="Times New Roman" w:cs="Arial"/>
          <w:color w:val="000000"/>
          <w:lang w:val="en-US"/>
        </w:rPr>
        <w:t>(misoprostol).</w:t>
      </w:r>
    </w:p>
    <w:p w14:paraId="72629A0E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54632B43" w14:textId="4A8F3149" w:rsidR="00EC41ED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008428B5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Таблетка</w:t>
      </w:r>
    </w:p>
    <w:p w14:paraId="691A6A4A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Бели, кръгли, плоски таблетки с диаметър от 11 </w:t>
      </w:r>
      <w:r w:rsidRPr="00DA119F">
        <w:rPr>
          <w:rFonts w:eastAsia="Times New Roman" w:cs="Arial"/>
          <w:color w:val="000000"/>
          <w:lang w:val="en-US"/>
        </w:rPr>
        <w:t xml:space="preserve">mm </w:t>
      </w:r>
      <w:r w:rsidRPr="00DA119F">
        <w:rPr>
          <w:rFonts w:eastAsia="Times New Roman" w:cs="Arial"/>
          <w:color w:val="000000"/>
          <w:lang w:eastAsia="bg-BG"/>
        </w:rPr>
        <w:t xml:space="preserve">и дебелина 4,5 </w:t>
      </w:r>
      <w:r w:rsidRPr="00DA119F">
        <w:rPr>
          <w:rFonts w:eastAsia="Times New Roman" w:cs="Arial"/>
          <w:color w:val="000000"/>
          <w:lang w:val="en-US"/>
        </w:rPr>
        <w:t xml:space="preserve">mm, </w:t>
      </w:r>
      <w:r w:rsidRPr="00DA119F">
        <w:rPr>
          <w:rFonts w:eastAsia="Times New Roman" w:cs="Arial"/>
          <w:color w:val="000000"/>
          <w:lang w:eastAsia="bg-BG"/>
        </w:rPr>
        <w:t>с делителна черта от всяка страна и двоен гравиран надпис “М” от едната страна.</w:t>
      </w:r>
    </w:p>
    <w:p w14:paraId="093AE0BA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743244F0" w14:textId="1E2EECB0" w:rsidR="00EC41ED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>Таблетката може да бъде разделена на две равни дози.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326DA1B2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14:paraId="2F83EFB0" w14:textId="77777777" w:rsidTr="00DA119F">
        <w:tc>
          <w:tcPr>
            <w:tcW w:w="9350" w:type="dxa"/>
          </w:tcPr>
          <w:p w14:paraId="40343FE4" w14:textId="713020E5" w:rsidR="00DA119F" w:rsidRDefault="00DA119F" w:rsidP="0091385D">
            <w:r>
              <w:t>Аптипрогестеронът мифепристон и простагландиновият аналог мизопростол за прекъсване на бременност могат да бъдат предписвани и прилагани само в съответствие с националните закони и подзаконови актове на съответната държава.</w:t>
            </w:r>
          </w:p>
        </w:tc>
      </w:tr>
    </w:tbl>
    <w:p w14:paraId="32E0EC0D" w14:textId="77777777" w:rsidR="00DA119F" w:rsidRDefault="00DA119F" w:rsidP="0091385D"/>
    <w:p w14:paraId="0F365528" w14:textId="77777777" w:rsidR="00DA119F" w:rsidRPr="0091385D" w:rsidRDefault="00DA119F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EF2764F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Медикаментозно прекъсване на развиваща се вътрематочна бременност, с последователна употреба на мифепристон, до 49 дни от аменореята (вж. точка 4.2.).</w:t>
      </w:r>
    </w:p>
    <w:p w14:paraId="3FEAE81F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B16DCD" w14:textId="7DAF0F4D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Подготовка на шийката на матката преди хирургично прекъсване на бременност в първия триместър.</w:t>
      </w:r>
    </w:p>
    <w:p w14:paraId="3C8E12AC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6DFA4B9D" w14:textId="31D7BD83" w:rsidR="0091385D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>Мизопростол е показан за употреба при възрастни.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3AD5279C" w14:textId="77777777" w:rsidR="00DA119F" w:rsidRPr="00DA119F" w:rsidRDefault="00DA119F" w:rsidP="00DA119F">
      <w:pPr>
        <w:pStyle w:val="Heading3"/>
        <w:rPr>
          <w:rFonts w:eastAsia="Times New Roman"/>
          <w:u w:val="single"/>
          <w:lang w:eastAsia="bg-BG"/>
        </w:rPr>
      </w:pPr>
      <w:r w:rsidRPr="00DA119F">
        <w:rPr>
          <w:rFonts w:eastAsia="Times New Roman"/>
          <w:u w:val="single"/>
          <w:lang w:eastAsia="bg-BG"/>
        </w:rPr>
        <w:lastRenderedPageBreak/>
        <w:t>Дозировка</w:t>
      </w:r>
    </w:p>
    <w:p w14:paraId="294D678D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5D50E8" w14:textId="773437CB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• </w:t>
      </w:r>
      <w:r w:rsidRPr="00DA119F">
        <w:rPr>
          <w:rFonts w:eastAsia="Times New Roman" w:cs="Arial"/>
          <w:color w:val="000000"/>
          <w:u w:val="single"/>
          <w:lang w:eastAsia="bg-BG"/>
        </w:rPr>
        <w:t>Медикаментозно прекъсване на вътрематочно развиваща се бременност, в последователна употреба с мифепристон до 49 дни от аменореята.</w:t>
      </w:r>
    </w:p>
    <w:p w14:paraId="691EF7A9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7FBF1BCE" w14:textId="641001DB" w:rsidR="00EC41ED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Мизопростол се приема като еднократна перорална доза от 400 микрограма от 36 до 48 часа след приема на еднократна перорална доза от 600 </w:t>
      </w:r>
      <w:r w:rsidRPr="00DA119F">
        <w:rPr>
          <w:rFonts w:eastAsia="Times New Roman" w:cs="Arial"/>
          <w:color w:val="000000"/>
          <w:lang w:val="en-US"/>
        </w:rPr>
        <w:t xml:space="preserve">mg </w:t>
      </w:r>
      <w:r w:rsidRPr="00DA119F">
        <w:rPr>
          <w:rFonts w:eastAsia="Times New Roman" w:cs="Arial"/>
          <w:color w:val="000000"/>
          <w:lang w:eastAsia="bg-BG"/>
        </w:rPr>
        <w:t>мифепристон. Описанието на продукта мифепристон съдържа информация относно дозировката на</w:t>
      </w:r>
      <w:r w:rsidRPr="00DA119F">
        <w:rPr>
          <w:rFonts w:eastAsia="Times New Roman" w:cs="Arial"/>
          <w:color w:val="000000"/>
          <w:lang w:val="en-US"/>
        </w:rPr>
        <w:t xml:space="preserve"> </w:t>
      </w:r>
      <w:r w:rsidRPr="00DA119F">
        <w:rPr>
          <w:rFonts w:eastAsia="Times New Roman" w:cs="Arial"/>
          <w:color w:val="000000"/>
          <w:lang w:eastAsia="bg-BG"/>
        </w:rPr>
        <w:t>мифепристон.</w:t>
      </w:r>
    </w:p>
    <w:p w14:paraId="55242B3D" w14:textId="679BA69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7FB6EF8D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В случай на повръщане до 30 минути след приема може да доведе до намаляване на ефикасността на мизопростол: при такъв случай се препоръчва прием на нова таблетка от 400 микрограма мизопростол.</w:t>
      </w:r>
    </w:p>
    <w:p w14:paraId="2810F5C7" w14:textId="19B39621" w:rsidR="00DA119F" w:rsidRPr="00DA119F" w:rsidRDefault="00DA119F" w:rsidP="00DA119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Подготовка на шийката на матката преди хирургично прекъсване на бременност в първия триместър:</w:t>
      </w:r>
    </w:p>
    <w:p w14:paraId="1D6D4A43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B18905" w14:textId="4C70C61E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Мизопростол се приема като еднократна перорална доза от 400 микрограма от 3 до 4 часа преди хирургичната процедура.</w:t>
      </w:r>
    </w:p>
    <w:p w14:paraId="54CB1121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E2415D" w14:textId="04C6AC42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В случай на повръщане до 30 минути след приема може да доведе до намаляване на ефикасността на мизопростол: при такъв случай се препоръчва прием на нова таблетка от 400 микрограма мизопростол.</w:t>
      </w:r>
    </w:p>
    <w:p w14:paraId="43A8A457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F23746" w14:textId="0D5CFED3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9F8C7F6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3F2B88" w14:textId="37B58695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Съществуват ограничени данни за употребата на мизопростол при юноши (момичета).</w:t>
      </w:r>
    </w:p>
    <w:p w14:paraId="1736E9CA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75D599" w14:textId="681C0D4B" w:rsidR="00DA119F" w:rsidRPr="00DA119F" w:rsidRDefault="00DA119F" w:rsidP="00DA119F">
      <w:pPr>
        <w:pStyle w:val="Heading3"/>
        <w:rPr>
          <w:rFonts w:eastAsia="Times New Roman"/>
          <w:u w:val="single"/>
          <w:lang w:eastAsia="bg-BG"/>
        </w:rPr>
      </w:pPr>
      <w:r w:rsidRPr="00DA119F">
        <w:rPr>
          <w:rFonts w:eastAsia="Times New Roman"/>
          <w:u w:val="single"/>
          <w:lang w:eastAsia="bg-BG"/>
        </w:rPr>
        <w:t>Начин на приложение</w:t>
      </w:r>
    </w:p>
    <w:p w14:paraId="76400CA4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5952CA1E" w14:textId="30B3A14E" w:rsidR="00DA119F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 xml:space="preserve">Таблетките мизопростол са </w:t>
      </w:r>
      <w:r w:rsidRPr="00DA119F">
        <w:rPr>
          <w:rFonts w:eastAsia="Times New Roman" w:cs="Arial"/>
          <w:b/>
          <w:bCs/>
          <w:color w:val="000000"/>
          <w:lang w:eastAsia="bg-BG"/>
        </w:rPr>
        <w:t xml:space="preserve">само за перорално приложение </w:t>
      </w:r>
      <w:r w:rsidRPr="00DA119F">
        <w:rPr>
          <w:rFonts w:eastAsia="Times New Roman" w:cs="Arial"/>
          <w:color w:val="000000"/>
          <w:lang w:eastAsia="bg-BG"/>
        </w:rPr>
        <w:t>и не трябва да се прилага друг начин на приложение.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5738A531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i/>
          <w:iCs/>
          <w:color w:val="000000"/>
          <w:lang w:eastAsia="bg-BG"/>
        </w:rPr>
        <w:t>• Във всички случаи:</w:t>
      </w:r>
    </w:p>
    <w:p w14:paraId="56C66125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CA0E88" w14:textId="77777777" w:rsidR="00DA119F" w:rsidRPr="00DA119F" w:rsidRDefault="00DA119F" w:rsidP="00DA119F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Свръхчувствителност към мизопростол или към други простагландини или към някое от помощните вещества, изброени в точка 6.1.</w:t>
      </w:r>
    </w:p>
    <w:p w14:paraId="5A6D4F57" w14:textId="7B5436DF" w:rsidR="00DA119F" w:rsidRPr="00DA119F" w:rsidRDefault="00DA119F" w:rsidP="00DA119F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Бременност, която не е потвърдена с ехография или с биологични изследвания</w:t>
      </w:r>
    </w:p>
    <w:p w14:paraId="2E89B431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Съмнение за ектопична бременност</w:t>
      </w:r>
    </w:p>
    <w:p w14:paraId="212F20D3" w14:textId="77777777" w:rsidR="00DA119F" w:rsidRPr="00DA119F" w:rsidRDefault="00DA119F" w:rsidP="00DA119F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3D291BE" w14:textId="13899BEA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i/>
          <w:iCs/>
          <w:color w:val="000000"/>
          <w:lang w:eastAsia="bg-BG"/>
        </w:rPr>
        <w:t>За показание медикаментозно прекъсване на бременност, в комбинация с мифепристон:</w:t>
      </w:r>
    </w:p>
    <w:p w14:paraId="4FB6FA97" w14:textId="77777777" w:rsidR="00DA119F" w:rsidRPr="00DA119F" w:rsidRDefault="00DA119F" w:rsidP="00DA119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Противопоказания за мифепристон</w:t>
      </w:r>
    </w:p>
    <w:p w14:paraId="31B49C7A" w14:textId="196841F4" w:rsidR="00DA119F" w:rsidRPr="00DA119F" w:rsidRDefault="00DA119F" w:rsidP="00DA119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Бременност на повече от 49 дни от аменореята</w:t>
      </w:r>
    </w:p>
    <w:p w14:paraId="47A705C5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030B6A4D" w14:textId="6D95411D" w:rsidR="00EC41ED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Когато мизопростол се използва в комбинация с мифепристон, моля, вижте за справка също и противопоказанията за тази форма на мифепристона.</w:t>
      </w:r>
    </w:p>
    <w:p w14:paraId="0CBE5391" w14:textId="03E3C1C1" w:rsidR="00DA119F" w:rsidRPr="0091385D" w:rsidRDefault="00DA119F" w:rsidP="0091385D"/>
    <w:p w14:paraId="212F509C" w14:textId="52B87D4F" w:rsidR="004F498A" w:rsidRDefault="002C50EE" w:rsidP="004A448E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538CC295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cs="Arial"/>
          <w:b/>
          <w:bCs/>
          <w:i/>
          <w:iCs/>
        </w:rPr>
        <w:t>• Във всички случаи:</w:t>
      </w:r>
    </w:p>
    <w:p w14:paraId="5A11B42E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:rsidRPr="00DA119F" w14:paraId="005AB289" w14:textId="77777777" w:rsidTr="00F32DB0">
        <w:tc>
          <w:tcPr>
            <w:tcW w:w="9350" w:type="dxa"/>
          </w:tcPr>
          <w:p w14:paraId="743A31AF" w14:textId="77777777" w:rsidR="00DA119F" w:rsidRPr="00DA119F" w:rsidRDefault="00DA119F" w:rsidP="00F32DB0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Поради липса на специални проучвания, мизопростол не се препоръчва за употреба при пациенти с:</w:t>
            </w:r>
          </w:p>
          <w:p w14:paraId="7790F2C5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Недоимъчно хранене</w:t>
            </w:r>
          </w:p>
          <w:p w14:paraId="0EBE5480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Чернодробна недостатъчност</w:t>
            </w:r>
          </w:p>
          <w:p w14:paraId="36BC5964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Бъбречна недостатъчност</w:t>
            </w:r>
          </w:p>
          <w:p w14:paraId="72BE0F37" w14:textId="77777777" w:rsidR="00DA119F" w:rsidRPr="00DA119F" w:rsidRDefault="00DA119F" w:rsidP="00F32DB0">
            <w:pPr>
              <w:rPr>
                <w:rFonts w:cs="Arial"/>
              </w:rPr>
            </w:pPr>
          </w:p>
        </w:tc>
      </w:tr>
    </w:tbl>
    <w:p w14:paraId="327FE77F" w14:textId="77777777" w:rsidR="00DA119F" w:rsidRPr="00DA119F" w:rsidRDefault="00DA119F" w:rsidP="00DA119F">
      <w:pPr>
        <w:rPr>
          <w:rFonts w:cs="Arial"/>
        </w:rPr>
      </w:pPr>
    </w:p>
    <w:p w14:paraId="6FE0AFAD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DA119F">
        <w:rPr>
          <w:rFonts w:eastAsia="Times New Roman" w:cs="Arial"/>
          <w:b/>
          <w:bCs/>
          <w:color w:val="000000"/>
          <w:lang w:eastAsia="bg-BG"/>
        </w:rPr>
        <w:t>Предупреждения</w:t>
      </w:r>
      <w:bookmarkEnd w:id="1"/>
    </w:p>
    <w:p w14:paraId="19C08573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Поради свойствата си да предизвиква аборт, мизопростол никога не трябва да се използва при бременни жени, които желаят да износят докрай тази бременност.</w:t>
      </w:r>
    </w:p>
    <w:p w14:paraId="09CC3B29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Гестационната възраст трябва да се определи в разговор с пациентката и чрез клиничен преглед. Във всички случаи се препоръчва ехография на матката.</w:t>
      </w:r>
    </w:p>
    <w:p w14:paraId="7B065813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6DDC58" w14:textId="77777777" w:rsidR="00DA119F" w:rsidRPr="00DA119F" w:rsidRDefault="00DA119F" w:rsidP="00DA119F">
      <w:pPr>
        <w:pStyle w:val="ListParagraph"/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Друго</w:t>
      </w:r>
    </w:p>
    <w:p w14:paraId="3AAAF728" w14:textId="77777777" w:rsidR="00DA119F" w:rsidRPr="00DA119F" w:rsidRDefault="00DA119F" w:rsidP="00DA119F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Поради наличието на рициново масло, има риск от сензибилизация.</w:t>
      </w:r>
    </w:p>
    <w:p w14:paraId="4BD8958B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EEDD16F" w14:textId="77777777" w:rsidR="00DA119F" w:rsidRPr="00DA119F" w:rsidRDefault="00DA119F" w:rsidP="00DA119F">
      <w:pPr>
        <w:pStyle w:val="ListParagraph"/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Тератогенност</w:t>
      </w:r>
    </w:p>
    <w:p w14:paraId="1488644C" w14:textId="77777777" w:rsidR="00DA119F" w:rsidRPr="00DA119F" w:rsidRDefault="00DA119F" w:rsidP="00DA119F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Пациентките, които решат да износят бременността си след лечение, трябва да бъдат информирани за риска от тератогенност. Този риск е присъщ за целта на схемата на приложение на мифепристон и мизопростол или мизопростол самостоятелно и нараства при използване на схеми, които са различни от посочената в точка 4.2. Дозировка и начин на приложение. Експозицията на фетуса на мизопростол или мифепростон повишава риска от развитие на синдром на Мьобиус и/или синдром на пристягане от амниотични върви, и/или аномалии на централната нервна система (вж. Точка 4.6). Трябва да се обмисли втора процедура за прекъсване на бременността. В случай на продължаване на бременността, е необходимо проследяване чрез ултразвуково изследване в специализирани центрове.</w:t>
      </w:r>
    </w:p>
    <w:p w14:paraId="4F7C6A56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3083DF4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Резус алоимунизация</w:t>
      </w:r>
    </w:p>
    <w:p w14:paraId="1E3DBC3E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Медикаментозното прекъсване на бременността налага определяне на резус-фактора и съответна профилактика на резус алоимунизация, както и прилагане на другите общи мерки, които обичайно се предприемат при прекъсване на бременността.</w:t>
      </w:r>
    </w:p>
    <w:p w14:paraId="416B6114" w14:textId="77777777" w:rsidR="00DA119F" w:rsidRPr="00DA119F" w:rsidRDefault="00DA119F" w:rsidP="00DA11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4F780BD7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color w:val="000000"/>
          <w:lang w:eastAsia="bg-BG"/>
        </w:rPr>
        <w:t>Предпазни мерки при употреба</w:t>
      </w:r>
      <w:bookmarkEnd w:id="2"/>
    </w:p>
    <w:p w14:paraId="4B6B0D33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4E62C0D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Сърдечносъдов риск</w:t>
      </w:r>
    </w:p>
    <w:p w14:paraId="6D34D659" w14:textId="77777777" w:rsidR="00DA119F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>Редки, но сериозни сърдечносъдови инциденти (миокарден инфаркт и/или спазъм на коронарните артерии и тежка хипотония) са съобщавани след интравагинално и интрамускулно прилагане на висока доза на аналог на простагландина, включително от мизопростол. Поради това жените с рискови фактори за сърдечносъдова болест (напр. възраст над 35 години с хронично тютюнопушене, хиперлипидемия, диабет) или установена сърдечносъдова болест трябва да се лекуват с повишено внимание.</w:t>
      </w:r>
    </w:p>
    <w:p w14:paraId="1F0FF631" w14:textId="77777777" w:rsidR="00DA119F" w:rsidRPr="00DA119F" w:rsidRDefault="00DA119F" w:rsidP="00DA119F">
      <w:pPr>
        <w:rPr>
          <w:rFonts w:cs="Arial"/>
        </w:rPr>
      </w:pPr>
    </w:p>
    <w:p w14:paraId="426471F8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Започване на контрацепция след прекъсване на бременност</w:t>
      </w:r>
    </w:p>
    <w:p w14:paraId="22750B77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lastRenderedPageBreak/>
        <w:t>В условията на клинични изпитвания, нови забременявалия са настъпили в периода между експулсията на ембриона и възстановяването на менструацията. Поради това, когато прекъсването на бременността, бъде медицински потвърдено, се препоръчва незабавно започване на контрацепция.</w:t>
      </w:r>
    </w:p>
    <w:p w14:paraId="7F459BEF" w14:textId="77777777" w:rsidR="00DA119F" w:rsidRPr="00DA119F" w:rsidRDefault="00DA119F" w:rsidP="00DA119F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C7C1982" w14:textId="77777777" w:rsidR="00DA119F" w:rsidRPr="00DA119F" w:rsidRDefault="00DA119F" w:rsidP="00DA119F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i/>
          <w:iCs/>
          <w:color w:val="000000"/>
          <w:lang w:eastAsia="bg-BG"/>
        </w:rPr>
        <w:t>Медикаментозно прекъсване на вътрематочно развиваща се бременност, в последователна употреба с мифепристон до 49-ти ден от аменореята.</w:t>
      </w:r>
    </w:p>
    <w:p w14:paraId="2FEB6978" w14:textId="77777777" w:rsidR="00DA119F" w:rsidRPr="00DA119F" w:rsidRDefault="00DA119F" w:rsidP="00DA119F">
      <w:pPr>
        <w:rPr>
          <w:rFonts w:eastAsia="Times New Roman" w:cs="Arial"/>
          <w:b/>
          <w:bCs/>
          <w:color w:val="000000"/>
          <w:lang w:eastAsia="bg-BG"/>
        </w:rPr>
      </w:pPr>
    </w:p>
    <w:p w14:paraId="7539E0E1" w14:textId="77777777" w:rsidR="00DA119F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b/>
          <w:bCs/>
          <w:color w:val="000000"/>
          <w:lang w:eastAsia="bg-BG"/>
        </w:rPr>
        <w:t>Предупреждения</w:t>
      </w:r>
    </w:p>
    <w:p w14:paraId="48751219" w14:textId="77777777" w:rsidR="00DA119F" w:rsidRPr="00DA119F" w:rsidRDefault="00DA119F" w:rsidP="00DA11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:rsidRPr="00DA119F" w14:paraId="1AB33D94" w14:textId="77777777" w:rsidTr="00F32DB0">
        <w:tc>
          <w:tcPr>
            <w:tcW w:w="9350" w:type="dxa"/>
          </w:tcPr>
          <w:p w14:paraId="4E441462" w14:textId="77777777" w:rsidR="00DA119F" w:rsidRPr="00DA119F" w:rsidRDefault="00DA119F" w:rsidP="00F32DB0">
            <w:p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Мизопростол ТРЯБВА ДА СЕ ПРИЛАГА само перорално:</w:t>
            </w:r>
          </w:p>
          <w:p w14:paraId="24CEE27F" w14:textId="77777777" w:rsidR="00DA119F" w:rsidRPr="00DA119F" w:rsidRDefault="00DA119F" w:rsidP="00F32DB0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  <w:p w14:paraId="2FD3F562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в доза, не по-висока от 400 микрограма</w:t>
            </w:r>
          </w:p>
          <w:p w14:paraId="717982DF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 xml:space="preserve">след предшестващо приложение на 600 </w:t>
            </w: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val="en-US"/>
              </w:rPr>
              <w:t xml:space="preserve">mg </w:t>
            </w: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мифепристон</w:t>
            </w:r>
          </w:p>
          <w:p w14:paraId="5D9E8FC8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в интервал от 36 до 48 часа след приема на мифепристон</w:t>
            </w:r>
          </w:p>
          <w:p w14:paraId="26FEE5B7" w14:textId="77777777" w:rsidR="00DA119F" w:rsidRPr="00DA119F" w:rsidRDefault="00DA119F" w:rsidP="00F32DB0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</w:p>
          <w:p w14:paraId="1BBF7333" w14:textId="77777777" w:rsidR="00DA119F" w:rsidRPr="00DA119F" w:rsidRDefault="00DA119F" w:rsidP="00F32DB0">
            <w:pPr>
              <w:rPr>
                <w:rFonts w:cs="Arial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Използването по схема, различна от описаната в Кратката характеристика на продукта, води до повишаване на ВСИЧКИ рискове, свързани с този метод</w:t>
            </w:r>
          </w:p>
        </w:tc>
      </w:tr>
    </w:tbl>
    <w:p w14:paraId="694E0645" w14:textId="77777777" w:rsidR="00DA119F" w:rsidRPr="00DA119F" w:rsidRDefault="00DA119F" w:rsidP="00DA119F">
      <w:pPr>
        <w:rPr>
          <w:rFonts w:cs="Arial"/>
        </w:rPr>
      </w:pPr>
    </w:p>
    <w:p w14:paraId="7153650C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Този метод налага активно участие на жената, която трябва да бъде информирана за изискванията на метода:</w:t>
      </w:r>
    </w:p>
    <w:p w14:paraId="2758715A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</w:p>
    <w:p w14:paraId="07014411" w14:textId="77777777" w:rsidR="00DA119F" w:rsidRPr="00DA119F" w:rsidRDefault="00DA119F" w:rsidP="00DA11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необходимостта от комбинирано лечение с мифепристон, който трябва да се приложи 36 - 48 часа преди прилагането на този продукт,</w:t>
      </w:r>
    </w:p>
    <w:p w14:paraId="569D06C2" w14:textId="77777777" w:rsidR="00DA119F" w:rsidRPr="00DA119F" w:rsidRDefault="00DA119F" w:rsidP="00DA11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нуждата от контролен преглед в срок от 14 до 21 дни след приема на мифепристон, с цел да се провери дали е налице пълна експулсия,</w:t>
      </w:r>
    </w:p>
    <w:p w14:paraId="61191E5C" w14:textId="77777777" w:rsidR="00DA119F" w:rsidRPr="00DA119F" w:rsidRDefault="00DA119F" w:rsidP="00DA11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възможен неуспех от метода, което ще наложи прекъсване на бременността чрез повторна процедура за прекъсване на бременност.</w:t>
      </w:r>
    </w:p>
    <w:p w14:paraId="1BAEA01E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415992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Поради възможните остри ефекти на мизопростол, на жените трябва да бъдат дадени подробни съвети за вероятните признаци и симптоми, които биха могли да получат, и да им бъде осигурен пряк достъп до терапевтичния център по телефона или чрез посещение на място.</w:t>
      </w:r>
    </w:p>
    <w:p w14:paraId="0715F223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F6CFC0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В случай че бременността е възникнала при наличие на интраутеринна система </w:t>
      </w:r>
      <w:r w:rsidRPr="00DA119F">
        <w:rPr>
          <w:rFonts w:eastAsia="Times New Roman" w:cs="Arial"/>
          <w:color w:val="000000"/>
          <w:lang w:val="en-US"/>
        </w:rPr>
        <w:t xml:space="preserve">in situ, </w:t>
      </w:r>
      <w:r w:rsidRPr="00DA119F">
        <w:rPr>
          <w:rFonts w:eastAsia="Times New Roman" w:cs="Arial"/>
          <w:color w:val="000000"/>
          <w:lang w:eastAsia="bg-BG"/>
        </w:rPr>
        <w:t>тази система трябва да се отстрани преди прилагането на мифепристон/мизопростол.</w:t>
      </w:r>
    </w:p>
    <w:p w14:paraId="6A8CEAF0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1DF27F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u w:val="single"/>
          <w:lang w:eastAsia="bg-BG"/>
        </w:rPr>
        <w:t>Рискове, свързани с метода:</w:t>
      </w:r>
    </w:p>
    <w:p w14:paraId="06ECCEE7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CA2273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Ефикасността на метода за медикаментозно прекъсване на бременността намалява:</w:t>
      </w:r>
    </w:p>
    <w:p w14:paraId="769867E5" w14:textId="77777777" w:rsidR="00DA119F" w:rsidRPr="00DA119F" w:rsidRDefault="00DA119F" w:rsidP="00DA119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при липса на стриктно спазване на описаната в Кратката характеристика на продукта схема за приложение,</w:t>
      </w:r>
    </w:p>
    <w:p w14:paraId="4FD6BF64" w14:textId="77777777" w:rsidR="00DA119F" w:rsidRPr="00DA119F" w:rsidRDefault="00DA119F" w:rsidP="00DA119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с броя на ражданията</w:t>
      </w:r>
    </w:p>
    <w:p w14:paraId="7C793B43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1E374AC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Неуспех</w:t>
      </w:r>
      <w:r w:rsidRPr="00DA119F">
        <w:rPr>
          <w:rFonts w:eastAsia="Times New Roman" w:cs="Arial"/>
          <w:i/>
          <w:iCs/>
          <w:color w:val="000000"/>
          <w:lang w:eastAsia="bg-BG"/>
        </w:rPr>
        <w:tab/>
      </w:r>
    </w:p>
    <w:p w14:paraId="1DFFC3BA" w14:textId="77777777" w:rsidR="00DA119F" w:rsidRPr="00DA119F" w:rsidRDefault="00DA119F" w:rsidP="00DA119F">
      <w:pPr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Непренебрежим риск от продължаващо развитие на бременността съществува в 1% от случаите, при които медикаментозното прекъсване на бремеността е предприето в срока до 49-ия ден от аменореята и след перорално приложение. Този риск налага задължителния характер на контролния преглед, с цел да се провери дали експулсията е </w:t>
      </w:r>
      <w:r w:rsidRPr="00DA119F">
        <w:rPr>
          <w:rFonts w:eastAsia="Times New Roman" w:cs="Arial"/>
          <w:color w:val="000000"/>
          <w:lang w:eastAsia="bg-BG"/>
        </w:rPr>
        <w:lastRenderedPageBreak/>
        <w:t>напълно завършена. В редките случаи на непълна експулсия, може да е необходима хирургична ревизия.</w:t>
      </w:r>
    </w:p>
    <w:p w14:paraId="780476DB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50A9EA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Кръвотечение</w:t>
      </w:r>
    </w:p>
    <w:p w14:paraId="579367AC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Пациентката трябва да бъде информирана за появата на продължително вагинално кръвотечение (средно около 12 дни или повече след приложението на мифепристон), което може да е силно. Кръвотечението настъпва почти при всички случаи и категорично не е доказателство за пълна експулсия.</w:t>
      </w:r>
    </w:p>
    <w:p w14:paraId="4CFD2061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CFFC7C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Кръвотечението може да настъпи много скоро след приема на мизопростол, но понякога и по-късно:</w:t>
      </w:r>
    </w:p>
    <w:p w14:paraId="3715F352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при 60% експулсията настъпва до 4 часа след приема на мизопростол, при 40% експулсията настъпва от 24 до 72 часа след приема на мизопростол.</w:t>
      </w:r>
    </w:p>
    <w:p w14:paraId="60245532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Рядко, но експулсията може да настъпи преди прилагането на мизопростол (в около 3% случаите). Това не изключва контролния преглед, с цел да се провери дали експулсията е пълна и дали матката е празна.</w:t>
      </w:r>
    </w:p>
    <w:p w14:paraId="6CE55925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3599D58E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Пациентката трябва да бъде информирана да не предприема пътувания, които да я отдалечават от центъра, предписващ медикамента, докато не бъде записано, че експулсията е пълна. Редно е да й бъдат дадени точни указания с кого да се свърже и къде да отиде, в случай че се появи някакъв проблем, особено в контекста на прекомерно силно вагинално кървене. Това е кървене, което продължава повече от 12 дни и/или което е по-обилно от нормалното менструално кръвотечение.</w:t>
      </w:r>
    </w:p>
    <w:p w14:paraId="69A27ED4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:rsidRPr="00DA119F" w14:paraId="03D692B5" w14:textId="77777777" w:rsidTr="00F32DB0">
        <w:tc>
          <w:tcPr>
            <w:tcW w:w="9350" w:type="dxa"/>
          </w:tcPr>
          <w:p w14:paraId="19E8677B" w14:textId="77777777" w:rsidR="00DA119F" w:rsidRPr="00DA119F" w:rsidRDefault="00DA119F" w:rsidP="00F32DB0">
            <w:pPr>
              <w:rPr>
                <w:rFonts w:cs="Arial"/>
              </w:rPr>
            </w:pPr>
            <w:r w:rsidRPr="00DA119F">
              <w:rPr>
                <w:rFonts w:cs="Arial"/>
              </w:rPr>
              <w:t>Контролният преглед трябва да се осъществи в срок от 14 до 21 дни след приема на мифепристон, за да се гарантира с подходящи средства (клиничен преглед, едновременно с измерване на бета-ЧХГ или ехографско изследване), че експулсията е напълно завършила и вагиналното кръвотечение е спряло. В случай на продължаващо кръвотечение (дори и слабо) след контролния преглед, трябва до няколко дни да се провери дали то е спряло.</w:t>
            </w:r>
          </w:p>
        </w:tc>
      </w:tr>
    </w:tbl>
    <w:p w14:paraId="59C6E5FF" w14:textId="77777777" w:rsidR="00DA119F" w:rsidRPr="00DA119F" w:rsidRDefault="00DA119F" w:rsidP="00DA119F">
      <w:pPr>
        <w:rPr>
          <w:rFonts w:cs="Arial"/>
        </w:rPr>
      </w:pPr>
    </w:p>
    <w:p w14:paraId="3E7242FA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Персистирането на вагиналното кръвотечение към този момент означава непълен аборт или недиагностицирана ектопична бременност и трябва да се мисли за подходящо лечение.</w:t>
      </w:r>
    </w:p>
    <w:p w14:paraId="40803468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674D7B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Тъй като силното кръвотечение, което налага вагинален кюретаж, се среща в 0 до 1,4% от случаите по време на медикаментозния метод за прекъсване на бременността, е необходимо повишено внимание при пациентките с </w:t>
      </w:r>
      <w:r w:rsidRPr="00DA119F">
        <w:rPr>
          <w:rFonts w:eastAsia="Times New Roman" w:cs="Arial"/>
          <w:color w:val="000000"/>
          <w:u w:val="single"/>
          <w:lang w:eastAsia="bg-BG"/>
        </w:rPr>
        <w:t>нарушено кръвосъсирване</w:t>
      </w:r>
      <w:r w:rsidRPr="00DA119F">
        <w:rPr>
          <w:rFonts w:eastAsia="Times New Roman" w:cs="Arial"/>
          <w:color w:val="000000"/>
          <w:lang w:eastAsia="bg-BG"/>
        </w:rPr>
        <w:t xml:space="preserve"> с хипокоагулация или с </w:t>
      </w:r>
      <w:r w:rsidRPr="00DA119F">
        <w:rPr>
          <w:rFonts w:eastAsia="Times New Roman" w:cs="Arial"/>
          <w:color w:val="000000"/>
          <w:u w:val="single"/>
          <w:lang w:eastAsia="bg-BG"/>
        </w:rPr>
        <w:t>анемия</w:t>
      </w:r>
      <w:r w:rsidRPr="00DA119F">
        <w:rPr>
          <w:rFonts w:eastAsia="Times New Roman" w:cs="Arial"/>
          <w:color w:val="000000"/>
          <w:lang w:eastAsia="bg-BG"/>
        </w:rPr>
        <w:t>. Вземането на решение дали да се използва медикаментозен или хирургичен метод, трябва да стане с участието на консултанти специалисти съобразно типа на нарушението на кръвосъсирването или степента на анемия.</w:t>
      </w:r>
    </w:p>
    <w:p w14:paraId="4314170A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В случай на развиваща се бременност, диагностицирана след контролния преглед, на жената трябва да се предложи прекъсване на бременността, с повторна процедурата за прекъсването на бременност.</w:t>
      </w:r>
    </w:p>
    <w:p w14:paraId="74C4ACAD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38216514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Инфекция</w:t>
      </w:r>
    </w:p>
    <w:p w14:paraId="742F9065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 xml:space="preserve">Сериозни случаи (включително фатални) на синдром на токсичен шок и на септичен шок след инфекция с атипични патогени </w:t>
      </w:r>
      <w:r w:rsidRPr="00DA119F">
        <w:rPr>
          <w:rFonts w:eastAsia="Times New Roman" w:cs="Arial"/>
          <w:i/>
          <w:iCs/>
          <w:color w:val="000000"/>
          <w:lang w:val="en-US"/>
        </w:rPr>
        <w:t xml:space="preserve">(Clostridium </w:t>
      </w:r>
      <w:proofErr w:type="spellStart"/>
      <w:r w:rsidRPr="00DA119F">
        <w:rPr>
          <w:rFonts w:eastAsia="Times New Roman" w:cs="Arial"/>
          <w:i/>
          <w:iCs/>
          <w:color w:val="000000"/>
          <w:lang w:val="en-US"/>
        </w:rPr>
        <w:t>sordellii</w:t>
      </w:r>
      <w:proofErr w:type="spellEnd"/>
      <w:r w:rsidRPr="00DA119F">
        <w:rPr>
          <w:rFonts w:eastAsia="Times New Roman" w:cs="Arial"/>
          <w:color w:val="000000"/>
          <w:lang w:val="en-US"/>
        </w:rPr>
        <w:t xml:space="preserve"> </w:t>
      </w:r>
      <w:r w:rsidRPr="00DA119F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DA119F">
        <w:rPr>
          <w:rFonts w:eastAsia="Times New Roman" w:cs="Arial"/>
          <w:i/>
          <w:iCs/>
          <w:color w:val="000000"/>
          <w:lang w:val="en-US"/>
        </w:rPr>
        <w:t>perfringens</w:t>
      </w:r>
      <w:proofErr w:type="spellEnd"/>
      <w:r w:rsidRPr="00DA119F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DA119F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DA119F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DA119F">
        <w:rPr>
          <w:rFonts w:eastAsia="Times New Roman" w:cs="Arial"/>
          <w:i/>
          <w:iCs/>
          <w:color w:val="000000"/>
          <w:lang w:val="en-US"/>
        </w:rPr>
        <w:lastRenderedPageBreak/>
        <w:t>pneumoniae</w:t>
      </w:r>
      <w:proofErr w:type="spellEnd"/>
      <w:r w:rsidRPr="00DA119F">
        <w:rPr>
          <w:rFonts w:eastAsia="Times New Roman" w:cs="Arial"/>
          <w:i/>
          <w:iCs/>
          <w:color w:val="000000"/>
          <w:lang w:val="en-US"/>
        </w:rPr>
        <w:t xml:space="preserve">, Escherichia coli, Streptococcus </w:t>
      </w:r>
      <w:r w:rsidRPr="00DA119F">
        <w:rPr>
          <w:rFonts w:eastAsia="Times New Roman" w:cs="Arial"/>
          <w:i/>
          <w:iCs/>
          <w:color w:val="000000"/>
          <w:lang w:eastAsia="bg-BG"/>
        </w:rPr>
        <w:t>от група А),</w:t>
      </w:r>
      <w:r w:rsidRPr="00DA119F">
        <w:rPr>
          <w:rFonts w:eastAsia="Times New Roman" w:cs="Arial"/>
          <w:color w:val="000000"/>
          <w:lang w:eastAsia="bg-BG"/>
        </w:rPr>
        <w:t xml:space="preserve"> са съобщени при медикаментозен аборт, извършен чрез неразрешено вагинално или букално приложение на таблетки мизопростол.</w:t>
      </w:r>
    </w:p>
    <w:p w14:paraId="5FC3749E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Лекарите-клиницисти трябва да знаят за съществуването на това потенциално фатално усложнение.</w:t>
      </w:r>
    </w:p>
    <w:p w14:paraId="685DAA09" w14:textId="77777777" w:rsidR="00DA119F" w:rsidRPr="00DA119F" w:rsidRDefault="00DA119F" w:rsidP="00DA11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C5116E6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color w:val="000000"/>
          <w:lang w:eastAsia="bg-BG"/>
        </w:rPr>
        <w:t>Предпазни мерки при употреба</w:t>
      </w:r>
    </w:p>
    <w:p w14:paraId="7DE86A84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84B389F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Друго</w:t>
      </w:r>
    </w:p>
    <w:p w14:paraId="58C8108A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Предпазните мерки, свързани с мифепристон също трябва да бъдат следвани.</w:t>
      </w:r>
    </w:p>
    <w:p w14:paraId="0E2F63BD" w14:textId="77777777" w:rsidR="00DA119F" w:rsidRPr="00DA119F" w:rsidRDefault="00DA119F" w:rsidP="00DA119F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4B1208D3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b/>
          <w:bCs/>
          <w:i/>
          <w:iCs/>
          <w:color w:val="000000"/>
          <w:lang w:eastAsia="bg-BG"/>
        </w:rPr>
        <w:t>• Подготовка на шийката на матката преди хирургично прекъсване на бременност в първия триместър.</w:t>
      </w:r>
    </w:p>
    <w:p w14:paraId="0DE96537" w14:textId="77777777" w:rsidR="00DA119F" w:rsidRPr="00DA119F" w:rsidRDefault="00DA119F" w:rsidP="00DA119F">
      <w:pPr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4DDCAB4C" w14:textId="77777777" w:rsidR="00DA119F" w:rsidRPr="00DA119F" w:rsidRDefault="00DA119F" w:rsidP="00DA119F">
      <w:pPr>
        <w:rPr>
          <w:rFonts w:eastAsia="Times New Roman" w:cs="Arial"/>
          <w:b/>
          <w:bCs/>
          <w:color w:val="000000"/>
          <w:u w:val="single"/>
          <w:lang w:eastAsia="bg-BG"/>
        </w:rPr>
      </w:pPr>
      <w:r w:rsidRPr="00DA119F">
        <w:rPr>
          <w:rFonts w:eastAsia="Times New Roman" w:cs="Arial"/>
          <w:b/>
          <w:bCs/>
          <w:color w:val="000000"/>
          <w:u w:val="single"/>
          <w:lang w:eastAsia="bg-BG"/>
        </w:rPr>
        <w:t>Предупреждения</w:t>
      </w:r>
    </w:p>
    <w:p w14:paraId="25A464EB" w14:textId="77777777" w:rsidR="00DA119F" w:rsidRPr="00DA119F" w:rsidRDefault="00DA119F" w:rsidP="00DA119F">
      <w:pPr>
        <w:rPr>
          <w:rFonts w:eastAsia="Times New Roman" w:cs="Arial"/>
          <w:b/>
          <w:bCs/>
          <w:color w:val="000000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:rsidRPr="00DA119F" w14:paraId="68B787E5" w14:textId="77777777" w:rsidTr="00F32DB0">
        <w:tc>
          <w:tcPr>
            <w:tcW w:w="9350" w:type="dxa"/>
          </w:tcPr>
          <w:p w14:paraId="2EC04AD6" w14:textId="77777777" w:rsidR="00DA119F" w:rsidRPr="00DA119F" w:rsidRDefault="00DA119F" w:rsidP="00F32DB0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Мизопростол ТРЯБВА ДА СЕ ПРИЛАГА само перорална:</w:t>
            </w:r>
          </w:p>
          <w:p w14:paraId="2203C7D0" w14:textId="77777777" w:rsidR="00DA119F" w:rsidRPr="00DA119F" w:rsidRDefault="00DA119F" w:rsidP="00F32DB0">
            <w:pPr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в доза, не по-висока от 400 микрограма</w:t>
            </w:r>
          </w:p>
          <w:p w14:paraId="061548C3" w14:textId="77777777" w:rsidR="00DA119F" w:rsidRPr="00DA119F" w:rsidRDefault="00DA119F" w:rsidP="00F32DB0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</w:pPr>
          </w:p>
          <w:p w14:paraId="79951E47" w14:textId="77777777" w:rsidR="00DA119F" w:rsidRPr="00DA119F" w:rsidRDefault="00DA119F" w:rsidP="00F32DB0">
            <w:pPr>
              <w:rPr>
                <w:rFonts w:cs="Arial"/>
              </w:rPr>
            </w:pP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 xml:space="preserve">Използването по схема, различна от описаната в Кратката характеристика на </w:t>
            </w:r>
            <w:r w:rsidRPr="00DA119F">
              <w:rPr>
                <w:rFonts w:eastAsia="Times New Roman" w:cs="Arial"/>
                <w:b/>
                <w:bCs/>
                <w:i/>
                <w:iCs/>
                <w:color w:val="000000"/>
                <w:u w:val="single"/>
                <w:lang w:eastAsia="bg-BG"/>
              </w:rPr>
              <w:t>продукта, води до повишаване на ВСИЧКИ рискове, свързани с този метод</w:t>
            </w:r>
          </w:p>
        </w:tc>
      </w:tr>
    </w:tbl>
    <w:p w14:paraId="63E55101" w14:textId="77777777" w:rsidR="00DA119F" w:rsidRPr="00DA119F" w:rsidRDefault="00DA119F" w:rsidP="00DA119F">
      <w:pPr>
        <w:rPr>
          <w:rFonts w:cs="Arial"/>
        </w:rPr>
      </w:pPr>
    </w:p>
    <w:p w14:paraId="6F617405" w14:textId="77777777" w:rsidR="00DA119F" w:rsidRPr="00DA119F" w:rsidRDefault="00DA119F" w:rsidP="00DA119F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Няма налични данни за подготовка на шийката на матката преди хирургичен аборт с мизопростол след първи триместър.</w:t>
      </w:r>
    </w:p>
    <w:p w14:paraId="08ACC9CC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C652D3" w14:textId="77777777" w:rsidR="00DA119F" w:rsidRPr="00DA119F" w:rsidRDefault="00DA119F" w:rsidP="00DA119F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Пациентката трябва да бъде информирана за спецификите на хирургичния метод: локалната или общата анестезия и изискването за кратка хоспитализация.</w:t>
      </w:r>
    </w:p>
    <w:p w14:paraId="3E645FF0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BC15A9F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Честота на неуспех</w:t>
      </w:r>
    </w:p>
    <w:p w14:paraId="33BE56D6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1617C0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Честота на успешни хирургични аборти и над 97,7%, което означава че честотата на неуспех е около 2,3%. Този риск прави задължителна проследяващата визита, с цел да се потвърди, че абортът е завършен. В редки случаи на неуспех на аборта, може да е необходима друга процедура.</w:t>
      </w:r>
    </w:p>
    <w:p w14:paraId="7299E994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5A2C1E3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Кръвотечение</w:t>
      </w:r>
    </w:p>
    <w:p w14:paraId="1FF4E354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C1DA65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Пациентката трябва да бъде информирана за възможната поява на силно вагинално кръвотечение след приема на мизопростол. Следователно за предпочитане е мизопростол да се приеме в лечебния център преди хирургичната процедура.</w:t>
      </w:r>
    </w:p>
    <w:p w14:paraId="77E4161A" w14:textId="77777777" w:rsidR="00DA119F" w:rsidRPr="00DA119F" w:rsidRDefault="00DA119F" w:rsidP="00DA11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430D33E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Риск от аборт преди хирургичната процедура</w:t>
      </w:r>
    </w:p>
    <w:p w14:paraId="6024A54C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78E64227" w14:textId="77777777" w:rsidR="00DA119F" w:rsidRPr="00DA119F" w:rsidRDefault="00DA119F" w:rsidP="00DA119F">
      <w:pPr>
        <w:rPr>
          <w:rFonts w:cs="Arial"/>
        </w:rPr>
      </w:pPr>
      <w:r w:rsidRPr="00DA119F">
        <w:rPr>
          <w:rFonts w:eastAsia="Times New Roman" w:cs="Arial"/>
          <w:color w:val="000000"/>
          <w:lang w:eastAsia="bg-BG"/>
        </w:rPr>
        <w:t>Има риск от аборт преди хирургичната процедура, въпреки че рискът е нисък.</w:t>
      </w:r>
    </w:p>
    <w:p w14:paraId="3484C170" w14:textId="77777777" w:rsidR="00DA119F" w:rsidRPr="00DA119F" w:rsidRDefault="00DA119F" w:rsidP="00DA119F">
      <w:pPr>
        <w:rPr>
          <w:rFonts w:cs="Arial"/>
        </w:rPr>
      </w:pPr>
    </w:p>
    <w:p w14:paraId="63FDB57C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i/>
          <w:iCs/>
          <w:color w:val="000000"/>
          <w:u w:val="single"/>
          <w:lang w:eastAsia="bg-BG"/>
        </w:rPr>
        <w:t>Усложнения от хирургичната процедура</w:t>
      </w:r>
    </w:p>
    <w:p w14:paraId="1728410C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542B85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Усложненията са редки, включително и увреждане на матката.</w:t>
      </w:r>
    </w:p>
    <w:p w14:paraId="7E167610" w14:textId="77777777" w:rsidR="00DA119F" w:rsidRPr="00DA119F" w:rsidRDefault="00DA119F" w:rsidP="00DA11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BC419E" w14:textId="77777777" w:rsidR="00DA119F" w:rsidRPr="00DA119F" w:rsidRDefault="00DA119F" w:rsidP="00DA119F">
      <w:pPr>
        <w:spacing w:line="240" w:lineRule="auto"/>
        <w:rPr>
          <w:rFonts w:eastAsia="Times New Roman" w:cs="Arial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lastRenderedPageBreak/>
        <w:t>Поради възможната руптура на матката (много рядка в първи триместър) и поради липсата на проучвания за безопасността и ефикасността при жени с маточни оперативни белези, мизопростол трябва да се използва с повишено внимание в случай на повишен риск от маточно увреждане, по-специално в случай на мултипаритет или маточни оперативни белези.</w:t>
      </w:r>
    </w:p>
    <w:p w14:paraId="572E2356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</w:p>
    <w:p w14:paraId="200E8B63" w14:textId="77777777" w:rsidR="00DA119F" w:rsidRPr="00DA119F" w:rsidRDefault="00DA119F" w:rsidP="00DA119F">
      <w:pPr>
        <w:rPr>
          <w:rFonts w:eastAsia="Times New Roman" w:cs="Arial"/>
          <w:color w:val="000000"/>
          <w:lang w:eastAsia="bg-BG"/>
        </w:rPr>
      </w:pPr>
      <w:r w:rsidRPr="00DA119F">
        <w:rPr>
          <w:rFonts w:eastAsia="Times New Roman" w:cs="Arial"/>
          <w:color w:val="000000"/>
          <w:lang w:eastAsia="bg-BG"/>
        </w:rPr>
        <w:t>Лечението с мизопростол трябва да бъде последвано от хирургично прекъсване на бременността.</w:t>
      </w:r>
    </w:p>
    <w:p w14:paraId="69061314" w14:textId="77777777" w:rsidR="00DA119F" w:rsidRDefault="00DA119F" w:rsidP="00DA1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19F" w14:paraId="6C2A5711" w14:textId="77777777" w:rsidTr="00F32DB0">
        <w:tc>
          <w:tcPr>
            <w:tcW w:w="9350" w:type="dxa"/>
          </w:tcPr>
          <w:p w14:paraId="2916D65C" w14:textId="77777777" w:rsidR="00DA119F" w:rsidRDefault="00DA119F" w:rsidP="00F32DB0">
            <w:r>
              <w:t>Контролният преглед трябва да се осъществи в срок от 14 до 21 дни след хирургичното прекъсване на бременност. В случай на поява на треска, болка, кръвотечение след хирургичната процедура този преглед трябва да извърши веднага.</w:t>
            </w:r>
          </w:p>
        </w:tc>
      </w:tr>
    </w:tbl>
    <w:p w14:paraId="24E3E82F" w14:textId="2F5B2A9A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43C9F875" w14:textId="77777777" w:rsidR="00DA119F" w:rsidRPr="00DA119F" w:rsidRDefault="00DA119F" w:rsidP="00DA119F">
      <w:pPr>
        <w:spacing w:line="240" w:lineRule="auto"/>
        <w:rPr>
          <w:rFonts w:eastAsia="Times New Roman" w:cs="Arial"/>
          <w:szCs w:val="24"/>
          <w:lang w:eastAsia="bg-BG"/>
        </w:rPr>
      </w:pPr>
      <w:r w:rsidRPr="00DA119F">
        <w:rPr>
          <w:rFonts w:eastAsia="Times New Roman" w:cs="Arial"/>
          <w:color w:val="000000"/>
          <w:szCs w:val="24"/>
          <w:lang w:eastAsia="bg-BG"/>
        </w:rPr>
        <w:t>Мизопростол се метаболизира предимно от системите окисление на мастните киселини и не е показал проява на нежелани ефекти върху ензимните системи на чернодробните микрозомни оксидази със смесена функция (Р450).</w:t>
      </w:r>
    </w:p>
    <w:p w14:paraId="41FA77A4" w14:textId="77777777" w:rsidR="00DA119F" w:rsidRPr="00CD5EC5" w:rsidRDefault="00DA119F" w:rsidP="00DA119F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64D72DA" w14:textId="19FE0B0B" w:rsidR="00DA119F" w:rsidRPr="00DA119F" w:rsidRDefault="00DA119F" w:rsidP="00DA119F">
      <w:pPr>
        <w:spacing w:line="240" w:lineRule="auto"/>
        <w:rPr>
          <w:rFonts w:eastAsia="Times New Roman" w:cs="Arial"/>
          <w:szCs w:val="24"/>
          <w:lang w:eastAsia="bg-BG"/>
        </w:rPr>
      </w:pPr>
      <w:r w:rsidRPr="00DA119F">
        <w:rPr>
          <w:rFonts w:eastAsia="Times New Roman" w:cs="Arial"/>
          <w:color w:val="000000"/>
          <w:szCs w:val="24"/>
          <w:lang w:eastAsia="bg-BG"/>
        </w:rPr>
        <w:t>Теоретично, намаляване на ефикасността на мизопростол може да настъпи поради антипростагландиновите свойства на нестероидните противовъзпалителни средства (НСПВС), включително на аспирина (ацетилсалициловата киселина). Ограничен обем данни подсказват, че едновременното прилагане на НСПВС в деня на прилагане на мизопростола не влияе неблагоприятно върху ефектите на мифепристона или на мизопростола, свързани със съзряването на шийката или с маточния контрактилитет и не води до намаляване на клиничната ефикасност на медикаментозното прекъсване на бременността.</w:t>
      </w:r>
    </w:p>
    <w:p w14:paraId="08686B66" w14:textId="77777777" w:rsidR="00DA119F" w:rsidRPr="00CD5EC5" w:rsidRDefault="00DA119F" w:rsidP="00DA119F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543BE093" w14:textId="40CCB5D4" w:rsidR="00DA119F" w:rsidRPr="00DA119F" w:rsidRDefault="00DA119F" w:rsidP="00DA119F">
      <w:pPr>
        <w:spacing w:line="240" w:lineRule="auto"/>
        <w:rPr>
          <w:rFonts w:eastAsia="Times New Roman" w:cs="Arial"/>
          <w:szCs w:val="24"/>
          <w:lang w:eastAsia="bg-BG"/>
        </w:rPr>
      </w:pPr>
      <w:r w:rsidRPr="00DA119F">
        <w:rPr>
          <w:rFonts w:eastAsia="Times New Roman" w:cs="Arial"/>
          <w:color w:val="000000"/>
          <w:szCs w:val="24"/>
          <w:lang w:eastAsia="bg-BG"/>
        </w:rPr>
        <w:t>Антиацидните средства могат да намалят биоиаличността на мизопростола.</w:t>
      </w:r>
    </w:p>
    <w:p w14:paraId="5B2761C5" w14:textId="182336E7" w:rsidR="0091385D" w:rsidRPr="00CD5EC5" w:rsidRDefault="00DA119F" w:rsidP="00DA119F">
      <w:pPr>
        <w:rPr>
          <w:rFonts w:cs="Arial"/>
          <w:sz w:val="20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Антиацидните средства, които съдържат магнезий, могат да влошат диарията, причинена от мизопростол.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71827BB2" w14:textId="77777777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Бременност</w:t>
      </w:r>
    </w:p>
    <w:p w14:paraId="47E634D6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2BBB077B" w14:textId="2D292161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Неуспешното прекъсване на бременност (продължаваща бременност) е свързано с трикратно по-висок риск от вродени дефекти/малформации при продължаваща бременност, с експозиция на мифепристон и мизопростол или само на мизопростол, сравнено с контролна група (2%). В частност пренаталната експозиция на мизопростол е свързана със синдром на Мьобиус (вродена лицева парализа, водеща до хипомимия, затруднения в сукането и преглъщането и движенията на очите, с или без дефекти на крайниците) и със синдром на пристягане от амниотични върви (деформация/ампутация на крайници, особено варусно ходило, ахейрия, олигодактилия,</w:t>
      </w:r>
      <w:r>
        <w:rPr>
          <w:rFonts w:eastAsia="Times New Roman" w:cs="Arial"/>
          <w:szCs w:val="24"/>
          <w:lang w:eastAsia="bg-BG"/>
        </w:rPr>
        <w:t xml:space="preserve"> </w:t>
      </w:r>
      <w:r w:rsidRPr="00CD5EC5">
        <w:rPr>
          <w:rFonts w:eastAsia="Times New Roman" w:cs="Arial"/>
          <w:color w:val="000000"/>
          <w:szCs w:val="24"/>
          <w:lang w:eastAsia="bg-BG"/>
        </w:rPr>
        <w:t xml:space="preserve">вълча паст </w:t>
      </w:r>
      <w:r w:rsidRPr="00CD5EC5">
        <w:rPr>
          <w:rFonts w:eastAsia="Times New Roman" w:cs="Arial"/>
          <w:i/>
          <w:iCs/>
          <w:color w:val="000000"/>
          <w:szCs w:val="24"/>
          <w:lang w:val="en-US"/>
        </w:rPr>
        <w:t>inter alia),</w:t>
      </w:r>
      <w:r w:rsidRPr="00CD5EC5">
        <w:rPr>
          <w:rFonts w:eastAsia="Times New Roman" w:cs="Arial"/>
          <w:color w:val="000000"/>
          <w:szCs w:val="24"/>
          <w:lang w:val="en-US"/>
        </w:rPr>
        <w:t xml:space="preserve"> </w:t>
      </w:r>
      <w:r w:rsidRPr="00CD5EC5">
        <w:rPr>
          <w:rFonts w:eastAsia="Times New Roman" w:cs="Arial"/>
          <w:color w:val="000000"/>
          <w:szCs w:val="24"/>
          <w:lang w:eastAsia="bg-BG"/>
        </w:rPr>
        <w:t xml:space="preserve">и аномалии на централната нервна система (мозъчни или черепни аномалии като аненцефалия, хидроцефалия, малкомозъчна хипоплазия, дефекти на нервната тръба). Жени, които обмислят медикаментозно прекъсване на бременността, трябва да получат </w:t>
      </w:r>
      <w:r w:rsidRPr="00CD5EC5">
        <w:rPr>
          <w:rFonts w:eastAsia="Times New Roman" w:cs="Arial"/>
          <w:color w:val="000000"/>
          <w:szCs w:val="24"/>
          <w:lang w:eastAsia="bg-BG"/>
        </w:rPr>
        <w:lastRenderedPageBreak/>
        <w:t>точна консултация относно рисковете за фетуса, в случай че абортът е неуспешен, а повторна процедура за прекъсване на бременността е нежелателна.</w:t>
      </w:r>
    </w:p>
    <w:p w14:paraId="2CD3764E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411AC13E" w14:textId="0C0B694D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Следователно:</w:t>
      </w:r>
    </w:p>
    <w:p w14:paraId="4992491B" w14:textId="77777777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</w:p>
    <w:p w14:paraId="3A742CE8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Жените трябва да бъдат информирани, че поради риск от неуспех на метода за прекъсване на бременността и риска за зародиша, контролният преглед е задължителен (вж. точка 4.4. Специални предупреждения и предпазни мерки при употреба).</w:t>
      </w:r>
    </w:p>
    <w:p w14:paraId="15EBA1C4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В случай че на контролния преглед бъде диагностициран неуспех от прилагането на метода (жизнеспособна развиваща се бременност) и ако пациентката все още е съгласна, прекъсването на бременността трябва да се довърши чрез втора процедура за прекъсване на бременността.</w:t>
      </w:r>
    </w:p>
    <w:p w14:paraId="0BA99BBF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Ако обаче пациентката желае да продължи износването на бременността си, трябва да се провежда системно внимателно ултразвуково изследване за наблюдение на бременността в специализиран център, като се обръща специално внимание на крайниците и главата.</w:t>
      </w:r>
    </w:p>
    <w:p w14:paraId="712C5D31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04C8A311" w14:textId="476E652D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Кърм</w:t>
      </w:r>
      <w:bookmarkStart w:id="3" w:name="_GoBack"/>
      <w:bookmarkEnd w:id="3"/>
      <w:r w:rsidRPr="00CD5EC5">
        <w:rPr>
          <w:rFonts w:eastAsia="Times New Roman"/>
          <w:u w:val="single"/>
          <w:lang w:eastAsia="bg-BG"/>
        </w:rPr>
        <w:t>ене</w:t>
      </w:r>
    </w:p>
    <w:p w14:paraId="71E2E471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20246AE4" w14:textId="4E000594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Мифепристон е липофилно съединение и теоретично е възможно да се екскретира в кърмата. Липсват обаче данни. Мизопростол също може да се екскретира в кърмата и следователно кърменето трябва да се преустанови в периода на лечение с мифепристон и мизопростол или само с мизопростол.</w:t>
      </w:r>
    </w:p>
    <w:p w14:paraId="6CF5684C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30256AA5" w14:textId="2862AF8C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Фертилитет</w:t>
      </w:r>
    </w:p>
    <w:p w14:paraId="102F0D07" w14:textId="2679102A" w:rsidR="007A2185" w:rsidRPr="00CD5EC5" w:rsidRDefault="00CD5EC5" w:rsidP="00CD5EC5">
      <w:pPr>
        <w:rPr>
          <w:rFonts w:cs="Arial"/>
          <w:sz w:val="20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Мизопростол не влияе на фертилитета. Възможно е жената отново да забременее веднага щом завърши прекъсването на бременността. Поради това е много важно пациентките да бъдат информирани, че трябва да започнат да прилагат контрацепция веднага след като се потвърди прекъсването на бременността.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6AB7187E" w:rsidR="007A2185" w:rsidRDefault="00CD5EC5" w:rsidP="0091385D">
      <w:r>
        <w:t>Не са известни данни, които да показват някакви ефекти върху способността за шофиране и работа с машини. Може да се появи замайване като нежелана реакция. При шофиране или работа с машини трябва да се има предвид тази възможна нежелана реакция.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23588990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Нежеланите реакции от мизопростол обикновено са продължение на фармакологичното му действие и на бионаличността на лекарството. Най-честите нежелани лекарствени реакции са стомашно-чревните нарушения, като например гадене, повръщане, диария и болка в областта на корема.</w:t>
      </w:r>
    </w:p>
    <w:p w14:paraId="3811728C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20D2A" w14:textId="5D2A3A75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Честотата на поява на нежеланите реакции се класифицира по следния начин:</w:t>
      </w:r>
    </w:p>
    <w:p w14:paraId="6D7BF097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DFD268" w14:textId="106428BF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Много чести (≥ 1 /10)</w:t>
      </w:r>
      <w:r w:rsidRPr="00CD5EC5">
        <w:rPr>
          <w:rFonts w:eastAsia="Times New Roman" w:cs="Arial"/>
          <w:color w:val="000000"/>
          <w:lang w:eastAsia="bg-BG"/>
        </w:rPr>
        <w:tab/>
      </w:r>
    </w:p>
    <w:p w14:paraId="6297CAED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Чести (≥</w:t>
      </w:r>
      <w:r w:rsidRPr="00CD5EC5">
        <w:rPr>
          <w:rFonts w:eastAsia="Times New Roman" w:cs="Arial"/>
          <w:color w:val="000000"/>
          <w:lang w:val="en-US"/>
        </w:rPr>
        <w:t xml:space="preserve"> </w:t>
      </w:r>
      <w:r w:rsidRPr="00CD5EC5">
        <w:rPr>
          <w:rFonts w:eastAsia="Times New Roman" w:cs="Arial"/>
          <w:color w:val="000000"/>
          <w:lang w:eastAsia="bg-BG"/>
        </w:rPr>
        <w:t xml:space="preserve">1/100 </w:t>
      </w:r>
      <w:r w:rsidRPr="00CD5EC5">
        <w:rPr>
          <w:rFonts w:eastAsia="Times New Roman" w:cs="Arial"/>
          <w:color w:val="000000"/>
          <w:lang w:val="en-US"/>
        </w:rPr>
        <w:t xml:space="preserve">to </w:t>
      </w:r>
      <w:r w:rsidRPr="00CD5EC5">
        <w:rPr>
          <w:rFonts w:eastAsia="Times New Roman" w:cs="Arial"/>
          <w:color w:val="000000"/>
          <w:lang w:eastAsia="bg-BG"/>
        </w:rPr>
        <w:t>&lt;1/10)</w:t>
      </w:r>
    </w:p>
    <w:p w14:paraId="0254AACC" w14:textId="46C9BC74" w:rsidR="007A2185" w:rsidRPr="00CD5EC5" w:rsidRDefault="00CD5EC5" w:rsidP="00CD5EC5">
      <w:pPr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lastRenderedPageBreak/>
        <w:t>Нечести (≥</w:t>
      </w:r>
      <w:r w:rsidRPr="00CD5EC5">
        <w:rPr>
          <w:rFonts w:eastAsia="Times New Roman" w:cs="Arial"/>
          <w:color w:val="000000"/>
          <w:lang w:val="en-US"/>
        </w:rPr>
        <w:t xml:space="preserve"> </w:t>
      </w:r>
      <w:r w:rsidRPr="00CD5EC5">
        <w:rPr>
          <w:rFonts w:eastAsia="Times New Roman" w:cs="Arial"/>
          <w:color w:val="000000"/>
          <w:lang w:eastAsia="bg-BG"/>
        </w:rPr>
        <w:t xml:space="preserve">1/1.000 </w:t>
      </w:r>
      <w:r w:rsidRPr="00CD5EC5">
        <w:rPr>
          <w:rFonts w:eastAsia="Times New Roman" w:cs="Arial"/>
          <w:color w:val="000000"/>
          <w:lang w:val="en-US"/>
        </w:rPr>
        <w:t xml:space="preserve">to </w:t>
      </w:r>
      <w:r w:rsidRPr="00CD5EC5">
        <w:rPr>
          <w:rFonts w:eastAsia="Times New Roman" w:cs="Arial"/>
          <w:color w:val="000000"/>
          <w:lang w:eastAsia="bg-BG"/>
        </w:rPr>
        <w:t>&lt;1/100)</w:t>
      </w:r>
    </w:p>
    <w:p w14:paraId="5479BA2C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Редки (≥</w:t>
      </w:r>
      <w:r w:rsidRPr="00CD5EC5">
        <w:rPr>
          <w:rFonts w:eastAsia="Times New Roman" w:cs="Arial"/>
          <w:color w:val="000000"/>
          <w:lang w:val="en-US"/>
        </w:rPr>
        <w:t xml:space="preserve"> </w:t>
      </w:r>
      <w:r w:rsidRPr="00CD5EC5">
        <w:rPr>
          <w:rFonts w:eastAsia="Times New Roman" w:cs="Arial"/>
          <w:color w:val="000000"/>
          <w:lang w:eastAsia="bg-BG"/>
        </w:rPr>
        <w:t xml:space="preserve">1/10.000 </w:t>
      </w:r>
      <w:r w:rsidRPr="00CD5EC5">
        <w:rPr>
          <w:rFonts w:eastAsia="Times New Roman" w:cs="Arial"/>
          <w:color w:val="000000"/>
          <w:lang w:val="en-US"/>
        </w:rPr>
        <w:t xml:space="preserve">to </w:t>
      </w:r>
      <w:r w:rsidRPr="00CD5EC5">
        <w:rPr>
          <w:rFonts w:eastAsia="Times New Roman" w:cs="Arial"/>
          <w:color w:val="000000"/>
          <w:lang w:eastAsia="bg-BG"/>
        </w:rPr>
        <w:t>&lt;1/1.000)</w:t>
      </w:r>
    </w:p>
    <w:p w14:paraId="5CE7FFB3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Много редки (&lt;1/10.000)</w:t>
      </w:r>
    </w:p>
    <w:p w14:paraId="4B496E70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оценка)</w:t>
      </w:r>
    </w:p>
    <w:p w14:paraId="6CA9D699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1E948E" w14:textId="3BC76CE8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Инфекции и инфестации</w:t>
      </w:r>
    </w:p>
    <w:p w14:paraId="3F35EB92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Чести:</w:t>
      </w:r>
    </w:p>
    <w:p w14:paraId="129B0DAB" w14:textId="42DD4639" w:rsidR="00CD5EC5" w:rsidRPr="00CD5EC5" w:rsidRDefault="00CD5EC5" w:rsidP="00CD5EC5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Инфекция след аборт. За подозирани или доказани инфекции (ендометрит, възпалителна болест на таза) се съобщава при по-малко от 5% от жените.</w:t>
      </w:r>
    </w:p>
    <w:p w14:paraId="6168137D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Много редки:</w:t>
      </w:r>
    </w:p>
    <w:p w14:paraId="70C08F5A" w14:textId="20F75683" w:rsidR="00CD5EC5" w:rsidRPr="00CD5EC5" w:rsidRDefault="00CD5EC5" w:rsidP="00CD5EC5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Много редки случаи на сериозен или фатален токсичен и септичен шок, (причинени от </w:t>
      </w:r>
      <w:r w:rsidRPr="00CD5EC5">
        <w:rPr>
          <w:rFonts w:eastAsia="Times New Roman" w:cs="Arial"/>
          <w:i/>
          <w:iCs/>
          <w:color w:val="000000"/>
          <w:lang w:val="en-US"/>
        </w:rPr>
        <w:t xml:space="preserve">Clostridium </w:t>
      </w:r>
      <w:proofErr w:type="spellStart"/>
      <w:r w:rsidRPr="00CD5EC5">
        <w:rPr>
          <w:rFonts w:eastAsia="Times New Roman" w:cs="Arial"/>
          <w:i/>
          <w:iCs/>
          <w:color w:val="000000"/>
          <w:lang w:val="en-US"/>
        </w:rPr>
        <w:t>sordellii</w:t>
      </w:r>
      <w:proofErr w:type="spellEnd"/>
      <w:r w:rsidRPr="00CD5EC5">
        <w:rPr>
          <w:rFonts w:eastAsia="Times New Roman" w:cs="Arial"/>
          <w:color w:val="000000"/>
          <w:lang w:val="en-US"/>
        </w:rPr>
        <w:t xml:space="preserve"> </w:t>
      </w:r>
      <w:r w:rsidRPr="00CD5EC5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CD5EC5">
        <w:rPr>
          <w:rFonts w:eastAsia="Times New Roman" w:cs="Arial"/>
          <w:i/>
          <w:iCs/>
          <w:color w:val="000000"/>
          <w:lang w:val="en-US"/>
        </w:rPr>
        <w:t>perfringens</w:t>
      </w:r>
      <w:proofErr w:type="spellEnd"/>
      <w:r w:rsidRPr="00CD5EC5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CD5EC5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CD5EC5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CD5EC5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  <w:r w:rsidRPr="00CD5EC5">
        <w:rPr>
          <w:rFonts w:eastAsia="Times New Roman" w:cs="Arial"/>
          <w:i/>
          <w:iCs/>
          <w:color w:val="000000"/>
          <w:lang w:val="en-US"/>
        </w:rPr>
        <w:t xml:space="preserve">, Escherichia coli, Streptococcus </w:t>
      </w:r>
      <w:r w:rsidRPr="00CD5EC5">
        <w:rPr>
          <w:rFonts w:eastAsia="Times New Roman" w:cs="Arial"/>
          <w:i/>
          <w:iCs/>
          <w:color w:val="000000"/>
          <w:lang w:eastAsia="bg-BG"/>
        </w:rPr>
        <w:t>от група А),</w:t>
      </w:r>
      <w:r w:rsidRPr="00CD5EC5">
        <w:rPr>
          <w:rFonts w:eastAsia="Times New Roman" w:cs="Arial"/>
          <w:color w:val="000000"/>
          <w:lang w:eastAsia="bg-BG"/>
        </w:rPr>
        <w:t xml:space="preserve"> които може да протичат със или </w:t>
      </w:r>
      <w:r w:rsidRPr="00CD5EC5">
        <w:rPr>
          <w:rFonts w:eastAsia="Times New Roman" w:cs="Arial"/>
          <w:color w:val="000000"/>
          <w:u w:val="single"/>
          <w:lang w:eastAsia="bg-BG"/>
        </w:rPr>
        <w:t>без</w:t>
      </w:r>
      <w:r w:rsidRPr="00CD5EC5">
        <w:rPr>
          <w:rFonts w:eastAsia="Times New Roman" w:cs="Arial"/>
          <w:color w:val="000000"/>
          <w:lang w:eastAsia="bg-BG"/>
        </w:rPr>
        <w:t xml:space="preserve"> повишаване на температурата или други очевидни симптоми на инфекция, се съобщават при употребата на неразрешеното вагинално или букално прилагане на мизопростол таблетки. Лекарите в клиниките трябва да знаят за съществуването на това потенциално фатално усложнение (вж. точка 4.4. - Специални предупреждения и предпазни мерки при употреба).</w:t>
      </w:r>
    </w:p>
    <w:p w14:paraId="2C9DC626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64873F2" w14:textId="5922F1A9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4494D551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</w:p>
    <w:p w14:paraId="1CC86C6E" w14:textId="1585CBBB" w:rsidR="00CD5EC5" w:rsidRPr="00CD5EC5" w:rsidRDefault="00CD5EC5" w:rsidP="00CD5EC5">
      <w:pPr>
        <w:pStyle w:val="ListParagraph"/>
        <w:numPr>
          <w:ilvl w:val="0"/>
          <w:numId w:val="45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анафилаксия, свръхчувствителност</w:t>
      </w:r>
    </w:p>
    <w:p w14:paraId="532F5028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F46FEF" w14:textId="74289028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6F76F199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Редки:</w:t>
      </w:r>
    </w:p>
    <w:p w14:paraId="411F6940" w14:textId="4D1D6019" w:rsidR="00CD5EC5" w:rsidRPr="00CD5EC5" w:rsidRDefault="00CD5EC5" w:rsidP="00CD5EC5">
      <w:pPr>
        <w:pStyle w:val="ListParagraph"/>
        <w:numPr>
          <w:ilvl w:val="0"/>
          <w:numId w:val="45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главоболие</w:t>
      </w:r>
    </w:p>
    <w:p w14:paraId="1CF4BDF8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15A107" w14:textId="70D0FFDD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71CF6F25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Редки, но сериозни сърдечносъдови инциденти (миокарден инфаркт и/или спазъм на коронарните артерии и тежка хипотония) са съобщавани предимно при използване на неразрешено вагинално приложение на мизопростол таблетки.</w:t>
      </w:r>
    </w:p>
    <w:p w14:paraId="1EDBC994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E7C3F8" w14:textId="65202FEF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7F55DFBA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Много чести:</w:t>
      </w:r>
    </w:p>
    <w:p w14:paraId="1C74CC39" w14:textId="79F62E56" w:rsidR="00CD5EC5" w:rsidRPr="00CD5EC5" w:rsidRDefault="00CD5EC5" w:rsidP="00CD5EC5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гадене, повръщане, диария (тези стомашно-чревни реакции свързани с приложението на простагландин са наблюдавани често)</w:t>
      </w:r>
    </w:p>
    <w:p w14:paraId="47CB5EAE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Чести:</w:t>
      </w:r>
    </w:p>
    <w:p w14:paraId="5FFC06FC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леки или умерени спазми.</w:t>
      </w:r>
    </w:p>
    <w:p w14:paraId="266D416E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A4E037" w14:textId="4A9A8F03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6A3A82AF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Нечести</w:t>
      </w:r>
    </w:p>
    <w:p w14:paraId="61B45235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свръхчувствителност: кожни обриви, (нечести 0.2%)</w:t>
      </w:r>
    </w:p>
    <w:p w14:paraId="1FE0BA8E" w14:textId="77777777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DC2A4E7" w14:textId="0B61AF4F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Редки:</w:t>
      </w:r>
    </w:p>
    <w:p w14:paraId="3D8F1562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</w:p>
    <w:p w14:paraId="0F3D101B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Единични случай на уртикария, еритродерма, еритема нодозум, токсична едидермална некролиза също са били докладвани</w:t>
      </w:r>
    </w:p>
    <w:p w14:paraId="2CB4A994" w14:textId="77777777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9F9BA6" w14:textId="29DA6065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Много редки:</w:t>
      </w:r>
    </w:p>
    <w:p w14:paraId="39B0BD10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</w:p>
    <w:p w14:paraId="6A22FFDA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lastRenderedPageBreak/>
        <w:t>Ангиоедем</w:t>
      </w:r>
    </w:p>
    <w:p w14:paraId="5BBE3226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</w:p>
    <w:p w14:paraId="2A96C17C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</w:p>
    <w:p w14:paraId="7489782D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С неизвестна честота</w:t>
      </w:r>
    </w:p>
    <w:p w14:paraId="444F81B0" w14:textId="7D9E9299" w:rsidR="00CD5EC5" w:rsidRPr="00CD5EC5" w:rsidRDefault="00CD5EC5" w:rsidP="00CD5EC5">
      <w:pPr>
        <w:pStyle w:val="ListParagraph"/>
        <w:numPr>
          <w:ilvl w:val="0"/>
          <w:numId w:val="43"/>
        </w:numPr>
        <w:rPr>
          <w:rFonts w:cs="Arial"/>
        </w:rPr>
      </w:pPr>
      <w:r w:rsidRPr="00CD5EC5">
        <w:rPr>
          <w:rFonts w:eastAsia="Times New Roman" w:cs="Arial"/>
          <w:color w:val="000000"/>
          <w:lang w:eastAsia="bg-BG"/>
        </w:rPr>
        <w:t>Болка в гърба</w:t>
      </w:r>
    </w:p>
    <w:p w14:paraId="476AE8CC" w14:textId="1CCE4F4C" w:rsidR="00CD5EC5" w:rsidRPr="00CD5EC5" w:rsidRDefault="00CD5EC5" w:rsidP="00CD5EC5">
      <w:pPr>
        <w:rPr>
          <w:rFonts w:cs="Arial"/>
        </w:rPr>
      </w:pPr>
    </w:p>
    <w:p w14:paraId="3EAB56D0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Нарушения на възпроизводителната система и гърдите</w:t>
      </w:r>
    </w:p>
    <w:p w14:paraId="4E2E2F78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Много чести:</w:t>
      </w:r>
    </w:p>
    <w:p w14:paraId="5CDFFA7D" w14:textId="6DA201E8" w:rsidR="00CD5EC5" w:rsidRPr="00CD5EC5" w:rsidRDefault="00CD5EC5" w:rsidP="00CD5EC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Много често маточни контракции или крампи (10 до 45%) в часовете след приема на мизопростол.</w:t>
      </w:r>
    </w:p>
    <w:p w14:paraId="17997CD5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Маточно кръвотечение</w:t>
      </w:r>
    </w:p>
    <w:p w14:paraId="7656AEAC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Чести:</w:t>
      </w:r>
    </w:p>
    <w:p w14:paraId="7677FEA2" w14:textId="46C9296B" w:rsidR="00CD5EC5" w:rsidRPr="00CD5EC5" w:rsidRDefault="00CD5EC5" w:rsidP="00CD5EC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Силно кръвотечение настъпва в около 5% от случаите и може да наложи хемостатичен кюретаж в до 1,4% от случаите.</w:t>
      </w:r>
    </w:p>
    <w:p w14:paraId="69CEC81C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707A52" w14:textId="547A1043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Вродени, фамилни или генетични нарушения</w:t>
      </w:r>
    </w:p>
    <w:p w14:paraId="1A11842B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Чести:</w:t>
      </w:r>
    </w:p>
    <w:p w14:paraId="2D081A26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Фетални малформации.</w:t>
      </w:r>
    </w:p>
    <w:p w14:paraId="2ADFE3F2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Редки:</w:t>
      </w:r>
    </w:p>
    <w:p w14:paraId="6A3880F8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смърт на зародиша</w:t>
      </w:r>
    </w:p>
    <w:p w14:paraId="75B24E7D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B8A3EE" w14:textId="7B974801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Общи нарушения и ефекти на мястото на приложение</w:t>
      </w:r>
    </w:p>
    <w:p w14:paraId="2A60BA26" w14:textId="77777777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75A247" w14:textId="5BDC381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Редки:</w:t>
      </w:r>
    </w:p>
    <w:p w14:paraId="5DDF35D6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общо неразположение, вагусови симптоми (топли вълни, замаяност, втрисане), висока температура</w:t>
      </w:r>
    </w:p>
    <w:p w14:paraId="26D39419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214DD9" w14:textId="5BD21DF1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Наранявания, отравяния и усложнения, възникнали в резултат на интервенции</w:t>
      </w:r>
    </w:p>
    <w:p w14:paraId="33B46862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i/>
          <w:iCs/>
          <w:color w:val="000000"/>
          <w:u w:val="single"/>
          <w:lang w:eastAsia="bg-BG"/>
        </w:rPr>
        <w:t>Редки:</w:t>
      </w:r>
    </w:p>
    <w:p w14:paraId="2B153651" w14:textId="2A7A0971" w:rsidR="00CD5EC5" w:rsidRPr="00CD5EC5" w:rsidRDefault="00CD5EC5" w:rsidP="00CD5EC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За руптура на матката се съобщава нечесто след прием на простагландин за прекъсване на бременност във втория триместър или за индукциране на раждане при вътрематочна смърт на фетуса в третия триместър. Руптури на матката настъпват основнопри многораждали жени или жени с цикатрикс от цезарово сечение.</w:t>
      </w:r>
    </w:p>
    <w:p w14:paraId="001332FA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D19C89" w14:textId="78E4E431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F6F2F2D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разрешението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1771B169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FAFB786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ул. „Дамян Груев” № 8</w:t>
      </w:r>
    </w:p>
    <w:p w14:paraId="13207A3B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1303 София</w:t>
      </w:r>
    </w:p>
    <w:p w14:paraId="5FFDE84C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Тел.:+359 2 8903417</w:t>
      </w:r>
    </w:p>
    <w:p w14:paraId="31C4DE2B" w14:textId="2AC594A9" w:rsidR="00CD5EC5" w:rsidRPr="00CD5EC5" w:rsidRDefault="00CD5EC5" w:rsidP="00CD5EC5">
      <w:pPr>
        <w:rPr>
          <w:rFonts w:cs="Arial"/>
        </w:rPr>
      </w:pPr>
      <w:r w:rsidRPr="00CD5EC5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D5EC5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43B8F3" w14:textId="2DBEB953" w:rsidR="007A2185" w:rsidRDefault="00CD5EC5" w:rsidP="0091385D">
      <w:r>
        <w:lastRenderedPageBreak/>
        <w:t xml:space="preserve">В случай на предозиране трябва да се приложи симптоматично лечение и подходящи медицински грижи. За стомашно-чревен кръвоизлив, бъбречна недостатъчност, остра рабдомиолиза, маточен кръвоизлив и смърт се съобщава след прием на много висока доза от 12 </w:t>
      </w:r>
      <w:r>
        <w:rPr>
          <w:lang w:val="en-US"/>
        </w:rPr>
        <w:t xml:space="preserve">mg </w:t>
      </w:r>
      <w:r>
        <w:t>мизопростол.</w:t>
      </w:r>
    </w:p>
    <w:p w14:paraId="48FF1584" w14:textId="54FAAC5E" w:rsidR="0091385D" w:rsidRDefault="0091385D" w:rsidP="0091385D"/>
    <w:p w14:paraId="2FB36DF0" w14:textId="574B8F50" w:rsidR="00CD5EC5" w:rsidRDefault="00CD5EC5" w:rsidP="0091385D">
      <w:r>
        <w:t>Симптоми, свързани с предозиране на мизопростол: седация, тремор, конвулсии, диспнея, болка в областта на корема, диария, висока температура, кръвоизлив, спазъм на коронарните артерии, хипотония и брадикардия.</w:t>
      </w:r>
    </w:p>
    <w:p w14:paraId="74F42349" w14:textId="77777777" w:rsidR="00CD5EC5" w:rsidRPr="0091385D" w:rsidRDefault="00CD5EC5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207359F1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Фармакотерапевтична група: Други гинекологични лекарства, окситосити - простагландини</w:t>
      </w:r>
    </w:p>
    <w:p w14:paraId="79AEDCC4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4E353E" w14:textId="54B332C0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АТС код: </w:t>
      </w:r>
      <w:r w:rsidRPr="00CD5EC5">
        <w:rPr>
          <w:rFonts w:eastAsia="Times New Roman" w:cs="Arial"/>
          <w:color w:val="000000"/>
          <w:lang w:val="en-US"/>
        </w:rPr>
        <w:t>G02AD06</w:t>
      </w:r>
    </w:p>
    <w:p w14:paraId="0BF83398" w14:textId="77777777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5D31F6" w14:textId="4458566C" w:rsidR="00CD5EC5" w:rsidRPr="00CD5EC5" w:rsidRDefault="00CD5EC5" w:rsidP="00CD5EC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CD5EC5">
        <w:rPr>
          <w:rFonts w:eastAsia="Times New Roman" w:cs="Arial"/>
          <w:i/>
          <w:iCs/>
          <w:color w:val="000000"/>
          <w:lang w:eastAsia="bg-BG"/>
        </w:rPr>
        <w:t>Във всички случаи</w:t>
      </w:r>
    </w:p>
    <w:p w14:paraId="6EE6D638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528B2C" w14:textId="4BE01733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В препоръчаната доза, мизопростол (синтетичен аналог на простагландин </w:t>
      </w:r>
      <w:r w:rsidRPr="00CD5EC5">
        <w:rPr>
          <w:rFonts w:eastAsia="Times New Roman" w:cs="Arial"/>
          <w:color w:val="000000"/>
          <w:lang w:val="en-US"/>
        </w:rPr>
        <w:t>E</w:t>
      </w:r>
      <w:r w:rsidRPr="00CD5EC5">
        <w:rPr>
          <w:rFonts w:eastAsia="Times New Roman" w:cs="Arial"/>
          <w:color w:val="000000"/>
          <w:vertAlign w:val="subscript"/>
          <w:lang w:val="en-US"/>
        </w:rPr>
        <w:t>1</w:t>
      </w:r>
      <w:r w:rsidRPr="00CD5EC5">
        <w:rPr>
          <w:rFonts w:eastAsia="Times New Roman" w:cs="Arial"/>
          <w:color w:val="000000"/>
          <w:lang w:val="en-US"/>
        </w:rPr>
        <w:t xml:space="preserve">) </w:t>
      </w:r>
      <w:r w:rsidRPr="00CD5EC5">
        <w:rPr>
          <w:rFonts w:eastAsia="Times New Roman" w:cs="Arial"/>
          <w:color w:val="000000"/>
          <w:lang w:eastAsia="bg-BG"/>
        </w:rPr>
        <w:t>индуцира контракции на гладкомускулните влакна на миометриума и релаксира маточната шийка. Утеротоничните свойства на мизопростол трябва да улеснят отварянето на шийката на матката.</w:t>
      </w:r>
    </w:p>
    <w:p w14:paraId="43243E45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B20AE6" w14:textId="6075C1EB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В препоръчаната доза, мизопростол не би трябвало да предизвика сърдечно-съдови, чернодробни или бъбречни нежелани реакции.</w:t>
      </w:r>
    </w:p>
    <w:p w14:paraId="209D40F2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</w:p>
    <w:p w14:paraId="4358F352" w14:textId="77777777" w:rsidR="00CD5EC5" w:rsidRPr="00CD5EC5" w:rsidRDefault="00CD5EC5" w:rsidP="00CD5EC5">
      <w:pPr>
        <w:numPr>
          <w:ilvl w:val="0"/>
          <w:numId w:val="2"/>
        </w:num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CD5EC5">
        <w:rPr>
          <w:rFonts w:eastAsia="Times New Roman" w:cs="Arial"/>
          <w:i/>
          <w:iCs/>
          <w:color w:val="000000"/>
          <w:u w:val="single"/>
          <w:lang w:eastAsia="bg-BG"/>
        </w:rPr>
        <w:t>Медикаментозно прекъсване на вътрематочно развиваща се бременност, в последователна употреба с мифепристон до 49-ти ден от аменореята.</w:t>
      </w:r>
    </w:p>
    <w:p w14:paraId="35691BF0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7B5B7E" w14:textId="4BD13EF5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Мизопростол се използва в комбинация с мифепристон за прекъсване на бременност на</w:t>
      </w:r>
    </w:p>
    <w:p w14:paraId="0571CE4A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≤ 49 дни от аменореята.</w:t>
      </w:r>
    </w:p>
    <w:p w14:paraId="4D0A1222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03945E" w14:textId="4F60BB9B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В случаи на прекъсване на ранна бременност, комбинацията от мифепристон- мизопростол води до повишаване на честотата на успех на около 95% от случаите и ускорява експулсията на зародиша. Честотата на успех е около 95 % , когато 600 </w:t>
      </w:r>
      <w:r w:rsidRPr="00CD5EC5">
        <w:rPr>
          <w:rFonts w:eastAsia="Times New Roman" w:cs="Arial"/>
          <w:color w:val="000000"/>
          <w:lang w:val="en-US"/>
        </w:rPr>
        <w:t xml:space="preserve">mg </w:t>
      </w:r>
      <w:r w:rsidRPr="00CD5EC5">
        <w:rPr>
          <w:rFonts w:eastAsia="Times New Roman" w:cs="Arial"/>
          <w:color w:val="000000"/>
          <w:lang w:eastAsia="bg-BG"/>
        </w:rPr>
        <w:t>мифепристон се комбинират с мизопростол 400 микрограма перорално до 49-ия ден от аменореята.</w:t>
      </w:r>
    </w:p>
    <w:p w14:paraId="69111508" w14:textId="77777777" w:rsidR="00CD5EC5" w:rsidRPr="00CD5EC5" w:rsidRDefault="00CD5EC5" w:rsidP="00CD5EC5">
      <w:pPr>
        <w:rPr>
          <w:rFonts w:eastAsia="Times New Roman" w:cs="Arial"/>
          <w:color w:val="000000"/>
          <w:lang w:eastAsia="bg-BG"/>
        </w:rPr>
      </w:pPr>
    </w:p>
    <w:p w14:paraId="038F692B" w14:textId="1C61A559" w:rsidR="007A2185" w:rsidRPr="00CD5EC5" w:rsidRDefault="00CD5EC5" w:rsidP="00CD5EC5">
      <w:pPr>
        <w:rPr>
          <w:rFonts w:cs="Arial"/>
        </w:rPr>
      </w:pPr>
      <w:r w:rsidRPr="00CD5EC5">
        <w:rPr>
          <w:rFonts w:eastAsia="Times New Roman" w:cs="Arial"/>
          <w:color w:val="000000"/>
          <w:lang w:eastAsia="bg-BG"/>
        </w:rPr>
        <w:t>Утеротоничните свойства на мизопростол трябва да улеснят отварянето на шийката на матката и експулсията на вътрематочните остатъци.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196E5E9F" w14:textId="77777777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Абсорбция</w:t>
      </w:r>
    </w:p>
    <w:p w14:paraId="1269F907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A30C118" w14:textId="0FBE4BAE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lastRenderedPageBreak/>
        <w:t>Мизопростол се абсорбира бързо след перорален прием, като максимални плазмени нива на активния метаболит (мизопростол киселина) се достигат след около 30 минути. Плазменият полуживот на елиминиране на мизопростол киселина е 20-40 минути.</w:t>
      </w:r>
    </w:p>
    <w:p w14:paraId="731A0C89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u w:val="single"/>
          <w:lang w:eastAsia="bg-BG"/>
        </w:rPr>
      </w:pPr>
    </w:p>
    <w:p w14:paraId="7B6C8C8F" w14:textId="06833878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Разпределение</w:t>
      </w:r>
    </w:p>
    <w:p w14:paraId="7EFE9619" w14:textId="77777777" w:rsidR="00CD5EC5" w:rsidRPr="00CD5EC5" w:rsidRDefault="00CD5EC5" w:rsidP="00CD5EC5">
      <w:pPr>
        <w:rPr>
          <w:rFonts w:eastAsia="Times New Roman" w:cs="Arial"/>
          <w:color w:val="000000"/>
          <w:szCs w:val="24"/>
          <w:lang w:eastAsia="bg-BG"/>
        </w:rPr>
      </w:pPr>
    </w:p>
    <w:p w14:paraId="45551830" w14:textId="07D12DA1" w:rsidR="007A2185" w:rsidRPr="00CD5EC5" w:rsidRDefault="00CD5EC5" w:rsidP="00CD5EC5">
      <w:pPr>
        <w:rPr>
          <w:rFonts w:eastAsia="Times New Roman" w:cs="Arial"/>
          <w:color w:val="000000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По-малко от 90% от мизопростол свободна киселина се свързва с плазмените белтъци.</w:t>
      </w:r>
      <w:r w:rsidRPr="00CD5EC5">
        <w:rPr>
          <w:rFonts w:eastAsia="Times New Roman" w:cs="Arial"/>
          <w:i/>
          <w:iCs/>
          <w:color w:val="000000"/>
          <w:szCs w:val="24"/>
          <w:lang w:eastAsia="bg-BG"/>
        </w:rPr>
        <w:t xml:space="preserve"> </w:t>
      </w:r>
      <w:r w:rsidRPr="00CD5EC5">
        <w:rPr>
          <w:rFonts w:eastAsia="Times New Roman" w:cs="Arial"/>
          <w:color w:val="000000"/>
          <w:szCs w:val="24"/>
          <w:lang w:eastAsia="bg-BG"/>
        </w:rPr>
        <w:t>Мизопростол се метаболизира от системите за окисление на мастни киселини, които са разпространени в няколко органа на човешкото тяло.</w:t>
      </w:r>
    </w:p>
    <w:p w14:paraId="7ED0265E" w14:textId="125CDCC9" w:rsidR="00CD5EC5" w:rsidRPr="00CD5EC5" w:rsidRDefault="00CD5EC5" w:rsidP="00CD5EC5">
      <w:pPr>
        <w:rPr>
          <w:rFonts w:eastAsia="Times New Roman" w:cs="Arial"/>
          <w:color w:val="000000"/>
          <w:szCs w:val="24"/>
          <w:lang w:eastAsia="bg-BG"/>
        </w:rPr>
      </w:pPr>
    </w:p>
    <w:p w14:paraId="64195985" w14:textId="77777777" w:rsidR="00CD5EC5" w:rsidRPr="00CD5EC5" w:rsidRDefault="00CD5EC5" w:rsidP="00CD5EC5">
      <w:pPr>
        <w:pStyle w:val="Heading3"/>
        <w:rPr>
          <w:rFonts w:eastAsia="Times New Roman"/>
          <w:u w:val="single"/>
          <w:lang w:eastAsia="bg-BG"/>
        </w:rPr>
      </w:pPr>
      <w:r w:rsidRPr="00CD5EC5">
        <w:rPr>
          <w:rFonts w:eastAsia="Times New Roman"/>
          <w:u w:val="single"/>
          <w:lang w:eastAsia="bg-BG"/>
        </w:rPr>
        <w:t>Елиминиране</w:t>
      </w:r>
    </w:p>
    <w:p w14:paraId="4E678431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B8C2CD2" w14:textId="1C24E4BA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 xml:space="preserve">След перорално приложение на </w:t>
      </w:r>
      <w:r w:rsidRPr="00CD5EC5">
        <w:rPr>
          <w:rFonts w:eastAsia="Times New Roman" w:cs="Arial"/>
          <w:color w:val="000000"/>
          <w:szCs w:val="24"/>
          <w:vertAlign w:val="superscript"/>
          <w:lang w:eastAsia="bg-BG"/>
        </w:rPr>
        <w:t>3</w:t>
      </w:r>
      <w:r w:rsidRPr="00CD5EC5">
        <w:rPr>
          <w:rFonts w:eastAsia="Times New Roman" w:cs="Arial"/>
          <w:color w:val="000000"/>
          <w:szCs w:val="24"/>
          <w:lang w:eastAsia="bg-BG"/>
        </w:rPr>
        <w:t>Н-мизопростол, около 73% от радиоактивността се екскретира в урината и около 15% - в изпражненията. Приблизително 56% от цялата доза радиоактивност се елиминират до 8 часа с урината.</w:t>
      </w:r>
    </w:p>
    <w:p w14:paraId="0F8ECF95" w14:textId="0BA0352E" w:rsidR="00CD5EC5" w:rsidRPr="00CD5EC5" w:rsidRDefault="00CD5EC5" w:rsidP="00CD5EC5">
      <w:pPr>
        <w:rPr>
          <w:rFonts w:cs="Arial"/>
          <w:sz w:val="20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Прилагането на мизопростол с храна не променя бионаличността на мизопростол киселина, но води до намаляване на максималната плазмена концентрация поради по- ниска скорост на абсорбция.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2A804273" w14:textId="77777777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 и карциногенен потенциал.</w:t>
      </w:r>
    </w:p>
    <w:p w14:paraId="1581F133" w14:textId="77777777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При високи дози при многократно прилагане при плъхове и зайци, мизопростол е бил фето- и ембриотоксичен. Не е открит тератогенен потенциал.</w:t>
      </w:r>
    </w:p>
    <w:p w14:paraId="19997BCF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350EE694" w14:textId="1E9D74E0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>При проучвания с еднократно или с многократно прилагане при кучета, плъхове и мишки в дози, надвишаващи многократно дозата, използвана при хора, токсикологичните находки съответстват на познатите фармакологични ефекти на простагландините от тип Е, като основните симптоми са били диария, повръщане, мидриаза, тремор и хипертермия.</w:t>
      </w:r>
    </w:p>
    <w:p w14:paraId="5290F896" w14:textId="77777777" w:rsidR="00CD5EC5" w:rsidRPr="00CD5EC5" w:rsidRDefault="00CD5EC5" w:rsidP="00CD5EC5">
      <w:pPr>
        <w:spacing w:line="240" w:lineRule="auto"/>
        <w:rPr>
          <w:rFonts w:eastAsia="Times New Roman" w:cs="Arial"/>
          <w:color w:val="000000"/>
          <w:szCs w:val="24"/>
          <w:lang w:eastAsia="bg-BG"/>
        </w:rPr>
      </w:pPr>
    </w:p>
    <w:p w14:paraId="17B08652" w14:textId="44642FF7" w:rsidR="00CD5EC5" w:rsidRPr="00CD5EC5" w:rsidRDefault="00CD5EC5" w:rsidP="00CD5EC5">
      <w:pPr>
        <w:spacing w:line="240" w:lineRule="auto"/>
        <w:rPr>
          <w:rFonts w:eastAsia="Times New Roman" w:cs="Arial"/>
          <w:szCs w:val="24"/>
          <w:lang w:eastAsia="bg-BG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 xml:space="preserve">При интраутеринно, но не и при интрагастрално приложение на мизопростол при плъхове значимо се повишава смъртността от маточни инфекции, причинени от </w:t>
      </w:r>
      <w:r w:rsidRPr="00CD5EC5">
        <w:rPr>
          <w:rFonts w:eastAsia="Times New Roman" w:cs="Arial"/>
          <w:color w:val="000000"/>
          <w:szCs w:val="24"/>
          <w:lang w:val="en-US"/>
        </w:rPr>
        <w:t xml:space="preserve">Clostridium </w:t>
      </w:r>
      <w:proofErr w:type="spellStart"/>
      <w:r w:rsidRPr="00CD5EC5">
        <w:rPr>
          <w:rFonts w:eastAsia="Times New Roman" w:cs="Arial"/>
          <w:color w:val="000000"/>
          <w:szCs w:val="24"/>
          <w:lang w:val="en-US"/>
        </w:rPr>
        <w:t>sordellii</w:t>
      </w:r>
      <w:proofErr w:type="spellEnd"/>
      <w:r w:rsidRPr="00CD5EC5">
        <w:rPr>
          <w:rFonts w:eastAsia="Times New Roman" w:cs="Arial"/>
          <w:color w:val="000000"/>
          <w:szCs w:val="24"/>
          <w:lang w:val="en-US"/>
        </w:rPr>
        <w:t xml:space="preserve"> </w:t>
      </w:r>
      <w:r w:rsidRPr="00CD5EC5">
        <w:rPr>
          <w:rFonts w:eastAsia="Times New Roman" w:cs="Arial"/>
          <w:color w:val="000000"/>
          <w:szCs w:val="24"/>
          <w:lang w:eastAsia="bg-BG"/>
        </w:rPr>
        <w:t xml:space="preserve">и нарушен бактериален клиърънс </w:t>
      </w:r>
      <w:r w:rsidRPr="00CD5EC5">
        <w:rPr>
          <w:rFonts w:eastAsia="Times New Roman" w:cs="Arial"/>
          <w:color w:val="000000"/>
          <w:szCs w:val="24"/>
          <w:lang w:val="en-US"/>
        </w:rPr>
        <w:t>in vivo.</w:t>
      </w:r>
    </w:p>
    <w:p w14:paraId="33725644" w14:textId="77777777" w:rsidR="00CD5EC5" w:rsidRPr="00CD5EC5" w:rsidRDefault="00CD5EC5" w:rsidP="00CD5EC5">
      <w:pPr>
        <w:rPr>
          <w:rFonts w:eastAsia="Times New Roman" w:cs="Arial"/>
          <w:color w:val="000000"/>
          <w:szCs w:val="24"/>
          <w:lang w:eastAsia="bg-BG"/>
        </w:rPr>
      </w:pPr>
    </w:p>
    <w:p w14:paraId="13A7B62A" w14:textId="137610E1" w:rsidR="007A2185" w:rsidRPr="00CD5EC5" w:rsidRDefault="00CD5EC5" w:rsidP="00CD5EC5">
      <w:pPr>
        <w:rPr>
          <w:rFonts w:cs="Arial"/>
          <w:sz w:val="20"/>
        </w:rPr>
      </w:pPr>
      <w:r w:rsidRPr="00CD5EC5">
        <w:rPr>
          <w:rFonts w:eastAsia="Times New Roman" w:cs="Arial"/>
          <w:color w:val="000000"/>
          <w:szCs w:val="24"/>
          <w:lang w:eastAsia="bg-BG"/>
        </w:rPr>
        <w:t xml:space="preserve">Показано е, че мизопростол променя калциевата хомеостаза на невро-2а клетките и допринася за аномално функциониране на клетките </w:t>
      </w:r>
      <w:r w:rsidRPr="00CD5EC5">
        <w:rPr>
          <w:rFonts w:eastAsia="Times New Roman" w:cs="Arial"/>
          <w:color w:val="000000"/>
          <w:szCs w:val="24"/>
          <w:lang w:val="en-US"/>
        </w:rPr>
        <w:t xml:space="preserve">in vitro. </w:t>
      </w:r>
      <w:r w:rsidRPr="00CD5EC5">
        <w:rPr>
          <w:rFonts w:eastAsia="Times New Roman" w:cs="Arial"/>
          <w:color w:val="000000"/>
          <w:szCs w:val="24"/>
          <w:lang w:eastAsia="bg-BG"/>
        </w:rPr>
        <w:t>Дисбалансът на калциевата хомеостаза има потенциална възможност да повлияе негативно на ранното невронално развитие.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4F02909F" w14:textId="69F6BC91" w:rsidR="007A2185" w:rsidRDefault="007A2185" w:rsidP="0091385D"/>
    <w:p w14:paraId="0C023984" w14:textId="77777777" w:rsidR="00CD5EC5" w:rsidRPr="00CD5EC5" w:rsidRDefault="00CD5EC5" w:rsidP="00CD5EC5">
      <w:pPr>
        <w:spacing w:line="240" w:lineRule="auto"/>
        <w:rPr>
          <w:rFonts w:eastAsia="Times New Roman" w:cs="Arial"/>
          <w:lang w:val="en-US" w:eastAsia="bg-BG"/>
        </w:rPr>
      </w:pPr>
      <w:r w:rsidRPr="00CD5EC5">
        <w:rPr>
          <w:rFonts w:eastAsia="Times New Roman" w:cs="Arial"/>
          <w:color w:val="000000"/>
          <w:lang w:val="en-US"/>
        </w:rPr>
        <w:t>EXELGYN</w:t>
      </w:r>
    </w:p>
    <w:p w14:paraId="4C653BD1" w14:textId="77777777" w:rsidR="00CD5EC5" w:rsidRPr="00CD5EC5" w:rsidRDefault="00CD5EC5" w:rsidP="00CD5EC5">
      <w:pPr>
        <w:spacing w:line="240" w:lineRule="auto"/>
        <w:rPr>
          <w:rFonts w:eastAsia="Times New Roman" w:cs="Arial"/>
          <w:lang w:val="en-US"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216 </w:t>
      </w:r>
      <w:r w:rsidRPr="00CD5EC5">
        <w:rPr>
          <w:rFonts w:eastAsia="Times New Roman" w:cs="Arial"/>
          <w:color w:val="000000"/>
          <w:lang w:val="en-US"/>
        </w:rPr>
        <w:t>boulevard Saint-Germain</w:t>
      </w:r>
    </w:p>
    <w:p w14:paraId="62B4A9F9" w14:textId="77777777" w:rsidR="00CD5EC5" w:rsidRPr="00CD5EC5" w:rsidRDefault="00CD5EC5" w:rsidP="00CD5EC5">
      <w:pPr>
        <w:spacing w:line="240" w:lineRule="auto"/>
        <w:rPr>
          <w:rFonts w:eastAsia="Times New Roman" w:cs="Arial"/>
          <w:lang w:val="en-US" w:eastAsia="bg-BG"/>
        </w:rPr>
      </w:pPr>
      <w:r w:rsidRPr="00CD5EC5">
        <w:rPr>
          <w:rFonts w:eastAsia="Times New Roman" w:cs="Arial"/>
          <w:color w:val="000000"/>
          <w:lang w:eastAsia="bg-BG"/>
        </w:rPr>
        <w:t xml:space="preserve">75007 </w:t>
      </w:r>
      <w:r w:rsidRPr="00CD5EC5">
        <w:rPr>
          <w:rFonts w:eastAsia="Times New Roman" w:cs="Arial"/>
          <w:color w:val="000000"/>
          <w:lang w:val="en-US"/>
        </w:rPr>
        <w:t>Paris</w:t>
      </w:r>
    </w:p>
    <w:p w14:paraId="129C7566" w14:textId="39ACFA97" w:rsidR="0091385D" w:rsidRPr="00CD5EC5" w:rsidRDefault="00CD5EC5" w:rsidP="00CD5EC5">
      <w:pPr>
        <w:rPr>
          <w:rFonts w:eastAsia="Times New Roman" w:cs="Arial"/>
          <w:color w:val="000000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lastRenderedPageBreak/>
        <w:t>Франция</w:t>
      </w:r>
    </w:p>
    <w:p w14:paraId="3C164C9F" w14:textId="77777777" w:rsidR="00CD5EC5" w:rsidRPr="0091385D" w:rsidRDefault="00CD5EC5" w:rsidP="00CD5EC5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3B86B4AC" w:rsidR="007A2185" w:rsidRPr="00CD5EC5" w:rsidRDefault="00CD5EC5" w:rsidP="0091385D">
      <w:pPr>
        <w:rPr>
          <w:rFonts w:cs="Arial"/>
        </w:rPr>
      </w:pPr>
      <w:r w:rsidRPr="00CD5EC5">
        <w:rPr>
          <w:rFonts w:cs="Arial"/>
        </w:rPr>
        <w:t>20130303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7BA0DF84" w14:textId="77777777" w:rsidR="00CD5EC5" w:rsidRPr="00CD5EC5" w:rsidRDefault="00CD5EC5" w:rsidP="00CD5EC5">
      <w:pPr>
        <w:spacing w:line="240" w:lineRule="auto"/>
        <w:rPr>
          <w:rFonts w:eastAsia="Times New Roman" w:cs="Arial"/>
          <w:lang w:eastAsia="bg-BG"/>
        </w:rPr>
      </w:pPr>
      <w:r w:rsidRPr="00CD5EC5">
        <w:rPr>
          <w:rFonts w:eastAsia="Times New Roman" w:cs="Arial"/>
          <w:color w:val="000000"/>
          <w:lang w:eastAsia="bg-BG"/>
        </w:rPr>
        <w:t>Дата на първото разрешение: 7 октомври 2013</w:t>
      </w:r>
    </w:p>
    <w:p w14:paraId="5F9D9ACA" w14:textId="77777777" w:rsidR="00CD5EC5" w:rsidRPr="00CD5EC5" w:rsidRDefault="00CD5EC5" w:rsidP="00CD5EC5">
      <w:pPr>
        <w:rPr>
          <w:rFonts w:eastAsia="Times New Roman" w:cs="Arial"/>
          <w:color w:val="000000"/>
          <w:lang w:eastAsia="bg-BG"/>
        </w:rPr>
      </w:pPr>
    </w:p>
    <w:p w14:paraId="6C57D8B6" w14:textId="09A37A75" w:rsidR="007A2185" w:rsidRPr="00CD5EC5" w:rsidRDefault="00CD5EC5" w:rsidP="00CD5EC5">
      <w:pPr>
        <w:rPr>
          <w:rFonts w:cs="Arial"/>
        </w:rPr>
      </w:pPr>
      <w:r w:rsidRPr="00CD5EC5">
        <w:rPr>
          <w:rFonts w:eastAsia="Times New Roman" w:cs="Arial"/>
          <w:color w:val="000000"/>
          <w:lang w:eastAsia="bg-BG"/>
        </w:rPr>
        <w:t>Дата на последното подновяване: 5 септември 2018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1574FD1F" w:rsidR="007A2185" w:rsidRPr="00CD5EC5" w:rsidRDefault="00CD5EC5" w:rsidP="0091385D">
      <w:pPr>
        <w:rPr>
          <w:rFonts w:cs="Arial"/>
        </w:rPr>
      </w:pPr>
      <w:r w:rsidRPr="00CD5EC5">
        <w:rPr>
          <w:rFonts w:cs="Arial"/>
        </w:rPr>
        <w:t>март 2020 г.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389"/>
    <w:multiLevelType w:val="hybridMultilevel"/>
    <w:tmpl w:val="BECAD91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1EF20AA"/>
    <w:multiLevelType w:val="hybridMultilevel"/>
    <w:tmpl w:val="C2641E0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3E8E"/>
    <w:multiLevelType w:val="hybridMultilevel"/>
    <w:tmpl w:val="3654C05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27559"/>
    <w:multiLevelType w:val="hybridMultilevel"/>
    <w:tmpl w:val="F5F68BAC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1767B5E"/>
    <w:multiLevelType w:val="hybridMultilevel"/>
    <w:tmpl w:val="BA887FAA"/>
    <w:lvl w:ilvl="0" w:tplc="E20A4D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58D3"/>
    <w:multiLevelType w:val="hybridMultilevel"/>
    <w:tmpl w:val="74DCB2C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82102"/>
    <w:multiLevelType w:val="hybridMultilevel"/>
    <w:tmpl w:val="98A2F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A41B9"/>
    <w:multiLevelType w:val="hybridMultilevel"/>
    <w:tmpl w:val="17FA1F4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4682A"/>
    <w:multiLevelType w:val="hybridMultilevel"/>
    <w:tmpl w:val="B3BC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BA0"/>
    <w:multiLevelType w:val="hybridMultilevel"/>
    <w:tmpl w:val="E7A0965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C2A2A"/>
    <w:multiLevelType w:val="hybridMultilevel"/>
    <w:tmpl w:val="AC26B50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6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20"/>
  </w:num>
  <w:num w:numId="7">
    <w:abstractNumId w:val="12"/>
  </w:num>
  <w:num w:numId="8">
    <w:abstractNumId w:val="19"/>
  </w:num>
  <w:num w:numId="9">
    <w:abstractNumId w:val="2"/>
  </w:num>
  <w:num w:numId="10">
    <w:abstractNumId w:val="4"/>
  </w:num>
  <w:num w:numId="11">
    <w:abstractNumId w:val="39"/>
  </w:num>
  <w:num w:numId="12">
    <w:abstractNumId w:val="18"/>
  </w:num>
  <w:num w:numId="13">
    <w:abstractNumId w:val="24"/>
  </w:num>
  <w:num w:numId="14">
    <w:abstractNumId w:val="13"/>
  </w:num>
  <w:num w:numId="15">
    <w:abstractNumId w:val="38"/>
  </w:num>
  <w:num w:numId="16">
    <w:abstractNumId w:val="11"/>
  </w:num>
  <w:num w:numId="17">
    <w:abstractNumId w:val="30"/>
  </w:num>
  <w:num w:numId="18">
    <w:abstractNumId w:val="9"/>
  </w:num>
  <w:num w:numId="19">
    <w:abstractNumId w:val="33"/>
  </w:num>
  <w:num w:numId="20">
    <w:abstractNumId w:val="29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28"/>
  </w:num>
  <w:num w:numId="26">
    <w:abstractNumId w:val="27"/>
  </w:num>
  <w:num w:numId="27">
    <w:abstractNumId w:val="40"/>
  </w:num>
  <w:num w:numId="28">
    <w:abstractNumId w:val="7"/>
  </w:num>
  <w:num w:numId="29">
    <w:abstractNumId w:val="26"/>
  </w:num>
  <w:num w:numId="30">
    <w:abstractNumId w:val="45"/>
  </w:num>
  <w:num w:numId="31">
    <w:abstractNumId w:val="5"/>
  </w:num>
  <w:num w:numId="32">
    <w:abstractNumId w:val="43"/>
  </w:num>
  <w:num w:numId="33">
    <w:abstractNumId w:val="37"/>
  </w:num>
  <w:num w:numId="34">
    <w:abstractNumId w:val="42"/>
  </w:num>
  <w:num w:numId="35">
    <w:abstractNumId w:val="17"/>
  </w:num>
  <w:num w:numId="36">
    <w:abstractNumId w:val="35"/>
  </w:num>
  <w:num w:numId="37">
    <w:abstractNumId w:val="34"/>
  </w:num>
  <w:num w:numId="38">
    <w:abstractNumId w:val="14"/>
  </w:num>
  <w:num w:numId="39">
    <w:abstractNumId w:val="32"/>
  </w:num>
  <w:num w:numId="40">
    <w:abstractNumId w:val="44"/>
  </w:num>
  <w:num w:numId="41">
    <w:abstractNumId w:val="8"/>
  </w:num>
  <w:num w:numId="42">
    <w:abstractNumId w:val="6"/>
  </w:num>
  <w:num w:numId="43">
    <w:abstractNumId w:val="25"/>
  </w:num>
  <w:num w:numId="44">
    <w:abstractNumId w:val="41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D5EC5"/>
    <w:rsid w:val="00CF77F7"/>
    <w:rsid w:val="00D86297"/>
    <w:rsid w:val="00DA119F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3622</Words>
  <Characters>20647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2023-06-02T11:29:00Z</dcterms:created>
  <dcterms:modified xsi:type="dcterms:W3CDTF">2023-06-02T11:29:00Z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