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1"/>
        <w:jc w:val="center"/>
      </w:pPr>
      <w:bookmarkStart w:id="0" w:name="_Hlk63124480"/>
      <w:r>
        <w:t>КРАТКА ХАРАКТЕРИСТИКА НА ПРОДУКТА</w:t>
      </w:r>
    </w:p>
    <w:p w14:paraId="3B239815" w14:textId="7B428B2E" w:rsidR="00AA23EC" w:rsidRDefault="00DD466D" w:rsidP="00DD466D">
      <w:pPr>
        <w:pStyle w:val="1"/>
      </w:pPr>
      <w:r>
        <w:t>1.ИМЕ НА ЛЕКАРСТВЕНИЯ ПРОДУКТ</w:t>
      </w:r>
    </w:p>
    <w:p w14:paraId="42E257DA" w14:textId="00510EA8" w:rsidR="003020D8" w:rsidRDefault="003020D8" w:rsidP="003020D8"/>
    <w:p w14:paraId="39AA1906" w14:textId="77777777" w:rsidR="003020D8" w:rsidRPr="003020D8" w:rsidRDefault="003020D8" w:rsidP="003020D8">
      <w:pPr>
        <w:rPr>
          <w:sz w:val="24"/>
          <w:szCs w:val="24"/>
          <w:lang w:val="en-US"/>
        </w:rPr>
      </w:pPr>
      <w:proofErr w:type="spellStart"/>
      <w:r w:rsidRPr="003020D8">
        <w:rPr>
          <w:lang w:eastAsia="bg-BG"/>
        </w:rPr>
        <w:t>Трамадол</w:t>
      </w:r>
      <w:proofErr w:type="spellEnd"/>
      <w:r w:rsidRPr="003020D8">
        <w:rPr>
          <w:lang w:eastAsia="bg-BG"/>
        </w:rPr>
        <w:t xml:space="preserve"> СТАДА </w:t>
      </w:r>
      <w:r w:rsidRPr="003020D8">
        <w:rPr>
          <w:lang w:val="en-US"/>
        </w:rPr>
        <w:t xml:space="preserve">50 mg/ml </w:t>
      </w:r>
      <w:r w:rsidRPr="003020D8">
        <w:rPr>
          <w:lang w:eastAsia="bg-BG"/>
        </w:rPr>
        <w:t>инжекционен разтвор</w:t>
      </w:r>
    </w:p>
    <w:p w14:paraId="40ABE8F2" w14:textId="4D8ED578" w:rsidR="003020D8" w:rsidRPr="003020D8" w:rsidRDefault="003020D8" w:rsidP="003020D8">
      <w:r w:rsidRPr="003020D8">
        <w:rPr>
          <w:lang w:val="en-US"/>
        </w:rPr>
        <w:t>Tramadol STADA 50 mg/ml solution for injection</w:t>
      </w:r>
    </w:p>
    <w:p w14:paraId="4D88B710" w14:textId="7BA031B5" w:rsidR="00D86297" w:rsidRDefault="00DD466D" w:rsidP="00AA23EC">
      <w:pPr>
        <w:pStyle w:val="1"/>
      </w:pPr>
      <w:r>
        <w:t>2. КАЧЕСТВЕН И КОЛИЧЕСТВЕН СЪСТАВ</w:t>
      </w:r>
    </w:p>
    <w:p w14:paraId="4B9FFA25" w14:textId="534C2DFD" w:rsidR="003020D8" w:rsidRDefault="003020D8" w:rsidP="003020D8"/>
    <w:p w14:paraId="63B8B265" w14:textId="77777777" w:rsidR="003020D8" w:rsidRPr="003020D8" w:rsidRDefault="003020D8" w:rsidP="003020D8">
      <w:pPr>
        <w:rPr>
          <w:sz w:val="24"/>
          <w:szCs w:val="24"/>
        </w:rPr>
      </w:pPr>
      <w:r w:rsidRPr="003020D8">
        <w:rPr>
          <w:lang w:eastAsia="bg-BG"/>
        </w:rPr>
        <w:t xml:space="preserve">1 </w:t>
      </w:r>
      <w:r w:rsidRPr="003020D8">
        <w:rPr>
          <w:lang w:val="en-US"/>
        </w:rPr>
        <w:t xml:space="preserve">ml </w:t>
      </w:r>
      <w:r w:rsidRPr="003020D8">
        <w:rPr>
          <w:lang w:eastAsia="bg-BG"/>
        </w:rPr>
        <w:t xml:space="preserve">инжекционен разтвор съдържа 50 </w:t>
      </w:r>
      <w:r w:rsidRPr="003020D8">
        <w:rPr>
          <w:lang w:val="en-US"/>
        </w:rPr>
        <w:t xml:space="preserve">mg </w:t>
      </w:r>
      <w:proofErr w:type="spellStart"/>
      <w:r w:rsidRPr="003020D8">
        <w:rPr>
          <w:lang w:eastAsia="bg-BG"/>
        </w:rPr>
        <w:t>трамадолов</w:t>
      </w:r>
      <w:proofErr w:type="spellEnd"/>
      <w:r w:rsidRPr="003020D8">
        <w:rPr>
          <w:lang w:eastAsia="bg-BG"/>
        </w:rPr>
        <w:t xml:space="preserve"> хидрохлорид </w:t>
      </w:r>
      <w:r w:rsidRPr="003020D8">
        <w:rPr>
          <w:i/>
          <w:iCs/>
          <w:lang w:val="en-US"/>
        </w:rPr>
        <w:t>{tramadol hydrochloride).</w:t>
      </w:r>
    </w:p>
    <w:p w14:paraId="2C8D26DE" w14:textId="3FA0C733" w:rsidR="003020D8" w:rsidRPr="003020D8" w:rsidRDefault="003020D8" w:rsidP="003020D8">
      <w:r w:rsidRPr="003020D8">
        <w:rPr>
          <w:lang w:eastAsia="bg-BG"/>
        </w:rPr>
        <w:t xml:space="preserve">1 ампула от 2 </w:t>
      </w:r>
      <w:r w:rsidRPr="003020D8">
        <w:rPr>
          <w:lang w:val="en-US"/>
        </w:rPr>
        <w:t xml:space="preserve">ml </w:t>
      </w:r>
      <w:r w:rsidRPr="003020D8">
        <w:rPr>
          <w:lang w:eastAsia="bg-BG"/>
        </w:rPr>
        <w:t xml:space="preserve">инжекционен разтвор съдържа 100 </w:t>
      </w:r>
      <w:r w:rsidRPr="003020D8">
        <w:rPr>
          <w:lang w:val="en-US"/>
        </w:rPr>
        <w:t xml:space="preserve">mg </w:t>
      </w:r>
      <w:proofErr w:type="spellStart"/>
      <w:r w:rsidRPr="003020D8">
        <w:rPr>
          <w:lang w:eastAsia="bg-BG"/>
        </w:rPr>
        <w:t>трамадолов</w:t>
      </w:r>
      <w:proofErr w:type="spellEnd"/>
      <w:r w:rsidRPr="003020D8">
        <w:rPr>
          <w:lang w:eastAsia="bg-BG"/>
        </w:rPr>
        <w:t xml:space="preserve"> хидрохлорид.</w:t>
      </w:r>
    </w:p>
    <w:p w14:paraId="5E332777" w14:textId="1606C8B2" w:rsidR="005A66D9" w:rsidRDefault="00DD466D" w:rsidP="00CA1B57">
      <w:pPr>
        <w:pStyle w:val="1"/>
      </w:pPr>
      <w:r>
        <w:t>3. ЛЕКАРСТВЕНА ФОРМА</w:t>
      </w:r>
    </w:p>
    <w:p w14:paraId="1D4E0DFD" w14:textId="567B54A9" w:rsidR="003020D8" w:rsidRDefault="003020D8" w:rsidP="003020D8"/>
    <w:p w14:paraId="1543D7DD" w14:textId="77777777" w:rsidR="003020D8" w:rsidRDefault="003020D8" w:rsidP="003020D8">
      <w:r>
        <w:t xml:space="preserve">Инжекционен разтвор. </w:t>
      </w:r>
    </w:p>
    <w:p w14:paraId="546BC89C" w14:textId="582EC4E1" w:rsidR="003020D8" w:rsidRPr="003020D8" w:rsidRDefault="003020D8" w:rsidP="003020D8">
      <w:r>
        <w:t>Бистър, безцветен разтвор.</w:t>
      </w:r>
    </w:p>
    <w:p w14:paraId="490FC2C4" w14:textId="77777777" w:rsidR="002C50EE" w:rsidRDefault="002C50EE" w:rsidP="002C50EE">
      <w:pPr>
        <w:pStyle w:val="1"/>
      </w:pPr>
      <w:r>
        <w:t>4. КЛИНИЧНИ ДАННИ</w:t>
      </w:r>
    </w:p>
    <w:p w14:paraId="1512A286" w14:textId="2888A462" w:rsidR="00FD69E8" w:rsidRDefault="002C50EE" w:rsidP="00AA23EC">
      <w:pPr>
        <w:pStyle w:val="2"/>
      </w:pPr>
      <w:r>
        <w:t>4.1. Терапевтични показания</w:t>
      </w:r>
    </w:p>
    <w:p w14:paraId="7B36EC5A" w14:textId="77777777" w:rsidR="003020D8" w:rsidRDefault="003020D8" w:rsidP="003765DC"/>
    <w:p w14:paraId="7971DF65" w14:textId="0516341B" w:rsidR="003020D8" w:rsidRDefault="003020D8" w:rsidP="003020D8">
      <w:r>
        <w:t>Лечение на умерени до силни болки.</w:t>
      </w:r>
    </w:p>
    <w:p w14:paraId="3FD9A994" w14:textId="77777777" w:rsidR="003020D8" w:rsidRPr="003765DC" w:rsidRDefault="003020D8" w:rsidP="003020D8"/>
    <w:p w14:paraId="66024DB0" w14:textId="506F3C36" w:rsidR="003765DC" w:rsidRDefault="002C50EE" w:rsidP="002B3C38">
      <w:pPr>
        <w:pStyle w:val="2"/>
      </w:pPr>
      <w:r>
        <w:t>4.2. Дозировка и начин на приложение</w:t>
      </w:r>
    </w:p>
    <w:p w14:paraId="5665CE2A" w14:textId="1C4B6E55" w:rsidR="003020D8" w:rsidRDefault="003020D8" w:rsidP="003020D8"/>
    <w:p w14:paraId="22018972" w14:textId="77777777" w:rsidR="003020D8" w:rsidRPr="003020D8" w:rsidRDefault="003020D8" w:rsidP="003020D8">
      <w:pPr>
        <w:pStyle w:val="3"/>
        <w:rPr>
          <w:rFonts w:eastAsia="Times New Roman"/>
          <w:u w:val="single"/>
        </w:rPr>
      </w:pPr>
      <w:r w:rsidRPr="003020D8">
        <w:rPr>
          <w:rFonts w:eastAsia="Times New Roman"/>
          <w:u w:val="single"/>
          <w:lang w:eastAsia="bg-BG"/>
        </w:rPr>
        <w:t>Дозировка</w:t>
      </w:r>
    </w:p>
    <w:p w14:paraId="3002A4E5" w14:textId="77777777" w:rsidR="003020D8" w:rsidRPr="003020D8" w:rsidRDefault="003020D8" w:rsidP="003020D8">
      <w:pPr>
        <w:spacing w:line="240" w:lineRule="auto"/>
        <w:rPr>
          <w:rFonts w:eastAsia="Times New Roman" w:cs="Arial"/>
          <w:sz w:val="24"/>
          <w:szCs w:val="24"/>
        </w:rPr>
      </w:pPr>
      <w:r w:rsidRPr="003020D8">
        <w:rPr>
          <w:rFonts w:eastAsia="Times New Roman" w:cs="Arial"/>
          <w:color w:val="000000"/>
          <w:lang w:eastAsia="bg-BG"/>
        </w:rPr>
        <w:t>Дозата се определя и променя в съответствие с интензитета на болката и чувствителността на отделния пациент.</w:t>
      </w:r>
    </w:p>
    <w:p w14:paraId="707CADCB" w14:textId="77777777" w:rsidR="003020D8" w:rsidRPr="003020D8" w:rsidRDefault="003020D8" w:rsidP="003020D8">
      <w:pPr>
        <w:spacing w:line="240" w:lineRule="auto"/>
        <w:rPr>
          <w:rFonts w:eastAsia="Times New Roman" w:cs="Arial"/>
          <w:sz w:val="24"/>
          <w:szCs w:val="24"/>
        </w:rPr>
      </w:pPr>
      <w:r w:rsidRPr="003020D8">
        <w:rPr>
          <w:rFonts w:eastAsia="Times New Roman" w:cs="Arial"/>
          <w:color w:val="000000"/>
          <w:lang w:eastAsia="bg-BG"/>
        </w:rPr>
        <w:t>В зависимост от интензитета на болката, аналгетичният ефект продължава от 4 до 8 часа.</w:t>
      </w:r>
    </w:p>
    <w:p w14:paraId="789E8F1A" w14:textId="77777777" w:rsidR="003020D8" w:rsidRPr="003020D8" w:rsidRDefault="003020D8" w:rsidP="003020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A244552" w14:textId="74DDB611" w:rsidR="003020D8" w:rsidRPr="003020D8" w:rsidRDefault="003020D8" w:rsidP="003020D8">
      <w:pPr>
        <w:spacing w:line="240" w:lineRule="auto"/>
        <w:rPr>
          <w:rFonts w:eastAsia="Times New Roman" w:cs="Arial"/>
          <w:sz w:val="24"/>
          <w:szCs w:val="24"/>
        </w:rPr>
      </w:pPr>
      <w:r w:rsidRPr="003020D8">
        <w:rPr>
          <w:rFonts w:eastAsia="Times New Roman" w:cs="Arial"/>
          <w:color w:val="000000"/>
          <w:lang w:eastAsia="bg-BG"/>
        </w:rPr>
        <w:t xml:space="preserve">Лечението с </w:t>
      </w:r>
      <w:proofErr w:type="spellStart"/>
      <w:r w:rsidRPr="003020D8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3020D8">
        <w:rPr>
          <w:rFonts w:eastAsia="Times New Roman" w:cs="Arial"/>
          <w:color w:val="000000"/>
          <w:lang w:eastAsia="bg-BG"/>
        </w:rPr>
        <w:t xml:space="preserve"> трябва да бъде краткосрочно и на периоди, тъй като е възможно да възникне зависимост. Трябва да се прави оценка за ползите от продължително приложение, за да се прецени дали те надвишават риска от зависимост (виж: 4.4 и т. 4.8).</w:t>
      </w:r>
    </w:p>
    <w:p w14:paraId="41C9C6D5" w14:textId="77777777" w:rsidR="003020D8" w:rsidRPr="003020D8" w:rsidRDefault="003020D8" w:rsidP="003020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C844F4D" w14:textId="01B96E51" w:rsidR="003020D8" w:rsidRPr="003020D8" w:rsidRDefault="003020D8" w:rsidP="003020D8">
      <w:pPr>
        <w:spacing w:line="240" w:lineRule="auto"/>
        <w:rPr>
          <w:rFonts w:eastAsia="Times New Roman" w:cs="Arial"/>
          <w:sz w:val="24"/>
          <w:szCs w:val="24"/>
        </w:rPr>
      </w:pPr>
      <w:r w:rsidRPr="003020D8">
        <w:rPr>
          <w:rFonts w:eastAsia="Times New Roman" w:cs="Arial"/>
          <w:color w:val="000000"/>
          <w:u w:val="single"/>
          <w:lang w:eastAsia="bg-BG"/>
        </w:rPr>
        <w:t>Възрастни и деца над 12 години</w:t>
      </w:r>
    </w:p>
    <w:p w14:paraId="5AE32832" w14:textId="77777777" w:rsidR="003020D8" w:rsidRPr="003020D8" w:rsidRDefault="003020D8" w:rsidP="003020D8">
      <w:pPr>
        <w:spacing w:line="240" w:lineRule="auto"/>
        <w:rPr>
          <w:rFonts w:eastAsia="Times New Roman" w:cs="Arial"/>
          <w:sz w:val="24"/>
          <w:szCs w:val="24"/>
        </w:rPr>
      </w:pPr>
      <w:r w:rsidRPr="003020D8">
        <w:rPr>
          <w:rFonts w:eastAsia="Times New Roman" w:cs="Arial"/>
          <w:color w:val="000000"/>
          <w:lang w:eastAsia="bg-BG"/>
        </w:rPr>
        <w:t xml:space="preserve">Обичайната еднократна доза е 50-100 </w:t>
      </w:r>
      <w:r w:rsidRPr="003020D8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3020D8">
        <w:rPr>
          <w:rFonts w:eastAsia="Times New Roman" w:cs="Arial"/>
          <w:color w:val="000000"/>
          <w:lang w:eastAsia="bg-BG"/>
        </w:rPr>
        <w:t>трамадолов</w:t>
      </w:r>
      <w:proofErr w:type="spellEnd"/>
      <w:r w:rsidRPr="003020D8">
        <w:rPr>
          <w:rFonts w:eastAsia="Times New Roman" w:cs="Arial"/>
          <w:color w:val="000000"/>
          <w:lang w:eastAsia="bg-BG"/>
        </w:rPr>
        <w:t xml:space="preserve"> хидрохлорид (1-2 </w:t>
      </w:r>
      <w:r w:rsidRPr="003020D8">
        <w:rPr>
          <w:rFonts w:eastAsia="Times New Roman" w:cs="Arial"/>
          <w:color w:val="000000"/>
          <w:lang w:val="en-US"/>
        </w:rPr>
        <w:t xml:space="preserve">ml </w:t>
      </w:r>
      <w:proofErr w:type="spellStart"/>
      <w:r w:rsidRPr="003020D8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3020D8">
        <w:rPr>
          <w:rFonts w:eastAsia="Times New Roman" w:cs="Arial"/>
          <w:color w:val="000000"/>
          <w:lang w:eastAsia="bg-BG"/>
        </w:rPr>
        <w:t xml:space="preserve"> СТАДА инжекционен разтвор) 3-4 пъти дневно, на всеки 4-6 часа при бавно интравенозно (2-3 минути) или интрамускулно приложение или под формата на инфузия след съответно разреждане.</w:t>
      </w:r>
    </w:p>
    <w:p w14:paraId="5145E6F0" w14:textId="77777777" w:rsidR="003020D8" w:rsidRPr="003020D8" w:rsidRDefault="003020D8" w:rsidP="003020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789DD3B" w14:textId="4128B21D" w:rsidR="003020D8" w:rsidRPr="003020D8" w:rsidRDefault="003020D8" w:rsidP="003020D8">
      <w:pPr>
        <w:spacing w:line="240" w:lineRule="auto"/>
        <w:rPr>
          <w:rFonts w:eastAsia="Times New Roman" w:cs="Arial"/>
          <w:sz w:val="24"/>
          <w:szCs w:val="24"/>
        </w:rPr>
      </w:pPr>
      <w:r w:rsidRPr="003020D8">
        <w:rPr>
          <w:rFonts w:eastAsia="Times New Roman" w:cs="Arial"/>
          <w:color w:val="000000"/>
          <w:lang w:eastAsia="bg-BG"/>
        </w:rPr>
        <w:t xml:space="preserve">Ако не настъпи адекватно облекчение на болката след приложението на единична доза от 50 </w:t>
      </w:r>
      <w:r w:rsidRPr="003020D8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3020D8">
        <w:rPr>
          <w:rFonts w:eastAsia="Times New Roman" w:cs="Arial"/>
          <w:color w:val="000000"/>
          <w:lang w:eastAsia="bg-BG"/>
        </w:rPr>
        <w:t>трамадолов</w:t>
      </w:r>
      <w:proofErr w:type="spellEnd"/>
      <w:r w:rsidRPr="003020D8">
        <w:rPr>
          <w:rFonts w:eastAsia="Times New Roman" w:cs="Arial"/>
          <w:color w:val="000000"/>
          <w:lang w:eastAsia="bg-BG"/>
        </w:rPr>
        <w:t xml:space="preserve"> хидрохлорид в рамките на 30 до 60 минути, може да се приложи втора единична доза от 50 </w:t>
      </w:r>
      <w:r w:rsidRPr="003020D8">
        <w:rPr>
          <w:rFonts w:eastAsia="Times New Roman" w:cs="Arial"/>
          <w:color w:val="000000"/>
          <w:lang w:val="en-US"/>
        </w:rPr>
        <w:t>mg,</w:t>
      </w:r>
    </w:p>
    <w:p w14:paraId="20D5B25F" w14:textId="77777777" w:rsidR="003020D8" w:rsidRPr="003020D8" w:rsidRDefault="003020D8" w:rsidP="003020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EF8FCD2" w14:textId="0EC2CC02" w:rsidR="003020D8" w:rsidRPr="003020D8" w:rsidRDefault="003020D8" w:rsidP="003020D8">
      <w:pPr>
        <w:spacing w:line="240" w:lineRule="auto"/>
        <w:rPr>
          <w:rFonts w:eastAsia="Times New Roman" w:cs="Arial"/>
          <w:sz w:val="24"/>
          <w:szCs w:val="24"/>
        </w:rPr>
      </w:pPr>
      <w:r w:rsidRPr="003020D8">
        <w:rPr>
          <w:rFonts w:eastAsia="Times New Roman" w:cs="Arial"/>
          <w:color w:val="000000"/>
          <w:lang w:eastAsia="bg-BG"/>
        </w:rPr>
        <w:lastRenderedPageBreak/>
        <w:t xml:space="preserve">В случай на силна болка, когато не може да се постигне оптимална </w:t>
      </w:r>
      <w:proofErr w:type="spellStart"/>
      <w:r w:rsidRPr="003020D8">
        <w:rPr>
          <w:rFonts w:eastAsia="Times New Roman" w:cs="Arial"/>
          <w:color w:val="000000"/>
          <w:lang w:eastAsia="bg-BG"/>
        </w:rPr>
        <w:t>аналгезия</w:t>
      </w:r>
      <w:proofErr w:type="spellEnd"/>
      <w:r w:rsidRPr="003020D8">
        <w:rPr>
          <w:rFonts w:eastAsia="Times New Roman" w:cs="Arial"/>
          <w:color w:val="000000"/>
          <w:lang w:eastAsia="bg-BG"/>
        </w:rPr>
        <w:t xml:space="preserve">, може да се приложи еднократна доза от 100 </w:t>
      </w:r>
      <w:r w:rsidRPr="003020D8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3020D8">
        <w:rPr>
          <w:rFonts w:eastAsia="Times New Roman" w:cs="Arial"/>
          <w:color w:val="000000"/>
          <w:lang w:eastAsia="bg-BG"/>
        </w:rPr>
        <w:t>трамадолов</w:t>
      </w:r>
      <w:proofErr w:type="spellEnd"/>
      <w:r w:rsidRPr="003020D8">
        <w:rPr>
          <w:rFonts w:eastAsia="Times New Roman" w:cs="Arial"/>
          <w:color w:val="000000"/>
          <w:lang w:eastAsia="bg-BG"/>
        </w:rPr>
        <w:t xml:space="preserve"> хидрохлорид. Ако не се постигне облекчение</w:t>
      </w:r>
      <w:r w:rsidRPr="003020D8">
        <w:rPr>
          <w:rFonts w:eastAsia="Times New Roman" w:cs="Arial"/>
          <w:color w:val="000000"/>
          <w:lang w:val="en-US" w:eastAsia="bg-BG"/>
        </w:rPr>
        <w:t xml:space="preserve"> </w:t>
      </w:r>
      <w:r w:rsidRPr="003020D8">
        <w:rPr>
          <w:rFonts w:eastAsia="Times New Roman" w:cs="Arial"/>
          <w:color w:val="000000"/>
          <w:lang w:eastAsia="bg-BG"/>
        </w:rPr>
        <w:t xml:space="preserve">на болката, дозата може постепенно да се повишава до достигане на оптимална </w:t>
      </w:r>
      <w:proofErr w:type="spellStart"/>
      <w:r w:rsidRPr="003020D8">
        <w:rPr>
          <w:rFonts w:eastAsia="Times New Roman" w:cs="Arial"/>
          <w:color w:val="000000"/>
          <w:lang w:eastAsia="bg-BG"/>
        </w:rPr>
        <w:t>аналгезия</w:t>
      </w:r>
      <w:proofErr w:type="spellEnd"/>
    </w:p>
    <w:p w14:paraId="346575DD" w14:textId="77777777" w:rsidR="003020D8" w:rsidRPr="003020D8" w:rsidRDefault="003020D8" w:rsidP="003020D8">
      <w:pPr>
        <w:rPr>
          <w:rFonts w:eastAsia="Times New Roman" w:cs="Arial"/>
          <w:color w:val="000000"/>
          <w:lang w:eastAsia="bg-BG"/>
        </w:rPr>
      </w:pPr>
    </w:p>
    <w:p w14:paraId="14D46502" w14:textId="62192C3C" w:rsidR="003020D8" w:rsidRDefault="003020D8" w:rsidP="003020D8">
      <w:pPr>
        <w:rPr>
          <w:rFonts w:eastAsia="Times New Roman" w:cs="Arial"/>
          <w:color w:val="000000"/>
          <w:lang w:eastAsia="bg-BG"/>
        </w:rPr>
      </w:pPr>
      <w:r w:rsidRPr="003020D8">
        <w:rPr>
          <w:rFonts w:eastAsia="Times New Roman" w:cs="Arial"/>
          <w:color w:val="000000"/>
          <w:lang w:eastAsia="bg-BG"/>
        </w:rPr>
        <w:t xml:space="preserve">Дневната доза от 400 </w:t>
      </w:r>
      <w:r w:rsidRPr="003020D8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3020D8">
        <w:rPr>
          <w:rFonts w:eastAsia="Times New Roman" w:cs="Arial"/>
          <w:color w:val="000000"/>
          <w:lang w:eastAsia="bg-BG"/>
        </w:rPr>
        <w:t>трамадолов</w:t>
      </w:r>
      <w:proofErr w:type="spellEnd"/>
      <w:r w:rsidRPr="003020D8">
        <w:rPr>
          <w:rFonts w:eastAsia="Times New Roman" w:cs="Arial"/>
          <w:color w:val="000000"/>
          <w:lang w:eastAsia="bg-BG"/>
        </w:rPr>
        <w:t xml:space="preserve"> хидрохлорид не трябва да бъде превишавана освен в случай на специални клинични обстоятелства.</w:t>
      </w:r>
    </w:p>
    <w:p w14:paraId="7AC2ECE2" w14:textId="23069A4E" w:rsidR="003020D8" w:rsidRDefault="003020D8" w:rsidP="003020D8">
      <w:pPr>
        <w:rPr>
          <w:rFonts w:eastAsia="Times New Roman" w:cs="Arial"/>
          <w:color w:val="000000"/>
          <w:lang w:eastAsia="bg-BG"/>
        </w:rPr>
      </w:pPr>
    </w:p>
    <w:p w14:paraId="0149651A" w14:textId="77777777" w:rsidR="003020D8" w:rsidRPr="003020D8" w:rsidRDefault="003020D8" w:rsidP="003020D8">
      <w:pPr>
        <w:spacing w:line="240" w:lineRule="auto"/>
        <w:rPr>
          <w:rFonts w:eastAsia="Times New Roman" w:cs="Arial"/>
          <w:sz w:val="24"/>
          <w:szCs w:val="24"/>
        </w:rPr>
      </w:pPr>
      <w:r w:rsidRPr="003020D8">
        <w:rPr>
          <w:rFonts w:eastAsia="Times New Roman" w:cs="Arial"/>
          <w:color w:val="000000"/>
          <w:u w:val="single"/>
          <w:lang w:eastAsia="bg-BG"/>
        </w:rPr>
        <w:t>Деца от 1 до 12 години</w:t>
      </w:r>
    </w:p>
    <w:p w14:paraId="77B83AEF" w14:textId="77777777" w:rsidR="003020D8" w:rsidRPr="003020D8" w:rsidRDefault="003020D8" w:rsidP="003020D8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3020D8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3020D8">
        <w:rPr>
          <w:rFonts w:eastAsia="Times New Roman" w:cs="Arial"/>
          <w:color w:val="000000"/>
          <w:lang w:eastAsia="bg-BG"/>
        </w:rPr>
        <w:t xml:space="preserve"> СТАДА не трябва да се прилага при деца под 1 година.</w:t>
      </w:r>
    </w:p>
    <w:p w14:paraId="744098F3" w14:textId="77777777" w:rsidR="003020D8" w:rsidRPr="003020D8" w:rsidRDefault="003020D8" w:rsidP="003020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1B9CE45" w14:textId="520A67E5" w:rsidR="003020D8" w:rsidRPr="003020D8" w:rsidRDefault="003020D8" w:rsidP="003020D8">
      <w:pPr>
        <w:spacing w:line="240" w:lineRule="auto"/>
        <w:rPr>
          <w:rFonts w:eastAsia="Times New Roman" w:cs="Arial"/>
          <w:sz w:val="24"/>
          <w:szCs w:val="24"/>
        </w:rPr>
      </w:pPr>
      <w:r w:rsidRPr="003020D8">
        <w:rPr>
          <w:rFonts w:eastAsia="Times New Roman" w:cs="Arial"/>
          <w:color w:val="000000"/>
          <w:lang w:eastAsia="bg-BG"/>
        </w:rPr>
        <w:t xml:space="preserve">Обичайната начална доза е от 1 </w:t>
      </w:r>
      <w:r w:rsidRPr="003020D8">
        <w:rPr>
          <w:rFonts w:eastAsia="Times New Roman" w:cs="Arial"/>
          <w:color w:val="000000"/>
          <w:lang w:val="en-US"/>
        </w:rPr>
        <w:t xml:space="preserve">mg </w:t>
      </w:r>
      <w:r w:rsidRPr="003020D8">
        <w:rPr>
          <w:rFonts w:eastAsia="Times New Roman" w:cs="Arial"/>
          <w:color w:val="000000"/>
          <w:lang w:eastAsia="bg-BG"/>
        </w:rPr>
        <w:t xml:space="preserve">до 2 </w:t>
      </w:r>
      <w:r w:rsidRPr="003020D8">
        <w:rPr>
          <w:rFonts w:eastAsia="Times New Roman" w:cs="Arial"/>
          <w:color w:val="000000"/>
          <w:lang w:val="en-US"/>
        </w:rPr>
        <w:t xml:space="preserve">mg </w:t>
      </w:r>
      <w:r w:rsidRPr="003020D8">
        <w:rPr>
          <w:rFonts w:eastAsia="Times New Roman" w:cs="Arial"/>
          <w:color w:val="000000"/>
          <w:lang w:eastAsia="bg-BG"/>
        </w:rPr>
        <w:t xml:space="preserve">на килограм телесна маса при деца. Максималната доза е до 8 </w:t>
      </w:r>
      <w:r w:rsidRPr="003020D8">
        <w:rPr>
          <w:rFonts w:eastAsia="Times New Roman" w:cs="Arial"/>
          <w:color w:val="000000"/>
          <w:lang w:val="en-US"/>
        </w:rPr>
        <w:t xml:space="preserve">mg </w:t>
      </w:r>
      <w:r w:rsidRPr="003020D8">
        <w:rPr>
          <w:rFonts w:eastAsia="Times New Roman" w:cs="Arial"/>
          <w:color w:val="000000"/>
          <w:lang w:eastAsia="bg-BG"/>
        </w:rPr>
        <w:t xml:space="preserve">на килограм телесна маса, като максималната дневна доза </w:t>
      </w:r>
      <w:proofErr w:type="spellStart"/>
      <w:r w:rsidRPr="003020D8">
        <w:rPr>
          <w:rFonts w:eastAsia="Times New Roman" w:cs="Arial"/>
          <w:color w:val="000000"/>
          <w:lang w:eastAsia="bg-BG"/>
        </w:rPr>
        <w:t>трамадолов</w:t>
      </w:r>
      <w:proofErr w:type="spellEnd"/>
      <w:r w:rsidRPr="003020D8">
        <w:rPr>
          <w:rFonts w:eastAsia="Times New Roman" w:cs="Arial"/>
          <w:color w:val="000000"/>
          <w:lang w:eastAsia="bg-BG"/>
        </w:rPr>
        <w:t xml:space="preserve"> хидрохлорид от 400 </w:t>
      </w:r>
      <w:r w:rsidRPr="003020D8">
        <w:rPr>
          <w:rFonts w:eastAsia="Times New Roman" w:cs="Arial"/>
          <w:color w:val="000000"/>
          <w:lang w:val="en-US"/>
        </w:rPr>
        <w:t xml:space="preserve">mg </w:t>
      </w:r>
      <w:r w:rsidRPr="003020D8">
        <w:rPr>
          <w:rFonts w:eastAsia="Times New Roman" w:cs="Arial"/>
          <w:color w:val="000000"/>
          <w:lang w:eastAsia="bg-BG"/>
        </w:rPr>
        <w:t xml:space="preserve">не трябва да бъде превишавана, освен при определени клинични обстоятелства (виж точка 5.1). За тази цел </w:t>
      </w:r>
      <w:proofErr w:type="spellStart"/>
      <w:r w:rsidRPr="003020D8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3020D8">
        <w:rPr>
          <w:rFonts w:eastAsia="Times New Roman" w:cs="Arial"/>
          <w:color w:val="000000"/>
          <w:lang w:eastAsia="bg-BG"/>
        </w:rPr>
        <w:t xml:space="preserve"> Стада 50 </w:t>
      </w:r>
      <w:r w:rsidRPr="003020D8">
        <w:rPr>
          <w:rFonts w:eastAsia="Times New Roman" w:cs="Arial"/>
          <w:color w:val="000000"/>
          <w:lang w:val="en-US"/>
        </w:rPr>
        <w:t xml:space="preserve">mg/ml </w:t>
      </w:r>
      <w:r w:rsidRPr="003020D8">
        <w:rPr>
          <w:rFonts w:eastAsia="Times New Roman" w:cs="Arial"/>
          <w:color w:val="000000"/>
          <w:lang w:eastAsia="bg-BG"/>
        </w:rPr>
        <w:t>инжекционен разтвор трябва да бъде разреден с вода за инжекции. За повече информация относно разреждане на продукта вижте точка 6.6.</w:t>
      </w:r>
    </w:p>
    <w:p w14:paraId="3CD8538F" w14:textId="77777777" w:rsidR="003020D8" w:rsidRPr="003020D8" w:rsidRDefault="003020D8" w:rsidP="003020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02B2495" w14:textId="75B1B0CB" w:rsidR="003020D8" w:rsidRPr="003020D8" w:rsidRDefault="003020D8" w:rsidP="003020D8">
      <w:pPr>
        <w:spacing w:line="240" w:lineRule="auto"/>
        <w:rPr>
          <w:rFonts w:eastAsia="Times New Roman" w:cs="Arial"/>
          <w:sz w:val="24"/>
          <w:szCs w:val="24"/>
        </w:rPr>
      </w:pPr>
      <w:r w:rsidRPr="003020D8">
        <w:rPr>
          <w:rFonts w:eastAsia="Times New Roman" w:cs="Arial"/>
          <w:color w:val="000000"/>
          <w:u w:val="single"/>
          <w:lang w:eastAsia="bg-BG"/>
        </w:rPr>
        <w:t>Пациенти в старческа възраст</w:t>
      </w:r>
    </w:p>
    <w:p w14:paraId="122710D1" w14:textId="1F544D69" w:rsidR="003020D8" w:rsidRPr="003020D8" w:rsidRDefault="003020D8" w:rsidP="003020D8">
      <w:pPr>
        <w:spacing w:line="240" w:lineRule="auto"/>
        <w:rPr>
          <w:rFonts w:eastAsia="Times New Roman" w:cs="Arial"/>
          <w:sz w:val="24"/>
          <w:szCs w:val="24"/>
        </w:rPr>
      </w:pPr>
      <w:r w:rsidRPr="003020D8">
        <w:rPr>
          <w:rFonts w:eastAsia="Times New Roman" w:cs="Arial"/>
          <w:color w:val="000000"/>
          <w:lang w:eastAsia="bg-BG"/>
        </w:rPr>
        <w:t>Обикновено не е необходима корекция на дозата при пациенти на възраст до 75 години без клинично изявена чернодробна или бъбречна недостатъчност. При пациенти в старческа възраст над 75 години елиминирането може да бъде удължено. Поради това, ако е необходимо, интервалът на дозиране трябва да бъде удължен според нуждите на пациента.</w:t>
      </w:r>
    </w:p>
    <w:p w14:paraId="432FE440" w14:textId="77777777" w:rsidR="003020D8" w:rsidRPr="003020D8" w:rsidRDefault="003020D8" w:rsidP="003020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595E75C" w14:textId="12D9A8DD" w:rsidR="003020D8" w:rsidRPr="003020D8" w:rsidRDefault="003020D8" w:rsidP="003020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3020D8">
        <w:rPr>
          <w:rFonts w:eastAsia="Times New Roman" w:cs="Arial"/>
          <w:color w:val="000000"/>
          <w:u w:val="single"/>
          <w:lang w:eastAsia="bg-BG"/>
        </w:rPr>
        <w:t xml:space="preserve">Пациенти с бъбречна недостатъчност (включително такива на диализа) /или чернодробна </w:t>
      </w:r>
    </w:p>
    <w:p w14:paraId="7FBCED9A" w14:textId="32BF726F" w:rsidR="003020D8" w:rsidRPr="003020D8" w:rsidRDefault="003020D8" w:rsidP="003020D8">
      <w:pPr>
        <w:spacing w:line="240" w:lineRule="auto"/>
        <w:rPr>
          <w:rFonts w:eastAsia="Times New Roman" w:cs="Arial"/>
          <w:sz w:val="24"/>
          <w:szCs w:val="24"/>
        </w:rPr>
      </w:pPr>
      <w:r w:rsidRPr="003020D8">
        <w:rPr>
          <w:rFonts w:eastAsia="Times New Roman" w:cs="Arial"/>
          <w:color w:val="000000"/>
          <w:u w:val="single"/>
          <w:lang w:eastAsia="bg-BG"/>
        </w:rPr>
        <w:t>недостатъчност</w:t>
      </w:r>
    </w:p>
    <w:p w14:paraId="0DF426B0" w14:textId="77777777" w:rsidR="003020D8" w:rsidRPr="003020D8" w:rsidRDefault="003020D8" w:rsidP="003020D8">
      <w:pPr>
        <w:spacing w:line="240" w:lineRule="auto"/>
        <w:rPr>
          <w:rFonts w:eastAsia="Times New Roman" w:cs="Arial"/>
          <w:sz w:val="24"/>
          <w:szCs w:val="24"/>
        </w:rPr>
      </w:pPr>
      <w:r w:rsidRPr="003020D8">
        <w:rPr>
          <w:rFonts w:eastAsia="Times New Roman" w:cs="Arial"/>
          <w:color w:val="000000"/>
          <w:lang w:eastAsia="bg-BG"/>
        </w:rPr>
        <w:t xml:space="preserve">При пациенти с чернодробна или бъбречна недостатъчност елиминирането на </w:t>
      </w:r>
      <w:proofErr w:type="spellStart"/>
      <w:r w:rsidRPr="003020D8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3020D8">
        <w:rPr>
          <w:rFonts w:eastAsia="Times New Roman" w:cs="Arial"/>
          <w:color w:val="000000"/>
          <w:lang w:eastAsia="bg-BG"/>
        </w:rPr>
        <w:t xml:space="preserve"> е забавено. При тях трябва внимателно да се обмисли удължаване на интервалите на дозиране в зависимост от нуждите на пациента.</w:t>
      </w:r>
    </w:p>
    <w:p w14:paraId="6CB9E628" w14:textId="77777777" w:rsidR="003020D8" w:rsidRPr="003020D8" w:rsidRDefault="003020D8" w:rsidP="003020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7CEFA6" w14:textId="3AABD291" w:rsidR="003020D8" w:rsidRPr="003020D8" w:rsidRDefault="003020D8" w:rsidP="003020D8">
      <w:pPr>
        <w:spacing w:line="240" w:lineRule="auto"/>
        <w:rPr>
          <w:rFonts w:eastAsia="Times New Roman" w:cs="Arial"/>
          <w:sz w:val="24"/>
          <w:szCs w:val="24"/>
        </w:rPr>
      </w:pPr>
      <w:r w:rsidRPr="003020D8">
        <w:rPr>
          <w:rFonts w:eastAsia="Times New Roman" w:cs="Arial"/>
          <w:color w:val="000000"/>
          <w:lang w:eastAsia="bg-BG"/>
        </w:rPr>
        <w:t xml:space="preserve">В случаи на тежка бъбречна и/или чернодробна недостатъчност, не се препоръчва приложението на </w:t>
      </w:r>
      <w:proofErr w:type="spellStart"/>
      <w:r w:rsidRPr="003020D8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3020D8">
        <w:rPr>
          <w:rFonts w:eastAsia="Times New Roman" w:cs="Arial"/>
          <w:color w:val="000000"/>
          <w:lang w:eastAsia="bg-BG"/>
        </w:rPr>
        <w:t xml:space="preserve"> Стада 50 </w:t>
      </w:r>
      <w:r w:rsidRPr="003020D8">
        <w:rPr>
          <w:rFonts w:eastAsia="Times New Roman" w:cs="Arial"/>
          <w:color w:val="000000"/>
          <w:lang w:val="en-US"/>
        </w:rPr>
        <w:t xml:space="preserve">mg/ml </w:t>
      </w:r>
      <w:r w:rsidRPr="003020D8">
        <w:rPr>
          <w:rFonts w:eastAsia="Times New Roman" w:cs="Arial"/>
          <w:color w:val="000000"/>
          <w:lang w:eastAsia="bg-BG"/>
        </w:rPr>
        <w:t>инжекционен разтвор.</w:t>
      </w:r>
    </w:p>
    <w:p w14:paraId="64E830FA" w14:textId="77777777" w:rsidR="003020D8" w:rsidRPr="003020D8" w:rsidRDefault="003020D8" w:rsidP="003020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602989B" w14:textId="44EA205C" w:rsidR="003020D8" w:rsidRPr="003020D8" w:rsidRDefault="003020D8" w:rsidP="003020D8">
      <w:pPr>
        <w:spacing w:line="240" w:lineRule="auto"/>
        <w:rPr>
          <w:rFonts w:eastAsia="Times New Roman" w:cs="Arial"/>
          <w:sz w:val="24"/>
          <w:szCs w:val="24"/>
        </w:rPr>
      </w:pPr>
      <w:r w:rsidRPr="003020D8">
        <w:rPr>
          <w:rFonts w:eastAsia="Times New Roman" w:cs="Arial"/>
          <w:color w:val="000000"/>
          <w:u w:val="single"/>
          <w:lang w:eastAsia="bg-BG"/>
        </w:rPr>
        <w:t>Забележка</w:t>
      </w:r>
    </w:p>
    <w:p w14:paraId="3CA56254" w14:textId="77777777" w:rsidR="003020D8" w:rsidRPr="003020D8" w:rsidRDefault="003020D8" w:rsidP="003020D8">
      <w:pPr>
        <w:spacing w:line="240" w:lineRule="auto"/>
        <w:rPr>
          <w:rFonts w:eastAsia="Times New Roman" w:cs="Arial"/>
          <w:sz w:val="24"/>
          <w:szCs w:val="24"/>
        </w:rPr>
      </w:pPr>
      <w:r w:rsidRPr="003020D8">
        <w:rPr>
          <w:rFonts w:eastAsia="Times New Roman" w:cs="Arial"/>
          <w:color w:val="000000"/>
          <w:lang w:eastAsia="bg-BG"/>
        </w:rPr>
        <w:t xml:space="preserve">Препоръчителните дози са предназначени за насока. Трябва да се прилага най-ниската ефективна доза за </w:t>
      </w:r>
      <w:proofErr w:type="spellStart"/>
      <w:r w:rsidRPr="003020D8">
        <w:rPr>
          <w:rFonts w:eastAsia="Times New Roman" w:cs="Arial"/>
          <w:color w:val="000000"/>
          <w:lang w:eastAsia="bg-BG"/>
        </w:rPr>
        <w:t>аналгезия</w:t>
      </w:r>
      <w:proofErr w:type="spellEnd"/>
      <w:r w:rsidRPr="003020D8">
        <w:rPr>
          <w:rFonts w:eastAsia="Times New Roman" w:cs="Arial"/>
          <w:color w:val="000000"/>
          <w:lang w:eastAsia="bg-BG"/>
        </w:rPr>
        <w:t>. Лечението на хроничната болка трябва да се прилага по фиксирана схема на дозиране.</w:t>
      </w:r>
    </w:p>
    <w:p w14:paraId="256C4043" w14:textId="77777777" w:rsidR="003020D8" w:rsidRPr="003020D8" w:rsidRDefault="003020D8" w:rsidP="003020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FB9F933" w14:textId="4924D781" w:rsidR="003020D8" w:rsidRPr="003020D8" w:rsidRDefault="003020D8" w:rsidP="003020D8">
      <w:pPr>
        <w:pStyle w:val="3"/>
        <w:rPr>
          <w:rFonts w:eastAsia="Times New Roman"/>
          <w:u w:val="single"/>
        </w:rPr>
      </w:pPr>
      <w:r w:rsidRPr="003020D8">
        <w:rPr>
          <w:rFonts w:eastAsia="Times New Roman"/>
          <w:u w:val="single"/>
          <w:lang w:eastAsia="bg-BG"/>
        </w:rPr>
        <w:t>Начин на приложение</w:t>
      </w:r>
    </w:p>
    <w:p w14:paraId="0C99D459" w14:textId="77777777" w:rsidR="003020D8" w:rsidRPr="003020D8" w:rsidRDefault="003020D8" w:rsidP="003020D8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3020D8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3020D8">
        <w:rPr>
          <w:rFonts w:eastAsia="Times New Roman" w:cs="Arial"/>
          <w:color w:val="000000"/>
          <w:lang w:eastAsia="bg-BG"/>
        </w:rPr>
        <w:t xml:space="preserve"> СТАДА 50 </w:t>
      </w:r>
      <w:r w:rsidRPr="003020D8">
        <w:rPr>
          <w:rFonts w:eastAsia="Times New Roman" w:cs="Arial"/>
          <w:color w:val="000000"/>
          <w:lang w:val="en-US"/>
        </w:rPr>
        <w:t xml:space="preserve">mg/ml </w:t>
      </w:r>
      <w:r w:rsidRPr="003020D8">
        <w:rPr>
          <w:rFonts w:eastAsia="Times New Roman" w:cs="Arial"/>
          <w:color w:val="000000"/>
          <w:lang w:eastAsia="bg-BG"/>
        </w:rPr>
        <w:t>инжекционен разтвор се инжектира подкожно, като бавна интравенозна инжекция, интрамускулно, или като интравенозна инфузия след съответното разреждане (вижте точка 6.6).</w:t>
      </w:r>
    </w:p>
    <w:p w14:paraId="0D9285D4" w14:textId="77777777" w:rsidR="003020D8" w:rsidRPr="003020D8" w:rsidRDefault="003020D8" w:rsidP="003020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474245D" w14:textId="0460B87F" w:rsidR="003020D8" w:rsidRPr="003020D8" w:rsidRDefault="003020D8" w:rsidP="003020D8">
      <w:pPr>
        <w:spacing w:line="240" w:lineRule="auto"/>
        <w:rPr>
          <w:rFonts w:eastAsia="Times New Roman" w:cs="Arial"/>
          <w:sz w:val="24"/>
          <w:szCs w:val="24"/>
        </w:rPr>
      </w:pPr>
      <w:r w:rsidRPr="003020D8">
        <w:rPr>
          <w:rFonts w:eastAsia="Times New Roman" w:cs="Arial"/>
          <w:color w:val="000000"/>
          <w:u w:val="single"/>
          <w:lang w:eastAsia="bg-BG"/>
        </w:rPr>
        <w:t>Продължителност на лечението:</w:t>
      </w:r>
    </w:p>
    <w:p w14:paraId="76A3C8F1" w14:textId="77777777" w:rsidR="003020D8" w:rsidRPr="003020D8" w:rsidRDefault="003020D8" w:rsidP="003020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0D8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3020D8">
        <w:rPr>
          <w:rFonts w:eastAsia="Times New Roman" w:cs="Arial"/>
          <w:color w:val="000000"/>
          <w:lang w:eastAsia="bg-BG"/>
        </w:rPr>
        <w:t xml:space="preserve"> не трябва при никакви обстоятелства да се прилага по-дълго от абсолютно необходимото за лечение на болката. Ако се прецени, че е необходимо продължително лечение на болката с </w:t>
      </w:r>
      <w:proofErr w:type="spellStart"/>
      <w:r w:rsidRPr="003020D8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3020D8">
        <w:rPr>
          <w:rFonts w:eastAsia="Times New Roman" w:cs="Arial"/>
          <w:color w:val="000000"/>
          <w:lang w:eastAsia="bg-BG"/>
        </w:rPr>
        <w:t xml:space="preserve"> Стада поради естеството и тежестта на заболяването, то трябва внимателно и редовно да се проследява (ако е необходимо, с прекъсване на </w:t>
      </w:r>
      <w:r w:rsidRPr="003020D8">
        <w:rPr>
          <w:rFonts w:eastAsia="Times New Roman" w:cs="Arial"/>
          <w:color w:val="000000"/>
          <w:lang w:eastAsia="bg-BG"/>
        </w:rPr>
        <w:lastRenderedPageBreak/>
        <w:t>лечението), за да се установи дали и до каква степен все още е необходимо допълнително лечение.</w:t>
      </w:r>
    </w:p>
    <w:p w14:paraId="4F5A7415" w14:textId="77777777" w:rsidR="003020D8" w:rsidRPr="003020D8" w:rsidRDefault="003020D8" w:rsidP="003020D8">
      <w:pPr>
        <w:rPr>
          <w:rFonts w:cs="Arial"/>
        </w:rPr>
      </w:pPr>
    </w:p>
    <w:p w14:paraId="1A261012" w14:textId="5BF64635" w:rsidR="003765DC" w:rsidRDefault="002C50EE" w:rsidP="002B3C38">
      <w:pPr>
        <w:pStyle w:val="2"/>
      </w:pPr>
      <w:r>
        <w:t>4.3. Противопоказания</w:t>
      </w:r>
    </w:p>
    <w:p w14:paraId="11F04E87" w14:textId="4B013A67" w:rsidR="003020D8" w:rsidRDefault="003020D8" w:rsidP="003020D8"/>
    <w:p w14:paraId="24280056" w14:textId="77777777" w:rsidR="003020D8" w:rsidRPr="003020D8" w:rsidRDefault="003020D8" w:rsidP="003020D8">
      <w:pPr>
        <w:rPr>
          <w:sz w:val="24"/>
          <w:szCs w:val="24"/>
        </w:rPr>
      </w:pPr>
      <w:r w:rsidRPr="003020D8">
        <w:rPr>
          <w:lang w:eastAsia="bg-BG"/>
        </w:rPr>
        <w:t xml:space="preserve">Свръхчувствителност към </w:t>
      </w:r>
      <w:proofErr w:type="spellStart"/>
      <w:r w:rsidRPr="003020D8">
        <w:rPr>
          <w:lang w:eastAsia="bg-BG"/>
        </w:rPr>
        <w:t>трамадолов</w:t>
      </w:r>
      <w:proofErr w:type="spellEnd"/>
      <w:r w:rsidRPr="003020D8">
        <w:rPr>
          <w:lang w:eastAsia="bg-BG"/>
        </w:rPr>
        <w:t xml:space="preserve"> хидрохлорид или към някоя от другите съставки на този лекарствен продукт, изброени в точка 6.1;</w:t>
      </w:r>
    </w:p>
    <w:p w14:paraId="2DA1A70E" w14:textId="7BF7DD2F" w:rsidR="003020D8" w:rsidRPr="003020D8" w:rsidRDefault="003020D8" w:rsidP="00E401A0">
      <w:pPr>
        <w:pStyle w:val="a3"/>
        <w:numPr>
          <w:ilvl w:val="0"/>
          <w:numId w:val="26"/>
        </w:numPr>
        <w:rPr>
          <w:lang w:eastAsia="bg-BG"/>
        </w:rPr>
      </w:pPr>
      <w:r w:rsidRPr="003020D8">
        <w:rPr>
          <w:lang w:eastAsia="bg-BG"/>
        </w:rPr>
        <w:t xml:space="preserve">остра интоксикация с алкохол, сънотворни средства, аналгетици, </w:t>
      </w:r>
      <w:proofErr w:type="spellStart"/>
      <w:r w:rsidRPr="003020D8">
        <w:rPr>
          <w:lang w:eastAsia="bg-BG"/>
        </w:rPr>
        <w:t>опиоиди</w:t>
      </w:r>
      <w:proofErr w:type="spellEnd"/>
      <w:r w:rsidRPr="003020D8">
        <w:rPr>
          <w:lang w:eastAsia="bg-BG"/>
        </w:rPr>
        <w:t xml:space="preserve"> или други психотропни лекарствени продукти;</w:t>
      </w:r>
    </w:p>
    <w:p w14:paraId="5F21475A" w14:textId="77777777" w:rsidR="00E401A0" w:rsidRDefault="003020D8" w:rsidP="00E401A0">
      <w:pPr>
        <w:pStyle w:val="a3"/>
        <w:numPr>
          <w:ilvl w:val="0"/>
          <w:numId w:val="26"/>
        </w:numPr>
        <w:rPr>
          <w:lang w:eastAsia="bg-BG"/>
        </w:rPr>
      </w:pPr>
      <w:proofErr w:type="spellStart"/>
      <w:r w:rsidRPr="003020D8">
        <w:rPr>
          <w:lang w:eastAsia="bg-BG"/>
        </w:rPr>
        <w:t>трамадол</w:t>
      </w:r>
      <w:proofErr w:type="spellEnd"/>
      <w:r w:rsidRPr="003020D8">
        <w:rPr>
          <w:lang w:eastAsia="bg-BG"/>
        </w:rPr>
        <w:t xml:space="preserve"> не трябва да се прилага при пациенти, които едновременно са на лечение с инхибитори на </w:t>
      </w:r>
      <w:proofErr w:type="spellStart"/>
      <w:r w:rsidRPr="003020D8">
        <w:rPr>
          <w:lang w:eastAsia="bg-BG"/>
        </w:rPr>
        <w:t>моноаминооксидазата</w:t>
      </w:r>
      <w:proofErr w:type="spellEnd"/>
      <w:r w:rsidRPr="003020D8">
        <w:rPr>
          <w:lang w:eastAsia="bg-BG"/>
        </w:rPr>
        <w:t xml:space="preserve"> (МАО) или в рамките на 14 дни след тяхното спиране;</w:t>
      </w:r>
    </w:p>
    <w:p w14:paraId="2D928653" w14:textId="313BD32E" w:rsidR="003020D8" w:rsidRPr="003020D8" w:rsidRDefault="003020D8" w:rsidP="00E401A0">
      <w:pPr>
        <w:pStyle w:val="a3"/>
        <w:numPr>
          <w:ilvl w:val="0"/>
          <w:numId w:val="26"/>
        </w:numPr>
        <w:rPr>
          <w:lang w:eastAsia="bg-BG"/>
        </w:rPr>
      </w:pPr>
      <w:r w:rsidRPr="003020D8">
        <w:rPr>
          <w:lang w:eastAsia="bg-BG"/>
        </w:rPr>
        <w:t>при пациенти с епилепсия, която не е оптимално контролирана от лечението;</w:t>
      </w:r>
    </w:p>
    <w:p w14:paraId="092A6573" w14:textId="1ABB3804" w:rsidR="003020D8" w:rsidRDefault="003020D8" w:rsidP="00E401A0">
      <w:pPr>
        <w:pStyle w:val="a3"/>
        <w:numPr>
          <w:ilvl w:val="0"/>
          <w:numId w:val="26"/>
        </w:numPr>
      </w:pPr>
      <w:proofErr w:type="spellStart"/>
      <w:r w:rsidRPr="003020D8">
        <w:rPr>
          <w:lang w:eastAsia="bg-BG"/>
        </w:rPr>
        <w:t>Трамадол</w:t>
      </w:r>
      <w:proofErr w:type="spellEnd"/>
      <w:r w:rsidRPr="003020D8">
        <w:rPr>
          <w:lang w:eastAsia="bg-BG"/>
        </w:rPr>
        <w:t xml:space="preserve"> не трябва да се използва като заместител в схема за отказване от опиати.</w:t>
      </w:r>
    </w:p>
    <w:p w14:paraId="1B60AFA5" w14:textId="64C8439D" w:rsidR="00E401A0" w:rsidRDefault="00E401A0" w:rsidP="00E401A0"/>
    <w:p w14:paraId="71D6CEE0" w14:textId="77777777" w:rsidR="00E401A0" w:rsidRPr="003020D8" w:rsidRDefault="00E401A0" w:rsidP="00E401A0"/>
    <w:p w14:paraId="5EF6E7D6" w14:textId="58CB5658" w:rsidR="003765DC" w:rsidRDefault="002C50EE" w:rsidP="002B3C38">
      <w:pPr>
        <w:pStyle w:val="2"/>
      </w:pPr>
      <w:r>
        <w:t>4.4. Специални предупреждения и предпазни мерки при употреба</w:t>
      </w:r>
    </w:p>
    <w:p w14:paraId="0BBC4843" w14:textId="512CE118" w:rsidR="00E401A0" w:rsidRDefault="00E401A0" w:rsidP="00E401A0"/>
    <w:p w14:paraId="0F255BCB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bookmarkStart w:id="1" w:name="bookmark0"/>
      <w:r w:rsidRPr="00E401A0">
        <w:rPr>
          <w:rFonts w:eastAsia="Times New Roman" w:cs="Arial"/>
          <w:b/>
          <w:bCs/>
          <w:color w:val="000000"/>
          <w:lang w:eastAsia="bg-BG"/>
        </w:rPr>
        <w:t>Предупреждения</w:t>
      </w:r>
      <w:bookmarkEnd w:id="1"/>
    </w:p>
    <w:p w14:paraId="273F21DC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>Психическа и физическа зависимост може да възникне, особено след продължителна употреба.</w:t>
      </w:r>
    </w:p>
    <w:p w14:paraId="598D3D55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6F4D403" w14:textId="497646F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E401A0">
        <w:rPr>
          <w:rFonts w:eastAsia="Times New Roman" w:cs="Arial"/>
          <w:color w:val="000000"/>
          <w:lang w:eastAsia="bg-BG"/>
        </w:rPr>
        <w:t xml:space="preserve">При пациенти със склонност за злоупотреба с лекарства или зависимост, лечението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</w:t>
      </w:r>
    </w:p>
    <w:p w14:paraId="3C02C7B8" w14:textId="30B7D1B5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>трябва да се извършва само за кратки периоди и под строго медицинско наблюдение.</w:t>
      </w:r>
    </w:p>
    <w:p w14:paraId="51B4ACAB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е неподходящ като заместител в схеми за отказване от опиати. Въпреки че е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опиоиден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агонист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не може да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подтисне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симптомите, характерни за периода на отказване от морфин.</w:t>
      </w:r>
    </w:p>
    <w:p w14:paraId="6DC81AC4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i/>
          <w:iCs/>
          <w:color w:val="000000"/>
          <w:lang w:val="en-US"/>
        </w:rPr>
      </w:pPr>
    </w:p>
    <w:p w14:paraId="1B50F942" w14:textId="71CA0253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b/>
          <w:bCs/>
          <w:i/>
          <w:iCs/>
          <w:color w:val="000000"/>
          <w:lang w:val="en-US"/>
        </w:rPr>
        <w:t xml:space="preserve">CYP2D6 </w:t>
      </w:r>
      <w:r w:rsidRPr="00E401A0">
        <w:rPr>
          <w:rFonts w:eastAsia="Times New Roman" w:cs="Arial"/>
          <w:b/>
          <w:bCs/>
          <w:i/>
          <w:iCs/>
          <w:color w:val="000000"/>
          <w:lang w:eastAsia="bg-BG"/>
        </w:rPr>
        <w:t>метаболизъм</w:t>
      </w:r>
    </w:p>
    <w:p w14:paraId="0C772A5A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чрез чернодробния ензим </w:t>
      </w:r>
      <w:r w:rsidRPr="00E401A0">
        <w:rPr>
          <w:rFonts w:eastAsia="Times New Roman" w:cs="Arial"/>
          <w:color w:val="000000"/>
          <w:lang w:val="en-US"/>
        </w:rPr>
        <w:t xml:space="preserve">CYP2D6. </w:t>
      </w:r>
      <w:r w:rsidRPr="00E401A0">
        <w:rPr>
          <w:rFonts w:eastAsia="Times New Roman" w:cs="Arial"/>
          <w:color w:val="000000"/>
          <w:lang w:eastAsia="bg-BG"/>
        </w:rPr>
        <w:t xml:space="preserve">Ако пациентът има дефицит или пълна липса на този ензим, възможно е да не се постигне адекватен аналгетичен ефект. Изчисленията сочат, че до 7 % от европеидната популация е възможно да имат такъв дефицит. Ако обаче пациентът е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ултрабърз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метаболизатор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съществува риск от развитие на нежелани реакции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опиоидна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токсичност дори при обичайно предписваните дози.</w:t>
      </w:r>
    </w:p>
    <w:p w14:paraId="52A07C36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Общите симптоми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опиоидна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токсичност включват обърканост, сънливост, повърхностно дишане, свиване на зениците, гадене, повръщане, запек и липса на апетит. При тежки случаи са възможни и симптоми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циркулаторна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 респираторна депресия, които могат да са животозастрашаващи и много рядко летални. Изчисленото разпространение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ултрабързи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метаболизатори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в различните популации е обобщено по-долу:</w:t>
      </w:r>
    </w:p>
    <w:p w14:paraId="41C43CBF" w14:textId="3C007AF2" w:rsidR="00E401A0" w:rsidRDefault="00E401A0" w:rsidP="00E401A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8"/>
        <w:gridCol w:w="2340"/>
      </w:tblGrid>
      <w:tr w:rsidR="00E401A0" w14:paraId="127D1C95" w14:textId="77777777" w:rsidTr="00E401A0">
        <w:tc>
          <w:tcPr>
            <w:tcW w:w="2358" w:type="dxa"/>
            <w:shd w:val="clear" w:color="auto" w:fill="auto"/>
          </w:tcPr>
          <w:p w14:paraId="70C2DABA" w14:textId="4015F2B7" w:rsidR="00E401A0" w:rsidRDefault="00E401A0" w:rsidP="00E401A0">
            <w:r>
              <w:t>Популация</w:t>
            </w:r>
          </w:p>
        </w:tc>
        <w:tc>
          <w:tcPr>
            <w:tcW w:w="2340" w:type="dxa"/>
            <w:shd w:val="clear" w:color="auto" w:fill="auto"/>
          </w:tcPr>
          <w:p w14:paraId="7E4E075B" w14:textId="250D2768" w:rsidR="00E401A0" w:rsidRDefault="00E401A0" w:rsidP="00E401A0">
            <w:r>
              <w:t>Разпространение %</w:t>
            </w:r>
          </w:p>
        </w:tc>
      </w:tr>
      <w:tr w:rsidR="00E401A0" w14:paraId="27E8F4F3" w14:textId="77777777" w:rsidTr="00E401A0">
        <w:tc>
          <w:tcPr>
            <w:tcW w:w="2358" w:type="dxa"/>
            <w:shd w:val="clear" w:color="auto" w:fill="auto"/>
          </w:tcPr>
          <w:p w14:paraId="64BE309B" w14:textId="04AD7ADB" w:rsidR="00E401A0" w:rsidRDefault="00E401A0" w:rsidP="00E401A0">
            <w:r>
              <w:t>Африканци/Етиопци</w:t>
            </w:r>
          </w:p>
        </w:tc>
        <w:tc>
          <w:tcPr>
            <w:tcW w:w="2340" w:type="dxa"/>
            <w:shd w:val="clear" w:color="auto" w:fill="auto"/>
          </w:tcPr>
          <w:p w14:paraId="6F5B9827" w14:textId="0E4ECE45" w:rsidR="00E401A0" w:rsidRDefault="00E401A0" w:rsidP="00E401A0">
            <w:r>
              <w:t>29%</w:t>
            </w:r>
          </w:p>
        </w:tc>
      </w:tr>
      <w:tr w:rsidR="00E401A0" w14:paraId="5BFD8522" w14:textId="77777777" w:rsidTr="00E401A0">
        <w:tc>
          <w:tcPr>
            <w:tcW w:w="2358" w:type="dxa"/>
            <w:shd w:val="clear" w:color="auto" w:fill="auto"/>
          </w:tcPr>
          <w:p w14:paraId="2F09CD98" w14:textId="004BF514" w:rsidR="00E401A0" w:rsidRDefault="00E401A0" w:rsidP="00E401A0">
            <w:proofErr w:type="spellStart"/>
            <w:r>
              <w:t>Афро</w:t>
            </w:r>
            <w:proofErr w:type="spellEnd"/>
            <w:r>
              <w:t>-американци</w:t>
            </w:r>
          </w:p>
        </w:tc>
        <w:tc>
          <w:tcPr>
            <w:tcW w:w="2340" w:type="dxa"/>
            <w:shd w:val="clear" w:color="auto" w:fill="auto"/>
          </w:tcPr>
          <w:p w14:paraId="2621065B" w14:textId="7D05A2BB" w:rsidR="00E401A0" w:rsidRDefault="00E401A0" w:rsidP="00E401A0">
            <w:r>
              <w:t>от 3,4 % до 6,5 %</w:t>
            </w:r>
          </w:p>
        </w:tc>
      </w:tr>
      <w:tr w:rsidR="00E401A0" w14:paraId="74F95BE5" w14:textId="77777777" w:rsidTr="00E401A0">
        <w:tc>
          <w:tcPr>
            <w:tcW w:w="2358" w:type="dxa"/>
            <w:shd w:val="clear" w:color="auto" w:fill="auto"/>
          </w:tcPr>
          <w:p w14:paraId="27E94C69" w14:textId="5C40CF0D" w:rsidR="00E401A0" w:rsidRDefault="00E401A0" w:rsidP="00E401A0">
            <w:r>
              <w:t>Азиатци</w:t>
            </w:r>
          </w:p>
        </w:tc>
        <w:tc>
          <w:tcPr>
            <w:tcW w:w="2340" w:type="dxa"/>
            <w:shd w:val="clear" w:color="auto" w:fill="auto"/>
          </w:tcPr>
          <w:p w14:paraId="3C251091" w14:textId="3D541C56" w:rsidR="00E401A0" w:rsidRDefault="00E401A0" w:rsidP="00E401A0">
            <w:r>
              <w:t>от 1,2 % до 2 %</w:t>
            </w:r>
          </w:p>
        </w:tc>
      </w:tr>
      <w:tr w:rsidR="00E401A0" w14:paraId="031A2ABC" w14:textId="77777777" w:rsidTr="00E401A0">
        <w:tc>
          <w:tcPr>
            <w:tcW w:w="2358" w:type="dxa"/>
            <w:shd w:val="clear" w:color="auto" w:fill="auto"/>
          </w:tcPr>
          <w:p w14:paraId="1D475C80" w14:textId="5ECFD752" w:rsidR="00E401A0" w:rsidRDefault="00E401A0" w:rsidP="00E401A0">
            <w:r>
              <w:lastRenderedPageBreak/>
              <w:t>Индоевропейци</w:t>
            </w:r>
          </w:p>
        </w:tc>
        <w:tc>
          <w:tcPr>
            <w:tcW w:w="2340" w:type="dxa"/>
            <w:shd w:val="clear" w:color="auto" w:fill="auto"/>
          </w:tcPr>
          <w:p w14:paraId="55B45B2A" w14:textId="66845AF3" w:rsidR="00E401A0" w:rsidRDefault="00E401A0" w:rsidP="00E401A0">
            <w:r>
              <w:t>от 3,6 % до 6,5 %</w:t>
            </w:r>
          </w:p>
        </w:tc>
      </w:tr>
      <w:tr w:rsidR="00E401A0" w14:paraId="5EBBB5BE" w14:textId="77777777" w:rsidTr="00E401A0">
        <w:tc>
          <w:tcPr>
            <w:tcW w:w="2358" w:type="dxa"/>
            <w:shd w:val="clear" w:color="auto" w:fill="auto"/>
          </w:tcPr>
          <w:p w14:paraId="1DE624EC" w14:textId="7EA20745" w:rsidR="00E401A0" w:rsidRDefault="00E401A0" w:rsidP="00E401A0">
            <w:r>
              <w:t>Гърци</w:t>
            </w:r>
          </w:p>
        </w:tc>
        <w:tc>
          <w:tcPr>
            <w:tcW w:w="2340" w:type="dxa"/>
            <w:shd w:val="clear" w:color="auto" w:fill="auto"/>
          </w:tcPr>
          <w:p w14:paraId="2123352D" w14:textId="28FDF0F5" w:rsidR="00E401A0" w:rsidRDefault="00E401A0" w:rsidP="00E401A0">
            <w:r>
              <w:t>6,0 %</w:t>
            </w:r>
          </w:p>
        </w:tc>
      </w:tr>
      <w:tr w:rsidR="00E401A0" w14:paraId="1C15C9A2" w14:textId="77777777" w:rsidTr="00E401A0">
        <w:tc>
          <w:tcPr>
            <w:tcW w:w="2358" w:type="dxa"/>
            <w:shd w:val="clear" w:color="auto" w:fill="auto"/>
          </w:tcPr>
          <w:p w14:paraId="62383547" w14:textId="3111A977" w:rsidR="00E401A0" w:rsidRDefault="00E401A0" w:rsidP="00E401A0">
            <w:r>
              <w:t>Унгарци</w:t>
            </w:r>
          </w:p>
        </w:tc>
        <w:tc>
          <w:tcPr>
            <w:tcW w:w="2340" w:type="dxa"/>
            <w:shd w:val="clear" w:color="auto" w:fill="auto"/>
          </w:tcPr>
          <w:p w14:paraId="2160DD48" w14:textId="0D9F187E" w:rsidR="00E401A0" w:rsidRDefault="00E401A0" w:rsidP="00E401A0">
            <w:r>
              <w:t>1,9%</w:t>
            </w:r>
          </w:p>
        </w:tc>
      </w:tr>
      <w:tr w:rsidR="00E401A0" w14:paraId="393B34E0" w14:textId="77777777" w:rsidTr="00E401A0">
        <w:tc>
          <w:tcPr>
            <w:tcW w:w="2358" w:type="dxa"/>
            <w:shd w:val="clear" w:color="auto" w:fill="auto"/>
          </w:tcPr>
          <w:p w14:paraId="0AE5015B" w14:textId="2B7B6095" w:rsidR="00E401A0" w:rsidRDefault="00E401A0" w:rsidP="00E401A0">
            <w:proofErr w:type="spellStart"/>
            <w:r>
              <w:t>Северноевропейци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0E71A7B3" w14:textId="3735008E" w:rsidR="00E401A0" w:rsidRDefault="00E401A0" w:rsidP="00E401A0">
            <w:r>
              <w:t>от 1 % до 2 %</w:t>
            </w:r>
          </w:p>
        </w:tc>
      </w:tr>
    </w:tbl>
    <w:p w14:paraId="79796C27" w14:textId="0E1F2729" w:rsidR="00E401A0" w:rsidRDefault="00E401A0" w:rsidP="00E401A0"/>
    <w:p w14:paraId="3B00F8AA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401A0">
        <w:rPr>
          <w:rFonts w:eastAsia="Times New Roman" w:cs="Arial"/>
          <w:b/>
          <w:bCs/>
          <w:color w:val="000000"/>
          <w:lang w:eastAsia="bg-BG"/>
        </w:rPr>
        <w:t>Постоператнвна</w:t>
      </w:r>
      <w:proofErr w:type="spellEnd"/>
      <w:r w:rsidRPr="00E401A0">
        <w:rPr>
          <w:rFonts w:eastAsia="Times New Roman" w:cs="Arial"/>
          <w:b/>
          <w:bCs/>
          <w:color w:val="000000"/>
          <w:lang w:eastAsia="bg-BG"/>
        </w:rPr>
        <w:t xml:space="preserve"> употребя при деца</w:t>
      </w:r>
    </w:p>
    <w:p w14:paraId="2F5073B1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В литературата има публикувани съобщения, че постоперативното прилагане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при деца след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тонзилектомия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и/или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аденоидекгомия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поради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обструктивна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сънна апнея, води до редки, но животозастрашаващи нежелани събития. Необходимо е да се обръща особено внимание, когато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се прилага на деца за постоперативно облекчаване на болка, придружено от непосредствено проследяване за симптоми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опиоидна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токсичност, в това число респираторна депресия.</w:t>
      </w:r>
    </w:p>
    <w:p w14:paraId="76CC463E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3C73104A" w14:textId="4C04FF8B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b/>
          <w:bCs/>
          <w:color w:val="000000"/>
          <w:lang w:eastAsia="bg-BG"/>
        </w:rPr>
        <w:t>Деца с компрометирана дихателна функция</w:t>
      </w:r>
      <w:bookmarkEnd w:id="2"/>
    </w:p>
    <w:p w14:paraId="2544A932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не се препоръчва за употреба при деца, при които дихателната функция може да е компрометирана, включително деца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невромускулни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нарушения, тежки сърдечни или дихателни заболявания, инфекции на горните дихателни пътища или белите дробове, множествена травма или големи хирургични операции. Тези фактори могат да влошат симптомите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опиоидна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токсичност.</w:t>
      </w:r>
    </w:p>
    <w:p w14:paraId="7384E2FD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561BB37C" w14:textId="12EB9A23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b/>
          <w:bCs/>
          <w:i/>
          <w:iCs/>
          <w:color w:val="000000"/>
          <w:lang w:eastAsia="bg-BG"/>
        </w:rPr>
        <w:t>Предпазни мерки</w:t>
      </w:r>
    </w:p>
    <w:p w14:paraId="5C2E0AB6" w14:textId="070FF666" w:rsidR="00E401A0" w:rsidRDefault="00E401A0" w:rsidP="00E401A0">
      <w:pPr>
        <w:rPr>
          <w:rFonts w:eastAsia="Times New Roman" w:cs="Arial"/>
          <w:color w:val="000000"/>
          <w:lang w:eastAsia="bg-BG"/>
        </w:rPr>
      </w:pPr>
      <w:r w:rsidRPr="00E401A0">
        <w:rPr>
          <w:rFonts w:eastAsia="Times New Roman" w:cs="Arial"/>
          <w:color w:val="000000"/>
          <w:lang w:eastAsia="bg-BG"/>
        </w:rPr>
        <w:t xml:space="preserve">Има съобщения за конвулсии при прием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трамадолов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хидрохлорид в препоръчителни дози, като повишеният риск може да е свързан с прием на дози надвишаващи обичайната препоръчителна дневна доза (400 </w:t>
      </w:r>
      <w:r w:rsidRPr="00E401A0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трамадолов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хидрохлорид). Пациенти с анамнеза за</w:t>
      </w:r>
      <w:r w:rsidRPr="00E401A0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E401A0">
        <w:rPr>
          <w:rFonts w:eastAsia="Times New Roman" w:cs="Arial"/>
          <w:color w:val="000000"/>
          <w:lang w:eastAsia="bg-BG"/>
        </w:rPr>
        <w:t xml:space="preserve">епилепсия или такива, предразположени към конвулсии, трябва да бъдат лекувани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трамадолов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хидрохлорид само ако има убедителни обстоятелства. Рискът от конвулсии може да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нарастне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при пациенти, приемащи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 други лекарствени продукта, за които е известно, че понижават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гърчовия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праг (виж т.4.5).</w:t>
      </w:r>
    </w:p>
    <w:p w14:paraId="0A6C4C99" w14:textId="77C33D21" w:rsidR="00E401A0" w:rsidRDefault="00E401A0" w:rsidP="00E401A0">
      <w:pPr>
        <w:rPr>
          <w:rFonts w:eastAsia="Times New Roman" w:cs="Arial"/>
          <w:color w:val="000000"/>
          <w:lang w:eastAsia="bg-BG"/>
        </w:rPr>
      </w:pPr>
    </w:p>
    <w:p w14:paraId="1690FB6D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При пациенти, чувствителни към опиати,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СТАДА трябва да се използва с повишено внимание.</w:t>
      </w:r>
    </w:p>
    <w:p w14:paraId="6820304D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30A47E2" w14:textId="4D9F0218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трябва да се използва с повишено внимание при пациенти, зависими от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опиоиди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при пациенти с черепна травма, повишено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вътречерепно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налягане, променено състояние на съзнанието по неизвестни причини и при пациенти предразположени към конвулсии, или които са в шок.</w:t>
      </w:r>
    </w:p>
    <w:p w14:paraId="5DCE47A2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C748749" w14:textId="3A294F26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>Трябва да се подхожда с повишено внимание при пациенти с респираторна депресия или пациенти, лекувани едновременно с депресанти на ЦНС (виж точка 4.5) или в случаи, когато значително се превишава препоръчителната дневна доза (виж точка 4.9), тъй като не може да се изключи възможността от респираторна депресия.</w:t>
      </w:r>
    </w:p>
    <w:p w14:paraId="0374FD62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D76E1B9" w14:textId="67355118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u w:val="single"/>
          <w:lang w:eastAsia="bg-BG"/>
        </w:rPr>
        <w:t>Риск от едновременно лечение със седативни лекарства, като бензодиазепини или подобни лекарствени продукти</w:t>
      </w:r>
    </w:p>
    <w:p w14:paraId="44BE46C1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Едновременната употреба на седативни лекарствени продукти като бензодиазепини или други подобни лекарства може да доведе до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седация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респираторна депресия, кома или смърт. Поради тези рискове, едновременно лечение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 подобни седативни лекарствени продукти трябва да се прилага само при пациенти, за които няма друго алтернативно лечение. Ако е взето решение да се прилага едновременна терапия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lastRenderedPageBreak/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 седативни лекарствени продукти, трябва да се използва най-ниската ефективна доза за възможно най-кратък период от време.</w:t>
      </w:r>
    </w:p>
    <w:p w14:paraId="52AD3E11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Пациентите трябва да бъдат стриктно проследявани за признаци и симптоми на респираторна депресия 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седация</w:t>
      </w:r>
      <w:proofErr w:type="spellEnd"/>
      <w:r w:rsidRPr="00E401A0">
        <w:rPr>
          <w:rFonts w:eastAsia="Times New Roman" w:cs="Arial"/>
          <w:color w:val="000000"/>
          <w:lang w:eastAsia="bg-BG"/>
        </w:rPr>
        <w:t>. Затова се препоръчва пациентите и хората, полагащи грижи за тях да бъдат информирани и да разпознават тези симптоми (виж точка 4.5)</w:t>
      </w:r>
    </w:p>
    <w:p w14:paraId="58DE677F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B32F7DA" w14:textId="105CF2E1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Когато пациентът вече не се нуждае от терапия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>, е препоръчително постепенно намаляване на дозата, за да се предотвратят симптоми на отнемане.</w:t>
      </w:r>
    </w:p>
    <w:p w14:paraId="5402F424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D5B52B1" w14:textId="47A9B148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u w:val="single"/>
          <w:lang w:eastAsia="bg-BG"/>
        </w:rPr>
        <w:t>Дихателни нарушения по време на сън</w:t>
      </w:r>
    </w:p>
    <w:p w14:paraId="43802ABD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401A0">
        <w:rPr>
          <w:rFonts w:eastAsia="Times New Roman" w:cs="Arial"/>
          <w:i/>
          <w:iCs/>
          <w:color w:val="000000"/>
          <w:lang w:eastAsia="bg-BG"/>
        </w:rPr>
        <w:t>Опиоидите</w:t>
      </w:r>
      <w:proofErr w:type="spellEnd"/>
      <w:r w:rsidRPr="00E401A0">
        <w:rPr>
          <w:rFonts w:eastAsia="Times New Roman" w:cs="Arial"/>
          <w:i/>
          <w:iCs/>
          <w:color w:val="000000"/>
          <w:lang w:eastAsia="bg-BG"/>
        </w:rPr>
        <w:t xml:space="preserve"> могат да причинят дихателни</w:t>
      </w:r>
      <w:r w:rsidRPr="00E401A0">
        <w:rPr>
          <w:rFonts w:eastAsia="Times New Roman" w:cs="Arial"/>
          <w:color w:val="000000"/>
          <w:lang w:eastAsia="bg-BG"/>
        </w:rPr>
        <w:t xml:space="preserve"> нарушения по време на сън, включително централна сънна апнея (ЦСА) и нощна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хипоксемия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. Употребата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опиоиди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води до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дозозависимо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увеличение на риска от ЦСА. При пациенти с ЦСА, обмислете намаляване на общата доза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опиоиди</w:t>
      </w:r>
      <w:proofErr w:type="spellEnd"/>
      <w:r w:rsidRPr="00E401A0">
        <w:rPr>
          <w:rFonts w:eastAsia="Times New Roman" w:cs="Arial"/>
          <w:color w:val="000000"/>
          <w:lang w:eastAsia="bg-BG"/>
        </w:rPr>
        <w:t>.</w:t>
      </w:r>
    </w:p>
    <w:p w14:paraId="5324D91B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6F477B8" w14:textId="1A79F125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u w:val="single"/>
          <w:lang w:eastAsia="bg-BG"/>
        </w:rPr>
        <w:t>Надбъбречна недостатъчност</w:t>
      </w:r>
    </w:p>
    <w:p w14:paraId="0BA18645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401A0">
        <w:rPr>
          <w:rFonts w:eastAsia="Times New Roman" w:cs="Arial"/>
          <w:color w:val="000000"/>
          <w:lang w:eastAsia="bg-BG"/>
        </w:rPr>
        <w:t>Опиоидните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аналгетици понякога могат да причинят обратима надбъбречна недостатъчност, изискваща проследяване 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глюкокортикоидна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заместителна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терапия. Симптомите на остра или хронична надбъбречна недостатъчност могат да включват, например, силна коремна болка, гадене и повръщане, ниско кръвно налягане, прекомерна умора, намален апетит и загуба на тегло.</w:t>
      </w:r>
    </w:p>
    <w:p w14:paraId="718F1DDF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EA8AFED" w14:textId="4D73E11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401A0">
        <w:rPr>
          <w:rFonts w:eastAsia="Times New Roman" w:cs="Arial"/>
          <w:color w:val="000000"/>
          <w:u w:val="single"/>
          <w:lang w:eastAsia="bg-BG"/>
        </w:rPr>
        <w:t>Серотонинов</w:t>
      </w:r>
      <w:proofErr w:type="spellEnd"/>
      <w:r w:rsidRPr="00E401A0">
        <w:rPr>
          <w:rFonts w:eastAsia="Times New Roman" w:cs="Arial"/>
          <w:color w:val="000000"/>
          <w:u w:val="single"/>
          <w:lang w:eastAsia="bg-BG"/>
        </w:rPr>
        <w:t xml:space="preserve"> синдром</w:t>
      </w:r>
    </w:p>
    <w:p w14:paraId="3871ED0B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401A0">
        <w:rPr>
          <w:rFonts w:eastAsia="Times New Roman" w:cs="Arial"/>
          <w:color w:val="000000"/>
          <w:lang w:eastAsia="bg-BG"/>
        </w:rPr>
        <w:t>Серотониновият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синдром е потенциално животозастрашаващо състояние, за което се съобщава при пациенти, приемащи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в комбинация с други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серотонинергични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средства, или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самостоятелно (вж. точки 4.5,4.8 и 4.9).</w:t>
      </w:r>
    </w:p>
    <w:p w14:paraId="2F2F87A7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59F7F97" w14:textId="4A22AC0F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Ако съпътстващото лечение с други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серотонинергични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средства е клинично оправдано, се препоръчва внимателно наблюдение на пациента, особено по време на започване на лечението и повишаване на дозата.</w:t>
      </w:r>
    </w:p>
    <w:p w14:paraId="4A9ED372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795D0C7" w14:textId="77777777" w:rsidR="00E401A0" w:rsidRPr="00E401A0" w:rsidRDefault="00E401A0" w:rsidP="00E401A0">
      <w:pPr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Симптомите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серотониновия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синдром може да включват промени в психичния статус автономна нестабилност,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невромускулни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нарушения и/или стомашно-чревни симптоми При съмнение за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серотонинов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синдром, трябва да се обмисли намаляване на доза или преустановяване на терапията, в зависимост от тежестта на симптомите. Преустановяването на</w:t>
      </w:r>
      <w:r w:rsidRPr="00E401A0">
        <w:rPr>
          <w:rFonts w:eastAsia="Times New Roman" w:cs="Arial"/>
          <w:color w:val="000000"/>
          <w:lang w:eastAsia="bg-BG"/>
        </w:rPr>
        <w:t xml:space="preserve"> </w:t>
      </w:r>
      <w:r w:rsidRPr="00E401A0">
        <w:rPr>
          <w:rFonts w:eastAsia="Times New Roman" w:cs="Arial"/>
          <w:color w:val="000000"/>
          <w:lang w:eastAsia="bg-BG"/>
        </w:rPr>
        <w:t xml:space="preserve">приложението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серотонинергични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лекарствени продукти обикновено води до бързо подобряване на състоянието.</w:t>
      </w:r>
    </w:p>
    <w:p w14:paraId="6F721571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9774F03" w14:textId="23A0EB5D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u w:val="single"/>
          <w:lang w:eastAsia="bg-BG"/>
        </w:rPr>
        <w:t>Помощни вещества</w:t>
      </w:r>
    </w:p>
    <w:p w14:paraId="76D05164" w14:textId="29F67C08" w:rsid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Този лекарствен продукт съдържа 0,7 </w:t>
      </w:r>
      <w:r w:rsidRPr="00E401A0">
        <w:rPr>
          <w:rFonts w:eastAsia="Times New Roman" w:cs="Arial"/>
          <w:color w:val="000000"/>
          <w:lang w:val="en-US"/>
        </w:rPr>
        <w:t xml:space="preserve">mg </w:t>
      </w:r>
      <w:r w:rsidRPr="00E401A0">
        <w:rPr>
          <w:rFonts w:eastAsia="Times New Roman" w:cs="Arial"/>
          <w:color w:val="000000"/>
          <w:lang w:eastAsia="bg-BG"/>
        </w:rPr>
        <w:t xml:space="preserve">натрий (23 </w:t>
      </w:r>
      <w:r w:rsidRPr="00E401A0">
        <w:rPr>
          <w:rFonts w:eastAsia="Times New Roman" w:cs="Arial"/>
          <w:color w:val="000000"/>
          <w:lang w:val="en-US"/>
        </w:rPr>
        <w:t xml:space="preserve">mg) </w:t>
      </w:r>
      <w:r w:rsidRPr="00E401A0">
        <w:rPr>
          <w:rFonts w:eastAsia="Times New Roman" w:cs="Arial"/>
          <w:color w:val="000000"/>
          <w:lang w:eastAsia="bg-BG"/>
        </w:rPr>
        <w:t xml:space="preserve">на </w:t>
      </w:r>
      <w:r w:rsidRPr="00E401A0">
        <w:rPr>
          <w:rFonts w:eastAsia="Times New Roman" w:cs="Arial"/>
          <w:color w:val="000000"/>
          <w:lang w:val="en-US"/>
        </w:rPr>
        <w:t xml:space="preserve">ml, </w:t>
      </w:r>
      <w:r w:rsidRPr="00E401A0">
        <w:rPr>
          <w:rFonts w:eastAsia="Times New Roman" w:cs="Arial"/>
          <w:color w:val="000000"/>
          <w:lang w:eastAsia="bg-BG"/>
        </w:rPr>
        <w:t>т.е. по същество е „</w:t>
      </w:r>
      <w:proofErr w:type="spellStart"/>
      <w:r w:rsidRPr="00E401A0">
        <w:rPr>
          <w:rFonts w:eastAsia="Times New Roman" w:cs="Arial"/>
          <w:color w:val="000000"/>
          <w:lang w:eastAsia="bg-BG"/>
        </w:rPr>
        <w:t>несъдържащ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натрий”.</w:t>
      </w:r>
    </w:p>
    <w:p w14:paraId="7001051D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</w:p>
    <w:p w14:paraId="297352C8" w14:textId="717F6402" w:rsidR="003765DC" w:rsidRDefault="002C50EE" w:rsidP="002B3C38">
      <w:pPr>
        <w:pStyle w:val="2"/>
      </w:pPr>
      <w:r>
        <w:t>4.5. Взаимодействие с други лекарствени продукти и други форми на взаимодействие</w:t>
      </w:r>
    </w:p>
    <w:p w14:paraId="3F2CA114" w14:textId="30CF5A8C" w:rsidR="00E401A0" w:rsidRDefault="00E401A0" w:rsidP="00E401A0"/>
    <w:p w14:paraId="3158F231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не трябва да се комбинира с МАО-инхибитори (виж т.4.3).</w:t>
      </w:r>
    </w:p>
    <w:p w14:paraId="3C501FC3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При пациенти, лекувани с МАО инхибитори, 14 дни преди прилагане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опиоида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петидин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са наблюдавани животозастрашаващи за ЦНС, дихателната и сърдечната дейност </w:t>
      </w:r>
      <w:r w:rsidRPr="00E401A0">
        <w:rPr>
          <w:rFonts w:eastAsia="Times New Roman" w:cs="Arial"/>
          <w:color w:val="000000"/>
          <w:lang w:eastAsia="bg-BG"/>
        </w:rPr>
        <w:lastRenderedPageBreak/>
        <w:t xml:space="preserve">взаимодействия. Същите взаимодействия с МАО инхибитори, не могат да се изключат по време на лечение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>.</w:t>
      </w:r>
    </w:p>
    <w:p w14:paraId="29E2A12E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8DF4D23" w14:textId="4F772C12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Едновременната употреба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 други централно действащи депресанти, включително алкохол може да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потенциира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ефектите на ЦНС (виж точка 4.8).</w:t>
      </w:r>
    </w:p>
    <w:p w14:paraId="49AEBC35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99F14A0" w14:textId="785E033A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Едновременното приемане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карбамазепин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(ензимен индуктор) значително понижава серумните концентрации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трамадолов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хидрохлорид, намалява аналгетичната му активност и продължителността му на действие.</w:t>
      </w:r>
    </w:p>
    <w:p w14:paraId="46E720F5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Резултати от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фармакокинетични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проучвания сочат, че едновременната употреба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циметидин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(ензимен инхибитор) е свързана с леко забавяне на елиминирането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трамадолов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хидрохлорид, като това не оказва влияние върху неговата ефективност.</w:t>
      </w:r>
    </w:p>
    <w:p w14:paraId="07C7002A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E820E2" w14:textId="75A9A25F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Комбинирането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агонисги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/антагонисти (например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бупренофин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налбуфин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пентазоцин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) 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не е препоръчително, тъй като аналгетичния ефект на чистия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агонист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теоретично може да бъде намален при едновременното им прилагане.</w:t>
      </w:r>
    </w:p>
    <w:p w14:paraId="5D1E7CE1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3425BB1" w14:textId="41C27C11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може да предизвика конвулсии и да увеличи потенциала на селективните инхибитори на обратното захващане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серотонин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</w:t>
      </w:r>
      <w:r w:rsidRPr="00E401A0">
        <w:rPr>
          <w:rFonts w:eastAsia="Times New Roman" w:cs="Arial"/>
          <w:color w:val="000000"/>
          <w:lang w:val="en-US"/>
        </w:rPr>
        <w:t xml:space="preserve">(SSRI), </w:t>
      </w:r>
      <w:r w:rsidRPr="00E401A0">
        <w:rPr>
          <w:rFonts w:eastAsia="Times New Roman" w:cs="Arial"/>
          <w:color w:val="000000"/>
          <w:lang w:eastAsia="bg-BG"/>
        </w:rPr>
        <w:t xml:space="preserve">като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флуоксетин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флувоксамин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инхибиторите на обратното захващане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серотонин-норепинефрин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</w:t>
      </w:r>
      <w:r w:rsidRPr="00E401A0">
        <w:rPr>
          <w:rFonts w:eastAsia="Times New Roman" w:cs="Arial"/>
          <w:color w:val="000000"/>
          <w:lang w:val="en-US"/>
        </w:rPr>
        <w:t xml:space="preserve">(SNR1), </w:t>
      </w:r>
      <w:r w:rsidRPr="00E401A0">
        <w:rPr>
          <w:rFonts w:eastAsia="Times New Roman" w:cs="Arial"/>
          <w:color w:val="000000"/>
          <w:lang w:eastAsia="bg-BG"/>
        </w:rPr>
        <w:t xml:space="preserve">трицикличните антидепресанти,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антипсихотиците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 други лекарства, понижаващи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гърчовия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праг (като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бупропион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миртазапин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тетрахидроканабинол</w:t>
      </w:r>
      <w:proofErr w:type="spellEnd"/>
      <w:r w:rsidRPr="00E401A0">
        <w:rPr>
          <w:rFonts w:eastAsia="Times New Roman" w:cs="Arial"/>
          <w:color w:val="000000"/>
          <w:lang w:eastAsia="bg-BG"/>
        </w:rPr>
        <w:t>), за предизвикване на конвулсии (виж точка 4.4 и 5.2).</w:t>
      </w:r>
    </w:p>
    <w:p w14:paraId="1F77609F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3C443C2" w14:textId="529B00B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Трябвала се подхожда с повишено внимание при едновременно лечение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трамадолов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хидрохлорид 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кумаринови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производни (напр.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варфарин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) поради съобщения за повишено </w:t>
      </w:r>
      <w:r w:rsidRPr="00E401A0">
        <w:rPr>
          <w:rFonts w:eastAsia="Times New Roman" w:cs="Arial"/>
          <w:color w:val="000000"/>
          <w:lang w:val="en-US"/>
        </w:rPr>
        <w:t xml:space="preserve">INR </w:t>
      </w:r>
      <w:r w:rsidRPr="00E401A0">
        <w:rPr>
          <w:rFonts w:eastAsia="Times New Roman" w:cs="Arial"/>
          <w:color w:val="000000"/>
          <w:lang w:eastAsia="bg-BG"/>
        </w:rPr>
        <w:t xml:space="preserve">с масивно кървене 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екхимози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при някои пациенти. Механизмът на това взаимодействие е неясен.</w:t>
      </w:r>
    </w:p>
    <w:p w14:paraId="5CD781CA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B6834A2" w14:textId="06329053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Съпътстващата терапевтична употреба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серотонинергични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лекарствени продукти, като селективни инхибитори на обратното поемане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серотонина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</w:t>
      </w:r>
      <w:r w:rsidRPr="00E401A0">
        <w:rPr>
          <w:rFonts w:eastAsia="Times New Roman" w:cs="Arial"/>
          <w:color w:val="000000"/>
          <w:lang w:val="en-US"/>
        </w:rPr>
        <w:t xml:space="preserve">(SSRI), </w:t>
      </w:r>
      <w:r w:rsidRPr="00E401A0">
        <w:rPr>
          <w:rFonts w:eastAsia="Times New Roman" w:cs="Arial"/>
          <w:color w:val="000000"/>
          <w:lang w:eastAsia="bg-BG"/>
        </w:rPr>
        <w:t xml:space="preserve">инхибитори на обратното поемане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серотонина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норепинефрина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</w:t>
      </w:r>
      <w:r w:rsidRPr="00E401A0">
        <w:rPr>
          <w:rFonts w:eastAsia="Times New Roman" w:cs="Arial"/>
          <w:color w:val="000000"/>
          <w:lang w:val="en-US"/>
        </w:rPr>
        <w:t xml:space="preserve">(SNRI), </w:t>
      </w:r>
      <w:r w:rsidRPr="00E401A0">
        <w:rPr>
          <w:rFonts w:eastAsia="Times New Roman" w:cs="Arial"/>
          <w:color w:val="000000"/>
          <w:lang w:eastAsia="bg-BG"/>
        </w:rPr>
        <w:t xml:space="preserve">инхибитори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моноаминооксидаза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(вж. точка 4.3), трициклични антидепресанти 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миртазапин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могат да предизвикат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серотонинов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синдром -потенциално животозастрашаващо състояние (вж. точки 4.4 и 4.8).</w:t>
      </w:r>
    </w:p>
    <w:p w14:paraId="27B7FC73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Други активни вещества, за които е известно, че инхибират </w:t>
      </w:r>
      <w:r w:rsidRPr="00E401A0">
        <w:rPr>
          <w:rFonts w:eastAsia="Times New Roman" w:cs="Arial"/>
          <w:color w:val="000000"/>
          <w:lang w:val="en-US"/>
        </w:rPr>
        <w:t>CYP3</w:t>
      </w:r>
      <w:r w:rsidRPr="00E401A0">
        <w:rPr>
          <w:rFonts w:eastAsia="Times New Roman" w:cs="Arial"/>
          <w:color w:val="000000"/>
          <w:lang w:eastAsia="bg-BG"/>
        </w:rPr>
        <w:t xml:space="preserve">А4, като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кетоконазол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еритромицин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могат да инхибират метаболизма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</w:t>
      </w:r>
      <w:r w:rsidRPr="00E401A0">
        <w:rPr>
          <w:rFonts w:eastAsia="Times New Roman" w:cs="Arial"/>
          <w:color w:val="000000"/>
          <w:lang w:val="en-US"/>
        </w:rPr>
        <w:t>(N</w:t>
      </w:r>
      <w:r w:rsidRPr="00E401A0">
        <w:rPr>
          <w:rFonts w:eastAsia="Times New Roman" w:cs="Arial"/>
          <w:color w:val="000000"/>
          <w:lang w:eastAsia="bg-BG"/>
        </w:rPr>
        <w:t>-</w:t>
      </w:r>
      <w:proofErr w:type="spellStart"/>
      <w:r w:rsidRPr="00E401A0">
        <w:rPr>
          <w:rFonts w:eastAsia="Times New Roman" w:cs="Arial"/>
          <w:color w:val="000000"/>
          <w:lang w:eastAsia="bg-BG"/>
        </w:rPr>
        <w:t>деметилиране</w:t>
      </w:r>
      <w:proofErr w:type="spellEnd"/>
      <w:r w:rsidRPr="00E401A0">
        <w:rPr>
          <w:rFonts w:eastAsia="Times New Roman" w:cs="Arial"/>
          <w:color w:val="000000"/>
          <w:lang w:eastAsia="bg-BG"/>
        </w:rPr>
        <w:t>), вероятно и метаболизма на активния О-</w:t>
      </w:r>
      <w:proofErr w:type="spellStart"/>
      <w:r w:rsidRPr="00E401A0">
        <w:rPr>
          <w:rFonts w:eastAsia="Times New Roman" w:cs="Arial"/>
          <w:color w:val="000000"/>
          <w:lang w:eastAsia="bg-BG"/>
        </w:rPr>
        <w:t>деметилиран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метаболит. Клиничното значение на това взаимодействие не е известно (вж. точка 4.8).</w:t>
      </w:r>
    </w:p>
    <w:p w14:paraId="4B8D48E7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85C9A33" w14:textId="44F6CFC3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В ограничен брой проучвания пред- и следоперативното приложение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антиеметичния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5</w:t>
      </w:r>
      <w:r w:rsidRPr="00E401A0">
        <w:rPr>
          <w:rFonts w:eastAsia="Times New Roman" w:cs="Arial"/>
          <w:color w:val="000000"/>
          <w:u w:val="single"/>
          <w:lang w:eastAsia="bg-BG"/>
        </w:rPr>
        <w:t>-</w:t>
      </w:r>
      <w:r w:rsidRPr="00E401A0">
        <w:rPr>
          <w:rFonts w:eastAsia="Times New Roman" w:cs="Arial"/>
          <w:color w:val="000000"/>
          <w:lang w:eastAsia="bg-BG"/>
        </w:rPr>
        <w:t xml:space="preserve">НТЗ </w:t>
      </w:r>
      <w:r w:rsidRPr="00E401A0">
        <w:rPr>
          <w:rFonts w:eastAsia="Times New Roman" w:cs="Arial"/>
          <w:color w:val="000000"/>
          <w:u w:val="single"/>
          <w:lang w:eastAsia="bg-BG"/>
        </w:rPr>
        <w:t xml:space="preserve"> </w:t>
      </w:r>
      <w:r w:rsidRPr="00E401A0">
        <w:rPr>
          <w:rFonts w:eastAsia="Times New Roman" w:cs="Arial"/>
          <w:color w:val="000000"/>
          <w:lang w:eastAsia="bg-BG"/>
        </w:rPr>
        <w:t xml:space="preserve">антагонист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ондастерон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увеличава нуждата от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при пациенти със следоперативна болка. Въпреки, че не е доказано, друг 5-НТЗ рецепторен антагонист взаимодейства по подобен начин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>.</w:t>
      </w:r>
    </w:p>
    <w:p w14:paraId="739468DF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</w:p>
    <w:p w14:paraId="1DD17205" w14:textId="59C4609C" w:rsidR="00E401A0" w:rsidRDefault="00E401A0" w:rsidP="00E401A0">
      <w:pPr>
        <w:rPr>
          <w:rFonts w:eastAsia="Times New Roman" w:cs="Arial"/>
          <w:color w:val="000000"/>
          <w:lang w:eastAsia="bg-BG"/>
        </w:rPr>
      </w:pPr>
      <w:r w:rsidRPr="00E401A0">
        <w:rPr>
          <w:rFonts w:eastAsia="Times New Roman" w:cs="Arial"/>
          <w:color w:val="000000"/>
          <w:lang w:eastAsia="bg-BG"/>
        </w:rPr>
        <w:t>Седативни лекарствени продукти като бензодиазепини или подобни лекарства</w:t>
      </w:r>
    </w:p>
    <w:p w14:paraId="5DBB2406" w14:textId="4191B9CF" w:rsidR="00E401A0" w:rsidRPr="00E401A0" w:rsidRDefault="00E401A0" w:rsidP="00E401A0">
      <w:pPr>
        <w:rPr>
          <w:rFonts w:cs="Arial"/>
        </w:rPr>
      </w:pPr>
      <w:r>
        <w:t xml:space="preserve">Едновременната употреба на седативни лекарствени продукти като бензодиазепини или други подобни може да доведе до </w:t>
      </w:r>
      <w:proofErr w:type="spellStart"/>
      <w:r>
        <w:t>седация</w:t>
      </w:r>
      <w:proofErr w:type="spellEnd"/>
      <w:r>
        <w:t>, респираторна депресия, кома или смърт поради адитивния ефект върху ЦНС. Дозата и продължителността на лечението трябва да бъдат ограничени (вижте точка 4.4).</w:t>
      </w:r>
    </w:p>
    <w:p w14:paraId="20B09708" w14:textId="0E92244D" w:rsidR="003765DC" w:rsidRDefault="002C50EE" w:rsidP="002B3C38">
      <w:pPr>
        <w:pStyle w:val="2"/>
      </w:pPr>
      <w:r>
        <w:lastRenderedPageBreak/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1787593E" w14:textId="3E776D00" w:rsidR="00E401A0" w:rsidRDefault="00E401A0" w:rsidP="00E401A0"/>
    <w:p w14:paraId="2C5E6249" w14:textId="77777777" w:rsidR="00E401A0" w:rsidRPr="00E401A0" w:rsidRDefault="00E401A0" w:rsidP="00E401A0">
      <w:pPr>
        <w:pStyle w:val="3"/>
        <w:rPr>
          <w:rFonts w:eastAsia="Times New Roman"/>
          <w:b/>
          <w:bCs/>
          <w:i/>
          <w:iCs/>
        </w:rPr>
      </w:pPr>
      <w:r w:rsidRPr="00E401A0">
        <w:rPr>
          <w:rFonts w:eastAsia="Times New Roman"/>
          <w:b/>
          <w:bCs/>
          <w:i/>
          <w:iCs/>
          <w:lang w:eastAsia="bg-BG"/>
        </w:rPr>
        <w:t>Бременност</w:t>
      </w:r>
    </w:p>
    <w:p w14:paraId="3BED57D9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Няма достатъчно данни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ст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контролирани проучвания за приложението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при бременни жени. Проучвания при животни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разкриват при много високи дози ефекти върху развитието на органите,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осификацията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неонаталната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смъртност при плъхове и зайци. Тератогенни ефекти не са наблюдавани. Затова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трябва да се използва по време на бременност само след внимателна оценка на полза/възможен риск за плода.</w:t>
      </w:r>
    </w:p>
    <w:p w14:paraId="0F65B88C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B4FE4B2" w14:textId="11309235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Ако по време на бременността се налага аналгетична терапия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опиоиди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прилагането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трябва да бъде ограничено посредством единични дози. Системното му прилагане през целия период на бременността трябва да се избягва, тъй като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преминава през плацентата и новороденото може да развие симптоми на отнемане като последствие от зависимост.</w:t>
      </w:r>
    </w:p>
    <w:p w14:paraId="0E669A0D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305315E" w14:textId="7927FECB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прилаган преди или по време на раждането не повлиява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контрактилитета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на матката. При новородени може да предизвика промени в дихателната честота, които обикновено не са клинично значими.</w:t>
      </w:r>
    </w:p>
    <w:p w14:paraId="10CF3B70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i/>
          <w:iCs/>
          <w:color w:val="000000"/>
          <w:u w:val="single"/>
          <w:lang w:eastAsia="bg-BG"/>
        </w:rPr>
      </w:pPr>
    </w:p>
    <w:p w14:paraId="5943BF89" w14:textId="05A7C8CE" w:rsidR="00E401A0" w:rsidRPr="00E401A0" w:rsidRDefault="00E401A0" w:rsidP="00E401A0">
      <w:pPr>
        <w:pStyle w:val="3"/>
        <w:rPr>
          <w:rFonts w:eastAsia="Times New Roman"/>
          <w:b/>
          <w:bCs/>
          <w:i/>
          <w:iCs/>
        </w:rPr>
      </w:pPr>
      <w:r w:rsidRPr="00E401A0">
        <w:rPr>
          <w:rFonts w:eastAsia="Times New Roman"/>
          <w:b/>
          <w:bCs/>
          <w:i/>
          <w:iCs/>
          <w:lang w:eastAsia="bg-BG"/>
        </w:rPr>
        <w:t>Кърмене</w:t>
      </w:r>
    </w:p>
    <w:p w14:paraId="1717C330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Приблизително 0,1 % от дозата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приета от майката, се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в кърмата. В непосредствения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следродов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период, при приемана перорална дневна доза до 400 </w:t>
      </w:r>
      <w:r w:rsidRPr="00E401A0">
        <w:rPr>
          <w:rFonts w:eastAsia="Times New Roman" w:cs="Arial"/>
          <w:color w:val="000000"/>
          <w:lang w:val="en-US"/>
        </w:rPr>
        <w:t xml:space="preserve">mg </w:t>
      </w:r>
      <w:r w:rsidRPr="00E401A0">
        <w:rPr>
          <w:rFonts w:eastAsia="Times New Roman" w:cs="Arial"/>
          <w:color w:val="000000"/>
          <w:lang w:eastAsia="bg-BG"/>
        </w:rPr>
        <w:t xml:space="preserve">от майката, това отговаря на средно количество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погълнато от кърмачетата, в размер на 3 % от дозата на майката, коригирана спрямо теглото. Поради тази причина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не трябва да се използва по време на кърмене или като алтернатива кърменето трябва да се прекрати по време на лечение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. Прекратяване на кърменето обикновено не се налага след прием на единична доза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>.</w:t>
      </w:r>
    </w:p>
    <w:p w14:paraId="069D6BCD" w14:textId="77777777" w:rsidR="00E401A0" w:rsidRPr="00E401A0" w:rsidRDefault="00E401A0" w:rsidP="00E401A0"/>
    <w:p w14:paraId="13465597" w14:textId="3B0504E0" w:rsidR="003765DC" w:rsidRDefault="002C50EE" w:rsidP="002B3C38">
      <w:pPr>
        <w:pStyle w:val="2"/>
      </w:pPr>
      <w:r>
        <w:t>4.7. Ефекти върху способността за шофиране и работа с машини</w:t>
      </w:r>
    </w:p>
    <w:p w14:paraId="4A98DEEA" w14:textId="65AC932B" w:rsidR="00E401A0" w:rsidRDefault="00E401A0" w:rsidP="00E401A0"/>
    <w:p w14:paraId="536C5859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Дори и когато се прилага съгласно указанията,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може да предизвика сънливост и замаяност и така да повлияе върху способността за шофиране и работа с машини .Това се отнася особено за случаите при едновременна употребата на алкохол или други ЦНС депресанти. При такива прояви пациентът не трябва да шофира и да работи с машини.</w:t>
      </w:r>
    </w:p>
    <w:p w14:paraId="2896C27F" w14:textId="77777777" w:rsidR="00E401A0" w:rsidRPr="00E401A0" w:rsidRDefault="00E401A0" w:rsidP="00E401A0"/>
    <w:p w14:paraId="5D66F04B" w14:textId="5673D012" w:rsidR="003765DC" w:rsidRDefault="002C50EE" w:rsidP="002B3C38">
      <w:pPr>
        <w:pStyle w:val="2"/>
      </w:pPr>
      <w:r>
        <w:t>4.8. Нежелани лекарствени реакции</w:t>
      </w:r>
    </w:p>
    <w:p w14:paraId="34022AC4" w14:textId="522F6E14" w:rsidR="00E401A0" w:rsidRDefault="00E401A0" w:rsidP="00E401A0"/>
    <w:p w14:paraId="73AE2B00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>Най-често е съобщавано за странични реакции като гадене и замаяност, при повече от 10% от пациентите.</w:t>
      </w:r>
    </w:p>
    <w:p w14:paraId="718389EA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BB486C6" w14:textId="108C4D70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>При всяко групиране, нежеланите лекарствени реакции се представят в низходящ ред според тяхната сериозност.</w:t>
      </w:r>
    </w:p>
    <w:p w14:paraId="57A349CC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>Честота на нежеланите реакции се представя по следния начин: Много чести (</w:t>
      </w:r>
      <w:r w:rsidRPr="00E401A0">
        <w:rPr>
          <w:rFonts w:eastAsia="Times New Roman" w:cs="Arial"/>
          <w:color w:val="000000"/>
          <w:lang w:val="en-US"/>
        </w:rPr>
        <w:t>≥</w:t>
      </w:r>
      <w:r w:rsidRPr="00E401A0">
        <w:rPr>
          <w:rFonts w:eastAsia="Times New Roman" w:cs="Arial"/>
          <w:color w:val="000000"/>
          <w:lang w:eastAsia="bg-BG"/>
        </w:rPr>
        <w:t>1/10), Чести (</w:t>
      </w:r>
      <w:r w:rsidRPr="00E401A0">
        <w:rPr>
          <w:rFonts w:eastAsia="Times New Roman" w:cs="Arial"/>
          <w:color w:val="000000"/>
          <w:lang w:val="en-US"/>
        </w:rPr>
        <w:t>≥</w:t>
      </w:r>
      <w:r w:rsidRPr="00E401A0">
        <w:rPr>
          <w:rFonts w:eastAsia="Times New Roman" w:cs="Arial"/>
          <w:color w:val="000000"/>
          <w:lang w:eastAsia="bg-BG"/>
        </w:rPr>
        <w:t>1/100 до &lt;1/10), Нечести (</w:t>
      </w:r>
      <w:r w:rsidRPr="00E401A0">
        <w:rPr>
          <w:rFonts w:eastAsia="Times New Roman" w:cs="Arial"/>
          <w:color w:val="000000"/>
          <w:lang w:val="en-US"/>
        </w:rPr>
        <w:t>≥</w:t>
      </w:r>
      <w:r w:rsidRPr="00E401A0">
        <w:rPr>
          <w:rFonts w:eastAsia="Times New Roman" w:cs="Arial"/>
          <w:color w:val="000000"/>
          <w:lang w:eastAsia="bg-BG"/>
        </w:rPr>
        <w:t>1/1 000 до &lt;1/100), Редки (</w:t>
      </w:r>
      <w:r w:rsidRPr="00E401A0">
        <w:rPr>
          <w:rFonts w:eastAsia="Times New Roman" w:cs="Arial"/>
          <w:color w:val="000000"/>
          <w:lang w:val="en-US"/>
        </w:rPr>
        <w:t>≥</w:t>
      </w:r>
      <w:r w:rsidRPr="00E401A0">
        <w:rPr>
          <w:rFonts w:eastAsia="Times New Roman" w:cs="Arial"/>
          <w:color w:val="000000"/>
          <w:lang w:eastAsia="bg-BG"/>
        </w:rPr>
        <w:t>1/10 000 до &lt;1/1 000), Много редки (&lt;1/10 000), с неизвестна честота (от наличните данни не може да бъде направена оценка)</w:t>
      </w:r>
    </w:p>
    <w:p w14:paraId="5F9920CD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E52F84B" w14:textId="05E28F1E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b/>
          <w:bCs/>
          <w:color w:val="000000"/>
          <w:lang w:eastAsia="bg-BG"/>
        </w:rPr>
        <w:t>Нарушения на метаболизма и храненето</w:t>
      </w:r>
    </w:p>
    <w:p w14:paraId="400C1F47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lastRenderedPageBreak/>
        <w:t>С неизвестна честота: хипогликемия</w:t>
      </w:r>
    </w:p>
    <w:p w14:paraId="586716CD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C18ABF4" w14:textId="3A6F3C3F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b/>
          <w:bCs/>
          <w:color w:val="000000"/>
          <w:lang w:eastAsia="bg-BG"/>
        </w:rPr>
        <w:t>Психични нарушения</w:t>
      </w:r>
    </w:p>
    <w:p w14:paraId="49897C38" w14:textId="0A3D1E76" w:rsidR="00E401A0" w:rsidRDefault="00E401A0" w:rsidP="00E401A0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  <w:r w:rsidRPr="00E401A0">
        <w:rPr>
          <w:rFonts w:eastAsia="Times New Roman" w:cs="Arial"/>
          <w:b/>
          <w:bCs/>
          <w:color w:val="000000"/>
          <w:lang w:eastAsia="bg-BG"/>
        </w:rPr>
        <w:t xml:space="preserve">Редки: </w:t>
      </w:r>
      <w:r w:rsidRPr="00E401A0">
        <w:rPr>
          <w:rFonts w:eastAsia="Times New Roman" w:cs="Arial"/>
          <w:color w:val="000000"/>
          <w:lang w:eastAsia="bg-BG"/>
        </w:rPr>
        <w:t>халюцинации, объркване, неспокоен сън, обърканост, делириум и кошмари</w:t>
      </w:r>
      <w:r w:rsidRPr="00E401A0">
        <w:rPr>
          <w:rFonts w:ascii="Times New Roman" w:eastAsia="Times New Roman" w:hAnsi="Times New Roman" w:cs="Times New Roman"/>
          <w:color w:val="000000"/>
          <w:lang w:eastAsia="bg-BG"/>
        </w:rPr>
        <w:t>.</w:t>
      </w:r>
    </w:p>
    <w:p w14:paraId="0D192210" w14:textId="77777777" w:rsidR="00E401A0" w:rsidRDefault="00E401A0" w:rsidP="00E401A0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67A7BBB4" w14:textId="17EA284F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След приложение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могат да се появят различни психични нежелани реакции, които варират индивидуално по интензитет и характер, в зависимост от личността и продължителността на лечението. Тези нежелани реакции включват промени в настроението (обикновено възбуда, но понякога 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дисфория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), промени в активността (по-често потискане, но в редки случаи и увеличаване) и промени в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когнитивиия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 сензорния капацитет (нарушение във възприятията, затруднение при вземане на решения).</w:t>
      </w:r>
    </w:p>
    <w:p w14:paraId="2FB6EE8B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8D8E5F9" w14:textId="6963AB7E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>Може да се развие зависимост.</w:t>
      </w:r>
    </w:p>
    <w:p w14:paraId="3D747B16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3FB456B" w14:textId="601269DF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b/>
          <w:bCs/>
          <w:color w:val="000000"/>
          <w:lang w:eastAsia="bg-BG"/>
        </w:rPr>
        <w:t>Нарушения на нервната система</w:t>
      </w:r>
    </w:p>
    <w:p w14:paraId="79A2EA0B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>Много чести: замаяност.</w:t>
      </w:r>
    </w:p>
    <w:p w14:paraId="79F98F78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>Чести : Главоболие и сънливост.</w:t>
      </w:r>
    </w:p>
    <w:p w14:paraId="7601E8F3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Редки .* промяна в апетита,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парестезия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тремор, респираторна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депресия,епилептиформени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припадъци, неволеви мускулни съкращения, необичайна координация,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синкоп</w:t>
      </w:r>
      <w:proofErr w:type="spellEnd"/>
      <w:r w:rsidRPr="00E401A0">
        <w:rPr>
          <w:rFonts w:eastAsia="Times New Roman" w:cs="Arial"/>
          <w:color w:val="000000"/>
          <w:lang w:eastAsia="bg-BG"/>
        </w:rPr>
        <w:t>.</w:t>
      </w:r>
    </w:p>
    <w:p w14:paraId="4252A3F2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Респираторна депресия може да настъпи след употреба на дози, значително превишаващи препоръчителната доза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или при едновременно приложение на лекарства, депресанти на ЦНС (виж точка 4.5).</w:t>
      </w:r>
    </w:p>
    <w:p w14:paraId="77684384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401A0">
        <w:rPr>
          <w:rFonts w:eastAsia="Times New Roman" w:cs="Arial"/>
          <w:color w:val="000000"/>
          <w:lang w:eastAsia="bg-BG"/>
        </w:rPr>
        <w:t>Епилептиформени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гърчове настъпват обикновено след употреба на високи дози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или при едновременно приложение на лекарства, които предизвикват конвулсии или понижават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гърчовия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праг (виж точка 4.5).</w:t>
      </w:r>
    </w:p>
    <w:p w14:paraId="75F31F87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С неизвестна честота: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серотонинов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синдром.</w:t>
      </w:r>
    </w:p>
    <w:p w14:paraId="7811DB2E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0B0D728F" w14:textId="1F32B9E2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b/>
          <w:bCs/>
          <w:color w:val="000000"/>
          <w:lang w:eastAsia="bg-BG"/>
        </w:rPr>
        <w:t>Нарушения на очите</w:t>
      </w:r>
    </w:p>
    <w:p w14:paraId="1DF09CD0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>Редки: замъглено виждане.</w:t>
      </w:r>
    </w:p>
    <w:p w14:paraId="32BC8844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С неизвестна честота: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мидриаза</w:t>
      </w:r>
      <w:proofErr w:type="spellEnd"/>
    </w:p>
    <w:p w14:paraId="105B720B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3" w:name="bookmark4"/>
    </w:p>
    <w:p w14:paraId="05C47518" w14:textId="4F51CE12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b/>
          <w:bCs/>
          <w:color w:val="000000"/>
          <w:lang w:eastAsia="bg-BG"/>
        </w:rPr>
        <w:t>Сърдечни нарушения</w:t>
      </w:r>
      <w:bookmarkEnd w:id="3"/>
    </w:p>
    <w:p w14:paraId="5CCCCBC5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>Нечести: нарушения в сърдечно-съдовата регулация (</w:t>
      </w:r>
      <w:proofErr w:type="spellStart"/>
      <w:r w:rsidRPr="00E401A0">
        <w:rPr>
          <w:rFonts w:eastAsia="Times New Roman" w:cs="Arial"/>
          <w:color w:val="000000"/>
          <w:lang w:eastAsia="bg-BG"/>
        </w:rPr>
        <w:t>палпитации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тахикардия,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постурална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хипотония или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кардиоваскуларен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колапс). Тези нежелани реакции могат да настъпят по- специално при интравенозно приложение и при пациенти, подложени на тежки физически натоварвания.</w:t>
      </w:r>
    </w:p>
    <w:p w14:paraId="574ABDE4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7B22B4B" w14:textId="38A2C41F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>Редки: брадикардия, повишаване на кръвното налягане</w:t>
      </w:r>
    </w:p>
    <w:p w14:paraId="03C8F453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4" w:name="bookmark6"/>
    </w:p>
    <w:p w14:paraId="4933B735" w14:textId="0EEF0CC1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b/>
          <w:bCs/>
          <w:color w:val="000000"/>
          <w:lang w:eastAsia="bg-BG"/>
        </w:rPr>
        <w:t xml:space="preserve">Респираторни, гръдни и </w:t>
      </w:r>
      <w:proofErr w:type="spellStart"/>
      <w:r w:rsidRPr="00E401A0">
        <w:rPr>
          <w:rFonts w:eastAsia="Times New Roman" w:cs="Arial"/>
          <w:b/>
          <w:bCs/>
          <w:color w:val="000000"/>
          <w:lang w:eastAsia="bg-BG"/>
        </w:rPr>
        <w:t>медиастинални</w:t>
      </w:r>
      <w:proofErr w:type="spellEnd"/>
      <w:r w:rsidRPr="00E401A0">
        <w:rPr>
          <w:rFonts w:eastAsia="Times New Roman" w:cs="Arial"/>
          <w:b/>
          <w:bCs/>
          <w:color w:val="000000"/>
          <w:lang w:eastAsia="bg-BG"/>
        </w:rPr>
        <w:t xml:space="preserve"> нарушения</w:t>
      </w:r>
      <w:bookmarkEnd w:id="4"/>
    </w:p>
    <w:p w14:paraId="600859B9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Редки: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диспнея</w:t>
      </w:r>
      <w:proofErr w:type="spellEnd"/>
    </w:p>
    <w:p w14:paraId="3B66F682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>Съобщено е за влошаване на астма, макар че причинна връзка не е била установена. С неизвестна честота: хълцане.</w:t>
      </w:r>
    </w:p>
    <w:p w14:paraId="1D2E2931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5" w:name="bookmark8"/>
    </w:p>
    <w:p w14:paraId="780BAD11" w14:textId="6B8D0CBA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b/>
          <w:bCs/>
          <w:color w:val="000000"/>
          <w:lang w:eastAsia="bg-BG"/>
        </w:rPr>
        <w:t>Стомашно-чревни нарушения</w:t>
      </w:r>
      <w:bookmarkEnd w:id="5"/>
    </w:p>
    <w:p w14:paraId="72FB6F31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>Много чести: гадене.</w:t>
      </w:r>
    </w:p>
    <w:p w14:paraId="32E59B1F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>Чести: повръщане, запек, сухота в устата.</w:t>
      </w:r>
    </w:p>
    <w:p w14:paraId="2D7CB287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>Нечести: гадене, стомашно-чревни смущения (чувство на напрегнатост в стомаха, подуване), диария.</w:t>
      </w:r>
    </w:p>
    <w:p w14:paraId="7EE9D493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6" w:name="bookmark10"/>
    </w:p>
    <w:p w14:paraId="23D9BCB6" w14:textId="065ED3A3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401A0">
        <w:rPr>
          <w:rFonts w:eastAsia="Times New Roman" w:cs="Arial"/>
          <w:b/>
          <w:bCs/>
          <w:color w:val="000000"/>
          <w:lang w:eastAsia="bg-BG"/>
        </w:rPr>
        <w:lastRenderedPageBreak/>
        <w:t>Хепато-билнарни</w:t>
      </w:r>
      <w:proofErr w:type="spellEnd"/>
      <w:r w:rsidRPr="00E401A0">
        <w:rPr>
          <w:rFonts w:eastAsia="Times New Roman" w:cs="Arial"/>
          <w:b/>
          <w:bCs/>
          <w:color w:val="000000"/>
          <w:lang w:eastAsia="bg-BG"/>
        </w:rPr>
        <w:t xml:space="preserve"> нарушения</w:t>
      </w:r>
      <w:bookmarkEnd w:id="6"/>
    </w:p>
    <w:p w14:paraId="73295985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При няколко изолирани случаи е съобщавано за преходно повишаване на нивата на чернодробните ензими във връзка с лечението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>.</w:t>
      </w:r>
    </w:p>
    <w:p w14:paraId="7DD92BD8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7" w:name="bookmark12"/>
    </w:p>
    <w:p w14:paraId="145C477E" w14:textId="6D876276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b/>
          <w:bCs/>
          <w:color w:val="000000"/>
          <w:lang w:eastAsia="bg-BG"/>
        </w:rPr>
        <w:t xml:space="preserve">Нарушения на кожата н подкожната тъкан </w:t>
      </w:r>
      <w:r w:rsidRPr="00E401A0">
        <w:rPr>
          <w:rFonts w:eastAsia="Times New Roman" w:cs="Arial"/>
          <w:color w:val="000000"/>
          <w:lang w:eastAsia="bg-BG"/>
        </w:rPr>
        <w:t>Чести: Потене.</w:t>
      </w:r>
      <w:bookmarkEnd w:id="7"/>
    </w:p>
    <w:p w14:paraId="332F7023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Нечести: Кожни реакции (напр.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пруритус</w:t>
      </w:r>
      <w:proofErr w:type="spellEnd"/>
      <w:r w:rsidRPr="00E401A0">
        <w:rPr>
          <w:rFonts w:eastAsia="Times New Roman" w:cs="Arial"/>
          <w:color w:val="000000"/>
          <w:lang w:eastAsia="bg-BG"/>
        </w:rPr>
        <w:t>, обрив, уртикария).</w:t>
      </w:r>
    </w:p>
    <w:p w14:paraId="6FA379DF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6F8CC497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r w:rsidRPr="00E401A0">
        <w:rPr>
          <w:rFonts w:eastAsia="Times New Roman" w:cs="Arial"/>
          <w:b/>
          <w:bCs/>
          <w:color w:val="000000"/>
          <w:lang w:eastAsia="bg-BG"/>
        </w:rPr>
        <w:t xml:space="preserve">Нарушения на мускулно-скелетната система и съединителната тъкан </w:t>
      </w:r>
    </w:p>
    <w:p w14:paraId="3DEDAD81" w14:textId="23303CD5" w:rsid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E401A0">
        <w:rPr>
          <w:rFonts w:eastAsia="Times New Roman" w:cs="Arial"/>
          <w:color w:val="000000"/>
          <w:lang w:eastAsia="bg-BG"/>
        </w:rPr>
        <w:t>Редки: мускулна слабост.</w:t>
      </w:r>
    </w:p>
    <w:p w14:paraId="0C9A8DC6" w14:textId="203DA8F8" w:rsid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43A9F5F" w14:textId="77777777" w:rsidR="00E401A0" w:rsidRPr="00E401A0" w:rsidRDefault="00E401A0" w:rsidP="00E401A0">
      <w:pPr>
        <w:spacing w:line="240" w:lineRule="auto"/>
        <w:rPr>
          <w:rFonts w:eastAsia="Times New Roman" w:cs="Arial"/>
        </w:rPr>
      </w:pPr>
      <w:r w:rsidRPr="00E401A0">
        <w:rPr>
          <w:rFonts w:eastAsia="Times New Roman" w:cs="Arial"/>
          <w:b/>
          <w:bCs/>
          <w:color w:val="000000"/>
          <w:lang w:eastAsia="bg-BG"/>
        </w:rPr>
        <w:t>Нарушения на бъбреците и пикочните пътища</w:t>
      </w:r>
    </w:p>
    <w:p w14:paraId="7800CFFB" w14:textId="77777777" w:rsidR="00E401A0" w:rsidRPr="00E401A0" w:rsidRDefault="00E401A0" w:rsidP="00E401A0">
      <w:pPr>
        <w:spacing w:line="240" w:lineRule="auto"/>
        <w:rPr>
          <w:rFonts w:eastAsia="Times New Roman" w:cs="Arial"/>
        </w:rPr>
      </w:pPr>
      <w:r w:rsidRPr="00E401A0">
        <w:rPr>
          <w:rFonts w:eastAsia="Times New Roman" w:cs="Arial"/>
          <w:b/>
          <w:bCs/>
          <w:color w:val="000000"/>
          <w:lang w:eastAsia="bg-BG"/>
        </w:rPr>
        <w:t xml:space="preserve">Редки: </w:t>
      </w:r>
      <w:r w:rsidRPr="00E401A0">
        <w:rPr>
          <w:rFonts w:eastAsia="Times New Roman" w:cs="Arial"/>
          <w:color w:val="000000"/>
          <w:lang w:eastAsia="bg-BG"/>
        </w:rPr>
        <w:t xml:space="preserve">нарушения в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микцията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(затруднено уриниране,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дизурия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ретенция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на урина).</w:t>
      </w:r>
    </w:p>
    <w:p w14:paraId="376B938D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5237D388" w14:textId="3F9E4FE3" w:rsidR="00E401A0" w:rsidRPr="00E401A0" w:rsidRDefault="00E401A0" w:rsidP="00E401A0">
      <w:pPr>
        <w:spacing w:line="240" w:lineRule="auto"/>
        <w:rPr>
          <w:rFonts w:eastAsia="Times New Roman" w:cs="Arial"/>
        </w:rPr>
      </w:pPr>
      <w:r w:rsidRPr="00E401A0">
        <w:rPr>
          <w:rFonts w:eastAsia="Times New Roman" w:cs="Arial"/>
          <w:b/>
          <w:bCs/>
          <w:color w:val="000000"/>
          <w:lang w:eastAsia="bg-BG"/>
        </w:rPr>
        <w:t>Общи нарушения и ефекти на мястото на приложение</w:t>
      </w:r>
    </w:p>
    <w:p w14:paraId="42BAF248" w14:textId="77777777" w:rsidR="00E401A0" w:rsidRPr="00E401A0" w:rsidRDefault="00E401A0" w:rsidP="00E401A0">
      <w:pPr>
        <w:spacing w:line="240" w:lineRule="auto"/>
        <w:rPr>
          <w:rFonts w:eastAsia="Times New Roman" w:cs="Arial"/>
        </w:rPr>
      </w:pPr>
      <w:r w:rsidRPr="00E401A0">
        <w:rPr>
          <w:rFonts w:eastAsia="Times New Roman" w:cs="Arial"/>
          <w:b/>
          <w:bCs/>
          <w:color w:val="000000"/>
          <w:lang w:eastAsia="bg-BG"/>
        </w:rPr>
        <w:t xml:space="preserve">Чести: </w:t>
      </w:r>
      <w:r w:rsidRPr="00E401A0">
        <w:rPr>
          <w:rFonts w:eastAsia="Times New Roman" w:cs="Arial"/>
          <w:color w:val="000000"/>
          <w:lang w:eastAsia="bg-BG"/>
        </w:rPr>
        <w:t>умора</w:t>
      </w:r>
    </w:p>
    <w:p w14:paraId="18ED80E3" w14:textId="77777777" w:rsidR="00E401A0" w:rsidRPr="00E401A0" w:rsidRDefault="00E401A0" w:rsidP="00E401A0">
      <w:pPr>
        <w:spacing w:line="240" w:lineRule="auto"/>
        <w:rPr>
          <w:rFonts w:eastAsia="Times New Roman" w:cs="Arial"/>
        </w:rPr>
      </w:pPr>
      <w:r w:rsidRPr="00E401A0">
        <w:rPr>
          <w:rFonts w:eastAsia="Times New Roman" w:cs="Arial"/>
          <w:color w:val="000000"/>
          <w:lang w:eastAsia="bg-BG"/>
        </w:rPr>
        <w:t xml:space="preserve">Редки: Алергични реакции (напр. задух,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бронхоспазъм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хрипове,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ангионевротичен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едем) 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анафилактичен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шок.</w:t>
      </w:r>
    </w:p>
    <w:p w14:paraId="4E70273E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7637F0" w14:textId="43632ADD" w:rsidR="00E401A0" w:rsidRPr="00E401A0" w:rsidRDefault="00E401A0" w:rsidP="00E401A0">
      <w:pPr>
        <w:spacing w:line="240" w:lineRule="auto"/>
        <w:rPr>
          <w:rFonts w:eastAsia="Times New Roman" w:cs="Arial"/>
        </w:rPr>
      </w:pPr>
      <w:r w:rsidRPr="00E401A0">
        <w:rPr>
          <w:rFonts w:eastAsia="Times New Roman" w:cs="Arial"/>
          <w:color w:val="000000"/>
          <w:lang w:eastAsia="bg-BG"/>
        </w:rPr>
        <w:t xml:space="preserve">Симптоми на отнемане, които настъпват обикновено при спиране на лечението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опиоиди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като: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ажитираност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тревожност, нервност, безсъние,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хиперкинезия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тремор и стомашно-чревни симптоми. Други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симптоми,които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са докладвани много рядко, при спиране на лечението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са: пристъпи на паника, обърканост, халюцинации,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парестезия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тинитус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 необичайни симптоми, свързани с ЦНС (например объркване,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илюзии,объркване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на представата за себе си, откъсване от реалността, параноя).</w:t>
      </w:r>
    </w:p>
    <w:p w14:paraId="22662341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44CEA39" w14:textId="3B074EC8" w:rsidR="00E401A0" w:rsidRPr="00E401A0" w:rsidRDefault="00E401A0" w:rsidP="00E401A0">
      <w:pPr>
        <w:spacing w:line="240" w:lineRule="auto"/>
        <w:rPr>
          <w:rFonts w:eastAsia="Times New Roman" w:cs="Arial"/>
        </w:rPr>
      </w:pPr>
      <w:r w:rsidRPr="00E401A0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25C26619" w14:textId="77777777" w:rsidR="00E401A0" w:rsidRPr="00E401A0" w:rsidRDefault="00E401A0" w:rsidP="00E401A0">
      <w:pPr>
        <w:spacing w:line="240" w:lineRule="auto"/>
        <w:rPr>
          <w:rFonts w:eastAsia="Times New Roman" w:cs="Arial"/>
        </w:rPr>
      </w:pPr>
      <w:r w:rsidRPr="00E401A0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 Изпълнителна агенция по лекарствата ул. „Дамян Груев” № 8</w:t>
      </w:r>
    </w:p>
    <w:p w14:paraId="2DD39B4F" w14:textId="77777777" w:rsidR="00E401A0" w:rsidRPr="00E401A0" w:rsidRDefault="00E401A0" w:rsidP="00E401A0">
      <w:pPr>
        <w:spacing w:line="240" w:lineRule="auto"/>
        <w:rPr>
          <w:rFonts w:eastAsia="Times New Roman" w:cs="Arial"/>
        </w:rPr>
      </w:pPr>
      <w:r w:rsidRPr="00E401A0">
        <w:rPr>
          <w:rFonts w:eastAsia="Times New Roman" w:cs="Arial"/>
          <w:color w:val="000000"/>
          <w:lang w:eastAsia="bg-BG"/>
        </w:rPr>
        <w:t>1303 София</w:t>
      </w:r>
    </w:p>
    <w:p w14:paraId="29F9F174" w14:textId="77777777" w:rsidR="00E401A0" w:rsidRPr="00E401A0" w:rsidRDefault="00E401A0" w:rsidP="00E401A0">
      <w:pPr>
        <w:spacing w:line="240" w:lineRule="auto"/>
        <w:rPr>
          <w:rFonts w:eastAsia="Times New Roman" w:cs="Arial"/>
        </w:rPr>
      </w:pPr>
      <w:r w:rsidRPr="00E401A0">
        <w:rPr>
          <w:rFonts w:eastAsia="Times New Roman" w:cs="Arial"/>
          <w:color w:val="000000"/>
          <w:lang w:eastAsia="bg-BG"/>
        </w:rPr>
        <w:t>Тел.:+359 2 8903417</w:t>
      </w:r>
    </w:p>
    <w:p w14:paraId="009EDD0C" w14:textId="53035C03" w:rsidR="00E401A0" w:rsidRDefault="00E401A0" w:rsidP="00E401A0">
      <w:pPr>
        <w:spacing w:line="240" w:lineRule="auto"/>
        <w:rPr>
          <w:rFonts w:eastAsia="Times New Roman" w:cs="Arial"/>
        </w:rPr>
      </w:pPr>
      <w:r w:rsidRPr="00E401A0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E401A0">
          <w:rPr>
            <w:rFonts w:eastAsia="Times New Roman" w:cs="Arial"/>
            <w:color w:val="000000"/>
            <w:u w:val="single"/>
            <w:lang w:val="en-US"/>
          </w:rPr>
          <w:t>www.bda.bg</w:t>
        </w:r>
      </w:hyperlink>
    </w:p>
    <w:p w14:paraId="42EDC524" w14:textId="77777777" w:rsidR="00E401A0" w:rsidRPr="00E401A0" w:rsidRDefault="00E401A0" w:rsidP="00E401A0">
      <w:pPr>
        <w:spacing w:line="240" w:lineRule="auto"/>
        <w:rPr>
          <w:rFonts w:eastAsia="Times New Roman" w:cs="Arial"/>
        </w:rPr>
      </w:pPr>
    </w:p>
    <w:p w14:paraId="42DF9851" w14:textId="08706E80" w:rsidR="003765DC" w:rsidRDefault="002C50EE" w:rsidP="002B3C38">
      <w:pPr>
        <w:pStyle w:val="2"/>
      </w:pPr>
      <w:r>
        <w:t>4.9. Предозиране</w:t>
      </w:r>
    </w:p>
    <w:p w14:paraId="5C4BE46A" w14:textId="36B0DF0E" w:rsidR="00E401A0" w:rsidRDefault="00E401A0" w:rsidP="00E401A0"/>
    <w:p w14:paraId="27D60226" w14:textId="77777777" w:rsidR="00E401A0" w:rsidRPr="00E401A0" w:rsidRDefault="00E401A0" w:rsidP="00E401A0">
      <w:pPr>
        <w:pStyle w:val="3"/>
        <w:rPr>
          <w:rFonts w:eastAsia="Times New Roman"/>
          <w:b/>
          <w:bCs/>
          <w:i/>
          <w:iCs/>
        </w:rPr>
      </w:pPr>
      <w:r w:rsidRPr="00E401A0">
        <w:rPr>
          <w:rFonts w:eastAsia="Times New Roman"/>
          <w:b/>
          <w:bCs/>
          <w:i/>
          <w:iCs/>
          <w:lang w:eastAsia="bg-BG"/>
        </w:rPr>
        <w:t>Симптоми</w:t>
      </w:r>
    </w:p>
    <w:p w14:paraId="581D2499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По принцип при предозиране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се очакват симптоми, подобни на тези при другите централно действащи аналгетици (</w:t>
      </w:r>
      <w:proofErr w:type="spellStart"/>
      <w:r w:rsidRPr="00E401A0">
        <w:rPr>
          <w:rFonts w:eastAsia="Times New Roman" w:cs="Arial"/>
          <w:color w:val="000000"/>
          <w:lang w:eastAsia="bg-BG"/>
        </w:rPr>
        <w:t>опиоиди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). Тези симптоми включват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миоза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повръщане, сърдечно-съдов колапс, нарушения на съзнанието до кома, конвулсии и потискане на дишането до респираторен арест. Съобщава се и за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серотонинов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синдром.</w:t>
      </w:r>
    </w:p>
    <w:p w14:paraId="0E56CBCD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7111F5A5" w14:textId="333EE152" w:rsidR="00E401A0" w:rsidRPr="00E401A0" w:rsidRDefault="00E401A0" w:rsidP="00E401A0">
      <w:pPr>
        <w:pStyle w:val="3"/>
        <w:rPr>
          <w:rFonts w:eastAsia="Times New Roman"/>
          <w:b/>
          <w:bCs/>
          <w:i/>
          <w:iCs/>
        </w:rPr>
      </w:pPr>
      <w:r w:rsidRPr="00E401A0">
        <w:rPr>
          <w:rFonts w:eastAsia="Times New Roman"/>
          <w:b/>
          <w:bCs/>
          <w:i/>
          <w:iCs/>
          <w:lang w:eastAsia="bg-BG"/>
        </w:rPr>
        <w:t>Лечение</w:t>
      </w:r>
    </w:p>
    <w:p w14:paraId="5909A2A4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Прилагат се общите спешни мерки. Поддържа се отворен дихателния тракт (аспирация), поддържат се дишането и кръвообращението в зависимост от симптомите. Антидотът за респираторна депресия е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налоксон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. За лечение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конвулсите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трябва да се приложи интравенозно диазепам.</w:t>
      </w:r>
    </w:p>
    <w:p w14:paraId="72975904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1B15667" w14:textId="6B4C8BAD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401A0">
        <w:rPr>
          <w:rFonts w:eastAsia="Times New Roman" w:cs="Arial"/>
          <w:color w:val="000000"/>
          <w:lang w:eastAsia="bg-BG"/>
        </w:rPr>
        <w:lastRenderedPageBreak/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се елиминира минимално от серума чрез хемодиализа или хемофилтрация. Поради тази причина, самостоятелното приложение на хемодиализа или хемофилтрация не е подходящо за лечението на остро справяне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>.</w:t>
      </w:r>
    </w:p>
    <w:p w14:paraId="3A69E1EB" w14:textId="77777777" w:rsidR="00E401A0" w:rsidRPr="00E401A0" w:rsidRDefault="00E401A0" w:rsidP="00E401A0"/>
    <w:p w14:paraId="18EF4AFE" w14:textId="77777777" w:rsidR="002C50EE" w:rsidRDefault="002C50EE" w:rsidP="002C50EE">
      <w:pPr>
        <w:pStyle w:val="1"/>
      </w:pPr>
      <w:r>
        <w:t>5. ФАРМАКОЛОГИЧНИ СВОЙСТВА</w:t>
      </w:r>
    </w:p>
    <w:p w14:paraId="7635AD51" w14:textId="60217E10" w:rsidR="003765DC" w:rsidRDefault="002C50EE" w:rsidP="002B3C38">
      <w:pPr>
        <w:pStyle w:val="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7FEE1D07" w14:textId="6CDC80FD" w:rsidR="00E401A0" w:rsidRDefault="00E401A0" w:rsidP="00E401A0"/>
    <w:p w14:paraId="6455C8D1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401A0">
        <w:rPr>
          <w:rFonts w:eastAsia="Times New Roman" w:cs="Arial"/>
          <w:b/>
          <w:bCs/>
          <w:color w:val="000000"/>
          <w:lang w:eastAsia="bg-BG"/>
        </w:rPr>
        <w:t>Фармакотерапевтнчна</w:t>
      </w:r>
      <w:proofErr w:type="spellEnd"/>
      <w:r w:rsidRPr="00E401A0">
        <w:rPr>
          <w:rFonts w:eastAsia="Times New Roman" w:cs="Arial"/>
          <w:b/>
          <w:bCs/>
          <w:color w:val="000000"/>
          <w:lang w:eastAsia="bg-BG"/>
        </w:rPr>
        <w:t xml:space="preserve"> група: </w:t>
      </w:r>
      <w:proofErr w:type="spellStart"/>
      <w:r w:rsidRPr="00E401A0">
        <w:rPr>
          <w:rFonts w:eastAsia="Times New Roman" w:cs="Arial"/>
          <w:b/>
          <w:bCs/>
          <w:color w:val="000000"/>
          <w:lang w:eastAsia="bg-BG"/>
        </w:rPr>
        <w:t>опиоидни</w:t>
      </w:r>
      <w:proofErr w:type="spellEnd"/>
      <w:r w:rsidRPr="00E401A0">
        <w:rPr>
          <w:rFonts w:eastAsia="Times New Roman" w:cs="Arial"/>
          <w:b/>
          <w:bCs/>
          <w:color w:val="000000"/>
          <w:lang w:eastAsia="bg-BG"/>
        </w:rPr>
        <w:t xml:space="preserve"> аналгетици. АТС код: </w:t>
      </w:r>
      <w:r w:rsidRPr="00E401A0">
        <w:rPr>
          <w:rFonts w:eastAsia="Times New Roman" w:cs="Arial"/>
          <w:b/>
          <w:bCs/>
          <w:color w:val="000000"/>
          <w:lang w:val="en-US"/>
        </w:rPr>
        <w:t>N02AX02</w:t>
      </w:r>
    </w:p>
    <w:p w14:paraId="624D5608" w14:textId="4769896C" w:rsidR="00E401A0" w:rsidRPr="00E401A0" w:rsidRDefault="00E401A0" w:rsidP="00E401A0">
      <w:pPr>
        <w:rPr>
          <w:rFonts w:eastAsia="Times New Roman" w:cs="Arial"/>
          <w:color w:val="000000"/>
          <w:lang w:eastAsia="bg-BG"/>
        </w:rPr>
      </w:pP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е централно действащ аналгетик. Той е неселективен чист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агонист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на </w:t>
      </w:r>
      <w:r w:rsidRPr="00E401A0">
        <w:rPr>
          <w:rFonts w:eastAsia="Times New Roman" w:cs="Arial"/>
          <w:color w:val="000000"/>
          <w:lang w:val="en-US"/>
        </w:rPr>
        <w:t>μ</w:t>
      </w:r>
      <w:r w:rsidRPr="00E401A0">
        <w:rPr>
          <w:rFonts w:eastAsia="Times New Roman" w:cs="Arial"/>
          <w:color w:val="000000"/>
          <w:lang w:eastAsia="bg-BG"/>
        </w:rPr>
        <w:t xml:space="preserve">, </w:t>
      </w:r>
      <w:r w:rsidRPr="00E401A0">
        <w:rPr>
          <w:rFonts w:eastAsia="Times New Roman" w:cs="Arial"/>
          <w:color w:val="000000"/>
          <w:lang w:val="en-US"/>
        </w:rPr>
        <w:t>δ</w:t>
      </w:r>
      <w:r w:rsidRPr="00E401A0">
        <w:rPr>
          <w:rFonts w:eastAsia="Times New Roman" w:cs="Arial"/>
          <w:color w:val="000000"/>
          <w:lang w:eastAsia="bg-BG"/>
        </w:rPr>
        <w:t xml:space="preserve"> и к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опиатните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рецептори с по-голям афинитет към </w:t>
      </w:r>
      <w:r w:rsidRPr="00E401A0">
        <w:rPr>
          <w:rFonts w:eastAsia="Times New Roman" w:cs="Arial"/>
          <w:color w:val="000000"/>
          <w:lang w:val="en-US"/>
        </w:rPr>
        <w:t>μ</w:t>
      </w:r>
      <w:r w:rsidRPr="00E401A0">
        <w:rPr>
          <w:rFonts w:eastAsia="Times New Roman" w:cs="Arial"/>
          <w:color w:val="000000"/>
          <w:lang w:eastAsia="bg-BG"/>
        </w:rPr>
        <w:t xml:space="preserve"> рецепторите. Други механизми, допринасящи за неговия аналгетичен ефект са инхибиране на обратното захващане на-</w:t>
      </w:r>
      <w:proofErr w:type="spellStart"/>
      <w:r w:rsidRPr="00E401A0">
        <w:rPr>
          <w:rFonts w:eastAsia="Times New Roman" w:cs="Arial"/>
          <w:color w:val="000000"/>
          <w:lang w:eastAsia="bg-BG"/>
        </w:rPr>
        <w:t>норадреналина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в невроните и засилване на освобождаването на 5НТ.</w:t>
      </w:r>
    </w:p>
    <w:p w14:paraId="36C9C2E9" w14:textId="754733D7" w:rsidR="00E401A0" w:rsidRPr="00E401A0" w:rsidRDefault="00E401A0" w:rsidP="00E401A0">
      <w:pPr>
        <w:rPr>
          <w:rFonts w:eastAsia="Times New Roman" w:cs="Arial"/>
          <w:color w:val="000000"/>
          <w:lang w:eastAsia="bg-BG"/>
        </w:rPr>
      </w:pPr>
    </w:p>
    <w:p w14:paraId="01935CC6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b/>
          <w:bCs/>
          <w:color w:val="000000"/>
          <w:lang w:eastAsia="bg-BG"/>
        </w:rPr>
        <w:t>Педиатрична популация</w:t>
      </w:r>
    </w:p>
    <w:p w14:paraId="0D5ABA53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Ефектите от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ентерално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 парентерално приложение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са изследвани в клинични проучвания, включващи повече от 2000 педиатрични пациенти във възрастовата граница от новородени до 17-годишна възраст. Показанията за лечение на болка, изследвани в тези проучвания, включват болка след операция (основно коремна), след хирургична екстракция на зъб, в резултат на фрактури, изгаряния и травми, както и други състояния с наличие на болка, които е вероятно да изискват лечение с аналгетици в продължение на поне 7 дни.</w:t>
      </w:r>
    </w:p>
    <w:p w14:paraId="28483493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CAAC3F0" w14:textId="205642AA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Установено е, че в единични дози до 2 </w:t>
      </w:r>
      <w:r w:rsidRPr="00E401A0">
        <w:rPr>
          <w:rFonts w:eastAsia="Times New Roman" w:cs="Arial"/>
          <w:color w:val="000000"/>
          <w:lang w:val="en-US"/>
        </w:rPr>
        <w:t xml:space="preserve">mg/kg </w:t>
      </w:r>
      <w:r w:rsidRPr="00E401A0">
        <w:rPr>
          <w:rFonts w:eastAsia="Times New Roman" w:cs="Arial"/>
          <w:color w:val="000000"/>
          <w:lang w:eastAsia="bg-BG"/>
        </w:rPr>
        <w:t xml:space="preserve">или многократни дози до 8 </w:t>
      </w:r>
      <w:r w:rsidRPr="00E401A0">
        <w:rPr>
          <w:rFonts w:eastAsia="Times New Roman" w:cs="Arial"/>
          <w:color w:val="000000"/>
          <w:lang w:val="en-US"/>
        </w:rPr>
        <w:t xml:space="preserve">mg/kg </w:t>
      </w:r>
      <w:r w:rsidRPr="00E401A0">
        <w:rPr>
          <w:rFonts w:eastAsia="Times New Roman" w:cs="Arial"/>
          <w:color w:val="000000"/>
          <w:lang w:eastAsia="bg-BG"/>
        </w:rPr>
        <w:t xml:space="preserve">на ден (максимум 400 </w:t>
      </w:r>
      <w:r w:rsidRPr="00E401A0">
        <w:rPr>
          <w:rFonts w:eastAsia="Times New Roman" w:cs="Arial"/>
          <w:color w:val="000000"/>
          <w:lang w:val="en-US"/>
        </w:rPr>
        <w:t xml:space="preserve">mg </w:t>
      </w:r>
      <w:r w:rsidRPr="00E401A0">
        <w:rPr>
          <w:rFonts w:eastAsia="Times New Roman" w:cs="Arial"/>
          <w:color w:val="000000"/>
          <w:lang w:eastAsia="bg-BG"/>
        </w:rPr>
        <w:t xml:space="preserve">на ден), ефикасността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е по-голяма от тази на плацебо и по- голяма или равна с тази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парацетамол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налбуфин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петидин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или ниски дози морфин.</w:t>
      </w:r>
    </w:p>
    <w:p w14:paraId="479CBF15" w14:textId="512146F0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Проведените проучвания потвърждават ефикасността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. Профилът на безопасност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е сходен при възрастни и педиатрични пациенти над 1 година (виж точка 4.2).</w:t>
      </w:r>
    </w:p>
    <w:p w14:paraId="2A148E32" w14:textId="77777777" w:rsidR="00E401A0" w:rsidRPr="00E401A0" w:rsidRDefault="00E401A0" w:rsidP="00E401A0"/>
    <w:p w14:paraId="4D7DA0E3" w14:textId="04AB488C" w:rsidR="004D4D6B" w:rsidRDefault="002C50EE" w:rsidP="002B3C38">
      <w:pPr>
        <w:pStyle w:val="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3A0AD0CB" w14:textId="4BF8BC7C" w:rsidR="00E401A0" w:rsidRDefault="00E401A0" w:rsidP="00E401A0"/>
    <w:p w14:paraId="74E02B92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r w:rsidRPr="00E401A0">
        <w:rPr>
          <w:rStyle w:val="30"/>
          <w:b/>
          <w:bCs/>
          <w:u w:val="single"/>
          <w:lang w:eastAsia="bg-BG"/>
        </w:rPr>
        <w:t>Абсорбция</w:t>
      </w:r>
      <w:r w:rsidRPr="00E401A0">
        <w:rPr>
          <w:rFonts w:eastAsia="Times New Roman" w:cs="Arial"/>
          <w:b/>
          <w:bCs/>
          <w:color w:val="000000"/>
          <w:u w:val="single"/>
          <w:lang w:eastAsia="bg-BG"/>
        </w:rPr>
        <w:t>:</w:t>
      </w:r>
      <w:r w:rsidRPr="00E401A0">
        <w:rPr>
          <w:rFonts w:eastAsia="Times New Roman" w:cs="Arial"/>
          <w:b/>
          <w:bCs/>
          <w:color w:val="000000"/>
          <w:lang w:eastAsia="bg-BG"/>
        </w:rPr>
        <w:t xml:space="preserve"> </w:t>
      </w:r>
    </w:p>
    <w:p w14:paraId="748E5465" w14:textId="45735712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след прилагане на единична доза,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се абсорбира почти напълно и абсолютната бионаличност е около 70%. Разликата между абсорбираното количество и наличното непроменено лекарство най-вероятно се дължи на ниския </w:t>
      </w:r>
      <w:r w:rsidRPr="00E401A0">
        <w:rPr>
          <w:rFonts w:eastAsia="Times New Roman" w:cs="Arial"/>
          <w:color w:val="000000"/>
          <w:lang w:val="en-US"/>
        </w:rPr>
        <w:t xml:space="preserve">first-pass </w:t>
      </w:r>
      <w:r w:rsidRPr="00E401A0">
        <w:rPr>
          <w:rFonts w:eastAsia="Times New Roman" w:cs="Arial"/>
          <w:color w:val="000000"/>
          <w:lang w:eastAsia="bg-BG"/>
        </w:rPr>
        <w:t>метаболизъм, който не надвишава 30% след перорален прием.</w:t>
      </w:r>
    </w:p>
    <w:p w14:paraId="689B36E1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6A15127E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r w:rsidRPr="00E401A0">
        <w:rPr>
          <w:rStyle w:val="30"/>
          <w:b/>
          <w:bCs/>
          <w:u w:val="single"/>
          <w:lang w:eastAsia="bg-BG"/>
        </w:rPr>
        <w:t>Разпределение</w:t>
      </w:r>
      <w:r w:rsidRPr="00E401A0">
        <w:rPr>
          <w:rFonts w:eastAsia="Times New Roman" w:cs="Arial"/>
          <w:b/>
          <w:bCs/>
          <w:color w:val="000000"/>
          <w:u w:val="single"/>
          <w:lang w:eastAsia="bg-BG"/>
        </w:rPr>
        <w:t>:</w:t>
      </w:r>
      <w:r w:rsidRPr="00E401A0">
        <w:rPr>
          <w:rFonts w:eastAsia="Times New Roman" w:cs="Arial"/>
          <w:b/>
          <w:bCs/>
          <w:color w:val="000000"/>
          <w:lang w:eastAsia="bg-BG"/>
        </w:rPr>
        <w:t xml:space="preserve"> </w:t>
      </w:r>
    </w:p>
    <w:p w14:paraId="1348A6BF" w14:textId="25954216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>данните говорят за ефективно разпределение и проявен голям афинитет към свързване с тъканите, с оглед на нивата на обема на разпределение, които надхвърлят нивото на телесния обем. Нивата на свързване със серумните протеини са 4 % - 20%.</w:t>
      </w:r>
    </w:p>
    <w:p w14:paraId="5C0D6A23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7CAC3F0F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proofErr w:type="spellStart"/>
      <w:r w:rsidRPr="00E401A0">
        <w:rPr>
          <w:rStyle w:val="30"/>
          <w:b/>
          <w:bCs/>
          <w:u w:val="single"/>
          <w:lang w:eastAsia="bg-BG"/>
        </w:rPr>
        <w:t>Биотрадеформация</w:t>
      </w:r>
      <w:proofErr w:type="spellEnd"/>
      <w:r w:rsidRPr="00E401A0">
        <w:rPr>
          <w:rFonts w:eastAsia="Times New Roman" w:cs="Arial"/>
          <w:b/>
          <w:bCs/>
          <w:color w:val="000000"/>
          <w:u w:val="single"/>
          <w:lang w:eastAsia="bg-BG"/>
        </w:rPr>
        <w:t>:</w:t>
      </w:r>
      <w:r w:rsidRPr="00E401A0">
        <w:rPr>
          <w:rFonts w:eastAsia="Times New Roman" w:cs="Arial"/>
          <w:b/>
          <w:bCs/>
          <w:color w:val="000000"/>
          <w:lang w:eastAsia="bg-BG"/>
        </w:rPr>
        <w:t xml:space="preserve"> </w:t>
      </w:r>
    </w:p>
    <w:p w14:paraId="6531B132" w14:textId="56F47EAB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изглежда, че чернодробният ензим </w:t>
      </w:r>
      <w:r w:rsidRPr="00E401A0">
        <w:rPr>
          <w:rFonts w:eastAsia="Times New Roman" w:cs="Arial"/>
          <w:color w:val="000000"/>
          <w:lang w:val="en-US"/>
        </w:rPr>
        <w:t xml:space="preserve">CYP2D6 </w:t>
      </w:r>
      <w:r w:rsidRPr="00E401A0">
        <w:rPr>
          <w:rFonts w:eastAsia="Times New Roman" w:cs="Arial"/>
          <w:color w:val="000000"/>
          <w:lang w:eastAsia="bg-BG"/>
        </w:rPr>
        <w:t>е отговорен на първо място за формацията О-</w:t>
      </w:r>
      <w:proofErr w:type="spellStart"/>
      <w:r w:rsidRPr="00E401A0">
        <w:rPr>
          <w:rFonts w:eastAsia="Times New Roman" w:cs="Arial"/>
          <w:color w:val="000000"/>
          <w:lang w:eastAsia="bg-BG"/>
        </w:rPr>
        <w:t>дезметилтрамадол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докато формацията </w:t>
      </w:r>
      <w:r w:rsidRPr="00E401A0">
        <w:rPr>
          <w:rFonts w:eastAsia="Times New Roman" w:cs="Arial"/>
          <w:color w:val="000000"/>
          <w:lang w:val="en-US"/>
        </w:rPr>
        <w:t>N</w:t>
      </w:r>
      <w:r w:rsidRPr="00E401A0">
        <w:rPr>
          <w:rFonts w:eastAsia="Times New Roman" w:cs="Arial"/>
          <w:color w:val="000000"/>
          <w:lang w:eastAsia="bg-BG"/>
        </w:rPr>
        <w:t>-</w:t>
      </w:r>
      <w:proofErr w:type="spellStart"/>
      <w:r w:rsidRPr="00E401A0">
        <w:rPr>
          <w:rFonts w:eastAsia="Times New Roman" w:cs="Arial"/>
          <w:color w:val="000000"/>
          <w:lang w:eastAsia="bg-BG"/>
        </w:rPr>
        <w:t>дезметилтрамадол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се катализира чрез </w:t>
      </w:r>
      <w:r w:rsidRPr="00E401A0">
        <w:rPr>
          <w:rFonts w:eastAsia="Times New Roman" w:cs="Arial"/>
          <w:color w:val="000000"/>
          <w:lang w:val="en-US"/>
        </w:rPr>
        <w:t xml:space="preserve">CYP2D6 </w:t>
      </w:r>
      <w:r w:rsidRPr="00E401A0">
        <w:rPr>
          <w:rFonts w:eastAsia="Times New Roman" w:cs="Arial"/>
          <w:color w:val="000000"/>
          <w:lang w:eastAsia="bg-BG"/>
        </w:rPr>
        <w:t xml:space="preserve">и </w:t>
      </w:r>
      <w:r w:rsidRPr="00E401A0">
        <w:rPr>
          <w:rFonts w:eastAsia="Times New Roman" w:cs="Arial"/>
          <w:color w:val="000000"/>
          <w:lang w:val="en-US"/>
        </w:rPr>
        <w:t xml:space="preserve">CYP3A4. </w:t>
      </w:r>
      <w:r w:rsidRPr="00E401A0">
        <w:rPr>
          <w:rFonts w:eastAsia="Times New Roman" w:cs="Arial"/>
          <w:color w:val="000000"/>
          <w:lang w:eastAsia="bg-BG"/>
        </w:rPr>
        <w:t xml:space="preserve">Възможно е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конюгиране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на О-</w:t>
      </w:r>
      <w:proofErr w:type="spellStart"/>
      <w:r w:rsidRPr="00E401A0">
        <w:rPr>
          <w:rFonts w:eastAsia="Times New Roman" w:cs="Arial"/>
          <w:color w:val="000000"/>
          <w:lang w:eastAsia="bg-BG"/>
        </w:rPr>
        <w:t>деметилираните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продукти с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глюкуроновата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киселина. Само О-</w:t>
      </w:r>
      <w:proofErr w:type="spellStart"/>
      <w:r w:rsidRPr="00E401A0">
        <w:rPr>
          <w:rFonts w:eastAsia="Times New Roman" w:cs="Arial"/>
          <w:color w:val="000000"/>
          <w:lang w:eastAsia="bg-BG"/>
        </w:rPr>
        <w:t>десметилираният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е фармакологично активен. </w:t>
      </w:r>
      <w:r w:rsidRPr="00E401A0">
        <w:rPr>
          <w:rFonts w:eastAsia="Times New Roman" w:cs="Arial"/>
          <w:color w:val="000000"/>
          <w:lang w:eastAsia="bg-BG"/>
        </w:rPr>
        <w:lastRenderedPageBreak/>
        <w:t xml:space="preserve">Приблизително 5-10% от бялата раса имат бавен метаболизъм и намалена активност на ензима </w:t>
      </w:r>
      <w:r w:rsidRPr="00E401A0">
        <w:rPr>
          <w:rFonts w:eastAsia="Times New Roman" w:cs="Arial"/>
          <w:color w:val="000000"/>
          <w:lang w:val="en-US"/>
        </w:rPr>
        <w:t xml:space="preserve">CYP2D6. </w:t>
      </w:r>
      <w:r w:rsidRPr="00E401A0">
        <w:rPr>
          <w:rFonts w:eastAsia="Times New Roman" w:cs="Arial"/>
          <w:color w:val="000000"/>
          <w:lang w:eastAsia="bg-BG"/>
        </w:rPr>
        <w:t xml:space="preserve">Серумните концентрации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са по-високи при хората с по-бавен метаболизъм, отколкото при тези с по-бърз, докато концентрациите на О-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дезметилтрамадол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са по-ниски.</w:t>
      </w:r>
    </w:p>
    <w:p w14:paraId="446DCB4F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E67B3C4" w14:textId="19895425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Инхибирането на един или и на двата вида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изоензима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</w:t>
      </w:r>
      <w:r w:rsidRPr="00E401A0">
        <w:rPr>
          <w:rFonts w:eastAsia="Times New Roman" w:cs="Arial"/>
          <w:color w:val="000000"/>
          <w:lang w:val="en-US"/>
        </w:rPr>
        <w:t xml:space="preserve">YP3A4 </w:t>
      </w:r>
      <w:r w:rsidRPr="00E401A0">
        <w:rPr>
          <w:rFonts w:eastAsia="Times New Roman" w:cs="Arial"/>
          <w:color w:val="000000"/>
          <w:lang w:eastAsia="bg-BG"/>
        </w:rPr>
        <w:t xml:space="preserve">(напр.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кетоконазол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еритромицин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) и </w:t>
      </w:r>
      <w:r w:rsidRPr="00E401A0">
        <w:rPr>
          <w:rFonts w:eastAsia="Times New Roman" w:cs="Arial"/>
          <w:color w:val="000000"/>
          <w:lang w:val="en-US"/>
        </w:rPr>
        <w:t xml:space="preserve">CYP2D6 </w:t>
      </w:r>
      <w:r w:rsidRPr="00E401A0">
        <w:rPr>
          <w:rFonts w:eastAsia="Times New Roman" w:cs="Arial"/>
          <w:color w:val="000000"/>
          <w:lang w:eastAsia="bg-BG"/>
        </w:rPr>
        <w:t xml:space="preserve">(напр.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флуоксетин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пароксетин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хинидин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ритонавир) участващи в биотрансформацията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може да повлияе на плазмените концентрации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 неговите активни метаболити. Същото важи и за ензимните индуктори (напр.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рифампицин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фенитоин</w:t>
      </w:r>
      <w:proofErr w:type="spellEnd"/>
      <w:r w:rsidRPr="00E401A0">
        <w:rPr>
          <w:rFonts w:eastAsia="Times New Roman" w:cs="Arial"/>
          <w:color w:val="000000"/>
          <w:lang w:eastAsia="bg-BG"/>
        </w:rPr>
        <w:t>).</w:t>
      </w:r>
    </w:p>
    <w:p w14:paraId="529782FF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2B682F8F" w14:textId="30E16975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Style w:val="30"/>
          <w:b/>
          <w:bCs/>
          <w:u w:val="single"/>
          <w:lang w:eastAsia="bg-BG"/>
        </w:rPr>
        <w:t>Елиминиране</w:t>
      </w:r>
      <w:r w:rsidRPr="00E401A0">
        <w:rPr>
          <w:rFonts w:eastAsia="Times New Roman" w:cs="Arial"/>
          <w:b/>
          <w:bCs/>
          <w:color w:val="000000"/>
          <w:u w:val="single"/>
          <w:lang w:eastAsia="bg-BG"/>
        </w:rPr>
        <w:t>:</w:t>
      </w:r>
    </w:p>
    <w:p w14:paraId="56F5541E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 неговите метаболити се елиминират почти изцяло чрез бъбреците. Кумулативната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уринарна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екскреция съставлява 90% от общата радиоактивност на приложената доза. Времето на полуживот </w:t>
      </w:r>
      <w:r w:rsidRPr="00E401A0">
        <w:rPr>
          <w:rFonts w:eastAsia="Times New Roman" w:cs="Arial"/>
          <w:color w:val="000000"/>
          <w:lang w:val="en-US"/>
        </w:rPr>
        <w:t>1</w:t>
      </w:r>
      <w:r w:rsidRPr="00E401A0">
        <w:rPr>
          <w:rFonts w:eastAsia="Times New Roman" w:cs="Arial"/>
          <w:color w:val="000000"/>
          <w:lang w:eastAsia="bg-BG"/>
        </w:rPr>
        <w:t xml:space="preserve">1/2, независимо от начина на приложение, е около 6 часа.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Полуживотьт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на О-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дезметилтрамадол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е сравним с този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>.</w:t>
      </w:r>
    </w:p>
    <w:p w14:paraId="59A1D7D2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CA8F491" w14:textId="5C483839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При пациенти над 75 години </w:t>
      </w:r>
      <w:r w:rsidRPr="00E401A0">
        <w:rPr>
          <w:rFonts w:eastAsia="Times New Roman" w:cs="Arial"/>
          <w:color w:val="000000"/>
          <w:lang w:val="en-US"/>
        </w:rPr>
        <w:t>t</w:t>
      </w:r>
      <w:r w:rsidRPr="00E401A0">
        <w:rPr>
          <w:rFonts w:eastAsia="Times New Roman" w:cs="Arial"/>
          <w:color w:val="000000"/>
          <w:vertAlign w:val="subscript"/>
          <w:lang w:val="en-US"/>
        </w:rPr>
        <w:t>1/2</w:t>
      </w:r>
      <w:r w:rsidRPr="00E401A0">
        <w:rPr>
          <w:rFonts w:eastAsia="Times New Roman" w:cs="Arial"/>
          <w:color w:val="000000"/>
          <w:lang w:eastAsia="bg-BG"/>
        </w:rPr>
        <w:t xml:space="preserve">може да се удължи около 1,4 пъти. Трябва да се очаква едно несъществено удължаване на времето на полуживот при нарушения на чернодробната и бъбречната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функция.При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пациенти с тежки органни нарушения (напр. цироза,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клирънс &lt; 5 </w:t>
      </w:r>
      <w:r w:rsidRPr="00E401A0">
        <w:rPr>
          <w:rFonts w:eastAsia="Times New Roman" w:cs="Arial"/>
          <w:color w:val="000000"/>
          <w:lang w:val="en-US"/>
        </w:rPr>
        <w:t xml:space="preserve">ml/min) </w:t>
      </w:r>
      <w:r w:rsidRPr="00E401A0">
        <w:rPr>
          <w:rFonts w:eastAsia="Times New Roman" w:cs="Arial"/>
          <w:color w:val="000000"/>
          <w:lang w:eastAsia="bg-BG"/>
        </w:rPr>
        <w:t>времето на полуживот се удължава 2-3 пъти.</w:t>
      </w:r>
    </w:p>
    <w:p w14:paraId="60EC1756" w14:textId="77777777" w:rsidR="00E401A0" w:rsidRPr="00E401A0" w:rsidRDefault="00E401A0" w:rsidP="00E401A0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18BB2736" w14:textId="367FD3C6" w:rsidR="00E401A0" w:rsidRPr="00E401A0" w:rsidRDefault="00E401A0" w:rsidP="00E401A0">
      <w:pPr>
        <w:pStyle w:val="3"/>
        <w:rPr>
          <w:rFonts w:eastAsia="Times New Roman"/>
          <w:b/>
          <w:bCs/>
          <w:u w:val="single"/>
        </w:rPr>
      </w:pPr>
      <w:r w:rsidRPr="00E401A0">
        <w:rPr>
          <w:rFonts w:eastAsia="Times New Roman"/>
          <w:b/>
          <w:bCs/>
          <w:u w:val="single"/>
          <w:lang w:eastAsia="bg-BG"/>
        </w:rPr>
        <w:t>Линейност/</w:t>
      </w:r>
      <w:proofErr w:type="spellStart"/>
      <w:r w:rsidRPr="00E401A0">
        <w:rPr>
          <w:rFonts w:eastAsia="Times New Roman"/>
          <w:b/>
          <w:bCs/>
          <w:u w:val="single"/>
          <w:lang w:eastAsia="bg-BG"/>
        </w:rPr>
        <w:t>Нелинейиост</w:t>
      </w:r>
      <w:proofErr w:type="spellEnd"/>
      <w:r w:rsidRPr="00E401A0">
        <w:rPr>
          <w:rFonts w:eastAsia="Times New Roman"/>
          <w:b/>
          <w:bCs/>
          <w:u w:val="single"/>
          <w:lang w:eastAsia="bg-BG"/>
        </w:rPr>
        <w:t>:</w:t>
      </w:r>
    </w:p>
    <w:p w14:paraId="2063B87E" w14:textId="76FC1397" w:rsidR="00E401A0" w:rsidRPr="00E401A0" w:rsidRDefault="00E401A0" w:rsidP="00E401A0">
      <w:pPr>
        <w:rPr>
          <w:rFonts w:eastAsia="Times New Roman" w:cs="Arial"/>
          <w:color w:val="000000"/>
          <w:lang w:eastAsia="bg-BG"/>
        </w:rPr>
      </w:pP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показва линеен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фармакокинетичен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профил в областта на терапевтично дозиране Зависимостта между серумната концентрация и аналгетичния ефект е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дозозависима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, но показва големи различия в изолирани случаи. Серумна концентрация от 100-300 </w:t>
      </w:r>
      <w:r w:rsidRPr="00E401A0">
        <w:rPr>
          <w:rFonts w:eastAsia="Times New Roman" w:cs="Arial"/>
          <w:color w:val="000000"/>
          <w:lang w:val="en-US"/>
        </w:rPr>
        <w:t xml:space="preserve">ng/ml </w:t>
      </w:r>
      <w:r w:rsidRPr="00E401A0">
        <w:rPr>
          <w:rFonts w:eastAsia="Times New Roman" w:cs="Arial"/>
          <w:color w:val="000000"/>
          <w:lang w:eastAsia="bg-BG"/>
        </w:rPr>
        <w:t>е обикновено ефективна.</w:t>
      </w:r>
    </w:p>
    <w:p w14:paraId="3F886C7C" w14:textId="6FB6A8C9" w:rsidR="00E401A0" w:rsidRDefault="00E401A0" w:rsidP="00E401A0">
      <w:pPr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528B2937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b/>
          <w:bCs/>
          <w:color w:val="000000"/>
          <w:u w:val="single"/>
          <w:lang w:eastAsia="bg-BG"/>
        </w:rPr>
        <w:t xml:space="preserve">Педиатрична </w:t>
      </w:r>
      <w:proofErr w:type="spellStart"/>
      <w:r w:rsidRPr="00E401A0">
        <w:rPr>
          <w:rFonts w:eastAsia="Times New Roman" w:cs="Arial"/>
          <w:b/>
          <w:bCs/>
          <w:color w:val="000000"/>
          <w:u w:val="single"/>
          <w:lang w:eastAsia="bg-BG"/>
        </w:rPr>
        <w:t>популапия</w:t>
      </w:r>
      <w:proofErr w:type="spellEnd"/>
    </w:p>
    <w:p w14:paraId="3FB91565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Установено е , че фармакокинетиката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 </w:t>
      </w:r>
      <w:r w:rsidRPr="00E401A0">
        <w:rPr>
          <w:rFonts w:eastAsia="Times New Roman" w:cs="Arial"/>
          <w:color w:val="000000"/>
          <w:lang w:val="en-US"/>
        </w:rPr>
        <w:t>O</w:t>
      </w:r>
      <w:r w:rsidRPr="00E401A0">
        <w:rPr>
          <w:rFonts w:eastAsia="Times New Roman" w:cs="Arial"/>
          <w:color w:val="000000"/>
          <w:lang w:eastAsia="bg-BG"/>
        </w:rPr>
        <w:t>-</w:t>
      </w:r>
      <w:proofErr w:type="spellStart"/>
      <w:r w:rsidRPr="00E401A0">
        <w:rPr>
          <w:rFonts w:eastAsia="Times New Roman" w:cs="Arial"/>
          <w:color w:val="000000"/>
          <w:lang w:eastAsia="bg-BG"/>
        </w:rPr>
        <w:t>дезметилтрамадол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след перорален прием както на еднократна доза, така и на многократни дози при деца на възраст между 1 и 16 години е сходна с тази при възрастни, когато дозата се определя спрямо телесното тегло, но е с по- голяма вариабилност при деца на 8 или по-малко години.</w:t>
      </w:r>
    </w:p>
    <w:p w14:paraId="61374769" w14:textId="77777777" w:rsidR="00E401A0" w:rsidRPr="00E401A0" w:rsidRDefault="00E401A0" w:rsidP="00E401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A76AB8B" w14:textId="15FE8B6B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eastAsia="bg-BG"/>
        </w:rPr>
        <w:t xml:space="preserve">При деца под 1-годишна възраст, фармакокинетиката на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 О-</w:t>
      </w:r>
      <w:proofErr w:type="spellStart"/>
      <w:r w:rsidRPr="00E401A0">
        <w:rPr>
          <w:rFonts w:eastAsia="Times New Roman" w:cs="Arial"/>
          <w:color w:val="000000"/>
          <w:lang w:eastAsia="bg-BG"/>
        </w:rPr>
        <w:t>дезметилтрамадол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е изследвана, но не е напълно установена. Информация от проучвания, включващи тази възрастова група, показва, че скоростта на образуване на О-</w:t>
      </w:r>
      <w:proofErr w:type="spellStart"/>
      <w:r w:rsidRPr="00E401A0">
        <w:rPr>
          <w:rFonts w:eastAsia="Times New Roman" w:cs="Arial"/>
          <w:color w:val="000000"/>
          <w:lang w:eastAsia="bg-BG"/>
        </w:rPr>
        <w:t>дезметилтрамадол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чрез </w:t>
      </w:r>
      <w:r w:rsidRPr="00E401A0">
        <w:rPr>
          <w:rFonts w:eastAsia="Times New Roman" w:cs="Arial"/>
          <w:color w:val="000000"/>
          <w:lang w:val="en-US"/>
        </w:rPr>
        <w:t xml:space="preserve">CYP2D6 </w:t>
      </w:r>
      <w:r w:rsidRPr="00E401A0">
        <w:rPr>
          <w:rFonts w:eastAsia="Times New Roman" w:cs="Arial"/>
          <w:color w:val="000000"/>
          <w:lang w:eastAsia="bg-BG"/>
        </w:rPr>
        <w:t xml:space="preserve">се повишава непрекъснато при новородени, като се приема, че нивата на активност на </w:t>
      </w:r>
      <w:r w:rsidRPr="00E401A0">
        <w:rPr>
          <w:rFonts w:eastAsia="Times New Roman" w:cs="Arial"/>
          <w:color w:val="000000"/>
          <w:lang w:val="en-US"/>
        </w:rPr>
        <w:t xml:space="preserve">CYP2D6 </w:t>
      </w:r>
      <w:r w:rsidRPr="00E401A0">
        <w:rPr>
          <w:rFonts w:eastAsia="Times New Roman" w:cs="Arial"/>
          <w:color w:val="000000"/>
          <w:lang w:eastAsia="bg-BG"/>
        </w:rPr>
        <w:t xml:space="preserve">при възрастните пациенти, се достигат на около 1-годишна възраст. В допълнение, недоразвитите система за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глюкорониране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и бъбречна функция могат да доведат до бавно елиминиране и акумулиране на О-</w:t>
      </w:r>
      <w:proofErr w:type="spellStart"/>
      <w:r w:rsidRPr="00E401A0">
        <w:rPr>
          <w:rFonts w:eastAsia="Times New Roman" w:cs="Arial"/>
          <w:color w:val="000000"/>
          <w:lang w:eastAsia="bg-BG"/>
        </w:rPr>
        <w:t>дезметилтрамадол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при деца под 1-годишна възраст.</w:t>
      </w:r>
    </w:p>
    <w:p w14:paraId="4D761BC2" w14:textId="77777777" w:rsidR="00E401A0" w:rsidRPr="00E401A0" w:rsidRDefault="00E401A0" w:rsidP="00E401A0"/>
    <w:p w14:paraId="1BDBE06B" w14:textId="7C3FC967" w:rsidR="004D4D6B" w:rsidRDefault="002C50EE" w:rsidP="002B3C38">
      <w:pPr>
        <w:pStyle w:val="2"/>
      </w:pPr>
      <w:r>
        <w:t>5.3. Предклинични данни за безопасност</w:t>
      </w:r>
    </w:p>
    <w:p w14:paraId="361E5CF2" w14:textId="45E07260" w:rsidR="00E401A0" w:rsidRDefault="00E401A0" w:rsidP="00E401A0"/>
    <w:p w14:paraId="1F022486" w14:textId="77777777" w:rsidR="00E401A0" w:rsidRPr="00E401A0" w:rsidRDefault="00E401A0" w:rsidP="00E401A0">
      <w:pPr>
        <w:spacing w:line="240" w:lineRule="auto"/>
        <w:rPr>
          <w:rFonts w:eastAsia="Times New Roman" w:cs="Arial"/>
          <w:sz w:val="24"/>
          <w:szCs w:val="24"/>
        </w:rPr>
      </w:pPr>
      <w:r w:rsidRPr="00E401A0">
        <w:rPr>
          <w:rFonts w:eastAsia="Times New Roman" w:cs="Arial"/>
          <w:color w:val="000000"/>
          <w:lang w:val="en-US"/>
        </w:rPr>
        <w:t xml:space="preserve">In vitro </w:t>
      </w:r>
      <w:r w:rsidRPr="00E401A0">
        <w:rPr>
          <w:rFonts w:eastAsia="Times New Roman" w:cs="Arial"/>
          <w:color w:val="000000"/>
          <w:lang w:eastAsia="bg-BG"/>
        </w:rPr>
        <w:t xml:space="preserve">и </w:t>
      </w:r>
      <w:r w:rsidRPr="00E401A0">
        <w:rPr>
          <w:rFonts w:eastAsia="Times New Roman" w:cs="Arial"/>
          <w:color w:val="000000"/>
          <w:lang w:val="en-US"/>
        </w:rPr>
        <w:t xml:space="preserve">in vivo </w:t>
      </w:r>
      <w:r w:rsidRPr="00E401A0">
        <w:rPr>
          <w:rFonts w:eastAsia="Times New Roman" w:cs="Arial"/>
          <w:color w:val="000000"/>
          <w:lang w:eastAsia="bg-BG"/>
        </w:rPr>
        <w:t xml:space="preserve">изпитванията, сочат, че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трамадол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не е </w:t>
      </w:r>
      <w:proofErr w:type="spellStart"/>
      <w:r w:rsidRPr="00E401A0">
        <w:rPr>
          <w:rFonts w:eastAsia="Times New Roman" w:cs="Arial"/>
          <w:color w:val="000000"/>
          <w:lang w:eastAsia="bg-BG"/>
        </w:rPr>
        <w:t>генотоксичен</w:t>
      </w:r>
      <w:proofErr w:type="spellEnd"/>
      <w:r w:rsidRPr="00E401A0">
        <w:rPr>
          <w:rFonts w:eastAsia="Times New Roman" w:cs="Arial"/>
          <w:color w:val="000000"/>
          <w:lang w:eastAsia="bg-BG"/>
        </w:rPr>
        <w:t xml:space="preserve"> при хора. При проведени изследвания за канцерогенност при мишки е наблюдавано увеличена честота на образуване на тумори (белодробни и чернодробни). При същите изследвания с </w:t>
      </w:r>
      <w:r w:rsidRPr="00E401A0">
        <w:rPr>
          <w:rFonts w:eastAsia="Times New Roman" w:cs="Arial"/>
          <w:color w:val="000000"/>
          <w:lang w:eastAsia="bg-BG"/>
        </w:rPr>
        <w:lastRenderedPageBreak/>
        <w:t xml:space="preserve">плъхове такова увеличение не е било наблюдавано. Това предполага, че няма риск за приложение при хора. При изследвания с плъхове не е наблюдавано влияние върху фертилността и </w:t>
      </w:r>
      <w:proofErr w:type="spellStart"/>
      <w:r w:rsidRPr="00E401A0">
        <w:rPr>
          <w:rFonts w:eastAsia="Times New Roman" w:cs="Arial"/>
          <w:color w:val="000000"/>
          <w:lang w:eastAsia="bg-BG"/>
        </w:rPr>
        <w:t>репродуктивността</w:t>
      </w:r>
      <w:proofErr w:type="spellEnd"/>
      <w:r w:rsidRPr="00E401A0">
        <w:rPr>
          <w:rFonts w:eastAsia="Times New Roman" w:cs="Arial"/>
          <w:color w:val="000000"/>
          <w:lang w:eastAsia="bg-BG"/>
        </w:rPr>
        <w:t>.</w:t>
      </w:r>
    </w:p>
    <w:p w14:paraId="4E90AB22" w14:textId="77777777" w:rsidR="00E401A0" w:rsidRPr="00E401A0" w:rsidRDefault="00E401A0" w:rsidP="00E401A0"/>
    <w:p w14:paraId="2CC322CB" w14:textId="4AA81BE7" w:rsidR="00E401A0" w:rsidRDefault="002C50EE" w:rsidP="00E401A0">
      <w:pPr>
        <w:pStyle w:val="1"/>
      </w:pPr>
      <w:r>
        <w:t>7. ПРИТЕЖАТЕЛ НА РАЗРЕШЕНИЕТО ЗА УПОТРЕБА</w:t>
      </w:r>
    </w:p>
    <w:p w14:paraId="2E43493B" w14:textId="665D2DE1" w:rsidR="00E401A0" w:rsidRDefault="00E401A0" w:rsidP="00E401A0"/>
    <w:p w14:paraId="326C288D" w14:textId="77777777" w:rsidR="00E401A0" w:rsidRPr="00E401A0" w:rsidRDefault="00E401A0" w:rsidP="00E401A0">
      <w:pPr>
        <w:rPr>
          <w:sz w:val="24"/>
          <w:szCs w:val="24"/>
          <w:lang w:val="en-US"/>
        </w:rPr>
      </w:pPr>
      <w:r w:rsidRPr="00E401A0">
        <w:rPr>
          <w:lang w:val="en-US"/>
        </w:rPr>
        <w:t xml:space="preserve">STADA </w:t>
      </w:r>
      <w:proofErr w:type="spellStart"/>
      <w:r w:rsidRPr="00E401A0">
        <w:rPr>
          <w:lang w:val="en-US"/>
        </w:rPr>
        <w:t>Aizneimittel</w:t>
      </w:r>
      <w:proofErr w:type="spellEnd"/>
      <w:r w:rsidRPr="00E401A0">
        <w:rPr>
          <w:lang w:val="en-US"/>
        </w:rPr>
        <w:t xml:space="preserve"> AG</w:t>
      </w:r>
    </w:p>
    <w:p w14:paraId="7A5C75B9" w14:textId="77777777" w:rsidR="00E401A0" w:rsidRPr="00E401A0" w:rsidRDefault="00E401A0" w:rsidP="00E401A0">
      <w:pPr>
        <w:rPr>
          <w:sz w:val="24"/>
          <w:szCs w:val="24"/>
          <w:lang w:val="en-US"/>
        </w:rPr>
      </w:pPr>
      <w:proofErr w:type="spellStart"/>
      <w:r w:rsidRPr="00E401A0">
        <w:rPr>
          <w:lang w:val="en-US"/>
        </w:rPr>
        <w:t>Stadastrasse</w:t>
      </w:r>
      <w:proofErr w:type="spellEnd"/>
      <w:r w:rsidRPr="00E401A0">
        <w:rPr>
          <w:lang w:val="en-US"/>
        </w:rPr>
        <w:t xml:space="preserve"> </w:t>
      </w:r>
      <w:r w:rsidRPr="00E401A0">
        <w:rPr>
          <w:lang w:eastAsia="bg-BG"/>
        </w:rPr>
        <w:t>2-18</w:t>
      </w:r>
    </w:p>
    <w:p w14:paraId="481D2581" w14:textId="77777777" w:rsidR="00E401A0" w:rsidRPr="00E401A0" w:rsidRDefault="00E401A0" w:rsidP="00E401A0">
      <w:pPr>
        <w:rPr>
          <w:sz w:val="24"/>
          <w:szCs w:val="24"/>
          <w:lang w:val="en-US"/>
        </w:rPr>
      </w:pPr>
      <w:r w:rsidRPr="00E401A0">
        <w:rPr>
          <w:lang w:eastAsia="bg-BG"/>
        </w:rPr>
        <w:t xml:space="preserve">61118 </w:t>
      </w:r>
      <w:r w:rsidRPr="00E401A0">
        <w:rPr>
          <w:lang w:val="en-US"/>
        </w:rPr>
        <w:t xml:space="preserve">Bad </w:t>
      </w:r>
      <w:proofErr w:type="spellStart"/>
      <w:r w:rsidRPr="00E401A0">
        <w:rPr>
          <w:lang w:val="en-US"/>
        </w:rPr>
        <w:t>Vilbel</w:t>
      </w:r>
      <w:proofErr w:type="spellEnd"/>
    </w:p>
    <w:p w14:paraId="1FB5FB97" w14:textId="2134A3E7" w:rsidR="00E401A0" w:rsidRPr="00E401A0" w:rsidRDefault="00E401A0" w:rsidP="00E401A0">
      <w:r w:rsidRPr="00E401A0">
        <w:rPr>
          <w:lang w:eastAsia="bg-BG"/>
        </w:rPr>
        <w:t>Германия</w:t>
      </w:r>
    </w:p>
    <w:p w14:paraId="04840D59" w14:textId="7B8086D1" w:rsidR="002C50EE" w:rsidRDefault="002C50EE" w:rsidP="002C50EE">
      <w:pPr>
        <w:pStyle w:val="1"/>
      </w:pPr>
      <w:r>
        <w:t>8. НОМЕР НА РАЗРЕШЕНИЕТО ЗА УПОТРЕБА</w:t>
      </w:r>
    </w:p>
    <w:p w14:paraId="0CC0FF15" w14:textId="6306858B" w:rsidR="00E401A0" w:rsidRDefault="00E401A0" w:rsidP="00E401A0"/>
    <w:p w14:paraId="68D2F2E4" w14:textId="77777777" w:rsidR="00E401A0" w:rsidRPr="00E401A0" w:rsidRDefault="00E401A0" w:rsidP="00E401A0">
      <w:pPr>
        <w:rPr>
          <w:sz w:val="24"/>
          <w:szCs w:val="24"/>
        </w:rPr>
      </w:pPr>
      <w:r w:rsidRPr="00E401A0">
        <w:rPr>
          <w:lang w:eastAsia="bg-BG"/>
        </w:rPr>
        <w:t>Регистрационен номер: 9600289</w:t>
      </w:r>
    </w:p>
    <w:p w14:paraId="0C3E1930" w14:textId="77777777" w:rsidR="00E401A0" w:rsidRPr="00E401A0" w:rsidRDefault="00E401A0" w:rsidP="00E401A0"/>
    <w:p w14:paraId="5900CBF3" w14:textId="7FBD0059" w:rsidR="002C50EE" w:rsidRDefault="002C50EE" w:rsidP="002C50EE">
      <w:pPr>
        <w:pStyle w:val="1"/>
      </w:pPr>
      <w:r>
        <w:t>9. ДАТА НА ПЪРВО РАЗРЕШАВАНЕ/ПОДНОВЯВАНЕ НА РАЗРЕШЕНИЕТО ЗА УПОТРЕБА</w:t>
      </w:r>
    </w:p>
    <w:p w14:paraId="10C34946" w14:textId="2EDECE7C" w:rsidR="00E401A0" w:rsidRDefault="00E401A0" w:rsidP="00E401A0"/>
    <w:p w14:paraId="14308B57" w14:textId="77777777" w:rsidR="00E401A0" w:rsidRPr="00E401A0" w:rsidRDefault="00E401A0" w:rsidP="00E401A0">
      <w:pPr>
        <w:rPr>
          <w:sz w:val="24"/>
          <w:szCs w:val="24"/>
        </w:rPr>
      </w:pPr>
      <w:r w:rsidRPr="00E401A0">
        <w:rPr>
          <w:lang w:eastAsia="bg-BG"/>
        </w:rPr>
        <w:t>Дата на първо разрешаване: 26.11.1996</w:t>
      </w:r>
    </w:p>
    <w:p w14:paraId="255E4E4A" w14:textId="77777777" w:rsidR="00E401A0" w:rsidRPr="00E401A0" w:rsidRDefault="00E401A0" w:rsidP="00E401A0">
      <w:pPr>
        <w:rPr>
          <w:sz w:val="24"/>
          <w:szCs w:val="24"/>
        </w:rPr>
      </w:pPr>
      <w:r w:rsidRPr="00E401A0">
        <w:rPr>
          <w:lang w:eastAsia="bg-BG"/>
        </w:rPr>
        <w:t>Дата на последно подновяване: 13.11.2008</w:t>
      </w:r>
    </w:p>
    <w:p w14:paraId="34A42C89" w14:textId="77777777" w:rsidR="00E401A0" w:rsidRPr="00E401A0" w:rsidRDefault="00E401A0" w:rsidP="00E401A0"/>
    <w:p w14:paraId="0E9D0119" w14:textId="0245C6D7" w:rsidR="002C50EE" w:rsidRDefault="002C50EE" w:rsidP="002C50EE">
      <w:pPr>
        <w:pStyle w:val="1"/>
      </w:pPr>
      <w:r>
        <w:t>10. ДАТА НА АКТУАЛИЗИРАНЕ НА ТЕКСТА</w:t>
      </w:r>
    </w:p>
    <w:bookmarkEnd w:id="0"/>
    <w:p w14:paraId="423F4C2A" w14:textId="2EC5D267" w:rsidR="00C87E90" w:rsidRPr="003E3126" w:rsidRDefault="00E401A0" w:rsidP="00E401A0">
      <w:r>
        <w:t>06/2021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C21BE"/>
    <w:multiLevelType w:val="hybridMultilevel"/>
    <w:tmpl w:val="59BE2664"/>
    <w:lvl w:ilvl="0" w:tplc="B782A4A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24"/>
  </w:num>
  <w:num w:numId="12">
    <w:abstractNumId w:val="11"/>
  </w:num>
  <w:num w:numId="13">
    <w:abstractNumId w:val="16"/>
  </w:num>
  <w:num w:numId="14">
    <w:abstractNumId w:val="9"/>
  </w:num>
  <w:num w:numId="15">
    <w:abstractNumId w:val="23"/>
  </w:num>
  <w:num w:numId="16">
    <w:abstractNumId w:val="7"/>
  </w:num>
  <w:num w:numId="17">
    <w:abstractNumId w:val="19"/>
  </w:num>
  <w:num w:numId="18">
    <w:abstractNumId w:val="5"/>
  </w:num>
  <w:num w:numId="19">
    <w:abstractNumId w:val="21"/>
  </w:num>
  <w:num w:numId="20">
    <w:abstractNumId w:val="18"/>
  </w:num>
  <w:num w:numId="21">
    <w:abstractNumId w:val="14"/>
  </w:num>
  <w:num w:numId="22">
    <w:abstractNumId w:val="20"/>
  </w:num>
  <w:num w:numId="23">
    <w:abstractNumId w:val="15"/>
  </w:num>
  <w:num w:numId="24">
    <w:abstractNumId w:val="6"/>
  </w:num>
  <w:num w:numId="25">
    <w:abstractNumId w:val="1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D1B23"/>
    <w:rsid w:val="002B3C38"/>
    <w:rsid w:val="002B4DBB"/>
    <w:rsid w:val="002C50EE"/>
    <w:rsid w:val="003020D8"/>
    <w:rsid w:val="00340A0A"/>
    <w:rsid w:val="003765DC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9B171C"/>
    <w:rsid w:val="00A20351"/>
    <w:rsid w:val="00AA23EC"/>
    <w:rsid w:val="00AC63CE"/>
    <w:rsid w:val="00AE2107"/>
    <w:rsid w:val="00B275A8"/>
    <w:rsid w:val="00BF2600"/>
    <w:rsid w:val="00C07B84"/>
    <w:rsid w:val="00C33464"/>
    <w:rsid w:val="00C809A7"/>
    <w:rsid w:val="00C83063"/>
    <w:rsid w:val="00C87E90"/>
    <w:rsid w:val="00CA1B57"/>
    <w:rsid w:val="00D86297"/>
    <w:rsid w:val="00DD466D"/>
    <w:rsid w:val="00E401A0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1"/>
    <w:basedOn w:val="3"/>
    <w:next w:val="a"/>
    <w:link w:val="12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2">
    <w:name w:val="Стил1 Знак"/>
    <w:basedOn w:val="30"/>
    <w:link w:val="1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4058</Words>
  <Characters>23132</Characters>
  <Application>Microsoft Office Word</Application>
  <DocSecurity>0</DocSecurity>
  <Lines>192</Lines>
  <Paragraphs>54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ВАСИЛЕВ</cp:lastModifiedBy>
  <cp:revision>2</cp:revision>
  <dcterms:created xsi:type="dcterms:W3CDTF">2021-10-27T18:21:00Z</dcterms:created>
  <dcterms:modified xsi:type="dcterms:W3CDTF">2021-10-27T18:21:00Z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