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6823D797"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b/>
          <w:bCs/>
          <w:color w:val="000000"/>
          <w:lang w:eastAsia="bg-BG"/>
        </w:rPr>
        <w:t xml:space="preserve">Трансметил 500 </w:t>
      </w:r>
      <w:r w:rsidRPr="005B0F27">
        <w:rPr>
          <w:rFonts w:eastAsia="Times New Roman" w:cs="Arial"/>
          <w:b/>
          <w:bCs/>
          <w:color w:val="000000"/>
          <w:lang w:val="en-US"/>
        </w:rPr>
        <w:t xml:space="preserve">mg </w:t>
      </w:r>
      <w:r w:rsidRPr="005B0F27">
        <w:rPr>
          <w:rFonts w:eastAsia="Times New Roman" w:cs="Arial"/>
          <w:color w:val="000000"/>
          <w:lang w:eastAsia="bg-BG"/>
        </w:rPr>
        <w:t>стомашно-устойчиви таблетки</w:t>
      </w:r>
    </w:p>
    <w:p w14:paraId="5015A1FD" w14:textId="4212AFC5" w:rsidR="00A73575" w:rsidRPr="005B0F27" w:rsidRDefault="005B0F27" w:rsidP="005B0F27">
      <w:pPr>
        <w:rPr>
          <w:rFonts w:cs="Arial"/>
        </w:rPr>
      </w:pPr>
      <w:proofErr w:type="spellStart"/>
      <w:r w:rsidRPr="005B0F27">
        <w:rPr>
          <w:rFonts w:eastAsia="Times New Roman" w:cs="Arial"/>
          <w:b/>
          <w:bCs/>
          <w:color w:val="000000"/>
          <w:lang w:val="en-US"/>
        </w:rPr>
        <w:t>Transmetil</w:t>
      </w:r>
      <w:proofErr w:type="spellEnd"/>
      <w:r w:rsidRPr="005B0F27">
        <w:rPr>
          <w:rFonts w:eastAsia="Times New Roman" w:cs="Arial"/>
          <w:b/>
          <w:bCs/>
          <w:color w:val="000000"/>
          <w:lang w:val="en-US"/>
        </w:rPr>
        <w:t xml:space="preserve"> </w:t>
      </w:r>
      <w:r w:rsidRPr="005B0F27">
        <w:rPr>
          <w:rFonts w:eastAsia="Times New Roman" w:cs="Arial"/>
          <w:b/>
          <w:bCs/>
          <w:color w:val="000000"/>
          <w:lang w:eastAsia="bg-BG"/>
        </w:rPr>
        <w:t xml:space="preserve">500 </w:t>
      </w:r>
      <w:r w:rsidRPr="005B0F27">
        <w:rPr>
          <w:rFonts w:eastAsia="Times New Roman" w:cs="Arial"/>
          <w:b/>
          <w:bCs/>
          <w:color w:val="000000"/>
          <w:lang w:val="en-US"/>
        </w:rPr>
        <w:t xml:space="preserve">mg </w:t>
      </w:r>
      <w:r w:rsidRPr="005B0F27">
        <w:rPr>
          <w:rFonts w:eastAsia="Times New Roman" w:cs="Arial"/>
          <w:color w:val="000000"/>
          <w:lang w:val="en-US"/>
        </w:rPr>
        <w:t>gastro-resistant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402B022C"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 xml:space="preserve">Една таблетка съдържа адеметионин 1,4-бутандисулфонат </w:t>
      </w:r>
      <w:r w:rsidRPr="005B0F27">
        <w:rPr>
          <w:rFonts w:eastAsia="Times New Roman" w:cs="Arial"/>
          <w:color w:val="000000"/>
          <w:lang w:val="en-US"/>
        </w:rPr>
        <w:t xml:space="preserve">(ademetionine 1,4-butanedisulfonate) </w:t>
      </w:r>
      <w:r w:rsidRPr="005B0F27">
        <w:rPr>
          <w:rFonts w:eastAsia="Times New Roman" w:cs="Arial"/>
          <w:color w:val="000000"/>
          <w:lang w:eastAsia="bg-BG"/>
        </w:rPr>
        <w:t xml:space="preserve">еквивалентен на 500 </w:t>
      </w:r>
      <w:r w:rsidRPr="005B0F27">
        <w:rPr>
          <w:rFonts w:eastAsia="Times New Roman" w:cs="Arial"/>
          <w:color w:val="000000"/>
          <w:lang w:val="en-US"/>
        </w:rPr>
        <w:t xml:space="preserve">mg </w:t>
      </w:r>
      <w:r w:rsidRPr="005B0F27">
        <w:rPr>
          <w:rFonts w:eastAsia="Times New Roman" w:cs="Arial"/>
          <w:color w:val="000000"/>
          <w:lang w:eastAsia="bg-BG"/>
        </w:rPr>
        <w:t>адеметионин.</w:t>
      </w:r>
    </w:p>
    <w:p w14:paraId="2C48B467" w14:textId="77777777" w:rsidR="005B0F27" w:rsidRPr="005B0F27" w:rsidRDefault="005B0F27" w:rsidP="005B0F27">
      <w:pPr>
        <w:rPr>
          <w:rFonts w:eastAsia="Times New Roman" w:cs="Arial"/>
          <w:color w:val="000000"/>
          <w:lang w:eastAsia="bg-BG"/>
        </w:rPr>
      </w:pPr>
    </w:p>
    <w:p w14:paraId="03110A50" w14:textId="74103185" w:rsidR="0091385D" w:rsidRPr="005B0F27" w:rsidRDefault="005B0F27" w:rsidP="005B0F27">
      <w:pPr>
        <w:rPr>
          <w:rFonts w:cs="Arial"/>
        </w:rPr>
      </w:pPr>
      <w:r w:rsidRPr="005B0F27">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0259640F"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Стомашно-устойчива таблетка.</w:t>
      </w:r>
    </w:p>
    <w:p w14:paraId="4129ADBB" w14:textId="3A605743" w:rsidR="0091385D" w:rsidRPr="005B0F27" w:rsidRDefault="005B0F27" w:rsidP="005B0F27">
      <w:pPr>
        <w:rPr>
          <w:rFonts w:cs="Arial"/>
        </w:rPr>
      </w:pPr>
      <w:r w:rsidRPr="005B0F27">
        <w:rPr>
          <w:rFonts w:eastAsia="Times New Roman" w:cs="Arial"/>
          <w:color w:val="000000"/>
          <w:lang w:eastAsia="bg-BG"/>
        </w:rPr>
        <w:t>Бяла до жълтеникава овална таблетка.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8CEC04B"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Трансметил е показан за лечение на възрастни с:</w:t>
      </w:r>
    </w:p>
    <w:p w14:paraId="1C780D9A" w14:textId="77777777" w:rsidR="005B0F27" w:rsidRPr="005B0F27" w:rsidRDefault="005B0F27" w:rsidP="005B0F27">
      <w:pPr>
        <w:pStyle w:val="ListParagraph"/>
        <w:numPr>
          <w:ilvl w:val="0"/>
          <w:numId w:val="35"/>
        </w:numPr>
        <w:spacing w:line="240" w:lineRule="auto"/>
        <w:rPr>
          <w:rFonts w:eastAsia="Times New Roman" w:cs="Arial"/>
          <w:color w:val="000000"/>
          <w:lang w:eastAsia="bg-BG"/>
        </w:rPr>
      </w:pPr>
      <w:r w:rsidRPr="005B0F27">
        <w:rPr>
          <w:rFonts w:eastAsia="Times New Roman" w:cs="Arial"/>
          <w:color w:val="000000"/>
          <w:lang w:eastAsia="bg-BG"/>
        </w:rPr>
        <w:t>интрахепатална холестаза при прецирозни и цирозни състояния.</w:t>
      </w:r>
    </w:p>
    <w:p w14:paraId="04B2E99C" w14:textId="5E206964" w:rsidR="0091385D" w:rsidRPr="005B0F27" w:rsidRDefault="005B0F27" w:rsidP="005B0F27">
      <w:pPr>
        <w:pStyle w:val="ListParagraph"/>
        <w:numPr>
          <w:ilvl w:val="0"/>
          <w:numId w:val="35"/>
        </w:numPr>
        <w:spacing w:line="240" w:lineRule="auto"/>
        <w:rPr>
          <w:rFonts w:eastAsia="Times New Roman" w:cs="Arial"/>
          <w:color w:val="000000"/>
          <w:lang w:eastAsia="bg-BG"/>
        </w:rPr>
      </w:pPr>
      <w:r w:rsidRPr="005B0F27">
        <w:rPr>
          <w:rFonts w:eastAsia="Times New Roman" w:cs="Arial"/>
          <w:color w:val="000000"/>
          <w:lang w:eastAsia="bg-BG"/>
        </w:rPr>
        <w:t>интрахепатална холестаза по време на бременност.</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0856576" w14:textId="77777777" w:rsidR="005B0F27" w:rsidRPr="005B0F27" w:rsidRDefault="005B0F27" w:rsidP="005B0F27">
      <w:pPr>
        <w:pStyle w:val="Heading3"/>
        <w:rPr>
          <w:rFonts w:eastAsia="Times New Roman"/>
          <w:u w:val="single"/>
          <w:lang w:eastAsia="bg-BG"/>
        </w:rPr>
      </w:pPr>
      <w:r w:rsidRPr="005B0F27">
        <w:rPr>
          <w:rFonts w:eastAsia="Times New Roman"/>
          <w:u w:val="single"/>
          <w:lang w:eastAsia="bg-BG"/>
        </w:rPr>
        <w:t>Доз</w:t>
      </w:r>
      <w:bookmarkStart w:id="1" w:name="_GoBack"/>
      <w:bookmarkEnd w:id="1"/>
      <w:r w:rsidRPr="005B0F27">
        <w:rPr>
          <w:rFonts w:eastAsia="Times New Roman"/>
          <w:u w:val="single"/>
          <w:lang w:eastAsia="bg-BG"/>
        </w:rPr>
        <w:t>ировка</w:t>
      </w:r>
    </w:p>
    <w:p w14:paraId="77AC67FD" w14:textId="77777777" w:rsidR="005B0F27" w:rsidRPr="005B0F27" w:rsidRDefault="005B0F27" w:rsidP="005B0F27">
      <w:pPr>
        <w:spacing w:line="240" w:lineRule="auto"/>
        <w:rPr>
          <w:rFonts w:eastAsia="Times New Roman" w:cs="Arial"/>
          <w:color w:val="000000"/>
          <w:lang w:eastAsia="bg-BG"/>
        </w:rPr>
      </w:pPr>
    </w:p>
    <w:p w14:paraId="78925B6C" w14:textId="70EAB84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Лечението може да започне с приложение на инжекционната форма и да продължи с приложение на таблетната форма или да започне директно с таблетна форма на Трансметил.</w:t>
      </w:r>
    </w:p>
    <w:p w14:paraId="1E9DBA5C" w14:textId="77777777" w:rsidR="005B0F27" w:rsidRPr="005B0F27" w:rsidRDefault="005B0F27" w:rsidP="005B0F27">
      <w:pPr>
        <w:spacing w:line="240" w:lineRule="auto"/>
        <w:rPr>
          <w:rFonts w:eastAsia="Times New Roman" w:cs="Arial"/>
          <w:i/>
          <w:iCs/>
          <w:color w:val="000000"/>
          <w:lang w:eastAsia="bg-BG"/>
        </w:rPr>
      </w:pPr>
    </w:p>
    <w:p w14:paraId="21CA2C3B" w14:textId="2C1E39D7"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Интрахепатална холестаза</w:t>
      </w:r>
    </w:p>
    <w:p w14:paraId="640F9FC9"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 xml:space="preserve">Начално лечение: Препоръчителната дозировка е 10-25 </w:t>
      </w:r>
      <w:r w:rsidRPr="005B0F27">
        <w:rPr>
          <w:rFonts w:eastAsia="Times New Roman" w:cs="Arial"/>
          <w:color w:val="000000"/>
          <w:lang w:val="en-US"/>
        </w:rPr>
        <w:t>mg/kg</w:t>
      </w:r>
      <w:r w:rsidRPr="005B0F27">
        <w:rPr>
          <w:rFonts w:eastAsia="Times New Roman" w:cs="Arial"/>
          <w:color w:val="000000"/>
          <w:lang w:eastAsia="bg-BG"/>
        </w:rPr>
        <w:t xml:space="preserve">/ден приета перорално. Обичайната начална доза е 800 </w:t>
      </w:r>
      <w:r w:rsidRPr="005B0F27">
        <w:rPr>
          <w:rFonts w:eastAsia="Times New Roman" w:cs="Arial"/>
          <w:color w:val="000000"/>
          <w:lang w:val="en-US"/>
        </w:rPr>
        <w:t>mg</w:t>
      </w:r>
      <w:r w:rsidRPr="005B0F27">
        <w:rPr>
          <w:rFonts w:eastAsia="Times New Roman" w:cs="Arial"/>
          <w:color w:val="000000"/>
          <w:lang w:eastAsia="bg-BG"/>
        </w:rPr>
        <w:t xml:space="preserve">/ден, като общата дневна доза не трябва да надхвърля 1 600 </w:t>
      </w:r>
      <w:r w:rsidRPr="005B0F27">
        <w:rPr>
          <w:rFonts w:eastAsia="Times New Roman" w:cs="Arial"/>
          <w:color w:val="000000"/>
          <w:lang w:val="en-US"/>
        </w:rPr>
        <w:t>mg.</w:t>
      </w:r>
    </w:p>
    <w:p w14:paraId="25EEED41" w14:textId="77777777" w:rsidR="005B0F27" w:rsidRPr="005B0F27" w:rsidRDefault="005B0F27" w:rsidP="005B0F27">
      <w:pPr>
        <w:spacing w:line="240" w:lineRule="auto"/>
        <w:rPr>
          <w:rFonts w:eastAsia="Times New Roman" w:cs="Arial"/>
          <w:color w:val="000000"/>
          <w:lang w:eastAsia="bg-BG"/>
        </w:rPr>
      </w:pPr>
    </w:p>
    <w:p w14:paraId="4671BF61" w14:textId="24031951"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 xml:space="preserve">Поддържащо лечение: 800 до 1 600 </w:t>
      </w:r>
      <w:r w:rsidRPr="005B0F27">
        <w:rPr>
          <w:rFonts w:eastAsia="Times New Roman" w:cs="Arial"/>
          <w:color w:val="000000"/>
          <w:lang w:val="en-US"/>
        </w:rPr>
        <w:t xml:space="preserve">mg </w:t>
      </w:r>
      <w:r w:rsidRPr="005B0F27">
        <w:rPr>
          <w:rFonts w:eastAsia="Times New Roman" w:cs="Arial"/>
          <w:color w:val="000000"/>
          <w:lang w:eastAsia="bg-BG"/>
        </w:rPr>
        <w:t>дневно, приети перорално.</w:t>
      </w:r>
    </w:p>
    <w:p w14:paraId="47E1C247" w14:textId="77777777" w:rsidR="005B0F27" w:rsidRPr="005B0F27" w:rsidRDefault="005B0F27" w:rsidP="005B0F27">
      <w:pPr>
        <w:spacing w:line="240" w:lineRule="auto"/>
        <w:rPr>
          <w:rFonts w:eastAsia="Times New Roman" w:cs="Arial"/>
          <w:i/>
          <w:iCs/>
          <w:color w:val="000000"/>
          <w:lang w:eastAsia="bg-BG"/>
        </w:rPr>
      </w:pPr>
    </w:p>
    <w:p w14:paraId="14C7D285" w14:textId="5A108C43"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Пациенти в старческа възраст</w:t>
      </w:r>
    </w:p>
    <w:p w14:paraId="50E3E978"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Клиничните проучвания с Трансметил не включват достатъчен брой лица на и над 65 годишна възраст, за да се определи дали те отговарят различно от по-млади пациенти. Докладваният клиничен опит не установява разлики в отговорите при пациенти в старческа възраст и по-млади лица. Най-общо, изборът на доза при пациент в старческа възраст трябва да става внимателно, като обикновено трябва да се започне от ниските дози с оглед на по-голямата честота на понижаване на чернодробната, бъбречната или сърдечната функции, на съпътстващо заболяване или друга съпътстваща терапия.</w:t>
      </w:r>
    </w:p>
    <w:p w14:paraId="48FBFBEE" w14:textId="77777777" w:rsidR="005B0F27" w:rsidRPr="005B0F27" w:rsidRDefault="005B0F27" w:rsidP="005B0F27">
      <w:pPr>
        <w:spacing w:line="240" w:lineRule="auto"/>
        <w:rPr>
          <w:rFonts w:eastAsia="Times New Roman" w:cs="Arial"/>
          <w:i/>
          <w:iCs/>
          <w:color w:val="000000"/>
          <w:lang w:eastAsia="bg-BG"/>
        </w:rPr>
      </w:pPr>
    </w:p>
    <w:p w14:paraId="5280806D" w14:textId="3AE6F2C3"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Педиатрична популация</w:t>
      </w:r>
    </w:p>
    <w:p w14:paraId="475300EC" w14:textId="26CBBBA7" w:rsidR="0091385D" w:rsidRPr="005B0F27" w:rsidRDefault="005B0F27" w:rsidP="005B0F27">
      <w:pPr>
        <w:rPr>
          <w:rFonts w:cs="Arial"/>
        </w:rPr>
      </w:pPr>
      <w:r w:rsidRPr="005B0F27">
        <w:rPr>
          <w:rFonts w:eastAsia="Times New Roman" w:cs="Arial"/>
          <w:color w:val="000000"/>
          <w:lang w:eastAsia="bg-BG"/>
        </w:rPr>
        <w:t>Ефективността и безопасността на Трансметил при деца не са установени.</w:t>
      </w:r>
    </w:p>
    <w:p w14:paraId="6ACAF645" w14:textId="05FCB22E" w:rsidR="0091385D" w:rsidRPr="005B0F27" w:rsidRDefault="0091385D" w:rsidP="0091385D">
      <w:pPr>
        <w:rPr>
          <w:rFonts w:cs="Arial"/>
        </w:rPr>
      </w:pPr>
    </w:p>
    <w:p w14:paraId="4465044F"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Чернодробно увреждане</w:t>
      </w:r>
    </w:p>
    <w:p w14:paraId="7263261C"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Фармакокинетичните параметри при здрави доброволци и пациенти с хронично чернодробно заболяване са подобни.</w:t>
      </w:r>
    </w:p>
    <w:p w14:paraId="7D253F06" w14:textId="77777777" w:rsidR="005B0F27" w:rsidRPr="005B0F27" w:rsidRDefault="005B0F27" w:rsidP="005B0F27">
      <w:pPr>
        <w:spacing w:line="240" w:lineRule="auto"/>
        <w:rPr>
          <w:rFonts w:eastAsia="Times New Roman" w:cs="Arial"/>
          <w:i/>
          <w:iCs/>
          <w:color w:val="000000"/>
          <w:lang w:eastAsia="bg-BG"/>
        </w:rPr>
      </w:pPr>
    </w:p>
    <w:p w14:paraId="60B9F116" w14:textId="0380BED2"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Бъбречно увреждане</w:t>
      </w:r>
    </w:p>
    <w:p w14:paraId="5862CF01"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Има ограничени клинични данни при пациенти с бъбречно увреждане. Препоръчва се приложението на Трансметил да става с повишено внимание при тези пациенти</w:t>
      </w:r>
    </w:p>
    <w:p w14:paraId="1A2B203F" w14:textId="77777777" w:rsidR="005B0F27" w:rsidRPr="005B0F27" w:rsidRDefault="005B0F27" w:rsidP="005B0F27">
      <w:pPr>
        <w:spacing w:line="240" w:lineRule="auto"/>
        <w:rPr>
          <w:rFonts w:eastAsia="Times New Roman" w:cs="Arial"/>
          <w:color w:val="000000"/>
          <w:u w:val="single"/>
          <w:lang w:eastAsia="bg-BG"/>
        </w:rPr>
      </w:pPr>
    </w:p>
    <w:p w14:paraId="61AC366C" w14:textId="5F033C3F" w:rsidR="005B0F27" w:rsidRPr="005B0F27" w:rsidRDefault="005B0F27" w:rsidP="005B0F27">
      <w:pPr>
        <w:pStyle w:val="Heading3"/>
        <w:rPr>
          <w:rFonts w:eastAsia="Times New Roman"/>
          <w:u w:val="single"/>
          <w:lang w:eastAsia="bg-BG"/>
        </w:rPr>
      </w:pPr>
      <w:r w:rsidRPr="005B0F27">
        <w:rPr>
          <w:rFonts w:eastAsia="Times New Roman"/>
          <w:u w:val="single"/>
          <w:lang w:eastAsia="bg-BG"/>
        </w:rPr>
        <w:t>Начин на приложение</w:t>
      </w:r>
    </w:p>
    <w:p w14:paraId="41B18A7D" w14:textId="77777777" w:rsidR="005B0F27" w:rsidRPr="005B0F27" w:rsidRDefault="005B0F27" w:rsidP="005B0F27">
      <w:pPr>
        <w:spacing w:line="240" w:lineRule="auto"/>
        <w:rPr>
          <w:rFonts w:eastAsia="Times New Roman" w:cs="Arial"/>
          <w:color w:val="000000"/>
          <w:lang w:eastAsia="bg-BG"/>
        </w:rPr>
      </w:pPr>
    </w:p>
    <w:p w14:paraId="26B0BE01" w14:textId="18EFC6FD"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Лечението може да започне с приложение на инжекционната форма и да продължи с приложение на таблетната форма или да започне директно с таблетна форма на Трансметил.</w:t>
      </w:r>
    </w:p>
    <w:p w14:paraId="5DD211D7" w14:textId="77777777" w:rsidR="005B0F27" w:rsidRPr="005B0F27" w:rsidRDefault="005B0F27" w:rsidP="005B0F27">
      <w:pPr>
        <w:spacing w:line="240" w:lineRule="auto"/>
        <w:rPr>
          <w:rFonts w:eastAsia="Times New Roman" w:cs="Arial"/>
          <w:color w:val="000000"/>
          <w:lang w:eastAsia="bg-BG"/>
        </w:rPr>
      </w:pPr>
    </w:p>
    <w:p w14:paraId="6575EE00" w14:textId="670C4C25"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Трансметил таблетки трябва да се поглъщат цели без да се дъвчат.</w:t>
      </w:r>
    </w:p>
    <w:p w14:paraId="55C44EB5" w14:textId="77777777" w:rsidR="005B0F27" w:rsidRPr="005B0F27" w:rsidRDefault="005B0F27" w:rsidP="005B0F27">
      <w:pPr>
        <w:spacing w:line="240" w:lineRule="auto"/>
        <w:rPr>
          <w:rFonts w:eastAsia="Times New Roman" w:cs="Arial"/>
          <w:color w:val="000000"/>
          <w:lang w:eastAsia="bg-BG"/>
        </w:rPr>
      </w:pPr>
    </w:p>
    <w:p w14:paraId="78385455" w14:textId="69E6C945"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За по-добра абсорбция на активното вещество и пълен терапевтичен ефект, Трансметил таблетки не трябва да се приемат с храна.</w:t>
      </w:r>
    </w:p>
    <w:p w14:paraId="40B31DEB" w14:textId="77777777" w:rsidR="005B0F27" w:rsidRPr="005B0F27" w:rsidRDefault="005B0F27" w:rsidP="005B0F27">
      <w:pPr>
        <w:rPr>
          <w:rFonts w:eastAsia="Times New Roman" w:cs="Arial"/>
          <w:color w:val="000000"/>
          <w:lang w:eastAsia="bg-BG"/>
        </w:rPr>
      </w:pPr>
    </w:p>
    <w:p w14:paraId="4A4C4496" w14:textId="531AA830" w:rsidR="005B0F27" w:rsidRPr="005B0F27" w:rsidRDefault="005B0F27" w:rsidP="005B0F27">
      <w:pPr>
        <w:rPr>
          <w:rFonts w:cs="Arial"/>
        </w:rPr>
      </w:pPr>
      <w:r w:rsidRPr="005B0F27">
        <w:rPr>
          <w:rFonts w:eastAsia="Times New Roman" w:cs="Arial"/>
          <w:color w:val="000000"/>
          <w:lang w:eastAsia="bg-BG"/>
        </w:rPr>
        <w:t>Трансметил таблетките трябва да бъдат извадени от блистера непосредствено преди употреба. Ако таблетките са с друг цвят, различен от бял до жълтеникав (поради наличието на дупки в алуминиевата обвивка), не се препоръчва приемането им.</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AEEB7F3"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w:t>
      </w:r>
      <w:r w:rsidRPr="005B0F27">
        <w:rPr>
          <w:rFonts w:eastAsia="Times New Roman" w:cs="Arial"/>
          <w:color w:val="000000"/>
          <w:lang w:eastAsia="bg-BG"/>
        </w:rPr>
        <w:tab/>
        <w:t>Свръхчувствителност към активното вещество или към някое от помощните вещества, изброени в точка 6.1.</w:t>
      </w:r>
    </w:p>
    <w:p w14:paraId="2309EAB0" w14:textId="2313A066" w:rsidR="0091385D" w:rsidRPr="005B0F27" w:rsidRDefault="005B0F27" w:rsidP="005B0F27">
      <w:pPr>
        <w:rPr>
          <w:rFonts w:cs="Arial"/>
        </w:rPr>
      </w:pPr>
      <w:r w:rsidRPr="005B0F27">
        <w:rPr>
          <w:rFonts w:eastAsia="Times New Roman" w:cs="Arial"/>
          <w:color w:val="000000"/>
          <w:lang w:eastAsia="bg-BG"/>
        </w:rPr>
        <w:t>•</w:t>
      </w:r>
      <w:r w:rsidRPr="005B0F27">
        <w:rPr>
          <w:rFonts w:eastAsia="Times New Roman" w:cs="Arial"/>
          <w:color w:val="000000"/>
          <w:lang w:eastAsia="bg-BG"/>
        </w:rPr>
        <w:tab/>
        <w:t>Пациенти с генетичен дефект, който засяга метиониновия цикъл и/или причиняващ хомоцистинурия и/или хиперхомоцистеинемия (напр. цистатионин-бета-синтетазен дефицит, дефект на метаболизма на витамин В</w:t>
      </w:r>
      <w:r w:rsidRPr="005B0F27">
        <w:rPr>
          <w:rFonts w:eastAsia="Times New Roman" w:cs="Arial"/>
          <w:color w:val="000000"/>
          <w:vertAlign w:val="subscript"/>
          <w:lang w:eastAsia="bg-BG"/>
        </w:rPr>
        <w:t>12</w:t>
      </w:r>
      <w:r w:rsidRPr="005B0F27">
        <w:rPr>
          <w:rFonts w:eastAsia="Times New Roman" w:cs="Arial"/>
          <w:color w:val="000000"/>
          <w:lang w:eastAsia="bg-BG"/>
        </w:rPr>
        <w:t>).</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182FC5F3"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При прецирозни и цирозни състояния с хиперамониемия трябва да се наблюдават нивата на амоняк при пациенти, които приемат перорален Трансметил.</w:t>
      </w:r>
    </w:p>
    <w:p w14:paraId="02CC1917" w14:textId="77777777" w:rsidR="005B0F27" w:rsidRPr="005B0F27" w:rsidRDefault="005B0F27" w:rsidP="005B0F27">
      <w:pPr>
        <w:spacing w:line="240" w:lineRule="auto"/>
        <w:rPr>
          <w:rFonts w:eastAsia="Times New Roman" w:cs="Arial"/>
          <w:sz w:val="24"/>
          <w:szCs w:val="24"/>
          <w:lang w:eastAsia="bg-BG"/>
        </w:rPr>
      </w:pPr>
    </w:p>
    <w:p w14:paraId="4678B442" w14:textId="7BC9ABAD"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lastRenderedPageBreak/>
        <w:t>Тъй като дефицитът на витамин В</w:t>
      </w:r>
      <w:r w:rsidRPr="005B0F27">
        <w:rPr>
          <w:rFonts w:eastAsia="Times New Roman" w:cs="Arial"/>
          <w:color w:val="000000"/>
          <w:vertAlign w:val="subscript"/>
          <w:lang w:eastAsia="bg-BG"/>
        </w:rPr>
        <w:t>12</w:t>
      </w:r>
      <w:r w:rsidRPr="005B0F27">
        <w:rPr>
          <w:rFonts w:eastAsia="Times New Roman" w:cs="Arial"/>
          <w:color w:val="000000"/>
          <w:lang w:eastAsia="bg-BG"/>
        </w:rPr>
        <w:t xml:space="preserve"> и фолатите могат да намалят нивата на адеметионин, на пациентите в риск (с анемия, чернодробно заболяване, бременност или потенциален дефицит на витамини поради други заболявания или хранителни навици като вегани) трябва да се провеждат рутинни кръвни изследвания за проверка на плазмените нива. Ако се открие дефицит, се препоръчва лечение с витамин В</w:t>
      </w:r>
      <w:r w:rsidRPr="005B0F27">
        <w:rPr>
          <w:rFonts w:eastAsia="Times New Roman" w:cs="Arial"/>
          <w:color w:val="000000"/>
          <w:vertAlign w:val="subscript"/>
          <w:lang w:eastAsia="bg-BG"/>
        </w:rPr>
        <w:t>12</w:t>
      </w:r>
      <w:r w:rsidRPr="005B0F27">
        <w:rPr>
          <w:rFonts w:eastAsia="Times New Roman" w:cs="Arial"/>
          <w:color w:val="000000"/>
          <w:lang w:eastAsia="bg-BG"/>
        </w:rPr>
        <w:t xml:space="preserve"> и/или фолати преди или едновременно с приема на Трансметил (вж. точка 5.2).</w:t>
      </w:r>
    </w:p>
    <w:p w14:paraId="6B98BFF5" w14:textId="77777777" w:rsidR="005B0F27" w:rsidRPr="005B0F27" w:rsidRDefault="005B0F27" w:rsidP="005B0F27">
      <w:pPr>
        <w:spacing w:line="240" w:lineRule="auto"/>
        <w:rPr>
          <w:rFonts w:eastAsia="Times New Roman" w:cs="Arial"/>
          <w:color w:val="000000"/>
          <w:lang w:eastAsia="bg-BG"/>
        </w:rPr>
      </w:pPr>
    </w:p>
    <w:p w14:paraId="1FA814A1" w14:textId="142D4BA9" w:rsidR="005B0F27" w:rsidRPr="005B0F27" w:rsidRDefault="005B0F27" w:rsidP="005B0F27">
      <w:pPr>
        <w:spacing w:line="240" w:lineRule="auto"/>
        <w:rPr>
          <w:rFonts w:eastAsia="Times New Roman" w:cs="Arial"/>
          <w:sz w:val="24"/>
          <w:szCs w:val="24"/>
          <w:lang w:val="en-US" w:eastAsia="bg-BG"/>
        </w:rPr>
      </w:pPr>
      <w:r w:rsidRPr="005B0F27">
        <w:rPr>
          <w:rFonts w:eastAsia="Times New Roman" w:cs="Arial"/>
          <w:color w:val="000000"/>
          <w:lang w:eastAsia="bg-BG"/>
        </w:rPr>
        <w:t xml:space="preserve">Трансметил не се препоръчва при пациенти с биполярна болест. Съществуват съобщения за преминаване от депресия в хипомания или мания по време на лечение с Трансметил. Съществува едно съобщение в литературата за серотонинов синдром при пациент, който е приемал адеметионин и кломипрамин. Въпреки че се приема потенциално взаимодействие, препоръчва се повишено внимание при комбинирано приемане на Трансметил със селективни инхибитори на обратното захващане на серотонина </w:t>
      </w:r>
      <w:r w:rsidRPr="005B0F27">
        <w:rPr>
          <w:rFonts w:eastAsia="Times New Roman" w:cs="Arial"/>
          <w:color w:val="000000"/>
          <w:lang w:val="en-US"/>
        </w:rPr>
        <w:t xml:space="preserve">(SSRI), </w:t>
      </w:r>
      <w:r w:rsidRPr="005B0F27">
        <w:rPr>
          <w:rFonts w:eastAsia="Times New Roman" w:cs="Arial"/>
          <w:i/>
          <w:iCs/>
          <w:color w:val="000000"/>
          <w:lang w:eastAsia="bg-BG"/>
        </w:rPr>
        <w:t>трициклични</w:t>
      </w:r>
      <w:r w:rsidRPr="005B0F27">
        <w:rPr>
          <w:rFonts w:eastAsia="Times New Roman" w:cs="Arial"/>
          <w:color w:val="000000"/>
          <w:lang w:eastAsia="bg-BG"/>
        </w:rPr>
        <w:t xml:space="preserve"> антидепресанти (като кломипрамин) и лекарства, отпускани без рецепта и хранителни добавки, които съдържат триптофан (вж. точка 4.5</w:t>
      </w:r>
      <w:r w:rsidRPr="005B0F27">
        <w:rPr>
          <w:rFonts w:eastAsia="Times New Roman" w:cs="Arial"/>
          <w:color w:val="000000"/>
          <w:lang w:val="en-US" w:eastAsia="bg-BG"/>
        </w:rPr>
        <w:t>).</w:t>
      </w:r>
    </w:p>
    <w:p w14:paraId="35AD08FF" w14:textId="77777777" w:rsidR="005B0F27" w:rsidRPr="005B0F27" w:rsidRDefault="005B0F27" w:rsidP="005B0F27">
      <w:pPr>
        <w:rPr>
          <w:rFonts w:eastAsia="Times New Roman" w:cs="Arial"/>
          <w:color w:val="000000"/>
          <w:lang w:eastAsia="bg-BG"/>
        </w:rPr>
      </w:pPr>
    </w:p>
    <w:p w14:paraId="14E8671C" w14:textId="77777777" w:rsidR="005B0F27" w:rsidRPr="005B0F27" w:rsidRDefault="005B0F27" w:rsidP="005B0F27">
      <w:pPr>
        <w:rPr>
          <w:rFonts w:eastAsia="Times New Roman" w:cs="Arial"/>
          <w:sz w:val="24"/>
          <w:szCs w:val="24"/>
          <w:lang w:eastAsia="bg-BG"/>
        </w:rPr>
      </w:pPr>
      <w:r w:rsidRPr="005B0F27">
        <w:rPr>
          <w:rFonts w:eastAsia="Times New Roman" w:cs="Arial"/>
          <w:color w:val="000000"/>
          <w:lang w:eastAsia="bg-BG"/>
        </w:rPr>
        <w:t>Ефикасността на Трансметил при лечението на депресия е изследвана в краткосрочни клинични проучвания (с продължителност 3-6 седмици). Ефективността на Трансметил при лечевие на депресия за по-дълги периоди е неизвестна. Има много лекарства за лечение на депресия и пациентите трябва да се консултират с техните лекари относно оптималната терапия. Пациентите</w:t>
      </w:r>
      <w:r w:rsidRPr="005B0F27">
        <w:rPr>
          <w:rFonts w:eastAsia="Times New Roman" w:cs="Arial"/>
          <w:color w:val="000000"/>
          <w:lang w:val="en-US" w:eastAsia="bg-BG"/>
        </w:rPr>
        <w:t xml:space="preserve"> </w:t>
      </w:r>
      <w:r w:rsidRPr="005B0F27">
        <w:rPr>
          <w:rFonts w:eastAsia="Times New Roman" w:cs="Arial"/>
          <w:color w:val="000000"/>
          <w:lang w:eastAsia="bg-BG"/>
        </w:rPr>
        <w:t>трябва да бъдат насърчавани да информират своите лекари, ако техните симптоми не отзвучат или се влошат по време на терапията с Трансметил.</w:t>
      </w:r>
    </w:p>
    <w:p w14:paraId="076FACA8" w14:textId="77777777" w:rsidR="005B0F27" w:rsidRPr="005B0F27" w:rsidRDefault="005B0F27" w:rsidP="005B0F27">
      <w:pPr>
        <w:spacing w:line="240" w:lineRule="auto"/>
        <w:rPr>
          <w:rFonts w:eastAsia="Times New Roman" w:cs="Arial"/>
          <w:color w:val="000000"/>
          <w:lang w:eastAsia="bg-BG"/>
        </w:rPr>
      </w:pPr>
    </w:p>
    <w:p w14:paraId="32C852BF" w14:textId="5E0BD823"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Пациентите с депресия са изложени на риск за самоубийство и други сериозни реакции и следователно трябва да получават непрекъсната психиатрична помощ по време на лечението с Трансметил, за да се гарантира, че симптомите на депресия са адекватно установени и лекувани. Съществуват съобщения за преходна или влошаваща се тревожност при пациенти, които са лекувани с Трансметил. В повечето случаи не се налага прекъсване на лечението. В малко случаи тревожността отзвучава след намаляване на дозата или спиране на лечението.</w:t>
      </w:r>
    </w:p>
    <w:p w14:paraId="333CFF5E" w14:textId="77777777" w:rsidR="005B0F27" w:rsidRPr="005B0F27" w:rsidRDefault="005B0F27" w:rsidP="005B0F27">
      <w:pPr>
        <w:spacing w:line="240" w:lineRule="auto"/>
        <w:rPr>
          <w:rFonts w:eastAsia="Times New Roman" w:cs="Arial"/>
          <w:i/>
          <w:iCs/>
          <w:color w:val="000000"/>
          <w:lang w:eastAsia="bg-BG"/>
        </w:rPr>
      </w:pPr>
    </w:p>
    <w:p w14:paraId="4A1B3E5B" w14:textId="623F58C2"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Взаимодействие с имунологични тестове за определяне на хомоцистеин</w:t>
      </w:r>
    </w:p>
    <w:p w14:paraId="12340227"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Трансметил взаимодейства с имунологичните тестове за определяне на хомоцистеин, което може да покаже фалшиво-повишени нива на плазмения хомоцистеин при пациенти, лекувани с Трансметил. При пациенти, които са лекувани с Трансметил, се препоръчва да се използва не- имунологичен метод за определяне на плазмения хомоцистеин.</w:t>
      </w:r>
    </w:p>
    <w:p w14:paraId="5CAC0916" w14:textId="77777777" w:rsidR="005B0F27" w:rsidRPr="005B0F27" w:rsidRDefault="005B0F27" w:rsidP="005B0F27">
      <w:pPr>
        <w:spacing w:line="240" w:lineRule="auto"/>
        <w:rPr>
          <w:rFonts w:eastAsia="Times New Roman" w:cs="Arial"/>
          <w:color w:val="000000"/>
          <w:u w:val="single"/>
          <w:lang w:eastAsia="bg-BG"/>
        </w:rPr>
      </w:pPr>
    </w:p>
    <w:p w14:paraId="70434484" w14:textId="1857001D"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u w:val="single"/>
          <w:lang w:eastAsia="bg-BG"/>
        </w:rPr>
        <w:t>Помощно вещество</w:t>
      </w:r>
    </w:p>
    <w:p w14:paraId="0B3BEE35" w14:textId="0A1D1262" w:rsidR="0091385D" w:rsidRPr="005B0F27" w:rsidRDefault="005B0F27" w:rsidP="005B0F27">
      <w:pPr>
        <w:rPr>
          <w:rFonts w:cs="Arial"/>
          <w:lang w:val="en-US"/>
        </w:rPr>
      </w:pPr>
      <w:r w:rsidRPr="005B0F27">
        <w:rPr>
          <w:rFonts w:eastAsia="Times New Roman" w:cs="Arial"/>
          <w:color w:val="000000"/>
          <w:lang w:eastAsia="bg-BG"/>
        </w:rPr>
        <w:t xml:space="preserve">Този лекарствен продукт съдържа по-малко от 1 </w:t>
      </w:r>
      <w:proofErr w:type="spellStart"/>
      <w:r w:rsidRPr="005B0F27">
        <w:rPr>
          <w:rFonts w:eastAsia="Times New Roman" w:cs="Arial"/>
          <w:color w:val="000000"/>
          <w:lang w:val="en-US"/>
        </w:rPr>
        <w:t>mmol</w:t>
      </w:r>
      <w:proofErr w:type="spellEnd"/>
      <w:r w:rsidRPr="005B0F27">
        <w:rPr>
          <w:rFonts w:eastAsia="Times New Roman" w:cs="Arial"/>
          <w:color w:val="000000"/>
          <w:lang w:val="en-US"/>
        </w:rPr>
        <w:t xml:space="preserve"> </w:t>
      </w:r>
      <w:r w:rsidRPr="005B0F27">
        <w:rPr>
          <w:rFonts w:eastAsia="Times New Roman" w:cs="Arial"/>
          <w:color w:val="000000"/>
          <w:lang w:eastAsia="bg-BG"/>
        </w:rPr>
        <w:t xml:space="preserve">натрий (23 </w:t>
      </w:r>
      <w:r w:rsidRPr="005B0F27">
        <w:rPr>
          <w:rFonts w:eastAsia="Times New Roman" w:cs="Arial"/>
          <w:color w:val="000000"/>
          <w:lang w:val="en-US"/>
        </w:rPr>
        <w:t xml:space="preserve">mg) </w:t>
      </w:r>
      <w:r w:rsidRPr="005B0F27">
        <w:rPr>
          <w:rFonts w:eastAsia="Times New Roman" w:cs="Arial"/>
          <w:color w:val="000000"/>
          <w:lang w:eastAsia="bg-BG"/>
        </w:rPr>
        <w:t>на таблетка, т.е. може да се каже, че практически не съдържа натрий.</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172AE819" w14:textId="7F98AB35" w:rsidR="0091385D" w:rsidRPr="005B0F27" w:rsidRDefault="005B0F27" w:rsidP="0091385D">
      <w:pPr>
        <w:rPr>
          <w:rFonts w:cs="Arial"/>
        </w:rPr>
      </w:pPr>
      <w:r w:rsidRPr="005B0F27">
        <w:rPr>
          <w:rFonts w:cs="Arial"/>
        </w:rPr>
        <w:t xml:space="preserve">Съществува едно съобщение в литературата за серотонинов синдром при пациент, който е приемал адеметионин и кломипрамин. Следователно, въпреки че се приема потенциално взаимодействие, препоръчва се повишено внимание при комбинирано приемане на Трансметил със селективни инхибитори на обратното захващане на </w:t>
      </w:r>
      <w:r w:rsidRPr="005B0F27">
        <w:rPr>
          <w:rFonts w:cs="Arial"/>
        </w:rPr>
        <w:lastRenderedPageBreak/>
        <w:t xml:space="preserve">серотонина </w:t>
      </w:r>
      <w:r w:rsidRPr="005B0F27">
        <w:rPr>
          <w:rFonts w:cs="Arial"/>
          <w:lang w:val="en-US"/>
        </w:rPr>
        <w:t xml:space="preserve">(SSRI), </w:t>
      </w:r>
      <w:r w:rsidRPr="005B0F27">
        <w:rPr>
          <w:rFonts w:cs="Arial"/>
        </w:rPr>
        <w:t>трициклични антидепресанти (като кломипрамин) и лекарства, отпускани без рецепта и хранителни добавки, които съдържат триптофан (вж. точка 4.4).</w:t>
      </w:r>
    </w:p>
    <w:p w14:paraId="5B2761C5" w14:textId="77777777" w:rsidR="0091385D" w:rsidRPr="0091385D" w:rsidRDefault="0091385D"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3AF82B82" w14:textId="77777777" w:rsidR="005B0F27" w:rsidRPr="005B0F27" w:rsidRDefault="005B0F27" w:rsidP="005B0F27">
      <w:pPr>
        <w:pStyle w:val="Heading3"/>
        <w:rPr>
          <w:rFonts w:eastAsia="Times New Roman"/>
          <w:u w:val="single"/>
          <w:lang w:eastAsia="bg-BG"/>
        </w:rPr>
      </w:pPr>
      <w:r w:rsidRPr="005B0F27">
        <w:rPr>
          <w:rFonts w:eastAsia="Times New Roman"/>
          <w:u w:val="single"/>
          <w:lang w:eastAsia="bg-BG"/>
        </w:rPr>
        <w:t>Бременност</w:t>
      </w:r>
    </w:p>
    <w:p w14:paraId="5DA9ED9F"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По време на клинични изпитвания не са били наблюдавани нежелани реакции при жени, лекувани с адеметионин през последните три месеца от бременността. Препоръчва се Трансметил да се прилага в първите три месеца на бременността само, ако това е абсолютно необходимо.</w:t>
      </w:r>
    </w:p>
    <w:p w14:paraId="61DF0DD7" w14:textId="77777777" w:rsidR="005B0F27" w:rsidRPr="005B0F27" w:rsidRDefault="005B0F27" w:rsidP="005B0F27">
      <w:pPr>
        <w:spacing w:line="240" w:lineRule="auto"/>
        <w:rPr>
          <w:rFonts w:eastAsia="Times New Roman" w:cs="Arial"/>
          <w:color w:val="000000"/>
          <w:u w:val="single"/>
          <w:lang w:eastAsia="bg-BG"/>
        </w:rPr>
      </w:pPr>
    </w:p>
    <w:p w14:paraId="5B0DCCF8" w14:textId="4B8C567E" w:rsidR="005B0F27" w:rsidRPr="005B0F27" w:rsidRDefault="005B0F27" w:rsidP="005B0F27">
      <w:pPr>
        <w:pStyle w:val="Heading3"/>
        <w:rPr>
          <w:rFonts w:eastAsia="Times New Roman"/>
          <w:u w:val="single"/>
          <w:lang w:eastAsia="bg-BG"/>
        </w:rPr>
      </w:pPr>
      <w:r w:rsidRPr="005B0F27">
        <w:rPr>
          <w:rFonts w:eastAsia="Times New Roman"/>
          <w:u w:val="single"/>
          <w:lang w:eastAsia="bg-BG"/>
        </w:rPr>
        <w:t>Кърмене</w:t>
      </w:r>
    </w:p>
    <w:p w14:paraId="776662C5" w14:textId="3B7D28A0" w:rsidR="0091385D" w:rsidRPr="005B0F27" w:rsidRDefault="005B0F27" w:rsidP="005B0F27">
      <w:pPr>
        <w:rPr>
          <w:rFonts w:cs="Arial"/>
        </w:rPr>
      </w:pPr>
      <w:r w:rsidRPr="005B0F27">
        <w:rPr>
          <w:rFonts w:eastAsia="Times New Roman" w:cs="Arial"/>
          <w:color w:val="000000"/>
          <w:lang w:eastAsia="bg-BG"/>
        </w:rPr>
        <w:t>Трансметил трябва да се прилага в периода на кърменето само ако потенциалната полза надвишава риска за кърмачето.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609642FF" w:rsidR="0091385D" w:rsidRPr="005B0F27" w:rsidRDefault="005B0F27" w:rsidP="0091385D">
      <w:pPr>
        <w:rPr>
          <w:rFonts w:cs="Arial"/>
        </w:rPr>
      </w:pPr>
      <w:r w:rsidRPr="005B0F27">
        <w:rPr>
          <w:rFonts w:cs="Arial"/>
        </w:rPr>
        <w:t>При някои пациенти може да се появи замайване при приложението на Трансметил. Пациентите трябва да бъдат съветвани да не шофират и работят с машини по време на лечението докато не се уверят, че Трансметил не повлиява тяхната способност да извършват тези дейности.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589F50E3"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В клиничните изпитвания повече от 2 100 пациенти са лекувани с Трансметил. Най-често съобщаваните нежелани събития при лечение с Трансметил са главоболие, диария и гадене.</w:t>
      </w:r>
    </w:p>
    <w:p w14:paraId="261610CE" w14:textId="77777777" w:rsidR="005B0F27" w:rsidRPr="005B0F27" w:rsidRDefault="005B0F27" w:rsidP="005B0F27">
      <w:pPr>
        <w:rPr>
          <w:rFonts w:eastAsia="Times New Roman" w:cs="Arial"/>
          <w:color w:val="000000"/>
          <w:lang w:eastAsia="bg-BG"/>
        </w:rPr>
      </w:pPr>
    </w:p>
    <w:p w14:paraId="570508C4" w14:textId="539213FF" w:rsidR="0091385D" w:rsidRPr="005B0F27" w:rsidRDefault="005B0F27" w:rsidP="005B0F27">
      <w:pPr>
        <w:rPr>
          <w:rFonts w:cs="Arial"/>
        </w:rPr>
      </w:pPr>
      <w:r w:rsidRPr="005B0F27">
        <w:rPr>
          <w:rFonts w:eastAsia="Times New Roman" w:cs="Arial"/>
          <w:color w:val="000000"/>
          <w:lang w:eastAsia="bg-BG"/>
        </w:rPr>
        <w:t xml:space="preserve">Следните нежелани реакции са наблюдавани с честота, посочена по-долу по време на клинични изпитвания с Трансметил </w:t>
      </w:r>
      <w:r w:rsidRPr="005B0F27">
        <w:rPr>
          <w:rFonts w:eastAsia="Times New Roman" w:cs="Arial"/>
          <w:color w:val="000000"/>
          <w:lang w:val="en-US"/>
        </w:rPr>
        <w:t xml:space="preserve">(n=2 </w:t>
      </w:r>
      <w:r w:rsidRPr="005B0F27">
        <w:rPr>
          <w:rFonts w:eastAsia="Times New Roman" w:cs="Arial"/>
          <w:color w:val="000000"/>
          <w:lang w:eastAsia="bg-BG"/>
        </w:rPr>
        <w:t>115) и от спонтанни съобщения.</w:t>
      </w:r>
    </w:p>
    <w:p w14:paraId="43E3C48F" w14:textId="378F6948" w:rsidR="0091385D" w:rsidRDefault="0091385D" w:rsidP="0091385D"/>
    <w:p w14:paraId="13C6BCB6" w14:textId="1DAD1A2C" w:rsidR="005B0F27" w:rsidRDefault="005B0F27" w:rsidP="0091385D">
      <w:r>
        <w:t xml:space="preserve">Нежеланите реакции са изброени по Системно-органна класификация. Честотата се определя като се използва </w:t>
      </w:r>
      <w:proofErr w:type="spellStart"/>
      <w:r>
        <w:rPr>
          <w:lang w:val="en-US"/>
        </w:rPr>
        <w:t>MedDRA</w:t>
      </w:r>
      <w:proofErr w:type="spellEnd"/>
      <w:r>
        <w:rPr>
          <w:lang w:val="en-US"/>
        </w:rPr>
        <w:t xml:space="preserve"> </w:t>
      </w:r>
      <w:r>
        <w:t xml:space="preserve">конвенцията: много чести (≥1/10), чести (≥1/100 до &lt;1/10) нечести (≥1/1 000 до </w:t>
      </w:r>
      <w:r>
        <w:rPr>
          <w:i/>
          <w:iCs/>
        </w:rPr>
        <w:t>&lt;1/100),</w:t>
      </w:r>
      <w:r>
        <w:t xml:space="preserve"> редки (≥1/10 000 до &lt;1/1 000), много редки (&lt;1/10 000).</w:t>
      </w:r>
    </w:p>
    <w:p w14:paraId="6B71CA05" w14:textId="3860DBE5" w:rsidR="005B0F27" w:rsidRDefault="005B0F27" w:rsidP="0091385D"/>
    <w:tbl>
      <w:tblPr>
        <w:tblStyle w:val="TableGrid"/>
        <w:tblW w:w="0" w:type="auto"/>
        <w:tblLook w:val="04A0" w:firstRow="1" w:lastRow="0" w:firstColumn="1" w:lastColumn="0" w:noHBand="0" w:noVBand="1"/>
      </w:tblPr>
      <w:tblGrid>
        <w:gridCol w:w="3166"/>
        <w:gridCol w:w="3167"/>
        <w:gridCol w:w="3167"/>
      </w:tblGrid>
      <w:tr w:rsidR="005B0F27" w14:paraId="7BA39C39" w14:textId="77777777" w:rsidTr="005B0F27">
        <w:tc>
          <w:tcPr>
            <w:tcW w:w="3166" w:type="dxa"/>
          </w:tcPr>
          <w:p w14:paraId="5BBEC1BB" w14:textId="3CD214E3" w:rsidR="005B0F27" w:rsidRDefault="005B0F27" w:rsidP="005B0F27">
            <w:proofErr w:type="spellStart"/>
            <w:r>
              <w:rPr>
                <w:b/>
                <w:bCs/>
                <w:lang w:val="en-US"/>
              </w:rPr>
              <w:t>MedDRA</w:t>
            </w:r>
            <w:proofErr w:type="spellEnd"/>
            <w:r>
              <w:rPr>
                <w:b/>
                <w:bCs/>
              </w:rPr>
              <w:t>-база данни на системо-органни класове</w:t>
            </w:r>
          </w:p>
        </w:tc>
        <w:tc>
          <w:tcPr>
            <w:tcW w:w="3167" w:type="dxa"/>
          </w:tcPr>
          <w:p w14:paraId="401AFCD9" w14:textId="33BAE605" w:rsidR="005B0F27" w:rsidRDefault="005B0F27" w:rsidP="005B0F27">
            <w:r>
              <w:rPr>
                <w:b/>
                <w:bCs/>
              </w:rPr>
              <w:t>Честота</w:t>
            </w:r>
          </w:p>
        </w:tc>
        <w:tc>
          <w:tcPr>
            <w:tcW w:w="3167" w:type="dxa"/>
          </w:tcPr>
          <w:p w14:paraId="6662E978" w14:textId="241725C9" w:rsidR="005B0F27" w:rsidRDefault="005B0F27" w:rsidP="005B0F27">
            <w:r>
              <w:rPr>
                <w:b/>
                <w:bCs/>
              </w:rPr>
              <w:t>Нежелани лекарствени реакции</w:t>
            </w:r>
          </w:p>
        </w:tc>
      </w:tr>
      <w:tr w:rsidR="005B0F27" w14:paraId="600FC1A0" w14:textId="77777777" w:rsidTr="005B0F27">
        <w:tc>
          <w:tcPr>
            <w:tcW w:w="3166" w:type="dxa"/>
            <w:vMerge w:val="restart"/>
          </w:tcPr>
          <w:p w14:paraId="4EAD2BAB" w14:textId="62780C33" w:rsidR="005B0F27" w:rsidRDefault="005B0F27" w:rsidP="005B0F27">
            <w:r>
              <w:t>Стомашно-чревни нарушения</w:t>
            </w:r>
          </w:p>
        </w:tc>
        <w:tc>
          <w:tcPr>
            <w:tcW w:w="3167" w:type="dxa"/>
          </w:tcPr>
          <w:p w14:paraId="64712DCA" w14:textId="27114CF0" w:rsidR="005B0F27" w:rsidRDefault="005B0F27" w:rsidP="005B0F27">
            <w:r>
              <w:t>Чести</w:t>
            </w:r>
          </w:p>
        </w:tc>
        <w:tc>
          <w:tcPr>
            <w:tcW w:w="3167" w:type="dxa"/>
          </w:tcPr>
          <w:p w14:paraId="64F68316" w14:textId="5DC16083" w:rsidR="005B0F27" w:rsidRDefault="005B0F27" w:rsidP="005B0F27">
            <w:r>
              <w:t>Коремна болка, Диария, Гадене</w:t>
            </w:r>
          </w:p>
        </w:tc>
      </w:tr>
      <w:tr w:rsidR="005B0F27" w14:paraId="077D0336" w14:textId="77777777" w:rsidTr="005B0F27">
        <w:tc>
          <w:tcPr>
            <w:tcW w:w="3166" w:type="dxa"/>
            <w:vMerge/>
          </w:tcPr>
          <w:p w14:paraId="578400C6" w14:textId="77777777" w:rsidR="005B0F27" w:rsidRDefault="005B0F27" w:rsidP="005B0F27"/>
        </w:tc>
        <w:tc>
          <w:tcPr>
            <w:tcW w:w="3167" w:type="dxa"/>
          </w:tcPr>
          <w:p w14:paraId="7E1E8A1C" w14:textId="5EA06CD0" w:rsidR="005B0F27" w:rsidRDefault="005B0F27" w:rsidP="005B0F27">
            <w:r>
              <w:t>Нечести</w:t>
            </w:r>
          </w:p>
        </w:tc>
        <w:tc>
          <w:tcPr>
            <w:tcW w:w="3167" w:type="dxa"/>
          </w:tcPr>
          <w:p w14:paraId="74A560BC" w14:textId="4B7B3EA1" w:rsidR="005B0F27" w:rsidRDefault="005B0F27" w:rsidP="005B0F27">
            <w:r>
              <w:t>Сухота в устата, Диспепсия, Метеоризъм, Стомашно-чревна болка, Стомашно-чревно кървене, Стомашно- чревни нарушения, Повръщане</w:t>
            </w:r>
          </w:p>
        </w:tc>
      </w:tr>
      <w:tr w:rsidR="005B0F27" w14:paraId="2AD701B9" w14:textId="77777777" w:rsidTr="005B0F27">
        <w:tc>
          <w:tcPr>
            <w:tcW w:w="3166" w:type="dxa"/>
            <w:vMerge/>
          </w:tcPr>
          <w:p w14:paraId="61F0EC48" w14:textId="77777777" w:rsidR="005B0F27" w:rsidRDefault="005B0F27" w:rsidP="005B0F27"/>
        </w:tc>
        <w:tc>
          <w:tcPr>
            <w:tcW w:w="3167" w:type="dxa"/>
          </w:tcPr>
          <w:p w14:paraId="72A572CD" w14:textId="521E82E0" w:rsidR="005B0F27" w:rsidRDefault="005B0F27" w:rsidP="005B0F27">
            <w:r>
              <w:t>Редки</w:t>
            </w:r>
          </w:p>
        </w:tc>
        <w:tc>
          <w:tcPr>
            <w:tcW w:w="3167" w:type="dxa"/>
          </w:tcPr>
          <w:p w14:paraId="50320AD9" w14:textId="778FA3CA" w:rsidR="005B0F27" w:rsidRDefault="005B0F27" w:rsidP="005B0F27">
            <w:r>
              <w:t>Подуване на корема, Езофагит</w:t>
            </w:r>
          </w:p>
        </w:tc>
      </w:tr>
      <w:tr w:rsidR="005B0F27" w14:paraId="036CD64A" w14:textId="77777777" w:rsidTr="005B0F27">
        <w:tc>
          <w:tcPr>
            <w:tcW w:w="3166" w:type="dxa"/>
            <w:vMerge w:val="restart"/>
          </w:tcPr>
          <w:p w14:paraId="1569D659" w14:textId="3278E229" w:rsidR="005B0F27" w:rsidRDefault="005B0F27" w:rsidP="005B0F27">
            <w:r>
              <w:t>Общи нарушения и ефекти на мястото на приложение</w:t>
            </w:r>
          </w:p>
        </w:tc>
        <w:tc>
          <w:tcPr>
            <w:tcW w:w="3167" w:type="dxa"/>
          </w:tcPr>
          <w:p w14:paraId="1850DA65" w14:textId="5C8B631C" w:rsidR="005B0F27" w:rsidRDefault="005B0F27" w:rsidP="005B0F27">
            <w:r>
              <w:t>Нечести</w:t>
            </w:r>
          </w:p>
        </w:tc>
        <w:tc>
          <w:tcPr>
            <w:tcW w:w="3167" w:type="dxa"/>
          </w:tcPr>
          <w:p w14:paraId="70D701CC" w14:textId="6A660435" w:rsidR="005B0F27" w:rsidRDefault="005B0F27" w:rsidP="005B0F27">
            <w:r>
              <w:t>Астения, Оток, Пирексия, Втрисане*, Реакции на мястото на инжектиране*, Некроза на мястото на инжектиране*</w:t>
            </w:r>
          </w:p>
        </w:tc>
      </w:tr>
      <w:tr w:rsidR="005B0F27" w14:paraId="30003D79" w14:textId="77777777" w:rsidTr="005B0F27">
        <w:tc>
          <w:tcPr>
            <w:tcW w:w="3166" w:type="dxa"/>
            <w:vMerge/>
          </w:tcPr>
          <w:p w14:paraId="01658D02" w14:textId="77777777" w:rsidR="005B0F27" w:rsidRDefault="005B0F27" w:rsidP="005B0F27"/>
        </w:tc>
        <w:tc>
          <w:tcPr>
            <w:tcW w:w="3167" w:type="dxa"/>
          </w:tcPr>
          <w:p w14:paraId="2FDF3B14" w14:textId="66BC59B1" w:rsidR="005B0F27" w:rsidRDefault="005B0F27" w:rsidP="005B0F27">
            <w:r>
              <w:t>Редки</w:t>
            </w:r>
          </w:p>
        </w:tc>
        <w:tc>
          <w:tcPr>
            <w:tcW w:w="3167" w:type="dxa"/>
          </w:tcPr>
          <w:p w14:paraId="21EA2E55" w14:textId="62C9BF7A" w:rsidR="005B0F27" w:rsidRDefault="005B0F27" w:rsidP="005B0F27">
            <w:r>
              <w:t>Физическо неразположение</w:t>
            </w:r>
          </w:p>
        </w:tc>
      </w:tr>
      <w:tr w:rsidR="005B0F27" w14:paraId="5D95C570" w14:textId="77777777" w:rsidTr="005B0F27">
        <w:tc>
          <w:tcPr>
            <w:tcW w:w="3166" w:type="dxa"/>
          </w:tcPr>
          <w:p w14:paraId="14430AD6" w14:textId="62890C5E" w:rsidR="005B0F27" w:rsidRDefault="005B0F27" w:rsidP="005B0F27">
            <w:r>
              <w:t>Нарушения на имунната система</w:t>
            </w:r>
          </w:p>
        </w:tc>
        <w:tc>
          <w:tcPr>
            <w:tcW w:w="3167" w:type="dxa"/>
          </w:tcPr>
          <w:p w14:paraId="6B037497" w14:textId="70C3A5E6" w:rsidR="005B0F27" w:rsidRDefault="005B0F27" w:rsidP="005B0F27">
            <w:r>
              <w:t>Нечести</w:t>
            </w:r>
          </w:p>
        </w:tc>
        <w:tc>
          <w:tcPr>
            <w:tcW w:w="3167" w:type="dxa"/>
          </w:tcPr>
          <w:p w14:paraId="7E9CB9ED" w14:textId="1CC06F0E" w:rsidR="005B0F27" w:rsidRDefault="005B0F27" w:rsidP="005B0F27">
            <w:r>
              <w:t>Свръхчувствителност, Анафилактоидни или анафилактични реакции (напр. зачервяване на лицето, диспнея, бронхоспазъм, болка в гърба, дискомфорт в гърдите, промени в кръвното налягане (хипотония, хипертония) или честотата на пулса (тахикардия, брадикардия))*.</w:t>
            </w:r>
          </w:p>
        </w:tc>
      </w:tr>
      <w:tr w:rsidR="005B0F27" w14:paraId="02532B8C" w14:textId="77777777" w:rsidTr="005B0F27">
        <w:tc>
          <w:tcPr>
            <w:tcW w:w="3166" w:type="dxa"/>
          </w:tcPr>
          <w:p w14:paraId="55C43BC5" w14:textId="1DCB96FA" w:rsidR="005B0F27" w:rsidRDefault="005B0F27" w:rsidP="005B0F27">
            <w:r>
              <w:t>Инфекции и инфестации</w:t>
            </w:r>
          </w:p>
        </w:tc>
        <w:tc>
          <w:tcPr>
            <w:tcW w:w="3167" w:type="dxa"/>
          </w:tcPr>
          <w:p w14:paraId="6435C57D" w14:textId="532C7CFE" w:rsidR="005B0F27" w:rsidRDefault="005B0F27" w:rsidP="005B0F27">
            <w:r>
              <w:t>Нечести</w:t>
            </w:r>
          </w:p>
        </w:tc>
        <w:tc>
          <w:tcPr>
            <w:tcW w:w="3167" w:type="dxa"/>
          </w:tcPr>
          <w:p w14:paraId="7DE62CD7" w14:textId="6CC40C5D" w:rsidR="005B0F27" w:rsidRDefault="005B0F27" w:rsidP="005B0F27">
            <w:r>
              <w:t>Инфекции на пикочните пътища</w:t>
            </w:r>
          </w:p>
        </w:tc>
      </w:tr>
      <w:tr w:rsidR="005B0F27" w14:paraId="1C3676BA" w14:textId="77777777" w:rsidTr="005B0F27">
        <w:tc>
          <w:tcPr>
            <w:tcW w:w="3166" w:type="dxa"/>
          </w:tcPr>
          <w:p w14:paraId="4BBA3BA7" w14:textId="266BB4BC" w:rsidR="005B0F27" w:rsidRDefault="005B0F27" w:rsidP="005B0F27">
            <w:r>
              <w:t>Нарушения на мускулно- скелетната система и съединителната тъкан</w:t>
            </w:r>
          </w:p>
        </w:tc>
        <w:tc>
          <w:tcPr>
            <w:tcW w:w="3167" w:type="dxa"/>
          </w:tcPr>
          <w:p w14:paraId="428F4C70" w14:textId="381B41CC" w:rsidR="005B0F27" w:rsidRDefault="005B0F27" w:rsidP="005B0F27">
            <w:r>
              <w:t>Нечести</w:t>
            </w:r>
          </w:p>
        </w:tc>
        <w:tc>
          <w:tcPr>
            <w:tcW w:w="3167" w:type="dxa"/>
          </w:tcPr>
          <w:p w14:paraId="0E743C35" w14:textId="08B80C40" w:rsidR="005B0F27" w:rsidRDefault="005B0F27" w:rsidP="005B0F27">
            <w:r>
              <w:t>Артралгия, Мускулни спазми</w:t>
            </w:r>
          </w:p>
        </w:tc>
      </w:tr>
      <w:tr w:rsidR="005B0F27" w14:paraId="1F47C1C2" w14:textId="77777777" w:rsidTr="005B0F27">
        <w:tc>
          <w:tcPr>
            <w:tcW w:w="3166" w:type="dxa"/>
            <w:vMerge w:val="restart"/>
          </w:tcPr>
          <w:p w14:paraId="70757D42" w14:textId="1B30A9C3" w:rsidR="005B0F27" w:rsidRDefault="005B0F27" w:rsidP="005B0F27">
            <w:r>
              <w:t>Нарушения на нервната система</w:t>
            </w:r>
          </w:p>
        </w:tc>
        <w:tc>
          <w:tcPr>
            <w:tcW w:w="3167" w:type="dxa"/>
          </w:tcPr>
          <w:p w14:paraId="665335F3" w14:textId="17BA9E43" w:rsidR="005B0F27" w:rsidRDefault="005B0F27" w:rsidP="005B0F27">
            <w:r>
              <w:t>Чести</w:t>
            </w:r>
          </w:p>
        </w:tc>
        <w:tc>
          <w:tcPr>
            <w:tcW w:w="3167" w:type="dxa"/>
          </w:tcPr>
          <w:p w14:paraId="2149978D" w14:textId="6D562DDB" w:rsidR="005B0F27" w:rsidRDefault="005B0F27" w:rsidP="005B0F27">
            <w:r>
              <w:t>Главоболие</w:t>
            </w:r>
          </w:p>
        </w:tc>
      </w:tr>
      <w:tr w:rsidR="005B0F27" w14:paraId="56D684C3" w14:textId="77777777" w:rsidTr="005B0F27">
        <w:tc>
          <w:tcPr>
            <w:tcW w:w="3166" w:type="dxa"/>
            <w:vMerge/>
          </w:tcPr>
          <w:p w14:paraId="1EE0F889" w14:textId="77777777" w:rsidR="005B0F27" w:rsidRDefault="005B0F27" w:rsidP="005B0F27"/>
        </w:tc>
        <w:tc>
          <w:tcPr>
            <w:tcW w:w="3167" w:type="dxa"/>
          </w:tcPr>
          <w:p w14:paraId="37AB5711" w14:textId="1E2A0945" w:rsidR="005B0F27" w:rsidRDefault="005B0F27" w:rsidP="005B0F27">
            <w:r>
              <w:t>Нечести</w:t>
            </w:r>
          </w:p>
        </w:tc>
        <w:tc>
          <w:tcPr>
            <w:tcW w:w="3167" w:type="dxa"/>
          </w:tcPr>
          <w:p w14:paraId="433802F7" w14:textId="4DB26652" w:rsidR="005B0F27" w:rsidRDefault="005B0F27" w:rsidP="005B0F27">
            <w:r>
              <w:t>Замайване, Парестезия, Дисгеузия*</w:t>
            </w:r>
          </w:p>
        </w:tc>
      </w:tr>
      <w:tr w:rsidR="005B0F27" w14:paraId="48146104" w14:textId="77777777" w:rsidTr="005B0F27">
        <w:tc>
          <w:tcPr>
            <w:tcW w:w="3166" w:type="dxa"/>
            <w:vMerge w:val="restart"/>
          </w:tcPr>
          <w:p w14:paraId="7EB00E2B" w14:textId="34ED694B" w:rsidR="005B0F27" w:rsidRDefault="005B0F27" w:rsidP="005B0F27">
            <w:r>
              <w:t>Психични нарушения</w:t>
            </w:r>
          </w:p>
        </w:tc>
        <w:tc>
          <w:tcPr>
            <w:tcW w:w="3167" w:type="dxa"/>
          </w:tcPr>
          <w:p w14:paraId="431C85F3" w14:textId="500C31DA" w:rsidR="005B0F27" w:rsidRDefault="005B0F27" w:rsidP="005B0F27">
            <w:r>
              <w:t>Чести</w:t>
            </w:r>
          </w:p>
        </w:tc>
        <w:tc>
          <w:tcPr>
            <w:tcW w:w="3167" w:type="dxa"/>
          </w:tcPr>
          <w:p w14:paraId="384B9EB5" w14:textId="7EE15EC5" w:rsidR="005B0F27" w:rsidRDefault="005B0F27" w:rsidP="005B0F27">
            <w:r>
              <w:t>Безпокойство, Безсъние</w:t>
            </w:r>
          </w:p>
        </w:tc>
      </w:tr>
      <w:tr w:rsidR="005B0F27" w14:paraId="285C7DE1" w14:textId="77777777" w:rsidTr="005B0F27">
        <w:tc>
          <w:tcPr>
            <w:tcW w:w="3166" w:type="dxa"/>
            <w:vMerge/>
          </w:tcPr>
          <w:p w14:paraId="50DAB96F" w14:textId="77777777" w:rsidR="005B0F27" w:rsidRDefault="005B0F27" w:rsidP="005B0F27"/>
        </w:tc>
        <w:tc>
          <w:tcPr>
            <w:tcW w:w="3167" w:type="dxa"/>
          </w:tcPr>
          <w:p w14:paraId="7208AF23" w14:textId="26FD9EF5" w:rsidR="005B0F27" w:rsidRDefault="005B0F27" w:rsidP="005B0F27">
            <w:r>
              <w:t>Нечести</w:t>
            </w:r>
          </w:p>
        </w:tc>
        <w:tc>
          <w:tcPr>
            <w:tcW w:w="3167" w:type="dxa"/>
          </w:tcPr>
          <w:p w14:paraId="5233CD6C" w14:textId="6AC7EC5A" w:rsidR="005B0F27" w:rsidRDefault="005B0F27" w:rsidP="005B0F27">
            <w:r>
              <w:t>Възбуда, Състояние на обърканост</w:t>
            </w:r>
          </w:p>
        </w:tc>
      </w:tr>
      <w:tr w:rsidR="005B0F27" w14:paraId="6CE3E86A" w14:textId="77777777" w:rsidTr="005B0F27">
        <w:tc>
          <w:tcPr>
            <w:tcW w:w="3166" w:type="dxa"/>
          </w:tcPr>
          <w:p w14:paraId="7F55EBD0" w14:textId="12ED38B7" w:rsidR="005B0F27" w:rsidRDefault="005B0F27" w:rsidP="005B0F27">
            <w:r>
              <w:t>Респираторни, гръдни и медиастинални нарушения</w:t>
            </w:r>
          </w:p>
        </w:tc>
        <w:tc>
          <w:tcPr>
            <w:tcW w:w="3167" w:type="dxa"/>
          </w:tcPr>
          <w:p w14:paraId="1E448AEB" w14:textId="12C32040" w:rsidR="005B0F27" w:rsidRDefault="005B0F27" w:rsidP="005B0F27">
            <w:r>
              <w:t>Нечести</w:t>
            </w:r>
          </w:p>
        </w:tc>
        <w:tc>
          <w:tcPr>
            <w:tcW w:w="3167" w:type="dxa"/>
          </w:tcPr>
          <w:p w14:paraId="469212B1" w14:textId="62B8EBEC" w:rsidR="005B0F27" w:rsidRDefault="005B0F27" w:rsidP="005B0F27">
            <w:r>
              <w:t>Оток на ларинкса*</w:t>
            </w:r>
          </w:p>
        </w:tc>
      </w:tr>
      <w:tr w:rsidR="005B0F27" w14:paraId="45F0E25D" w14:textId="77777777" w:rsidTr="005B0F27">
        <w:tc>
          <w:tcPr>
            <w:tcW w:w="3166" w:type="dxa"/>
            <w:vMerge w:val="restart"/>
          </w:tcPr>
          <w:p w14:paraId="7E581BB9" w14:textId="31A58F7C" w:rsidR="005B0F27" w:rsidRDefault="005B0F27" w:rsidP="005B0F27">
            <w:r>
              <w:t>Нарушения на кожата и подкожната тъкан</w:t>
            </w:r>
          </w:p>
        </w:tc>
        <w:tc>
          <w:tcPr>
            <w:tcW w:w="3167" w:type="dxa"/>
          </w:tcPr>
          <w:p w14:paraId="152C73BB" w14:textId="6B3FB12C" w:rsidR="005B0F27" w:rsidRDefault="005B0F27" w:rsidP="005B0F27">
            <w:r>
              <w:t>Чести</w:t>
            </w:r>
          </w:p>
        </w:tc>
        <w:tc>
          <w:tcPr>
            <w:tcW w:w="3167" w:type="dxa"/>
          </w:tcPr>
          <w:p w14:paraId="65609995" w14:textId="057CC92B" w:rsidR="005B0F27" w:rsidRDefault="005B0F27" w:rsidP="005B0F27">
            <w:r>
              <w:t>Пруритус</w:t>
            </w:r>
          </w:p>
        </w:tc>
      </w:tr>
      <w:tr w:rsidR="005B0F27" w14:paraId="0C95C2C7" w14:textId="77777777" w:rsidTr="005B0F27">
        <w:tc>
          <w:tcPr>
            <w:tcW w:w="3166" w:type="dxa"/>
            <w:vMerge/>
          </w:tcPr>
          <w:p w14:paraId="4528DF94" w14:textId="77777777" w:rsidR="005B0F27" w:rsidRDefault="005B0F27" w:rsidP="005B0F27"/>
        </w:tc>
        <w:tc>
          <w:tcPr>
            <w:tcW w:w="3167" w:type="dxa"/>
          </w:tcPr>
          <w:p w14:paraId="4C1609C8" w14:textId="1F3E248E" w:rsidR="005B0F27" w:rsidRDefault="005B0F27" w:rsidP="005B0F27">
            <w:r>
              <w:t>Нечести</w:t>
            </w:r>
          </w:p>
        </w:tc>
        <w:tc>
          <w:tcPr>
            <w:tcW w:w="3167" w:type="dxa"/>
          </w:tcPr>
          <w:p w14:paraId="04820F68" w14:textId="2E0D1C53" w:rsidR="005B0F27" w:rsidRDefault="005B0F27" w:rsidP="005B0F27">
            <w:r>
              <w:t>Хиперхидроза, Ангиоедем*, Алергични кожни реакции (напр. обрив, сърбеж, уртикария, еритема)*</w:t>
            </w:r>
          </w:p>
        </w:tc>
      </w:tr>
      <w:tr w:rsidR="005B0F27" w14:paraId="3F3ABFC2" w14:textId="77777777" w:rsidTr="005B0F27">
        <w:tc>
          <w:tcPr>
            <w:tcW w:w="3166" w:type="dxa"/>
          </w:tcPr>
          <w:p w14:paraId="685E1665" w14:textId="377E5B11" w:rsidR="005B0F27" w:rsidRDefault="005B0F27" w:rsidP="005B0F27">
            <w:r>
              <w:t>Съдови нарушения</w:t>
            </w:r>
          </w:p>
        </w:tc>
        <w:tc>
          <w:tcPr>
            <w:tcW w:w="3167" w:type="dxa"/>
          </w:tcPr>
          <w:p w14:paraId="7C8E132E" w14:textId="48047398" w:rsidR="005B0F27" w:rsidRDefault="005B0F27" w:rsidP="005B0F27">
            <w:r>
              <w:t>Нечести</w:t>
            </w:r>
          </w:p>
        </w:tc>
        <w:tc>
          <w:tcPr>
            <w:tcW w:w="3167" w:type="dxa"/>
          </w:tcPr>
          <w:p w14:paraId="7182BA87" w14:textId="6DD36715" w:rsidR="005B0F27" w:rsidRDefault="005B0F27" w:rsidP="005B0F27">
            <w:r>
              <w:t>Горещи вълни, Хипотония, Флебит</w:t>
            </w:r>
          </w:p>
        </w:tc>
      </w:tr>
    </w:tbl>
    <w:p w14:paraId="76E0B7A2" w14:textId="4BDB52E9" w:rsidR="005B0F27" w:rsidRDefault="005B0F27" w:rsidP="0091385D"/>
    <w:p w14:paraId="6BCD0B8C"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*Нежелани събития от спонтанни съобщения, които не са наблюдавани по време на клиничните изпитвания и са определени с честота „нечести“ въз основа на факта, че горната граница на доверителния интервал на оценката на честота 95% не е по-висока от 3/Х, където Х=2 115 (общ брой на лицата, наблюдавани в клинични изпитвания).</w:t>
      </w:r>
    </w:p>
    <w:p w14:paraId="50F71AAD" w14:textId="77777777" w:rsidR="005B0F27" w:rsidRPr="005B0F27" w:rsidRDefault="005B0F27" w:rsidP="005B0F27">
      <w:pPr>
        <w:spacing w:line="240" w:lineRule="auto"/>
        <w:rPr>
          <w:rFonts w:eastAsia="Times New Roman" w:cs="Arial"/>
          <w:color w:val="000000"/>
          <w:u w:val="single"/>
          <w:lang w:eastAsia="bg-BG"/>
        </w:rPr>
      </w:pPr>
    </w:p>
    <w:p w14:paraId="3440E994" w14:textId="30E15E9B" w:rsidR="005B0F27" w:rsidRPr="005B0F27" w:rsidRDefault="005B0F27" w:rsidP="005B0F27">
      <w:pPr>
        <w:spacing w:line="240" w:lineRule="auto"/>
        <w:rPr>
          <w:rFonts w:eastAsia="Times New Roman" w:cs="Arial"/>
          <w:lang w:eastAsia="bg-BG"/>
        </w:rPr>
      </w:pPr>
      <w:r w:rsidRPr="005B0F27">
        <w:rPr>
          <w:rFonts w:eastAsia="Times New Roman" w:cs="Arial"/>
          <w:color w:val="000000"/>
          <w:u w:val="single"/>
          <w:lang w:eastAsia="bg-BG"/>
        </w:rPr>
        <w:lastRenderedPageBreak/>
        <w:t>Съобщаване на подозирани нежелани реакции</w:t>
      </w:r>
    </w:p>
    <w:p w14:paraId="394DA603"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5F509141" w14:textId="77777777" w:rsidR="005B0F27" w:rsidRPr="005B0F27" w:rsidRDefault="005B0F27" w:rsidP="005B0F27">
      <w:pPr>
        <w:spacing w:line="240" w:lineRule="auto"/>
        <w:rPr>
          <w:rFonts w:eastAsia="Times New Roman" w:cs="Arial"/>
          <w:color w:val="000000"/>
          <w:lang w:eastAsia="bg-BG"/>
        </w:rPr>
      </w:pPr>
    </w:p>
    <w:p w14:paraId="72E6935C" w14:textId="455815FE"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Изпълнителна агенция по лекарствата</w:t>
      </w:r>
    </w:p>
    <w:p w14:paraId="12B01B33"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ул. „Дамян Груев” № 8</w:t>
      </w:r>
    </w:p>
    <w:p w14:paraId="091020DD"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1303 София</w:t>
      </w:r>
    </w:p>
    <w:p w14:paraId="4AC96DA4"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Тел.: +359 2 8903417</w:t>
      </w:r>
    </w:p>
    <w:p w14:paraId="3808A1E4" w14:textId="2C7FFEA0" w:rsidR="005B0F27" w:rsidRPr="005B0F27" w:rsidRDefault="005B0F27" w:rsidP="005B0F27">
      <w:pPr>
        <w:rPr>
          <w:rFonts w:cs="Arial"/>
        </w:rPr>
      </w:pPr>
      <w:r w:rsidRPr="005B0F27">
        <w:rPr>
          <w:rFonts w:eastAsia="Times New Roman" w:cs="Arial"/>
          <w:color w:val="000000"/>
          <w:lang w:eastAsia="bg-BG"/>
        </w:rPr>
        <w:t xml:space="preserve">уебсайт: </w:t>
      </w:r>
      <w:hyperlink r:id="rId5" w:history="1">
        <w:r w:rsidRPr="005B0F27">
          <w:rPr>
            <w:rFonts w:eastAsia="Times New Roman" w:cs="Arial"/>
            <w:color w:val="000000"/>
            <w:u w:val="single"/>
            <w:lang w:val="en-US"/>
          </w:rPr>
          <w:t>www.bda.bg</w:t>
        </w:r>
      </w:hyperlink>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095E0673" w:rsidR="0091385D" w:rsidRPr="005B0F27" w:rsidRDefault="005B0F27" w:rsidP="0091385D">
      <w:pPr>
        <w:rPr>
          <w:rFonts w:cs="Arial"/>
        </w:rPr>
      </w:pPr>
      <w:r w:rsidRPr="005B0F27">
        <w:rPr>
          <w:rFonts w:cs="Arial"/>
        </w:rPr>
        <w:t>Случаите на предозиране с Трансметил са редки. Лекарите трябва да се свързват с клиниките по токсикология по места. Най-общо, пациентите трябва да бъдат наблюдавани и да им се прилагат поддържащи мерки.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063A00C9"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Фармакотерапевтична група: Аминокиселини и деривати, АТС код: А16АА02</w:t>
      </w:r>
    </w:p>
    <w:p w14:paraId="5AF2C4BB" w14:textId="77777777" w:rsidR="005B0F27" w:rsidRPr="005B0F27" w:rsidRDefault="005B0F27" w:rsidP="005B0F27">
      <w:pPr>
        <w:spacing w:line="240" w:lineRule="auto"/>
        <w:rPr>
          <w:rFonts w:eastAsia="Times New Roman" w:cs="Arial"/>
          <w:color w:val="000000"/>
          <w:lang w:eastAsia="bg-BG"/>
        </w:rPr>
      </w:pPr>
    </w:p>
    <w:p w14:paraId="7A3CE23A" w14:textId="2C808ECB"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 xml:space="preserve">Адеметионин или </w:t>
      </w:r>
      <w:r w:rsidRPr="005B0F27">
        <w:rPr>
          <w:rFonts w:eastAsia="Times New Roman" w:cs="Arial"/>
          <w:color w:val="000000"/>
          <w:lang w:val="en-US"/>
        </w:rPr>
        <w:t>S</w:t>
      </w:r>
      <w:r w:rsidRPr="005B0F27">
        <w:rPr>
          <w:rFonts w:eastAsia="Times New Roman" w:cs="Arial"/>
          <w:color w:val="000000"/>
          <w:lang w:eastAsia="bg-BG"/>
        </w:rPr>
        <w:t>-аденозил-</w:t>
      </w:r>
      <w:r w:rsidRPr="005B0F27">
        <w:rPr>
          <w:rFonts w:eastAsia="Times New Roman" w:cs="Arial"/>
          <w:color w:val="000000"/>
          <w:lang w:val="en-US"/>
        </w:rPr>
        <w:t>L</w:t>
      </w:r>
      <w:r w:rsidRPr="005B0F27">
        <w:rPr>
          <w:rFonts w:eastAsia="Times New Roman" w:cs="Arial"/>
          <w:color w:val="000000"/>
          <w:lang w:eastAsia="bg-BG"/>
        </w:rPr>
        <w:t xml:space="preserve">-метионин е производно на аминокиселината метионин. Поради структурна нестабилност, стабилни солеви форми на адеметионин са необходими при използването му през устата. Активното вещество е солта адеметионин 1,4-бутандисулфонат </w:t>
      </w:r>
      <w:r w:rsidRPr="005B0F27">
        <w:rPr>
          <w:rFonts w:eastAsia="Times New Roman" w:cs="Arial"/>
          <w:color w:val="000000"/>
          <w:lang w:val="en-US"/>
        </w:rPr>
        <w:t>(ademetionine SD4).</w:t>
      </w:r>
    </w:p>
    <w:p w14:paraId="6BA68AFE" w14:textId="77777777" w:rsidR="005B0F27" w:rsidRPr="005B0F27" w:rsidRDefault="005B0F27" w:rsidP="005B0F27">
      <w:pPr>
        <w:spacing w:line="240" w:lineRule="auto"/>
        <w:rPr>
          <w:rFonts w:eastAsia="Times New Roman" w:cs="Arial"/>
          <w:color w:val="000000"/>
          <w:u w:val="single"/>
          <w:lang w:eastAsia="bg-BG"/>
        </w:rPr>
      </w:pPr>
    </w:p>
    <w:p w14:paraId="0CBFC8A7" w14:textId="2E72229C" w:rsidR="005B0F27" w:rsidRPr="005B0F27" w:rsidRDefault="005B0F27" w:rsidP="005B0F27">
      <w:pPr>
        <w:spacing w:line="240" w:lineRule="auto"/>
        <w:rPr>
          <w:rFonts w:eastAsia="Times New Roman" w:cs="Arial"/>
          <w:lang w:eastAsia="bg-BG"/>
        </w:rPr>
      </w:pPr>
      <w:r w:rsidRPr="005B0F27">
        <w:rPr>
          <w:rFonts w:eastAsia="Times New Roman" w:cs="Arial"/>
          <w:color w:val="000000"/>
          <w:u w:val="single"/>
          <w:lang w:eastAsia="bg-BG"/>
        </w:rPr>
        <w:t>Механизъм на действие и фармакодинамични ефекти</w:t>
      </w:r>
    </w:p>
    <w:p w14:paraId="348172A1"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val="en-US"/>
        </w:rPr>
        <w:t>S</w:t>
      </w:r>
      <w:r w:rsidRPr="005B0F27">
        <w:rPr>
          <w:rFonts w:eastAsia="Times New Roman" w:cs="Arial"/>
          <w:color w:val="000000"/>
          <w:lang w:eastAsia="bg-BG"/>
        </w:rPr>
        <w:t>-аденозил-</w:t>
      </w:r>
      <w:r w:rsidRPr="005B0F27">
        <w:rPr>
          <w:rFonts w:eastAsia="Times New Roman" w:cs="Arial"/>
          <w:color w:val="000000"/>
          <w:lang w:val="en-US"/>
        </w:rPr>
        <w:t>L</w:t>
      </w:r>
      <w:r w:rsidRPr="005B0F27">
        <w:rPr>
          <w:rFonts w:eastAsia="Times New Roman" w:cs="Arial"/>
          <w:color w:val="000000"/>
          <w:lang w:eastAsia="bg-BG"/>
        </w:rPr>
        <w:t>-метионин (адеметионин) е естествена аминокиселина, която се установява в практически всички тъкани и течности на организма. Адеметионин действа основно като коензим и пренасянето на метилови групи (трансметилиране) е есенциален метаболитен процес при хора и животни. Пренасянето на метилови групи е също основно за образуването на фосфолипидната част на клетъчната мембрана и допринася за флуидността на мембраната. Адеметионин може да преминава кръвно-мозъчната бариера и медиираното от него трансметилиране е критично при формиране на невротрансмитерите в ЦНС като катехоламините (допамин, норадреналин, адреналин), серотонин, мелатонин и хистамин.</w:t>
      </w:r>
    </w:p>
    <w:p w14:paraId="7F1256B0" w14:textId="77777777" w:rsidR="005B0F27" w:rsidRPr="005B0F27" w:rsidRDefault="005B0F27" w:rsidP="005B0F27">
      <w:pPr>
        <w:spacing w:line="240" w:lineRule="auto"/>
        <w:rPr>
          <w:rFonts w:eastAsia="Times New Roman" w:cs="Arial"/>
          <w:color w:val="000000"/>
          <w:lang w:eastAsia="bg-BG"/>
        </w:rPr>
      </w:pPr>
    </w:p>
    <w:p w14:paraId="65175AA9" w14:textId="6F2F27AF"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 xml:space="preserve">Адеметионин е също прекурсор във формирането на физиологичните сулфурирани съединения (цистеин, таурин, глутатион, </w:t>
      </w:r>
      <w:r w:rsidRPr="005B0F27">
        <w:rPr>
          <w:rFonts w:eastAsia="Times New Roman" w:cs="Arial"/>
          <w:color w:val="000000"/>
          <w:lang w:val="en-US"/>
        </w:rPr>
        <w:t>Co</w:t>
      </w:r>
      <w:r w:rsidRPr="005B0F27">
        <w:rPr>
          <w:rFonts w:eastAsia="Times New Roman" w:cs="Arial"/>
          <w:color w:val="000000"/>
          <w:lang w:eastAsia="bg-BG"/>
        </w:rPr>
        <w:t xml:space="preserve">А и други) чрез трансулфурилиране. Глутатион, най-мощният антиоксидант в черния дроб, е важен в чернодробната детоксикация. Адеметионин повишава чернодробните нива на глутатион при пациенти с алкохолна и не-алкохолна чернодробна болест. Както фолатите, така и витамин </w:t>
      </w:r>
      <w:r w:rsidRPr="005B0F27">
        <w:rPr>
          <w:rFonts w:eastAsia="Times New Roman" w:cs="Arial"/>
          <w:color w:val="000000"/>
          <w:lang w:val="en-US"/>
        </w:rPr>
        <w:t>B</w:t>
      </w:r>
      <w:r w:rsidRPr="005B0F27">
        <w:rPr>
          <w:rFonts w:eastAsia="Times New Roman" w:cs="Arial"/>
          <w:color w:val="000000"/>
          <w:vertAlign w:val="subscript"/>
          <w:lang w:val="en-US"/>
        </w:rPr>
        <w:t>12</w:t>
      </w:r>
      <w:r w:rsidRPr="005B0F27">
        <w:rPr>
          <w:rFonts w:eastAsia="Times New Roman" w:cs="Arial"/>
          <w:color w:val="000000"/>
          <w:lang w:val="en-US"/>
        </w:rPr>
        <w:t xml:space="preserve"> </w:t>
      </w:r>
      <w:r w:rsidRPr="005B0F27">
        <w:rPr>
          <w:rFonts w:eastAsia="Times New Roman" w:cs="Arial"/>
          <w:color w:val="000000"/>
          <w:lang w:eastAsia="bg-BG"/>
        </w:rPr>
        <w:t>са есенциални вещества за метаболизма и възстановяване запасите на адеметионин.</w:t>
      </w:r>
    </w:p>
    <w:p w14:paraId="514A5A8C" w14:textId="77777777" w:rsidR="005B0F27" w:rsidRPr="005B0F27" w:rsidRDefault="005B0F27" w:rsidP="005B0F27">
      <w:pPr>
        <w:spacing w:line="240" w:lineRule="auto"/>
        <w:rPr>
          <w:rFonts w:eastAsia="Times New Roman" w:cs="Arial"/>
          <w:color w:val="000000"/>
          <w:u w:val="single"/>
          <w:lang w:eastAsia="bg-BG"/>
        </w:rPr>
      </w:pPr>
    </w:p>
    <w:p w14:paraId="4BFDECDF" w14:textId="1D9AA8CC" w:rsidR="005B0F27" w:rsidRPr="005B0F27" w:rsidRDefault="005B0F27" w:rsidP="005B0F27">
      <w:pPr>
        <w:spacing w:line="240" w:lineRule="auto"/>
        <w:rPr>
          <w:rFonts w:eastAsia="Times New Roman" w:cs="Arial"/>
          <w:lang w:eastAsia="bg-BG"/>
        </w:rPr>
      </w:pPr>
      <w:r w:rsidRPr="005B0F27">
        <w:rPr>
          <w:rFonts w:eastAsia="Times New Roman" w:cs="Arial"/>
          <w:color w:val="000000"/>
          <w:u w:val="single"/>
          <w:lang w:eastAsia="bg-BG"/>
        </w:rPr>
        <w:lastRenderedPageBreak/>
        <w:t>Клинична ефикасност</w:t>
      </w:r>
    </w:p>
    <w:p w14:paraId="4772B49F" w14:textId="77777777" w:rsidR="005B0F27" w:rsidRPr="005B0F27" w:rsidRDefault="005B0F27" w:rsidP="005B0F27">
      <w:pPr>
        <w:spacing w:line="240" w:lineRule="auto"/>
        <w:rPr>
          <w:rFonts w:eastAsia="Times New Roman" w:cs="Arial"/>
          <w:i/>
          <w:iCs/>
          <w:color w:val="000000"/>
          <w:lang w:eastAsia="bg-BG"/>
        </w:rPr>
      </w:pPr>
    </w:p>
    <w:p w14:paraId="6774FAEE" w14:textId="7D949059" w:rsidR="005B0F27" w:rsidRPr="005B0F27" w:rsidRDefault="005B0F27" w:rsidP="005B0F27">
      <w:pPr>
        <w:spacing w:line="240" w:lineRule="auto"/>
        <w:rPr>
          <w:rFonts w:eastAsia="Times New Roman" w:cs="Arial"/>
          <w:lang w:eastAsia="bg-BG"/>
        </w:rPr>
      </w:pPr>
      <w:r w:rsidRPr="005B0F27">
        <w:rPr>
          <w:rFonts w:eastAsia="Times New Roman" w:cs="Arial"/>
          <w:i/>
          <w:iCs/>
          <w:color w:val="000000"/>
          <w:lang w:eastAsia="bg-BG"/>
        </w:rPr>
        <w:t>Интрахепатална холестаза</w:t>
      </w:r>
    </w:p>
    <w:p w14:paraId="0DCB6716" w14:textId="77777777"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Натрупаният опит с перорално и парентерално приложение на адеметионин за повече от 20 години показва, че лекарството е ефективно за лечение на интрахепатална холестаза при чернодробна болест и при бременност и други хронични чернодробни нарушения.</w:t>
      </w:r>
    </w:p>
    <w:p w14:paraId="1A071AC5" w14:textId="77777777" w:rsidR="005B0F27" w:rsidRPr="005B0F27" w:rsidRDefault="005B0F27" w:rsidP="005B0F27">
      <w:pPr>
        <w:spacing w:line="240" w:lineRule="auto"/>
        <w:rPr>
          <w:rFonts w:eastAsia="Times New Roman" w:cs="Arial"/>
          <w:color w:val="000000"/>
          <w:lang w:eastAsia="bg-BG"/>
        </w:rPr>
      </w:pPr>
    </w:p>
    <w:p w14:paraId="4F3E7CAD" w14:textId="50CB1590"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Интрахепаталната холестаза е усложнение на хроничната чернодробна болест и други причини за хепатоцелуларна увреда. При чернодробна болест нормалната хепатоцитна функция по отношение на регулацията и елеминирането на жлъчните киселини е нарушена, което води до холестаза.</w:t>
      </w:r>
    </w:p>
    <w:p w14:paraId="6477537F" w14:textId="77777777" w:rsidR="005B0F27" w:rsidRPr="005B0F27" w:rsidRDefault="005B0F27" w:rsidP="005B0F27">
      <w:pPr>
        <w:spacing w:line="240" w:lineRule="auto"/>
        <w:rPr>
          <w:rFonts w:eastAsia="Times New Roman" w:cs="Arial"/>
          <w:color w:val="000000"/>
          <w:lang w:eastAsia="bg-BG"/>
        </w:rPr>
      </w:pPr>
    </w:p>
    <w:p w14:paraId="2B41CFD7" w14:textId="1EF6285E" w:rsidR="005B0F27" w:rsidRPr="005B0F27" w:rsidRDefault="005B0F27" w:rsidP="005B0F27">
      <w:pPr>
        <w:spacing w:line="240" w:lineRule="auto"/>
        <w:rPr>
          <w:rFonts w:eastAsia="Times New Roman" w:cs="Arial"/>
          <w:lang w:eastAsia="bg-BG"/>
        </w:rPr>
      </w:pPr>
      <w:r w:rsidRPr="005B0F27">
        <w:rPr>
          <w:rFonts w:eastAsia="Times New Roman" w:cs="Arial"/>
          <w:color w:val="000000"/>
          <w:lang w:eastAsia="bg-BG"/>
        </w:rPr>
        <w:t>Употребата на адеметионин е проучвана при пациенти с хронична чернодробна болест, което включва интрахепатална холестаза, включително първична билиарна цироза, лекарствена увреда на черния дроб, вирусни хепатити, холестаза при парентерално хранене, алкохолна чернодробна болест и не-алкохолна мастна чернодробна болест.</w:t>
      </w:r>
    </w:p>
    <w:p w14:paraId="04CBF156" w14:textId="77777777" w:rsidR="005B0F27" w:rsidRPr="005B0F27" w:rsidRDefault="005B0F27" w:rsidP="005B0F27">
      <w:pPr>
        <w:rPr>
          <w:rFonts w:eastAsia="Times New Roman" w:cs="Arial"/>
          <w:color w:val="000000"/>
          <w:lang w:eastAsia="bg-BG"/>
        </w:rPr>
      </w:pPr>
    </w:p>
    <w:p w14:paraId="021AD2A4" w14:textId="77777777" w:rsidR="005B0F27" w:rsidRPr="005B0F27" w:rsidRDefault="005B0F27" w:rsidP="005B0F27">
      <w:pPr>
        <w:rPr>
          <w:rFonts w:eastAsia="Times New Roman" w:cs="Arial"/>
          <w:sz w:val="24"/>
          <w:szCs w:val="24"/>
          <w:lang w:eastAsia="bg-BG"/>
        </w:rPr>
      </w:pPr>
      <w:r w:rsidRPr="005B0F27">
        <w:rPr>
          <w:rFonts w:eastAsia="Times New Roman" w:cs="Arial"/>
          <w:color w:val="000000"/>
          <w:lang w:eastAsia="bg-BG"/>
        </w:rPr>
        <w:t>Повече от 2 700 пациенти с интрахепатална холестаза и/или хронична черинодробна болест са бнли включени в клинични изпитвания с адеметионин и 1 983 за били лекувани с адеметионин. В повечето от тези изпитвания, адеметионин е бил сравняван с плацебо поради почти пълната</w:t>
      </w:r>
      <w:r w:rsidRPr="005B0F27">
        <w:rPr>
          <w:rFonts w:eastAsia="Times New Roman" w:cs="Arial"/>
          <w:color w:val="000000"/>
          <w:lang w:val="en-US"/>
        </w:rPr>
        <w:t xml:space="preserve"> </w:t>
      </w:r>
      <w:r w:rsidRPr="005B0F27">
        <w:rPr>
          <w:rFonts w:eastAsia="Times New Roman" w:cs="Arial"/>
          <w:color w:val="000000"/>
          <w:lang w:eastAsia="bg-BG"/>
        </w:rPr>
        <w:t>липса на алтеративни терапии по това време. В почти 90% от случаите холестатичен компонент е бил</w:t>
      </w:r>
      <w:r w:rsidRPr="005B0F27">
        <w:rPr>
          <w:rFonts w:eastAsia="Times New Roman" w:cs="Arial"/>
          <w:color w:val="000000"/>
          <w:lang w:val="en-US" w:eastAsia="bg-BG"/>
        </w:rPr>
        <w:t xml:space="preserve"> </w:t>
      </w:r>
      <w:r w:rsidRPr="005B0F27">
        <w:rPr>
          <w:rFonts w:eastAsia="Times New Roman" w:cs="Arial"/>
          <w:color w:val="000000"/>
          <w:lang w:eastAsia="bg-BG"/>
        </w:rPr>
        <w:t>асоцииран с хроничната чернодробна болест. Останалите пациенти са страдали от алкохолна чернодробна болест, остър и хроничен хепатит или интрахепатална холестаза на бременността. Параметрите за ефикасност, взети под внимание в клиничните проучвания са включвали основните субективни симптоми на холестаза (сърбеж, жълтеница, умора, възстановяване на доброто общо състояние), и биохимични маркери за холестаза и чернодробна увреда, като общ и конюгиран билирубин, алкална фосфатаза, жлъчни соли, трансаминази, гама-глутамил трансфераза. Лечението с адеметионин интравенозно, интрамускулно или перорално е подобрило интрахепаталната холестаза, която се дължи на хронична чернодробна болест или бременност и алкохолна цироза. Ефектите от интравенозната и интрамускулната терапия са видими след 1-2 седмици лечение, докато оралното лечение е подходящо за поддържаща терапия.</w:t>
      </w:r>
    </w:p>
    <w:p w14:paraId="7A70C343" w14:textId="77777777" w:rsidR="005B0F27" w:rsidRPr="005B0F27" w:rsidRDefault="005B0F27" w:rsidP="005B0F27">
      <w:pPr>
        <w:spacing w:line="240" w:lineRule="auto"/>
        <w:rPr>
          <w:rFonts w:eastAsia="Times New Roman" w:cs="Arial"/>
          <w:color w:val="000000"/>
          <w:lang w:eastAsia="bg-BG"/>
        </w:rPr>
      </w:pPr>
    </w:p>
    <w:p w14:paraId="5A0F922D" w14:textId="52CC15E5"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 xml:space="preserve">Дългосрочно, двойно-сляпо, плацебо контролирано проучване при 123 мъже и жени с алкохолна чернодробна цироза показва, че 1 200 </w:t>
      </w:r>
      <w:r w:rsidRPr="005B0F27">
        <w:rPr>
          <w:rFonts w:eastAsia="Times New Roman" w:cs="Arial"/>
          <w:color w:val="000000"/>
          <w:lang w:val="en-US"/>
        </w:rPr>
        <w:t>mg</w:t>
      </w:r>
      <w:r w:rsidRPr="005B0F27">
        <w:rPr>
          <w:rFonts w:eastAsia="Times New Roman" w:cs="Arial"/>
          <w:color w:val="000000"/>
          <w:lang w:eastAsia="bg-BG"/>
        </w:rPr>
        <w:t>/дневно адеметионин за 2 години може да подобри преживяемостта и забави нуждата от чернодробна транс плантация по-ефективно от плацебо. Общата смъртност/чернодробна транс плантация в края на проучването намалява от 30% в плацебо групата на 16% в групата с адеметионин, въпреки че статистически тази разлика не е значима. Дългосрочното лечение с адеметионин намалява общата смъртност/чернодробна трансплантация, особено при пациенти с по-малко напреднала чернодробна болест.</w:t>
      </w:r>
    </w:p>
    <w:p w14:paraId="29DB07EF" w14:textId="77777777" w:rsidR="005B0F27" w:rsidRPr="005B0F27" w:rsidRDefault="005B0F27" w:rsidP="005B0F27">
      <w:pPr>
        <w:spacing w:line="240" w:lineRule="auto"/>
        <w:rPr>
          <w:rFonts w:eastAsia="Times New Roman" w:cs="Arial"/>
          <w:i/>
          <w:iCs/>
          <w:color w:val="000000"/>
          <w:lang w:eastAsia="bg-BG"/>
        </w:rPr>
      </w:pPr>
    </w:p>
    <w:p w14:paraId="2267B5D3" w14:textId="2F995EEA"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Интрахепатална холестаза при бременност</w:t>
      </w:r>
    </w:p>
    <w:p w14:paraId="7FB7123A"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 xml:space="preserve">Ефикасността на лечението с адеметионин е оценено в 7 клинични изпитвания, които включват 264 жени с интрахепатална холестаза при бременност. От тях, 156 са лекувани с адеметионин, 21 са получили плацебо, 60 - активна контрола (урзодеоксихолева киселина) и 27 - адеметионин плюс урзодеоксихолева киселина. Лечението с адеметионин, приложено интравенозно, интрамускулно или перорално, е било ефективно </w:t>
      </w:r>
      <w:r w:rsidRPr="005B0F27">
        <w:rPr>
          <w:rFonts w:eastAsia="Times New Roman" w:cs="Arial"/>
          <w:color w:val="000000"/>
          <w:lang w:eastAsia="bg-BG"/>
        </w:rPr>
        <w:lastRenderedPageBreak/>
        <w:t>при интрахепатална холестаза при бременност с подобряване на пруритуса и биохимичните параметри.</w:t>
      </w:r>
    </w:p>
    <w:p w14:paraId="386C58D9" w14:textId="77777777" w:rsidR="005B0F27" w:rsidRPr="005B0F27" w:rsidRDefault="005B0F27" w:rsidP="005B0F27">
      <w:pPr>
        <w:spacing w:line="240" w:lineRule="auto"/>
        <w:rPr>
          <w:rFonts w:eastAsia="Times New Roman" w:cs="Arial"/>
          <w:color w:val="000000"/>
          <w:lang w:eastAsia="bg-BG"/>
        </w:rPr>
      </w:pPr>
    </w:p>
    <w:p w14:paraId="2D432C37" w14:textId="68AC635A"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Преглед на клиничната ефикасност на адеметионин за лечение на депресия и чернодробна болест е публикуван през 2002 от Агенцията за изследване и качество в здравеопазването (САЩ). Мета- анализ на тези проучвания заключава, че адеметионин е по-ефективен от плацебо за облекчаване симптомите на депресия, пруритус при холестаза на бременността и интрахепатална холестаза. Адеметионин е по-ефективен от плацебо за намаляване на серумния билирубин при холестаза на бременността и при интрахепатална холестаза. Лечението с адеметионин е еквивалентно на стандартната терапия за депресия.</w:t>
      </w:r>
    </w:p>
    <w:p w14:paraId="0F206416" w14:textId="77777777" w:rsidR="005B0F27" w:rsidRPr="005B0F27" w:rsidRDefault="005B0F27" w:rsidP="005B0F27">
      <w:pPr>
        <w:spacing w:line="240" w:lineRule="auto"/>
        <w:rPr>
          <w:rFonts w:eastAsia="Times New Roman" w:cs="Arial"/>
          <w:i/>
          <w:iCs/>
          <w:color w:val="000000"/>
          <w:lang w:eastAsia="bg-BG"/>
        </w:rPr>
      </w:pPr>
    </w:p>
    <w:p w14:paraId="0503F840" w14:textId="271FEEFF" w:rsidR="005B0F27" w:rsidRPr="005B0F27" w:rsidRDefault="005B0F27" w:rsidP="005B0F27">
      <w:pPr>
        <w:spacing w:line="240" w:lineRule="auto"/>
        <w:rPr>
          <w:rFonts w:eastAsia="Times New Roman" w:cs="Arial"/>
          <w:sz w:val="24"/>
          <w:szCs w:val="24"/>
          <w:lang w:eastAsia="bg-BG"/>
        </w:rPr>
      </w:pPr>
      <w:r w:rsidRPr="005B0F27">
        <w:rPr>
          <w:rFonts w:eastAsia="Times New Roman" w:cs="Arial"/>
          <w:i/>
          <w:iCs/>
          <w:color w:val="000000"/>
          <w:lang w:eastAsia="bg-BG"/>
        </w:rPr>
        <w:t>Депресия</w:t>
      </w:r>
    </w:p>
    <w:p w14:paraId="28252AA0" w14:textId="0457608F" w:rsidR="0091385D" w:rsidRPr="005B0F27" w:rsidRDefault="005B0F27" w:rsidP="005B0F27">
      <w:pPr>
        <w:rPr>
          <w:rFonts w:cs="Arial"/>
          <w:lang w:val="en-US"/>
        </w:rPr>
      </w:pPr>
      <w:r w:rsidRPr="005B0F27">
        <w:rPr>
          <w:rFonts w:eastAsia="Times New Roman" w:cs="Arial"/>
          <w:color w:val="000000"/>
          <w:lang w:eastAsia="bg-BG"/>
        </w:rPr>
        <w:t xml:space="preserve">Адеметионин е бил прилаган перорално или парентерално по време на лечение на депресия. Резултатите от няколко обзорни статии за ефикасността на адеметионин при лечението на депресивни разстройства и от мета-анализите от клиничните проучвания показват, че адеметионин, в дози от 200 - 1 600 </w:t>
      </w:r>
      <w:r w:rsidRPr="005B0F27">
        <w:rPr>
          <w:rFonts w:eastAsia="Times New Roman" w:cs="Arial"/>
          <w:color w:val="000000"/>
          <w:lang w:val="en-US"/>
        </w:rPr>
        <w:t>mg</w:t>
      </w:r>
      <w:r w:rsidRPr="005B0F27">
        <w:rPr>
          <w:rFonts w:eastAsia="Times New Roman" w:cs="Arial"/>
          <w:color w:val="000000"/>
          <w:lang w:eastAsia="bg-BG"/>
        </w:rPr>
        <w:t>/ден притежава изразено антидепресивно действие при пациенти, страдащи от различни видове депресия (униполярни ендогенни, невротични, дистимични нарушения). Няколко двойно-слепи проучвания са установили, че ефикасността на адеметионин при лечение на деспресивни разтройства превъзхожда плацебо и е подобна на трициклични антидепресанти. Антидепресивното действие е бързо и се проявява в рамките на 5-7 дни от лечението при отсъствие на анти-холинергични реакции.</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0B5C410E" w14:textId="77777777" w:rsidR="005B0F27" w:rsidRPr="005B0F27" w:rsidRDefault="005B0F27" w:rsidP="005B0F27">
      <w:pPr>
        <w:pStyle w:val="Heading3"/>
        <w:rPr>
          <w:color w:val="auto"/>
          <w:u w:val="single"/>
        </w:rPr>
      </w:pPr>
      <w:r w:rsidRPr="005B0F27">
        <w:rPr>
          <w:u w:val="single"/>
        </w:rPr>
        <w:t>Абсорбция</w:t>
      </w:r>
    </w:p>
    <w:p w14:paraId="705BFE5B" w14:textId="77777777" w:rsidR="005B0F27" w:rsidRPr="005B0F27" w:rsidRDefault="005B0F27" w:rsidP="005B0F27">
      <w:pPr>
        <w:rPr>
          <w:rFonts w:eastAsia="Times New Roman" w:cs="Arial"/>
          <w:sz w:val="24"/>
          <w:szCs w:val="24"/>
          <w:lang w:eastAsia="bg-BG"/>
        </w:rPr>
      </w:pPr>
      <w:r>
        <w:t xml:space="preserve">При хората, след интравенозно приложение фармакологичният профил на адеметионин е биекспоненциален и е съставен от бърза фаза на разпределение в тъканите и крайна елиминационна фаза, която се характеризира с полуживот от около 1,5 часа. При интрамускулно приложение, абсорбцията на адеметионин е практически пълна (96%), максималните плазмени концетрации на адеметионин се достигат след около 45 минути. След перорално приложение на адеметионин, пиковите плазмени концентрации </w:t>
      </w:r>
      <w:r w:rsidRPr="005B0F27">
        <w:rPr>
          <w:rFonts w:cs="Arial"/>
        </w:rPr>
        <w:t>достигнати след прием на стомашно устойчивите</w:t>
      </w:r>
      <w:r w:rsidRPr="005B0F27">
        <w:rPr>
          <w:rFonts w:cs="Arial"/>
          <w:lang w:val="en-US"/>
        </w:rPr>
        <w:t xml:space="preserve"> </w:t>
      </w:r>
      <w:r w:rsidRPr="005B0F27">
        <w:rPr>
          <w:rFonts w:eastAsia="Times New Roman" w:cs="Arial"/>
          <w:color w:val="000000"/>
          <w:lang w:eastAsia="bg-BG"/>
        </w:rPr>
        <w:t xml:space="preserve">таблетки са дозо-зависими и са от 0,5 до 1 </w:t>
      </w:r>
      <w:r w:rsidRPr="005B0F27">
        <w:rPr>
          <w:rFonts w:eastAsia="Times New Roman" w:cs="Arial"/>
          <w:color w:val="000000"/>
          <w:lang w:val="en-US"/>
        </w:rPr>
        <w:t xml:space="preserve">mg/l, </w:t>
      </w:r>
      <w:r w:rsidRPr="005B0F27">
        <w:rPr>
          <w:rFonts w:eastAsia="Times New Roman" w:cs="Arial"/>
          <w:color w:val="000000"/>
          <w:lang w:eastAsia="bg-BG"/>
        </w:rPr>
        <w:t xml:space="preserve">които се достигат след 3 до 5 часа след единична доза в интервала от 400 до 1 000 </w:t>
      </w:r>
      <w:r w:rsidRPr="005B0F27">
        <w:rPr>
          <w:rFonts w:eastAsia="Times New Roman" w:cs="Arial"/>
          <w:color w:val="000000"/>
          <w:lang w:val="en-US"/>
        </w:rPr>
        <w:t xml:space="preserve">mg. </w:t>
      </w:r>
      <w:r w:rsidRPr="005B0F27">
        <w:rPr>
          <w:rFonts w:eastAsia="Times New Roman" w:cs="Arial"/>
          <w:color w:val="000000"/>
          <w:lang w:eastAsia="bg-BG"/>
        </w:rPr>
        <w:t>Плазмените концентрации спадат до базовите нива за 24 часа. Пероралната бионаличност се увеличава когато адеметионин се приема на гладно.</w:t>
      </w:r>
    </w:p>
    <w:p w14:paraId="72A71686" w14:textId="77777777" w:rsidR="005B0F27" w:rsidRPr="005B0F27" w:rsidRDefault="005B0F27" w:rsidP="005B0F27">
      <w:pPr>
        <w:spacing w:line="240" w:lineRule="auto"/>
        <w:rPr>
          <w:rFonts w:eastAsia="Times New Roman" w:cs="Arial"/>
          <w:color w:val="000000"/>
          <w:u w:val="single"/>
          <w:lang w:eastAsia="bg-BG"/>
        </w:rPr>
      </w:pPr>
    </w:p>
    <w:p w14:paraId="1439D6E8" w14:textId="0978998B" w:rsidR="005B0F27" w:rsidRPr="005B0F27" w:rsidRDefault="005B0F27" w:rsidP="005B0F27">
      <w:pPr>
        <w:pStyle w:val="Heading3"/>
        <w:rPr>
          <w:rFonts w:eastAsia="Times New Roman"/>
          <w:u w:val="single"/>
          <w:lang w:eastAsia="bg-BG"/>
        </w:rPr>
      </w:pPr>
      <w:r w:rsidRPr="005B0F27">
        <w:rPr>
          <w:rFonts w:eastAsia="Times New Roman"/>
          <w:u w:val="single"/>
          <w:lang w:eastAsia="bg-BG"/>
        </w:rPr>
        <w:t>Разпределение</w:t>
      </w:r>
    </w:p>
    <w:p w14:paraId="09F64C3D"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Докладвани са обеми на разпределение от 0,41 и 0,44</w:t>
      </w:r>
      <w:r w:rsidRPr="005B0F27">
        <w:rPr>
          <w:rFonts w:eastAsia="Times New Roman" w:cs="Arial"/>
          <w:color w:val="000000"/>
          <w:lang w:val="en-US"/>
        </w:rPr>
        <w:t xml:space="preserve">1/kg </w:t>
      </w:r>
      <w:r w:rsidRPr="005B0F27">
        <w:rPr>
          <w:rFonts w:eastAsia="Times New Roman" w:cs="Arial"/>
          <w:color w:val="000000"/>
          <w:lang w:eastAsia="bg-BG"/>
        </w:rPr>
        <w:t xml:space="preserve">за дози адеметионин от 100 </w:t>
      </w:r>
      <w:r w:rsidRPr="005B0F27">
        <w:rPr>
          <w:rFonts w:eastAsia="Times New Roman" w:cs="Arial"/>
          <w:color w:val="000000"/>
          <w:lang w:val="en-US"/>
        </w:rPr>
        <w:t xml:space="preserve">mg </w:t>
      </w:r>
      <w:r w:rsidRPr="005B0F27">
        <w:rPr>
          <w:rFonts w:eastAsia="Times New Roman" w:cs="Arial"/>
          <w:color w:val="000000"/>
          <w:lang w:eastAsia="bg-BG"/>
        </w:rPr>
        <w:t xml:space="preserve">и 500 </w:t>
      </w:r>
      <w:r w:rsidRPr="005B0F27">
        <w:rPr>
          <w:rFonts w:eastAsia="Times New Roman" w:cs="Arial"/>
          <w:color w:val="000000"/>
          <w:lang w:val="en-US"/>
        </w:rPr>
        <w:t xml:space="preserve">mg, </w:t>
      </w:r>
      <w:r w:rsidRPr="005B0F27">
        <w:rPr>
          <w:rFonts w:eastAsia="Times New Roman" w:cs="Arial"/>
          <w:color w:val="000000"/>
          <w:lang w:eastAsia="bg-BG"/>
        </w:rPr>
        <w:t>съответно. Свързването с плазмените протеини е незначително и е &lt; 5%.</w:t>
      </w:r>
    </w:p>
    <w:p w14:paraId="2A8D8EC8" w14:textId="77777777" w:rsidR="005B0F27" w:rsidRPr="005B0F27" w:rsidRDefault="005B0F27" w:rsidP="005B0F27">
      <w:pPr>
        <w:spacing w:line="240" w:lineRule="auto"/>
        <w:rPr>
          <w:rFonts w:eastAsia="Times New Roman" w:cs="Arial"/>
          <w:color w:val="000000"/>
          <w:u w:val="single"/>
          <w:lang w:eastAsia="bg-BG"/>
        </w:rPr>
      </w:pPr>
    </w:p>
    <w:p w14:paraId="48D77E5A" w14:textId="0F181941" w:rsidR="005B0F27" w:rsidRPr="005B0F27" w:rsidRDefault="005B0F27" w:rsidP="005B0F27">
      <w:pPr>
        <w:pStyle w:val="Heading3"/>
        <w:rPr>
          <w:rFonts w:eastAsia="Times New Roman"/>
          <w:u w:val="single"/>
          <w:lang w:eastAsia="bg-BG"/>
        </w:rPr>
      </w:pPr>
      <w:r w:rsidRPr="005B0F27">
        <w:rPr>
          <w:rFonts w:eastAsia="Times New Roman"/>
          <w:u w:val="single"/>
          <w:lang w:eastAsia="bg-BG"/>
        </w:rPr>
        <w:t>Биотрансформация</w:t>
      </w:r>
    </w:p>
    <w:p w14:paraId="0E171365"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 xml:space="preserve">Реакциите, които произвеждат, изразходват и възстановяват адеметионин се наричат адеметионинов цикъл. На първата стъпка на този цикъл, адеметионин-зависими метилази използват адеметионина като субстрат и продуцират </w:t>
      </w:r>
      <w:r w:rsidRPr="005B0F27">
        <w:rPr>
          <w:rFonts w:eastAsia="Times New Roman" w:cs="Arial"/>
          <w:color w:val="000000"/>
          <w:lang w:val="en-US"/>
        </w:rPr>
        <w:t>S</w:t>
      </w:r>
      <w:r w:rsidRPr="005B0F27">
        <w:rPr>
          <w:rFonts w:eastAsia="Times New Roman" w:cs="Arial"/>
          <w:color w:val="000000"/>
          <w:lang w:eastAsia="bg-BG"/>
        </w:rPr>
        <w:t xml:space="preserve">-аденозил-хомоцистеин. </w:t>
      </w:r>
      <w:r w:rsidRPr="005B0F27">
        <w:rPr>
          <w:rFonts w:eastAsia="Times New Roman" w:cs="Arial"/>
          <w:color w:val="000000"/>
          <w:lang w:val="en-US"/>
        </w:rPr>
        <w:t>S</w:t>
      </w:r>
      <w:r w:rsidRPr="005B0F27">
        <w:rPr>
          <w:rFonts w:eastAsia="Times New Roman" w:cs="Arial"/>
          <w:color w:val="000000"/>
          <w:lang w:eastAsia="bg-BG"/>
        </w:rPr>
        <w:t xml:space="preserve">-аденозил- хомоцистеин се хидролизира до хомоцистеин и аденозин от </w:t>
      </w:r>
      <w:r w:rsidRPr="005B0F27">
        <w:rPr>
          <w:rFonts w:eastAsia="Times New Roman" w:cs="Arial"/>
          <w:color w:val="000000"/>
          <w:lang w:val="en-US"/>
        </w:rPr>
        <w:t>S</w:t>
      </w:r>
      <w:r w:rsidRPr="005B0F27">
        <w:rPr>
          <w:rFonts w:eastAsia="Times New Roman" w:cs="Arial"/>
          <w:color w:val="000000"/>
          <w:lang w:eastAsia="bg-BG"/>
        </w:rPr>
        <w:t xml:space="preserve">-аденозил-хомоцистеин хидролаза. След това хомоцистеин се рециклира обратно до метионин с </w:t>
      </w:r>
      <w:r w:rsidRPr="005B0F27">
        <w:rPr>
          <w:rFonts w:eastAsia="Times New Roman" w:cs="Arial"/>
          <w:color w:val="000000"/>
          <w:lang w:eastAsia="bg-BG"/>
        </w:rPr>
        <w:lastRenderedPageBreak/>
        <w:t>пренасяне на метилова група от 5- метилтетрахидрофолат. Най-накрая, метионин може да бъде конвертиран обратно до адеметионин, завършвайки цикъла.</w:t>
      </w:r>
    </w:p>
    <w:p w14:paraId="3102CB40" w14:textId="77777777" w:rsidR="005B0F27" w:rsidRPr="005B0F27" w:rsidRDefault="005B0F27" w:rsidP="005B0F27">
      <w:pPr>
        <w:spacing w:line="240" w:lineRule="auto"/>
        <w:rPr>
          <w:rFonts w:eastAsia="Times New Roman" w:cs="Arial"/>
          <w:color w:val="000000"/>
          <w:u w:val="single"/>
          <w:lang w:eastAsia="bg-BG"/>
        </w:rPr>
      </w:pPr>
    </w:p>
    <w:p w14:paraId="264FD539" w14:textId="13AB6307" w:rsidR="005B0F27" w:rsidRPr="005B0F27" w:rsidRDefault="005B0F27" w:rsidP="005B0F27">
      <w:pPr>
        <w:pStyle w:val="Heading3"/>
        <w:rPr>
          <w:rFonts w:eastAsia="Times New Roman"/>
          <w:u w:val="single"/>
          <w:lang w:eastAsia="bg-BG"/>
        </w:rPr>
      </w:pPr>
      <w:r w:rsidRPr="005B0F27">
        <w:rPr>
          <w:rFonts w:eastAsia="Times New Roman"/>
          <w:u w:val="single"/>
          <w:lang w:eastAsia="bg-BG"/>
        </w:rPr>
        <w:t>Елиминиране</w:t>
      </w:r>
    </w:p>
    <w:p w14:paraId="148BA3FC" w14:textId="5FB3A2C7" w:rsidR="0091385D" w:rsidRPr="005B0F27" w:rsidRDefault="005B0F27" w:rsidP="005B0F27">
      <w:pPr>
        <w:rPr>
          <w:rFonts w:cs="Arial"/>
          <w:lang w:val="en-US"/>
        </w:rPr>
      </w:pPr>
      <w:r w:rsidRPr="005B0F27">
        <w:rPr>
          <w:rFonts w:eastAsia="Times New Roman" w:cs="Arial"/>
          <w:color w:val="000000"/>
          <w:lang w:eastAsia="bg-BG"/>
        </w:rPr>
        <w:t xml:space="preserve">В белязани балансирани проучвания с перорално приложен, радиоактивен </w:t>
      </w:r>
      <w:r w:rsidRPr="005B0F27">
        <w:rPr>
          <w:rFonts w:eastAsia="Times New Roman" w:cs="Arial"/>
          <w:color w:val="000000"/>
          <w:lang w:val="en-US"/>
        </w:rPr>
        <w:t xml:space="preserve">(methyl </w:t>
      </w:r>
      <w:r w:rsidRPr="005B0F27">
        <w:rPr>
          <w:rFonts w:eastAsia="Times New Roman" w:cs="Arial"/>
          <w:color w:val="000000"/>
          <w:lang w:eastAsia="bg-BG"/>
        </w:rPr>
        <w:t xml:space="preserve">14С) </w:t>
      </w:r>
      <w:proofErr w:type="spellStart"/>
      <w:r w:rsidRPr="005B0F27">
        <w:rPr>
          <w:rFonts w:eastAsia="Times New Roman" w:cs="Arial"/>
          <w:color w:val="000000"/>
          <w:lang w:val="en-US"/>
        </w:rPr>
        <w:t>SAMe</w:t>
      </w:r>
      <w:proofErr w:type="spellEnd"/>
      <w:r w:rsidRPr="005B0F27">
        <w:rPr>
          <w:rFonts w:eastAsia="Times New Roman" w:cs="Arial"/>
          <w:color w:val="000000"/>
          <w:lang w:val="en-US"/>
        </w:rPr>
        <w:t xml:space="preserve"> (S- </w:t>
      </w:r>
      <w:proofErr w:type="spellStart"/>
      <w:r w:rsidRPr="005B0F27">
        <w:rPr>
          <w:rFonts w:eastAsia="Times New Roman" w:cs="Arial"/>
          <w:color w:val="000000"/>
          <w:lang w:val="en-US"/>
        </w:rPr>
        <w:t>adenosylmethionine</w:t>
      </w:r>
      <w:proofErr w:type="spellEnd"/>
      <w:r w:rsidRPr="005B0F27">
        <w:rPr>
          <w:rFonts w:eastAsia="Times New Roman" w:cs="Arial"/>
          <w:color w:val="000000"/>
          <w:lang w:val="en-US"/>
        </w:rPr>
        <w:t xml:space="preserve">) </w:t>
      </w:r>
      <w:r w:rsidRPr="005B0F27">
        <w:rPr>
          <w:rFonts w:eastAsia="Times New Roman" w:cs="Arial"/>
          <w:color w:val="000000"/>
          <w:lang w:eastAsia="bg-BG"/>
        </w:rPr>
        <w:t>в здрави доброволци, уринната екскреция на радиоактивност е била 15,5±1,5% след 48 часа и фекалната екскреция 23,5±3,5% след 72 часа, което оставя почти 60% включен в стабилни образувания.</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1BC6C9D3"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Проведени са токсикологични проучвания при много животински видови, включващи плъхове, мишки, хамстери и кучета от двата пола, с единично и многократно дозиране при перорален, подкожен, интравенозен и интрамускулен път на приложение.</w:t>
      </w:r>
    </w:p>
    <w:p w14:paraId="019A4C95" w14:textId="77777777" w:rsidR="005B0F27" w:rsidRPr="005B0F27" w:rsidRDefault="005B0F27" w:rsidP="005B0F27">
      <w:pPr>
        <w:rPr>
          <w:rFonts w:eastAsia="Times New Roman" w:cs="Arial"/>
          <w:color w:val="000000"/>
          <w:lang w:eastAsia="bg-BG"/>
        </w:rPr>
      </w:pPr>
    </w:p>
    <w:p w14:paraId="52E4D01A" w14:textId="18153B8D" w:rsidR="0091385D" w:rsidRPr="005B0F27" w:rsidRDefault="005B0F27" w:rsidP="005B0F27">
      <w:pPr>
        <w:rPr>
          <w:rFonts w:cs="Arial"/>
        </w:rPr>
      </w:pPr>
      <w:r w:rsidRPr="005B0F27">
        <w:rPr>
          <w:rFonts w:eastAsia="Times New Roman" w:cs="Arial"/>
          <w:color w:val="000000"/>
          <w:lang w:eastAsia="bg-BG"/>
        </w:rPr>
        <w:t>Тестването за токсичност с многократни дози показва, че бъбрекът е таргетен орган при плъхове и хамстери и в много по-малка степен при кучета. Вероятно тестисът е следващият таргетен орган при плъхове. Не са наблюдавани други значими органни промени. Проведените проучвания върху токсичността при единична и многократна доза за 104 седмици, репродуктивната токсичност и проучванията за мутагенност не демонстрират други значими белези на токсични ефекти.</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2A628987"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Майлан ЕООД</w:t>
      </w:r>
    </w:p>
    <w:p w14:paraId="2142CC8C"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Офис сграда „Сердика офиси“</w:t>
      </w:r>
    </w:p>
    <w:p w14:paraId="1AADDBCC"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бул. Ситняково № 48, ет. 7</w:t>
      </w:r>
    </w:p>
    <w:p w14:paraId="1AD5D8C9"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1505 София</w:t>
      </w:r>
    </w:p>
    <w:p w14:paraId="3FD825DB" w14:textId="18EA48ED" w:rsidR="0091385D" w:rsidRPr="005B0F27" w:rsidRDefault="005B0F27" w:rsidP="005B0F27">
      <w:pPr>
        <w:rPr>
          <w:rFonts w:cs="Arial"/>
        </w:rPr>
      </w:pPr>
      <w:r w:rsidRPr="005B0F27">
        <w:rPr>
          <w:rFonts w:eastAsia="Times New Roman" w:cs="Arial"/>
          <w:color w:val="000000"/>
          <w:lang w:eastAsia="bg-BG"/>
        </w:rPr>
        <w:t>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4101E78A" w:rsidR="0091385D" w:rsidRPr="005B0F27" w:rsidRDefault="005B0F27" w:rsidP="0091385D">
      <w:pPr>
        <w:rPr>
          <w:rFonts w:cs="Arial"/>
        </w:rPr>
      </w:pPr>
      <w:r w:rsidRPr="005B0F27">
        <w:rPr>
          <w:rFonts w:cs="Arial"/>
        </w:rPr>
        <w:t>9900033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2D9F64C4" w14:textId="77777777" w:rsidR="005B0F27" w:rsidRPr="005B0F27" w:rsidRDefault="005B0F27" w:rsidP="005B0F27">
      <w:pPr>
        <w:spacing w:line="240" w:lineRule="auto"/>
        <w:rPr>
          <w:rFonts w:eastAsia="Times New Roman" w:cs="Arial"/>
          <w:sz w:val="24"/>
          <w:szCs w:val="24"/>
          <w:lang w:eastAsia="bg-BG"/>
        </w:rPr>
      </w:pPr>
      <w:r w:rsidRPr="005B0F27">
        <w:rPr>
          <w:rFonts w:eastAsia="Times New Roman" w:cs="Arial"/>
          <w:color w:val="000000"/>
          <w:lang w:eastAsia="bg-BG"/>
        </w:rPr>
        <w:t>Дата на първо разрешаване: 20 януари 1999 г.</w:t>
      </w:r>
    </w:p>
    <w:p w14:paraId="497007FA" w14:textId="56E96CF9" w:rsidR="0091385D" w:rsidRPr="005B0F27" w:rsidRDefault="005B0F27" w:rsidP="005B0F27">
      <w:pPr>
        <w:rPr>
          <w:rFonts w:cs="Arial"/>
        </w:rPr>
      </w:pPr>
      <w:r w:rsidRPr="005B0F27">
        <w:rPr>
          <w:rFonts w:eastAsia="Times New Roman" w:cs="Arial"/>
          <w:color w:val="000000"/>
          <w:lang w:eastAsia="bg-BG"/>
        </w:rPr>
        <w:t>Дата на последно подновяване: 29 октомври 2009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06308BA6" w:rsidR="0091385D" w:rsidRPr="005B0F27" w:rsidRDefault="005B0F27" w:rsidP="0091385D">
      <w:pPr>
        <w:rPr>
          <w:rFonts w:cs="Arial"/>
        </w:rPr>
      </w:pPr>
      <w:r w:rsidRPr="005B0F27">
        <w:rPr>
          <w:rFonts w:cs="Arial"/>
        </w:rPr>
        <w:lastRenderedPageBreak/>
        <w:t>09/2020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2929</Words>
  <Characters>16697</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2023-01-07T16:38:00Z</dcterms:created>
  <dcterms:modified xsi:type="dcterms:W3CDTF">2023-01-07T16:38:00Z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