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28012C85" w:rsidR="0091385D" w:rsidRDefault="0091385D" w:rsidP="0091385D"/>
    <w:p w14:paraId="04CB9D6B" w14:textId="77777777" w:rsidR="00A27676" w:rsidRPr="00A27676" w:rsidRDefault="00A27676" w:rsidP="00A27676">
      <w:pPr>
        <w:spacing w:line="240" w:lineRule="auto"/>
        <w:rPr>
          <w:rFonts w:eastAsia="Times New Roman" w:cs="Arial"/>
          <w:sz w:val="28"/>
          <w:szCs w:val="24"/>
          <w:lang w:val="en-US" w:eastAsia="bg-BG"/>
        </w:rPr>
      </w:pPr>
      <w:r w:rsidRPr="00A27676">
        <w:rPr>
          <w:rFonts w:eastAsia="Times New Roman" w:cs="Arial"/>
          <w:color w:val="000000"/>
          <w:szCs w:val="20"/>
          <w:lang w:eastAsia="bg-BG"/>
        </w:rPr>
        <w:t xml:space="preserve">Трелема 50 </w:t>
      </w:r>
      <w:r w:rsidRPr="00A27676">
        <w:rPr>
          <w:rFonts w:eastAsia="Times New Roman" w:cs="Arial"/>
          <w:color w:val="000000"/>
          <w:szCs w:val="20"/>
          <w:lang w:val="en-US"/>
        </w:rPr>
        <w:t xml:space="preserve">mg </w:t>
      </w:r>
      <w:r w:rsidRPr="00A27676">
        <w:rPr>
          <w:rFonts w:eastAsia="Times New Roman" w:cs="Arial"/>
          <w:color w:val="000000"/>
          <w:szCs w:val="20"/>
          <w:lang w:eastAsia="bg-BG"/>
        </w:rPr>
        <w:t>филмирани таблетки</w:t>
      </w:r>
    </w:p>
    <w:p w14:paraId="1262B551" w14:textId="77777777" w:rsidR="00A27676" w:rsidRPr="00A27676" w:rsidRDefault="00A27676" w:rsidP="00A27676">
      <w:pPr>
        <w:spacing w:line="240" w:lineRule="auto"/>
        <w:rPr>
          <w:rFonts w:eastAsia="Times New Roman" w:cs="Arial"/>
          <w:sz w:val="28"/>
          <w:szCs w:val="24"/>
          <w:lang w:val="en-US" w:eastAsia="bg-BG"/>
        </w:rPr>
      </w:pPr>
      <w:proofErr w:type="spellStart"/>
      <w:r w:rsidRPr="00A27676">
        <w:rPr>
          <w:rFonts w:eastAsia="Times New Roman" w:cs="Arial"/>
          <w:color w:val="000000"/>
          <w:szCs w:val="20"/>
          <w:lang w:val="en-US"/>
        </w:rPr>
        <w:t>Trelema</w:t>
      </w:r>
      <w:proofErr w:type="spellEnd"/>
      <w:r w:rsidRPr="00A27676">
        <w:rPr>
          <w:rFonts w:eastAsia="Times New Roman" w:cs="Arial"/>
          <w:color w:val="000000"/>
          <w:szCs w:val="20"/>
          <w:lang w:val="en-US"/>
        </w:rPr>
        <w:t xml:space="preserve"> </w:t>
      </w:r>
      <w:r w:rsidRPr="00A27676">
        <w:rPr>
          <w:rFonts w:eastAsia="Times New Roman" w:cs="Arial"/>
          <w:color w:val="000000"/>
          <w:szCs w:val="20"/>
          <w:lang w:eastAsia="bg-BG"/>
        </w:rPr>
        <w:t xml:space="preserve">50 </w:t>
      </w:r>
      <w:r w:rsidRPr="00A27676">
        <w:rPr>
          <w:rFonts w:eastAsia="Times New Roman" w:cs="Arial"/>
          <w:color w:val="000000"/>
          <w:szCs w:val="20"/>
          <w:lang w:val="en-US"/>
        </w:rPr>
        <w:t>mg film-coated tablets</w:t>
      </w:r>
    </w:p>
    <w:p w14:paraId="2C484B24" w14:textId="77777777" w:rsidR="00A27676" w:rsidRPr="00A27676" w:rsidRDefault="00A27676" w:rsidP="00A27676">
      <w:pPr>
        <w:spacing w:line="240" w:lineRule="auto"/>
        <w:rPr>
          <w:rFonts w:eastAsia="Times New Roman" w:cs="Arial"/>
          <w:color w:val="000000"/>
          <w:szCs w:val="20"/>
          <w:lang w:eastAsia="bg-BG"/>
        </w:rPr>
      </w:pPr>
    </w:p>
    <w:p w14:paraId="6FD294AD" w14:textId="7D89D89F" w:rsidR="00A27676" w:rsidRPr="00A27676" w:rsidRDefault="00A27676" w:rsidP="00A27676">
      <w:pPr>
        <w:spacing w:line="240" w:lineRule="auto"/>
        <w:rPr>
          <w:rFonts w:eastAsia="Times New Roman" w:cs="Arial"/>
          <w:sz w:val="28"/>
          <w:szCs w:val="24"/>
          <w:lang w:val="en-US" w:eastAsia="bg-BG"/>
        </w:rPr>
      </w:pPr>
      <w:r w:rsidRPr="00A27676">
        <w:rPr>
          <w:rFonts w:eastAsia="Times New Roman" w:cs="Arial"/>
          <w:color w:val="000000"/>
          <w:szCs w:val="20"/>
          <w:lang w:eastAsia="bg-BG"/>
        </w:rPr>
        <w:t xml:space="preserve">Трелема </w:t>
      </w:r>
      <w:r w:rsidRPr="00A27676">
        <w:rPr>
          <w:rFonts w:eastAsia="Times New Roman" w:cs="Arial"/>
          <w:color w:val="000000"/>
          <w:szCs w:val="20"/>
          <w:lang w:val="en-US"/>
        </w:rPr>
        <w:t xml:space="preserve">100 mg </w:t>
      </w:r>
      <w:r w:rsidRPr="00A27676">
        <w:rPr>
          <w:rFonts w:eastAsia="Times New Roman" w:cs="Arial"/>
          <w:color w:val="000000"/>
          <w:szCs w:val="20"/>
          <w:lang w:eastAsia="bg-BG"/>
        </w:rPr>
        <w:t>филмирани таблетки</w:t>
      </w:r>
    </w:p>
    <w:p w14:paraId="7C9EB026" w14:textId="77777777" w:rsidR="00A27676" w:rsidRPr="00A27676" w:rsidRDefault="00A27676" w:rsidP="00A27676">
      <w:pPr>
        <w:spacing w:line="240" w:lineRule="auto"/>
        <w:rPr>
          <w:rFonts w:eastAsia="Times New Roman" w:cs="Arial"/>
          <w:sz w:val="28"/>
          <w:szCs w:val="24"/>
          <w:lang w:val="en-US" w:eastAsia="bg-BG"/>
        </w:rPr>
      </w:pPr>
      <w:proofErr w:type="spellStart"/>
      <w:r w:rsidRPr="00A27676">
        <w:rPr>
          <w:rFonts w:eastAsia="Times New Roman" w:cs="Arial"/>
          <w:color w:val="000000"/>
          <w:szCs w:val="20"/>
          <w:lang w:val="en-US"/>
        </w:rPr>
        <w:t>Trelema</w:t>
      </w:r>
      <w:proofErr w:type="spellEnd"/>
      <w:r w:rsidRPr="00A27676">
        <w:rPr>
          <w:rFonts w:eastAsia="Times New Roman" w:cs="Arial"/>
          <w:color w:val="000000"/>
          <w:szCs w:val="20"/>
          <w:lang w:val="en-US"/>
        </w:rPr>
        <w:t xml:space="preserve"> </w:t>
      </w:r>
      <w:r w:rsidRPr="00A27676">
        <w:rPr>
          <w:rFonts w:eastAsia="Times New Roman" w:cs="Arial"/>
          <w:color w:val="000000"/>
          <w:szCs w:val="20"/>
          <w:lang w:eastAsia="bg-BG"/>
        </w:rPr>
        <w:t xml:space="preserve">100 </w:t>
      </w:r>
      <w:r w:rsidRPr="00A27676">
        <w:rPr>
          <w:rFonts w:eastAsia="Times New Roman" w:cs="Arial"/>
          <w:color w:val="000000"/>
          <w:szCs w:val="20"/>
          <w:lang w:val="en-US"/>
        </w:rPr>
        <w:t>mg film-coated tablets</w:t>
      </w:r>
    </w:p>
    <w:p w14:paraId="3DF00003" w14:textId="77777777" w:rsidR="00A27676" w:rsidRPr="00A27676" w:rsidRDefault="00A27676" w:rsidP="00A27676">
      <w:pPr>
        <w:spacing w:line="240" w:lineRule="auto"/>
        <w:rPr>
          <w:rFonts w:eastAsia="Times New Roman" w:cs="Arial"/>
          <w:color w:val="000000"/>
          <w:szCs w:val="20"/>
          <w:lang w:eastAsia="bg-BG"/>
        </w:rPr>
      </w:pPr>
      <w:bookmarkStart w:id="1" w:name="_GoBack"/>
      <w:bookmarkEnd w:id="1"/>
    </w:p>
    <w:p w14:paraId="6ED89305" w14:textId="6C7775D3" w:rsidR="00A27676" w:rsidRPr="00A27676" w:rsidRDefault="00A27676" w:rsidP="00A27676">
      <w:pPr>
        <w:spacing w:line="240" w:lineRule="auto"/>
        <w:rPr>
          <w:rFonts w:eastAsia="Times New Roman" w:cs="Arial"/>
          <w:sz w:val="28"/>
          <w:szCs w:val="24"/>
          <w:lang w:val="en-US" w:eastAsia="bg-BG"/>
        </w:rPr>
      </w:pPr>
      <w:r w:rsidRPr="00A27676">
        <w:rPr>
          <w:rFonts w:eastAsia="Times New Roman" w:cs="Arial"/>
          <w:color w:val="000000"/>
          <w:szCs w:val="20"/>
          <w:lang w:eastAsia="bg-BG"/>
        </w:rPr>
        <w:t xml:space="preserve">Трелема </w:t>
      </w:r>
      <w:r w:rsidRPr="00A27676">
        <w:rPr>
          <w:rFonts w:eastAsia="Times New Roman" w:cs="Arial"/>
          <w:color w:val="000000"/>
          <w:szCs w:val="20"/>
          <w:lang w:val="en-US"/>
        </w:rPr>
        <w:t xml:space="preserve">150 mg </w:t>
      </w:r>
      <w:r w:rsidRPr="00A27676">
        <w:rPr>
          <w:rFonts w:eastAsia="Times New Roman" w:cs="Arial"/>
          <w:color w:val="000000"/>
          <w:szCs w:val="20"/>
          <w:lang w:eastAsia="bg-BG"/>
        </w:rPr>
        <w:t>филмирани таблетки</w:t>
      </w:r>
    </w:p>
    <w:p w14:paraId="058D1258" w14:textId="77777777" w:rsidR="00A27676" w:rsidRPr="00A27676" w:rsidRDefault="00A27676" w:rsidP="00A27676">
      <w:pPr>
        <w:spacing w:line="240" w:lineRule="auto"/>
        <w:rPr>
          <w:rFonts w:eastAsia="Times New Roman" w:cs="Arial"/>
          <w:sz w:val="28"/>
          <w:szCs w:val="24"/>
          <w:lang w:val="en-US" w:eastAsia="bg-BG"/>
        </w:rPr>
      </w:pPr>
      <w:proofErr w:type="spellStart"/>
      <w:r w:rsidRPr="00A27676">
        <w:rPr>
          <w:rFonts w:eastAsia="Times New Roman" w:cs="Arial"/>
          <w:color w:val="000000"/>
          <w:szCs w:val="20"/>
          <w:lang w:val="en-US"/>
        </w:rPr>
        <w:t>Trelema</w:t>
      </w:r>
      <w:proofErr w:type="spellEnd"/>
      <w:r w:rsidRPr="00A27676">
        <w:rPr>
          <w:rFonts w:eastAsia="Times New Roman" w:cs="Arial"/>
          <w:color w:val="000000"/>
          <w:szCs w:val="20"/>
          <w:lang w:val="en-US"/>
        </w:rPr>
        <w:t xml:space="preserve"> 150 mg film-coated tablets</w:t>
      </w:r>
    </w:p>
    <w:p w14:paraId="37673309" w14:textId="77777777" w:rsidR="00A27676" w:rsidRPr="00A27676" w:rsidRDefault="00A27676" w:rsidP="00A27676">
      <w:pPr>
        <w:spacing w:line="240" w:lineRule="auto"/>
        <w:rPr>
          <w:rFonts w:eastAsia="Times New Roman" w:cs="Arial"/>
          <w:color w:val="000000"/>
          <w:szCs w:val="20"/>
          <w:lang w:eastAsia="bg-BG"/>
        </w:rPr>
      </w:pPr>
    </w:p>
    <w:p w14:paraId="10056043" w14:textId="3B3D3D58" w:rsidR="00A27676" w:rsidRPr="00A27676" w:rsidRDefault="00A27676" w:rsidP="00A27676">
      <w:pPr>
        <w:spacing w:line="240" w:lineRule="auto"/>
        <w:rPr>
          <w:rFonts w:eastAsia="Times New Roman" w:cs="Arial"/>
          <w:sz w:val="28"/>
          <w:szCs w:val="24"/>
          <w:lang w:val="en-US" w:eastAsia="bg-BG"/>
        </w:rPr>
      </w:pPr>
      <w:r w:rsidRPr="00A27676">
        <w:rPr>
          <w:rFonts w:eastAsia="Times New Roman" w:cs="Arial"/>
          <w:color w:val="000000"/>
          <w:szCs w:val="20"/>
          <w:lang w:eastAsia="bg-BG"/>
        </w:rPr>
        <w:t xml:space="preserve">Трелема </w:t>
      </w:r>
      <w:r w:rsidRPr="00A27676">
        <w:rPr>
          <w:rFonts w:eastAsia="Times New Roman" w:cs="Arial"/>
          <w:color w:val="000000"/>
          <w:szCs w:val="20"/>
          <w:lang w:val="en-US"/>
        </w:rPr>
        <w:t xml:space="preserve">200 mg </w:t>
      </w:r>
      <w:r w:rsidRPr="00A27676">
        <w:rPr>
          <w:rFonts w:eastAsia="Times New Roman" w:cs="Arial"/>
          <w:color w:val="000000"/>
          <w:szCs w:val="20"/>
          <w:lang w:eastAsia="bg-BG"/>
        </w:rPr>
        <w:t>филмирани таблетки</w:t>
      </w:r>
    </w:p>
    <w:p w14:paraId="5015A1FD" w14:textId="394A96D9" w:rsidR="00A73575" w:rsidRPr="00A27676" w:rsidRDefault="00A27676" w:rsidP="00A27676">
      <w:pPr>
        <w:rPr>
          <w:rFonts w:cs="Arial"/>
          <w:sz w:val="24"/>
        </w:rPr>
      </w:pPr>
      <w:proofErr w:type="spellStart"/>
      <w:r w:rsidRPr="00A27676">
        <w:rPr>
          <w:rFonts w:eastAsia="Times New Roman" w:cs="Arial"/>
          <w:color w:val="000000"/>
          <w:szCs w:val="20"/>
          <w:lang w:val="en-US"/>
        </w:rPr>
        <w:t>Trelema</w:t>
      </w:r>
      <w:proofErr w:type="spellEnd"/>
      <w:r w:rsidRPr="00A27676">
        <w:rPr>
          <w:rFonts w:eastAsia="Times New Roman" w:cs="Arial"/>
          <w:color w:val="000000"/>
          <w:szCs w:val="20"/>
          <w:lang w:val="en-US"/>
        </w:rPr>
        <w:t xml:space="preserve"> 200 mg film-coated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288788EF" w:rsidR="0091385D" w:rsidRDefault="0091385D" w:rsidP="0091385D"/>
    <w:p w14:paraId="1B09F4FF"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 xml:space="preserve">Трелема 50 </w:t>
      </w:r>
      <w:r w:rsidRPr="00A27676">
        <w:rPr>
          <w:rFonts w:eastAsia="Times New Roman" w:cs="Arial"/>
          <w:i/>
          <w:iCs/>
          <w:color w:val="000000"/>
          <w:szCs w:val="20"/>
          <w:lang w:val="en-US"/>
        </w:rPr>
        <w:t xml:space="preserve">mg </w:t>
      </w:r>
      <w:r w:rsidRPr="00A27676">
        <w:rPr>
          <w:rFonts w:eastAsia="Times New Roman" w:cs="Arial"/>
          <w:i/>
          <w:iCs/>
          <w:color w:val="000000"/>
          <w:szCs w:val="20"/>
          <w:lang w:eastAsia="bg-BG"/>
        </w:rPr>
        <w:t>филмирани таблетки</w:t>
      </w:r>
    </w:p>
    <w:p w14:paraId="6808A75C"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Всяка филмирана таблетка съдържа 50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лакозамид </w:t>
      </w:r>
      <w:r w:rsidRPr="00A27676">
        <w:rPr>
          <w:rFonts w:eastAsia="Times New Roman" w:cs="Arial"/>
          <w:color w:val="000000"/>
          <w:szCs w:val="20"/>
          <w:lang w:val="en-US"/>
        </w:rPr>
        <w:t>(</w:t>
      </w:r>
      <w:proofErr w:type="spellStart"/>
      <w:r w:rsidRPr="00A27676">
        <w:rPr>
          <w:rFonts w:eastAsia="Times New Roman" w:cs="Arial"/>
          <w:color w:val="000000"/>
          <w:szCs w:val="20"/>
          <w:lang w:val="en-US"/>
        </w:rPr>
        <w:t>lacosamide</w:t>
      </w:r>
      <w:proofErr w:type="spellEnd"/>
      <w:r w:rsidRPr="00A27676">
        <w:rPr>
          <w:rFonts w:eastAsia="Times New Roman" w:cs="Arial"/>
          <w:color w:val="000000"/>
          <w:szCs w:val="20"/>
          <w:lang w:val="en-US"/>
        </w:rPr>
        <w:t>).</w:t>
      </w:r>
    </w:p>
    <w:p w14:paraId="69041D0C" w14:textId="77777777" w:rsidR="00A27676" w:rsidRPr="00A27676" w:rsidRDefault="00A27676" w:rsidP="00A27676">
      <w:pPr>
        <w:spacing w:line="240" w:lineRule="auto"/>
        <w:rPr>
          <w:rFonts w:eastAsia="Times New Roman" w:cs="Arial"/>
          <w:i/>
          <w:iCs/>
          <w:color w:val="000000"/>
          <w:szCs w:val="20"/>
          <w:lang w:eastAsia="bg-BG"/>
        </w:rPr>
      </w:pPr>
    </w:p>
    <w:p w14:paraId="2F0974A0" w14:textId="10B41E89"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 xml:space="preserve">Трелема 100 </w:t>
      </w:r>
      <w:r w:rsidRPr="00A27676">
        <w:rPr>
          <w:rFonts w:eastAsia="Times New Roman" w:cs="Arial"/>
          <w:i/>
          <w:iCs/>
          <w:color w:val="000000"/>
          <w:szCs w:val="20"/>
          <w:lang w:val="en-US"/>
        </w:rPr>
        <w:t xml:space="preserve">mg </w:t>
      </w:r>
      <w:r w:rsidRPr="00A27676">
        <w:rPr>
          <w:rFonts w:eastAsia="Times New Roman" w:cs="Arial"/>
          <w:i/>
          <w:iCs/>
          <w:color w:val="000000"/>
          <w:szCs w:val="20"/>
          <w:lang w:eastAsia="bg-BG"/>
        </w:rPr>
        <w:t>филмирани таблетки</w:t>
      </w:r>
    </w:p>
    <w:p w14:paraId="18CBEFCD"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Всяка филмирана таблетка съдържа 100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лакозамид </w:t>
      </w:r>
      <w:r w:rsidRPr="00A27676">
        <w:rPr>
          <w:rFonts w:eastAsia="Times New Roman" w:cs="Arial"/>
          <w:color w:val="000000"/>
          <w:szCs w:val="20"/>
          <w:lang w:val="en-US"/>
        </w:rPr>
        <w:t>(</w:t>
      </w:r>
      <w:proofErr w:type="spellStart"/>
      <w:r w:rsidRPr="00A27676">
        <w:rPr>
          <w:rFonts w:eastAsia="Times New Roman" w:cs="Arial"/>
          <w:color w:val="000000"/>
          <w:szCs w:val="20"/>
          <w:lang w:val="en-US"/>
        </w:rPr>
        <w:t>lacosamide</w:t>
      </w:r>
      <w:proofErr w:type="spellEnd"/>
      <w:r w:rsidRPr="00A27676">
        <w:rPr>
          <w:rFonts w:eastAsia="Times New Roman" w:cs="Arial"/>
          <w:color w:val="000000"/>
          <w:szCs w:val="20"/>
          <w:lang w:val="en-US"/>
        </w:rPr>
        <w:t>).</w:t>
      </w:r>
    </w:p>
    <w:p w14:paraId="40380076" w14:textId="77777777" w:rsidR="00A27676" w:rsidRPr="00A27676" w:rsidRDefault="00A27676" w:rsidP="00A27676">
      <w:pPr>
        <w:spacing w:line="240" w:lineRule="auto"/>
        <w:rPr>
          <w:rFonts w:eastAsia="Times New Roman" w:cs="Arial"/>
          <w:i/>
          <w:iCs/>
          <w:color w:val="000000"/>
          <w:szCs w:val="20"/>
          <w:lang w:eastAsia="bg-BG"/>
        </w:rPr>
      </w:pPr>
    </w:p>
    <w:p w14:paraId="62BB3E7F" w14:textId="5DDB46CD"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 xml:space="preserve">Трелема 150 </w:t>
      </w:r>
      <w:r w:rsidRPr="00A27676">
        <w:rPr>
          <w:rFonts w:eastAsia="Times New Roman" w:cs="Arial"/>
          <w:i/>
          <w:iCs/>
          <w:color w:val="000000"/>
          <w:szCs w:val="20"/>
          <w:lang w:val="en-US"/>
        </w:rPr>
        <w:t xml:space="preserve">mg </w:t>
      </w:r>
      <w:r w:rsidRPr="00A27676">
        <w:rPr>
          <w:rFonts w:eastAsia="Times New Roman" w:cs="Arial"/>
          <w:i/>
          <w:iCs/>
          <w:color w:val="000000"/>
          <w:szCs w:val="20"/>
          <w:lang w:eastAsia="bg-BG"/>
        </w:rPr>
        <w:t>филмирани таблетки</w:t>
      </w:r>
    </w:p>
    <w:p w14:paraId="445982BA"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Всяка филмирана таблетка съдържа 150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лакозамид </w:t>
      </w:r>
      <w:r w:rsidRPr="00A27676">
        <w:rPr>
          <w:rFonts w:eastAsia="Times New Roman" w:cs="Arial"/>
          <w:color w:val="000000"/>
          <w:szCs w:val="20"/>
          <w:lang w:val="en-US"/>
        </w:rPr>
        <w:t>(</w:t>
      </w:r>
      <w:proofErr w:type="spellStart"/>
      <w:r w:rsidRPr="00A27676">
        <w:rPr>
          <w:rFonts w:eastAsia="Times New Roman" w:cs="Arial"/>
          <w:color w:val="000000"/>
          <w:szCs w:val="20"/>
          <w:lang w:val="en-US"/>
        </w:rPr>
        <w:t>lacosamide</w:t>
      </w:r>
      <w:proofErr w:type="spellEnd"/>
      <w:r w:rsidRPr="00A27676">
        <w:rPr>
          <w:rFonts w:eastAsia="Times New Roman" w:cs="Arial"/>
          <w:color w:val="000000"/>
          <w:szCs w:val="20"/>
          <w:lang w:val="en-US"/>
        </w:rPr>
        <w:t>).</w:t>
      </w:r>
    </w:p>
    <w:p w14:paraId="4244AF78" w14:textId="77777777" w:rsidR="00A27676" w:rsidRPr="00A27676" w:rsidRDefault="00A27676" w:rsidP="00A27676">
      <w:pPr>
        <w:spacing w:line="240" w:lineRule="auto"/>
        <w:rPr>
          <w:rFonts w:eastAsia="Times New Roman" w:cs="Arial"/>
          <w:i/>
          <w:iCs/>
          <w:color w:val="000000"/>
          <w:szCs w:val="20"/>
          <w:lang w:eastAsia="bg-BG"/>
        </w:rPr>
      </w:pPr>
    </w:p>
    <w:p w14:paraId="38F8E553" w14:textId="3F768E7A"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 xml:space="preserve">Трелема 200 </w:t>
      </w:r>
      <w:r w:rsidRPr="00A27676">
        <w:rPr>
          <w:rFonts w:eastAsia="Times New Roman" w:cs="Arial"/>
          <w:i/>
          <w:iCs/>
          <w:color w:val="000000"/>
          <w:szCs w:val="20"/>
          <w:lang w:val="en-US"/>
        </w:rPr>
        <w:t xml:space="preserve">mg </w:t>
      </w:r>
      <w:r w:rsidRPr="00A27676">
        <w:rPr>
          <w:rFonts w:eastAsia="Times New Roman" w:cs="Arial"/>
          <w:i/>
          <w:iCs/>
          <w:color w:val="000000"/>
          <w:szCs w:val="20"/>
          <w:lang w:eastAsia="bg-BG"/>
        </w:rPr>
        <w:t>филмирани таблетки</w:t>
      </w:r>
    </w:p>
    <w:p w14:paraId="3F826D21"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Всяка филмирана таблетка съдържа 200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лакозамид </w:t>
      </w:r>
      <w:r w:rsidRPr="00A27676">
        <w:rPr>
          <w:rFonts w:eastAsia="Times New Roman" w:cs="Arial"/>
          <w:color w:val="000000"/>
          <w:szCs w:val="20"/>
          <w:lang w:val="en-US"/>
        </w:rPr>
        <w:t>(</w:t>
      </w:r>
      <w:proofErr w:type="spellStart"/>
      <w:r w:rsidRPr="00A27676">
        <w:rPr>
          <w:rFonts w:eastAsia="Times New Roman" w:cs="Arial"/>
          <w:color w:val="000000"/>
          <w:szCs w:val="20"/>
          <w:lang w:val="en-US"/>
        </w:rPr>
        <w:t>lacosamide</w:t>
      </w:r>
      <w:proofErr w:type="spellEnd"/>
      <w:r w:rsidRPr="00A27676">
        <w:rPr>
          <w:rFonts w:eastAsia="Times New Roman" w:cs="Arial"/>
          <w:color w:val="000000"/>
          <w:szCs w:val="20"/>
          <w:lang w:val="en-US"/>
        </w:rPr>
        <w:t>).</w:t>
      </w:r>
    </w:p>
    <w:p w14:paraId="556E6EBF" w14:textId="77777777" w:rsidR="00A27676" w:rsidRPr="00A27676" w:rsidRDefault="00A27676" w:rsidP="00A27676">
      <w:pPr>
        <w:rPr>
          <w:rFonts w:eastAsia="Times New Roman" w:cs="Arial"/>
          <w:color w:val="000000"/>
          <w:szCs w:val="20"/>
          <w:lang w:eastAsia="bg-BG"/>
        </w:rPr>
      </w:pPr>
    </w:p>
    <w:p w14:paraId="03110A50" w14:textId="600C5D91" w:rsidR="0091385D" w:rsidRPr="00A27676" w:rsidRDefault="00A27676" w:rsidP="00A27676">
      <w:pPr>
        <w:rPr>
          <w:rFonts w:cs="Arial"/>
          <w:sz w:val="24"/>
        </w:rPr>
      </w:pPr>
      <w:r w:rsidRPr="00A27676">
        <w:rPr>
          <w:rFonts w:eastAsia="Times New Roman" w:cs="Arial"/>
          <w:color w:val="000000"/>
          <w:szCs w:val="2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277B91E7" w:rsidR="0091385D" w:rsidRDefault="0091385D" w:rsidP="0091385D"/>
    <w:p w14:paraId="1FCC552D"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Филмирана таблетка</w:t>
      </w:r>
    </w:p>
    <w:p w14:paraId="6FFC5F54" w14:textId="77777777" w:rsidR="00A27676" w:rsidRPr="00A27676" w:rsidRDefault="00A27676" w:rsidP="00A27676">
      <w:pPr>
        <w:spacing w:line="240" w:lineRule="auto"/>
        <w:rPr>
          <w:rFonts w:eastAsia="Times New Roman" w:cs="Arial"/>
          <w:i/>
          <w:iCs/>
          <w:color w:val="000000"/>
          <w:szCs w:val="20"/>
          <w:lang w:eastAsia="bg-BG"/>
        </w:rPr>
      </w:pPr>
    </w:p>
    <w:p w14:paraId="7CEC73B7" w14:textId="7F4AB485"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 xml:space="preserve">Трелема 50 </w:t>
      </w:r>
      <w:r w:rsidRPr="00A27676">
        <w:rPr>
          <w:rFonts w:eastAsia="Times New Roman" w:cs="Arial"/>
          <w:i/>
          <w:iCs/>
          <w:color w:val="000000"/>
          <w:szCs w:val="20"/>
          <w:lang w:val="en-US"/>
        </w:rPr>
        <w:t xml:space="preserve">mg </w:t>
      </w:r>
      <w:r w:rsidRPr="00A27676">
        <w:rPr>
          <w:rFonts w:eastAsia="Times New Roman" w:cs="Arial"/>
          <w:i/>
          <w:iCs/>
          <w:color w:val="000000"/>
          <w:szCs w:val="20"/>
          <w:lang w:eastAsia="bg-BG"/>
        </w:rPr>
        <w:t>филмирани таблетки</w:t>
      </w:r>
    </w:p>
    <w:p w14:paraId="1620218E"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Розови, елипсовидни двойно изпъкнали филмирани таблетки, с делителна черта от двете страни и с дължина около 10,3 </w:t>
      </w:r>
      <w:r w:rsidRPr="00A27676">
        <w:rPr>
          <w:rFonts w:eastAsia="Times New Roman" w:cs="Arial"/>
          <w:color w:val="000000"/>
          <w:szCs w:val="20"/>
          <w:lang w:val="en-US"/>
        </w:rPr>
        <w:t>mm.</w:t>
      </w:r>
    </w:p>
    <w:p w14:paraId="69B3F19E"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Таблетката може да се раздели на равни дози.</w:t>
      </w:r>
    </w:p>
    <w:p w14:paraId="5F27036B" w14:textId="77777777" w:rsidR="00A27676" w:rsidRPr="00A27676" w:rsidRDefault="00A27676" w:rsidP="00A27676">
      <w:pPr>
        <w:spacing w:line="240" w:lineRule="auto"/>
        <w:rPr>
          <w:rFonts w:eastAsia="Times New Roman" w:cs="Arial"/>
          <w:i/>
          <w:iCs/>
          <w:color w:val="000000"/>
          <w:szCs w:val="20"/>
          <w:lang w:eastAsia="bg-BG"/>
        </w:rPr>
      </w:pPr>
    </w:p>
    <w:p w14:paraId="37491A9B" w14:textId="3FE21406"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 xml:space="preserve">Трелема 100 </w:t>
      </w:r>
      <w:r w:rsidRPr="00A27676">
        <w:rPr>
          <w:rFonts w:eastAsia="Times New Roman" w:cs="Arial"/>
          <w:i/>
          <w:iCs/>
          <w:color w:val="000000"/>
          <w:szCs w:val="20"/>
          <w:lang w:val="en-US"/>
        </w:rPr>
        <w:t xml:space="preserve">mg </w:t>
      </w:r>
      <w:r w:rsidRPr="00A27676">
        <w:rPr>
          <w:rFonts w:eastAsia="Times New Roman" w:cs="Arial"/>
          <w:i/>
          <w:iCs/>
          <w:color w:val="000000"/>
          <w:szCs w:val="20"/>
          <w:lang w:eastAsia="bg-BG"/>
        </w:rPr>
        <w:t>филмирани таблетки</w:t>
      </w:r>
    </w:p>
    <w:p w14:paraId="0A8E8ED8"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Жълти, елипсовидни двойно изпъкнали филмирани таблетки, с делителна черта от двете страни и с дължина около 13,1 </w:t>
      </w:r>
      <w:r w:rsidRPr="00A27676">
        <w:rPr>
          <w:rFonts w:eastAsia="Times New Roman" w:cs="Arial"/>
          <w:color w:val="000000"/>
          <w:szCs w:val="20"/>
          <w:lang w:val="en-US"/>
        </w:rPr>
        <w:t>mm.</w:t>
      </w:r>
    </w:p>
    <w:p w14:paraId="1A0AA27A"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lastRenderedPageBreak/>
        <w:t>Таблетката може да се раздели на равни дози.</w:t>
      </w:r>
    </w:p>
    <w:p w14:paraId="7FF616AC" w14:textId="77777777" w:rsidR="00A27676" w:rsidRPr="00A27676" w:rsidRDefault="00A27676" w:rsidP="00A27676">
      <w:pPr>
        <w:spacing w:line="240" w:lineRule="auto"/>
        <w:rPr>
          <w:rFonts w:eastAsia="Times New Roman" w:cs="Arial"/>
          <w:i/>
          <w:iCs/>
          <w:color w:val="000000"/>
          <w:szCs w:val="20"/>
          <w:lang w:eastAsia="bg-BG"/>
        </w:rPr>
      </w:pPr>
    </w:p>
    <w:p w14:paraId="2507EA07" w14:textId="76BB0685"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 xml:space="preserve">Трелема 150 </w:t>
      </w:r>
      <w:r w:rsidRPr="00A27676">
        <w:rPr>
          <w:rFonts w:eastAsia="Times New Roman" w:cs="Arial"/>
          <w:i/>
          <w:iCs/>
          <w:color w:val="000000"/>
          <w:szCs w:val="20"/>
          <w:lang w:val="en-US"/>
        </w:rPr>
        <w:t xml:space="preserve">mg </w:t>
      </w:r>
      <w:r w:rsidRPr="00A27676">
        <w:rPr>
          <w:rFonts w:eastAsia="Times New Roman" w:cs="Arial"/>
          <w:i/>
          <w:iCs/>
          <w:color w:val="000000"/>
          <w:szCs w:val="20"/>
          <w:lang w:eastAsia="bg-BG"/>
        </w:rPr>
        <w:t>филмирани таблетки</w:t>
      </w:r>
    </w:p>
    <w:p w14:paraId="4129ADBB" w14:textId="3BA9E1DD" w:rsidR="0091385D" w:rsidRPr="00A27676" w:rsidRDefault="00A27676" w:rsidP="00A27676">
      <w:pPr>
        <w:rPr>
          <w:rFonts w:cs="Arial"/>
          <w:sz w:val="24"/>
        </w:rPr>
      </w:pPr>
      <w:r w:rsidRPr="00A27676">
        <w:rPr>
          <w:rFonts w:eastAsia="Times New Roman" w:cs="Arial"/>
          <w:color w:val="000000"/>
          <w:szCs w:val="20"/>
          <w:lang w:eastAsia="bg-BG"/>
        </w:rPr>
        <w:t xml:space="preserve">Кафяви, елипсовидни двойно изпъкнали филмирани таблетки, с делителна черта от двете страни и с дължина около 15,1 </w:t>
      </w:r>
      <w:r w:rsidRPr="00A27676">
        <w:rPr>
          <w:rFonts w:eastAsia="Times New Roman" w:cs="Arial"/>
          <w:color w:val="000000"/>
          <w:szCs w:val="20"/>
          <w:lang w:val="en-US"/>
        </w:rPr>
        <w:t>mm.</w:t>
      </w:r>
    </w:p>
    <w:p w14:paraId="5B05C3A8"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Таблетката може да се раздели на равни дози.</w:t>
      </w:r>
    </w:p>
    <w:p w14:paraId="60C6E245" w14:textId="77777777" w:rsidR="00A27676" w:rsidRPr="00A27676" w:rsidRDefault="00A27676" w:rsidP="00A27676">
      <w:pPr>
        <w:spacing w:line="240" w:lineRule="auto"/>
        <w:rPr>
          <w:rFonts w:eastAsia="Times New Roman" w:cs="Arial"/>
          <w:i/>
          <w:iCs/>
          <w:color w:val="000000"/>
          <w:szCs w:val="20"/>
          <w:lang w:val="en-US" w:eastAsia="bg-BG"/>
        </w:rPr>
      </w:pPr>
    </w:p>
    <w:p w14:paraId="072FFC85" w14:textId="438F0530"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 xml:space="preserve">Трелема 200 </w:t>
      </w:r>
      <w:r w:rsidRPr="00A27676">
        <w:rPr>
          <w:rFonts w:eastAsia="Times New Roman" w:cs="Arial"/>
          <w:i/>
          <w:iCs/>
          <w:color w:val="000000"/>
          <w:szCs w:val="20"/>
          <w:lang w:val="en-US"/>
        </w:rPr>
        <w:t xml:space="preserve">mg </w:t>
      </w:r>
      <w:r w:rsidRPr="00A27676">
        <w:rPr>
          <w:rFonts w:eastAsia="Times New Roman" w:cs="Arial"/>
          <w:i/>
          <w:iCs/>
          <w:color w:val="000000"/>
          <w:szCs w:val="20"/>
          <w:lang w:eastAsia="bg-BG"/>
        </w:rPr>
        <w:t>филмирани таблетки</w:t>
      </w:r>
    </w:p>
    <w:p w14:paraId="56F730CA"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Сини, елипсовидни двойно изпъкнали филмирани таблетки, с делителна черта от двете страни и с дължина около 16,5 </w:t>
      </w:r>
      <w:r w:rsidRPr="00A27676">
        <w:rPr>
          <w:rFonts w:eastAsia="Times New Roman" w:cs="Arial"/>
          <w:color w:val="000000"/>
          <w:szCs w:val="20"/>
          <w:lang w:val="en-US"/>
        </w:rPr>
        <w:t>mm.</w:t>
      </w:r>
    </w:p>
    <w:p w14:paraId="7D287A22" w14:textId="48E3571E" w:rsidR="00A73575" w:rsidRPr="00A27676" w:rsidRDefault="00A27676" w:rsidP="00A27676">
      <w:pPr>
        <w:rPr>
          <w:rFonts w:eastAsia="Times New Roman" w:cs="Arial"/>
          <w:color w:val="000000"/>
          <w:szCs w:val="20"/>
          <w:lang w:eastAsia="bg-BG"/>
        </w:rPr>
      </w:pPr>
      <w:r w:rsidRPr="00A27676">
        <w:rPr>
          <w:rFonts w:eastAsia="Times New Roman" w:cs="Arial"/>
          <w:color w:val="000000"/>
          <w:szCs w:val="20"/>
          <w:lang w:eastAsia="bg-BG"/>
        </w:rPr>
        <w:t>Таблетката може да се раздели на равни дози.</w:t>
      </w:r>
    </w:p>
    <w:p w14:paraId="549202DF" w14:textId="77777777" w:rsidR="00A27676" w:rsidRPr="0091385D" w:rsidRDefault="00A27676" w:rsidP="00A27676"/>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6FC56A84"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Трелема е показан за монотерапия при лечението на парциални пристъпи със или без вторична генерализация при възрастни пациенти, юноши и деца над 4 години с епилепсия.</w:t>
      </w:r>
    </w:p>
    <w:p w14:paraId="53811730" w14:textId="77777777" w:rsidR="00A27676" w:rsidRPr="00A27676" w:rsidRDefault="00A27676" w:rsidP="00A27676">
      <w:pPr>
        <w:spacing w:line="240" w:lineRule="auto"/>
        <w:rPr>
          <w:rFonts w:eastAsia="Times New Roman" w:cs="Arial"/>
          <w:color w:val="000000"/>
          <w:szCs w:val="20"/>
          <w:lang w:eastAsia="bg-BG"/>
        </w:rPr>
      </w:pPr>
    </w:p>
    <w:p w14:paraId="03943435" w14:textId="3FBD12A5"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Трелема е показан за допълваща терапия</w:t>
      </w:r>
    </w:p>
    <w:p w14:paraId="72CFEC77" w14:textId="77777777" w:rsidR="00A27676" w:rsidRDefault="00A27676" w:rsidP="00A27676">
      <w:pPr>
        <w:pStyle w:val="ListParagraph"/>
        <w:numPr>
          <w:ilvl w:val="0"/>
          <w:numId w:val="35"/>
        </w:numPr>
        <w:spacing w:line="240" w:lineRule="auto"/>
        <w:rPr>
          <w:rFonts w:eastAsia="Times New Roman" w:cs="Arial"/>
          <w:color w:val="000000"/>
          <w:szCs w:val="20"/>
          <w:lang w:eastAsia="bg-BG"/>
        </w:rPr>
      </w:pPr>
      <w:r w:rsidRPr="00A27676">
        <w:rPr>
          <w:rFonts w:eastAsia="Times New Roman" w:cs="Arial"/>
          <w:color w:val="000000"/>
          <w:szCs w:val="20"/>
          <w:lang w:eastAsia="bg-BG"/>
        </w:rPr>
        <w:t>при лечението на парциални пристъпи със или без вторична генерализация при възрастни, юноши и деца, навършили 4-годишна възраст, с епилепсия.</w:t>
      </w:r>
    </w:p>
    <w:p w14:paraId="0548DC10" w14:textId="03BFDEB8" w:rsidR="00A27676" w:rsidRPr="00A27676" w:rsidRDefault="00A27676" w:rsidP="00A27676">
      <w:pPr>
        <w:pStyle w:val="ListParagraph"/>
        <w:numPr>
          <w:ilvl w:val="0"/>
          <w:numId w:val="35"/>
        </w:numPr>
        <w:spacing w:line="240" w:lineRule="auto"/>
        <w:rPr>
          <w:rFonts w:eastAsia="Times New Roman" w:cs="Arial"/>
          <w:color w:val="000000"/>
          <w:szCs w:val="20"/>
          <w:lang w:eastAsia="bg-BG"/>
        </w:rPr>
      </w:pPr>
      <w:r w:rsidRPr="00A27676">
        <w:rPr>
          <w:rFonts w:eastAsia="Times New Roman" w:cs="Arial"/>
          <w:color w:val="000000"/>
          <w:szCs w:val="20"/>
          <w:lang w:eastAsia="bg-BG"/>
        </w:rPr>
        <w:t>при лечението на първично генерализирани тонично-клонични пристъпи при възрастни,</w:t>
      </w:r>
    </w:p>
    <w:p w14:paraId="04B2E99C" w14:textId="572EF6C0" w:rsidR="0091385D" w:rsidRPr="00A27676" w:rsidRDefault="00A27676" w:rsidP="00A27676">
      <w:pPr>
        <w:rPr>
          <w:rFonts w:cs="Arial"/>
          <w:sz w:val="24"/>
        </w:rPr>
      </w:pPr>
      <w:r w:rsidRPr="00A27676">
        <w:rPr>
          <w:rFonts w:eastAsia="Times New Roman" w:cs="Arial"/>
          <w:color w:val="000000"/>
          <w:szCs w:val="20"/>
          <w:lang w:eastAsia="bg-BG"/>
        </w:rPr>
        <w:t>юноши и деца, навършили 4-годишна възраст, с генерализирана идиопатична епилепсия.</w:t>
      </w:r>
    </w:p>
    <w:p w14:paraId="6DFA4B9D" w14:textId="77777777" w:rsidR="0091385D" w:rsidRPr="0091385D" w:rsidRDefault="0091385D" w:rsidP="0091385D"/>
    <w:p w14:paraId="30BE2C7B" w14:textId="3633C1E4" w:rsidR="008134C8" w:rsidRDefault="002C50EE" w:rsidP="004A448E">
      <w:pPr>
        <w:pStyle w:val="Heading2"/>
      </w:pPr>
      <w:r>
        <w:t>4.2. Дозировка и начин на приложение</w:t>
      </w:r>
    </w:p>
    <w:p w14:paraId="7AA22B68" w14:textId="3A681DFB" w:rsidR="0091385D" w:rsidRDefault="0091385D" w:rsidP="0091385D"/>
    <w:p w14:paraId="453EB039" w14:textId="77777777" w:rsidR="00A27676" w:rsidRPr="00A27676" w:rsidRDefault="00A27676" w:rsidP="00A27676">
      <w:pPr>
        <w:pStyle w:val="Heading3"/>
        <w:rPr>
          <w:rFonts w:eastAsia="Times New Roman"/>
          <w:sz w:val="28"/>
          <w:u w:val="single"/>
          <w:lang w:eastAsia="bg-BG"/>
        </w:rPr>
      </w:pPr>
      <w:r w:rsidRPr="00A27676">
        <w:rPr>
          <w:rFonts w:eastAsia="Times New Roman"/>
          <w:u w:val="single"/>
          <w:lang w:eastAsia="bg-BG"/>
        </w:rPr>
        <w:t>Дозировка</w:t>
      </w:r>
    </w:p>
    <w:p w14:paraId="7A5A3E58" w14:textId="77777777" w:rsidR="00A27676" w:rsidRPr="00A27676" w:rsidRDefault="00A27676" w:rsidP="00A27676">
      <w:pPr>
        <w:spacing w:line="240" w:lineRule="auto"/>
        <w:rPr>
          <w:rFonts w:eastAsia="Times New Roman" w:cs="Arial"/>
          <w:color w:val="000000"/>
          <w:szCs w:val="20"/>
          <w:lang w:eastAsia="bg-BG"/>
        </w:rPr>
      </w:pPr>
    </w:p>
    <w:p w14:paraId="10FB6662" w14:textId="3D90E2D1"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Лакозамид трябва да се приема два пъти дневно (обикновено веднъж сутрин и веднъж вечер). Лакозамид може да се приема със или без храна.</w:t>
      </w:r>
    </w:p>
    <w:p w14:paraId="179371C1"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Ако е пропуснат прием на доза, пациентът трябва да бъде инструктиран да приеме незабавно пропуснатата доза, а след това да приеме следващите дози в определеното време. Ако остават по-малко от 6 часа до следващия прием, пациентът трябва да бъде инструктиран да изчака следващата доза в определеното време. Пациентите не трябва да приемат двойна доза.</w:t>
      </w:r>
    </w:p>
    <w:p w14:paraId="483814AA" w14:textId="77777777" w:rsidR="00A27676" w:rsidRPr="00A27676" w:rsidRDefault="00A27676" w:rsidP="00A27676">
      <w:pPr>
        <w:spacing w:line="240" w:lineRule="auto"/>
        <w:rPr>
          <w:rFonts w:eastAsia="Times New Roman" w:cs="Arial"/>
          <w:i/>
          <w:iCs/>
          <w:color w:val="000000"/>
          <w:szCs w:val="20"/>
          <w:u w:val="single"/>
          <w:lang w:eastAsia="bg-BG"/>
        </w:rPr>
      </w:pPr>
    </w:p>
    <w:p w14:paraId="0E7FBCC7" w14:textId="7316AEAD"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u w:val="single"/>
          <w:lang w:eastAsia="bg-BG"/>
        </w:rPr>
        <w:t xml:space="preserve">Юноши и деиа е тегло на и над 50 </w:t>
      </w:r>
      <w:r w:rsidRPr="00A27676">
        <w:rPr>
          <w:rFonts w:eastAsia="Times New Roman" w:cs="Arial"/>
          <w:i/>
          <w:iCs/>
          <w:color w:val="000000"/>
          <w:szCs w:val="20"/>
          <w:u w:val="single"/>
          <w:lang w:val="en-US"/>
        </w:rPr>
        <w:t xml:space="preserve">kg, </w:t>
      </w:r>
      <w:r w:rsidRPr="00A27676">
        <w:rPr>
          <w:rFonts w:eastAsia="Times New Roman" w:cs="Arial"/>
          <w:i/>
          <w:iCs/>
          <w:color w:val="000000"/>
          <w:szCs w:val="20"/>
          <w:u w:val="single"/>
          <w:lang w:eastAsia="bg-BG"/>
        </w:rPr>
        <w:t>и при възрастни</w:t>
      </w:r>
    </w:p>
    <w:p w14:paraId="2EAF1FF2" w14:textId="77777777" w:rsidR="00A27676" w:rsidRPr="00A27676" w:rsidRDefault="00A27676" w:rsidP="00A27676">
      <w:pPr>
        <w:rPr>
          <w:rFonts w:eastAsia="Times New Roman" w:cs="Arial"/>
          <w:color w:val="000000"/>
          <w:szCs w:val="20"/>
          <w:lang w:eastAsia="bg-BG"/>
        </w:rPr>
      </w:pPr>
    </w:p>
    <w:p w14:paraId="475300EC" w14:textId="2A7D944D" w:rsidR="0091385D" w:rsidRPr="00A27676" w:rsidRDefault="00A27676" w:rsidP="00A27676">
      <w:pPr>
        <w:rPr>
          <w:rFonts w:cs="Arial"/>
          <w:sz w:val="24"/>
        </w:rPr>
      </w:pPr>
      <w:r w:rsidRPr="00A27676">
        <w:rPr>
          <w:rFonts w:eastAsia="Times New Roman" w:cs="Arial"/>
          <w:color w:val="000000"/>
          <w:szCs w:val="20"/>
          <w:lang w:eastAsia="bg-BG"/>
        </w:rPr>
        <w:t xml:space="preserve">Таблицата по-долу обобщава препоръчваната дозировка при юноши и деца с тегло на и над 50 </w:t>
      </w:r>
      <w:r w:rsidRPr="00A27676">
        <w:rPr>
          <w:rFonts w:eastAsia="Times New Roman" w:cs="Arial"/>
          <w:color w:val="000000"/>
          <w:szCs w:val="20"/>
          <w:lang w:val="en-US"/>
        </w:rPr>
        <w:t xml:space="preserve">kg, </w:t>
      </w:r>
      <w:r w:rsidRPr="00A27676">
        <w:rPr>
          <w:rFonts w:eastAsia="Times New Roman" w:cs="Arial"/>
          <w:color w:val="000000"/>
          <w:szCs w:val="20"/>
          <w:lang w:eastAsia="bg-BG"/>
        </w:rPr>
        <w:t>и при възрастни.</w:t>
      </w:r>
    </w:p>
    <w:p w14:paraId="6ACAF645" w14:textId="2DAF9734" w:rsidR="0091385D" w:rsidRDefault="0091385D" w:rsidP="0091385D"/>
    <w:tbl>
      <w:tblPr>
        <w:tblStyle w:val="TableGrid"/>
        <w:tblW w:w="0" w:type="auto"/>
        <w:tblLook w:val="04A0" w:firstRow="1" w:lastRow="0" w:firstColumn="1" w:lastColumn="0" w:noHBand="0" w:noVBand="1"/>
      </w:tblPr>
      <w:tblGrid>
        <w:gridCol w:w="3120"/>
        <w:gridCol w:w="3118"/>
        <w:gridCol w:w="3112"/>
      </w:tblGrid>
      <w:tr w:rsidR="00A27676" w14:paraId="34A510FD" w14:textId="77777777" w:rsidTr="00A27676">
        <w:tc>
          <w:tcPr>
            <w:tcW w:w="3166" w:type="dxa"/>
          </w:tcPr>
          <w:p w14:paraId="6070F802" w14:textId="77777777" w:rsidR="00A27676" w:rsidRPr="00A27676" w:rsidRDefault="00A27676" w:rsidP="00A27676"/>
        </w:tc>
        <w:tc>
          <w:tcPr>
            <w:tcW w:w="3167" w:type="dxa"/>
          </w:tcPr>
          <w:p w14:paraId="68E74070" w14:textId="4AA67971" w:rsidR="00A27676" w:rsidRPr="00A27676" w:rsidRDefault="00A27676" w:rsidP="00A27676">
            <w:r w:rsidRPr="00A27676">
              <w:rPr>
                <w:szCs w:val="20"/>
              </w:rPr>
              <w:t>Монотерапия</w:t>
            </w:r>
          </w:p>
        </w:tc>
        <w:tc>
          <w:tcPr>
            <w:tcW w:w="3167" w:type="dxa"/>
          </w:tcPr>
          <w:p w14:paraId="0A9FEF1E" w14:textId="6F8DB738" w:rsidR="00A27676" w:rsidRPr="00A27676" w:rsidRDefault="00A27676" w:rsidP="00A27676">
            <w:r w:rsidRPr="00A27676">
              <w:rPr>
                <w:szCs w:val="20"/>
              </w:rPr>
              <w:t>Допълваща терапия</w:t>
            </w:r>
          </w:p>
        </w:tc>
      </w:tr>
      <w:tr w:rsidR="00A27676" w14:paraId="5F99B844" w14:textId="77777777" w:rsidTr="00A27676">
        <w:tc>
          <w:tcPr>
            <w:tcW w:w="3166" w:type="dxa"/>
          </w:tcPr>
          <w:p w14:paraId="3B899180" w14:textId="2ABAD103" w:rsidR="00A27676" w:rsidRPr="00A27676" w:rsidRDefault="00A27676" w:rsidP="00A27676">
            <w:r w:rsidRPr="00A27676">
              <w:rPr>
                <w:szCs w:val="20"/>
              </w:rPr>
              <w:t>Начална доза</w:t>
            </w:r>
          </w:p>
        </w:tc>
        <w:tc>
          <w:tcPr>
            <w:tcW w:w="3167" w:type="dxa"/>
          </w:tcPr>
          <w:p w14:paraId="279FC24E" w14:textId="5BF128B2" w:rsidR="00A27676" w:rsidRPr="00A27676" w:rsidRDefault="00A27676" w:rsidP="00A27676">
            <w:r w:rsidRPr="00A27676">
              <w:rPr>
                <w:szCs w:val="20"/>
              </w:rPr>
              <w:t xml:space="preserve">100 </w:t>
            </w:r>
            <w:r w:rsidRPr="00A27676">
              <w:rPr>
                <w:szCs w:val="20"/>
                <w:lang w:val="en-US"/>
              </w:rPr>
              <w:t>mg/</w:t>
            </w:r>
            <w:r w:rsidRPr="00A27676">
              <w:rPr>
                <w:szCs w:val="20"/>
              </w:rPr>
              <w:t xml:space="preserve">дневно или 200 </w:t>
            </w:r>
            <w:r w:rsidRPr="00A27676">
              <w:rPr>
                <w:szCs w:val="20"/>
                <w:lang w:val="en-US"/>
              </w:rPr>
              <w:t>mg</w:t>
            </w:r>
            <w:r w:rsidRPr="00A27676">
              <w:rPr>
                <w:szCs w:val="20"/>
              </w:rPr>
              <w:t>/дневно</w:t>
            </w:r>
          </w:p>
        </w:tc>
        <w:tc>
          <w:tcPr>
            <w:tcW w:w="3167" w:type="dxa"/>
          </w:tcPr>
          <w:p w14:paraId="36EDE5E8" w14:textId="4DB30EE1" w:rsidR="00A27676" w:rsidRPr="00A27676" w:rsidRDefault="00A27676" w:rsidP="00A27676">
            <w:r w:rsidRPr="00A27676">
              <w:rPr>
                <w:szCs w:val="20"/>
              </w:rPr>
              <w:t xml:space="preserve">100 </w:t>
            </w:r>
            <w:r w:rsidRPr="00A27676">
              <w:rPr>
                <w:szCs w:val="20"/>
                <w:lang w:val="en-US"/>
              </w:rPr>
              <w:t>mg</w:t>
            </w:r>
            <w:r w:rsidRPr="00A27676">
              <w:rPr>
                <w:szCs w:val="20"/>
              </w:rPr>
              <w:t>/дневно</w:t>
            </w:r>
          </w:p>
        </w:tc>
      </w:tr>
      <w:tr w:rsidR="00A27676" w14:paraId="04FB4877" w14:textId="77777777" w:rsidTr="00A27676">
        <w:tc>
          <w:tcPr>
            <w:tcW w:w="3166" w:type="dxa"/>
          </w:tcPr>
          <w:p w14:paraId="273EF161" w14:textId="694E9BE3" w:rsidR="00A27676" w:rsidRPr="00A27676" w:rsidRDefault="00A27676" w:rsidP="00A27676">
            <w:r w:rsidRPr="00A27676">
              <w:rPr>
                <w:szCs w:val="20"/>
              </w:rPr>
              <w:lastRenderedPageBreak/>
              <w:t>Единична натоварваща доза (ако се налага)</w:t>
            </w:r>
          </w:p>
        </w:tc>
        <w:tc>
          <w:tcPr>
            <w:tcW w:w="3167" w:type="dxa"/>
          </w:tcPr>
          <w:p w14:paraId="34BEE690" w14:textId="07BF3E9E" w:rsidR="00A27676" w:rsidRPr="00A27676" w:rsidRDefault="00A27676" w:rsidP="00A27676">
            <w:r w:rsidRPr="00A27676">
              <w:rPr>
                <w:szCs w:val="20"/>
              </w:rPr>
              <w:t xml:space="preserve">200 </w:t>
            </w:r>
            <w:r w:rsidRPr="00A27676">
              <w:rPr>
                <w:szCs w:val="20"/>
                <w:lang w:val="en-US"/>
              </w:rPr>
              <w:t>mg</w:t>
            </w:r>
          </w:p>
        </w:tc>
        <w:tc>
          <w:tcPr>
            <w:tcW w:w="3167" w:type="dxa"/>
          </w:tcPr>
          <w:p w14:paraId="1A9FF15D" w14:textId="4ED1DD22" w:rsidR="00A27676" w:rsidRPr="00A27676" w:rsidRDefault="00A27676" w:rsidP="00A27676">
            <w:r w:rsidRPr="00A27676">
              <w:rPr>
                <w:szCs w:val="20"/>
              </w:rPr>
              <w:t xml:space="preserve">200 </w:t>
            </w:r>
            <w:r w:rsidRPr="00A27676">
              <w:rPr>
                <w:szCs w:val="20"/>
                <w:lang w:val="en-US"/>
              </w:rPr>
              <w:t>mg</w:t>
            </w:r>
          </w:p>
        </w:tc>
      </w:tr>
      <w:tr w:rsidR="00A27676" w14:paraId="10A16696" w14:textId="77777777" w:rsidTr="00A27676">
        <w:tc>
          <w:tcPr>
            <w:tcW w:w="3166" w:type="dxa"/>
          </w:tcPr>
          <w:p w14:paraId="3717C23E" w14:textId="641D41DB" w:rsidR="00A27676" w:rsidRPr="00A27676" w:rsidRDefault="00A27676" w:rsidP="00A27676">
            <w:r w:rsidRPr="00A27676">
              <w:rPr>
                <w:szCs w:val="20"/>
              </w:rPr>
              <w:t>Титриране (постепенно повишаване на дозата)</w:t>
            </w:r>
          </w:p>
        </w:tc>
        <w:tc>
          <w:tcPr>
            <w:tcW w:w="3167" w:type="dxa"/>
          </w:tcPr>
          <w:p w14:paraId="2583832A" w14:textId="51746CF6" w:rsidR="00A27676" w:rsidRPr="00A27676" w:rsidRDefault="00A27676" w:rsidP="00A27676">
            <w:r w:rsidRPr="00A27676">
              <w:rPr>
                <w:szCs w:val="20"/>
              </w:rPr>
              <w:t xml:space="preserve">50 </w:t>
            </w:r>
            <w:r w:rsidRPr="00A27676">
              <w:rPr>
                <w:szCs w:val="20"/>
                <w:lang w:val="en-US"/>
              </w:rPr>
              <w:t xml:space="preserve">mg </w:t>
            </w:r>
            <w:r w:rsidRPr="00A27676">
              <w:rPr>
                <w:szCs w:val="20"/>
              </w:rPr>
              <w:t xml:space="preserve">два пъти дневно (100 </w:t>
            </w:r>
            <w:r w:rsidRPr="00A27676">
              <w:rPr>
                <w:szCs w:val="20"/>
                <w:lang w:val="en-US"/>
              </w:rPr>
              <w:t>mg</w:t>
            </w:r>
            <w:r w:rsidRPr="00A27676">
              <w:rPr>
                <w:szCs w:val="20"/>
              </w:rPr>
              <w:t>/дневно) на седмични интервали</w:t>
            </w:r>
          </w:p>
        </w:tc>
        <w:tc>
          <w:tcPr>
            <w:tcW w:w="3167" w:type="dxa"/>
          </w:tcPr>
          <w:p w14:paraId="414BB667" w14:textId="7A85039D" w:rsidR="00A27676" w:rsidRPr="00A27676" w:rsidRDefault="00A27676" w:rsidP="00A27676">
            <w:r w:rsidRPr="00A27676">
              <w:rPr>
                <w:szCs w:val="20"/>
              </w:rPr>
              <w:t xml:space="preserve">50 </w:t>
            </w:r>
            <w:r w:rsidRPr="00A27676">
              <w:rPr>
                <w:szCs w:val="20"/>
                <w:lang w:val="en-US"/>
              </w:rPr>
              <w:t xml:space="preserve">mg </w:t>
            </w:r>
            <w:r w:rsidRPr="00A27676">
              <w:rPr>
                <w:szCs w:val="20"/>
              </w:rPr>
              <w:t xml:space="preserve">два пъти дневно (100 </w:t>
            </w:r>
            <w:r w:rsidRPr="00A27676">
              <w:rPr>
                <w:szCs w:val="20"/>
                <w:lang w:val="en-US"/>
              </w:rPr>
              <w:t>mg</w:t>
            </w:r>
            <w:r w:rsidRPr="00A27676">
              <w:rPr>
                <w:szCs w:val="20"/>
              </w:rPr>
              <w:t>/дневно) на седмични интервали</w:t>
            </w:r>
          </w:p>
        </w:tc>
      </w:tr>
      <w:tr w:rsidR="00A27676" w14:paraId="223D9743" w14:textId="77777777" w:rsidTr="00A27676">
        <w:tc>
          <w:tcPr>
            <w:tcW w:w="3166" w:type="dxa"/>
          </w:tcPr>
          <w:p w14:paraId="1AE941D1" w14:textId="5BE88D9A" w:rsidR="00A27676" w:rsidRPr="00A27676" w:rsidRDefault="00A27676" w:rsidP="00A27676">
            <w:r w:rsidRPr="00A27676">
              <w:rPr>
                <w:szCs w:val="20"/>
              </w:rPr>
              <w:t>Максимална препоръчвана доза</w:t>
            </w:r>
          </w:p>
        </w:tc>
        <w:tc>
          <w:tcPr>
            <w:tcW w:w="3167" w:type="dxa"/>
          </w:tcPr>
          <w:p w14:paraId="018EA0AF" w14:textId="038D389F" w:rsidR="00A27676" w:rsidRPr="00A27676" w:rsidRDefault="00A27676" w:rsidP="00A27676">
            <w:r w:rsidRPr="00A27676">
              <w:rPr>
                <w:szCs w:val="20"/>
              </w:rPr>
              <w:t xml:space="preserve">до 600 </w:t>
            </w:r>
            <w:r w:rsidRPr="00A27676">
              <w:rPr>
                <w:szCs w:val="20"/>
                <w:lang w:val="en-US"/>
              </w:rPr>
              <w:t>mg</w:t>
            </w:r>
            <w:r w:rsidRPr="00A27676">
              <w:rPr>
                <w:szCs w:val="20"/>
              </w:rPr>
              <w:t>/дневно</w:t>
            </w:r>
          </w:p>
        </w:tc>
        <w:tc>
          <w:tcPr>
            <w:tcW w:w="3167" w:type="dxa"/>
          </w:tcPr>
          <w:p w14:paraId="57B6FE10" w14:textId="5BC1DFE9" w:rsidR="00A27676" w:rsidRPr="00A27676" w:rsidRDefault="00A27676" w:rsidP="00A27676">
            <w:r w:rsidRPr="00A27676">
              <w:rPr>
                <w:szCs w:val="20"/>
              </w:rPr>
              <w:t xml:space="preserve">до 400 </w:t>
            </w:r>
            <w:r w:rsidRPr="00A27676">
              <w:rPr>
                <w:szCs w:val="20"/>
                <w:lang w:val="en-US"/>
              </w:rPr>
              <w:t>mg</w:t>
            </w:r>
            <w:r w:rsidRPr="00A27676">
              <w:rPr>
                <w:szCs w:val="20"/>
              </w:rPr>
              <w:t>/дневно</w:t>
            </w:r>
          </w:p>
        </w:tc>
      </w:tr>
    </w:tbl>
    <w:p w14:paraId="4448770A" w14:textId="2B0B899C" w:rsidR="00A27676" w:rsidRDefault="00A27676" w:rsidP="0091385D"/>
    <w:p w14:paraId="74AAEA61" w14:textId="5BEE7ABB" w:rsidR="00A27676" w:rsidRDefault="00A27676" w:rsidP="0091385D"/>
    <w:p w14:paraId="6689731A" w14:textId="77777777" w:rsidR="00A27676" w:rsidRPr="00A27676" w:rsidRDefault="00A27676" w:rsidP="00A27676">
      <w:pPr>
        <w:rPr>
          <w:sz w:val="24"/>
        </w:rPr>
      </w:pPr>
      <w:r w:rsidRPr="00A27676">
        <w:rPr>
          <w:i/>
          <w:iCs/>
          <w:szCs w:val="20"/>
        </w:rPr>
        <w:t>Монотерапмя (при лечението на парциални пристъпи)</w:t>
      </w:r>
    </w:p>
    <w:p w14:paraId="66E73C8F" w14:textId="51FA9185" w:rsidR="00A27676" w:rsidRDefault="00A27676" w:rsidP="00A27676">
      <w:pPr>
        <w:rPr>
          <w:szCs w:val="20"/>
        </w:rPr>
      </w:pPr>
      <w:r w:rsidRPr="00A27676">
        <w:rPr>
          <w:szCs w:val="20"/>
        </w:rPr>
        <w:t xml:space="preserve">Препоръчителната начална доза е 50 </w:t>
      </w:r>
      <w:r w:rsidRPr="00A27676">
        <w:rPr>
          <w:szCs w:val="20"/>
          <w:lang w:val="en-US"/>
        </w:rPr>
        <w:t xml:space="preserve">mg </w:t>
      </w:r>
      <w:r w:rsidRPr="00A27676">
        <w:rPr>
          <w:szCs w:val="20"/>
        </w:rPr>
        <w:t xml:space="preserve">два пъти дневно, която след една седмица трябва да бъде повишена до начална терапевтична доза от 100 </w:t>
      </w:r>
      <w:r w:rsidRPr="00A27676">
        <w:rPr>
          <w:szCs w:val="20"/>
          <w:lang w:val="en-US"/>
        </w:rPr>
        <w:t xml:space="preserve">mg </w:t>
      </w:r>
      <w:r w:rsidRPr="00A27676">
        <w:rPr>
          <w:szCs w:val="20"/>
        </w:rPr>
        <w:t>д</w:t>
      </w:r>
      <w:r>
        <w:rPr>
          <w:szCs w:val="20"/>
        </w:rPr>
        <w:t>ва пъти дневно.</w:t>
      </w:r>
    </w:p>
    <w:p w14:paraId="14AD8352" w14:textId="5F9398C2" w:rsidR="00A27676" w:rsidRDefault="00A27676" w:rsidP="00A27676">
      <w:pPr>
        <w:rPr>
          <w:szCs w:val="20"/>
        </w:rPr>
      </w:pPr>
    </w:p>
    <w:p w14:paraId="74F9320E"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Лечението с лакозамид може да се започне също с доза от 100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два пъти дневно според преценката на лекаря за необходимостта от намаляване на пристъпите спрямо потенциалните нежелани реакции.</w:t>
      </w:r>
    </w:p>
    <w:p w14:paraId="4D5146F4" w14:textId="77777777" w:rsidR="00A27676" w:rsidRPr="00A27676" w:rsidRDefault="00A27676" w:rsidP="00A27676">
      <w:pPr>
        <w:spacing w:line="240" w:lineRule="auto"/>
        <w:rPr>
          <w:rFonts w:eastAsia="Times New Roman" w:cs="Arial"/>
          <w:color w:val="000000"/>
          <w:szCs w:val="20"/>
          <w:lang w:eastAsia="bg-BG"/>
        </w:rPr>
      </w:pPr>
    </w:p>
    <w:p w14:paraId="170227A4" w14:textId="3D56FDBE"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В зависимост от отговора и поносимостта, поддържащата доза може да бъде допълнително повишавана всяка седмица с 50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два пъти дневно (100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дневно) до максимална препоръчителна дневна доза два пъти по 300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(600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дневно).</w:t>
      </w:r>
    </w:p>
    <w:p w14:paraId="48B78F6D"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При пациенти, лекувани с доза, по-висока доза от 400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дневно и които се нуждаят от допълнителен антиепилептичен лекарствен продукт, трябва да се спазва дозировката по-долу, която се препоръчва за допълваща терапия.</w:t>
      </w:r>
    </w:p>
    <w:p w14:paraId="3F66EE36" w14:textId="77777777" w:rsidR="00A27676" w:rsidRPr="00A27676" w:rsidRDefault="00A27676" w:rsidP="00A27676">
      <w:pPr>
        <w:spacing w:line="240" w:lineRule="auto"/>
        <w:rPr>
          <w:rFonts w:eastAsia="Times New Roman" w:cs="Arial"/>
          <w:i/>
          <w:iCs/>
          <w:color w:val="000000"/>
          <w:szCs w:val="20"/>
          <w:lang w:eastAsia="bg-BG"/>
        </w:rPr>
      </w:pPr>
    </w:p>
    <w:p w14:paraId="45062210" w14:textId="421BCBD1"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Допълваща терапия (при лечението на парциални пристъпи или лечението на първично генерализирани тонично-клонични пристъпи)</w:t>
      </w:r>
    </w:p>
    <w:p w14:paraId="17559502"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Препоръчителната начална доза е 50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два пъти дневно, която след една седмица трябва да бъде повишена до начална терапевтична доза от 100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два пъти дневно.</w:t>
      </w:r>
    </w:p>
    <w:p w14:paraId="4942355C"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В зависимост от индивидуалния отговор на пациента, поддържащата доза може да бъде допълнително повишавана всяка седмица с 50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два пъти дневно (100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дневно) до максимална препоръчителна дневна доза от 400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(200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два пъти дневно).</w:t>
      </w:r>
    </w:p>
    <w:p w14:paraId="65D89BBC" w14:textId="77777777" w:rsidR="00A27676" w:rsidRPr="00A27676" w:rsidRDefault="00A27676" w:rsidP="00A27676">
      <w:pPr>
        <w:spacing w:line="240" w:lineRule="auto"/>
        <w:rPr>
          <w:rFonts w:eastAsia="Times New Roman" w:cs="Arial"/>
          <w:i/>
          <w:iCs/>
          <w:color w:val="000000"/>
          <w:szCs w:val="20"/>
          <w:lang w:eastAsia="bg-BG"/>
        </w:rPr>
      </w:pPr>
    </w:p>
    <w:p w14:paraId="0C05D6C7" w14:textId="6ACD6CEC"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Започване на лечение с лакозамид с натоварваща доза (начална монотерапия или преминаване към монотерапия в лечението на парциални пристъпи или допълваща терапия в лечението на парциални пристъпи, или допълваща терапия влечението на първично генерализирани тонично-клонични пристъпи)</w:t>
      </w:r>
    </w:p>
    <w:p w14:paraId="570D474A"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Лечението с лакозамид може да се започне също с единична натоварваща доза от 200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последвана приблизително 12 часа по-късно от 100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два пъти дневно (200 </w:t>
      </w:r>
      <w:r w:rsidRPr="00A27676">
        <w:rPr>
          <w:rFonts w:eastAsia="Times New Roman" w:cs="Arial"/>
          <w:color w:val="000000"/>
          <w:szCs w:val="20"/>
          <w:lang w:val="en-US"/>
        </w:rPr>
        <w:t>mg</w:t>
      </w:r>
      <w:r w:rsidRPr="00A27676">
        <w:rPr>
          <w:rFonts w:eastAsia="Times New Roman" w:cs="Arial"/>
          <w:color w:val="000000"/>
          <w:szCs w:val="20"/>
          <w:lang w:eastAsia="bg-BG"/>
        </w:rPr>
        <w:t>/ден) като поддържаща схема на лечение. Последващи корекции на дозата трябва да се правят съгласно индивидуалния отговор и поносимост, както е описано по-горе. С натоварваща доза може да се започне при пациенти в ситуации, когато лекарят прецени, че бързото достигане на стационарна плазмена концентрация на лакозамид и терапевтичен ефект е основателно. Тя трябва да се прилага под лекарско наблюдение, като се вземе под внимание възможността за повишена честота на сериозна сърдечна аритмия и на нежеланите реакции от страна на централната нервна система (вж. точка 4.8). Прилагането на натоварваща доза не е проучено при остри състояния като статус епилептикус.</w:t>
      </w:r>
    </w:p>
    <w:p w14:paraId="17386790" w14:textId="77777777" w:rsidR="00A27676" w:rsidRPr="00A27676" w:rsidRDefault="00A27676" w:rsidP="00A27676">
      <w:pPr>
        <w:spacing w:line="240" w:lineRule="auto"/>
        <w:rPr>
          <w:rFonts w:eastAsia="Times New Roman" w:cs="Arial"/>
          <w:i/>
          <w:iCs/>
          <w:color w:val="000000"/>
          <w:szCs w:val="20"/>
          <w:lang w:eastAsia="bg-BG"/>
        </w:rPr>
      </w:pPr>
    </w:p>
    <w:p w14:paraId="3374C829" w14:textId="41DB5AD5"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Спиране на лечението</w:t>
      </w:r>
    </w:p>
    <w:p w14:paraId="447A0CB2" w14:textId="77777777" w:rsidR="00A27676" w:rsidRPr="00A27676" w:rsidRDefault="00A27676" w:rsidP="00A27676">
      <w:pPr>
        <w:spacing w:line="240" w:lineRule="auto"/>
        <w:rPr>
          <w:rFonts w:eastAsia="Times New Roman" w:cs="Arial"/>
          <w:color w:val="000000"/>
          <w:szCs w:val="20"/>
          <w:lang w:eastAsia="bg-BG"/>
        </w:rPr>
      </w:pPr>
    </w:p>
    <w:p w14:paraId="222FA46A" w14:textId="69E9AC0B"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lastRenderedPageBreak/>
        <w:t xml:space="preserve">Според съвременната клинична практика, при необходимост от спиране на лакозамид, това се препоръчва да става постепенно (напр. понижаване на дневната доза с 200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седмично). При пациенти, които развият сериозна сърдечна аритмия, трябва да се направи оценка на клиничната полза/риск и при необходимост трябва да се прекрати приема на лакозамид.</w:t>
      </w:r>
    </w:p>
    <w:p w14:paraId="2715574C" w14:textId="77777777" w:rsidR="00A27676" w:rsidRPr="00A27676" w:rsidRDefault="00A27676" w:rsidP="00A27676">
      <w:pPr>
        <w:spacing w:line="240" w:lineRule="auto"/>
        <w:rPr>
          <w:rFonts w:eastAsia="Times New Roman" w:cs="Arial"/>
          <w:color w:val="000000"/>
          <w:szCs w:val="20"/>
          <w:u w:val="single"/>
          <w:lang w:eastAsia="bg-BG"/>
        </w:rPr>
      </w:pPr>
    </w:p>
    <w:p w14:paraId="18C32FFB" w14:textId="1945D552"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u w:val="single"/>
          <w:lang w:eastAsia="bg-BG"/>
        </w:rPr>
        <w:t>Специални популации</w:t>
      </w:r>
    </w:p>
    <w:p w14:paraId="655B4C6E" w14:textId="77777777" w:rsidR="00A27676" w:rsidRPr="00A27676" w:rsidRDefault="00A27676" w:rsidP="00A27676">
      <w:pPr>
        <w:spacing w:line="240" w:lineRule="auto"/>
        <w:rPr>
          <w:rFonts w:eastAsia="Times New Roman" w:cs="Arial"/>
          <w:i/>
          <w:iCs/>
          <w:color w:val="000000"/>
          <w:szCs w:val="20"/>
          <w:lang w:eastAsia="bg-BG"/>
        </w:rPr>
      </w:pPr>
    </w:p>
    <w:p w14:paraId="13146FE0" w14:textId="78C2D466"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Старческа възраст (над б5-годишна възраст)</w:t>
      </w:r>
    </w:p>
    <w:p w14:paraId="3C583E9E" w14:textId="1214A6FD" w:rsidR="00A27676" w:rsidRPr="00A27676" w:rsidRDefault="00A27676" w:rsidP="00A27676">
      <w:pPr>
        <w:rPr>
          <w:rFonts w:cs="Arial"/>
          <w:sz w:val="28"/>
          <w:lang w:val="en-US"/>
        </w:rPr>
      </w:pPr>
      <w:r w:rsidRPr="00A27676">
        <w:rPr>
          <w:rFonts w:eastAsia="Times New Roman" w:cs="Arial"/>
          <w:color w:val="000000"/>
          <w:szCs w:val="20"/>
          <w:lang w:eastAsia="bg-BG"/>
        </w:rPr>
        <w:t xml:space="preserve">Не е необходимо понижаване на дозата при пациенти в старческа възраст. Има ограничен опит с лакозамид при пациенти в старческа възраст с епилепсия. Свързаното с възрастта понижение на бъбречния клирънс с повишение на нивата на </w:t>
      </w:r>
      <w:r w:rsidRPr="00A27676">
        <w:rPr>
          <w:rFonts w:eastAsia="Times New Roman" w:cs="Arial"/>
          <w:color w:val="000000"/>
          <w:szCs w:val="20"/>
          <w:lang w:val="en-US"/>
        </w:rPr>
        <w:t xml:space="preserve">AUC </w:t>
      </w:r>
      <w:r w:rsidRPr="00A27676">
        <w:rPr>
          <w:rFonts w:eastAsia="Times New Roman" w:cs="Arial"/>
          <w:color w:val="000000"/>
          <w:szCs w:val="20"/>
          <w:lang w:eastAsia="bg-BG"/>
        </w:rPr>
        <w:t xml:space="preserve">трябва да се има предвид при пациенти в старческа възраст (вж. следващия параграф „бъбречно увреждане” и точка 5.2). Съществуват ограничени клинични данни за пациенти в старческа възраст с епилепсия, специално при дози, по-високи от 400 </w:t>
      </w:r>
      <w:r w:rsidRPr="00A27676">
        <w:rPr>
          <w:rFonts w:eastAsia="Times New Roman" w:cs="Arial"/>
          <w:color w:val="000000"/>
          <w:szCs w:val="20"/>
          <w:lang w:val="en-US"/>
        </w:rPr>
        <w:t>mg</w:t>
      </w:r>
      <w:r w:rsidRPr="00A27676">
        <w:rPr>
          <w:rFonts w:eastAsia="Times New Roman" w:cs="Arial"/>
          <w:color w:val="000000"/>
          <w:szCs w:val="20"/>
          <w:lang w:eastAsia="bg-BG"/>
        </w:rPr>
        <w:t>/ден (вж. точки 4.4, 4.8 и 5,1).</w:t>
      </w:r>
    </w:p>
    <w:p w14:paraId="596F5F97" w14:textId="5DDA2267" w:rsidR="00A27676" w:rsidRDefault="00A27676" w:rsidP="0091385D"/>
    <w:p w14:paraId="60BCFB53" w14:textId="77777777" w:rsidR="00A27676" w:rsidRPr="00A27676" w:rsidRDefault="00A27676" w:rsidP="00A27676">
      <w:pPr>
        <w:spacing w:line="240" w:lineRule="auto"/>
        <w:rPr>
          <w:rFonts w:eastAsia="Times New Roman" w:cs="Arial"/>
          <w:lang w:eastAsia="bg-BG"/>
        </w:rPr>
      </w:pPr>
      <w:r w:rsidRPr="00A27676">
        <w:rPr>
          <w:rFonts w:eastAsia="Times New Roman" w:cs="Arial"/>
          <w:i/>
          <w:iCs/>
          <w:color w:val="000000"/>
          <w:lang w:eastAsia="bg-BG"/>
        </w:rPr>
        <w:t>Бъбречно увреждане</w:t>
      </w:r>
    </w:p>
    <w:p w14:paraId="4D029025" w14:textId="77777777" w:rsidR="00A27676" w:rsidRPr="00A27676" w:rsidRDefault="00A27676" w:rsidP="00A27676">
      <w:pPr>
        <w:spacing w:line="240" w:lineRule="auto"/>
        <w:rPr>
          <w:rFonts w:eastAsia="Times New Roman" w:cs="Arial"/>
          <w:lang w:eastAsia="bg-BG"/>
        </w:rPr>
      </w:pPr>
      <w:r w:rsidRPr="00A27676">
        <w:rPr>
          <w:rFonts w:eastAsia="Times New Roman" w:cs="Arial"/>
          <w:color w:val="000000"/>
          <w:lang w:eastAsia="bg-BG"/>
        </w:rPr>
        <w:t xml:space="preserve">Не е необходимо адаптиране на дозата при пациенти с леко до умерено бъбречно увреждане и при педиатрични пациенти </w:t>
      </w:r>
      <w:r w:rsidRPr="00A27676">
        <w:rPr>
          <w:rFonts w:eastAsia="Times New Roman" w:cs="Arial"/>
          <w:smallCaps/>
          <w:color w:val="000000"/>
          <w:lang w:val="en-US"/>
        </w:rPr>
        <w:t>(</w:t>
      </w:r>
      <w:proofErr w:type="spellStart"/>
      <w:r w:rsidRPr="00A27676">
        <w:rPr>
          <w:rFonts w:eastAsia="Times New Roman" w:cs="Arial"/>
          <w:smallCaps/>
          <w:color w:val="000000"/>
          <w:lang w:val="en-US"/>
        </w:rPr>
        <w:t>CLcr</w:t>
      </w:r>
      <w:proofErr w:type="spellEnd"/>
      <w:r w:rsidRPr="00A27676">
        <w:rPr>
          <w:rFonts w:eastAsia="Times New Roman" w:cs="Arial"/>
          <w:color w:val="000000"/>
          <w:lang w:val="en-US"/>
        </w:rPr>
        <w:t xml:space="preserve"> </w:t>
      </w:r>
      <w:r w:rsidRPr="00A27676">
        <w:rPr>
          <w:rFonts w:eastAsia="Times New Roman" w:cs="Arial"/>
          <w:color w:val="000000"/>
          <w:lang w:eastAsia="bg-BG"/>
        </w:rPr>
        <w:t xml:space="preserve">&gt;30 </w:t>
      </w:r>
      <w:r w:rsidRPr="00A27676">
        <w:rPr>
          <w:rFonts w:eastAsia="Times New Roman" w:cs="Arial"/>
          <w:color w:val="000000"/>
          <w:lang w:val="en-US"/>
        </w:rPr>
        <w:t xml:space="preserve">ml/min). </w:t>
      </w:r>
      <w:r w:rsidRPr="00A27676">
        <w:rPr>
          <w:rFonts w:eastAsia="Times New Roman" w:cs="Arial"/>
          <w:color w:val="000000"/>
          <w:lang w:eastAsia="bg-BG"/>
        </w:rPr>
        <w:t xml:space="preserve">При педиатрични пациенти с тегло 50 </w:t>
      </w:r>
      <w:r w:rsidRPr="00A27676">
        <w:rPr>
          <w:rFonts w:eastAsia="Times New Roman" w:cs="Arial"/>
          <w:color w:val="000000"/>
          <w:lang w:val="en-US"/>
        </w:rPr>
        <w:t xml:space="preserve">kg </w:t>
      </w:r>
      <w:r w:rsidRPr="00A27676">
        <w:rPr>
          <w:rFonts w:eastAsia="Times New Roman" w:cs="Arial"/>
          <w:color w:val="000000"/>
          <w:lang w:eastAsia="bg-BG"/>
        </w:rPr>
        <w:t xml:space="preserve">и повече и при пациенти с леко до умерено бъбречно увреждане може да се обмисли прилагане на натоварваща доза от 200 </w:t>
      </w:r>
      <w:r w:rsidRPr="00A27676">
        <w:rPr>
          <w:rFonts w:eastAsia="Times New Roman" w:cs="Arial"/>
          <w:color w:val="000000"/>
          <w:lang w:val="en-US"/>
        </w:rPr>
        <w:t xml:space="preserve">mg </w:t>
      </w:r>
      <w:r w:rsidRPr="00A27676">
        <w:rPr>
          <w:rFonts w:eastAsia="Times New Roman" w:cs="Arial"/>
          <w:color w:val="000000"/>
          <w:lang w:eastAsia="bg-BG"/>
        </w:rPr>
        <w:t xml:space="preserve">дневно, но бъдещо титриране на дозата (&gt;200 </w:t>
      </w:r>
      <w:r w:rsidRPr="00A27676">
        <w:rPr>
          <w:rFonts w:eastAsia="Times New Roman" w:cs="Arial"/>
          <w:color w:val="000000"/>
          <w:lang w:val="en-US"/>
        </w:rPr>
        <w:t xml:space="preserve">mg </w:t>
      </w:r>
      <w:r w:rsidRPr="00A27676">
        <w:rPr>
          <w:rFonts w:eastAsia="Times New Roman" w:cs="Arial"/>
          <w:color w:val="000000"/>
          <w:lang w:eastAsia="bg-BG"/>
        </w:rPr>
        <w:t xml:space="preserve">дневно) трябва да се извършва с повишено внимание. При пациенти с тежко бъбречно увреждане </w:t>
      </w:r>
      <w:r w:rsidRPr="00A27676">
        <w:rPr>
          <w:rFonts w:eastAsia="Times New Roman" w:cs="Arial"/>
          <w:smallCaps/>
          <w:color w:val="000000"/>
          <w:lang w:val="en-US"/>
        </w:rPr>
        <w:t>(</w:t>
      </w:r>
      <w:proofErr w:type="spellStart"/>
      <w:r w:rsidRPr="00A27676">
        <w:rPr>
          <w:rFonts w:eastAsia="Times New Roman" w:cs="Arial"/>
          <w:smallCaps/>
          <w:color w:val="000000"/>
          <w:lang w:val="en-US"/>
        </w:rPr>
        <w:t>CLcr</w:t>
      </w:r>
      <w:proofErr w:type="spellEnd"/>
      <w:r w:rsidRPr="00A27676">
        <w:rPr>
          <w:rFonts w:eastAsia="Times New Roman" w:cs="Arial"/>
          <w:color w:val="000000"/>
          <w:lang w:val="en-US"/>
        </w:rPr>
        <w:t xml:space="preserve"> </w:t>
      </w:r>
      <w:r w:rsidRPr="00A27676">
        <w:rPr>
          <w:rFonts w:eastAsia="Times New Roman" w:cs="Arial"/>
          <w:color w:val="000000"/>
          <w:lang w:eastAsia="bg-BG"/>
        </w:rPr>
        <w:t xml:space="preserve">≤30 </w:t>
      </w:r>
      <w:r w:rsidRPr="00A27676">
        <w:rPr>
          <w:rFonts w:eastAsia="Times New Roman" w:cs="Arial"/>
          <w:color w:val="000000"/>
          <w:lang w:val="en-US"/>
        </w:rPr>
        <w:t xml:space="preserve">ml/min) </w:t>
      </w:r>
      <w:r w:rsidRPr="00A27676">
        <w:rPr>
          <w:rFonts w:eastAsia="Times New Roman" w:cs="Arial"/>
          <w:color w:val="000000"/>
          <w:lang w:eastAsia="bg-BG"/>
        </w:rPr>
        <w:t xml:space="preserve">и при пациенти с терминален стадий на бъбречно заболяване, е препоръчителна максимална поддържаща доза от 250 </w:t>
      </w:r>
      <w:r w:rsidRPr="00A27676">
        <w:rPr>
          <w:rFonts w:eastAsia="Times New Roman" w:cs="Arial"/>
          <w:color w:val="000000"/>
          <w:lang w:val="en-US"/>
        </w:rPr>
        <w:t xml:space="preserve">mg </w:t>
      </w:r>
      <w:r w:rsidRPr="00A27676">
        <w:rPr>
          <w:rFonts w:eastAsia="Times New Roman" w:cs="Arial"/>
          <w:color w:val="000000"/>
          <w:lang w:eastAsia="bg-BG"/>
        </w:rPr>
        <w:t xml:space="preserve">дневно. При тези пациенти титриране на дозата трябва да се извършва с повишено внимание. Ако е необходима натоварваща доза, през първата седмица трябва да се използва начална доза от 100 </w:t>
      </w:r>
      <w:r w:rsidRPr="00A27676">
        <w:rPr>
          <w:rFonts w:eastAsia="Times New Roman" w:cs="Arial"/>
          <w:color w:val="000000"/>
          <w:lang w:val="en-US"/>
        </w:rPr>
        <w:t xml:space="preserve">mg, </w:t>
      </w:r>
      <w:r w:rsidRPr="00A27676">
        <w:rPr>
          <w:rFonts w:eastAsia="Times New Roman" w:cs="Arial"/>
          <w:color w:val="000000"/>
          <w:lang w:eastAsia="bg-BG"/>
        </w:rPr>
        <w:t xml:space="preserve">последвана от доза от 50 </w:t>
      </w:r>
      <w:r w:rsidRPr="00A27676">
        <w:rPr>
          <w:rFonts w:eastAsia="Times New Roman" w:cs="Arial"/>
          <w:color w:val="000000"/>
          <w:lang w:val="en-US"/>
        </w:rPr>
        <w:t xml:space="preserve">mg </w:t>
      </w:r>
      <w:r w:rsidRPr="00A27676">
        <w:rPr>
          <w:rFonts w:eastAsia="Times New Roman" w:cs="Arial"/>
          <w:color w:val="000000"/>
          <w:lang w:eastAsia="bg-BG"/>
        </w:rPr>
        <w:t xml:space="preserve">два пъти дневно. При педиатрични пациенти с тегло под 50 </w:t>
      </w:r>
      <w:r w:rsidRPr="00A27676">
        <w:rPr>
          <w:rFonts w:eastAsia="Times New Roman" w:cs="Arial"/>
          <w:color w:val="000000"/>
          <w:lang w:val="en-US"/>
        </w:rPr>
        <w:t xml:space="preserve">kg </w:t>
      </w:r>
      <w:r w:rsidRPr="00A27676">
        <w:rPr>
          <w:rFonts w:eastAsia="Times New Roman" w:cs="Arial"/>
          <w:color w:val="000000"/>
          <w:lang w:eastAsia="bg-BG"/>
        </w:rPr>
        <w:t xml:space="preserve">с тежко бъбречно увреждане </w:t>
      </w:r>
      <w:r w:rsidRPr="00A27676">
        <w:rPr>
          <w:rFonts w:eastAsia="Times New Roman" w:cs="Arial"/>
          <w:smallCaps/>
          <w:color w:val="000000"/>
          <w:lang w:val="en-US"/>
        </w:rPr>
        <w:t>(</w:t>
      </w:r>
      <w:proofErr w:type="spellStart"/>
      <w:r w:rsidRPr="00A27676">
        <w:rPr>
          <w:rFonts w:eastAsia="Times New Roman" w:cs="Arial"/>
          <w:smallCaps/>
          <w:color w:val="000000"/>
          <w:lang w:val="en-US"/>
        </w:rPr>
        <w:t>CLcr</w:t>
      </w:r>
      <w:proofErr w:type="spellEnd"/>
      <w:r w:rsidRPr="00A27676">
        <w:rPr>
          <w:rFonts w:eastAsia="Times New Roman" w:cs="Arial"/>
          <w:color w:val="000000"/>
          <w:lang w:val="en-US"/>
        </w:rPr>
        <w:t xml:space="preserve"> </w:t>
      </w:r>
      <w:r w:rsidRPr="00A27676">
        <w:rPr>
          <w:rFonts w:eastAsia="Times New Roman" w:cs="Arial"/>
          <w:color w:val="000000"/>
          <w:lang w:eastAsia="bg-BG"/>
        </w:rPr>
        <w:t xml:space="preserve">≤30 </w:t>
      </w:r>
      <w:r w:rsidRPr="00A27676">
        <w:rPr>
          <w:rFonts w:eastAsia="Times New Roman" w:cs="Arial"/>
          <w:color w:val="000000"/>
          <w:lang w:val="en-US"/>
        </w:rPr>
        <w:t xml:space="preserve">ml/min) </w:t>
      </w:r>
      <w:r w:rsidRPr="00A27676">
        <w:rPr>
          <w:rFonts w:eastAsia="Times New Roman" w:cs="Arial"/>
          <w:color w:val="000000"/>
          <w:lang w:eastAsia="bg-BG"/>
        </w:rPr>
        <w:t>и при пациенти в терминален стадий на бъбречно заболяване, се препоръчва намаляване на максималната доза с 25%. При пациенти, които се нуждаят от хемодиализа се препоръчва добавяне на до 50% от определената дневна доза, непосредствено след приключване на хемодиализата. Лечение на пациенти в терминален стадий на бъбречна недостатъчност трябва да се извършва с повишено внимание поради малкия клиничен опит и кумулиране на метаболита (с неизвестна фармакологична активност).</w:t>
      </w:r>
    </w:p>
    <w:p w14:paraId="7BC9D4F0" w14:textId="77777777" w:rsidR="00A27676" w:rsidRPr="00A27676" w:rsidRDefault="00A27676" w:rsidP="00A27676">
      <w:pPr>
        <w:spacing w:line="240" w:lineRule="auto"/>
        <w:rPr>
          <w:rFonts w:eastAsia="Times New Roman" w:cs="Arial"/>
          <w:i/>
          <w:iCs/>
          <w:color w:val="000000"/>
          <w:lang w:eastAsia="bg-BG"/>
        </w:rPr>
      </w:pPr>
    </w:p>
    <w:p w14:paraId="7660B1FB" w14:textId="674FCF1F" w:rsidR="00A27676" w:rsidRPr="00A27676" w:rsidRDefault="00A27676" w:rsidP="00A27676">
      <w:pPr>
        <w:spacing w:line="240" w:lineRule="auto"/>
        <w:rPr>
          <w:rFonts w:eastAsia="Times New Roman" w:cs="Arial"/>
          <w:lang w:eastAsia="bg-BG"/>
        </w:rPr>
      </w:pPr>
      <w:r w:rsidRPr="00A27676">
        <w:rPr>
          <w:rFonts w:eastAsia="Times New Roman" w:cs="Arial"/>
          <w:i/>
          <w:iCs/>
          <w:color w:val="000000"/>
          <w:lang w:eastAsia="bg-BG"/>
        </w:rPr>
        <w:t>Чернодробно увреждане</w:t>
      </w:r>
    </w:p>
    <w:p w14:paraId="7698E284" w14:textId="77777777" w:rsidR="00A27676" w:rsidRPr="00A27676" w:rsidRDefault="00A27676" w:rsidP="00A27676">
      <w:pPr>
        <w:spacing w:line="240" w:lineRule="auto"/>
        <w:rPr>
          <w:rFonts w:eastAsia="Times New Roman" w:cs="Arial"/>
          <w:lang w:eastAsia="bg-BG"/>
        </w:rPr>
      </w:pPr>
      <w:r w:rsidRPr="00A27676">
        <w:rPr>
          <w:rFonts w:eastAsia="Times New Roman" w:cs="Arial"/>
          <w:color w:val="000000"/>
          <w:lang w:eastAsia="bg-BG"/>
        </w:rPr>
        <w:t xml:space="preserve">Препоръчва се максимална доза 300 </w:t>
      </w:r>
      <w:r w:rsidRPr="00A27676">
        <w:rPr>
          <w:rFonts w:eastAsia="Times New Roman" w:cs="Arial"/>
          <w:color w:val="000000"/>
          <w:lang w:val="en-US"/>
        </w:rPr>
        <w:t xml:space="preserve">mg </w:t>
      </w:r>
      <w:r w:rsidRPr="00A27676">
        <w:rPr>
          <w:rFonts w:eastAsia="Times New Roman" w:cs="Arial"/>
          <w:color w:val="000000"/>
          <w:lang w:eastAsia="bg-BG"/>
        </w:rPr>
        <w:t>дневно при пациенти с леко до умерено чернодробно увреждане.</w:t>
      </w:r>
    </w:p>
    <w:p w14:paraId="6236D75D" w14:textId="77777777" w:rsidR="00A27676" w:rsidRPr="00A27676" w:rsidRDefault="00A27676" w:rsidP="00A27676">
      <w:pPr>
        <w:spacing w:line="240" w:lineRule="auto"/>
        <w:rPr>
          <w:rFonts w:eastAsia="Times New Roman" w:cs="Arial"/>
          <w:lang w:eastAsia="bg-BG"/>
        </w:rPr>
      </w:pPr>
      <w:r w:rsidRPr="00A27676">
        <w:rPr>
          <w:rFonts w:eastAsia="Times New Roman" w:cs="Arial"/>
          <w:color w:val="000000"/>
          <w:lang w:eastAsia="bg-BG"/>
        </w:rPr>
        <w:t xml:space="preserve">Титрирането на дозата при тези пациенти трябва да се извършва с повишено внимание, като се има предвид и възможността от съпътстващо бъбречно увреждане. При юноши и при възрастни с тегло над 50 </w:t>
      </w:r>
      <w:r w:rsidRPr="00A27676">
        <w:rPr>
          <w:rFonts w:eastAsia="Times New Roman" w:cs="Arial"/>
          <w:color w:val="000000"/>
          <w:lang w:val="en-US"/>
        </w:rPr>
        <w:t xml:space="preserve">kg </w:t>
      </w:r>
      <w:r w:rsidRPr="00A27676">
        <w:rPr>
          <w:rFonts w:eastAsia="Times New Roman" w:cs="Arial"/>
          <w:color w:val="000000"/>
          <w:lang w:eastAsia="bg-BG"/>
        </w:rPr>
        <w:t xml:space="preserve">може да се обмисли прилагане на натоварваща доза от 200 </w:t>
      </w:r>
      <w:r w:rsidRPr="00A27676">
        <w:rPr>
          <w:rFonts w:eastAsia="Times New Roman" w:cs="Arial"/>
          <w:color w:val="000000"/>
          <w:lang w:val="en-US"/>
        </w:rPr>
        <w:t xml:space="preserve">mg, </w:t>
      </w:r>
      <w:r w:rsidRPr="00A27676">
        <w:rPr>
          <w:rFonts w:eastAsia="Times New Roman" w:cs="Arial"/>
          <w:color w:val="000000"/>
          <w:lang w:eastAsia="bg-BG"/>
        </w:rPr>
        <w:t xml:space="preserve">но бъдещо титриране на дозата (&gt;200 </w:t>
      </w:r>
      <w:r w:rsidRPr="00A27676">
        <w:rPr>
          <w:rFonts w:eastAsia="Times New Roman" w:cs="Arial"/>
          <w:color w:val="000000"/>
          <w:lang w:val="en-US"/>
        </w:rPr>
        <w:t xml:space="preserve">mg </w:t>
      </w:r>
      <w:r w:rsidRPr="00A27676">
        <w:rPr>
          <w:rFonts w:eastAsia="Times New Roman" w:cs="Arial"/>
          <w:color w:val="000000"/>
          <w:lang w:eastAsia="bg-BG"/>
        </w:rPr>
        <w:t xml:space="preserve">дневно) трябва да се извършва с повишено внимание. Въз основа на данните при възрастни, при педиатрични пациенти с тегло под 50 </w:t>
      </w:r>
      <w:r w:rsidRPr="00A27676">
        <w:rPr>
          <w:rFonts w:eastAsia="Times New Roman" w:cs="Arial"/>
          <w:color w:val="000000"/>
          <w:lang w:val="en-US"/>
        </w:rPr>
        <w:t xml:space="preserve">kg </w:t>
      </w:r>
      <w:r w:rsidRPr="00A27676">
        <w:rPr>
          <w:rFonts w:eastAsia="Times New Roman" w:cs="Arial"/>
          <w:color w:val="000000"/>
          <w:lang w:eastAsia="bg-BG"/>
        </w:rPr>
        <w:t xml:space="preserve">с леко до умерено чернодробно увреждане, максималната доза трябва да се редуцира с 25%. Фармакокинетиката на лакозамид не е проучвана при пациенти с тежко чернодробно увреждане (вж. точка 5.2). Лакозамид трябва да се прилага при възрастни и при деца с тежко чернодробно увреждане, само когато се прецени, че очакваните терапевтични ползи надвишават възможните рискове. Може да се наложи </w:t>
      </w:r>
      <w:r w:rsidRPr="00A27676">
        <w:rPr>
          <w:rFonts w:eastAsia="Times New Roman" w:cs="Arial"/>
          <w:color w:val="000000"/>
          <w:lang w:eastAsia="bg-BG"/>
        </w:rPr>
        <w:lastRenderedPageBreak/>
        <w:t>коригиране на дозата, като внимателно се наблюдава активността на заболяването и възможните нежелани реакции при пациента.</w:t>
      </w:r>
    </w:p>
    <w:p w14:paraId="20FAEC86" w14:textId="77777777" w:rsidR="00A27676" w:rsidRPr="00A27676" w:rsidRDefault="00A27676" w:rsidP="00A27676">
      <w:pPr>
        <w:spacing w:line="240" w:lineRule="auto"/>
        <w:rPr>
          <w:rFonts w:eastAsia="Times New Roman" w:cs="Arial"/>
          <w:i/>
          <w:iCs/>
          <w:color w:val="000000"/>
          <w:lang w:eastAsia="bg-BG"/>
        </w:rPr>
      </w:pPr>
    </w:p>
    <w:p w14:paraId="6CF0FCE6" w14:textId="08FB04FC" w:rsidR="00A27676" w:rsidRPr="00A27676" w:rsidRDefault="00A27676" w:rsidP="00A27676">
      <w:pPr>
        <w:spacing w:line="240" w:lineRule="auto"/>
        <w:rPr>
          <w:rFonts w:eastAsia="Times New Roman" w:cs="Arial"/>
          <w:lang w:eastAsia="bg-BG"/>
        </w:rPr>
      </w:pPr>
      <w:r w:rsidRPr="00A27676">
        <w:rPr>
          <w:rFonts w:eastAsia="Times New Roman" w:cs="Arial"/>
          <w:i/>
          <w:iCs/>
          <w:color w:val="000000"/>
          <w:lang w:eastAsia="bg-BG"/>
        </w:rPr>
        <w:t>Педиатрична популация</w:t>
      </w:r>
    </w:p>
    <w:p w14:paraId="7422F5E4" w14:textId="77777777" w:rsidR="00A27676" w:rsidRPr="00A27676" w:rsidRDefault="00A27676" w:rsidP="00A27676">
      <w:pPr>
        <w:spacing w:line="240" w:lineRule="auto"/>
        <w:rPr>
          <w:rFonts w:eastAsia="Times New Roman" w:cs="Arial"/>
          <w:lang w:eastAsia="bg-BG"/>
        </w:rPr>
      </w:pPr>
      <w:r w:rsidRPr="00A27676">
        <w:rPr>
          <w:rFonts w:eastAsia="Times New Roman" w:cs="Arial"/>
          <w:color w:val="000000"/>
          <w:lang w:eastAsia="bg-BG"/>
        </w:rPr>
        <w:t>Лекуващият лекар трябва да предпише най-подходящата форма и концентрация, в зависимост от теглото и дозата.</w:t>
      </w:r>
    </w:p>
    <w:p w14:paraId="0F54C867" w14:textId="77777777" w:rsidR="00A27676" w:rsidRPr="00A27676" w:rsidRDefault="00A27676" w:rsidP="00A27676">
      <w:pPr>
        <w:spacing w:line="240" w:lineRule="auto"/>
        <w:rPr>
          <w:rFonts w:eastAsia="Times New Roman" w:cs="Arial"/>
          <w:i/>
          <w:iCs/>
          <w:color w:val="000000"/>
          <w:u w:val="single"/>
          <w:lang w:eastAsia="bg-BG"/>
        </w:rPr>
      </w:pPr>
    </w:p>
    <w:p w14:paraId="7C403338" w14:textId="55509444" w:rsidR="00A27676" w:rsidRPr="00A27676" w:rsidRDefault="00A27676" w:rsidP="00A27676">
      <w:pPr>
        <w:spacing w:line="240" w:lineRule="auto"/>
        <w:rPr>
          <w:rFonts w:eastAsia="Times New Roman" w:cs="Arial"/>
          <w:lang w:eastAsia="bg-BG"/>
        </w:rPr>
      </w:pPr>
      <w:r w:rsidRPr="00A27676">
        <w:rPr>
          <w:rFonts w:eastAsia="Times New Roman" w:cs="Arial"/>
          <w:i/>
          <w:iCs/>
          <w:color w:val="000000"/>
          <w:u w:val="single"/>
          <w:lang w:eastAsia="bg-BG"/>
        </w:rPr>
        <w:t xml:space="preserve">Юноши и деца с тегло на и над 50 </w:t>
      </w:r>
      <w:r w:rsidRPr="00A27676">
        <w:rPr>
          <w:rFonts w:eastAsia="Times New Roman" w:cs="Arial"/>
          <w:i/>
          <w:iCs/>
          <w:color w:val="000000"/>
          <w:u w:val="single"/>
          <w:lang w:val="en-US"/>
        </w:rPr>
        <w:t>kg</w:t>
      </w:r>
    </w:p>
    <w:p w14:paraId="45F9F43D" w14:textId="77777777" w:rsidR="00A27676" w:rsidRPr="00A27676" w:rsidRDefault="00A27676" w:rsidP="00A27676">
      <w:pPr>
        <w:spacing w:line="240" w:lineRule="auto"/>
        <w:rPr>
          <w:rFonts w:eastAsia="Times New Roman" w:cs="Arial"/>
          <w:lang w:eastAsia="bg-BG"/>
        </w:rPr>
      </w:pPr>
      <w:r w:rsidRPr="00A27676">
        <w:rPr>
          <w:rFonts w:eastAsia="Times New Roman" w:cs="Arial"/>
          <w:color w:val="000000"/>
          <w:lang w:eastAsia="bg-BG"/>
        </w:rPr>
        <w:t xml:space="preserve">Дозировката при юноши и деца с тегло на и над 50 </w:t>
      </w:r>
      <w:r w:rsidRPr="00A27676">
        <w:rPr>
          <w:rFonts w:eastAsia="Times New Roman" w:cs="Arial"/>
          <w:color w:val="000000"/>
          <w:lang w:val="en-US"/>
        </w:rPr>
        <w:t xml:space="preserve">kg </w:t>
      </w:r>
      <w:r w:rsidRPr="00A27676">
        <w:rPr>
          <w:rFonts w:eastAsia="Times New Roman" w:cs="Arial"/>
          <w:color w:val="000000"/>
          <w:lang w:eastAsia="bg-BG"/>
        </w:rPr>
        <w:t>е както при възрастни (вж. по-горе).</w:t>
      </w:r>
    </w:p>
    <w:p w14:paraId="7A0E6BF9" w14:textId="77777777" w:rsidR="00A27676" w:rsidRPr="00A27676" w:rsidRDefault="00A27676" w:rsidP="00A27676">
      <w:pPr>
        <w:spacing w:line="240" w:lineRule="auto"/>
        <w:rPr>
          <w:rFonts w:eastAsia="Times New Roman" w:cs="Arial"/>
          <w:i/>
          <w:iCs/>
          <w:color w:val="000000"/>
          <w:u w:val="single"/>
          <w:lang w:eastAsia="bg-BG"/>
        </w:rPr>
      </w:pPr>
    </w:p>
    <w:p w14:paraId="211B9C9B" w14:textId="4298C6C6" w:rsidR="00A27676" w:rsidRPr="00A27676" w:rsidRDefault="00A27676" w:rsidP="00A27676">
      <w:pPr>
        <w:spacing w:line="240" w:lineRule="auto"/>
        <w:rPr>
          <w:rFonts w:eastAsia="Times New Roman" w:cs="Arial"/>
          <w:lang w:eastAsia="bg-BG"/>
        </w:rPr>
      </w:pPr>
      <w:r w:rsidRPr="00A27676">
        <w:rPr>
          <w:rFonts w:eastAsia="Times New Roman" w:cs="Arial"/>
          <w:i/>
          <w:iCs/>
          <w:color w:val="000000"/>
          <w:u w:val="single"/>
          <w:lang w:eastAsia="bg-BG"/>
        </w:rPr>
        <w:t xml:space="preserve">Деца (най над 4 години) и юноши с тегло под 50 </w:t>
      </w:r>
      <w:r w:rsidRPr="00A27676">
        <w:rPr>
          <w:rFonts w:eastAsia="Times New Roman" w:cs="Arial"/>
          <w:i/>
          <w:iCs/>
          <w:color w:val="000000"/>
          <w:u w:val="single"/>
          <w:lang w:val="en-US"/>
        </w:rPr>
        <w:t>kg</w:t>
      </w:r>
    </w:p>
    <w:p w14:paraId="3B53B4FC" w14:textId="77777777" w:rsidR="00A27676" w:rsidRPr="00A27676" w:rsidRDefault="00A27676" w:rsidP="00A27676">
      <w:pPr>
        <w:spacing w:line="240" w:lineRule="auto"/>
        <w:rPr>
          <w:rFonts w:eastAsia="Times New Roman" w:cs="Arial"/>
          <w:lang w:eastAsia="bg-BG"/>
        </w:rPr>
      </w:pPr>
      <w:r w:rsidRPr="00A27676">
        <w:rPr>
          <w:rFonts w:eastAsia="Times New Roman" w:cs="Arial"/>
          <w:color w:val="000000"/>
          <w:lang w:eastAsia="bg-BG"/>
        </w:rPr>
        <w:t>Дозата зависи от телесното тегло. Затова се препоръчва започване на лечението със сироп и след това преминаване на таблетки.</w:t>
      </w:r>
    </w:p>
    <w:p w14:paraId="4305DF12" w14:textId="77777777" w:rsidR="00A27676" w:rsidRPr="00A27676" w:rsidRDefault="00A27676" w:rsidP="00A27676">
      <w:pPr>
        <w:spacing w:line="240" w:lineRule="auto"/>
        <w:rPr>
          <w:rFonts w:eastAsia="Times New Roman" w:cs="Arial"/>
          <w:i/>
          <w:iCs/>
          <w:color w:val="000000"/>
          <w:lang w:eastAsia="bg-BG"/>
        </w:rPr>
      </w:pPr>
    </w:p>
    <w:p w14:paraId="1552F6C0" w14:textId="16512BB1" w:rsidR="00A27676" w:rsidRPr="00A27676" w:rsidRDefault="00A27676" w:rsidP="00A27676">
      <w:pPr>
        <w:spacing w:line="240" w:lineRule="auto"/>
        <w:rPr>
          <w:rFonts w:eastAsia="Times New Roman" w:cs="Arial"/>
          <w:lang w:eastAsia="bg-BG"/>
        </w:rPr>
      </w:pPr>
      <w:r w:rsidRPr="00A27676">
        <w:rPr>
          <w:rFonts w:eastAsia="Times New Roman" w:cs="Arial"/>
          <w:i/>
          <w:iCs/>
          <w:color w:val="000000"/>
          <w:lang w:eastAsia="bg-BG"/>
        </w:rPr>
        <w:t>Монотерапия (при лечението на парциални пристъпи)</w:t>
      </w:r>
    </w:p>
    <w:p w14:paraId="2AD0D701" w14:textId="77777777" w:rsidR="00A27676" w:rsidRPr="00A27676" w:rsidRDefault="00A27676" w:rsidP="00A27676">
      <w:pPr>
        <w:spacing w:line="240" w:lineRule="auto"/>
        <w:rPr>
          <w:rFonts w:eastAsia="Times New Roman" w:cs="Arial"/>
          <w:lang w:eastAsia="bg-BG"/>
        </w:rPr>
      </w:pPr>
      <w:r w:rsidRPr="00A27676">
        <w:rPr>
          <w:rFonts w:eastAsia="Times New Roman" w:cs="Arial"/>
          <w:color w:val="000000"/>
          <w:lang w:eastAsia="bg-BG"/>
        </w:rPr>
        <w:t xml:space="preserve">Препоръчителната начална доза е 2 </w:t>
      </w:r>
      <w:r w:rsidRPr="00A27676">
        <w:rPr>
          <w:rFonts w:eastAsia="Times New Roman" w:cs="Arial"/>
          <w:color w:val="000000"/>
          <w:lang w:val="en-US"/>
        </w:rPr>
        <w:t xml:space="preserve">mg/kg </w:t>
      </w:r>
      <w:r w:rsidRPr="00A27676">
        <w:rPr>
          <w:rFonts w:eastAsia="Times New Roman" w:cs="Arial"/>
          <w:color w:val="000000"/>
          <w:lang w:eastAsia="bg-BG"/>
        </w:rPr>
        <w:t xml:space="preserve">дневно, която след една седмица трябва да бъде повишена до 4 </w:t>
      </w:r>
      <w:r w:rsidRPr="00A27676">
        <w:rPr>
          <w:rFonts w:eastAsia="Times New Roman" w:cs="Arial"/>
          <w:color w:val="000000"/>
          <w:lang w:val="en-US"/>
        </w:rPr>
        <w:t xml:space="preserve">mg/kg </w:t>
      </w:r>
      <w:r w:rsidRPr="00A27676">
        <w:rPr>
          <w:rFonts w:eastAsia="Times New Roman" w:cs="Arial"/>
          <w:color w:val="000000"/>
          <w:lang w:eastAsia="bg-BG"/>
        </w:rPr>
        <w:t>дневно.</w:t>
      </w:r>
    </w:p>
    <w:p w14:paraId="30DF44D1" w14:textId="77777777" w:rsidR="00A27676" w:rsidRPr="00A27676" w:rsidRDefault="00A27676" w:rsidP="00A27676">
      <w:pPr>
        <w:rPr>
          <w:rFonts w:eastAsia="Times New Roman" w:cs="Arial"/>
          <w:sz w:val="28"/>
          <w:szCs w:val="24"/>
          <w:lang w:eastAsia="bg-BG"/>
        </w:rPr>
      </w:pPr>
      <w:r w:rsidRPr="00A27676">
        <w:rPr>
          <w:rFonts w:eastAsia="Times New Roman" w:cs="Arial"/>
          <w:color w:val="000000"/>
          <w:lang w:eastAsia="bg-BG"/>
        </w:rPr>
        <w:t xml:space="preserve">В зависимост от отговора и поносимостта, поддържащата доза може да бъде допълнително повишавана всяка седмица с </w:t>
      </w:r>
      <w:r w:rsidRPr="00A27676">
        <w:rPr>
          <w:rFonts w:eastAsia="Times New Roman" w:cs="Arial"/>
          <w:color w:val="000000"/>
          <w:lang w:val="en-US"/>
        </w:rPr>
        <w:t xml:space="preserve">2mg/kg </w:t>
      </w:r>
      <w:r w:rsidRPr="00A27676">
        <w:rPr>
          <w:rFonts w:eastAsia="Times New Roman" w:cs="Arial"/>
          <w:color w:val="000000"/>
          <w:lang w:eastAsia="bg-BG"/>
        </w:rPr>
        <w:t>дневно. Дозата трябва да се повишава постепенно до</w:t>
      </w:r>
      <w:r w:rsidRPr="00A27676">
        <w:rPr>
          <w:rFonts w:eastAsia="Times New Roman" w:cs="Arial"/>
          <w:lang w:val="en-US" w:eastAsia="bg-BG"/>
        </w:rPr>
        <w:t xml:space="preserve"> </w:t>
      </w:r>
      <w:r w:rsidRPr="00A27676">
        <w:rPr>
          <w:rFonts w:eastAsia="Times New Roman" w:cs="Arial"/>
          <w:color w:val="000000"/>
          <w:lang w:eastAsia="bg-BG"/>
        </w:rPr>
        <w:t xml:space="preserve">достигане на оптимален онтговор. При деца с тегло под 40 </w:t>
      </w:r>
      <w:r w:rsidRPr="00A27676">
        <w:rPr>
          <w:rFonts w:eastAsia="Times New Roman" w:cs="Arial"/>
          <w:color w:val="000000"/>
          <w:lang w:val="en-US"/>
        </w:rPr>
        <w:t xml:space="preserve">kg </w:t>
      </w:r>
      <w:r w:rsidRPr="00A27676">
        <w:rPr>
          <w:rFonts w:eastAsia="Times New Roman" w:cs="Arial"/>
          <w:color w:val="000000"/>
          <w:lang w:eastAsia="bg-BG"/>
        </w:rPr>
        <w:t>максималната препоръчителна</w:t>
      </w:r>
      <w:r>
        <w:rPr>
          <w:rFonts w:eastAsia="Times New Roman" w:cs="Arial"/>
          <w:color w:val="000000"/>
          <w:lang w:val="en-US" w:eastAsia="bg-BG"/>
        </w:rPr>
        <w:t xml:space="preserve"> </w:t>
      </w:r>
      <w:r w:rsidRPr="00A27676">
        <w:rPr>
          <w:rFonts w:eastAsia="Times New Roman" w:cs="Arial"/>
          <w:color w:val="000000"/>
          <w:szCs w:val="20"/>
          <w:lang w:eastAsia="bg-BG"/>
        </w:rPr>
        <w:t xml:space="preserve">дневна доза е до 12 </w:t>
      </w:r>
      <w:r w:rsidRPr="00A27676">
        <w:rPr>
          <w:rFonts w:eastAsia="Times New Roman" w:cs="Arial"/>
          <w:color w:val="000000"/>
          <w:szCs w:val="20"/>
          <w:lang w:val="en-US"/>
        </w:rPr>
        <w:t xml:space="preserve">mg/kg. </w:t>
      </w:r>
      <w:r w:rsidRPr="00A27676">
        <w:rPr>
          <w:rFonts w:eastAsia="Times New Roman" w:cs="Arial"/>
          <w:color w:val="000000"/>
          <w:szCs w:val="20"/>
          <w:lang w:eastAsia="bg-BG"/>
        </w:rPr>
        <w:t xml:space="preserve">При деца с тегло от 40 </w:t>
      </w:r>
      <w:r w:rsidRPr="00A27676">
        <w:rPr>
          <w:rFonts w:eastAsia="Times New Roman" w:cs="Arial"/>
          <w:color w:val="000000"/>
          <w:szCs w:val="20"/>
          <w:lang w:val="en-US"/>
        </w:rPr>
        <w:t xml:space="preserve">kg </w:t>
      </w:r>
      <w:r w:rsidRPr="00A27676">
        <w:rPr>
          <w:rFonts w:eastAsia="Times New Roman" w:cs="Arial"/>
          <w:color w:val="000000"/>
          <w:szCs w:val="20"/>
          <w:lang w:eastAsia="bg-BG"/>
        </w:rPr>
        <w:t xml:space="preserve">до 50 </w:t>
      </w:r>
      <w:r w:rsidRPr="00A27676">
        <w:rPr>
          <w:rFonts w:eastAsia="Times New Roman" w:cs="Arial"/>
          <w:color w:val="000000"/>
          <w:szCs w:val="20"/>
          <w:lang w:val="en-US"/>
        </w:rPr>
        <w:t xml:space="preserve">kg </w:t>
      </w:r>
      <w:r w:rsidRPr="00A27676">
        <w:rPr>
          <w:rFonts w:eastAsia="Times New Roman" w:cs="Arial"/>
          <w:color w:val="000000"/>
          <w:szCs w:val="20"/>
          <w:lang w:eastAsia="bg-BG"/>
        </w:rPr>
        <w:t xml:space="preserve">максималната препоръчителна дневна доза е до 10 </w:t>
      </w:r>
      <w:r w:rsidRPr="00A27676">
        <w:rPr>
          <w:rFonts w:eastAsia="Times New Roman" w:cs="Arial"/>
          <w:color w:val="000000"/>
          <w:szCs w:val="20"/>
          <w:lang w:val="en-US"/>
        </w:rPr>
        <w:t>mg/kg.</w:t>
      </w:r>
    </w:p>
    <w:p w14:paraId="1B22B0A3" w14:textId="77777777" w:rsidR="00A27676" w:rsidRPr="00A27676" w:rsidRDefault="00A27676" w:rsidP="00A27676">
      <w:pPr>
        <w:spacing w:line="240" w:lineRule="auto"/>
        <w:rPr>
          <w:rFonts w:eastAsia="Times New Roman" w:cs="Arial"/>
          <w:color w:val="000000"/>
          <w:szCs w:val="20"/>
          <w:lang w:eastAsia="bg-BG"/>
        </w:rPr>
      </w:pPr>
    </w:p>
    <w:p w14:paraId="1466B0F9" w14:textId="1CDF2D51" w:rsidR="00A27676" w:rsidRPr="00A27676" w:rsidRDefault="00A27676" w:rsidP="00A27676">
      <w:pPr>
        <w:spacing w:line="240" w:lineRule="auto"/>
        <w:rPr>
          <w:rFonts w:eastAsia="Times New Roman" w:cs="Arial"/>
          <w:color w:val="000000"/>
          <w:szCs w:val="20"/>
          <w:lang w:val="en-US"/>
        </w:rPr>
      </w:pPr>
      <w:r w:rsidRPr="00A27676">
        <w:rPr>
          <w:rFonts w:eastAsia="Times New Roman" w:cs="Arial"/>
          <w:color w:val="000000"/>
          <w:szCs w:val="20"/>
          <w:lang w:eastAsia="bg-BG"/>
        </w:rPr>
        <w:t xml:space="preserve">Таблицата по-долу обобщава препоръчителната дозировка при монотерапия при деца и юноши с тегло под 50 </w:t>
      </w:r>
      <w:r w:rsidRPr="00A27676">
        <w:rPr>
          <w:rFonts w:eastAsia="Times New Roman" w:cs="Arial"/>
          <w:color w:val="000000"/>
          <w:szCs w:val="20"/>
          <w:lang w:val="en-US"/>
        </w:rPr>
        <w:t>kg.</w:t>
      </w:r>
    </w:p>
    <w:p w14:paraId="38DA3692" w14:textId="266C5715" w:rsidR="00A27676" w:rsidRPr="00A27676" w:rsidRDefault="00A27676" w:rsidP="00A27676">
      <w:pPr>
        <w:spacing w:line="240" w:lineRule="auto"/>
        <w:rPr>
          <w:rFonts w:eastAsia="Times New Roman" w:cs="Arial"/>
          <w:color w:val="000000"/>
          <w:szCs w:val="20"/>
          <w:lang w:val="en-US"/>
        </w:rPr>
      </w:pPr>
    </w:p>
    <w:tbl>
      <w:tblPr>
        <w:tblStyle w:val="TableGrid"/>
        <w:tblW w:w="0" w:type="auto"/>
        <w:tblLook w:val="04A0" w:firstRow="1" w:lastRow="0" w:firstColumn="1" w:lastColumn="0" w:noHBand="0" w:noVBand="1"/>
      </w:tblPr>
      <w:tblGrid>
        <w:gridCol w:w="4678"/>
        <w:gridCol w:w="4672"/>
      </w:tblGrid>
      <w:tr w:rsidR="00A27676" w14:paraId="1C99911D" w14:textId="77777777" w:rsidTr="00A27676">
        <w:tc>
          <w:tcPr>
            <w:tcW w:w="4750" w:type="dxa"/>
          </w:tcPr>
          <w:p w14:paraId="051C9A65" w14:textId="6AC10E44" w:rsidR="00A27676" w:rsidRPr="00A27676" w:rsidRDefault="00A27676" w:rsidP="00A27676">
            <w:pPr>
              <w:spacing w:line="240" w:lineRule="auto"/>
              <w:rPr>
                <w:rFonts w:eastAsia="Times New Roman" w:cs="Arial"/>
                <w:color w:val="000000"/>
                <w:szCs w:val="20"/>
                <w:lang w:val="en-US"/>
              </w:rPr>
            </w:pPr>
            <w:r w:rsidRPr="00A27676">
              <w:rPr>
                <w:szCs w:val="20"/>
              </w:rPr>
              <w:t>Начална доза</w:t>
            </w:r>
          </w:p>
        </w:tc>
        <w:tc>
          <w:tcPr>
            <w:tcW w:w="4750" w:type="dxa"/>
          </w:tcPr>
          <w:p w14:paraId="355BC4CC" w14:textId="0B4D2DF5" w:rsidR="00A27676" w:rsidRPr="00A27676" w:rsidRDefault="00A27676" w:rsidP="00A27676">
            <w:pPr>
              <w:spacing w:line="240" w:lineRule="auto"/>
              <w:rPr>
                <w:rFonts w:eastAsia="Times New Roman" w:cs="Arial"/>
                <w:color w:val="000000"/>
                <w:szCs w:val="20"/>
                <w:lang w:val="en-US"/>
              </w:rPr>
            </w:pPr>
            <w:r w:rsidRPr="00A27676">
              <w:rPr>
                <w:szCs w:val="20"/>
              </w:rPr>
              <w:t xml:space="preserve">2 </w:t>
            </w:r>
            <w:r w:rsidRPr="00A27676">
              <w:rPr>
                <w:szCs w:val="20"/>
                <w:lang w:val="en-US"/>
              </w:rPr>
              <w:t xml:space="preserve">mg/kg </w:t>
            </w:r>
            <w:r w:rsidRPr="00A27676">
              <w:rPr>
                <w:szCs w:val="20"/>
              </w:rPr>
              <w:t>дневно</w:t>
            </w:r>
          </w:p>
        </w:tc>
      </w:tr>
      <w:tr w:rsidR="00A27676" w14:paraId="16662B34" w14:textId="77777777" w:rsidTr="00A27676">
        <w:tc>
          <w:tcPr>
            <w:tcW w:w="4750" w:type="dxa"/>
          </w:tcPr>
          <w:p w14:paraId="4A60D88E" w14:textId="2AE8CF05" w:rsidR="00A27676" w:rsidRPr="00A27676" w:rsidRDefault="00A27676" w:rsidP="00A27676">
            <w:pPr>
              <w:spacing w:line="240" w:lineRule="auto"/>
              <w:rPr>
                <w:rFonts w:eastAsia="Times New Roman" w:cs="Arial"/>
                <w:color w:val="000000"/>
                <w:szCs w:val="20"/>
                <w:lang w:val="en-US"/>
              </w:rPr>
            </w:pPr>
            <w:r w:rsidRPr="00A27676">
              <w:rPr>
                <w:szCs w:val="20"/>
              </w:rPr>
              <w:t>Единична натоварваща доза</w:t>
            </w:r>
          </w:p>
        </w:tc>
        <w:tc>
          <w:tcPr>
            <w:tcW w:w="4750" w:type="dxa"/>
          </w:tcPr>
          <w:p w14:paraId="0060A352" w14:textId="405AC371" w:rsidR="00A27676" w:rsidRPr="00A27676" w:rsidRDefault="00A27676" w:rsidP="00A27676">
            <w:pPr>
              <w:spacing w:line="240" w:lineRule="auto"/>
              <w:rPr>
                <w:rFonts w:eastAsia="Times New Roman" w:cs="Arial"/>
                <w:color w:val="000000"/>
                <w:szCs w:val="20"/>
                <w:lang w:val="en-US"/>
              </w:rPr>
            </w:pPr>
            <w:r w:rsidRPr="00A27676">
              <w:rPr>
                <w:szCs w:val="20"/>
              </w:rPr>
              <w:t>не се препоръчва</w:t>
            </w:r>
          </w:p>
        </w:tc>
      </w:tr>
      <w:tr w:rsidR="00A27676" w14:paraId="5622A79D" w14:textId="77777777" w:rsidTr="00A27676">
        <w:tc>
          <w:tcPr>
            <w:tcW w:w="4750" w:type="dxa"/>
          </w:tcPr>
          <w:p w14:paraId="68941606" w14:textId="75088A9B" w:rsidR="00A27676" w:rsidRPr="00A27676" w:rsidRDefault="00A27676" w:rsidP="00A27676">
            <w:pPr>
              <w:spacing w:line="240" w:lineRule="auto"/>
              <w:rPr>
                <w:rFonts w:eastAsia="Times New Roman" w:cs="Arial"/>
                <w:color w:val="000000"/>
                <w:szCs w:val="20"/>
                <w:lang w:val="en-US"/>
              </w:rPr>
            </w:pPr>
            <w:r w:rsidRPr="00A27676">
              <w:rPr>
                <w:szCs w:val="20"/>
              </w:rPr>
              <w:t>Титриране (постепенно повишаване на дозата)</w:t>
            </w:r>
          </w:p>
        </w:tc>
        <w:tc>
          <w:tcPr>
            <w:tcW w:w="4750" w:type="dxa"/>
          </w:tcPr>
          <w:p w14:paraId="141DCBDD" w14:textId="63BA643A" w:rsidR="00A27676" w:rsidRPr="00A27676" w:rsidRDefault="00A27676" w:rsidP="00A27676">
            <w:pPr>
              <w:spacing w:line="240" w:lineRule="auto"/>
              <w:rPr>
                <w:rFonts w:eastAsia="Times New Roman" w:cs="Arial"/>
                <w:color w:val="000000"/>
                <w:szCs w:val="20"/>
                <w:lang w:val="en-US"/>
              </w:rPr>
            </w:pPr>
            <w:r w:rsidRPr="00A27676">
              <w:rPr>
                <w:szCs w:val="20"/>
              </w:rPr>
              <w:t xml:space="preserve">2 </w:t>
            </w:r>
            <w:r w:rsidRPr="00A27676">
              <w:rPr>
                <w:szCs w:val="20"/>
                <w:lang w:val="en-US"/>
              </w:rPr>
              <w:t xml:space="preserve">mg/kg </w:t>
            </w:r>
            <w:r w:rsidRPr="00A27676">
              <w:rPr>
                <w:szCs w:val="20"/>
              </w:rPr>
              <w:t>дневно всяка седмица</w:t>
            </w:r>
          </w:p>
        </w:tc>
      </w:tr>
      <w:tr w:rsidR="00A27676" w14:paraId="6896F540" w14:textId="77777777" w:rsidTr="00A27676">
        <w:tc>
          <w:tcPr>
            <w:tcW w:w="4750" w:type="dxa"/>
          </w:tcPr>
          <w:p w14:paraId="0A851312" w14:textId="00A3F218" w:rsidR="00A27676" w:rsidRPr="00A27676" w:rsidRDefault="00A27676" w:rsidP="00A27676">
            <w:pPr>
              <w:spacing w:line="240" w:lineRule="auto"/>
              <w:rPr>
                <w:rFonts w:eastAsia="Times New Roman" w:cs="Arial"/>
                <w:color w:val="000000"/>
                <w:szCs w:val="20"/>
                <w:lang w:val="en-US"/>
              </w:rPr>
            </w:pPr>
            <w:r w:rsidRPr="00A27676">
              <w:rPr>
                <w:szCs w:val="20"/>
              </w:rPr>
              <w:t xml:space="preserve">Максимална препоръчвана доза при тегло &lt; 40 </w:t>
            </w:r>
            <w:r w:rsidRPr="00A27676">
              <w:rPr>
                <w:szCs w:val="20"/>
                <w:lang w:val="en-US"/>
              </w:rPr>
              <w:t>kg</w:t>
            </w:r>
          </w:p>
        </w:tc>
        <w:tc>
          <w:tcPr>
            <w:tcW w:w="4750" w:type="dxa"/>
          </w:tcPr>
          <w:p w14:paraId="2E3955A2" w14:textId="2C8B4136" w:rsidR="00A27676" w:rsidRPr="00A27676" w:rsidRDefault="00A27676" w:rsidP="00A27676">
            <w:pPr>
              <w:spacing w:line="240" w:lineRule="auto"/>
              <w:rPr>
                <w:rFonts w:eastAsia="Times New Roman" w:cs="Arial"/>
                <w:color w:val="000000"/>
                <w:szCs w:val="20"/>
                <w:lang w:val="en-US"/>
              </w:rPr>
            </w:pPr>
            <w:r w:rsidRPr="00A27676">
              <w:rPr>
                <w:szCs w:val="20"/>
              </w:rPr>
              <w:t xml:space="preserve">до 12 </w:t>
            </w:r>
            <w:r w:rsidRPr="00A27676">
              <w:rPr>
                <w:szCs w:val="20"/>
                <w:lang w:val="en-US"/>
              </w:rPr>
              <w:t xml:space="preserve">mg/kg </w:t>
            </w:r>
            <w:r w:rsidRPr="00A27676">
              <w:rPr>
                <w:szCs w:val="20"/>
              </w:rPr>
              <w:t>дневно</w:t>
            </w:r>
          </w:p>
        </w:tc>
      </w:tr>
      <w:tr w:rsidR="00A27676" w14:paraId="67D98A66" w14:textId="77777777" w:rsidTr="00A27676">
        <w:tc>
          <w:tcPr>
            <w:tcW w:w="4750" w:type="dxa"/>
          </w:tcPr>
          <w:p w14:paraId="024B8A72" w14:textId="75517AD3" w:rsidR="00A27676" w:rsidRPr="00A27676" w:rsidRDefault="00A27676" w:rsidP="00A27676">
            <w:pPr>
              <w:spacing w:line="240" w:lineRule="auto"/>
              <w:rPr>
                <w:rFonts w:eastAsia="Times New Roman" w:cs="Arial"/>
                <w:color w:val="000000"/>
                <w:szCs w:val="20"/>
                <w:lang w:val="en-US"/>
              </w:rPr>
            </w:pPr>
            <w:r w:rsidRPr="00A27676">
              <w:rPr>
                <w:szCs w:val="20"/>
              </w:rPr>
              <w:t xml:space="preserve">Максимална препоръчвана доза при тегло &gt; 40 </w:t>
            </w:r>
            <w:r w:rsidRPr="00A27676">
              <w:rPr>
                <w:szCs w:val="20"/>
                <w:lang w:val="en-US"/>
              </w:rPr>
              <w:t xml:space="preserve">kg </w:t>
            </w:r>
            <w:r w:rsidRPr="00A27676">
              <w:rPr>
                <w:szCs w:val="20"/>
              </w:rPr>
              <w:t xml:space="preserve">до &lt; 50 </w:t>
            </w:r>
            <w:r w:rsidRPr="00A27676">
              <w:rPr>
                <w:szCs w:val="20"/>
                <w:lang w:val="en-US"/>
              </w:rPr>
              <w:t>kg</w:t>
            </w:r>
          </w:p>
        </w:tc>
        <w:tc>
          <w:tcPr>
            <w:tcW w:w="4750" w:type="dxa"/>
          </w:tcPr>
          <w:p w14:paraId="270AE400" w14:textId="51E1DD8F" w:rsidR="00A27676" w:rsidRPr="00A27676" w:rsidRDefault="00A27676" w:rsidP="00A27676">
            <w:pPr>
              <w:spacing w:line="240" w:lineRule="auto"/>
              <w:rPr>
                <w:rFonts w:eastAsia="Times New Roman" w:cs="Arial"/>
                <w:color w:val="000000"/>
                <w:szCs w:val="20"/>
                <w:lang w:val="en-US"/>
              </w:rPr>
            </w:pPr>
            <w:r w:rsidRPr="00A27676">
              <w:rPr>
                <w:szCs w:val="20"/>
              </w:rPr>
              <w:t xml:space="preserve">до 10 </w:t>
            </w:r>
            <w:r w:rsidRPr="00A27676">
              <w:rPr>
                <w:szCs w:val="20"/>
                <w:lang w:val="en-US"/>
              </w:rPr>
              <w:t xml:space="preserve">mg/kg </w:t>
            </w:r>
            <w:r w:rsidRPr="00A27676">
              <w:rPr>
                <w:szCs w:val="20"/>
              </w:rPr>
              <w:t>дневно</w:t>
            </w:r>
          </w:p>
        </w:tc>
      </w:tr>
    </w:tbl>
    <w:p w14:paraId="25558484" w14:textId="5CC98528" w:rsidR="00A27676" w:rsidRPr="00A27676" w:rsidRDefault="00A27676" w:rsidP="00A27676">
      <w:pPr>
        <w:spacing w:line="240" w:lineRule="auto"/>
        <w:rPr>
          <w:rFonts w:eastAsia="Times New Roman" w:cs="Arial"/>
          <w:color w:val="000000"/>
          <w:szCs w:val="20"/>
          <w:lang w:val="en-US"/>
        </w:rPr>
      </w:pPr>
    </w:p>
    <w:p w14:paraId="3A063B21" w14:textId="1C173489" w:rsidR="00A27676" w:rsidRPr="00A27676" w:rsidRDefault="00A27676" w:rsidP="00A27676">
      <w:pPr>
        <w:spacing w:line="240" w:lineRule="auto"/>
        <w:rPr>
          <w:rFonts w:eastAsia="Times New Roman" w:cs="Arial"/>
          <w:color w:val="000000"/>
          <w:szCs w:val="20"/>
          <w:lang w:val="en-US"/>
        </w:rPr>
      </w:pPr>
    </w:p>
    <w:p w14:paraId="500F589B"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Допълваща терапия (при лечението на парциални пристъпи или при лечението на първично генерализирани тонично-клонични пристъпи)</w:t>
      </w:r>
    </w:p>
    <w:p w14:paraId="77C701E1"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Препоръчителната начална доза е 2 </w:t>
      </w:r>
      <w:r w:rsidRPr="00A27676">
        <w:rPr>
          <w:rFonts w:eastAsia="Times New Roman" w:cs="Arial"/>
          <w:color w:val="000000"/>
          <w:szCs w:val="20"/>
          <w:lang w:val="en-US"/>
        </w:rPr>
        <w:t xml:space="preserve">mg/kg </w:t>
      </w:r>
      <w:r w:rsidRPr="00A27676">
        <w:rPr>
          <w:rFonts w:eastAsia="Times New Roman" w:cs="Arial"/>
          <w:color w:val="000000"/>
          <w:szCs w:val="20"/>
          <w:lang w:eastAsia="bg-BG"/>
        </w:rPr>
        <w:t xml:space="preserve">дневно, която след една седмица трябва да бъде повишена до 4 </w:t>
      </w:r>
      <w:r w:rsidRPr="00A27676">
        <w:rPr>
          <w:rFonts w:eastAsia="Times New Roman" w:cs="Arial"/>
          <w:color w:val="000000"/>
          <w:szCs w:val="20"/>
          <w:lang w:val="en-US"/>
        </w:rPr>
        <w:t xml:space="preserve">mg/kg </w:t>
      </w:r>
      <w:r w:rsidRPr="00A27676">
        <w:rPr>
          <w:rFonts w:eastAsia="Times New Roman" w:cs="Arial"/>
          <w:color w:val="000000"/>
          <w:szCs w:val="20"/>
          <w:lang w:eastAsia="bg-BG"/>
        </w:rPr>
        <w:t>дневно.</w:t>
      </w:r>
    </w:p>
    <w:p w14:paraId="28A01CA9"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В зависимост от отговора и поносимостта, поддържащата доза може да бъде допълнително повишавана всяка седмица с 2 </w:t>
      </w:r>
      <w:r w:rsidRPr="00A27676">
        <w:rPr>
          <w:rFonts w:eastAsia="Times New Roman" w:cs="Arial"/>
          <w:color w:val="000000"/>
          <w:szCs w:val="20"/>
          <w:lang w:val="en-US"/>
        </w:rPr>
        <w:t xml:space="preserve">mg/kg </w:t>
      </w:r>
      <w:r w:rsidRPr="00A27676">
        <w:rPr>
          <w:rFonts w:eastAsia="Times New Roman" w:cs="Arial"/>
          <w:color w:val="000000"/>
          <w:szCs w:val="20"/>
          <w:lang w:eastAsia="bg-BG"/>
        </w:rPr>
        <w:t xml:space="preserve">дневно. Дозата трябва да се повишава постепенно до достигане на оптимален отговор. При деца с тегло под 20 </w:t>
      </w:r>
      <w:r w:rsidRPr="00A27676">
        <w:rPr>
          <w:rFonts w:eastAsia="Times New Roman" w:cs="Arial"/>
          <w:color w:val="000000"/>
          <w:szCs w:val="20"/>
          <w:lang w:val="en-US"/>
        </w:rPr>
        <w:t xml:space="preserve">kg </w:t>
      </w:r>
      <w:r w:rsidRPr="00A27676">
        <w:rPr>
          <w:rFonts w:eastAsia="Times New Roman" w:cs="Arial"/>
          <w:color w:val="000000"/>
          <w:szCs w:val="20"/>
          <w:lang w:eastAsia="bg-BG"/>
        </w:rPr>
        <w:t xml:space="preserve">максималната препоръчителна дневна доза е до 12 </w:t>
      </w:r>
      <w:r w:rsidRPr="00A27676">
        <w:rPr>
          <w:rFonts w:eastAsia="Times New Roman" w:cs="Arial"/>
          <w:color w:val="000000"/>
          <w:szCs w:val="20"/>
          <w:lang w:val="en-US"/>
        </w:rPr>
        <w:t xml:space="preserve">mg/kg; </w:t>
      </w:r>
      <w:r w:rsidRPr="00A27676">
        <w:rPr>
          <w:rFonts w:eastAsia="Times New Roman" w:cs="Arial"/>
          <w:color w:val="000000"/>
          <w:szCs w:val="20"/>
          <w:lang w:eastAsia="bg-BG"/>
        </w:rPr>
        <w:t xml:space="preserve">при деца с тегло от 20 до 30 </w:t>
      </w:r>
      <w:r w:rsidRPr="00A27676">
        <w:rPr>
          <w:rFonts w:eastAsia="Times New Roman" w:cs="Arial"/>
          <w:color w:val="000000"/>
          <w:szCs w:val="20"/>
          <w:lang w:val="en-US"/>
        </w:rPr>
        <w:t xml:space="preserve">kg </w:t>
      </w:r>
      <w:r w:rsidRPr="00A27676">
        <w:rPr>
          <w:rFonts w:eastAsia="Times New Roman" w:cs="Arial"/>
          <w:color w:val="000000"/>
          <w:szCs w:val="20"/>
          <w:lang w:eastAsia="bg-BG"/>
        </w:rPr>
        <w:t xml:space="preserve">максималната препоръчителна дневна доза е до 10 </w:t>
      </w:r>
      <w:r w:rsidRPr="00A27676">
        <w:rPr>
          <w:rFonts w:eastAsia="Times New Roman" w:cs="Arial"/>
          <w:color w:val="000000"/>
          <w:szCs w:val="20"/>
          <w:lang w:val="en-US"/>
        </w:rPr>
        <w:t xml:space="preserve">mg/kg; </w:t>
      </w:r>
      <w:r w:rsidRPr="00A27676">
        <w:rPr>
          <w:rFonts w:eastAsia="Times New Roman" w:cs="Arial"/>
          <w:color w:val="000000"/>
          <w:szCs w:val="20"/>
          <w:lang w:eastAsia="bg-BG"/>
        </w:rPr>
        <w:t xml:space="preserve">при деца с тегло от 30 до 50 </w:t>
      </w:r>
      <w:r w:rsidRPr="00A27676">
        <w:rPr>
          <w:rFonts w:eastAsia="Times New Roman" w:cs="Arial"/>
          <w:color w:val="000000"/>
          <w:szCs w:val="20"/>
          <w:lang w:val="en-US"/>
        </w:rPr>
        <w:t xml:space="preserve">kg </w:t>
      </w:r>
      <w:r w:rsidRPr="00A27676">
        <w:rPr>
          <w:rFonts w:eastAsia="Times New Roman" w:cs="Arial"/>
          <w:color w:val="000000"/>
          <w:szCs w:val="20"/>
          <w:lang w:eastAsia="bg-BG"/>
        </w:rPr>
        <w:t xml:space="preserve">максималната препоръчителна дневна доза е до 8 </w:t>
      </w:r>
      <w:r w:rsidRPr="00A27676">
        <w:rPr>
          <w:rFonts w:eastAsia="Times New Roman" w:cs="Arial"/>
          <w:color w:val="000000"/>
          <w:szCs w:val="20"/>
          <w:lang w:val="en-US"/>
        </w:rPr>
        <w:t xml:space="preserve">mg/kg, </w:t>
      </w:r>
      <w:r w:rsidRPr="00A27676">
        <w:rPr>
          <w:rFonts w:eastAsia="Times New Roman" w:cs="Arial"/>
          <w:color w:val="000000"/>
          <w:szCs w:val="20"/>
          <w:lang w:eastAsia="bg-BG"/>
        </w:rPr>
        <w:t xml:space="preserve">въпреки че в отворените клинични изпитвания (вж. точка 4.8 и 5.2) доза до 12 </w:t>
      </w:r>
      <w:r w:rsidRPr="00A27676">
        <w:rPr>
          <w:rFonts w:eastAsia="Times New Roman" w:cs="Arial"/>
          <w:color w:val="000000"/>
          <w:szCs w:val="20"/>
          <w:lang w:val="en-US"/>
        </w:rPr>
        <w:t xml:space="preserve">mg/kg </w:t>
      </w:r>
      <w:r w:rsidRPr="00A27676">
        <w:rPr>
          <w:rFonts w:eastAsia="Times New Roman" w:cs="Arial"/>
          <w:color w:val="000000"/>
          <w:szCs w:val="20"/>
          <w:lang w:eastAsia="bg-BG"/>
        </w:rPr>
        <w:t>дневно е била използвана при малък брой от тези деца.</w:t>
      </w:r>
    </w:p>
    <w:p w14:paraId="708E04F9" w14:textId="77777777" w:rsidR="00A27676" w:rsidRPr="00A27676" w:rsidRDefault="00A27676" w:rsidP="00A27676">
      <w:pPr>
        <w:spacing w:line="240" w:lineRule="auto"/>
        <w:rPr>
          <w:rFonts w:eastAsia="Times New Roman" w:cs="Arial"/>
          <w:color w:val="000000"/>
          <w:szCs w:val="20"/>
          <w:lang w:eastAsia="bg-BG"/>
        </w:rPr>
      </w:pPr>
    </w:p>
    <w:p w14:paraId="4147338D" w14:textId="1E244594" w:rsidR="00A27676" w:rsidRPr="00A27676" w:rsidRDefault="00A27676" w:rsidP="00A27676">
      <w:pPr>
        <w:spacing w:line="240" w:lineRule="auto"/>
        <w:rPr>
          <w:rFonts w:eastAsia="Times New Roman" w:cs="Arial"/>
          <w:sz w:val="24"/>
          <w:lang w:val="en-US" w:eastAsia="bg-BG"/>
        </w:rPr>
      </w:pPr>
      <w:r w:rsidRPr="00A27676">
        <w:rPr>
          <w:rFonts w:eastAsia="Times New Roman" w:cs="Arial"/>
          <w:color w:val="000000"/>
          <w:szCs w:val="20"/>
          <w:lang w:eastAsia="bg-BG"/>
        </w:rPr>
        <w:lastRenderedPageBreak/>
        <w:t xml:space="preserve">Таблицата по-долу обобщава препоръчителната дозировка при допълваща терапия при деца и юноши с тегло под 50 </w:t>
      </w:r>
      <w:r w:rsidRPr="00A27676">
        <w:rPr>
          <w:rFonts w:eastAsia="Times New Roman" w:cs="Arial"/>
          <w:color w:val="000000"/>
          <w:szCs w:val="20"/>
          <w:lang w:val="en-US"/>
        </w:rPr>
        <w:t>kg.</w:t>
      </w:r>
    </w:p>
    <w:p w14:paraId="0D8627B0" w14:textId="60FDA491" w:rsidR="00A27676" w:rsidRDefault="00A27676" w:rsidP="0091385D"/>
    <w:tbl>
      <w:tblPr>
        <w:tblStyle w:val="TableGrid"/>
        <w:tblW w:w="0" w:type="auto"/>
        <w:tblLook w:val="04A0" w:firstRow="1" w:lastRow="0" w:firstColumn="1" w:lastColumn="0" w:noHBand="0" w:noVBand="1"/>
      </w:tblPr>
      <w:tblGrid>
        <w:gridCol w:w="4681"/>
        <w:gridCol w:w="4669"/>
      </w:tblGrid>
      <w:tr w:rsidR="00A27676" w14:paraId="72F4D4A2" w14:textId="77777777" w:rsidTr="00A27676">
        <w:tc>
          <w:tcPr>
            <w:tcW w:w="4750" w:type="dxa"/>
          </w:tcPr>
          <w:p w14:paraId="4D53F1CD" w14:textId="6E321A39" w:rsidR="00A27676" w:rsidRPr="00A27676" w:rsidRDefault="00A27676" w:rsidP="00A27676">
            <w:r w:rsidRPr="00A27676">
              <w:rPr>
                <w:szCs w:val="20"/>
              </w:rPr>
              <w:t>Начална доза</w:t>
            </w:r>
          </w:p>
        </w:tc>
        <w:tc>
          <w:tcPr>
            <w:tcW w:w="4750" w:type="dxa"/>
          </w:tcPr>
          <w:p w14:paraId="2870302C" w14:textId="1324EB87" w:rsidR="00A27676" w:rsidRPr="00A27676" w:rsidRDefault="00A27676" w:rsidP="00A27676">
            <w:r w:rsidRPr="00A27676">
              <w:rPr>
                <w:szCs w:val="20"/>
              </w:rPr>
              <w:t xml:space="preserve">2 </w:t>
            </w:r>
            <w:r w:rsidRPr="00A27676">
              <w:rPr>
                <w:szCs w:val="20"/>
                <w:lang w:val="en-US"/>
              </w:rPr>
              <w:t xml:space="preserve">mg/kg </w:t>
            </w:r>
            <w:r w:rsidRPr="00A27676">
              <w:rPr>
                <w:szCs w:val="20"/>
              </w:rPr>
              <w:t>дневно</w:t>
            </w:r>
          </w:p>
        </w:tc>
      </w:tr>
      <w:tr w:rsidR="00A27676" w14:paraId="25DA18C7" w14:textId="77777777" w:rsidTr="00A27676">
        <w:tc>
          <w:tcPr>
            <w:tcW w:w="4750" w:type="dxa"/>
          </w:tcPr>
          <w:p w14:paraId="358E4416" w14:textId="0A6C6666" w:rsidR="00A27676" w:rsidRPr="00A27676" w:rsidRDefault="00A27676" w:rsidP="00A27676">
            <w:r w:rsidRPr="00A27676">
              <w:rPr>
                <w:szCs w:val="20"/>
              </w:rPr>
              <w:t>Единична натоварваща доза</w:t>
            </w:r>
          </w:p>
        </w:tc>
        <w:tc>
          <w:tcPr>
            <w:tcW w:w="4750" w:type="dxa"/>
          </w:tcPr>
          <w:p w14:paraId="2DD6D5F0" w14:textId="7BA10E0C" w:rsidR="00A27676" w:rsidRPr="00A27676" w:rsidRDefault="00A27676" w:rsidP="00A27676">
            <w:r w:rsidRPr="00A27676">
              <w:rPr>
                <w:szCs w:val="20"/>
              </w:rPr>
              <w:t>не се препоръчва</w:t>
            </w:r>
          </w:p>
        </w:tc>
      </w:tr>
      <w:tr w:rsidR="00A27676" w14:paraId="42D51968" w14:textId="77777777" w:rsidTr="00A27676">
        <w:tc>
          <w:tcPr>
            <w:tcW w:w="4750" w:type="dxa"/>
          </w:tcPr>
          <w:p w14:paraId="3AF553CC" w14:textId="6CA4EEFF" w:rsidR="00A27676" w:rsidRPr="00A27676" w:rsidRDefault="00A27676" w:rsidP="00A27676">
            <w:r w:rsidRPr="00A27676">
              <w:rPr>
                <w:szCs w:val="20"/>
              </w:rPr>
              <w:t>Титриране (постепенно повишаване на дозата)</w:t>
            </w:r>
          </w:p>
        </w:tc>
        <w:tc>
          <w:tcPr>
            <w:tcW w:w="4750" w:type="dxa"/>
          </w:tcPr>
          <w:p w14:paraId="709C9A37" w14:textId="0E71AA98" w:rsidR="00A27676" w:rsidRPr="00A27676" w:rsidRDefault="00A27676" w:rsidP="00A27676">
            <w:r w:rsidRPr="00A27676">
              <w:rPr>
                <w:szCs w:val="20"/>
              </w:rPr>
              <w:t xml:space="preserve">2 </w:t>
            </w:r>
            <w:r w:rsidRPr="00A27676">
              <w:rPr>
                <w:szCs w:val="20"/>
                <w:lang w:val="en-US"/>
              </w:rPr>
              <w:t xml:space="preserve">mg/kg </w:t>
            </w:r>
            <w:r w:rsidRPr="00A27676">
              <w:rPr>
                <w:szCs w:val="20"/>
              </w:rPr>
              <w:t>дневно всяка седмица</w:t>
            </w:r>
          </w:p>
        </w:tc>
      </w:tr>
      <w:tr w:rsidR="00A27676" w14:paraId="206010C5" w14:textId="77777777" w:rsidTr="00A27676">
        <w:tc>
          <w:tcPr>
            <w:tcW w:w="4750" w:type="dxa"/>
          </w:tcPr>
          <w:p w14:paraId="39AA49BC" w14:textId="77777777" w:rsidR="00A27676" w:rsidRPr="00A27676" w:rsidRDefault="00A27676" w:rsidP="00A27676">
            <w:r w:rsidRPr="00A27676">
              <w:rPr>
                <w:szCs w:val="20"/>
              </w:rPr>
              <w:t>Максимална препоръчителна доза при тегло &lt;</w:t>
            </w:r>
          </w:p>
          <w:p w14:paraId="043C7424" w14:textId="54DB73D5" w:rsidR="00A27676" w:rsidRPr="00A27676" w:rsidRDefault="00A27676" w:rsidP="00A27676">
            <w:r w:rsidRPr="00A27676">
              <w:rPr>
                <w:szCs w:val="20"/>
              </w:rPr>
              <w:t xml:space="preserve">20 </w:t>
            </w:r>
            <w:r w:rsidRPr="00A27676">
              <w:rPr>
                <w:szCs w:val="20"/>
                <w:lang w:val="en-US"/>
              </w:rPr>
              <w:t>kg</w:t>
            </w:r>
            <w:r w:rsidRPr="00A27676">
              <w:rPr>
                <w:szCs w:val="20"/>
              </w:rPr>
              <w:tab/>
              <w:t>_</w:t>
            </w:r>
          </w:p>
        </w:tc>
        <w:tc>
          <w:tcPr>
            <w:tcW w:w="4750" w:type="dxa"/>
          </w:tcPr>
          <w:p w14:paraId="1E4035E3" w14:textId="01F7979C" w:rsidR="00A27676" w:rsidRPr="00A27676" w:rsidRDefault="00A27676" w:rsidP="00A27676">
            <w:r w:rsidRPr="00A27676">
              <w:rPr>
                <w:szCs w:val="20"/>
              </w:rPr>
              <w:t xml:space="preserve">до 12 </w:t>
            </w:r>
            <w:r w:rsidRPr="00A27676">
              <w:rPr>
                <w:szCs w:val="20"/>
                <w:lang w:val="en-US"/>
              </w:rPr>
              <w:t xml:space="preserve">mg/kg </w:t>
            </w:r>
            <w:r w:rsidRPr="00A27676">
              <w:rPr>
                <w:szCs w:val="20"/>
              </w:rPr>
              <w:t>дневно</w:t>
            </w:r>
          </w:p>
        </w:tc>
      </w:tr>
      <w:tr w:rsidR="00A27676" w14:paraId="05F800CA" w14:textId="77777777" w:rsidTr="00A27676">
        <w:tc>
          <w:tcPr>
            <w:tcW w:w="4750" w:type="dxa"/>
          </w:tcPr>
          <w:p w14:paraId="20701E19" w14:textId="127FFE5C" w:rsidR="00A27676" w:rsidRPr="00A27676" w:rsidRDefault="00A27676" w:rsidP="00A27676">
            <w:r w:rsidRPr="00A27676">
              <w:rPr>
                <w:szCs w:val="20"/>
              </w:rPr>
              <w:t xml:space="preserve">Максимална препоръчителна доза при тегло &gt; 20 </w:t>
            </w:r>
            <w:r w:rsidRPr="00A27676">
              <w:rPr>
                <w:szCs w:val="20"/>
                <w:lang w:val="en-US"/>
              </w:rPr>
              <w:t xml:space="preserve">kg </w:t>
            </w:r>
            <w:r w:rsidRPr="00A27676">
              <w:rPr>
                <w:szCs w:val="20"/>
              </w:rPr>
              <w:t xml:space="preserve">до &lt; 30 </w:t>
            </w:r>
            <w:r w:rsidRPr="00A27676">
              <w:rPr>
                <w:szCs w:val="20"/>
                <w:lang w:val="en-US"/>
              </w:rPr>
              <w:t>kg</w:t>
            </w:r>
          </w:p>
        </w:tc>
        <w:tc>
          <w:tcPr>
            <w:tcW w:w="4750" w:type="dxa"/>
          </w:tcPr>
          <w:p w14:paraId="083F7855" w14:textId="534DDC3A" w:rsidR="00A27676" w:rsidRPr="00A27676" w:rsidRDefault="00A27676" w:rsidP="00A27676">
            <w:r w:rsidRPr="00A27676">
              <w:rPr>
                <w:szCs w:val="20"/>
              </w:rPr>
              <w:t xml:space="preserve">до 10 </w:t>
            </w:r>
            <w:r w:rsidRPr="00A27676">
              <w:rPr>
                <w:szCs w:val="20"/>
                <w:lang w:val="en-US"/>
              </w:rPr>
              <w:t xml:space="preserve">mg/kg </w:t>
            </w:r>
            <w:r w:rsidRPr="00A27676">
              <w:rPr>
                <w:szCs w:val="20"/>
              </w:rPr>
              <w:t>дневно</w:t>
            </w:r>
          </w:p>
        </w:tc>
      </w:tr>
      <w:tr w:rsidR="00A27676" w14:paraId="1471D8E7" w14:textId="77777777" w:rsidTr="00A27676">
        <w:tc>
          <w:tcPr>
            <w:tcW w:w="4750" w:type="dxa"/>
          </w:tcPr>
          <w:p w14:paraId="164309CC" w14:textId="6D066E84" w:rsidR="00A27676" w:rsidRPr="00A27676" w:rsidRDefault="00A27676" w:rsidP="00A27676">
            <w:r w:rsidRPr="00A27676">
              <w:rPr>
                <w:szCs w:val="20"/>
              </w:rPr>
              <w:t xml:space="preserve">Максимална препоръчителна доза при тегло &gt; 30 </w:t>
            </w:r>
            <w:r w:rsidRPr="00A27676">
              <w:rPr>
                <w:szCs w:val="20"/>
                <w:lang w:val="en-US"/>
              </w:rPr>
              <w:t xml:space="preserve">kg </w:t>
            </w:r>
            <w:r w:rsidRPr="00A27676">
              <w:rPr>
                <w:szCs w:val="20"/>
              </w:rPr>
              <w:t xml:space="preserve">до &lt; 50 </w:t>
            </w:r>
            <w:r w:rsidRPr="00A27676">
              <w:rPr>
                <w:szCs w:val="20"/>
                <w:lang w:val="en-US"/>
              </w:rPr>
              <w:t>kg</w:t>
            </w:r>
          </w:p>
        </w:tc>
        <w:tc>
          <w:tcPr>
            <w:tcW w:w="4750" w:type="dxa"/>
          </w:tcPr>
          <w:p w14:paraId="24DB845E" w14:textId="2ACAA8CD" w:rsidR="00A27676" w:rsidRPr="00A27676" w:rsidRDefault="00A27676" w:rsidP="00A27676">
            <w:r w:rsidRPr="00A27676">
              <w:rPr>
                <w:szCs w:val="20"/>
              </w:rPr>
              <w:t xml:space="preserve">до 8 </w:t>
            </w:r>
            <w:r w:rsidRPr="00A27676">
              <w:rPr>
                <w:szCs w:val="20"/>
                <w:lang w:val="en-US"/>
              </w:rPr>
              <w:t xml:space="preserve">mg/kg </w:t>
            </w:r>
            <w:r w:rsidRPr="00A27676">
              <w:rPr>
                <w:szCs w:val="20"/>
              </w:rPr>
              <w:t>дневно</w:t>
            </w:r>
          </w:p>
        </w:tc>
      </w:tr>
    </w:tbl>
    <w:p w14:paraId="096F9528" w14:textId="3BBA9B36" w:rsidR="00A27676" w:rsidRDefault="00A27676" w:rsidP="0091385D"/>
    <w:p w14:paraId="1B592566"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Натоварваща доза</w:t>
      </w:r>
    </w:p>
    <w:p w14:paraId="45FC74B9"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Използването на натоварваща доза не е проучено при деца. Не се препоръчва използването на натоварваща доза при юноши и при деца с тегло под 50 </w:t>
      </w:r>
      <w:r w:rsidRPr="00A27676">
        <w:rPr>
          <w:rFonts w:eastAsia="Times New Roman" w:cs="Arial"/>
          <w:color w:val="000000"/>
          <w:szCs w:val="20"/>
          <w:lang w:val="en-US"/>
        </w:rPr>
        <w:t>kg.</w:t>
      </w:r>
    </w:p>
    <w:p w14:paraId="71FD92A0" w14:textId="77777777" w:rsidR="00A27676" w:rsidRPr="00A27676" w:rsidRDefault="00A27676" w:rsidP="00A27676">
      <w:pPr>
        <w:spacing w:line="240" w:lineRule="auto"/>
        <w:rPr>
          <w:rFonts w:eastAsia="Times New Roman" w:cs="Arial"/>
          <w:i/>
          <w:iCs/>
          <w:color w:val="000000"/>
          <w:szCs w:val="20"/>
          <w:u w:val="single"/>
          <w:lang w:eastAsia="bg-BG"/>
        </w:rPr>
      </w:pPr>
    </w:p>
    <w:p w14:paraId="0116BFAB" w14:textId="2AFE1F25"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u w:val="single"/>
          <w:lang w:eastAsia="bg-BG"/>
        </w:rPr>
        <w:t>Деиа под 4 години</w:t>
      </w:r>
    </w:p>
    <w:p w14:paraId="60C3AA28"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Не са установени безопасността и ефикасността на лакозамид при деца под 4 години. Няма налични данни.</w:t>
      </w:r>
    </w:p>
    <w:p w14:paraId="13754B15" w14:textId="77777777" w:rsidR="00A27676" w:rsidRPr="00A27676" w:rsidRDefault="00A27676" w:rsidP="00A27676">
      <w:pPr>
        <w:spacing w:line="240" w:lineRule="auto"/>
        <w:rPr>
          <w:rFonts w:eastAsia="Times New Roman" w:cs="Arial"/>
          <w:color w:val="000000"/>
          <w:szCs w:val="20"/>
          <w:u w:val="single"/>
          <w:lang w:eastAsia="bg-BG"/>
        </w:rPr>
      </w:pPr>
    </w:p>
    <w:p w14:paraId="4D63B2B9" w14:textId="27EEE934" w:rsidR="00A27676" w:rsidRPr="00A27676" w:rsidRDefault="00A27676" w:rsidP="00A27676">
      <w:pPr>
        <w:pStyle w:val="Heading3"/>
        <w:rPr>
          <w:rFonts w:eastAsia="Times New Roman"/>
          <w:sz w:val="28"/>
          <w:u w:val="single"/>
          <w:lang w:eastAsia="bg-BG"/>
        </w:rPr>
      </w:pPr>
      <w:r w:rsidRPr="00A27676">
        <w:rPr>
          <w:rFonts w:eastAsia="Times New Roman"/>
          <w:u w:val="single"/>
          <w:lang w:eastAsia="bg-BG"/>
        </w:rPr>
        <w:t>Начин на приложение</w:t>
      </w:r>
    </w:p>
    <w:p w14:paraId="3C368F0C" w14:textId="6362B813" w:rsidR="00A27676" w:rsidRPr="00A27676" w:rsidRDefault="00A27676" w:rsidP="0091385D">
      <w:pPr>
        <w:rPr>
          <w:rFonts w:cs="Arial"/>
          <w:sz w:val="24"/>
        </w:rPr>
      </w:pPr>
      <w:r w:rsidRPr="00A27676">
        <w:rPr>
          <w:rFonts w:eastAsia="Times New Roman" w:cs="Arial"/>
          <w:color w:val="000000"/>
          <w:szCs w:val="20"/>
          <w:lang w:eastAsia="bg-BG"/>
        </w:rPr>
        <w:t>Перорално приложение.</w:t>
      </w:r>
    </w:p>
    <w:p w14:paraId="5C41BC5F" w14:textId="63C0E557" w:rsidR="00A27676" w:rsidRPr="00A27676" w:rsidRDefault="00A27676" w:rsidP="0091385D">
      <w:pPr>
        <w:rPr>
          <w:sz w:val="24"/>
        </w:rPr>
      </w:pPr>
      <w:r w:rsidRPr="00A27676">
        <w:rPr>
          <w:szCs w:val="20"/>
        </w:rPr>
        <w:t>Лакозамид може да се приема със или без храна.</w:t>
      </w:r>
    </w:p>
    <w:p w14:paraId="394C9DE7" w14:textId="77777777" w:rsidR="00A27676" w:rsidRPr="0091385D" w:rsidRDefault="00A27676" w:rsidP="0091385D"/>
    <w:p w14:paraId="28C984E8" w14:textId="0756AE28" w:rsidR="008134C8" w:rsidRDefault="002C50EE" w:rsidP="004A448E">
      <w:pPr>
        <w:pStyle w:val="Heading2"/>
      </w:pPr>
      <w:r>
        <w:t>4.3. Противопоказания</w:t>
      </w:r>
    </w:p>
    <w:p w14:paraId="2363D607" w14:textId="48168570" w:rsidR="0091385D" w:rsidRDefault="0091385D" w:rsidP="0091385D"/>
    <w:p w14:paraId="147EE2D6" w14:textId="77777777" w:rsidR="00A27676" w:rsidRPr="00A27676" w:rsidRDefault="00A27676" w:rsidP="00A27676">
      <w:pPr>
        <w:numPr>
          <w:ilvl w:val="0"/>
          <w:numId w:val="2"/>
        </w:numPr>
        <w:spacing w:line="240" w:lineRule="auto"/>
        <w:rPr>
          <w:rFonts w:eastAsia="Times New Roman" w:cs="Arial"/>
          <w:color w:val="000000"/>
          <w:szCs w:val="20"/>
          <w:lang w:eastAsia="bg-BG"/>
        </w:rPr>
      </w:pPr>
      <w:r w:rsidRPr="00A27676">
        <w:rPr>
          <w:rFonts w:eastAsia="Times New Roman" w:cs="Arial"/>
          <w:color w:val="000000"/>
          <w:szCs w:val="20"/>
          <w:lang w:eastAsia="bg-BG"/>
        </w:rPr>
        <w:t>Свръхчувствителност към активното вещество или към някое от помощните вещества, изброени в точка 6.1.</w:t>
      </w:r>
    </w:p>
    <w:p w14:paraId="2309EAB0" w14:textId="1F7CDEDF" w:rsidR="0091385D" w:rsidRPr="00A27676" w:rsidRDefault="00A27676" w:rsidP="00A27676">
      <w:pPr>
        <w:numPr>
          <w:ilvl w:val="0"/>
          <w:numId w:val="2"/>
        </w:numPr>
        <w:spacing w:line="240" w:lineRule="auto"/>
        <w:rPr>
          <w:rFonts w:eastAsia="Times New Roman" w:cs="Arial"/>
          <w:color w:val="000000"/>
          <w:szCs w:val="20"/>
          <w:lang w:eastAsia="bg-BG"/>
        </w:rPr>
      </w:pPr>
      <w:r w:rsidRPr="00A27676">
        <w:rPr>
          <w:rFonts w:eastAsia="Times New Roman" w:cs="Arial"/>
          <w:color w:val="000000"/>
          <w:szCs w:val="20"/>
          <w:lang w:eastAsia="bg-BG"/>
        </w:rPr>
        <w:t xml:space="preserve">Данни за втора или трета степен на атриовентрикуларен </w:t>
      </w:r>
      <w:r w:rsidRPr="00A27676">
        <w:rPr>
          <w:rFonts w:eastAsia="Times New Roman" w:cs="Arial"/>
          <w:color w:val="000000"/>
          <w:szCs w:val="20"/>
          <w:lang w:val="en-US"/>
        </w:rPr>
        <w:t xml:space="preserve">(AV) </w:t>
      </w:r>
      <w:r w:rsidRPr="00A27676">
        <w:rPr>
          <w:rFonts w:eastAsia="Times New Roman" w:cs="Arial"/>
          <w:color w:val="000000"/>
          <w:szCs w:val="20"/>
          <w:lang w:eastAsia="bg-BG"/>
        </w:rPr>
        <w:t>блок.</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0A08B607" w:rsidR="0091385D" w:rsidRDefault="0091385D" w:rsidP="0091385D"/>
    <w:p w14:paraId="6776BF10"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u w:val="single"/>
          <w:lang w:eastAsia="bg-BG"/>
        </w:rPr>
        <w:t>Суицидна идеация и поведение</w:t>
      </w:r>
    </w:p>
    <w:p w14:paraId="518CC75E"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Суицидна идеация и поведение са съобщавани при пациенти, лекувани с антиепилептични лекарства по различни показания. Мета анализ на рандомизирани, плацебо-контролирани изпитвания на антиепилептици също показва малък, но повишен риск от суицидна идеация и поведение. Механизмът на този риск не е ясен и наличните данни не изключват възможността за повишен риск при лакозамид. Затова пациентите трябва да бъдат проследявани за признаци на суицидна идеация и поведение и трябва да се предприеме съответното лечение. На пациентите (и хората, които се грижат за тях) трябва да се обърне внимание да потърсят лекарски съвет, в случай че се появят признаци на суицидна идеация и поведение (вж. точка 4.8).</w:t>
      </w:r>
    </w:p>
    <w:p w14:paraId="40479ACC" w14:textId="77777777" w:rsidR="00A27676" w:rsidRPr="00A27676" w:rsidRDefault="00A27676" w:rsidP="00A27676">
      <w:pPr>
        <w:spacing w:line="240" w:lineRule="auto"/>
        <w:rPr>
          <w:rFonts w:eastAsia="Times New Roman" w:cs="Arial"/>
          <w:color w:val="000000"/>
          <w:szCs w:val="20"/>
          <w:u w:val="single"/>
          <w:lang w:eastAsia="bg-BG"/>
        </w:rPr>
      </w:pPr>
    </w:p>
    <w:p w14:paraId="20C932F9" w14:textId="451B3831"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u w:val="single"/>
          <w:lang w:eastAsia="bg-BG"/>
        </w:rPr>
        <w:t>Сърдечен ритъм и проводимост</w:t>
      </w:r>
    </w:p>
    <w:p w14:paraId="61B53B6B"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lastRenderedPageBreak/>
        <w:t xml:space="preserve">По време на клиничните проучвания е наблюдавано удължаване на </w:t>
      </w:r>
      <w:r w:rsidRPr="00A27676">
        <w:rPr>
          <w:rFonts w:eastAsia="Times New Roman" w:cs="Arial"/>
          <w:color w:val="000000"/>
          <w:szCs w:val="20"/>
          <w:lang w:val="en-US"/>
        </w:rPr>
        <w:t>PR</w:t>
      </w:r>
      <w:r w:rsidRPr="00A27676">
        <w:rPr>
          <w:rFonts w:eastAsia="Times New Roman" w:cs="Arial"/>
          <w:color w:val="000000"/>
          <w:szCs w:val="20"/>
          <w:lang w:eastAsia="bg-BG"/>
        </w:rPr>
        <w:t xml:space="preserve">-интервала при прилагане на лакозамид. Лакозамид трябва да се прилага с повишено внимание при пациенти с с подлежащи проаритмични състояния, като пациенти с известни проблеми на сърдечната проводимост или с тежко сърдечно заболяване (напр. исхемия/инфаркт на миокарда, сърдечна недостатъчност, структурно сърдечно заболяване или сърдечни натриеви каналопатии) или пациенти, лекувани с лекарствени продукти, засягащи сърдечната проводимост, включително антиаритмични средства и антиепилептични лекарствени продукти, блокиращи натриевите канали (вж. точка 4.5), както и при пациенти в старческа възраст. При тези пациенти трябва да се обмисли ЕКГ изследване преди увеличение на дозата на лакозамид над 400 </w:t>
      </w:r>
      <w:r w:rsidRPr="00A27676">
        <w:rPr>
          <w:rFonts w:eastAsia="Times New Roman" w:cs="Arial"/>
          <w:color w:val="000000"/>
          <w:szCs w:val="20"/>
          <w:lang w:val="en-US"/>
        </w:rPr>
        <w:t>mg</w:t>
      </w:r>
      <w:r w:rsidRPr="00A27676">
        <w:rPr>
          <w:rFonts w:eastAsia="Times New Roman" w:cs="Arial"/>
          <w:color w:val="000000"/>
          <w:szCs w:val="20"/>
          <w:lang w:eastAsia="bg-BG"/>
        </w:rPr>
        <w:t>/ден и след като лакозамид се титрира до стационарно състояние.</w:t>
      </w:r>
    </w:p>
    <w:p w14:paraId="28F66B9A" w14:textId="77777777" w:rsidR="00A27676" w:rsidRPr="00A27676" w:rsidRDefault="00A27676" w:rsidP="00A27676">
      <w:pPr>
        <w:spacing w:line="240" w:lineRule="auto"/>
        <w:rPr>
          <w:rFonts w:eastAsia="Times New Roman" w:cs="Arial"/>
          <w:color w:val="000000"/>
          <w:szCs w:val="20"/>
          <w:lang w:eastAsia="bg-BG"/>
        </w:rPr>
      </w:pPr>
    </w:p>
    <w:p w14:paraId="00B56439" w14:textId="160A6CA3"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В плацебо контролирани проучвания с лакозамид при пациенти с епилепсия не се съобщава за предсърдно мъждене или трептене, но се съобщават в отворени проучвания за епилепсия и при постмаркетинговия опит (вж. точка 4.8).</w:t>
      </w:r>
    </w:p>
    <w:p w14:paraId="49D284D8"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В постмаркетинговия опит има съобщение за </w:t>
      </w:r>
      <w:r w:rsidRPr="00A27676">
        <w:rPr>
          <w:rFonts w:eastAsia="Times New Roman" w:cs="Arial"/>
          <w:color w:val="000000"/>
          <w:szCs w:val="20"/>
          <w:lang w:val="en-US"/>
        </w:rPr>
        <w:t xml:space="preserve">AV </w:t>
      </w:r>
      <w:r w:rsidRPr="00A27676">
        <w:rPr>
          <w:rFonts w:eastAsia="Times New Roman" w:cs="Arial"/>
          <w:color w:val="000000"/>
          <w:szCs w:val="20"/>
          <w:lang w:eastAsia="bg-BG"/>
        </w:rPr>
        <w:t xml:space="preserve">блок (включително </w:t>
      </w:r>
      <w:r w:rsidRPr="00A27676">
        <w:rPr>
          <w:rFonts w:eastAsia="Times New Roman" w:cs="Arial"/>
          <w:color w:val="000000"/>
          <w:szCs w:val="20"/>
          <w:lang w:val="en-US"/>
        </w:rPr>
        <w:t xml:space="preserve">AV </w:t>
      </w:r>
      <w:r w:rsidRPr="00A27676">
        <w:rPr>
          <w:rFonts w:eastAsia="Times New Roman" w:cs="Arial"/>
          <w:color w:val="000000"/>
          <w:szCs w:val="20"/>
          <w:lang w:eastAsia="bg-BG"/>
        </w:rPr>
        <w:t>блок втора степен или по-висока). При пациенти с проаритмични състояния е съобщена вентрикуларна тахиаритмия.</w:t>
      </w:r>
    </w:p>
    <w:p w14:paraId="377D5117" w14:textId="77777777" w:rsidR="00A27676" w:rsidRPr="00A27676" w:rsidRDefault="00A27676" w:rsidP="00A27676">
      <w:pPr>
        <w:spacing w:line="240" w:lineRule="auto"/>
        <w:rPr>
          <w:rFonts w:eastAsia="Times New Roman" w:cs="Arial"/>
          <w:color w:val="000000"/>
          <w:szCs w:val="20"/>
          <w:lang w:eastAsia="bg-BG"/>
        </w:rPr>
      </w:pPr>
    </w:p>
    <w:p w14:paraId="2C3F3DC5" w14:textId="108ACA3D"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В редки случаи тези събития са довели до асистолия, сърдечен арест и смърт при пациенти с подлежащи проаритмични състояния.</w:t>
      </w:r>
    </w:p>
    <w:p w14:paraId="5E689CA1" w14:textId="77777777" w:rsidR="00A27676" w:rsidRPr="00A27676" w:rsidRDefault="00A27676" w:rsidP="00A27676">
      <w:pPr>
        <w:spacing w:line="240" w:lineRule="auto"/>
        <w:rPr>
          <w:rFonts w:eastAsia="Times New Roman" w:cs="Arial"/>
          <w:color w:val="000000"/>
          <w:szCs w:val="20"/>
          <w:lang w:eastAsia="bg-BG"/>
        </w:rPr>
      </w:pPr>
    </w:p>
    <w:p w14:paraId="113171B5" w14:textId="5D9CAB68"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Пациентите трябва да са запознати със симптомите на сърдечна аритмия (напр. бавен, бърз или неравномерен пулс, палпитации, задух, чувство на замаяност, припадък). Пациентите трябва да се посъветват да търсят незабавна медицинска помощ, ако някой от тези симптоми се появят.</w:t>
      </w:r>
    </w:p>
    <w:p w14:paraId="38484445" w14:textId="77777777" w:rsidR="00A27676" w:rsidRPr="00A27676" w:rsidRDefault="00A27676" w:rsidP="00A27676">
      <w:pPr>
        <w:spacing w:line="240" w:lineRule="auto"/>
        <w:rPr>
          <w:rFonts w:eastAsia="Times New Roman" w:cs="Arial"/>
          <w:color w:val="000000"/>
          <w:szCs w:val="20"/>
          <w:u w:val="single"/>
          <w:lang w:eastAsia="bg-BG"/>
        </w:rPr>
      </w:pPr>
    </w:p>
    <w:p w14:paraId="30E3D6A4" w14:textId="6E4DC33F"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u w:val="single"/>
          <w:lang w:eastAsia="bg-BG"/>
        </w:rPr>
        <w:t>Замаяност</w:t>
      </w:r>
    </w:p>
    <w:p w14:paraId="0B3BEE35" w14:textId="2FAE19A9" w:rsidR="0091385D" w:rsidRPr="00A27676" w:rsidRDefault="00A27676" w:rsidP="00A27676">
      <w:pPr>
        <w:rPr>
          <w:rFonts w:cs="Arial"/>
          <w:sz w:val="24"/>
        </w:rPr>
      </w:pPr>
      <w:r w:rsidRPr="00A27676">
        <w:rPr>
          <w:rFonts w:eastAsia="Times New Roman" w:cs="Arial"/>
          <w:color w:val="000000"/>
          <w:szCs w:val="20"/>
          <w:lang w:eastAsia="bg-BG"/>
        </w:rPr>
        <w:t>Лечението с лакозамид се свързва със замаяност, която може да повиши случаите на случайно нараняване или падане. Затова на пациентите трябва да се обърне внимание да бъдат особено внимателни, докато разберат потенциалните ефекти на лекарството (вж. точка 4.8).</w:t>
      </w:r>
    </w:p>
    <w:p w14:paraId="24E3E82F" w14:textId="476FD29F" w:rsidR="0091385D" w:rsidRPr="00A27676" w:rsidRDefault="0091385D" w:rsidP="0091385D">
      <w:pPr>
        <w:rPr>
          <w:rFonts w:cs="Arial"/>
          <w:sz w:val="24"/>
        </w:rPr>
      </w:pPr>
    </w:p>
    <w:p w14:paraId="7CC73FAB"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u w:val="single"/>
          <w:lang w:eastAsia="bg-BG"/>
        </w:rPr>
        <w:t>Потенциал за възобновяване или влошаване на миоклонични пристъпи</w:t>
      </w:r>
    </w:p>
    <w:p w14:paraId="02E27E9B"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Съобщено е възобновяване или влошаване на миоклонични пристъпи както при възрастни, така и при педиатрични пациенти с ПГТКП, по-специално по време на титриране. При пациенти с повече от един тип пристъпи, наблюдаваните ползи от контролирането на пристъп от един тип, трябва да се съпостави с всички наблюдавани признаци на влошаване по отношение на пристъп от друг тип.</w:t>
      </w:r>
    </w:p>
    <w:p w14:paraId="5BD56282" w14:textId="77777777" w:rsidR="00A27676" w:rsidRPr="00A27676" w:rsidRDefault="00A27676" w:rsidP="00A27676">
      <w:pPr>
        <w:spacing w:line="240" w:lineRule="auto"/>
        <w:rPr>
          <w:rFonts w:eastAsia="Times New Roman" w:cs="Arial"/>
          <w:color w:val="000000"/>
          <w:szCs w:val="20"/>
          <w:u w:val="single"/>
          <w:lang w:eastAsia="bg-BG"/>
        </w:rPr>
      </w:pPr>
    </w:p>
    <w:p w14:paraId="461FC0F9" w14:textId="2CD3FE74"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u w:val="single"/>
          <w:lang w:eastAsia="bg-BG"/>
        </w:rPr>
        <w:t>Потенциал за влошаване на електро-клиничните показатели при специфични педиатрични синдроми на епилепсия</w:t>
      </w:r>
    </w:p>
    <w:p w14:paraId="27F00983" w14:textId="4B3AE0EF" w:rsidR="00A27676" w:rsidRPr="00A27676" w:rsidRDefault="00A27676" w:rsidP="00A27676">
      <w:pPr>
        <w:rPr>
          <w:rFonts w:cs="Arial"/>
          <w:sz w:val="24"/>
        </w:rPr>
      </w:pPr>
      <w:r w:rsidRPr="00A27676">
        <w:rPr>
          <w:rFonts w:eastAsia="Times New Roman" w:cs="Arial"/>
          <w:color w:val="000000"/>
          <w:szCs w:val="20"/>
          <w:lang w:eastAsia="bg-BG"/>
        </w:rPr>
        <w:t>Не са установени безопасността и ефикасността на лакозамид при педиатрични пациенти с епилептични синдроми, при които се изявяват едновременно фокални и генерализирани пристъпи.</w:t>
      </w:r>
    </w:p>
    <w:p w14:paraId="0CAD82A9" w14:textId="77777777" w:rsidR="00A27676" w:rsidRPr="0091385D" w:rsidRDefault="00A27676"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59667A21"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lastRenderedPageBreak/>
        <w:t xml:space="preserve">Лакозамид трябва да се използва с повишено внимание при пациенти, лекувани с лекарствени продукти, свързани с удължаване на </w:t>
      </w:r>
      <w:r w:rsidRPr="00A27676">
        <w:rPr>
          <w:rFonts w:eastAsia="Times New Roman" w:cs="Arial"/>
          <w:color w:val="000000"/>
          <w:szCs w:val="20"/>
          <w:lang w:val="en-US"/>
        </w:rPr>
        <w:t>PR</w:t>
      </w:r>
      <w:r w:rsidRPr="00A27676">
        <w:rPr>
          <w:rFonts w:eastAsia="Times New Roman" w:cs="Arial"/>
          <w:color w:val="000000"/>
          <w:szCs w:val="20"/>
          <w:lang w:eastAsia="bg-BG"/>
        </w:rPr>
        <w:t xml:space="preserve">-интервала (включително антиепилептични лекарствени продукти, блокиращи натриевите канали) и при пациенти, лекувани с антиаритмични средства. Въпреки това, анализът по подгрупи в клинични изпитвания не установява повишено удължаване на </w:t>
      </w:r>
      <w:r w:rsidRPr="00A27676">
        <w:rPr>
          <w:rFonts w:eastAsia="Times New Roman" w:cs="Arial"/>
          <w:color w:val="000000"/>
          <w:szCs w:val="20"/>
          <w:lang w:val="en-US"/>
        </w:rPr>
        <w:t>PR</w:t>
      </w:r>
      <w:r w:rsidRPr="00A27676">
        <w:rPr>
          <w:rFonts w:eastAsia="Times New Roman" w:cs="Arial"/>
          <w:color w:val="000000"/>
          <w:szCs w:val="20"/>
          <w:lang w:eastAsia="bg-BG"/>
        </w:rPr>
        <w:t>-интервала при съвместна употреба на карбамазепин или ламотригин.</w:t>
      </w:r>
    </w:p>
    <w:p w14:paraId="79F1C061" w14:textId="77777777" w:rsidR="00A27676" w:rsidRPr="00A27676" w:rsidRDefault="00A27676" w:rsidP="00A27676">
      <w:pPr>
        <w:spacing w:line="240" w:lineRule="auto"/>
        <w:rPr>
          <w:rFonts w:eastAsia="Times New Roman" w:cs="Arial"/>
          <w:i/>
          <w:iCs/>
          <w:color w:val="000000"/>
          <w:szCs w:val="20"/>
          <w:u w:val="single"/>
          <w:lang w:val="en-US"/>
        </w:rPr>
      </w:pPr>
    </w:p>
    <w:p w14:paraId="4B6818E2" w14:textId="7321FCF2"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u w:val="single"/>
          <w:lang w:val="en-US"/>
        </w:rPr>
        <w:t xml:space="preserve">In vitro </w:t>
      </w:r>
      <w:r w:rsidRPr="00A27676">
        <w:rPr>
          <w:rFonts w:eastAsia="Times New Roman" w:cs="Arial"/>
          <w:i/>
          <w:iCs/>
          <w:color w:val="000000"/>
          <w:szCs w:val="20"/>
          <w:u w:val="single"/>
          <w:lang w:eastAsia="bg-BG"/>
        </w:rPr>
        <w:t>данни</w:t>
      </w:r>
    </w:p>
    <w:p w14:paraId="738F6838"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Най-общо, данните предполагат, че лакозамид има нисък потенциал за взаимодействие с други лекарствени продукти. </w:t>
      </w:r>
      <w:r w:rsidRPr="00A27676">
        <w:rPr>
          <w:rFonts w:eastAsia="Times New Roman" w:cs="Arial"/>
          <w:color w:val="000000"/>
          <w:szCs w:val="20"/>
          <w:lang w:val="en-US"/>
        </w:rPr>
        <w:t xml:space="preserve">In vitro </w:t>
      </w:r>
      <w:r w:rsidRPr="00A27676">
        <w:rPr>
          <w:rFonts w:eastAsia="Times New Roman" w:cs="Arial"/>
          <w:color w:val="000000"/>
          <w:szCs w:val="20"/>
          <w:lang w:eastAsia="bg-BG"/>
        </w:rPr>
        <w:t xml:space="preserve">проучванията показват, че ензимите </w:t>
      </w:r>
      <w:r w:rsidRPr="00A27676">
        <w:rPr>
          <w:rFonts w:eastAsia="Times New Roman" w:cs="Arial"/>
          <w:color w:val="000000"/>
          <w:szCs w:val="20"/>
          <w:lang w:val="en-US"/>
        </w:rPr>
        <w:t>CYP1</w:t>
      </w:r>
      <w:r w:rsidRPr="00A27676">
        <w:rPr>
          <w:rFonts w:eastAsia="Times New Roman" w:cs="Arial"/>
          <w:color w:val="000000"/>
          <w:szCs w:val="20"/>
          <w:lang w:eastAsia="bg-BG"/>
        </w:rPr>
        <w:t xml:space="preserve">А2, </w:t>
      </w:r>
      <w:r w:rsidRPr="00A27676">
        <w:rPr>
          <w:rFonts w:eastAsia="Times New Roman" w:cs="Arial"/>
          <w:color w:val="000000"/>
          <w:szCs w:val="20"/>
          <w:lang w:val="en-US"/>
        </w:rPr>
        <w:t xml:space="preserve">CYP2B6 </w:t>
      </w:r>
      <w:r w:rsidRPr="00A27676">
        <w:rPr>
          <w:rFonts w:eastAsia="Times New Roman" w:cs="Arial"/>
          <w:color w:val="000000"/>
          <w:szCs w:val="20"/>
          <w:lang w:eastAsia="bg-BG"/>
        </w:rPr>
        <w:t xml:space="preserve">и </w:t>
      </w:r>
      <w:r w:rsidRPr="00A27676">
        <w:rPr>
          <w:rFonts w:eastAsia="Times New Roman" w:cs="Arial"/>
          <w:color w:val="000000"/>
          <w:szCs w:val="20"/>
          <w:lang w:val="en-US"/>
        </w:rPr>
        <w:t xml:space="preserve">CYP2C9 </w:t>
      </w:r>
      <w:r w:rsidRPr="00A27676">
        <w:rPr>
          <w:rFonts w:eastAsia="Times New Roman" w:cs="Arial"/>
          <w:color w:val="000000"/>
          <w:szCs w:val="20"/>
          <w:lang w:eastAsia="bg-BG"/>
        </w:rPr>
        <w:t xml:space="preserve">не се индуцират, </w:t>
      </w:r>
      <w:r w:rsidRPr="00A27676">
        <w:rPr>
          <w:rFonts w:eastAsia="Times New Roman" w:cs="Arial"/>
          <w:color w:val="000000"/>
          <w:szCs w:val="20"/>
          <w:lang w:val="en-US"/>
        </w:rPr>
        <w:t xml:space="preserve">a CYP1 Al, CYP1A2, CYP2A6, CYP2B6, CYP2C8, CYP2C9, CYP2D6 </w:t>
      </w:r>
      <w:r w:rsidRPr="00A27676">
        <w:rPr>
          <w:rFonts w:eastAsia="Times New Roman" w:cs="Arial"/>
          <w:color w:val="000000"/>
          <w:szCs w:val="20"/>
          <w:lang w:eastAsia="bg-BG"/>
        </w:rPr>
        <w:t xml:space="preserve">и </w:t>
      </w:r>
      <w:r w:rsidRPr="00A27676">
        <w:rPr>
          <w:rFonts w:eastAsia="Times New Roman" w:cs="Arial"/>
          <w:color w:val="000000"/>
          <w:szCs w:val="20"/>
          <w:lang w:val="en-US"/>
        </w:rPr>
        <w:t xml:space="preserve">CYP2E1 </w:t>
      </w:r>
      <w:r w:rsidRPr="00A27676">
        <w:rPr>
          <w:rFonts w:eastAsia="Times New Roman" w:cs="Arial"/>
          <w:color w:val="000000"/>
          <w:szCs w:val="20"/>
          <w:lang w:eastAsia="bg-BG"/>
        </w:rPr>
        <w:t xml:space="preserve">не се инхибират от лакозамид при плазмени концентрации, наблюдавани по време на клиничните проучвания. </w:t>
      </w:r>
      <w:r w:rsidRPr="00A27676">
        <w:rPr>
          <w:rFonts w:eastAsia="Times New Roman" w:cs="Arial"/>
          <w:color w:val="000000"/>
          <w:szCs w:val="20"/>
          <w:lang w:val="en-US"/>
        </w:rPr>
        <w:t xml:space="preserve">In vitro </w:t>
      </w:r>
      <w:r w:rsidRPr="00A27676">
        <w:rPr>
          <w:rFonts w:eastAsia="Times New Roman" w:cs="Arial"/>
          <w:color w:val="000000"/>
          <w:szCs w:val="20"/>
          <w:lang w:eastAsia="bg-BG"/>
        </w:rPr>
        <w:t xml:space="preserve">проучванията показват, че лакозамид не се транспортира чрез Р-гликопротеин в червата. </w:t>
      </w:r>
      <w:r w:rsidRPr="00A27676">
        <w:rPr>
          <w:rFonts w:eastAsia="Times New Roman" w:cs="Arial"/>
          <w:color w:val="000000"/>
          <w:szCs w:val="20"/>
          <w:lang w:val="en-US"/>
        </w:rPr>
        <w:t xml:space="preserve">In vitro </w:t>
      </w:r>
      <w:r w:rsidRPr="00A27676">
        <w:rPr>
          <w:rFonts w:eastAsia="Times New Roman" w:cs="Arial"/>
          <w:color w:val="000000"/>
          <w:szCs w:val="20"/>
          <w:lang w:eastAsia="bg-BG"/>
        </w:rPr>
        <w:t xml:space="preserve">данните показват, че </w:t>
      </w:r>
      <w:r w:rsidRPr="00A27676">
        <w:rPr>
          <w:rFonts w:eastAsia="Times New Roman" w:cs="Arial"/>
          <w:color w:val="000000"/>
          <w:szCs w:val="20"/>
          <w:lang w:val="en-US"/>
        </w:rPr>
        <w:t xml:space="preserve">CYP2C9, CYP2C19 </w:t>
      </w:r>
      <w:r w:rsidRPr="00A27676">
        <w:rPr>
          <w:rFonts w:eastAsia="Times New Roman" w:cs="Arial"/>
          <w:color w:val="000000"/>
          <w:szCs w:val="20"/>
          <w:lang w:eastAsia="bg-BG"/>
        </w:rPr>
        <w:t xml:space="preserve">и </w:t>
      </w:r>
      <w:r w:rsidRPr="00A27676">
        <w:rPr>
          <w:rFonts w:eastAsia="Times New Roman" w:cs="Arial"/>
          <w:color w:val="000000"/>
          <w:szCs w:val="20"/>
          <w:lang w:val="en-US"/>
        </w:rPr>
        <w:t xml:space="preserve">CYP3A4 </w:t>
      </w:r>
      <w:r w:rsidRPr="00A27676">
        <w:rPr>
          <w:rFonts w:eastAsia="Times New Roman" w:cs="Arial"/>
          <w:color w:val="000000"/>
          <w:szCs w:val="20"/>
          <w:lang w:eastAsia="bg-BG"/>
        </w:rPr>
        <w:t>могат да катализират образуването на О-дезметил метаболита.</w:t>
      </w:r>
    </w:p>
    <w:p w14:paraId="786FC693" w14:textId="77777777" w:rsidR="00A27676" w:rsidRPr="00A27676" w:rsidRDefault="00A27676" w:rsidP="00A27676">
      <w:pPr>
        <w:spacing w:line="240" w:lineRule="auto"/>
        <w:rPr>
          <w:rFonts w:eastAsia="Times New Roman" w:cs="Arial"/>
          <w:i/>
          <w:iCs/>
          <w:color w:val="000000"/>
          <w:szCs w:val="20"/>
          <w:u w:val="single"/>
          <w:lang w:val="en-US"/>
        </w:rPr>
      </w:pPr>
    </w:p>
    <w:p w14:paraId="5F9E2F8B" w14:textId="6AE89A2E"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u w:val="single"/>
          <w:lang w:val="en-US"/>
        </w:rPr>
        <w:t xml:space="preserve">In vivo </w:t>
      </w:r>
      <w:r w:rsidRPr="00A27676">
        <w:rPr>
          <w:rFonts w:eastAsia="Times New Roman" w:cs="Arial"/>
          <w:i/>
          <w:iCs/>
          <w:color w:val="000000"/>
          <w:szCs w:val="20"/>
          <w:u w:val="single"/>
          <w:lang w:eastAsia="bg-BG"/>
        </w:rPr>
        <w:t>данни</w:t>
      </w:r>
    </w:p>
    <w:p w14:paraId="5292C36F"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Лакозамид не инхибира или индуцира до значима клинична степен ензима </w:t>
      </w:r>
      <w:r w:rsidRPr="00A27676">
        <w:rPr>
          <w:rFonts w:eastAsia="Times New Roman" w:cs="Arial"/>
          <w:color w:val="000000"/>
          <w:szCs w:val="20"/>
          <w:lang w:val="en-US"/>
        </w:rPr>
        <w:t xml:space="preserve">CYP2C19 </w:t>
      </w:r>
      <w:r w:rsidRPr="00A27676">
        <w:rPr>
          <w:rFonts w:eastAsia="Times New Roman" w:cs="Arial"/>
          <w:color w:val="000000"/>
          <w:szCs w:val="20"/>
          <w:lang w:eastAsia="bg-BG"/>
        </w:rPr>
        <w:t xml:space="preserve">и </w:t>
      </w:r>
      <w:r w:rsidRPr="00A27676">
        <w:rPr>
          <w:rFonts w:eastAsia="Times New Roman" w:cs="Arial"/>
          <w:color w:val="000000"/>
          <w:szCs w:val="20"/>
          <w:lang w:val="en-US"/>
        </w:rPr>
        <w:t xml:space="preserve">CYP3A4. </w:t>
      </w:r>
      <w:r w:rsidRPr="00A27676">
        <w:rPr>
          <w:rFonts w:eastAsia="Times New Roman" w:cs="Arial"/>
          <w:color w:val="000000"/>
          <w:szCs w:val="20"/>
          <w:lang w:eastAsia="bg-BG"/>
        </w:rPr>
        <w:t xml:space="preserve">Лакозамид не повлиява </w:t>
      </w:r>
      <w:r w:rsidRPr="00A27676">
        <w:rPr>
          <w:rFonts w:eastAsia="Times New Roman" w:cs="Arial"/>
          <w:color w:val="000000"/>
          <w:szCs w:val="20"/>
          <w:lang w:val="en-US"/>
        </w:rPr>
        <w:t xml:space="preserve">AUC </w:t>
      </w:r>
      <w:r w:rsidRPr="00A27676">
        <w:rPr>
          <w:rFonts w:eastAsia="Times New Roman" w:cs="Arial"/>
          <w:color w:val="000000"/>
          <w:szCs w:val="20"/>
          <w:lang w:eastAsia="bg-BG"/>
        </w:rPr>
        <w:t xml:space="preserve">на мидазолам (метаболизиращ се от </w:t>
      </w:r>
      <w:r w:rsidRPr="00A27676">
        <w:rPr>
          <w:rFonts w:eastAsia="Times New Roman" w:cs="Arial"/>
          <w:color w:val="000000"/>
          <w:szCs w:val="20"/>
          <w:lang w:val="en-US"/>
        </w:rPr>
        <w:t>CYP3</w:t>
      </w:r>
      <w:r w:rsidRPr="00A27676">
        <w:rPr>
          <w:rFonts w:eastAsia="Times New Roman" w:cs="Arial"/>
          <w:color w:val="000000"/>
          <w:szCs w:val="20"/>
          <w:lang w:eastAsia="bg-BG"/>
        </w:rPr>
        <w:t xml:space="preserve">А4, като лакозамид е прилаган 200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два пъти на ден), но Стах на мидазолам е леко увеличена (30%). Лакозамид не повлиява фармакокинетиката на омепразол (метаболизиращ се от </w:t>
      </w:r>
      <w:r w:rsidRPr="00A27676">
        <w:rPr>
          <w:rFonts w:eastAsia="Times New Roman" w:cs="Arial"/>
          <w:color w:val="000000"/>
          <w:szCs w:val="20"/>
          <w:lang w:val="en-US"/>
        </w:rPr>
        <w:t xml:space="preserve">CYP2C19 </w:t>
      </w:r>
      <w:r w:rsidRPr="00A27676">
        <w:rPr>
          <w:rFonts w:eastAsia="Times New Roman" w:cs="Arial"/>
          <w:color w:val="000000"/>
          <w:szCs w:val="20"/>
          <w:lang w:eastAsia="bg-BG"/>
        </w:rPr>
        <w:t xml:space="preserve">и </w:t>
      </w:r>
      <w:r w:rsidRPr="00A27676">
        <w:rPr>
          <w:rFonts w:eastAsia="Times New Roman" w:cs="Arial"/>
          <w:color w:val="000000"/>
          <w:szCs w:val="20"/>
          <w:lang w:val="en-US"/>
        </w:rPr>
        <w:t xml:space="preserve">CYP3A4, </w:t>
      </w:r>
      <w:r w:rsidRPr="00A27676">
        <w:rPr>
          <w:rFonts w:eastAsia="Times New Roman" w:cs="Arial"/>
          <w:color w:val="000000"/>
          <w:szCs w:val="20"/>
          <w:lang w:eastAsia="bg-BG"/>
        </w:rPr>
        <w:t xml:space="preserve">като лакозамид е прилаган 300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два пъти на ден).</w:t>
      </w:r>
    </w:p>
    <w:p w14:paraId="63604E4B"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Инхибиторът на </w:t>
      </w:r>
      <w:r w:rsidRPr="00A27676">
        <w:rPr>
          <w:rFonts w:eastAsia="Times New Roman" w:cs="Arial"/>
          <w:color w:val="000000"/>
          <w:szCs w:val="20"/>
          <w:lang w:val="en-US"/>
        </w:rPr>
        <w:t xml:space="preserve">CYP2C19, </w:t>
      </w:r>
      <w:r w:rsidRPr="00A27676">
        <w:rPr>
          <w:rFonts w:eastAsia="Times New Roman" w:cs="Arial"/>
          <w:color w:val="000000"/>
          <w:szCs w:val="20"/>
          <w:lang w:eastAsia="bg-BG"/>
        </w:rPr>
        <w:t xml:space="preserve">омепразол (40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дневно) не води до повишение на клинично значима промяна в експозицията на лакозамид. Ето защо умерените инхибитори на </w:t>
      </w:r>
      <w:r w:rsidRPr="00A27676">
        <w:rPr>
          <w:rFonts w:eastAsia="Times New Roman" w:cs="Arial"/>
          <w:color w:val="000000"/>
          <w:szCs w:val="20"/>
          <w:lang w:val="en-US"/>
        </w:rPr>
        <w:t xml:space="preserve">CYP2C19 </w:t>
      </w:r>
      <w:r w:rsidRPr="00A27676">
        <w:rPr>
          <w:rFonts w:eastAsia="Times New Roman" w:cs="Arial"/>
          <w:color w:val="000000"/>
          <w:szCs w:val="20"/>
          <w:lang w:eastAsia="bg-BG"/>
        </w:rPr>
        <w:t xml:space="preserve">е малко вероятно да повлияят до клинично значима степен системната експозиция на лакозамид. Препоръчва се повишено внимание при съпътстващо лечение с мощни инхибитори на </w:t>
      </w:r>
      <w:r w:rsidRPr="00A27676">
        <w:rPr>
          <w:rFonts w:eastAsia="Times New Roman" w:cs="Arial"/>
          <w:color w:val="000000"/>
          <w:szCs w:val="20"/>
          <w:lang w:val="en-US"/>
        </w:rPr>
        <w:t xml:space="preserve">CYP2C9 </w:t>
      </w:r>
      <w:r w:rsidRPr="00A27676">
        <w:rPr>
          <w:rFonts w:eastAsia="Times New Roman" w:cs="Arial"/>
          <w:color w:val="000000"/>
          <w:szCs w:val="20"/>
          <w:lang w:eastAsia="bg-BG"/>
        </w:rPr>
        <w:t xml:space="preserve">(напр. флуконазол) и </w:t>
      </w:r>
      <w:r w:rsidRPr="00A27676">
        <w:rPr>
          <w:rFonts w:eastAsia="Times New Roman" w:cs="Arial"/>
          <w:color w:val="000000"/>
          <w:szCs w:val="20"/>
          <w:lang w:val="en-US"/>
        </w:rPr>
        <w:t xml:space="preserve">CYP3A4 </w:t>
      </w:r>
      <w:r w:rsidRPr="00A27676">
        <w:rPr>
          <w:rFonts w:eastAsia="Times New Roman" w:cs="Arial"/>
          <w:color w:val="000000"/>
          <w:szCs w:val="20"/>
          <w:lang w:eastAsia="bg-BG"/>
        </w:rPr>
        <w:t xml:space="preserve">(напр, итраконазол, кетоконазол, ритонавир, кларитромицин), което може да доведе до повишаване на системната експозиция на лакозамид. Такива взаимодействия не са установени </w:t>
      </w:r>
      <w:r w:rsidRPr="00A27676">
        <w:rPr>
          <w:rFonts w:eastAsia="Times New Roman" w:cs="Arial"/>
          <w:color w:val="000000"/>
          <w:szCs w:val="20"/>
          <w:lang w:val="en-US"/>
        </w:rPr>
        <w:t xml:space="preserve">in vivo, </w:t>
      </w:r>
      <w:r w:rsidRPr="00A27676">
        <w:rPr>
          <w:rFonts w:eastAsia="Times New Roman" w:cs="Arial"/>
          <w:color w:val="000000"/>
          <w:szCs w:val="20"/>
          <w:lang w:eastAsia="bg-BG"/>
        </w:rPr>
        <w:t xml:space="preserve">но са възможни въз основата на </w:t>
      </w:r>
      <w:r w:rsidRPr="00A27676">
        <w:rPr>
          <w:rFonts w:eastAsia="Times New Roman" w:cs="Arial"/>
          <w:color w:val="000000"/>
          <w:szCs w:val="20"/>
          <w:lang w:val="en-US"/>
        </w:rPr>
        <w:t xml:space="preserve">in vitro </w:t>
      </w:r>
      <w:r w:rsidRPr="00A27676">
        <w:rPr>
          <w:rFonts w:eastAsia="Times New Roman" w:cs="Arial"/>
          <w:color w:val="000000"/>
          <w:szCs w:val="20"/>
          <w:lang w:eastAsia="bg-BG"/>
        </w:rPr>
        <w:t>данни.</w:t>
      </w:r>
    </w:p>
    <w:p w14:paraId="01F91D57" w14:textId="77777777" w:rsidR="00A27676" w:rsidRPr="00A27676" w:rsidRDefault="00A27676" w:rsidP="00A27676">
      <w:pPr>
        <w:spacing w:line="240" w:lineRule="auto"/>
        <w:rPr>
          <w:rFonts w:eastAsia="Times New Roman" w:cs="Arial"/>
          <w:color w:val="000000"/>
          <w:szCs w:val="20"/>
          <w:lang w:eastAsia="bg-BG"/>
        </w:rPr>
      </w:pPr>
    </w:p>
    <w:p w14:paraId="00A86C57" w14:textId="4A6E3BCE"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Мощните ензимни индуктори като рифампицин или жълт кантарион </w:t>
      </w:r>
      <w:r w:rsidRPr="00A27676">
        <w:rPr>
          <w:rFonts w:eastAsia="Times New Roman" w:cs="Arial"/>
          <w:color w:val="000000"/>
          <w:szCs w:val="20"/>
          <w:lang w:val="en-US"/>
        </w:rPr>
        <w:t>(</w:t>
      </w:r>
      <w:proofErr w:type="spellStart"/>
      <w:r w:rsidRPr="00A27676">
        <w:rPr>
          <w:rFonts w:eastAsia="Times New Roman" w:cs="Arial"/>
          <w:color w:val="000000"/>
          <w:szCs w:val="20"/>
          <w:lang w:val="en-US"/>
        </w:rPr>
        <w:t>Hypericum</w:t>
      </w:r>
      <w:proofErr w:type="spellEnd"/>
      <w:r w:rsidRPr="00A27676">
        <w:rPr>
          <w:rFonts w:eastAsia="Times New Roman" w:cs="Arial"/>
          <w:color w:val="000000"/>
          <w:szCs w:val="20"/>
          <w:lang w:val="en-US"/>
        </w:rPr>
        <w:t xml:space="preserve"> </w:t>
      </w:r>
      <w:proofErr w:type="spellStart"/>
      <w:r w:rsidRPr="00A27676">
        <w:rPr>
          <w:rFonts w:eastAsia="Times New Roman" w:cs="Arial"/>
          <w:color w:val="000000"/>
          <w:szCs w:val="20"/>
          <w:lang w:val="en-US"/>
        </w:rPr>
        <w:t>perforatum</w:t>
      </w:r>
      <w:proofErr w:type="spellEnd"/>
      <w:r w:rsidRPr="00A27676">
        <w:rPr>
          <w:rFonts w:eastAsia="Times New Roman" w:cs="Arial"/>
          <w:color w:val="000000"/>
          <w:szCs w:val="20"/>
          <w:lang w:val="en-US"/>
        </w:rPr>
        <w:t xml:space="preserve">) </w:t>
      </w:r>
      <w:r w:rsidRPr="00A27676">
        <w:rPr>
          <w:rFonts w:eastAsia="Times New Roman" w:cs="Arial"/>
          <w:color w:val="000000"/>
          <w:szCs w:val="20"/>
          <w:lang w:eastAsia="bg-BG"/>
        </w:rPr>
        <w:t>могат умерено да намалят системната експозиция на лакозамид. Започването или спирането на лечение с тези ензимни индуктори трябва да се извършва с внимание.</w:t>
      </w:r>
    </w:p>
    <w:p w14:paraId="5DDD57CC" w14:textId="77777777" w:rsidR="00A27676" w:rsidRPr="00A27676" w:rsidRDefault="00A27676" w:rsidP="00A27676">
      <w:pPr>
        <w:spacing w:line="240" w:lineRule="auto"/>
        <w:rPr>
          <w:rFonts w:eastAsia="Times New Roman" w:cs="Arial"/>
          <w:color w:val="000000"/>
          <w:szCs w:val="20"/>
          <w:u w:val="single"/>
          <w:lang w:eastAsia="bg-BG"/>
        </w:rPr>
      </w:pPr>
    </w:p>
    <w:p w14:paraId="5850F7F5" w14:textId="4CE73B5E"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u w:val="single"/>
          <w:lang w:eastAsia="bg-BG"/>
        </w:rPr>
        <w:t>Антиепилептични лекарствени продукти</w:t>
      </w:r>
    </w:p>
    <w:p w14:paraId="5F93747E" w14:textId="77777777" w:rsidR="00A27676" w:rsidRPr="00A27676" w:rsidRDefault="00A27676" w:rsidP="00A27676">
      <w:pPr>
        <w:rPr>
          <w:rFonts w:eastAsia="Times New Roman" w:cs="Arial"/>
          <w:sz w:val="28"/>
          <w:szCs w:val="24"/>
          <w:lang w:eastAsia="bg-BG"/>
        </w:rPr>
      </w:pPr>
      <w:r w:rsidRPr="00A27676">
        <w:rPr>
          <w:rFonts w:eastAsia="Times New Roman" w:cs="Arial"/>
          <w:color w:val="000000"/>
          <w:szCs w:val="20"/>
          <w:lang w:eastAsia="bg-BG"/>
        </w:rPr>
        <w:t>По време на изпитвания за лекарствени взаимодействия лакозамид не повлиява значително</w:t>
      </w:r>
      <w:r>
        <w:rPr>
          <w:rFonts w:eastAsia="Times New Roman" w:cs="Arial"/>
          <w:sz w:val="28"/>
          <w:szCs w:val="24"/>
          <w:lang w:val="en-US" w:eastAsia="bg-BG"/>
        </w:rPr>
        <w:t xml:space="preserve"> </w:t>
      </w:r>
      <w:r w:rsidRPr="00A27676">
        <w:rPr>
          <w:rFonts w:eastAsia="Times New Roman" w:cs="Arial"/>
          <w:color w:val="000000"/>
          <w:szCs w:val="20"/>
          <w:lang w:eastAsia="bg-BG"/>
        </w:rPr>
        <w:t>плазмените концентрации на карбамазепин и валпроева киселина. Плазмените концентрация на</w:t>
      </w:r>
      <w:r>
        <w:rPr>
          <w:rFonts w:eastAsia="Times New Roman" w:cs="Arial"/>
          <w:color w:val="000000"/>
          <w:szCs w:val="20"/>
          <w:lang w:val="en-US" w:eastAsia="bg-BG"/>
        </w:rPr>
        <w:t xml:space="preserve"> </w:t>
      </w:r>
      <w:r w:rsidRPr="00A27676">
        <w:rPr>
          <w:rFonts w:eastAsia="Times New Roman" w:cs="Arial"/>
          <w:color w:val="000000"/>
          <w:szCs w:val="20"/>
          <w:lang w:eastAsia="bg-BG"/>
        </w:rPr>
        <w:t>лакозамид също не се повлияват от карбамазепин и валпроева киселина. Популационни фармакокинетични анализи в различни възрастови групи установяват, че едновременното лечение с други антиепилептици, известни като ензимни индуктори (карбамазепин, фенитоин и фенобарбитал в различни дози) понижава с 25% общата системна експозиция на лакозамид при възрастни и 17% при педиатрични пациенти.</w:t>
      </w:r>
    </w:p>
    <w:p w14:paraId="36E8E3A9"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u w:val="single"/>
          <w:lang w:eastAsia="bg-BG"/>
        </w:rPr>
        <w:t>Перорални контрацептиви</w:t>
      </w:r>
    </w:p>
    <w:p w14:paraId="70DA8699" w14:textId="77777777" w:rsid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По време на изпитване за лекарствени взаимодействия не са наблюдавани клинично значими взаимодействия между лакозамид и пероралните контрацептиви етинилестрадиол и левоноргесгрел. Концентрациите на прогестерон не са повлияни при съвместното приложение на лекарствените продукти.</w:t>
      </w:r>
    </w:p>
    <w:p w14:paraId="373D7BE3" w14:textId="77777777" w:rsidR="00A27676" w:rsidRDefault="00A27676" w:rsidP="00A27676">
      <w:pPr>
        <w:spacing w:line="240" w:lineRule="auto"/>
        <w:rPr>
          <w:rFonts w:eastAsia="Times New Roman" w:cs="Arial"/>
          <w:sz w:val="28"/>
          <w:szCs w:val="24"/>
          <w:lang w:eastAsia="bg-BG"/>
        </w:rPr>
      </w:pPr>
    </w:p>
    <w:p w14:paraId="09C05E3E" w14:textId="0A6A9E09"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u w:val="single"/>
          <w:lang w:eastAsia="bg-BG"/>
        </w:rPr>
        <w:t>Други</w:t>
      </w:r>
    </w:p>
    <w:p w14:paraId="33EC2C9E"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Проучванията върху лекарствените взаимодействия показват, че лакозамид не оказва влияние върху фармакокинетиката на дигоксин. Няма клинично значими взаимодействия между лакозамид и метформин.</w:t>
      </w:r>
    </w:p>
    <w:p w14:paraId="067876CE"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Едновременното приложение на варфарин с лакозамид не води до клинично значима промяна във фармакокинетиката и фармакодинамиката на варфарин.</w:t>
      </w:r>
    </w:p>
    <w:p w14:paraId="5672624D"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Въпреки че няма фармакокинетични данни за взаимодействие на лакозамид с алкохол, не може да се изключи фармакодинамичен ефект.</w:t>
      </w:r>
    </w:p>
    <w:p w14:paraId="172AE819" w14:textId="7D31F6EA" w:rsidR="0091385D" w:rsidRPr="00A27676" w:rsidRDefault="00A27676" w:rsidP="00A27676">
      <w:pPr>
        <w:spacing w:line="240" w:lineRule="auto"/>
        <w:rPr>
          <w:rFonts w:eastAsia="Times New Roman" w:cs="Arial"/>
          <w:sz w:val="32"/>
          <w:szCs w:val="24"/>
          <w:lang w:val="en-US" w:eastAsia="bg-BG"/>
        </w:rPr>
      </w:pPr>
      <w:r w:rsidRPr="00A27676">
        <w:rPr>
          <w:rFonts w:eastAsia="Times New Roman" w:cs="Arial"/>
          <w:color w:val="000000"/>
          <w:szCs w:val="20"/>
          <w:lang w:eastAsia="bg-BG"/>
        </w:rPr>
        <w:t>Лакозамид има нисък потенциал на свързване с плазмените протеини (по-малко от 15%). Поради това не се очакват клинично значими взаимодействия с други лекарствени продукти по механизма на конкурентно свързване с плазмените протеини.</w:t>
      </w:r>
    </w:p>
    <w:p w14:paraId="5B2761C5" w14:textId="77777777" w:rsidR="0091385D" w:rsidRPr="0091385D" w:rsidRDefault="0091385D" w:rsidP="0091385D"/>
    <w:p w14:paraId="394A7584" w14:textId="10DEA5B3" w:rsidR="004F498A" w:rsidRDefault="002C50EE" w:rsidP="004A448E">
      <w:pPr>
        <w:pStyle w:val="Heading2"/>
      </w:pPr>
      <w:r>
        <w:t>4.6. Фертилитет, бременност и кърмене</w:t>
      </w:r>
    </w:p>
    <w:p w14:paraId="4887836B" w14:textId="11C96CFA" w:rsidR="0091385D" w:rsidRDefault="0091385D" w:rsidP="0091385D"/>
    <w:p w14:paraId="276DF69E" w14:textId="77777777" w:rsidR="00D03AB0" w:rsidRPr="00D03AB0" w:rsidRDefault="00D03AB0" w:rsidP="00D03AB0">
      <w:pPr>
        <w:pStyle w:val="Heading3"/>
        <w:rPr>
          <w:rFonts w:eastAsia="Times New Roman"/>
          <w:sz w:val="28"/>
          <w:u w:val="single"/>
          <w:lang w:eastAsia="bg-BG"/>
        </w:rPr>
      </w:pPr>
      <w:r w:rsidRPr="00D03AB0">
        <w:rPr>
          <w:rFonts w:eastAsia="Times New Roman"/>
          <w:u w:val="single"/>
          <w:lang w:eastAsia="bg-BG"/>
        </w:rPr>
        <w:t>Бременност</w:t>
      </w:r>
    </w:p>
    <w:p w14:paraId="1A62526D" w14:textId="77777777" w:rsidR="00D03AB0" w:rsidRPr="00D03AB0" w:rsidRDefault="00D03AB0" w:rsidP="00D03AB0">
      <w:pPr>
        <w:spacing w:line="240" w:lineRule="auto"/>
        <w:rPr>
          <w:rFonts w:eastAsia="Times New Roman" w:cs="Arial"/>
          <w:i/>
          <w:iCs/>
          <w:color w:val="000000"/>
          <w:szCs w:val="20"/>
          <w:lang w:eastAsia="bg-BG"/>
        </w:rPr>
      </w:pPr>
    </w:p>
    <w:p w14:paraId="409AD281" w14:textId="189EAD12" w:rsidR="00D03AB0" w:rsidRPr="00D03AB0" w:rsidRDefault="00D03AB0" w:rsidP="00D03AB0">
      <w:pPr>
        <w:spacing w:line="240" w:lineRule="auto"/>
        <w:rPr>
          <w:rFonts w:eastAsia="Times New Roman" w:cs="Arial"/>
          <w:sz w:val="28"/>
          <w:szCs w:val="24"/>
          <w:lang w:eastAsia="bg-BG"/>
        </w:rPr>
      </w:pPr>
      <w:r w:rsidRPr="00D03AB0">
        <w:rPr>
          <w:rFonts w:eastAsia="Times New Roman" w:cs="Arial"/>
          <w:i/>
          <w:iCs/>
          <w:color w:val="000000"/>
          <w:szCs w:val="20"/>
          <w:lang w:eastAsia="bg-BG"/>
        </w:rPr>
        <w:t>Риск, свързан с епилепсията и антиепилептичните лекарствени продукти като цяло</w:t>
      </w:r>
    </w:p>
    <w:p w14:paraId="0E8A872B"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При всички антиепилептични лекарства е установена два до три пъти по-висока честота на малформациите в поколението на жените, лекувани за епилепсия, в сравнение с честота от около 3% за общата популация. Сред лекуваната популация повишена честота на малформации е установена в случаите на лечение с повече от един лекарствен продукт (политерапия), но не е установено доколко това се дължи на самото лечение и/или на заболяването.</w:t>
      </w:r>
    </w:p>
    <w:p w14:paraId="73702A1A"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Въпреки това, ефективното антиепилептично лечение не трябва да бъде преустановявано, тъй като влошаването на заболяването е вредно както за майката, така и за плода.</w:t>
      </w:r>
    </w:p>
    <w:p w14:paraId="310C0B1A"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i/>
          <w:iCs/>
          <w:color w:val="000000"/>
          <w:szCs w:val="20"/>
          <w:lang w:eastAsia="bg-BG"/>
        </w:rPr>
        <w:t>Риск, свързан с лакозамид</w:t>
      </w:r>
    </w:p>
    <w:p w14:paraId="3612AE67"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Няма достатъчно данни относно употребата на лакозамид при бременни жени. Проучванията при животни не са показали каквито и да е тератогенни ефекти при плъхове или зайци, но е наблюдавана ембриотоксичност при плъхове и зайци, при токсични за майката дози (вж. точка 5.3). Потенциалният риск при хора не е установен.</w:t>
      </w:r>
    </w:p>
    <w:p w14:paraId="05B9639D"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Лакозамид не трябва да се прилага по време на бременност, освен в случаите на абсолютна необходимост (ако ползата за майката категорично превишава потенциалния риск за плода). В случай на решение на жената да забременее употребата на този продукт трябва да бъде внимателно преоценена.</w:t>
      </w:r>
    </w:p>
    <w:p w14:paraId="3EB71CB2" w14:textId="77777777" w:rsidR="00D03AB0" w:rsidRPr="00D03AB0" w:rsidRDefault="00D03AB0" w:rsidP="00D03AB0">
      <w:pPr>
        <w:spacing w:line="240" w:lineRule="auto"/>
        <w:rPr>
          <w:rFonts w:eastAsia="Times New Roman" w:cs="Arial"/>
          <w:color w:val="000000"/>
          <w:szCs w:val="20"/>
          <w:u w:val="single"/>
          <w:lang w:eastAsia="bg-BG"/>
        </w:rPr>
      </w:pPr>
    </w:p>
    <w:p w14:paraId="342F285F" w14:textId="04DD5E19" w:rsidR="00D03AB0" w:rsidRDefault="00D03AB0" w:rsidP="00D03AB0">
      <w:pPr>
        <w:pStyle w:val="Heading3"/>
        <w:rPr>
          <w:rFonts w:eastAsia="Times New Roman"/>
          <w:u w:val="single"/>
          <w:lang w:eastAsia="bg-BG"/>
        </w:rPr>
      </w:pPr>
      <w:r w:rsidRPr="00D03AB0">
        <w:rPr>
          <w:rFonts w:eastAsia="Times New Roman"/>
          <w:u w:val="single"/>
          <w:lang w:eastAsia="bg-BG"/>
        </w:rPr>
        <w:t>Кърмене</w:t>
      </w:r>
    </w:p>
    <w:p w14:paraId="3B6F9F3A" w14:textId="77777777" w:rsidR="00D03AB0" w:rsidRPr="00D03AB0" w:rsidRDefault="00D03AB0" w:rsidP="00D03AB0">
      <w:pPr>
        <w:rPr>
          <w:lang w:eastAsia="bg-BG"/>
        </w:rPr>
      </w:pPr>
    </w:p>
    <w:p w14:paraId="776662C5" w14:textId="6C4D87D1" w:rsidR="0091385D" w:rsidRDefault="00D03AB0" w:rsidP="00D03AB0">
      <w:pPr>
        <w:rPr>
          <w:rFonts w:eastAsia="Times New Roman" w:cs="Arial"/>
          <w:color w:val="000000"/>
          <w:szCs w:val="20"/>
          <w:lang w:eastAsia="bg-BG"/>
        </w:rPr>
      </w:pPr>
      <w:r w:rsidRPr="00D03AB0">
        <w:rPr>
          <w:rFonts w:eastAsia="Times New Roman" w:cs="Arial"/>
          <w:color w:val="000000"/>
          <w:szCs w:val="20"/>
          <w:lang w:eastAsia="bg-BG"/>
        </w:rPr>
        <w:t>Не е известно дали лакозамид се отделя в човешката кърма. Проучванията при животни показват отделянето на лакозамид в кърмата. От съображения за сигурност по време на лечението с лакозамид, кърменето трябва да бъде преустановено.</w:t>
      </w:r>
    </w:p>
    <w:p w14:paraId="75604393" w14:textId="090D58EA" w:rsidR="00D03AB0" w:rsidRDefault="00D03AB0" w:rsidP="00D03AB0">
      <w:pPr>
        <w:rPr>
          <w:rFonts w:eastAsia="Times New Roman" w:cs="Arial"/>
          <w:color w:val="000000"/>
          <w:szCs w:val="20"/>
          <w:lang w:eastAsia="bg-BG"/>
        </w:rPr>
      </w:pPr>
    </w:p>
    <w:p w14:paraId="7D1D2236" w14:textId="443C4C1C" w:rsidR="00D03AB0" w:rsidRDefault="00D03AB0" w:rsidP="00D03AB0">
      <w:pPr>
        <w:pStyle w:val="Heading3"/>
        <w:rPr>
          <w:rFonts w:eastAsia="Times New Roman"/>
          <w:u w:val="single"/>
          <w:lang w:eastAsia="bg-BG"/>
        </w:rPr>
      </w:pPr>
      <w:r w:rsidRPr="00D03AB0">
        <w:rPr>
          <w:rFonts w:eastAsia="Times New Roman"/>
          <w:u w:val="single"/>
          <w:lang w:eastAsia="bg-BG"/>
        </w:rPr>
        <w:t>Фертилитет</w:t>
      </w:r>
    </w:p>
    <w:p w14:paraId="5840B86B" w14:textId="77777777" w:rsidR="00D03AB0" w:rsidRPr="00D03AB0" w:rsidRDefault="00D03AB0" w:rsidP="00D03AB0">
      <w:pPr>
        <w:rPr>
          <w:lang w:eastAsia="bg-BG"/>
        </w:rPr>
      </w:pPr>
    </w:p>
    <w:p w14:paraId="6018BBE2" w14:textId="61B67185" w:rsidR="00D03AB0" w:rsidRPr="00D03AB0" w:rsidRDefault="00D03AB0" w:rsidP="00D03AB0">
      <w:pPr>
        <w:rPr>
          <w:rFonts w:cs="Arial"/>
          <w:sz w:val="28"/>
        </w:rPr>
      </w:pPr>
      <w:r w:rsidRPr="00D03AB0">
        <w:rPr>
          <w:rFonts w:eastAsia="Times New Roman" w:cs="Arial"/>
          <w:color w:val="000000"/>
          <w:szCs w:val="20"/>
          <w:lang w:eastAsia="bg-BG"/>
        </w:rPr>
        <w:t xml:space="preserve">Не са наблюдавани нежелани реакции по отношение на мъжкия или женски фертилитет или възпроизвеждане при плъхове в дози, водещи до плазмена експозиция </w:t>
      </w:r>
      <w:r w:rsidRPr="00D03AB0">
        <w:rPr>
          <w:rFonts w:eastAsia="Times New Roman" w:cs="Arial"/>
          <w:color w:val="000000"/>
          <w:szCs w:val="20"/>
          <w:lang w:val="en-US"/>
        </w:rPr>
        <w:t xml:space="preserve">(AUC) </w:t>
      </w:r>
      <w:r w:rsidRPr="00D03AB0">
        <w:rPr>
          <w:rFonts w:eastAsia="Times New Roman" w:cs="Arial"/>
          <w:color w:val="000000"/>
          <w:szCs w:val="20"/>
          <w:lang w:eastAsia="bg-BG"/>
        </w:rPr>
        <w:t xml:space="preserve">до </w:t>
      </w:r>
      <w:r w:rsidRPr="00D03AB0">
        <w:rPr>
          <w:rFonts w:eastAsia="Times New Roman" w:cs="Arial"/>
          <w:color w:val="000000"/>
          <w:szCs w:val="20"/>
          <w:lang w:eastAsia="bg-BG"/>
        </w:rPr>
        <w:lastRenderedPageBreak/>
        <w:t xml:space="preserve">приблизително 2 пъти плазмена </w:t>
      </w:r>
      <w:r w:rsidRPr="00D03AB0">
        <w:rPr>
          <w:rFonts w:eastAsia="Times New Roman" w:cs="Arial"/>
          <w:color w:val="000000"/>
          <w:szCs w:val="20"/>
          <w:lang w:val="en-US"/>
        </w:rPr>
        <w:t xml:space="preserve">AUC </w:t>
      </w:r>
      <w:r w:rsidRPr="00D03AB0">
        <w:rPr>
          <w:rFonts w:eastAsia="Times New Roman" w:cs="Arial"/>
          <w:color w:val="000000"/>
          <w:szCs w:val="20"/>
          <w:lang w:eastAsia="bg-BG"/>
        </w:rPr>
        <w:t>при максималната препоръчителна доза за хора (МПДХ).</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2676810A" w:rsidR="0091385D" w:rsidRDefault="0091385D" w:rsidP="0091385D"/>
    <w:p w14:paraId="2B4135A6" w14:textId="22CDCEAD" w:rsidR="0091385D" w:rsidRPr="00D03AB0" w:rsidRDefault="00D03AB0" w:rsidP="0091385D">
      <w:pPr>
        <w:rPr>
          <w:rFonts w:cs="Arial"/>
          <w:sz w:val="24"/>
        </w:rPr>
      </w:pPr>
      <w:r w:rsidRPr="00D03AB0">
        <w:rPr>
          <w:rFonts w:cs="Arial"/>
          <w:szCs w:val="20"/>
        </w:rPr>
        <w:t>Лакозамид може да окаже слабо до умерено влияние върху способността за шофиране и работа с машини. Лечението с лакозамид се свързва с поява на замаяност или замъглено зрение. Пациентите трябва да бъдат съветвани да не шофират или работят с други потенциално опасни машини, докато не опознаят напълно ефектите на лакозамид върху способността им за извършването на подобни дейности.</w:t>
      </w:r>
    </w:p>
    <w:p w14:paraId="35801A15" w14:textId="77777777" w:rsidR="0091385D" w:rsidRPr="0091385D" w:rsidRDefault="0091385D" w:rsidP="0091385D"/>
    <w:p w14:paraId="37A3FD9F" w14:textId="0E7561E3" w:rsidR="00CF77F7" w:rsidRDefault="002C50EE" w:rsidP="004A448E">
      <w:pPr>
        <w:pStyle w:val="Heading2"/>
      </w:pPr>
      <w:r>
        <w:t>4.8. Нежелани лекарствени реакции</w:t>
      </w:r>
    </w:p>
    <w:p w14:paraId="4838F52A" w14:textId="4C2232D6" w:rsidR="0091385D" w:rsidRDefault="0091385D" w:rsidP="0091385D"/>
    <w:p w14:paraId="21BF155C"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 xml:space="preserve">а. </w:t>
      </w:r>
      <w:r w:rsidRPr="00D03AB0">
        <w:rPr>
          <w:rFonts w:eastAsia="Times New Roman" w:cs="Arial"/>
          <w:color w:val="000000"/>
          <w:szCs w:val="20"/>
          <w:u w:val="single"/>
          <w:lang w:eastAsia="bg-BG"/>
        </w:rPr>
        <w:t>Обобщение на профила на безопасност</w:t>
      </w:r>
    </w:p>
    <w:p w14:paraId="46A4D29C" w14:textId="77777777" w:rsidR="00D03AB0" w:rsidRPr="00D03AB0" w:rsidRDefault="00D03AB0" w:rsidP="00D03AB0">
      <w:pPr>
        <w:spacing w:line="240" w:lineRule="auto"/>
        <w:rPr>
          <w:rFonts w:eastAsia="Times New Roman" w:cs="Arial"/>
          <w:color w:val="000000"/>
          <w:szCs w:val="20"/>
          <w:lang w:eastAsia="bg-BG"/>
        </w:rPr>
      </w:pPr>
    </w:p>
    <w:p w14:paraId="3AA334F0" w14:textId="6E40CA7B"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На базата на анализ на данните от сборни плацебо контролирани клинични проучвания с допълваща терапия при 1308 пациенти с парциални пристъпи общо 61,9% от пациентите, рандомизирани да приемат лакозамид, и 35,2% от рандомизираните да приемат плацебо съобщават поне за една нежелана реакция. Най-често съобщаваните нежелани лекарствени реакции при лечението с лакозамид са замаяност, главоболие, гадене и диплопия. Тези реакции обикновено са леки до умерени по тежест. Някои от тях са доза-зависими и може да бъдат облекчени чрез намаляване на дозата. Честотата и тежестта на нежеланите лекарствени реакции от страна на централната нервна система (ЦНС) и стомашно-чревния тракт (СЧТ) обикновено намаляват с времето.</w:t>
      </w:r>
    </w:p>
    <w:p w14:paraId="2232A375"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Във всички контролирани проучвания честотата на преустановяване на лечението поради нежелани лекарствени реакции е 12,2% при пациентите, рандомизирани за лакозамид, и 1,6% при пациентите, рандомизирани за плацебо. Най-честата нежелана лекарствена реакция, водеща до преустановяване лечението с лакозамид, е появата на замаяност.</w:t>
      </w:r>
    </w:p>
    <w:p w14:paraId="0BB58D95"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Честотата на нежеланите реакции от страна на ЦНС, като замаяност, може да бъде по-висока след натоварваща доза.</w:t>
      </w:r>
    </w:p>
    <w:p w14:paraId="2C2A6955" w14:textId="77777777" w:rsidR="00D03AB0" w:rsidRPr="00D03AB0" w:rsidRDefault="00D03AB0" w:rsidP="00D03AB0">
      <w:pPr>
        <w:spacing w:line="240" w:lineRule="auto"/>
        <w:rPr>
          <w:rFonts w:eastAsia="Times New Roman" w:cs="Arial"/>
          <w:color w:val="000000"/>
          <w:szCs w:val="20"/>
          <w:lang w:eastAsia="bg-BG"/>
        </w:rPr>
      </w:pPr>
    </w:p>
    <w:p w14:paraId="4F054AF2" w14:textId="3C308350"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 xml:space="preserve">Въз основа на анализа на данни от неинфериорно клинично изпитване за монотерапия, сравняващо лакозамид и карбамазепин с контролирано освобождаване </w:t>
      </w:r>
      <w:r w:rsidRPr="00D03AB0">
        <w:rPr>
          <w:rFonts w:eastAsia="Times New Roman" w:cs="Arial"/>
          <w:color w:val="000000"/>
          <w:szCs w:val="20"/>
          <w:lang w:val="en-US"/>
        </w:rPr>
        <w:t xml:space="preserve">(controlled release -CR), </w:t>
      </w:r>
      <w:r w:rsidRPr="00D03AB0">
        <w:rPr>
          <w:rFonts w:eastAsia="Times New Roman" w:cs="Arial"/>
          <w:color w:val="000000"/>
          <w:szCs w:val="20"/>
          <w:lang w:eastAsia="bg-BG"/>
        </w:rPr>
        <w:t xml:space="preserve">най-често съобщаваните нежелани лекарствени реакции при лакозамид са били главоболие и световъртеж. Процентът на отпадане от лечение поради нежелани лекарствени реакции е 10,6% при пациентите, лекувани с лакозамид и 15,6% при пациентите, лекувани с карбамазепин </w:t>
      </w:r>
      <w:r w:rsidRPr="00D03AB0">
        <w:rPr>
          <w:rFonts w:eastAsia="Times New Roman" w:cs="Arial"/>
          <w:color w:val="000000"/>
          <w:szCs w:val="20"/>
          <w:lang w:val="en-US"/>
        </w:rPr>
        <w:t>CR.</w:t>
      </w:r>
    </w:p>
    <w:p w14:paraId="11DA26EB" w14:textId="77777777" w:rsidR="00D03AB0" w:rsidRPr="00D03AB0" w:rsidRDefault="00D03AB0" w:rsidP="00D03AB0">
      <w:pPr>
        <w:rPr>
          <w:rFonts w:eastAsia="Times New Roman" w:cs="Arial"/>
          <w:color w:val="000000"/>
          <w:szCs w:val="20"/>
          <w:lang w:eastAsia="bg-BG"/>
        </w:rPr>
      </w:pPr>
    </w:p>
    <w:p w14:paraId="570508C4" w14:textId="7217B07A" w:rsidR="0091385D" w:rsidRPr="00D03AB0" w:rsidRDefault="00D03AB0" w:rsidP="00D03AB0">
      <w:pPr>
        <w:rPr>
          <w:rFonts w:cs="Arial"/>
          <w:sz w:val="24"/>
        </w:rPr>
      </w:pPr>
      <w:r w:rsidRPr="00D03AB0">
        <w:rPr>
          <w:rFonts w:eastAsia="Times New Roman" w:cs="Arial"/>
          <w:color w:val="000000"/>
          <w:szCs w:val="20"/>
          <w:lang w:eastAsia="bg-BG"/>
        </w:rPr>
        <w:t xml:space="preserve">Профилът на безопасност на лакозамид, съобщен в проучване, проведено върху пациенти на 4- годишна възраст или по-големи с генерализирана идиопатична епилепсия с първично генерализирани тонично-клонични пристъпи (ПГТКП), съвпада с профила на безопасност, съобщен от сборни плацебо-контролирани клинични проучвания върху парциални пристъпи. Допълнителни нежелани реакции, съобщени при пациенти с ПГТКП са миоклонична епилепсия (2,5% при групата, лекувана с лакозамид и 0% при плацебо групата) и атаксия (3,3% при групата, лекувана с лакозамид и 0% при плацебо групата). Най-честите нежелани лекарствени реакции са замаяност и сънливост. Най-честите нежелани реакции, водещи до преустановяване на лечението с лакозамид, са замаяност </w:t>
      </w:r>
      <w:r w:rsidRPr="00D03AB0">
        <w:rPr>
          <w:rFonts w:eastAsia="Times New Roman" w:cs="Arial"/>
          <w:color w:val="000000"/>
          <w:szCs w:val="20"/>
          <w:lang w:eastAsia="bg-BG"/>
        </w:rPr>
        <w:lastRenderedPageBreak/>
        <w:t>и суицидна идеация. Честотата на преустановяване на лечението поради нежелани реакции е 9,1% в групата, лекувана с лакозамид, и 4,1% в плацебо групата.</w:t>
      </w:r>
    </w:p>
    <w:p w14:paraId="43E3C48F" w14:textId="02FD66B9" w:rsidR="0091385D" w:rsidRDefault="0091385D" w:rsidP="0091385D"/>
    <w:p w14:paraId="583630D8" w14:textId="3E028385" w:rsidR="00D03AB0" w:rsidRDefault="00D03AB0" w:rsidP="00D03AB0">
      <w:pPr>
        <w:spacing w:line="240" w:lineRule="auto"/>
        <w:rPr>
          <w:rFonts w:eastAsia="Times New Roman" w:cs="Arial"/>
          <w:color w:val="000000"/>
          <w:szCs w:val="20"/>
          <w:u w:val="single"/>
          <w:lang w:eastAsia="bg-BG"/>
        </w:rPr>
      </w:pPr>
      <w:r w:rsidRPr="00D03AB0">
        <w:rPr>
          <w:rFonts w:eastAsia="Times New Roman" w:cs="Arial"/>
          <w:i/>
          <w:iCs/>
          <w:color w:val="000000"/>
          <w:szCs w:val="20"/>
          <w:lang w:eastAsia="bg-BG"/>
        </w:rPr>
        <w:t>б.</w:t>
      </w:r>
      <w:r w:rsidRPr="00D03AB0">
        <w:rPr>
          <w:rFonts w:eastAsia="Times New Roman" w:cs="Arial"/>
          <w:color w:val="000000"/>
          <w:szCs w:val="20"/>
          <w:lang w:val="en-US" w:eastAsia="bg-BG"/>
        </w:rPr>
        <w:t xml:space="preserve"> </w:t>
      </w:r>
      <w:r w:rsidRPr="00D03AB0">
        <w:rPr>
          <w:rFonts w:eastAsia="Times New Roman" w:cs="Arial"/>
          <w:color w:val="000000"/>
          <w:szCs w:val="20"/>
          <w:u w:val="single"/>
          <w:lang w:eastAsia="bg-BG"/>
        </w:rPr>
        <w:t>Табличен списък на нежеланите лекарствени реакции</w:t>
      </w:r>
    </w:p>
    <w:p w14:paraId="017C63F4" w14:textId="77777777" w:rsidR="00D03AB0" w:rsidRPr="00D03AB0" w:rsidRDefault="00D03AB0" w:rsidP="00D03AB0">
      <w:pPr>
        <w:spacing w:line="240" w:lineRule="auto"/>
        <w:rPr>
          <w:rFonts w:eastAsia="Times New Roman" w:cs="Arial"/>
          <w:sz w:val="28"/>
          <w:szCs w:val="24"/>
          <w:lang w:eastAsia="bg-BG"/>
        </w:rPr>
      </w:pPr>
    </w:p>
    <w:p w14:paraId="4E5A6A20" w14:textId="31FCAFBA" w:rsidR="00D03AB0" w:rsidRPr="00D03AB0" w:rsidRDefault="00D03AB0" w:rsidP="00D03AB0">
      <w:pPr>
        <w:rPr>
          <w:rFonts w:cs="Arial"/>
          <w:sz w:val="24"/>
        </w:rPr>
      </w:pPr>
      <w:r w:rsidRPr="00D03AB0">
        <w:rPr>
          <w:rFonts w:eastAsia="Times New Roman" w:cs="Arial"/>
          <w:color w:val="000000"/>
          <w:szCs w:val="20"/>
          <w:lang w:eastAsia="bg-BG"/>
        </w:rPr>
        <w:t>На таблицата по-долу е представена честотата на нежеланите реакции, наблюдавани по време на клинични проучвания и постмаркетинговия опит. Тази честота е определена както следва: много чести (≥1/10), чести (≥1/100 до &lt;1/10), нечести (≥1/1 000 до &lt;1/100), с неизвестна честота (от наличните данни не може да бъде направена оценка). При всяко групиране в зависимост от честотата нежеланите лекарствени реакции са представени в низходящ ред по отношение на тяхната сериозност.</w:t>
      </w:r>
    </w:p>
    <w:p w14:paraId="6839C071" w14:textId="0C572419" w:rsidR="00D03AB0" w:rsidRDefault="00D03AB0" w:rsidP="0091385D"/>
    <w:tbl>
      <w:tblPr>
        <w:tblStyle w:val="TableGrid"/>
        <w:tblW w:w="0" w:type="auto"/>
        <w:tblLook w:val="04A0" w:firstRow="1" w:lastRow="0" w:firstColumn="1" w:lastColumn="0" w:noHBand="0" w:noVBand="1"/>
      </w:tblPr>
      <w:tblGrid>
        <w:gridCol w:w="1893"/>
        <w:gridCol w:w="1307"/>
        <w:gridCol w:w="1890"/>
        <w:gridCol w:w="2379"/>
        <w:gridCol w:w="1881"/>
      </w:tblGrid>
      <w:tr w:rsidR="00D03AB0" w14:paraId="70591C60" w14:textId="77777777" w:rsidTr="00D03AB0">
        <w:tc>
          <w:tcPr>
            <w:tcW w:w="1982" w:type="dxa"/>
            <w:vAlign w:val="bottom"/>
          </w:tcPr>
          <w:p w14:paraId="5AC05C7F" w14:textId="334F3CE4" w:rsidR="00D03AB0" w:rsidRPr="00D03AB0" w:rsidRDefault="00D03AB0" w:rsidP="00D03AB0">
            <w:r w:rsidRPr="00D03AB0">
              <w:rPr>
                <w:b/>
                <w:bCs/>
                <w:szCs w:val="20"/>
              </w:rPr>
              <w:t>Системно-оргянен клас</w:t>
            </w:r>
          </w:p>
        </w:tc>
        <w:tc>
          <w:tcPr>
            <w:tcW w:w="1363" w:type="dxa"/>
            <w:vAlign w:val="bottom"/>
          </w:tcPr>
          <w:p w14:paraId="20A954CC" w14:textId="01DFC761" w:rsidR="00D03AB0" w:rsidRPr="00D03AB0" w:rsidRDefault="00D03AB0" w:rsidP="00D03AB0">
            <w:r w:rsidRPr="00D03AB0">
              <w:rPr>
                <w:b/>
                <w:bCs/>
                <w:szCs w:val="20"/>
              </w:rPr>
              <w:t>Много чести</w:t>
            </w:r>
          </w:p>
        </w:tc>
        <w:tc>
          <w:tcPr>
            <w:tcW w:w="1771" w:type="dxa"/>
          </w:tcPr>
          <w:p w14:paraId="1B26D5BA" w14:textId="00F091D5" w:rsidR="00D03AB0" w:rsidRPr="00D03AB0" w:rsidRDefault="00D03AB0" w:rsidP="00D03AB0">
            <w:r w:rsidRPr="00D03AB0">
              <w:rPr>
                <w:b/>
                <w:bCs/>
                <w:szCs w:val="20"/>
              </w:rPr>
              <w:t>Чести</w:t>
            </w:r>
          </w:p>
        </w:tc>
        <w:tc>
          <w:tcPr>
            <w:tcW w:w="2492" w:type="dxa"/>
          </w:tcPr>
          <w:p w14:paraId="3BE1FC37" w14:textId="281757B3" w:rsidR="00D03AB0" w:rsidRPr="00D03AB0" w:rsidRDefault="00D03AB0" w:rsidP="00D03AB0">
            <w:r w:rsidRPr="00D03AB0">
              <w:rPr>
                <w:b/>
                <w:bCs/>
                <w:szCs w:val="20"/>
              </w:rPr>
              <w:t>Нечести</w:t>
            </w:r>
          </w:p>
        </w:tc>
        <w:tc>
          <w:tcPr>
            <w:tcW w:w="1968" w:type="dxa"/>
            <w:vAlign w:val="bottom"/>
          </w:tcPr>
          <w:p w14:paraId="679593EF" w14:textId="228C24CC" w:rsidR="00D03AB0" w:rsidRPr="00D03AB0" w:rsidRDefault="00D03AB0" w:rsidP="00D03AB0">
            <w:r w:rsidRPr="00D03AB0">
              <w:rPr>
                <w:b/>
                <w:bCs/>
                <w:szCs w:val="20"/>
              </w:rPr>
              <w:t>С неизвестна честота</w:t>
            </w:r>
          </w:p>
        </w:tc>
      </w:tr>
      <w:tr w:rsidR="00D03AB0" w14:paraId="6F6CEF2C" w14:textId="77777777" w:rsidTr="00D03AB0">
        <w:tc>
          <w:tcPr>
            <w:tcW w:w="1982" w:type="dxa"/>
          </w:tcPr>
          <w:p w14:paraId="25A285F0" w14:textId="756C6456" w:rsidR="00D03AB0" w:rsidRPr="00D03AB0" w:rsidRDefault="00D03AB0" w:rsidP="00D03AB0">
            <w:r w:rsidRPr="00D03AB0">
              <w:rPr>
                <w:i/>
                <w:iCs/>
                <w:szCs w:val="20"/>
              </w:rPr>
              <w:t>Нарушения на кръвта и лимфната система</w:t>
            </w:r>
          </w:p>
        </w:tc>
        <w:tc>
          <w:tcPr>
            <w:tcW w:w="1363" w:type="dxa"/>
          </w:tcPr>
          <w:p w14:paraId="66F913CA" w14:textId="77777777" w:rsidR="00D03AB0" w:rsidRPr="00D03AB0" w:rsidRDefault="00D03AB0" w:rsidP="00D03AB0"/>
        </w:tc>
        <w:tc>
          <w:tcPr>
            <w:tcW w:w="1771" w:type="dxa"/>
          </w:tcPr>
          <w:p w14:paraId="7C7910C9" w14:textId="77777777" w:rsidR="00D03AB0" w:rsidRPr="00D03AB0" w:rsidRDefault="00D03AB0" w:rsidP="00D03AB0"/>
        </w:tc>
        <w:tc>
          <w:tcPr>
            <w:tcW w:w="2492" w:type="dxa"/>
          </w:tcPr>
          <w:p w14:paraId="4B85D825" w14:textId="77777777" w:rsidR="00D03AB0" w:rsidRPr="00D03AB0" w:rsidRDefault="00D03AB0" w:rsidP="00D03AB0"/>
        </w:tc>
        <w:tc>
          <w:tcPr>
            <w:tcW w:w="1968" w:type="dxa"/>
          </w:tcPr>
          <w:p w14:paraId="68C1D749" w14:textId="5A521E9B" w:rsidR="00D03AB0" w:rsidRPr="00D03AB0" w:rsidRDefault="00D03AB0" w:rsidP="00D03AB0">
            <w:r w:rsidRPr="00D03AB0">
              <w:rPr>
                <w:szCs w:val="20"/>
              </w:rPr>
              <w:t>Агранулоцитоз</w:t>
            </w:r>
            <w:r w:rsidRPr="00D03AB0">
              <w:rPr>
                <w:szCs w:val="20"/>
                <w:lang w:val="en-US"/>
              </w:rPr>
              <w:t>a</w:t>
            </w:r>
            <w:r w:rsidRPr="00D03AB0">
              <w:rPr>
                <w:szCs w:val="20"/>
                <w:vertAlign w:val="superscript"/>
              </w:rPr>
              <w:t>(1)</w:t>
            </w:r>
          </w:p>
        </w:tc>
      </w:tr>
      <w:tr w:rsidR="00D03AB0" w14:paraId="02DB59D6" w14:textId="77777777" w:rsidTr="00D03AB0">
        <w:tc>
          <w:tcPr>
            <w:tcW w:w="1982" w:type="dxa"/>
          </w:tcPr>
          <w:p w14:paraId="41205B27" w14:textId="1B6CFCFF" w:rsidR="00D03AB0" w:rsidRPr="00D03AB0" w:rsidRDefault="00D03AB0" w:rsidP="00D03AB0">
            <w:r w:rsidRPr="00D03AB0">
              <w:rPr>
                <w:i/>
                <w:iCs/>
                <w:szCs w:val="20"/>
              </w:rPr>
              <w:t>Нарушения на имунната система</w:t>
            </w:r>
          </w:p>
        </w:tc>
        <w:tc>
          <w:tcPr>
            <w:tcW w:w="1363" w:type="dxa"/>
          </w:tcPr>
          <w:p w14:paraId="1155BDDD" w14:textId="77777777" w:rsidR="00D03AB0" w:rsidRPr="00D03AB0" w:rsidRDefault="00D03AB0" w:rsidP="00D03AB0"/>
        </w:tc>
        <w:tc>
          <w:tcPr>
            <w:tcW w:w="1771" w:type="dxa"/>
          </w:tcPr>
          <w:p w14:paraId="216180D5" w14:textId="77777777" w:rsidR="00D03AB0" w:rsidRPr="00D03AB0" w:rsidRDefault="00D03AB0" w:rsidP="00D03AB0"/>
        </w:tc>
        <w:tc>
          <w:tcPr>
            <w:tcW w:w="2492" w:type="dxa"/>
          </w:tcPr>
          <w:p w14:paraId="3498320A" w14:textId="3F329090" w:rsidR="00D03AB0" w:rsidRPr="00D03AB0" w:rsidRDefault="00D03AB0" w:rsidP="00D03AB0">
            <w:r w:rsidRPr="00D03AB0">
              <w:rPr>
                <w:szCs w:val="20"/>
              </w:rPr>
              <w:t>Лекарствена свръхчувствителност</w:t>
            </w:r>
            <w:r w:rsidRPr="00D03AB0">
              <w:rPr>
                <w:szCs w:val="20"/>
                <w:vertAlign w:val="superscript"/>
              </w:rPr>
              <w:t>(1)</w:t>
            </w:r>
          </w:p>
        </w:tc>
        <w:tc>
          <w:tcPr>
            <w:tcW w:w="1968" w:type="dxa"/>
            <w:vAlign w:val="bottom"/>
          </w:tcPr>
          <w:p w14:paraId="4DC4681F" w14:textId="11E0BA8F" w:rsidR="00D03AB0" w:rsidRPr="00D03AB0" w:rsidRDefault="00D03AB0" w:rsidP="00D03AB0">
            <w:r w:rsidRPr="00D03AB0">
              <w:rPr>
                <w:szCs w:val="20"/>
              </w:rPr>
              <w:t xml:space="preserve">Лекарствена реакция с еозинофилия и системни симптоми </w:t>
            </w:r>
            <w:r w:rsidRPr="00D03AB0">
              <w:rPr>
                <w:szCs w:val="20"/>
                <w:lang w:val="en-US"/>
              </w:rPr>
              <w:t>(DRESS)</w:t>
            </w:r>
            <w:r w:rsidRPr="00D03AB0">
              <w:rPr>
                <w:szCs w:val="20"/>
                <w:vertAlign w:val="superscript"/>
              </w:rPr>
              <w:t>(1,2)</w:t>
            </w:r>
          </w:p>
        </w:tc>
      </w:tr>
      <w:tr w:rsidR="00D03AB0" w14:paraId="6C4BEEA5" w14:textId="77777777" w:rsidTr="00D03AB0">
        <w:tc>
          <w:tcPr>
            <w:tcW w:w="1982" w:type="dxa"/>
          </w:tcPr>
          <w:p w14:paraId="341221C9" w14:textId="7561B60B" w:rsidR="00D03AB0" w:rsidRPr="00D03AB0" w:rsidRDefault="00D03AB0" w:rsidP="00D03AB0">
            <w:r w:rsidRPr="00D03AB0">
              <w:rPr>
                <w:i/>
                <w:iCs/>
                <w:szCs w:val="20"/>
              </w:rPr>
              <w:t>Психични нарушения</w:t>
            </w:r>
          </w:p>
        </w:tc>
        <w:tc>
          <w:tcPr>
            <w:tcW w:w="1363" w:type="dxa"/>
          </w:tcPr>
          <w:p w14:paraId="36A6FAF5" w14:textId="77777777" w:rsidR="00D03AB0" w:rsidRPr="00D03AB0" w:rsidRDefault="00D03AB0" w:rsidP="00D03AB0"/>
        </w:tc>
        <w:tc>
          <w:tcPr>
            <w:tcW w:w="1771" w:type="dxa"/>
          </w:tcPr>
          <w:p w14:paraId="3EF658CE" w14:textId="4091C9BE" w:rsidR="00D03AB0" w:rsidRPr="00D03AB0" w:rsidRDefault="00D03AB0" w:rsidP="00D03AB0">
            <w:r w:rsidRPr="00D03AB0">
              <w:rPr>
                <w:szCs w:val="20"/>
              </w:rPr>
              <w:t>Депресия, състояние на обърканост, безсъние</w:t>
            </w:r>
            <w:r w:rsidRPr="00D03AB0">
              <w:rPr>
                <w:szCs w:val="20"/>
                <w:vertAlign w:val="superscript"/>
              </w:rPr>
              <w:t>(1)</w:t>
            </w:r>
          </w:p>
        </w:tc>
        <w:tc>
          <w:tcPr>
            <w:tcW w:w="2492" w:type="dxa"/>
            <w:vAlign w:val="bottom"/>
          </w:tcPr>
          <w:p w14:paraId="0BB99B79" w14:textId="33F560B4" w:rsidR="00D03AB0" w:rsidRPr="00D03AB0" w:rsidRDefault="00D03AB0" w:rsidP="00D03AB0">
            <w:r w:rsidRPr="00D03AB0">
              <w:rPr>
                <w:szCs w:val="20"/>
              </w:rPr>
              <w:t>Агресия</w:t>
            </w:r>
            <w:r w:rsidRPr="00D03AB0">
              <w:rPr>
                <w:szCs w:val="20"/>
                <w:vertAlign w:val="superscript"/>
              </w:rPr>
              <w:t>(1)</w:t>
            </w:r>
            <w:r w:rsidRPr="00D03AB0">
              <w:rPr>
                <w:szCs w:val="20"/>
              </w:rPr>
              <w:t>, възбуда</w:t>
            </w:r>
            <w:r w:rsidRPr="00D03AB0">
              <w:rPr>
                <w:szCs w:val="20"/>
                <w:vertAlign w:val="superscript"/>
              </w:rPr>
              <w:t>(1)</w:t>
            </w:r>
            <w:r w:rsidRPr="00D03AB0">
              <w:rPr>
                <w:szCs w:val="20"/>
              </w:rPr>
              <w:t>, еуфорично настроение</w:t>
            </w:r>
            <w:r w:rsidRPr="00D03AB0">
              <w:rPr>
                <w:szCs w:val="20"/>
                <w:vertAlign w:val="superscript"/>
              </w:rPr>
              <w:t>(1)</w:t>
            </w:r>
            <w:r w:rsidRPr="00D03AB0">
              <w:rPr>
                <w:szCs w:val="20"/>
              </w:rPr>
              <w:t>, психотично разстройство</w:t>
            </w:r>
            <w:r w:rsidRPr="00D03AB0">
              <w:rPr>
                <w:szCs w:val="20"/>
                <w:vertAlign w:val="superscript"/>
              </w:rPr>
              <w:t>(1)</w:t>
            </w:r>
            <w:r w:rsidRPr="00D03AB0">
              <w:rPr>
                <w:szCs w:val="20"/>
              </w:rPr>
              <w:t>, опит за самоубийство</w:t>
            </w:r>
            <w:r w:rsidRPr="00D03AB0">
              <w:rPr>
                <w:szCs w:val="20"/>
                <w:vertAlign w:val="superscript"/>
              </w:rPr>
              <w:t>(1)</w:t>
            </w:r>
            <w:r w:rsidRPr="00D03AB0">
              <w:rPr>
                <w:szCs w:val="20"/>
              </w:rPr>
              <w:t>, суицидна идеация</w:t>
            </w:r>
            <w:r w:rsidRPr="00D03AB0">
              <w:rPr>
                <w:szCs w:val="20"/>
                <w:vertAlign w:val="superscript"/>
              </w:rPr>
              <w:t>(1)</w:t>
            </w:r>
            <w:r w:rsidRPr="00D03AB0">
              <w:rPr>
                <w:szCs w:val="20"/>
              </w:rPr>
              <w:t>, халюцинация</w:t>
            </w:r>
            <w:r w:rsidRPr="00D03AB0">
              <w:rPr>
                <w:szCs w:val="20"/>
                <w:vertAlign w:val="superscript"/>
              </w:rPr>
              <w:t>(1)</w:t>
            </w:r>
          </w:p>
        </w:tc>
        <w:tc>
          <w:tcPr>
            <w:tcW w:w="1968" w:type="dxa"/>
          </w:tcPr>
          <w:p w14:paraId="6A8E331E" w14:textId="77777777" w:rsidR="00D03AB0" w:rsidRPr="00D03AB0" w:rsidRDefault="00D03AB0" w:rsidP="00D03AB0"/>
        </w:tc>
      </w:tr>
      <w:tr w:rsidR="00D03AB0" w14:paraId="71F8A7CE" w14:textId="77777777" w:rsidTr="00D03AB0">
        <w:tc>
          <w:tcPr>
            <w:tcW w:w="1982" w:type="dxa"/>
          </w:tcPr>
          <w:p w14:paraId="380F2D99" w14:textId="678BBBB2" w:rsidR="00D03AB0" w:rsidRPr="00D03AB0" w:rsidRDefault="00D03AB0" w:rsidP="00D03AB0">
            <w:r w:rsidRPr="00D03AB0">
              <w:rPr>
                <w:i/>
                <w:iCs/>
                <w:szCs w:val="20"/>
              </w:rPr>
              <w:t>Нарушения на нервната система</w:t>
            </w:r>
          </w:p>
        </w:tc>
        <w:tc>
          <w:tcPr>
            <w:tcW w:w="1363" w:type="dxa"/>
          </w:tcPr>
          <w:p w14:paraId="39551196" w14:textId="76AC817D" w:rsidR="00D03AB0" w:rsidRPr="00D03AB0" w:rsidRDefault="00D03AB0" w:rsidP="00D03AB0">
            <w:r w:rsidRPr="00D03AB0">
              <w:rPr>
                <w:szCs w:val="20"/>
              </w:rPr>
              <w:t>Замаяност, главоболие</w:t>
            </w:r>
          </w:p>
        </w:tc>
        <w:tc>
          <w:tcPr>
            <w:tcW w:w="1771" w:type="dxa"/>
            <w:vAlign w:val="bottom"/>
          </w:tcPr>
          <w:p w14:paraId="0F907A84" w14:textId="52F092D8" w:rsidR="00D03AB0" w:rsidRPr="00D03AB0" w:rsidRDefault="00D03AB0" w:rsidP="00D03AB0">
            <w:r w:rsidRPr="00D03AB0">
              <w:rPr>
                <w:szCs w:val="20"/>
              </w:rPr>
              <w:t>Миоклонични пристъпи</w:t>
            </w:r>
            <w:r w:rsidRPr="00D03AB0">
              <w:rPr>
                <w:szCs w:val="20"/>
                <w:vertAlign w:val="superscript"/>
              </w:rPr>
              <w:t>(3)</w:t>
            </w:r>
            <w:r w:rsidRPr="00D03AB0">
              <w:rPr>
                <w:szCs w:val="20"/>
              </w:rPr>
              <w:t xml:space="preserve"> Атаксия Нарушение на равновесието, нарушение на паметта, когнитивни нарушения, сомнолентност, тремор нистагьм, хипоестезия, дизартрия, </w:t>
            </w:r>
            <w:r w:rsidRPr="00D03AB0">
              <w:rPr>
                <w:szCs w:val="20"/>
              </w:rPr>
              <w:lastRenderedPageBreak/>
              <w:t>нарушение на вниманието, парестезии</w:t>
            </w:r>
          </w:p>
        </w:tc>
        <w:tc>
          <w:tcPr>
            <w:tcW w:w="2492" w:type="dxa"/>
          </w:tcPr>
          <w:p w14:paraId="34B8D752" w14:textId="723E3AD0" w:rsidR="00D03AB0" w:rsidRPr="00D03AB0" w:rsidRDefault="00D03AB0" w:rsidP="00D03AB0">
            <w:r w:rsidRPr="00D03AB0">
              <w:rPr>
                <w:szCs w:val="20"/>
              </w:rPr>
              <w:lastRenderedPageBreak/>
              <w:t>Синкоп</w:t>
            </w:r>
            <w:r w:rsidRPr="00D03AB0">
              <w:rPr>
                <w:szCs w:val="20"/>
                <w:vertAlign w:val="superscript"/>
              </w:rPr>
              <w:t>(2)</w:t>
            </w:r>
            <w:r w:rsidRPr="00D03AB0">
              <w:rPr>
                <w:szCs w:val="20"/>
              </w:rPr>
              <w:t>, нарушение на координацията, дискинезия</w:t>
            </w:r>
          </w:p>
        </w:tc>
        <w:tc>
          <w:tcPr>
            <w:tcW w:w="1968" w:type="dxa"/>
          </w:tcPr>
          <w:p w14:paraId="32293590" w14:textId="58632F4D" w:rsidR="00D03AB0" w:rsidRPr="00D03AB0" w:rsidRDefault="00D03AB0" w:rsidP="00D03AB0">
            <w:r w:rsidRPr="00D03AB0">
              <w:rPr>
                <w:szCs w:val="20"/>
              </w:rPr>
              <w:t>Конвулсии</w:t>
            </w:r>
          </w:p>
        </w:tc>
      </w:tr>
      <w:tr w:rsidR="00D03AB0" w14:paraId="5409941F" w14:textId="77777777" w:rsidTr="00D03AB0">
        <w:tc>
          <w:tcPr>
            <w:tcW w:w="1982" w:type="dxa"/>
          </w:tcPr>
          <w:p w14:paraId="6B4A8983" w14:textId="1B5DE7DB" w:rsidR="00D03AB0" w:rsidRPr="00D03AB0" w:rsidRDefault="00D03AB0" w:rsidP="00D03AB0">
            <w:r w:rsidRPr="00D03AB0">
              <w:rPr>
                <w:i/>
                <w:iCs/>
                <w:szCs w:val="20"/>
              </w:rPr>
              <w:t>Нарушения на очите</w:t>
            </w:r>
          </w:p>
        </w:tc>
        <w:tc>
          <w:tcPr>
            <w:tcW w:w="1363" w:type="dxa"/>
          </w:tcPr>
          <w:p w14:paraId="258A5436" w14:textId="7C948D8D" w:rsidR="00D03AB0" w:rsidRPr="00D03AB0" w:rsidRDefault="00D03AB0" w:rsidP="00D03AB0">
            <w:r w:rsidRPr="00D03AB0">
              <w:rPr>
                <w:szCs w:val="20"/>
              </w:rPr>
              <w:t>Диллопия</w:t>
            </w:r>
          </w:p>
        </w:tc>
        <w:tc>
          <w:tcPr>
            <w:tcW w:w="1771" w:type="dxa"/>
            <w:vAlign w:val="bottom"/>
          </w:tcPr>
          <w:p w14:paraId="46CD6B91" w14:textId="6A0767FC" w:rsidR="00D03AB0" w:rsidRPr="00D03AB0" w:rsidRDefault="00D03AB0" w:rsidP="00D03AB0">
            <w:r w:rsidRPr="00D03AB0">
              <w:rPr>
                <w:szCs w:val="20"/>
              </w:rPr>
              <w:t>Замъглено зрение</w:t>
            </w:r>
          </w:p>
        </w:tc>
        <w:tc>
          <w:tcPr>
            <w:tcW w:w="2492" w:type="dxa"/>
          </w:tcPr>
          <w:p w14:paraId="51A46C3F" w14:textId="77777777" w:rsidR="00D03AB0" w:rsidRPr="00D03AB0" w:rsidRDefault="00D03AB0" w:rsidP="00D03AB0"/>
        </w:tc>
        <w:tc>
          <w:tcPr>
            <w:tcW w:w="1968" w:type="dxa"/>
          </w:tcPr>
          <w:p w14:paraId="2BD98D2C" w14:textId="77777777" w:rsidR="00D03AB0" w:rsidRPr="00D03AB0" w:rsidRDefault="00D03AB0" w:rsidP="00D03AB0"/>
        </w:tc>
      </w:tr>
      <w:tr w:rsidR="00D03AB0" w14:paraId="73578443" w14:textId="77777777" w:rsidTr="00D03AB0">
        <w:tc>
          <w:tcPr>
            <w:tcW w:w="1982" w:type="dxa"/>
          </w:tcPr>
          <w:p w14:paraId="0E843983" w14:textId="392D21DD" w:rsidR="00D03AB0" w:rsidRPr="00D03AB0" w:rsidRDefault="00D03AB0" w:rsidP="00D03AB0">
            <w:r w:rsidRPr="00D03AB0">
              <w:rPr>
                <w:i/>
                <w:iCs/>
                <w:szCs w:val="20"/>
              </w:rPr>
              <w:t>Нарушения на ухото и лабиринта</w:t>
            </w:r>
          </w:p>
        </w:tc>
        <w:tc>
          <w:tcPr>
            <w:tcW w:w="1363" w:type="dxa"/>
          </w:tcPr>
          <w:p w14:paraId="019F1EAD" w14:textId="77777777" w:rsidR="00D03AB0" w:rsidRPr="00D03AB0" w:rsidRDefault="00D03AB0" w:rsidP="00D03AB0"/>
        </w:tc>
        <w:tc>
          <w:tcPr>
            <w:tcW w:w="1771" w:type="dxa"/>
          </w:tcPr>
          <w:p w14:paraId="50687C48" w14:textId="1378E3AB" w:rsidR="00D03AB0" w:rsidRPr="00D03AB0" w:rsidRDefault="00D03AB0" w:rsidP="00D03AB0">
            <w:r w:rsidRPr="00D03AB0">
              <w:rPr>
                <w:szCs w:val="20"/>
              </w:rPr>
              <w:t>Световъртеж, тинитус</w:t>
            </w:r>
          </w:p>
        </w:tc>
        <w:tc>
          <w:tcPr>
            <w:tcW w:w="2492" w:type="dxa"/>
          </w:tcPr>
          <w:p w14:paraId="5374C127" w14:textId="77777777" w:rsidR="00D03AB0" w:rsidRPr="00D03AB0" w:rsidRDefault="00D03AB0" w:rsidP="00D03AB0"/>
        </w:tc>
        <w:tc>
          <w:tcPr>
            <w:tcW w:w="1968" w:type="dxa"/>
          </w:tcPr>
          <w:p w14:paraId="4122E928" w14:textId="77777777" w:rsidR="00D03AB0" w:rsidRPr="00D03AB0" w:rsidRDefault="00D03AB0" w:rsidP="00D03AB0"/>
        </w:tc>
      </w:tr>
      <w:tr w:rsidR="00D03AB0" w14:paraId="2B0BFBF9" w14:textId="77777777" w:rsidTr="00D03AB0">
        <w:trPr>
          <w:trHeight w:val="1889"/>
        </w:trPr>
        <w:tc>
          <w:tcPr>
            <w:tcW w:w="1982" w:type="dxa"/>
          </w:tcPr>
          <w:p w14:paraId="7F79EB48" w14:textId="1FC2DC6F" w:rsidR="00D03AB0" w:rsidRPr="00D03AB0" w:rsidRDefault="00D03AB0" w:rsidP="00D03AB0">
            <w:r w:rsidRPr="00D03AB0">
              <w:rPr>
                <w:i/>
                <w:iCs/>
                <w:szCs w:val="20"/>
              </w:rPr>
              <w:t>Сърдечни нарушения</w:t>
            </w:r>
          </w:p>
        </w:tc>
        <w:tc>
          <w:tcPr>
            <w:tcW w:w="1363" w:type="dxa"/>
          </w:tcPr>
          <w:p w14:paraId="03442D8F" w14:textId="77777777" w:rsidR="00D03AB0" w:rsidRPr="00D03AB0" w:rsidRDefault="00D03AB0" w:rsidP="00D03AB0"/>
        </w:tc>
        <w:tc>
          <w:tcPr>
            <w:tcW w:w="1771" w:type="dxa"/>
          </w:tcPr>
          <w:p w14:paraId="699478ED" w14:textId="77777777" w:rsidR="00D03AB0" w:rsidRPr="00D03AB0" w:rsidRDefault="00D03AB0" w:rsidP="00D03AB0"/>
        </w:tc>
        <w:tc>
          <w:tcPr>
            <w:tcW w:w="2492" w:type="dxa"/>
            <w:vAlign w:val="bottom"/>
          </w:tcPr>
          <w:p w14:paraId="513D4FDF" w14:textId="77777777" w:rsidR="00D03AB0" w:rsidRPr="00D03AB0" w:rsidRDefault="00D03AB0" w:rsidP="00D03AB0">
            <w:r w:rsidRPr="00D03AB0">
              <w:rPr>
                <w:szCs w:val="20"/>
              </w:rPr>
              <w:t>Атриовентрикуларен блок</w:t>
            </w:r>
            <w:r w:rsidRPr="00D03AB0">
              <w:rPr>
                <w:szCs w:val="20"/>
                <w:vertAlign w:val="superscript"/>
              </w:rPr>
              <w:t>(1,2)</w:t>
            </w:r>
          </w:p>
          <w:p w14:paraId="7FEFFBDB" w14:textId="382DF24F" w:rsidR="00D03AB0" w:rsidRPr="00D03AB0" w:rsidRDefault="00D03AB0" w:rsidP="00D03AB0">
            <w:r w:rsidRPr="00D03AB0">
              <w:rPr>
                <w:szCs w:val="20"/>
              </w:rPr>
              <w:t>брадикардия</w:t>
            </w:r>
            <w:r w:rsidRPr="00D03AB0">
              <w:rPr>
                <w:szCs w:val="20"/>
                <w:vertAlign w:val="superscript"/>
              </w:rPr>
              <w:t>(1,2)</w:t>
            </w:r>
            <w:r w:rsidRPr="00D03AB0">
              <w:rPr>
                <w:szCs w:val="20"/>
              </w:rPr>
              <w:t>, предсърдно мъждене</w:t>
            </w:r>
            <w:r w:rsidRPr="00D03AB0">
              <w:rPr>
                <w:szCs w:val="20"/>
                <w:vertAlign w:val="superscript"/>
              </w:rPr>
              <w:t>(1,2)</w:t>
            </w:r>
            <w:r w:rsidRPr="00D03AB0">
              <w:rPr>
                <w:szCs w:val="20"/>
              </w:rPr>
              <w:t>, предсърдно трептене</w:t>
            </w:r>
            <w:r w:rsidRPr="00D03AB0">
              <w:rPr>
                <w:szCs w:val="20"/>
                <w:vertAlign w:val="superscript"/>
              </w:rPr>
              <w:t>(1,2)</w:t>
            </w:r>
          </w:p>
        </w:tc>
        <w:tc>
          <w:tcPr>
            <w:tcW w:w="1968" w:type="dxa"/>
            <w:vAlign w:val="bottom"/>
          </w:tcPr>
          <w:p w14:paraId="349DF6A6" w14:textId="3FF605FB" w:rsidR="00D03AB0" w:rsidRPr="00D03AB0" w:rsidRDefault="00D03AB0" w:rsidP="00D03AB0">
            <w:r w:rsidRPr="00D03AB0">
              <w:rPr>
                <w:szCs w:val="20"/>
              </w:rPr>
              <w:t>Вентрикуларна тахиаритмия</w:t>
            </w:r>
            <w:r w:rsidRPr="00D03AB0">
              <w:rPr>
                <w:szCs w:val="20"/>
                <w:vertAlign w:val="superscript"/>
              </w:rPr>
              <w:t>(1)</w:t>
            </w:r>
          </w:p>
        </w:tc>
      </w:tr>
      <w:tr w:rsidR="00D03AB0" w14:paraId="75B7A692" w14:textId="77777777" w:rsidTr="00D03AB0">
        <w:tc>
          <w:tcPr>
            <w:tcW w:w="1982" w:type="dxa"/>
          </w:tcPr>
          <w:p w14:paraId="5DE15818" w14:textId="556D023F" w:rsidR="00D03AB0" w:rsidRPr="00D03AB0" w:rsidRDefault="00D03AB0" w:rsidP="00D03AB0">
            <w:r w:rsidRPr="00D03AB0">
              <w:rPr>
                <w:i/>
                <w:iCs/>
                <w:szCs w:val="20"/>
              </w:rPr>
              <w:t>Стомашно-чревни нарушения</w:t>
            </w:r>
          </w:p>
        </w:tc>
        <w:tc>
          <w:tcPr>
            <w:tcW w:w="1363" w:type="dxa"/>
          </w:tcPr>
          <w:p w14:paraId="28FD7BA5" w14:textId="51FC0A58" w:rsidR="00D03AB0" w:rsidRPr="00D03AB0" w:rsidRDefault="00D03AB0" w:rsidP="00D03AB0">
            <w:r w:rsidRPr="00D03AB0">
              <w:rPr>
                <w:szCs w:val="20"/>
              </w:rPr>
              <w:t>Гадене</w:t>
            </w:r>
          </w:p>
        </w:tc>
        <w:tc>
          <w:tcPr>
            <w:tcW w:w="1771" w:type="dxa"/>
          </w:tcPr>
          <w:p w14:paraId="1F7D2423" w14:textId="6EEAD418" w:rsidR="00D03AB0" w:rsidRPr="00D03AB0" w:rsidRDefault="00D03AB0" w:rsidP="00D03AB0">
            <w:r w:rsidRPr="00D03AB0">
              <w:rPr>
                <w:szCs w:val="20"/>
              </w:rPr>
              <w:t>Повръщане, констипация, флатуленция, диспепсия, су</w:t>
            </w:r>
            <w:r>
              <w:rPr>
                <w:szCs w:val="20"/>
              </w:rPr>
              <w:t xml:space="preserve">хота в </w:t>
            </w:r>
            <w:r w:rsidRPr="00D03AB0">
              <w:rPr>
                <w:szCs w:val="20"/>
              </w:rPr>
              <w:t>устата, диария</w:t>
            </w:r>
          </w:p>
        </w:tc>
        <w:tc>
          <w:tcPr>
            <w:tcW w:w="2492" w:type="dxa"/>
          </w:tcPr>
          <w:p w14:paraId="1EE0193A" w14:textId="77777777" w:rsidR="00D03AB0" w:rsidRPr="00D03AB0" w:rsidRDefault="00D03AB0" w:rsidP="00D03AB0"/>
        </w:tc>
        <w:tc>
          <w:tcPr>
            <w:tcW w:w="1968" w:type="dxa"/>
          </w:tcPr>
          <w:p w14:paraId="163476A0" w14:textId="77777777" w:rsidR="00D03AB0" w:rsidRPr="00D03AB0" w:rsidRDefault="00D03AB0" w:rsidP="00D03AB0"/>
        </w:tc>
      </w:tr>
      <w:tr w:rsidR="00D03AB0" w14:paraId="31112900" w14:textId="77777777" w:rsidTr="00D03AB0">
        <w:tc>
          <w:tcPr>
            <w:tcW w:w="1982" w:type="dxa"/>
          </w:tcPr>
          <w:p w14:paraId="217E3610" w14:textId="3B989AB7" w:rsidR="00D03AB0" w:rsidRPr="00D03AB0" w:rsidRDefault="00D03AB0" w:rsidP="00D03AB0">
            <w:r w:rsidRPr="00D03AB0">
              <w:rPr>
                <w:i/>
                <w:iCs/>
                <w:szCs w:val="20"/>
              </w:rPr>
              <w:t>Хепатобилиарни нарушения</w:t>
            </w:r>
          </w:p>
        </w:tc>
        <w:tc>
          <w:tcPr>
            <w:tcW w:w="1363" w:type="dxa"/>
          </w:tcPr>
          <w:p w14:paraId="01ECC395" w14:textId="77777777" w:rsidR="00D03AB0" w:rsidRPr="00D03AB0" w:rsidRDefault="00D03AB0" w:rsidP="00D03AB0"/>
        </w:tc>
        <w:tc>
          <w:tcPr>
            <w:tcW w:w="1771" w:type="dxa"/>
          </w:tcPr>
          <w:p w14:paraId="7317CE58" w14:textId="77777777" w:rsidR="00D03AB0" w:rsidRPr="00D03AB0" w:rsidRDefault="00D03AB0" w:rsidP="00D03AB0"/>
        </w:tc>
        <w:tc>
          <w:tcPr>
            <w:tcW w:w="2492" w:type="dxa"/>
          </w:tcPr>
          <w:p w14:paraId="7353EE0B" w14:textId="68742270" w:rsidR="00D03AB0" w:rsidRPr="00D03AB0" w:rsidRDefault="00D03AB0" w:rsidP="00D03AB0">
            <w:r w:rsidRPr="00D03AB0">
              <w:rPr>
                <w:szCs w:val="20"/>
              </w:rPr>
              <w:t>Абнормни резултати при функционални чернодробни тестове</w:t>
            </w:r>
            <w:r w:rsidRPr="00D03AB0">
              <w:rPr>
                <w:szCs w:val="20"/>
                <w:vertAlign w:val="superscript"/>
              </w:rPr>
              <w:t>(2)</w:t>
            </w:r>
            <w:r w:rsidRPr="00D03AB0">
              <w:rPr>
                <w:szCs w:val="20"/>
              </w:rPr>
              <w:t>, повишени стойности на чернодробните ензими (&gt;2хГГН)</w:t>
            </w:r>
            <w:r w:rsidRPr="00D03AB0">
              <w:rPr>
                <w:szCs w:val="20"/>
                <w:vertAlign w:val="superscript"/>
              </w:rPr>
              <w:t>(1)</w:t>
            </w:r>
          </w:p>
        </w:tc>
        <w:tc>
          <w:tcPr>
            <w:tcW w:w="1968" w:type="dxa"/>
          </w:tcPr>
          <w:p w14:paraId="75E0184D" w14:textId="77777777" w:rsidR="00D03AB0" w:rsidRPr="00D03AB0" w:rsidRDefault="00D03AB0" w:rsidP="00D03AB0"/>
        </w:tc>
      </w:tr>
      <w:tr w:rsidR="00D03AB0" w14:paraId="7D6ABE0D" w14:textId="77777777" w:rsidTr="00D03AB0">
        <w:tc>
          <w:tcPr>
            <w:tcW w:w="1982" w:type="dxa"/>
          </w:tcPr>
          <w:p w14:paraId="7A5EB58B" w14:textId="4A5A1939" w:rsidR="00D03AB0" w:rsidRPr="00D03AB0" w:rsidRDefault="00D03AB0" w:rsidP="00D03AB0">
            <w:r w:rsidRPr="00D03AB0">
              <w:rPr>
                <w:i/>
                <w:iCs/>
                <w:szCs w:val="20"/>
              </w:rPr>
              <w:t>Нарушения на кожата и подкожната тъкан</w:t>
            </w:r>
          </w:p>
        </w:tc>
        <w:tc>
          <w:tcPr>
            <w:tcW w:w="1363" w:type="dxa"/>
          </w:tcPr>
          <w:p w14:paraId="1E679FD1" w14:textId="77777777" w:rsidR="00D03AB0" w:rsidRPr="00D03AB0" w:rsidRDefault="00D03AB0" w:rsidP="00D03AB0"/>
        </w:tc>
        <w:tc>
          <w:tcPr>
            <w:tcW w:w="1771" w:type="dxa"/>
          </w:tcPr>
          <w:p w14:paraId="086AD465" w14:textId="7D86872E" w:rsidR="00D03AB0" w:rsidRPr="00D03AB0" w:rsidRDefault="00D03AB0" w:rsidP="00D03AB0">
            <w:r w:rsidRPr="00D03AB0">
              <w:rPr>
                <w:szCs w:val="20"/>
              </w:rPr>
              <w:t>Сърбеж, обрив</w:t>
            </w:r>
            <w:r w:rsidRPr="00D03AB0">
              <w:rPr>
                <w:szCs w:val="20"/>
                <w:vertAlign w:val="superscript"/>
              </w:rPr>
              <w:t>(1)</w:t>
            </w:r>
          </w:p>
        </w:tc>
        <w:tc>
          <w:tcPr>
            <w:tcW w:w="2492" w:type="dxa"/>
          </w:tcPr>
          <w:p w14:paraId="0562D467" w14:textId="2CFCE9FF" w:rsidR="00D03AB0" w:rsidRPr="00D03AB0" w:rsidRDefault="00D03AB0" w:rsidP="00D03AB0">
            <w:r w:rsidRPr="00D03AB0">
              <w:rPr>
                <w:szCs w:val="20"/>
              </w:rPr>
              <w:t>Ангиоедем</w:t>
            </w:r>
            <w:r w:rsidRPr="00D03AB0">
              <w:rPr>
                <w:szCs w:val="20"/>
                <w:vertAlign w:val="superscript"/>
              </w:rPr>
              <w:t>(1)</w:t>
            </w:r>
            <w:r w:rsidRPr="00D03AB0">
              <w:rPr>
                <w:szCs w:val="20"/>
              </w:rPr>
              <w:t>, уртикария</w:t>
            </w:r>
            <w:r w:rsidRPr="00D03AB0">
              <w:rPr>
                <w:szCs w:val="20"/>
                <w:vertAlign w:val="superscript"/>
              </w:rPr>
              <w:t>(1)</w:t>
            </w:r>
          </w:p>
        </w:tc>
        <w:tc>
          <w:tcPr>
            <w:tcW w:w="1968" w:type="dxa"/>
          </w:tcPr>
          <w:p w14:paraId="3B7B1F40" w14:textId="7DA99FE5" w:rsidR="00D03AB0" w:rsidRPr="00D03AB0" w:rsidRDefault="00D03AB0" w:rsidP="00D03AB0">
            <w:r w:rsidRPr="00D03AB0">
              <w:rPr>
                <w:szCs w:val="20"/>
              </w:rPr>
              <w:t>Синдром на Стивънс- Джонсън</w:t>
            </w:r>
            <w:r w:rsidRPr="00D03AB0">
              <w:rPr>
                <w:szCs w:val="20"/>
                <w:vertAlign w:val="superscript"/>
              </w:rPr>
              <w:t>(1)</w:t>
            </w:r>
            <w:r w:rsidRPr="00D03AB0">
              <w:rPr>
                <w:szCs w:val="20"/>
              </w:rPr>
              <w:t>, токсична епидермална некролиза</w:t>
            </w:r>
            <w:r w:rsidRPr="00D03AB0">
              <w:rPr>
                <w:szCs w:val="20"/>
                <w:vertAlign w:val="superscript"/>
              </w:rPr>
              <w:t>(1)</w:t>
            </w:r>
          </w:p>
        </w:tc>
      </w:tr>
      <w:tr w:rsidR="00D03AB0" w14:paraId="385DF6D6" w14:textId="77777777" w:rsidTr="00D03AB0">
        <w:tc>
          <w:tcPr>
            <w:tcW w:w="1982" w:type="dxa"/>
          </w:tcPr>
          <w:p w14:paraId="0309F6D5" w14:textId="6F68003C" w:rsidR="00D03AB0" w:rsidRPr="00D03AB0" w:rsidRDefault="00D03AB0" w:rsidP="00D03AB0">
            <w:r w:rsidRPr="00D03AB0">
              <w:rPr>
                <w:i/>
                <w:iCs/>
                <w:szCs w:val="20"/>
              </w:rPr>
              <w:t>Нарушения на мускулно- скелетната система и съединителната тъкан</w:t>
            </w:r>
          </w:p>
        </w:tc>
        <w:tc>
          <w:tcPr>
            <w:tcW w:w="1363" w:type="dxa"/>
          </w:tcPr>
          <w:p w14:paraId="304EF178" w14:textId="77777777" w:rsidR="00D03AB0" w:rsidRPr="00D03AB0" w:rsidRDefault="00D03AB0" w:rsidP="00D03AB0"/>
        </w:tc>
        <w:tc>
          <w:tcPr>
            <w:tcW w:w="1771" w:type="dxa"/>
          </w:tcPr>
          <w:p w14:paraId="5F9242E4" w14:textId="03DDFB4E" w:rsidR="00D03AB0" w:rsidRPr="00D03AB0" w:rsidRDefault="00D03AB0" w:rsidP="00D03AB0">
            <w:r w:rsidRPr="00D03AB0">
              <w:rPr>
                <w:szCs w:val="20"/>
              </w:rPr>
              <w:t>Мускулни спазми</w:t>
            </w:r>
          </w:p>
        </w:tc>
        <w:tc>
          <w:tcPr>
            <w:tcW w:w="2492" w:type="dxa"/>
          </w:tcPr>
          <w:p w14:paraId="091CFB73" w14:textId="77777777" w:rsidR="00D03AB0" w:rsidRPr="00D03AB0" w:rsidRDefault="00D03AB0" w:rsidP="00D03AB0"/>
        </w:tc>
        <w:tc>
          <w:tcPr>
            <w:tcW w:w="1968" w:type="dxa"/>
          </w:tcPr>
          <w:p w14:paraId="37E71D5B" w14:textId="77777777" w:rsidR="00D03AB0" w:rsidRPr="00D03AB0" w:rsidRDefault="00D03AB0" w:rsidP="00D03AB0"/>
        </w:tc>
      </w:tr>
      <w:tr w:rsidR="00D03AB0" w14:paraId="47055C67" w14:textId="77777777" w:rsidTr="00D03AB0">
        <w:tc>
          <w:tcPr>
            <w:tcW w:w="1982" w:type="dxa"/>
          </w:tcPr>
          <w:p w14:paraId="07D3543A" w14:textId="4682AB2E" w:rsidR="00D03AB0" w:rsidRPr="00D03AB0" w:rsidRDefault="00D03AB0" w:rsidP="00D03AB0">
            <w:r w:rsidRPr="00D03AB0">
              <w:rPr>
                <w:i/>
                <w:iCs/>
                <w:szCs w:val="20"/>
              </w:rPr>
              <w:t>Общи нарушения и ефекти на мястото на приложение</w:t>
            </w:r>
          </w:p>
        </w:tc>
        <w:tc>
          <w:tcPr>
            <w:tcW w:w="1363" w:type="dxa"/>
          </w:tcPr>
          <w:p w14:paraId="5152D870" w14:textId="77777777" w:rsidR="00D03AB0" w:rsidRPr="00D03AB0" w:rsidRDefault="00D03AB0" w:rsidP="00D03AB0"/>
        </w:tc>
        <w:tc>
          <w:tcPr>
            <w:tcW w:w="1771" w:type="dxa"/>
          </w:tcPr>
          <w:p w14:paraId="72461055" w14:textId="1DEDE20C" w:rsidR="00D03AB0" w:rsidRPr="00D03AB0" w:rsidRDefault="00D03AB0" w:rsidP="00D03AB0">
            <w:r w:rsidRPr="00D03AB0">
              <w:rPr>
                <w:szCs w:val="20"/>
              </w:rPr>
              <w:t>Нарушение на походката, астения, умора, радразнителност, чувство на опиянение</w:t>
            </w:r>
          </w:p>
        </w:tc>
        <w:tc>
          <w:tcPr>
            <w:tcW w:w="2492" w:type="dxa"/>
          </w:tcPr>
          <w:p w14:paraId="04ED904F" w14:textId="77777777" w:rsidR="00D03AB0" w:rsidRPr="00D03AB0" w:rsidRDefault="00D03AB0" w:rsidP="00D03AB0"/>
        </w:tc>
        <w:tc>
          <w:tcPr>
            <w:tcW w:w="1968" w:type="dxa"/>
          </w:tcPr>
          <w:p w14:paraId="28C5CAE4" w14:textId="77777777" w:rsidR="00D03AB0" w:rsidRPr="00D03AB0" w:rsidRDefault="00D03AB0" w:rsidP="00D03AB0"/>
        </w:tc>
      </w:tr>
      <w:tr w:rsidR="00D03AB0" w14:paraId="3EF3A215" w14:textId="77777777" w:rsidTr="00D03AB0">
        <w:tc>
          <w:tcPr>
            <w:tcW w:w="1982" w:type="dxa"/>
          </w:tcPr>
          <w:p w14:paraId="33B6B183" w14:textId="4A05B422" w:rsidR="00D03AB0" w:rsidRPr="00D03AB0" w:rsidRDefault="00D03AB0" w:rsidP="00D03AB0">
            <w:r w:rsidRPr="00D03AB0">
              <w:rPr>
                <w:i/>
                <w:iCs/>
                <w:szCs w:val="20"/>
              </w:rPr>
              <w:lastRenderedPageBreak/>
              <w:t>Наранявания, отравяния и усложнения в резултат на интервенции</w:t>
            </w:r>
          </w:p>
        </w:tc>
        <w:tc>
          <w:tcPr>
            <w:tcW w:w="1363" w:type="dxa"/>
          </w:tcPr>
          <w:p w14:paraId="02C4BD1E" w14:textId="77777777" w:rsidR="00D03AB0" w:rsidRPr="00D03AB0" w:rsidRDefault="00D03AB0" w:rsidP="00D03AB0"/>
        </w:tc>
        <w:tc>
          <w:tcPr>
            <w:tcW w:w="1771" w:type="dxa"/>
          </w:tcPr>
          <w:p w14:paraId="5097E929" w14:textId="57DC6B05" w:rsidR="00D03AB0" w:rsidRPr="00D03AB0" w:rsidRDefault="00D03AB0" w:rsidP="00D03AB0">
            <w:r w:rsidRPr="00D03AB0">
              <w:rPr>
                <w:szCs w:val="20"/>
              </w:rPr>
              <w:t>Падане, нараняване на кожата, контузия</w:t>
            </w:r>
          </w:p>
        </w:tc>
        <w:tc>
          <w:tcPr>
            <w:tcW w:w="2492" w:type="dxa"/>
          </w:tcPr>
          <w:p w14:paraId="6ED8ABC0" w14:textId="77777777" w:rsidR="00D03AB0" w:rsidRPr="00D03AB0" w:rsidRDefault="00D03AB0" w:rsidP="00D03AB0"/>
        </w:tc>
        <w:tc>
          <w:tcPr>
            <w:tcW w:w="1968" w:type="dxa"/>
          </w:tcPr>
          <w:p w14:paraId="0941DE23" w14:textId="77777777" w:rsidR="00D03AB0" w:rsidRPr="00D03AB0" w:rsidRDefault="00D03AB0" w:rsidP="00D03AB0"/>
        </w:tc>
      </w:tr>
    </w:tbl>
    <w:p w14:paraId="06107E52" w14:textId="239DD067" w:rsidR="00D03AB0" w:rsidRDefault="00D03AB0" w:rsidP="0091385D"/>
    <w:p w14:paraId="07A8806F"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vertAlign w:val="superscript"/>
          <w:lang w:eastAsia="bg-BG"/>
        </w:rPr>
        <w:t>1</w:t>
      </w:r>
      <w:r w:rsidRPr="00D03AB0">
        <w:rPr>
          <w:rFonts w:eastAsia="Times New Roman" w:cs="Arial"/>
          <w:color w:val="000000"/>
          <w:szCs w:val="20"/>
          <w:lang w:eastAsia="bg-BG"/>
        </w:rPr>
        <w:tab/>
        <w:t>Нежелани реакции съобщени при постмаркетинговия опит</w:t>
      </w:r>
    </w:p>
    <w:p w14:paraId="6653D5B9"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vertAlign w:val="superscript"/>
          <w:lang w:eastAsia="bg-BG"/>
        </w:rPr>
        <w:t>2</w:t>
      </w:r>
      <w:r w:rsidRPr="00D03AB0">
        <w:rPr>
          <w:rFonts w:eastAsia="Times New Roman" w:cs="Arial"/>
          <w:color w:val="000000"/>
          <w:szCs w:val="20"/>
          <w:lang w:eastAsia="bg-BG"/>
        </w:rPr>
        <w:tab/>
        <w:t>Вижте Описание на избрани нежелани реакции</w:t>
      </w:r>
    </w:p>
    <w:p w14:paraId="393B0B46" w14:textId="25834067" w:rsidR="00D03AB0" w:rsidRPr="00D03AB0" w:rsidRDefault="00D03AB0" w:rsidP="00D03AB0">
      <w:pPr>
        <w:spacing w:line="240" w:lineRule="auto"/>
        <w:rPr>
          <w:rFonts w:eastAsia="Times New Roman" w:cs="Arial"/>
          <w:color w:val="000000"/>
          <w:szCs w:val="20"/>
          <w:lang w:eastAsia="bg-BG"/>
        </w:rPr>
      </w:pPr>
      <w:r w:rsidRPr="00D03AB0">
        <w:rPr>
          <w:rFonts w:eastAsia="Times New Roman" w:cs="Arial"/>
          <w:color w:val="000000"/>
          <w:szCs w:val="20"/>
          <w:vertAlign w:val="superscript"/>
          <w:lang w:eastAsia="bg-BG"/>
        </w:rPr>
        <w:t>3</w:t>
      </w:r>
      <w:r w:rsidRPr="00D03AB0">
        <w:rPr>
          <w:rFonts w:eastAsia="Times New Roman" w:cs="Arial"/>
          <w:color w:val="000000"/>
          <w:szCs w:val="20"/>
          <w:lang w:eastAsia="bg-BG"/>
        </w:rPr>
        <w:tab/>
        <w:t>Съобщени в проучвания на ПГТКП</w:t>
      </w:r>
    </w:p>
    <w:p w14:paraId="374A7EB1" w14:textId="77777777" w:rsidR="00D03AB0" w:rsidRPr="00D03AB0" w:rsidRDefault="00D03AB0" w:rsidP="00D03AB0">
      <w:pPr>
        <w:spacing w:line="240" w:lineRule="auto"/>
        <w:rPr>
          <w:rFonts w:eastAsia="Times New Roman" w:cs="Arial"/>
          <w:sz w:val="28"/>
          <w:szCs w:val="24"/>
          <w:lang w:eastAsia="bg-BG"/>
        </w:rPr>
      </w:pPr>
    </w:p>
    <w:p w14:paraId="7850D1E9" w14:textId="292C59F1" w:rsidR="00D03AB0" w:rsidRPr="00D03AB0" w:rsidRDefault="00D03AB0" w:rsidP="00D03AB0">
      <w:pPr>
        <w:rPr>
          <w:rFonts w:cs="Arial"/>
          <w:sz w:val="24"/>
        </w:rPr>
      </w:pPr>
      <w:r w:rsidRPr="00D03AB0">
        <w:rPr>
          <w:rFonts w:eastAsia="Times New Roman" w:cs="Arial"/>
          <w:color w:val="000000"/>
          <w:szCs w:val="20"/>
          <w:lang w:eastAsia="bg-BG"/>
        </w:rPr>
        <w:t>в.</w:t>
      </w:r>
      <w:r w:rsidRPr="00D03AB0">
        <w:rPr>
          <w:rFonts w:eastAsia="Times New Roman" w:cs="Arial"/>
          <w:color w:val="000000"/>
          <w:szCs w:val="20"/>
          <w:u w:val="single"/>
          <w:lang w:eastAsia="bg-BG"/>
        </w:rPr>
        <w:tab/>
        <w:t>Описание на избрани нежелани реакции</w:t>
      </w:r>
    </w:p>
    <w:p w14:paraId="2B2E4449" w14:textId="36D3FDB9" w:rsidR="00D03AB0" w:rsidRDefault="00D03AB0" w:rsidP="0091385D"/>
    <w:p w14:paraId="50141A27"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 xml:space="preserve">Употребата на лакозамид е свързана с дозозависимо удължаване на </w:t>
      </w:r>
      <w:r w:rsidRPr="00D03AB0">
        <w:rPr>
          <w:rFonts w:eastAsia="Times New Roman" w:cs="Arial"/>
          <w:color w:val="000000"/>
          <w:szCs w:val="20"/>
          <w:lang w:val="en-US"/>
        </w:rPr>
        <w:t>PR</w:t>
      </w:r>
      <w:r w:rsidRPr="00D03AB0">
        <w:rPr>
          <w:rFonts w:eastAsia="Times New Roman" w:cs="Arial"/>
          <w:color w:val="000000"/>
          <w:szCs w:val="20"/>
          <w:lang w:eastAsia="bg-BG"/>
        </w:rPr>
        <w:t xml:space="preserve">-интервала. Възможна е появата на свързаните с удължаването на </w:t>
      </w:r>
      <w:r w:rsidRPr="00D03AB0">
        <w:rPr>
          <w:rFonts w:eastAsia="Times New Roman" w:cs="Arial"/>
          <w:color w:val="000000"/>
          <w:szCs w:val="20"/>
          <w:lang w:val="en-US"/>
        </w:rPr>
        <w:t>PR</w:t>
      </w:r>
      <w:r w:rsidRPr="00D03AB0">
        <w:rPr>
          <w:rFonts w:eastAsia="Times New Roman" w:cs="Arial"/>
          <w:color w:val="000000"/>
          <w:szCs w:val="20"/>
          <w:lang w:eastAsia="bg-BG"/>
        </w:rPr>
        <w:t xml:space="preserve">-интервала нежелани ефекти (напр. атриовентрикуларен </w:t>
      </w:r>
      <w:r w:rsidRPr="00D03AB0">
        <w:rPr>
          <w:rFonts w:eastAsia="Times New Roman" w:cs="Arial"/>
          <w:color w:val="000000"/>
          <w:szCs w:val="20"/>
          <w:lang w:val="en-US"/>
        </w:rPr>
        <w:t xml:space="preserve">(AV) </w:t>
      </w:r>
      <w:r w:rsidRPr="00D03AB0">
        <w:rPr>
          <w:rFonts w:eastAsia="Times New Roman" w:cs="Arial"/>
          <w:color w:val="000000"/>
          <w:szCs w:val="20"/>
          <w:lang w:eastAsia="bg-BG"/>
        </w:rPr>
        <w:t xml:space="preserve">блок, синкоп, брадикардия). В допълващи клинични изпитвания при пациентите с епилепсия честотата на поява на </w:t>
      </w:r>
      <w:r w:rsidRPr="00D03AB0">
        <w:rPr>
          <w:rFonts w:eastAsia="Times New Roman" w:cs="Arial"/>
          <w:color w:val="000000"/>
          <w:szCs w:val="20"/>
          <w:lang w:val="en-US"/>
        </w:rPr>
        <w:t>AV</w:t>
      </w:r>
      <w:r w:rsidRPr="00D03AB0">
        <w:rPr>
          <w:rFonts w:eastAsia="Times New Roman" w:cs="Arial"/>
          <w:color w:val="000000"/>
          <w:szCs w:val="20"/>
          <w:lang w:eastAsia="bg-BG"/>
        </w:rPr>
        <w:t xml:space="preserve">-блок е нечеста и съответно 0,7%, 0%, 0,5% и 0% при прилагането на лакозамид 200 </w:t>
      </w:r>
      <w:r w:rsidRPr="00D03AB0">
        <w:rPr>
          <w:rFonts w:eastAsia="Times New Roman" w:cs="Arial"/>
          <w:color w:val="000000"/>
          <w:szCs w:val="20"/>
          <w:lang w:val="en-US"/>
        </w:rPr>
        <w:t xml:space="preserve">mg, </w:t>
      </w:r>
      <w:r w:rsidRPr="00D03AB0">
        <w:rPr>
          <w:rFonts w:eastAsia="Times New Roman" w:cs="Arial"/>
          <w:color w:val="000000"/>
          <w:szCs w:val="20"/>
          <w:lang w:eastAsia="bg-BG"/>
        </w:rPr>
        <w:t xml:space="preserve">400 </w:t>
      </w:r>
      <w:r w:rsidRPr="00D03AB0">
        <w:rPr>
          <w:rFonts w:eastAsia="Times New Roman" w:cs="Arial"/>
          <w:color w:val="000000"/>
          <w:szCs w:val="20"/>
          <w:lang w:val="en-US"/>
        </w:rPr>
        <w:t xml:space="preserve">mg, </w:t>
      </w:r>
      <w:r w:rsidRPr="00D03AB0">
        <w:rPr>
          <w:rFonts w:eastAsia="Times New Roman" w:cs="Arial"/>
          <w:color w:val="000000"/>
          <w:szCs w:val="20"/>
          <w:lang w:eastAsia="bg-BG"/>
        </w:rPr>
        <w:t xml:space="preserve">600 </w:t>
      </w:r>
      <w:r w:rsidRPr="00D03AB0">
        <w:rPr>
          <w:rFonts w:eastAsia="Times New Roman" w:cs="Arial"/>
          <w:color w:val="000000"/>
          <w:szCs w:val="20"/>
          <w:lang w:val="en-US"/>
        </w:rPr>
        <w:t xml:space="preserve">mg </w:t>
      </w:r>
      <w:r w:rsidRPr="00D03AB0">
        <w:rPr>
          <w:rFonts w:eastAsia="Times New Roman" w:cs="Arial"/>
          <w:color w:val="000000"/>
          <w:szCs w:val="20"/>
          <w:lang w:eastAsia="bg-BG"/>
        </w:rPr>
        <w:t xml:space="preserve">или плацебо. При тези проучвания не е наблюдаван втора или по-висока степен на </w:t>
      </w:r>
      <w:r w:rsidRPr="00D03AB0">
        <w:rPr>
          <w:rFonts w:eastAsia="Times New Roman" w:cs="Arial"/>
          <w:color w:val="000000"/>
          <w:szCs w:val="20"/>
          <w:lang w:val="en-US"/>
        </w:rPr>
        <w:t>AV</w:t>
      </w:r>
      <w:r w:rsidRPr="00D03AB0">
        <w:rPr>
          <w:rFonts w:eastAsia="Times New Roman" w:cs="Arial"/>
          <w:color w:val="000000"/>
          <w:szCs w:val="20"/>
          <w:lang w:eastAsia="bg-BG"/>
        </w:rPr>
        <w:t xml:space="preserve">-блок. Въпреки това, случаи с втора и трета степен </w:t>
      </w:r>
      <w:r w:rsidRPr="00D03AB0">
        <w:rPr>
          <w:rFonts w:eastAsia="Times New Roman" w:cs="Arial"/>
          <w:color w:val="000000"/>
          <w:szCs w:val="20"/>
          <w:lang w:val="en-US"/>
        </w:rPr>
        <w:t>AV</w:t>
      </w:r>
      <w:r w:rsidRPr="00D03AB0">
        <w:rPr>
          <w:rFonts w:eastAsia="Times New Roman" w:cs="Arial"/>
          <w:color w:val="000000"/>
          <w:szCs w:val="20"/>
          <w:lang w:eastAsia="bg-BG"/>
        </w:rPr>
        <w:t>-блок, свързани с лечението с лакозамид, са съобщавани по време на постмаркетинговия опит.</w:t>
      </w:r>
    </w:p>
    <w:p w14:paraId="2E3C2FB2"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В клинични проучвания появата на синкоп също не се наблюдава често, при което няма разлика между групата на пациентите с епилепсия, лекувани с лакозамид (0,1 %) и тези от групата на плацебо (0,3%).</w:t>
      </w:r>
    </w:p>
    <w:p w14:paraId="55FE9E39"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 xml:space="preserve">Предсърдно мъждене или трептене не са съобщавани в краткосрочни клинични изпитвания, но са съобщени в отворени изпитвания за епилепсия </w:t>
      </w:r>
      <w:r w:rsidRPr="00D03AB0">
        <w:rPr>
          <w:rFonts w:eastAsia="Times New Roman" w:cs="Arial"/>
          <w:i/>
          <w:iCs/>
          <w:color w:val="000000"/>
          <w:szCs w:val="20"/>
          <w:lang w:eastAsia="bg-BG"/>
        </w:rPr>
        <w:t>и</w:t>
      </w:r>
      <w:r w:rsidRPr="00D03AB0">
        <w:rPr>
          <w:rFonts w:eastAsia="Times New Roman" w:cs="Arial"/>
          <w:color w:val="000000"/>
          <w:szCs w:val="20"/>
          <w:lang w:eastAsia="bg-BG"/>
        </w:rPr>
        <w:t xml:space="preserve"> при постмаркетинговия опит.</w:t>
      </w:r>
    </w:p>
    <w:p w14:paraId="0D209292" w14:textId="77777777" w:rsidR="00D03AB0" w:rsidRPr="00D03AB0" w:rsidRDefault="00D03AB0" w:rsidP="00D03AB0">
      <w:pPr>
        <w:spacing w:line="240" w:lineRule="auto"/>
        <w:rPr>
          <w:rFonts w:eastAsia="Times New Roman" w:cs="Arial"/>
          <w:color w:val="000000"/>
          <w:szCs w:val="20"/>
          <w:u w:val="single"/>
          <w:lang w:eastAsia="bg-BG"/>
        </w:rPr>
      </w:pPr>
    </w:p>
    <w:p w14:paraId="2408D364" w14:textId="057FA66F"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u w:val="single"/>
          <w:lang w:eastAsia="bg-BG"/>
        </w:rPr>
        <w:t>Отклонения в лабораторните показатели</w:t>
      </w:r>
    </w:p>
    <w:p w14:paraId="01A25F46"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 xml:space="preserve">Абнормни резултати при чернодробни функционални тестове са били наблюдавани в плацебо- контролирани проучвания с лакозамид при възрастни пациенти с парциални пристъпи, които са приемали едновременно от 1 до 3 антиепилептични лекарства. Повишавания на </w:t>
      </w:r>
      <w:r w:rsidRPr="00D03AB0">
        <w:rPr>
          <w:rFonts w:eastAsia="Times New Roman" w:cs="Arial"/>
          <w:color w:val="000000"/>
          <w:szCs w:val="20"/>
          <w:lang w:val="en-US"/>
        </w:rPr>
        <w:t xml:space="preserve">ALT </w:t>
      </w:r>
      <w:r w:rsidRPr="00D03AB0">
        <w:rPr>
          <w:rFonts w:eastAsia="Times New Roman" w:cs="Arial"/>
          <w:color w:val="000000"/>
          <w:szCs w:val="20"/>
          <w:lang w:eastAsia="bg-BG"/>
        </w:rPr>
        <w:t xml:space="preserve">до ≥ 3 </w:t>
      </w:r>
      <w:r w:rsidRPr="00D03AB0">
        <w:rPr>
          <w:rFonts w:eastAsia="Times New Roman" w:cs="Arial"/>
          <w:color w:val="000000"/>
          <w:szCs w:val="20"/>
          <w:lang w:val="en-US"/>
        </w:rPr>
        <w:t xml:space="preserve">XULN </w:t>
      </w:r>
      <w:r w:rsidRPr="00D03AB0">
        <w:rPr>
          <w:rFonts w:eastAsia="Times New Roman" w:cs="Arial"/>
          <w:color w:val="000000"/>
          <w:szCs w:val="20"/>
          <w:lang w:eastAsia="bg-BG"/>
        </w:rPr>
        <w:t>са настъпили при 0,7% (7 / 935) от пациентите на лакозамид и 0% (0 / 356) от пациентите на плацебо.</w:t>
      </w:r>
    </w:p>
    <w:p w14:paraId="61135EFA" w14:textId="77777777" w:rsidR="00D03AB0" w:rsidRPr="00D03AB0" w:rsidRDefault="00D03AB0" w:rsidP="00D03AB0">
      <w:pPr>
        <w:spacing w:line="240" w:lineRule="auto"/>
        <w:rPr>
          <w:rFonts w:eastAsia="Times New Roman" w:cs="Arial"/>
          <w:color w:val="000000"/>
          <w:szCs w:val="20"/>
          <w:u w:val="single"/>
          <w:lang w:eastAsia="bg-BG"/>
        </w:rPr>
      </w:pPr>
    </w:p>
    <w:p w14:paraId="4D2DBFE5" w14:textId="35A39EE4"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u w:val="single"/>
          <w:lang w:eastAsia="bg-BG"/>
        </w:rPr>
        <w:t>Мултиорганни реакции на свръхчувствителност</w:t>
      </w:r>
    </w:p>
    <w:p w14:paraId="6F278842"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 xml:space="preserve">Мултиорганни реакции на свръхчувствителност (позната също и като лекарствена реакция с еозинофилия и системни симптоми, </w:t>
      </w:r>
      <w:r w:rsidRPr="00D03AB0">
        <w:rPr>
          <w:rFonts w:eastAsia="Times New Roman" w:cs="Arial"/>
          <w:color w:val="000000"/>
          <w:szCs w:val="20"/>
          <w:lang w:val="en-US"/>
        </w:rPr>
        <w:t xml:space="preserve">DRESS) </w:t>
      </w:r>
      <w:r w:rsidRPr="00D03AB0">
        <w:rPr>
          <w:rFonts w:eastAsia="Times New Roman" w:cs="Arial"/>
          <w:color w:val="000000"/>
          <w:szCs w:val="20"/>
          <w:lang w:eastAsia="bg-BG"/>
        </w:rPr>
        <w:t>са съобщени при пациенти, лекувани с някои антиепилептични средства. Тези реакции се проявяват различно, но обикновено са съпроводени с треска и обрив и могат да бъдат свързани с включването на различни системи от органи. Ако се заподозре реакция на мултиорганни свръхчувствителност, приемът на лакозамид трябва да се прекрати.</w:t>
      </w:r>
    </w:p>
    <w:p w14:paraId="1D800532" w14:textId="77777777" w:rsidR="00D03AB0" w:rsidRPr="00D03AB0" w:rsidRDefault="00D03AB0" w:rsidP="00D03AB0">
      <w:pPr>
        <w:spacing w:line="240" w:lineRule="auto"/>
        <w:rPr>
          <w:rFonts w:eastAsia="Times New Roman" w:cs="Arial"/>
          <w:color w:val="000000"/>
          <w:szCs w:val="20"/>
          <w:u w:val="single"/>
          <w:lang w:eastAsia="bg-BG"/>
        </w:rPr>
      </w:pPr>
    </w:p>
    <w:p w14:paraId="5AA35000" w14:textId="3F2F87F8"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u w:val="single"/>
          <w:lang w:eastAsia="bg-BG"/>
        </w:rPr>
        <w:t>г.</w:t>
      </w:r>
      <w:r w:rsidRPr="00D03AB0">
        <w:rPr>
          <w:rFonts w:eastAsia="Times New Roman" w:cs="Arial"/>
          <w:color w:val="000000"/>
          <w:szCs w:val="20"/>
          <w:u w:val="single"/>
          <w:lang w:eastAsia="bg-BG"/>
        </w:rPr>
        <w:tab/>
        <w:t>Педиатрична популация</w:t>
      </w:r>
    </w:p>
    <w:p w14:paraId="59F5F3BD" w14:textId="77777777" w:rsidR="00D03AB0" w:rsidRPr="00D03AB0" w:rsidRDefault="00D03AB0" w:rsidP="00D03AB0">
      <w:pPr>
        <w:spacing w:line="240" w:lineRule="auto"/>
        <w:rPr>
          <w:rFonts w:eastAsia="Times New Roman" w:cs="Arial"/>
          <w:color w:val="000000"/>
          <w:szCs w:val="20"/>
          <w:lang w:eastAsia="bg-BG"/>
        </w:rPr>
      </w:pPr>
    </w:p>
    <w:p w14:paraId="4640EBF0" w14:textId="5354094F"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Профилът на безопасност на лакозамид в плацебо-контролирани (вж. подробности за проучването в точка 5.1) и в открити проучвания (</w:t>
      </w:r>
      <w:r w:rsidRPr="00D03AB0">
        <w:rPr>
          <w:rFonts w:eastAsia="Times New Roman" w:cs="Arial"/>
          <w:color w:val="000000"/>
          <w:szCs w:val="20"/>
          <w:lang w:val="en-US"/>
        </w:rPr>
        <w:t>n</w:t>
      </w:r>
      <w:r w:rsidRPr="00D03AB0">
        <w:rPr>
          <w:rFonts w:eastAsia="Times New Roman" w:cs="Arial"/>
          <w:color w:val="000000"/>
          <w:szCs w:val="20"/>
          <w:lang w:eastAsia="bg-BG"/>
        </w:rPr>
        <w:t xml:space="preserve">=408) на допълваща терапия при деца на възраст от 4 години с парциални пристъпи е в съответствие с профила за безопасност, наблюдаван при възрастни, въпреки че честотата на някои нежелани реакции (сомнолентност, повръщане и конвулсии) е била повишена и са съобщени допълнителни нежелани реакции (назофарингит, пирексия, фарингит, намален апетит, летаргия и </w:t>
      </w:r>
      <w:r w:rsidRPr="00D03AB0">
        <w:rPr>
          <w:rFonts w:eastAsia="Times New Roman" w:cs="Arial"/>
          <w:color w:val="000000"/>
          <w:szCs w:val="20"/>
          <w:lang w:eastAsia="bg-BG"/>
        </w:rPr>
        <w:lastRenderedPageBreak/>
        <w:t>абнормно поведение) при педиатрични пациенти: назофарингит (15,7%), повръщане (14,7%), сомнолентност (14,0%), замайване (13,5%), пирексия (13,0%), конвулсии (7,8%), намален апетит (5,9%), фарингит (4,7%), летаргия (2,7%) и абнормно поведение (1,7%).</w:t>
      </w:r>
    </w:p>
    <w:p w14:paraId="43A82B28"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Общо 67,8% от пациентите, рандомизирани на лакозамид, и 58,1% от пациентите, рандомизирани на плацебо, съобщават поне 1 нежелана реакция.</w:t>
      </w:r>
    </w:p>
    <w:p w14:paraId="258C769F"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 xml:space="preserve">Поведенческите, когнитивни и емоционални функции, са били измерени чрез въпросниците </w:t>
      </w:r>
      <w:r w:rsidRPr="00D03AB0">
        <w:rPr>
          <w:rFonts w:eastAsia="Times New Roman" w:cs="Arial"/>
          <w:color w:val="000000"/>
          <w:szCs w:val="20"/>
          <w:lang w:val="en-US"/>
        </w:rPr>
        <w:t xml:space="preserve">Achenbach CBCL </w:t>
      </w:r>
      <w:r w:rsidRPr="00D03AB0">
        <w:rPr>
          <w:rFonts w:eastAsia="Times New Roman" w:cs="Arial"/>
          <w:color w:val="000000"/>
          <w:szCs w:val="20"/>
          <w:lang w:eastAsia="bg-BG"/>
        </w:rPr>
        <w:t xml:space="preserve">и </w:t>
      </w:r>
      <w:r w:rsidRPr="00D03AB0">
        <w:rPr>
          <w:rFonts w:eastAsia="Times New Roman" w:cs="Arial"/>
          <w:color w:val="000000"/>
          <w:szCs w:val="20"/>
          <w:lang w:val="en-US"/>
        </w:rPr>
        <w:t xml:space="preserve">BRIEF, </w:t>
      </w:r>
      <w:r w:rsidRPr="00D03AB0">
        <w:rPr>
          <w:rFonts w:eastAsia="Times New Roman" w:cs="Arial"/>
          <w:color w:val="000000"/>
          <w:szCs w:val="20"/>
          <w:lang w:eastAsia="bg-BG"/>
        </w:rPr>
        <w:t>прилагани на изходно ниво и по време на проучванията, и са били основно стабилни в хода на изпитванията.</w:t>
      </w:r>
    </w:p>
    <w:p w14:paraId="1B954ADA" w14:textId="77777777" w:rsidR="00D03AB0" w:rsidRPr="00D03AB0" w:rsidRDefault="00D03AB0" w:rsidP="00D03AB0">
      <w:pPr>
        <w:spacing w:line="240" w:lineRule="auto"/>
        <w:rPr>
          <w:rFonts w:eastAsia="Times New Roman" w:cs="Arial"/>
          <w:color w:val="000000"/>
          <w:szCs w:val="20"/>
          <w:u w:val="single"/>
          <w:lang w:eastAsia="bg-BG"/>
        </w:rPr>
      </w:pPr>
    </w:p>
    <w:p w14:paraId="18AF8A7B" w14:textId="4B9483E8"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u w:val="single"/>
          <w:lang w:eastAsia="bg-BG"/>
        </w:rPr>
        <w:t>д.</w:t>
      </w:r>
      <w:r w:rsidRPr="00D03AB0">
        <w:rPr>
          <w:rFonts w:eastAsia="Times New Roman" w:cs="Arial"/>
          <w:color w:val="000000"/>
          <w:szCs w:val="20"/>
          <w:u w:val="single"/>
          <w:lang w:eastAsia="bg-BG"/>
        </w:rPr>
        <w:tab/>
        <w:t>Старческа популация</w:t>
      </w:r>
    </w:p>
    <w:p w14:paraId="4F181981" w14:textId="77777777" w:rsidR="00D03AB0" w:rsidRPr="00D03AB0" w:rsidRDefault="00D03AB0" w:rsidP="00D03AB0">
      <w:pPr>
        <w:rPr>
          <w:rFonts w:eastAsia="Times New Roman" w:cs="Arial"/>
          <w:color w:val="000000"/>
          <w:szCs w:val="20"/>
          <w:lang w:eastAsia="bg-BG"/>
        </w:rPr>
      </w:pPr>
    </w:p>
    <w:p w14:paraId="36F24E76" w14:textId="77777777" w:rsidR="00D03AB0" w:rsidRPr="00D03AB0" w:rsidRDefault="00D03AB0" w:rsidP="00D03AB0">
      <w:pPr>
        <w:rPr>
          <w:rFonts w:eastAsia="Times New Roman" w:cs="Arial"/>
          <w:lang w:eastAsia="bg-BG"/>
        </w:rPr>
      </w:pPr>
      <w:r w:rsidRPr="00D03AB0">
        <w:rPr>
          <w:rFonts w:eastAsia="Times New Roman" w:cs="Arial"/>
          <w:color w:val="000000"/>
          <w:szCs w:val="20"/>
          <w:lang w:eastAsia="bg-BG"/>
        </w:rPr>
        <w:t xml:space="preserve">В проучването за монотерапия, сравняващо лакозамид с карбамазепин </w:t>
      </w:r>
      <w:r w:rsidRPr="00D03AB0">
        <w:rPr>
          <w:rFonts w:eastAsia="Times New Roman" w:cs="Arial"/>
          <w:color w:val="000000"/>
          <w:szCs w:val="20"/>
          <w:lang w:val="en-US"/>
        </w:rPr>
        <w:t xml:space="preserve">CR, </w:t>
      </w:r>
      <w:r w:rsidRPr="00D03AB0">
        <w:rPr>
          <w:rFonts w:eastAsia="Times New Roman" w:cs="Arial"/>
          <w:color w:val="000000"/>
          <w:szCs w:val="20"/>
          <w:lang w:eastAsia="bg-BG"/>
        </w:rPr>
        <w:t>видът на</w:t>
      </w:r>
      <w:r>
        <w:rPr>
          <w:rFonts w:eastAsia="Times New Roman" w:cs="Arial"/>
          <w:color w:val="000000"/>
          <w:szCs w:val="20"/>
          <w:lang w:val="en-US" w:eastAsia="bg-BG"/>
        </w:rPr>
        <w:t xml:space="preserve"> </w:t>
      </w:r>
      <w:r w:rsidRPr="00D03AB0">
        <w:rPr>
          <w:rFonts w:eastAsia="Times New Roman" w:cs="Arial"/>
          <w:color w:val="000000"/>
          <w:lang w:eastAsia="bg-BG"/>
        </w:rPr>
        <w:t xml:space="preserve">нежеланите реакции свързани с лакозамид при пациенти в старческа възраст (&gt; 65 години) е сходен с този, наблюдаван при пациенти на възраст под 65 години. Въпреки това, по-висока честота (разлика &gt; 5%) на падане, диария и тремор са съобщени при пациенти в старческа възраст спрямо по-млади възрастни пациенти. Най-честата свързана със сърцето нежелана реакция в старческа възраст спрямо по-млада популация е </w:t>
      </w:r>
      <w:r w:rsidRPr="00D03AB0">
        <w:rPr>
          <w:rFonts w:eastAsia="Times New Roman" w:cs="Arial"/>
          <w:color w:val="000000"/>
          <w:lang w:val="en-US"/>
        </w:rPr>
        <w:t xml:space="preserve">AV </w:t>
      </w:r>
      <w:r w:rsidRPr="00D03AB0">
        <w:rPr>
          <w:rFonts w:eastAsia="Times New Roman" w:cs="Arial"/>
          <w:color w:val="000000"/>
          <w:lang w:eastAsia="bg-BG"/>
        </w:rPr>
        <w:t>блок първа степен. Тя се съобщава при 4,8% (3/62) при пациентите на лакозамид в старческа възраст спрямо 1,6% (6/382) при по-млади възрастни пациенти. Прекъсване на лечението поради нежелани реакции, наблюдавани с лакозамид е 21,0% (13/62) при пациенти в старческа възраст спрямо 9,2% (35/382) при п</w:t>
      </w:r>
      <w:r w:rsidRPr="00D03AB0">
        <w:rPr>
          <w:rFonts w:eastAsia="Times New Roman" w:cs="Arial"/>
          <w:color w:val="000000"/>
          <w:lang w:val="en-US"/>
        </w:rPr>
        <w:t>o</w:t>
      </w:r>
      <w:r w:rsidRPr="00D03AB0">
        <w:rPr>
          <w:rFonts w:eastAsia="Times New Roman" w:cs="Arial"/>
          <w:color w:val="000000"/>
          <w:lang w:eastAsia="bg-BG"/>
        </w:rPr>
        <w:t>-младите възрастни пациенти. Тези разлики между пациенти в старческа възраст и по-млади възрастни пациенти са сходни с тези, наблюдавани при активната група за сравнение.</w:t>
      </w:r>
    </w:p>
    <w:p w14:paraId="759DCC8B" w14:textId="77777777" w:rsidR="00D03AB0" w:rsidRPr="00D03AB0" w:rsidRDefault="00D03AB0" w:rsidP="00D03AB0">
      <w:pPr>
        <w:spacing w:line="240" w:lineRule="auto"/>
        <w:rPr>
          <w:rFonts w:eastAsia="Times New Roman" w:cs="Arial"/>
          <w:color w:val="000000"/>
          <w:u w:val="single"/>
          <w:lang w:eastAsia="bg-BG"/>
        </w:rPr>
      </w:pPr>
    </w:p>
    <w:p w14:paraId="08B8E468" w14:textId="1A5979AE" w:rsidR="00D03AB0" w:rsidRPr="00D03AB0" w:rsidRDefault="00D03AB0" w:rsidP="00D03AB0">
      <w:pPr>
        <w:spacing w:line="240" w:lineRule="auto"/>
        <w:rPr>
          <w:rFonts w:eastAsia="Times New Roman" w:cs="Arial"/>
          <w:lang w:eastAsia="bg-BG"/>
        </w:rPr>
      </w:pPr>
      <w:r w:rsidRPr="00D03AB0">
        <w:rPr>
          <w:rFonts w:eastAsia="Times New Roman" w:cs="Arial"/>
          <w:color w:val="000000"/>
          <w:u w:val="single"/>
          <w:lang w:eastAsia="bg-BG"/>
        </w:rPr>
        <w:t>Съобщаване на подозирани нежелани реакции</w:t>
      </w:r>
    </w:p>
    <w:p w14:paraId="44162A1E" w14:textId="381F0D99" w:rsidR="00D03AB0" w:rsidRPr="00D03AB0" w:rsidRDefault="00D03AB0" w:rsidP="00D03AB0">
      <w:pPr>
        <w:rPr>
          <w:rFonts w:cs="Arial"/>
          <w:lang w:val="en-US"/>
        </w:rPr>
      </w:pPr>
      <w:r w:rsidRPr="00D03AB0">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се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Изпълнителната агенция по лекарствата, ул. „Дамян Груев“ № 8,1303 София, тел.: +359 2 8903417, уебсайт: </w:t>
      </w:r>
      <w:r w:rsidRPr="00D03AB0">
        <w:rPr>
          <w:rFonts w:eastAsia="Times New Roman" w:cs="Arial"/>
          <w:lang w:eastAsia="bg-BG"/>
        </w:rPr>
        <w:fldChar w:fldCharType="begin"/>
      </w:r>
      <w:r w:rsidRPr="00D03AB0">
        <w:rPr>
          <w:rFonts w:eastAsia="Times New Roman" w:cs="Arial"/>
          <w:lang w:eastAsia="bg-BG"/>
        </w:rPr>
        <w:instrText xml:space="preserve"> HYPERLINK "http://www.bda.bg" </w:instrText>
      </w:r>
      <w:r w:rsidRPr="00D03AB0">
        <w:rPr>
          <w:rFonts w:eastAsia="Times New Roman" w:cs="Arial"/>
          <w:lang w:eastAsia="bg-BG"/>
        </w:rPr>
      </w:r>
      <w:r w:rsidRPr="00D03AB0">
        <w:rPr>
          <w:rFonts w:eastAsia="Times New Roman" w:cs="Arial"/>
          <w:lang w:eastAsia="bg-BG"/>
        </w:rPr>
        <w:fldChar w:fldCharType="separate"/>
      </w:r>
      <w:r w:rsidRPr="00D03AB0">
        <w:rPr>
          <w:rFonts w:eastAsia="Times New Roman" w:cs="Arial"/>
          <w:color w:val="000000"/>
          <w:u w:val="single"/>
          <w:lang w:val="en-US"/>
        </w:rPr>
        <w:t>www.bda.bg</w:t>
      </w:r>
      <w:r w:rsidRPr="00D03AB0">
        <w:rPr>
          <w:rFonts w:eastAsia="Times New Roman" w:cs="Arial"/>
          <w:lang w:eastAsia="bg-BG"/>
        </w:rPr>
        <w:fldChar w:fldCharType="end"/>
      </w:r>
      <w:r w:rsidRPr="00D03AB0">
        <w:rPr>
          <w:rFonts w:eastAsia="Times New Roman" w:cs="Arial"/>
          <w:color w:val="000000"/>
          <w:u w:val="single"/>
          <w:lang w:val="en-US"/>
        </w:rPr>
        <w:t>,</w:t>
      </w:r>
    </w:p>
    <w:p w14:paraId="6D21A59C" w14:textId="3EDB3314" w:rsidR="00D03AB0" w:rsidRPr="0091385D" w:rsidRDefault="00D03AB0" w:rsidP="0091385D"/>
    <w:p w14:paraId="0A023CE0" w14:textId="13F87CFD" w:rsidR="00CF77F7" w:rsidRDefault="002C50EE" w:rsidP="004A448E">
      <w:pPr>
        <w:pStyle w:val="Heading2"/>
      </w:pPr>
      <w:r>
        <w:t>4.9. Предозиране</w:t>
      </w:r>
    </w:p>
    <w:p w14:paraId="3EDFC3FC" w14:textId="296E7EBA" w:rsidR="0091385D" w:rsidRDefault="0091385D" w:rsidP="0091385D"/>
    <w:p w14:paraId="054D515F" w14:textId="77777777" w:rsidR="00D03AB0" w:rsidRPr="008772D5" w:rsidRDefault="00D03AB0" w:rsidP="008772D5">
      <w:pPr>
        <w:pStyle w:val="Heading3"/>
        <w:rPr>
          <w:rFonts w:eastAsia="Times New Roman"/>
          <w:sz w:val="28"/>
          <w:u w:val="single"/>
          <w:lang w:eastAsia="bg-BG"/>
        </w:rPr>
      </w:pPr>
      <w:r w:rsidRPr="008772D5">
        <w:rPr>
          <w:rFonts w:eastAsia="Times New Roman"/>
          <w:u w:val="single"/>
          <w:lang w:eastAsia="bg-BG"/>
        </w:rPr>
        <w:t>Симптоми</w:t>
      </w:r>
    </w:p>
    <w:p w14:paraId="023769A8" w14:textId="21EE0F30" w:rsidR="00D03AB0" w:rsidRPr="00D03AB0" w:rsidRDefault="00D03AB0" w:rsidP="00D03AB0">
      <w:pPr>
        <w:spacing w:line="240" w:lineRule="auto"/>
        <w:rPr>
          <w:rFonts w:eastAsia="Times New Roman" w:cs="Arial"/>
          <w:color w:val="000000"/>
          <w:szCs w:val="20"/>
          <w:lang w:eastAsia="bg-BG"/>
        </w:rPr>
      </w:pPr>
      <w:r w:rsidRPr="00D03AB0">
        <w:rPr>
          <w:rFonts w:eastAsia="Times New Roman" w:cs="Arial"/>
          <w:color w:val="000000"/>
          <w:szCs w:val="20"/>
          <w:lang w:eastAsia="bg-BG"/>
        </w:rPr>
        <w:t>Симптомите, наблюдавани след случайно или преднамерено предозиране на лакозамид са свързани главно с ЦНС и стомашно-чревна система.</w:t>
      </w:r>
    </w:p>
    <w:p w14:paraId="44C97B94" w14:textId="77777777" w:rsidR="00D03AB0" w:rsidRPr="00D03AB0" w:rsidRDefault="00D03AB0" w:rsidP="00D03AB0">
      <w:pPr>
        <w:spacing w:line="240" w:lineRule="auto"/>
        <w:rPr>
          <w:rFonts w:eastAsia="Times New Roman" w:cs="Arial"/>
          <w:sz w:val="28"/>
          <w:szCs w:val="24"/>
          <w:lang w:eastAsia="bg-BG"/>
        </w:rPr>
      </w:pPr>
    </w:p>
    <w:p w14:paraId="22DCF1BA"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w:t>
      </w:r>
      <w:r w:rsidRPr="00D03AB0">
        <w:rPr>
          <w:rFonts w:eastAsia="Times New Roman" w:cs="Arial"/>
          <w:color w:val="000000"/>
          <w:szCs w:val="20"/>
          <w:lang w:eastAsia="bg-BG"/>
        </w:rPr>
        <w:tab/>
        <w:t xml:space="preserve">Видовете нежелани реакции, наблюдавани при пациенти, приели дози над 400 </w:t>
      </w:r>
      <w:r w:rsidRPr="00D03AB0">
        <w:rPr>
          <w:rFonts w:eastAsia="Times New Roman" w:cs="Arial"/>
          <w:color w:val="000000"/>
          <w:szCs w:val="20"/>
          <w:lang w:val="en-US"/>
        </w:rPr>
        <w:t xml:space="preserve">mg </w:t>
      </w:r>
      <w:r w:rsidRPr="00D03AB0">
        <w:rPr>
          <w:rFonts w:eastAsia="Times New Roman" w:cs="Arial"/>
          <w:color w:val="000000"/>
          <w:szCs w:val="20"/>
          <w:lang w:eastAsia="bg-BG"/>
        </w:rPr>
        <w:t xml:space="preserve">до 800 </w:t>
      </w:r>
      <w:r w:rsidRPr="00D03AB0">
        <w:rPr>
          <w:rFonts w:eastAsia="Times New Roman" w:cs="Arial"/>
          <w:color w:val="000000"/>
          <w:szCs w:val="20"/>
          <w:lang w:val="en-US"/>
        </w:rPr>
        <w:t xml:space="preserve">mg, </w:t>
      </w:r>
      <w:r w:rsidRPr="00D03AB0">
        <w:rPr>
          <w:rFonts w:eastAsia="Times New Roman" w:cs="Arial"/>
          <w:color w:val="000000"/>
          <w:szCs w:val="20"/>
          <w:lang w:eastAsia="bg-BG"/>
        </w:rPr>
        <w:t>не са били клинично различни от тези при пациенти, приемали препоръчителните дози лакозамид.</w:t>
      </w:r>
    </w:p>
    <w:p w14:paraId="1132400C"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w:t>
      </w:r>
      <w:r w:rsidRPr="00D03AB0">
        <w:rPr>
          <w:rFonts w:eastAsia="Times New Roman" w:cs="Arial"/>
          <w:color w:val="000000"/>
          <w:szCs w:val="20"/>
          <w:lang w:eastAsia="bg-BG"/>
        </w:rPr>
        <w:tab/>
        <w:t xml:space="preserve">Реакции, съобщени след прием на над 800 </w:t>
      </w:r>
      <w:r w:rsidRPr="00D03AB0">
        <w:rPr>
          <w:rFonts w:eastAsia="Times New Roman" w:cs="Arial"/>
          <w:color w:val="000000"/>
          <w:szCs w:val="20"/>
          <w:lang w:val="en-US"/>
        </w:rPr>
        <w:t xml:space="preserve">mg </w:t>
      </w:r>
      <w:r w:rsidRPr="00D03AB0">
        <w:rPr>
          <w:rFonts w:eastAsia="Times New Roman" w:cs="Arial"/>
          <w:color w:val="000000"/>
          <w:szCs w:val="20"/>
          <w:lang w:eastAsia="bg-BG"/>
        </w:rPr>
        <w:t>са замаяност, гадене, повръщане, припадъци (генерализирани тонично-клонични припадьци, статус епилептикус). Нарушения на сърдечната проводимост, шок и кома също са били наблюдавани. Смъртни случаи са съобщавани при пациенти след остро еднократно предозиране с няколко грама лакозамид.</w:t>
      </w:r>
    </w:p>
    <w:p w14:paraId="7F70B574" w14:textId="77777777" w:rsidR="00D03AB0" w:rsidRPr="00D03AB0" w:rsidRDefault="00D03AB0" w:rsidP="00D03AB0">
      <w:pPr>
        <w:spacing w:line="240" w:lineRule="auto"/>
        <w:rPr>
          <w:rFonts w:eastAsia="Times New Roman" w:cs="Arial"/>
          <w:color w:val="000000"/>
          <w:szCs w:val="20"/>
          <w:u w:val="single"/>
          <w:lang w:eastAsia="bg-BG"/>
        </w:rPr>
      </w:pPr>
    </w:p>
    <w:p w14:paraId="4FCFBDD0" w14:textId="0DCFFEDA" w:rsidR="00D03AB0" w:rsidRPr="008772D5" w:rsidRDefault="00D03AB0" w:rsidP="008772D5">
      <w:pPr>
        <w:pStyle w:val="Heading3"/>
        <w:rPr>
          <w:rFonts w:eastAsia="Times New Roman"/>
          <w:sz w:val="28"/>
          <w:u w:val="single"/>
          <w:lang w:eastAsia="bg-BG"/>
        </w:rPr>
      </w:pPr>
      <w:r w:rsidRPr="008772D5">
        <w:rPr>
          <w:rFonts w:eastAsia="Times New Roman"/>
          <w:u w:val="single"/>
          <w:lang w:eastAsia="bg-BG"/>
        </w:rPr>
        <w:lastRenderedPageBreak/>
        <w:t>Мерки при предозиране</w:t>
      </w:r>
    </w:p>
    <w:p w14:paraId="0F0079CB" w14:textId="6FB1A9E7" w:rsidR="0091385D" w:rsidRPr="00D03AB0" w:rsidRDefault="00D03AB0" w:rsidP="00D03AB0">
      <w:pPr>
        <w:rPr>
          <w:rFonts w:cs="Arial"/>
          <w:sz w:val="24"/>
        </w:rPr>
      </w:pPr>
      <w:r w:rsidRPr="00D03AB0">
        <w:rPr>
          <w:rFonts w:eastAsia="Times New Roman" w:cs="Arial"/>
          <w:color w:val="000000"/>
          <w:szCs w:val="20"/>
          <w:lang w:eastAsia="bg-BG"/>
        </w:rPr>
        <w:t>Няма специфичен антидот в случай на предозиране с лакозамид. Лечението при предозиране с лакозамид включва предприемането на общоприетите поддържащи мерки, като при необходимост може да включва хемодиализа (вж. точка 5.2).</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44345EC9" w:rsidR="0091385D" w:rsidRDefault="0091385D" w:rsidP="0091385D"/>
    <w:p w14:paraId="796C0689"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 xml:space="preserve">Фармакотерапевтична група: антиепилептици, други антиепилептици, АТС код: </w:t>
      </w:r>
      <w:r w:rsidRPr="00D03AB0">
        <w:rPr>
          <w:rFonts w:eastAsia="Times New Roman" w:cs="Arial"/>
          <w:color w:val="000000"/>
          <w:szCs w:val="20"/>
          <w:lang w:val="en-US"/>
        </w:rPr>
        <w:t>N03AX18</w:t>
      </w:r>
    </w:p>
    <w:p w14:paraId="5375E71D" w14:textId="77777777" w:rsidR="00D03AB0" w:rsidRPr="00D03AB0" w:rsidRDefault="00D03AB0" w:rsidP="00D03AB0">
      <w:pPr>
        <w:spacing w:line="240" w:lineRule="auto"/>
        <w:rPr>
          <w:rFonts w:eastAsia="Times New Roman" w:cs="Arial"/>
          <w:color w:val="000000"/>
          <w:szCs w:val="20"/>
          <w:u w:val="single"/>
          <w:lang w:eastAsia="bg-BG"/>
        </w:rPr>
      </w:pPr>
    </w:p>
    <w:p w14:paraId="4043BA51" w14:textId="66151FE8"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u w:val="single"/>
          <w:lang w:eastAsia="bg-BG"/>
        </w:rPr>
        <w:t>Механизъм на действие</w:t>
      </w:r>
    </w:p>
    <w:p w14:paraId="28252AA0" w14:textId="1CB58043" w:rsidR="0091385D" w:rsidRDefault="00D03AB0" w:rsidP="00D03AB0">
      <w:pPr>
        <w:rPr>
          <w:rFonts w:eastAsia="Times New Roman" w:cs="Arial"/>
          <w:color w:val="000000"/>
          <w:szCs w:val="20"/>
          <w:lang w:eastAsia="bg-BG"/>
        </w:rPr>
      </w:pPr>
      <w:r w:rsidRPr="00D03AB0">
        <w:rPr>
          <w:rFonts w:eastAsia="Times New Roman" w:cs="Arial"/>
          <w:color w:val="000000"/>
          <w:szCs w:val="20"/>
          <w:lang w:eastAsia="bg-BG"/>
        </w:rPr>
        <w:t>Активното вещество, лакозамид (</w:t>
      </w:r>
      <w:r w:rsidRPr="00D03AB0">
        <w:rPr>
          <w:rFonts w:eastAsia="Times New Roman" w:cs="Arial"/>
          <w:color w:val="000000"/>
          <w:szCs w:val="20"/>
          <w:lang w:val="en-US"/>
        </w:rPr>
        <w:t>R</w:t>
      </w:r>
      <w:r w:rsidRPr="00D03AB0">
        <w:rPr>
          <w:rFonts w:eastAsia="Times New Roman" w:cs="Arial"/>
          <w:color w:val="000000"/>
          <w:szCs w:val="20"/>
          <w:lang w:eastAsia="bg-BG"/>
        </w:rPr>
        <w:t>-2-ацстамидо-</w:t>
      </w:r>
      <w:r w:rsidRPr="00D03AB0">
        <w:rPr>
          <w:rFonts w:eastAsia="Times New Roman" w:cs="Arial"/>
          <w:color w:val="000000"/>
          <w:szCs w:val="20"/>
          <w:lang w:val="en-US"/>
        </w:rPr>
        <w:t>N</w:t>
      </w:r>
      <w:r w:rsidRPr="00D03AB0">
        <w:rPr>
          <w:rFonts w:eastAsia="Times New Roman" w:cs="Arial"/>
          <w:color w:val="000000"/>
          <w:szCs w:val="20"/>
          <w:lang w:eastAsia="bg-BG"/>
        </w:rPr>
        <w:t>-бензил-3-метоксипропионамид) представлява функционализирана аминокиселина.</w:t>
      </w:r>
    </w:p>
    <w:p w14:paraId="7A065770" w14:textId="6055605E" w:rsidR="008772D5" w:rsidRDefault="008772D5" w:rsidP="00D03AB0">
      <w:pPr>
        <w:rPr>
          <w:rFonts w:eastAsia="Times New Roman" w:cs="Arial"/>
          <w:color w:val="000000"/>
          <w:szCs w:val="20"/>
          <w:lang w:eastAsia="bg-BG"/>
        </w:rPr>
      </w:pPr>
    </w:p>
    <w:p w14:paraId="4A35E218"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Точният механизъм на антиепилептичния ефект на лакозамид при хора все още не е напълно изяснен.</w:t>
      </w:r>
    </w:p>
    <w:p w14:paraId="102F8764"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i/>
          <w:iCs/>
          <w:color w:val="000000"/>
          <w:szCs w:val="20"/>
          <w:lang w:val="en-US"/>
        </w:rPr>
        <w:t>In vitro</w:t>
      </w:r>
      <w:r w:rsidRPr="008772D5">
        <w:rPr>
          <w:rFonts w:eastAsia="Times New Roman" w:cs="Arial"/>
          <w:color w:val="000000"/>
          <w:szCs w:val="20"/>
          <w:lang w:val="en-US"/>
        </w:rPr>
        <w:t xml:space="preserve"> </w:t>
      </w:r>
      <w:r w:rsidRPr="008772D5">
        <w:rPr>
          <w:rFonts w:eastAsia="Times New Roman" w:cs="Arial"/>
          <w:color w:val="000000"/>
          <w:szCs w:val="20"/>
          <w:lang w:eastAsia="bg-BG"/>
        </w:rPr>
        <w:t>електрофизиологичните проучвания показват, че лакозамид селективно повишава бавното инактивиране на волтаж-зависимите натриеви канали, което води до стабилизиране на свръхвъзбудимите невронни мембрани.</w:t>
      </w:r>
    </w:p>
    <w:p w14:paraId="4263DBFC" w14:textId="77777777" w:rsidR="008772D5" w:rsidRPr="008772D5" w:rsidRDefault="008772D5" w:rsidP="008772D5">
      <w:pPr>
        <w:spacing w:line="240" w:lineRule="auto"/>
        <w:rPr>
          <w:rFonts w:eastAsia="Times New Roman" w:cs="Arial"/>
          <w:color w:val="000000"/>
          <w:szCs w:val="20"/>
          <w:u w:val="single"/>
          <w:lang w:eastAsia="bg-BG"/>
        </w:rPr>
      </w:pPr>
    </w:p>
    <w:p w14:paraId="0A69C48C" w14:textId="0CAF768E"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u w:val="single"/>
          <w:lang w:eastAsia="bg-BG"/>
        </w:rPr>
        <w:t>Фармакодинамични ефекти</w:t>
      </w:r>
    </w:p>
    <w:p w14:paraId="16A5F1B3"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Лакозамид предотвратява появата на пристъпи в обширен диапазон от животински модели на парциални и първично генерализирани пристъпи и забавя развитието на огнището на свръхвьзбудимост.</w:t>
      </w:r>
    </w:p>
    <w:p w14:paraId="77361466"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По време на неклинични експериментални проучвания лакозамид в комбинация с леветирацетам, карбамазепин, фенитоин, валпроат, топирамат или габапентин показва синергични или адитивни антиконвулсантни ефекти.</w:t>
      </w:r>
    </w:p>
    <w:p w14:paraId="341E6257" w14:textId="77777777" w:rsidR="008772D5" w:rsidRPr="008772D5" w:rsidRDefault="008772D5" w:rsidP="008772D5">
      <w:pPr>
        <w:spacing w:line="240" w:lineRule="auto"/>
        <w:rPr>
          <w:rFonts w:eastAsia="Times New Roman" w:cs="Arial"/>
          <w:color w:val="000000"/>
          <w:szCs w:val="20"/>
          <w:u w:val="single"/>
          <w:lang w:eastAsia="bg-BG"/>
        </w:rPr>
      </w:pPr>
    </w:p>
    <w:p w14:paraId="70B98BFB" w14:textId="6EE7225E"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u w:val="single"/>
          <w:lang w:eastAsia="bg-BG"/>
        </w:rPr>
        <w:t>Клинична ефикасност и безопасност (парциални пристъпи)</w:t>
      </w:r>
    </w:p>
    <w:p w14:paraId="193C1100"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u w:val="single"/>
          <w:lang w:eastAsia="bg-BG"/>
        </w:rPr>
        <w:t>При възрастни</w:t>
      </w:r>
    </w:p>
    <w:p w14:paraId="3D24EC2C" w14:textId="77777777" w:rsidR="008772D5" w:rsidRPr="008772D5" w:rsidRDefault="008772D5" w:rsidP="008772D5">
      <w:pPr>
        <w:spacing w:line="240" w:lineRule="auto"/>
        <w:rPr>
          <w:rFonts w:eastAsia="Times New Roman" w:cs="Arial"/>
          <w:i/>
          <w:iCs/>
          <w:color w:val="000000"/>
          <w:szCs w:val="20"/>
          <w:lang w:eastAsia="bg-BG"/>
        </w:rPr>
      </w:pPr>
    </w:p>
    <w:p w14:paraId="3064E75F" w14:textId="0BFB2772" w:rsidR="008772D5" w:rsidRPr="008772D5" w:rsidRDefault="008772D5" w:rsidP="008772D5">
      <w:pPr>
        <w:spacing w:line="240" w:lineRule="auto"/>
        <w:rPr>
          <w:rFonts w:eastAsia="Times New Roman" w:cs="Arial"/>
          <w:sz w:val="28"/>
          <w:szCs w:val="24"/>
          <w:lang w:eastAsia="bg-BG"/>
        </w:rPr>
      </w:pPr>
      <w:r w:rsidRPr="008772D5">
        <w:rPr>
          <w:rFonts w:eastAsia="Times New Roman" w:cs="Arial"/>
          <w:i/>
          <w:iCs/>
          <w:color w:val="000000"/>
          <w:szCs w:val="20"/>
          <w:lang w:eastAsia="bg-BG"/>
        </w:rPr>
        <w:t>Монотерапия</w:t>
      </w:r>
    </w:p>
    <w:p w14:paraId="2A0CEE19"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Ефикасността на лакозамид като монотерапия е установена в двойно-сляпо, паралелно-групово сравнение за неиифериорност с карбамазепин </w:t>
      </w:r>
      <w:r w:rsidRPr="008772D5">
        <w:rPr>
          <w:rFonts w:eastAsia="Times New Roman" w:cs="Arial"/>
          <w:color w:val="000000"/>
          <w:szCs w:val="20"/>
          <w:lang w:val="en-US"/>
        </w:rPr>
        <w:t xml:space="preserve">CR </w:t>
      </w:r>
      <w:r w:rsidRPr="008772D5">
        <w:rPr>
          <w:rFonts w:eastAsia="Times New Roman" w:cs="Arial"/>
          <w:color w:val="000000"/>
          <w:szCs w:val="20"/>
          <w:lang w:eastAsia="bg-BG"/>
        </w:rPr>
        <w:t xml:space="preserve">при 886 пациенти на възраст 16 или повече години с новопоявила се или наскоро диагностицирана епилепсия. Пациентите е трябвало да бъдат с непредизвикани парциални пристъпи, със или без вторична генерализация. Пациентите са рандомизирани на карбамазепии </w:t>
      </w:r>
      <w:r w:rsidRPr="008772D5">
        <w:rPr>
          <w:rFonts w:eastAsia="Times New Roman" w:cs="Arial"/>
          <w:color w:val="000000"/>
          <w:szCs w:val="20"/>
          <w:lang w:val="en-US"/>
        </w:rPr>
        <w:t xml:space="preserve">CR </w:t>
      </w:r>
      <w:r w:rsidRPr="008772D5">
        <w:rPr>
          <w:rFonts w:eastAsia="Times New Roman" w:cs="Arial"/>
          <w:color w:val="000000"/>
          <w:szCs w:val="20"/>
          <w:lang w:eastAsia="bg-BG"/>
        </w:rPr>
        <w:t xml:space="preserve">или лакозамид, под формата на таблетки, в съотношение 1:1. Дозата е била определена от зависимостта доза-отговор и варира между 400 и 1200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/деи за карбамазепии </w:t>
      </w:r>
      <w:r w:rsidRPr="008772D5">
        <w:rPr>
          <w:rFonts w:eastAsia="Times New Roman" w:cs="Arial"/>
          <w:color w:val="000000"/>
          <w:szCs w:val="20"/>
          <w:lang w:val="en-US"/>
        </w:rPr>
        <w:t xml:space="preserve">CR </w:t>
      </w:r>
      <w:r w:rsidRPr="008772D5">
        <w:rPr>
          <w:rFonts w:eastAsia="Times New Roman" w:cs="Arial"/>
          <w:color w:val="000000"/>
          <w:szCs w:val="20"/>
          <w:lang w:eastAsia="bg-BG"/>
        </w:rPr>
        <w:t xml:space="preserve">и от 200 до 600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/ден за лакозамид. Продължителността на лечението е до 121 седмици, в зависимост от отговора.</w:t>
      </w:r>
    </w:p>
    <w:p w14:paraId="4D16EC9A"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Честотата на липса иа пристъпи за 6 месеца се оценява на 89,8% от пациентите, приемащи лакозамид и на 91,1 % от пациентите, приемащи карбамазепии </w:t>
      </w:r>
      <w:r w:rsidRPr="008772D5">
        <w:rPr>
          <w:rFonts w:eastAsia="Times New Roman" w:cs="Arial"/>
          <w:color w:val="000000"/>
          <w:szCs w:val="20"/>
          <w:lang w:val="en-US"/>
        </w:rPr>
        <w:t xml:space="preserve">CR, </w:t>
      </w:r>
      <w:r w:rsidRPr="008772D5">
        <w:rPr>
          <w:rFonts w:eastAsia="Times New Roman" w:cs="Arial"/>
          <w:color w:val="000000"/>
          <w:szCs w:val="20"/>
          <w:lang w:eastAsia="bg-BG"/>
        </w:rPr>
        <w:t xml:space="preserve">като се използва методът за анализ на преживяемостта по </w:t>
      </w:r>
      <w:r w:rsidRPr="008772D5">
        <w:rPr>
          <w:rFonts w:eastAsia="Times New Roman" w:cs="Arial"/>
          <w:color w:val="000000"/>
          <w:szCs w:val="20"/>
          <w:lang w:val="en-US"/>
        </w:rPr>
        <w:t xml:space="preserve">Kaplan-Meier. </w:t>
      </w:r>
      <w:r w:rsidRPr="008772D5">
        <w:rPr>
          <w:rFonts w:eastAsia="Times New Roman" w:cs="Arial"/>
          <w:color w:val="000000"/>
          <w:szCs w:val="20"/>
          <w:lang w:eastAsia="bg-BG"/>
        </w:rPr>
        <w:t xml:space="preserve">Коригираната абсолютна разлика между леченията е -1,3% (95% </w:t>
      </w:r>
      <w:r w:rsidRPr="008772D5">
        <w:rPr>
          <w:rFonts w:eastAsia="Times New Roman" w:cs="Arial"/>
          <w:color w:val="000000"/>
          <w:szCs w:val="20"/>
          <w:lang w:val="en-US"/>
        </w:rPr>
        <w:t>CI</w:t>
      </w:r>
      <w:r w:rsidRPr="008772D5">
        <w:rPr>
          <w:rFonts w:eastAsia="Times New Roman" w:cs="Arial"/>
          <w:color w:val="000000"/>
          <w:szCs w:val="20"/>
          <w:lang w:eastAsia="bg-BG"/>
        </w:rPr>
        <w:t xml:space="preserve">. -5,5,2,8). Оценените резултати по </w:t>
      </w:r>
      <w:r w:rsidRPr="008772D5">
        <w:rPr>
          <w:rFonts w:eastAsia="Times New Roman" w:cs="Arial"/>
          <w:color w:val="000000"/>
          <w:szCs w:val="20"/>
          <w:lang w:val="en-US"/>
        </w:rPr>
        <w:t xml:space="preserve">Kaplan-Meier </w:t>
      </w:r>
      <w:r w:rsidRPr="008772D5">
        <w:rPr>
          <w:rFonts w:eastAsia="Times New Roman" w:cs="Arial"/>
          <w:color w:val="000000"/>
          <w:szCs w:val="20"/>
          <w:lang w:eastAsia="bg-BG"/>
        </w:rPr>
        <w:t xml:space="preserve">за липса на пристъпи за периодите 12 месеца са 77,8% при пациентите, лекувани с лакозамид и 82,7% при пациентите, лекувани с карбамазепин </w:t>
      </w:r>
      <w:r w:rsidRPr="008772D5">
        <w:rPr>
          <w:rFonts w:eastAsia="Times New Roman" w:cs="Arial"/>
          <w:color w:val="000000"/>
          <w:szCs w:val="20"/>
          <w:lang w:val="en-US"/>
        </w:rPr>
        <w:t>CR.</w:t>
      </w:r>
    </w:p>
    <w:p w14:paraId="037FC0A4"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lastRenderedPageBreak/>
        <w:t xml:space="preserve">Честотата на липсата на пристъпи за 6 месеца при пациенти в старческа възраст на 65 и повече години (62 пациенти на лакозамид, 57 пациенти на карбамазепин </w:t>
      </w:r>
      <w:r w:rsidRPr="008772D5">
        <w:rPr>
          <w:rFonts w:eastAsia="Times New Roman" w:cs="Arial"/>
          <w:color w:val="000000"/>
          <w:szCs w:val="20"/>
          <w:lang w:val="en-US"/>
        </w:rPr>
        <w:t xml:space="preserve">CR) </w:t>
      </w:r>
      <w:r w:rsidRPr="008772D5">
        <w:rPr>
          <w:rFonts w:eastAsia="Times New Roman" w:cs="Arial"/>
          <w:color w:val="000000"/>
          <w:szCs w:val="20"/>
          <w:lang w:eastAsia="bg-BG"/>
        </w:rPr>
        <w:t xml:space="preserve">е била сравнима между двете групи на лечение. Честотите също са били сравними с тези, наблюдавани в общата популация. В старческата популация, поддържащата доза лакозамид е била 200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/ден при 55 пациенти (88,7%), 400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/ден при 6 пациенти (9,7%), като дозата е повишена до над 400 </w:t>
      </w:r>
      <w:r w:rsidRPr="008772D5">
        <w:rPr>
          <w:rFonts w:eastAsia="Times New Roman" w:cs="Arial"/>
          <w:color w:val="000000"/>
          <w:szCs w:val="20"/>
          <w:lang w:val="en-US"/>
        </w:rPr>
        <w:t>mg</w:t>
      </w:r>
      <w:r w:rsidRPr="008772D5">
        <w:rPr>
          <w:rFonts w:eastAsia="Times New Roman" w:cs="Arial"/>
          <w:color w:val="000000"/>
          <w:szCs w:val="20"/>
          <w:lang w:eastAsia="bg-BG"/>
        </w:rPr>
        <w:t>/ден при 1 пациент (1,6%).</w:t>
      </w:r>
    </w:p>
    <w:p w14:paraId="2CAEC427" w14:textId="77777777" w:rsidR="008772D5" w:rsidRPr="008772D5" w:rsidRDefault="008772D5" w:rsidP="008772D5">
      <w:pPr>
        <w:spacing w:line="240" w:lineRule="auto"/>
        <w:rPr>
          <w:rFonts w:eastAsia="Times New Roman" w:cs="Arial"/>
          <w:i/>
          <w:iCs/>
          <w:color w:val="000000"/>
          <w:szCs w:val="20"/>
          <w:lang w:eastAsia="bg-BG"/>
        </w:rPr>
      </w:pPr>
    </w:p>
    <w:p w14:paraId="570E0E3F" w14:textId="4C8530D2" w:rsidR="008772D5" w:rsidRPr="008772D5" w:rsidRDefault="008772D5" w:rsidP="008772D5">
      <w:pPr>
        <w:spacing w:line="240" w:lineRule="auto"/>
        <w:rPr>
          <w:rFonts w:eastAsia="Times New Roman" w:cs="Arial"/>
          <w:sz w:val="28"/>
          <w:szCs w:val="24"/>
          <w:lang w:eastAsia="bg-BG"/>
        </w:rPr>
      </w:pPr>
      <w:r w:rsidRPr="008772D5">
        <w:rPr>
          <w:rFonts w:eastAsia="Times New Roman" w:cs="Arial"/>
          <w:i/>
          <w:iCs/>
          <w:color w:val="000000"/>
          <w:szCs w:val="20"/>
          <w:lang w:eastAsia="bg-BG"/>
        </w:rPr>
        <w:t>Преминаване към монотерапия</w:t>
      </w:r>
    </w:p>
    <w:p w14:paraId="47067F7C" w14:textId="09080CE2" w:rsidR="008772D5" w:rsidRPr="008772D5" w:rsidRDefault="008772D5" w:rsidP="008772D5">
      <w:pPr>
        <w:rPr>
          <w:rFonts w:eastAsia="Times New Roman" w:cs="Arial"/>
          <w:sz w:val="28"/>
          <w:szCs w:val="24"/>
          <w:lang w:eastAsia="bg-BG"/>
        </w:rPr>
      </w:pPr>
      <w:r w:rsidRPr="008772D5">
        <w:rPr>
          <w:rFonts w:eastAsia="Times New Roman" w:cs="Arial"/>
          <w:color w:val="000000"/>
          <w:szCs w:val="20"/>
          <w:lang w:eastAsia="bg-BG"/>
        </w:rPr>
        <w:t xml:space="preserve">Ефикасността н безопасността на лакозамид при преминаване към монотерапия са били оценени </w:t>
      </w:r>
      <w:r w:rsidRPr="008772D5">
        <w:rPr>
          <w:rFonts w:eastAsia="Times New Roman" w:cs="Arial"/>
          <w:i/>
          <w:iCs/>
          <w:color w:val="000000"/>
          <w:szCs w:val="20"/>
          <w:lang w:eastAsia="bg-BG"/>
        </w:rPr>
        <w:t>в</w:t>
      </w:r>
      <w:r w:rsidRPr="008772D5">
        <w:rPr>
          <w:rFonts w:eastAsia="Times New Roman" w:cs="Arial"/>
          <w:color w:val="000000"/>
          <w:szCs w:val="20"/>
          <w:lang w:eastAsia="bg-BG"/>
        </w:rPr>
        <w:t xml:space="preserve"> исторически-контролирано, многоцентрово, двойно-сляпо, рандомизирано изпитване. В това проучване 425 пациенти на възраст от 16 до 70 години с неконтролирани парциални пристъпи, приемащи постоянни дози от 1 или 2 разрешени за употреба антиепилептични лекарствени продукти, са били рандомизирани да преминат на монотерапия с лакозамид (или 400 </w:t>
      </w:r>
      <w:r w:rsidRPr="008772D5">
        <w:rPr>
          <w:rFonts w:eastAsia="Times New Roman" w:cs="Arial"/>
          <w:color w:val="000000"/>
          <w:szCs w:val="20"/>
          <w:lang w:val="en-US"/>
        </w:rPr>
        <w:t>mg</w:t>
      </w:r>
      <w:r w:rsidRPr="008772D5">
        <w:rPr>
          <w:rFonts w:eastAsia="Times New Roman" w:cs="Arial"/>
          <w:color w:val="000000"/>
          <w:szCs w:val="20"/>
          <w:lang w:eastAsia="bg-BG"/>
        </w:rPr>
        <w:t xml:space="preserve">/ден, или 300 </w:t>
      </w:r>
      <w:r w:rsidRPr="008772D5">
        <w:rPr>
          <w:rFonts w:eastAsia="Times New Roman" w:cs="Arial"/>
          <w:color w:val="000000"/>
          <w:szCs w:val="20"/>
          <w:lang w:val="en-US"/>
        </w:rPr>
        <w:t>mg</w:t>
      </w:r>
      <w:r w:rsidRPr="008772D5">
        <w:rPr>
          <w:rFonts w:eastAsia="Times New Roman" w:cs="Arial"/>
          <w:color w:val="000000"/>
          <w:szCs w:val="20"/>
          <w:lang w:eastAsia="bg-BG"/>
        </w:rPr>
        <w:t>/ден, в съотношение 3:1). При лекуваните пациенти</w:t>
      </w:r>
      <w:r>
        <w:rPr>
          <w:rFonts w:eastAsia="Times New Roman" w:cs="Arial"/>
          <w:color w:val="000000"/>
          <w:szCs w:val="20"/>
          <w:lang w:val="en-US" w:eastAsia="bg-BG"/>
        </w:rPr>
        <w:t xml:space="preserve"> </w:t>
      </w:r>
      <w:r w:rsidRPr="008772D5">
        <w:rPr>
          <w:rFonts w:eastAsia="Times New Roman" w:cs="Arial"/>
          <w:color w:val="000000"/>
          <w:szCs w:val="20"/>
          <w:lang w:eastAsia="bg-BG"/>
        </w:rPr>
        <w:t xml:space="preserve">преминали през </w:t>
      </w:r>
      <w:r>
        <w:rPr>
          <w:rFonts w:eastAsia="Times New Roman" w:cs="Arial"/>
          <w:color w:val="000000"/>
          <w:szCs w:val="20"/>
          <w:lang w:eastAsia="bg-BG"/>
        </w:rPr>
        <w:t xml:space="preserve">титриране и започнали да спират </w:t>
      </w:r>
      <w:r w:rsidRPr="008772D5">
        <w:rPr>
          <w:rFonts w:eastAsia="Times New Roman" w:cs="Arial"/>
          <w:color w:val="000000"/>
          <w:szCs w:val="20"/>
          <w:lang w:eastAsia="bg-BG"/>
        </w:rPr>
        <w:t>антиепилептиците (съответно 284 и 99), е поддържана монотерапия при 71,5% и 70,7% от пациентите, съответно за 57-105 дни (медиана 71 дни), в целевия период на наблюдение от 70 дни.</w:t>
      </w:r>
    </w:p>
    <w:p w14:paraId="0101EA57" w14:textId="77777777" w:rsidR="008772D5" w:rsidRPr="008772D5" w:rsidRDefault="008772D5" w:rsidP="008772D5">
      <w:pPr>
        <w:spacing w:line="240" w:lineRule="auto"/>
        <w:rPr>
          <w:rFonts w:eastAsia="Times New Roman" w:cs="Arial"/>
          <w:i/>
          <w:iCs/>
          <w:color w:val="000000"/>
          <w:szCs w:val="20"/>
          <w:lang w:eastAsia="bg-BG"/>
        </w:rPr>
      </w:pPr>
    </w:p>
    <w:p w14:paraId="5F559FAC" w14:textId="0BF64000" w:rsidR="008772D5" w:rsidRPr="008772D5" w:rsidRDefault="008772D5" w:rsidP="008772D5">
      <w:pPr>
        <w:spacing w:line="240" w:lineRule="auto"/>
        <w:rPr>
          <w:rFonts w:eastAsia="Times New Roman" w:cs="Arial"/>
          <w:sz w:val="28"/>
          <w:szCs w:val="24"/>
          <w:lang w:eastAsia="bg-BG"/>
        </w:rPr>
      </w:pPr>
      <w:r w:rsidRPr="008772D5">
        <w:rPr>
          <w:rFonts w:eastAsia="Times New Roman" w:cs="Arial"/>
          <w:i/>
          <w:iCs/>
          <w:color w:val="000000"/>
          <w:szCs w:val="20"/>
          <w:lang w:eastAsia="bg-BG"/>
        </w:rPr>
        <w:t>Допълващо лечение</w:t>
      </w:r>
    </w:p>
    <w:p w14:paraId="72DB6B57"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Ефикасността на лакозамид като допълващо лечение (200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дневно, 400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дневно) е оценена в 3 многоцентрови, рандомизирани, плацебо-контролирани клинични изпитвания с 12- седмична продължителност. Лакозамид 600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дневно показва също и ефективност в контролирани изпитвания за допълващо лечение, въпреки че ефикасността е близка до тази при 400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дневно, но поносимостта за пациентите е по-малка поради нежеланите лекарствени реакции от страна на ЦНС и стомашно-чревния тракт. Затова доза 600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дневно не се препоръчва. Максималната препоръчителна доза е 400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дневно. Тези проучвания, включващи 1 308 пациенти със средна продължителност на парциалните пристъпи от порядъка на 23 години, са проведени за оценка на ефикасността и безопасността на лакозамид при едновременното му приложение с 1 до 3 антиепилептици при пациенти с неконтролирани парциални пристъпи със или без вторично генерализиране. Общото съотношение на пациентите с 50% намаление на честотата на пристъпите е 23%, 34% и 40%, съответно за плацебо, лакозамид 200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дневно и лакозамид 400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дневно.</w:t>
      </w:r>
    </w:p>
    <w:p w14:paraId="04961026" w14:textId="77777777" w:rsidR="008772D5" w:rsidRPr="008772D5" w:rsidRDefault="008772D5" w:rsidP="008772D5">
      <w:pPr>
        <w:spacing w:line="240" w:lineRule="auto"/>
        <w:rPr>
          <w:rFonts w:eastAsia="Times New Roman" w:cs="Arial"/>
          <w:color w:val="000000"/>
          <w:szCs w:val="20"/>
          <w:lang w:eastAsia="bg-BG"/>
        </w:rPr>
      </w:pPr>
    </w:p>
    <w:p w14:paraId="66B1CAFC" w14:textId="160979E5"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Фармакокинетиката и безопасността на единична натоварваща доза от интравенозно приложен лакозамид са определени в многоцентрово, отворено проучване, планирано да оцени безопасността и поносимостта на бързото въвеждане на лакозамид чрез единична натоварваща </w:t>
      </w:r>
      <w:proofErr w:type="spellStart"/>
      <w:r w:rsidRPr="008772D5">
        <w:rPr>
          <w:rFonts w:eastAsia="Times New Roman" w:cs="Arial"/>
          <w:color w:val="000000"/>
          <w:szCs w:val="20"/>
          <w:lang w:val="en-US"/>
        </w:rPr>
        <w:t>i.v.</w:t>
      </w:r>
      <w:proofErr w:type="spellEnd"/>
      <w:r w:rsidRPr="008772D5">
        <w:rPr>
          <w:rFonts w:eastAsia="Times New Roman" w:cs="Arial"/>
          <w:color w:val="000000"/>
          <w:szCs w:val="20"/>
          <w:lang w:val="en-US"/>
        </w:rPr>
        <w:t xml:space="preserve"> </w:t>
      </w:r>
      <w:r w:rsidRPr="008772D5">
        <w:rPr>
          <w:rFonts w:eastAsia="Times New Roman" w:cs="Arial"/>
          <w:color w:val="000000"/>
          <w:szCs w:val="20"/>
          <w:lang w:eastAsia="bg-BG"/>
        </w:rPr>
        <w:t xml:space="preserve">доза (състояща се от 200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последвана от два пъти дневно перорално приложение (еквивалентно на </w:t>
      </w:r>
      <w:proofErr w:type="spellStart"/>
      <w:r w:rsidRPr="008772D5">
        <w:rPr>
          <w:rFonts w:eastAsia="Times New Roman" w:cs="Arial"/>
          <w:color w:val="000000"/>
          <w:szCs w:val="20"/>
          <w:lang w:val="en-US"/>
        </w:rPr>
        <w:t>i.v.</w:t>
      </w:r>
      <w:proofErr w:type="spellEnd"/>
      <w:r w:rsidRPr="008772D5">
        <w:rPr>
          <w:rFonts w:eastAsia="Times New Roman" w:cs="Arial"/>
          <w:color w:val="000000"/>
          <w:szCs w:val="20"/>
          <w:lang w:val="en-US"/>
        </w:rPr>
        <w:t xml:space="preserve"> </w:t>
      </w:r>
      <w:r w:rsidRPr="008772D5">
        <w:rPr>
          <w:rFonts w:eastAsia="Times New Roman" w:cs="Arial"/>
          <w:color w:val="000000"/>
          <w:szCs w:val="20"/>
          <w:lang w:eastAsia="bg-BG"/>
        </w:rPr>
        <w:t>доза) като съпътстваща терапия при възрастни пациенти от 16 до 60 години с припадъци с парциално начало.</w:t>
      </w:r>
    </w:p>
    <w:p w14:paraId="5A5F533F" w14:textId="77777777" w:rsidR="008772D5" w:rsidRPr="008772D5" w:rsidRDefault="008772D5" w:rsidP="008772D5">
      <w:pPr>
        <w:spacing w:line="240" w:lineRule="auto"/>
        <w:rPr>
          <w:rFonts w:eastAsia="Times New Roman" w:cs="Arial"/>
          <w:i/>
          <w:iCs/>
          <w:color w:val="000000"/>
          <w:szCs w:val="20"/>
          <w:u w:val="single"/>
          <w:lang w:eastAsia="bg-BG"/>
        </w:rPr>
      </w:pPr>
    </w:p>
    <w:p w14:paraId="4DC5126B" w14:textId="2ADC240A" w:rsidR="008772D5" w:rsidRPr="008772D5" w:rsidRDefault="008772D5" w:rsidP="008772D5">
      <w:pPr>
        <w:spacing w:line="240" w:lineRule="auto"/>
        <w:rPr>
          <w:rFonts w:eastAsia="Times New Roman" w:cs="Arial"/>
          <w:sz w:val="28"/>
          <w:szCs w:val="24"/>
          <w:lang w:eastAsia="bg-BG"/>
        </w:rPr>
      </w:pPr>
      <w:r w:rsidRPr="008772D5">
        <w:rPr>
          <w:rFonts w:eastAsia="Times New Roman" w:cs="Arial"/>
          <w:i/>
          <w:iCs/>
          <w:color w:val="000000"/>
          <w:szCs w:val="20"/>
          <w:u w:val="single"/>
          <w:lang w:eastAsia="bg-BG"/>
        </w:rPr>
        <w:t>Педиатрична популация</w:t>
      </w:r>
    </w:p>
    <w:p w14:paraId="0D955302" w14:textId="77777777" w:rsidR="008772D5" w:rsidRPr="008772D5" w:rsidRDefault="008772D5" w:rsidP="008772D5">
      <w:pPr>
        <w:spacing w:line="240" w:lineRule="auto"/>
        <w:rPr>
          <w:rFonts w:eastAsia="Times New Roman" w:cs="Arial"/>
          <w:color w:val="000000"/>
          <w:szCs w:val="20"/>
          <w:lang w:eastAsia="bg-BG"/>
        </w:rPr>
      </w:pPr>
    </w:p>
    <w:p w14:paraId="1C6069CA" w14:textId="4187B0C5"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Парциалните пристъпи имат подобна клинична изява при деца над 4 години и при възрастни. Ефикасността на лакозамид при деца на и над 4 години е била екстраполирана от данните при юноши и възрастни с парциални пристъпи, при които е очакван подобен ефект с адаптирани педиатрични дози (вж. точка 4.2) и е установена безопасност при лечението (вж. точка 4.8). Ефикасността, подкрепена от горепосочения принцип на екстраполация, се потвърждава от двойносляпо, рандомизирано, плацебо-</w:t>
      </w:r>
      <w:r w:rsidRPr="008772D5">
        <w:rPr>
          <w:rFonts w:eastAsia="Times New Roman" w:cs="Arial"/>
          <w:color w:val="000000"/>
          <w:szCs w:val="20"/>
          <w:lang w:eastAsia="bg-BG"/>
        </w:rPr>
        <w:lastRenderedPageBreak/>
        <w:t>контролирано проучване. Проучването включва 8- седмичен базов период, последван от 6-седмичен период на титриране. Пригодните пациенти със стабилна схема на прилагане от 1 до ≤ 3 антиепилептични лекарствени продукти, които все още са имали поне 2 парциални пристъпа през периода от 4 седмици преди скрининга с фаза, свободна от пристъпи, не по-дълга от 21 дни през 8-седмичния период преди навлизане в базовия период, са рандомизирани да получават или плацебо (</w:t>
      </w:r>
      <w:r w:rsidRPr="008772D5">
        <w:rPr>
          <w:rFonts w:eastAsia="Times New Roman" w:cs="Arial"/>
          <w:color w:val="000000"/>
          <w:szCs w:val="20"/>
          <w:lang w:val="en-US"/>
        </w:rPr>
        <w:t>n</w:t>
      </w:r>
      <w:r w:rsidRPr="008772D5">
        <w:rPr>
          <w:rFonts w:eastAsia="Times New Roman" w:cs="Arial"/>
          <w:color w:val="000000"/>
          <w:szCs w:val="20"/>
          <w:lang w:eastAsia="bg-BG"/>
        </w:rPr>
        <w:t>=172), или лакозамид (</w:t>
      </w:r>
      <w:r w:rsidRPr="008772D5">
        <w:rPr>
          <w:rFonts w:eastAsia="Times New Roman" w:cs="Arial"/>
          <w:color w:val="000000"/>
          <w:szCs w:val="20"/>
          <w:lang w:val="en-US"/>
        </w:rPr>
        <w:t>n</w:t>
      </w:r>
      <w:r w:rsidRPr="008772D5">
        <w:rPr>
          <w:rFonts w:eastAsia="Times New Roman" w:cs="Arial"/>
          <w:color w:val="000000"/>
          <w:szCs w:val="20"/>
          <w:lang w:eastAsia="bg-BG"/>
        </w:rPr>
        <w:t xml:space="preserve">=171). Прилагането е започнало в доза от 2 </w:t>
      </w:r>
      <w:r w:rsidRPr="008772D5">
        <w:rPr>
          <w:rFonts w:eastAsia="Times New Roman" w:cs="Arial"/>
          <w:color w:val="000000"/>
          <w:szCs w:val="20"/>
          <w:lang w:val="en-US"/>
        </w:rPr>
        <w:t>mg/kg</w:t>
      </w:r>
      <w:r w:rsidRPr="008772D5">
        <w:rPr>
          <w:rFonts w:eastAsia="Times New Roman" w:cs="Arial"/>
          <w:color w:val="000000"/>
          <w:szCs w:val="20"/>
          <w:lang w:eastAsia="bg-BG"/>
        </w:rPr>
        <w:t xml:space="preserve">/ден при участници с тегло под 50 </w:t>
      </w:r>
      <w:r w:rsidRPr="008772D5">
        <w:rPr>
          <w:rFonts w:eastAsia="Times New Roman" w:cs="Arial"/>
          <w:color w:val="000000"/>
          <w:szCs w:val="20"/>
          <w:lang w:val="en-US"/>
        </w:rPr>
        <w:t xml:space="preserve">kg </w:t>
      </w:r>
      <w:r w:rsidRPr="008772D5">
        <w:rPr>
          <w:rFonts w:eastAsia="Times New Roman" w:cs="Arial"/>
          <w:color w:val="000000"/>
          <w:szCs w:val="20"/>
          <w:lang w:eastAsia="bg-BG"/>
        </w:rPr>
        <w:t xml:space="preserve">или 100 </w:t>
      </w:r>
      <w:r w:rsidRPr="008772D5">
        <w:rPr>
          <w:rFonts w:eastAsia="Times New Roman" w:cs="Arial"/>
          <w:color w:val="000000"/>
          <w:szCs w:val="20"/>
          <w:lang w:val="en-US"/>
        </w:rPr>
        <w:t>mg</w:t>
      </w:r>
      <w:r w:rsidRPr="008772D5">
        <w:rPr>
          <w:rFonts w:eastAsia="Times New Roman" w:cs="Arial"/>
          <w:color w:val="000000"/>
          <w:szCs w:val="20"/>
          <w:lang w:eastAsia="bg-BG"/>
        </w:rPr>
        <w:t xml:space="preserve">/ден при участници с тегло 50 </w:t>
      </w:r>
      <w:r w:rsidRPr="008772D5">
        <w:rPr>
          <w:rFonts w:eastAsia="Times New Roman" w:cs="Arial"/>
          <w:color w:val="000000"/>
          <w:szCs w:val="20"/>
          <w:lang w:val="en-US"/>
        </w:rPr>
        <w:t xml:space="preserve">kg </w:t>
      </w:r>
      <w:r w:rsidRPr="008772D5">
        <w:rPr>
          <w:rFonts w:eastAsia="Times New Roman" w:cs="Arial"/>
          <w:color w:val="000000"/>
          <w:szCs w:val="20"/>
          <w:lang w:eastAsia="bg-BG"/>
        </w:rPr>
        <w:t xml:space="preserve">или повече, в 2 разделени дози. По време на периода на титриране, дозите лакозамид са били коригирани с увеличение от 1 или 2 </w:t>
      </w:r>
      <w:r w:rsidRPr="008772D5">
        <w:rPr>
          <w:rFonts w:eastAsia="Times New Roman" w:cs="Arial"/>
          <w:color w:val="000000"/>
          <w:szCs w:val="20"/>
          <w:lang w:val="en-US"/>
        </w:rPr>
        <w:t>mg/kg</w:t>
      </w:r>
      <w:r w:rsidRPr="008772D5">
        <w:rPr>
          <w:rFonts w:eastAsia="Times New Roman" w:cs="Arial"/>
          <w:color w:val="000000"/>
          <w:szCs w:val="20"/>
          <w:lang w:eastAsia="bg-BG"/>
        </w:rPr>
        <w:t xml:space="preserve">/ден при участници с тегло под 50 </w:t>
      </w:r>
      <w:r w:rsidRPr="008772D5">
        <w:rPr>
          <w:rFonts w:eastAsia="Times New Roman" w:cs="Arial"/>
          <w:color w:val="000000"/>
          <w:szCs w:val="20"/>
          <w:lang w:val="en-US"/>
        </w:rPr>
        <w:t xml:space="preserve">kg </w:t>
      </w:r>
      <w:r w:rsidRPr="008772D5">
        <w:rPr>
          <w:rFonts w:eastAsia="Times New Roman" w:cs="Arial"/>
          <w:color w:val="000000"/>
          <w:szCs w:val="20"/>
          <w:lang w:eastAsia="bg-BG"/>
        </w:rPr>
        <w:t xml:space="preserve">или 50 или 100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на ден при участници с тегло 50 </w:t>
      </w:r>
      <w:r w:rsidRPr="008772D5">
        <w:rPr>
          <w:rFonts w:eastAsia="Times New Roman" w:cs="Arial"/>
          <w:color w:val="000000"/>
          <w:szCs w:val="20"/>
          <w:lang w:val="en-US"/>
        </w:rPr>
        <w:t xml:space="preserve">kg </w:t>
      </w:r>
      <w:r w:rsidRPr="008772D5">
        <w:rPr>
          <w:rFonts w:eastAsia="Times New Roman" w:cs="Arial"/>
          <w:color w:val="000000"/>
          <w:szCs w:val="20"/>
          <w:lang w:eastAsia="bg-BG"/>
        </w:rPr>
        <w:t>или повече на седмични интервали, за да се постигне дозовият диапазон на целевия период на поддържане.</w:t>
      </w:r>
    </w:p>
    <w:p w14:paraId="3133547F" w14:textId="77777777" w:rsidR="008772D5" w:rsidRPr="008772D5" w:rsidRDefault="008772D5" w:rsidP="008772D5">
      <w:pPr>
        <w:rPr>
          <w:rFonts w:eastAsia="Times New Roman" w:cs="Arial"/>
          <w:color w:val="000000"/>
          <w:szCs w:val="20"/>
          <w:lang w:eastAsia="bg-BG"/>
        </w:rPr>
      </w:pPr>
    </w:p>
    <w:p w14:paraId="3046E430" w14:textId="77777777" w:rsidR="008772D5" w:rsidRPr="008772D5" w:rsidRDefault="008772D5" w:rsidP="008772D5">
      <w:pPr>
        <w:rPr>
          <w:rFonts w:eastAsia="Times New Roman" w:cs="Arial"/>
          <w:sz w:val="28"/>
          <w:szCs w:val="24"/>
          <w:lang w:eastAsia="bg-BG"/>
        </w:rPr>
      </w:pPr>
      <w:r w:rsidRPr="008772D5">
        <w:rPr>
          <w:rFonts w:eastAsia="Times New Roman" w:cs="Arial"/>
          <w:color w:val="000000"/>
          <w:szCs w:val="20"/>
          <w:lang w:eastAsia="bg-BG"/>
        </w:rPr>
        <w:t>Участниците трябва да са постигнали минималната целева доза за категорията си на телесно тегло за последните 3 дни от периода на титруване, за да бъдат допуснати за влизане</w:t>
      </w:r>
      <w:r>
        <w:rPr>
          <w:rFonts w:eastAsia="Times New Roman" w:cs="Arial"/>
          <w:color w:val="000000"/>
          <w:szCs w:val="20"/>
          <w:lang w:val="en-US" w:eastAsia="bg-BG"/>
        </w:rPr>
        <w:t xml:space="preserve"> </w:t>
      </w:r>
      <w:r w:rsidRPr="008772D5">
        <w:rPr>
          <w:rFonts w:eastAsia="Times New Roman" w:cs="Arial"/>
          <w:color w:val="000000"/>
          <w:szCs w:val="20"/>
          <w:lang w:eastAsia="bg-BG"/>
        </w:rPr>
        <w:t>в 10-седмичния период на поддържащо лечение. Участниците трябва да останат на стабилна доза лакозамид през целия период на поддържащо лечение или да са били изтеглени и включени в заслепения период на намаляване на дозата.</w:t>
      </w:r>
    </w:p>
    <w:p w14:paraId="2AACE319"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Между групата на лакозамид и групата на плацебо е наблюдавано статистически значимо (р = 0,0003) и клинично значимо намаление на честотата на пристъпите с парциално начало за 28 дни от базовото ниво до периода на поддържащо лечение. Процентното намаление спрямо плацебо въз основа на анализ на ковариацията е било 31,72% (95% ДИ: 16,342,44,277), Като цяло процентът на участниците с най-малко 50% намаление на честотата на пристъпите с парциално начало за 28 дни от базовото ниво до периода на поддържащо лечение е бил 52,9% в групата на лакозамид в сравнение с 33,3% в групата на плацебо.</w:t>
      </w:r>
    </w:p>
    <w:p w14:paraId="459111DF"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Качеството на живот, оценено по индекса за качество на живот при деца </w:t>
      </w:r>
      <w:r w:rsidRPr="008772D5">
        <w:rPr>
          <w:rFonts w:eastAsia="Times New Roman" w:cs="Arial"/>
          <w:color w:val="000000"/>
          <w:szCs w:val="20"/>
          <w:lang w:val="en-US"/>
        </w:rPr>
        <w:t xml:space="preserve">(Pediatric Quality of Life Inventory), </w:t>
      </w:r>
      <w:r w:rsidRPr="008772D5">
        <w:rPr>
          <w:rFonts w:eastAsia="Times New Roman" w:cs="Arial"/>
          <w:color w:val="000000"/>
          <w:szCs w:val="20"/>
          <w:lang w:eastAsia="bg-BG"/>
        </w:rPr>
        <w:t>показва, че пациентите от групата на лакозамид и тези на плацебо имат подобно и стабилно качество на живот, свързано със здравето, през целия период на лечение.</w:t>
      </w:r>
    </w:p>
    <w:p w14:paraId="6523CE0E" w14:textId="77777777" w:rsidR="008772D5" w:rsidRPr="008772D5" w:rsidRDefault="008772D5" w:rsidP="008772D5">
      <w:pPr>
        <w:spacing w:line="240" w:lineRule="auto"/>
        <w:rPr>
          <w:rFonts w:eastAsia="Times New Roman" w:cs="Arial"/>
          <w:color w:val="000000"/>
          <w:szCs w:val="20"/>
          <w:u w:val="single"/>
          <w:lang w:eastAsia="bg-BG"/>
        </w:rPr>
      </w:pPr>
    </w:p>
    <w:p w14:paraId="69675F0B" w14:textId="090021F8"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u w:val="single"/>
          <w:lang w:eastAsia="bg-BG"/>
        </w:rPr>
        <w:t>Клинична ефикасност и безопасност (първично генерализирани тонично-клонични пристъпи)</w:t>
      </w:r>
    </w:p>
    <w:p w14:paraId="3457DFC4" w14:textId="77777777" w:rsidR="008772D5" w:rsidRPr="008772D5" w:rsidRDefault="008772D5" w:rsidP="008772D5">
      <w:pPr>
        <w:spacing w:line="240" w:lineRule="auto"/>
        <w:rPr>
          <w:rFonts w:eastAsia="Times New Roman" w:cs="Arial"/>
          <w:color w:val="000000"/>
          <w:szCs w:val="20"/>
          <w:lang w:eastAsia="bg-BG"/>
        </w:rPr>
      </w:pPr>
    </w:p>
    <w:p w14:paraId="3DB60A54" w14:textId="29A4DA4F"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Ефикасността на лакозамид като допълваща терапия при пациенти на 4-годишна възраст или по-големи, с генерализирана идиопатична епилепсия, с прояви на първично генерализирани тонично-клонични пристъпи (ПГТКП) е установена в 24-седмично двойно-сляпо, рандомизирано, плацебо-контролирано, паралелно-групово, многоцентрово проучване. Проучването се е състояло от 12-седмичен период на историческо изходно ниво, 4-седмичен период на проспективно изходно ниво и 24-седмичен период на лечение (който е включвал титриране в продължение на 6-седмичен пердиод и 18-седмичен поддръжащ период). Отговарящите на условията пациенти, с назначена установена доза от 1 до 3 антиепилептични лекарства, получаващи поне 3 документирани ПГТКП по време на 16-седмичния изходен период на титриране, са рандомизирани в съотношение 1 към 1 да получават лакозамид или плацебо (пациенти в набора за пълен анализ: лакозамид </w:t>
      </w:r>
      <w:r w:rsidRPr="008772D5">
        <w:rPr>
          <w:rFonts w:eastAsia="Times New Roman" w:cs="Arial"/>
          <w:color w:val="000000"/>
          <w:szCs w:val="20"/>
          <w:lang w:val="en-US"/>
        </w:rPr>
        <w:t>n</w:t>
      </w:r>
      <w:r w:rsidRPr="008772D5">
        <w:rPr>
          <w:rFonts w:eastAsia="Times New Roman" w:cs="Arial"/>
          <w:color w:val="000000"/>
          <w:szCs w:val="20"/>
          <w:lang w:eastAsia="bg-BG"/>
        </w:rPr>
        <w:t xml:space="preserve">=118, плацебо </w:t>
      </w:r>
      <w:r w:rsidRPr="008772D5">
        <w:rPr>
          <w:rFonts w:eastAsia="Times New Roman" w:cs="Arial"/>
          <w:color w:val="000000"/>
          <w:szCs w:val="20"/>
          <w:lang w:val="en-US"/>
        </w:rPr>
        <w:t>n</w:t>
      </w:r>
      <w:r w:rsidRPr="008772D5">
        <w:rPr>
          <w:rFonts w:eastAsia="Times New Roman" w:cs="Arial"/>
          <w:color w:val="000000"/>
          <w:szCs w:val="20"/>
          <w:lang w:eastAsia="bg-BG"/>
        </w:rPr>
        <w:t xml:space="preserve">= 121: от тях 8 пациенти в групата на ≥ 4 до &lt; 12-годишна възраст и 16 пациенти в групата на ≥ 12 до &lt;18- годишна възраст са лекувани с </w:t>
      </w:r>
      <w:r w:rsidRPr="008772D5">
        <w:rPr>
          <w:rFonts w:eastAsia="Times New Roman" w:cs="Arial"/>
          <w:color w:val="000000"/>
          <w:szCs w:val="20"/>
          <w:lang w:val="en-US"/>
        </w:rPr>
        <w:t xml:space="preserve">LCM, </w:t>
      </w:r>
      <w:r w:rsidRPr="008772D5">
        <w:rPr>
          <w:rFonts w:eastAsia="Times New Roman" w:cs="Arial"/>
          <w:color w:val="000000"/>
          <w:szCs w:val="20"/>
          <w:lang w:eastAsia="bg-BG"/>
        </w:rPr>
        <w:t>а 9 и 16 пациенти - съответно с плацебо).</w:t>
      </w:r>
    </w:p>
    <w:p w14:paraId="465ED994" w14:textId="0BB7107C" w:rsidR="008772D5" w:rsidRPr="008772D5" w:rsidRDefault="008772D5" w:rsidP="008772D5">
      <w:pPr>
        <w:rPr>
          <w:rFonts w:cs="Arial"/>
          <w:sz w:val="36"/>
          <w:lang w:val="en-US"/>
        </w:rPr>
      </w:pPr>
      <w:r w:rsidRPr="008772D5">
        <w:rPr>
          <w:rFonts w:eastAsia="Times New Roman" w:cs="Arial"/>
          <w:color w:val="000000"/>
          <w:szCs w:val="20"/>
          <w:lang w:eastAsia="bg-BG"/>
        </w:rPr>
        <w:lastRenderedPageBreak/>
        <w:t xml:space="preserve">Пациентите са титрирани до целевата доза за поддържащия периода от 12 </w:t>
      </w:r>
      <w:r w:rsidRPr="008772D5">
        <w:rPr>
          <w:rFonts w:eastAsia="Times New Roman" w:cs="Arial"/>
          <w:color w:val="000000"/>
          <w:szCs w:val="20"/>
          <w:lang w:val="en-US"/>
        </w:rPr>
        <w:t>mg/kg</w:t>
      </w:r>
      <w:r w:rsidRPr="008772D5">
        <w:rPr>
          <w:rFonts w:eastAsia="Times New Roman" w:cs="Arial"/>
          <w:color w:val="000000"/>
          <w:szCs w:val="20"/>
          <w:lang w:eastAsia="bg-BG"/>
        </w:rPr>
        <w:t xml:space="preserve">/ден при пациенти с тегло под 30 </w:t>
      </w:r>
      <w:r w:rsidRPr="008772D5">
        <w:rPr>
          <w:rFonts w:eastAsia="Times New Roman" w:cs="Arial"/>
          <w:color w:val="000000"/>
          <w:szCs w:val="20"/>
          <w:lang w:val="en-US"/>
        </w:rPr>
        <w:t xml:space="preserve">kg, </w:t>
      </w:r>
      <w:r w:rsidRPr="008772D5">
        <w:rPr>
          <w:rFonts w:eastAsia="Times New Roman" w:cs="Arial"/>
          <w:color w:val="000000"/>
          <w:szCs w:val="20"/>
          <w:lang w:eastAsia="bg-BG"/>
        </w:rPr>
        <w:t xml:space="preserve">8 </w:t>
      </w:r>
      <w:r w:rsidRPr="008772D5">
        <w:rPr>
          <w:rFonts w:eastAsia="Times New Roman" w:cs="Arial"/>
          <w:color w:val="000000"/>
          <w:szCs w:val="20"/>
          <w:lang w:val="en-US"/>
        </w:rPr>
        <w:t>mg/kg</w:t>
      </w:r>
      <w:r w:rsidRPr="008772D5">
        <w:rPr>
          <w:rFonts w:eastAsia="Times New Roman" w:cs="Arial"/>
          <w:color w:val="000000"/>
          <w:szCs w:val="20"/>
          <w:lang w:eastAsia="bg-BG"/>
        </w:rPr>
        <w:t xml:space="preserve">/ден при пациенти с тегло от 30 до по-малко от 50 </w:t>
      </w:r>
      <w:r w:rsidRPr="008772D5">
        <w:rPr>
          <w:rFonts w:eastAsia="Times New Roman" w:cs="Arial"/>
          <w:color w:val="000000"/>
          <w:szCs w:val="20"/>
          <w:lang w:val="en-US"/>
        </w:rPr>
        <w:t xml:space="preserve">kg </w:t>
      </w:r>
      <w:r w:rsidRPr="008772D5">
        <w:rPr>
          <w:rFonts w:eastAsia="Times New Roman" w:cs="Arial"/>
          <w:color w:val="000000"/>
          <w:szCs w:val="20"/>
          <w:lang w:eastAsia="bg-BG"/>
        </w:rPr>
        <w:t xml:space="preserve">или 400 </w:t>
      </w:r>
      <w:r w:rsidRPr="008772D5">
        <w:rPr>
          <w:rFonts w:eastAsia="Times New Roman" w:cs="Arial"/>
          <w:color w:val="000000"/>
          <w:szCs w:val="20"/>
          <w:lang w:val="en-US"/>
        </w:rPr>
        <w:t>mg</w:t>
      </w:r>
      <w:r w:rsidRPr="008772D5">
        <w:rPr>
          <w:rFonts w:eastAsia="Times New Roman" w:cs="Arial"/>
          <w:color w:val="000000"/>
          <w:szCs w:val="20"/>
          <w:lang w:eastAsia="bg-BG"/>
        </w:rPr>
        <w:t xml:space="preserve">/ден при пациенти с тегло 50 </w:t>
      </w:r>
      <w:r w:rsidRPr="008772D5">
        <w:rPr>
          <w:rFonts w:eastAsia="Times New Roman" w:cs="Arial"/>
          <w:color w:val="000000"/>
          <w:szCs w:val="20"/>
          <w:lang w:val="en-US"/>
        </w:rPr>
        <w:t xml:space="preserve">kg </w:t>
      </w:r>
      <w:r w:rsidRPr="008772D5">
        <w:rPr>
          <w:rFonts w:eastAsia="Times New Roman" w:cs="Arial"/>
          <w:color w:val="000000"/>
          <w:szCs w:val="20"/>
          <w:lang w:eastAsia="bg-BG"/>
        </w:rPr>
        <w:t>или повече.</w:t>
      </w:r>
    </w:p>
    <w:p w14:paraId="36152471" w14:textId="6A1A5B39" w:rsidR="0091385D" w:rsidRDefault="0091385D" w:rsidP="0091385D"/>
    <w:tbl>
      <w:tblPr>
        <w:tblStyle w:val="TableGrid"/>
        <w:tblW w:w="0" w:type="auto"/>
        <w:tblLook w:val="04A0" w:firstRow="1" w:lastRow="0" w:firstColumn="1" w:lastColumn="0" w:noHBand="0" w:noVBand="1"/>
      </w:tblPr>
      <w:tblGrid>
        <w:gridCol w:w="3124"/>
        <w:gridCol w:w="3110"/>
        <w:gridCol w:w="3116"/>
      </w:tblGrid>
      <w:tr w:rsidR="008772D5" w14:paraId="2942BC59" w14:textId="77777777" w:rsidTr="008772D5">
        <w:tc>
          <w:tcPr>
            <w:tcW w:w="3166" w:type="dxa"/>
          </w:tcPr>
          <w:p w14:paraId="79FAB1D6" w14:textId="0201B58D" w:rsidR="008772D5" w:rsidRPr="008772D5" w:rsidRDefault="008772D5" w:rsidP="008772D5">
            <w:r w:rsidRPr="008772D5">
              <w:rPr>
                <w:szCs w:val="20"/>
              </w:rPr>
              <w:t>Променлива за ефикасност Параметър</w:t>
            </w:r>
          </w:p>
        </w:tc>
        <w:tc>
          <w:tcPr>
            <w:tcW w:w="3167" w:type="dxa"/>
          </w:tcPr>
          <w:p w14:paraId="21856098" w14:textId="169E9B65" w:rsidR="008772D5" w:rsidRPr="008772D5" w:rsidRDefault="008772D5" w:rsidP="008772D5">
            <w:r w:rsidRPr="008772D5">
              <w:rPr>
                <w:szCs w:val="20"/>
              </w:rPr>
              <w:t>Плацебо №121</w:t>
            </w:r>
          </w:p>
        </w:tc>
        <w:tc>
          <w:tcPr>
            <w:tcW w:w="3167" w:type="dxa"/>
          </w:tcPr>
          <w:p w14:paraId="14D778D2" w14:textId="5DBC3BDF" w:rsidR="008772D5" w:rsidRPr="008772D5" w:rsidRDefault="008772D5" w:rsidP="008772D5">
            <w:r w:rsidRPr="008772D5">
              <w:rPr>
                <w:szCs w:val="20"/>
              </w:rPr>
              <w:t>Лакозамид №118</w:t>
            </w:r>
          </w:p>
        </w:tc>
      </w:tr>
      <w:tr w:rsidR="008772D5" w14:paraId="56E6C291" w14:textId="77777777" w:rsidTr="001C4C5E">
        <w:tc>
          <w:tcPr>
            <w:tcW w:w="9500" w:type="dxa"/>
            <w:gridSpan w:val="3"/>
          </w:tcPr>
          <w:p w14:paraId="11752A5C" w14:textId="0266087B" w:rsidR="008772D5" w:rsidRPr="008772D5" w:rsidRDefault="008772D5" w:rsidP="0091385D">
            <w:r w:rsidRPr="008772D5">
              <w:rPr>
                <w:szCs w:val="20"/>
              </w:rPr>
              <w:t>Време до втори ПГТКП</w:t>
            </w:r>
          </w:p>
        </w:tc>
      </w:tr>
      <w:tr w:rsidR="008772D5" w14:paraId="0E13AB5F" w14:textId="77777777" w:rsidTr="008772D5">
        <w:tc>
          <w:tcPr>
            <w:tcW w:w="3166" w:type="dxa"/>
          </w:tcPr>
          <w:p w14:paraId="6DC328E3" w14:textId="248F359D" w:rsidR="008772D5" w:rsidRPr="008772D5" w:rsidRDefault="008772D5" w:rsidP="008772D5">
            <w:r w:rsidRPr="008772D5">
              <w:rPr>
                <w:szCs w:val="20"/>
              </w:rPr>
              <w:t>Медиана (дни)</w:t>
            </w:r>
          </w:p>
        </w:tc>
        <w:tc>
          <w:tcPr>
            <w:tcW w:w="3167" w:type="dxa"/>
          </w:tcPr>
          <w:p w14:paraId="73048219" w14:textId="25088A59" w:rsidR="008772D5" w:rsidRPr="008772D5" w:rsidRDefault="008772D5" w:rsidP="008772D5">
            <w:r w:rsidRPr="008772D5">
              <w:rPr>
                <w:szCs w:val="20"/>
              </w:rPr>
              <w:t>77,0</w:t>
            </w:r>
          </w:p>
        </w:tc>
        <w:tc>
          <w:tcPr>
            <w:tcW w:w="3167" w:type="dxa"/>
          </w:tcPr>
          <w:p w14:paraId="0F00002E" w14:textId="77777777" w:rsidR="008772D5" w:rsidRPr="008772D5" w:rsidRDefault="008772D5" w:rsidP="008772D5"/>
        </w:tc>
      </w:tr>
      <w:tr w:rsidR="008772D5" w14:paraId="3F663C59" w14:textId="77777777" w:rsidTr="008772D5">
        <w:tc>
          <w:tcPr>
            <w:tcW w:w="3166" w:type="dxa"/>
          </w:tcPr>
          <w:p w14:paraId="23A21A01" w14:textId="53B048A7" w:rsidR="008772D5" w:rsidRPr="008772D5" w:rsidRDefault="008772D5" w:rsidP="008772D5">
            <w:r w:rsidRPr="008772D5">
              <w:rPr>
                <w:szCs w:val="20"/>
              </w:rPr>
              <w:t xml:space="preserve">95 % </w:t>
            </w:r>
            <w:r w:rsidRPr="008772D5">
              <w:rPr>
                <w:szCs w:val="20"/>
                <w:lang w:val="en-US"/>
              </w:rPr>
              <w:t>CI</w:t>
            </w:r>
          </w:p>
        </w:tc>
        <w:tc>
          <w:tcPr>
            <w:tcW w:w="3167" w:type="dxa"/>
          </w:tcPr>
          <w:p w14:paraId="1CCC5E93" w14:textId="2CE02415" w:rsidR="008772D5" w:rsidRPr="008772D5" w:rsidRDefault="008772D5" w:rsidP="008772D5">
            <w:r w:rsidRPr="008772D5">
              <w:rPr>
                <w:szCs w:val="20"/>
              </w:rPr>
              <w:t>49,0, 128,0</w:t>
            </w:r>
          </w:p>
        </w:tc>
        <w:tc>
          <w:tcPr>
            <w:tcW w:w="3167" w:type="dxa"/>
          </w:tcPr>
          <w:p w14:paraId="6754E872" w14:textId="2DD5054F" w:rsidR="008772D5" w:rsidRPr="008772D5" w:rsidRDefault="008772D5" w:rsidP="008772D5">
            <w:r w:rsidRPr="008772D5">
              <w:rPr>
                <w:szCs w:val="20"/>
              </w:rPr>
              <w:t>-</w:t>
            </w:r>
          </w:p>
        </w:tc>
      </w:tr>
      <w:tr w:rsidR="008772D5" w14:paraId="665BC6DB" w14:textId="77777777" w:rsidTr="00DA05A5">
        <w:tc>
          <w:tcPr>
            <w:tcW w:w="3166" w:type="dxa"/>
          </w:tcPr>
          <w:p w14:paraId="5026017E" w14:textId="027C6D96" w:rsidR="008772D5" w:rsidRPr="008772D5" w:rsidRDefault="008772D5" w:rsidP="008772D5">
            <w:r w:rsidRPr="008772D5">
              <w:rPr>
                <w:szCs w:val="20"/>
              </w:rPr>
              <w:t>Лакозамид - Плацебо</w:t>
            </w:r>
          </w:p>
        </w:tc>
        <w:tc>
          <w:tcPr>
            <w:tcW w:w="6334" w:type="dxa"/>
            <w:gridSpan w:val="2"/>
          </w:tcPr>
          <w:p w14:paraId="652F65A8" w14:textId="77777777" w:rsidR="008772D5" w:rsidRPr="008772D5" w:rsidRDefault="008772D5" w:rsidP="008772D5"/>
        </w:tc>
      </w:tr>
      <w:tr w:rsidR="008772D5" w14:paraId="1938668F" w14:textId="77777777" w:rsidTr="00D57C07">
        <w:tc>
          <w:tcPr>
            <w:tcW w:w="3166" w:type="dxa"/>
          </w:tcPr>
          <w:p w14:paraId="69E89DD1" w14:textId="7A84D3A1" w:rsidR="008772D5" w:rsidRPr="008772D5" w:rsidRDefault="008772D5" w:rsidP="008772D5">
            <w:r w:rsidRPr="008772D5">
              <w:rPr>
                <w:szCs w:val="20"/>
              </w:rPr>
              <w:t>Съотношение на риск</w:t>
            </w:r>
          </w:p>
        </w:tc>
        <w:tc>
          <w:tcPr>
            <w:tcW w:w="6334" w:type="dxa"/>
            <w:gridSpan w:val="2"/>
          </w:tcPr>
          <w:p w14:paraId="1209B383" w14:textId="6EF297A8" w:rsidR="008772D5" w:rsidRPr="008772D5" w:rsidRDefault="008772D5" w:rsidP="008772D5">
            <w:pPr>
              <w:jc w:val="center"/>
            </w:pPr>
            <w:r w:rsidRPr="008772D5">
              <w:rPr>
                <w:szCs w:val="20"/>
              </w:rPr>
              <w:t>0,540</w:t>
            </w:r>
          </w:p>
        </w:tc>
      </w:tr>
      <w:tr w:rsidR="008772D5" w14:paraId="26F8173D" w14:textId="77777777" w:rsidTr="00105C2E">
        <w:tc>
          <w:tcPr>
            <w:tcW w:w="3166" w:type="dxa"/>
          </w:tcPr>
          <w:p w14:paraId="23C337BE" w14:textId="267DDC1F" w:rsidR="008772D5" w:rsidRPr="008772D5" w:rsidRDefault="008772D5" w:rsidP="008772D5">
            <w:r w:rsidRPr="008772D5">
              <w:rPr>
                <w:szCs w:val="20"/>
              </w:rPr>
              <w:t>95%С1</w:t>
            </w:r>
          </w:p>
        </w:tc>
        <w:tc>
          <w:tcPr>
            <w:tcW w:w="6334" w:type="dxa"/>
            <w:gridSpan w:val="2"/>
          </w:tcPr>
          <w:p w14:paraId="57F32C51" w14:textId="1E42058D" w:rsidR="008772D5" w:rsidRPr="008772D5" w:rsidRDefault="008772D5" w:rsidP="008772D5">
            <w:pPr>
              <w:jc w:val="center"/>
            </w:pPr>
            <w:r w:rsidRPr="008772D5">
              <w:rPr>
                <w:szCs w:val="20"/>
              </w:rPr>
              <w:t>0,377,0,774</w:t>
            </w:r>
          </w:p>
        </w:tc>
      </w:tr>
      <w:tr w:rsidR="008772D5" w14:paraId="3BE1AED0" w14:textId="77777777" w:rsidTr="00CA4F09">
        <w:tc>
          <w:tcPr>
            <w:tcW w:w="3166" w:type="dxa"/>
          </w:tcPr>
          <w:p w14:paraId="16A043A6" w14:textId="4C67B0F6" w:rsidR="008772D5" w:rsidRPr="008772D5" w:rsidRDefault="008772D5" w:rsidP="008772D5">
            <w:r w:rsidRPr="008772D5">
              <w:rPr>
                <w:szCs w:val="20"/>
              </w:rPr>
              <w:t>р-стойност</w:t>
            </w:r>
          </w:p>
        </w:tc>
        <w:tc>
          <w:tcPr>
            <w:tcW w:w="6334" w:type="dxa"/>
            <w:gridSpan w:val="2"/>
          </w:tcPr>
          <w:p w14:paraId="1E0B8B0A" w14:textId="55EBBF3B" w:rsidR="008772D5" w:rsidRPr="008772D5" w:rsidRDefault="008772D5" w:rsidP="008772D5">
            <w:pPr>
              <w:jc w:val="center"/>
            </w:pPr>
            <w:r w:rsidRPr="008772D5">
              <w:rPr>
                <w:szCs w:val="20"/>
              </w:rPr>
              <w:t>&lt;0,001</w:t>
            </w:r>
          </w:p>
        </w:tc>
      </w:tr>
      <w:tr w:rsidR="008772D5" w14:paraId="201AF753" w14:textId="77777777" w:rsidTr="006D2311">
        <w:tc>
          <w:tcPr>
            <w:tcW w:w="9500" w:type="dxa"/>
            <w:gridSpan w:val="3"/>
          </w:tcPr>
          <w:p w14:paraId="60B1CD39" w14:textId="530AE009" w:rsidR="008772D5" w:rsidRPr="008772D5" w:rsidRDefault="008772D5" w:rsidP="0091385D">
            <w:r w:rsidRPr="008772D5">
              <w:rPr>
                <w:szCs w:val="20"/>
              </w:rPr>
              <w:t>Отсъствие на пристъпи</w:t>
            </w:r>
          </w:p>
        </w:tc>
      </w:tr>
      <w:tr w:rsidR="008772D5" w14:paraId="2507E8EE" w14:textId="77777777" w:rsidTr="008772D5">
        <w:tc>
          <w:tcPr>
            <w:tcW w:w="3166" w:type="dxa"/>
          </w:tcPr>
          <w:p w14:paraId="458EE90B" w14:textId="0AF2A14D" w:rsidR="008772D5" w:rsidRPr="008772D5" w:rsidRDefault="008772D5" w:rsidP="008772D5">
            <w:r w:rsidRPr="008772D5">
              <w:rPr>
                <w:szCs w:val="20"/>
              </w:rPr>
              <w:t xml:space="preserve">Оценка по метода на </w:t>
            </w:r>
            <w:r w:rsidRPr="008772D5">
              <w:rPr>
                <w:szCs w:val="20"/>
                <w:lang w:val="en-US"/>
              </w:rPr>
              <w:t xml:space="preserve">Kaplan-Meier </w:t>
            </w:r>
            <w:r w:rsidRPr="008772D5">
              <w:rPr>
                <w:szCs w:val="20"/>
              </w:rPr>
              <w:t>(%)</w:t>
            </w:r>
          </w:p>
        </w:tc>
        <w:tc>
          <w:tcPr>
            <w:tcW w:w="3167" w:type="dxa"/>
          </w:tcPr>
          <w:p w14:paraId="168F2630" w14:textId="1922BE1F" w:rsidR="008772D5" w:rsidRPr="008772D5" w:rsidRDefault="008772D5" w:rsidP="008772D5">
            <w:r w:rsidRPr="008772D5">
              <w:rPr>
                <w:szCs w:val="20"/>
              </w:rPr>
              <w:t>17,2</w:t>
            </w:r>
          </w:p>
        </w:tc>
        <w:tc>
          <w:tcPr>
            <w:tcW w:w="3167" w:type="dxa"/>
          </w:tcPr>
          <w:p w14:paraId="0CB8B517" w14:textId="64E4791C" w:rsidR="008772D5" w:rsidRPr="008772D5" w:rsidRDefault="008772D5" w:rsidP="008772D5">
            <w:r w:rsidRPr="008772D5">
              <w:rPr>
                <w:szCs w:val="20"/>
              </w:rPr>
              <w:t>31,3</w:t>
            </w:r>
          </w:p>
        </w:tc>
      </w:tr>
      <w:tr w:rsidR="008772D5" w14:paraId="005F03EE" w14:textId="77777777" w:rsidTr="008772D5">
        <w:tc>
          <w:tcPr>
            <w:tcW w:w="3166" w:type="dxa"/>
          </w:tcPr>
          <w:p w14:paraId="3B7FC76E" w14:textId="2C071CD0" w:rsidR="008772D5" w:rsidRPr="008772D5" w:rsidRDefault="008772D5" w:rsidP="008772D5">
            <w:r w:rsidRPr="008772D5">
              <w:rPr>
                <w:szCs w:val="20"/>
              </w:rPr>
              <w:t xml:space="preserve">95 % </w:t>
            </w:r>
            <w:r w:rsidRPr="008772D5">
              <w:rPr>
                <w:szCs w:val="20"/>
                <w:lang w:val="en-US"/>
              </w:rPr>
              <w:t>CI</w:t>
            </w:r>
          </w:p>
        </w:tc>
        <w:tc>
          <w:tcPr>
            <w:tcW w:w="3167" w:type="dxa"/>
          </w:tcPr>
          <w:p w14:paraId="3012A00D" w14:textId="27E911C9" w:rsidR="008772D5" w:rsidRPr="008772D5" w:rsidRDefault="008772D5" w:rsidP="008772D5">
            <w:r w:rsidRPr="008772D5">
              <w:rPr>
                <w:szCs w:val="20"/>
              </w:rPr>
              <w:t>10,4, 24,0</w:t>
            </w:r>
          </w:p>
        </w:tc>
        <w:tc>
          <w:tcPr>
            <w:tcW w:w="3167" w:type="dxa"/>
          </w:tcPr>
          <w:p w14:paraId="5592EB70" w14:textId="335C04AB" w:rsidR="008772D5" w:rsidRPr="008772D5" w:rsidRDefault="008772D5" w:rsidP="008772D5">
            <w:r w:rsidRPr="008772D5">
              <w:rPr>
                <w:szCs w:val="20"/>
              </w:rPr>
              <w:t>22,8, 39,9</w:t>
            </w:r>
          </w:p>
        </w:tc>
      </w:tr>
      <w:tr w:rsidR="008772D5" w14:paraId="1A24B1E5" w14:textId="77777777" w:rsidTr="002E4323">
        <w:tc>
          <w:tcPr>
            <w:tcW w:w="3166" w:type="dxa"/>
          </w:tcPr>
          <w:p w14:paraId="58266593" w14:textId="1DF00B42" w:rsidR="008772D5" w:rsidRPr="008772D5" w:rsidRDefault="008772D5" w:rsidP="008772D5">
            <w:r w:rsidRPr="008772D5">
              <w:rPr>
                <w:szCs w:val="20"/>
              </w:rPr>
              <w:t>Лакозамид - Плацебо</w:t>
            </w:r>
          </w:p>
        </w:tc>
        <w:tc>
          <w:tcPr>
            <w:tcW w:w="6334" w:type="dxa"/>
            <w:gridSpan w:val="2"/>
          </w:tcPr>
          <w:p w14:paraId="1108D01D" w14:textId="5020DE05" w:rsidR="008772D5" w:rsidRPr="008772D5" w:rsidRDefault="008772D5" w:rsidP="008772D5">
            <w:pPr>
              <w:jc w:val="center"/>
            </w:pPr>
            <w:r w:rsidRPr="008772D5">
              <w:rPr>
                <w:szCs w:val="20"/>
              </w:rPr>
              <w:t>14,1</w:t>
            </w:r>
          </w:p>
        </w:tc>
      </w:tr>
      <w:tr w:rsidR="008772D5" w14:paraId="0C5289E6" w14:textId="77777777" w:rsidTr="00B64A81">
        <w:tc>
          <w:tcPr>
            <w:tcW w:w="3166" w:type="dxa"/>
          </w:tcPr>
          <w:p w14:paraId="0CC94B01" w14:textId="3EE3E8D1" w:rsidR="008772D5" w:rsidRPr="008772D5" w:rsidRDefault="008772D5" w:rsidP="008772D5">
            <w:r w:rsidRPr="008772D5">
              <w:rPr>
                <w:szCs w:val="20"/>
              </w:rPr>
              <w:t xml:space="preserve">95 % </w:t>
            </w:r>
            <w:r w:rsidRPr="008772D5">
              <w:rPr>
                <w:szCs w:val="20"/>
                <w:lang w:val="en-US"/>
              </w:rPr>
              <w:t>CI</w:t>
            </w:r>
          </w:p>
        </w:tc>
        <w:tc>
          <w:tcPr>
            <w:tcW w:w="6334" w:type="dxa"/>
            <w:gridSpan w:val="2"/>
          </w:tcPr>
          <w:p w14:paraId="704B1ADD" w14:textId="7CF420E6" w:rsidR="008772D5" w:rsidRPr="008772D5" w:rsidRDefault="008772D5" w:rsidP="008772D5">
            <w:pPr>
              <w:jc w:val="center"/>
            </w:pPr>
            <w:r w:rsidRPr="008772D5">
              <w:rPr>
                <w:szCs w:val="20"/>
              </w:rPr>
              <w:t>3,2, 25,1</w:t>
            </w:r>
          </w:p>
        </w:tc>
      </w:tr>
      <w:tr w:rsidR="008772D5" w14:paraId="2A00D77B" w14:textId="77777777" w:rsidTr="00905238">
        <w:tc>
          <w:tcPr>
            <w:tcW w:w="3166" w:type="dxa"/>
          </w:tcPr>
          <w:p w14:paraId="5580E889" w14:textId="43721C25" w:rsidR="008772D5" w:rsidRPr="008772D5" w:rsidRDefault="008772D5" w:rsidP="008772D5">
            <w:r w:rsidRPr="008772D5">
              <w:rPr>
                <w:szCs w:val="20"/>
              </w:rPr>
              <w:t>р-стойност</w:t>
            </w:r>
          </w:p>
        </w:tc>
        <w:tc>
          <w:tcPr>
            <w:tcW w:w="6334" w:type="dxa"/>
            <w:gridSpan w:val="2"/>
          </w:tcPr>
          <w:p w14:paraId="53BD8E16" w14:textId="51900699" w:rsidR="008772D5" w:rsidRPr="008772D5" w:rsidRDefault="008772D5" w:rsidP="008772D5">
            <w:pPr>
              <w:jc w:val="center"/>
            </w:pPr>
            <w:r w:rsidRPr="008772D5">
              <w:rPr>
                <w:szCs w:val="20"/>
              </w:rPr>
              <w:t>0,011</w:t>
            </w:r>
          </w:p>
        </w:tc>
      </w:tr>
    </w:tbl>
    <w:p w14:paraId="102A8203" w14:textId="49CA5A92" w:rsidR="008772D5" w:rsidRDefault="008772D5" w:rsidP="0091385D"/>
    <w:p w14:paraId="730176B1" w14:textId="0A8064DA" w:rsidR="008772D5" w:rsidRPr="008772D5" w:rsidRDefault="008772D5" w:rsidP="0091385D">
      <w:pPr>
        <w:rPr>
          <w:sz w:val="24"/>
        </w:rPr>
      </w:pPr>
      <w:r w:rsidRPr="008772D5">
        <w:rPr>
          <w:szCs w:val="20"/>
          <w:u w:val="single"/>
        </w:rPr>
        <w:t xml:space="preserve">Забележка: За групата, лекувана с лакозамид. средното време до появата на втори ПГТКП не може да бъде изчислено по методите на </w:t>
      </w:r>
      <w:r w:rsidRPr="008772D5">
        <w:rPr>
          <w:szCs w:val="20"/>
          <w:u w:val="single"/>
          <w:lang w:val="en-US"/>
        </w:rPr>
        <w:t xml:space="preserve">Kaplan-Meier, </w:t>
      </w:r>
      <w:r w:rsidRPr="008772D5">
        <w:rPr>
          <w:szCs w:val="20"/>
          <w:u w:val="single"/>
        </w:rPr>
        <w:t>тъй като &gt;50% от пациентите не са получили втори ПГТКП до ден 166, Находките в педиатричната подгрупа съответстват на резултатите от цялостната популация за първичните, вторичните и други крайни точки за ефикасността,</w:t>
      </w:r>
    </w:p>
    <w:p w14:paraId="694A6196" w14:textId="77777777" w:rsidR="008772D5" w:rsidRPr="0091385D" w:rsidRDefault="008772D5" w:rsidP="0091385D"/>
    <w:p w14:paraId="35F84B81" w14:textId="6423E5BB" w:rsidR="00CF77F7" w:rsidRDefault="002C50EE" w:rsidP="004A448E">
      <w:pPr>
        <w:pStyle w:val="Heading2"/>
      </w:pPr>
      <w:r>
        <w:t>5.2. Фармакокинетични свойства</w:t>
      </w:r>
    </w:p>
    <w:p w14:paraId="5031193D" w14:textId="06A21EFE" w:rsidR="0091385D" w:rsidRDefault="0091385D" w:rsidP="0091385D"/>
    <w:p w14:paraId="1BB6A5A3" w14:textId="77777777" w:rsidR="008772D5" w:rsidRPr="008772D5" w:rsidRDefault="008772D5" w:rsidP="008772D5">
      <w:pPr>
        <w:pStyle w:val="Heading3"/>
        <w:rPr>
          <w:rFonts w:eastAsia="Times New Roman"/>
          <w:sz w:val="28"/>
          <w:u w:val="single"/>
          <w:lang w:eastAsia="bg-BG"/>
        </w:rPr>
      </w:pPr>
      <w:r w:rsidRPr="008772D5">
        <w:rPr>
          <w:rFonts w:eastAsia="Times New Roman"/>
          <w:u w:val="single"/>
          <w:lang w:eastAsia="bg-BG"/>
        </w:rPr>
        <w:t>Абсорбция</w:t>
      </w:r>
    </w:p>
    <w:p w14:paraId="48FD2758"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След перорално приложение лакозамид се абсорбира бързо и напълно. Пероралната бионаличност на съдържащия се в таблетките лакозамид е почти 100%. При перорално приложение плазмената концентрация на непроменен лакозамид се повишава бързо, като Стах се достига около 0,5 до 4 часа след приема на дозата. Таблетките лакозамид и пероралният сироп са биоеквивалентни. Храната не повлиява скоростта и степента на абсорбция.</w:t>
      </w:r>
    </w:p>
    <w:p w14:paraId="7DAC89B1" w14:textId="77777777" w:rsidR="008772D5" w:rsidRPr="008772D5" w:rsidRDefault="008772D5" w:rsidP="008772D5">
      <w:pPr>
        <w:spacing w:line="240" w:lineRule="auto"/>
        <w:rPr>
          <w:rFonts w:eastAsia="Times New Roman" w:cs="Arial"/>
          <w:color w:val="000000"/>
          <w:szCs w:val="20"/>
          <w:u w:val="single"/>
          <w:lang w:eastAsia="bg-BG"/>
        </w:rPr>
      </w:pPr>
    </w:p>
    <w:p w14:paraId="32DB3F99" w14:textId="132E98E7" w:rsidR="008772D5" w:rsidRPr="008772D5" w:rsidRDefault="008772D5" w:rsidP="008772D5">
      <w:pPr>
        <w:pStyle w:val="Heading3"/>
        <w:rPr>
          <w:rFonts w:eastAsia="Times New Roman"/>
          <w:sz w:val="28"/>
          <w:u w:val="single"/>
          <w:lang w:eastAsia="bg-BG"/>
        </w:rPr>
      </w:pPr>
      <w:r w:rsidRPr="008772D5">
        <w:rPr>
          <w:rFonts w:eastAsia="Times New Roman"/>
          <w:u w:val="single"/>
          <w:lang w:eastAsia="bg-BG"/>
        </w:rPr>
        <w:t>Разпределение</w:t>
      </w:r>
    </w:p>
    <w:p w14:paraId="2023A840"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Обемът на разпределение е около 0,6 </w:t>
      </w:r>
      <w:r w:rsidRPr="008772D5">
        <w:rPr>
          <w:rFonts w:eastAsia="Times New Roman" w:cs="Arial"/>
          <w:color w:val="000000"/>
          <w:szCs w:val="20"/>
          <w:lang w:val="en-US"/>
        </w:rPr>
        <w:t xml:space="preserve">l/kg. </w:t>
      </w:r>
      <w:r w:rsidRPr="008772D5">
        <w:rPr>
          <w:rFonts w:eastAsia="Times New Roman" w:cs="Arial"/>
          <w:color w:val="000000"/>
          <w:szCs w:val="20"/>
          <w:lang w:eastAsia="bg-BG"/>
        </w:rPr>
        <w:t>Лакозамид се свързва с плазмените протеини в по- малко от 15%.</w:t>
      </w:r>
    </w:p>
    <w:p w14:paraId="1830A5E4" w14:textId="77777777" w:rsidR="008772D5" w:rsidRPr="008772D5" w:rsidRDefault="008772D5" w:rsidP="008772D5">
      <w:pPr>
        <w:spacing w:line="240" w:lineRule="auto"/>
        <w:rPr>
          <w:rFonts w:eastAsia="Times New Roman" w:cs="Arial"/>
          <w:color w:val="000000"/>
          <w:szCs w:val="20"/>
          <w:u w:val="single"/>
          <w:lang w:eastAsia="bg-BG"/>
        </w:rPr>
      </w:pPr>
    </w:p>
    <w:p w14:paraId="12FA66A9" w14:textId="5F2B38D8" w:rsidR="008772D5" w:rsidRPr="008772D5" w:rsidRDefault="008772D5" w:rsidP="008772D5">
      <w:pPr>
        <w:pStyle w:val="Heading3"/>
        <w:rPr>
          <w:rFonts w:eastAsia="Times New Roman"/>
          <w:sz w:val="28"/>
          <w:u w:val="single"/>
          <w:lang w:eastAsia="bg-BG"/>
        </w:rPr>
      </w:pPr>
      <w:r w:rsidRPr="008772D5">
        <w:rPr>
          <w:rFonts w:eastAsia="Times New Roman"/>
          <w:u w:val="single"/>
          <w:lang w:eastAsia="bg-BG"/>
        </w:rPr>
        <w:t>Биотрансформация</w:t>
      </w:r>
    </w:p>
    <w:p w14:paraId="2B4118D8"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95% от дозата се екскретират с урината в непроменен вид или под формата на метаболити. Основните вещества, отделени с урината, са непроменен лакозамид (около 40% от дозата) и неговия О-дезметил метаболит (по малко от 30%).</w:t>
      </w:r>
    </w:p>
    <w:p w14:paraId="7B62D9D3"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Полярната фракция, за която се предполага, че е съставена от серинови производни, в урината възлиза на около 20%, но е установена само в малки количества (0-2%) в </w:t>
      </w:r>
      <w:r w:rsidRPr="008772D5">
        <w:rPr>
          <w:rFonts w:eastAsia="Times New Roman" w:cs="Arial"/>
          <w:color w:val="000000"/>
          <w:szCs w:val="20"/>
          <w:lang w:eastAsia="bg-BG"/>
        </w:rPr>
        <w:lastRenderedPageBreak/>
        <w:t>плазмата на някои индивиди. В урината са открити и малки количества (0,5-2%) от други метаболити.</w:t>
      </w:r>
    </w:p>
    <w:p w14:paraId="1A4B7F2C"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val="en-US"/>
        </w:rPr>
        <w:t xml:space="preserve">In vitro </w:t>
      </w:r>
      <w:r w:rsidRPr="008772D5">
        <w:rPr>
          <w:rFonts w:eastAsia="Times New Roman" w:cs="Arial"/>
          <w:color w:val="000000"/>
          <w:szCs w:val="20"/>
          <w:lang w:eastAsia="bg-BG"/>
        </w:rPr>
        <w:t xml:space="preserve">данните показват, че </w:t>
      </w:r>
      <w:r w:rsidRPr="008772D5">
        <w:rPr>
          <w:rFonts w:eastAsia="Times New Roman" w:cs="Arial"/>
          <w:color w:val="000000"/>
          <w:szCs w:val="20"/>
          <w:lang w:val="en-US"/>
        </w:rPr>
        <w:t xml:space="preserve">CYP2C9, CYP2C19 </w:t>
      </w:r>
      <w:r w:rsidRPr="008772D5">
        <w:rPr>
          <w:rFonts w:eastAsia="Times New Roman" w:cs="Arial"/>
          <w:color w:val="000000"/>
          <w:szCs w:val="20"/>
          <w:lang w:eastAsia="bg-BG"/>
        </w:rPr>
        <w:t xml:space="preserve">и </w:t>
      </w:r>
      <w:r w:rsidRPr="008772D5">
        <w:rPr>
          <w:rFonts w:eastAsia="Times New Roman" w:cs="Arial"/>
          <w:color w:val="000000"/>
          <w:szCs w:val="20"/>
          <w:lang w:val="en-US"/>
        </w:rPr>
        <w:t xml:space="preserve">CYP3A4 </w:t>
      </w:r>
      <w:r w:rsidRPr="008772D5">
        <w:rPr>
          <w:rFonts w:eastAsia="Times New Roman" w:cs="Arial"/>
          <w:color w:val="000000"/>
          <w:szCs w:val="20"/>
          <w:lang w:eastAsia="bg-BG"/>
        </w:rPr>
        <w:t xml:space="preserve">могат да катализират образуването на О-дезметил метаболита, но основния участващ изоензим не е потвърден </w:t>
      </w:r>
      <w:r w:rsidRPr="008772D5">
        <w:rPr>
          <w:rFonts w:eastAsia="Times New Roman" w:cs="Arial"/>
          <w:color w:val="000000"/>
          <w:szCs w:val="20"/>
          <w:lang w:val="en-US"/>
        </w:rPr>
        <w:t>in vivo.</w:t>
      </w:r>
    </w:p>
    <w:p w14:paraId="5D5A76DA"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Не са наблюдавани клинично значими различия в експозицията на лакозамид при сравняване на фармакокинетиката при индивидите с екстензивен метаболизъм (ЕМ с функционален </w:t>
      </w:r>
      <w:r w:rsidRPr="008772D5">
        <w:rPr>
          <w:rFonts w:eastAsia="Times New Roman" w:cs="Arial"/>
          <w:color w:val="000000"/>
          <w:szCs w:val="20"/>
          <w:lang w:val="en-US"/>
        </w:rPr>
        <w:t xml:space="preserve">CYP2C19) </w:t>
      </w:r>
      <w:r w:rsidRPr="008772D5">
        <w:rPr>
          <w:rFonts w:eastAsia="Times New Roman" w:cs="Arial"/>
          <w:color w:val="000000"/>
          <w:szCs w:val="20"/>
          <w:lang w:eastAsia="bg-BG"/>
        </w:rPr>
        <w:t xml:space="preserve">и тази при индивидите с бавен матаболизъм (БМ, липса на функционален </w:t>
      </w:r>
      <w:r w:rsidRPr="008772D5">
        <w:rPr>
          <w:rFonts w:eastAsia="Times New Roman" w:cs="Arial"/>
          <w:color w:val="000000"/>
          <w:szCs w:val="20"/>
          <w:lang w:val="en-US"/>
        </w:rPr>
        <w:t xml:space="preserve">CYP2C19). </w:t>
      </w:r>
      <w:r w:rsidRPr="008772D5">
        <w:rPr>
          <w:rFonts w:eastAsia="Times New Roman" w:cs="Arial"/>
          <w:color w:val="000000"/>
          <w:szCs w:val="20"/>
          <w:lang w:eastAsia="bg-BG"/>
        </w:rPr>
        <w:t xml:space="preserve">Освен това, проучване за взаимодействие с омепразол </w:t>
      </w:r>
      <w:r w:rsidRPr="008772D5">
        <w:rPr>
          <w:rFonts w:eastAsia="Times New Roman" w:cs="Arial"/>
          <w:color w:val="000000"/>
          <w:szCs w:val="20"/>
          <w:lang w:val="en-US"/>
        </w:rPr>
        <w:t xml:space="preserve">(CYP2C19 </w:t>
      </w:r>
      <w:r w:rsidRPr="008772D5">
        <w:rPr>
          <w:rFonts w:eastAsia="Times New Roman" w:cs="Arial"/>
          <w:color w:val="000000"/>
          <w:szCs w:val="20"/>
          <w:lang w:eastAsia="bg-BG"/>
        </w:rPr>
        <w:t>инхибитор) не разкрива клинично значими промени в плазмените концентрации на лакозамид което показва, че значението на този път е незначително .Плазмената концентрация на О-дезметил-лакозамид е около 15% от концентрацията на лакозамид в плазмата. Този основен метаболит няма позната фармакологична активност.</w:t>
      </w:r>
    </w:p>
    <w:p w14:paraId="586A8FA8" w14:textId="77777777" w:rsidR="008772D5" w:rsidRPr="008772D5" w:rsidRDefault="008772D5" w:rsidP="008772D5">
      <w:pPr>
        <w:spacing w:line="240" w:lineRule="auto"/>
        <w:rPr>
          <w:rFonts w:eastAsia="Times New Roman" w:cs="Arial"/>
          <w:color w:val="000000"/>
          <w:szCs w:val="20"/>
          <w:u w:val="single"/>
          <w:lang w:eastAsia="bg-BG"/>
        </w:rPr>
      </w:pPr>
    </w:p>
    <w:p w14:paraId="728E680D" w14:textId="39BB103C" w:rsidR="008772D5" w:rsidRPr="008772D5" w:rsidRDefault="008772D5" w:rsidP="008772D5">
      <w:pPr>
        <w:pStyle w:val="Heading3"/>
        <w:rPr>
          <w:rFonts w:eastAsia="Times New Roman"/>
          <w:sz w:val="28"/>
          <w:u w:val="single"/>
          <w:lang w:eastAsia="bg-BG"/>
        </w:rPr>
      </w:pPr>
      <w:r w:rsidRPr="008772D5">
        <w:rPr>
          <w:rFonts w:eastAsia="Times New Roman"/>
          <w:u w:val="single"/>
          <w:lang w:eastAsia="bg-BG"/>
        </w:rPr>
        <w:t>Елиминиране</w:t>
      </w:r>
    </w:p>
    <w:p w14:paraId="5C3AB946"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Лакозамид се елиминира от системното кръвообращение, предимно чрез бъбречна екскреция и биотрансформация. След перорално и интравенозно приложение на радиоактивно белязан лакозамид около 95% от радиоактивността се установява в урината, а по-малко от 0,5% - в изпражненията. Елиминационният полуживот на непромененото лекарство е около 13 часа. Фармакокинетиката е пропорционална на дозата и постоянна във времето, с малка интра- и интериндивидуална променливост. След приемане на дозата два пъти дневно стационарни плазмени концентрации се достигат след 3-дневен период. Плазмената концентрация нараства при акумулационен фактор от около 2.</w:t>
      </w:r>
    </w:p>
    <w:p w14:paraId="68EE25D7" w14:textId="77777777" w:rsidR="008772D5" w:rsidRPr="008772D5" w:rsidRDefault="008772D5" w:rsidP="008772D5">
      <w:pPr>
        <w:rPr>
          <w:rFonts w:eastAsia="Times New Roman" w:cs="Arial"/>
          <w:color w:val="000000"/>
          <w:szCs w:val="20"/>
          <w:lang w:eastAsia="bg-BG"/>
        </w:rPr>
      </w:pPr>
    </w:p>
    <w:p w14:paraId="148BA3FC" w14:textId="0B161346" w:rsidR="0091385D" w:rsidRPr="008772D5" w:rsidRDefault="008772D5" w:rsidP="008772D5">
      <w:pPr>
        <w:rPr>
          <w:rFonts w:cs="Arial"/>
          <w:sz w:val="24"/>
        </w:rPr>
      </w:pPr>
      <w:r w:rsidRPr="008772D5">
        <w:rPr>
          <w:rFonts w:eastAsia="Times New Roman" w:cs="Arial"/>
          <w:color w:val="000000"/>
          <w:szCs w:val="20"/>
          <w:lang w:eastAsia="bg-BG"/>
        </w:rPr>
        <w:t xml:space="preserve">Концентрациията в стационарно състояние на единична натоварваща доза от 200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е приблизително еднаква на тази при перорално приложение на 100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два пъти дневно.</w:t>
      </w:r>
    </w:p>
    <w:p w14:paraId="4EE1BB0B" w14:textId="0408D733" w:rsidR="0091385D" w:rsidRDefault="0091385D" w:rsidP="0091385D"/>
    <w:p w14:paraId="056F5138"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u w:val="single"/>
          <w:lang w:eastAsia="bg-BG"/>
        </w:rPr>
        <w:t>Фармакокинетика при специални групи пациенти</w:t>
      </w:r>
    </w:p>
    <w:p w14:paraId="76F877D4" w14:textId="77777777" w:rsidR="008772D5" w:rsidRPr="008772D5" w:rsidRDefault="008772D5" w:rsidP="008772D5">
      <w:pPr>
        <w:spacing w:line="240" w:lineRule="auto"/>
        <w:rPr>
          <w:rFonts w:eastAsia="Times New Roman" w:cs="Arial"/>
          <w:i/>
          <w:iCs/>
          <w:color w:val="000000"/>
          <w:szCs w:val="20"/>
          <w:lang w:eastAsia="bg-BG"/>
        </w:rPr>
      </w:pPr>
    </w:p>
    <w:p w14:paraId="1A8B86D8" w14:textId="35221125" w:rsidR="008772D5" w:rsidRPr="008772D5" w:rsidRDefault="008772D5" w:rsidP="008772D5">
      <w:pPr>
        <w:spacing w:line="240" w:lineRule="auto"/>
        <w:rPr>
          <w:rFonts w:eastAsia="Times New Roman" w:cs="Arial"/>
          <w:sz w:val="28"/>
          <w:szCs w:val="24"/>
          <w:lang w:eastAsia="bg-BG"/>
        </w:rPr>
      </w:pPr>
      <w:r w:rsidRPr="008772D5">
        <w:rPr>
          <w:rFonts w:eastAsia="Times New Roman" w:cs="Arial"/>
          <w:i/>
          <w:iCs/>
          <w:color w:val="000000"/>
          <w:szCs w:val="20"/>
          <w:lang w:eastAsia="bg-BG"/>
        </w:rPr>
        <w:t>Пол</w:t>
      </w:r>
    </w:p>
    <w:p w14:paraId="75C0DA77"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Клиничните проучвания показват, че полът няма клинично значимо влияние върху плазмените концентрации на лакозамид.</w:t>
      </w:r>
    </w:p>
    <w:p w14:paraId="28A09FE0" w14:textId="77777777" w:rsidR="008772D5" w:rsidRPr="008772D5" w:rsidRDefault="008772D5" w:rsidP="008772D5">
      <w:pPr>
        <w:spacing w:line="240" w:lineRule="auto"/>
        <w:rPr>
          <w:rFonts w:eastAsia="Times New Roman" w:cs="Arial"/>
          <w:i/>
          <w:iCs/>
          <w:color w:val="000000"/>
          <w:szCs w:val="20"/>
          <w:lang w:eastAsia="bg-BG"/>
        </w:rPr>
      </w:pPr>
    </w:p>
    <w:p w14:paraId="028A0ACF" w14:textId="7041D54B" w:rsidR="008772D5" w:rsidRPr="008772D5" w:rsidRDefault="008772D5" w:rsidP="008772D5">
      <w:pPr>
        <w:spacing w:line="240" w:lineRule="auto"/>
        <w:rPr>
          <w:rFonts w:eastAsia="Times New Roman" w:cs="Arial"/>
          <w:sz w:val="28"/>
          <w:szCs w:val="24"/>
          <w:lang w:eastAsia="bg-BG"/>
        </w:rPr>
      </w:pPr>
      <w:r w:rsidRPr="008772D5">
        <w:rPr>
          <w:rFonts w:eastAsia="Times New Roman" w:cs="Arial"/>
          <w:i/>
          <w:iCs/>
          <w:color w:val="000000"/>
          <w:szCs w:val="20"/>
          <w:lang w:eastAsia="bg-BG"/>
        </w:rPr>
        <w:t>Бъбречно увреждане</w:t>
      </w:r>
    </w:p>
    <w:p w14:paraId="04CD592E"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val="en-US"/>
        </w:rPr>
        <w:t xml:space="preserve">AUC </w:t>
      </w:r>
      <w:r w:rsidRPr="008772D5">
        <w:rPr>
          <w:rFonts w:eastAsia="Times New Roman" w:cs="Arial"/>
          <w:color w:val="000000"/>
          <w:szCs w:val="20"/>
          <w:lang w:eastAsia="bg-BG"/>
        </w:rPr>
        <w:t>на лакозамид е повишена с около 30% при пациентите с леко и умерено бъбречно увреждане и с около 60% при тези с тежко бъбречно увреждане и терминална бъбречна недостатъчност, изискващи хемодиализа, в сравнение със здравите индивиди, като С</w:t>
      </w:r>
      <w:r w:rsidRPr="008772D5">
        <w:rPr>
          <w:rFonts w:eastAsia="Times New Roman" w:cs="Arial"/>
          <w:color w:val="000000"/>
          <w:szCs w:val="20"/>
          <w:lang w:val="en-US"/>
        </w:rPr>
        <w:t>max</w:t>
      </w:r>
      <w:r w:rsidRPr="008772D5">
        <w:rPr>
          <w:rFonts w:eastAsia="Times New Roman" w:cs="Arial"/>
          <w:color w:val="000000"/>
          <w:szCs w:val="20"/>
          <w:lang w:eastAsia="bg-BG"/>
        </w:rPr>
        <w:t xml:space="preserve"> остава непроменена.</w:t>
      </w:r>
    </w:p>
    <w:p w14:paraId="54E2F31B"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Лакозамид се отделя ефективно от плазмата чрез хемодиализа. След 4-часова хемодиализа </w:t>
      </w:r>
      <w:r w:rsidRPr="008772D5">
        <w:rPr>
          <w:rFonts w:eastAsia="Times New Roman" w:cs="Arial"/>
          <w:color w:val="000000"/>
          <w:szCs w:val="20"/>
          <w:lang w:val="en-US"/>
        </w:rPr>
        <w:t xml:space="preserve">AUC </w:t>
      </w:r>
      <w:r w:rsidRPr="008772D5">
        <w:rPr>
          <w:rFonts w:eastAsia="Times New Roman" w:cs="Arial"/>
          <w:color w:val="000000"/>
          <w:szCs w:val="20"/>
          <w:lang w:eastAsia="bg-BG"/>
        </w:rPr>
        <w:t>на лакозамид намалява с около 50%. Ето защо се препоръчва допълнителното прилагане на доза след хемодиализа (вж. точка 4.2). Количеството на О-дезметил метаболита е повишено няколко пъти при пациенти с умерено до тежко бъбречно увреждане. При неизвършване на хемодиализа при пациенти с терминална бъбречна недостатъчност нивата се повишават и продължително растат по време на 24-часовия модел. Не е известно дали повишеното количество на метаболита при пациенти с терминална бъбречна недостатъчност е възможно да повишат нежеланите реакции, но не е установена фармакологична активност на метаболита.</w:t>
      </w:r>
    </w:p>
    <w:p w14:paraId="4E961F76" w14:textId="77777777" w:rsidR="008772D5" w:rsidRPr="008772D5" w:rsidRDefault="008772D5" w:rsidP="008772D5">
      <w:pPr>
        <w:spacing w:line="240" w:lineRule="auto"/>
        <w:rPr>
          <w:rFonts w:eastAsia="Times New Roman" w:cs="Arial"/>
          <w:i/>
          <w:iCs/>
          <w:color w:val="000000"/>
          <w:szCs w:val="20"/>
          <w:lang w:eastAsia="bg-BG"/>
        </w:rPr>
      </w:pPr>
    </w:p>
    <w:p w14:paraId="219548E3" w14:textId="7BE30079" w:rsidR="008772D5" w:rsidRPr="008772D5" w:rsidRDefault="008772D5" w:rsidP="008772D5">
      <w:pPr>
        <w:spacing w:line="240" w:lineRule="auto"/>
        <w:rPr>
          <w:rFonts w:eastAsia="Times New Roman" w:cs="Arial"/>
          <w:sz w:val="28"/>
          <w:szCs w:val="24"/>
          <w:lang w:eastAsia="bg-BG"/>
        </w:rPr>
      </w:pPr>
      <w:r w:rsidRPr="008772D5">
        <w:rPr>
          <w:rFonts w:eastAsia="Times New Roman" w:cs="Arial"/>
          <w:i/>
          <w:iCs/>
          <w:color w:val="000000"/>
          <w:szCs w:val="20"/>
          <w:lang w:eastAsia="bg-BG"/>
        </w:rPr>
        <w:t>Чернодробно увреждане</w:t>
      </w:r>
    </w:p>
    <w:p w14:paraId="771A0135"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lastRenderedPageBreak/>
        <w:t xml:space="preserve">При пациентите с умерено чернодробно увреждане </w:t>
      </w:r>
      <w:r w:rsidRPr="008772D5">
        <w:rPr>
          <w:rFonts w:eastAsia="Times New Roman" w:cs="Arial"/>
          <w:color w:val="000000"/>
          <w:szCs w:val="20"/>
          <w:lang w:val="en-US"/>
        </w:rPr>
        <w:t xml:space="preserve">(Child-Pugh </w:t>
      </w:r>
      <w:r w:rsidRPr="008772D5">
        <w:rPr>
          <w:rFonts w:eastAsia="Times New Roman" w:cs="Arial"/>
          <w:color w:val="000000"/>
          <w:szCs w:val="20"/>
          <w:lang w:eastAsia="bg-BG"/>
        </w:rPr>
        <w:t xml:space="preserve">В) са наблюдавани по-високи плазмени концентрации на лакозамид (приблизително 50% по-висока </w:t>
      </w:r>
      <w:proofErr w:type="spellStart"/>
      <w:r w:rsidRPr="008772D5">
        <w:rPr>
          <w:rFonts w:eastAsia="Times New Roman" w:cs="Arial"/>
          <w:color w:val="000000"/>
          <w:szCs w:val="20"/>
          <w:lang w:val="en-US"/>
        </w:rPr>
        <w:t>AUCnorm</w:t>
      </w:r>
      <w:proofErr w:type="spellEnd"/>
      <w:r w:rsidRPr="008772D5">
        <w:rPr>
          <w:rFonts w:eastAsia="Times New Roman" w:cs="Arial"/>
          <w:color w:val="000000"/>
          <w:szCs w:val="20"/>
          <w:lang w:val="en-US"/>
        </w:rPr>
        <w:t xml:space="preserve">). </w:t>
      </w:r>
      <w:r w:rsidRPr="008772D5">
        <w:rPr>
          <w:rFonts w:eastAsia="Times New Roman" w:cs="Arial"/>
          <w:color w:val="000000"/>
          <w:szCs w:val="20"/>
          <w:lang w:eastAsia="bg-BG"/>
        </w:rPr>
        <w:t xml:space="preserve">По-високата експозиция се дължи в известна степен на понижената бъбречна функция на проучваните пациенти. Понижението на небъбречния клирънс при участващите в проучването пациенти води до 20% повишение на </w:t>
      </w:r>
      <w:r w:rsidRPr="008772D5">
        <w:rPr>
          <w:rFonts w:eastAsia="Times New Roman" w:cs="Arial"/>
          <w:color w:val="000000"/>
          <w:szCs w:val="20"/>
          <w:lang w:val="en-US"/>
        </w:rPr>
        <w:t xml:space="preserve">AUC </w:t>
      </w:r>
      <w:r w:rsidRPr="008772D5">
        <w:rPr>
          <w:rFonts w:eastAsia="Times New Roman" w:cs="Arial"/>
          <w:color w:val="000000"/>
          <w:szCs w:val="20"/>
          <w:lang w:eastAsia="bg-BG"/>
        </w:rPr>
        <w:t>на лакозамид. Фармакокинетиката на лакозамид не е проучвана при пациенти с тежко чернодробно увреждане (вж. точка 4.2),</w:t>
      </w:r>
    </w:p>
    <w:p w14:paraId="3F9E8C14" w14:textId="77777777" w:rsidR="008772D5" w:rsidRPr="008772D5" w:rsidRDefault="008772D5" w:rsidP="008772D5">
      <w:pPr>
        <w:spacing w:line="240" w:lineRule="auto"/>
        <w:rPr>
          <w:rFonts w:eastAsia="Times New Roman" w:cs="Arial"/>
          <w:i/>
          <w:iCs/>
          <w:color w:val="000000"/>
          <w:szCs w:val="20"/>
          <w:lang w:eastAsia="bg-BG"/>
        </w:rPr>
      </w:pPr>
    </w:p>
    <w:p w14:paraId="3BAD38CD" w14:textId="3519F37B" w:rsidR="008772D5" w:rsidRPr="008772D5" w:rsidRDefault="008772D5" w:rsidP="008772D5">
      <w:pPr>
        <w:spacing w:line="240" w:lineRule="auto"/>
        <w:rPr>
          <w:rFonts w:eastAsia="Times New Roman" w:cs="Arial"/>
          <w:sz w:val="28"/>
          <w:szCs w:val="24"/>
          <w:lang w:eastAsia="bg-BG"/>
        </w:rPr>
      </w:pPr>
      <w:r w:rsidRPr="008772D5">
        <w:rPr>
          <w:rFonts w:eastAsia="Times New Roman" w:cs="Arial"/>
          <w:i/>
          <w:iCs/>
          <w:color w:val="000000"/>
          <w:szCs w:val="20"/>
          <w:lang w:eastAsia="bg-BG"/>
        </w:rPr>
        <w:t>Старческа възраст (над 65 години)</w:t>
      </w:r>
    </w:p>
    <w:p w14:paraId="7F68F5B2"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В проучване при мъже и жени в старческа възраст, включващи 4 пациенти над 75-годишна възраст, </w:t>
      </w:r>
      <w:r w:rsidRPr="008772D5">
        <w:rPr>
          <w:rFonts w:eastAsia="Times New Roman" w:cs="Arial"/>
          <w:color w:val="000000"/>
          <w:szCs w:val="20"/>
          <w:lang w:val="en-US"/>
        </w:rPr>
        <w:t xml:space="preserve">AUC </w:t>
      </w:r>
      <w:r w:rsidRPr="008772D5">
        <w:rPr>
          <w:rFonts w:eastAsia="Times New Roman" w:cs="Arial"/>
          <w:color w:val="000000"/>
          <w:szCs w:val="20"/>
          <w:lang w:eastAsia="bg-BG"/>
        </w:rPr>
        <w:t>е повишена с около 30 и 50% в сравнение с млади хора. Това е свързано основно с по-ниското телесно тегло. Обичайната разлика в теглото е съответно 26 и 23%. Наблюдава се също и увеличена вариабилност в експозицията. В това проучване бъбречният клирънс на лакозамид е само леко понижен при пациенти в старческа възраст.</w:t>
      </w:r>
    </w:p>
    <w:p w14:paraId="78A6BD13"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Обикновено не се налага редуциране на дозата, освен ако това не показано поради понижена бъбречна функция (вж. точка 4.2).</w:t>
      </w:r>
    </w:p>
    <w:p w14:paraId="3B9C241D" w14:textId="77777777" w:rsidR="008772D5" w:rsidRPr="008772D5" w:rsidRDefault="008772D5" w:rsidP="008772D5">
      <w:pPr>
        <w:spacing w:line="240" w:lineRule="auto"/>
        <w:rPr>
          <w:rFonts w:eastAsia="Times New Roman" w:cs="Arial"/>
          <w:i/>
          <w:iCs/>
          <w:color w:val="000000"/>
          <w:szCs w:val="20"/>
          <w:lang w:eastAsia="bg-BG"/>
        </w:rPr>
      </w:pPr>
    </w:p>
    <w:p w14:paraId="2FB07538" w14:textId="40709F4D" w:rsidR="008772D5" w:rsidRPr="008772D5" w:rsidRDefault="008772D5" w:rsidP="008772D5">
      <w:pPr>
        <w:spacing w:line="240" w:lineRule="auto"/>
        <w:rPr>
          <w:rFonts w:eastAsia="Times New Roman" w:cs="Arial"/>
          <w:sz w:val="28"/>
          <w:szCs w:val="24"/>
          <w:lang w:eastAsia="bg-BG"/>
        </w:rPr>
      </w:pPr>
      <w:r w:rsidRPr="008772D5">
        <w:rPr>
          <w:rFonts w:eastAsia="Times New Roman" w:cs="Arial"/>
          <w:i/>
          <w:iCs/>
          <w:color w:val="000000"/>
          <w:szCs w:val="20"/>
          <w:lang w:eastAsia="bg-BG"/>
        </w:rPr>
        <w:t>Педиатрична популация</w:t>
      </w:r>
    </w:p>
    <w:p w14:paraId="1F8DADCD"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Фармакокинетичният профил на лакозамид в педиатричната популация е определен чрез фарамакокинетични анализи използващи спорадични данни за плазмените концентрации, получени в едно плацебо-контролирано рандомизирано проучване и три отворени изпитвания при 414 деца с епилепсия на възраст от 6 месеца до 17 години. Прилагани са дози от 2 до 17,8 </w:t>
      </w:r>
      <w:r w:rsidRPr="008772D5">
        <w:rPr>
          <w:rFonts w:eastAsia="Times New Roman" w:cs="Arial"/>
          <w:color w:val="000000"/>
          <w:szCs w:val="20"/>
          <w:lang w:val="en-US"/>
        </w:rPr>
        <w:t xml:space="preserve">mg/kg </w:t>
      </w:r>
      <w:r w:rsidRPr="008772D5">
        <w:rPr>
          <w:rFonts w:eastAsia="Times New Roman" w:cs="Arial"/>
          <w:color w:val="000000"/>
          <w:szCs w:val="20"/>
          <w:lang w:eastAsia="bg-BG"/>
        </w:rPr>
        <w:t xml:space="preserve">дневно в два приема дневно, с максимална доза от 600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дневно при деца с тегло 50 </w:t>
      </w:r>
      <w:r w:rsidRPr="008772D5">
        <w:rPr>
          <w:rFonts w:eastAsia="Times New Roman" w:cs="Arial"/>
          <w:color w:val="000000"/>
          <w:szCs w:val="20"/>
          <w:lang w:val="en-US"/>
        </w:rPr>
        <w:t xml:space="preserve">kg </w:t>
      </w:r>
      <w:r w:rsidRPr="008772D5">
        <w:rPr>
          <w:rFonts w:eastAsia="Times New Roman" w:cs="Arial"/>
          <w:color w:val="000000"/>
          <w:szCs w:val="20"/>
          <w:lang w:eastAsia="bg-BG"/>
        </w:rPr>
        <w:t>и повече.</w:t>
      </w:r>
    </w:p>
    <w:p w14:paraId="19515DC1"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Типичният плазмен клирънс е оценен на 1,04 </w:t>
      </w:r>
      <w:r w:rsidRPr="008772D5">
        <w:rPr>
          <w:rFonts w:eastAsia="Times New Roman" w:cs="Arial"/>
          <w:color w:val="000000"/>
          <w:szCs w:val="20"/>
          <w:lang w:val="en-US"/>
        </w:rPr>
        <w:t xml:space="preserve">l/h, </w:t>
      </w:r>
      <w:r w:rsidRPr="008772D5">
        <w:rPr>
          <w:rFonts w:eastAsia="Times New Roman" w:cs="Arial"/>
          <w:color w:val="000000"/>
          <w:szCs w:val="20"/>
          <w:lang w:eastAsia="bg-BG"/>
        </w:rPr>
        <w:t>1,32</w:t>
      </w:r>
      <w:r w:rsidRPr="008772D5">
        <w:rPr>
          <w:rFonts w:eastAsia="Times New Roman" w:cs="Arial"/>
          <w:color w:val="000000"/>
          <w:szCs w:val="20"/>
          <w:lang w:val="en-US"/>
        </w:rPr>
        <w:t xml:space="preserve"> l/h </w:t>
      </w:r>
      <w:r w:rsidRPr="008772D5">
        <w:rPr>
          <w:rFonts w:eastAsia="Times New Roman" w:cs="Arial"/>
          <w:color w:val="000000"/>
          <w:szCs w:val="20"/>
          <w:lang w:eastAsia="bg-BG"/>
        </w:rPr>
        <w:t xml:space="preserve">и 1,86 </w:t>
      </w:r>
      <w:r w:rsidRPr="008772D5">
        <w:rPr>
          <w:rFonts w:eastAsia="Times New Roman" w:cs="Arial"/>
          <w:color w:val="000000"/>
          <w:szCs w:val="20"/>
          <w:lang w:val="en-US"/>
        </w:rPr>
        <w:t xml:space="preserve"> l/h, </w:t>
      </w:r>
      <w:r w:rsidRPr="008772D5">
        <w:rPr>
          <w:rFonts w:eastAsia="Times New Roman" w:cs="Arial"/>
          <w:color w:val="000000"/>
          <w:szCs w:val="20"/>
          <w:lang w:eastAsia="bg-BG"/>
        </w:rPr>
        <w:t xml:space="preserve">съответно при деца с тегло 20 </w:t>
      </w:r>
      <w:r w:rsidRPr="008772D5">
        <w:rPr>
          <w:rFonts w:eastAsia="Times New Roman" w:cs="Arial"/>
          <w:color w:val="000000"/>
          <w:szCs w:val="20"/>
          <w:lang w:val="en-US"/>
        </w:rPr>
        <w:t xml:space="preserve">kg, </w:t>
      </w:r>
      <w:r w:rsidRPr="008772D5">
        <w:rPr>
          <w:rFonts w:eastAsia="Times New Roman" w:cs="Arial"/>
          <w:color w:val="000000"/>
          <w:szCs w:val="20"/>
          <w:lang w:eastAsia="bg-BG"/>
        </w:rPr>
        <w:t xml:space="preserve">30 </w:t>
      </w:r>
      <w:r w:rsidRPr="008772D5">
        <w:rPr>
          <w:rFonts w:eastAsia="Times New Roman" w:cs="Arial"/>
          <w:color w:val="000000"/>
          <w:szCs w:val="20"/>
          <w:lang w:val="en-US"/>
        </w:rPr>
        <w:t xml:space="preserve">kg </w:t>
      </w:r>
      <w:r w:rsidRPr="008772D5">
        <w:rPr>
          <w:rFonts w:eastAsia="Times New Roman" w:cs="Arial"/>
          <w:color w:val="000000"/>
          <w:szCs w:val="20"/>
          <w:lang w:eastAsia="bg-BG"/>
        </w:rPr>
        <w:t xml:space="preserve">и 50 </w:t>
      </w:r>
      <w:r w:rsidRPr="008772D5">
        <w:rPr>
          <w:rFonts w:eastAsia="Times New Roman" w:cs="Arial"/>
          <w:color w:val="000000"/>
          <w:szCs w:val="20"/>
          <w:lang w:val="en-US"/>
        </w:rPr>
        <w:t xml:space="preserve">kg. </w:t>
      </w:r>
      <w:r w:rsidRPr="008772D5">
        <w:rPr>
          <w:rFonts w:eastAsia="Times New Roman" w:cs="Arial"/>
          <w:color w:val="000000"/>
          <w:szCs w:val="20"/>
          <w:lang w:eastAsia="bg-BG"/>
        </w:rPr>
        <w:t xml:space="preserve">За сравнение, при възрастни с тегло 70 </w:t>
      </w:r>
      <w:r w:rsidRPr="008772D5">
        <w:rPr>
          <w:rFonts w:eastAsia="Times New Roman" w:cs="Arial"/>
          <w:color w:val="000000"/>
          <w:szCs w:val="20"/>
          <w:lang w:val="en-US"/>
        </w:rPr>
        <w:t xml:space="preserve">kg </w:t>
      </w:r>
      <w:r w:rsidRPr="008772D5">
        <w:rPr>
          <w:rFonts w:eastAsia="Times New Roman" w:cs="Arial"/>
          <w:color w:val="000000"/>
          <w:szCs w:val="20"/>
          <w:lang w:eastAsia="bg-BG"/>
        </w:rPr>
        <w:t xml:space="preserve">очакваният плазмен клирънс е бил 1,92 </w:t>
      </w:r>
      <w:r w:rsidRPr="008772D5">
        <w:rPr>
          <w:rFonts w:eastAsia="Times New Roman" w:cs="Arial"/>
          <w:color w:val="000000"/>
          <w:szCs w:val="20"/>
          <w:lang w:val="en-US"/>
        </w:rPr>
        <w:t>L/h.</w:t>
      </w:r>
    </w:p>
    <w:p w14:paraId="62347C98" w14:textId="61866524" w:rsidR="008772D5" w:rsidRPr="008772D5" w:rsidRDefault="008772D5" w:rsidP="008772D5">
      <w:pPr>
        <w:rPr>
          <w:rFonts w:cs="Arial"/>
          <w:sz w:val="24"/>
        </w:rPr>
      </w:pPr>
      <w:r w:rsidRPr="008772D5">
        <w:rPr>
          <w:rFonts w:eastAsia="Times New Roman" w:cs="Arial"/>
          <w:color w:val="000000"/>
          <w:szCs w:val="20"/>
          <w:lang w:eastAsia="bg-BG"/>
        </w:rPr>
        <w:t>Фармакокинетичен анализ на популацията, използващ редки фармакокинетични проби от проучване на ПГТКП, показва подобна експозиция при пациенти с ПГТКП и при пациенти с парциални пристъпи.</w:t>
      </w:r>
    </w:p>
    <w:p w14:paraId="1FDE87AB" w14:textId="77777777" w:rsidR="008772D5" w:rsidRPr="0091385D" w:rsidRDefault="008772D5" w:rsidP="0091385D"/>
    <w:p w14:paraId="648E39DA" w14:textId="44D16CBD" w:rsidR="00CF77F7" w:rsidRDefault="002C50EE" w:rsidP="004A448E">
      <w:pPr>
        <w:pStyle w:val="Heading2"/>
      </w:pPr>
      <w:r>
        <w:t>5.3. Предклинични данни за безопасност</w:t>
      </w:r>
    </w:p>
    <w:p w14:paraId="31455D09" w14:textId="4D0EFBF5" w:rsidR="0091385D" w:rsidRDefault="0091385D" w:rsidP="0091385D"/>
    <w:p w14:paraId="7550E55E"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При проучванията за токсичност получените плазмени концентрации на лакозамид са подобни или само несъществено по-високи от получените при пациенти, при което границите за експозицията при хора са ниски или несъществуващи.</w:t>
      </w:r>
    </w:p>
    <w:p w14:paraId="3B7C39B7"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Проучванията на лекарствена безопасност за интравенозното приложение на лакозамид при анестезирани кучета показват временно повишение </w:t>
      </w:r>
      <w:r w:rsidRPr="008772D5">
        <w:rPr>
          <w:rFonts w:eastAsia="Times New Roman" w:cs="Arial"/>
          <w:i/>
          <w:iCs/>
          <w:color w:val="000000"/>
          <w:szCs w:val="20"/>
          <w:lang w:eastAsia="bg-BG"/>
        </w:rPr>
        <w:t>в</w:t>
      </w:r>
      <w:r w:rsidRPr="008772D5">
        <w:rPr>
          <w:rFonts w:eastAsia="Times New Roman" w:cs="Arial"/>
          <w:color w:val="000000"/>
          <w:szCs w:val="20"/>
          <w:lang w:eastAsia="bg-BG"/>
        </w:rPr>
        <w:t xml:space="preserve"> </w:t>
      </w:r>
      <w:r w:rsidRPr="008772D5">
        <w:rPr>
          <w:rFonts w:eastAsia="Times New Roman" w:cs="Arial"/>
          <w:color w:val="000000"/>
          <w:szCs w:val="20"/>
          <w:lang w:val="en-US"/>
        </w:rPr>
        <w:t>PR</w:t>
      </w:r>
      <w:r w:rsidRPr="008772D5">
        <w:rPr>
          <w:rFonts w:eastAsia="Times New Roman" w:cs="Arial"/>
          <w:color w:val="000000"/>
          <w:szCs w:val="20"/>
          <w:lang w:eastAsia="bg-BG"/>
        </w:rPr>
        <w:t xml:space="preserve">-интервала и продължителността на </w:t>
      </w:r>
      <w:r w:rsidRPr="008772D5">
        <w:rPr>
          <w:rFonts w:eastAsia="Times New Roman" w:cs="Arial"/>
          <w:color w:val="000000"/>
          <w:szCs w:val="20"/>
          <w:lang w:val="en-US"/>
        </w:rPr>
        <w:t>QRS</w:t>
      </w:r>
      <w:r w:rsidRPr="008772D5">
        <w:rPr>
          <w:rFonts w:eastAsia="Times New Roman" w:cs="Arial"/>
          <w:color w:val="000000"/>
          <w:szCs w:val="20"/>
          <w:lang w:eastAsia="bg-BG"/>
        </w:rPr>
        <w:t xml:space="preserve">-комплекса и понижение на кръвното налягане, вероятно поради кардиодепресивното действие. Тези временни промени започват при една и съща концентрация и след максимално препоръчително клинично дозиране. При анестезирани кучета и маймуни от род </w:t>
      </w:r>
      <w:proofErr w:type="spellStart"/>
      <w:r w:rsidRPr="008772D5">
        <w:rPr>
          <w:rFonts w:eastAsia="Times New Roman" w:cs="Arial"/>
          <w:color w:val="000000"/>
          <w:szCs w:val="20"/>
          <w:lang w:val="en-US"/>
        </w:rPr>
        <w:t>Cynomolgus</w:t>
      </w:r>
      <w:proofErr w:type="spellEnd"/>
      <w:r w:rsidRPr="008772D5">
        <w:rPr>
          <w:rFonts w:eastAsia="Times New Roman" w:cs="Arial"/>
          <w:color w:val="000000"/>
          <w:szCs w:val="20"/>
          <w:lang w:val="en-US"/>
        </w:rPr>
        <w:t xml:space="preserve">, </w:t>
      </w:r>
      <w:r w:rsidRPr="008772D5">
        <w:rPr>
          <w:rFonts w:eastAsia="Times New Roman" w:cs="Arial"/>
          <w:color w:val="000000"/>
          <w:szCs w:val="20"/>
          <w:lang w:eastAsia="bg-BG"/>
        </w:rPr>
        <w:t xml:space="preserve">при интравенозно приложение на 15-60 </w:t>
      </w:r>
      <w:r w:rsidRPr="008772D5">
        <w:rPr>
          <w:rFonts w:eastAsia="Times New Roman" w:cs="Arial"/>
          <w:color w:val="000000"/>
          <w:szCs w:val="20"/>
          <w:lang w:val="en-US"/>
        </w:rPr>
        <w:t xml:space="preserve">mg/kg </w:t>
      </w:r>
      <w:r w:rsidRPr="008772D5">
        <w:rPr>
          <w:rFonts w:eastAsia="Times New Roman" w:cs="Arial"/>
          <w:color w:val="000000"/>
          <w:szCs w:val="20"/>
          <w:lang w:eastAsia="bg-BG"/>
        </w:rPr>
        <w:t xml:space="preserve">са наблюдавани забавяне на предсърдната и камерната проводимост, атриовентрикуларен блок и атриовентрикуларна дисоциация. При проучвания на токсичността при многократно приложение при плъхове се наблюдават слаби обратими чернодробни промени, започващи при нива около 3 пъти над клиничната експозиция. Тези промени включват повишено тегло на органите, хипертрофия на хепатоцитите, повишение на серумните концентрации на чернодробните ензими и повишение на общия холестерол и </w:t>
      </w:r>
      <w:r w:rsidRPr="008772D5">
        <w:rPr>
          <w:rFonts w:eastAsia="Times New Roman" w:cs="Arial"/>
          <w:color w:val="000000"/>
          <w:szCs w:val="20"/>
          <w:lang w:eastAsia="bg-BG"/>
        </w:rPr>
        <w:lastRenderedPageBreak/>
        <w:t>триглицеридите. Освен хипертрофията на хепатоцитите не са наблюдавани други хистопатологични промени.</w:t>
      </w:r>
    </w:p>
    <w:p w14:paraId="27BEF0FB"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В проучванията върху репродуктивността и развитието на токсичност при гризачи и плъхове не са наблюдавни тератогенни ефекти, а само увеличаване на броя на мъртвородените и починалите наскоро след раждането потомци, както и слабо понижение в броя на потомството и теглото на новородените при прилагането на токсични за майката дози при плъхове, което съответства нива на на системна експозиция, подобни на очакваната експозиция при клинично приложение. Тъй като по-високи нива на експозиция при животни не са изследвани поради токсичност за майката, наличните данни са недостатъчни за пълна оценка на ембриотоксичния и тератогенен потенциал на лакозамид.</w:t>
      </w:r>
    </w:p>
    <w:p w14:paraId="632F9C4E"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Проучванията при плъхове показват, че лакозамид и/или неговите метаболити преминават бързо плацентарната бариера.</w:t>
      </w:r>
    </w:p>
    <w:p w14:paraId="52E4D01A" w14:textId="348C5559" w:rsidR="0091385D" w:rsidRPr="008772D5" w:rsidRDefault="008772D5" w:rsidP="008772D5">
      <w:pPr>
        <w:rPr>
          <w:rFonts w:cs="Arial"/>
          <w:sz w:val="24"/>
        </w:rPr>
      </w:pPr>
      <w:r w:rsidRPr="008772D5">
        <w:rPr>
          <w:rFonts w:eastAsia="Times New Roman" w:cs="Arial"/>
          <w:color w:val="000000"/>
          <w:szCs w:val="20"/>
          <w:lang w:eastAsia="bg-BG"/>
        </w:rPr>
        <w:t>Различните видове токсичност при ювенилни плъхове и кучета не се различават качествено от тези при възрастни животни. При ювенилни плъхове, след системни експозиции, подобни на очакваната клинична експозиция, е наблюдавано намалено телесно тегло. При ювенилни кучета, при системна експозиция под очакваната клинична експозиция, са започвали да се наблюдават транзиторни и дозозазвисими клинични прояви от страна на ЦНС.</w:t>
      </w:r>
    </w:p>
    <w:p w14:paraId="20E967BE" w14:textId="77777777" w:rsidR="0091385D" w:rsidRPr="0091385D" w:rsidRDefault="0091385D" w:rsidP="0091385D"/>
    <w:p w14:paraId="6A7820AB" w14:textId="353DB6D2" w:rsidR="008A6AF2" w:rsidRDefault="002C50EE" w:rsidP="00395555">
      <w:pPr>
        <w:pStyle w:val="Heading1"/>
      </w:pPr>
      <w:r>
        <w:t>7. ПРИТЕЖАТЕЛ НА РАЗРЕШЕНИЕТО ЗА УПОТРЕБА</w:t>
      </w:r>
    </w:p>
    <w:p w14:paraId="1B9B651E" w14:textId="3382E6AC" w:rsidR="0091385D" w:rsidRDefault="0091385D" w:rsidP="0091385D"/>
    <w:p w14:paraId="5941EEF6" w14:textId="77777777" w:rsidR="008772D5" w:rsidRPr="008772D5" w:rsidRDefault="008772D5" w:rsidP="008772D5">
      <w:pPr>
        <w:spacing w:line="240" w:lineRule="auto"/>
        <w:rPr>
          <w:rFonts w:eastAsia="Times New Roman" w:cs="Arial"/>
          <w:sz w:val="28"/>
          <w:szCs w:val="24"/>
          <w:lang w:val="en-US" w:eastAsia="bg-BG"/>
        </w:rPr>
      </w:pPr>
      <w:r w:rsidRPr="008772D5">
        <w:rPr>
          <w:rFonts w:eastAsia="Times New Roman" w:cs="Arial"/>
          <w:color w:val="000000"/>
          <w:szCs w:val="20"/>
          <w:lang w:val="en-US"/>
        </w:rPr>
        <w:t>G. L. Pharma GmbH</w:t>
      </w:r>
    </w:p>
    <w:p w14:paraId="517926C3" w14:textId="77777777" w:rsidR="008772D5" w:rsidRPr="008772D5" w:rsidRDefault="008772D5" w:rsidP="008772D5">
      <w:pPr>
        <w:spacing w:line="240" w:lineRule="auto"/>
        <w:rPr>
          <w:rFonts w:eastAsia="Times New Roman" w:cs="Arial"/>
          <w:sz w:val="28"/>
          <w:szCs w:val="24"/>
          <w:lang w:val="en-US" w:eastAsia="bg-BG"/>
        </w:rPr>
      </w:pPr>
      <w:proofErr w:type="spellStart"/>
      <w:r w:rsidRPr="008772D5">
        <w:rPr>
          <w:rFonts w:eastAsia="Times New Roman" w:cs="Arial"/>
          <w:color w:val="000000"/>
          <w:szCs w:val="20"/>
          <w:lang w:val="en-US"/>
        </w:rPr>
        <w:t>Schlossplatz</w:t>
      </w:r>
      <w:proofErr w:type="spellEnd"/>
      <w:r w:rsidRPr="008772D5">
        <w:rPr>
          <w:rFonts w:eastAsia="Times New Roman" w:cs="Arial"/>
          <w:color w:val="000000"/>
          <w:szCs w:val="20"/>
          <w:lang w:val="en-US"/>
        </w:rPr>
        <w:t xml:space="preserve"> </w:t>
      </w:r>
      <w:r w:rsidRPr="008772D5">
        <w:rPr>
          <w:rFonts w:eastAsia="Times New Roman" w:cs="Arial"/>
          <w:color w:val="000000"/>
          <w:szCs w:val="20"/>
          <w:lang w:eastAsia="bg-BG"/>
        </w:rPr>
        <w:t>1</w:t>
      </w:r>
    </w:p>
    <w:p w14:paraId="2FD0E70D" w14:textId="77777777" w:rsidR="008772D5" w:rsidRPr="008772D5" w:rsidRDefault="008772D5" w:rsidP="008772D5">
      <w:pPr>
        <w:spacing w:line="240" w:lineRule="auto"/>
        <w:rPr>
          <w:rFonts w:eastAsia="Times New Roman" w:cs="Arial"/>
          <w:sz w:val="28"/>
          <w:szCs w:val="24"/>
          <w:lang w:val="en-US" w:eastAsia="bg-BG"/>
        </w:rPr>
      </w:pPr>
      <w:r w:rsidRPr="008772D5">
        <w:rPr>
          <w:rFonts w:eastAsia="Times New Roman" w:cs="Arial"/>
          <w:color w:val="000000"/>
          <w:szCs w:val="20"/>
          <w:lang w:eastAsia="bg-BG"/>
        </w:rPr>
        <w:t xml:space="preserve">8502 </w:t>
      </w:r>
      <w:proofErr w:type="spellStart"/>
      <w:r w:rsidRPr="008772D5">
        <w:rPr>
          <w:rFonts w:eastAsia="Times New Roman" w:cs="Arial"/>
          <w:color w:val="000000"/>
          <w:szCs w:val="20"/>
          <w:lang w:val="en-US"/>
        </w:rPr>
        <w:t>Lannach</w:t>
      </w:r>
      <w:proofErr w:type="spellEnd"/>
    </w:p>
    <w:p w14:paraId="3FD825DB" w14:textId="7C3C99E3" w:rsidR="0091385D" w:rsidRPr="008772D5" w:rsidRDefault="008772D5" w:rsidP="008772D5">
      <w:pPr>
        <w:rPr>
          <w:rFonts w:cs="Arial"/>
          <w:sz w:val="24"/>
        </w:rPr>
      </w:pPr>
      <w:r w:rsidRPr="008772D5">
        <w:rPr>
          <w:rFonts w:eastAsia="Times New Roman" w:cs="Arial"/>
          <w:color w:val="000000"/>
          <w:szCs w:val="20"/>
          <w:lang w:eastAsia="bg-BG"/>
        </w:rPr>
        <w:t>Австрия</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54CA436A" w:rsidR="0091385D" w:rsidRDefault="0091385D" w:rsidP="0091385D"/>
    <w:p w14:paraId="2EFB6C67"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Регистрационен № Трелема 50 </w:t>
      </w:r>
      <w:r w:rsidRPr="008772D5">
        <w:rPr>
          <w:rFonts w:eastAsia="Times New Roman" w:cs="Arial"/>
          <w:color w:val="000000"/>
          <w:szCs w:val="20"/>
          <w:lang w:val="en-US"/>
        </w:rPr>
        <w:t xml:space="preserve">mg </w:t>
      </w:r>
      <w:r w:rsidRPr="008772D5">
        <w:rPr>
          <w:rFonts w:eastAsia="Times New Roman" w:cs="Arial"/>
          <w:color w:val="000000"/>
          <w:szCs w:val="20"/>
          <w:lang w:eastAsia="bg-BG"/>
        </w:rPr>
        <w:t>филмирани таблетки: 20180162</w:t>
      </w:r>
    </w:p>
    <w:p w14:paraId="03F2C748" w14:textId="77777777" w:rsidR="008772D5" w:rsidRPr="008772D5" w:rsidRDefault="008772D5" w:rsidP="008772D5">
      <w:pPr>
        <w:rPr>
          <w:rFonts w:eastAsia="Times New Roman" w:cs="Arial"/>
          <w:color w:val="000000"/>
          <w:szCs w:val="20"/>
          <w:lang w:eastAsia="bg-BG"/>
        </w:rPr>
      </w:pPr>
      <w:r w:rsidRPr="008772D5">
        <w:rPr>
          <w:rFonts w:eastAsia="Times New Roman" w:cs="Arial"/>
          <w:color w:val="000000"/>
          <w:szCs w:val="20"/>
          <w:lang w:eastAsia="bg-BG"/>
        </w:rPr>
        <w:t xml:space="preserve">Регистрационен № Трелема 100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филмирани таблетки: 20180163 </w:t>
      </w:r>
    </w:p>
    <w:p w14:paraId="410C4645" w14:textId="77777777" w:rsidR="008772D5" w:rsidRPr="008772D5" w:rsidRDefault="008772D5" w:rsidP="008772D5">
      <w:pPr>
        <w:rPr>
          <w:rFonts w:eastAsia="Times New Roman" w:cs="Arial"/>
          <w:color w:val="000000"/>
          <w:szCs w:val="20"/>
          <w:lang w:eastAsia="bg-BG"/>
        </w:rPr>
      </w:pPr>
      <w:r w:rsidRPr="008772D5">
        <w:rPr>
          <w:rFonts w:eastAsia="Times New Roman" w:cs="Arial"/>
          <w:color w:val="000000"/>
          <w:szCs w:val="20"/>
          <w:lang w:eastAsia="bg-BG"/>
        </w:rPr>
        <w:t xml:space="preserve">Регистрационен № Трелема 150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филмирани таблетки: 20180164 </w:t>
      </w:r>
    </w:p>
    <w:p w14:paraId="6E892CE5" w14:textId="13D3D7D8" w:rsidR="0091385D" w:rsidRPr="008772D5" w:rsidRDefault="008772D5" w:rsidP="008772D5">
      <w:pPr>
        <w:rPr>
          <w:rFonts w:cs="Arial"/>
          <w:sz w:val="24"/>
        </w:rPr>
      </w:pPr>
      <w:r w:rsidRPr="008772D5">
        <w:rPr>
          <w:rFonts w:eastAsia="Times New Roman" w:cs="Arial"/>
          <w:color w:val="000000"/>
          <w:szCs w:val="20"/>
          <w:lang w:eastAsia="bg-BG"/>
        </w:rPr>
        <w:t xml:space="preserve">Регистрационен № Трелема 200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филмирани таблетки: 20180165</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0F79A9B4" w:rsidR="0091385D" w:rsidRDefault="0091385D" w:rsidP="0091385D"/>
    <w:p w14:paraId="497007FA" w14:textId="5002036C" w:rsidR="0091385D" w:rsidRPr="008772D5" w:rsidRDefault="008772D5" w:rsidP="0091385D">
      <w:pPr>
        <w:rPr>
          <w:rFonts w:cs="Arial"/>
          <w:sz w:val="24"/>
        </w:rPr>
      </w:pPr>
      <w:r w:rsidRPr="008772D5">
        <w:rPr>
          <w:rFonts w:cs="Arial"/>
          <w:szCs w:val="20"/>
        </w:rPr>
        <w:t>Дата на първо разрешаване: 02.07.2018</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34E0D3BB" w:rsidR="0091385D" w:rsidRDefault="0091385D" w:rsidP="0091385D"/>
    <w:p w14:paraId="30276F52" w14:textId="357BEF8F" w:rsidR="0091385D" w:rsidRPr="008772D5" w:rsidRDefault="008772D5" w:rsidP="0091385D">
      <w:pPr>
        <w:rPr>
          <w:rFonts w:cs="Arial"/>
          <w:sz w:val="24"/>
        </w:rPr>
      </w:pPr>
      <w:r w:rsidRPr="008772D5">
        <w:rPr>
          <w:rFonts w:cs="Arial"/>
          <w:szCs w:val="20"/>
        </w:rPr>
        <w:t>05/2022</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D6605F"/>
    <w:multiLevelType w:val="hybridMultilevel"/>
    <w:tmpl w:val="C85CFD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30"/>
  </w:num>
  <w:num w:numId="12">
    <w:abstractNumId w:val="13"/>
  </w:num>
  <w:num w:numId="13">
    <w:abstractNumId w:val="18"/>
  </w:num>
  <w:num w:numId="14">
    <w:abstractNumId w:val="11"/>
  </w:num>
  <w:num w:numId="15">
    <w:abstractNumId w:val="29"/>
  </w:num>
  <w:num w:numId="16">
    <w:abstractNumId w:val="9"/>
  </w:num>
  <w:num w:numId="17">
    <w:abstractNumId w:val="24"/>
  </w:num>
  <w:num w:numId="18">
    <w:abstractNumId w:val="7"/>
  </w:num>
  <w:num w:numId="19">
    <w:abstractNumId w:val="26"/>
  </w:num>
  <w:num w:numId="20">
    <w:abstractNumId w:val="23"/>
  </w:num>
  <w:num w:numId="21">
    <w:abstractNumId w:val="16"/>
  </w:num>
  <w:num w:numId="22">
    <w:abstractNumId w:val="25"/>
  </w:num>
  <w:num w:numId="23">
    <w:abstractNumId w:val="17"/>
  </w:num>
  <w:num w:numId="24">
    <w:abstractNumId w:val="8"/>
  </w:num>
  <w:num w:numId="25">
    <w:abstractNumId w:val="22"/>
  </w:num>
  <w:num w:numId="26">
    <w:abstractNumId w:val="20"/>
  </w:num>
  <w:num w:numId="27">
    <w:abstractNumId w:val="31"/>
  </w:num>
  <w:num w:numId="28">
    <w:abstractNumId w:val="6"/>
  </w:num>
  <w:num w:numId="29">
    <w:abstractNumId w:val="19"/>
  </w:num>
  <w:num w:numId="30">
    <w:abstractNumId w:val="34"/>
  </w:num>
  <w:num w:numId="31">
    <w:abstractNumId w:val="5"/>
  </w:num>
  <w:num w:numId="32">
    <w:abstractNumId w:val="33"/>
  </w:num>
  <w:num w:numId="33">
    <w:abstractNumId w:val="28"/>
  </w:num>
  <w:num w:numId="34">
    <w:abstractNumId w:val="3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31294"/>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3631"/>
    <w:rsid w:val="0075649D"/>
    <w:rsid w:val="007C605B"/>
    <w:rsid w:val="007E1356"/>
    <w:rsid w:val="008134C8"/>
    <w:rsid w:val="00814073"/>
    <w:rsid w:val="00826F0D"/>
    <w:rsid w:val="008772D5"/>
    <w:rsid w:val="00893B92"/>
    <w:rsid w:val="008A6AF2"/>
    <w:rsid w:val="008C70A2"/>
    <w:rsid w:val="008F1AF3"/>
    <w:rsid w:val="0091385D"/>
    <w:rsid w:val="009773E4"/>
    <w:rsid w:val="009B171C"/>
    <w:rsid w:val="009F1313"/>
    <w:rsid w:val="00A20351"/>
    <w:rsid w:val="00A27676"/>
    <w:rsid w:val="00A65A81"/>
    <w:rsid w:val="00A73575"/>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03AB0"/>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7648</Words>
  <Characters>43596</Characters>
  <Application>Microsoft Office Word</Application>
  <DocSecurity>0</DocSecurity>
  <Lines>363</Lines>
  <Paragraphs>102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2022-09-06T16:23:00Z</dcterms:created>
  <dcterms:modified xsi:type="dcterms:W3CDTF">2022-09-06T16:23:00Z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