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7B7F9CBA" w:rsidR="0091385D" w:rsidRDefault="0091385D" w:rsidP="0091385D"/>
    <w:p w14:paraId="1058859B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val="en-US" w:eastAsia="bg-BG"/>
        </w:rPr>
      </w:pPr>
      <w:r w:rsidRPr="00C40664">
        <w:rPr>
          <w:rFonts w:eastAsia="Times New Roman" w:cs="Arial"/>
          <w:color w:val="000000"/>
          <w:szCs w:val="20"/>
          <w:lang w:val="en-US"/>
        </w:rPr>
        <w:t>TRIBESTAN 250 mg film-coated tablets</w:t>
      </w:r>
      <w:bookmarkStart w:id="1" w:name="_GoBack"/>
      <w:bookmarkEnd w:id="1"/>
    </w:p>
    <w:p w14:paraId="69AC8148" w14:textId="2F0A3352" w:rsidR="00EC41E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 xml:space="preserve">ТРИБЕСТАН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250 mg </w:t>
      </w:r>
      <w:r w:rsidRPr="00C40664">
        <w:rPr>
          <w:rFonts w:eastAsia="Times New Roman" w:cs="Arial"/>
          <w:color w:val="000000"/>
          <w:szCs w:val="20"/>
          <w:lang w:eastAsia="bg-BG"/>
        </w:rPr>
        <w:t>филмирани таблетки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478BAC70" w:rsidR="0091385D" w:rsidRDefault="0091385D" w:rsidP="0091385D"/>
    <w:p w14:paraId="2386970F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 xml:space="preserve">Всяка филмирана таблетка съдържа: </w:t>
      </w:r>
      <w:proofErr w:type="spellStart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>Tribulus</w:t>
      </w:r>
      <w:proofErr w:type="spellEnd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 xml:space="preserve"> </w:t>
      </w:r>
      <w:proofErr w:type="spellStart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>terrestris</w:t>
      </w:r>
      <w:proofErr w:type="spellEnd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 xml:space="preserve"> </w:t>
      </w:r>
      <w:proofErr w:type="spellStart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>herba</w:t>
      </w:r>
      <w:proofErr w:type="spellEnd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 xml:space="preserve"> extraction </w:t>
      </w:r>
      <w:proofErr w:type="spellStart"/>
      <w:r w:rsidRPr="00C40664">
        <w:rPr>
          <w:rFonts w:eastAsia="Times New Roman" w:cs="Arial"/>
          <w:i/>
          <w:iCs/>
          <w:color w:val="000000"/>
          <w:szCs w:val="20"/>
          <w:lang w:val="en-US"/>
        </w:rPr>
        <w:t>siccum</w:t>
      </w:r>
      <w:proofErr w:type="spellEnd"/>
      <w:r w:rsidRPr="00C40664">
        <w:rPr>
          <w:rFonts w:eastAsia="Times New Roman" w:cs="Arial"/>
          <w:color w:val="000000"/>
          <w:szCs w:val="20"/>
          <w:lang w:val="en-US"/>
        </w:rPr>
        <w:t xml:space="preserve"> (35-45:1) 250 mg 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(съдържание на фуростанолови сапонини не по-малко от 112,5 </w:t>
      </w:r>
      <w:r w:rsidRPr="00C40664">
        <w:rPr>
          <w:rFonts w:eastAsia="Times New Roman" w:cs="Arial"/>
          <w:color w:val="000000"/>
          <w:szCs w:val="20"/>
          <w:lang w:val="en-US"/>
        </w:rPr>
        <w:t>mg).</w:t>
      </w:r>
    </w:p>
    <w:p w14:paraId="54632B43" w14:textId="7D5DCE12" w:rsidR="00EC41E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За пълния списък на помощните вещества, вж. точка 6.1.</w:t>
      </w:r>
    </w:p>
    <w:p w14:paraId="3C47C299" w14:textId="77777777" w:rsidR="00A73575" w:rsidRPr="0091385D" w:rsidRDefault="00A73575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67F9C61D" w:rsidR="0091385D" w:rsidRDefault="0091385D" w:rsidP="0091385D"/>
    <w:p w14:paraId="650239E8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Филмирана таблетка</w:t>
      </w:r>
    </w:p>
    <w:p w14:paraId="743244F0" w14:textId="21746AF3" w:rsidR="00EC41E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Кръгли, двойноизпъкнали таблетки с кафяв цвят.</w:t>
      </w:r>
    </w:p>
    <w:p w14:paraId="7D287A22" w14:textId="77777777" w:rsidR="00A73575" w:rsidRPr="0091385D" w:rsidRDefault="00A73575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Default="0091385D" w:rsidP="0091385D"/>
    <w:p w14:paraId="6DFA4B9D" w14:textId="01B81E44" w:rsidR="0091385D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В комплексната терапия на понижено либидо, импотенция, безплодие; дислипопротеинемия; климактеричен и посткастрационен синдром.</w:t>
      </w:r>
    </w:p>
    <w:p w14:paraId="642F56D9" w14:textId="77777777" w:rsidR="00EC41ED" w:rsidRPr="0091385D" w:rsidRDefault="00EC41E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0723B40D" w:rsidR="0091385D" w:rsidRDefault="0091385D" w:rsidP="0091385D"/>
    <w:p w14:paraId="3A956BDE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Таблетките се приемат перорално, след хранене.</w:t>
      </w:r>
    </w:p>
    <w:p w14:paraId="11580249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Препоръчват се следните дозировки:</w:t>
      </w:r>
    </w:p>
    <w:p w14:paraId="31104150" w14:textId="77777777" w:rsidR="00C40664" w:rsidRPr="00C40664" w:rsidRDefault="00C40664" w:rsidP="00C40664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85C6DCD" w14:textId="259DC80C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i/>
          <w:iCs/>
          <w:color w:val="000000"/>
          <w:szCs w:val="20"/>
          <w:lang w:eastAsia="bg-BG"/>
        </w:rPr>
        <w:t>При понижено либидо, импотенция и безплодие:</w:t>
      </w:r>
    </w:p>
    <w:p w14:paraId="0CED5606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При мъже с понижено либидо, импотенция и безплодие се препоръчва дозировка по 1-2 таблетки 3 пъти дневно. Продължителност на лечението - най-малко 90 дни. Курсът на лечение може да се повтаря до получаване на задоволителен терапевтичен ефект.</w:t>
      </w:r>
    </w:p>
    <w:p w14:paraId="0809E419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При жени с ендокринен стерилитет се препоръчва дозировка по 1-2 таблетки 3 пъти дневно, прилагани от 1-ви до 12-ти ден на менструалния цикъл. Този курс може да се повтаря периодично до забременяване.</w:t>
      </w:r>
    </w:p>
    <w:p w14:paraId="251B74BA" w14:textId="77777777" w:rsidR="00C40664" w:rsidRPr="00C40664" w:rsidRDefault="00C40664" w:rsidP="00C40664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E80443B" w14:textId="57A66271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i/>
          <w:iCs/>
          <w:color w:val="000000"/>
          <w:szCs w:val="20"/>
          <w:lang w:eastAsia="bg-BG"/>
        </w:rPr>
        <w:t>Дислипопротеинемия:</w:t>
      </w:r>
    </w:p>
    <w:p w14:paraId="19C691A2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По 2 таблетки 3 пъти дневно. Продължителност на лечението не по-малко от 3 месеца.</w:t>
      </w:r>
    </w:p>
    <w:p w14:paraId="3E65E58F" w14:textId="77777777" w:rsidR="00C40664" w:rsidRPr="00C40664" w:rsidRDefault="00C40664" w:rsidP="00C40664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71CDB39D" w14:textId="488200CF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i/>
          <w:iCs/>
          <w:color w:val="000000"/>
          <w:szCs w:val="20"/>
          <w:lang w:eastAsia="bg-BG"/>
        </w:rPr>
        <w:lastRenderedPageBreak/>
        <w:t>Климактеричен и посткастрационен синдром у жените:</w:t>
      </w:r>
    </w:p>
    <w:p w14:paraId="7FBF1BCE" w14:textId="37D6DA50" w:rsidR="00EC41E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По 1-2 таблетки 3 пъти дневно в продължение на 60-90 дни. След подобряване на състоянието постепенно се преминава към поддържаща доза - по 2 таблетки дневно в продължение на 1-2 години.</w:t>
      </w:r>
    </w:p>
    <w:p w14:paraId="132F3111" w14:textId="77777777" w:rsidR="005B0F27" w:rsidRPr="0091385D" w:rsidRDefault="005B0F27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619A99CE" w:rsidR="0091385D" w:rsidRDefault="0091385D" w:rsidP="0091385D"/>
    <w:p w14:paraId="6F7A7CC3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Свръхчувствителност към активното вещество или някоя от помощните съставки;</w:t>
      </w:r>
    </w:p>
    <w:p w14:paraId="49112C77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Тежки сърдечно-съдови и бъбречни заболявания;</w:t>
      </w:r>
      <w:r w:rsidRPr="00C40664">
        <w:rPr>
          <w:rFonts w:eastAsia="Times New Roman" w:cs="Arial"/>
          <w:color w:val="000000"/>
          <w:szCs w:val="20"/>
          <w:lang w:eastAsia="bg-BG"/>
        </w:rPr>
        <w:tab/>
      </w:r>
    </w:p>
    <w:p w14:paraId="32E3B32A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Аденом на простатата;</w:t>
      </w:r>
    </w:p>
    <w:p w14:paraId="645D153E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Деца под 16-годишна възраст;</w:t>
      </w:r>
    </w:p>
    <w:p w14:paraId="030B6A4D" w14:textId="6204D432" w:rsidR="00EC41E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Бременност и периода на кърмене.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1E0703C7" w:rsidR="0091385D" w:rsidRDefault="0091385D" w:rsidP="0091385D"/>
    <w:p w14:paraId="0E28BBDE" w14:textId="7DBF598D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При лечение на жени в климактериум преминаването от терапевтична към поддържаща доза трябва да става постепенно. След рязко намаляване или спиране на ефективната доза е възможна вторична проява на комплекса от климактерични симптоми.</w:t>
      </w:r>
    </w:p>
    <w:p w14:paraId="24E3E82F" w14:textId="77777777" w:rsidR="0091385D" w:rsidRPr="0091385D" w:rsidRDefault="0091385D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24E5A395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Едновременното приложение на Трибестан с лекарствени продукти, стимулиращи овулацията, води до взаимно усилване на ефектите им.</w:t>
      </w:r>
    </w:p>
    <w:p w14:paraId="5B2761C5" w14:textId="18C16293" w:rsidR="0091385D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Възможно е Трибестан да засили ефектите на диуретици и да потенцира хипотензивия ефект на антихипертензивните продукти.</w:t>
      </w:r>
    </w:p>
    <w:p w14:paraId="0395BD2E" w14:textId="77777777" w:rsidR="007A2185" w:rsidRPr="0091385D" w:rsidRDefault="007A2185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0528FAED" w:rsidR="0091385D" w:rsidRDefault="0091385D" w:rsidP="0091385D"/>
    <w:p w14:paraId="102F0D07" w14:textId="71571E6D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Експериментални проучвания при животни не показват ембриотоксични и тератогенни ефекти. Потенциалният риск при хора не е известен. Не са провеждани клинични проучвания при бременни, поради което Трибестан не се прилага по време на бременност и в периода на кърмене. При установяване на бременност приемът на продукта трябва да се прекрати.</w:t>
      </w:r>
    </w:p>
    <w:p w14:paraId="3E8789C3" w14:textId="77777777" w:rsidR="0091385D" w:rsidRPr="0091385D" w:rsidRDefault="0091385D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78136F1E" w:rsidR="0091385D" w:rsidRDefault="0091385D" w:rsidP="0091385D"/>
    <w:p w14:paraId="1C9ABB96" w14:textId="4F08666F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Трибестан не повлиява способността за шофиране и работа с машини.</w:t>
      </w:r>
    </w:p>
    <w:p w14:paraId="35801A15" w14:textId="77777777" w:rsidR="0091385D" w:rsidRPr="0091385D" w:rsidRDefault="0091385D" w:rsidP="0091385D"/>
    <w:p w14:paraId="4838F52A" w14:textId="058F0B9C" w:rsidR="0091385D" w:rsidRDefault="002C50EE" w:rsidP="007A2185">
      <w:pPr>
        <w:pStyle w:val="Heading2"/>
      </w:pPr>
      <w:r>
        <w:t>4.8. Нежелани лекарствени реакции</w:t>
      </w:r>
    </w:p>
    <w:p w14:paraId="76E0B7A2" w14:textId="5BBD2581" w:rsidR="005B0F27" w:rsidRDefault="005B0F27" w:rsidP="0091385D"/>
    <w:p w14:paraId="50FAE487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Възможно е да се наблюдават реакции на свръхчувствителност.</w:t>
      </w:r>
    </w:p>
    <w:p w14:paraId="0254AACC" w14:textId="441DEF07" w:rsidR="007A2185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Може да има дразнещо действие върху стомашната лигавица.</w:t>
      </w:r>
    </w:p>
    <w:p w14:paraId="443BC107" w14:textId="77777777" w:rsidR="005B0F27" w:rsidRPr="0091385D" w:rsidRDefault="005B0F27" w:rsidP="0091385D"/>
    <w:p w14:paraId="0A023CE0" w14:textId="13F87CFD" w:rsidR="00CF77F7" w:rsidRDefault="002C50EE" w:rsidP="004A448E">
      <w:pPr>
        <w:pStyle w:val="Heading2"/>
      </w:pPr>
      <w:r>
        <w:lastRenderedPageBreak/>
        <w:t>4.9. Предозиране</w:t>
      </w:r>
    </w:p>
    <w:p w14:paraId="3EDFC3FC" w14:textId="771B3817" w:rsidR="0091385D" w:rsidRDefault="0091385D" w:rsidP="0091385D"/>
    <w:p w14:paraId="6A43B8F3" w14:textId="0C243F05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Няма съобщения за случаи на предозиране с Трибестан. При приемане на по-голямо количество от продукта се провежда симптоматично лечение.</w:t>
      </w:r>
    </w:p>
    <w:p w14:paraId="48FF1584" w14:textId="77777777" w:rsidR="0091385D" w:rsidRPr="0091385D" w:rsidRDefault="0091385D" w:rsidP="0091385D"/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73F11A6B" w:rsidR="0091385D" w:rsidRDefault="0091385D" w:rsidP="0091385D"/>
    <w:p w14:paraId="08EEE749" w14:textId="77777777" w:rsidR="00C40664" w:rsidRPr="00C40664" w:rsidRDefault="00C40664" w:rsidP="00C40664">
      <w:pPr>
        <w:rPr>
          <w:rFonts w:cs="Arial"/>
          <w:sz w:val="24"/>
        </w:rPr>
      </w:pPr>
      <w:r w:rsidRPr="00C40664">
        <w:rPr>
          <w:rFonts w:cs="Arial"/>
          <w:b/>
          <w:bCs/>
          <w:szCs w:val="20"/>
        </w:rPr>
        <w:t xml:space="preserve">Фармакотерапевтична група: </w:t>
      </w:r>
      <w:r w:rsidRPr="00C40664">
        <w:rPr>
          <w:rFonts w:cs="Arial"/>
          <w:szCs w:val="20"/>
        </w:rPr>
        <w:t>Урологични продукти. Други.</w:t>
      </w:r>
    </w:p>
    <w:p w14:paraId="502B9D3B" w14:textId="77777777" w:rsidR="00C40664" w:rsidRPr="00C40664" w:rsidRDefault="00C40664" w:rsidP="00C40664">
      <w:pPr>
        <w:rPr>
          <w:rFonts w:cs="Arial"/>
          <w:sz w:val="24"/>
        </w:rPr>
      </w:pPr>
      <w:r w:rsidRPr="00C40664">
        <w:rPr>
          <w:rFonts w:cs="Arial"/>
          <w:b/>
          <w:bCs/>
          <w:szCs w:val="20"/>
        </w:rPr>
        <w:t xml:space="preserve">АТС код: </w:t>
      </w:r>
      <w:r w:rsidRPr="00C40664">
        <w:rPr>
          <w:rFonts w:cs="Arial"/>
          <w:szCs w:val="20"/>
          <w:lang w:val="en-US"/>
        </w:rPr>
        <w:t>G04BX00</w:t>
      </w:r>
    </w:p>
    <w:p w14:paraId="343BC5BD" w14:textId="77777777" w:rsidR="00C40664" w:rsidRPr="00C40664" w:rsidRDefault="00C40664" w:rsidP="00C40664">
      <w:pPr>
        <w:rPr>
          <w:rFonts w:cs="Arial"/>
          <w:sz w:val="24"/>
        </w:rPr>
      </w:pPr>
      <w:r w:rsidRPr="00C40664">
        <w:rPr>
          <w:rFonts w:cs="Arial"/>
          <w:szCs w:val="20"/>
        </w:rPr>
        <w:t xml:space="preserve">Трибестан е природен продукт, получен от надземната част на растението </w:t>
      </w:r>
      <w:proofErr w:type="spellStart"/>
      <w:r w:rsidRPr="00C40664">
        <w:rPr>
          <w:rFonts w:cs="Arial"/>
          <w:szCs w:val="20"/>
          <w:lang w:val="en-US"/>
        </w:rPr>
        <w:t>Tribulus</w:t>
      </w:r>
      <w:proofErr w:type="spellEnd"/>
      <w:r w:rsidRPr="00C40664">
        <w:rPr>
          <w:rFonts w:cs="Arial"/>
          <w:szCs w:val="20"/>
          <w:lang w:val="en-US"/>
        </w:rPr>
        <w:t xml:space="preserve"> </w:t>
      </w:r>
      <w:proofErr w:type="spellStart"/>
      <w:r w:rsidRPr="00C40664">
        <w:rPr>
          <w:rFonts w:cs="Arial"/>
          <w:szCs w:val="20"/>
          <w:lang w:val="en-US"/>
        </w:rPr>
        <w:t>terrestris</w:t>
      </w:r>
      <w:proofErr w:type="spellEnd"/>
      <w:r w:rsidRPr="00C40664">
        <w:rPr>
          <w:rFonts w:cs="Arial"/>
          <w:szCs w:val="20"/>
          <w:lang w:val="en-US"/>
        </w:rPr>
        <w:t xml:space="preserve"> L. </w:t>
      </w:r>
      <w:r w:rsidRPr="00C40664">
        <w:rPr>
          <w:rFonts w:cs="Arial"/>
          <w:szCs w:val="20"/>
        </w:rPr>
        <w:t xml:space="preserve">и съдържа предимно стероидни сапонини от фуростанолов тип. Механизът му на действие е свързан с преобладаващото съединение протодиосцин. Протодиосцин се метаболизира в организма до дехидроепиандростерон </w:t>
      </w:r>
      <w:r w:rsidRPr="00C40664">
        <w:rPr>
          <w:rFonts w:cs="Arial"/>
          <w:szCs w:val="20"/>
          <w:lang w:val="en-US"/>
        </w:rPr>
        <w:t xml:space="preserve">(DHEA), </w:t>
      </w:r>
      <w:r w:rsidRPr="00C40664">
        <w:rPr>
          <w:rFonts w:cs="Arial"/>
          <w:szCs w:val="20"/>
        </w:rPr>
        <w:t xml:space="preserve">който оказва благоприятен ефект върху интегритета на клетъчната мембрана, ерекгилната функция, метаболизма на холестерол и имунитета. Другите активни фуростанолови сапонини, влизащи в състава на екстракта от </w:t>
      </w:r>
      <w:proofErr w:type="spellStart"/>
      <w:r w:rsidRPr="00C40664">
        <w:rPr>
          <w:rFonts w:cs="Arial"/>
          <w:szCs w:val="20"/>
          <w:lang w:val="en-US"/>
        </w:rPr>
        <w:t>Tribulus</w:t>
      </w:r>
      <w:proofErr w:type="spellEnd"/>
      <w:r w:rsidRPr="00C40664">
        <w:rPr>
          <w:rFonts w:cs="Arial"/>
          <w:szCs w:val="20"/>
          <w:lang w:val="en-US"/>
        </w:rPr>
        <w:t xml:space="preserve"> </w:t>
      </w:r>
      <w:proofErr w:type="spellStart"/>
      <w:r w:rsidRPr="00C40664">
        <w:rPr>
          <w:rFonts w:cs="Arial"/>
          <w:szCs w:val="20"/>
          <w:lang w:val="en-US"/>
        </w:rPr>
        <w:t>terrestris</w:t>
      </w:r>
      <w:proofErr w:type="spellEnd"/>
      <w:r w:rsidRPr="00C40664">
        <w:rPr>
          <w:rFonts w:cs="Arial"/>
          <w:szCs w:val="20"/>
          <w:lang w:val="en-US"/>
        </w:rPr>
        <w:t xml:space="preserve">, </w:t>
      </w:r>
      <w:r w:rsidRPr="00C40664">
        <w:rPr>
          <w:rFonts w:cs="Arial"/>
          <w:szCs w:val="20"/>
        </w:rPr>
        <w:t>вероятно ефекта на протодиосцин.</w:t>
      </w:r>
    </w:p>
    <w:p w14:paraId="0FD6E9E1" w14:textId="77777777" w:rsidR="00C40664" w:rsidRPr="00C40664" w:rsidRDefault="00C40664" w:rsidP="00C40664">
      <w:pPr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cs="Arial"/>
          <w:szCs w:val="20"/>
        </w:rPr>
        <w:t>Трибестан оказва общотонизиращо действие и стимулира някои от функциите на половата система. При мъжете възстановява и подобрява либидото и ерекцията. Оказва стимулиращо влияние върху сперматогенезата, като увеличава броя и подвижността на сперматозоидите, повишава нивото на тестостерона. При жени Трибестан също подобрява либидото, стимулира овулацията. Благодарение</w:t>
      </w:r>
      <w:r w:rsidRPr="00C40664">
        <w:rPr>
          <w:rFonts w:cs="Arial"/>
          <w:szCs w:val="20"/>
          <w:lang w:val="en-US"/>
        </w:rPr>
        <w:t xml:space="preserve"> </w:t>
      </w:r>
      <w:r w:rsidRPr="00C40664">
        <w:rPr>
          <w:rFonts w:eastAsia="Times New Roman" w:cs="Arial"/>
          <w:color w:val="000000"/>
          <w:szCs w:val="20"/>
          <w:lang w:eastAsia="bg-BG"/>
        </w:rPr>
        <w:t>на хормоно-балансиращия му ефект повлиява благоприятно вазомоторните прояви при естествен и посткастрационен климактериум.</w:t>
      </w:r>
    </w:p>
    <w:p w14:paraId="42D7298A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При здрави доброволци резултатите показват, че Трибестан повлиява серумното ниво на хормоните от хипофизо-гонадалната ос, без да променя съществено нивата на надбъбречните хормони и адренокортикотропния хормон.</w:t>
      </w:r>
    </w:p>
    <w:p w14:paraId="536173F0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C40664">
        <w:rPr>
          <w:rFonts w:eastAsia="Times New Roman" w:cs="Arial"/>
          <w:color w:val="000000"/>
          <w:szCs w:val="20"/>
          <w:lang w:val="en-US"/>
        </w:rPr>
        <w:t>Tribestan</w:t>
      </w:r>
      <w:proofErr w:type="spellEnd"/>
      <w:r w:rsidRPr="00C40664">
        <w:rPr>
          <w:rFonts w:eastAsia="Times New Roman" w:cs="Arial"/>
          <w:color w:val="000000"/>
          <w:szCs w:val="20"/>
          <w:lang w:val="en-US"/>
        </w:rPr>
        <w:t xml:space="preserve"> 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притежава хиполипемичен ефект, като при пациенти с дислипопротеинемия значимо намалява общия холестерол и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LDL, 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без достоверно повлияване стойностите на триглицеридите и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HDL </w:t>
      </w:r>
      <w:r w:rsidRPr="00C40664">
        <w:rPr>
          <w:rFonts w:eastAsia="Times New Roman" w:cs="Arial"/>
          <w:color w:val="000000"/>
          <w:szCs w:val="20"/>
          <w:lang w:eastAsia="bg-BG"/>
        </w:rPr>
        <w:t>в серума.</w:t>
      </w:r>
    </w:p>
    <w:p w14:paraId="038F692B" w14:textId="5CA9B21A" w:rsidR="007A2185" w:rsidRPr="00C40664" w:rsidRDefault="00C40664" w:rsidP="00C40664">
      <w:pPr>
        <w:rPr>
          <w:rFonts w:cs="Arial"/>
          <w:sz w:val="24"/>
          <w:lang w:val="en-US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Трибестан притежава известно антихипертензивно и диуретично действие.</w:t>
      </w:r>
    </w:p>
    <w:p w14:paraId="36152471" w14:textId="77777777" w:rsidR="0091385D" w:rsidRPr="0091385D" w:rsidRDefault="0091385D" w:rsidP="0091385D"/>
    <w:p w14:paraId="5031193D" w14:textId="408B9A83" w:rsidR="0091385D" w:rsidRDefault="002C50EE" w:rsidP="007A2185">
      <w:pPr>
        <w:pStyle w:val="Heading2"/>
      </w:pPr>
      <w:r>
        <w:t>5.2. Фармакокинетични свойства</w:t>
      </w:r>
    </w:p>
    <w:p w14:paraId="46B35D05" w14:textId="6A0462F4" w:rsidR="007A2185" w:rsidRDefault="007A2185" w:rsidP="007A2185"/>
    <w:p w14:paraId="45551830" w14:textId="3BF743C9" w:rsidR="007A2185" w:rsidRPr="00C40664" w:rsidRDefault="00C40664" w:rsidP="007A2185">
      <w:pPr>
        <w:rPr>
          <w:rFonts w:cs="Arial"/>
          <w:sz w:val="24"/>
        </w:rPr>
      </w:pPr>
      <w:r w:rsidRPr="00C40664">
        <w:rPr>
          <w:rFonts w:cs="Arial"/>
          <w:szCs w:val="20"/>
        </w:rPr>
        <w:t>Не са проведени фармакокинетични проучвания при хора.</w:t>
      </w:r>
    </w:p>
    <w:p w14:paraId="4EE1BB0B" w14:textId="77777777" w:rsidR="0091385D" w:rsidRPr="0091385D" w:rsidRDefault="0091385D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20E967BE" w14:textId="751DCF54" w:rsidR="0091385D" w:rsidRDefault="0091385D" w:rsidP="0091385D"/>
    <w:p w14:paraId="0A15FC35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 xml:space="preserve">Изследванията върху опитни животни за остра токсичност дават основание Трибестан да се причисли към практически нетоксичните вещества, съгласно класификацията за токсичност по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Hodge 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и </w:t>
      </w:r>
      <w:r w:rsidRPr="00C40664">
        <w:rPr>
          <w:rFonts w:eastAsia="Times New Roman" w:cs="Arial"/>
          <w:color w:val="000000"/>
          <w:szCs w:val="20"/>
          <w:lang w:val="en-US"/>
        </w:rPr>
        <w:t>Sterner.</w:t>
      </w:r>
    </w:p>
    <w:p w14:paraId="54997966" w14:textId="77777777" w:rsidR="00C40664" w:rsidRPr="00C40664" w:rsidRDefault="00C40664" w:rsidP="00C40664">
      <w:pPr>
        <w:pStyle w:val="ListParagraph"/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ЛД</w:t>
      </w:r>
      <w:r w:rsidRPr="00C40664">
        <w:rPr>
          <w:rFonts w:eastAsia="Times New Roman" w:cs="Arial"/>
          <w:color w:val="000000"/>
          <w:szCs w:val="20"/>
          <w:vertAlign w:val="subscript"/>
          <w:lang w:eastAsia="bg-BG"/>
        </w:rPr>
        <w:t>50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 при плъхове, пер ос - над 10 000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mg/kg </w:t>
      </w:r>
      <w:r w:rsidRPr="00C40664">
        <w:rPr>
          <w:rFonts w:eastAsia="Times New Roman" w:cs="Arial"/>
          <w:color w:val="000000"/>
          <w:szCs w:val="20"/>
          <w:lang w:eastAsia="bg-BG"/>
        </w:rPr>
        <w:t>телесно тегло</w:t>
      </w:r>
    </w:p>
    <w:p w14:paraId="3866ED34" w14:textId="77777777" w:rsidR="00C40664" w:rsidRPr="00C40664" w:rsidRDefault="00C40664" w:rsidP="00C40664">
      <w:pPr>
        <w:pStyle w:val="ListParagraph"/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ЛД</w:t>
      </w:r>
      <w:r w:rsidRPr="00C40664">
        <w:rPr>
          <w:rFonts w:eastAsia="Times New Roman" w:cs="Arial"/>
          <w:color w:val="000000"/>
          <w:szCs w:val="20"/>
          <w:vertAlign w:val="subscript"/>
          <w:lang w:eastAsia="bg-BG"/>
        </w:rPr>
        <w:t>зо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 при плъхове, интраперитонеално - 750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mg/kg </w:t>
      </w:r>
      <w:r w:rsidRPr="00C40664">
        <w:rPr>
          <w:rFonts w:eastAsia="Times New Roman" w:cs="Arial"/>
          <w:color w:val="000000"/>
          <w:szCs w:val="20"/>
          <w:lang w:eastAsia="bg-BG"/>
        </w:rPr>
        <w:t>телесно тегло</w:t>
      </w:r>
    </w:p>
    <w:p w14:paraId="2C5E75F9" w14:textId="77777777" w:rsidR="00C40664" w:rsidRPr="00C40664" w:rsidRDefault="00C40664" w:rsidP="00C40664">
      <w:pPr>
        <w:pStyle w:val="ListParagraph"/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ЛД</w:t>
      </w:r>
      <w:r w:rsidRPr="00C40664">
        <w:rPr>
          <w:rFonts w:eastAsia="Times New Roman" w:cs="Arial"/>
          <w:color w:val="000000"/>
          <w:szCs w:val="20"/>
          <w:vertAlign w:val="subscript"/>
          <w:lang w:eastAsia="bg-BG"/>
        </w:rPr>
        <w:t>50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 при мишки, пер ос - над 10 000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mg/kg </w:t>
      </w:r>
      <w:r w:rsidRPr="00C40664">
        <w:rPr>
          <w:rFonts w:eastAsia="Times New Roman" w:cs="Arial"/>
          <w:color w:val="000000"/>
          <w:szCs w:val="20"/>
          <w:lang w:eastAsia="bg-BG"/>
        </w:rPr>
        <w:t>телесно тегло</w:t>
      </w:r>
    </w:p>
    <w:p w14:paraId="6F5D54FB" w14:textId="67225D34" w:rsidR="00C40664" w:rsidRPr="00C40664" w:rsidRDefault="00C40664" w:rsidP="00C40664">
      <w:pPr>
        <w:pStyle w:val="ListParagraph"/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ЛД</w:t>
      </w:r>
      <w:r w:rsidRPr="00C40664">
        <w:rPr>
          <w:rFonts w:eastAsia="Times New Roman" w:cs="Arial"/>
          <w:color w:val="000000"/>
          <w:szCs w:val="20"/>
          <w:vertAlign w:val="subscript"/>
          <w:lang w:eastAsia="bg-BG"/>
        </w:rPr>
        <w:t>50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 при мишки, интраперитонеално - 1492 </w:t>
      </w:r>
      <w:r w:rsidRPr="00C40664">
        <w:rPr>
          <w:rFonts w:eastAsia="Times New Roman" w:cs="Arial"/>
          <w:color w:val="000000"/>
          <w:szCs w:val="20"/>
          <w:lang w:val="en-US"/>
        </w:rPr>
        <w:t xml:space="preserve">mg/kg </w:t>
      </w:r>
      <w:r w:rsidRPr="00C40664">
        <w:rPr>
          <w:rFonts w:eastAsia="Times New Roman" w:cs="Arial"/>
          <w:color w:val="000000"/>
          <w:szCs w:val="20"/>
          <w:lang w:eastAsia="bg-BG"/>
        </w:rPr>
        <w:t>телесно тегло.</w:t>
      </w:r>
    </w:p>
    <w:p w14:paraId="13A7B62A" w14:textId="6A922701" w:rsidR="007A2185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i/>
          <w:iCs/>
          <w:color w:val="000000"/>
          <w:szCs w:val="20"/>
          <w:lang w:eastAsia="bg-BG"/>
        </w:rPr>
        <w:lastRenderedPageBreak/>
        <w:t>При проведените</w:t>
      </w:r>
      <w:r w:rsidRPr="00C40664">
        <w:rPr>
          <w:rFonts w:eastAsia="Times New Roman" w:cs="Arial"/>
          <w:color w:val="000000"/>
          <w:szCs w:val="20"/>
          <w:lang w:eastAsia="bg-BG"/>
        </w:rPr>
        <w:t xml:space="preserve"> функционални, биохимични, морфологични и хематологични изследвания в експериментални условия не са установени токсични ефекти при приложението на Трибестан. Резултатите с опити при животни не показват канцерогенен, тератогенен и ембриотоксичен ефект.</w:t>
      </w:r>
    </w:p>
    <w:p w14:paraId="12FFA9B2" w14:textId="77777777" w:rsidR="007A2185" w:rsidRPr="0091385D" w:rsidRDefault="007A2185" w:rsidP="0091385D"/>
    <w:p w14:paraId="6A7820AB" w14:textId="353DB6D2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B9B651E" w14:textId="24042B6C" w:rsidR="0091385D" w:rsidRDefault="0091385D" w:rsidP="0091385D"/>
    <w:p w14:paraId="7ED78F8C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СОФАРМА АД</w:t>
      </w:r>
    </w:p>
    <w:p w14:paraId="2EAAE9B8" w14:textId="77777777" w:rsidR="00C40664" w:rsidRPr="00C40664" w:rsidRDefault="00C40664" w:rsidP="00C40664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ул. „Илиенско шосе” 16</w:t>
      </w:r>
    </w:p>
    <w:p w14:paraId="4F02909F" w14:textId="6DD4F50F" w:rsidR="007A2185" w:rsidRPr="00C40664" w:rsidRDefault="00C40664" w:rsidP="00C40664">
      <w:pPr>
        <w:rPr>
          <w:rFonts w:cs="Arial"/>
          <w:sz w:val="24"/>
        </w:rPr>
      </w:pPr>
      <w:r w:rsidRPr="00C40664">
        <w:rPr>
          <w:rFonts w:eastAsia="Times New Roman" w:cs="Arial"/>
          <w:color w:val="000000"/>
          <w:szCs w:val="20"/>
          <w:lang w:eastAsia="bg-BG"/>
        </w:rPr>
        <w:t>1220 София, България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3072FB0E" w:rsidR="0091385D" w:rsidRDefault="0091385D" w:rsidP="0091385D"/>
    <w:p w14:paraId="46161304" w14:textId="1D5EF041" w:rsidR="007A2185" w:rsidRPr="00C40664" w:rsidRDefault="00C40664" w:rsidP="0091385D">
      <w:pPr>
        <w:rPr>
          <w:rFonts w:cs="Arial"/>
          <w:sz w:val="24"/>
        </w:rPr>
      </w:pPr>
      <w:proofErr w:type="spellStart"/>
      <w:r w:rsidRPr="00C40664">
        <w:rPr>
          <w:rFonts w:cs="Arial"/>
          <w:szCs w:val="20"/>
          <w:lang w:val="en-US"/>
        </w:rPr>
        <w:t>Pe</w:t>
      </w:r>
      <w:proofErr w:type="spellEnd"/>
      <w:r w:rsidRPr="00C40664">
        <w:rPr>
          <w:rFonts w:cs="Arial"/>
          <w:szCs w:val="20"/>
        </w:rPr>
        <w:t>г</w:t>
      </w:r>
      <w:r w:rsidRPr="00C40664">
        <w:rPr>
          <w:rFonts w:cs="Arial"/>
          <w:szCs w:val="20"/>
          <w:lang w:val="en-US"/>
        </w:rPr>
        <w:t xml:space="preserve">. </w:t>
      </w:r>
      <w:r w:rsidRPr="00C40664">
        <w:rPr>
          <w:rFonts w:cs="Arial"/>
          <w:szCs w:val="20"/>
        </w:rPr>
        <w:t>№: 20020745/20.08.2002</w:t>
      </w:r>
    </w:p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57E44C81" w:rsidR="0091385D" w:rsidRDefault="0091385D" w:rsidP="0091385D"/>
    <w:p w14:paraId="6C57D8B6" w14:textId="4078277D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20.08.2002/26.11.2007</w:t>
      </w:r>
    </w:p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0121B4E2" w:rsidR="0091385D" w:rsidRDefault="0091385D" w:rsidP="0091385D"/>
    <w:p w14:paraId="0524F1D6" w14:textId="15520000" w:rsidR="007A2185" w:rsidRPr="00C40664" w:rsidRDefault="00C40664" w:rsidP="0091385D">
      <w:pPr>
        <w:rPr>
          <w:rFonts w:cs="Arial"/>
          <w:sz w:val="24"/>
        </w:rPr>
      </w:pPr>
      <w:r w:rsidRPr="00C40664">
        <w:rPr>
          <w:rFonts w:cs="Arial"/>
          <w:szCs w:val="20"/>
        </w:rPr>
        <w:t>Февруари 2020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A6795"/>
    <w:multiLevelType w:val="hybridMultilevel"/>
    <w:tmpl w:val="0540A0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46BBF"/>
    <w:multiLevelType w:val="hybridMultilevel"/>
    <w:tmpl w:val="94E490C6"/>
    <w:lvl w:ilvl="0" w:tplc="E20A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6"/>
  </w:num>
  <w:num w:numId="7">
    <w:abstractNumId w:val="10"/>
  </w:num>
  <w:num w:numId="8">
    <w:abstractNumId w:val="15"/>
  </w:num>
  <w:num w:numId="9">
    <w:abstractNumId w:val="2"/>
  </w:num>
  <w:num w:numId="10">
    <w:abstractNumId w:val="4"/>
  </w:num>
  <w:num w:numId="11">
    <w:abstractNumId w:val="30"/>
  </w:num>
  <w:num w:numId="12">
    <w:abstractNumId w:val="14"/>
  </w:num>
  <w:num w:numId="13">
    <w:abstractNumId w:val="19"/>
  </w:num>
  <w:num w:numId="14">
    <w:abstractNumId w:val="11"/>
  </w:num>
  <w:num w:numId="15">
    <w:abstractNumId w:val="29"/>
  </w:num>
  <w:num w:numId="16">
    <w:abstractNumId w:val="9"/>
  </w:num>
  <w:num w:numId="17">
    <w:abstractNumId w:val="24"/>
  </w:num>
  <w:num w:numId="18">
    <w:abstractNumId w:val="7"/>
  </w:num>
  <w:num w:numId="19">
    <w:abstractNumId w:val="26"/>
  </w:num>
  <w:num w:numId="20">
    <w:abstractNumId w:val="23"/>
  </w:num>
  <w:num w:numId="21">
    <w:abstractNumId w:val="17"/>
  </w:num>
  <w:num w:numId="22">
    <w:abstractNumId w:val="25"/>
  </w:num>
  <w:num w:numId="23">
    <w:abstractNumId w:val="18"/>
  </w:num>
  <w:num w:numId="24">
    <w:abstractNumId w:val="8"/>
  </w:num>
  <w:num w:numId="25">
    <w:abstractNumId w:val="22"/>
  </w:num>
  <w:num w:numId="26">
    <w:abstractNumId w:val="21"/>
  </w:num>
  <w:num w:numId="27">
    <w:abstractNumId w:val="31"/>
  </w:num>
  <w:num w:numId="28">
    <w:abstractNumId w:val="6"/>
  </w:num>
  <w:num w:numId="29">
    <w:abstractNumId w:val="20"/>
  </w:num>
  <w:num w:numId="30">
    <w:abstractNumId w:val="35"/>
  </w:num>
  <w:num w:numId="31">
    <w:abstractNumId w:val="5"/>
  </w:num>
  <w:num w:numId="32">
    <w:abstractNumId w:val="34"/>
  </w:num>
  <w:num w:numId="33">
    <w:abstractNumId w:val="28"/>
  </w:num>
  <w:num w:numId="34">
    <w:abstractNumId w:val="33"/>
  </w:num>
  <w:num w:numId="35">
    <w:abstractNumId w:val="13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5B0F27"/>
    <w:rsid w:val="00605BCA"/>
    <w:rsid w:val="006158A1"/>
    <w:rsid w:val="00617B1F"/>
    <w:rsid w:val="00672487"/>
    <w:rsid w:val="00672600"/>
    <w:rsid w:val="00681D4A"/>
    <w:rsid w:val="00682341"/>
    <w:rsid w:val="00685882"/>
    <w:rsid w:val="0075649D"/>
    <w:rsid w:val="007A2185"/>
    <w:rsid w:val="007C605B"/>
    <w:rsid w:val="008134C8"/>
    <w:rsid w:val="00814073"/>
    <w:rsid w:val="00826F0D"/>
    <w:rsid w:val="00893B92"/>
    <w:rsid w:val="008A6AF2"/>
    <w:rsid w:val="008C70A2"/>
    <w:rsid w:val="008F1AF3"/>
    <w:rsid w:val="0091385D"/>
    <w:rsid w:val="009773E4"/>
    <w:rsid w:val="009B171C"/>
    <w:rsid w:val="009F1313"/>
    <w:rsid w:val="00A20351"/>
    <w:rsid w:val="00A65A81"/>
    <w:rsid w:val="00A73575"/>
    <w:rsid w:val="00AA23EC"/>
    <w:rsid w:val="00AC63CE"/>
    <w:rsid w:val="00AE2107"/>
    <w:rsid w:val="00B275A8"/>
    <w:rsid w:val="00BB3B9C"/>
    <w:rsid w:val="00BF2600"/>
    <w:rsid w:val="00C0049F"/>
    <w:rsid w:val="00C07B84"/>
    <w:rsid w:val="00C33464"/>
    <w:rsid w:val="00C40420"/>
    <w:rsid w:val="00C40664"/>
    <w:rsid w:val="00C809A7"/>
    <w:rsid w:val="00C83063"/>
    <w:rsid w:val="00C87E90"/>
    <w:rsid w:val="00CA1B57"/>
    <w:rsid w:val="00CF77F7"/>
    <w:rsid w:val="00D86297"/>
    <w:rsid w:val="00DD466D"/>
    <w:rsid w:val="00EB6364"/>
    <w:rsid w:val="00EC41ED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2023-06-03T10:43:00Z</dcterms:created>
  <dcterms:modified xsi:type="dcterms:W3CDTF">2023-06-03T10:43:00Z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